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555C2" w14:textId="77777777" w:rsidR="00572F01" w:rsidRPr="00395BFD" w:rsidRDefault="00F13BCB" w:rsidP="00D309FA">
      <w:pPr>
        <w:jc w:val="center"/>
        <w:rPr>
          <w:bCs/>
          <w:color w:val="000000"/>
          <w:szCs w:val="22"/>
        </w:rPr>
      </w:pPr>
      <w:bookmarkStart w:id="0" w:name="_GoBack"/>
      <w:bookmarkEnd w:id="0"/>
      <w:r>
        <w:rPr>
          <w:noProof/>
          <w:color w:val="000000"/>
          <w:lang w:eastAsia="cs-CZ"/>
        </w:rPr>
        <w:drawing>
          <wp:anchor distT="0" distB="0" distL="114300" distR="114300" simplePos="0" relativeHeight="251654656" behindDoc="0" locked="0" layoutInCell="1" allowOverlap="1" wp14:anchorId="70CA1847" wp14:editId="241BF3A4">
            <wp:simplePos x="0" y="0"/>
            <wp:positionH relativeFrom="column">
              <wp:posOffset>2514600</wp:posOffset>
            </wp:positionH>
            <wp:positionV relativeFrom="paragraph">
              <wp:posOffset>2540</wp:posOffset>
            </wp:positionV>
            <wp:extent cx="763270" cy="539750"/>
            <wp:effectExtent l="0" t="0" r="0" b="0"/>
            <wp:wrapTopAndBottom/>
            <wp:docPr id="38" name="obrázek 2" descr="NKU_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NKU_LOGO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7D7E1" w14:textId="77777777" w:rsidR="009C000D" w:rsidRDefault="009C000D" w:rsidP="00D309FA">
      <w:pPr>
        <w:jc w:val="center"/>
        <w:rPr>
          <w:color w:val="000000"/>
        </w:rPr>
      </w:pPr>
    </w:p>
    <w:p w14:paraId="58B1BBDD" w14:textId="77777777" w:rsidR="00A5152D" w:rsidRPr="00395BFD" w:rsidRDefault="00A5152D" w:rsidP="00D309FA">
      <w:pPr>
        <w:jc w:val="center"/>
        <w:rPr>
          <w:color w:val="000000"/>
        </w:rPr>
      </w:pPr>
    </w:p>
    <w:p w14:paraId="3580E10E" w14:textId="77777777" w:rsidR="00962F73" w:rsidRDefault="00962F73" w:rsidP="008A38A0">
      <w:pPr>
        <w:jc w:val="center"/>
        <w:rPr>
          <w:rFonts w:ascii="Calibri" w:hAnsi="Calibri"/>
          <w:b/>
          <w:sz w:val="28"/>
          <w:szCs w:val="28"/>
        </w:rPr>
      </w:pPr>
      <w:r w:rsidRPr="000908F6">
        <w:rPr>
          <w:rFonts w:ascii="Calibri" w:hAnsi="Calibri"/>
          <w:b/>
          <w:sz w:val="28"/>
          <w:szCs w:val="28"/>
        </w:rPr>
        <w:t>Kontrolní závěr z kontrolní akce</w:t>
      </w:r>
    </w:p>
    <w:p w14:paraId="2C46B2C6" w14:textId="77777777" w:rsidR="00154DE0" w:rsidRPr="000908F6" w:rsidRDefault="00154DE0" w:rsidP="008A38A0">
      <w:pPr>
        <w:jc w:val="center"/>
        <w:rPr>
          <w:rFonts w:ascii="Calibri" w:hAnsi="Calibri"/>
          <w:b/>
          <w:sz w:val="28"/>
          <w:szCs w:val="28"/>
        </w:rPr>
      </w:pPr>
    </w:p>
    <w:p w14:paraId="2F4523DB" w14:textId="77777777" w:rsidR="00962F73" w:rsidRDefault="00DB69A8" w:rsidP="008A38A0">
      <w:pPr>
        <w:jc w:val="center"/>
        <w:rPr>
          <w:rFonts w:ascii="Calibri" w:hAnsi="Calibri"/>
          <w:b/>
          <w:bCs/>
          <w:sz w:val="28"/>
          <w:szCs w:val="28"/>
        </w:rPr>
      </w:pPr>
      <w:r w:rsidRPr="000908F6">
        <w:rPr>
          <w:rFonts w:ascii="Calibri" w:hAnsi="Calibri"/>
          <w:b/>
          <w:bCs/>
          <w:sz w:val="28"/>
          <w:szCs w:val="28"/>
        </w:rPr>
        <w:t>1</w:t>
      </w:r>
      <w:r w:rsidR="007D1B29" w:rsidRPr="000908F6">
        <w:rPr>
          <w:rFonts w:ascii="Calibri" w:hAnsi="Calibri"/>
          <w:b/>
          <w:bCs/>
          <w:sz w:val="28"/>
          <w:szCs w:val="28"/>
        </w:rPr>
        <w:t>6</w:t>
      </w:r>
      <w:r w:rsidR="00F95BC4" w:rsidRPr="000908F6">
        <w:rPr>
          <w:rFonts w:ascii="Calibri" w:hAnsi="Calibri"/>
          <w:b/>
          <w:bCs/>
          <w:sz w:val="28"/>
          <w:szCs w:val="28"/>
        </w:rPr>
        <w:t>/</w:t>
      </w:r>
      <w:r w:rsidR="00846328">
        <w:rPr>
          <w:rFonts w:ascii="Calibri" w:hAnsi="Calibri"/>
          <w:b/>
          <w:bCs/>
          <w:sz w:val="28"/>
          <w:szCs w:val="28"/>
        </w:rPr>
        <w:t>12</w:t>
      </w:r>
    </w:p>
    <w:p w14:paraId="0A7D5ECE" w14:textId="77777777" w:rsidR="00154DE0" w:rsidRPr="000908F6" w:rsidRDefault="00154DE0" w:rsidP="008A38A0">
      <w:pPr>
        <w:jc w:val="center"/>
        <w:rPr>
          <w:rFonts w:ascii="Calibri" w:hAnsi="Calibri"/>
          <w:b/>
          <w:bCs/>
          <w:sz w:val="28"/>
          <w:szCs w:val="28"/>
        </w:rPr>
      </w:pPr>
    </w:p>
    <w:p w14:paraId="06AABAF0" w14:textId="49864E2E" w:rsidR="00B93F74" w:rsidRPr="007D1B29" w:rsidRDefault="00846328" w:rsidP="009A44E1">
      <w:pPr>
        <w:jc w:val="center"/>
        <w:rPr>
          <w:rFonts w:cs="Arial"/>
          <w:bCs/>
          <w:szCs w:val="22"/>
        </w:rPr>
      </w:pPr>
      <w:r>
        <w:rPr>
          <w:rFonts w:ascii="Calibri" w:hAnsi="Calibri" w:cs="Arial"/>
          <w:b/>
          <w:snapToGrid w:val="0"/>
          <w:sz w:val="28"/>
          <w:szCs w:val="28"/>
        </w:rPr>
        <w:t xml:space="preserve">Příprava jednotného metodického prostředí pro čerpání </w:t>
      </w:r>
      <w:r w:rsidRPr="003D7143">
        <w:rPr>
          <w:rFonts w:ascii="Calibri" w:hAnsi="Calibri" w:cs="Arial"/>
          <w:b/>
          <w:snapToGrid w:val="0"/>
          <w:sz w:val="28"/>
          <w:szCs w:val="28"/>
        </w:rPr>
        <w:t>podpory E</w:t>
      </w:r>
      <w:r w:rsidR="00140032" w:rsidRPr="003D7143">
        <w:rPr>
          <w:rFonts w:ascii="Calibri" w:hAnsi="Calibri" w:cs="Arial"/>
          <w:b/>
          <w:snapToGrid w:val="0"/>
          <w:sz w:val="28"/>
          <w:szCs w:val="28"/>
        </w:rPr>
        <w:t>U</w:t>
      </w:r>
      <w:r>
        <w:rPr>
          <w:rFonts w:ascii="Calibri" w:hAnsi="Calibri" w:cs="Arial"/>
          <w:b/>
          <w:snapToGrid w:val="0"/>
          <w:sz w:val="28"/>
          <w:szCs w:val="28"/>
        </w:rPr>
        <w:t xml:space="preserve"> v programovém období 2014+</w:t>
      </w:r>
    </w:p>
    <w:p w14:paraId="5ED24235" w14:textId="77777777" w:rsidR="005C4FF0" w:rsidRPr="008A38A0" w:rsidRDefault="005C4FF0" w:rsidP="00E4796D">
      <w:pPr>
        <w:rPr>
          <w:rFonts w:cs="Arial"/>
          <w:bCs/>
          <w:szCs w:val="22"/>
        </w:rPr>
      </w:pPr>
    </w:p>
    <w:p w14:paraId="4342CDDC" w14:textId="77777777" w:rsidR="00271B69" w:rsidRPr="008A38A0" w:rsidRDefault="00271B69" w:rsidP="00E4796D">
      <w:pPr>
        <w:rPr>
          <w:rFonts w:cs="Arial"/>
          <w:bCs/>
          <w:szCs w:val="22"/>
        </w:rPr>
      </w:pPr>
    </w:p>
    <w:p w14:paraId="74E04C42" w14:textId="77777777" w:rsidR="00962F73" w:rsidRPr="000908F6" w:rsidRDefault="00962F73" w:rsidP="008A38A0">
      <w:pPr>
        <w:rPr>
          <w:rFonts w:ascii="Calibri" w:hAnsi="Calibri" w:cs="Arial"/>
          <w:sz w:val="24"/>
        </w:rPr>
      </w:pPr>
      <w:r w:rsidRPr="000908F6">
        <w:rPr>
          <w:rFonts w:ascii="Calibri" w:hAnsi="Calibri" w:cs="Arial"/>
          <w:sz w:val="24"/>
        </w:rPr>
        <w:t xml:space="preserve">Kontrolní akce byla zařazena do plánu kontrolní činnosti Nejvyššího kontrolního úřadu (dále jen „NKÚ“) na </w:t>
      </w:r>
      <w:r w:rsidR="00F95BC4" w:rsidRPr="000908F6">
        <w:rPr>
          <w:rFonts w:ascii="Calibri" w:hAnsi="Calibri" w:cs="Arial"/>
          <w:sz w:val="24"/>
        </w:rPr>
        <w:t>rok 20</w:t>
      </w:r>
      <w:r w:rsidR="005A5171" w:rsidRPr="000908F6">
        <w:rPr>
          <w:rFonts w:ascii="Calibri" w:hAnsi="Calibri" w:cs="Arial"/>
          <w:sz w:val="24"/>
        </w:rPr>
        <w:t>1</w:t>
      </w:r>
      <w:r w:rsidR="007D1B29" w:rsidRPr="000908F6">
        <w:rPr>
          <w:rFonts w:ascii="Calibri" w:hAnsi="Calibri" w:cs="Arial"/>
          <w:sz w:val="24"/>
        </w:rPr>
        <w:t>6</w:t>
      </w:r>
      <w:r w:rsidR="005A5171" w:rsidRPr="000908F6">
        <w:rPr>
          <w:rFonts w:ascii="Calibri" w:hAnsi="Calibri" w:cs="Arial"/>
          <w:sz w:val="24"/>
        </w:rPr>
        <w:t xml:space="preserve"> pod číslem 1</w:t>
      </w:r>
      <w:r w:rsidR="007D1B29" w:rsidRPr="000908F6">
        <w:rPr>
          <w:rFonts w:ascii="Calibri" w:hAnsi="Calibri" w:cs="Arial"/>
          <w:sz w:val="24"/>
        </w:rPr>
        <w:t>6</w:t>
      </w:r>
      <w:r w:rsidR="00F95BC4" w:rsidRPr="000908F6">
        <w:rPr>
          <w:rFonts w:ascii="Calibri" w:hAnsi="Calibri" w:cs="Arial"/>
          <w:sz w:val="24"/>
        </w:rPr>
        <w:t>/</w:t>
      </w:r>
      <w:r w:rsidR="00846328">
        <w:rPr>
          <w:rFonts w:ascii="Calibri" w:hAnsi="Calibri" w:cs="Arial"/>
          <w:sz w:val="24"/>
        </w:rPr>
        <w:t>12</w:t>
      </w:r>
      <w:r w:rsidR="00F95BC4" w:rsidRPr="000908F6">
        <w:rPr>
          <w:rFonts w:ascii="Calibri" w:hAnsi="Calibri" w:cs="Arial"/>
          <w:sz w:val="24"/>
        </w:rPr>
        <w:t>. Kontrolní akci řídil a kontrolní závěr vypracoval člen</w:t>
      </w:r>
      <w:r w:rsidRPr="000908F6">
        <w:rPr>
          <w:rFonts w:ascii="Calibri" w:hAnsi="Calibri" w:cs="Arial"/>
          <w:sz w:val="24"/>
        </w:rPr>
        <w:t xml:space="preserve"> NKÚ</w:t>
      </w:r>
      <w:r w:rsidR="005A5171" w:rsidRPr="000908F6">
        <w:rPr>
          <w:rFonts w:ascii="Calibri" w:hAnsi="Calibri" w:cs="Arial"/>
          <w:sz w:val="24"/>
        </w:rPr>
        <w:t xml:space="preserve"> </w:t>
      </w:r>
      <w:r w:rsidR="00972DDD" w:rsidRPr="000908F6">
        <w:rPr>
          <w:rFonts w:ascii="Calibri" w:hAnsi="Calibri" w:cs="Arial"/>
          <w:sz w:val="24"/>
        </w:rPr>
        <w:t xml:space="preserve">Ing. </w:t>
      </w:r>
      <w:r w:rsidR="00846328">
        <w:rPr>
          <w:rFonts w:ascii="Calibri" w:hAnsi="Calibri" w:cs="Arial"/>
          <w:sz w:val="24"/>
        </w:rPr>
        <w:t>Jan Vedral</w:t>
      </w:r>
      <w:r w:rsidRPr="000908F6">
        <w:rPr>
          <w:rFonts w:ascii="Calibri" w:hAnsi="Calibri" w:cs="Arial"/>
          <w:sz w:val="24"/>
        </w:rPr>
        <w:t>.</w:t>
      </w:r>
    </w:p>
    <w:p w14:paraId="5BDA69EC" w14:textId="77777777" w:rsidR="008A38A0" w:rsidRPr="000908F6" w:rsidRDefault="008A38A0" w:rsidP="008A38A0">
      <w:pPr>
        <w:pStyle w:val="Pa10"/>
        <w:spacing w:before="0" w:after="0" w:line="240" w:lineRule="auto"/>
        <w:rPr>
          <w:rFonts w:ascii="Calibri" w:hAnsi="Calibri"/>
          <w:sz w:val="24"/>
          <w:lang w:val="cs-CZ"/>
        </w:rPr>
      </w:pPr>
    </w:p>
    <w:p w14:paraId="651E7CF1" w14:textId="77777777" w:rsidR="007D1B29" w:rsidRPr="000908F6" w:rsidRDefault="007D1B29" w:rsidP="007D1B29">
      <w:pPr>
        <w:rPr>
          <w:rFonts w:ascii="Calibri" w:hAnsi="Calibri" w:cs="Arial"/>
          <w:sz w:val="24"/>
        </w:rPr>
      </w:pPr>
      <w:r w:rsidRPr="000908F6">
        <w:rPr>
          <w:rFonts w:ascii="Calibri" w:hAnsi="Calibri" w:cs="Arial"/>
          <w:sz w:val="24"/>
        </w:rPr>
        <w:t>Cílem kontroly bylo prověřit</w:t>
      </w:r>
      <w:r w:rsidR="00846328" w:rsidRPr="00846328">
        <w:rPr>
          <w:rFonts w:ascii="Calibri" w:hAnsi="Calibri" w:cs="Arial"/>
          <w:sz w:val="24"/>
        </w:rPr>
        <w:t xml:space="preserve"> činnosti směřující k nastavení jednotného metodického prostředí pro čerpání podpory EU v programovém období 2014+</w:t>
      </w:r>
      <w:r w:rsidR="00846328">
        <w:rPr>
          <w:rFonts w:ascii="Calibri" w:hAnsi="Calibri" w:cs="Arial"/>
          <w:sz w:val="24"/>
        </w:rPr>
        <w:t>.</w:t>
      </w:r>
    </w:p>
    <w:p w14:paraId="5DAC0D34" w14:textId="77777777" w:rsidR="00972DDD" w:rsidRPr="000908F6" w:rsidRDefault="00972DDD" w:rsidP="008A38A0">
      <w:pPr>
        <w:pStyle w:val="Pa10"/>
        <w:spacing w:before="0" w:after="0" w:line="240" w:lineRule="auto"/>
        <w:rPr>
          <w:rFonts w:ascii="Calibri" w:hAnsi="Calibri"/>
          <w:sz w:val="24"/>
          <w:lang w:val="cs-CZ"/>
        </w:rPr>
      </w:pPr>
    </w:p>
    <w:p w14:paraId="2C83740F" w14:textId="77777777" w:rsidR="009A44E1" w:rsidRPr="000908F6" w:rsidRDefault="00962F73" w:rsidP="008A38A0">
      <w:pPr>
        <w:rPr>
          <w:rFonts w:ascii="Calibri" w:hAnsi="Calibri" w:cs="Arial"/>
          <w:sz w:val="24"/>
        </w:rPr>
      </w:pPr>
      <w:r w:rsidRPr="000908F6">
        <w:rPr>
          <w:rFonts w:ascii="Calibri" w:hAnsi="Calibri" w:cs="Arial"/>
          <w:sz w:val="24"/>
        </w:rPr>
        <w:t>Kontrola byla prov</w:t>
      </w:r>
      <w:r w:rsidR="00F770AA" w:rsidRPr="000908F6">
        <w:rPr>
          <w:rFonts w:ascii="Calibri" w:hAnsi="Calibri" w:cs="Arial"/>
          <w:sz w:val="24"/>
        </w:rPr>
        <w:t>á</w:t>
      </w:r>
      <w:r w:rsidRPr="000908F6">
        <w:rPr>
          <w:rFonts w:ascii="Calibri" w:hAnsi="Calibri" w:cs="Arial"/>
          <w:sz w:val="24"/>
        </w:rPr>
        <w:t>d</w:t>
      </w:r>
      <w:r w:rsidR="00F770AA" w:rsidRPr="000908F6">
        <w:rPr>
          <w:rFonts w:ascii="Calibri" w:hAnsi="Calibri" w:cs="Arial"/>
          <w:sz w:val="24"/>
        </w:rPr>
        <w:t>ě</w:t>
      </w:r>
      <w:r w:rsidRPr="000908F6">
        <w:rPr>
          <w:rFonts w:ascii="Calibri" w:hAnsi="Calibri" w:cs="Arial"/>
          <w:sz w:val="24"/>
        </w:rPr>
        <w:t>na</w:t>
      </w:r>
      <w:r w:rsidR="00846328">
        <w:rPr>
          <w:rFonts w:ascii="Calibri" w:hAnsi="Calibri" w:cs="Arial"/>
          <w:sz w:val="24"/>
        </w:rPr>
        <w:t xml:space="preserve"> u kontrolované</w:t>
      </w:r>
      <w:r w:rsidR="009A44E1" w:rsidRPr="000908F6">
        <w:rPr>
          <w:rFonts w:ascii="Calibri" w:hAnsi="Calibri" w:cs="Arial"/>
          <w:sz w:val="24"/>
        </w:rPr>
        <w:t xml:space="preserve"> osob</w:t>
      </w:r>
      <w:r w:rsidR="00846328">
        <w:rPr>
          <w:rFonts w:ascii="Calibri" w:hAnsi="Calibri" w:cs="Arial"/>
          <w:sz w:val="24"/>
        </w:rPr>
        <w:t>y</w:t>
      </w:r>
      <w:r w:rsidRPr="000908F6">
        <w:rPr>
          <w:rFonts w:ascii="Calibri" w:hAnsi="Calibri" w:cs="Arial"/>
          <w:sz w:val="24"/>
        </w:rPr>
        <w:t xml:space="preserve"> </w:t>
      </w:r>
      <w:r w:rsidR="00B10AF3" w:rsidRPr="000908F6">
        <w:rPr>
          <w:rFonts w:ascii="Calibri" w:hAnsi="Calibri" w:cs="Arial"/>
          <w:sz w:val="24"/>
        </w:rPr>
        <w:t>v </w:t>
      </w:r>
      <w:r w:rsidRPr="000908F6">
        <w:rPr>
          <w:rFonts w:ascii="Calibri" w:hAnsi="Calibri" w:cs="Arial"/>
          <w:sz w:val="24"/>
        </w:rPr>
        <w:t xml:space="preserve">době od </w:t>
      </w:r>
      <w:r w:rsidR="00846328">
        <w:rPr>
          <w:rFonts w:ascii="Calibri" w:hAnsi="Calibri" w:cs="Arial"/>
          <w:sz w:val="24"/>
        </w:rPr>
        <w:t>dubna 2016</w:t>
      </w:r>
      <w:r w:rsidR="00972DDD" w:rsidRPr="000908F6">
        <w:rPr>
          <w:rFonts w:ascii="Calibri" w:hAnsi="Calibri" w:cs="Arial"/>
          <w:sz w:val="24"/>
        </w:rPr>
        <w:t xml:space="preserve"> </w:t>
      </w:r>
      <w:r w:rsidR="0019383C" w:rsidRPr="000908F6">
        <w:rPr>
          <w:rFonts w:ascii="Calibri" w:hAnsi="Calibri" w:cs="Arial"/>
          <w:sz w:val="24"/>
        </w:rPr>
        <w:t>do</w:t>
      </w:r>
      <w:r w:rsidR="009B6283" w:rsidRPr="000908F6">
        <w:rPr>
          <w:rFonts w:ascii="Calibri" w:hAnsi="Calibri" w:cs="Arial"/>
          <w:sz w:val="24"/>
        </w:rPr>
        <w:t xml:space="preserve"> </w:t>
      </w:r>
      <w:r w:rsidR="00850364">
        <w:rPr>
          <w:rFonts w:ascii="Calibri" w:hAnsi="Calibri" w:cs="Arial"/>
          <w:sz w:val="24"/>
        </w:rPr>
        <w:t>ledna</w:t>
      </w:r>
      <w:r w:rsidR="00E24903" w:rsidRPr="000908F6">
        <w:rPr>
          <w:rFonts w:ascii="Calibri" w:hAnsi="Calibri" w:cs="Arial"/>
          <w:sz w:val="24"/>
        </w:rPr>
        <w:t xml:space="preserve"> 201</w:t>
      </w:r>
      <w:r w:rsidR="00850364">
        <w:rPr>
          <w:rFonts w:ascii="Calibri" w:hAnsi="Calibri" w:cs="Arial"/>
          <w:sz w:val="24"/>
        </w:rPr>
        <w:t>7</w:t>
      </w:r>
      <w:r w:rsidRPr="000908F6">
        <w:rPr>
          <w:rFonts w:ascii="Calibri" w:hAnsi="Calibri" w:cs="Arial"/>
          <w:sz w:val="24"/>
        </w:rPr>
        <w:t xml:space="preserve">. </w:t>
      </w:r>
    </w:p>
    <w:p w14:paraId="4A083A11" w14:textId="77777777" w:rsidR="009A44E1" w:rsidRPr="000908F6" w:rsidRDefault="009A44E1" w:rsidP="008A38A0">
      <w:pPr>
        <w:rPr>
          <w:rFonts w:ascii="Calibri" w:hAnsi="Calibri" w:cs="Arial"/>
          <w:sz w:val="24"/>
        </w:rPr>
      </w:pPr>
    </w:p>
    <w:p w14:paraId="38A8771E" w14:textId="77777777" w:rsidR="00962F73" w:rsidRPr="000908F6" w:rsidRDefault="00962F73" w:rsidP="008A38A0">
      <w:pPr>
        <w:rPr>
          <w:rFonts w:ascii="Calibri" w:hAnsi="Calibri" w:cs="Arial"/>
          <w:sz w:val="24"/>
        </w:rPr>
      </w:pPr>
      <w:r w:rsidRPr="000908F6">
        <w:rPr>
          <w:rFonts w:ascii="Calibri" w:hAnsi="Calibri" w:cs="Arial"/>
          <w:sz w:val="24"/>
        </w:rPr>
        <w:t>Kontrolovaný</w:t>
      </w:r>
      <w:r w:rsidR="00850364">
        <w:rPr>
          <w:rFonts w:ascii="Calibri" w:hAnsi="Calibri" w:cs="Arial"/>
          <w:sz w:val="24"/>
        </w:rPr>
        <w:t>m obdobím byly roky 2011</w:t>
      </w:r>
      <w:r w:rsidR="00F95BC4" w:rsidRPr="000908F6">
        <w:rPr>
          <w:rFonts w:ascii="Calibri" w:hAnsi="Calibri" w:cs="Arial"/>
          <w:sz w:val="24"/>
        </w:rPr>
        <w:t xml:space="preserve"> až 20</w:t>
      </w:r>
      <w:r w:rsidR="006E0424" w:rsidRPr="000908F6">
        <w:rPr>
          <w:rFonts w:ascii="Calibri" w:hAnsi="Calibri" w:cs="Arial"/>
          <w:sz w:val="24"/>
        </w:rPr>
        <w:t>1</w:t>
      </w:r>
      <w:r w:rsidR="00850364">
        <w:rPr>
          <w:rFonts w:ascii="Calibri" w:hAnsi="Calibri" w:cs="Arial"/>
          <w:sz w:val="24"/>
        </w:rPr>
        <w:t>6</w:t>
      </w:r>
      <w:r w:rsidRPr="000908F6">
        <w:rPr>
          <w:rFonts w:ascii="Calibri" w:hAnsi="Calibri" w:cs="Arial"/>
          <w:sz w:val="24"/>
        </w:rPr>
        <w:t xml:space="preserve">, </w:t>
      </w:r>
      <w:r w:rsidR="00B10AF3" w:rsidRPr="000908F6">
        <w:rPr>
          <w:rFonts w:ascii="Calibri" w:hAnsi="Calibri" w:cs="Arial"/>
          <w:sz w:val="24"/>
        </w:rPr>
        <w:t>v </w:t>
      </w:r>
      <w:r w:rsidRPr="000908F6">
        <w:rPr>
          <w:rFonts w:ascii="Calibri" w:hAnsi="Calibri" w:cs="Arial"/>
          <w:sz w:val="24"/>
        </w:rPr>
        <w:t>případě věcných souvislostí i</w:t>
      </w:r>
      <w:r w:rsidR="00CD3951" w:rsidRPr="000908F6">
        <w:rPr>
          <w:rFonts w:ascii="Calibri" w:hAnsi="Calibri" w:cs="Arial"/>
          <w:sz w:val="24"/>
        </w:rPr>
        <w:t xml:space="preserve"> </w:t>
      </w:r>
      <w:r w:rsidRPr="000908F6">
        <w:rPr>
          <w:rFonts w:ascii="Calibri" w:hAnsi="Calibri" w:cs="Arial"/>
          <w:sz w:val="24"/>
        </w:rPr>
        <w:t>období předcházející a</w:t>
      </w:r>
      <w:r w:rsidR="009F5263" w:rsidRPr="000908F6">
        <w:rPr>
          <w:rFonts w:ascii="Calibri" w:hAnsi="Calibri" w:cs="Arial"/>
          <w:sz w:val="24"/>
        </w:rPr>
        <w:t> </w:t>
      </w:r>
      <w:r w:rsidRPr="000908F6">
        <w:rPr>
          <w:rFonts w:ascii="Calibri" w:hAnsi="Calibri" w:cs="Arial"/>
          <w:sz w:val="24"/>
        </w:rPr>
        <w:t>následující.</w:t>
      </w:r>
    </w:p>
    <w:p w14:paraId="31EE84AE" w14:textId="77777777" w:rsidR="00962F73" w:rsidRPr="000908F6" w:rsidRDefault="00962F73" w:rsidP="008A38A0">
      <w:pPr>
        <w:rPr>
          <w:rFonts w:ascii="Calibri" w:hAnsi="Calibri" w:cs="Arial"/>
          <w:sz w:val="24"/>
        </w:rPr>
      </w:pPr>
    </w:p>
    <w:p w14:paraId="2664C554" w14:textId="77777777" w:rsidR="00786A81" w:rsidRPr="000908F6" w:rsidRDefault="00850364" w:rsidP="008A38A0">
      <w:pPr>
        <w:pStyle w:val="Zkladntext"/>
        <w:rPr>
          <w:rFonts w:ascii="Calibri" w:hAnsi="Calibri" w:cs="Arial"/>
          <w:b/>
          <w:szCs w:val="24"/>
          <w:lang w:eastAsia="en-US"/>
        </w:rPr>
      </w:pPr>
      <w:r>
        <w:rPr>
          <w:rFonts w:ascii="Calibri" w:hAnsi="Calibri" w:cs="Arial"/>
          <w:b/>
          <w:szCs w:val="24"/>
          <w:lang w:eastAsia="en-US"/>
        </w:rPr>
        <w:t>Kontrolovaná osoba</w:t>
      </w:r>
      <w:r w:rsidR="00962F73" w:rsidRPr="000908F6">
        <w:rPr>
          <w:rFonts w:ascii="Calibri" w:hAnsi="Calibri" w:cs="Arial"/>
          <w:b/>
          <w:szCs w:val="24"/>
          <w:lang w:eastAsia="en-US"/>
        </w:rPr>
        <w:t>:</w:t>
      </w:r>
    </w:p>
    <w:p w14:paraId="02F2F140" w14:textId="1C581C31" w:rsidR="00972DDD" w:rsidRPr="000908F6" w:rsidRDefault="00972DDD" w:rsidP="008A38A0">
      <w:pPr>
        <w:rPr>
          <w:rFonts w:ascii="Calibri" w:hAnsi="Calibri" w:cs="Arial"/>
          <w:sz w:val="24"/>
        </w:rPr>
      </w:pPr>
      <w:r w:rsidRPr="000908F6">
        <w:rPr>
          <w:rFonts w:ascii="Calibri" w:hAnsi="Calibri" w:cs="Arial"/>
          <w:sz w:val="24"/>
        </w:rPr>
        <w:t xml:space="preserve">Ministerstvo </w:t>
      </w:r>
      <w:r w:rsidR="00850364">
        <w:rPr>
          <w:rFonts w:ascii="Calibri" w:hAnsi="Calibri" w:cs="Arial"/>
          <w:sz w:val="24"/>
        </w:rPr>
        <w:t>pro místní rozvoj</w:t>
      </w:r>
      <w:r w:rsidR="003B6FF0" w:rsidRPr="000908F6">
        <w:rPr>
          <w:rFonts w:ascii="Calibri" w:hAnsi="Calibri" w:cs="Arial"/>
          <w:sz w:val="24"/>
        </w:rPr>
        <w:t xml:space="preserve"> </w:t>
      </w:r>
      <w:r w:rsidRPr="000908F6">
        <w:rPr>
          <w:rFonts w:ascii="Calibri" w:hAnsi="Calibri" w:cs="Arial"/>
          <w:sz w:val="24"/>
        </w:rPr>
        <w:t>(dále též „M</w:t>
      </w:r>
      <w:r w:rsidR="00850364">
        <w:rPr>
          <w:rFonts w:ascii="Calibri" w:hAnsi="Calibri" w:cs="Arial"/>
          <w:sz w:val="24"/>
        </w:rPr>
        <w:t>MR</w:t>
      </w:r>
      <w:r w:rsidRPr="000908F6">
        <w:rPr>
          <w:rFonts w:ascii="Calibri" w:hAnsi="Calibri" w:cs="Arial"/>
          <w:sz w:val="24"/>
        </w:rPr>
        <w:t>“)</w:t>
      </w:r>
      <w:r w:rsidR="003439BA">
        <w:rPr>
          <w:rFonts w:ascii="Calibri" w:hAnsi="Calibri" w:cs="Arial"/>
          <w:sz w:val="24"/>
        </w:rPr>
        <w:t>.</w:t>
      </w:r>
    </w:p>
    <w:p w14:paraId="3D1DCD89" w14:textId="77777777" w:rsidR="003F6826" w:rsidRDefault="003F6826" w:rsidP="008A38A0">
      <w:pPr>
        <w:pStyle w:val="Zkladntext"/>
        <w:rPr>
          <w:rFonts w:ascii="Calibri" w:hAnsi="Calibri" w:cs="Arial"/>
          <w:szCs w:val="24"/>
          <w:lang w:eastAsia="en-US"/>
        </w:rPr>
      </w:pPr>
    </w:p>
    <w:p w14:paraId="3B62DDD5" w14:textId="0286CC92" w:rsidR="00962F73" w:rsidRPr="00B86595" w:rsidRDefault="00962F73" w:rsidP="008A38A0">
      <w:pPr>
        <w:pStyle w:val="Zkladntext"/>
        <w:rPr>
          <w:rFonts w:ascii="Calibri" w:hAnsi="Calibri" w:cs="Arial"/>
          <w:color w:val="000000"/>
          <w:szCs w:val="24"/>
          <w:lang w:eastAsia="en-US"/>
        </w:rPr>
      </w:pPr>
      <w:r w:rsidRPr="000908F6">
        <w:rPr>
          <w:rFonts w:ascii="Calibri" w:hAnsi="Calibri" w:cs="Arial"/>
          <w:szCs w:val="24"/>
          <w:lang w:eastAsia="en-US"/>
        </w:rPr>
        <w:t xml:space="preserve">Námitky, které </w:t>
      </w:r>
      <w:r w:rsidR="003439BA" w:rsidRPr="000908F6">
        <w:rPr>
          <w:rFonts w:ascii="Calibri" w:hAnsi="Calibri" w:cs="Arial"/>
          <w:szCs w:val="24"/>
          <w:lang w:val="cs-CZ" w:eastAsia="en-US"/>
        </w:rPr>
        <w:t>M</w:t>
      </w:r>
      <w:r w:rsidR="003439BA">
        <w:rPr>
          <w:rFonts w:ascii="Calibri" w:hAnsi="Calibri" w:cs="Arial"/>
          <w:szCs w:val="24"/>
          <w:lang w:val="cs-CZ" w:eastAsia="en-US"/>
        </w:rPr>
        <w:t>MR</w:t>
      </w:r>
      <w:r w:rsidR="003439BA" w:rsidRPr="000908F6">
        <w:rPr>
          <w:rFonts w:ascii="Calibri" w:hAnsi="Calibri" w:cs="Arial"/>
          <w:szCs w:val="24"/>
          <w:lang w:eastAsia="en-US"/>
        </w:rPr>
        <w:t xml:space="preserve"> </w:t>
      </w:r>
      <w:r w:rsidR="00A95CE4" w:rsidRPr="000908F6">
        <w:rPr>
          <w:rFonts w:ascii="Calibri" w:hAnsi="Calibri" w:cs="Arial"/>
          <w:szCs w:val="24"/>
          <w:lang w:eastAsia="en-US"/>
        </w:rPr>
        <w:t>podal</w:t>
      </w:r>
      <w:r w:rsidR="00A95CE4" w:rsidRPr="000908F6">
        <w:rPr>
          <w:rFonts w:ascii="Calibri" w:hAnsi="Calibri" w:cs="Arial"/>
          <w:szCs w:val="24"/>
          <w:lang w:val="cs-CZ" w:eastAsia="en-US"/>
        </w:rPr>
        <w:t>o</w:t>
      </w:r>
      <w:r w:rsidR="00A95CE4" w:rsidRPr="000908F6">
        <w:rPr>
          <w:rFonts w:ascii="Calibri" w:hAnsi="Calibri" w:cs="Arial"/>
          <w:szCs w:val="24"/>
          <w:lang w:eastAsia="en-US"/>
        </w:rPr>
        <w:t xml:space="preserve"> </w:t>
      </w:r>
      <w:r w:rsidRPr="000908F6">
        <w:rPr>
          <w:rFonts w:ascii="Calibri" w:hAnsi="Calibri" w:cs="Arial"/>
          <w:szCs w:val="24"/>
          <w:lang w:eastAsia="en-US"/>
        </w:rPr>
        <w:t>pro</w:t>
      </w:r>
      <w:r w:rsidR="00F144B3" w:rsidRPr="000908F6">
        <w:rPr>
          <w:rFonts w:ascii="Calibri" w:hAnsi="Calibri" w:cs="Arial"/>
          <w:szCs w:val="24"/>
          <w:lang w:eastAsia="en-US"/>
        </w:rPr>
        <w:t>ti kontrolnímu protokolu</w:t>
      </w:r>
      <w:r w:rsidR="00FE2F87" w:rsidRPr="000908F6">
        <w:rPr>
          <w:rFonts w:ascii="Calibri" w:hAnsi="Calibri" w:cs="Arial"/>
          <w:szCs w:val="24"/>
          <w:lang w:val="cs-CZ" w:eastAsia="en-US"/>
        </w:rPr>
        <w:t>,</w:t>
      </w:r>
      <w:r w:rsidR="00AB32AA" w:rsidRPr="000908F6">
        <w:rPr>
          <w:rFonts w:ascii="Calibri" w:hAnsi="Calibri" w:cs="Arial"/>
          <w:szCs w:val="24"/>
          <w:lang w:eastAsia="en-US"/>
        </w:rPr>
        <w:t xml:space="preserve"> </w:t>
      </w:r>
      <w:r w:rsidR="00850364">
        <w:rPr>
          <w:rFonts w:ascii="Calibri" w:hAnsi="Calibri" w:cs="Arial"/>
          <w:szCs w:val="24"/>
          <w:lang w:eastAsia="en-US"/>
        </w:rPr>
        <w:t>vypořád</w:t>
      </w:r>
      <w:r w:rsidR="003439BA">
        <w:rPr>
          <w:rFonts w:ascii="Calibri" w:hAnsi="Calibri" w:cs="Arial"/>
          <w:szCs w:val="24"/>
          <w:lang w:val="cs-CZ" w:eastAsia="en-US"/>
        </w:rPr>
        <w:t>ala</w:t>
      </w:r>
      <w:r w:rsidR="00850364">
        <w:rPr>
          <w:rFonts w:ascii="Calibri" w:hAnsi="Calibri" w:cs="Arial"/>
          <w:szCs w:val="24"/>
          <w:lang w:eastAsia="en-US"/>
        </w:rPr>
        <w:t xml:space="preserve"> vedoucí</w:t>
      </w:r>
      <w:r w:rsidRPr="000908F6">
        <w:rPr>
          <w:rFonts w:ascii="Calibri" w:hAnsi="Calibri" w:cs="Arial"/>
          <w:szCs w:val="24"/>
          <w:lang w:eastAsia="en-US"/>
        </w:rPr>
        <w:t xml:space="preserve"> skupin</w:t>
      </w:r>
      <w:r w:rsidR="00A372DB" w:rsidRPr="000908F6">
        <w:rPr>
          <w:rFonts w:ascii="Calibri" w:hAnsi="Calibri" w:cs="Arial"/>
          <w:szCs w:val="24"/>
          <w:lang w:val="cs-CZ" w:eastAsia="en-US"/>
        </w:rPr>
        <w:t>y</w:t>
      </w:r>
      <w:r w:rsidRPr="000908F6">
        <w:rPr>
          <w:rFonts w:ascii="Calibri" w:hAnsi="Calibri" w:cs="Arial"/>
          <w:szCs w:val="24"/>
          <w:lang w:eastAsia="en-US"/>
        </w:rPr>
        <w:t xml:space="preserve"> kontrolujících </w:t>
      </w:r>
      <w:r w:rsidR="00A165F8" w:rsidRPr="000908F6">
        <w:rPr>
          <w:rFonts w:ascii="Calibri" w:hAnsi="Calibri" w:cs="Arial"/>
          <w:szCs w:val="24"/>
          <w:lang w:eastAsia="en-US"/>
        </w:rPr>
        <w:t>rozhodnutím o</w:t>
      </w:r>
      <w:r w:rsidR="00CD3951" w:rsidRPr="000908F6">
        <w:rPr>
          <w:rFonts w:ascii="Calibri" w:hAnsi="Calibri" w:cs="Arial"/>
          <w:szCs w:val="24"/>
          <w:lang w:eastAsia="en-US"/>
        </w:rPr>
        <w:t xml:space="preserve"> </w:t>
      </w:r>
      <w:r w:rsidRPr="000908F6">
        <w:rPr>
          <w:rFonts w:ascii="Calibri" w:hAnsi="Calibri" w:cs="Arial"/>
          <w:szCs w:val="24"/>
          <w:lang w:eastAsia="en-US"/>
        </w:rPr>
        <w:t xml:space="preserve">námitkách. </w:t>
      </w:r>
      <w:r w:rsidRPr="00073BAF">
        <w:rPr>
          <w:rFonts w:ascii="Calibri" w:hAnsi="Calibri" w:cs="Arial"/>
          <w:szCs w:val="24"/>
          <w:lang w:eastAsia="en-US"/>
        </w:rPr>
        <w:t>Odvolání</w:t>
      </w:r>
      <w:r w:rsidR="00FE2F87" w:rsidRPr="00073BAF">
        <w:rPr>
          <w:rFonts w:ascii="Calibri" w:hAnsi="Calibri" w:cs="Arial"/>
          <w:szCs w:val="24"/>
          <w:lang w:val="cs-CZ" w:eastAsia="en-US"/>
        </w:rPr>
        <w:t>, které</w:t>
      </w:r>
      <w:r w:rsidRPr="00073BAF">
        <w:rPr>
          <w:rFonts w:ascii="Calibri" w:hAnsi="Calibri" w:cs="Arial"/>
          <w:szCs w:val="24"/>
          <w:lang w:eastAsia="en-US"/>
        </w:rPr>
        <w:t xml:space="preserve"> </w:t>
      </w:r>
      <w:r w:rsidR="00850364">
        <w:rPr>
          <w:rFonts w:ascii="Calibri" w:hAnsi="Calibri" w:cs="Arial"/>
          <w:szCs w:val="24"/>
          <w:lang w:val="cs-CZ" w:eastAsia="en-US"/>
        </w:rPr>
        <w:t>MMR</w:t>
      </w:r>
      <w:r w:rsidR="00E815CF">
        <w:rPr>
          <w:rFonts w:ascii="Calibri" w:hAnsi="Calibri" w:cs="Arial"/>
          <w:szCs w:val="24"/>
          <w:lang w:val="cs-CZ" w:eastAsia="en-US"/>
        </w:rPr>
        <w:t xml:space="preserve"> </w:t>
      </w:r>
      <w:r w:rsidRPr="00073BAF">
        <w:rPr>
          <w:rFonts w:ascii="Calibri" w:hAnsi="Calibri" w:cs="Arial"/>
          <w:szCs w:val="24"/>
          <w:lang w:eastAsia="en-US"/>
        </w:rPr>
        <w:t>pro</w:t>
      </w:r>
      <w:r w:rsidR="00C05E33" w:rsidRPr="00073BAF">
        <w:rPr>
          <w:rFonts w:ascii="Calibri" w:hAnsi="Calibri" w:cs="Arial"/>
          <w:szCs w:val="24"/>
          <w:lang w:eastAsia="en-US"/>
        </w:rPr>
        <w:t>ti rozhodnutí o</w:t>
      </w:r>
      <w:r w:rsidR="00A95CE4">
        <w:rPr>
          <w:rFonts w:ascii="Calibri" w:hAnsi="Calibri" w:cs="Arial"/>
          <w:szCs w:val="24"/>
          <w:lang w:val="cs-CZ" w:eastAsia="en-US"/>
        </w:rPr>
        <w:t xml:space="preserve"> </w:t>
      </w:r>
      <w:r w:rsidR="00376952" w:rsidRPr="00073BAF">
        <w:rPr>
          <w:rFonts w:ascii="Calibri" w:hAnsi="Calibri" w:cs="Arial"/>
          <w:szCs w:val="24"/>
          <w:lang w:eastAsia="en-US"/>
        </w:rPr>
        <w:t>námitkách poda</w:t>
      </w:r>
      <w:r w:rsidR="00A372DB" w:rsidRPr="00073BAF">
        <w:rPr>
          <w:rFonts w:ascii="Calibri" w:hAnsi="Calibri" w:cs="Arial"/>
          <w:szCs w:val="24"/>
          <w:lang w:val="cs-CZ" w:eastAsia="en-US"/>
        </w:rPr>
        <w:t>lo</w:t>
      </w:r>
      <w:r w:rsidR="00FE2F87" w:rsidRPr="00073BAF">
        <w:rPr>
          <w:rFonts w:ascii="Calibri" w:hAnsi="Calibri" w:cs="Arial"/>
          <w:szCs w:val="24"/>
          <w:lang w:val="cs-CZ" w:eastAsia="en-US"/>
        </w:rPr>
        <w:t>,</w:t>
      </w:r>
      <w:r w:rsidR="00F36296" w:rsidRPr="00073BAF">
        <w:rPr>
          <w:rFonts w:ascii="Calibri" w:hAnsi="Calibri" w:cs="Arial"/>
          <w:szCs w:val="24"/>
          <w:lang w:val="cs-CZ" w:eastAsia="en-US"/>
        </w:rPr>
        <w:t xml:space="preserve"> </w:t>
      </w:r>
      <w:r w:rsidR="00777893" w:rsidRPr="00073BAF">
        <w:rPr>
          <w:rFonts w:ascii="Calibri" w:hAnsi="Calibri" w:cs="Arial"/>
          <w:szCs w:val="24"/>
          <w:lang w:eastAsia="en-US"/>
        </w:rPr>
        <w:t>byl</w:t>
      </w:r>
      <w:r w:rsidR="00A372DB" w:rsidRPr="00073BAF">
        <w:rPr>
          <w:rFonts w:ascii="Calibri" w:hAnsi="Calibri" w:cs="Arial"/>
          <w:szCs w:val="24"/>
          <w:lang w:val="cs-CZ" w:eastAsia="en-US"/>
        </w:rPr>
        <w:t>o</w:t>
      </w:r>
      <w:r w:rsidR="00376952" w:rsidRPr="00073BAF">
        <w:rPr>
          <w:rFonts w:ascii="Calibri" w:hAnsi="Calibri" w:cs="Arial"/>
          <w:szCs w:val="24"/>
          <w:lang w:eastAsia="en-US"/>
        </w:rPr>
        <w:t xml:space="preserve"> vypořádán</w:t>
      </w:r>
      <w:r w:rsidR="00A372DB" w:rsidRPr="00073BAF">
        <w:rPr>
          <w:rFonts w:ascii="Calibri" w:hAnsi="Calibri" w:cs="Arial"/>
          <w:szCs w:val="24"/>
          <w:lang w:val="cs-CZ" w:eastAsia="en-US"/>
        </w:rPr>
        <w:t>o</w:t>
      </w:r>
      <w:r w:rsidR="00D42424" w:rsidRPr="00073BAF">
        <w:rPr>
          <w:rFonts w:ascii="Calibri" w:hAnsi="Calibri" w:cs="Arial"/>
          <w:szCs w:val="24"/>
          <w:lang w:eastAsia="en-US"/>
        </w:rPr>
        <w:t xml:space="preserve"> usnesením</w:t>
      </w:r>
      <w:r w:rsidRPr="00073BAF">
        <w:rPr>
          <w:rFonts w:ascii="Calibri" w:hAnsi="Calibri" w:cs="Arial"/>
          <w:szCs w:val="24"/>
          <w:lang w:eastAsia="en-US"/>
        </w:rPr>
        <w:t xml:space="preserve"> Kolegia </w:t>
      </w:r>
      <w:r w:rsidRPr="00B86595">
        <w:rPr>
          <w:rFonts w:ascii="Calibri" w:hAnsi="Calibri" w:cs="Arial"/>
          <w:color w:val="000000"/>
          <w:szCs w:val="24"/>
          <w:lang w:eastAsia="en-US"/>
        </w:rPr>
        <w:t>NKÚ.</w:t>
      </w:r>
    </w:p>
    <w:p w14:paraId="5AE515C9" w14:textId="77777777" w:rsidR="00D36962" w:rsidRDefault="00D36962" w:rsidP="008A38A0">
      <w:pPr>
        <w:pStyle w:val="Zkladntext"/>
        <w:rPr>
          <w:rFonts w:ascii="Calibri" w:hAnsi="Calibri" w:cs="Arial"/>
          <w:szCs w:val="24"/>
        </w:rPr>
      </w:pPr>
    </w:p>
    <w:p w14:paraId="21819EF5" w14:textId="77777777" w:rsidR="003F6826" w:rsidRPr="000908F6" w:rsidRDefault="003F6826" w:rsidP="008A38A0">
      <w:pPr>
        <w:pStyle w:val="Zkladntext"/>
        <w:rPr>
          <w:rFonts w:ascii="Calibri" w:hAnsi="Calibri" w:cs="Arial"/>
          <w:szCs w:val="24"/>
        </w:rPr>
      </w:pPr>
    </w:p>
    <w:p w14:paraId="04BBD5CE" w14:textId="08629B9D" w:rsidR="00962F73" w:rsidRPr="000908F6" w:rsidRDefault="00962F73" w:rsidP="008A38A0">
      <w:pPr>
        <w:pStyle w:val="Zkladntext"/>
        <w:rPr>
          <w:rFonts w:ascii="Calibri" w:hAnsi="Calibri" w:cs="Arial"/>
          <w:szCs w:val="24"/>
        </w:rPr>
      </w:pPr>
      <w:r w:rsidRPr="000908F6">
        <w:rPr>
          <w:rFonts w:ascii="Calibri" w:hAnsi="Calibri" w:cs="Arial"/>
          <w:b/>
          <w:bCs/>
          <w:i/>
          <w:iCs/>
          <w:szCs w:val="24"/>
        </w:rPr>
        <w:t>K o l e g i u m</w:t>
      </w:r>
      <w:r w:rsidR="00A165F8" w:rsidRPr="000908F6">
        <w:rPr>
          <w:rFonts w:ascii="Calibri" w:hAnsi="Calibri" w:cs="Arial"/>
          <w:b/>
          <w:bCs/>
          <w:i/>
          <w:iCs/>
          <w:szCs w:val="24"/>
        </w:rPr>
        <w:t xml:space="preserve">  </w:t>
      </w:r>
      <w:r w:rsidRPr="000908F6">
        <w:rPr>
          <w:rFonts w:ascii="Calibri" w:hAnsi="Calibri" w:cs="Arial"/>
          <w:b/>
          <w:bCs/>
          <w:i/>
          <w:iCs/>
          <w:szCs w:val="24"/>
        </w:rPr>
        <w:t xml:space="preserve"> N</w:t>
      </w:r>
      <w:r w:rsidR="0087668B" w:rsidRPr="000908F6">
        <w:rPr>
          <w:rFonts w:ascii="Calibri" w:hAnsi="Calibri" w:cs="Arial"/>
          <w:b/>
          <w:bCs/>
          <w:i/>
          <w:iCs/>
          <w:szCs w:val="24"/>
          <w:lang w:val="cs-CZ"/>
        </w:rPr>
        <w:t xml:space="preserve"> </w:t>
      </w:r>
      <w:r w:rsidRPr="000908F6">
        <w:rPr>
          <w:rFonts w:ascii="Calibri" w:hAnsi="Calibri" w:cs="Arial"/>
          <w:b/>
          <w:bCs/>
          <w:i/>
          <w:iCs/>
          <w:szCs w:val="24"/>
        </w:rPr>
        <w:t>K</w:t>
      </w:r>
      <w:r w:rsidR="0087668B" w:rsidRPr="000908F6">
        <w:rPr>
          <w:rFonts w:ascii="Calibri" w:hAnsi="Calibri" w:cs="Arial"/>
          <w:b/>
          <w:bCs/>
          <w:i/>
          <w:iCs/>
          <w:szCs w:val="24"/>
          <w:lang w:val="cs-CZ"/>
        </w:rPr>
        <w:t xml:space="preserve"> </w:t>
      </w:r>
      <w:r w:rsidRPr="000908F6">
        <w:rPr>
          <w:rFonts w:ascii="Calibri" w:hAnsi="Calibri" w:cs="Arial"/>
          <w:b/>
          <w:bCs/>
          <w:i/>
          <w:iCs/>
          <w:szCs w:val="24"/>
        </w:rPr>
        <w:t>Ú</w:t>
      </w:r>
      <w:r w:rsidR="00A165F8" w:rsidRPr="000908F6">
        <w:rPr>
          <w:rFonts w:ascii="Calibri" w:hAnsi="Calibri" w:cs="Arial"/>
          <w:b/>
          <w:bCs/>
          <w:i/>
          <w:iCs/>
          <w:szCs w:val="24"/>
        </w:rPr>
        <w:t xml:space="preserve"> </w:t>
      </w:r>
      <w:r w:rsidR="008A38A0" w:rsidRPr="000908F6">
        <w:rPr>
          <w:rFonts w:ascii="Calibri" w:hAnsi="Calibri" w:cs="Arial"/>
          <w:b/>
          <w:bCs/>
          <w:i/>
          <w:iCs/>
          <w:szCs w:val="24"/>
          <w:lang w:val="cs-CZ"/>
        </w:rPr>
        <w:t xml:space="preserve"> </w:t>
      </w:r>
      <w:r w:rsidR="00A165F8" w:rsidRPr="000908F6">
        <w:rPr>
          <w:rFonts w:ascii="Calibri" w:hAnsi="Calibri" w:cs="Arial"/>
          <w:b/>
          <w:bCs/>
          <w:i/>
          <w:iCs/>
          <w:szCs w:val="24"/>
        </w:rPr>
        <w:t xml:space="preserve"> </w:t>
      </w:r>
      <w:r w:rsidRPr="000908F6">
        <w:rPr>
          <w:rFonts w:ascii="Calibri" w:hAnsi="Calibri" w:cs="Arial"/>
          <w:szCs w:val="24"/>
        </w:rPr>
        <w:t xml:space="preserve">na svém </w:t>
      </w:r>
      <w:r w:rsidR="00F14C76">
        <w:rPr>
          <w:rFonts w:ascii="Calibri" w:hAnsi="Calibri" w:cs="Arial"/>
          <w:szCs w:val="24"/>
          <w:lang w:val="cs-CZ"/>
        </w:rPr>
        <w:t>VIII</w:t>
      </w:r>
      <w:r w:rsidR="008A05C4">
        <w:rPr>
          <w:rFonts w:ascii="Calibri" w:hAnsi="Calibri" w:cs="Arial"/>
          <w:szCs w:val="24"/>
          <w:lang w:val="cs-CZ"/>
        </w:rPr>
        <w:t>.</w:t>
      </w:r>
      <w:r w:rsidR="00154DE0">
        <w:rPr>
          <w:rFonts w:ascii="Calibri" w:hAnsi="Calibri" w:cs="Arial"/>
          <w:szCs w:val="24"/>
          <w:lang w:val="cs-CZ"/>
        </w:rPr>
        <w:t xml:space="preserve"> </w:t>
      </w:r>
      <w:r w:rsidR="00AD7D37" w:rsidRPr="003E57E6">
        <w:rPr>
          <w:rFonts w:ascii="Calibri" w:hAnsi="Calibri" w:cs="Arial"/>
          <w:szCs w:val="24"/>
          <w:lang w:val="cs-CZ"/>
        </w:rPr>
        <w:t>jedn</w:t>
      </w:r>
      <w:r w:rsidR="00C446C6" w:rsidRPr="003E57E6">
        <w:rPr>
          <w:rFonts w:ascii="Calibri" w:hAnsi="Calibri" w:cs="Arial"/>
          <w:szCs w:val="24"/>
          <w:lang w:val="cs-CZ"/>
        </w:rPr>
        <w:t>ání</w:t>
      </w:r>
      <w:r w:rsidR="00C446C6" w:rsidRPr="000908F6">
        <w:rPr>
          <w:rFonts w:ascii="Calibri" w:hAnsi="Calibri" w:cs="Arial"/>
          <w:szCs w:val="24"/>
        </w:rPr>
        <w:t xml:space="preserve">, </w:t>
      </w:r>
      <w:r w:rsidR="00E815CF">
        <w:rPr>
          <w:rFonts w:ascii="Calibri" w:hAnsi="Calibri" w:cs="Arial"/>
          <w:szCs w:val="24"/>
          <w:lang w:val="cs-CZ"/>
        </w:rPr>
        <w:t>které se konalo</w:t>
      </w:r>
      <w:r w:rsidR="00C446C6" w:rsidRPr="000908F6">
        <w:rPr>
          <w:rFonts w:ascii="Calibri" w:hAnsi="Calibri" w:cs="Arial"/>
          <w:szCs w:val="24"/>
        </w:rPr>
        <w:t xml:space="preserve"> dne</w:t>
      </w:r>
      <w:r w:rsidR="006C1A02" w:rsidRPr="000908F6">
        <w:rPr>
          <w:rFonts w:ascii="Calibri" w:hAnsi="Calibri" w:cs="Arial"/>
          <w:szCs w:val="24"/>
          <w:lang w:val="cs-CZ"/>
        </w:rPr>
        <w:t xml:space="preserve"> </w:t>
      </w:r>
      <w:r w:rsidR="00F14C76">
        <w:rPr>
          <w:rFonts w:ascii="Calibri" w:hAnsi="Calibri" w:cs="Arial"/>
          <w:szCs w:val="24"/>
          <w:lang w:val="cs-CZ"/>
        </w:rPr>
        <w:t>15. května</w:t>
      </w:r>
      <w:r w:rsidR="00A95CE4">
        <w:rPr>
          <w:rFonts w:ascii="Calibri" w:hAnsi="Calibri" w:cs="Arial"/>
          <w:szCs w:val="24"/>
          <w:lang w:val="cs-CZ"/>
        </w:rPr>
        <w:t xml:space="preserve"> </w:t>
      </w:r>
      <w:r w:rsidR="00C91DA3" w:rsidRPr="000908F6">
        <w:rPr>
          <w:rFonts w:ascii="Calibri" w:hAnsi="Calibri" w:cs="Arial"/>
          <w:szCs w:val="24"/>
          <w:lang w:val="cs-CZ"/>
        </w:rPr>
        <w:t>201</w:t>
      </w:r>
      <w:r w:rsidR="007D1B29" w:rsidRPr="000908F6">
        <w:rPr>
          <w:rFonts w:ascii="Calibri" w:hAnsi="Calibri" w:cs="Arial"/>
          <w:szCs w:val="24"/>
          <w:lang w:val="cs-CZ"/>
        </w:rPr>
        <w:t>7</w:t>
      </w:r>
      <w:r w:rsidRPr="000908F6">
        <w:rPr>
          <w:rFonts w:ascii="Calibri" w:hAnsi="Calibri" w:cs="Arial"/>
          <w:szCs w:val="24"/>
        </w:rPr>
        <w:t>,</w:t>
      </w:r>
    </w:p>
    <w:p w14:paraId="3505E72D" w14:textId="318FC002" w:rsidR="00B93F74" w:rsidRPr="000908F6" w:rsidRDefault="00962F73" w:rsidP="00FF632E">
      <w:pPr>
        <w:pStyle w:val="NormlnKZ"/>
      </w:pPr>
      <w:proofErr w:type="gramStart"/>
      <w:r w:rsidRPr="000908F6">
        <w:rPr>
          <w:b/>
          <w:bCs/>
          <w:i/>
          <w:iCs/>
        </w:rPr>
        <w:t xml:space="preserve">s c h v á l i l o </w:t>
      </w:r>
      <w:r w:rsidR="008A38A0" w:rsidRPr="000908F6">
        <w:rPr>
          <w:b/>
          <w:bCs/>
          <w:i/>
          <w:iCs/>
        </w:rPr>
        <w:t xml:space="preserve"> </w:t>
      </w:r>
      <w:r w:rsidRPr="000908F6">
        <w:rPr>
          <w:b/>
          <w:bCs/>
          <w:i/>
          <w:iCs/>
        </w:rPr>
        <w:t xml:space="preserve"> </w:t>
      </w:r>
      <w:r w:rsidRPr="000908F6">
        <w:t>usnesením č</w:t>
      </w:r>
      <w:r w:rsidR="004B108A" w:rsidRPr="000908F6">
        <w:t>.</w:t>
      </w:r>
      <w:proofErr w:type="gramEnd"/>
      <w:r w:rsidR="004B108A" w:rsidRPr="000908F6">
        <w:t xml:space="preserve"> </w:t>
      </w:r>
      <w:r w:rsidR="00CF24A7">
        <w:t>7</w:t>
      </w:r>
      <w:r w:rsidR="00B93F74" w:rsidRPr="000908F6">
        <w:t>/</w:t>
      </w:r>
      <w:r w:rsidR="00F14C76">
        <w:t>VIII</w:t>
      </w:r>
      <w:r w:rsidR="00154DE0">
        <w:t>/</w:t>
      </w:r>
      <w:r w:rsidR="00784D39" w:rsidRPr="000908F6">
        <w:t>201</w:t>
      </w:r>
      <w:r w:rsidR="007D1B29" w:rsidRPr="000908F6">
        <w:t>7</w:t>
      </w:r>
    </w:p>
    <w:p w14:paraId="3E826AAF" w14:textId="77777777" w:rsidR="00962F73" w:rsidRDefault="00962F73" w:rsidP="00FF632E">
      <w:pPr>
        <w:pStyle w:val="NormlnKZ"/>
      </w:pPr>
      <w:proofErr w:type="gramStart"/>
      <w:r w:rsidRPr="007F65A0">
        <w:rPr>
          <w:b/>
        </w:rPr>
        <w:t>k o n t r o l n í   z á v ě r</w:t>
      </w:r>
      <w:r w:rsidRPr="000908F6">
        <w:t xml:space="preserve">   v</w:t>
      </w:r>
      <w:r w:rsidR="00CD3951" w:rsidRPr="000908F6">
        <w:t xml:space="preserve"> </w:t>
      </w:r>
      <w:r w:rsidRPr="000908F6">
        <w:t>tomto</w:t>
      </w:r>
      <w:proofErr w:type="gramEnd"/>
      <w:r w:rsidRPr="000908F6">
        <w:t xml:space="preserve"> znění:</w:t>
      </w:r>
    </w:p>
    <w:p w14:paraId="2C43A467" w14:textId="77777777" w:rsidR="00B41A6C" w:rsidRDefault="00B41A6C" w:rsidP="00FF632E">
      <w:pPr>
        <w:pStyle w:val="NormlnKZ"/>
      </w:pPr>
    </w:p>
    <w:p w14:paraId="3A06BB51" w14:textId="77777777" w:rsidR="00D36962" w:rsidRDefault="00D36962" w:rsidP="00FF632E">
      <w:pPr>
        <w:pStyle w:val="NormlnKZ"/>
      </w:pPr>
    </w:p>
    <w:p w14:paraId="2F4CD93C" w14:textId="77777777" w:rsidR="00A93342" w:rsidRDefault="00A93342" w:rsidP="00BE3F75">
      <w:pPr>
        <w:ind w:left="624" w:hanging="624"/>
        <w:jc w:val="center"/>
        <w:rPr>
          <w:rFonts w:ascii="Calibri" w:hAnsi="Calibri" w:cs="Arial"/>
          <w:b/>
          <w:sz w:val="28"/>
        </w:rPr>
      </w:pPr>
    </w:p>
    <w:p w14:paraId="32369F3A" w14:textId="77777777" w:rsidR="00A93342" w:rsidRDefault="00A93342" w:rsidP="00BE3F75">
      <w:pPr>
        <w:ind w:left="624" w:hanging="624"/>
        <w:jc w:val="center"/>
        <w:rPr>
          <w:rFonts w:ascii="Calibri" w:hAnsi="Calibri" w:cs="Arial"/>
          <w:b/>
          <w:sz w:val="28"/>
        </w:rPr>
      </w:pPr>
    </w:p>
    <w:p w14:paraId="74873208" w14:textId="77777777" w:rsidR="00A93342" w:rsidRDefault="00A93342" w:rsidP="00BE3F75">
      <w:pPr>
        <w:ind w:left="624" w:hanging="624"/>
        <w:jc w:val="center"/>
        <w:rPr>
          <w:rFonts w:ascii="Calibri" w:hAnsi="Calibri" w:cs="Arial"/>
          <w:b/>
          <w:sz w:val="28"/>
        </w:rPr>
      </w:pPr>
    </w:p>
    <w:p w14:paraId="0197656E" w14:textId="77777777" w:rsidR="00A93342" w:rsidRDefault="00A93342" w:rsidP="00BE3F75">
      <w:pPr>
        <w:ind w:left="624" w:hanging="624"/>
        <w:jc w:val="center"/>
        <w:rPr>
          <w:rFonts w:ascii="Calibri" w:hAnsi="Calibri" w:cs="Arial"/>
          <w:b/>
          <w:sz w:val="28"/>
        </w:rPr>
      </w:pPr>
    </w:p>
    <w:p w14:paraId="281ADEA4" w14:textId="77777777" w:rsidR="00A93342" w:rsidRDefault="00A93342" w:rsidP="00BE3F75">
      <w:pPr>
        <w:ind w:left="624" w:hanging="624"/>
        <w:jc w:val="center"/>
        <w:rPr>
          <w:rFonts w:ascii="Calibri" w:hAnsi="Calibri" w:cs="Arial"/>
          <w:b/>
          <w:sz w:val="28"/>
        </w:rPr>
      </w:pPr>
    </w:p>
    <w:p w14:paraId="29DBFD77" w14:textId="77777777" w:rsidR="00A93342" w:rsidRDefault="00A93342" w:rsidP="00BE3F75">
      <w:pPr>
        <w:ind w:left="624" w:hanging="624"/>
        <w:jc w:val="center"/>
        <w:rPr>
          <w:rFonts w:ascii="Calibri" w:hAnsi="Calibri" w:cs="Arial"/>
          <w:b/>
          <w:sz w:val="28"/>
        </w:rPr>
      </w:pPr>
    </w:p>
    <w:p w14:paraId="779792EF" w14:textId="77777777" w:rsidR="00A93342" w:rsidRDefault="00A93342" w:rsidP="00BE3F75">
      <w:pPr>
        <w:ind w:left="624" w:hanging="624"/>
        <w:jc w:val="center"/>
        <w:rPr>
          <w:rFonts w:ascii="Calibri" w:hAnsi="Calibri" w:cs="Arial"/>
          <w:b/>
          <w:sz w:val="28"/>
        </w:rPr>
      </w:pPr>
    </w:p>
    <w:p w14:paraId="0CECD513" w14:textId="77777777" w:rsidR="00BE3F75" w:rsidRPr="00E422CC" w:rsidRDefault="00BE3F75" w:rsidP="00BE3F75">
      <w:pPr>
        <w:ind w:left="624" w:hanging="624"/>
        <w:jc w:val="center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lastRenderedPageBreak/>
        <w:t>Souhrn</w:t>
      </w:r>
    </w:p>
    <w:p w14:paraId="74B6E788" w14:textId="77777777" w:rsidR="00BE3F75" w:rsidRPr="00AA5821" w:rsidRDefault="00BE3F75" w:rsidP="00BE3F75">
      <w:pPr>
        <w:rPr>
          <w:rFonts w:ascii="Calibri" w:hAnsi="Calibri" w:cs="Arial"/>
          <w:i/>
          <w:sz w:val="24"/>
        </w:rPr>
      </w:pPr>
    </w:p>
    <w:p w14:paraId="2D9A0A8A" w14:textId="7083C9C6" w:rsidR="009C45DF" w:rsidRPr="003D7143" w:rsidRDefault="009C45DF" w:rsidP="009C45DF">
      <w:pPr>
        <w:spacing w:after="120"/>
        <w:rPr>
          <w:rFonts w:ascii="Calibri" w:hAnsi="Calibri" w:cs="Arial"/>
          <w:sz w:val="24"/>
        </w:rPr>
      </w:pPr>
      <w:r w:rsidRPr="00DF5F17">
        <w:rPr>
          <w:rFonts w:ascii="Calibri" w:hAnsi="Calibri" w:cs="Arial"/>
          <w:sz w:val="24"/>
        </w:rPr>
        <w:t xml:space="preserve">Jednotné metodické prostředí </w:t>
      </w:r>
      <w:r>
        <w:rPr>
          <w:rFonts w:ascii="Calibri" w:hAnsi="Calibri" w:cs="Arial"/>
          <w:sz w:val="24"/>
        </w:rPr>
        <w:t xml:space="preserve">(dále též „JMP“) </w:t>
      </w:r>
      <w:r w:rsidRPr="00DF5F17">
        <w:rPr>
          <w:rFonts w:ascii="Calibri" w:hAnsi="Calibri" w:cs="Arial"/>
          <w:sz w:val="24"/>
        </w:rPr>
        <w:t>předst</w:t>
      </w:r>
      <w:r>
        <w:rPr>
          <w:rFonts w:ascii="Calibri" w:hAnsi="Calibri" w:cs="Arial"/>
          <w:sz w:val="24"/>
        </w:rPr>
        <w:t>avuje jednotný rámec pravidel a </w:t>
      </w:r>
      <w:r w:rsidRPr="00DF5F17">
        <w:rPr>
          <w:rFonts w:ascii="Calibri" w:hAnsi="Calibri" w:cs="Arial"/>
          <w:sz w:val="24"/>
        </w:rPr>
        <w:t>postupů pro poskytovatele podpory z</w:t>
      </w:r>
      <w:r>
        <w:rPr>
          <w:rFonts w:ascii="Calibri" w:hAnsi="Calibri" w:cs="Arial"/>
          <w:sz w:val="24"/>
        </w:rPr>
        <w:t xml:space="preserve"> EU, a to jak na úrovni dokumentů, tak i na úrovni </w:t>
      </w:r>
      <w:r w:rsidRPr="003D7143">
        <w:rPr>
          <w:rFonts w:ascii="Calibri" w:hAnsi="Calibri" w:cs="Arial"/>
          <w:sz w:val="24"/>
        </w:rPr>
        <w:t xml:space="preserve">informačního systému MS2014+ </w:t>
      </w:r>
      <w:r w:rsidR="00492B29" w:rsidRPr="003D7143">
        <w:rPr>
          <w:rFonts w:ascii="Calibri" w:hAnsi="Calibri" w:cs="Arial"/>
          <w:sz w:val="24"/>
        </w:rPr>
        <w:t>(viz příloha č. 1 kontrolního závěru)</w:t>
      </w:r>
      <w:r w:rsidR="00F27137" w:rsidRPr="003D7143">
        <w:rPr>
          <w:rFonts w:ascii="Calibri" w:hAnsi="Calibri" w:cs="Arial"/>
          <w:sz w:val="24"/>
        </w:rPr>
        <w:t xml:space="preserve">. </w:t>
      </w:r>
      <w:r w:rsidR="00A17236" w:rsidRPr="003D7143">
        <w:rPr>
          <w:rFonts w:ascii="Calibri" w:hAnsi="Calibri" w:cs="Arial"/>
          <w:sz w:val="24"/>
        </w:rPr>
        <w:t>P</w:t>
      </w:r>
      <w:r w:rsidR="00F27137" w:rsidRPr="003D7143">
        <w:rPr>
          <w:rFonts w:ascii="Calibri" w:hAnsi="Calibri" w:cs="Arial"/>
          <w:sz w:val="24"/>
        </w:rPr>
        <w:t xml:space="preserve">ravidla a postupy jsou </w:t>
      </w:r>
      <w:r w:rsidR="000C6034" w:rsidRPr="003D7143">
        <w:rPr>
          <w:rFonts w:ascii="Calibri" w:hAnsi="Calibri" w:cs="Arial"/>
          <w:sz w:val="24"/>
        </w:rPr>
        <w:t>sta</w:t>
      </w:r>
      <w:r w:rsidR="00F27137" w:rsidRPr="003D7143">
        <w:rPr>
          <w:rFonts w:ascii="Calibri" w:hAnsi="Calibri" w:cs="Arial"/>
          <w:sz w:val="24"/>
        </w:rPr>
        <w:t>noveny</w:t>
      </w:r>
      <w:r w:rsidR="000C6034" w:rsidRPr="003D7143">
        <w:rPr>
          <w:rFonts w:ascii="Calibri" w:hAnsi="Calibri" w:cs="Arial"/>
          <w:sz w:val="24"/>
        </w:rPr>
        <w:t xml:space="preserve"> </w:t>
      </w:r>
      <w:r w:rsidR="00F27137" w:rsidRPr="003D7143">
        <w:rPr>
          <w:rFonts w:ascii="Calibri" w:hAnsi="Calibri" w:cs="Arial"/>
          <w:sz w:val="24"/>
        </w:rPr>
        <w:t>v</w:t>
      </w:r>
      <w:r w:rsidR="00A17236" w:rsidRPr="003D7143">
        <w:rPr>
          <w:rFonts w:ascii="Calibri" w:hAnsi="Calibri" w:cs="Arial"/>
          <w:sz w:val="24"/>
        </w:rPr>
        <w:t xml:space="preserve"> závazných </w:t>
      </w:r>
      <w:r w:rsidR="00F27137" w:rsidRPr="003D7143">
        <w:rPr>
          <w:rFonts w:ascii="Calibri" w:hAnsi="Calibri" w:cs="Arial"/>
          <w:sz w:val="24"/>
        </w:rPr>
        <w:t xml:space="preserve">metodických </w:t>
      </w:r>
      <w:r w:rsidR="000C6034" w:rsidRPr="003D7143">
        <w:rPr>
          <w:rFonts w:ascii="Calibri" w:hAnsi="Calibri" w:cs="Arial"/>
          <w:sz w:val="24"/>
        </w:rPr>
        <w:t>pokyn</w:t>
      </w:r>
      <w:r w:rsidR="00A17236" w:rsidRPr="003D7143">
        <w:rPr>
          <w:rFonts w:ascii="Calibri" w:hAnsi="Calibri" w:cs="Arial"/>
          <w:sz w:val="24"/>
        </w:rPr>
        <w:t>ech a</w:t>
      </w:r>
      <w:r w:rsidR="00AB1A57" w:rsidRPr="003D7143">
        <w:rPr>
          <w:rFonts w:ascii="Calibri" w:hAnsi="Calibri" w:cs="Arial"/>
          <w:sz w:val="24"/>
        </w:rPr>
        <w:t xml:space="preserve"> </w:t>
      </w:r>
      <w:r w:rsidR="00A17236" w:rsidRPr="003D7143">
        <w:rPr>
          <w:rFonts w:ascii="Calibri" w:hAnsi="Calibri" w:cs="Arial"/>
          <w:sz w:val="24"/>
        </w:rPr>
        <w:t xml:space="preserve">v </w:t>
      </w:r>
      <w:r w:rsidR="00F27137" w:rsidRPr="003D7143">
        <w:rPr>
          <w:rFonts w:ascii="Calibri" w:hAnsi="Calibri" w:cs="Arial"/>
          <w:sz w:val="24"/>
        </w:rPr>
        <w:t>metodick</w:t>
      </w:r>
      <w:r w:rsidR="00A17236" w:rsidRPr="003D7143">
        <w:rPr>
          <w:rFonts w:ascii="Calibri" w:hAnsi="Calibri" w:cs="Arial"/>
          <w:sz w:val="24"/>
        </w:rPr>
        <w:t>ých</w:t>
      </w:r>
      <w:r w:rsidR="00F27137" w:rsidRPr="003D7143">
        <w:rPr>
          <w:rFonts w:ascii="Calibri" w:hAnsi="Calibri" w:cs="Arial"/>
          <w:sz w:val="24"/>
        </w:rPr>
        <w:t xml:space="preserve"> doporučení</w:t>
      </w:r>
      <w:r w:rsidR="00A17236" w:rsidRPr="003D7143">
        <w:rPr>
          <w:rFonts w:ascii="Calibri" w:hAnsi="Calibri" w:cs="Arial"/>
          <w:sz w:val="24"/>
        </w:rPr>
        <w:t>ch</w:t>
      </w:r>
      <w:r w:rsidR="00B81CDC" w:rsidRPr="003D7143">
        <w:rPr>
          <w:rFonts w:ascii="Calibri" w:hAnsi="Calibri" w:cs="Arial"/>
          <w:sz w:val="24"/>
        </w:rPr>
        <w:t>.</w:t>
      </w:r>
      <w:r w:rsidR="000C6034" w:rsidRPr="003D7143">
        <w:rPr>
          <w:rFonts w:ascii="Calibri" w:hAnsi="Calibri" w:cs="Arial"/>
          <w:sz w:val="24"/>
        </w:rPr>
        <w:t xml:space="preserve"> Smyslem těchto </w:t>
      </w:r>
      <w:r w:rsidR="00A94E64" w:rsidRPr="003D7143">
        <w:rPr>
          <w:rFonts w:ascii="Calibri" w:hAnsi="Calibri" w:cs="Arial"/>
          <w:sz w:val="24"/>
        </w:rPr>
        <w:t>dokumentů</w:t>
      </w:r>
      <w:r w:rsidR="000C6034" w:rsidRPr="003D7143">
        <w:rPr>
          <w:rFonts w:ascii="Calibri" w:hAnsi="Calibri" w:cs="Arial"/>
          <w:sz w:val="24"/>
        </w:rPr>
        <w:t xml:space="preserve"> je zajistit jednotný výklad</w:t>
      </w:r>
      <w:r w:rsidR="00A94E64" w:rsidRPr="003D7143">
        <w:rPr>
          <w:rFonts w:ascii="Calibri" w:hAnsi="Calibri" w:cs="Arial"/>
          <w:sz w:val="24"/>
        </w:rPr>
        <w:t xml:space="preserve"> postupů při poskytování podpory z</w:t>
      </w:r>
      <w:r w:rsidR="00935D9F" w:rsidRPr="003D7143">
        <w:rPr>
          <w:rFonts w:ascii="Calibri" w:hAnsi="Calibri" w:cs="Arial"/>
          <w:sz w:val="24"/>
        </w:rPr>
        <w:t xml:space="preserve"> rozpočtu </w:t>
      </w:r>
      <w:r w:rsidR="00AB1A57" w:rsidRPr="003D7143">
        <w:rPr>
          <w:rFonts w:ascii="Calibri" w:hAnsi="Calibri" w:cs="Arial"/>
          <w:sz w:val="24"/>
        </w:rPr>
        <w:t>EU</w:t>
      </w:r>
      <w:r w:rsidR="000C6034" w:rsidRPr="003D7143">
        <w:rPr>
          <w:rFonts w:ascii="Calibri" w:hAnsi="Calibri" w:cs="Arial"/>
          <w:sz w:val="24"/>
        </w:rPr>
        <w:t xml:space="preserve"> </w:t>
      </w:r>
      <w:r w:rsidR="004C157C" w:rsidRPr="003D7143">
        <w:rPr>
          <w:rFonts w:ascii="Calibri" w:hAnsi="Calibri" w:cs="Arial"/>
          <w:sz w:val="24"/>
        </w:rPr>
        <w:t>pro </w:t>
      </w:r>
      <w:r w:rsidR="000C6034" w:rsidRPr="003D7143">
        <w:rPr>
          <w:rFonts w:ascii="Calibri" w:hAnsi="Calibri" w:cs="Arial"/>
          <w:sz w:val="24"/>
        </w:rPr>
        <w:t xml:space="preserve">všechny zúčastněné subjekty a shodné nastavení klíčových procesů v celém </w:t>
      </w:r>
      <w:r w:rsidR="00AB1A57" w:rsidRPr="003D7143">
        <w:rPr>
          <w:rFonts w:ascii="Calibri" w:hAnsi="Calibri" w:cs="Arial"/>
          <w:sz w:val="24"/>
        </w:rPr>
        <w:t xml:space="preserve">tomto </w:t>
      </w:r>
      <w:r w:rsidR="000C6034" w:rsidRPr="003D7143">
        <w:rPr>
          <w:rFonts w:ascii="Calibri" w:hAnsi="Calibri" w:cs="Arial"/>
          <w:sz w:val="24"/>
        </w:rPr>
        <w:t>systému</w:t>
      </w:r>
      <w:r w:rsidR="00A94E64" w:rsidRPr="003D7143">
        <w:rPr>
          <w:rFonts w:ascii="Calibri" w:hAnsi="Calibri" w:cs="Arial"/>
          <w:sz w:val="24"/>
        </w:rPr>
        <w:t>. Zároveň je nutné zohled</w:t>
      </w:r>
      <w:r w:rsidR="000C6034" w:rsidRPr="003D7143">
        <w:rPr>
          <w:rFonts w:ascii="Calibri" w:hAnsi="Calibri" w:cs="Arial"/>
          <w:sz w:val="24"/>
        </w:rPr>
        <w:t>n</w:t>
      </w:r>
      <w:r w:rsidR="00A94E64" w:rsidRPr="003D7143">
        <w:rPr>
          <w:rFonts w:ascii="Calibri" w:hAnsi="Calibri" w:cs="Arial"/>
          <w:sz w:val="24"/>
        </w:rPr>
        <w:t>it</w:t>
      </w:r>
      <w:r w:rsidR="000C6034" w:rsidRPr="003D7143">
        <w:rPr>
          <w:rFonts w:ascii="Calibri" w:hAnsi="Calibri" w:cs="Arial"/>
          <w:sz w:val="24"/>
        </w:rPr>
        <w:t xml:space="preserve"> </w:t>
      </w:r>
      <w:r w:rsidR="00A94E64" w:rsidRPr="003D7143">
        <w:rPr>
          <w:rFonts w:ascii="Calibri" w:hAnsi="Calibri" w:cs="Arial"/>
          <w:sz w:val="24"/>
        </w:rPr>
        <w:t>zvláštnosti</w:t>
      </w:r>
      <w:r w:rsidR="000C6034" w:rsidRPr="003D7143">
        <w:rPr>
          <w:rFonts w:ascii="Calibri" w:hAnsi="Calibri" w:cs="Arial"/>
          <w:sz w:val="24"/>
        </w:rPr>
        <w:t xml:space="preserve"> jednotlivých </w:t>
      </w:r>
      <w:r w:rsidR="00935D9F" w:rsidRPr="003D7143">
        <w:rPr>
          <w:rFonts w:ascii="Calibri" w:hAnsi="Calibri" w:cs="Arial"/>
          <w:sz w:val="24"/>
        </w:rPr>
        <w:t>e</w:t>
      </w:r>
      <w:r w:rsidR="004C157C" w:rsidRPr="003D7143">
        <w:rPr>
          <w:rFonts w:ascii="Calibri" w:hAnsi="Calibri" w:cs="Arial"/>
          <w:sz w:val="24"/>
        </w:rPr>
        <w:t>vropských strukturálních a </w:t>
      </w:r>
      <w:r w:rsidR="00AB1A57" w:rsidRPr="003D7143">
        <w:rPr>
          <w:rFonts w:ascii="Calibri" w:hAnsi="Calibri" w:cs="Arial"/>
          <w:sz w:val="24"/>
        </w:rPr>
        <w:t>investičních fondů (dále též „ESI fondy“)</w:t>
      </w:r>
      <w:r w:rsidR="009C11AA" w:rsidRPr="003D7143">
        <w:rPr>
          <w:rFonts w:ascii="Calibri" w:hAnsi="Calibri" w:cs="Arial"/>
          <w:sz w:val="24"/>
        </w:rPr>
        <w:t>, kterých je celkem pět</w:t>
      </w:r>
      <w:r w:rsidR="008F741D" w:rsidRPr="003D7143">
        <w:rPr>
          <w:rStyle w:val="Znakapoznpodarou"/>
          <w:rFonts w:ascii="Calibri" w:hAnsi="Calibri" w:cs="Arial"/>
          <w:sz w:val="24"/>
        </w:rPr>
        <w:footnoteReference w:id="2"/>
      </w:r>
      <w:r w:rsidR="000C6034" w:rsidRPr="003D7143">
        <w:rPr>
          <w:rFonts w:ascii="Calibri" w:hAnsi="Calibri" w:cs="Arial"/>
          <w:sz w:val="24"/>
        </w:rPr>
        <w:t xml:space="preserve">. </w:t>
      </w:r>
      <w:r w:rsidR="006200B4" w:rsidRPr="003D7143">
        <w:rPr>
          <w:rFonts w:ascii="Calibri" w:eastAsia="Calibri" w:hAnsi="Calibri" w:cs="Calibri"/>
          <w:sz w:val="24"/>
        </w:rPr>
        <w:t>Standardizace pravidel prostřednictvím JMP by měla mimo jiné přispět ke zvýšení e</w:t>
      </w:r>
      <w:r w:rsidR="007C00BA">
        <w:rPr>
          <w:rFonts w:ascii="Calibri" w:eastAsia="Calibri" w:hAnsi="Calibri" w:cs="Calibri"/>
          <w:sz w:val="24"/>
        </w:rPr>
        <w:t>fektivnosti a hospodárnosti při </w:t>
      </w:r>
      <w:r w:rsidR="006200B4" w:rsidRPr="003D7143">
        <w:rPr>
          <w:rFonts w:ascii="Calibri" w:eastAsia="Calibri" w:hAnsi="Calibri" w:cs="Calibri"/>
          <w:sz w:val="24"/>
        </w:rPr>
        <w:t xml:space="preserve">nakládání s peněžními prostředky z ESI fondů a transparentnosti procesů. </w:t>
      </w:r>
      <w:r w:rsidR="002173E9" w:rsidRPr="003D7143">
        <w:rPr>
          <w:rFonts w:ascii="Calibri" w:hAnsi="Calibri" w:cs="Arial"/>
          <w:sz w:val="24"/>
        </w:rPr>
        <w:t>Nástrojem</w:t>
      </w:r>
      <w:r w:rsidR="00A17236" w:rsidRPr="003D7143">
        <w:rPr>
          <w:rFonts w:ascii="Calibri" w:hAnsi="Calibri" w:cs="Arial"/>
          <w:sz w:val="24"/>
        </w:rPr>
        <w:t xml:space="preserve"> </w:t>
      </w:r>
      <w:r w:rsidR="007C00BA">
        <w:rPr>
          <w:rFonts w:ascii="Calibri" w:hAnsi="Calibri" w:cs="Arial"/>
          <w:sz w:val="24"/>
        </w:rPr>
        <w:t>pro </w:t>
      </w:r>
      <w:r w:rsidR="00A17236" w:rsidRPr="003D7143">
        <w:rPr>
          <w:rFonts w:ascii="Calibri" w:hAnsi="Calibri" w:cs="Arial"/>
          <w:sz w:val="24"/>
        </w:rPr>
        <w:t xml:space="preserve">přenesení pravidel do praxe je </w:t>
      </w:r>
      <w:r w:rsidR="002173E9" w:rsidRPr="003D7143">
        <w:rPr>
          <w:rFonts w:ascii="Calibri" w:hAnsi="Calibri" w:cs="Arial"/>
          <w:sz w:val="24"/>
        </w:rPr>
        <w:t>jednotný monitorovací systém</w:t>
      </w:r>
      <w:r w:rsidR="00A17236" w:rsidRPr="003D7143">
        <w:rPr>
          <w:rFonts w:ascii="Calibri" w:hAnsi="Calibri" w:cs="Arial"/>
          <w:sz w:val="24"/>
        </w:rPr>
        <w:t>, kt</w:t>
      </w:r>
      <w:r w:rsidR="004C157C" w:rsidRPr="003D7143">
        <w:rPr>
          <w:rFonts w:ascii="Calibri" w:hAnsi="Calibri" w:cs="Arial"/>
          <w:sz w:val="24"/>
        </w:rPr>
        <w:t>erý by měl naplnit požadavek na</w:t>
      </w:r>
      <w:r w:rsidR="00AA5821">
        <w:rPr>
          <w:rFonts w:ascii="Calibri" w:hAnsi="Calibri" w:cs="Arial"/>
          <w:sz w:val="24"/>
        </w:rPr>
        <w:t xml:space="preserve"> </w:t>
      </w:r>
      <w:r w:rsidR="00A17236" w:rsidRPr="003D7143">
        <w:rPr>
          <w:rFonts w:ascii="Calibri" w:hAnsi="Calibri" w:cs="Arial"/>
          <w:sz w:val="24"/>
        </w:rPr>
        <w:t xml:space="preserve">elektronizaci procesů </w:t>
      </w:r>
      <w:r w:rsidR="00EA2A75" w:rsidRPr="003D7143">
        <w:rPr>
          <w:rFonts w:ascii="Calibri" w:hAnsi="Calibri" w:cs="Arial"/>
          <w:sz w:val="24"/>
        </w:rPr>
        <w:t>spojených s prováděním</w:t>
      </w:r>
      <w:r w:rsidR="00A17236" w:rsidRPr="003D7143">
        <w:rPr>
          <w:rFonts w:ascii="Calibri" w:hAnsi="Calibri" w:cs="Arial"/>
          <w:sz w:val="24"/>
        </w:rPr>
        <w:t xml:space="preserve"> </w:t>
      </w:r>
      <w:r w:rsidR="00EA2A75" w:rsidRPr="003D7143">
        <w:rPr>
          <w:rFonts w:ascii="Calibri" w:hAnsi="Calibri" w:cs="Arial"/>
          <w:sz w:val="24"/>
        </w:rPr>
        <w:t>programového období</w:t>
      </w:r>
      <w:r w:rsidR="00A17236" w:rsidRPr="003D7143">
        <w:rPr>
          <w:rFonts w:ascii="Calibri" w:hAnsi="Calibri" w:cs="Arial"/>
          <w:sz w:val="24"/>
        </w:rPr>
        <w:t xml:space="preserve">. </w:t>
      </w:r>
      <w:r w:rsidR="002173E9" w:rsidRPr="003D7143">
        <w:rPr>
          <w:rFonts w:ascii="Calibri" w:hAnsi="Calibri" w:cs="Arial"/>
          <w:sz w:val="24"/>
        </w:rPr>
        <w:t>V</w:t>
      </w:r>
      <w:r w:rsidR="00580E01" w:rsidRPr="003D7143">
        <w:rPr>
          <w:rFonts w:ascii="Calibri" w:hAnsi="Calibri" w:cs="Arial"/>
          <w:sz w:val="24"/>
        </w:rPr>
        <w:t xml:space="preserve"> tomto programovém období </w:t>
      </w:r>
      <w:r w:rsidR="008F741D" w:rsidRPr="003D7143">
        <w:rPr>
          <w:rFonts w:ascii="Calibri" w:hAnsi="Calibri" w:cs="Arial"/>
          <w:sz w:val="24"/>
        </w:rPr>
        <w:t>je kladen</w:t>
      </w:r>
      <w:r w:rsidR="00580E01" w:rsidRPr="003D7143">
        <w:rPr>
          <w:rFonts w:ascii="Calibri" w:hAnsi="Calibri" w:cs="Arial"/>
          <w:sz w:val="24"/>
        </w:rPr>
        <w:t xml:space="preserve"> důraz</w:t>
      </w:r>
      <w:r w:rsidR="008F741D" w:rsidRPr="003D7143">
        <w:rPr>
          <w:rFonts w:ascii="Calibri" w:hAnsi="Calibri" w:cs="Arial"/>
          <w:sz w:val="24"/>
        </w:rPr>
        <w:t xml:space="preserve"> na snížení administrativ</w:t>
      </w:r>
      <w:r w:rsidR="004C157C" w:rsidRPr="003D7143">
        <w:rPr>
          <w:rFonts w:ascii="Calibri" w:hAnsi="Calibri" w:cs="Arial"/>
          <w:sz w:val="24"/>
        </w:rPr>
        <w:t xml:space="preserve">ní zátěže zejména </w:t>
      </w:r>
      <w:r w:rsidR="00A95CE4">
        <w:rPr>
          <w:rFonts w:ascii="Calibri" w:hAnsi="Calibri" w:cs="Arial"/>
          <w:sz w:val="24"/>
        </w:rPr>
        <w:t>pro</w:t>
      </w:r>
      <w:r w:rsidR="004C157C" w:rsidRPr="003D7143">
        <w:rPr>
          <w:rFonts w:ascii="Calibri" w:hAnsi="Calibri" w:cs="Arial"/>
          <w:sz w:val="24"/>
        </w:rPr>
        <w:t xml:space="preserve"> žadatele a</w:t>
      </w:r>
      <w:r w:rsidR="00A95CE4">
        <w:rPr>
          <w:rFonts w:ascii="Calibri" w:hAnsi="Calibri" w:cs="Arial"/>
          <w:sz w:val="24"/>
        </w:rPr>
        <w:t xml:space="preserve"> </w:t>
      </w:r>
      <w:r w:rsidR="008F741D" w:rsidRPr="003D7143">
        <w:rPr>
          <w:rFonts w:ascii="Calibri" w:hAnsi="Calibri" w:cs="Arial"/>
          <w:sz w:val="24"/>
        </w:rPr>
        <w:t xml:space="preserve">příjemce podpory, ale také </w:t>
      </w:r>
      <w:r w:rsidR="00A95CE4">
        <w:rPr>
          <w:rFonts w:ascii="Calibri" w:hAnsi="Calibri" w:cs="Arial"/>
          <w:sz w:val="24"/>
        </w:rPr>
        <w:t>pro</w:t>
      </w:r>
      <w:r w:rsidR="008A05C4" w:rsidRPr="003D7143">
        <w:rPr>
          <w:rFonts w:ascii="Calibri" w:hAnsi="Calibri" w:cs="Arial"/>
          <w:sz w:val="24"/>
        </w:rPr>
        <w:t xml:space="preserve"> </w:t>
      </w:r>
      <w:r w:rsidR="008F741D" w:rsidRPr="003D7143">
        <w:rPr>
          <w:rFonts w:ascii="Calibri" w:hAnsi="Calibri" w:cs="Arial"/>
          <w:sz w:val="24"/>
        </w:rPr>
        <w:t xml:space="preserve">další dotčené subjekty. </w:t>
      </w:r>
    </w:p>
    <w:p w14:paraId="289D753A" w14:textId="785EB89E" w:rsidR="008632FC" w:rsidRDefault="008632FC" w:rsidP="008632FC">
      <w:pPr>
        <w:pStyle w:val="NormlnKZ"/>
        <w:spacing w:after="120"/>
      </w:pPr>
      <w:r w:rsidRPr="003D7143">
        <w:rPr>
          <w:rFonts w:asciiTheme="minorHAnsi" w:hAnsiTheme="minorHAnsi" w:cstheme="minorHAnsi"/>
        </w:rPr>
        <w:t>Do srpna 2016 vynaložilo MMR na JMP, tj. na přípravu a vytvoření metodických dokumentů a</w:t>
      </w:r>
      <w:r w:rsidR="007C00BA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informační systém</w:t>
      </w:r>
      <w:r w:rsidRPr="003D7143">
        <w:rPr>
          <w:rFonts w:asciiTheme="minorHAnsi" w:hAnsiTheme="minorHAnsi" w:cstheme="minorHAnsi"/>
        </w:rPr>
        <w:t xml:space="preserve"> MS2014+, peněžní prostředky</w:t>
      </w:r>
      <w:r w:rsidRPr="003D7143">
        <w:t xml:space="preserve"> ve</w:t>
      </w:r>
      <w:r w:rsidR="00AA5821">
        <w:t xml:space="preserve"> </w:t>
      </w:r>
      <w:r>
        <w:t>výši 879,57 mil. Kč, z toho 438,36 mil. Kč ze</w:t>
      </w:r>
      <w:r w:rsidR="00CE09DE">
        <w:t xml:space="preserve"> </w:t>
      </w:r>
      <w:r>
        <w:t xml:space="preserve">zdrojů EU a 441,21 mil. Kč ze státního rozpočtu. Z tohoto objemu byly prověřeny výdaje za externí dodávky v celkové výši 72,27 mil. Kč, z toho 54,99 mil. Kč </w:t>
      </w:r>
      <w:r w:rsidR="00A95CE4">
        <w:t xml:space="preserve">pocházelo </w:t>
      </w:r>
      <w:r>
        <w:t>ze zdrojů EU a</w:t>
      </w:r>
      <w:r w:rsidR="00AA5821">
        <w:t> </w:t>
      </w:r>
      <w:r>
        <w:t>17,28 mil. Kč ze státního rozpočtu.</w:t>
      </w:r>
    </w:p>
    <w:p w14:paraId="706AC8B8" w14:textId="63BCB95C" w:rsidR="000C6034" w:rsidRDefault="00046DF3" w:rsidP="008632FC">
      <w:pPr>
        <w:spacing w:before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K</w:t>
      </w:r>
      <w:r w:rsidR="000C6034" w:rsidRPr="003D7143">
        <w:rPr>
          <w:rFonts w:asciiTheme="minorHAnsi" w:hAnsiTheme="minorHAnsi" w:cstheme="minorHAnsi"/>
          <w:sz w:val="24"/>
        </w:rPr>
        <w:t>ontrolní akc</w:t>
      </w:r>
      <w:r>
        <w:rPr>
          <w:rFonts w:asciiTheme="minorHAnsi" w:hAnsiTheme="minorHAnsi" w:cstheme="minorHAnsi"/>
          <w:sz w:val="24"/>
        </w:rPr>
        <w:t>e</w:t>
      </w:r>
      <w:r w:rsidR="000C6034" w:rsidRPr="003D7143">
        <w:rPr>
          <w:rFonts w:asciiTheme="minorHAnsi" w:hAnsiTheme="minorHAnsi" w:cstheme="minorHAnsi"/>
          <w:sz w:val="24"/>
        </w:rPr>
        <w:t xml:space="preserve"> prověř</w:t>
      </w:r>
      <w:r>
        <w:rPr>
          <w:rFonts w:asciiTheme="minorHAnsi" w:hAnsiTheme="minorHAnsi" w:cstheme="minorHAnsi"/>
          <w:sz w:val="24"/>
        </w:rPr>
        <w:t>ila</w:t>
      </w:r>
      <w:r w:rsidR="000C6034" w:rsidRPr="003D7143">
        <w:rPr>
          <w:rFonts w:asciiTheme="minorHAnsi" w:hAnsiTheme="minorHAnsi" w:cstheme="minorHAnsi"/>
          <w:sz w:val="24"/>
        </w:rPr>
        <w:t xml:space="preserve"> činnosti související s přípravou a nastavením jednotného metodického prostředí </w:t>
      </w:r>
      <w:r>
        <w:rPr>
          <w:rFonts w:asciiTheme="minorHAnsi" w:hAnsiTheme="minorHAnsi" w:cstheme="minorHAnsi"/>
          <w:sz w:val="24"/>
        </w:rPr>
        <w:t>a ověřila také</w:t>
      </w:r>
      <w:r w:rsidR="000C6034" w:rsidRPr="003D7143">
        <w:rPr>
          <w:rFonts w:asciiTheme="minorHAnsi" w:hAnsiTheme="minorHAnsi" w:cstheme="minorHAnsi"/>
          <w:sz w:val="24"/>
        </w:rPr>
        <w:t xml:space="preserve"> fungování vybraných procesů systému implementace čerpání podpory z</w:t>
      </w:r>
      <w:r w:rsidR="00B93747" w:rsidRPr="003D7143">
        <w:rPr>
          <w:rFonts w:asciiTheme="minorHAnsi" w:hAnsiTheme="minorHAnsi" w:cstheme="minorHAnsi"/>
          <w:sz w:val="24"/>
        </w:rPr>
        <w:t xml:space="preserve"> rozpočtu </w:t>
      </w:r>
      <w:r w:rsidR="008502DE" w:rsidRPr="003D7143">
        <w:rPr>
          <w:rFonts w:asciiTheme="minorHAnsi" w:hAnsiTheme="minorHAnsi" w:cstheme="minorHAnsi"/>
          <w:sz w:val="24"/>
        </w:rPr>
        <w:t>EU</w:t>
      </w:r>
      <w:r w:rsidR="000C6034" w:rsidRPr="003D7143">
        <w:rPr>
          <w:rFonts w:asciiTheme="minorHAnsi" w:hAnsiTheme="minorHAnsi" w:cstheme="minorHAnsi"/>
          <w:sz w:val="24"/>
        </w:rPr>
        <w:t>, včetně podpory těchto procesů v novém informačním systému pro monitorování MS2014+.</w:t>
      </w:r>
    </w:p>
    <w:p w14:paraId="771681BD" w14:textId="65529057" w:rsidR="008632FC" w:rsidRPr="003D7143" w:rsidRDefault="008632FC" w:rsidP="00AD543A">
      <w:pPr>
        <w:spacing w:before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Česká republika ve třetím roce programového období 2014</w:t>
      </w:r>
      <w:r w:rsidR="00015E52">
        <w:rPr>
          <w:rFonts w:asciiTheme="minorHAnsi" w:hAnsiTheme="minorHAnsi" w:cstheme="minorHAnsi"/>
          <w:sz w:val="24"/>
        </w:rPr>
        <w:t>–</w:t>
      </w:r>
      <w:r>
        <w:rPr>
          <w:rFonts w:asciiTheme="minorHAnsi" w:hAnsiTheme="minorHAnsi" w:cstheme="minorHAnsi"/>
          <w:sz w:val="24"/>
        </w:rPr>
        <w:t xml:space="preserve">2020 zaostává v čerpání peněžních prostředků za převážnou většinou členských států EU, což je </w:t>
      </w:r>
      <w:r w:rsidR="00AD543A">
        <w:rPr>
          <w:rFonts w:asciiTheme="minorHAnsi" w:hAnsiTheme="minorHAnsi" w:cstheme="minorHAnsi"/>
          <w:sz w:val="24"/>
        </w:rPr>
        <w:t xml:space="preserve">v grafické podobě </w:t>
      </w:r>
      <w:r w:rsidR="00015E52">
        <w:rPr>
          <w:rFonts w:asciiTheme="minorHAnsi" w:hAnsiTheme="minorHAnsi" w:cstheme="minorHAnsi"/>
          <w:sz w:val="24"/>
        </w:rPr>
        <w:t>znázorněno</w:t>
      </w:r>
      <w:r>
        <w:rPr>
          <w:rFonts w:asciiTheme="minorHAnsi" w:hAnsiTheme="minorHAnsi" w:cstheme="minorHAnsi"/>
          <w:sz w:val="24"/>
        </w:rPr>
        <w:t xml:space="preserve"> v části </w:t>
      </w:r>
      <w:r w:rsidR="00AD543A">
        <w:rPr>
          <w:rFonts w:asciiTheme="minorHAnsi" w:hAnsiTheme="minorHAnsi" w:cstheme="minorHAnsi"/>
          <w:sz w:val="24"/>
        </w:rPr>
        <w:t>III. </w:t>
      </w:r>
      <w:r>
        <w:rPr>
          <w:rFonts w:asciiTheme="minorHAnsi" w:hAnsiTheme="minorHAnsi" w:cstheme="minorHAnsi"/>
          <w:sz w:val="24"/>
        </w:rPr>
        <w:t>tohoto kontrolního závěru.</w:t>
      </w:r>
    </w:p>
    <w:p w14:paraId="4BA3314E" w14:textId="77777777" w:rsidR="000C6034" w:rsidRPr="003D7143" w:rsidRDefault="000C6034" w:rsidP="006E4156">
      <w:pPr>
        <w:rPr>
          <w:rFonts w:ascii="Calibri" w:hAnsi="Calibri" w:cs="Arial"/>
          <w:sz w:val="24"/>
        </w:rPr>
      </w:pPr>
    </w:p>
    <w:p w14:paraId="4EA75DEB" w14:textId="77777777" w:rsidR="0097750E" w:rsidRPr="003D7143" w:rsidRDefault="00CF4878" w:rsidP="007C00BA">
      <w:pPr>
        <w:spacing w:after="120"/>
        <w:rPr>
          <w:rFonts w:ascii="Calibri" w:hAnsi="Calibri" w:cs="Arial"/>
          <w:b/>
          <w:sz w:val="24"/>
        </w:rPr>
      </w:pPr>
      <w:r w:rsidRPr="003D7143">
        <w:rPr>
          <w:rFonts w:ascii="Calibri" w:hAnsi="Calibri" w:cs="Arial"/>
          <w:b/>
          <w:sz w:val="24"/>
        </w:rPr>
        <w:t>NKÚ při kontrole zjistil:</w:t>
      </w:r>
    </w:p>
    <w:p w14:paraId="05CADF62" w14:textId="1C671B0D" w:rsidR="0097750E" w:rsidRPr="003D7143" w:rsidRDefault="0097750E" w:rsidP="00787E59">
      <w:pPr>
        <w:pStyle w:val="Nadpis3"/>
      </w:pPr>
      <w:r w:rsidRPr="003D7143">
        <w:t>Společná</w:t>
      </w:r>
      <w:r w:rsidR="00D219BD" w:rsidRPr="003D7143">
        <w:t xml:space="preserve"> metodická</w:t>
      </w:r>
      <w:r w:rsidRPr="003D7143">
        <w:t xml:space="preserve"> pravidla </w:t>
      </w:r>
      <w:r w:rsidR="006F50E0" w:rsidRPr="003D7143">
        <w:t>nejsou jednotná a vymahatelná</w:t>
      </w:r>
      <w:r w:rsidR="0070202A" w:rsidRPr="003D7143">
        <w:t>.</w:t>
      </w:r>
      <w:r w:rsidR="00492B29" w:rsidRPr="003D7143">
        <w:t xml:space="preserve"> Bez stanovení jasných kompetencí a odpovědnosti za nastavení a fungování JMP nebude tento koncept plně funkční.</w:t>
      </w:r>
    </w:p>
    <w:p w14:paraId="52E8725D" w14:textId="77777777" w:rsidR="00EA0650" w:rsidRPr="003D7143" w:rsidRDefault="00BF6EC6" w:rsidP="00492B29">
      <w:pPr>
        <w:numPr>
          <w:ilvl w:val="0"/>
          <w:numId w:val="3"/>
        </w:numPr>
        <w:rPr>
          <w:rFonts w:ascii="Calibri" w:hAnsi="Calibri" w:cs="Arial"/>
          <w:sz w:val="24"/>
        </w:rPr>
      </w:pPr>
      <w:r w:rsidRPr="003D7143">
        <w:rPr>
          <w:rFonts w:ascii="Calibri" w:hAnsi="Calibri" w:cs="Arial"/>
          <w:sz w:val="24"/>
        </w:rPr>
        <w:t>MMR má právní postavení centrálního koordinátora</w:t>
      </w:r>
      <w:r w:rsidR="00492B29" w:rsidRPr="003D7143">
        <w:rPr>
          <w:rFonts w:ascii="Calibri" w:hAnsi="Calibri" w:cs="Arial"/>
          <w:sz w:val="24"/>
        </w:rPr>
        <w:t xml:space="preserve">, které ale neumožnilo udržet požadovanou jednotnost metodického prostředí. Byla udělena výjimka </w:t>
      </w:r>
      <w:r w:rsidRPr="003D7143">
        <w:rPr>
          <w:rFonts w:ascii="Calibri" w:hAnsi="Calibri" w:cs="Arial"/>
          <w:sz w:val="24"/>
        </w:rPr>
        <w:t xml:space="preserve">pro </w:t>
      </w:r>
      <w:r w:rsidR="00B854FE" w:rsidRPr="003D7143">
        <w:rPr>
          <w:rFonts w:ascii="Calibri" w:hAnsi="Calibri" w:cs="Arial"/>
          <w:i/>
          <w:sz w:val="24"/>
        </w:rPr>
        <w:t>Program</w:t>
      </w:r>
      <w:r w:rsidRPr="003D7143">
        <w:rPr>
          <w:rFonts w:ascii="Calibri" w:hAnsi="Calibri" w:cs="Arial"/>
          <w:i/>
          <w:sz w:val="24"/>
        </w:rPr>
        <w:t xml:space="preserve"> rozvoje venkova</w:t>
      </w:r>
      <w:r w:rsidRPr="003D7143">
        <w:rPr>
          <w:rFonts w:ascii="Calibri" w:hAnsi="Calibri" w:cs="Arial"/>
          <w:sz w:val="24"/>
        </w:rPr>
        <w:t xml:space="preserve"> (</w:t>
      </w:r>
      <w:r w:rsidR="00BB4028" w:rsidRPr="003D7143">
        <w:rPr>
          <w:rFonts w:ascii="Calibri" w:hAnsi="Calibri" w:cs="Arial"/>
          <w:sz w:val="24"/>
        </w:rPr>
        <w:t>dále též „</w:t>
      </w:r>
      <w:r w:rsidRPr="003D7143">
        <w:rPr>
          <w:rFonts w:ascii="Calibri" w:hAnsi="Calibri" w:cs="Arial"/>
          <w:sz w:val="24"/>
        </w:rPr>
        <w:t>PRV</w:t>
      </w:r>
      <w:r w:rsidR="00BB4028" w:rsidRPr="003D7143">
        <w:rPr>
          <w:rFonts w:ascii="Calibri" w:hAnsi="Calibri" w:cs="Arial"/>
          <w:sz w:val="24"/>
        </w:rPr>
        <w:t>“</w:t>
      </w:r>
      <w:r w:rsidRPr="003D7143">
        <w:rPr>
          <w:rFonts w:ascii="Calibri" w:hAnsi="Calibri" w:cs="Arial"/>
          <w:sz w:val="24"/>
        </w:rPr>
        <w:t>) z</w:t>
      </w:r>
      <w:r w:rsidR="005D02C5" w:rsidRPr="003D7143">
        <w:rPr>
          <w:rFonts w:ascii="Calibri" w:hAnsi="Calibri" w:cs="Arial"/>
          <w:sz w:val="24"/>
        </w:rPr>
        <w:t> jednotného metodického prostředí</w:t>
      </w:r>
      <w:r w:rsidR="00B854FE" w:rsidRPr="003D7143">
        <w:rPr>
          <w:rFonts w:ascii="Calibri" w:hAnsi="Calibri" w:cs="Arial"/>
          <w:sz w:val="24"/>
        </w:rPr>
        <w:t>.</w:t>
      </w:r>
      <w:r w:rsidRPr="003D7143">
        <w:rPr>
          <w:rFonts w:ascii="Calibri" w:hAnsi="Calibri" w:cs="Arial"/>
          <w:sz w:val="24"/>
        </w:rPr>
        <w:t xml:space="preserve"> Ministerstvo zemědělství již od</w:t>
      </w:r>
      <w:r w:rsidR="00EA0650" w:rsidRPr="003D7143">
        <w:rPr>
          <w:rFonts w:ascii="Calibri" w:hAnsi="Calibri" w:cs="Arial"/>
          <w:sz w:val="24"/>
        </w:rPr>
        <w:t xml:space="preserve"> počátku prezentace záměru vyvíjelo aktivity vedoucí k</w:t>
      </w:r>
      <w:r w:rsidR="00B854FE" w:rsidRPr="003D7143">
        <w:rPr>
          <w:rFonts w:ascii="Calibri" w:hAnsi="Calibri" w:cs="Arial"/>
          <w:sz w:val="24"/>
        </w:rPr>
        <w:t> </w:t>
      </w:r>
      <w:r w:rsidR="00EA0650" w:rsidRPr="003D7143">
        <w:rPr>
          <w:rFonts w:ascii="Calibri" w:hAnsi="Calibri" w:cs="Arial"/>
          <w:sz w:val="24"/>
        </w:rPr>
        <w:t>vyjmutí</w:t>
      </w:r>
      <w:r w:rsidR="00B854FE" w:rsidRPr="003D7143">
        <w:rPr>
          <w:rFonts w:ascii="Calibri" w:hAnsi="Calibri" w:cs="Arial"/>
          <w:sz w:val="24"/>
        </w:rPr>
        <w:t xml:space="preserve"> PRV</w:t>
      </w:r>
      <w:r w:rsidR="00EA0650" w:rsidRPr="003D7143">
        <w:rPr>
          <w:rFonts w:ascii="Calibri" w:hAnsi="Calibri" w:cs="Arial"/>
          <w:sz w:val="24"/>
        </w:rPr>
        <w:t xml:space="preserve"> z </w:t>
      </w:r>
      <w:r w:rsidR="00B854FE" w:rsidRPr="003D7143">
        <w:rPr>
          <w:rFonts w:ascii="Calibri" w:hAnsi="Calibri" w:cs="Arial"/>
          <w:sz w:val="24"/>
        </w:rPr>
        <w:t>dodržování</w:t>
      </w:r>
      <w:r w:rsidR="00EA0650" w:rsidRPr="003D7143">
        <w:rPr>
          <w:rFonts w:ascii="Calibri" w:hAnsi="Calibri" w:cs="Arial"/>
          <w:sz w:val="24"/>
        </w:rPr>
        <w:t xml:space="preserve"> pravidel stanovených JMP, čehož v konečném důsledku </w:t>
      </w:r>
      <w:r w:rsidRPr="003D7143">
        <w:rPr>
          <w:rFonts w:ascii="Calibri" w:hAnsi="Calibri" w:cs="Arial"/>
          <w:sz w:val="24"/>
        </w:rPr>
        <w:t xml:space="preserve">na vládní úrovni </w:t>
      </w:r>
      <w:r w:rsidR="00EA0650" w:rsidRPr="003D7143">
        <w:rPr>
          <w:rFonts w:ascii="Calibri" w:hAnsi="Calibri" w:cs="Arial"/>
          <w:sz w:val="24"/>
        </w:rPr>
        <w:t>dosáhlo.</w:t>
      </w:r>
    </w:p>
    <w:p w14:paraId="3A7849BB" w14:textId="1DF9A93A" w:rsidR="00EA0650" w:rsidRPr="003D7143" w:rsidRDefault="00C21444" w:rsidP="00DB4213">
      <w:pPr>
        <w:numPr>
          <w:ilvl w:val="0"/>
          <w:numId w:val="3"/>
        </w:numPr>
        <w:rPr>
          <w:rFonts w:ascii="Calibri" w:hAnsi="Calibri" w:cs="Arial"/>
          <w:sz w:val="24"/>
        </w:rPr>
      </w:pPr>
      <w:r w:rsidRPr="003D7143">
        <w:rPr>
          <w:rFonts w:ascii="Calibri" w:hAnsi="Calibri" w:cs="Arial"/>
          <w:sz w:val="24"/>
        </w:rPr>
        <w:t xml:space="preserve">Veškerá metodická pravidla zahrnují doporučení a závazné pokyny. Využití metodických doporučení je na vůli </w:t>
      </w:r>
      <w:r w:rsidR="006F50E0" w:rsidRPr="003D7143">
        <w:rPr>
          <w:rFonts w:ascii="Calibri" w:hAnsi="Calibri" w:cs="Arial"/>
          <w:sz w:val="24"/>
        </w:rPr>
        <w:t>jednotlivých poskytovatelů</w:t>
      </w:r>
      <w:r w:rsidRPr="003D7143">
        <w:rPr>
          <w:rFonts w:ascii="Calibri" w:hAnsi="Calibri" w:cs="Arial"/>
          <w:sz w:val="24"/>
        </w:rPr>
        <w:t xml:space="preserve"> podpory. </w:t>
      </w:r>
      <w:r w:rsidR="00DB4213" w:rsidRPr="003D7143">
        <w:rPr>
          <w:rFonts w:ascii="Calibri" w:hAnsi="Calibri" w:cs="Arial"/>
          <w:sz w:val="24"/>
        </w:rPr>
        <w:t>Dodržování závazných pokynů není vymahatelné a není stanoveno, kdo nad ním provádí dohled.</w:t>
      </w:r>
      <w:r w:rsidR="00EA0650" w:rsidRPr="003D7143">
        <w:rPr>
          <w:rFonts w:ascii="Calibri" w:hAnsi="Calibri" w:cs="Arial"/>
          <w:sz w:val="24"/>
        </w:rPr>
        <w:t xml:space="preserve"> </w:t>
      </w:r>
      <w:r w:rsidR="00A81633" w:rsidRPr="003D7143">
        <w:rPr>
          <w:rFonts w:ascii="Calibri" w:hAnsi="Calibri" w:cs="Arial"/>
          <w:sz w:val="24"/>
        </w:rPr>
        <w:t>Z</w:t>
      </w:r>
      <w:r w:rsidR="00EA0650" w:rsidRPr="003D7143">
        <w:rPr>
          <w:rFonts w:ascii="Calibri" w:hAnsi="Calibri" w:cs="Arial"/>
          <w:sz w:val="24"/>
        </w:rPr>
        <w:t xml:space="preserve">ávazná pravidla </w:t>
      </w:r>
      <w:r w:rsidR="00A81633" w:rsidRPr="003D7143">
        <w:rPr>
          <w:rFonts w:ascii="Calibri" w:hAnsi="Calibri" w:cs="Arial"/>
          <w:sz w:val="24"/>
        </w:rPr>
        <w:t xml:space="preserve">JMP </w:t>
      </w:r>
      <w:r w:rsidR="00EA0650" w:rsidRPr="003D7143">
        <w:rPr>
          <w:rFonts w:ascii="Calibri" w:hAnsi="Calibri" w:cs="Arial"/>
          <w:sz w:val="24"/>
        </w:rPr>
        <w:t xml:space="preserve">může v rámci svých auditů </w:t>
      </w:r>
      <w:r w:rsidR="00B854FE" w:rsidRPr="003D7143">
        <w:rPr>
          <w:rFonts w:ascii="Calibri" w:hAnsi="Calibri" w:cs="Arial"/>
          <w:sz w:val="24"/>
        </w:rPr>
        <w:t>zohled</w:t>
      </w:r>
      <w:r w:rsidR="00A81633" w:rsidRPr="003D7143">
        <w:rPr>
          <w:rFonts w:ascii="Calibri" w:hAnsi="Calibri" w:cs="Arial"/>
          <w:sz w:val="24"/>
        </w:rPr>
        <w:t>ni</w:t>
      </w:r>
      <w:r w:rsidR="00B854FE" w:rsidRPr="003D7143">
        <w:rPr>
          <w:rFonts w:ascii="Calibri" w:hAnsi="Calibri" w:cs="Arial"/>
          <w:sz w:val="24"/>
        </w:rPr>
        <w:t>t</w:t>
      </w:r>
      <w:r w:rsidR="00EA0650" w:rsidRPr="003D7143">
        <w:rPr>
          <w:rFonts w:ascii="Calibri" w:hAnsi="Calibri" w:cs="Arial"/>
          <w:sz w:val="24"/>
        </w:rPr>
        <w:t xml:space="preserve"> auditní orgán.</w:t>
      </w:r>
      <w:r w:rsidR="00B854FE" w:rsidRPr="003D7143">
        <w:rPr>
          <w:rFonts w:ascii="Calibri" w:hAnsi="Calibri" w:cs="Arial"/>
          <w:sz w:val="24"/>
        </w:rPr>
        <w:t xml:space="preserve"> </w:t>
      </w:r>
      <w:r w:rsidR="00EA0650" w:rsidRPr="003D7143">
        <w:rPr>
          <w:rFonts w:ascii="Calibri" w:hAnsi="Calibri" w:cs="Arial"/>
          <w:sz w:val="24"/>
        </w:rPr>
        <w:t xml:space="preserve">Promítnutí </w:t>
      </w:r>
      <w:r w:rsidR="00EA0650" w:rsidRPr="003D7143">
        <w:rPr>
          <w:rFonts w:ascii="Calibri" w:hAnsi="Calibri" w:cs="Arial"/>
          <w:sz w:val="24"/>
        </w:rPr>
        <w:lastRenderedPageBreak/>
        <w:t xml:space="preserve">pravidel </w:t>
      </w:r>
      <w:r w:rsidR="00A81633" w:rsidRPr="003D7143">
        <w:rPr>
          <w:rFonts w:ascii="Calibri" w:hAnsi="Calibri" w:cs="Arial"/>
          <w:sz w:val="24"/>
        </w:rPr>
        <w:t>JMP</w:t>
      </w:r>
      <w:r w:rsidR="00EA0650" w:rsidRPr="003D7143">
        <w:rPr>
          <w:rFonts w:ascii="Calibri" w:hAnsi="Calibri" w:cs="Arial"/>
          <w:sz w:val="24"/>
        </w:rPr>
        <w:t xml:space="preserve"> do </w:t>
      </w:r>
      <w:r w:rsidR="00FC1508" w:rsidRPr="003D7143">
        <w:rPr>
          <w:rFonts w:ascii="Calibri" w:hAnsi="Calibri" w:cs="Arial"/>
          <w:sz w:val="24"/>
        </w:rPr>
        <w:t>dokumentace</w:t>
      </w:r>
      <w:r w:rsidR="00492B29" w:rsidRPr="003D7143">
        <w:rPr>
          <w:rFonts w:ascii="Calibri" w:hAnsi="Calibri" w:cs="Arial"/>
          <w:sz w:val="24"/>
        </w:rPr>
        <w:t xml:space="preserve"> a procesů</w:t>
      </w:r>
      <w:r w:rsidR="00FC1508" w:rsidRPr="003D7143">
        <w:rPr>
          <w:rFonts w:ascii="Calibri" w:hAnsi="Calibri" w:cs="Arial"/>
          <w:sz w:val="24"/>
        </w:rPr>
        <w:t xml:space="preserve"> operačních programů,</w:t>
      </w:r>
      <w:r w:rsidR="00EA0650" w:rsidRPr="003D7143">
        <w:rPr>
          <w:rFonts w:ascii="Calibri" w:hAnsi="Calibri" w:cs="Arial"/>
          <w:sz w:val="24"/>
        </w:rPr>
        <w:t xml:space="preserve"> </w:t>
      </w:r>
      <w:r w:rsidR="00492B29" w:rsidRPr="003D7143">
        <w:rPr>
          <w:rFonts w:ascii="Calibri" w:hAnsi="Calibri" w:cs="Arial"/>
          <w:sz w:val="24"/>
        </w:rPr>
        <w:t>včetně</w:t>
      </w:r>
      <w:r w:rsidR="00EA0650" w:rsidRPr="003D7143">
        <w:rPr>
          <w:rFonts w:ascii="Calibri" w:hAnsi="Calibri" w:cs="Arial"/>
          <w:sz w:val="24"/>
        </w:rPr>
        <w:t xml:space="preserve"> jejich užívání</w:t>
      </w:r>
      <w:r w:rsidR="00FC1508" w:rsidRPr="003D7143">
        <w:rPr>
          <w:rFonts w:ascii="Calibri" w:hAnsi="Calibri" w:cs="Arial"/>
          <w:sz w:val="24"/>
        </w:rPr>
        <w:t>,</w:t>
      </w:r>
      <w:r w:rsidR="00EA0650" w:rsidRPr="003D7143">
        <w:rPr>
          <w:rFonts w:ascii="Calibri" w:hAnsi="Calibri" w:cs="Arial"/>
          <w:sz w:val="24"/>
        </w:rPr>
        <w:t xml:space="preserve"> je </w:t>
      </w:r>
      <w:r w:rsidR="006F50E0" w:rsidRPr="003D7143">
        <w:rPr>
          <w:rFonts w:ascii="Calibri" w:hAnsi="Calibri" w:cs="Arial"/>
          <w:sz w:val="24"/>
        </w:rPr>
        <w:t xml:space="preserve">v odpovědnosti </w:t>
      </w:r>
      <w:r w:rsidR="00EA0650" w:rsidRPr="003D7143">
        <w:rPr>
          <w:rFonts w:ascii="Calibri" w:hAnsi="Calibri" w:cs="Arial"/>
          <w:sz w:val="24"/>
        </w:rPr>
        <w:t>jednotlivých řídicích orgánů.</w:t>
      </w:r>
    </w:p>
    <w:p w14:paraId="33B14CA6" w14:textId="55C93163" w:rsidR="00C21444" w:rsidRPr="003D7143" w:rsidRDefault="00140032" w:rsidP="00C21444">
      <w:pPr>
        <w:numPr>
          <w:ilvl w:val="0"/>
          <w:numId w:val="3"/>
        </w:numPr>
        <w:rPr>
          <w:rFonts w:ascii="Calibri" w:hAnsi="Calibri" w:cs="Arial"/>
          <w:sz w:val="24"/>
        </w:rPr>
      </w:pPr>
      <w:r w:rsidRPr="003D7143">
        <w:rPr>
          <w:rFonts w:ascii="Calibri" w:eastAsia="Calibri" w:hAnsi="Calibri" w:cs="Calibri"/>
          <w:sz w:val="24"/>
        </w:rPr>
        <w:t>Metodické prostředí nemůže zcela zabezpečit jednotnost všech pravidel</w:t>
      </w:r>
      <w:r w:rsidRPr="003D7143">
        <w:rPr>
          <w:rFonts w:ascii="Calibri" w:eastAsia="Calibri" w:hAnsi="Calibri" w:cs="Calibri"/>
          <w:b/>
          <w:sz w:val="24"/>
        </w:rPr>
        <w:t xml:space="preserve"> </w:t>
      </w:r>
      <w:r w:rsidR="00920DB7">
        <w:rPr>
          <w:rFonts w:ascii="Calibri" w:eastAsia="Calibri" w:hAnsi="Calibri" w:cs="Calibri"/>
          <w:sz w:val="24"/>
        </w:rPr>
        <w:t xml:space="preserve">mimo jiné také </w:t>
      </w:r>
      <w:r w:rsidRPr="003D7143">
        <w:rPr>
          <w:rFonts w:ascii="Calibri" w:eastAsia="Calibri" w:hAnsi="Calibri" w:cs="Calibri"/>
          <w:sz w:val="24"/>
        </w:rPr>
        <w:t xml:space="preserve">z důvodu odlišných zaměření jedenácti programů spolufinancovaných z evropských strukturálních a investičních fondů. </w:t>
      </w:r>
      <w:r w:rsidR="00C21444" w:rsidRPr="003D7143">
        <w:rPr>
          <w:rFonts w:ascii="Calibri" w:hAnsi="Calibri" w:cs="Arial"/>
          <w:sz w:val="24"/>
        </w:rPr>
        <w:t xml:space="preserve"> </w:t>
      </w:r>
    </w:p>
    <w:p w14:paraId="33D63B3F" w14:textId="77777777" w:rsidR="00EA0650" w:rsidRDefault="00EA0650" w:rsidP="006E4156">
      <w:pPr>
        <w:rPr>
          <w:rFonts w:ascii="Calibri" w:hAnsi="Calibri" w:cs="Arial"/>
          <w:b/>
          <w:sz w:val="24"/>
        </w:rPr>
      </w:pPr>
    </w:p>
    <w:p w14:paraId="3CABA98B" w14:textId="3D987A34" w:rsidR="0097750E" w:rsidRPr="00FC1508" w:rsidRDefault="0097750E" w:rsidP="003D7143">
      <w:pPr>
        <w:pStyle w:val="Nadpis3"/>
        <w:keepNext/>
        <w:ind w:left="425" w:hanging="425"/>
      </w:pPr>
      <w:r w:rsidRPr="00787E59">
        <w:t>Informační</w:t>
      </w:r>
      <w:r w:rsidRPr="00EA0650">
        <w:t xml:space="preserve"> podpora </w:t>
      </w:r>
      <w:r w:rsidR="0070202A">
        <w:t xml:space="preserve">nebyla dostatečně připravena, </w:t>
      </w:r>
      <w:r w:rsidR="00A81633">
        <w:t>je komplikovaná</w:t>
      </w:r>
      <w:r w:rsidR="00EA0650" w:rsidRPr="00EA0650">
        <w:t xml:space="preserve"> </w:t>
      </w:r>
      <w:r w:rsidR="00EA2A75">
        <w:t>a</w:t>
      </w:r>
      <w:r w:rsidR="00015E52">
        <w:t xml:space="preserve"> </w:t>
      </w:r>
      <w:r w:rsidR="00A81633">
        <w:t>finančně náročná</w:t>
      </w:r>
      <w:r w:rsidR="0070202A">
        <w:t>.</w:t>
      </w:r>
      <w:r w:rsidR="00492B29">
        <w:t xml:space="preserve"> </w:t>
      </w:r>
      <w:r w:rsidR="00492B29" w:rsidRPr="00FC1508">
        <w:t>Neposkytovala tedy požadovanou podporu pro fungování JMP.</w:t>
      </w:r>
    </w:p>
    <w:p w14:paraId="2094022E" w14:textId="75CD40FC" w:rsidR="0010005F" w:rsidRPr="003D7143" w:rsidRDefault="00140032" w:rsidP="007F48BA">
      <w:pPr>
        <w:numPr>
          <w:ilvl w:val="0"/>
          <w:numId w:val="3"/>
        </w:numPr>
        <w:rPr>
          <w:rFonts w:ascii="Calibri" w:hAnsi="Calibri" w:cs="Arial"/>
          <w:sz w:val="24"/>
        </w:rPr>
      </w:pPr>
      <w:r w:rsidRPr="003D7143">
        <w:rPr>
          <w:rFonts w:ascii="Calibri" w:eastAsia="Calibri" w:hAnsi="Calibri" w:cs="Calibri"/>
          <w:sz w:val="24"/>
        </w:rPr>
        <w:t xml:space="preserve">MMR vypsalo zakázku na nový informační systém MS2014+ v době, kdy </w:t>
      </w:r>
      <w:r w:rsidR="0010005F" w:rsidRPr="003D7143">
        <w:rPr>
          <w:rFonts w:ascii="Calibri" w:hAnsi="Calibri" w:cs="Arial"/>
          <w:sz w:val="24"/>
        </w:rPr>
        <w:t xml:space="preserve">nebyla známa všechna pravidla </w:t>
      </w:r>
      <w:r w:rsidR="009022B7" w:rsidRPr="003D7143">
        <w:rPr>
          <w:rFonts w:ascii="Calibri" w:hAnsi="Calibri" w:cs="Arial"/>
          <w:sz w:val="24"/>
        </w:rPr>
        <w:t>programového období</w:t>
      </w:r>
      <w:r w:rsidR="00015E52">
        <w:rPr>
          <w:rFonts w:ascii="Calibri" w:hAnsi="Calibri" w:cs="Arial"/>
          <w:sz w:val="24"/>
        </w:rPr>
        <w:t xml:space="preserve"> 2014–2020</w:t>
      </w:r>
      <w:r w:rsidR="009022B7" w:rsidRPr="003D7143">
        <w:rPr>
          <w:rFonts w:ascii="Calibri" w:hAnsi="Calibri" w:cs="Arial"/>
          <w:sz w:val="24"/>
        </w:rPr>
        <w:t>, což vedlo k obecnosti požadavků definovaných v zadávací dokumentaci.</w:t>
      </w:r>
    </w:p>
    <w:p w14:paraId="69245987" w14:textId="52A1206F" w:rsidR="0010005F" w:rsidRPr="003D7143" w:rsidRDefault="0010005F" w:rsidP="007F48BA">
      <w:pPr>
        <w:numPr>
          <w:ilvl w:val="0"/>
          <w:numId w:val="3"/>
        </w:numPr>
        <w:rPr>
          <w:rFonts w:ascii="Calibri" w:hAnsi="Calibri" w:cs="Arial"/>
          <w:sz w:val="24"/>
        </w:rPr>
      </w:pPr>
      <w:r w:rsidRPr="003D7143">
        <w:rPr>
          <w:rFonts w:ascii="Calibri" w:hAnsi="Calibri" w:cs="Arial"/>
          <w:sz w:val="24"/>
        </w:rPr>
        <w:t xml:space="preserve">Monitorovací systém nebyl v době uvedení do ostrého provozu </w:t>
      </w:r>
      <w:r w:rsidR="00402CE1" w:rsidRPr="003D7143">
        <w:rPr>
          <w:rFonts w:ascii="Calibri" w:hAnsi="Calibri" w:cs="Arial"/>
          <w:sz w:val="24"/>
        </w:rPr>
        <w:t xml:space="preserve">v září 2014 </w:t>
      </w:r>
      <w:r w:rsidRPr="003D7143">
        <w:rPr>
          <w:rFonts w:ascii="Calibri" w:hAnsi="Calibri" w:cs="Arial"/>
          <w:sz w:val="24"/>
        </w:rPr>
        <w:t>připraven</w:t>
      </w:r>
      <w:r w:rsidR="00ED5B63" w:rsidRPr="003D7143">
        <w:rPr>
          <w:rFonts w:ascii="Calibri" w:hAnsi="Calibri" w:cs="Arial"/>
          <w:sz w:val="24"/>
        </w:rPr>
        <w:t xml:space="preserve"> tak, aby zahrnoval veškeré procesy nutné pro provádění programů</w:t>
      </w:r>
      <w:r w:rsidR="00015E52">
        <w:rPr>
          <w:rFonts w:ascii="Calibri" w:hAnsi="Calibri" w:cs="Arial"/>
          <w:sz w:val="24"/>
        </w:rPr>
        <w:t>,</w:t>
      </w:r>
      <w:r w:rsidR="00ED5B63" w:rsidRPr="003D7143">
        <w:rPr>
          <w:rFonts w:ascii="Calibri" w:hAnsi="Calibri" w:cs="Arial"/>
          <w:sz w:val="24"/>
        </w:rPr>
        <w:t xml:space="preserve"> a nezabezpečil tak komplexní podporu </w:t>
      </w:r>
      <w:r w:rsidRPr="003D7143">
        <w:rPr>
          <w:rFonts w:ascii="Calibri" w:hAnsi="Calibri" w:cs="Arial"/>
          <w:sz w:val="24"/>
        </w:rPr>
        <w:t>uživatelům.</w:t>
      </w:r>
    </w:p>
    <w:p w14:paraId="436A080C" w14:textId="58EF3BBD" w:rsidR="004B531C" w:rsidRPr="003D7143" w:rsidRDefault="004B531C" w:rsidP="00A04157">
      <w:pPr>
        <w:numPr>
          <w:ilvl w:val="0"/>
          <w:numId w:val="3"/>
        </w:numPr>
        <w:rPr>
          <w:rFonts w:ascii="Calibri" w:hAnsi="Calibri" w:cs="Arial"/>
          <w:sz w:val="24"/>
        </w:rPr>
      </w:pPr>
      <w:r w:rsidRPr="003D7143">
        <w:rPr>
          <w:rFonts w:ascii="Calibri" w:hAnsi="Calibri" w:cs="Arial"/>
          <w:sz w:val="24"/>
        </w:rPr>
        <w:t xml:space="preserve">Výdaje na pořízení, provoz a rozvoj jsou financovány z národních zdrojů a ze zdrojů EU. Do konce srpna 2016 </w:t>
      </w:r>
      <w:r w:rsidR="00D76708" w:rsidRPr="003D7143">
        <w:rPr>
          <w:rFonts w:ascii="Calibri" w:hAnsi="Calibri" w:cs="Arial"/>
          <w:sz w:val="24"/>
        </w:rPr>
        <w:t>tyto výdaje dosáhly částky 872,26</w:t>
      </w:r>
      <w:r w:rsidR="00226277" w:rsidRPr="003D7143">
        <w:rPr>
          <w:rFonts w:ascii="Calibri" w:hAnsi="Calibri" w:cs="Arial"/>
          <w:sz w:val="24"/>
        </w:rPr>
        <w:t xml:space="preserve"> mil. Kč. Míra spolufinancování z rozpočtu EU se snížila z plánovaných 85 % na cca 57 %. Důvodem byly </w:t>
      </w:r>
      <w:r w:rsidRPr="003D7143">
        <w:rPr>
          <w:rFonts w:ascii="Calibri" w:hAnsi="Calibri" w:cs="Arial"/>
          <w:sz w:val="24"/>
        </w:rPr>
        <w:t>nesrovn</w:t>
      </w:r>
      <w:r w:rsidR="00226277" w:rsidRPr="003D7143">
        <w:rPr>
          <w:rFonts w:ascii="Calibri" w:hAnsi="Calibri" w:cs="Arial"/>
          <w:sz w:val="24"/>
        </w:rPr>
        <w:t>alosti a následné finanční</w:t>
      </w:r>
      <w:r w:rsidRPr="003D7143">
        <w:rPr>
          <w:rFonts w:ascii="Calibri" w:hAnsi="Calibri" w:cs="Arial"/>
          <w:sz w:val="24"/>
        </w:rPr>
        <w:t xml:space="preserve"> oprav</w:t>
      </w:r>
      <w:r w:rsidR="00226277" w:rsidRPr="003D7143">
        <w:rPr>
          <w:rFonts w:ascii="Calibri" w:hAnsi="Calibri" w:cs="Arial"/>
          <w:sz w:val="24"/>
        </w:rPr>
        <w:t>y těchto</w:t>
      </w:r>
      <w:r w:rsidRPr="003D7143">
        <w:rPr>
          <w:rFonts w:ascii="Calibri" w:hAnsi="Calibri" w:cs="Arial"/>
          <w:sz w:val="24"/>
        </w:rPr>
        <w:t xml:space="preserve"> výdajů.</w:t>
      </w:r>
      <w:r w:rsidR="00A04157" w:rsidRPr="007F65A0">
        <w:rPr>
          <w:rFonts w:asciiTheme="minorHAnsi" w:hAnsiTheme="minorHAnsi" w:cstheme="minorHAnsi"/>
          <w:sz w:val="24"/>
        </w:rPr>
        <w:t xml:space="preserve"> </w:t>
      </w:r>
      <w:r w:rsidR="00A04157" w:rsidRPr="003D7143">
        <w:rPr>
          <w:rFonts w:ascii="Calibri" w:hAnsi="Calibri" w:cs="Arial"/>
          <w:sz w:val="24"/>
        </w:rPr>
        <w:t>Od roku 2016 j</w:t>
      </w:r>
      <w:r w:rsidR="009960F6">
        <w:rPr>
          <w:rFonts w:ascii="Calibri" w:hAnsi="Calibri" w:cs="Arial"/>
          <w:sz w:val="24"/>
        </w:rPr>
        <w:t>sou</w:t>
      </w:r>
      <w:r w:rsidR="00A04157" w:rsidRPr="003D7143">
        <w:rPr>
          <w:rFonts w:ascii="Calibri" w:hAnsi="Calibri" w:cs="Arial"/>
          <w:sz w:val="24"/>
        </w:rPr>
        <w:t xml:space="preserve"> provoz, rozvoj a udržování prostředí MS2014+ zatím plně financován</w:t>
      </w:r>
      <w:r w:rsidR="009960F6">
        <w:rPr>
          <w:rFonts w:ascii="Calibri" w:hAnsi="Calibri" w:cs="Arial"/>
          <w:sz w:val="24"/>
        </w:rPr>
        <w:t>y</w:t>
      </w:r>
      <w:r w:rsidR="00A04157" w:rsidRPr="003D7143">
        <w:rPr>
          <w:rFonts w:ascii="Calibri" w:hAnsi="Calibri" w:cs="Arial"/>
          <w:sz w:val="24"/>
        </w:rPr>
        <w:t xml:space="preserve"> ze zdrojů státního rozpočtu. </w:t>
      </w:r>
    </w:p>
    <w:p w14:paraId="2F0D069D" w14:textId="6E7A36B3" w:rsidR="00AD543A" w:rsidRPr="003D7143" w:rsidRDefault="00AD543A" w:rsidP="00AD543A">
      <w:pPr>
        <w:numPr>
          <w:ilvl w:val="0"/>
          <w:numId w:val="3"/>
        </w:numPr>
        <w:rPr>
          <w:rFonts w:ascii="Calibri" w:hAnsi="Calibri" w:cs="Arial"/>
          <w:sz w:val="24"/>
        </w:rPr>
      </w:pPr>
      <w:r w:rsidRPr="003D7143">
        <w:rPr>
          <w:rFonts w:ascii="Calibri" w:hAnsi="Calibri" w:cs="Arial"/>
          <w:sz w:val="24"/>
        </w:rPr>
        <w:t>V době kontroly výdaje na dodatečné úpravy a rozvoj MS2014+ dosáhly 120 % původní částky za pořízení MS2014+. Další výdaje za drobný rozvoj a opravy jsou součástí paušální platby. Rozsah těchto služeb poskytovaných dodavatelem odpovídá přibližně hodnotě 6,5 plného pracovního úvazku po celou dobu trvání smlouvy, tj. minimálně do</w:t>
      </w:r>
      <w:r w:rsidR="009068E4">
        <w:rPr>
          <w:rFonts w:ascii="Calibri" w:hAnsi="Calibri" w:cs="Arial"/>
          <w:sz w:val="24"/>
        </w:rPr>
        <w:t xml:space="preserve"> </w:t>
      </w:r>
      <w:r w:rsidRPr="003D7143">
        <w:rPr>
          <w:rFonts w:ascii="Calibri" w:hAnsi="Calibri" w:cs="Arial"/>
          <w:sz w:val="24"/>
        </w:rPr>
        <w:t xml:space="preserve">roku 2023. </w:t>
      </w:r>
    </w:p>
    <w:p w14:paraId="2CCB0DD9" w14:textId="07BCBBF8" w:rsidR="00DD4C94" w:rsidRPr="003D7143" w:rsidRDefault="005A353C" w:rsidP="00DD4C94">
      <w:pPr>
        <w:numPr>
          <w:ilvl w:val="0"/>
          <w:numId w:val="3"/>
        </w:numPr>
        <w:rPr>
          <w:rFonts w:ascii="Calibri" w:hAnsi="Calibri" w:cs="Arial"/>
          <w:sz w:val="24"/>
        </w:rPr>
      </w:pPr>
      <w:r w:rsidRPr="003D7143">
        <w:rPr>
          <w:rFonts w:ascii="Calibri" w:eastAsia="Calibri" w:hAnsi="Calibri" w:cs="Calibri"/>
          <w:sz w:val="24"/>
        </w:rPr>
        <w:t>Kapacita a</w:t>
      </w:r>
      <w:r w:rsidR="009960F6">
        <w:rPr>
          <w:rFonts w:ascii="Calibri" w:eastAsia="Calibri" w:hAnsi="Calibri" w:cs="Calibri"/>
          <w:sz w:val="24"/>
        </w:rPr>
        <w:t>ni</w:t>
      </w:r>
      <w:r w:rsidRPr="003D7143">
        <w:rPr>
          <w:rFonts w:ascii="Calibri" w:eastAsia="Calibri" w:hAnsi="Calibri" w:cs="Calibri"/>
          <w:sz w:val="24"/>
        </w:rPr>
        <w:t xml:space="preserve"> možnosti monitorovacího systému nejsou plně využívány, což snižuje efektivnost strategického řízení Dohody o partnerství</w:t>
      </w:r>
      <w:r w:rsidRPr="007F65A0">
        <w:rPr>
          <w:rStyle w:val="Znakapoznpodarou"/>
          <w:rFonts w:asciiTheme="minorHAnsi" w:hAnsiTheme="minorHAnsi" w:cstheme="minorHAnsi"/>
        </w:rPr>
        <w:footnoteReference w:id="3"/>
      </w:r>
      <w:r w:rsidRPr="007F65A0">
        <w:rPr>
          <w:rFonts w:asciiTheme="minorHAnsi" w:eastAsia="Calibri" w:hAnsiTheme="minorHAnsi" w:cstheme="minorHAnsi"/>
          <w:sz w:val="24"/>
        </w:rPr>
        <w:t xml:space="preserve"> </w:t>
      </w:r>
      <w:r w:rsidRPr="003D7143">
        <w:rPr>
          <w:rFonts w:ascii="Calibri" w:eastAsia="Calibri" w:hAnsi="Calibri" w:cs="Calibri"/>
          <w:sz w:val="24"/>
        </w:rPr>
        <w:t>a koordinaci ESI fondů.</w:t>
      </w:r>
    </w:p>
    <w:p w14:paraId="04DF0A6A" w14:textId="6E149968" w:rsidR="00DD4C94" w:rsidRPr="003D7143" w:rsidRDefault="009C45DF" w:rsidP="009E5FB8">
      <w:pPr>
        <w:numPr>
          <w:ilvl w:val="0"/>
          <w:numId w:val="3"/>
        </w:numPr>
        <w:rPr>
          <w:rFonts w:ascii="Calibri" w:hAnsi="Calibri" w:cs="Arial"/>
          <w:sz w:val="24"/>
        </w:rPr>
      </w:pPr>
      <w:r w:rsidRPr="003D7143">
        <w:rPr>
          <w:rFonts w:ascii="Calibri" w:hAnsi="Calibri" w:cs="Calibri"/>
          <w:sz w:val="24"/>
        </w:rPr>
        <w:t>V roce 2017, tj. ve čtvrtém roce implementace programového období 2014</w:t>
      </w:r>
      <w:r w:rsidR="009960F6">
        <w:rPr>
          <w:rFonts w:ascii="Calibri" w:hAnsi="Calibri" w:cs="Calibri"/>
          <w:sz w:val="24"/>
        </w:rPr>
        <w:t>–</w:t>
      </w:r>
      <w:r w:rsidRPr="003D7143">
        <w:rPr>
          <w:rFonts w:ascii="Calibri" w:hAnsi="Calibri" w:cs="Calibri"/>
          <w:sz w:val="24"/>
        </w:rPr>
        <w:t>2020</w:t>
      </w:r>
      <w:r w:rsidR="009960F6">
        <w:rPr>
          <w:rFonts w:ascii="Calibri" w:hAnsi="Calibri" w:cs="Calibri"/>
          <w:sz w:val="24"/>
        </w:rPr>
        <w:t>,</w:t>
      </w:r>
      <w:r w:rsidRPr="003D7143">
        <w:rPr>
          <w:rFonts w:ascii="Calibri" w:hAnsi="Calibri" w:cs="Calibri"/>
          <w:sz w:val="24"/>
        </w:rPr>
        <w:t xml:space="preserve"> je monitorovací systém </w:t>
      </w:r>
      <w:r w:rsidR="003B010C">
        <w:rPr>
          <w:rFonts w:ascii="Calibri" w:hAnsi="Calibri" w:cs="Calibri"/>
          <w:sz w:val="24"/>
        </w:rPr>
        <w:t>nadále</w:t>
      </w:r>
      <w:r w:rsidRPr="003D7143">
        <w:rPr>
          <w:rFonts w:ascii="Calibri" w:hAnsi="Calibri" w:cs="Calibri"/>
          <w:sz w:val="24"/>
        </w:rPr>
        <w:t xml:space="preserve"> </w:t>
      </w:r>
      <w:r w:rsidRPr="003D7143">
        <w:rPr>
          <w:rFonts w:asciiTheme="minorHAnsi" w:hAnsiTheme="minorHAnsi" w:cstheme="minorHAnsi"/>
          <w:sz w:val="24"/>
        </w:rPr>
        <w:t>upravován</w:t>
      </w:r>
      <w:r w:rsidR="006200B4" w:rsidRPr="003D7143">
        <w:rPr>
          <w:rFonts w:asciiTheme="minorHAnsi" w:hAnsiTheme="minorHAnsi" w:cstheme="minorHAnsi"/>
          <w:sz w:val="24"/>
        </w:rPr>
        <w:t xml:space="preserve">. </w:t>
      </w:r>
      <w:r w:rsidR="001C79BB" w:rsidRPr="003D7143">
        <w:rPr>
          <w:rFonts w:asciiTheme="minorHAnsi" w:hAnsiTheme="minorHAnsi" w:cstheme="minorHAnsi"/>
          <w:sz w:val="24"/>
        </w:rPr>
        <w:t>N</w:t>
      </w:r>
      <w:r w:rsidRPr="003D7143">
        <w:rPr>
          <w:rFonts w:asciiTheme="minorHAnsi" w:hAnsiTheme="minorHAnsi" w:cstheme="minorHAnsi"/>
          <w:sz w:val="24"/>
        </w:rPr>
        <w:t>ěkteré dílčí elementy, např. sestavy k vytěžování dat, se budou nastavovat po vzoru informačního systému MSC2007</w:t>
      </w:r>
      <w:r w:rsidR="009960F6">
        <w:rPr>
          <w:rFonts w:asciiTheme="minorHAnsi" w:hAnsiTheme="minorHAnsi" w:cstheme="minorHAnsi"/>
          <w:sz w:val="24"/>
        </w:rPr>
        <w:t>,</w:t>
      </w:r>
      <w:r w:rsidRPr="003D7143">
        <w:rPr>
          <w:rFonts w:asciiTheme="minorHAnsi" w:hAnsiTheme="minorHAnsi" w:cstheme="minorHAnsi"/>
          <w:sz w:val="24"/>
        </w:rPr>
        <w:t xml:space="preserve"> </w:t>
      </w:r>
      <w:r w:rsidR="009960F6">
        <w:rPr>
          <w:rFonts w:asciiTheme="minorHAnsi" w:hAnsiTheme="minorHAnsi" w:cstheme="minorHAnsi"/>
          <w:sz w:val="24"/>
        </w:rPr>
        <w:t>který sloužil k </w:t>
      </w:r>
      <w:r w:rsidRPr="003D7143">
        <w:rPr>
          <w:rFonts w:ascii="Calibri" w:hAnsi="Calibri" w:cs="Calibri"/>
          <w:sz w:val="24"/>
        </w:rPr>
        <w:t>monitorování programového období 2007</w:t>
      </w:r>
      <w:r w:rsidR="009960F6">
        <w:rPr>
          <w:rFonts w:ascii="Calibri" w:hAnsi="Calibri" w:cs="Calibri"/>
          <w:sz w:val="24"/>
        </w:rPr>
        <w:t>–</w:t>
      </w:r>
      <w:r w:rsidRPr="003D7143">
        <w:rPr>
          <w:rFonts w:ascii="Calibri" w:hAnsi="Calibri" w:cs="Calibri"/>
          <w:sz w:val="24"/>
        </w:rPr>
        <w:t xml:space="preserve">2013. </w:t>
      </w:r>
      <w:r w:rsidRPr="003D7143">
        <w:rPr>
          <w:rFonts w:ascii="Calibri" w:hAnsi="Calibri" w:cs="Arial"/>
          <w:sz w:val="24"/>
        </w:rPr>
        <w:t>V návaznosti na postup jednotlivých fází implementace programů může tato skutečnost komplikovat práci uživatelů monitorovacího systému.</w:t>
      </w:r>
    </w:p>
    <w:p w14:paraId="241CE846" w14:textId="77777777" w:rsidR="00CC45A6" w:rsidRPr="003D7143" w:rsidRDefault="00CC45A6" w:rsidP="00CC45A6">
      <w:pPr>
        <w:rPr>
          <w:rFonts w:ascii="Calibri" w:hAnsi="Calibri" w:cs="Arial"/>
          <w:sz w:val="24"/>
        </w:rPr>
      </w:pPr>
    </w:p>
    <w:p w14:paraId="04079E13" w14:textId="7D17A7F6" w:rsidR="0097750E" w:rsidRPr="003D7143" w:rsidRDefault="00150687" w:rsidP="00787E59">
      <w:pPr>
        <w:pStyle w:val="Nadpis3"/>
      </w:pPr>
      <w:r w:rsidRPr="003D7143">
        <w:t>M</w:t>
      </w:r>
      <w:r w:rsidR="00AE7E24" w:rsidRPr="003D7143">
        <w:t xml:space="preserve">etodické prostředí </w:t>
      </w:r>
      <w:r w:rsidR="00492B29" w:rsidRPr="003D7143">
        <w:t xml:space="preserve">sice </w:t>
      </w:r>
      <w:r w:rsidRPr="003D7143">
        <w:t>umožňuje</w:t>
      </w:r>
      <w:r w:rsidR="00AE7E24" w:rsidRPr="003D7143">
        <w:t xml:space="preserve"> jednodušší </w:t>
      </w:r>
      <w:r w:rsidRPr="003D7143">
        <w:t xml:space="preserve">zpracování a podání žádosti </w:t>
      </w:r>
      <w:r w:rsidR="00AE7E24" w:rsidRPr="003D7143">
        <w:t xml:space="preserve">o podporu, ale </w:t>
      </w:r>
      <w:r w:rsidRPr="003D7143">
        <w:t>žadatelé</w:t>
      </w:r>
      <w:r w:rsidR="00AE7E24" w:rsidRPr="003D7143">
        <w:t xml:space="preserve"> neznají časový horizont, </w:t>
      </w:r>
      <w:r w:rsidR="009960F6">
        <w:t>ve kterém</w:t>
      </w:r>
      <w:r w:rsidR="00AE7E24" w:rsidRPr="003D7143">
        <w:t xml:space="preserve"> bude o jejich žádosti rozhodnuto.</w:t>
      </w:r>
    </w:p>
    <w:p w14:paraId="3347EDCF" w14:textId="6C5CF72E" w:rsidR="001D5B38" w:rsidRPr="003D7143" w:rsidRDefault="00210A46" w:rsidP="007F48BA">
      <w:pPr>
        <w:numPr>
          <w:ilvl w:val="0"/>
          <w:numId w:val="3"/>
        </w:numPr>
        <w:rPr>
          <w:rFonts w:ascii="Calibri" w:hAnsi="Calibri" w:cs="Arial"/>
          <w:sz w:val="24"/>
        </w:rPr>
      </w:pPr>
      <w:r w:rsidRPr="003D7143">
        <w:rPr>
          <w:rFonts w:ascii="Calibri" w:hAnsi="Calibri" w:cs="Arial"/>
          <w:sz w:val="24"/>
        </w:rPr>
        <w:t>Oproti minulému programovému období 2007</w:t>
      </w:r>
      <w:r w:rsidR="009960F6">
        <w:rPr>
          <w:rFonts w:ascii="Calibri" w:hAnsi="Calibri" w:cs="Arial"/>
          <w:sz w:val="24"/>
        </w:rPr>
        <w:t>–</w:t>
      </w:r>
      <w:r w:rsidRPr="003D7143">
        <w:rPr>
          <w:rFonts w:ascii="Calibri" w:hAnsi="Calibri" w:cs="Arial"/>
          <w:sz w:val="24"/>
        </w:rPr>
        <w:t>2013 mají žadatelé a příjemci podpory veškeré i</w:t>
      </w:r>
      <w:r w:rsidR="001D5B38" w:rsidRPr="003D7143">
        <w:rPr>
          <w:rFonts w:ascii="Calibri" w:hAnsi="Calibri" w:cs="Arial"/>
          <w:sz w:val="24"/>
        </w:rPr>
        <w:t>nformace na jednom místě</w:t>
      </w:r>
      <w:r w:rsidRPr="003D7143">
        <w:rPr>
          <w:rFonts w:ascii="Calibri" w:hAnsi="Calibri" w:cs="Arial"/>
          <w:sz w:val="24"/>
        </w:rPr>
        <w:t>, a to na zastřešujících webových stránkách.</w:t>
      </w:r>
    </w:p>
    <w:p w14:paraId="697AECCC" w14:textId="05E3AD69" w:rsidR="00821577" w:rsidRPr="003D7143" w:rsidRDefault="00821577" w:rsidP="007F48BA">
      <w:pPr>
        <w:numPr>
          <w:ilvl w:val="0"/>
          <w:numId w:val="3"/>
        </w:numPr>
        <w:rPr>
          <w:rFonts w:ascii="Calibri" w:hAnsi="Calibri" w:cs="Arial"/>
          <w:sz w:val="24"/>
        </w:rPr>
      </w:pPr>
      <w:r w:rsidRPr="003D7143">
        <w:rPr>
          <w:rFonts w:ascii="Calibri" w:hAnsi="Calibri" w:cs="Arial"/>
          <w:sz w:val="24"/>
        </w:rPr>
        <w:t xml:space="preserve">V </w:t>
      </w:r>
      <w:r w:rsidR="009960F6">
        <w:rPr>
          <w:rFonts w:ascii="Calibri" w:hAnsi="Calibri" w:cs="Arial"/>
          <w:sz w:val="24"/>
        </w:rPr>
        <w:t xml:space="preserve">uveřejněných </w:t>
      </w:r>
      <w:r w:rsidRPr="003D7143">
        <w:rPr>
          <w:rFonts w:ascii="Calibri" w:hAnsi="Calibri" w:cs="Arial"/>
          <w:sz w:val="24"/>
        </w:rPr>
        <w:t xml:space="preserve">výzvách </w:t>
      </w:r>
      <w:r w:rsidR="009960F6">
        <w:rPr>
          <w:rFonts w:ascii="Calibri" w:hAnsi="Calibri" w:cs="Arial"/>
          <w:sz w:val="24"/>
        </w:rPr>
        <w:t xml:space="preserve">k podávání žádostí o podporu poskytují všechny </w:t>
      </w:r>
      <w:r w:rsidRPr="003D7143">
        <w:rPr>
          <w:rFonts w:ascii="Calibri" w:hAnsi="Calibri" w:cs="Arial"/>
          <w:sz w:val="24"/>
        </w:rPr>
        <w:t>programy žadatel</w:t>
      </w:r>
      <w:r w:rsidR="009960F6">
        <w:rPr>
          <w:rFonts w:ascii="Calibri" w:hAnsi="Calibri" w:cs="Arial"/>
          <w:sz w:val="24"/>
        </w:rPr>
        <w:t>ům</w:t>
      </w:r>
      <w:r w:rsidRPr="003D7143">
        <w:rPr>
          <w:rFonts w:ascii="Calibri" w:hAnsi="Calibri" w:cs="Arial"/>
          <w:sz w:val="24"/>
        </w:rPr>
        <w:t xml:space="preserve"> informace stejného charakteru.</w:t>
      </w:r>
    </w:p>
    <w:p w14:paraId="2BDB3CB5" w14:textId="77777777" w:rsidR="00821577" w:rsidRPr="003D7143" w:rsidRDefault="00821577" w:rsidP="007F48BA">
      <w:pPr>
        <w:numPr>
          <w:ilvl w:val="0"/>
          <w:numId w:val="3"/>
        </w:numPr>
        <w:rPr>
          <w:rFonts w:ascii="Calibri" w:hAnsi="Calibri" w:cs="Arial"/>
          <w:sz w:val="24"/>
        </w:rPr>
      </w:pPr>
      <w:r w:rsidRPr="003D7143">
        <w:rPr>
          <w:rFonts w:ascii="Calibri" w:hAnsi="Calibri" w:cs="Arial"/>
          <w:sz w:val="24"/>
        </w:rPr>
        <w:t>Žádost o podporu se nemusí kompletovat v listinné podobě, vše probíhá elektronickou cestou.</w:t>
      </w:r>
    </w:p>
    <w:p w14:paraId="14B4A321" w14:textId="1D698D3E" w:rsidR="00AE7E24" w:rsidRPr="003D7143" w:rsidRDefault="00DB4213" w:rsidP="00DB4213">
      <w:pPr>
        <w:numPr>
          <w:ilvl w:val="0"/>
          <w:numId w:val="3"/>
        </w:numPr>
        <w:rPr>
          <w:rFonts w:ascii="Calibri" w:hAnsi="Calibri" w:cs="Arial"/>
          <w:sz w:val="24"/>
        </w:rPr>
      </w:pPr>
      <w:r w:rsidRPr="003D7143">
        <w:rPr>
          <w:rFonts w:ascii="Calibri" w:hAnsi="Calibri" w:cs="Arial"/>
          <w:sz w:val="24"/>
        </w:rPr>
        <w:lastRenderedPageBreak/>
        <w:t xml:space="preserve">Protože metodika </w:t>
      </w:r>
      <w:r w:rsidR="003B010C">
        <w:rPr>
          <w:rFonts w:ascii="Calibri" w:hAnsi="Calibri" w:cs="Arial"/>
          <w:sz w:val="24"/>
        </w:rPr>
        <w:t>vymezuje</w:t>
      </w:r>
      <w:r w:rsidRPr="003D7143">
        <w:rPr>
          <w:rFonts w:ascii="Calibri" w:hAnsi="Calibri" w:cs="Arial"/>
          <w:sz w:val="24"/>
        </w:rPr>
        <w:t xml:space="preserve"> </w:t>
      </w:r>
      <w:r w:rsidR="00945DF2">
        <w:rPr>
          <w:rFonts w:ascii="Calibri" w:hAnsi="Calibri" w:cs="Arial"/>
          <w:sz w:val="24"/>
        </w:rPr>
        <w:t xml:space="preserve">vágně </w:t>
      </w:r>
      <w:r w:rsidRPr="003D7143">
        <w:rPr>
          <w:rFonts w:ascii="Calibri" w:hAnsi="Calibri" w:cs="Arial"/>
          <w:sz w:val="24"/>
        </w:rPr>
        <w:t>lhůtu pro vydání rozhodnutí o poskytnutí podpory, nemohou žadatelé předvídat, kdy budou seznámeni s výsledkem řízení o podpoře,</w:t>
      </w:r>
      <w:r w:rsidR="003B010C">
        <w:rPr>
          <w:rFonts w:ascii="Calibri" w:hAnsi="Calibri" w:cs="Arial"/>
          <w:sz w:val="24"/>
        </w:rPr>
        <w:t xml:space="preserve"> což pro ně může mít hospodářsky</w:t>
      </w:r>
      <w:r w:rsidRPr="003D7143">
        <w:rPr>
          <w:rFonts w:ascii="Calibri" w:hAnsi="Calibri" w:cs="Arial"/>
          <w:sz w:val="24"/>
        </w:rPr>
        <w:t xml:space="preserve"> </w:t>
      </w:r>
      <w:r w:rsidR="003B010C">
        <w:rPr>
          <w:rFonts w:ascii="Calibri" w:hAnsi="Calibri" w:cs="Arial"/>
          <w:sz w:val="24"/>
        </w:rPr>
        <w:t>(ekonomicky) negativní</w:t>
      </w:r>
      <w:r w:rsidRPr="003D7143">
        <w:rPr>
          <w:rFonts w:ascii="Calibri" w:hAnsi="Calibri" w:cs="Arial"/>
          <w:sz w:val="24"/>
        </w:rPr>
        <w:t xml:space="preserve"> důsledky</w:t>
      </w:r>
      <w:r w:rsidR="00AE7E24" w:rsidRPr="003D7143">
        <w:rPr>
          <w:rFonts w:ascii="Calibri" w:hAnsi="Calibri" w:cs="Arial"/>
          <w:sz w:val="24"/>
        </w:rPr>
        <w:t>.</w:t>
      </w:r>
    </w:p>
    <w:p w14:paraId="70E2E561" w14:textId="77777777" w:rsidR="008F741D" w:rsidRDefault="008F741D" w:rsidP="00BE3F75">
      <w:pPr>
        <w:rPr>
          <w:rFonts w:ascii="Calibri" w:hAnsi="Calibri" w:cs="Arial"/>
          <w:sz w:val="24"/>
        </w:rPr>
      </w:pPr>
    </w:p>
    <w:p w14:paraId="4B86A383" w14:textId="77777777" w:rsidR="00BE3F75" w:rsidRPr="00BE3F75" w:rsidRDefault="00BE3F75" w:rsidP="00BE3F75">
      <w:pPr>
        <w:rPr>
          <w:rFonts w:ascii="Calibri" w:hAnsi="Calibri" w:cs="Arial"/>
          <w:sz w:val="24"/>
        </w:rPr>
      </w:pPr>
    </w:p>
    <w:p w14:paraId="073BBA60" w14:textId="77777777" w:rsidR="00962F73" w:rsidRPr="00955518" w:rsidRDefault="00962F73" w:rsidP="00687890">
      <w:pPr>
        <w:keepNext/>
        <w:jc w:val="center"/>
        <w:rPr>
          <w:rFonts w:ascii="Calibri" w:hAnsi="Calibri" w:cs="Arial"/>
          <w:b/>
          <w:bCs/>
          <w:sz w:val="28"/>
        </w:rPr>
      </w:pPr>
      <w:r w:rsidRPr="00955518">
        <w:rPr>
          <w:rFonts w:ascii="Calibri" w:hAnsi="Calibri" w:cs="Arial"/>
          <w:b/>
          <w:bCs/>
          <w:sz w:val="28"/>
        </w:rPr>
        <w:t xml:space="preserve">I. </w:t>
      </w:r>
      <w:r w:rsidR="005E5E3E" w:rsidRPr="00955518">
        <w:rPr>
          <w:rFonts w:ascii="Calibri" w:hAnsi="Calibri" w:cs="Arial"/>
          <w:b/>
          <w:bCs/>
          <w:sz w:val="28"/>
        </w:rPr>
        <w:t>Ú</w:t>
      </w:r>
      <w:r w:rsidRPr="00955518">
        <w:rPr>
          <w:rFonts w:ascii="Calibri" w:hAnsi="Calibri" w:cs="Arial"/>
          <w:b/>
          <w:bCs/>
          <w:sz w:val="28"/>
        </w:rPr>
        <w:t>vod</w:t>
      </w:r>
    </w:p>
    <w:p w14:paraId="1969A9ED" w14:textId="77777777" w:rsidR="00553C5F" w:rsidRPr="000908F6" w:rsidRDefault="00553C5F" w:rsidP="00687890">
      <w:pPr>
        <w:keepNext/>
        <w:tabs>
          <w:tab w:val="left" w:pos="426"/>
        </w:tabs>
        <w:rPr>
          <w:rFonts w:ascii="Calibri" w:hAnsi="Calibri" w:cs="Arial"/>
          <w:b/>
          <w:snapToGrid w:val="0"/>
          <w:sz w:val="24"/>
        </w:rPr>
      </w:pPr>
    </w:p>
    <w:p w14:paraId="05A8B3A8" w14:textId="1582DEC6" w:rsidR="00FF632E" w:rsidRDefault="00FF632E" w:rsidP="00402CE1">
      <w:pPr>
        <w:pStyle w:val="NormlnKZ"/>
        <w:spacing w:after="120"/>
      </w:pPr>
      <w:r w:rsidRPr="006428BA">
        <w:t>V programovém období 2007</w:t>
      </w:r>
      <w:r w:rsidR="00643AF7">
        <w:t>–</w:t>
      </w:r>
      <w:r w:rsidRPr="006428BA">
        <w:t xml:space="preserve">2013 byla podpora kohezní politiky </w:t>
      </w:r>
      <w:r w:rsidR="00643AF7" w:rsidRPr="006428BA">
        <w:t>pro st</w:t>
      </w:r>
      <w:r w:rsidR="00643AF7">
        <w:t xml:space="preserve">rukturální fondy </w:t>
      </w:r>
      <w:r w:rsidR="00643AF7" w:rsidRPr="006428BA">
        <w:t>a</w:t>
      </w:r>
      <w:r w:rsidR="00643AF7">
        <w:t> </w:t>
      </w:r>
      <w:r w:rsidR="00643AF7" w:rsidRPr="00500E95">
        <w:rPr>
          <w:i/>
        </w:rPr>
        <w:t>Fond soudržnosti</w:t>
      </w:r>
      <w:r w:rsidR="00643AF7" w:rsidRPr="006428BA">
        <w:t xml:space="preserve"> </w:t>
      </w:r>
      <w:r w:rsidRPr="006428BA">
        <w:t xml:space="preserve">implementována odděleně </w:t>
      </w:r>
      <w:r w:rsidR="00643AF7">
        <w:t xml:space="preserve">od </w:t>
      </w:r>
      <w:r w:rsidRPr="006428BA">
        <w:t>fond</w:t>
      </w:r>
      <w:r w:rsidR="00643AF7">
        <w:t>ů</w:t>
      </w:r>
      <w:r w:rsidRPr="006428BA">
        <w:t xml:space="preserve"> společ</w:t>
      </w:r>
      <w:r>
        <w:t>né zemědělské</w:t>
      </w:r>
      <w:r w:rsidR="004D0CFC">
        <w:t xml:space="preserve"> politiky. V </w:t>
      </w:r>
      <w:r>
        <w:t>programovém období 2014</w:t>
      </w:r>
      <w:r w:rsidR="005313C0">
        <w:t>–</w:t>
      </w:r>
      <w:r w:rsidRPr="006428BA">
        <w:t xml:space="preserve">2020 byla na úrovni Evropské </w:t>
      </w:r>
      <w:r w:rsidR="004C157C">
        <w:t>unie v zájmu lepší koordinace a </w:t>
      </w:r>
      <w:r w:rsidRPr="006428BA">
        <w:t xml:space="preserve">harmonizace provádění podpory politiky soudržnosti </w:t>
      </w:r>
      <w:r w:rsidR="004C157C">
        <w:t>přijata společná ustanovení pro</w:t>
      </w:r>
      <w:r w:rsidR="005313C0">
        <w:t xml:space="preserve"> </w:t>
      </w:r>
      <w:r w:rsidRPr="006428BA">
        <w:t xml:space="preserve">všechny evropské strukturální a investiční fondy. </w:t>
      </w:r>
    </w:p>
    <w:p w14:paraId="3400DD3E" w14:textId="7858F325" w:rsidR="00402CE1" w:rsidRDefault="00402CE1" w:rsidP="00402CE1">
      <w:pPr>
        <w:pStyle w:val="NormlnKZ"/>
        <w:spacing w:after="120"/>
      </w:pPr>
      <w:r>
        <w:t>Potřeba standardizace pravidel byla jednoznačně odůvodněna potřebou zlepšit nastavení systému čerpání evropských prostředků a vzešla z identifikace nedostatků minulého programového období 2007</w:t>
      </w:r>
      <w:r w:rsidR="005313C0">
        <w:t>–</w:t>
      </w:r>
      <w:r>
        <w:t>2013. Nebyla to pouze vůle MMR</w:t>
      </w:r>
      <w:r w:rsidR="004C157C">
        <w:t>, tuto myšlenku podpořily i </w:t>
      </w:r>
      <w:r>
        <w:t>další subjekty mající co do činění s evropskými dotacemi, např. sociálně hospodářští partneři a</w:t>
      </w:r>
      <w:r w:rsidR="000974E9">
        <w:t> </w:t>
      </w:r>
      <w:r>
        <w:t xml:space="preserve">příjemci podpory. Nejvýznamnějším motivem byl požadavek na snižování administrativní zátěže a na jednotnost pravidel. </w:t>
      </w:r>
    </w:p>
    <w:p w14:paraId="2034699E" w14:textId="412ED75C" w:rsidR="00FF632E" w:rsidRDefault="00FF632E" w:rsidP="00402CE1">
      <w:pPr>
        <w:pStyle w:val="NormlnKZ"/>
        <w:spacing w:after="120"/>
      </w:pPr>
      <w:r>
        <w:t>Zkušenosti z programového období 2007</w:t>
      </w:r>
      <w:r w:rsidR="005313C0">
        <w:t>–</w:t>
      </w:r>
      <w:r>
        <w:t xml:space="preserve">2013 byly shrnuty do materiálu </w:t>
      </w:r>
      <w:r w:rsidRPr="00FF632E">
        <w:rPr>
          <w:i/>
        </w:rPr>
        <w:t>Dop</w:t>
      </w:r>
      <w:r w:rsidR="004C157C">
        <w:rPr>
          <w:i/>
        </w:rPr>
        <w:t>oručení ke </w:t>
      </w:r>
      <w:r w:rsidRPr="00FF632E">
        <w:rPr>
          <w:i/>
        </w:rPr>
        <w:t>zjednodušení administrativní zátěže pro žadatele a příjemce při čerpání finančních prostředků z fondů EU v programovém o</w:t>
      </w:r>
      <w:r>
        <w:rPr>
          <w:i/>
        </w:rPr>
        <w:t>bdobí 2014</w:t>
      </w:r>
      <w:r w:rsidR="005313C0">
        <w:rPr>
          <w:i/>
        </w:rPr>
        <w:t>–</w:t>
      </w:r>
      <w:r w:rsidRPr="00FF632E">
        <w:rPr>
          <w:i/>
        </w:rPr>
        <w:t>2020</w:t>
      </w:r>
      <w:r w:rsidR="00FC1508">
        <w:t xml:space="preserve"> (dále též „Doporučení“)</w:t>
      </w:r>
      <w:r>
        <w:t>, který byl v březnu roku 2012 předložen na jednání vlády.</w:t>
      </w:r>
    </w:p>
    <w:p w14:paraId="15C4A0ED" w14:textId="4A62D98F" w:rsidR="00FF632E" w:rsidRDefault="00FF632E" w:rsidP="00402CE1">
      <w:pPr>
        <w:pStyle w:val="NormlnKZ"/>
        <w:spacing w:after="120"/>
      </w:pPr>
      <w:r>
        <w:t xml:space="preserve">Koncept společných pravidel, společného monitorovacího informačního systému a snaha o zjednodušení administrace jsou </w:t>
      </w:r>
      <w:r w:rsidR="000C1532">
        <w:t>mimo jiné zakomponovány</w:t>
      </w:r>
      <w:r>
        <w:t xml:space="preserve"> v </w:t>
      </w:r>
      <w:r w:rsidRPr="003D7143">
        <w:t>Dohodě o partnerství</w:t>
      </w:r>
      <w:r>
        <w:t xml:space="preserve"> </w:t>
      </w:r>
      <w:r w:rsidR="000C1532">
        <w:t xml:space="preserve">schválené vládou v dubnu 2014, kde bylo jako klíčový milník pro úspěšný start nového programového období uvedeno datum 1. </w:t>
      </w:r>
      <w:r w:rsidR="007F1675">
        <w:t>9.</w:t>
      </w:r>
      <w:r w:rsidR="000C1532">
        <w:t xml:space="preserve"> 2014</w:t>
      </w:r>
      <w:r>
        <w:t xml:space="preserve">. V souladu s tímto dokumentem, který je nutným předpokladem pro čerpání prostředků z ESI fondů, byly připravovány jednotlivé </w:t>
      </w:r>
      <w:r w:rsidR="000C1532">
        <w:t>programy a</w:t>
      </w:r>
      <w:r>
        <w:t xml:space="preserve"> poslední z nich byl ze </w:t>
      </w:r>
      <w:r w:rsidRPr="003D7143">
        <w:t xml:space="preserve">strany </w:t>
      </w:r>
      <w:r w:rsidR="00E57332" w:rsidRPr="003D7143">
        <w:t>Evropské komise (dále též „</w:t>
      </w:r>
      <w:r w:rsidR="000C1532" w:rsidRPr="003D7143">
        <w:t>Komise</w:t>
      </w:r>
      <w:r w:rsidR="00E57332" w:rsidRPr="003D7143">
        <w:t>“)</w:t>
      </w:r>
      <w:r w:rsidRPr="003D7143">
        <w:t xml:space="preserve"> schválen</w:t>
      </w:r>
      <w:r>
        <w:t xml:space="preserve"> v červnu roku 2015.</w:t>
      </w:r>
    </w:p>
    <w:p w14:paraId="335E655C" w14:textId="348F3353" w:rsidR="0076583A" w:rsidRDefault="0076583A" w:rsidP="00402CE1">
      <w:pPr>
        <w:pStyle w:val="NormlnKZ"/>
        <w:spacing w:after="120"/>
      </w:pPr>
      <w:r>
        <w:t xml:space="preserve">Konkrétní podoba </w:t>
      </w:r>
      <w:r w:rsidR="00FC1508">
        <w:t>JMP</w:t>
      </w:r>
      <w:r>
        <w:t xml:space="preserve"> byla definována v</w:t>
      </w:r>
      <w:r w:rsidR="000974E9">
        <w:t xml:space="preserve"> dokumentu </w:t>
      </w:r>
      <w:r w:rsidRPr="0076583A">
        <w:rPr>
          <w:i/>
        </w:rPr>
        <w:t>Koncepc</w:t>
      </w:r>
      <w:r w:rsidR="000974E9">
        <w:rPr>
          <w:i/>
        </w:rPr>
        <w:t>e</w:t>
      </w:r>
      <w:r w:rsidRPr="0076583A">
        <w:rPr>
          <w:i/>
        </w:rPr>
        <w:t xml:space="preserve"> jednotného metodického prostředí jako součást pro naplňování cílů Dohody o partnerství</w:t>
      </w:r>
      <w:r>
        <w:t xml:space="preserve"> </w:t>
      </w:r>
      <w:r w:rsidR="000974E9">
        <w:t xml:space="preserve">(dále též „Koncepce JMP“). Tuto koncepci vzala vláda ČR na vědomí </w:t>
      </w:r>
      <w:r>
        <w:t>v květnu 2013</w:t>
      </w:r>
      <w:r w:rsidR="00567E7B">
        <w:t xml:space="preserve"> </w:t>
      </w:r>
      <w:r w:rsidR="000974E9">
        <w:t xml:space="preserve">usnesením č. 345. </w:t>
      </w:r>
    </w:p>
    <w:p w14:paraId="47635C47" w14:textId="5331198C" w:rsidR="00BC0E4E" w:rsidRDefault="0076583A" w:rsidP="00402CE1">
      <w:pPr>
        <w:pStyle w:val="NormlnKZ"/>
        <w:spacing w:after="120"/>
      </w:pPr>
      <w:r>
        <w:t xml:space="preserve">MMR </w:t>
      </w:r>
      <w:r w:rsidR="007B42AA">
        <w:t xml:space="preserve">v Koncepci JMP </w:t>
      </w:r>
      <w:r>
        <w:t xml:space="preserve">nastavilo cíle, ukazatele a nástroje. Jedná </w:t>
      </w:r>
      <w:r w:rsidR="004C157C">
        <w:t>se o systémové nástroje a </w:t>
      </w:r>
      <w:r>
        <w:t xml:space="preserve">ukazatele, které MMR zvolilo mimo jiné s ohledem na jejich možnou měřitelnost prostřednictvím jednotného monitorovacího systému. </w:t>
      </w:r>
      <w:r w:rsidR="00BC0E4E">
        <w:t>Standardizovaná pravidla jsou zpracována do podoby metodických doporučení a metodických pokynů. Na ro</w:t>
      </w:r>
      <w:r w:rsidR="004C157C">
        <w:t>zdíl od</w:t>
      </w:r>
      <w:r w:rsidR="00A542A3">
        <w:t xml:space="preserve"> </w:t>
      </w:r>
      <w:r w:rsidR="00BC0E4E">
        <w:t>doporučení</w:t>
      </w:r>
      <w:r w:rsidR="00B81CDC">
        <w:t xml:space="preserve"> </w:t>
      </w:r>
      <w:r w:rsidR="00BC0E4E">
        <w:t xml:space="preserve">obsahují pokyny také závazná pravidla a první vydání podléhá schválení vládou. Přípravu programových dokumentů upravuje jeden metodický pokyn. Vlastní řízení programů upravuje sedmnáct pokynů a tři doporučení, které zastřešuje </w:t>
      </w:r>
      <w:r w:rsidR="00BC0E4E" w:rsidRPr="007E2CB3">
        <w:rPr>
          <w:i/>
        </w:rPr>
        <w:t>Metodika ř</w:t>
      </w:r>
      <w:r w:rsidR="004C157C">
        <w:rPr>
          <w:i/>
        </w:rPr>
        <w:t>ízení programů pro</w:t>
      </w:r>
      <w:r w:rsidR="003B26B6">
        <w:rPr>
          <w:i/>
        </w:rPr>
        <w:t xml:space="preserve"> </w:t>
      </w:r>
      <w:r w:rsidR="00BC0E4E" w:rsidRPr="007E2CB3">
        <w:rPr>
          <w:i/>
        </w:rPr>
        <w:t>programové období 2014</w:t>
      </w:r>
      <w:r w:rsidR="00A542A3">
        <w:rPr>
          <w:i/>
        </w:rPr>
        <w:t>–</w:t>
      </w:r>
      <w:r w:rsidR="00BC0E4E" w:rsidRPr="007E2CB3">
        <w:rPr>
          <w:i/>
        </w:rPr>
        <w:t>2020</w:t>
      </w:r>
      <w:r w:rsidR="00BC0E4E">
        <w:t>.</w:t>
      </w:r>
      <w:r w:rsidR="00D31A81">
        <w:t xml:space="preserve"> Podrobněji </w:t>
      </w:r>
      <w:r w:rsidR="00A542A3">
        <w:t xml:space="preserve">viz </w:t>
      </w:r>
      <w:r w:rsidR="00D31A81">
        <w:t xml:space="preserve">schéma v příloze č. 1 </w:t>
      </w:r>
      <w:r w:rsidR="007C00BA">
        <w:t>tohoto kontrolního závěru</w:t>
      </w:r>
      <w:r w:rsidR="00D31A81">
        <w:t>.</w:t>
      </w:r>
    </w:p>
    <w:p w14:paraId="49D7F22C" w14:textId="77777777" w:rsidR="00BC0E4E" w:rsidRDefault="00BC0E4E" w:rsidP="00402CE1">
      <w:pPr>
        <w:pStyle w:val="NormlnKZ"/>
        <w:spacing w:after="120"/>
      </w:pPr>
      <w:r>
        <w:t xml:space="preserve">Informační podpora </w:t>
      </w:r>
      <w:r w:rsidR="007B42AA">
        <w:t>zajišťovaná</w:t>
      </w:r>
      <w:r>
        <w:t xml:space="preserve"> prostřednictvím aplikace MS2014+ zahrnuje tři uživatelské portály CSSF14+, ISKP14+ a </w:t>
      </w:r>
      <w:proofErr w:type="spellStart"/>
      <w:r>
        <w:t>ServiceDesk</w:t>
      </w:r>
      <w:proofErr w:type="spellEnd"/>
      <w:r>
        <w:t xml:space="preserve">. Kromě produkčního prostředí, kde jsou ostrá data, aplikace disponuje referenčním a testovacím prostředím. </w:t>
      </w:r>
    </w:p>
    <w:p w14:paraId="4D10BE9B" w14:textId="45DF9CE2" w:rsidR="00DF4F54" w:rsidRDefault="000A54EE" w:rsidP="00DF4F54">
      <w:pPr>
        <w:pStyle w:val="NormlnKZ"/>
      </w:pPr>
      <w:r>
        <w:lastRenderedPageBreak/>
        <w:t>K</w:t>
      </w:r>
      <w:r w:rsidR="00DF4F54">
        <w:t>ontrolní akc</w:t>
      </w:r>
      <w:r>
        <w:t>í</w:t>
      </w:r>
      <w:r w:rsidR="00DF4F54">
        <w:t xml:space="preserve"> byla ověřena oblast metodické a informační podpory </w:t>
      </w:r>
      <w:r>
        <w:t xml:space="preserve">u </w:t>
      </w:r>
      <w:r w:rsidR="00DF4F54" w:rsidRPr="003D7143">
        <w:t xml:space="preserve">jednotlivých, již </w:t>
      </w:r>
      <w:r w:rsidR="00DB4213" w:rsidRPr="003D7143">
        <w:t>probíhajících</w:t>
      </w:r>
      <w:r w:rsidR="00DF4F54" w:rsidRPr="003D7143">
        <w:t xml:space="preserve"> fází</w:t>
      </w:r>
      <w:r w:rsidR="00DF4F54">
        <w:t xml:space="preserve"> procesu poskytování </w:t>
      </w:r>
      <w:r>
        <w:t>peněžních prostředků</w:t>
      </w:r>
      <w:r w:rsidR="00DF4F54">
        <w:t xml:space="preserve"> z ESI fondů, </w:t>
      </w:r>
      <w:r>
        <w:t>tj. u fází:</w:t>
      </w:r>
    </w:p>
    <w:p w14:paraId="166D12F5" w14:textId="1A4F979F" w:rsidR="00DF4F54" w:rsidRDefault="00DF4F54" w:rsidP="007F48BA">
      <w:pPr>
        <w:pStyle w:val="NormlnKZ"/>
        <w:numPr>
          <w:ilvl w:val="0"/>
          <w:numId w:val="3"/>
        </w:numPr>
      </w:pPr>
      <w:r>
        <w:t>vyhl</w:t>
      </w:r>
      <w:r w:rsidR="00A542A3">
        <w:t>ašování</w:t>
      </w:r>
      <w:r>
        <w:t xml:space="preserve"> výzev pro předkládání žádostí o podporu,</w:t>
      </w:r>
    </w:p>
    <w:p w14:paraId="717D01E4" w14:textId="77777777" w:rsidR="00DF4F54" w:rsidRDefault="00DF4F54" w:rsidP="007F48BA">
      <w:pPr>
        <w:pStyle w:val="NormlnKZ"/>
        <w:numPr>
          <w:ilvl w:val="0"/>
          <w:numId w:val="3"/>
        </w:numPr>
      </w:pPr>
      <w:r>
        <w:t>předkládání žádostí o podporu,</w:t>
      </w:r>
    </w:p>
    <w:p w14:paraId="63BE6D34" w14:textId="77777777" w:rsidR="00DF4F54" w:rsidRDefault="00DF4F54" w:rsidP="007F48BA">
      <w:pPr>
        <w:pStyle w:val="NormlnKZ"/>
        <w:numPr>
          <w:ilvl w:val="0"/>
          <w:numId w:val="3"/>
        </w:numPr>
      </w:pPr>
      <w:r>
        <w:t>hodnocení a schvalování žádostí o podporu,</w:t>
      </w:r>
    </w:p>
    <w:p w14:paraId="1B705AF4" w14:textId="73FC0843" w:rsidR="00D34C41" w:rsidRDefault="00DF4F54" w:rsidP="007B42AA">
      <w:pPr>
        <w:pStyle w:val="NormlnKZ"/>
        <w:numPr>
          <w:ilvl w:val="0"/>
          <w:numId w:val="3"/>
        </w:numPr>
        <w:spacing w:after="120"/>
        <w:ind w:left="714" w:hanging="357"/>
      </w:pPr>
      <w:r>
        <w:t>strategické řízení Dohody o partnerství a koordinace ESI fondů.</w:t>
      </w:r>
    </w:p>
    <w:p w14:paraId="405E0E2B" w14:textId="741CC040" w:rsidR="005377F8" w:rsidRDefault="00DF4F54" w:rsidP="007B42AA">
      <w:pPr>
        <w:pStyle w:val="NormlnKZ"/>
        <w:spacing w:after="120"/>
      </w:pPr>
      <w:r>
        <w:t>Kontrolou byly prověřeny činnosti MMR z úrovně připra</w:t>
      </w:r>
      <w:r w:rsidR="004C157C">
        <w:t>venosti metodických dokumentů a </w:t>
      </w:r>
      <w:r>
        <w:t xml:space="preserve">informační podpory k termínu 1. září 2014, dále byly ověřeny vybrané metodické dokumenty z hlediska vyřešení nedostatků vyskytujících se v minulém programovém období </w:t>
      </w:r>
      <w:r w:rsidR="00F97445">
        <w:t xml:space="preserve">a prověřena byla také </w:t>
      </w:r>
      <w:r>
        <w:t>funkčnost monitorovacího systému</w:t>
      </w:r>
      <w:r w:rsidR="002B784D">
        <w:t>, a to</w:t>
      </w:r>
      <w:r>
        <w:t xml:space="preserve"> jak na úrovni testování vybraných procesů, tak na ostrých datech</w:t>
      </w:r>
      <w:r w:rsidR="00F97445">
        <w:t xml:space="preserve"> </w:t>
      </w:r>
      <w:r>
        <w:t>z hlediska strategického řízení Dohody o partnerství a koordinace ESI</w:t>
      </w:r>
      <w:r w:rsidR="003B26B6">
        <w:t> </w:t>
      </w:r>
      <w:r>
        <w:t>fondů.</w:t>
      </w:r>
    </w:p>
    <w:p w14:paraId="7352650E" w14:textId="77777777" w:rsidR="00D918C5" w:rsidRPr="00D918C5" w:rsidRDefault="00D918C5" w:rsidP="00DF4F54">
      <w:pPr>
        <w:pStyle w:val="NormlnKZ"/>
      </w:pPr>
      <w:r>
        <w:t>NKÚ neověřoval</w:t>
      </w:r>
      <w:r w:rsidRPr="00D918C5">
        <w:t xml:space="preserve"> zakázky týkající se MS2014+. Předmětné aktivity byly v šetření Policie ČR, přezkumu Úřadu pro ochranu hospodářské soutěže </w:t>
      </w:r>
      <w:r>
        <w:t>či</w:t>
      </w:r>
      <w:r w:rsidRPr="00D918C5">
        <w:t xml:space="preserve"> v daňovém řízení příslušného správce daně.</w:t>
      </w:r>
      <w:r>
        <w:t xml:space="preserve"> </w:t>
      </w:r>
    </w:p>
    <w:p w14:paraId="3AFBB755" w14:textId="77777777" w:rsidR="00DF4F54" w:rsidRPr="00FF632E" w:rsidRDefault="00DF4F54" w:rsidP="00DF4F54">
      <w:pPr>
        <w:pStyle w:val="NormlnKZ"/>
        <w:rPr>
          <w:rStyle w:val="Siln"/>
        </w:rPr>
      </w:pPr>
    </w:p>
    <w:p w14:paraId="65B50B6C" w14:textId="77777777" w:rsidR="006D37F4" w:rsidRPr="00025972" w:rsidRDefault="006D37F4" w:rsidP="008C02DB">
      <w:pPr>
        <w:ind w:left="624" w:hanging="624"/>
        <w:rPr>
          <w:rFonts w:ascii="Calibri" w:hAnsi="Calibri" w:cs="Arial"/>
          <w:sz w:val="20"/>
          <w:szCs w:val="20"/>
          <w:lang w:eastAsia="cs-CZ"/>
        </w:rPr>
      </w:pPr>
      <w:r w:rsidRPr="00025972">
        <w:rPr>
          <w:rFonts w:ascii="Calibri" w:hAnsi="Calibri" w:cs="Arial"/>
          <w:b/>
          <w:sz w:val="20"/>
          <w:szCs w:val="20"/>
          <w:lang w:eastAsia="cs-CZ"/>
        </w:rPr>
        <w:t>Pozn.</w:t>
      </w:r>
      <w:r w:rsidR="0057791B" w:rsidRPr="00025972">
        <w:rPr>
          <w:rFonts w:ascii="Calibri" w:hAnsi="Calibri" w:cs="Arial"/>
          <w:b/>
          <w:sz w:val="20"/>
          <w:szCs w:val="20"/>
          <w:lang w:eastAsia="cs-CZ"/>
        </w:rPr>
        <w:t>:</w:t>
      </w:r>
      <w:r w:rsidRPr="00025972">
        <w:rPr>
          <w:rFonts w:ascii="Calibri" w:hAnsi="Calibri" w:cs="Arial"/>
          <w:sz w:val="20"/>
          <w:szCs w:val="20"/>
          <w:lang w:eastAsia="cs-CZ"/>
        </w:rPr>
        <w:t xml:space="preserve"> </w:t>
      </w:r>
      <w:r w:rsidR="00866C16" w:rsidRPr="00025972">
        <w:rPr>
          <w:rFonts w:ascii="Calibri" w:hAnsi="Calibri" w:cs="Arial"/>
          <w:sz w:val="20"/>
          <w:szCs w:val="20"/>
          <w:lang w:eastAsia="cs-CZ"/>
        </w:rPr>
        <w:tab/>
      </w:r>
      <w:r w:rsidRPr="00025972">
        <w:rPr>
          <w:rFonts w:ascii="Calibri" w:hAnsi="Calibri" w:cs="Arial"/>
          <w:sz w:val="20"/>
          <w:szCs w:val="20"/>
          <w:lang w:eastAsia="cs-CZ"/>
        </w:rPr>
        <w:t>Právní a jiné předpisy jsou</w:t>
      </w:r>
      <w:r w:rsidR="00064F17">
        <w:rPr>
          <w:rFonts w:ascii="Calibri" w:hAnsi="Calibri" w:cs="Arial"/>
          <w:sz w:val="20"/>
          <w:szCs w:val="20"/>
          <w:lang w:eastAsia="cs-CZ"/>
        </w:rPr>
        <w:t xml:space="preserve"> v tomto kontrolním závěru</w:t>
      </w:r>
      <w:r w:rsidRPr="00025972">
        <w:rPr>
          <w:rFonts w:ascii="Calibri" w:hAnsi="Calibri" w:cs="Arial"/>
          <w:sz w:val="20"/>
          <w:szCs w:val="20"/>
          <w:lang w:eastAsia="cs-CZ"/>
        </w:rPr>
        <w:t xml:space="preserve"> </w:t>
      </w:r>
      <w:r w:rsidR="00064F17">
        <w:rPr>
          <w:rFonts w:ascii="Calibri" w:hAnsi="Calibri" w:cs="Arial"/>
          <w:sz w:val="20"/>
          <w:szCs w:val="20"/>
          <w:lang w:eastAsia="cs-CZ"/>
        </w:rPr>
        <w:t>aplikovány</w:t>
      </w:r>
      <w:r w:rsidRPr="00025972">
        <w:rPr>
          <w:rFonts w:ascii="Calibri" w:hAnsi="Calibri" w:cs="Arial"/>
          <w:sz w:val="20"/>
          <w:szCs w:val="20"/>
          <w:lang w:eastAsia="cs-CZ"/>
        </w:rPr>
        <w:t xml:space="preserve"> ve znění účinném pro příslušné kontrolované období.</w:t>
      </w:r>
    </w:p>
    <w:p w14:paraId="6D841C60" w14:textId="77777777" w:rsidR="0019462C" w:rsidRDefault="0019462C" w:rsidP="008C02DB">
      <w:pPr>
        <w:ind w:left="624" w:hanging="624"/>
        <w:rPr>
          <w:rFonts w:ascii="Calibri" w:hAnsi="Calibri" w:cs="Arial"/>
          <w:sz w:val="24"/>
          <w:lang w:eastAsia="cs-CZ"/>
        </w:rPr>
      </w:pPr>
    </w:p>
    <w:p w14:paraId="00418F88" w14:textId="77777777" w:rsidR="00A93342" w:rsidRDefault="00A93342" w:rsidP="008C02DB">
      <w:pPr>
        <w:ind w:left="624" w:hanging="624"/>
        <w:rPr>
          <w:rFonts w:ascii="Calibri" w:hAnsi="Calibri" w:cs="Arial"/>
          <w:sz w:val="24"/>
          <w:lang w:eastAsia="cs-CZ"/>
        </w:rPr>
      </w:pPr>
    </w:p>
    <w:p w14:paraId="6E2C033C" w14:textId="77777777" w:rsidR="00BE3F75" w:rsidRPr="00955518" w:rsidRDefault="00BE3F75" w:rsidP="00500E95">
      <w:pPr>
        <w:jc w:val="center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II</w:t>
      </w:r>
      <w:r w:rsidRPr="00955518">
        <w:rPr>
          <w:rFonts w:ascii="Calibri" w:hAnsi="Calibri" w:cs="Calibri"/>
          <w:b/>
          <w:bCs/>
          <w:sz w:val="28"/>
        </w:rPr>
        <w:t>. Podrobné informace o zjištěných skutečnostech</w:t>
      </w:r>
    </w:p>
    <w:p w14:paraId="298502CB" w14:textId="77777777" w:rsidR="00BE3F75" w:rsidRDefault="00BE3F75" w:rsidP="00500E95">
      <w:pPr>
        <w:rPr>
          <w:rFonts w:ascii="Calibri" w:hAnsi="Calibri" w:cs="Calibri"/>
          <w:bCs/>
          <w:sz w:val="24"/>
        </w:rPr>
      </w:pPr>
    </w:p>
    <w:p w14:paraId="6EC9007B" w14:textId="7E0ACA0A" w:rsidR="00BC78CC" w:rsidRDefault="00BC78CC" w:rsidP="00500E95">
      <w:pPr>
        <w:numPr>
          <w:ilvl w:val="0"/>
          <w:numId w:val="5"/>
        </w:numPr>
        <w:ind w:left="284" w:hanging="284"/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Standardizace metodických pravidel pro poskytování podpor z ESI fondů</w:t>
      </w:r>
    </w:p>
    <w:p w14:paraId="30246D9D" w14:textId="77777777" w:rsidR="006F50E0" w:rsidRDefault="006F50E0" w:rsidP="00500E95">
      <w:pPr>
        <w:rPr>
          <w:rFonts w:ascii="Calibri" w:hAnsi="Calibri" w:cs="Arial"/>
          <w:sz w:val="24"/>
        </w:rPr>
      </w:pPr>
    </w:p>
    <w:p w14:paraId="008DEE7D" w14:textId="77777777" w:rsidR="001E3591" w:rsidRPr="00EA2A75" w:rsidRDefault="001E3591" w:rsidP="00500E95">
      <w:pPr>
        <w:pStyle w:val="Nadpis2"/>
      </w:pPr>
      <w:r w:rsidRPr="00EA2A75">
        <w:t>MMR jako centrální koordinátor</w:t>
      </w:r>
      <w:r w:rsidR="00C24D56">
        <w:t xml:space="preserve"> </w:t>
      </w:r>
    </w:p>
    <w:p w14:paraId="6002EBB4" w14:textId="55885A2D" w:rsidR="001E3591" w:rsidRPr="005A413E" w:rsidRDefault="00140032" w:rsidP="001E3591">
      <w:pPr>
        <w:spacing w:after="120"/>
        <w:rPr>
          <w:rFonts w:ascii="Calibri" w:hAnsi="Calibri" w:cs="Arial"/>
          <w:sz w:val="24"/>
        </w:rPr>
      </w:pPr>
      <w:r>
        <w:rPr>
          <w:rFonts w:ascii="Calibri" w:eastAsia="Calibri" w:hAnsi="Calibri" w:cs="Calibri"/>
          <w:sz w:val="24"/>
        </w:rPr>
        <w:t>Ve srovnání s předchozím programovým obdobím byla role MMR jako centrálního koordinátora ESI fondů posílena přímým vymezením oprávnění ministerstva k vydávání řídicích aktů pro řídicí orgány v zákoně o podpoře regionálního rozvoje</w:t>
      </w:r>
      <w:r w:rsidR="009F59A4">
        <w:rPr>
          <w:rStyle w:val="Znakapoznpodarou"/>
          <w:rFonts w:ascii="Calibri" w:eastAsia="Calibri" w:hAnsi="Calibri" w:cs="Calibri"/>
          <w:sz w:val="24"/>
        </w:rPr>
        <w:footnoteReference w:id="4"/>
      </w:r>
      <w:r>
        <w:rPr>
          <w:rFonts w:ascii="Calibri" w:eastAsia="Calibri" w:hAnsi="Calibri" w:cs="Calibri"/>
          <w:sz w:val="24"/>
        </w:rPr>
        <w:t xml:space="preserve">, čímž byl odstraněn jeden z identifikovaných problémů. Tato změna však nastala až v době, kdy již byly vydány všechny metodické pokyny a doporučení tvořící jednotné metodické prostředí. Závaznost těchto dokumentů, </w:t>
      </w:r>
      <w:r w:rsidR="00621714">
        <w:rPr>
          <w:rFonts w:ascii="Calibri" w:eastAsia="Calibri" w:hAnsi="Calibri" w:cs="Calibri"/>
          <w:sz w:val="24"/>
        </w:rPr>
        <w:t xml:space="preserve">určených </w:t>
      </w:r>
      <w:r w:rsidRPr="003D7143">
        <w:rPr>
          <w:rFonts w:ascii="Calibri" w:eastAsia="Calibri" w:hAnsi="Calibri" w:cs="Calibri"/>
          <w:sz w:val="24"/>
        </w:rPr>
        <w:t xml:space="preserve">primárně pro </w:t>
      </w:r>
      <w:r w:rsidR="009F7D9E">
        <w:rPr>
          <w:rFonts w:ascii="Calibri" w:eastAsia="Calibri" w:hAnsi="Calibri" w:cs="Calibri"/>
          <w:sz w:val="24"/>
        </w:rPr>
        <w:t>orgány</w:t>
      </w:r>
      <w:r w:rsidRPr="003D7143">
        <w:rPr>
          <w:rFonts w:ascii="Calibri" w:eastAsia="Calibri" w:hAnsi="Calibri" w:cs="Calibri"/>
          <w:sz w:val="24"/>
        </w:rPr>
        <w:t xml:space="preserve"> státní správy, které jsou řídicím orgánem, byla řešena u</w:t>
      </w:r>
      <w:r>
        <w:rPr>
          <w:rFonts w:ascii="Calibri" w:eastAsia="Calibri" w:hAnsi="Calibri" w:cs="Calibri"/>
          <w:sz w:val="24"/>
        </w:rPr>
        <w:t xml:space="preserve">sneseními vlády. Výraznější význam </w:t>
      </w:r>
      <w:r w:rsidR="007C00BA">
        <w:rPr>
          <w:rFonts w:ascii="Calibri" w:eastAsia="Calibri" w:hAnsi="Calibri" w:cs="Calibri"/>
          <w:sz w:val="24"/>
        </w:rPr>
        <w:t>má tato právní úprava pro </w:t>
      </w:r>
      <w:r>
        <w:rPr>
          <w:rFonts w:ascii="Calibri" w:eastAsia="Calibri" w:hAnsi="Calibri" w:cs="Calibri"/>
          <w:sz w:val="24"/>
        </w:rPr>
        <w:t xml:space="preserve">případné budoucí modifikace metodického prostředí a pro určení závaznosti řídicích aktů vydaných MMR pro řídicí orgány, které jsou tvořeny subjekty samosprávných celků a </w:t>
      </w:r>
      <w:r w:rsidR="00621714">
        <w:rPr>
          <w:rFonts w:ascii="Calibri" w:eastAsia="Calibri" w:hAnsi="Calibri" w:cs="Calibri"/>
          <w:sz w:val="24"/>
        </w:rPr>
        <w:t xml:space="preserve">pro které jsou </w:t>
      </w:r>
      <w:r>
        <w:rPr>
          <w:rFonts w:ascii="Calibri" w:eastAsia="Calibri" w:hAnsi="Calibri" w:cs="Calibri"/>
          <w:sz w:val="24"/>
        </w:rPr>
        <w:t xml:space="preserve">usnesení vlády pouze doporučující. </w:t>
      </w:r>
      <w:r w:rsidR="001E3591" w:rsidRPr="005A413E">
        <w:rPr>
          <w:rFonts w:ascii="Calibri" w:hAnsi="Calibri" w:cs="Arial"/>
          <w:sz w:val="24"/>
        </w:rPr>
        <w:t xml:space="preserve"> </w:t>
      </w:r>
    </w:p>
    <w:p w14:paraId="7C0A5759" w14:textId="5A3EA89E" w:rsidR="00140032" w:rsidRDefault="00140032" w:rsidP="00140032">
      <w:pPr>
        <w:spacing w:after="1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Naopak k určitému omezení pozice MMR při provádění role národního koordinátora přispívá stanovení výjimky ze závaznosti JMP pro řídicí orgán </w:t>
      </w:r>
      <w:r>
        <w:rPr>
          <w:rFonts w:ascii="Calibri" w:eastAsia="Calibri" w:hAnsi="Calibri" w:cs="Calibri"/>
          <w:i/>
          <w:sz w:val="24"/>
        </w:rPr>
        <w:t>Programu rozvoje venkova na období 2014</w:t>
      </w:r>
      <w:r w:rsidR="00621714">
        <w:rPr>
          <w:rFonts w:ascii="Calibri" w:eastAsia="Calibri" w:hAnsi="Calibri" w:cs="Calibri"/>
          <w:i/>
          <w:sz w:val="24"/>
        </w:rPr>
        <w:t>–</w:t>
      </w:r>
      <w:r>
        <w:rPr>
          <w:rFonts w:ascii="Calibri" w:eastAsia="Calibri" w:hAnsi="Calibri" w:cs="Calibri"/>
          <w:i/>
          <w:sz w:val="24"/>
        </w:rPr>
        <w:t>2020</w:t>
      </w:r>
      <w:r>
        <w:rPr>
          <w:rFonts w:ascii="Calibri" w:eastAsia="Calibri" w:hAnsi="Calibri" w:cs="Calibri"/>
          <w:sz w:val="24"/>
        </w:rPr>
        <w:t xml:space="preserve">. Ministerstvo zemědělství usilovalo o udělení výjimky již od předložení prvních návrhů záměrů metodických dokumentů. V červenci 2015 vláda doporučila ministru zemědělství, aby postupoval při řízení PRV v souladu se schválenými metodickými pokyny. Vzhledem k tomu, že zároveň dle zákona o podpoře regionálního rozvoje musí postupy spojené s prováděním PRV vycházet z jednotného metodického rámce, byla síla udělené výjimky redukována. Vzniklý stav vyžaduje úzkou spolupráci mezi oběma ministerstvy, což </w:t>
      </w:r>
      <w:r>
        <w:rPr>
          <w:rFonts w:ascii="Calibri" w:eastAsia="Calibri" w:hAnsi="Calibri" w:cs="Calibri"/>
          <w:sz w:val="24"/>
        </w:rPr>
        <w:lastRenderedPageBreak/>
        <w:t>klade vyšší administrativní nároky na obou stranách. V konečném důsledku udělená výjimka vyústila v existenci pravidel zvlášť pro PRV a zvlášť pro ostatní programy.</w:t>
      </w:r>
    </w:p>
    <w:p w14:paraId="33C5FAFA" w14:textId="05AB56F5" w:rsidR="00140032" w:rsidRDefault="00140032" w:rsidP="00140032">
      <w:pPr>
        <w:rPr>
          <w:rFonts w:ascii="Calibri" w:eastAsia="Calibri" w:hAnsi="Calibri" w:cs="Calibri"/>
          <w:sz w:val="24"/>
        </w:rPr>
      </w:pPr>
      <w:r w:rsidRPr="003D7143">
        <w:rPr>
          <w:rFonts w:ascii="Calibri" w:eastAsia="Calibri" w:hAnsi="Calibri" w:cs="Calibri"/>
          <w:sz w:val="24"/>
        </w:rPr>
        <w:t>NKÚ provedl srovnání pozice slovenského (</w:t>
      </w:r>
      <w:proofErr w:type="spellStart"/>
      <w:r w:rsidR="00F80DA3">
        <w:rPr>
          <w:rFonts w:ascii="Calibri" w:eastAsia="Calibri" w:hAnsi="Calibri" w:cs="Calibri"/>
          <w:sz w:val="24"/>
        </w:rPr>
        <w:t>c</w:t>
      </w:r>
      <w:r w:rsidRPr="003D7143">
        <w:rPr>
          <w:rFonts w:ascii="Calibri" w:eastAsia="Calibri" w:hAnsi="Calibri" w:cs="Calibri"/>
          <w:sz w:val="24"/>
        </w:rPr>
        <w:t>entrálny</w:t>
      </w:r>
      <w:proofErr w:type="spellEnd"/>
      <w:r w:rsidRPr="003D7143">
        <w:rPr>
          <w:rFonts w:ascii="Calibri" w:eastAsia="Calibri" w:hAnsi="Calibri" w:cs="Calibri"/>
          <w:sz w:val="24"/>
        </w:rPr>
        <w:t xml:space="preserve"> </w:t>
      </w:r>
      <w:proofErr w:type="spellStart"/>
      <w:r w:rsidRPr="003D7143">
        <w:rPr>
          <w:rFonts w:ascii="Calibri" w:eastAsia="Calibri" w:hAnsi="Calibri" w:cs="Calibri"/>
          <w:sz w:val="24"/>
        </w:rPr>
        <w:t>koordinačný</w:t>
      </w:r>
      <w:proofErr w:type="spellEnd"/>
      <w:r w:rsidRPr="003D7143">
        <w:rPr>
          <w:rFonts w:ascii="Calibri" w:eastAsia="Calibri" w:hAnsi="Calibri" w:cs="Calibri"/>
          <w:sz w:val="24"/>
        </w:rPr>
        <w:t xml:space="preserve"> orgán) a českého (</w:t>
      </w:r>
      <w:r w:rsidR="00F80DA3">
        <w:rPr>
          <w:rFonts w:ascii="Calibri" w:eastAsia="Calibri" w:hAnsi="Calibri" w:cs="Calibri"/>
          <w:sz w:val="24"/>
        </w:rPr>
        <w:t>n</w:t>
      </w:r>
      <w:r w:rsidRPr="003D7143">
        <w:rPr>
          <w:rFonts w:ascii="Calibri" w:eastAsia="Calibri" w:hAnsi="Calibri" w:cs="Calibri"/>
          <w:sz w:val="24"/>
        </w:rPr>
        <w:t>árodní orgán pro</w:t>
      </w:r>
      <w:r w:rsidR="00621714">
        <w:rPr>
          <w:rFonts w:ascii="Calibri" w:eastAsia="Calibri" w:hAnsi="Calibri" w:cs="Calibri"/>
          <w:sz w:val="24"/>
        </w:rPr>
        <w:t xml:space="preserve"> </w:t>
      </w:r>
      <w:r w:rsidRPr="003D7143">
        <w:rPr>
          <w:rFonts w:ascii="Calibri" w:eastAsia="Calibri" w:hAnsi="Calibri" w:cs="Calibri"/>
          <w:sz w:val="24"/>
        </w:rPr>
        <w:t>koordinaci) koordinátora ESI fondů s tím, že jejich postavení je obdobné.</w:t>
      </w:r>
      <w:r>
        <w:rPr>
          <w:rFonts w:ascii="Calibri" w:eastAsia="Calibri" w:hAnsi="Calibri" w:cs="Calibri"/>
          <w:sz w:val="24"/>
        </w:rPr>
        <w:t xml:space="preserve"> Kompetence pro výkon </w:t>
      </w:r>
      <w:r w:rsidR="00621714">
        <w:rPr>
          <w:rFonts w:ascii="Calibri" w:eastAsia="Calibri" w:hAnsi="Calibri" w:cs="Calibri"/>
          <w:sz w:val="24"/>
        </w:rPr>
        <w:t>této</w:t>
      </w:r>
      <w:r>
        <w:rPr>
          <w:rFonts w:ascii="Calibri" w:eastAsia="Calibri" w:hAnsi="Calibri" w:cs="Calibri"/>
          <w:sz w:val="24"/>
        </w:rPr>
        <w:t xml:space="preserve"> rol</w:t>
      </w:r>
      <w:r w:rsidR="00621714">
        <w:rPr>
          <w:rFonts w:ascii="Calibri" w:eastAsia="Calibri" w:hAnsi="Calibri" w:cs="Calibri"/>
          <w:sz w:val="24"/>
        </w:rPr>
        <w:t>e</w:t>
      </w:r>
      <w:r>
        <w:rPr>
          <w:rFonts w:ascii="Calibri" w:eastAsia="Calibri" w:hAnsi="Calibri" w:cs="Calibri"/>
          <w:sz w:val="24"/>
        </w:rPr>
        <w:t xml:space="preserve"> jsou v obou případech zakotveny v zákoně a delegovány na</w:t>
      </w:r>
      <w:r w:rsidR="00621714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některý z úřadů ústřední státní správy. V českém prostředí plní funkci jedno z ministerstev, které je navíc samo řídicím orgánem několika operačních programů. Činnost slovenského koordinátora je vykonávána úřadem místopředsedy vlády, který je zapojen do jednoho z operačních programů v pozici zprostředkujícího subjektu.</w:t>
      </w:r>
    </w:p>
    <w:p w14:paraId="45ED38BE" w14:textId="5E8E867C" w:rsidR="001E3591" w:rsidRDefault="00140032" w:rsidP="00140032">
      <w:pPr>
        <w:rPr>
          <w:rFonts w:ascii="Calibri" w:hAnsi="Calibri" w:cs="Arial"/>
          <w:sz w:val="24"/>
        </w:rPr>
      </w:pPr>
      <w:r>
        <w:rPr>
          <w:rFonts w:ascii="Calibri" w:eastAsia="Calibri" w:hAnsi="Calibri" w:cs="Calibri"/>
          <w:sz w:val="24"/>
        </w:rPr>
        <w:t>V České republice ani na Slovensku tedy úřad zabezpečující úlohu koordinačního orgánu nestojí plně mimo strukturu řídicích orgánů, respektive zprostředkujících subjektů.</w:t>
      </w:r>
    </w:p>
    <w:p w14:paraId="38A6B08F" w14:textId="77777777" w:rsidR="0083783E" w:rsidRPr="005A413E" w:rsidRDefault="0083783E" w:rsidP="0083783E">
      <w:pPr>
        <w:rPr>
          <w:rFonts w:ascii="Calibri" w:hAnsi="Calibri" w:cs="Arial"/>
          <w:sz w:val="24"/>
        </w:rPr>
      </w:pPr>
    </w:p>
    <w:p w14:paraId="6DD02820" w14:textId="77777777" w:rsidR="001E3591" w:rsidRPr="001E3591" w:rsidRDefault="001E3591" w:rsidP="00EA2A75">
      <w:pPr>
        <w:pStyle w:val="Nadpis2"/>
      </w:pPr>
      <w:r w:rsidRPr="001E3591">
        <w:t>Dodržování pravidel a jejich vymahatelnost</w:t>
      </w:r>
    </w:p>
    <w:p w14:paraId="65A04D15" w14:textId="13C08609" w:rsidR="001E3591" w:rsidRPr="005A413E" w:rsidRDefault="001E3591" w:rsidP="001E3591">
      <w:pPr>
        <w:spacing w:after="120"/>
        <w:rPr>
          <w:rFonts w:ascii="Calibri" w:hAnsi="Calibri" w:cs="Arial"/>
          <w:sz w:val="24"/>
        </w:rPr>
      </w:pPr>
      <w:r w:rsidRPr="005A413E">
        <w:rPr>
          <w:rFonts w:ascii="Calibri" w:hAnsi="Calibri" w:cs="Arial"/>
          <w:sz w:val="24"/>
        </w:rPr>
        <w:t xml:space="preserve">Na stanovení kompetence vydávat závazné řídicí akty a na stanovení povinnosti se jimi řídit byl kladen značný důraz, jsou zakotveny v </w:t>
      </w:r>
      <w:r w:rsidRPr="005A2891">
        <w:rPr>
          <w:rFonts w:ascii="Calibri" w:hAnsi="Calibri" w:cs="Arial"/>
          <w:i/>
          <w:sz w:val="24"/>
        </w:rPr>
        <w:t xml:space="preserve">Pravidlech </w:t>
      </w:r>
      <w:r w:rsidR="005A2891" w:rsidRPr="005A2891">
        <w:rPr>
          <w:rFonts w:ascii="Calibri" w:hAnsi="Calibri" w:cs="Arial"/>
          <w:i/>
          <w:sz w:val="24"/>
        </w:rPr>
        <w:t xml:space="preserve">řízení a koordinace </w:t>
      </w:r>
      <w:r w:rsidR="0083783E">
        <w:rPr>
          <w:rFonts w:ascii="Calibri" w:hAnsi="Calibri" w:cs="Arial"/>
          <w:i/>
          <w:sz w:val="24"/>
        </w:rPr>
        <w:t>Dohody o </w:t>
      </w:r>
      <w:r w:rsidRPr="005A2891">
        <w:rPr>
          <w:rFonts w:ascii="Calibri" w:hAnsi="Calibri" w:cs="Arial"/>
          <w:i/>
          <w:sz w:val="24"/>
        </w:rPr>
        <w:t xml:space="preserve">partnerství </w:t>
      </w:r>
      <w:r w:rsidR="005A2891" w:rsidRPr="005A2891">
        <w:rPr>
          <w:rFonts w:ascii="Calibri" w:hAnsi="Calibri" w:cs="Arial"/>
          <w:i/>
          <w:sz w:val="24"/>
        </w:rPr>
        <w:t>v programovém období 2014–2020</w:t>
      </w:r>
      <w:r w:rsidR="005A2891">
        <w:rPr>
          <w:rFonts w:ascii="Calibri" w:hAnsi="Calibri" w:cs="Arial"/>
          <w:sz w:val="24"/>
        </w:rPr>
        <w:t xml:space="preserve"> </w:t>
      </w:r>
      <w:r w:rsidR="00035803">
        <w:rPr>
          <w:rFonts w:ascii="Calibri" w:hAnsi="Calibri" w:cs="Arial"/>
          <w:sz w:val="24"/>
        </w:rPr>
        <w:t xml:space="preserve">(dále též „Pravidla Dohody o partnerství“) </w:t>
      </w:r>
      <w:r>
        <w:rPr>
          <w:rFonts w:ascii="Calibri" w:hAnsi="Calibri" w:cs="Arial"/>
          <w:sz w:val="24"/>
        </w:rPr>
        <w:t>a v zákoně o </w:t>
      </w:r>
      <w:r w:rsidRPr="005A413E">
        <w:rPr>
          <w:rFonts w:ascii="Calibri" w:hAnsi="Calibri" w:cs="Arial"/>
          <w:sz w:val="24"/>
        </w:rPr>
        <w:t>podpoře regionálního rozvoje. Naopak odpovědnost za dohled nad dodržováním té</w:t>
      </w:r>
      <w:r>
        <w:rPr>
          <w:rFonts w:ascii="Calibri" w:hAnsi="Calibri" w:cs="Arial"/>
          <w:sz w:val="24"/>
        </w:rPr>
        <w:t>to povinnosti</w:t>
      </w:r>
      <w:r w:rsidRPr="005A413E">
        <w:rPr>
          <w:rFonts w:ascii="Calibri" w:hAnsi="Calibri" w:cs="Arial"/>
          <w:sz w:val="24"/>
        </w:rPr>
        <w:t>, stejně jako přímé nástroje pro zajištění vy</w:t>
      </w:r>
      <w:r>
        <w:rPr>
          <w:rFonts w:ascii="Calibri" w:hAnsi="Calibri" w:cs="Arial"/>
          <w:sz w:val="24"/>
        </w:rPr>
        <w:t xml:space="preserve">mahatelnosti při </w:t>
      </w:r>
      <w:r w:rsidR="009F59A4" w:rsidRPr="003D7143">
        <w:rPr>
          <w:rFonts w:ascii="Calibri" w:hAnsi="Calibri" w:cs="Arial"/>
          <w:sz w:val="24"/>
        </w:rPr>
        <w:t>jejím</w:t>
      </w:r>
      <w:r w:rsidR="009F59A4">
        <w:rPr>
          <w:rFonts w:ascii="Calibri" w:hAnsi="Calibri" w:cs="Arial"/>
          <w:sz w:val="24"/>
        </w:rPr>
        <w:t xml:space="preserve"> </w:t>
      </w:r>
      <w:r>
        <w:rPr>
          <w:rFonts w:ascii="Calibri" w:hAnsi="Calibri" w:cs="Arial"/>
          <w:sz w:val="24"/>
        </w:rPr>
        <w:t>nedodržování v </w:t>
      </w:r>
      <w:r w:rsidRPr="005A413E">
        <w:rPr>
          <w:rFonts w:ascii="Calibri" w:hAnsi="Calibri" w:cs="Arial"/>
          <w:sz w:val="24"/>
        </w:rPr>
        <w:t>Pravidlech Do</w:t>
      </w:r>
      <w:r>
        <w:rPr>
          <w:rFonts w:ascii="Calibri" w:hAnsi="Calibri" w:cs="Arial"/>
          <w:sz w:val="24"/>
        </w:rPr>
        <w:t>hody o partnerství</w:t>
      </w:r>
      <w:r w:rsidR="0083783E">
        <w:rPr>
          <w:rFonts w:ascii="Calibri" w:hAnsi="Calibri" w:cs="Arial"/>
          <w:sz w:val="24"/>
        </w:rPr>
        <w:t xml:space="preserve"> ani v </w:t>
      </w:r>
      <w:r w:rsidRPr="005A413E">
        <w:rPr>
          <w:rFonts w:ascii="Calibri" w:hAnsi="Calibri" w:cs="Arial"/>
          <w:sz w:val="24"/>
        </w:rPr>
        <w:t xml:space="preserve">zákoně stanoveny nebyly.  </w:t>
      </w:r>
    </w:p>
    <w:p w14:paraId="51BA0967" w14:textId="6A2753B3" w:rsidR="001E3591" w:rsidRDefault="001E3591" w:rsidP="00140032">
      <w:pPr>
        <w:spacing w:after="120"/>
        <w:rPr>
          <w:rFonts w:ascii="Calibri" w:hAnsi="Calibri" w:cs="Arial"/>
          <w:sz w:val="24"/>
        </w:rPr>
      </w:pPr>
      <w:r w:rsidRPr="005A413E">
        <w:rPr>
          <w:rFonts w:ascii="Calibri" w:hAnsi="Calibri" w:cs="Arial"/>
          <w:sz w:val="24"/>
        </w:rPr>
        <w:t>Možnost vymáhat soulad nastavení pr</w:t>
      </w:r>
      <w:r>
        <w:rPr>
          <w:rFonts w:ascii="Calibri" w:hAnsi="Calibri" w:cs="Arial"/>
          <w:sz w:val="24"/>
        </w:rPr>
        <w:t>avidel a postupů jednotlivých programů</w:t>
      </w:r>
      <w:r w:rsidRPr="005A413E">
        <w:rPr>
          <w:rFonts w:ascii="Calibri" w:hAnsi="Calibri" w:cs="Arial"/>
          <w:sz w:val="24"/>
        </w:rPr>
        <w:t xml:space="preserve"> s pravidly JMP má MMR na úrovni přípravy a zpracování řídicí dokumentace a dokumentů pro žadatele </w:t>
      </w:r>
      <w:r w:rsidR="004C157C">
        <w:rPr>
          <w:rFonts w:ascii="Calibri" w:hAnsi="Calibri" w:cs="Arial"/>
          <w:sz w:val="24"/>
        </w:rPr>
        <w:t>a </w:t>
      </w:r>
      <w:r w:rsidRPr="005A413E">
        <w:rPr>
          <w:rFonts w:ascii="Calibri" w:hAnsi="Calibri" w:cs="Arial"/>
          <w:sz w:val="24"/>
        </w:rPr>
        <w:t xml:space="preserve">příjemce. V rámci svých kompetencí má MMR možnost sledovat </w:t>
      </w:r>
      <w:r>
        <w:rPr>
          <w:rFonts w:ascii="Calibri" w:hAnsi="Calibri" w:cs="Arial"/>
          <w:sz w:val="24"/>
        </w:rPr>
        <w:t>program</w:t>
      </w:r>
      <w:r w:rsidRPr="005A413E">
        <w:rPr>
          <w:rFonts w:ascii="Calibri" w:hAnsi="Calibri" w:cs="Arial"/>
          <w:sz w:val="24"/>
        </w:rPr>
        <w:t xml:space="preserve"> a případně jej zařadit do zesíleného řízení rizik. V případě zásadních a přetrvávajících problémů </w:t>
      </w:r>
      <w:r w:rsidR="00545C2D" w:rsidRPr="005A413E">
        <w:rPr>
          <w:rFonts w:ascii="Calibri" w:hAnsi="Calibri" w:cs="Arial"/>
          <w:sz w:val="24"/>
        </w:rPr>
        <w:t xml:space="preserve">může </w:t>
      </w:r>
      <w:r w:rsidRPr="005A413E">
        <w:rPr>
          <w:rFonts w:ascii="Calibri" w:hAnsi="Calibri" w:cs="Arial"/>
          <w:sz w:val="24"/>
        </w:rPr>
        <w:t>MMR z pozice designačního orgánu navrhnout vládě ukončení designace</w:t>
      </w:r>
      <w:r w:rsidR="00310B34">
        <w:rPr>
          <w:rStyle w:val="Znakapoznpodarou"/>
          <w:rFonts w:ascii="Calibri" w:hAnsi="Calibri" w:cs="Arial"/>
          <w:sz w:val="24"/>
        </w:rPr>
        <w:footnoteReference w:id="5"/>
      </w:r>
      <w:r w:rsidRPr="005A413E">
        <w:rPr>
          <w:rFonts w:ascii="Calibri" w:hAnsi="Calibri" w:cs="Arial"/>
          <w:sz w:val="24"/>
        </w:rPr>
        <w:t xml:space="preserve"> příslušného subjektu.</w:t>
      </w:r>
      <w:r>
        <w:rPr>
          <w:rFonts w:ascii="Calibri" w:hAnsi="Calibri" w:cs="Arial"/>
          <w:sz w:val="24"/>
        </w:rPr>
        <w:t xml:space="preserve"> </w:t>
      </w:r>
      <w:r w:rsidRPr="003620ED">
        <w:rPr>
          <w:rFonts w:ascii="Calibri" w:hAnsi="Calibri" w:cs="Arial"/>
          <w:sz w:val="24"/>
        </w:rPr>
        <w:t xml:space="preserve">Dodržování konkrétních pravidel stanovených v JMP může ve svých auditech posoudit </w:t>
      </w:r>
      <w:r w:rsidR="00DE64D0">
        <w:rPr>
          <w:rFonts w:ascii="Calibri" w:hAnsi="Calibri" w:cs="Arial"/>
          <w:sz w:val="24"/>
        </w:rPr>
        <w:t>a</w:t>
      </w:r>
      <w:r w:rsidR="00C71D4D" w:rsidRPr="003620ED">
        <w:rPr>
          <w:rFonts w:ascii="Calibri" w:hAnsi="Calibri" w:cs="Arial"/>
          <w:sz w:val="24"/>
        </w:rPr>
        <w:t xml:space="preserve">uditní </w:t>
      </w:r>
      <w:r w:rsidRPr="003620ED">
        <w:rPr>
          <w:rFonts w:ascii="Calibri" w:hAnsi="Calibri" w:cs="Arial"/>
          <w:sz w:val="24"/>
        </w:rPr>
        <w:t xml:space="preserve">orgán. </w:t>
      </w:r>
    </w:p>
    <w:p w14:paraId="1330C4FF" w14:textId="31448921" w:rsidR="00140032" w:rsidRPr="00AA5821" w:rsidRDefault="00140032" w:rsidP="001E3591">
      <w:pPr>
        <w:rPr>
          <w:rFonts w:ascii="Calibri" w:hAnsi="Calibri" w:cs="Arial"/>
          <w:sz w:val="24"/>
        </w:rPr>
      </w:pPr>
      <w:r w:rsidRPr="003D7143">
        <w:rPr>
          <w:rFonts w:ascii="Calibri" w:eastAsia="Calibri" w:hAnsi="Calibri" w:cs="Calibri"/>
          <w:sz w:val="24"/>
        </w:rPr>
        <w:t xml:space="preserve">NKÚ vnímá stanovení kompetencí bez </w:t>
      </w:r>
      <w:r w:rsidR="00545C2D">
        <w:rPr>
          <w:rFonts w:ascii="Calibri" w:eastAsia="Calibri" w:hAnsi="Calibri" w:cs="Calibri"/>
          <w:sz w:val="24"/>
        </w:rPr>
        <w:t xml:space="preserve">určení </w:t>
      </w:r>
      <w:r w:rsidRPr="003D7143">
        <w:rPr>
          <w:rFonts w:ascii="Calibri" w:eastAsia="Calibri" w:hAnsi="Calibri" w:cs="Calibri"/>
          <w:sz w:val="24"/>
        </w:rPr>
        <w:t>odpovědnosti za dohled nad dodržováním povinností jako systémový nedostatek, který nepřispívá k efektivnímu poskytování podpory z ESI fondů.</w:t>
      </w:r>
    </w:p>
    <w:p w14:paraId="60FAB661" w14:textId="77777777" w:rsidR="001E3591" w:rsidRDefault="001E3591" w:rsidP="00D324A3">
      <w:pPr>
        <w:rPr>
          <w:rFonts w:ascii="Calibri" w:hAnsi="Calibri" w:cs="Arial"/>
          <w:sz w:val="24"/>
        </w:rPr>
      </w:pPr>
    </w:p>
    <w:p w14:paraId="0D33A3C6" w14:textId="52548409" w:rsidR="001E3591" w:rsidRPr="001E3591" w:rsidRDefault="00614FD9" w:rsidP="00545C2D">
      <w:pPr>
        <w:pStyle w:val="Nadpis2"/>
      </w:pPr>
      <w:r>
        <w:t>Specifika ovlivňující jednotnost pravidel</w:t>
      </w:r>
      <w:r w:rsidR="00ED45B2">
        <w:t xml:space="preserve"> </w:t>
      </w:r>
      <w:r w:rsidR="009F767B">
        <w:t>a jejich</w:t>
      </w:r>
      <w:r w:rsidR="00ED45B2">
        <w:t xml:space="preserve"> aktualizace</w:t>
      </w:r>
      <w:r w:rsidR="00545C2D">
        <w:t xml:space="preserve"> </w:t>
      </w:r>
    </w:p>
    <w:p w14:paraId="111E9210" w14:textId="59318EE8" w:rsidR="00561033" w:rsidRDefault="00436B52" w:rsidP="001E3591">
      <w:pPr>
        <w:spacing w:after="120"/>
        <w:rPr>
          <w:rFonts w:ascii="Calibri" w:hAnsi="Calibri" w:cs="Arial"/>
          <w:sz w:val="24"/>
        </w:rPr>
      </w:pPr>
      <w:r w:rsidRPr="00436B52">
        <w:rPr>
          <w:rFonts w:ascii="Calibri" w:hAnsi="Calibri" w:cs="Arial"/>
          <w:sz w:val="24"/>
        </w:rPr>
        <w:t>Jednotná pravidla pro čerpání prostředků ESI fondů MM</w:t>
      </w:r>
      <w:r w:rsidR="004C157C">
        <w:rPr>
          <w:rFonts w:ascii="Calibri" w:hAnsi="Calibri" w:cs="Arial"/>
          <w:sz w:val="24"/>
        </w:rPr>
        <w:t>R vytvářelo a aktualizovalo při </w:t>
      </w:r>
      <w:r w:rsidRPr="00436B52">
        <w:rPr>
          <w:rFonts w:ascii="Calibri" w:hAnsi="Calibri" w:cs="Arial"/>
          <w:sz w:val="24"/>
        </w:rPr>
        <w:t xml:space="preserve">zohlednění principu partnerství v rámci platforem a pracovních skupin. </w:t>
      </w:r>
      <w:r w:rsidR="004C157C">
        <w:rPr>
          <w:rFonts w:ascii="Calibri" w:hAnsi="Calibri" w:cs="Arial"/>
          <w:sz w:val="24"/>
        </w:rPr>
        <w:t>Členy platforem a </w:t>
      </w:r>
      <w:r>
        <w:rPr>
          <w:rFonts w:ascii="Calibri" w:hAnsi="Calibri" w:cs="Arial"/>
          <w:sz w:val="24"/>
        </w:rPr>
        <w:t xml:space="preserve">pracovních skupin byli mimo jiné zástupci jednotlivých řídicích orgánů programů. </w:t>
      </w:r>
      <w:r w:rsidRPr="00436B52">
        <w:rPr>
          <w:rFonts w:ascii="Calibri" w:hAnsi="Calibri" w:cs="Arial"/>
          <w:sz w:val="24"/>
        </w:rPr>
        <w:t>MMR projednávalo metodické pokyny se členy příslušných pracovních skupin, kteří k nim mohli uplatňovat své připomínky. Uplatňování tohoto principu u vybraných metodických pokynů znamenalo, že doba od předložení věcného záměru metodického pokynu do jeho schválení vládou se pohybovala v rozmezí od jedenácti do dvaceti tří měsíců.</w:t>
      </w:r>
      <w:r>
        <w:rPr>
          <w:rFonts w:ascii="Calibri" w:hAnsi="Calibri" w:cs="Arial"/>
          <w:sz w:val="24"/>
        </w:rPr>
        <w:t xml:space="preserve"> Zapracováním připomínek se taktéž v metodických pokynech zohledňovala specifi</w:t>
      </w:r>
      <w:r w:rsidR="00D324A3">
        <w:rPr>
          <w:rFonts w:ascii="Calibri" w:hAnsi="Calibri" w:cs="Arial"/>
          <w:sz w:val="24"/>
        </w:rPr>
        <w:t xml:space="preserve">čnost jednotlivých programů. </w:t>
      </w:r>
      <w:r w:rsidR="00382B43" w:rsidRPr="00035803">
        <w:rPr>
          <w:rFonts w:ascii="Calibri" w:hAnsi="Calibri" w:cs="Arial"/>
          <w:sz w:val="24"/>
        </w:rPr>
        <w:t xml:space="preserve">Přípravu pravidel také ovlivnilo vytížení zaměstnanců implementačních orgánů ukončováním </w:t>
      </w:r>
      <w:r w:rsidR="00382B43" w:rsidRPr="00035803">
        <w:rPr>
          <w:rFonts w:ascii="Calibri" w:hAnsi="Calibri" w:cs="Arial"/>
          <w:sz w:val="24"/>
        </w:rPr>
        <w:lastRenderedPageBreak/>
        <w:t>programového období 2007</w:t>
      </w:r>
      <w:r w:rsidR="003374A0">
        <w:rPr>
          <w:rFonts w:ascii="Calibri" w:hAnsi="Calibri" w:cs="Arial"/>
          <w:sz w:val="24"/>
        </w:rPr>
        <w:t>–</w:t>
      </w:r>
      <w:r w:rsidR="00382B43" w:rsidRPr="00035803">
        <w:rPr>
          <w:rFonts w:ascii="Calibri" w:hAnsi="Calibri" w:cs="Arial"/>
          <w:sz w:val="24"/>
        </w:rPr>
        <w:t>2013 při současném zapojení do nastavování programového období 2014</w:t>
      </w:r>
      <w:r w:rsidR="003374A0">
        <w:rPr>
          <w:rFonts w:ascii="Calibri" w:hAnsi="Calibri" w:cs="Arial"/>
          <w:sz w:val="24"/>
        </w:rPr>
        <w:t>–</w:t>
      </w:r>
      <w:r w:rsidR="00382B43" w:rsidRPr="00035803">
        <w:rPr>
          <w:rFonts w:ascii="Calibri" w:hAnsi="Calibri" w:cs="Arial"/>
          <w:sz w:val="24"/>
        </w:rPr>
        <w:t>2020.</w:t>
      </w:r>
      <w:r w:rsidR="00382B43">
        <w:rPr>
          <w:rFonts w:ascii="Calibri" w:hAnsi="Calibri" w:cs="Arial"/>
          <w:sz w:val="24"/>
        </w:rPr>
        <w:t xml:space="preserve"> </w:t>
      </w:r>
    </w:p>
    <w:p w14:paraId="5CD62CF4" w14:textId="2AF85F58" w:rsidR="008A05C4" w:rsidRPr="008A05C4" w:rsidRDefault="008A05C4" w:rsidP="008A0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284" w:right="283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P</w:t>
      </w:r>
      <w:r w:rsidRPr="008A05C4">
        <w:rPr>
          <w:rFonts w:ascii="Calibri" w:hAnsi="Calibri" w:cs="Arial"/>
          <w:sz w:val="24"/>
        </w:rPr>
        <w:t xml:space="preserve">ři přípravě </w:t>
      </w:r>
      <w:r w:rsidRPr="008A05C4">
        <w:rPr>
          <w:rFonts w:ascii="Calibri" w:hAnsi="Calibri" w:cs="Arial"/>
          <w:i/>
          <w:sz w:val="24"/>
        </w:rPr>
        <w:t>Metodického pokynu pro využití integrovaných nástrojů v programovém období 2014</w:t>
      </w:r>
      <w:r w:rsidR="003374A0">
        <w:rPr>
          <w:rFonts w:ascii="Calibri" w:hAnsi="Calibri" w:cs="Arial"/>
          <w:i/>
          <w:sz w:val="24"/>
        </w:rPr>
        <w:t>–</w:t>
      </w:r>
      <w:r w:rsidRPr="008A05C4">
        <w:rPr>
          <w:rFonts w:ascii="Calibri" w:hAnsi="Calibri" w:cs="Arial"/>
          <w:i/>
          <w:sz w:val="24"/>
        </w:rPr>
        <w:t>2020</w:t>
      </w:r>
      <w:r w:rsidRPr="008A05C4">
        <w:rPr>
          <w:rFonts w:ascii="Calibri" w:hAnsi="Calibri" w:cs="Arial"/>
          <w:sz w:val="24"/>
        </w:rPr>
        <w:t xml:space="preserve"> probíhala časově i věcně náročná debata se zástupci tzv. regionálních partnerů (Asociace krajů ČR, Svaz měst a obcí ČR, Národn</w:t>
      </w:r>
      <w:r w:rsidR="00905289">
        <w:rPr>
          <w:rFonts w:ascii="Calibri" w:hAnsi="Calibri" w:cs="Arial"/>
          <w:sz w:val="24"/>
        </w:rPr>
        <w:t>í síť místních akčních skupin a</w:t>
      </w:r>
      <w:r w:rsidR="00581D80">
        <w:rPr>
          <w:rFonts w:ascii="Calibri" w:hAnsi="Calibri" w:cs="Arial"/>
          <w:sz w:val="24"/>
        </w:rPr>
        <w:t> </w:t>
      </w:r>
      <w:r w:rsidRPr="008A05C4">
        <w:rPr>
          <w:rFonts w:ascii="Calibri" w:hAnsi="Calibri" w:cs="Arial"/>
          <w:sz w:val="24"/>
        </w:rPr>
        <w:t>Sdružení místních samospráv) o podobě tzv. územní a urbánní dimenze.</w:t>
      </w:r>
      <w:r>
        <w:rPr>
          <w:rFonts w:ascii="Calibri" w:hAnsi="Calibri" w:cs="Arial"/>
          <w:sz w:val="24"/>
        </w:rPr>
        <w:t xml:space="preserve"> </w:t>
      </w:r>
      <w:r w:rsidRPr="008A05C4">
        <w:rPr>
          <w:rFonts w:ascii="Calibri" w:hAnsi="Calibri" w:cs="Arial"/>
          <w:sz w:val="24"/>
        </w:rPr>
        <w:t xml:space="preserve">Od okamžiku, kdy </w:t>
      </w:r>
      <w:r w:rsidR="00C71D4D">
        <w:rPr>
          <w:rFonts w:ascii="Calibri" w:hAnsi="Calibri" w:cs="Arial"/>
          <w:sz w:val="24"/>
        </w:rPr>
        <w:t>M</w:t>
      </w:r>
      <w:r w:rsidR="003374A0" w:rsidRPr="008A05C4">
        <w:rPr>
          <w:rFonts w:ascii="Calibri" w:hAnsi="Calibri" w:cs="Arial"/>
          <w:sz w:val="24"/>
        </w:rPr>
        <w:t>ezir</w:t>
      </w:r>
      <w:r w:rsidR="003374A0">
        <w:rPr>
          <w:rFonts w:ascii="Calibri" w:hAnsi="Calibri" w:cs="Arial"/>
          <w:sz w:val="24"/>
        </w:rPr>
        <w:t>esortní expertní poradní skupina</w:t>
      </w:r>
      <w:r w:rsidR="003374A0" w:rsidRPr="008A05C4">
        <w:rPr>
          <w:rFonts w:ascii="Calibri" w:hAnsi="Calibri" w:cs="Arial"/>
          <w:sz w:val="24"/>
        </w:rPr>
        <w:t xml:space="preserve"> </w:t>
      </w:r>
      <w:r w:rsidRPr="008A05C4">
        <w:rPr>
          <w:rFonts w:ascii="Calibri" w:hAnsi="Calibri" w:cs="Arial"/>
          <w:sz w:val="24"/>
        </w:rPr>
        <w:t>projedn</w:t>
      </w:r>
      <w:r w:rsidR="003374A0">
        <w:rPr>
          <w:rFonts w:ascii="Calibri" w:hAnsi="Calibri" w:cs="Arial"/>
          <w:sz w:val="24"/>
        </w:rPr>
        <w:t>ala</w:t>
      </w:r>
      <w:r w:rsidRPr="008A05C4">
        <w:rPr>
          <w:rFonts w:ascii="Calibri" w:hAnsi="Calibri" w:cs="Arial"/>
          <w:sz w:val="24"/>
        </w:rPr>
        <w:t xml:space="preserve"> věcný záměr </w:t>
      </w:r>
      <w:r>
        <w:rPr>
          <w:rFonts w:ascii="Calibri" w:hAnsi="Calibri" w:cs="Arial"/>
          <w:sz w:val="24"/>
        </w:rPr>
        <w:t>tohoto dokumentu</w:t>
      </w:r>
      <w:r w:rsidRPr="008A05C4">
        <w:rPr>
          <w:rFonts w:ascii="Calibri" w:hAnsi="Calibri" w:cs="Arial"/>
          <w:sz w:val="24"/>
        </w:rPr>
        <w:t>, do okamžiku jeho schválení vládou uběhlo 22 měsíců.</w:t>
      </w:r>
    </w:p>
    <w:p w14:paraId="1F876EE0" w14:textId="77777777" w:rsidR="008A05C4" w:rsidRDefault="008A05C4" w:rsidP="008A05C4">
      <w:pPr>
        <w:rPr>
          <w:rFonts w:ascii="Calibri" w:hAnsi="Calibri" w:cs="Arial"/>
          <w:sz w:val="24"/>
        </w:rPr>
      </w:pPr>
    </w:p>
    <w:p w14:paraId="29B53FDF" w14:textId="77777777" w:rsidR="00561033" w:rsidRDefault="00D324A3" w:rsidP="008A05C4">
      <w:pPr>
        <w:spacing w:after="120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V důsledku z</w:t>
      </w:r>
      <w:r w:rsidR="00DD7FF6">
        <w:rPr>
          <w:rFonts w:ascii="Calibri" w:hAnsi="Calibri" w:cs="Arial"/>
          <w:sz w:val="24"/>
        </w:rPr>
        <w:t xml:space="preserve">ohlednění specifik jednotlivých programů, respektive intervencí a subjektů zapojených do jejich provádění, </w:t>
      </w:r>
      <w:r w:rsidR="00561033">
        <w:rPr>
          <w:rFonts w:ascii="Calibri" w:hAnsi="Calibri" w:cs="Arial"/>
          <w:sz w:val="24"/>
        </w:rPr>
        <w:t>jsou v metodických pokynech některá pravidla nezávazná</w:t>
      </w:r>
      <w:r w:rsidR="00DD7FF6">
        <w:rPr>
          <w:rFonts w:ascii="Calibri" w:hAnsi="Calibri" w:cs="Arial"/>
          <w:sz w:val="24"/>
        </w:rPr>
        <w:t xml:space="preserve">. </w:t>
      </w:r>
    </w:p>
    <w:p w14:paraId="29602634" w14:textId="4D7EE23C" w:rsidR="00436B52" w:rsidRPr="00D324A3" w:rsidRDefault="00D324A3" w:rsidP="00561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284" w:right="283"/>
        <w:rPr>
          <w:rFonts w:ascii="Calibri" w:hAnsi="Calibri" w:cs="Arial"/>
          <w:sz w:val="24"/>
        </w:rPr>
      </w:pPr>
      <w:r w:rsidRPr="00561033">
        <w:rPr>
          <w:rFonts w:ascii="Calibri" w:hAnsi="Calibri" w:cs="Arial"/>
          <w:i/>
          <w:sz w:val="24"/>
        </w:rPr>
        <w:t>Metodický pokyn pro řízení výzev, hodnocení a výběr projektů v programovém období 2014</w:t>
      </w:r>
      <w:r w:rsidR="00581D80">
        <w:rPr>
          <w:rFonts w:ascii="Calibri" w:hAnsi="Calibri" w:cs="Arial"/>
          <w:i/>
          <w:sz w:val="24"/>
        </w:rPr>
        <w:t>–</w:t>
      </w:r>
      <w:r w:rsidRPr="00561033">
        <w:rPr>
          <w:rFonts w:ascii="Calibri" w:hAnsi="Calibri" w:cs="Arial"/>
          <w:i/>
          <w:sz w:val="24"/>
        </w:rPr>
        <w:t>2020</w:t>
      </w:r>
      <w:r>
        <w:rPr>
          <w:rFonts w:ascii="Calibri" w:hAnsi="Calibri" w:cs="Arial"/>
          <w:sz w:val="24"/>
        </w:rPr>
        <w:t xml:space="preserve"> </w:t>
      </w:r>
      <w:r w:rsidR="008A4A9D">
        <w:rPr>
          <w:rFonts w:ascii="Calibri" w:hAnsi="Calibri" w:cs="Arial"/>
          <w:sz w:val="24"/>
        </w:rPr>
        <w:t xml:space="preserve">je závazný pouze pro projekty, pro ostatní </w:t>
      </w:r>
      <w:r w:rsidR="008A4A9D" w:rsidRPr="008A4A9D">
        <w:rPr>
          <w:rFonts w:ascii="Calibri" w:hAnsi="Calibri" w:cs="Arial"/>
          <w:sz w:val="24"/>
        </w:rPr>
        <w:t>typy operací, tj. pro integrované strategie a finanční nástroje, závazný není</w:t>
      </w:r>
      <w:r w:rsidR="008A4A9D">
        <w:rPr>
          <w:rFonts w:ascii="Calibri" w:hAnsi="Calibri" w:cs="Arial"/>
          <w:sz w:val="24"/>
        </w:rPr>
        <w:t>. Tento dokument</w:t>
      </w:r>
      <w:r w:rsidR="008A4A9D" w:rsidRPr="008A4A9D">
        <w:rPr>
          <w:rFonts w:ascii="Calibri" w:hAnsi="Calibri" w:cs="Arial"/>
          <w:sz w:val="24"/>
        </w:rPr>
        <w:t xml:space="preserve"> </w:t>
      </w:r>
      <w:r w:rsidR="00DD7FF6">
        <w:rPr>
          <w:rFonts w:ascii="Calibri" w:hAnsi="Calibri" w:cs="Arial"/>
          <w:sz w:val="24"/>
        </w:rPr>
        <w:t xml:space="preserve">má doporučující charakter pro programy </w:t>
      </w:r>
      <w:r w:rsidR="009E67B6">
        <w:rPr>
          <w:rFonts w:ascii="Calibri" w:hAnsi="Calibri" w:cs="Arial"/>
          <w:sz w:val="24"/>
        </w:rPr>
        <w:t>e</w:t>
      </w:r>
      <w:r w:rsidR="00DD7FF6" w:rsidRPr="00FC28FC">
        <w:rPr>
          <w:rFonts w:ascii="Calibri" w:hAnsi="Calibri" w:cs="Arial"/>
          <w:sz w:val="24"/>
        </w:rPr>
        <w:t>vropské územní spolupráce</w:t>
      </w:r>
      <w:r w:rsidR="00DD7FF6">
        <w:rPr>
          <w:rFonts w:ascii="Calibri" w:hAnsi="Calibri" w:cs="Arial"/>
          <w:sz w:val="24"/>
        </w:rPr>
        <w:t xml:space="preserve"> a </w:t>
      </w:r>
      <w:r w:rsidR="00035803">
        <w:rPr>
          <w:rFonts w:ascii="Calibri" w:hAnsi="Calibri" w:cs="Arial"/>
          <w:sz w:val="24"/>
        </w:rPr>
        <w:t>PRV</w:t>
      </w:r>
      <w:r w:rsidR="00DD7FF6">
        <w:rPr>
          <w:rFonts w:ascii="Calibri" w:hAnsi="Calibri" w:cs="Arial"/>
          <w:sz w:val="24"/>
        </w:rPr>
        <w:t xml:space="preserve">, kapitola upravující řízení výzev není závazná pro zprostředkující subjekty </w:t>
      </w:r>
      <w:r w:rsidR="00581D80">
        <w:rPr>
          <w:rFonts w:ascii="Calibri" w:hAnsi="Calibri" w:cs="Arial"/>
          <w:i/>
          <w:sz w:val="24"/>
        </w:rPr>
        <w:t>i</w:t>
      </w:r>
      <w:r w:rsidR="00DD7FF6" w:rsidRPr="00FC28FC">
        <w:rPr>
          <w:rFonts w:ascii="Calibri" w:hAnsi="Calibri" w:cs="Arial"/>
          <w:i/>
          <w:sz w:val="24"/>
        </w:rPr>
        <w:t>ntegrovan</w:t>
      </w:r>
      <w:r w:rsidR="00581D80">
        <w:rPr>
          <w:rFonts w:ascii="Calibri" w:hAnsi="Calibri" w:cs="Arial"/>
          <w:i/>
          <w:sz w:val="24"/>
        </w:rPr>
        <w:t>ých</w:t>
      </w:r>
      <w:r w:rsidR="00DD7FF6" w:rsidRPr="00FC28FC">
        <w:rPr>
          <w:rFonts w:ascii="Calibri" w:hAnsi="Calibri" w:cs="Arial"/>
          <w:i/>
          <w:sz w:val="24"/>
        </w:rPr>
        <w:t xml:space="preserve"> územní</w:t>
      </w:r>
      <w:r w:rsidR="00581D80">
        <w:rPr>
          <w:rFonts w:ascii="Calibri" w:hAnsi="Calibri" w:cs="Arial"/>
          <w:i/>
          <w:sz w:val="24"/>
        </w:rPr>
        <w:t>ch</w:t>
      </w:r>
      <w:r w:rsidR="00DD7FF6" w:rsidRPr="00FC28FC">
        <w:rPr>
          <w:rFonts w:ascii="Calibri" w:hAnsi="Calibri" w:cs="Arial"/>
          <w:i/>
          <w:sz w:val="24"/>
        </w:rPr>
        <w:t xml:space="preserve"> </w:t>
      </w:r>
      <w:r w:rsidR="00FC28FC" w:rsidRPr="00FC28FC">
        <w:rPr>
          <w:rFonts w:ascii="Calibri" w:hAnsi="Calibri" w:cs="Arial"/>
          <w:i/>
          <w:sz w:val="24"/>
        </w:rPr>
        <w:t>investic</w:t>
      </w:r>
      <w:r w:rsidR="00DD7FF6">
        <w:rPr>
          <w:rFonts w:ascii="Calibri" w:hAnsi="Calibri" w:cs="Arial"/>
          <w:sz w:val="24"/>
        </w:rPr>
        <w:t xml:space="preserve">, pro </w:t>
      </w:r>
      <w:r w:rsidR="000244F3">
        <w:rPr>
          <w:rFonts w:ascii="Calibri" w:hAnsi="Calibri" w:cs="Arial"/>
          <w:sz w:val="24"/>
        </w:rPr>
        <w:t>o</w:t>
      </w:r>
      <w:r w:rsidR="00DD7FF6" w:rsidRPr="000244F3">
        <w:rPr>
          <w:rFonts w:ascii="Calibri" w:hAnsi="Calibri" w:cs="Arial"/>
          <w:sz w:val="24"/>
        </w:rPr>
        <w:t>perační program</w:t>
      </w:r>
      <w:r w:rsidR="00DD7FF6" w:rsidRPr="00E30FCD">
        <w:rPr>
          <w:rFonts w:ascii="Calibri" w:hAnsi="Calibri" w:cs="Arial"/>
          <w:i/>
          <w:sz w:val="24"/>
        </w:rPr>
        <w:t xml:space="preserve"> Rybářství</w:t>
      </w:r>
      <w:r w:rsidR="00F83FE1">
        <w:rPr>
          <w:rFonts w:ascii="Calibri" w:hAnsi="Calibri" w:cs="Arial"/>
          <w:i/>
          <w:sz w:val="24"/>
        </w:rPr>
        <w:t xml:space="preserve"> na období 2014</w:t>
      </w:r>
      <w:r w:rsidR="00581D80">
        <w:rPr>
          <w:rFonts w:ascii="Calibri" w:hAnsi="Calibri" w:cs="Arial"/>
          <w:i/>
          <w:sz w:val="24"/>
        </w:rPr>
        <w:t>–</w:t>
      </w:r>
      <w:r w:rsidR="00F83FE1">
        <w:rPr>
          <w:rFonts w:ascii="Calibri" w:hAnsi="Calibri" w:cs="Arial"/>
          <w:i/>
          <w:sz w:val="24"/>
        </w:rPr>
        <w:t>2020</w:t>
      </w:r>
      <w:r w:rsidR="00DD7FF6">
        <w:rPr>
          <w:rFonts w:ascii="Calibri" w:hAnsi="Calibri" w:cs="Arial"/>
          <w:sz w:val="24"/>
        </w:rPr>
        <w:t xml:space="preserve"> </w:t>
      </w:r>
      <w:r w:rsidR="00E30FCD">
        <w:rPr>
          <w:rFonts w:ascii="Calibri" w:hAnsi="Calibri" w:cs="Arial"/>
          <w:sz w:val="24"/>
        </w:rPr>
        <w:t xml:space="preserve">(dále též „OPR“) </w:t>
      </w:r>
      <w:r w:rsidR="00DD7FF6">
        <w:rPr>
          <w:rFonts w:ascii="Calibri" w:hAnsi="Calibri" w:cs="Arial"/>
          <w:sz w:val="24"/>
        </w:rPr>
        <w:t>nejsou závazná ustanovení týkající se hodnotitelů žádostí o podporu</w:t>
      </w:r>
      <w:r w:rsidR="008A4A9D">
        <w:rPr>
          <w:rFonts w:ascii="Calibri" w:hAnsi="Calibri" w:cs="Arial"/>
          <w:sz w:val="24"/>
        </w:rPr>
        <w:t>.</w:t>
      </w:r>
    </w:p>
    <w:p w14:paraId="68A66AB6" w14:textId="77777777" w:rsidR="00BC78CC" w:rsidRPr="00AA5821" w:rsidRDefault="00BC78CC" w:rsidP="00BC78CC">
      <w:pPr>
        <w:rPr>
          <w:rFonts w:ascii="Calibri" w:hAnsi="Calibri" w:cs="Arial"/>
          <w:b/>
          <w:sz w:val="24"/>
        </w:rPr>
      </w:pPr>
    </w:p>
    <w:p w14:paraId="5358AF71" w14:textId="177700D7" w:rsidR="008A2DCD" w:rsidRDefault="00ED45B2" w:rsidP="008A2DCD">
      <w:pPr>
        <w:spacing w:after="120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 xml:space="preserve">K sledování počtu úprav metodických dokumentů MMR v Koncepci JMP stanovilo ukazatel </w:t>
      </w:r>
      <w:r w:rsidRPr="00FA52DF">
        <w:rPr>
          <w:rFonts w:ascii="Calibri" w:hAnsi="Calibri" w:cs="Arial"/>
          <w:sz w:val="24"/>
        </w:rPr>
        <w:t>„</w:t>
      </w:r>
      <w:r w:rsidRPr="00ED45B2">
        <w:rPr>
          <w:rFonts w:ascii="Calibri" w:hAnsi="Calibri" w:cs="Arial"/>
          <w:i/>
          <w:sz w:val="24"/>
        </w:rPr>
        <w:t>snížení počtu úprav metodických dokumentů o 30 %</w:t>
      </w:r>
      <w:r w:rsidRPr="00FA52DF">
        <w:rPr>
          <w:rFonts w:ascii="Calibri" w:hAnsi="Calibri" w:cs="Arial"/>
          <w:sz w:val="24"/>
        </w:rPr>
        <w:t>“</w:t>
      </w:r>
      <w:r w:rsidR="00581D80">
        <w:rPr>
          <w:rFonts w:ascii="Calibri" w:hAnsi="Calibri" w:cs="Arial"/>
          <w:sz w:val="24"/>
        </w:rPr>
        <w:t>, přičemž toto snížení je měřeno ve vztahu k </w:t>
      </w:r>
      <w:r w:rsidR="0007683B">
        <w:rPr>
          <w:rFonts w:ascii="Calibri" w:hAnsi="Calibri" w:cs="Arial"/>
          <w:sz w:val="24"/>
        </w:rPr>
        <w:t>minulému programovému období</w:t>
      </w:r>
      <w:r w:rsidRPr="00ED45B2">
        <w:rPr>
          <w:rFonts w:ascii="Calibri" w:hAnsi="Calibri" w:cs="Arial"/>
          <w:sz w:val="24"/>
        </w:rPr>
        <w:t>.</w:t>
      </w:r>
      <w:r>
        <w:rPr>
          <w:rFonts w:ascii="Calibri" w:hAnsi="Calibri" w:cs="Arial"/>
          <w:sz w:val="24"/>
        </w:rPr>
        <w:t xml:space="preserve"> </w:t>
      </w:r>
      <w:r w:rsidR="00310B34">
        <w:rPr>
          <w:rFonts w:ascii="Calibri" w:hAnsi="Calibri" w:cs="Arial"/>
          <w:sz w:val="24"/>
        </w:rPr>
        <w:t>S</w:t>
      </w:r>
      <w:r w:rsidR="008A2DCD">
        <w:rPr>
          <w:rFonts w:ascii="Calibri" w:hAnsi="Calibri" w:cs="Arial"/>
          <w:sz w:val="24"/>
        </w:rPr>
        <w:t>plnění cílové hodnoty není reálné, neboť už ke konci roku 2016 se počet úprav v tomto programovém období oproti předchozímu snížil pouze o 14 %. S každou další aktualizací se hodnota ukazatele bude snižovat. Není vyloučeno, že četnost úprav v období 2014</w:t>
      </w:r>
      <w:r w:rsidR="00581D80">
        <w:rPr>
          <w:rFonts w:ascii="Calibri" w:hAnsi="Calibri" w:cs="Arial"/>
          <w:sz w:val="24"/>
        </w:rPr>
        <w:t>–</w:t>
      </w:r>
      <w:r w:rsidR="008A2DCD">
        <w:rPr>
          <w:rFonts w:ascii="Calibri" w:hAnsi="Calibri" w:cs="Arial"/>
          <w:sz w:val="24"/>
        </w:rPr>
        <w:t>2020</w:t>
      </w:r>
      <w:r w:rsidR="008A2DCD" w:rsidRPr="00ED45B2">
        <w:rPr>
          <w:rFonts w:ascii="Calibri" w:hAnsi="Calibri" w:cs="Arial"/>
          <w:sz w:val="24"/>
        </w:rPr>
        <w:t xml:space="preserve"> oproti předchozímu programovému období </w:t>
      </w:r>
      <w:r w:rsidR="008A2DCD">
        <w:rPr>
          <w:rFonts w:ascii="Calibri" w:hAnsi="Calibri" w:cs="Arial"/>
          <w:sz w:val="24"/>
        </w:rPr>
        <w:t xml:space="preserve">naopak </w:t>
      </w:r>
      <w:r w:rsidR="008A2DCD" w:rsidRPr="00ED45B2">
        <w:rPr>
          <w:rFonts w:ascii="Calibri" w:hAnsi="Calibri" w:cs="Arial"/>
          <w:sz w:val="24"/>
        </w:rPr>
        <w:t>vzroste.</w:t>
      </w:r>
    </w:p>
    <w:p w14:paraId="0C4F6E67" w14:textId="77777777" w:rsidR="007E0564" w:rsidRDefault="00ED45B2" w:rsidP="008A2D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284" w:right="283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 xml:space="preserve">Ke konci roku 2016 bylo </w:t>
      </w:r>
      <w:r w:rsidR="0007683B">
        <w:rPr>
          <w:rFonts w:ascii="Calibri" w:hAnsi="Calibri" w:cs="Arial"/>
          <w:sz w:val="24"/>
        </w:rPr>
        <w:t xml:space="preserve">provedeno 36 </w:t>
      </w:r>
      <w:r>
        <w:rPr>
          <w:rFonts w:ascii="Calibri" w:hAnsi="Calibri" w:cs="Arial"/>
          <w:sz w:val="24"/>
        </w:rPr>
        <w:t>aktualiz</w:t>
      </w:r>
      <w:r w:rsidR="0007683B">
        <w:rPr>
          <w:rFonts w:ascii="Calibri" w:hAnsi="Calibri" w:cs="Arial"/>
          <w:sz w:val="24"/>
        </w:rPr>
        <w:t xml:space="preserve">ací, které se týkaly </w:t>
      </w:r>
      <w:r w:rsidR="0083783E">
        <w:rPr>
          <w:rFonts w:ascii="Calibri" w:hAnsi="Calibri" w:cs="Arial"/>
          <w:sz w:val="24"/>
        </w:rPr>
        <w:t>18 metodických</w:t>
      </w:r>
      <w:r w:rsidR="0007683B">
        <w:rPr>
          <w:rFonts w:ascii="Calibri" w:hAnsi="Calibri" w:cs="Arial"/>
          <w:sz w:val="24"/>
        </w:rPr>
        <w:t xml:space="preserve"> pokynů</w:t>
      </w:r>
      <w:r w:rsidR="004D1442">
        <w:rPr>
          <w:rFonts w:ascii="Calibri" w:hAnsi="Calibri" w:cs="Arial"/>
          <w:sz w:val="24"/>
        </w:rPr>
        <w:t>.</w:t>
      </w:r>
      <w:r>
        <w:rPr>
          <w:rFonts w:ascii="Calibri" w:hAnsi="Calibri" w:cs="Arial"/>
          <w:sz w:val="24"/>
        </w:rPr>
        <w:t xml:space="preserve"> Za celé minulé programové období se </w:t>
      </w:r>
      <w:r w:rsidR="00FC28FC">
        <w:rPr>
          <w:rFonts w:ascii="Calibri" w:hAnsi="Calibri" w:cs="Arial"/>
          <w:sz w:val="24"/>
        </w:rPr>
        <w:t>změny</w:t>
      </w:r>
      <w:r>
        <w:rPr>
          <w:rFonts w:ascii="Calibri" w:hAnsi="Calibri" w:cs="Arial"/>
          <w:sz w:val="24"/>
        </w:rPr>
        <w:t xml:space="preserve"> dotkly 30 metodických dokumentů, a to celkem </w:t>
      </w:r>
      <w:r w:rsidR="00FC28FC">
        <w:rPr>
          <w:rFonts w:ascii="Calibri" w:hAnsi="Calibri" w:cs="Arial"/>
          <w:sz w:val="24"/>
        </w:rPr>
        <w:t xml:space="preserve">při </w:t>
      </w:r>
      <w:r>
        <w:rPr>
          <w:rFonts w:ascii="Calibri" w:hAnsi="Calibri" w:cs="Arial"/>
          <w:sz w:val="24"/>
        </w:rPr>
        <w:t xml:space="preserve">42 </w:t>
      </w:r>
      <w:r w:rsidR="00FC28FC">
        <w:rPr>
          <w:rFonts w:ascii="Calibri" w:hAnsi="Calibri" w:cs="Arial"/>
          <w:sz w:val="24"/>
        </w:rPr>
        <w:t>úpravách</w:t>
      </w:r>
      <w:r>
        <w:rPr>
          <w:rFonts w:ascii="Calibri" w:hAnsi="Calibri" w:cs="Arial"/>
          <w:sz w:val="24"/>
        </w:rPr>
        <w:t xml:space="preserve">. </w:t>
      </w:r>
    </w:p>
    <w:p w14:paraId="5E4B0B8E" w14:textId="77777777" w:rsidR="00ED45B2" w:rsidRPr="005A413E" w:rsidRDefault="00ED45B2" w:rsidP="00500E95">
      <w:pPr>
        <w:rPr>
          <w:rFonts w:ascii="Calibri" w:hAnsi="Calibri" w:cs="Arial"/>
          <w:sz w:val="24"/>
        </w:rPr>
      </w:pPr>
    </w:p>
    <w:p w14:paraId="000731E3" w14:textId="77777777" w:rsidR="00614FD9" w:rsidRPr="00AA5821" w:rsidRDefault="00614FD9" w:rsidP="00BC78CC">
      <w:pPr>
        <w:rPr>
          <w:rFonts w:ascii="Calibri" w:hAnsi="Calibri" w:cs="Arial"/>
          <w:b/>
          <w:sz w:val="24"/>
        </w:rPr>
      </w:pPr>
    </w:p>
    <w:p w14:paraId="2F118923" w14:textId="6E91DF22" w:rsidR="00BC78CC" w:rsidRPr="00AA5821" w:rsidRDefault="00560995" w:rsidP="0086557D">
      <w:pPr>
        <w:keepNext/>
        <w:numPr>
          <w:ilvl w:val="0"/>
          <w:numId w:val="5"/>
        </w:numPr>
        <w:ind w:left="284" w:hanging="284"/>
        <w:rPr>
          <w:rFonts w:ascii="Calibri" w:hAnsi="Calibri" w:cs="Arial"/>
          <w:b/>
          <w:sz w:val="24"/>
        </w:rPr>
      </w:pPr>
      <w:r w:rsidRPr="00AA5821">
        <w:rPr>
          <w:rFonts w:ascii="Calibri" w:hAnsi="Calibri" w:cs="Arial"/>
          <w:b/>
          <w:sz w:val="24"/>
        </w:rPr>
        <w:t xml:space="preserve">Jednotný </w:t>
      </w:r>
      <w:r w:rsidR="00581D80">
        <w:rPr>
          <w:rFonts w:ascii="Calibri" w:hAnsi="Calibri" w:cs="Arial"/>
          <w:b/>
          <w:sz w:val="24"/>
        </w:rPr>
        <w:t>i</w:t>
      </w:r>
      <w:r w:rsidR="00BC78CC" w:rsidRPr="00AA5821">
        <w:rPr>
          <w:rFonts w:ascii="Calibri" w:hAnsi="Calibri" w:cs="Arial"/>
          <w:b/>
          <w:sz w:val="24"/>
        </w:rPr>
        <w:t xml:space="preserve">nformační </w:t>
      </w:r>
      <w:r w:rsidRPr="00AA5821">
        <w:rPr>
          <w:rFonts w:ascii="Calibri" w:hAnsi="Calibri" w:cs="Arial"/>
          <w:b/>
          <w:sz w:val="24"/>
        </w:rPr>
        <w:t>systém pro monitorování ESI fondů</w:t>
      </w:r>
    </w:p>
    <w:p w14:paraId="4EC6DBFB" w14:textId="77777777" w:rsidR="00CC45A6" w:rsidRPr="00AA5821" w:rsidRDefault="00CC45A6" w:rsidP="00687890">
      <w:pPr>
        <w:keepNext/>
        <w:rPr>
          <w:rFonts w:ascii="Calibri" w:hAnsi="Calibri" w:cs="Arial"/>
          <w:b/>
          <w:sz w:val="24"/>
        </w:rPr>
      </w:pPr>
    </w:p>
    <w:p w14:paraId="3DF2129C" w14:textId="55322CFA" w:rsidR="00BC77E7" w:rsidRDefault="00BC77E7" w:rsidP="00687890">
      <w:pPr>
        <w:pStyle w:val="Nadpis2"/>
        <w:keepNext/>
      </w:pPr>
      <w:r w:rsidRPr="00AA5821">
        <w:t>P</w:t>
      </w:r>
      <w:r w:rsidR="000D0438" w:rsidRPr="00AA5821">
        <w:t>ořízení</w:t>
      </w:r>
      <w:r w:rsidRPr="00AA5821">
        <w:t xml:space="preserve"> monitorovacího </w:t>
      </w:r>
      <w:r>
        <w:t>systému</w:t>
      </w:r>
    </w:p>
    <w:p w14:paraId="0AC0D021" w14:textId="525127A6" w:rsidR="00481CC4" w:rsidRPr="003D7143" w:rsidRDefault="00330903" w:rsidP="007F60C5">
      <w:pPr>
        <w:pStyle w:val="NormlnKZ"/>
      </w:pPr>
      <w:r w:rsidRPr="00330903">
        <w:t xml:space="preserve">MMR připravovalo zadávací dokumentaci na </w:t>
      </w:r>
      <w:r>
        <w:t>jednotný informační systém</w:t>
      </w:r>
      <w:r w:rsidRPr="00330903">
        <w:t xml:space="preserve"> v době, kdy neznalo finální podobu prováděcích právních aktů a metodik ze strany EU. Základní dokumenty byly přijaty a</w:t>
      </w:r>
      <w:r w:rsidR="003F13BA">
        <w:t xml:space="preserve"> </w:t>
      </w:r>
      <w:r w:rsidRPr="00330903">
        <w:t xml:space="preserve">vydány s více </w:t>
      </w:r>
      <w:r w:rsidR="003F13BA">
        <w:t>než</w:t>
      </w:r>
      <w:r w:rsidR="003F13BA" w:rsidRPr="00330903">
        <w:t xml:space="preserve"> </w:t>
      </w:r>
      <w:r w:rsidRPr="00330903">
        <w:t>ročním od</w:t>
      </w:r>
      <w:r>
        <w:t>stupem od zveřejnění oznámení o</w:t>
      </w:r>
      <w:r w:rsidR="003F13BA">
        <w:t xml:space="preserve"> </w:t>
      </w:r>
      <w:r w:rsidRPr="00330903">
        <w:t xml:space="preserve">vyhlášení veřejné zakázky </w:t>
      </w:r>
      <w:r>
        <w:t>v listopadu</w:t>
      </w:r>
      <w:r w:rsidRPr="00330903">
        <w:t xml:space="preserve"> 2012. Konkrétně se jednalo např</w:t>
      </w:r>
      <w:r>
        <w:t>íklad o o</w:t>
      </w:r>
      <w:r w:rsidRPr="00330903">
        <w:t>becné nařízení</w:t>
      </w:r>
      <w:r w:rsidRPr="00500E95">
        <w:rPr>
          <w:rStyle w:val="Znakapoznpodarou"/>
        </w:rPr>
        <w:footnoteReference w:id="6"/>
      </w:r>
      <w:r w:rsidRPr="00330903">
        <w:t xml:space="preserve">, prováděcí nařízení Komise </w:t>
      </w:r>
      <w:r w:rsidR="003F13BA">
        <w:t xml:space="preserve">(EU) </w:t>
      </w:r>
      <w:r w:rsidRPr="00330903">
        <w:t>č. 1011/2014</w:t>
      </w:r>
      <w:r w:rsidRPr="00500E95">
        <w:rPr>
          <w:rStyle w:val="Znakapoznpodarou"/>
        </w:rPr>
        <w:footnoteReference w:id="7"/>
      </w:r>
      <w:r w:rsidRPr="00330903">
        <w:t xml:space="preserve"> a také Dohodu o partnerství</w:t>
      </w:r>
      <w:r w:rsidRPr="00500E95">
        <w:rPr>
          <w:rStyle w:val="Znakapoznpodarou"/>
        </w:rPr>
        <w:footnoteReference w:id="8"/>
      </w:r>
      <w:r w:rsidRPr="00330903">
        <w:t xml:space="preserve">. </w:t>
      </w:r>
      <w:r w:rsidRPr="003D7143">
        <w:t xml:space="preserve">V neposlední řadě nebyly </w:t>
      </w:r>
      <w:r w:rsidR="007F1675" w:rsidRPr="003D7143">
        <w:t>v </w:t>
      </w:r>
      <w:r w:rsidRPr="003D7143">
        <w:t>metodick</w:t>
      </w:r>
      <w:r w:rsidR="00851556" w:rsidRPr="003D7143">
        <w:t>ých</w:t>
      </w:r>
      <w:r w:rsidRPr="003D7143">
        <w:t xml:space="preserve"> dokument</w:t>
      </w:r>
      <w:r w:rsidR="00851556" w:rsidRPr="003D7143">
        <w:t>ech definovány všechny datové položky</w:t>
      </w:r>
      <w:r w:rsidRPr="003D7143">
        <w:t>, k</w:t>
      </w:r>
      <w:r w:rsidR="00851556" w:rsidRPr="003D7143">
        <w:t>teré byly nutné k nastavení</w:t>
      </w:r>
      <w:r w:rsidRPr="003D7143">
        <w:t xml:space="preserve"> </w:t>
      </w:r>
      <w:r w:rsidR="005C2B40" w:rsidRPr="003D7143">
        <w:t>monitorovací</w:t>
      </w:r>
      <w:r w:rsidR="00851556" w:rsidRPr="003D7143">
        <w:t>ho</w:t>
      </w:r>
      <w:r w:rsidR="005C2B40" w:rsidRPr="003D7143">
        <w:t xml:space="preserve"> systém</w:t>
      </w:r>
      <w:r w:rsidR="00851556" w:rsidRPr="003D7143">
        <w:t>u</w:t>
      </w:r>
      <w:r w:rsidRPr="003D7143">
        <w:t xml:space="preserve">. Protože MMR nemělo všechny informace pro detailní specifikaci některých funkcionalit, definovalo je obecně </w:t>
      </w:r>
      <w:r w:rsidR="008502DE" w:rsidRPr="003D7143">
        <w:t>a</w:t>
      </w:r>
      <w:r w:rsidRPr="003D7143">
        <w:t xml:space="preserve"> počíta</w:t>
      </w:r>
      <w:r w:rsidR="00BC77E7" w:rsidRPr="003D7143">
        <w:t>lo s jejich dopracováním v </w:t>
      </w:r>
      <w:r w:rsidRPr="003D7143">
        <w:t xml:space="preserve">rámci </w:t>
      </w:r>
      <w:r w:rsidRPr="003D7143">
        <w:lastRenderedPageBreak/>
        <w:t>následného rozvoje.</w:t>
      </w:r>
      <w:r w:rsidR="00DE03AD" w:rsidRPr="003D7143">
        <w:t xml:space="preserve"> </w:t>
      </w:r>
      <w:r w:rsidR="00382470" w:rsidRPr="003D7143">
        <w:t xml:space="preserve">V červnu 2013 uzavřelo MMR </w:t>
      </w:r>
      <w:r w:rsidR="00D86CFB" w:rsidRPr="003D7143">
        <w:t xml:space="preserve">s hlavním dodavatelem </w:t>
      </w:r>
      <w:r w:rsidR="00382470" w:rsidRPr="003D7143">
        <w:t>smlouvu</w:t>
      </w:r>
      <w:r w:rsidR="00AC7C5F" w:rsidRPr="003D7143">
        <w:t xml:space="preserve"> </w:t>
      </w:r>
      <w:r w:rsidR="007C00BA">
        <w:t>na </w:t>
      </w:r>
      <w:r w:rsidR="00382470" w:rsidRPr="003D7143">
        <w:t>pořízení monitorovacího systému za smluvní cenu 59,</w:t>
      </w:r>
      <w:r w:rsidR="00D76708" w:rsidRPr="003D7143">
        <w:t>7</w:t>
      </w:r>
      <w:r w:rsidR="00382470" w:rsidRPr="003D7143">
        <w:t>8 mil. Kč včetně DPH.</w:t>
      </w:r>
      <w:r w:rsidR="009C45DF" w:rsidRPr="003D7143">
        <w:rPr>
          <w:rFonts w:asciiTheme="minorHAnsi" w:hAnsiTheme="minorHAnsi" w:cstheme="minorHAnsi"/>
        </w:rPr>
        <w:t xml:space="preserve"> </w:t>
      </w:r>
      <w:r w:rsidR="00AC7C5F" w:rsidRPr="003D7143">
        <w:t xml:space="preserve"> </w:t>
      </w:r>
    </w:p>
    <w:p w14:paraId="40022D63" w14:textId="77777777" w:rsidR="007F60C5" w:rsidRPr="003D7143" w:rsidRDefault="007F60C5" w:rsidP="007F60C5">
      <w:pPr>
        <w:pStyle w:val="NormlnKZ"/>
      </w:pPr>
    </w:p>
    <w:p w14:paraId="25151D8E" w14:textId="278CFE93" w:rsidR="00382470" w:rsidRPr="003D7143" w:rsidRDefault="00382470" w:rsidP="00382470">
      <w:pPr>
        <w:pStyle w:val="Nadpis2"/>
        <w:keepNext/>
      </w:pPr>
      <w:r w:rsidRPr="003D7143">
        <w:t>Rozvoj a provoz monitorovacího systému</w:t>
      </w:r>
      <w:r w:rsidR="00D86CFB" w:rsidRPr="003D7143">
        <w:t xml:space="preserve"> </w:t>
      </w:r>
      <w:r w:rsidR="00E761BA" w:rsidRPr="003D7143">
        <w:t>zajišťovaný</w:t>
      </w:r>
      <w:r w:rsidR="00D86CFB" w:rsidRPr="003D7143">
        <w:t xml:space="preserve"> hlavním dodavatelem</w:t>
      </w:r>
    </w:p>
    <w:p w14:paraId="641D45F1" w14:textId="5552C547" w:rsidR="00382470" w:rsidRPr="003D7143" w:rsidRDefault="00382470" w:rsidP="00382470">
      <w:pPr>
        <w:pStyle w:val="NormlnKZ"/>
        <w:spacing w:after="120"/>
      </w:pPr>
      <w:r w:rsidRPr="003D7143">
        <w:t>Po uvedení MS2014+ do provozu v září 2014 MMR apl</w:t>
      </w:r>
      <w:r w:rsidR="007C00BA">
        <w:t>ikaci následně dále rozvíjelo a </w:t>
      </w:r>
      <w:r w:rsidRPr="003D7143">
        <w:t xml:space="preserve">upravovalo </w:t>
      </w:r>
      <w:r w:rsidR="003F13BA">
        <w:t>na základě</w:t>
      </w:r>
      <w:r w:rsidRPr="003D7143">
        <w:t xml:space="preserve"> servisní smlouvy, kterou uzavřelo </w:t>
      </w:r>
      <w:r w:rsidR="00D86CFB" w:rsidRPr="003D7143">
        <w:t xml:space="preserve">s hlavním dodavatelem </w:t>
      </w:r>
      <w:r w:rsidR="003F13BA" w:rsidRPr="003D7143">
        <w:t>v červnu 2013</w:t>
      </w:r>
      <w:r w:rsidR="003F13BA">
        <w:t xml:space="preserve"> </w:t>
      </w:r>
      <w:r w:rsidRPr="003D7143">
        <w:t>současně s</w:t>
      </w:r>
      <w:r w:rsidR="007C00BA">
        <w:t>e</w:t>
      </w:r>
      <w:r w:rsidR="003F13BA">
        <w:t xml:space="preserve"> </w:t>
      </w:r>
      <w:r w:rsidRPr="003D7143">
        <w:t>smlouvou o dílo. Od září 2014 do</w:t>
      </w:r>
      <w:r w:rsidR="00CE46A8">
        <w:t xml:space="preserve"> </w:t>
      </w:r>
      <w:r w:rsidRPr="003D7143">
        <w:t>června 2016 nasadilo MMR celkem 7 </w:t>
      </w:r>
      <w:proofErr w:type="spellStart"/>
      <w:r w:rsidRPr="003D7143">
        <w:t>releasů</w:t>
      </w:r>
      <w:proofErr w:type="spellEnd"/>
      <w:r w:rsidRPr="003D7143">
        <w:rPr>
          <w:rStyle w:val="Znakapoznpodarou"/>
        </w:rPr>
        <w:footnoteReference w:id="9"/>
      </w:r>
      <w:r w:rsidRPr="003D7143">
        <w:t>, jejichž obsahem byly úpravy pořízené jak form</w:t>
      </w:r>
      <w:r w:rsidR="007C00BA">
        <w:t>ou drobného rozvoje hrazeného v </w:t>
      </w:r>
      <w:r w:rsidRPr="003D7143">
        <w:t>rámci paušální platby, tak formou rozvoje na základě samostatných objednávek.</w:t>
      </w:r>
    </w:p>
    <w:p w14:paraId="27C836A5" w14:textId="3038B899" w:rsidR="00AC7C5F" w:rsidRPr="003D7143" w:rsidRDefault="00481CC4" w:rsidP="00AC7C5F">
      <w:pPr>
        <w:pStyle w:val="NormlnKZ"/>
        <w:spacing w:after="120"/>
      </w:pPr>
      <w:r w:rsidRPr="003D7143">
        <w:t>Na drobný rozvoj a opravy je smluvně vyhrazen</w:t>
      </w:r>
      <w:r w:rsidR="00C465C5" w:rsidRPr="003D7143">
        <w:t>a kapacita dodavatele</w:t>
      </w:r>
      <w:r w:rsidRPr="003D7143">
        <w:t xml:space="preserve"> celkem 1</w:t>
      </w:r>
      <w:r w:rsidR="00C465C5" w:rsidRPr="003D7143">
        <w:t>30 </w:t>
      </w:r>
      <w:r w:rsidRPr="003D7143">
        <w:t xml:space="preserve">člověkodnů za měsíc. To odpovídá přibližně hodnotě 6,5 plného pracovního úvazku po celou dobu trvání smlouvy, tj. minimálně do roku 2023. Poskytované služby </w:t>
      </w:r>
      <w:r w:rsidR="008502DE" w:rsidRPr="003D7143">
        <w:t>jsou</w:t>
      </w:r>
      <w:r w:rsidRPr="003D7143">
        <w:t xml:space="preserve"> hrazeny v rámci paušální měsíční platby, která </w:t>
      </w:r>
      <w:r w:rsidR="008502DE" w:rsidRPr="003D7143">
        <w:t>činí</w:t>
      </w:r>
      <w:r w:rsidRPr="003D7143">
        <w:t xml:space="preserve"> 9</w:t>
      </w:r>
      <w:r w:rsidR="00C465C5" w:rsidRPr="003D7143">
        <w:t>,</w:t>
      </w:r>
      <w:r w:rsidRPr="003D7143">
        <w:t>3</w:t>
      </w:r>
      <w:r w:rsidR="00D76708" w:rsidRPr="003D7143">
        <w:t>3</w:t>
      </w:r>
      <w:r w:rsidRPr="003D7143">
        <w:t> </w:t>
      </w:r>
      <w:r w:rsidR="00C465C5" w:rsidRPr="003D7143">
        <w:t>mil</w:t>
      </w:r>
      <w:r w:rsidRPr="003D7143">
        <w:t>. Kč. Za paušální platby v rámci servisní smlouvy uhradilo MMR v období od března 2014 do července 2016 částku 274</w:t>
      </w:r>
      <w:r w:rsidR="00C465C5" w:rsidRPr="003D7143">
        <w:t>,32</w:t>
      </w:r>
      <w:r w:rsidRPr="003D7143">
        <w:t> </w:t>
      </w:r>
      <w:r w:rsidR="00C465C5" w:rsidRPr="003D7143">
        <w:t>mil</w:t>
      </w:r>
      <w:r w:rsidRPr="003D7143">
        <w:t>. Kč</w:t>
      </w:r>
      <w:r w:rsidR="00E761BA" w:rsidRPr="003D7143">
        <w:rPr>
          <w:rStyle w:val="Znakapoznpodarou"/>
        </w:rPr>
        <w:footnoteReference w:id="10"/>
      </w:r>
      <w:r w:rsidRPr="003D7143">
        <w:t xml:space="preserve">, </w:t>
      </w:r>
      <w:r w:rsidR="000572AC" w:rsidRPr="003D7143">
        <w:t xml:space="preserve">z toho </w:t>
      </w:r>
      <w:r w:rsidRPr="003D7143">
        <w:t xml:space="preserve">na drobný rozvoj </w:t>
      </w:r>
      <w:r w:rsidR="008502DE" w:rsidRPr="003D7143">
        <w:t>připadlo</w:t>
      </w:r>
      <w:r w:rsidR="00D960C8" w:rsidRPr="003D7143">
        <w:t xml:space="preserve"> 54,</w:t>
      </w:r>
      <w:r w:rsidR="00D53DFA" w:rsidRPr="003D7143">
        <w:t>37 </w:t>
      </w:r>
      <w:r w:rsidR="00D960C8" w:rsidRPr="003D7143">
        <w:t>mil</w:t>
      </w:r>
      <w:r w:rsidR="00D53DFA" w:rsidRPr="003D7143">
        <w:t>. Kč</w:t>
      </w:r>
      <w:r w:rsidRPr="003D7143">
        <w:t>.</w:t>
      </w:r>
      <w:r w:rsidR="00E761BA" w:rsidRPr="00820280">
        <w:rPr>
          <w:rStyle w:val="Znakapoznpodarou"/>
          <w:vertAlign w:val="baseline"/>
        </w:rPr>
        <w:t xml:space="preserve"> </w:t>
      </w:r>
    </w:p>
    <w:p w14:paraId="45DF0579" w14:textId="64006016" w:rsidR="00330903" w:rsidRDefault="00481CC4" w:rsidP="00747B44">
      <w:pPr>
        <w:pStyle w:val="NormlnKZ"/>
      </w:pPr>
      <w:r w:rsidRPr="003D7143">
        <w:t>Do dubna 201</w:t>
      </w:r>
      <w:r w:rsidR="00B27AD6" w:rsidRPr="003D7143">
        <w:t>6</w:t>
      </w:r>
      <w:r w:rsidRPr="003D7143">
        <w:t xml:space="preserve"> objednalo MMR d</w:t>
      </w:r>
      <w:r w:rsidR="0057645B" w:rsidRPr="003D7143">
        <w:t xml:space="preserve">odatečný rozvoj </w:t>
      </w:r>
      <w:r w:rsidRPr="003D7143">
        <w:t>v hodnotě 71</w:t>
      </w:r>
      <w:r w:rsidR="00D960C8" w:rsidRPr="003D7143">
        <w:t>,79</w:t>
      </w:r>
      <w:r w:rsidRPr="003D7143">
        <w:t> </w:t>
      </w:r>
      <w:r w:rsidR="00D960C8" w:rsidRPr="003D7143">
        <w:t>mil</w:t>
      </w:r>
      <w:r w:rsidRPr="003D7143">
        <w:t>. Kč, což</w:t>
      </w:r>
      <w:r w:rsidR="0057645B" w:rsidRPr="003D7143">
        <w:t xml:space="preserve"> převýšil</w:t>
      </w:r>
      <w:r w:rsidRPr="003D7143">
        <w:t>o</w:t>
      </w:r>
      <w:r w:rsidR="0057645B" w:rsidRPr="003D7143">
        <w:t xml:space="preserve"> </w:t>
      </w:r>
      <w:r w:rsidR="00530724" w:rsidRPr="003D7143">
        <w:t>o </w:t>
      </w:r>
      <w:r w:rsidR="00D960C8" w:rsidRPr="003D7143">
        <w:t>20 </w:t>
      </w:r>
      <w:r w:rsidR="0057645B" w:rsidRPr="003D7143">
        <w:t xml:space="preserve">% částku </w:t>
      </w:r>
      <w:r w:rsidR="0077673B" w:rsidRPr="003D7143">
        <w:t>59</w:t>
      </w:r>
      <w:r w:rsidR="00140032" w:rsidRPr="003D7143">
        <w:t>,78</w:t>
      </w:r>
      <w:r w:rsidR="0077673B" w:rsidRPr="003D7143">
        <w:t> </w:t>
      </w:r>
      <w:r w:rsidR="00140032" w:rsidRPr="003D7143">
        <w:t>mil</w:t>
      </w:r>
      <w:r w:rsidR="0077673B" w:rsidRPr="003D7143">
        <w:t xml:space="preserve">. </w:t>
      </w:r>
      <w:r w:rsidR="00552005">
        <w:t xml:space="preserve">Kč </w:t>
      </w:r>
      <w:r w:rsidR="0057645B" w:rsidRPr="003D7143">
        <w:t xml:space="preserve">vynaloženou na </w:t>
      </w:r>
      <w:r w:rsidR="0077673B" w:rsidRPr="003D7143">
        <w:t>pořízení MS2014+.</w:t>
      </w:r>
      <w:r w:rsidR="0077673B">
        <w:t xml:space="preserve"> </w:t>
      </w:r>
    </w:p>
    <w:p w14:paraId="27977197" w14:textId="77777777" w:rsidR="009B7920" w:rsidRDefault="009B7920" w:rsidP="009B7920">
      <w:pPr>
        <w:pStyle w:val="NormlnKZ"/>
      </w:pPr>
    </w:p>
    <w:p w14:paraId="77ED85F8" w14:textId="6423085E" w:rsidR="002076EB" w:rsidRDefault="00552005" w:rsidP="002076EB">
      <w:pPr>
        <w:pStyle w:val="NormlnKZ"/>
        <w:spacing w:after="120"/>
      </w:pPr>
      <w:r>
        <w:t>Časté změny</w:t>
      </w:r>
      <w:r w:rsidR="00DE03AD">
        <w:t xml:space="preserve"> v</w:t>
      </w:r>
      <w:r w:rsidR="00F27765">
        <w:t xml:space="preserve"> </w:t>
      </w:r>
      <w:r w:rsidR="008D6CDF">
        <w:t>MS2014+</w:t>
      </w:r>
      <w:r w:rsidR="00DE03AD">
        <w:t xml:space="preserve"> </w:t>
      </w:r>
      <w:r w:rsidR="005A2891">
        <w:t xml:space="preserve">po spuštění ostrého provozu </w:t>
      </w:r>
      <w:r w:rsidR="00905289">
        <w:t>byl</w:t>
      </w:r>
      <w:r>
        <w:t>y</w:t>
      </w:r>
      <w:r w:rsidR="00905289">
        <w:t xml:space="preserve"> </w:t>
      </w:r>
      <w:r>
        <w:t xml:space="preserve">zapříčiněny </w:t>
      </w:r>
      <w:r w:rsidR="00905289">
        <w:t>doplňování</w:t>
      </w:r>
      <w:r>
        <w:t>m</w:t>
      </w:r>
      <w:r w:rsidR="00905289">
        <w:t xml:space="preserve"> a</w:t>
      </w:r>
      <w:r w:rsidR="00F27765">
        <w:t> </w:t>
      </w:r>
      <w:r w:rsidR="00DE03AD">
        <w:t>aktualizace</w:t>
      </w:r>
      <w:r>
        <w:t>mi</w:t>
      </w:r>
      <w:r w:rsidR="00DE03AD">
        <w:t xml:space="preserve"> metodických dokumentů tvořících </w:t>
      </w:r>
      <w:r w:rsidR="00EF2F87">
        <w:t>JMP</w:t>
      </w:r>
      <w:r w:rsidR="00DE03AD">
        <w:t xml:space="preserve"> a také požadavky </w:t>
      </w:r>
      <w:r w:rsidR="005C2B40">
        <w:t>řídicích orgánů</w:t>
      </w:r>
      <w:r w:rsidR="00905289">
        <w:t xml:space="preserve"> na </w:t>
      </w:r>
      <w:r w:rsidR="005A2891">
        <w:t>úpravy MS2014+</w:t>
      </w:r>
      <w:r w:rsidR="002076EB">
        <w:t xml:space="preserve">. Jednotné metodické prostředí umožňuje řadu úprav, které </w:t>
      </w:r>
      <w:r>
        <w:t>j</w:t>
      </w:r>
      <w:r w:rsidR="002076EB">
        <w:t>s</w:t>
      </w:r>
      <w:r>
        <w:t>ou</w:t>
      </w:r>
      <w:r w:rsidR="002076EB">
        <w:t xml:space="preserve"> rozvíje</w:t>
      </w:r>
      <w:r>
        <w:t>ny</w:t>
      </w:r>
      <w:r w:rsidR="002076EB">
        <w:t xml:space="preserve"> pouze pro někoho, například pouze pro jednoho poskytovatele podpor. Do budoucna nelze vyloučit, že budou nejen ze strany poskytovatelů podpor požadovány další rozvojové úpravy MS2014+. To zakládá riziko, že celý jednotný monitorovací</w:t>
      </w:r>
      <w:r w:rsidR="00905289">
        <w:t xml:space="preserve"> sy</w:t>
      </w:r>
      <w:r w:rsidR="007F1675">
        <w:t>stém bude stále složitější</w:t>
      </w:r>
      <w:r w:rsidR="002076EB">
        <w:t xml:space="preserve">, což může vést i k ovlivnění nebo omezení funkčnosti a </w:t>
      </w:r>
      <w:r w:rsidR="00636E15">
        <w:t xml:space="preserve">stability </w:t>
      </w:r>
      <w:r w:rsidR="002076EB">
        <w:t>celého systému.</w:t>
      </w:r>
    </w:p>
    <w:p w14:paraId="2BFCFE39" w14:textId="1E38A2DF" w:rsidR="002076EB" w:rsidRDefault="00687F70" w:rsidP="0083783E">
      <w:pPr>
        <w:pStyle w:val="NormlnKZ"/>
      </w:pPr>
      <w:r>
        <w:t>V období od června 2015 do dubna 2016 se v produkčním prostředí MS2014+ nebo v jeho části vyskytovaly v</w:t>
      </w:r>
      <w:r w:rsidR="002076EB">
        <w:t xml:space="preserve">ýpadky systému, které </w:t>
      </w:r>
      <w:r w:rsidR="00F27765">
        <w:t xml:space="preserve">uživatelům </w:t>
      </w:r>
      <w:r w:rsidR="002076EB">
        <w:t>znemožňovaly</w:t>
      </w:r>
      <w:r>
        <w:t xml:space="preserve"> práci. K</w:t>
      </w:r>
      <w:r w:rsidR="00B701DD">
        <w:t xml:space="preserve"> </w:t>
      </w:r>
      <w:r>
        <w:t>takovým výpadkům docházelo v průměr</w:t>
      </w:r>
      <w:r w:rsidR="000D0438">
        <w:t>u</w:t>
      </w:r>
      <w:r w:rsidR="002076EB">
        <w:t xml:space="preserve"> více než</w:t>
      </w:r>
      <w:r w:rsidR="00F27765">
        <w:t xml:space="preserve"> 1,5</w:t>
      </w:r>
      <w:r w:rsidR="002076EB">
        <w:t>krát za den (viz graf č. 1</w:t>
      </w:r>
      <w:r w:rsidR="000D0438">
        <w:t xml:space="preserve"> v</w:t>
      </w:r>
      <w:r w:rsidR="00F87A93">
        <w:t> </w:t>
      </w:r>
      <w:r w:rsidR="000D0438">
        <w:t>příloze</w:t>
      </w:r>
      <w:r w:rsidR="00F87A93">
        <w:t xml:space="preserve"> č. 2</w:t>
      </w:r>
      <w:r w:rsidR="000D0438">
        <w:t xml:space="preserve"> </w:t>
      </w:r>
      <w:r w:rsidR="00F27765">
        <w:t xml:space="preserve">tohoto </w:t>
      </w:r>
      <w:r w:rsidR="000D0438">
        <w:t>kontrolního závěru</w:t>
      </w:r>
      <w:r w:rsidR="002076EB">
        <w:t xml:space="preserve">). Ve všech provozních prostředích se v období od listopadu 2014 do dubna 2016 takovéto incidenty vyskytovaly v průměru </w:t>
      </w:r>
      <w:r w:rsidR="00F27765">
        <w:t>6</w:t>
      </w:r>
      <w:r w:rsidR="002076EB">
        <w:t>krát za den. Počet incidentů rostl od roku 2015 zejména od měsíce června, kdy systém začali využ</w:t>
      </w:r>
      <w:r w:rsidR="000D0438">
        <w:t>ívat noví uživatelé, což souviselo</w:t>
      </w:r>
      <w:r w:rsidR="002076EB">
        <w:t xml:space="preserve"> s rozjezdem nového programového období</w:t>
      </w:r>
      <w:r w:rsidR="00345DA9">
        <w:t>, tj. s vyhlašováním výzev</w:t>
      </w:r>
      <w:r w:rsidR="002076EB">
        <w:t xml:space="preserve"> (viz graf č. 2</w:t>
      </w:r>
      <w:r w:rsidR="000D0438">
        <w:t xml:space="preserve"> v</w:t>
      </w:r>
      <w:r w:rsidR="00F87A93">
        <w:t> </w:t>
      </w:r>
      <w:r w:rsidR="000D0438">
        <w:t>příloze</w:t>
      </w:r>
      <w:r w:rsidR="00F87A93">
        <w:t xml:space="preserve"> č. 2</w:t>
      </w:r>
      <w:r w:rsidR="000D0438">
        <w:t xml:space="preserve"> </w:t>
      </w:r>
      <w:r w:rsidR="00F27765">
        <w:t xml:space="preserve">tohoto </w:t>
      </w:r>
      <w:r w:rsidR="000D0438">
        <w:t>kontrolního závěru</w:t>
      </w:r>
      <w:r w:rsidR="002076EB">
        <w:t>).</w:t>
      </w:r>
    </w:p>
    <w:p w14:paraId="23B19D5C" w14:textId="4D4AC14C" w:rsidR="0083783E" w:rsidRDefault="0083783E" w:rsidP="0083783E">
      <w:pPr>
        <w:pStyle w:val="NormlnKZ"/>
      </w:pPr>
    </w:p>
    <w:p w14:paraId="287DB23B" w14:textId="77777777" w:rsidR="00E761BA" w:rsidRPr="003D7143" w:rsidRDefault="00E761BA" w:rsidP="00D14E5C">
      <w:pPr>
        <w:pStyle w:val="Nadpis2"/>
        <w:keepNext/>
        <w:pageBreakBefore/>
      </w:pPr>
      <w:r w:rsidRPr="003D7143">
        <w:lastRenderedPageBreak/>
        <w:t>Celkové náklady na monitorovací systém</w:t>
      </w:r>
    </w:p>
    <w:p w14:paraId="792B5A5F" w14:textId="7B7D8B66" w:rsidR="00E761BA" w:rsidRPr="003D7143" w:rsidRDefault="00E761BA" w:rsidP="00E761BA">
      <w:pPr>
        <w:pStyle w:val="NormlnKZ"/>
        <w:spacing w:after="120"/>
      </w:pPr>
      <w:r w:rsidRPr="003D7143">
        <w:t>Kromě vlastního vytvoření MS2014+ jsou smluvně zajišťovány i další služby nutné pro jeho provoz a bezpečnost, a to na základě souvisejících zakázek, např. pořízení HW platformy a</w:t>
      </w:r>
      <w:r w:rsidR="007C00BA">
        <w:t> </w:t>
      </w:r>
      <w:r w:rsidRPr="003D7143">
        <w:t xml:space="preserve">infrastruktury </w:t>
      </w:r>
      <w:proofErr w:type="spellStart"/>
      <w:r w:rsidRPr="003D7143">
        <w:t>serverovny</w:t>
      </w:r>
      <w:proofErr w:type="spellEnd"/>
      <w:r w:rsidRPr="003D7143">
        <w:t>, vybavení záložního pracoviště pro MS2014+ nebo zajištění služeb bezpečnostního dohledu.</w:t>
      </w:r>
    </w:p>
    <w:p w14:paraId="0F36DFA8" w14:textId="132D3084" w:rsidR="00E761BA" w:rsidRPr="003D7143" w:rsidRDefault="00E761BA" w:rsidP="00E761BA">
      <w:pPr>
        <w:pStyle w:val="NormlnKZ"/>
        <w:spacing w:after="120"/>
      </w:pPr>
      <w:r w:rsidRPr="003D7143">
        <w:t>Celkové výdaje na pořízení, provoz a rozvoj informačního systému MS2014+ a související infrastruktury za čtyři roky, tj. od května 2012</w:t>
      </w:r>
      <w:r w:rsidRPr="003D7143">
        <w:rPr>
          <w:rStyle w:val="Znakapoznpodarou"/>
        </w:rPr>
        <w:footnoteReference w:id="11"/>
      </w:r>
      <w:r w:rsidRPr="003D7143">
        <w:t xml:space="preserve"> do konce srpna 2016, dosáhly částky 872</w:t>
      </w:r>
      <w:r w:rsidR="00D76708" w:rsidRPr="003D7143">
        <w:t>,26</w:t>
      </w:r>
      <w:r w:rsidRPr="003D7143">
        <w:t xml:space="preserve"> mil. Kč. Část výdajů ve </w:t>
      </w:r>
      <w:r w:rsidR="00D76708" w:rsidRPr="003D7143">
        <w:t>výši 762,98</w:t>
      </w:r>
      <w:r w:rsidRPr="003D7143">
        <w:t xml:space="preserve"> mil. Kč financovalo MMR v rámci patnácti projektů operačního programu </w:t>
      </w:r>
      <w:r w:rsidRPr="003D7143">
        <w:rPr>
          <w:i/>
        </w:rPr>
        <w:t>Technická pomoc</w:t>
      </w:r>
      <w:r w:rsidRPr="003D7143">
        <w:rPr>
          <w:rStyle w:val="Znakapoznpodarou"/>
        </w:rPr>
        <w:footnoteReference w:id="12"/>
      </w:r>
      <w:r w:rsidRPr="003D7143">
        <w:t>.</w:t>
      </w:r>
      <w:r w:rsidR="00D76708" w:rsidRPr="003D7143">
        <w:t xml:space="preserve"> Zbývající částka ve výši 109,28</w:t>
      </w:r>
      <w:r w:rsidRPr="003D7143">
        <w:t> mil. Kč za provozní podporu a rozvoj MS2014+</w:t>
      </w:r>
      <w:r w:rsidRPr="003D7143">
        <w:rPr>
          <w:rStyle w:val="Znakapoznpodarou"/>
        </w:rPr>
        <w:footnoteReference w:id="13"/>
      </w:r>
      <w:r w:rsidRPr="003D7143">
        <w:t xml:space="preserve"> a za provozní služby spojené s udržováním prostředí MS2014+</w:t>
      </w:r>
      <w:r w:rsidRPr="003D7143">
        <w:rPr>
          <w:rStyle w:val="Znakapoznpodarou"/>
        </w:rPr>
        <w:footnoteReference w:id="14"/>
      </w:r>
      <w:r w:rsidRPr="003D7143">
        <w:t xml:space="preserve"> byla od počátku roku 2016 plně hrazena ze státního rozpočtu. </w:t>
      </w:r>
    </w:p>
    <w:p w14:paraId="472EEE4C" w14:textId="338F895C" w:rsidR="00E761BA" w:rsidRDefault="00E761BA" w:rsidP="00E761BA">
      <w:pPr>
        <w:pStyle w:val="NormlnKZ"/>
      </w:pPr>
      <w:r w:rsidRPr="003D7143">
        <w:t>Plánovaná míra spolufinancování ze zdrojů EU v období 2007</w:t>
      </w:r>
      <w:r w:rsidR="00FA52DF">
        <w:t>–</w:t>
      </w:r>
      <w:r w:rsidRPr="003D7143">
        <w:t>2013 činila maximálně 85</w:t>
      </w:r>
      <w:r w:rsidR="00C6331E">
        <w:t> </w:t>
      </w:r>
      <w:r w:rsidRPr="003D7143">
        <w:t xml:space="preserve">% celkových způsobilých veřejných výdajů projektů. V důsledku nesrovnalostí zjištěných </w:t>
      </w:r>
      <w:r w:rsidR="002316CE">
        <w:t>a</w:t>
      </w:r>
      <w:r w:rsidRPr="003D7143">
        <w:t xml:space="preserve">uditním orgánem a následných finančních oprav a také v důsledku neuplatnění některých projektových výdajů k proplacení ze zdrojů EU z důvodu jejich nezpůsobilosti </w:t>
      </w:r>
      <w:r w:rsidR="000D2BD4" w:rsidRPr="003D7143">
        <w:t xml:space="preserve">rozhodla </w:t>
      </w:r>
      <w:r w:rsidRPr="003D7143">
        <w:t>vláda</w:t>
      </w:r>
      <w:r w:rsidR="000D2BD4">
        <w:t xml:space="preserve"> ČR</w:t>
      </w:r>
      <w:r w:rsidRPr="003D7143">
        <w:rPr>
          <w:rStyle w:val="Znakapoznpodarou"/>
        </w:rPr>
        <w:footnoteReference w:id="15"/>
      </w:r>
      <w:r w:rsidRPr="003D7143">
        <w:t xml:space="preserve"> </w:t>
      </w:r>
      <w:r w:rsidR="000D2BD4" w:rsidRPr="003D7143">
        <w:t xml:space="preserve">hradit </w:t>
      </w:r>
      <w:r w:rsidRPr="003D7143">
        <w:t>celou částku na pořízení, rozvoj a provoz aplikace MS2014+ ze státního rozpočtu v</w:t>
      </w:r>
      <w:r w:rsidR="00C6331E">
        <w:t> </w:t>
      </w:r>
      <w:r w:rsidRPr="003D7143">
        <w:t xml:space="preserve">rámci standardního procesu předfinancování evropských projektů do doby, než budou výdaje uplatněny vůči Komisi. Po vyjmutí části výdajů z financování z operačního programu </w:t>
      </w:r>
      <w:r w:rsidRPr="003D7143">
        <w:rPr>
          <w:i/>
        </w:rPr>
        <w:t>Technická pomoc</w:t>
      </w:r>
      <w:r w:rsidRPr="003D7143">
        <w:t xml:space="preserve"> a po uplatnění finančních oprav bylo v rámci těchto projektů </w:t>
      </w:r>
      <w:r w:rsidR="000D2BD4" w:rsidRPr="003D7143">
        <w:t xml:space="preserve">financováno </w:t>
      </w:r>
      <w:r w:rsidRPr="003D7143">
        <w:t>ze zdrojů EU 57</w:t>
      </w:r>
      <w:r w:rsidR="00C6331E">
        <w:t> </w:t>
      </w:r>
      <w:r w:rsidRPr="003D7143">
        <w:t xml:space="preserve">% </w:t>
      </w:r>
      <w:r w:rsidR="000D2BD4">
        <w:t>způsobilých výdajů</w:t>
      </w:r>
      <w:r w:rsidRPr="003D7143">
        <w:t xml:space="preserve"> </w:t>
      </w:r>
      <w:r w:rsidR="000D2BD4">
        <w:t>(</w:t>
      </w:r>
      <w:r w:rsidRPr="003D7143">
        <w:t>432,</w:t>
      </w:r>
      <w:r w:rsidR="00D76708" w:rsidRPr="003D7143">
        <w:t>15</w:t>
      </w:r>
      <w:r w:rsidRPr="003D7143">
        <w:t> mil. Kč</w:t>
      </w:r>
      <w:r w:rsidR="000D2BD4">
        <w:t>)</w:t>
      </w:r>
      <w:r w:rsidRPr="003D7143">
        <w:t xml:space="preserve"> a ze zdrojů státního rozpočtu 43</w:t>
      </w:r>
      <w:r w:rsidR="00C6331E">
        <w:t> </w:t>
      </w:r>
      <w:r w:rsidRPr="003D7143">
        <w:t xml:space="preserve">% </w:t>
      </w:r>
      <w:r w:rsidR="000D2BD4">
        <w:t>(</w:t>
      </w:r>
      <w:r w:rsidRPr="003D7143">
        <w:t>330,8</w:t>
      </w:r>
      <w:r w:rsidR="00D76708" w:rsidRPr="003D7143">
        <w:t>3</w:t>
      </w:r>
      <w:r w:rsidRPr="003D7143">
        <w:t> mil.</w:t>
      </w:r>
      <w:r w:rsidR="00C6331E">
        <w:t> </w:t>
      </w:r>
      <w:r w:rsidRPr="003D7143">
        <w:t>Kč</w:t>
      </w:r>
      <w:r w:rsidR="000D2BD4">
        <w:t>)</w:t>
      </w:r>
      <w:r w:rsidRPr="003D7143">
        <w:t xml:space="preserve">. Konkrétní výše spolufinancování ze státního rozpočtu </w:t>
      </w:r>
      <w:r w:rsidR="000D2BD4" w:rsidRPr="003D7143">
        <w:t xml:space="preserve">závisí </w:t>
      </w:r>
      <w:r w:rsidRPr="003D7143">
        <w:t>také na konečném posouzení veřejných zakázek souvisejíc</w:t>
      </w:r>
      <w:r w:rsidR="00D76708" w:rsidRPr="003D7143">
        <w:t>ích s aplikací MS2014+ Úřadem pro</w:t>
      </w:r>
      <w:r w:rsidR="003E3CBD">
        <w:t xml:space="preserve"> ochranu hospodářské soutěže a</w:t>
      </w:r>
      <w:r w:rsidR="00C6331E">
        <w:t xml:space="preserve"> </w:t>
      </w:r>
      <w:r w:rsidR="003E3CBD">
        <w:t>na</w:t>
      </w:r>
      <w:r w:rsidR="00C6331E">
        <w:t xml:space="preserve"> </w:t>
      </w:r>
      <w:r w:rsidRPr="003D7143">
        <w:t>výsledcích šetření Policie ČR.</w:t>
      </w:r>
    </w:p>
    <w:p w14:paraId="47E6652A" w14:textId="77777777" w:rsidR="00E761BA" w:rsidRDefault="00E761BA" w:rsidP="0083783E">
      <w:pPr>
        <w:pStyle w:val="NormlnKZ"/>
      </w:pPr>
    </w:p>
    <w:p w14:paraId="6FEEA54A" w14:textId="77777777" w:rsidR="002076EB" w:rsidRDefault="001369D1" w:rsidP="00687890">
      <w:pPr>
        <w:pStyle w:val="Nadpis2"/>
        <w:keepNext/>
      </w:pPr>
      <w:r>
        <w:t>M</w:t>
      </w:r>
      <w:r w:rsidR="000D0438">
        <w:t>onitorovací systém</w:t>
      </w:r>
      <w:r>
        <w:t xml:space="preserve"> jako nástroj pro provádění programů a jeho manažerské využití</w:t>
      </w:r>
    </w:p>
    <w:p w14:paraId="3148040A" w14:textId="5E60DA2E" w:rsidR="001369D1" w:rsidRDefault="001369D1" w:rsidP="001369D1">
      <w:pPr>
        <w:pStyle w:val="NormlnKZ"/>
        <w:spacing w:after="120"/>
      </w:pPr>
      <w:r>
        <w:t xml:space="preserve">V rámci kontroly proběhlo v součinnosti se zástupci MMR testování tří základních a jednoho průřezového procesu v referenčním prostředí MS2014+. Schéma jednotlivých úkonů v procesu </w:t>
      </w:r>
      <w:r w:rsidR="004079CF">
        <w:rPr>
          <w:i/>
        </w:rPr>
        <w:t>n</w:t>
      </w:r>
      <w:r w:rsidRPr="00333E12">
        <w:rPr>
          <w:i/>
        </w:rPr>
        <w:t>astavování a vyhlašování výzev</w:t>
      </w:r>
      <w:r>
        <w:t xml:space="preserve"> je zpracováno do podoby šablony (tzv. šablona </w:t>
      </w:r>
      <w:proofErr w:type="spellStart"/>
      <w:r>
        <w:t>workflow</w:t>
      </w:r>
      <w:proofErr w:type="spellEnd"/>
      <w:r>
        <w:t xml:space="preserve">). I když existuje sada šablon, vlastní parametry pro každou výzvu jsou nastavovány individuálně. Proces </w:t>
      </w:r>
      <w:r w:rsidR="004079CF">
        <w:rPr>
          <w:i/>
        </w:rPr>
        <w:t>n</w:t>
      </w:r>
      <w:r w:rsidRPr="00333E12">
        <w:rPr>
          <w:i/>
        </w:rPr>
        <w:t>astavování a vyhlašování výzev</w:t>
      </w:r>
      <w:r>
        <w:t xml:space="preserve"> tak nelze automatizovat pro všechny </w:t>
      </w:r>
      <w:r w:rsidR="0083783E">
        <w:t>programy</w:t>
      </w:r>
      <w:r w:rsidR="00E30FCD">
        <w:t xml:space="preserve"> spolufinancované z EU</w:t>
      </w:r>
      <w:r>
        <w:t>.</w:t>
      </w:r>
    </w:p>
    <w:p w14:paraId="32CFCCB9" w14:textId="4B141DC6" w:rsidR="00BC77E7" w:rsidRPr="00CC45A6" w:rsidRDefault="00137AE5" w:rsidP="00342392">
      <w:pPr>
        <w:pStyle w:val="NormlnKZ"/>
        <w:keepNext/>
        <w:rPr>
          <w:rFonts w:cs="Arial"/>
          <w:b/>
        </w:rPr>
      </w:pPr>
      <w:r>
        <w:t>K</w:t>
      </w:r>
      <w:r w:rsidR="00BC77E7" w:rsidRPr="007F48BA">
        <w:t>apacit</w:t>
      </w:r>
      <w:r>
        <w:t>a</w:t>
      </w:r>
      <w:r w:rsidR="00BC77E7" w:rsidRPr="007F48BA">
        <w:t xml:space="preserve"> a</w:t>
      </w:r>
      <w:r>
        <w:t>ni</w:t>
      </w:r>
      <w:r w:rsidR="00BC77E7" w:rsidRPr="007F48BA">
        <w:t xml:space="preserve"> možnost</w:t>
      </w:r>
      <w:r>
        <w:t>i</w:t>
      </w:r>
      <w:r w:rsidR="00BC77E7" w:rsidRPr="007F48BA">
        <w:t xml:space="preserve"> monitorovací</w:t>
      </w:r>
      <w:r>
        <w:t>ho</w:t>
      </w:r>
      <w:r w:rsidR="00BC77E7" w:rsidRPr="007F48BA">
        <w:t xml:space="preserve"> systém</w:t>
      </w:r>
      <w:r>
        <w:t>u nejsou plně využívány</w:t>
      </w:r>
      <w:r w:rsidR="001369D1">
        <w:t>.</w:t>
      </w:r>
      <w:r w:rsidR="00BC77E7" w:rsidRPr="00CC45A6">
        <w:t xml:space="preserve"> </w:t>
      </w:r>
      <w:r w:rsidR="00BC77E7">
        <w:t xml:space="preserve">NKÚ </w:t>
      </w:r>
      <w:r w:rsidR="00BC77E7" w:rsidRPr="00CC45A6">
        <w:t>i</w:t>
      </w:r>
      <w:r w:rsidR="001369D1">
        <w:t>dentifikoval</w:t>
      </w:r>
      <w:r w:rsidR="00BC77E7" w:rsidRPr="00CC45A6">
        <w:t xml:space="preserve"> tyto nedostatky:</w:t>
      </w:r>
    </w:p>
    <w:p w14:paraId="68EDADEC" w14:textId="37265418" w:rsidR="00C35571" w:rsidRDefault="00BC77E7" w:rsidP="00D14E5C">
      <w:pPr>
        <w:pStyle w:val="NormlnKZ"/>
        <w:keepNext/>
        <w:numPr>
          <w:ilvl w:val="0"/>
          <w:numId w:val="9"/>
        </w:numPr>
        <w:spacing w:after="80"/>
        <w:ind w:left="425" w:hanging="357"/>
      </w:pPr>
      <w:r w:rsidRPr="00A56270">
        <w:t xml:space="preserve">Data v aplikaci MS2014+ za programy </w:t>
      </w:r>
      <w:r w:rsidR="00B322C2">
        <w:t>spolufinancované z</w:t>
      </w:r>
      <w:r w:rsidR="00E30FCD">
        <w:t> </w:t>
      </w:r>
      <w:r w:rsidR="00E30FCD" w:rsidRPr="00D14E5C">
        <w:rPr>
          <w:i/>
        </w:rPr>
        <w:t>Evropského zemědělského fondu pro rozvoj venkova</w:t>
      </w:r>
      <w:r w:rsidRPr="00A56270">
        <w:t xml:space="preserve"> (PRV) a </w:t>
      </w:r>
      <w:r w:rsidR="00905289" w:rsidRPr="00D14E5C">
        <w:rPr>
          <w:i/>
        </w:rPr>
        <w:t>Evropského námořního a </w:t>
      </w:r>
      <w:r w:rsidR="00E30FCD" w:rsidRPr="00D14E5C">
        <w:rPr>
          <w:i/>
        </w:rPr>
        <w:t>rybářského fondu</w:t>
      </w:r>
      <w:r w:rsidRPr="00A56270">
        <w:t xml:space="preserve"> (OPR) ne</w:t>
      </w:r>
      <w:r>
        <w:t xml:space="preserve">byla </w:t>
      </w:r>
      <w:r w:rsidRPr="00A56270">
        <w:lastRenderedPageBreak/>
        <w:t xml:space="preserve">zajištěna </w:t>
      </w:r>
      <w:r w:rsidR="00035501" w:rsidRPr="003D7143">
        <w:t>automatickými</w:t>
      </w:r>
      <w:r w:rsidRPr="003D7143">
        <w:t xml:space="preserve"> p</w:t>
      </w:r>
      <w:r w:rsidRPr="00A56270">
        <w:t xml:space="preserve">řenosy </w:t>
      </w:r>
      <w:r w:rsidR="00137AE5">
        <w:t xml:space="preserve">údajů </w:t>
      </w:r>
      <w:r w:rsidRPr="00A56270">
        <w:t xml:space="preserve">z informačního systému </w:t>
      </w:r>
      <w:r w:rsidR="00C35571">
        <w:t>Státního zemědělského intervenčního fondu (dále též „</w:t>
      </w:r>
      <w:r w:rsidRPr="00A56270">
        <w:t>SZIF</w:t>
      </w:r>
      <w:r w:rsidR="00C35571">
        <w:t>“)</w:t>
      </w:r>
      <w:r w:rsidRPr="00A56270">
        <w:t xml:space="preserve">. </w:t>
      </w:r>
    </w:p>
    <w:p w14:paraId="013612FA" w14:textId="31D881AB" w:rsidR="00BC77E7" w:rsidRPr="003B140F" w:rsidRDefault="00BC77E7" w:rsidP="001F7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160"/>
        <w:ind w:left="567" w:right="283"/>
        <w:rPr>
          <w:rFonts w:ascii="Calibri" w:hAnsi="Calibri" w:cs="Arial"/>
          <w:sz w:val="24"/>
        </w:rPr>
      </w:pPr>
      <w:r w:rsidRPr="003B140F">
        <w:rPr>
          <w:rFonts w:ascii="Calibri" w:hAnsi="Calibri" w:cs="Arial"/>
          <w:sz w:val="24"/>
        </w:rPr>
        <w:t>Přestože bylo nastaveno</w:t>
      </w:r>
      <w:r w:rsidR="0046498A">
        <w:rPr>
          <w:rFonts w:ascii="Calibri" w:hAnsi="Calibri" w:cs="Arial"/>
          <w:sz w:val="24"/>
        </w:rPr>
        <w:t xml:space="preserve"> (tj.</w:t>
      </w:r>
      <w:r w:rsidRPr="003B140F">
        <w:rPr>
          <w:rFonts w:ascii="Calibri" w:hAnsi="Calibri" w:cs="Arial"/>
          <w:sz w:val="24"/>
        </w:rPr>
        <w:t xml:space="preserve"> existuje</w:t>
      </w:r>
      <w:r w:rsidR="0046498A">
        <w:rPr>
          <w:rFonts w:ascii="Calibri" w:hAnsi="Calibri" w:cs="Arial"/>
          <w:sz w:val="24"/>
        </w:rPr>
        <w:t>)</w:t>
      </w:r>
      <w:r w:rsidRPr="003B140F">
        <w:rPr>
          <w:rFonts w:ascii="Calibri" w:hAnsi="Calibri" w:cs="Arial"/>
          <w:sz w:val="24"/>
        </w:rPr>
        <w:t xml:space="preserve"> rozhraní mezi informačním systémem SZIF a</w:t>
      </w:r>
      <w:r w:rsidR="004E5A02">
        <w:rPr>
          <w:rFonts w:ascii="Calibri" w:hAnsi="Calibri" w:cs="Arial"/>
          <w:sz w:val="24"/>
        </w:rPr>
        <w:t> </w:t>
      </w:r>
      <w:r w:rsidRPr="003B140F">
        <w:rPr>
          <w:rFonts w:ascii="Calibri" w:hAnsi="Calibri" w:cs="Arial"/>
          <w:sz w:val="24"/>
        </w:rPr>
        <w:t xml:space="preserve">MS2014+, dostávalo MMR agregované údaje pro účely monitorování ESI fondů od </w:t>
      </w:r>
      <w:r w:rsidR="00E30FCD">
        <w:rPr>
          <w:rFonts w:ascii="Calibri" w:hAnsi="Calibri" w:cs="Arial"/>
          <w:sz w:val="24"/>
        </w:rPr>
        <w:t>Ministerstva zemědělství</w:t>
      </w:r>
      <w:r w:rsidRPr="003B140F">
        <w:rPr>
          <w:rFonts w:ascii="Calibri" w:hAnsi="Calibri" w:cs="Arial"/>
          <w:sz w:val="24"/>
        </w:rPr>
        <w:t xml:space="preserve"> e-mailov</w:t>
      </w:r>
      <w:r w:rsidR="00B11FAB">
        <w:rPr>
          <w:rFonts w:ascii="Calibri" w:hAnsi="Calibri" w:cs="Arial"/>
          <w:sz w:val="24"/>
        </w:rPr>
        <w:t>ou formou. Data za PRV a OP</w:t>
      </w:r>
      <w:r w:rsidRPr="003B140F">
        <w:rPr>
          <w:rFonts w:ascii="Calibri" w:hAnsi="Calibri" w:cs="Arial"/>
          <w:sz w:val="24"/>
        </w:rPr>
        <w:t xml:space="preserve">R byla primárně </w:t>
      </w:r>
      <w:r w:rsidR="0046498A">
        <w:rPr>
          <w:rFonts w:ascii="Calibri" w:hAnsi="Calibri" w:cs="Arial"/>
          <w:sz w:val="24"/>
        </w:rPr>
        <w:t>u</w:t>
      </w:r>
      <w:r w:rsidRPr="003B140F">
        <w:rPr>
          <w:rFonts w:ascii="Calibri" w:hAnsi="Calibri" w:cs="Arial"/>
          <w:sz w:val="24"/>
        </w:rPr>
        <w:t>kládána</w:t>
      </w:r>
      <w:r w:rsidR="0046498A">
        <w:rPr>
          <w:rFonts w:ascii="Calibri" w:hAnsi="Calibri" w:cs="Arial"/>
          <w:sz w:val="24"/>
        </w:rPr>
        <w:t xml:space="preserve"> do </w:t>
      </w:r>
      <w:r w:rsidRPr="003B140F">
        <w:rPr>
          <w:rFonts w:ascii="Calibri" w:hAnsi="Calibri" w:cs="Arial"/>
          <w:sz w:val="24"/>
        </w:rPr>
        <w:t>informační</w:t>
      </w:r>
      <w:r w:rsidR="00BF7456">
        <w:rPr>
          <w:rFonts w:ascii="Calibri" w:hAnsi="Calibri" w:cs="Arial"/>
          <w:sz w:val="24"/>
        </w:rPr>
        <w:t>ho</w:t>
      </w:r>
      <w:r w:rsidRPr="003B140F">
        <w:rPr>
          <w:rFonts w:ascii="Calibri" w:hAnsi="Calibri" w:cs="Arial"/>
          <w:sz w:val="24"/>
        </w:rPr>
        <w:t xml:space="preserve"> systému SZIF, do aplikace MS2014+ byla data nahrávána prostřednictvím dávkových přenosů. V MS2014+ však nebyla obsažena data za PRV na projektové úrovni. Dostupnost vy</w:t>
      </w:r>
      <w:r w:rsidR="00C35571" w:rsidRPr="003B140F">
        <w:rPr>
          <w:rFonts w:ascii="Calibri" w:hAnsi="Calibri" w:cs="Arial"/>
          <w:sz w:val="24"/>
        </w:rPr>
        <w:t xml:space="preserve">braných dat za oba programy </w:t>
      </w:r>
      <w:r w:rsidRPr="003B140F">
        <w:rPr>
          <w:rFonts w:ascii="Calibri" w:hAnsi="Calibri" w:cs="Arial"/>
          <w:sz w:val="24"/>
        </w:rPr>
        <w:t>v</w:t>
      </w:r>
      <w:r w:rsidR="00905289">
        <w:rPr>
          <w:rFonts w:ascii="Calibri" w:hAnsi="Calibri" w:cs="Arial"/>
          <w:sz w:val="24"/>
        </w:rPr>
        <w:t> </w:t>
      </w:r>
      <w:r w:rsidRPr="003B140F">
        <w:rPr>
          <w:rFonts w:ascii="Calibri" w:hAnsi="Calibri" w:cs="Arial"/>
          <w:sz w:val="24"/>
        </w:rPr>
        <w:t xml:space="preserve">MS2014+ je tedy zatím jen cílovým stavem. </w:t>
      </w:r>
    </w:p>
    <w:p w14:paraId="1282A4F0" w14:textId="4CD7B879" w:rsidR="003B140F" w:rsidRPr="00C35571" w:rsidRDefault="003B140F" w:rsidP="001F79F5">
      <w:pPr>
        <w:pStyle w:val="NormlnKZ"/>
        <w:keepNext/>
        <w:numPr>
          <w:ilvl w:val="0"/>
          <w:numId w:val="9"/>
        </w:numPr>
        <w:spacing w:after="80"/>
        <w:ind w:left="425" w:hanging="357"/>
        <w:rPr>
          <w:rFonts w:cs="Arial"/>
        </w:rPr>
      </w:pPr>
      <w:r w:rsidRPr="009A25DF">
        <w:t>V programovém období 2014</w:t>
      </w:r>
      <w:r w:rsidR="004E5A02">
        <w:t>–2020</w:t>
      </w:r>
      <w:r w:rsidRPr="009A25DF">
        <w:t xml:space="preserve"> ne</w:t>
      </w:r>
      <w:r w:rsidR="004E5A02">
        <w:t>ní</w:t>
      </w:r>
      <w:r w:rsidRPr="009A25DF">
        <w:t xml:space="preserve"> sjednocen způsob podávání žádostí o přezkum rozhodnutí řídicích orgánů prostřednictvím</w:t>
      </w:r>
      <w:r>
        <w:t xml:space="preserve"> portálu ISKP2014+ do aplikace MS2014+. </w:t>
      </w:r>
      <w:r>
        <w:rPr>
          <w:rFonts w:cs="Arial"/>
        </w:rPr>
        <w:t>T</w:t>
      </w:r>
      <w:r w:rsidRPr="00102860">
        <w:rPr>
          <w:rFonts w:cs="Arial"/>
        </w:rPr>
        <w:t xml:space="preserve">ato skutečnost nepřispívá k naplnění hodnotitelného ukazatele </w:t>
      </w:r>
      <w:r w:rsidRPr="001F79F5">
        <w:rPr>
          <w:rFonts w:cs="Arial"/>
        </w:rPr>
        <w:t>„</w:t>
      </w:r>
      <w:r w:rsidRPr="00966B31">
        <w:rPr>
          <w:rFonts w:cs="Arial"/>
          <w:i/>
        </w:rPr>
        <w:t>90 % procesů administrace a implementace programů SF/FS bude plně elektronizováno</w:t>
      </w:r>
      <w:r w:rsidRPr="001F79F5">
        <w:rPr>
          <w:rFonts w:cs="Arial"/>
        </w:rPr>
        <w:t>“</w:t>
      </w:r>
      <w:r w:rsidRPr="004E5A02">
        <w:rPr>
          <w:rFonts w:cs="Arial"/>
        </w:rPr>
        <w:t>,</w:t>
      </w:r>
      <w:r w:rsidRPr="00102860">
        <w:rPr>
          <w:rFonts w:cs="Arial"/>
        </w:rPr>
        <w:t xml:space="preserve"> jenž se vztahuje k cíli Koncepce JMP </w:t>
      </w:r>
      <w:r w:rsidRPr="00102860">
        <w:rPr>
          <w:rFonts w:cs="Arial"/>
          <w:i/>
        </w:rPr>
        <w:t>Nízká administrativní zátěž subjektů implementační struktury</w:t>
      </w:r>
      <w:r w:rsidRPr="001F79F5">
        <w:rPr>
          <w:rFonts w:cs="Arial"/>
        </w:rPr>
        <w:t>.</w:t>
      </w:r>
      <w:r w:rsidRPr="00102860">
        <w:rPr>
          <w:rFonts w:cs="Arial"/>
        </w:rPr>
        <w:t xml:space="preserve"> </w:t>
      </w:r>
      <w:r>
        <w:t xml:space="preserve"> </w:t>
      </w:r>
    </w:p>
    <w:p w14:paraId="38FE53CC" w14:textId="1EC18DBE" w:rsidR="003B140F" w:rsidRPr="00102860" w:rsidRDefault="003B140F" w:rsidP="001F7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160"/>
        <w:ind w:left="567" w:right="283"/>
        <w:rPr>
          <w:rFonts w:ascii="Calibri" w:hAnsi="Calibri" w:cs="Arial"/>
          <w:sz w:val="24"/>
        </w:rPr>
      </w:pPr>
      <w:r w:rsidRPr="00102860">
        <w:rPr>
          <w:rFonts w:ascii="Calibri" w:hAnsi="Calibri" w:cs="Arial"/>
          <w:sz w:val="24"/>
        </w:rPr>
        <w:t xml:space="preserve">Dodatečné nahrávání </w:t>
      </w:r>
      <w:r>
        <w:rPr>
          <w:rFonts w:ascii="Calibri" w:hAnsi="Calibri" w:cs="Arial"/>
          <w:sz w:val="24"/>
        </w:rPr>
        <w:t xml:space="preserve">podaných </w:t>
      </w:r>
      <w:r w:rsidRPr="00102860">
        <w:rPr>
          <w:rFonts w:ascii="Calibri" w:hAnsi="Calibri" w:cs="Arial"/>
          <w:sz w:val="24"/>
        </w:rPr>
        <w:t>žádostí o přezkum do aplikace MS2014+ navíc představuje existenci další, nadbytečné administrativní zátěže subjektů implementační struktury, především ř</w:t>
      </w:r>
      <w:r>
        <w:rPr>
          <w:rFonts w:ascii="Calibri" w:hAnsi="Calibri" w:cs="Arial"/>
          <w:sz w:val="24"/>
        </w:rPr>
        <w:t xml:space="preserve">ídicích orgánů. V důsledku nejednotné formy podávání žádostí o přezkum, respektive jejich </w:t>
      </w:r>
      <w:r w:rsidR="00B11FAB">
        <w:rPr>
          <w:rFonts w:ascii="Calibri" w:hAnsi="Calibri" w:cs="Arial"/>
          <w:sz w:val="24"/>
        </w:rPr>
        <w:t>dodatečné</w:t>
      </w:r>
      <w:r w:rsidR="004E5A02">
        <w:rPr>
          <w:rFonts w:ascii="Calibri" w:hAnsi="Calibri" w:cs="Arial"/>
          <w:sz w:val="24"/>
        </w:rPr>
        <w:t>ho</w:t>
      </w:r>
      <w:r w:rsidR="00B11FAB">
        <w:rPr>
          <w:rFonts w:ascii="Calibri" w:hAnsi="Calibri" w:cs="Arial"/>
          <w:sz w:val="24"/>
        </w:rPr>
        <w:t xml:space="preserve"> </w:t>
      </w:r>
      <w:r>
        <w:rPr>
          <w:rFonts w:ascii="Calibri" w:hAnsi="Calibri" w:cs="Arial"/>
          <w:sz w:val="24"/>
        </w:rPr>
        <w:t>vkládání do MS2014+, nebyla v této aplikaci k dispozici centrální elektronická evidence podaných žádostí za</w:t>
      </w:r>
      <w:r w:rsidR="004E5A02">
        <w:rPr>
          <w:rFonts w:ascii="Calibri" w:hAnsi="Calibri" w:cs="Arial"/>
          <w:sz w:val="24"/>
        </w:rPr>
        <w:t xml:space="preserve"> </w:t>
      </w:r>
      <w:r>
        <w:rPr>
          <w:rFonts w:ascii="Calibri" w:hAnsi="Calibri" w:cs="Arial"/>
          <w:sz w:val="24"/>
        </w:rPr>
        <w:t>všechny operační programy. Vytvoření takové sest</w:t>
      </w:r>
      <w:r w:rsidR="00B11FAB">
        <w:rPr>
          <w:rFonts w:ascii="Calibri" w:hAnsi="Calibri" w:cs="Arial"/>
          <w:sz w:val="24"/>
        </w:rPr>
        <w:t>avy</w:t>
      </w:r>
      <w:r w:rsidR="004E5A02">
        <w:rPr>
          <w:rFonts w:ascii="Calibri" w:hAnsi="Calibri" w:cs="Arial"/>
          <w:sz w:val="24"/>
        </w:rPr>
        <w:t>/evidence</w:t>
      </w:r>
      <w:r>
        <w:rPr>
          <w:rFonts w:ascii="Calibri" w:hAnsi="Calibri" w:cs="Arial"/>
          <w:sz w:val="24"/>
        </w:rPr>
        <w:t xml:space="preserve"> nebylo požadováno ani z úrovně MMR, ani řídicími orgány.</w:t>
      </w:r>
    </w:p>
    <w:p w14:paraId="0FE17877" w14:textId="41A919F2" w:rsidR="008F6E2E" w:rsidRDefault="00BC77E7" w:rsidP="001F79F5">
      <w:pPr>
        <w:pStyle w:val="NormlnKZ"/>
        <w:keepNext/>
        <w:numPr>
          <w:ilvl w:val="0"/>
          <w:numId w:val="9"/>
        </w:numPr>
        <w:spacing w:after="80"/>
        <w:ind w:left="425" w:hanging="357"/>
        <w:rPr>
          <w:rFonts w:cs="Arial"/>
        </w:rPr>
      </w:pPr>
      <w:r w:rsidRPr="00CC45A6">
        <w:rPr>
          <w:rFonts w:cs="Arial"/>
        </w:rPr>
        <w:t xml:space="preserve">Data vztahující </w:t>
      </w:r>
      <w:r w:rsidR="007A3724">
        <w:rPr>
          <w:rFonts w:cs="Arial"/>
        </w:rPr>
        <w:t>se k jednotlivým programům</w:t>
      </w:r>
      <w:r w:rsidRPr="00CC45A6">
        <w:rPr>
          <w:rFonts w:cs="Arial"/>
        </w:rPr>
        <w:t xml:space="preserve"> nebyla v </w:t>
      </w:r>
      <w:proofErr w:type="spellStart"/>
      <w:r w:rsidRPr="00CC45A6">
        <w:rPr>
          <w:rFonts w:cs="Arial"/>
        </w:rPr>
        <w:t>předvytvořených</w:t>
      </w:r>
      <w:proofErr w:type="spellEnd"/>
      <w:r w:rsidRPr="00CC45A6">
        <w:rPr>
          <w:rFonts w:cs="Arial"/>
        </w:rPr>
        <w:t xml:space="preserve"> sestavách aplikace MS2014</w:t>
      </w:r>
      <w:r w:rsidR="004E5A02">
        <w:rPr>
          <w:rFonts w:cs="Arial"/>
        </w:rPr>
        <w:t>+</w:t>
      </w:r>
      <w:r w:rsidRPr="00CC45A6">
        <w:rPr>
          <w:rFonts w:cs="Arial"/>
        </w:rPr>
        <w:t xml:space="preserve"> </w:t>
      </w:r>
      <w:r w:rsidRPr="008F6E2E">
        <w:t>zcela</w:t>
      </w:r>
      <w:r w:rsidR="008F6E2E">
        <w:rPr>
          <w:rFonts w:cs="Arial"/>
        </w:rPr>
        <w:t xml:space="preserve"> konzistentní</w:t>
      </w:r>
      <w:r w:rsidR="003B140F">
        <w:rPr>
          <w:rFonts w:cs="Arial"/>
        </w:rPr>
        <w:t>, aplikac</w:t>
      </w:r>
      <w:r w:rsidR="00B11FAB">
        <w:rPr>
          <w:rFonts w:cs="Arial"/>
        </w:rPr>
        <w:t>e neposkytovala vždy srovnatelné a spolehlivé</w:t>
      </w:r>
      <w:r w:rsidR="003B140F">
        <w:rPr>
          <w:rFonts w:cs="Arial"/>
        </w:rPr>
        <w:t xml:space="preserve"> </w:t>
      </w:r>
      <w:r w:rsidR="00B11FAB">
        <w:rPr>
          <w:rFonts w:cs="Arial"/>
        </w:rPr>
        <w:t>údaje</w:t>
      </w:r>
      <w:r w:rsidR="008F6E2E">
        <w:rPr>
          <w:rFonts w:cs="Arial"/>
        </w:rPr>
        <w:t>.</w:t>
      </w:r>
    </w:p>
    <w:p w14:paraId="57D723A1" w14:textId="6AB601B6" w:rsidR="00BC77E7" w:rsidRPr="003B140F" w:rsidRDefault="008F6E2E" w:rsidP="001F7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160"/>
        <w:ind w:left="567" w:right="283"/>
        <w:rPr>
          <w:rFonts w:ascii="Calibri" w:hAnsi="Calibri" w:cs="Arial"/>
          <w:sz w:val="24"/>
        </w:rPr>
      </w:pPr>
      <w:r w:rsidRPr="003B140F">
        <w:rPr>
          <w:rFonts w:ascii="Calibri" w:hAnsi="Calibri" w:cs="Arial"/>
          <w:sz w:val="24"/>
        </w:rPr>
        <w:t>R</w:t>
      </w:r>
      <w:r w:rsidR="00BC77E7" w:rsidRPr="003B140F">
        <w:rPr>
          <w:rFonts w:ascii="Calibri" w:hAnsi="Calibri" w:cs="Arial"/>
          <w:sz w:val="24"/>
        </w:rPr>
        <w:t>ozdíln</w:t>
      </w:r>
      <w:r w:rsidR="004E5A02">
        <w:rPr>
          <w:rFonts w:ascii="Calibri" w:hAnsi="Calibri" w:cs="Arial"/>
          <w:sz w:val="24"/>
        </w:rPr>
        <w:t>é</w:t>
      </w:r>
      <w:r w:rsidR="00BC77E7" w:rsidRPr="003B140F">
        <w:rPr>
          <w:rFonts w:ascii="Calibri" w:hAnsi="Calibri" w:cs="Arial"/>
          <w:sz w:val="24"/>
        </w:rPr>
        <w:t xml:space="preserve"> </w:t>
      </w:r>
      <w:r w:rsidR="004E5A02">
        <w:rPr>
          <w:rFonts w:ascii="Calibri" w:hAnsi="Calibri" w:cs="Arial"/>
          <w:sz w:val="24"/>
        </w:rPr>
        <w:t>hodnoty</w:t>
      </w:r>
      <w:r w:rsidR="00BC77E7" w:rsidRPr="003B140F">
        <w:rPr>
          <w:rFonts w:ascii="Calibri" w:hAnsi="Calibri" w:cs="Arial"/>
          <w:sz w:val="24"/>
        </w:rPr>
        <w:t xml:space="preserve"> se objevovaly v údajích o prostředcích alokovaných ve</w:t>
      </w:r>
      <w:r w:rsidR="00AA5821">
        <w:rPr>
          <w:rFonts w:ascii="Calibri" w:hAnsi="Calibri" w:cs="Arial"/>
          <w:sz w:val="24"/>
        </w:rPr>
        <w:t xml:space="preserve"> </w:t>
      </w:r>
      <w:r w:rsidR="00BC77E7" w:rsidRPr="003B140F">
        <w:rPr>
          <w:rFonts w:ascii="Calibri" w:hAnsi="Calibri" w:cs="Arial"/>
          <w:sz w:val="24"/>
        </w:rPr>
        <w:t>výzvách, v registrovaných žádostech o podporu i v</w:t>
      </w:r>
      <w:r w:rsidR="004E5A02">
        <w:rPr>
          <w:rFonts w:ascii="Calibri" w:hAnsi="Calibri" w:cs="Arial"/>
          <w:sz w:val="24"/>
        </w:rPr>
        <w:t xml:space="preserve"> </w:t>
      </w:r>
      <w:r w:rsidR="00BC77E7" w:rsidRPr="003B140F">
        <w:rPr>
          <w:rFonts w:ascii="Calibri" w:hAnsi="Calibri" w:cs="Arial"/>
          <w:sz w:val="24"/>
        </w:rPr>
        <w:t xml:space="preserve">údajích o prostředcích </w:t>
      </w:r>
      <w:proofErr w:type="spellStart"/>
      <w:r w:rsidR="00BC77E7" w:rsidRPr="003B140F">
        <w:rPr>
          <w:rFonts w:ascii="Calibri" w:hAnsi="Calibri" w:cs="Arial"/>
          <w:sz w:val="24"/>
        </w:rPr>
        <w:t>zasmluvněných</w:t>
      </w:r>
      <w:proofErr w:type="spellEnd"/>
      <w:r w:rsidR="00BC77E7" w:rsidRPr="003B140F">
        <w:rPr>
          <w:rFonts w:ascii="Calibri" w:hAnsi="Calibri" w:cs="Arial"/>
          <w:sz w:val="24"/>
        </w:rPr>
        <w:t xml:space="preserve"> v právních aktech. Na sjednocení výstupů </w:t>
      </w:r>
      <w:r w:rsidR="003B140F">
        <w:rPr>
          <w:rFonts w:ascii="Calibri" w:hAnsi="Calibri" w:cs="Arial"/>
          <w:sz w:val="24"/>
        </w:rPr>
        <w:t>MMR</w:t>
      </w:r>
      <w:r w:rsidR="00BC77E7" w:rsidRPr="003B140F">
        <w:rPr>
          <w:rFonts w:ascii="Calibri" w:hAnsi="Calibri" w:cs="Arial"/>
          <w:sz w:val="24"/>
        </w:rPr>
        <w:t xml:space="preserve"> pracuje a některé ze</w:t>
      </w:r>
      <w:r w:rsidR="00AA5821">
        <w:rPr>
          <w:rFonts w:ascii="Calibri" w:hAnsi="Calibri" w:cs="Arial"/>
          <w:sz w:val="24"/>
        </w:rPr>
        <w:t xml:space="preserve"> </w:t>
      </w:r>
      <w:r w:rsidR="00BC77E7" w:rsidRPr="003B140F">
        <w:rPr>
          <w:rFonts w:ascii="Calibri" w:hAnsi="Calibri" w:cs="Arial"/>
          <w:sz w:val="24"/>
        </w:rPr>
        <w:t>sestav monitorovacího systému jsou teprve ve vývoji.</w:t>
      </w:r>
    </w:p>
    <w:p w14:paraId="737EAC61" w14:textId="77777777" w:rsidR="008F6E2E" w:rsidRDefault="00BC77E7" w:rsidP="00B34885">
      <w:pPr>
        <w:pStyle w:val="NormlnKZ"/>
        <w:keepNext/>
        <w:numPr>
          <w:ilvl w:val="0"/>
          <w:numId w:val="9"/>
        </w:numPr>
        <w:spacing w:after="80"/>
        <w:ind w:left="425" w:hanging="357"/>
      </w:pPr>
      <w:r w:rsidRPr="00CC45A6">
        <w:t>V </w:t>
      </w:r>
      <w:r w:rsidRPr="008F6E2E">
        <w:rPr>
          <w:rFonts w:cs="Arial"/>
        </w:rPr>
        <w:t>aplikaci</w:t>
      </w:r>
      <w:r w:rsidRPr="00CC45A6">
        <w:t xml:space="preserve"> MS2014+ nebyly k datu </w:t>
      </w:r>
      <w:r>
        <w:t xml:space="preserve">ukončení </w:t>
      </w:r>
      <w:r w:rsidRPr="00CC45A6">
        <w:t>kontroly připraveny sestavy k vykazování přehledů o stavu čerpání peně</w:t>
      </w:r>
      <w:r w:rsidR="00B11FAB">
        <w:t>žních prostředků jednotlivých programů spolufinancovaných z EU</w:t>
      </w:r>
      <w:r w:rsidRPr="00CC45A6">
        <w:t xml:space="preserve">. </w:t>
      </w:r>
    </w:p>
    <w:p w14:paraId="5DA7FDB9" w14:textId="77777777" w:rsidR="00BC77E7" w:rsidRPr="003B140F" w:rsidRDefault="00BC77E7" w:rsidP="00837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120"/>
        <w:ind w:left="567" w:right="283"/>
        <w:rPr>
          <w:rFonts w:ascii="Calibri" w:hAnsi="Calibri" w:cs="Arial"/>
          <w:sz w:val="24"/>
        </w:rPr>
      </w:pPr>
      <w:r w:rsidRPr="003B140F">
        <w:rPr>
          <w:rFonts w:ascii="Calibri" w:hAnsi="Calibri" w:cs="Arial"/>
          <w:sz w:val="24"/>
        </w:rPr>
        <w:t>MMR ve spolupráci s dodavatelem aplikace nyní vyvíjí centrální sestavy MS2014+ jako obdobu již existujících sestav monitorovacího systému předchozího programového období 2007–2013. Struktura a věcný obsah sestav budou teprve konzultovány s řídicími orgány, případně doplňovány o další parametry dle jejich potřeb.</w:t>
      </w:r>
    </w:p>
    <w:p w14:paraId="10BD7F0C" w14:textId="0711A220" w:rsidR="008F6E2E" w:rsidRPr="008F6E2E" w:rsidRDefault="00BC77E7" w:rsidP="00B34885">
      <w:pPr>
        <w:pStyle w:val="NormlnKZ"/>
        <w:keepNext/>
        <w:numPr>
          <w:ilvl w:val="0"/>
          <w:numId w:val="9"/>
        </w:numPr>
        <w:spacing w:after="80"/>
        <w:ind w:left="425" w:hanging="357"/>
        <w:rPr>
          <w:rFonts w:cs="Arial"/>
        </w:rPr>
      </w:pPr>
      <w:r w:rsidRPr="00CC45A6">
        <w:t xml:space="preserve">Funkční nebyl k datu ukončení </w:t>
      </w:r>
      <w:r w:rsidR="008F6E2E">
        <w:t>kontroly</w:t>
      </w:r>
      <w:r w:rsidRPr="00CC45A6">
        <w:t xml:space="preserve"> ani přenos dat z MS2014+ na úroveň </w:t>
      </w:r>
      <w:r w:rsidR="00EF2F87">
        <w:t>Komise do</w:t>
      </w:r>
      <w:r w:rsidR="00300C6D">
        <w:t xml:space="preserve"> </w:t>
      </w:r>
      <w:r w:rsidRPr="00CC45A6">
        <w:t>SFC2014, tj. do informačního systém</w:t>
      </w:r>
      <w:r w:rsidR="008F6E2E">
        <w:t>u pro řízení fondů v EU.</w:t>
      </w:r>
    </w:p>
    <w:p w14:paraId="50BFA4DC" w14:textId="32412168" w:rsidR="00BC77E7" w:rsidRPr="003B140F" w:rsidRDefault="00BC77E7" w:rsidP="00B34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567" w:right="283"/>
        <w:rPr>
          <w:rFonts w:ascii="Calibri" w:hAnsi="Calibri" w:cs="Arial"/>
          <w:sz w:val="24"/>
        </w:rPr>
      </w:pPr>
      <w:r w:rsidRPr="003B140F">
        <w:rPr>
          <w:rFonts w:ascii="Calibri" w:hAnsi="Calibri" w:cs="Arial"/>
          <w:sz w:val="24"/>
        </w:rPr>
        <w:t>Vzhledem k neexistenci funkčního rozhraní nejsou data z MS2014+ z</w:t>
      </w:r>
      <w:r w:rsidR="007A3724">
        <w:rPr>
          <w:rFonts w:ascii="Calibri" w:hAnsi="Calibri" w:cs="Arial"/>
          <w:sz w:val="24"/>
        </w:rPr>
        <w:t>asílána do</w:t>
      </w:r>
      <w:r w:rsidR="00684A40">
        <w:rPr>
          <w:rFonts w:ascii="Calibri" w:hAnsi="Calibri" w:cs="Arial"/>
          <w:sz w:val="24"/>
        </w:rPr>
        <w:t xml:space="preserve"> </w:t>
      </w:r>
      <w:r w:rsidR="007A3724">
        <w:rPr>
          <w:rFonts w:ascii="Calibri" w:hAnsi="Calibri" w:cs="Arial"/>
          <w:sz w:val="24"/>
        </w:rPr>
        <w:t>SFC2014 elektronicky.</w:t>
      </w:r>
      <w:r w:rsidRPr="003B140F">
        <w:rPr>
          <w:rFonts w:ascii="Calibri" w:hAnsi="Calibri" w:cs="Arial"/>
          <w:sz w:val="24"/>
        </w:rPr>
        <w:t xml:space="preserve"> </w:t>
      </w:r>
      <w:r w:rsidR="007A3724">
        <w:rPr>
          <w:rFonts w:ascii="Calibri" w:hAnsi="Calibri" w:cs="Arial"/>
          <w:sz w:val="24"/>
        </w:rPr>
        <w:t>I</w:t>
      </w:r>
      <w:r w:rsidRPr="003B140F">
        <w:rPr>
          <w:rFonts w:ascii="Calibri" w:hAnsi="Calibri" w:cs="Arial"/>
          <w:sz w:val="24"/>
        </w:rPr>
        <w:t>nformace generované v</w:t>
      </w:r>
      <w:r w:rsidR="00684A40">
        <w:rPr>
          <w:rFonts w:ascii="Calibri" w:hAnsi="Calibri" w:cs="Arial"/>
          <w:sz w:val="24"/>
        </w:rPr>
        <w:t xml:space="preserve"> </w:t>
      </w:r>
      <w:r w:rsidRPr="003B140F">
        <w:rPr>
          <w:rFonts w:ascii="Calibri" w:hAnsi="Calibri" w:cs="Arial"/>
          <w:sz w:val="24"/>
        </w:rPr>
        <w:t xml:space="preserve">aplikaci MS2014+ </w:t>
      </w:r>
      <w:r w:rsidR="007A3724">
        <w:rPr>
          <w:rFonts w:ascii="Calibri" w:hAnsi="Calibri" w:cs="Arial"/>
          <w:sz w:val="24"/>
        </w:rPr>
        <w:t xml:space="preserve">jsou </w:t>
      </w:r>
      <w:r w:rsidRPr="003B140F">
        <w:rPr>
          <w:rFonts w:ascii="Calibri" w:hAnsi="Calibri" w:cs="Arial"/>
          <w:sz w:val="24"/>
        </w:rPr>
        <w:t>vkládány do</w:t>
      </w:r>
      <w:r w:rsidR="00905289">
        <w:rPr>
          <w:rFonts w:ascii="Calibri" w:hAnsi="Calibri" w:cs="Arial"/>
          <w:sz w:val="24"/>
        </w:rPr>
        <w:t> </w:t>
      </w:r>
      <w:r w:rsidRPr="003B140F">
        <w:rPr>
          <w:rFonts w:ascii="Calibri" w:hAnsi="Calibri" w:cs="Arial"/>
          <w:sz w:val="24"/>
        </w:rPr>
        <w:t>databáze SFC2014 ručně. Je nutné uvést, že časová prodleva v nastavení rozhraní a</w:t>
      </w:r>
      <w:r w:rsidR="00300C6D">
        <w:rPr>
          <w:rFonts w:ascii="Calibri" w:hAnsi="Calibri" w:cs="Arial"/>
          <w:sz w:val="24"/>
        </w:rPr>
        <w:t>ni</w:t>
      </w:r>
      <w:r w:rsidRPr="003B140F">
        <w:rPr>
          <w:rFonts w:ascii="Calibri" w:hAnsi="Calibri" w:cs="Arial"/>
          <w:sz w:val="24"/>
        </w:rPr>
        <w:t xml:space="preserve"> jeho </w:t>
      </w:r>
      <w:r w:rsidR="00300C6D">
        <w:rPr>
          <w:rFonts w:ascii="Calibri" w:hAnsi="Calibri" w:cs="Arial"/>
          <w:sz w:val="24"/>
        </w:rPr>
        <w:t>ne</w:t>
      </w:r>
      <w:r w:rsidRPr="003B140F">
        <w:rPr>
          <w:rFonts w:ascii="Calibri" w:hAnsi="Calibri" w:cs="Arial"/>
          <w:sz w:val="24"/>
        </w:rPr>
        <w:t>funkčnost ne</w:t>
      </w:r>
      <w:r w:rsidR="00300C6D">
        <w:rPr>
          <w:rFonts w:ascii="Calibri" w:hAnsi="Calibri" w:cs="Arial"/>
          <w:sz w:val="24"/>
        </w:rPr>
        <w:t>byly</w:t>
      </w:r>
      <w:r w:rsidRPr="003B140F">
        <w:rPr>
          <w:rFonts w:ascii="Calibri" w:hAnsi="Calibri" w:cs="Arial"/>
          <w:sz w:val="24"/>
        </w:rPr>
        <w:t xml:space="preserve"> způsoben</w:t>
      </w:r>
      <w:r w:rsidR="00300C6D">
        <w:rPr>
          <w:rFonts w:ascii="Calibri" w:hAnsi="Calibri" w:cs="Arial"/>
          <w:sz w:val="24"/>
        </w:rPr>
        <w:t>y</w:t>
      </w:r>
      <w:r w:rsidRPr="003B140F">
        <w:rPr>
          <w:rFonts w:ascii="Calibri" w:hAnsi="Calibri" w:cs="Arial"/>
          <w:sz w:val="24"/>
        </w:rPr>
        <w:t xml:space="preserve"> na straně ČR jako členského státu EU, tj.</w:t>
      </w:r>
      <w:r w:rsidR="00684A40">
        <w:rPr>
          <w:rFonts w:ascii="Calibri" w:hAnsi="Calibri" w:cs="Arial"/>
          <w:sz w:val="24"/>
        </w:rPr>
        <w:t> </w:t>
      </w:r>
      <w:r w:rsidRPr="003B140F">
        <w:rPr>
          <w:rFonts w:ascii="Calibri" w:hAnsi="Calibri" w:cs="Arial"/>
          <w:sz w:val="24"/>
        </w:rPr>
        <w:t>ne</w:t>
      </w:r>
      <w:r w:rsidR="00300C6D">
        <w:rPr>
          <w:rFonts w:ascii="Calibri" w:hAnsi="Calibri" w:cs="Arial"/>
          <w:sz w:val="24"/>
        </w:rPr>
        <w:t>jsou</w:t>
      </w:r>
      <w:r w:rsidRPr="003B140F">
        <w:rPr>
          <w:rFonts w:ascii="Calibri" w:hAnsi="Calibri" w:cs="Arial"/>
          <w:sz w:val="24"/>
        </w:rPr>
        <w:t xml:space="preserve"> chybou aplikace MS2014+.</w:t>
      </w:r>
    </w:p>
    <w:p w14:paraId="632459EC" w14:textId="77777777" w:rsidR="00BC77E7" w:rsidRPr="00CC45A6" w:rsidRDefault="00BC77E7" w:rsidP="00687890">
      <w:pPr>
        <w:pStyle w:val="NormlnKZ"/>
      </w:pPr>
    </w:p>
    <w:p w14:paraId="049A8FF3" w14:textId="6F599CC8" w:rsidR="00BC77E7" w:rsidRPr="00CC45A6" w:rsidRDefault="00B11FAB" w:rsidP="00C674AD">
      <w:pPr>
        <w:pStyle w:val="NormlnKZ"/>
        <w:spacing w:after="120"/>
      </w:pPr>
      <w:r>
        <w:lastRenderedPageBreak/>
        <w:t>Komplikovanost j</w:t>
      </w:r>
      <w:r w:rsidR="00BC77E7">
        <w:t>ednotn</w:t>
      </w:r>
      <w:r>
        <w:t>ého</w:t>
      </w:r>
      <w:r w:rsidR="00BC77E7">
        <w:t xml:space="preserve"> monitorovací</w:t>
      </w:r>
      <w:r>
        <w:t>ho</w:t>
      </w:r>
      <w:r w:rsidR="00BC77E7">
        <w:t xml:space="preserve"> s</w:t>
      </w:r>
      <w:r w:rsidR="00BC77E7" w:rsidRPr="00CC45A6">
        <w:t>ystém</w:t>
      </w:r>
      <w:r>
        <w:t>u</w:t>
      </w:r>
      <w:r w:rsidR="00BC77E7" w:rsidRPr="00CC45A6">
        <w:t xml:space="preserve"> se </w:t>
      </w:r>
      <w:r>
        <w:t>projevuje v jeho časté nestabilitě</w:t>
      </w:r>
      <w:r w:rsidR="00687890">
        <w:t xml:space="preserve"> a </w:t>
      </w:r>
      <w:r w:rsidR="00BC77E7">
        <w:t xml:space="preserve">existuje významné </w:t>
      </w:r>
      <w:r w:rsidR="00BC77E7" w:rsidRPr="00CC45A6">
        <w:t xml:space="preserve">riziko </w:t>
      </w:r>
      <w:r w:rsidR="00BC77E7">
        <w:t>v zabezpečení jeho bezproblémové</w:t>
      </w:r>
      <w:r w:rsidR="008F6E2E">
        <w:t>ho</w:t>
      </w:r>
      <w:r w:rsidR="00BC77E7">
        <w:t xml:space="preserve"> </w:t>
      </w:r>
      <w:r w:rsidR="008F6E2E">
        <w:t>provozu</w:t>
      </w:r>
      <w:r w:rsidR="00BC77E7">
        <w:t xml:space="preserve"> do </w:t>
      </w:r>
      <w:r w:rsidR="00C674AD">
        <w:t xml:space="preserve">budoucna. </w:t>
      </w:r>
      <w:r w:rsidR="00BC77E7" w:rsidRPr="00CC45A6">
        <w:t xml:space="preserve">Kontrolující </w:t>
      </w:r>
      <w:r w:rsidR="00035501" w:rsidRPr="003D7143">
        <w:t xml:space="preserve">NKÚ </w:t>
      </w:r>
      <w:r w:rsidR="00BC77E7" w:rsidRPr="003D7143">
        <w:t>s</w:t>
      </w:r>
      <w:r w:rsidR="00BC77E7" w:rsidRPr="00CC45A6">
        <w:t>e potý</w:t>
      </w:r>
      <w:r w:rsidR="00BC77E7">
        <w:t xml:space="preserve">kali v průběhu práce </w:t>
      </w:r>
      <w:r w:rsidR="00BC77E7" w:rsidRPr="00CC45A6">
        <w:t>s</w:t>
      </w:r>
      <w:r w:rsidR="00BC77E7">
        <w:t xml:space="preserve"> monitorovacím systémem </w:t>
      </w:r>
      <w:r w:rsidR="00C674AD">
        <w:t>„</w:t>
      </w:r>
      <w:r w:rsidR="00BC77E7">
        <w:t>s</w:t>
      </w:r>
      <w:r w:rsidR="00C674AD">
        <w:t> neočekávanými situacemi při běhu aplikace“, například</w:t>
      </w:r>
      <w:r w:rsidR="00BC77E7">
        <w:t xml:space="preserve"> </w:t>
      </w:r>
      <w:r w:rsidR="00BC77E7" w:rsidRPr="00CC45A6">
        <w:t>s častým hlášením chyb na serverové straně</w:t>
      </w:r>
      <w:r w:rsidR="00BC77E7">
        <w:t xml:space="preserve"> </w:t>
      </w:r>
      <w:r w:rsidR="00C674AD">
        <w:t>či</w:t>
      </w:r>
      <w:r w:rsidR="00905289">
        <w:t> </w:t>
      </w:r>
      <w:r w:rsidR="00BC77E7">
        <w:t xml:space="preserve">s problémy pomalé </w:t>
      </w:r>
      <w:r w:rsidR="00C674AD">
        <w:t>nebo</w:t>
      </w:r>
      <w:r w:rsidR="00BC77E7">
        <w:t xml:space="preserve"> žádné odezvy aplikace</w:t>
      </w:r>
      <w:r w:rsidR="00025310">
        <w:t xml:space="preserve"> na zadané požadavky uživatelů</w:t>
      </w:r>
      <w:r w:rsidR="003E3CBD">
        <w:t xml:space="preserve"> (tj. </w:t>
      </w:r>
      <w:r w:rsidR="00BC77E7">
        <w:t>„zamrzání“ systému). K </w:t>
      </w:r>
      <w:r w:rsidR="00BC77E7" w:rsidRPr="00CC45A6">
        <w:t>uvedenému</w:t>
      </w:r>
      <w:r w:rsidR="00BC77E7">
        <w:t xml:space="preserve"> výčtu </w:t>
      </w:r>
      <w:r w:rsidR="00BC77E7" w:rsidRPr="00CC45A6">
        <w:t xml:space="preserve">možno </w:t>
      </w:r>
      <w:r w:rsidR="00BC77E7">
        <w:t xml:space="preserve">doplnit </w:t>
      </w:r>
      <w:r w:rsidR="00687890">
        <w:t>i tříměsíční zpoždění depeší o </w:t>
      </w:r>
      <w:r w:rsidR="00BC77E7" w:rsidRPr="00CC45A6">
        <w:t>chybách při generování sestav.</w:t>
      </w:r>
    </w:p>
    <w:p w14:paraId="38910F41" w14:textId="06316029" w:rsidR="00BC77E7" w:rsidRPr="00CC45A6" w:rsidRDefault="00BC77E7" w:rsidP="00C674AD">
      <w:pPr>
        <w:pStyle w:val="NormlnKZ"/>
        <w:spacing w:after="120"/>
      </w:pPr>
      <w:r w:rsidRPr="00CC45A6">
        <w:t>MMR uzn</w:t>
      </w:r>
      <w:r>
        <w:t xml:space="preserve">alo </w:t>
      </w:r>
      <w:r w:rsidRPr="00CC45A6">
        <w:t xml:space="preserve">nutnost zapracovat na odstranění problému se zamrzáním aplikace MS2014+, </w:t>
      </w:r>
      <w:r>
        <w:t xml:space="preserve">který vyvstává </w:t>
      </w:r>
      <w:r w:rsidRPr="00CC45A6">
        <w:t>při načítání většího množství příloh dokumentů. Vzhledem k nepříliš velkému pokroku v dosavadní implementaci programového období 2014</w:t>
      </w:r>
      <w:r w:rsidR="00684A40">
        <w:t>–</w:t>
      </w:r>
      <w:r w:rsidRPr="00CC45A6">
        <w:t>2020 lze teprve očekávat nárůst objemu vkládaných, respektive importovaných dat, z</w:t>
      </w:r>
      <w:r w:rsidR="00C674AD">
        <w:t>ejména finančního charakteru, z portálu</w:t>
      </w:r>
      <w:r w:rsidRPr="00CC45A6">
        <w:t xml:space="preserve"> ISKP14+</w:t>
      </w:r>
      <w:r>
        <w:t>, a tedy i významné riziko omezení rychlosti a stability systému.</w:t>
      </w:r>
      <w:r w:rsidRPr="00CC45A6">
        <w:t xml:space="preserve"> </w:t>
      </w:r>
    </w:p>
    <w:p w14:paraId="3003105F" w14:textId="77777777" w:rsidR="00BC77E7" w:rsidRPr="00CC45A6" w:rsidRDefault="00C674AD" w:rsidP="00C674AD">
      <w:pPr>
        <w:pStyle w:val="NormlnKZ"/>
        <w:spacing w:after="120"/>
      </w:pPr>
      <w:r>
        <w:t>N</w:t>
      </w:r>
      <w:r w:rsidR="00BC77E7" w:rsidRPr="00CC45A6">
        <w:t>a projektové úrovni v</w:t>
      </w:r>
      <w:r>
        <w:t> MS2014+</w:t>
      </w:r>
      <w:r w:rsidR="00BC77E7" w:rsidRPr="00CC45A6">
        <w:t xml:space="preserve"> na portálu CSSF</w:t>
      </w:r>
      <w:r>
        <w:t>14+ měly informace sníženou přehlednost.</w:t>
      </w:r>
      <w:r w:rsidR="00BC77E7" w:rsidRPr="00CC45A6">
        <w:t xml:space="preserve"> </w:t>
      </w:r>
      <w:r>
        <w:t>T</w:t>
      </w:r>
      <w:r w:rsidR="00BC77E7" w:rsidRPr="00CC45A6">
        <w:t xml:space="preserve">ento nedostatek </w:t>
      </w:r>
      <w:r>
        <w:t>byl</w:t>
      </w:r>
      <w:r w:rsidR="00BC77E7" w:rsidRPr="00CC45A6">
        <w:t xml:space="preserve"> patrný i ve srovnání s vyšší mírou p</w:t>
      </w:r>
      <w:r w:rsidR="00905289">
        <w:t>řehlednosti informací, které na </w:t>
      </w:r>
      <w:r w:rsidR="00BC77E7" w:rsidRPr="00CC45A6">
        <w:t xml:space="preserve">projektové </w:t>
      </w:r>
      <w:r>
        <w:t>úrovni poskytovaly</w:t>
      </w:r>
      <w:r w:rsidR="00BC77E7" w:rsidRPr="00CC45A6">
        <w:t xml:space="preserve"> monitorovací systémy předchozího programového období, tj. </w:t>
      </w:r>
      <w:r>
        <w:t>informační systémy</w:t>
      </w:r>
      <w:r w:rsidR="00BC77E7" w:rsidRPr="00CC45A6">
        <w:t xml:space="preserve"> Monit7+ a MSC2007. </w:t>
      </w:r>
    </w:p>
    <w:p w14:paraId="0097EB9A" w14:textId="0942639C" w:rsidR="00BC77E7" w:rsidRPr="00CC45A6" w:rsidRDefault="00BC77E7" w:rsidP="004442AD">
      <w:pPr>
        <w:pStyle w:val="NormlnKZ"/>
        <w:spacing w:after="120"/>
      </w:pPr>
      <w:r w:rsidRPr="00CC45A6">
        <w:t xml:space="preserve">Problémy s informačním systémem MS2014+ </w:t>
      </w:r>
      <w:r w:rsidR="00684A40">
        <w:t>či</w:t>
      </w:r>
      <w:r w:rsidRPr="00CC45A6">
        <w:t xml:space="preserve"> nefunkčnost t</w:t>
      </w:r>
      <w:r w:rsidR="00684A40">
        <w:t>ohoto</w:t>
      </w:r>
      <w:r w:rsidRPr="00CC45A6">
        <w:t xml:space="preserve"> </w:t>
      </w:r>
      <w:r w:rsidR="00684A40">
        <w:t>systému</w:t>
      </w:r>
      <w:r w:rsidRPr="00CC45A6">
        <w:t xml:space="preserve"> byly rovněž uváděny v odpovědích dotazníkového šetření provedeného NKÚ v</w:t>
      </w:r>
      <w:r w:rsidR="00C674AD">
        <w:t xml:space="preserve"> rámci </w:t>
      </w:r>
      <w:r w:rsidRPr="00CC45A6">
        <w:t>kontrolní a</w:t>
      </w:r>
      <w:r w:rsidR="00C674AD">
        <w:t>kce</w:t>
      </w:r>
      <w:r w:rsidRPr="00CC45A6">
        <w:t xml:space="preserve"> č.</w:t>
      </w:r>
      <w:r w:rsidR="00C674AD">
        <w:t> </w:t>
      </w:r>
      <w:r w:rsidRPr="00CC45A6">
        <w:t>16/14</w:t>
      </w:r>
      <w:r>
        <w:t xml:space="preserve">. Uvedené problémy byly </w:t>
      </w:r>
      <w:r w:rsidR="004542DF">
        <w:t xml:space="preserve">zmiňovány </w:t>
      </w:r>
      <w:r>
        <w:t xml:space="preserve">mezi </w:t>
      </w:r>
      <w:r w:rsidRPr="00CC45A6">
        <w:t>nejčastější</w:t>
      </w:r>
      <w:r>
        <w:t>mi</w:t>
      </w:r>
      <w:r w:rsidRPr="00CC45A6">
        <w:t xml:space="preserve"> zkušenost</w:t>
      </w:r>
      <w:r>
        <w:t>mi</w:t>
      </w:r>
      <w:r w:rsidRPr="00CC45A6">
        <w:t xml:space="preserve"> </w:t>
      </w:r>
      <w:r w:rsidR="004542DF">
        <w:t>m</w:t>
      </w:r>
      <w:r w:rsidRPr="00CC45A6">
        <w:t xml:space="preserve">ístních akčních skupin s tvorbou a schvalováním </w:t>
      </w:r>
      <w:r w:rsidR="004542DF">
        <w:t>s</w:t>
      </w:r>
      <w:r w:rsidRPr="00CC45A6">
        <w:t>trategií komu</w:t>
      </w:r>
      <w:r w:rsidR="007A3724">
        <w:t>nitně vedeného místního rozvoje.</w:t>
      </w:r>
      <w:r w:rsidRPr="00CC45A6">
        <w:rPr>
          <w:vertAlign w:val="superscript"/>
        </w:rPr>
        <w:footnoteReference w:id="16"/>
      </w:r>
      <w:r w:rsidRPr="00CC45A6">
        <w:t xml:space="preserve"> </w:t>
      </w:r>
    </w:p>
    <w:p w14:paraId="388FCFE3" w14:textId="5DD0652E" w:rsidR="00B11FAB" w:rsidRDefault="004442AD" w:rsidP="004442AD">
      <w:pPr>
        <w:pStyle w:val="NormlnKZ"/>
        <w:spacing w:after="120"/>
      </w:pPr>
      <w:r>
        <w:t>Problémy uživatelů při práci v produkčním prostředí MS2014+ by</w:t>
      </w:r>
      <w:r w:rsidR="00905289">
        <w:t>ly zaznamenány také na</w:t>
      </w:r>
      <w:r w:rsidR="0086557D">
        <w:t xml:space="preserve"> </w:t>
      </w:r>
      <w:r>
        <w:t xml:space="preserve">úrovni řídicích orgánů. </w:t>
      </w:r>
    </w:p>
    <w:p w14:paraId="00270505" w14:textId="3D84CCB2" w:rsidR="004442AD" w:rsidRPr="000244F3" w:rsidRDefault="00B11FAB" w:rsidP="007A3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567" w:right="284"/>
        <w:rPr>
          <w:rFonts w:ascii="Calibri" w:hAnsi="Calibri" w:cs="Arial"/>
          <w:sz w:val="24"/>
        </w:rPr>
      </w:pPr>
      <w:r w:rsidRPr="000244F3">
        <w:rPr>
          <w:rFonts w:ascii="Calibri" w:hAnsi="Calibri" w:cs="Arial"/>
          <w:sz w:val="24"/>
        </w:rPr>
        <w:t xml:space="preserve">Září 2015 </w:t>
      </w:r>
      <w:r w:rsidR="0073164E">
        <w:rPr>
          <w:rFonts w:ascii="Calibri" w:hAnsi="Calibri" w:cs="Arial"/>
          <w:sz w:val="24"/>
        </w:rPr>
        <w:t xml:space="preserve">– </w:t>
      </w:r>
      <w:r w:rsidRPr="000244F3">
        <w:rPr>
          <w:rFonts w:ascii="Calibri" w:hAnsi="Calibri" w:cs="Arial"/>
          <w:sz w:val="24"/>
        </w:rPr>
        <w:t>vynucení</w:t>
      </w:r>
      <w:r w:rsidR="004442AD" w:rsidRPr="000244F3">
        <w:rPr>
          <w:rFonts w:ascii="Calibri" w:hAnsi="Calibri" w:cs="Arial"/>
          <w:sz w:val="24"/>
        </w:rPr>
        <w:t xml:space="preserve"> odložení příjmu plných žádostí v operačním programu </w:t>
      </w:r>
      <w:r w:rsidR="004442AD" w:rsidRPr="000244F3">
        <w:rPr>
          <w:rFonts w:ascii="Calibri" w:hAnsi="Calibri" w:cs="Arial"/>
          <w:i/>
          <w:sz w:val="24"/>
        </w:rPr>
        <w:t>Podnikání a inovace pro konkurenceschopnost</w:t>
      </w:r>
      <w:r w:rsidR="004442AD" w:rsidRPr="000244F3">
        <w:rPr>
          <w:rFonts w:ascii="Calibri" w:hAnsi="Calibri" w:cs="Arial"/>
          <w:sz w:val="24"/>
        </w:rPr>
        <w:t xml:space="preserve"> o dva měsíce. Důvodem byly technické problémy v jednom z modulů monitorovacího systému. Tento nedostatek znemožňoval včasné vyhodnocení předběžných žádostí.</w:t>
      </w:r>
      <w:r w:rsidR="004442AD" w:rsidRPr="000244F3">
        <w:rPr>
          <w:rFonts w:ascii="Calibri" w:hAnsi="Calibri" w:cs="Arial"/>
          <w:sz w:val="24"/>
          <w:vertAlign w:val="superscript"/>
        </w:rPr>
        <w:footnoteReference w:id="17"/>
      </w:r>
    </w:p>
    <w:p w14:paraId="165DE30D" w14:textId="77777777" w:rsidR="000244F3" w:rsidRDefault="000244F3" w:rsidP="000244F3">
      <w:pPr>
        <w:pStyle w:val="NormlnKZ"/>
      </w:pPr>
    </w:p>
    <w:p w14:paraId="2ADC2F55" w14:textId="2068E86B" w:rsidR="00826982" w:rsidRDefault="00826982" w:rsidP="007A3724">
      <w:pPr>
        <w:pStyle w:val="edrmeek"/>
        <w:spacing w:after="0"/>
        <w:ind w:right="284"/>
      </w:pPr>
      <w:r>
        <w:t xml:space="preserve">Únor 2016 – </w:t>
      </w:r>
      <w:r w:rsidRPr="00826982">
        <w:t xml:space="preserve">prodloužení termínu </w:t>
      </w:r>
      <w:r w:rsidR="0086557D">
        <w:t xml:space="preserve">pro </w:t>
      </w:r>
      <w:r w:rsidRPr="00826982">
        <w:t>příj</w:t>
      </w:r>
      <w:r w:rsidR="0086557D">
        <w:t>e</w:t>
      </w:r>
      <w:r w:rsidRPr="00826982">
        <w:t xml:space="preserve">m žádostí </w:t>
      </w:r>
      <w:r>
        <w:t xml:space="preserve">v rámci operačního programu </w:t>
      </w:r>
      <w:r w:rsidR="000244F3" w:rsidRPr="0063246F">
        <w:rPr>
          <w:i/>
        </w:rPr>
        <w:t>Podnikání a inovace pro konkurenceschopnost</w:t>
      </w:r>
      <w:r>
        <w:t xml:space="preserve"> o sedm dní z důvod</w:t>
      </w:r>
      <w:r w:rsidR="0086557D">
        <w:t>u</w:t>
      </w:r>
      <w:r>
        <w:t xml:space="preserve"> technických problémů při finalizaci</w:t>
      </w:r>
      <w:r w:rsidRPr="00826982">
        <w:t xml:space="preserve"> žádost</w:t>
      </w:r>
      <w:r w:rsidR="0086557D">
        <w:t>í</w:t>
      </w:r>
      <w:r w:rsidRPr="00826982">
        <w:t xml:space="preserve"> o podporu v monitorovacím systému MS2014+</w:t>
      </w:r>
      <w:r w:rsidR="000244F3">
        <w:t>.</w:t>
      </w:r>
      <w:r w:rsidR="000244F3">
        <w:rPr>
          <w:rStyle w:val="Znakapoznpodarou"/>
        </w:rPr>
        <w:footnoteReference w:id="18"/>
      </w:r>
    </w:p>
    <w:p w14:paraId="04D33A76" w14:textId="77777777" w:rsidR="00BC78CC" w:rsidRDefault="00BC78CC" w:rsidP="00BC78CC">
      <w:pPr>
        <w:rPr>
          <w:rFonts w:ascii="Calibri" w:hAnsi="Calibri" w:cs="Arial"/>
          <w:b/>
          <w:sz w:val="24"/>
        </w:rPr>
      </w:pPr>
    </w:p>
    <w:p w14:paraId="367676AB" w14:textId="44043846" w:rsidR="00687890" w:rsidRPr="000244F3" w:rsidRDefault="00687890" w:rsidP="00687890">
      <w:pPr>
        <w:pStyle w:val="edrmeek"/>
        <w:spacing w:after="0"/>
        <w:ind w:right="284"/>
      </w:pPr>
      <w:r w:rsidRPr="000244F3">
        <w:t xml:space="preserve">Červen 2016 </w:t>
      </w:r>
      <w:r w:rsidR="0073164E">
        <w:t>–</w:t>
      </w:r>
      <w:r w:rsidRPr="000244F3">
        <w:t xml:space="preserve"> prodloužení termínu </w:t>
      </w:r>
      <w:r w:rsidR="0086557D">
        <w:t xml:space="preserve">pro </w:t>
      </w:r>
      <w:r w:rsidRPr="000244F3">
        <w:t>příj</w:t>
      </w:r>
      <w:r w:rsidR="0086557D">
        <w:t>e</w:t>
      </w:r>
      <w:r w:rsidRPr="000244F3">
        <w:t xml:space="preserve">m žádostí </w:t>
      </w:r>
      <w:r w:rsidR="0086557D">
        <w:t>u</w:t>
      </w:r>
      <w:r w:rsidRPr="000244F3">
        <w:t xml:space="preserve"> dvou výz</w:t>
      </w:r>
      <w:r w:rsidR="0086557D">
        <w:t>e</w:t>
      </w:r>
      <w:r w:rsidRPr="000244F3">
        <w:t>v operačního programu</w:t>
      </w:r>
      <w:r w:rsidRPr="000244F3">
        <w:rPr>
          <w:i/>
        </w:rPr>
        <w:t xml:space="preserve"> Životní prostředí</w:t>
      </w:r>
      <w:r w:rsidRPr="000244F3">
        <w:t xml:space="preserve"> v návaznosti na technické problémy monitorovacího systému MS2014+ související s nasazením nové instalace </w:t>
      </w:r>
      <w:proofErr w:type="spellStart"/>
      <w:r w:rsidRPr="00AA5821">
        <w:t>release</w:t>
      </w:r>
      <w:proofErr w:type="spellEnd"/>
      <w:r w:rsidRPr="000244F3">
        <w:t xml:space="preserve"> 7, kdy po dobu čtyř dnů nebylo možné žádost o podporu v ISKP14+ úspěšně finalizovat.</w:t>
      </w:r>
      <w:r w:rsidRPr="000244F3">
        <w:rPr>
          <w:rStyle w:val="Znakapoznpodarou"/>
        </w:rPr>
        <w:footnoteReference w:id="19"/>
      </w:r>
    </w:p>
    <w:p w14:paraId="5C27F79A" w14:textId="77777777" w:rsidR="00687890" w:rsidRDefault="00687890" w:rsidP="00B34885">
      <w:pPr>
        <w:spacing w:after="120"/>
        <w:rPr>
          <w:rFonts w:ascii="Calibri" w:hAnsi="Calibri" w:cs="Arial"/>
          <w:b/>
          <w:sz w:val="24"/>
        </w:rPr>
      </w:pPr>
    </w:p>
    <w:p w14:paraId="0452C70F" w14:textId="77777777" w:rsidR="00BC78CC" w:rsidRPr="00EA0650" w:rsidRDefault="00DF4B25" w:rsidP="0086557D">
      <w:pPr>
        <w:numPr>
          <w:ilvl w:val="0"/>
          <w:numId w:val="5"/>
        </w:numPr>
        <w:ind w:left="284" w:hanging="284"/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lastRenderedPageBreak/>
        <w:t xml:space="preserve">Jednotné metodické prostředí ve vztahu k žadatelům a příjemcům </w:t>
      </w:r>
    </w:p>
    <w:p w14:paraId="76AB4471" w14:textId="77777777" w:rsidR="00B322C2" w:rsidRDefault="00B322C2" w:rsidP="00B322C2">
      <w:pPr>
        <w:pStyle w:val="NormlnKZ"/>
      </w:pPr>
    </w:p>
    <w:p w14:paraId="236D9385" w14:textId="7B4A78CF" w:rsidR="00394596" w:rsidRDefault="00091FFB" w:rsidP="00B322C2">
      <w:pPr>
        <w:pStyle w:val="NormlnKZ"/>
        <w:spacing w:after="120"/>
      </w:pPr>
      <w:r w:rsidRPr="00091FFB">
        <w:t xml:space="preserve">MMR vytvořilo předpoklady </w:t>
      </w:r>
      <w:r w:rsidR="00756880">
        <w:t>pro</w:t>
      </w:r>
      <w:r w:rsidR="00756880" w:rsidRPr="00091FFB">
        <w:t xml:space="preserve"> </w:t>
      </w:r>
      <w:r w:rsidRPr="00091FFB">
        <w:t xml:space="preserve">zjednodušení procesu </w:t>
      </w:r>
      <w:r w:rsidR="000244F3">
        <w:t>podá</w:t>
      </w:r>
      <w:r w:rsidR="00756880">
        <w:t>vá</w:t>
      </w:r>
      <w:r w:rsidR="000244F3">
        <w:t>ní žádostí o </w:t>
      </w:r>
      <w:r w:rsidRPr="00091FFB">
        <w:t xml:space="preserve">podporu ze strany žadatelů a příjemců </w:t>
      </w:r>
      <w:r w:rsidR="00756880">
        <w:t>i pro zjednodušení procesu administrace</w:t>
      </w:r>
      <w:r w:rsidR="00386166">
        <w:t>, docílilo toho</w:t>
      </w:r>
      <w:r w:rsidR="00756880">
        <w:t xml:space="preserve"> </w:t>
      </w:r>
      <w:r w:rsidRPr="00091FFB">
        <w:t>tím, že do metodických dokumentů zapracovalo závěry z</w:t>
      </w:r>
      <w:r w:rsidR="003640D0">
        <w:t> </w:t>
      </w:r>
      <w:r w:rsidRPr="00091FFB">
        <w:t>Doporučení</w:t>
      </w:r>
      <w:r w:rsidR="00394596">
        <w:t>.</w:t>
      </w:r>
      <w:r w:rsidR="003640D0">
        <w:t xml:space="preserve"> </w:t>
      </w:r>
    </w:p>
    <w:p w14:paraId="3DC12185" w14:textId="77777777" w:rsidR="00394596" w:rsidRPr="00F87A93" w:rsidRDefault="00F87A93" w:rsidP="00F87A93">
      <w:pPr>
        <w:pStyle w:val="edrmeek"/>
        <w:spacing w:after="0"/>
        <w:ind w:right="284"/>
      </w:pPr>
      <w:r w:rsidRPr="00F87A93">
        <w:t xml:space="preserve">Byly </w:t>
      </w:r>
      <w:r w:rsidR="00394596" w:rsidRPr="00F87A93">
        <w:t>odstraněny</w:t>
      </w:r>
      <w:r w:rsidR="00EA0909" w:rsidRPr="00F87A93">
        <w:t xml:space="preserve"> nedostatk</w:t>
      </w:r>
      <w:r w:rsidR="00025310" w:rsidRPr="00F87A93">
        <w:t>y</w:t>
      </w:r>
      <w:r w:rsidR="00EA0909" w:rsidRPr="00F87A93">
        <w:t xml:space="preserve"> ohledně rozporu informací ve výzvě a v souvisejících dokumentech</w:t>
      </w:r>
      <w:r>
        <w:t>.</w:t>
      </w:r>
    </w:p>
    <w:p w14:paraId="352FBABE" w14:textId="77777777" w:rsidR="00B9119D" w:rsidRPr="00F87A93" w:rsidRDefault="00F87A93" w:rsidP="00F87A93">
      <w:pPr>
        <w:pStyle w:val="edrmeek"/>
        <w:spacing w:after="0"/>
        <w:ind w:right="284"/>
      </w:pPr>
      <w:r w:rsidRPr="00F87A93">
        <w:t xml:space="preserve">Byly </w:t>
      </w:r>
      <w:r w:rsidR="00B9119D" w:rsidRPr="00F87A93">
        <w:t>odstraněny nedostatky ohledně nedostatečného vymezení podmínek pr</w:t>
      </w:r>
      <w:r>
        <w:t>o získání podpory v textu výzev.</w:t>
      </w:r>
    </w:p>
    <w:p w14:paraId="031BD32F" w14:textId="13704C4C" w:rsidR="00394596" w:rsidRPr="00F87A93" w:rsidRDefault="00F87A93" w:rsidP="00F87A93">
      <w:pPr>
        <w:pStyle w:val="edrmeek"/>
        <w:spacing w:after="0"/>
        <w:ind w:right="284"/>
      </w:pPr>
      <w:r w:rsidRPr="00F87A93">
        <w:t xml:space="preserve">Byla </w:t>
      </w:r>
      <w:r w:rsidR="00EA0909" w:rsidRPr="00F87A93">
        <w:t>n</w:t>
      </w:r>
      <w:r w:rsidR="00394596" w:rsidRPr="00F87A93">
        <w:t>astaven</w:t>
      </w:r>
      <w:r w:rsidR="00025310" w:rsidRPr="00F87A93">
        <w:t>a</w:t>
      </w:r>
      <w:r w:rsidR="00EA0909" w:rsidRPr="00F87A93">
        <w:t xml:space="preserve"> pravidla upravující specifikaci příloh žádosti o podporu, které je možné požadovat od žadatele až v průběhu hodnoticího procesu, případně d</w:t>
      </w:r>
      <w:r>
        <w:t>oložit až po schválení projektu</w:t>
      </w:r>
      <w:r w:rsidR="00C123FD">
        <w:t>.</w:t>
      </w:r>
      <w:r w:rsidR="00EA0909" w:rsidRPr="00F87A93">
        <w:t xml:space="preserve"> </w:t>
      </w:r>
    </w:p>
    <w:p w14:paraId="5D81627A" w14:textId="77777777" w:rsidR="00CE73C0" w:rsidRDefault="00CE73C0" w:rsidP="00CE73C0">
      <w:pPr>
        <w:pStyle w:val="NormlnKZ"/>
      </w:pPr>
    </w:p>
    <w:p w14:paraId="47ABC933" w14:textId="0484C185" w:rsidR="00EA0909" w:rsidRDefault="00EA0909" w:rsidP="00B322C2">
      <w:pPr>
        <w:pStyle w:val="NormlnKZ"/>
        <w:spacing w:after="120"/>
      </w:pPr>
      <w:r>
        <w:t>Ověřením</w:t>
      </w:r>
      <w:r w:rsidR="00DF4D60">
        <w:t xml:space="preserve"> </w:t>
      </w:r>
      <w:r w:rsidRPr="00EA0909">
        <w:t>skutečného stavu b</w:t>
      </w:r>
      <w:r>
        <w:t>ylo zjištěno, že ŘO vybraných operačních programů</w:t>
      </w:r>
      <w:r w:rsidRPr="00EA0909">
        <w:t xml:space="preserve"> převzaly pravidla stanoven</w:t>
      </w:r>
      <w:r w:rsidR="00EF2F87">
        <w:t>á metodickým pokynem do své řídi</w:t>
      </w:r>
      <w:r w:rsidRPr="00EA0909">
        <w:t>cí doku</w:t>
      </w:r>
      <w:r w:rsidR="00EF2F87">
        <w:t>mentace, ale některá pravidla v </w:t>
      </w:r>
      <w:r w:rsidRPr="00EA0909">
        <w:t xml:space="preserve">praxi zcela anebo částečně nedodržují. Na příkladech </w:t>
      </w:r>
      <w:r>
        <w:t xml:space="preserve">výzev </w:t>
      </w:r>
      <w:r w:rsidRPr="00EA0909">
        <w:t xml:space="preserve">bylo kontrolou </w:t>
      </w:r>
      <w:r>
        <w:t>zjištěno</w:t>
      </w:r>
      <w:r w:rsidRPr="00EA0909">
        <w:t xml:space="preserve">, že i když je ustanovení </w:t>
      </w:r>
      <w:r w:rsidRPr="00EA0909">
        <w:rPr>
          <w:i/>
        </w:rPr>
        <w:t>Metodického pokynu pro řízení výzev, hodnocení a výběr projektu v programovém období 2014</w:t>
      </w:r>
      <w:r w:rsidR="00AE296F">
        <w:rPr>
          <w:i/>
        </w:rPr>
        <w:t>–</w:t>
      </w:r>
      <w:r w:rsidRPr="00EA0909">
        <w:rPr>
          <w:i/>
        </w:rPr>
        <w:t>2020</w:t>
      </w:r>
      <w:r w:rsidRPr="00EA0909">
        <w:t xml:space="preserve"> závazné, není zaručeno, že bude dod</w:t>
      </w:r>
      <w:r>
        <w:t>ržováno ze strany příslušných řídicích orgánů</w:t>
      </w:r>
      <w:r w:rsidRPr="00EA0909">
        <w:t>.</w:t>
      </w:r>
    </w:p>
    <w:p w14:paraId="24528312" w14:textId="77777777" w:rsidR="00DF4D60" w:rsidRDefault="00DF4D60" w:rsidP="00B322C2">
      <w:pPr>
        <w:pStyle w:val="NormlnKZ"/>
        <w:spacing w:after="120"/>
      </w:pPr>
      <w:r w:rsidRPr="00DF4D60">
        <w:t xml:space="preserve">Ke zjednodušení procesu přispělo </w:t>
      </w:r>
      <w:r w:rsidR="00DE03AD">
        <w:t xml:space="preserve">také </w:t>
      </w:r>
      <w:r w:rsidRPr="00DF4D60">
        <w:t>zavedení povinnosti využívání elektronické komunikace, včetně definování standardů pro využívání chráněné elektronické komunikace při předkládání a administraci projektů</w:t>
      </w:r>
      <w:r w:rsidR="000C680A">
        <w:t>.</w:t>
      </w:r>
    </w:p>
    <w:p w14:paraId="0C7AFF57" w14:textId="1EB099C3" w:rsidR="004C587E" w:rsidRDefault="00617381" w:rsidP="00B322C2">
      <w:pPr>
        <w:pStyle w:val="NormlnKZ"/>
        <w:spacing w:after="120"/>
      </w:pPr>
      <w:r w:rsidRPr="00617381">
        <w:t>Podmínky v oblasti zveřejňování inform</w:t>
      </w:r>
      <w:r w:rsidR="00AE296F">
        <w:t>ací</w:t>
      </w:r>
      <w:r w:rsidRPr="00617381">
        <w:t xml:space="preserve"> </w:t>
      </w:r>
      <w:r w:rsidR="00AE296F">
        <w:t xml:space="preserve">pro </w:t>
      </w:r>
      <w:r w:rsidRPr="00617381">
        <w:t>žadatel</w:t>
      </w:r>
      <w:r w:rsidR="00AE296F">
        <w:t>e</w:t>
      </w:r>
      <w:r w:rsidRPr="00617381">
        <w:t xml:space="preserve"> a </w:t>
      </w:r>
      <w:r w:rsidR="00905289">
        <w:t>příjemc</w:t>
      </w:r>
      <w:r w:rsidR="00AE296F">
        <w:t>e</w:t>
      </w:r>
      <w:r w:rsidR="00905289">
        <w:t xml:space="preserve"> podpory z ESI fondů se</w:t>
      </w:r>
      <w:r w:rsidR="00AE296F">
        <w:t xml:space="preserve"> </w:t>
      </w:r>
      <w:r w:rsidRPr="00617381">
        <w:t xml:space="preserve">zlepšily, neboť MMR zabezpečilo provoz internetového portálu </w:t>
      </w:r>
      <w:hyperlink r:id="rId14" w:history="1">
        <w:r w:rsidRPr="00617381">
          <w:rPr>
            <w:rStyle w:val="Hypertextovodkaz"/>
          </w:rPr>
          <w:t>www.dotaceEU.cz</w:t>
        </w:r>
      </w:hyperlink>
      <w:r w:rsidRPr="00617381">
        <w:t xml:space="preserve">, </w:t>
      </w:r>
      <w:r w:rsidR="00AE296F">
        <w:t>jehož prostřednictvím</w:t>
      </w:r>
      <w:r w:rsidRPr="00617381">
        <w:t xml:space="preserve"> poskytuje mimo jiné informace o </w:t>
      </w:r>
      <w:r>
        <w:t>metodickém prostředí.</w:t>
      </w:r>
    </w:p>
    <w:p w14:paraId="33EE0756" w14:textId="45D8F3B3" w:rsidR="007F1675" w:rsidRPr="003D7143" w:rsidRDefault="00C123FD" w:rsidP="007F1675">
      <w:pPr>
        <w:spacing w:after="120"/>
        <w:rPr>
          <w:rFonts w:ascii="Calibri" w:eastAsia="Calibri" w:hAnsi="Calibri" w:cs="Calibri"/>
          <w:sz w:val="24"/>
        </w:rPr>
      </w:pPr>
      <w:r w:rsidRPr="003D7143">
        <w:rPr>
          <w:rFonts w:ascii="Calibri" w:eastAsia="Calibri" w:hAnsi="Calibri" w:cs="Calibri"/>
          <w:sz w:val="24"/>
        </w:rPr>
        <w:t>Nicméně problém identifikovaný v minulém programovém období týkající se nestanovení jednoznačných lhůt jednotlivých procesů od podání projektové žádosti až po její schválení přetrvává. Očekávaná délka hodnoticího procesu vedoucí</w:t>
      </w:r>
      <w:r w:rsidR="009271BF">
        <w:rPr>
          <w:rFonts w:ascii="Calibri" w:eastAsia="Calibri" w:hAnsi="Calibri" w:cs="Calibri"/>
          <w:sz w:val="24"/>
        </w:rPr>
        <w:t>ho</w:t>
      </w:r>
      <w:r w:rsidRPr="003D7143">
        <w:rPr>
          <w:rFonts w:ascii="Calibri" w:eastAsia="Calibri" w:hAnsi="Calibri" w:cs="Calibri"/>
          <w:sz w:val="24"/>
        </w:rPr>
        <w:t xml:space="preserve"> k rozhodnutí o přiznání</w:t>
      </w:r>
      <w:r w:rsidR="009271BF">
        <w:rPr>
          <w:rFonts w:ascii="Calibri" w:eastAsia="Calibri" w:hAnsi="Calibri" w:cs="Calibri"/>
          <w:sz w:val="24"/>
        </w:rPr>
        <w:t xml:space="preserve"> nebo</w:t>
      </w:r>
      <w:r w:rsidRPr="003D7143">
        <w:rPr>
          <w:rFonts w:ascii="Calibri" w:eastAsia="Calibri" w:hAnsi="Calibri" w:cs="Calibri"/>
          <w:sz w:val="24"/>
        </w:rPr>
        <w:t xml:space="preserve"> zamítnutí žádosti o podporu je metodicky definována tak, že ji nelze ani měřit, ani vyhodnocovat. Ačkoliv by poskytovatel měl rozhodnout o podpoře „bez zbytečného odkladu“, žadatelé neznají časový horizont, </w:t>
      </w:r>
      <w:r w:rsidR="00C502AF">
        <w:rPr>
          <w:rFonts w:ascii="Calibri" w:eastAsia="Calibri" w:hAnsi="Calibri" w:cs="Calibri"/>
          <w:sz w:val="24"/>
        </w:rPr>
        <w:t>ve kterém by měli být</w:t>
      </w:r>
      <w:r w:rsidRPr="003D7143">
        <w:rPr>
          <w:rFonts w:ascii="Calibri" w:eastAsia="Calibri" w:hAnsi="Calibri" w:cs="Calibri"/>
          <w:sz w:val="24"/>
        </w:rPr>
        <w:t xml:space="preserve"> seznámeni s výs</w:t>
      </w:r>
      <w:r w:rsidR="00E52F46">
        <w:rPr>
          <w:rFonts w:ascii="Calibri" w:eastAsia="Calibri" w:hAnsi="Calibri" w:cs="Calibri"/>
          <w:sz w:val="24"/>
        </w:rPr>
        <w:t xml:space="preserve">ledkem posouzení </w:t>
      </w:r>
      <w:r w:rsidR="00C502AF">
        <w:rPr>
          <w:rFonts w:ascii="Calibri" w:eastAsia="Calibri" w:hAnsi="Calibri" w:cs="Calibri"/>
          <w:sz w:val="24"/>
        </w:rPr>
        <w:t xml:space="preserve">svých </w:t>
      </w:r>
      <w:r w:rsidR="00E52F46">
        <w:rPr>
          <w:rFonts w:ascii="Calibri" w:eastAsia="Calibri" w:hAnsi="Calibri" w:cs="Calibri"/>
          <w:sz w:val="24"/>
        </w:rPr>
        <w:t>žádost</w:t>
      </w:r>
      <w:r w:rsidR="00C502AF">
        <w:rPr>
          <w:rFonts w:ascii="Calibri" w:eastAsia="Calibri" w:hAnsi="Calibri" w:cs="Calibri"/>
          <w:sz w:val="24"/>
        </w:rPr>
        <w:t>í</w:t>
      </w:r>
      <w:r w:rsidRPr="003D7143">
        <w:rPr>
          <w:rFonts w:ascii="Calibri" w:eastAsia="Calibri" w:hAnsi="Calibri" w:cs="Calibri"/>
          <w:sz w:val="24"/>
        </w:rPr>
        <w:t>. MMR tak do JMP nezapracovalo uvedené doporučení</w:t>
      </w:r>
      <w:r w:rsidR="00A043AC">
        <w:rPr>
          <w:rFonts w:ascii="Calibri" w:eastAsia="Calibri" w:hAnsi="Calibri" w:cs="Calibri"/>
          <w:sz w:val="24"/>
        </w:rPr>
        <w:t xml:space="preserve"> ke</w:t>
      </w:r>
      <w:r w:rsidR="00343B27">
        <w:rPr>
          <w:rFonts w:ascii="Calibri" w:eastAsia="Calibri" w:hAnsi="Calibri" w:cs="Calibri"/>
          <w:sz w:val="24"/>
        </w:rPr>
        <w:t xml:space="preserve"> </w:t>
      </w:r>
      <w:r w:rsidRPr="003D7143">
        <w:rPr>
          <w:rFonts w:ascii="Calibri" w:eastAsia="Calibri" w:hAnsi="Calibri" w:cs="Calibri"/>
          <w:sz w:val="24"/>
        </w:rPr>
        <w:t>zjednodušení administrativní zátěže týkající se lhůt, i když mu v tom právní řád nebránil.</w:t>
      </w:r>
    </w:p>
    <w:p w14:paraId="23B3FBA1" w14:textId="1BFC9DD8" w:rsidR="00B40CB9" w:rsidRDefault="00C129EE" w:rsidP="00DF3095">
      <w:pPr>
        <w:pStyle w:val="NormlnKZ"/>
      </w:pPr>
      <w:r w:rsidRPr="003D7143">
        <w:t>Ke konci roku 2015 bylo v rámci</w:t>
      </w:r>
      <w:r w:rsidR="00B40CB9" w:rsidRPr="003D7143">
        <w:t xml:space="preserve"> evaluace</w:t>
      </w:r>
      <w:r w:rsidR="00D705B6" w:rsidRPr="003D7143">
        <w:rPr>
          <w:rStyle w:val="Znakapoznpodarou"/>
        </w:rPr>
        <w:footnoteReference w:id="20"/>
      </w:r>
      <w:r w:rsidR="00B40CB9" w:rsidRPr="003D7143">
        <w:t xml:space="preserve"> </w:t>
      </w:r>
      <w:r w:rsidRPr="003D7143">
        <w:t>provedeno</w:t>
      </w:r>
      <w:r w:rsidR="00035501" w:rsidRPr="003D7143">
        <w:t xml:space="preserve"> dotazníkové šetření u</w:t>
      </w:r>
      <w:r w:rsidRPr="003D7143">
        <w:t xml:space="preserve"> zaměstnanců </w:t>
      </w:r>
      <w:r w:rsidR="00C502AF">
        <w:t xml:space="preserve">orgánů </w:t>
      </w:r>
      <w:r w:rsidRPr="003D7143">
        <w:t>implementační struktury,</w:t>
      </w:r>
      <w:r w:rsidR="00035501" w:rsidRPr="003D7143">
        <w:t xml:space="preserve"> žadatelů</w:t>
      </w:r>
      <w:r w:rsidRPr="003D7143">
        <w:t xml:space="preserve"> a příjemců. Z této evaluace</w:t>
      </w:r>
      <w:r w:rsidR="00035501" w:rsidRPr="003D7143">
        <w:t xml:space="preserve"> vyplynulo, že </w:t>
      </w:r>
      <w:r w:rsidR="00B40CB9" w:rsidRPr="003D7143">
        <w:t>většina respondentů z okruhu žadatelů zastáv</w:t>
      </w:r>
      <w:r w:rsidR="00C502AF">
        <w:t>á</w:t>
      </w:r>
      <w:r w:rsidR="00B40CB9" w:rsidRPr="003D7143">
        <w:t xml:space="preserve"> názor, že administrativní náročnost podávání žádost</w:t>
      </w:r>
      <w:r w:rsidR="00C502AF">
        <w:t>í</w:t>
      </w:r>
      <w:r w:rsidR="00B40CB9" w:rsidRPr="003D7143">
        <w:t xml:space="preserve"> o podporu oproti minulému programovému období vzrostla. Avšak samotné elektronické podávání projektových žádostí o podporu bylo většinou vnímáno pozitivně. </w:t>
      </w:r>
      <w:r w:rsidRPr="003D7143">
        <w:t xml:space="preserve">Žadatelé považovali výzvy za srozumitelné. </w:t>
      </w:r>
      <w:r w:rsidR="00D705B6" w:rsidRPr="003D7143">
        <w:t>Na druhé straně p</w:t>
      </w:r>
      <w:r w:rsidR="00B40CB9" w:rsidRPr="003D7143">
        <w:t xml:space="preserve">řípravu výzev hodnotila většina zaměstnanců </w:t>
      </w:r>
      <w:r w:rsidR="00C502AF">
        <w:t xml:space="preserve">orgánů </w:t>
      </w:r>
      <w:r w:rsidR="00B40CB9" w:rsidRPr="003D7143">
        <w:t>implementační struktu</w:t>
      </w:r>
      <w:r w:rsidR="00D705B6" w:rsidRPr="003D7143">
        <w:t>ry jako spíše velmi náročnou.</w:t>
      </w:r>
      <w:r w:rsidR="00B40CB9" w:rsidRPr="00B40CB9">
        <w:t xml:space="preserve"> </w:t>
      </w:r>
    </w:p>
    <w:p w14:paraId="1C838F68" w14:textId="77777777" w:rsidR="00DF3095" w:rsidRDefault="00DF3095" w:rsidP="00DF3095">
      <w:pPr>
        <w:pStyle w:val="NormlnKZ"/>
      </w:pPr>
    </w:p>
    <w:p w14:paraId="7E213BCE" w14:textId="77777777" w:rsidR="00F96D90" w:rsidRPr="00BC78CC" w:rsidRDefault="00F96D90" w:rsidP="00091FFB">
      <w:pPr>
        <w:pStyle w:val="NormlnKZ"/>
      </w:pPr>
    </w:p>
    <w:p w14:paraId="5C00426C" w14:textId="77777777" w:rsidR="00C62371" w:rsidRPr="00955518" w:rsidRDefault="00BE3F75" w:rsidP="00B82556">
      <w:pPr>
        <w:keepNext/>
        <w:ind w:left="624" w:hanging="624"/>
        <w:jc w:val="center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bCs/>
          <w:sz w:val="28"/>
        </w:rPr>
        <w:lastRenderedPageBreak/>
        <w:t>I</w:t>
      </w:r>
      <w:r w:rsidR="00C62371" w:rsidRPr="00955518">
        <w:rPr>
          <w:rFonts w:ascii="Calibri" w:hAnsi="Calibri" w:cs="Arial"/>
          <w:b/>
          <w:bCs/>
          <w:sz w:val="28"/>
        </w:rPr>
        <w:t xml:space="preserve">II. </w:t>
      </w:r>
      <w:r>
        <w:rPr>
          <w:rFonts w:ascii="Calibri" w:hAnsi="Calibri" w:cs="Arial"/>
          <w:b/>
          <w:bCs/>
          <w:sz w:val="28"/>
        </w:rPr>
        <w:t>Závěrečné z</w:t>
      </w:r>
      <w:r w:rsidR="00C62371" w:rsidRPr="00955518">
        <w:rPr>
          <w:rFonts w:ascii="Calibri" w:hAnsi="Calibri" w:cs="Arial"/>
          <w:b/>
          <w:sz w:val="28"/>
        </w:rPr>
        <w:t>hodnocení</w:t>
      </w:r>
    </w:p>
    <w:p w14:paraId="11011B5A" w14:textId="77777777" w:rsidR="00C62371" w:rsidRPr="000908F6" w:rsidRDefault="00C62371" w:rsidP="008C02DB">
      <w:pPr>
        <w:rPr>
          <w:rFonts w:ascii="Calibri" w:hAnsi="Calibri" w:cs="Arial"/>
          <w:bCs/>
          <w:sz w:val="24"/>
        </w:rPr>
      </w:pPr>
    </w:p>
    <w:p w14:paraId="728317AB" w14:textId="38D17A31" w:rsidR="00B871DC" w:rsidRDefault="00C123FD" w:rsidP="00B34885">
      <w:pPr>
        <w:pStyle w:val="NormlnKZ"/>
        <w:spacing w:after="120"/>
      </w:pPr>
      <w:r w:rsidRPr="003D7143">
        <w:t>Jednotné metodické prostředí je jedním z předpokladů pr</w:t>
      </w:r>
      <w:r w:rsidR="00A043AC">
        <w:t>o naplňování cílů Dohody o </w:t>
      </w:r>
      <w:r w:rsidRPr="003D7143">
        <w:t xml:space="preserve">partnerství </w:t>
      </w:r>
      <w:r w:rsidR="005372EA">
        <w:t>i pro</w:t>
      </w:r>
      <w:r w:rsidRPr="003D7143">
        <w:t xml:space="preserve"> efektivní nastavení celého systému implement</w:t>
      </w:r>
      <w:r w:rsidR="00A043AC">
        <w:t xml:space="preserve">ace </w:t>
      </w:r>
      <w:r w:rsidR="005372EA">
        <w:t>e</w:t>
      </w:r>
      <w:r w:rsidR="00A043AC">
        <w:t>vropských strukturálních a </w:t>
      </w:r>
      <w:r w:rsidRPr="003D7143">
        <w:t>investičních fondů.</w:t>
      </w:r>
      <w:r w:rsidR="008D67C8">
        <w:t xml:space="preserve"> </w:t>
      </w:r>
    </w:p>
    <w:p w14:paraId="0ED7A4BF" w14:textId="2135E941" w:rsidR="005D41C9" w:rsidRDefault="00480A13" w:rsidP="00D5266A">
      <w:pPr>
        <w:pStyle w:val="NormlnKZ"/>
        <w:spacing w:after="120"/>
      </w:pPr>
      <w:r w:rsidRPr="003D7143">
        <w:t xml:space="preserve">Společná metodická pravidla nejsou jednotná a vymahatelná. </w:t>
      </w:r>
      <w:r w:rsidR="00965E85" w:rsidRPr="003D7143">
        <w:t>Příkladem nejednotnosti jsou pravidla pro</w:t>
      </w:r>
      <w:r w:rsidR="00A46592" w:rsidRPr="003D7143">
        <w:rPr>
          <w:rFonts w:cs="Arial"/>
        </w:rPr>
        <w:t xml:space="preserve"> řízení </w:t>
      </w:r>
      <w:r w:rsidR="00A46592" w:rsidRPr="003D7143">
        <w:rPr>
          <w:rFonts w:cs="Arial"/>
          <w:i/>
        </w:rPr>
        <w:t>Programu rozvoje venkova na období 2014</w:t>
      </w:r>
      <w:r w:rsidR="005372EA">
        <w:rPr>
          <w:rFonts w:cs="Arial"/>
          <w:i/>
        </w:rPr>
        <w:t>–</w:t>
      </w:r>
      <w:r w:rsidR="00A46592" w:rsidRPr="003D7143">
        <w:rPr>
          <w:rFonts w:cs="Arial"/>
          <w:i/>
        </w:rPr>
        <w:t>2020</w:t>
      </w:r>
      <w:r w:rsidR="00965E85" w:rsidRPr="003D7143">
        <w:rPr>
          <w:rFonts w:cs="Arial"/>
          <w:i/>
        </w:rPr>
        <w:t>.</w:t>
      </w:r>
      <w:r w:rsidR="00A46592" w:rsidRPr="003D7143">
        <w:rPr>
          <w:rFonts w:cs="Arial"/>
        </w:rPr>
        <w:t xml:space="preserve"> Ministerstvo zemědělství </w:t>
      </w:r>
      <w:r w:rsidR="00965E85" w:rsidRPr="003D7143">
        <w:rPr>
          <w:rFonts w:cs="Arial"/>
        </w:rPr>
        <w:t xml:space="preserve">si zpracovává vlastní metodický dokument a </w:t>
      </w:r>
      <w:r w:rsidR="00A46592" w:rsidRPr="003D7143">
        <w:rPr>
          <w:rFonts w:cs="Arial"/>
        </w:rPr>
        <w:t>nemá povinnost dodržovat závazná pravidla jednotného metodického prostředí</w:t>
      </w:r>
      <w:r w:rsidR="00965E85" w:rsidRPr="003D7143">
        <w:rPr>
          <w:rFonts w:cs="Arial"/>
        </w:rPr>
        <w:t>.</w:t>
      </w:r>
      <w:r w:rsidR="00A46592" w:rsidRPr="003D7143">
        <w:rPr>
          <w:rFonts w:cs="Arial"/>
        </w:rPr>
        <w:t xml:space="preserve"> D</w:t>
      </w:r>
      <w:r w:rsidRPr="003D7143">
        <w:t xml:space="preserve">ohled nad dodržováním </w:t>
      </w:r>
      <w:r w:rsidR="00A46592" w:rsidRPr="003D7143">
        <w:t>závazných</w:t>
      </w:r>
      <w:r w:rsidRPr="003D7143">
        <w:t xml:space="preserve"> </w:t>
      </w:r>
      <w:r w:rsidR="00A46592" w:rsidRPr="003D7143">
        <w:t>pravidel</w:t>
      </w:r>
      <w:r w:rsidR="00A043AC">
        <w:t>, který je</w:t>
      </w:r>
      <w:r w:rsidR="00343B27">
        <w:t xml:space="preserve"> </w:t>
      </w:r>
      <w:r w:rsidR="00965E85" w:rsidRPr="003D7143">
        <w:t>předpokladem jejich vymahatelnosti,</w:t>
      </w:r>
      <w:r w:rsidRPr="003D7143">
        <w:t xml:space="preserve"> </w:t>
      </w:r>
      <w:r w:rsidR="00965E85" w:rsidRPr="003D7143">
        <w:t>stanoven</w:t>
      </w:r>
      <w:r w:rsidRPr="003D7143">
        <w:t xml:space="preserve"> nebyl. Tento stav nevytváří</w:t>
      </w:r>
      <w:r w:rsidR="00A043AC">
        <w:t xml:space="preserve"> předpoklady pro</w:t>
      </w:r>
      <w:r w:rsidR="005372EA">
        <w:t xml:space="preserve"> </w:t>
      </w:r>
      <w:r w:rsidRPr="003D7143">
        <w:t>dosažení transparentnosti procesů a přehlednosti pravidel poskytování podpor z</w:t>
      </w:r>
      <w:r w:rsidR="00965E85" w:rsidRPr="003D7143">
        <w:t> </w:t>
      </w:r>
      <w:r w:rsidR="005372EA">
        <w:t>e</w:t>
      </w:r>
      <w:r w:rsidR="00965E85" w:rsidRPr="003D7143">
        <w:t>vropských strukturálních a investičních</w:t>
      </w:r>
      <w:r w:rsidRPr="003D7143">
        <w:t xml:space="preserve"> fondů. </w:t>
      </w:r>
    </w:p>
    <w:p w14:paraId="7ED9A70F" w14:textId="0798A1B1" w:rsidR="007F1675" w:rsidRDefault="00480A13" w:rsidP="00D5266A">
      <w:pPr>
        <w:pStyle w:val="NormlnKZ"/>
        <w:spacing w:after="120"/>
      </w:pPr>
      <w:r w:rsidRPr="00333C1A">
        <w:t xml:space="preserve">Informační podpora nebyla </w:t>
      </w:r>
      <w:r>
        <w:t xml:space="preserve">k datu spuštění </w:t>
      </w:r>
      <w:r w:rsidR="005372EA">
        <w:t xml:space="preserve">MS2014+ </w:t>
      </w:r>
      <w:r>
        <w:t xml:space="preserve">do ostrého provozu v září 2014 </w:t>
      </w:r>
      <w:r w:rsidRPr="00333C1A">
        <w:t>dostatečně připravena</w:t>
      </w:r>
      <w:r w:rsidRPr="003D7143">
        <w:t xml:space="preserve">. </w:t>
      </w:r>
      <w:r w:rsidRPr="003D7143">
        <w:rPr>
          <w:rFonts w:eastAsia="Calibri"/>
        </w:rPr>
        <w:t xml:space="preserve">Zakázku na informační systém vypsalo </w:t>
      </w:r>
      <w:r w:rsidR="005372EA" w:rsidRPr="003D7143">
        <w:rPr>
          <w:rFonts w:eastAsia="Calibri"/>
        </w:rPr>
        <w:t xml:space="preserve">MMR </w:t>
      </w:r>
      <w:r w:rsidR="00205E1C">
        <w:rPr>
          <w:rFonts w:eastAsia="Calibri"/>
        </w:rPr>
        <w:t>v době</w:t>
      </w:r>
      <w:r w:rsidRPr="003D7143">
        <w:rPr>
          <w:rFonts w:eastAsia="Calibri"/>
        </w:rPr>
        <w:t>, kdy nebyly známy finální podoby všech pod</w:t>
      </w:r>
      <w:r w:rsidR="00205E1C">
        <w:rPr>
          <w:rFonts w:eastAsia="Calibri"/>
        </w:rPr>
        <w:t>statných dokumentů.</w:t>
      </w:r>
      <w:r w:rsidRPr="003D7143">
        <w:rPr>
          <w:rFonts w:eastAsia="Calibri"/>
        </w:rPr>
        <w:t xml:space="preserve"> MMR definovalo požadavky na funkcionality systému</w:t>
      </w:r>
      <w:r w:rsidR="005372EA">
        <w:rPr>
          <w:rFonts w:eastAsia="Calibri"/>
        </w:rPr>
        <w:t xml:space="preserve"> pouze obecně</w:t>
      </w:r>
      <w:r w:rsidRPr="003D7143">
        <w:rPr>
          <w:rFonts w:eastAsia="Calibri"/>
        </w:rPr>
        <w:t xml:space="preserve">, což vedlo k tomu, že náklady na rozvoj </w:t>
      </w:r>
      <w:r w:rsidR="005372EA">
        <w:rPr>
          <w:rFonts w:eastAsia="Calibri"/>
        </w:rPr>
        <w:t xml:space="preserve">systému </w:t>
      </w:r>
      <w:r w:rsidRPr="003D7143">
        <w:rPr>
          <w:rFonts w:eastAsia="Calibri"/>
        </w:rPr>
        <w:t xml:space="preserve">převýšily náklady na </w:t>
      </w:r>
      <w:r w:rsidR="005372EA">
        <w:rPr>
          <w:rFonts w:eastAsia="Calibri"/>
        </w:rPr>
        <w:t xml:space="preserve">jeho </w:t>
      </w:r>
      <w:r w:rsidRPr="003D7143">
        <w:rPr>
          <w:rFonts w:eastAsia="Calibri"/>
        </w:rPr>
        <w:t xml:space="preserve">pořízení. Odložení zadání veřejné zakázky na pozdější období by tyto dodatečné náklady mohlo snížit, </w:t>
      </w:r>
      <w:r w:rsidR="005372EA">
        <w:rPr>
          <w:rFonts w:eastAsia="Calibri"/>
        </w:rPr>
        <w:t>avšak</w:t>
      </w:r>
      <w:r w:rsidR="005372EA" w:rsidRPr="003D7143">
        <w:rPr>
          <w:rFonts w:eastAsia="Calibri"/>
        </w:rPr>
        <w:t xml:space="preserve"> </w:t>
      </w:r>
      <w:r w:rsidRPr="003D7143">
        <w:rPr>
          <w:rFonts w:eastAsia="Calibri"/>
        </w:rPr>
        <w:t xml:space="preserve">vedlo </w:t>
      </w:r>
      <w:r w:rsidR="005372EA" w:rsidRPr="003D7143">
        <w:rPr>
          <w:rFonts w:eastAsia="Calibri"/>
        </w:rPr>
        <w:t xml:space="preserve">by </w:t>
      </w:r>
      <w:r w:rsidRPr="003D7143">
        <w:rPr>
          <w:rFonts w:eastAsia="Calibri"/>
        </w:rPr>
        <w:t>k výraznějšímu posunu zahájení realizace programového období 2014</w:t>
      </w:r>
      <w:r w:rsidR="005372EA">
        <w:rPr>
          <w:rFonts w:eastAsia="Calibri"/>
        </w:rPr>
        <w:t>–</w:t>
      </w:r>
      <w:r w:rsidRPr="003D7143">
        <w:rPr>
          <w:rFonts w:eastAsia="Calibri"/>
        </w:rPr>
        <w:t>2020.</w:t>
      </w:r>
    </w:p>
    <w:p w14:paraId="532AD92C" w14:textId="057FBEDF" w:rsidR="00233D02" w:rsidRDefault="00233D02" w:rsidP="00D5266A">
      <w:pPr>
        <w:pStyle w:val="NormlnKZ"/>
        <w:spacing w:after="120"/>
      </w:pPr>
      <w:r>
        <w:t>S postupujícími fázemi implementa</w:t>
      </w:r>
      <w:r w:rsidR="00703DB3">
        <w:t>ce programového období 2014</w:t>
      </w:r>
      <w:r w:rsidR="005372EA">
        <w:t>–</w:t>
      </w:r>
      <w:r w:rsidR="00703DB3">
        <w:t>2020</w:t>
      </w:r>
      <w:r w:rsidRPr="00012292">
        <w:t xml:space="preserve"> </w:t>
      </w:r>
      <w:r>
        <w:t>se i</w:t>
      </w:r>
      <w:r w:rsidRPr="00012292">
        <w:t xml:space="preserve">nformační systém </w:t>
      </w:r>
      <w:r>
        <w:t xml:space="preserve">neustále rozvíjí, a to jak na základě úprav metodických dokumentů, tak i na základě praktických zkušeností uživatelů. </w:t>
      </w:r>
      <w:r w:rsidR="00205E14" w:rsidRPr="00012292">
        <w:t>V MS2014+ se odráží rozvolněná metodi</w:t>
      </w:r>
      <w:r w:rsidR="00205E14">
        <w:t>cká úpr</w:t>
      </w:r>
      <w:r w:rsidR="00A043AC">
        <w:t>ava a </w:t>
      </w:r>
      <w:r w:rsidR="00205E14">
        <w:t>v</w:t>
      </w:r>
      <w:r w:rsidR="00A043AC">
        <w:t> </w:t>
      </w:r>
      <w:r w:rsidRPr="00012292">
        <w:t>důsledku zatížení množstvím specifických požadavků od řídicích orgánů</w:t>
      </w:r>
      <w:r>
        <w:t xml:space="preserve"> </w:t>
      </w:r>
      <w:r w:rsidRPr="00205E1C">
        <w:t>je</w:t>
      </w:r>
      <w:r w:rsidR="00C129EE" w:rsidRPr="00205E1C">
        <w:t xml:space="preserve"> monitorovací systém</w:t>
      </w:r>
      <w:r w:rsidRPr="00012292">
        <w:t xml:space="preserve"> komplikovaný.</w:t>
      </w:r>
      <w:r>
        <w:t xml:space="preserve"> </w:t>
      </w:r>
    </w:p>
    <w:p w14:paraId="29F0146C" w14:textId="1187FF31" w:rsidR="00DD4C94" w:rsidRDefault="00BE42BB" w:rsidP="00D5266A">
      <w:pPr>
        <w:pStyle w:val="NormlnKZ"/>
        <w:spacing w:after="120"/>
      </w:pPr>
      <w:r w:rsidRPr="00333C1A">
        <w:t>Standardizovan</w:t>
      </w:r>
      <w:r>
        <w:t>á pravidla jsou zpracována na přibližně dvou a půl tisících stranách metodických doporučení a metodických pokynů</w:t>
      </w:r>
      <w:r w:rsidR="00C44D0B">
        <w:t xml:space="preserve">. Tato pravidla </w:t>
      </w:r>
      <w:r w:rsidR="005372EA">
        <w:t>byla</w:t>
      </w:r>
      <w:r w:rsidR="00A043AC">
        <w:t xml:space="preserve"> vytváře</w:t>
      </w:r>
      <w:r w:rsidR="005372EA">
        <w:t>na</w:t>
      </w:r>
      <w:r w:rsidR="00A043AC">
        <w:t xml:space="preserve"> a aktualizov</w:t>
      </w:r>
      <w:r w:rsidR="005372EA">
        <w:t>ána</w:t>
      </w:r>
      <w:r w:rsidR="00A043AC">
        <w:t xml:space="preserve"> při</w:t>
      </w:r>
      <w:r w:rsidR="005372EA">
        <w:t xml:space="preserve"> </w:t>
      </w:r>
      <w:r w:rsidR="00C44D0B">
        <w:t>zohlednění principu partnerství v rámci četných platforem a různých pracovních skupin.</w:t>
      </w:r>
      <w:r>
        <w:t xml:space="preserve"> Kromě výdajů interního charakteru</w:t>
      </w:r>
      <w:r w:rsidRPr="00DE283B">
        <w:t xml:space="preserve"> </w:t>
      </w:r>
      <w:r>
        <w:t>vynaložených</w:t>
      </w:r>
      <w:r w:rsidRPr="00DE283B">
        <w:t xml:space="preserve"> zejména na zaměstnance</w:t>
      </w:r>
      <w:r w:rsidR="00EF2F87">
        <w:t xml:space="preserve"> uhradilo MMR</w:t>
      </w:r>
      <w:r>
        <w:t xml:space="preserve"> </w:t>
      </w:r>
      <w:r w:rsidR="00EF2F87">
        <w:t>do</w:t>
      </w:r>
      <w:r w:rsidR="004C157C">
        <w:t> </w:t>
      </w:r>
      <w:r w:rsidR="00EF2F87">
        <w:t xml:space="preserve">srpna 2016 </w:t>
      </w:r>
      <w:r>
        <w:t xml:space="preserve">za </w:t>
      </w:r>
      <w:r w:rsidR="008D67C8">
        <w:t>externí služby</w:t>
      </w:r>
      <w:r>
        <w:t xml:space="preserve"> </w:t>
      </w:r>
      <w:r w:rsidR="00EF2F87">
        <w:t>související s </w:t>
      </w:r>
      <w:r w:rsidRPr="00DE283B">
        <w:t>vytvořením vlastních metodických dokumentů</w:t>
      </w:r>
      <w:r>
        <w:t xml:space="preserve"> </w:t>
      </w:r>
      <w:r w:rsidR="00EF2F87">
        <w:t xml:space="preserve">celkem </w:t>
      </w:r>
      <w:r w:rsidRPr="00DE283B">
        <w:t>7</w:t>
      </w:r>
      <w:r w:rsidR="00C446D1">
        <w:t>,</w:t>
      </w:r>
      <w:r w:rsidRPr="00DE283B">
        <w:t>3</w:t>
      </w:r>
      <w:r w:rsidR="00C446D1">
        <w:t>1</w:t>
      </w:r>
      <w:r>
        <w:t> </w:t>
      </w:r>
      <w:r w:rsidR="00C446D1">
        <w:t>mil</w:t>
      </w:r>
      <w:r>
        <w:t>. Kč.</w:t>
      </w:r>
      <w:r w:rsidR="00C44D0B">
        <w:t xml:space="preserve"> </w:t>
      </w:r>
      <w:r>
        <w:t xml:space="preserve">Mnohem významnější je však investice do pořízení, rozvoje a provozu informačního systému </w:t>
      </w:r>
      <w:r w:rsidR="005372EA">
        <w:t xml:space="preserve">MS2014+ </w:t>
      </w:r>
      <w:r>
        <w:t xml:space="preserve">pro monitorování ESI fondů. Za čtyři roky, tj. </w:t>
      </w:r>
      <w:r w:rsidR="0010072C">
        <w:t xml:space="preserve">od května 2012 do srpna 2016, </w:t>
      </w:r>
      <w:r w:rsidR="005372EA" w:rsidRPr="00205E1C">
        <w:t xml:space="preserve">dosáhla </w:t>
      </w:r>
      <w:r w:rsidR="005372EA">
        <w:t xml:space="preserve">tato investice výše </w:t>
      </w:r>
      <w:r w:rsidRPr="00205E1C">
        <w:t>8</w:t>
      </w:r>
      <w:r>
        <w:t>72</w:t>
      </w:r>
      <w:r w:rsidR="00C446D1">
        <w:t>,26 mil</w:t>
      </w:r>
      <w:r>
        <w:t>.</w:t>
      </w:r>
      <w:r w:rsidR="005372EA">
        <w:t> </w:t>
      </w:r>
      <w:r>
        <w:t xml:space="preserve">Kč. </w:t>
      </w:r>
    </w:p>
    <w:p w14:paraId="5C35A393" w14:textId="7365BFDC" w:rsidR="00D31A81" w:rsidRPr="00D31A81" w:rsidRDefault="00D4684D" w:rsidP="005372EA">
      <w:pPr>
        <w:pStyle w:val="NormlnKZ"/>
        <w:keepNext/>
        <w:spacing w:after="160"/>
        <w:rPr>
          <w:b/>
        </w:rPr>
      </w:pPr>
      <w:r w:rsidRPr="009B7920"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45E02B4F" wp14:editId="409A5927">
            <wp:simplePos x="0" y="0"/>
            <wp:positionH relativeFrom="column">
              <wp:posOffset>46355</wp:posOffset>
            </wp:positionH>
            <wp:positionV relativeFrom="paragraph">
              <wp:posOffset>276860</wp:posOffset>
            </wp:positionV>
            <wp:extent cx="4364990" cy="2832100"/>
            <wp:effectExtent l="0" t="0" r="0" b="6350"/>
            <wp:wrapTopAndBottom/>
            <wp:docPr id="13" name="Obrázek 13" descr="\\nku@SSL\DavWWWRoot\sites\odbor_IV\KA1612\Dokumenty\28 KONTROLNÍ ZÁVĚR\Staré verze a pomocné soubory\Prostředky vynaložené na JMP_d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nku@SSL\DavWWWRoot\sites\odbor_IV\KA1612\Dokumenty\28 KONTROLNÍ ZÁVĚR\Staré verze a pomocné soubory\Prostředky vynaložené na JMP_data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283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7920">
        <w:rPr>
          <w:noProof/>
        </w:rPr>
        <w:drawing>
          <wp:anchor distT="0" distB="0" distL="114300" distR="114300" simplePos="0" relativeHeight="251658752" behindDoc="0" locked="0" layoutInCell="1" allowOverlap="1" wp14:anchorId="45E02B4F" wp14:editId="409A5927">
            <wp:simplePos x="0" y="0"/>
            <wp:positionH relativeFrom="column">
              <wp:posOffset>46355</wp:posOffset>
            </wp:positionH>
            <wp:positionV relativeFrom="paragraph">
              <wp:posOffset>276860</wp:posOffset>
            </wp:positionV>
            <wp:extent cx="4364990" cy="2832100"/>
            <wp:effectExtent l="0" t="0" r="0" b="6350"/>
            <wp:wrapTopAndBottom/>
            <wp:docPr id="2" name="Obrázek 2" descr="\\nku@SSL\DavWWWRoot\sites\odbor_IV\KA1612\Dokumenty\28 KONTROLNÍ ZÁVĚR\Staré verze a pomocné soubory\Prostředky vynaložené na JMP_d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nku@SSL\DavWWWRoot\sites\odbor_IV\KA1612\Dokumenty\28 KONTROLNÍ ZÁVĚR\Staré verze a pomocné soubory\Prostředky vynaložené na JMP_data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283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1A81">
        <w:rPr>
          <w:b/>
        </w:rPr>
        <w:t xml:space="preserve">Schéma č. </w:t>
      </w:r>
      <w:r w:rsidR="000A207D">
        <w:rPr>
          <w:b/>
        </w:rPr>
        <w:t>1</w:t>
      </w:r>
      <w:r w:rsidR="00D31A81" w:rsidRPr="00D31A81">
        <w:rPr>
          <w:b/>
        </w:rPr>
        <w:t xml:space="preserve"> – </w:t>
      </w:r>
      <w:r w:rsidR="00D31A81">
        <w:rPr>
          <w:b/>
        </w:rPr>
        <w:t xml:space="preserve">Výdaje </w:t>
      </w:r>
      <w:r w:rsidR="005372EA">
        <w:rPr>
          <w:b/>
        </w:rPr>
        <w:t xml:space="preserve">vynaložené do srpna 2016 </w:t>
      </w:r>
      <w:r w:rsidR="00D31A81">
        <w:rPr>
          <w:b/>
        </w:rPr>
        <w:t xml:space="preserve">na jednotné metodické prostředí </w:t>
      </w:r>
    </w:p>
    <w:p w14:paraId="10D117F2" w14:textId="5D39B6D7" w:rsidR="00F9123A" w:rsidRPr="008B51BA" w:rsidRDefault="008B51BA" w:rsidP="00D5266A">
      <w:pPr>
        <w:spacing w:before="200"/>
        <w:ind w:left="624" w:hanging="624"/>
        <w:rPr>
          <w:rFonts w:ascii="Calibri" w:hAnsi="Calibri" w:cs="Arial"/>
          <w:sz w:val="20"/>
          <w:szCs w:val="20"/>
        </w:rPr>
      </w:pPr>
      <w:r w:rsidRPr="00205E1C">
        <w:rPr>
          <w:rFonts w:ascii="Calibri" w:hAnsi="Calibri" w:cs="Arial"/>
          <w:b/>
          <w:sz w:val="20"/>
          <w:szCs w:val="20"/>
        </w:rPr>
        <w:t>Pozn</w:t>
      </w:r>
      <w:r w:rsidR="000A207D">
        <w:rPr>
          <w:rFonts w:ascii="Calibri" w:hAnsi="Calibri" w:cs="Arial"/>
          <w:b/>
          <w:sz w:val="20"/>
          <w:szCs w:val="20"/>
        </w:rPr>
        <w:t>.</w:t>
      </w:r>
      <w:r w:rsidRPr="00205E1C">
        <w:rPr>
          <w:rFonts w:ascii="Calibri" w:hAnsi="Calibri" w:cs="Arial"/>
          <w:b/>
          <w:sz w:val="20"/>
          <w:szCs w:val="20"/>
        </w:rPr>
        <w:t>:</w:t>
      </w:r>
      <w:r w:rsidRPr="00205E1C">
        <w:rPr>
          <w:rFonts w:ascii="Calibri" w:hAnsi="Calibri" w:cs="Arial"/>
          <w:b/>
          <w:sz w:val="20"/>
          <w:szCs w:val="20"/>
        </w:rPr>
        <w:tab/>
      </w:r>
      <w:r w:rsidRPr="00205E1C">
        <w:rPr>
          <w:rFonts w:ascii="Calibri" w:hAnsi="Calibri" w:cs="Arial"/>
          <w:sz w:val="20"/>
          <w:szCs w:val="20"/>
        </w:rPr>
        <w:t>Náklady související s přípravou a vytvořením metodických dokumentů o celkovém počtu 2 542 stran</w:t>
      </w:r>
      <w:r w:rsidR="009B5D58" w:rsidRPr="00205E1C">
        <w:rPr>
          <w:rFonts w:ascii="Calibri" w:hAnsi="Calibri" w:cs="Arial"/>
          <w:sz w:val="20"/>
          <w:szCs w:val="20"/>
        </w:rPr>
        <w:t xml:space="preserve"> byly do srpna 2016 ve výši 7,31 mil. Kč. Celkové náklady na pořízení, rozvoj a provoz informačního systému MS2014+ do srpna </w:t>
      </w:r>
      <w:r w:rsidR="000A207D">
        <w:rPr>
          <w:rFonts w:ascii="Calibri" w:hAnsi="Calibri" w:cs="Arial"/>
          <w:sz w:val="20"/>
          <w:szCs w:val="20"/>
        </w:rPr>
        <w:t xml:space="preserve">2016 </w:t>
      </w:r>
      <w:r w:rsidR="009B5D58" w:rsidRPr="00205E1C">
        <w:rPr>
          <w:rFonts w:ascii="Calibri" w:hAnsi="Calibri" w:cs="Arial"/>
          <w:sz w:val="20"/>
          <w:szCs w:val="20"/>
        </w:rPr>
        <w:t>dosáhly částky 872,26 mil. Kč.</w:t>
      </w:r>
    </w:p>
    <w:p w14:paraId="409054B6" w14:textId="77777777" w:rsidR="00C446D1" w:rsidRDefault="00C446D1" w:rsidP="00BE42BB">
      <w:pPr>
        <w:pStyle w:val="NormlnKZ"/>
      </w:pPr>
    </w:p>
    <w:p w14:paraId="7C0EB3FD" w14:textId="44A02CBE" w:rsidR="00BE42BB" w:rsidRDefault="00BE42BB" w:rsidP="00D57723">
      <w:pPr>
        <w:pStyle w:val="NormlnKZ"/>
        <w:keepNext/>
      </w:pPr>
      <w:r>
        <w:t xml:space="preserve">Oproti tomu za monitorovací systémy provozované v minulých obdobích </w:t>
      </w:r>
      <w:r w:rsidR="004669E7">
        <w:t>(</w:t>
      </w:r>
      <w:r>
        <w:t>tj. v rámci předvstupních fondů EU, programového období 2004</w:t>
      </w:r>
      <w:r w:rsidR="004669E7">
        <w:t>–</w:t>
      </w:r>
      <w:r w:rsidR="00C763D8">
        <w:t xml:space="preserve">2006 a programového období </w:t>
      </w:r>
      <w:r w:rsidR="003A597B">
        <w:br/>
      </w:r>
      <w:r w:rsidR="00C763D8">
        <w:t>2007</w:t>
      </w:r>
      <w:r w:rsidR="004669E7">
        <w:t>–</w:t>
      </w:r>
      <w:r>
        <w:t>2013</w:t>
      </w:r>
      <w:r w:rsidR="004669E7">
        <w:t>)</w:t>
      </w:r>
      <w:r>
        <w:t xml:space="preserve"> bylo za osm let (od roku 2001 do dubna 2009) uhrazeno 916</w:t>
      </w:r>
      <w:r w:rsidR="00140032">
        <w:t>,60</w:t>
      </w:r>
      <w:r>
        <w:t> </w:t>
      </w:r>
      <w:r w:rsidR="00140032">
        <w:t>mil</w:t>
      </w:r>
      <w:r>
        <w:t>. Kč</w:t>
      </w:r>
      <w:r w:rsidR="004669E7">
        <w:t>.</w:t>
      </w:r>
      <w:r>
        <w:rPr>
          <w:rStyle w:val="Znakapoznpodarou"/>
        </w:rPr>
        <w:footnoteReference w:id="21"/>
      </w:r>
      <w:r>
        <w:t xml:space="preserve"> </w:t>
      </w:r>
    </w:p>
    <w:p w14:paraId="1347E2C8" w14:textId="26A1984F" w:rsidR="00BE42BB" w:rsidRDefault="00BE42BB" w:rsidP="00564ED1">
      <w:pPr>
        <w:keepNext/>
        <w:rPr>
          <w:rFonts w:ascii="Calibri" w:hAnsi="Calibri" w:cs="Arial"/>
          <w:sz w:val="24"/>
        </w:rPr>
      </w:pPr>
    </w:p>
    <w:p w14:paraId="47D3C5AF" w14:textId="29A73F89" w:rsidR="00C446D1" w:rsidRPr="00D31A81" w:rsidRDefault="00D31A81" w:rsidP="00D5266A">
      <w:pPr>
        <w:pStyle w:val="NormlnKZ"/>
        <w:keepNext/>
        <w:spacing w:after="240"/>
        <w:rPr>
          <w:b/>
        </w:rPr>
      </w:pPr>
      <w:r>
        <w:rPr>
          <w:b/>
        </w:rPr>
        <w:t xml:space="preserve">Schéma č. </w:t>
      </w:r>
      <w:r w:rsidR="004669E7">
        <w:rPr>
          <w:b/>
        </w:rPr>
        <w:t>2</w:t>
      </w:r>
      <w:r w:rsidRPr="00D31A81">
        <w:rPr>
          <w:b/>
        </w:rPr>
        <w:t xml:space="preserve"> – </w:t>
      </w:r>
      <w:r w:rsidR="00C446D1" w:rsidRPr="00D31A81">
        <w:rPr>
          <w:b/>
        </w:rPr>
        <w:t xml:space="preserve">Porovnání finanční náročnosti </w:t>
      </w:r>
      <w:r>
        <w:rPr>
          <w:b/>
        </w:rPr>
        <w:t>informačních</w:t>
      </w:r>
      <w:r w:rsidR="00C446D1" w:rsidRPr="00D31A81">
        <w:rPr>
          <w:b/>
        </w:rPr>
        <w:t xml:space="preserve"> systémů</w:t>
      </w:r>
      <w:r w:rsidR="00C446D1">
        <w:rPr>
          <w:b/>
        </w:rPr>
        <w:t xml:space="preserve"> </w:t>
      </w:r>
      <w:r>
        <w:rPr>
          <w:b/>
        </w:rPr>
        <w:t>pro monitorování</w:t>
      </w:r>
    </w:p>
    <w:p w14:paraId="225398CD" w14:textId="2BDA71EF" w:rsidR="00C446D1" w:rsidRDefault="009B7920" w:rsidP="00BE42BB">
      <w:pPr>
        <w:rPr>
          <w:rFonts w:ascii="Calibri" w:hAnsi="Calibri" w:cs="Arial"/>
          <w:sz w:val="24"/>
        </w:rPr>
      </w:pPr>
      <w:r w:rsidRPr="009B7920">
        <w:rPr>
          <w:rFonts w:ascii="Calibri" w:hAnsi="Calibri" w:cs="Arial"/>
          <w:noProof/>
          <w:sz w:val="24"/>
          <w:lang w:eastAsia="cs-CZ"/>
        </w:rPr>
        <w:drawing>
          <wp:inline distT="0" distB="0" distL="0" distR="0" wp14:anchorId="5A0B0CBE" wp14:editId="1E21018D">
            <wp:extent cx="4105275" cy="2450096"/>
            <wp:effectExtent l="0" t="0" r="0" b="7620"/>
            <wp:docPr id="7" name="Obrázek 7" descr="\\nku@SSL\DavWWWRoot\sites\odbor_IV\KA1612\Dokumenty\28 KONTROLNÍ ZÁVĚR\Staré verze a pomocné soubory\Porovnání finanční náročnosti 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nku@SSL\DavWWWRoot\sites\odbor_IV\KA1612\Dokumenty\28 KONTROLNÍ ZÁVĚR\Staré verze a pomocné soubory\Porovnání finanční náročnosti IS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744" cy="245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9BC39" w14:textId="2C2AA379" w:rsidR="00403119" w:rsidRDefault="00403119" w:rsidP="00403119">
      <w:pPr>
        <w:rPr>
          <w:rFonts w:ascii="Calibri" w:hAnsi="Calibri" w:cs="Arial"/>
          <w:sz w:val="24"/>
        </w:rPr>
      </w:pPr>
    </w:p>
    <w:p w14:paraId="0256C90D" w14:textId="5DA658C3" w:rsidR="000139F5" w:rsidRPr="00960187" w:rsidRDefault="000139F5" w:rsidP="000139F5">
      <w:pPr>
        <w:pStyle w:val="NormlnKZ"/>
      </w:pPr>
      <w:r w:rsidRPr="00960187">
        <w:lastRenderedPageBreak/>
        <w:t>MMR členům vlády v</w:t>
      </w:r>
      <w:r w:rsidR="006705A8" w:rsidRPr="00960187">
        <w:t> srpnu 2012</w:t>
      </w:r>
      <w:r w:rsidRPr="00960187">
        <w:t xml:space="preserve"> prezentovalo </w:t>
      </w:r>
      <w:r w:rsidR="007A3724" w:rsidRPr="00960187">
        <w:t xml:space="preserve">předpokládané </w:t>
      </w:r>
      <w:r w:rsidRPr="00960187">
        <w:t>přínosy pořízení nového monitorovacího systému</w:t>
      </w:r>
      <w:r w:rsidRPr="00960187">
        <w:rPr>
          <w:rStyle w:val="Znakapoznpodarou"/>
        </w:rPr>
        <w:footnoteReference w:id="22"/>
      </w:r>
      <w:r w:rsidRPr="00960187">
        <w:t xml:space="preserve">. Dosažení přínosu v podobě snížení nákladů na informační systémy pro monitorování fondů EU v rámci celé ČR je nejisté. Dalším z těchto přínosů </w:t>
      </w:r>
      <w:r w:rsidR="0095590A" w:rsidRPr="00960187">
        <w:t>mělo být</w:t>
      </w:r>
      <w:r w:rsidRPr="00960187">
        <w:t xml:space="preserve"> snížení finanční zátěže státního rozpočtu</w:t>
      </w:r>
      <w:r w:rsidR="00670A00" w:rsidRPr="00960187">
        <w:t xml:space="preserve"> spolufinancováním </w:t>
      </w:r>
      <w:r w:rsidR="00D5144A" w:rsidRPr="00960187">
        <w:t>projektů na pořízení a provoz</w:t>
      </w:r>
      <w:r w:rsidR="00670A00" w:rsidRPr="00960187">
        <w:t xml:space="preserve"> informační</w:t>
      </w:r>
      <w:r w:rsidR="00D5144A" w:rsidRPr="00960187">
        <w:t>ho</w:t>
      </w:r>
      <w:r w:rsidR="00670A00" w:rsidRPr="00960187">
        <w:t xml:space="preserve"> systém</w:t>
      </w:r>
      <w:r w:rsidR="00D5144A" w:rsidRPr="00960187">
        <w:t>u</w:t>
      </w:r>
      <w:r w:rsidR="00670A00" w:rsidRPr="00960187">
        <w:t xml:space="preserve"> z rozpočtu EU</w:t>
      </w:r>
      <w:r w:rsidRPr="00960187">
        <w:t xml:space="preserve">. V důsledku nesrovnalostí a následných finančních oprav výdajů na vytvoření a provoz MS2014+ se </w:t>
      </w:r>
      <w:r w:rsidR="00670A00" w:rsidRPr="00960187">
        <w:t xml:space="preserve">však </w:t>
      </w:r>
      <w:r w:rsidR="00E86114" w:rsidRPr="00960187">
        <w:t xml:space="preserve">u těchto projektů snížila </w:t>
      </w:r>
      <w:r w:rsidRPr="00960187">
        <w:t>míra spolufinancování</w:t>
      </w:r>
      <w:r w:rsidR="00D5144A" w:rsidRPr="00960187">
        <w:t xml:space="preserve"> </w:t>
      </w:r>
      <w:r w:rsidR="005E5724" w:rsidRPr="00960187">
        <w:t>z </w:t>
      </w:r>
      <w:r w:rsidRPr="00960187">
        <w:t xml:space="preserve">rozpočtu EU </w:t>
      </w:r>
      <w:r w:rsidR="00C763D8" w:rsidRPr="00960187">
        <w:t>z </w:t>
      </w:r>
      <w:r w:rsidRPr="00960187">
        <w:t>plánovaných 85</w:t>
      </w:r>
      <w:r w:rsidR="00E86114" w:rsidRPr="00960187">
        <w:t> </w:t>
      </w:r>
      <w:r w:rsidRPr="00960187">
        <w:t xml:space="preserve">% na </w:t>
      </w:r>
      <w:r w:rsidR="00140032" w:rsidRPr="00960187">
        <w:t>cca</w:t>
      </w:r>
      <w:r w:rsidR="00320167" w:rsidRPr="00960187">
        <w:t xml:space="preserve"> </w:t>
      </w:r>
      <w:r w:rsidRPr="00960187">
        <w:t>57 %, přičemž vzniklý rozdíl ve výši 216</w:t>
      </w:r>
      <w:r w:rsidR="00140032" w:rsidRPr="00960187">
        <w:t>,39</w:t>
      </w:r>
      <w:r w:rsidR="00AA5821" w:rsidRPr="00960187">
        <w:t> </w:t>
      </w:r>
      <w:r w:rsidR="00140032" w:rsidRPr="00960187">
        <w:t>mil</w:t>
      </w:r>
      <w:r w:rsidRPr="00960187">
        <w:t>.</w:t>
      </w:r>
      <w:r w:rsidR="00AA5821" w:rsidRPr="00960187">
        <w:t> </w:t>
      </w:r>
      <w:r w:rsidRPr="00960187">
        <w:t xml:space="preserve">Kč jde </w:t>
      </w:r>
      <w:r w:rsidR="0095590A" w:rsidRPr="00960187">
        <w:t xml:space="preserve">zatím plně </w:t>
      </w:r>
      <w:r w:rsidRPr="00960187">
        <w:t xml:space="preserve">k tíži státního rozpočtu. </w:t>
      </w:r>
      <w:r w:rsidR="00D5144A" w:rsidRPr="00960187">
        <w:t xml:space="preserve">Navíc výdaje na provozní podporu a rozvoj aplikace MS2014+ a výdaje na provozní služby spojené s udržováním prostředí aplikace MS2014+ od roku 2016 byly do doby ukončení kontroly NKÚ zatím plně financovány ze zdrojů státního rozpočtu. Tyto výdaje činily </w:t>
      </w:r>
      <w:r w:rsidR="00D76708" w:rsidRPr="00960187">
        <w:t>do konce srpna 2016</w:t>
      </w:r>
      <w:r w:rsidR="00D5144A" w:rsidRPr="00960187">
        <w:t xml:space="preserve"> celkem 109,28 mil. Kč.</w:t>
      </w:r>
    </w:p>
    <w:p w14:paraId="6320F75B" w14:textId="77777777" w:rsidR="00403119" w:rsidRPr="00960187" w:rsidRDefault="00403119" w:rsidP="00403119">
      <w:pPr>
        <w:rPr>
          <w:rFonts w:ascii="Calibri" w:hAnsi="Calibri" w:cs="Calibri"/>
          <w:sz w:val="24"/>
        </w:rPr>
      </w:pPr>
    </w:p>
    <w:p w14:paraId="46494AAF" w14:textId="6A15E447" w:rsidR="00383BBA" w:rsidRDefault="00480A13" w:rsidP="00333C1A">
      <w:pPr>
        <w:pStyle w:val="NormlnKZ"/>
      </w:pPr>
      <w:r w:rsidRPr="00205E1C">
        <w:t>Česká republika ve třetím programovém období pořídila další informační systém pro</w:t>
      </w:r>
      <w:r w:rsidR="00AA5821">
        <w:t xml:space="preserve"> </w:t>
      </w:r>
      <w:r w:rsidRPr="00205E1C">
        <w:t xml:space="preserve">monitorování evropských prostředků, </w:t>
      </w:r>
      <w:r w:rsidR="00E86114">
        <w:t xml:space="preserve">přičemž </w:t>
      </w:r>
      <w:r w:rsidRPr="00205E1C">
        <w:t>na jeho pořízení, rozvoj, provoz a</w:t>
      </w:r>
      <w:r w:rsidR="00E86114">
        <w:t xml:space="preserve"> na</w:t>
      </w:r>
      <w:r w:rsidRPr="00205E1C">
        <w:t xml:space="preserve"> vyškolení osob, které </w:t>
      </w:r>
      <w:r w:rsidR="00E86114">
        <w:t xml:space="preserve">se </w:t>
      </w:r>
      <w:r w:rsidRPr="00205E1C">
        <w:t>systém</w:t>
      </w:r>
      <w:r w:rsidR="00E86114">
        <w:t>em</w:t>
      </w:r>
      <w:r w:rsidRPr="00205E1C">
        <w:t xml:space="preserve"> pracují, vynaložila nemalou částku. </w:t>
      </w:r>
      <w:r w:rsidR="00383BBA">
        <w:t>V případě změny způsobu podpory z prostředků EU</w:t>
      </w:r>
      <w:r w:rsidR="00E86114">
        <w:t>,</w:t>
      </w:r>
      <w:r w:rsidR="00383BBA">
        <w:t xml:space="preserve"> např. prostřednictvím finančních nástrojů</w:t>
      </w:r>
      <w:r w:rsidR="00092B53">
        <w:t>,</w:t>
      </w:r>
      <w:r w:rsidR="00383BBA">
        <w:t xml:space="preserve"> vznikne riziko, že </w:t>
      </w:r>
      <w:r w:rsidR="00383BBA" w:rsidRPr="00205E1C">
        <w:t>v následujícím programovém období budou opět investovány prostředky do</w:t>
      </w:r>
      <w:r w:rsidR="00E86114">
        <w:t xml:space="preserve"> </w:t>
      </w:r>
      <w:r w:rsidR="00383BBA" w:rsidRPr="00205E1C">
        <w:t>nového monitorovacího systému.</w:t>
      </w:r>
    </w:p>
    <w:p w14:paraId="37F91829" w14:textId="760FBEDA" w:rsidR="004D7D1E" w:rsidRDefault="004D7D1E" w:rsidP="00333C1A">
      <w:pPr>
        <w:pStyle w:val="NormlnKZ"/>
      </w:pPr>
    </w:p>
    <w:p w14:paraId="0581EB4A" w14:textId="29786301" w:rsidR="004D7D1E" w:rsidRPr="00B81CDC" w:rsidRDefault="004D7D1E" w:rsidP="004D7D1E">
      <w:pPr>
        <w:pStyle w:val="NormlnKZ"/>
        <w:spacing w:after="120"/>
      </w:pPr>
      <w:r>
        <w:t>MMR v rámci monitorování implementace programů prezentuje v měsíčních aktualizacích souhrnná data za všechny programy období 2014</w:t>
      </w:r>
      <w:r w:rsidR="009F4843">
        <w:t>–</w:t>
      </w:r>
      <w:r>
        <w:t>2020. S</w:t>
      </w:r>
      <w:r w:rsidRPr="005440B5">
        <w:t xml:space="preserve">távající čerpání podpory z ESI fondů na </w:t>
      </w:r>
      <w:r w:rsidRPr="00B81CDC">
        <w:t>konci</w:t>
      </w:r>
      <w:r w:rsidRPr="005440B5">
        <w:t xml:space="preserve"> třetího roku programového období 2014</w:t>
      </w:r>
      <w:r w:rsidR="009F4843">
        <w:t>–</w:t>
      </w:r>
      <w:r w:rsidRPr="005440B5">
        <w:t>2020</w:t>
      </w:r>
      <w:r>
        <w:t xml:space="preserve"> je </w:t>
      </w:r>
      <w:r w:rsidRPr="00F7153F">
        <w:t xml:space="preserve">na </w:t>
      </w:r>
      <w:r>
        <w:t>významně</w:t>
      </w:r>
      <w:r w:rsidRPr="00F7153F">
        <w:t xml:space="preserve"> nižší úrovni</w:t>
      </w:r>
      <w:r>
        <w:t xml:space="preserve"> ve srovnání se stejným časovým úsekem programového</w:t>
      </w:r>
      <w:r w:rsidRPr="00F7153F">
        <w:t xml:space="preserve"> období 2007</w:t>
      </w:r>
      <w:r w:rsidR="009F4843">
        <w:t>–</w:t>
      </w:r>
      <w:r w:rsidRPr="00F7153F">
        <w:t>2013.</w:t>
      </w:r>
      <w:r>
        <w:t xml:space="preserve"> Peněžní</w:t>
      </w:r>
      <w:r w:rsidRPr="00B81CDC">
        <w:t xml:space="preserve"> prostředky ve výši 86,65 mld. Kč </w:t>
      </w:r>
      <w:proofErr w:type="spellStart"/>
      <w:r w:rsidRPr="00B81CDC">
        <w:t>zasmluvněné</w:t>
      </w:r>
      <w:proofErr w:type="spellEnd"/>
      <w:r w:rsidRPr="00B81CDC">
        <w:t xml:space="preserve"> </w:t>
      </w:r>
      <w:r>
        <w:t xml:space="preserve">k 31. 12. 2016 </w:t>
      </w:r>
      <w:r w:rsidRPr="00B81CDC">
        <w:t xml:space="preserve">na základě vydání </w:t>
      </w:r>
      <w:r>
        <w:t>necelých 70 </w:t>
      </w:r>
      <w:r w:rsidR="00CE46A8">
        <w:t xml:space="preserve">000 </w:t>
      </w:r>
      <w:r w:rsidRPr="00B81CDC">
        <w:t>právních aktů</w:t>
      </w:r>
      <w:r>
        <w:t xml:space="preserve"> (rozhodnutí </w:t>
      </w:r>
      <w:r w:rsidRPr="00205E1C">
        <w:t xml:space="preserve">nebo </w:t>
      </w:r>
      <w:r w:rsidR="00ED44E8" w:rsidRPr="00205E1C">
        <w:t>smluv o</w:t>
      </w:r>
      <w:r w:rsidR="00ED44E8">
        <w:t xml:space="preserve"> </w:t>
      </w:r>
      <w:r>
        <w:t>poskytnutí podpory)</w:t>
      </w:r>
      <w:r w:rsidRPr="00B81CDC">
        <w:t xml:space="preserve"> představují pouhých </w:t>
      </w:r>
      <w:r>
        <w:t>14,2</w:t>
      </w:r>
      <w:r w:rsidR="007E6611">
        <w:t> </w:t>
      </w:r>
      <w:r w:rsidRPr="00B81CDC">
        <w:t xml:space="preserve">% </w:t>
      </w:r>
      <w:r>
        <w:t>hlavní alokac</w:t>
      </w:r>
      <w:r w:rsidR="006C0867">
        <w:t>e</w:t>
      </w:r>
      <w:r>
        <w:t xml:space="preserve"> </w:t>
      </w:r>
      <w:r>
        <w:rPr>
          <w:i/>
        </w:rPr>
        <w:t>Dohody</w:t>
      </w:r>
      <w:r w:rsidRPr="003E6271">
        <w:rPr>
          <w:i/>
        </w:rPr>
        <w:t xml:space="preserve"> o partnerství pro programové období 2014</w:t>
      </w:r>
      <w:r w:rsidR="009F4843">
        <w:rPr>
          <w:i/>
        </w:rPr>
        <w:t>–</w:t>
      </w:r>
      <w:r w:rsidRPr="003E6271">
        <w:rPr>
          <w:i/>
        </w:rPr>
        <w:t>2020</w:t>
      </w:r>
      <w:r>
        <w:t>.</w:t>
      </w:r>
      <w:r w:rsidRPr="00B81CDC">
        <w:t xml:space="preserve"> </w:t>
      </w:r>
      <w:r>
        <w:t>Podíl peněžních</w:t>
      </w:r>
      <w:r w:rsidRPr="00B81CDC">
        <w:t xml:space="preserve"> prostředků </w:t>
      </w:r>
      <w:r>
        <w:t>vyčerpaných, tj.</w:t>
      </w:r>
      <w:r w:rsidRPr="00B81CDC">
        <w:t xml:space="preserve"> </w:t>
      </w:r>
      <w:r>
        <w:t xml:space="preserve">vyúčtovaných </w:t>
      </w:r>
      <w:r w:rsidRPr="00B81CDC">
        <w:t>v</w:t>
      </w:r>
      <w:r>
        <w:t> </w:t>
      </w:r>
      <w:r w:rsidRPr="00B81CDC">
        <w:t>žádostech o platbu</w:t>
      </w:r>
      <w:r w:rsidR="006C0867">
        <w:t>, dosáhl</w:t>
      </w:r>
      <w:r w:rsidRPr="00B81CDC">
        <w:t xml:space="preserve"> </w:t>
      </w:r>
      <w:r>
        <w:t>ke stejnému datu</w:t>
      </w:r>
      <w:r w:rsidRPr="00B81CDC">
        <w:t xml:space="preserve"> jen </w:t>
      </w:r>
      <w:r>
        <w:t>3,6</w:t>
      </w:r>
      <w:r w:rsidRPr="00B81CDC">
        <w:t xml:space="preserve"> % v poměru k hlavní alokaci</w:t>
      </w:r>
      <w:r>
        <w:rPr>
          <w:rStyle w:val="Znakapoznpodarou"/>
        </w:rPr>
        <w:footnoteReference w:id="23"/>
      </w:r>
      <w:r>
        <w:t xml:space="preserve">. </w:t>
      </w:r>
    </w:p>
    <w:p w14:paraId="642C2E60" w14:textId="181CD7E9" w:rsidR="004D7D1E" w:rsidRDefault="004D7D1E" w:rsidP="005E5724">
      <w:pPr>
        <w:pStyle w:val="NormlnKZ"/>
      </w:pPr>
      <w:r>
        <w:t>Nižší objem prostředků v uzavřených právních aktech i nižší míra čerpání v období 2014</w:t>
      </w:r>
      <w:r w:rsidR="007E6611">
        <w:t>–</w:t>
      </w:r>
      <w:r>
        <w:t>2020 ve srovnání s obdobím předchozím j</w:t>
      </w:r>
      <w:r w:rsidR="007E6611">
        <w:t>sou</w:t>
      </w:r>
      <w:r>
        <w:t xml:space="preserve"> patrn</w:t>
      </w:r>
      <w:r w:rsidR="007E6611">
        <w:t>é</w:t>
      </w:r>
      <w:r>
        <w:t xml:space="preserve"> i při zohlednění půlroční časové prodlevy schvalování programů předložených Českou republikou. </w:t>
      </w:r>
      <w:r w:rsidR="00E57332">
        <w:t>Komise</w:t>
      </w:r>
      <w:r>
        <w:t xml:space="preserve"> ukončila tento schvalovací proces až v červnu 2015. Bližší podrobnosti uvádí graf č. 1.</w:t>
      </w:r>
    </w:p>
    <w:p w14:paraId="1B1BA8C9" w14:textId="56D4C160" w:rsidR="004D7D1E" w:rsidRDefault="004D7D1E" w:rsidP="005E5724">
      <w:pPr>
        <w:pStyle w:val="NormlnKZ"/>
      </w:pPr>
    </w:p>
    <w:p w14:paraId="0F26E7FC" w14:textId="3A0F1811" w:rsidR="004D7D1E" w:rsidRDefault="0030108B" w:rsidP="0030108B">
      <w:pPr>
        <w:pStyle w:val="NormlnKZ"/>
        <w:keepNext/>
        <w:spacing w:after="120"/>
        <w:rPr>
          <w:rFonts w:cs="Arial"/>
          <w:sz w:val="20"/>
          <w:szCs w:val="20"/>
        </w:rPr>
      </w:pPr>
      <w:r w:rsidRPr="00E17720">
        <w:rPr>
          <w:b/>
          <w:noProof/>
        </w:rPr>
        <w:lastRenderedPageBreak/>
        <w:drawing>
          <wp:anchor distT="0" distB="0" distL="114300" distR="114300" simplePos="0" relativeHeight="251655680" behindDoc="0" locked="0" layoutInCell="1" allowOverlap="1" wp14:anchorId="16028BBE" wp14:editId="1FD0E91F">
            <wp:simplePos x="0" y="0"/>
            <wp:positionH relativeFrom="column">
              <wp:posOffset>-38100</wp:posOffset>
            </wp:positionH>
            <wp:positionV relativeFrom="paragraph">
              <wp:posOffset>243662</wp:posOffset>
            </wp:positionV>
            <wp:extent cx="5760720" cy="3225800"/>
            <wp:effectExtent l="0" t="0" r="0" b="0"/>
            <wp:wrapTopAndBottom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7D1E">
        <w:rPr>
          <w:b/>
        </w:rPr>
        <w:t>Graf</w:t>
      </w:r>
      <w:r w:rsidR="004D7D1E" w:rsidRPr="004E49C2">
        <w:rPr>
          <w:b/>
        </w:rPr>
        <w:t xml:space="preserve"> č. 1 – Porovnání míry čerpání ve třetím roce programových období</w:t>
      </w:r>
    </w:p>
    <w:p w14:paraId="6B590BEE" w14:textId="77777777" w:rsidR="00685AD4" w:rsidRDefault="00685AD4" w:rsidP="00685AD4">
      <w:pPr>
        <w:pStyle w:val="NormlnKZ"/>
        <w:keepNext/>
        <w:spacing w:line="144" w:lineRule="auto"/>
        <w:ind w:left="567" w:hanging="567"/>
        <w:rPr>
          <w:rFonts w:cs="Arial"/>
          <w:b/>
          <w:sz w:val="20"/>
          <w:szCs w:val="20"/>
        </w:rPr>
      </w:pPr>
    </w:p>
    <w:p w14:paraId="629E7487" w14:textId="1FE9C45D" w:rsidR="004D7D1E" w:rsidRPr="00C65A6E" w:rsidRDefault="004D7D1E" w:rsidP="00685AD4">
      <w:pPr>
        <w:pStyle w:val="NormlnKZ"/>
        <w:keepNext/>
        <w:ind w:left="567" w:hanging="567"/>
        <w:rPr>
          <w:rFonts w:cs="Arial"/>
          <w:sz w:val="20"/>
          <w:szCs w:val="20"/>
        </w:rPr>
      </w:pPr>
      <w:r w:rsidRPr="00E17720">
        <w:rPr>
          <w:rFonts w:cs="Arial"/>
          <w:b/>
          <w:sz w:val="20"/>
          <w:szCs w:val="20"/>
        </w:rPr>
        <w:t>Zdroj:</w:t>
      </w:r>
      <w:r>
        <w:rPr>
          <w:rFonts w:cs="Arial"/>
          <w:sz w:val="20"/>
          <w:szCs w:val="20"/>
        </w:rPr>
        <w:tab/>
      </w:r>
      <w:r w:rsidR="003277A7">
        <w:rPr>
          <w:rFonts w:cs="Arial"/>
          <w:sz w:val="20"/>
          <w:szCs w:val="20"/>
        </w:rPr>
        <w:t>m</w:t>
      </w:r>
      <w:r>
        <w:rPr>
          <w:rFonts w:cs="Arial"/>
          <w:sz w:val="20"/>
          <w:szCs w:val="20"/>
        </w:rPr>
        <w:t xml:space="preserve">ěsíční monitorovací zprávy MMR za červen 2009 a prosinec 2009; </w:t>
      </w:r>
      <w:r w:rsidR="003277A7">
        <w:rPr>
          <w:rFonts w:cs="Arial"/>
          <w:sz w:val="20"/>
          <w:szCs w:val="20"/>
        </w:rPr>
        <w:t>č</w:t>
      </w:r>
      <w:r>
        <w:rPr>
          <w:rFonts w:cs="Arial"/>
          <w:sz w:val="20"/>
          <w:szCs w:val="20"/>
        </w:rPr>
        <w:t>tvrtletní zpráv</w:t>
      </w:r>
      <w:r w:rsidR="003277A7">
        <w:rPr>
          <w:rFonts w:cs="Arial"/>
          <w:sz w:val="20"/>
          <w:szCs w:val="20"/>
        </w:rPr>
        <w:t>y</w:t>
      </w:r>
      <w:r>
        <w:rPr>
          <w:rFonts w:cs="Arial"/>
          <w:sz w:val="20"/>
          <w:szCs w:val="20"/>
        </w:rPr>
        <w:t xml:space="preserve"> o </w:t>
      </w:r>
      <w:r w:rsidRPr="00C65A6E">
        <w:rPr>
          <w:rFonts w:cs="Arial"/>
          <w:sz w:val="20"/>
          <w:szCs w:val="20"/>
        </w:rPr>
        <w:t>implementaci ESI</w:t>
      </w:r>
      <w:r w:rsidR="00F60A23">
        <w:rPr>
          <w:rFonts w:cs="Arial"/>
          <w:sz w:val="20"/>
          <w:szCs w:val="20"/>
        </w:rPr>
        <w:t> </w:t>
      </w:r>
      <w:r w:rsidRPr="00C65A6E">
        <w:rPr>
          <w:rFonts w:cs="Arial"/>
          <w:sz w:val="20"/>
          <w:szCs w:val="20"/>
        </w:rPr>
        <w:t>fondů v České republice</w:t>
      </w:r>
      <w:r>
        <w:rPr>
          <w:rFonts w:cs="Arial"/>
          <w:sz w:val="20"/>
          <w:szCs w:val="20"/>
        </w:rPr>
        <w:t xml:space="preserve"> </w:t>
      </w:r>
      <w:r w:rsidRPr="00C65A6E">
        <w:rPr>
          <w:rFonts w:cs="Arial"/>
          <w:sz w:val="20"/>
          <w:szCs w:val="20"/>
        </w:rPr>
        <w:t>v programovém období 2014–2020</w:t>
      </w:r>
      <w:r>
        <w:rPr>
          <w:rFonts w:cs="Arial"/>
          <w:sz w:val="20"/>
          <w:szCs w:val="20"/>
        </w:rPr>
        <w:t xml:space="preserve"> za II. a IV. čtvrtletí 2016</w:t>
      </w:r>
      <w:r w:rsidR="0073164E">
        <w:rPr>
          <w:rFonts w:cs="Arial"/>
          <w:sz w:val="20"/>
          <w:szCs w:val="20"/>
        </w:rPr>
        <w:t>.</w:t>
      </w:r>
    </w:p>
    <w:p w14:paraId="73E951E8" w14:textId="4AE9B7D8" w:rsidR="004D7D1E" w:rsidRPr="00F9123A" w:rsidRDefault="004D7D1E" w:rsidP="003277A7">
      <w:pPr>
        <w:spacing w:after="120"/>
        <w:ind w:left="567" w:hanging="567"/>
        <w:rPr>
          <w:rFonts w:ascii="Calibri" w:hAnsi="Calibri" w:cs="Arial"/>
          <w:sz w:val="20"/>
          <w:szCs w:val="20"/>
        </w:rPr>
      </w:pPr>
      <w:r w:rsidRPr="00E17720">
        <w:rPr>
          <w:rFonts w:ascii="Calibri" w:hAnsi="Calibri" w:cs="Arial"/>
          <w:b/>
          <w:sz w:val="20"/>
          <w:szCs w:val="20"/>
        </w:rPr>
        <w:t>Pozn</w:t>
      </w:r>
      <w:r w:rsidR="00342E61">
        <w:rPr>
          <w:rFonts w:ascii="Calibri" w:hAnsi="Calibri" w:cs="Arial"/>
          <w:b/>
          <w:sz w:val="20"/>
          <w:szCs w:val="20"/>
        </w:rPr>
        <w:t>.</w:t>
      </w:r>
      <w:r w:rsidRPr="00E17720">
        <w:rPr>
          <w:rFonts w:ascii="Calibri" w:hAnsi="Calibri" w:cs="Arial"/>
          <w:b/>
          <w:sz w:val="20"/>
          <w:szCs w:val="20"/>
        </w:rPr>
        <w:t>:</w:t>
      </w:r>
      <w:r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ab/>
        <w:t>Stav nasmlouvaných a vyčerpaných prostředků</w:t>
      </w:r>
      <w:r w:rsidR="00205E1C">
        <w:rPr>
          <w:rFonts w:ascii="Calibri" w:hAnsi="Calibri" w:cs="Arial"/>
          <w:sz w:val="20"/>
          <w:szCs w:val="20"/>
        </w:rPr>
        <w:t xml:space="preserve"> (vyúčtováno příjemci v žádostech o platbu) </w:t>
      </w:r>
      <w:r>
        <w:rPr>
          <w:rFonts w:ascii="Calibri" w:hAnsi="Calibri" w:cs="Arial"/>
          <w:sz w:val="20"/>
          <w:szCs w:val="20"/>
        </w:rPr>
        <w:t>v období 2014</w:t>
      </w:r>
      <w:r w:rsidR="003277A7">
        <w:rPr>
          <w:rFonts w:ascii="Calibri" w:hAnsi="Calibri" w:cs="Arial"/>
          <w:sz w:val="20"/>
          <w:szCs w:val="20"/>
        </w:rPr>
        <w:t>–</w:t>
      </w:r>
      <w:r>
        <w:rPr>
          <w:rFonts w:ascii="Calibri" w:hAnsi="Calibri" w:cs="Arial"/>
          <w:sz w:val="20"/>
          <w:szCs w:val="20"/>
        </w:rPr>
        <w:t xml:space="preserve">2020 je vztažen k hlavní </w:t>
      </w:r>
      <w:r w:rsidRPr="00205E1C">
        <w:rPr>
          <w:rFonts w:ascii="Calibri" w:hAnsi="Calibri" w:cs="Arial"/>
          <w:sz w:val="20"/>
          <w:szCs w:val="20"/>
        </w:rPr>
        <w:t>alokaci</w:t>
      </w:r>
      <w:r w:rsidR="00741F51" w:rsidRPr="00205E1C">
        <w:rPr>
          <w:rFonts w:ascii="Calibri" w:hAnsi="Calibri" w:cs="Arial"/>
          <w:sz w:val="20"/>
          <w:szCs w:val="20"/>
        </w:rPr>
        <w:t xml:space="preserve"> a je uveden pouze za zdroj EU</w:t>
      </w:r>
      <w:r w:rsidRPr="00205E1C">
        <w:rPr>
          <w:rFonts w:ascii="Calibri" w:hAnsi="Calibri" w:cs="Arial"/>
          <w:sz w:val="20"/>
          <w:szCs w:val="20"/>
        </w:rPr>
        <w:t>.</w:t>
      </w:r>
    </w:p>
    <w:p w14:paraId="58F81C94" w14:textId="77777777" w:rsidR="004D7D1E" w:rsidRDefault="004D7D1E" w:rsidP="004D7D1E">
      <w:pPr>
        <w:rPr>
          <w:rFonts w:ascii="Calibri" w:hAnsi="Calibri" w:cs="Arial"/>
          <w:sz w:val="24"/>
        </w:rPr>
      </w:pPr>
    </w:p>
    <w:p w14:paraId="68F23221" w14:textId="7E837A51" w:rsidR="004D7D1E" w:rsidRDefault="004D7D1E" w:rsidP="004D7D1E">
      <w:pPr>
        <w:pStyle w:val="NormlnKZ"/>
        <w:rPr>
          <w:rFonts w:eastAsia="Calibri"/>
          <w:shd w:val="clear" w:color="auto" w:fill="FFFF00"/>
        </w:rPr>
      </w:pPr>
      <w:r w:rsidRPr="00205E1C">
        <w:rPr>
          <w:rFonts w:eastAsia="Calibri"/>
        </w:rPr>
        <w:t xml:space="preserve">Porovnání </w:t>
      </w:r>
      <w:r w:rsidR="003277A7">
        <w:rPr>
          <w:rFonts w:eastAsia="Calibri"/>
        </w:rPr>
        <w:t>některých</w:t>
      </w:r>
      <w:r w:rsidR="00741F51" w:rsidRPr="00205E1C">
        <w:rPr>
          <w:rFonts w:eastAsia="Calibri"/>
        </w:rPr>
        <w:t xml:space="preserve"> </w:t>
      </w:r>
      <w:r w:rsidRPr="00205E1C">
        <w:rPr>
          <w:rFonts w:eastAsia="Calibri"/>
        </w:rPr>
        <w:t>srovnatelný</w:t>
      </w:r>
      <w:r w:rsidR="003277A7">
        <w:rPr>
          <w:rFonts w:eastAsia="Calibri"/>
        </w:rPr>
        <w:t>ch</w:t>
      </w:r>
      <w:r w:rsidRPr="00205E1C">
        <w:rPr>
          <w:rFonts w:eastAsia="Calibri"/>
        </w:rPr>
        <w:t xml:space="preserve"> operační</w:t>
      </w:r>
      <w:r w:rsidR="003277A7">
        <w:rPr>
          <w:rFonts w:eastAsia="Calibri"/>
        </w:rPr>
        <w:t>ch</w:t>
      </w:r>
      <w:r w:rsidRPr="00205E1C">
        <w:rPr>
          <w:rFonts w:eastAsia="Calibri"/>
        </w:rPr>
        <w:t xml:space="preserve"> program</w:t>
      </w:r>
      <w:r w:rsidR="003277A7">
        <w:rPr>
          <w:rFonts w:eastAsia="Calibri"/>
        </w:rPr>
        <w:t>ů</w:t>
      </w:r>
      <w:r w:rsidRPr="00205E1C">
        <w:rPr>
          <w:rFonts w:eastAsia="Calibri"/>
        </w:rPr>
        <w:t xml:space="preserve"> je uvedeno v grafu č. 2, v</w:t>
      </w:r>
      <w:r w:rsidR="007E15AD">
        <w:rPr>
          <w:rFonts w:eastAsia="Calibri"/>
        </w:rPr>
        <w:t xml:space="preserve"> </w:t>
      </w:r>
      <w:r w:rsidRPr="00205E1C">
        <w:rPr>
          <w:rFonts w:eastAsia="Calibri"/>
        </w:rPr>
        <w:t xml:space="preserve">němž jsou uvedeny podíly </w:t>
      </w:r>
      <w:proofErr w:type="spellStart"/>
      <w:r w:rsidRPr="00205E1C">
        <w:rPr>
          <w:rFonts w:eastAsia="Calibri"/>
        </w:rPr>
        <w:t>zasmluvněných</w:t>
      </w:r>
      <w:proofErr w:type="spellEnd"/>
      <w:r w:rsidRPr="00205E1C">
        <w:rPr>
          <w:rFonts w:eastAsia="Calibri"/>
        </w:rPr>
        <w:t xml:space="preserve"> prostředků vůči </w:t>
      </w:r>
      <w:r w:rsidR="00A40CFD" w:rsidRPr="00205E1C">
        <w:rPr>
          <w:rFonts w:eastAsia="Calibri"/>
        </w:rPr>
        <w:t xml:space="preserve">hlavní </w:t>
      </w:r>
      <w:r w:rsidRPr="00205E1C">
        <w:rPr>
          <w:rFonts w:eastAsia="Calibri"/>
        </w:rPr>
        <w:t>alokaci</w:t>
      </w:r>
      <w:r w:rsidR="00A40CFD" w:rsidRPr="00205E1C">
        <w:rPr>
          <w:rFonts w:eastAsia="Calibri"/>
        </w:rPr>
        <w:t xml:space="preserve"> ze zdrojů EU</w:t>
      </w:r>
      <w:r w:rsidRPr="00205E1C">
        <w:rPr>
          <w:rFonts w:eastAsia="Calibri"/>
        </w:rPr>
        <w:t xml:space="preserve"> </w:t>
      </w:r>
      <w:r w:rsidR="00E17720" w:rsidRPr="00205E1C">
        <w:rPr>
          <w:rFonts w:eastAsia="Calibri"/>
        </w:rPr>
        <w:t>k datu 31. 12.</w:t>
      </w:r>
      <w:r w:rsidR="007E15AD">
        <w:rPr>
          <w:rFonts w:eastAsia="Calibri"/>
        </w:rPr>
        <w:t> </w:t>
      </w:r>
      <w:r w:rsidR="00E17720" w:rsidRPr="00205E1C">
        <w:rPr>
          <w:rFonts w:eastAsia="Calibri"/>
        </w:rPr>
        <w:t>třetího roku implementace, tj. k 31. 12. 2009 a 31. 12. 2016</w:t>
      </w:r>
      <w:r w:rsidRPr="00205E1C">
        <w:rPr>
          <w:rFonts w:eastAsia="Calibri"/>
        </w:rPr>
        <w:t>.</w:t>
      </w:r>
      <w:r w:rsidR="004B531C" w:rsidRPr="00205E1C">
        <w:rPr>
          <w:rFonts w:eastAsia="Calibri"/>
        </w:rPr>
        <w:t xml:space="preserve"> </w:t>
      </w:r>
      <w:r w:rsidR="00A40CFD" w:rsidRPr="00205E1C">
        <w:rPr>
          <w:rFonts w:eastAsia="Calibri"/>
        </w:rPr>
        <w:t>Z grafu je patrné, že oproti</w:t>
      </w:r>
      <w:r w:rsidR="006E2269">
        <w:rPr>
          <w:rFonts w:eastAsia="Calibri"/>
        </w:rPr>
        <w:t xml:space="preserve"> </w:t>
      </w:r>
      <w:r w:rsidR="00A40CFD" w:rsidRPr="00205E1C">
        <w:rPr>
          <w:rFonts w:eastAsia="Calibri"/>
        </w:rPr>
        <w:t xml:space="preserve">předchozímu období je v oblasti nasmlouvaných prostředků pomalejší </w:t>
      </w:r>
      <w:r w:rsidR="00C04E86" w:rsidRPr="00205E1C">
        <w:rPr>
          <w:rFonts w:eastAsia="Calibri"/>
        </w:rPr>
        <w:t>pokrok implementace</w:t>
      </w:r>
      <w:r w:rsidR="00A40CFD" w:rsidRPr="00205E1C">
        <w:rPr>
          <w:rFonts w:eastAsia="Calibri"/>
        </w:rPr>
        <w:t xml:space="preserve"> s výjimkou operačního programu </w:t>
      </w:r>
      <w:r w:rsidR="00A40CFD" w:rsidRPr="00205E1C">
        <w:rPr>
          <w:rFonts w:eastAsia="Calibri"/>
          <w:i/>
        </w:rPr>
        <w:t>Technická pomoc</w:t>
      </w:r>
      <w:r w:rsidR="00A40CFD" w:rsidRPr="00205E1C">
        <w:rPr>
          <w:rFonts w:eastAsia="Calibri"/>
        </w:rPr>
        <w:t xml:space="preserve">. Nejvýraznější rozdíl je u operačních programů </w:t>
      </w:r>
      <w:r w:rsidR="00A40CFD" w:rsidRPr="00205E1C">
        <w:rPr>
          <w:rFonts w:eastAsia="Calibri"/>
          <w:i/>
        </w:rPr>
        <w:t>Doprava</w:t>
      </w:r>
      <w:r w:rsidR="00A40CFD" w:rsidRPr="00205E1C">
        <w:rPr>
          <w:rFonts w:eastAsia="Calibri"/>
        </w:rPr>
        <w:t xml:space="preserve"> a </w:t>
      </w:r>
      <w:r w:rsidR="00A40CFD" w:rsidRPr="00205E1C">
        <w:rPr>
          <w:rFonts w:eastAsia="Calibri"/>
          <w:i/>
        </w:rPr>
        <w:t>Životní prostředí</w:t>
      </w:r>
      <w:r w:rsidR="00A40CFD" w:rsidRPr="00205E1C">
        <w:rPr>
          <w:rFonts w:eastAsia="Calibri"/>
        </w:rPr>
        <w:t>.</w:t>
      </w:r>
      <w:r w:rsidR="00A40CFD">
        <w:rPr>
          <w:rFonts w:eastAsia="Calibri"/>
          <w:shd w:val="clear" w:color="auto" w:fill="FFFF00"/>
        </w:rPr>
        <w:t xml:space="preserve"> </w:t>
      </w:r>
    </w:p>
    <w:p w14:paraId="37D4AA67" w14:textId="77777777" w:rsidR="004D7D1E" w:rsidRDefault="004D7D1E" w:rsidP="004D7D1E">
      <w:pPr>
        <w:pStyle w:val="NormlnKZ"/>
        <w:rPr>
          <w:rFonts w:eastAsia="Calibri"/>
          <w:shd w:val="clear" w:color="auto" w:fill="FFFF00"/>
        </w:rPr>
      </w:pPr>
    </w:p>
    <w:p w14:paraId="789E4460" w14:textId="2CA0764D" w:rsidR="00E17720" w:rsidRDefault="00E17720" w:rsidP="00E50859">
      <w:pPr>
        <w:pStyle w:val="NormlnKZ"/>
        <w:keepNext/>
        <w:spacing w:after="120"/>
        <w:ind w:left="1134" w:hanging="1134"/>
        <w:rPr>
          <w:rFonts w:cs="Arial"/>
          <w:sz w:val="20"/>
          <w:szCs w:val="20"/>
        </w:rPr>
      </w:pPr>
      <w:r>
        <w:rPr>
          <w:b/>
        </w:rPr>
        <w:lastRenderedPageBreak/>
        <w:t>Graf č. 2</w:t>
      </w:r>
      <w:r w:rsidRPr="004E49C2">
        <w:rPr>
          <w:b/>
        </w:rPr>
        <w:t xml:space="preserve"> – </w:t>
      </w:r>
      <w:r w:rsidRPr="00E17720">
        <w:rPr>
          <w:b/>
        </w:rPr>
        <w:t xml:space="preserve">Objem peněžních prostředků </w:t>
      </w:r>
      <w:r>
        <w:rPr>
          <w:b/>
        </w:rPr>
        <w:t xml:space="preserve">nasmlouvaných </w:t>
      </w:r>
      <w:r w:rsidRPr="00E17720">
        <w:rPr>
          <w:b/>
        </w:rPr>
        <w:t xml:space="preserve">v právních aktech </w:t>
      </w:r>
      <w:r>
        <w:rPr>
          <w:b/>
        </w:rPr>
        <w:t>ve třetím roce programových období</w:t>
      </w:r>
    </w:p>
    <w:p w14:paraId="221772DD" w14:textId="701B159F" w:rsidR="00E17720" w:rsidRDefault="00960DE1" w:rsidP="00960DE1">
      <w:pPr>
        <w:pStyle w:val="NormlnKZ"/>
        <w:jc w:val="center"/>
        <w:rPr>
          <w:rFonts w:eastAsia="Calibri"/>
          <w:shd w:val="clear" w:color="auto" w:fill="FFFF00"/>
        </w:rPr>
      </w:pPr>
      <w:r>
        <w:rPr>
          <w:noProof/>
        </w:rPr>
        <w:drawing>
          <wp:inline distT="0" distB="0" distL="0" distR="0" wp14:anchorId="54FF963E" wp14:editId="243A97E2">
            <wp:extent cx="5728998" cy="3777173"/>
            <wp:effectExtent l="0" t="0" r="508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FC12F5C" w14:textId="780262AB" w:rsidR="00E17720" w:rsidRDefault="00E50859" w:rsidP="00E50859">
      <w:pPr>
        <w:pStyle w:val="NormlnKZ"/>
        <w:ind w:left="567" w:hanging="567"/>
        <w:rPr>
          <w:rFonts w:eastAsia="Calibri"/>
          <w:shd w:val="clear" w:color="auto" w:fill="FFFF00"/>
        </w:rPr>
      </w:pPr>
      <w:r w:rsidRPr="00E17720">
        <w:rPr>
          <w:rFonts w:cs="Arial"/>
          <w:b/>
          <w:sz w:val="20"/>
          <w:szCs w:val="20"/>
        </w:rPr>
        <w:t>Zdroj:</w:t>
      </w:r>
      <w:r>
        <w:rPr>
          <w:rFonts w:cs="Arial"/>
          <w:sz w:val="20"/>
          <w:szCs w:val="20"/>
        </w:rPr>
        <w:tab/>
      </w:r>
      <w:r w:rsidR="00EC6182" w:rsidRPr="00107784">
        <w:rPr>
          <w:i/>
          <w:sz w:val="20"/>
          <w:szCs w:val="20"/>
        </w:rPr>
        <w:t>Měsíční monitorovací zpráva o průběhu čerpání strukturálních fondů, Fondu soudržnosti a národních zdrojů v programovém období 2007–2013 za prosinec 2009</w:t>
      </w:r>
      <w:r w:rsidR="00EC6182">
        <w:rPr>
          <w:sz w:val="20"/>
          <w:szCs w:val="20"/>
        </w:rPr>
        <w:t>;</w:t>
      </w:r>
      <w:r w:rsidRPr="00E50859">
        <w:rPr>
          <w:rFonts w:cs="Arial"/>
          <w:sz w:val="20"/>
          <w:szCs w:val="20"/>
        </w:rPr>
        <w:t xml:space="preserve"> </w:t>
      </w:r>
      <w:r w:rsidRPr="00107784">
        <w:rPr>
          <w:rFonts w:cs="Arial"/>
          <w:i/>
          <w:sz w:val="20"/>
          <w:szCs w:val="20"/>
        </w:rPr>
        <w:t>Čtvrtletní zpráva o implementaci ESI fondů v</w:t>
      </w:r>
      <w:r w:rsidR="00E652B5">
        <w:rPr>
          <w:rFonts w:cs="Arial"/>
          <w:i/>
          <w:sz w:val="20"/>
          <w:szCs w:val="20"/>
        </w:rPr>
        <w:t> </w:t>
      </w:r>
      <w:r w:rsidRPr="00107784">
        <w:rPr>
          <w:rFonts w:cs="Arial"/>
          <w:i/>
          <w:sz w:val="20"/>
          <w:szCs w:val="20"/>
        </w:rPr>
        <w:t>České republice v programovém období 2014</w:t>
      </w:r>
      <w:r w:rsidR="007E15AD">
        <w:rPr>
          <w:rFonts w:cs="Arial"/>
          <w:i/>
          <w:sz w:val="20"/>
          <w:szCs w:val="20"/>
        </w:rPr>
        <w:t>–</w:t>
      </w:r>
      <w:r w:rsidRPr="00107784">
        <w:rPr>
          <w:rFonts w:cs="Arial"/>
          <w:i/>
          <w:sz w:val="20"/>
          <w:szCs w:val="20"/>
        </w:rPr>
        <w:t>2020 za IV. čtvrtletí 2016</w:t>
      </w:r>
      <w:r>
        <w:rPr>
          <w:rFonts w:cs="Arial"/>
          <w:sz w:val="20"/>
          <w:szCs w:val="20"/>
        </w:rPr>
        <w:t>.</w:t>
      </w:r>
    </w:p>
    <w:p w14:paraId="01428E2E" w14:textId="36A88C18" w:rsidR="00E17720" w:rsidRDefault="00E17720" w:rsidP="004D7D1E">
      <w:pPr>
        <w:pStyle w:val="NormlnKZ"/>
        <w:rPr>
          <w:rFonts w:eastAsia="Calibri"/>
          <w:shd w:val="clear" w:color="auto" w:fill="FFFF00"/>
        </w:rPr>
      </w:pPr>
    </w:p>
    <w:p w14:paraId="416D37CD" w14:textId="7246E3A5" w:rsidR="004D7D1E" w:rsidRPr="00373EA9" w:rsidRDefault="004D7D1E" w:rsidP="004D7D1E">
      <w:pPr>
        <w:pStyle w:val="NormlnKZ"/>
      </w:pPr>
      <w:r w:rsidRPr="00205E1C">
        <w:rPr>
          <w:rFonts w:eastAsia="Calibri"/>
        </w:rPr>
        <w:t>Problémový</w:t>
      </w:r>
      <w:r w:rsidR="00E652B5">
        <w:rPr>
          <w:rFonts w:eastAsia="Calibri"/>
        </w:rPr>
        <w:t>m</w:t>
      </w:r>
      <w:r w:rsidRPr="00205E1C">
        <w:rPr>
          <w:rFonts w:eastAsia="Calibri"/>
        </w:rPr>
        <w:t xml:space="preserve"> faktor</w:t>
      </w:r>
      <w:r w:rsidR="00E652B5">
        <w:rPr>
          <w:rFonts w:eastAsia="Calibri"/>
        </w:rPr>
        <w:t>em</w:t>
      </w:r>
      <w:r w:rsidRPr="00205E1C">
        <w:rPr>
          <w:rFonts w:eastAsia="Calibri"/>
        </w:rPr>
        <w:t xml:space="preserve">, </w:t>
      </w:r>
      <w:r w:rsidR="00E652B5">
        <w:rPr>
          <w:rFonts w:eastAsia="Calibri"/>
        </w:rPr>
        <w:t>který</w:t>
      </w:r>
      <w:r w:rsidRPr="00205E1C">
        <w:rPr>
          <w:rFonts w:eastAsia="Calibri"/>
        </w:rPr>
        <w:t xml:space="preserve"> NKÚ identifikoval v provedené kontrole a který ovlivňuje pomalé tempo čerpání v současném programovém období, </w:t>
      </w:r>
      <w:r w:rsidR="00DD7E60">
        <w:rPr>
          <w:rFonts w:eastAsia="Calibri"/>
        </w:rPr>
        <w:t>je především proces hodnocení a </w:t>
      </w:r>
      <w:r w:rsidRPr="00205E1C">
        <w:rPr>
          <w:rFonts w:eastAsia="Calibri"/>
        </w:rPr>
        <w:t xml:space="preserve">schvalování předložených projektů. </w:t>
      </w:r>
      <w:r>
        <w:t>Tuto skutečnost prezentovala též ministryně pro místní rozvoj na jednání Rady pro ESI fondy v březnu 2017</w:t>
      </w:r>
      <w:r w:rsidRPr="005C0DC9">
        <w:rPr>
          <w:vertAlign w:val="superscript"/>
        </w:rPr>
        <w:footnoteReference w:id="24"/>
      </w:r>
      <w:r>
        <w:t xml:space="preserve">. </w:t>
      </w:r>
      <w:r w:rsidR="00E652B5">
        <w:t xml:space="preserve">V součtu </w:t>
      </w:r>
      <w:r w:rsidRPr="004F77C4">
        <w:t xml:space="preserve">za všechny </w:t>
      </w:r>
      <w:r>
        <w:t>programy</w:t>
      </w:r>
      <w:r w:rsidRPr="004F77C4">
        <w:t xml:space="preserve"> od p</w:t>
      </w:r>
      <w:r w:rsidR="00DD7E60">
        <w:t>očátku programového období 2014</w:t>
      </w:r>
      <w:r w:rsidR="00E652B5">
        <w:t>–</w:t>
      </w:r>
      <w:r w:rsidRPr="004F77C4">
        <w:t xml:space="preserve">2020 </w:t>
      </w:r>
      <w:r w:rsidR="00E652B5">
        <w:t>činí</w:t>
      </w:r>
      <w:r w:rsidRPr="004F77C4">
        <w:t xml:space="preserve"> </w:t>
      </w:r>
      <w:r w:rsidR="00E652B5">
        <w:t>p</w:t>
      </w:r>
      <w:r w:rsidR="00E652B5" w:rsidRPr="004F77C4">
        <w:t xml:space="preserve">růměrná délka schvalování žádostí o podporu </w:t>
      </w:r>
      <w:r w:rsidRPr="004F77C4">
        <w:t>198 dnů; celková délka schvalování žádostí se pohybuje mezi 7 a 474 dny.</w:t>
      </w:r>
      <w:r>
        <w:rPr>
          <w:rStyle w:val="Znakapoznpodarou"/>
          <w:rFonts w:cs="Arial"/>
        </w:rPr>
        <w:footnoteReference w:id="25"/>
      </w:r>
      <w:r w:rsidRPr="00373EA9">
        <w:t xml:space="preserve"> </w:t>
      </w:r>
    </w:p>
    <w:p w14:paraId="6A20C066" w14:textId="13961ED6" w:rsidR="004D7D1E" w:rsidRDefault="004D7D1E" w:rsidP="00333C1A">
      <w:pPr>
        <w:pStyle w:val="NormlnKZ"/>
      </w:pPr>
    </w:p>
    <w:p w14:paraId="66CD3189" w14:textId="77E61E37" w:rsidR="004D7D1E" w:rsidRPr="00AA5821" w:rsidRDefault="00E50859" w:rsidP="00C04E86">
      <w:pPr>
        <w:pStyle w:val="NormlnKZ"/>
      </w:pPr>
      <w:r w:rsidRPr="00205E1C">
        <w:t xml:space="preserve">Pro srovnání </w:t>
      </w:r>
      <w:r w:rsidR="00741F51" w:rsidRPr="00205E1C">
        <w:t>aktuálního stavu implementace v období 2014</w:t>
      </w:r>
      <w:r w:rsidR="00E652B5">
        <w:t>–</w:t>
      </w:r>
      <w:r w:rsidR="00741F51" w:rsidRPr="00205E1C">
        <w:t xml:space="preserve">2020 </w:t>
      </w:r>
      <w:r w:rsidRPr="00205E1C">
        <w:t xml:space="preserve">je v grafu č. 3 uveden stav realizace ve všech členských státech EU k datu </w:t>
      </w:r>
      <w:r w:rsidR="00B43D1D" w:rsidRPr="00205E1C">
        <w:t>31. 12. 2016, jak jej sleduje Komise.</w:t>
      </w:r>
      <w:r w:rsidR="00BB233A" w:rsidRPr="00205E1C">
        <w:t xml:space="preserve"> Srovnání je provedeno podle míry </w:t>
      </w:r>
      <w:proofErr w:type="spellStart"/>
      <w:r w:rsidR="00BB233A" w:rsidRPr="00205E1C">
        <w:t>zasmluvněných</w:t>
      </w:r>
      <w:proofErr w:type="spellEnd"/>
      <w:r w:rsidR="00BB233A" w:rsidRPr="00205E1C">
        <w:t xml:space="preserve"> prostředků, neboť systém proplácení (tj. vyčerpané prostředky) je v zemích EU nastaven různě.</w:t>
      </w:r>
      <w:r w:rsidR="00113C92" w:rsidRPr="00205E1C">
        <w:t xml:space="preserve"> Rozdíln</w:t>
      </w:r>
      <w:r w:rsidR="002E19C7">
        <w:t>é</w:t>
      </w:r>
      <w:r w:rsidR="00113C92" w:rsidRPr="00205E1C">
        <w:t xml:space="preserve"> </w:t>
      </w:r>
      <w:r w:rsidR="002E19C7">
        <w:t>hodnoty</w:t>
      </w:r>
      <w:r w:rsidR="00A40CFD" w:rsidRPr="00205E1C">
        <w:t xml:space="preserve"> </w:t>
      </w:r>
      <w:proofErr w:type="spellStart"/>
      <w:r w:rsidR="00113C92" w:rsidRPr="00205E1C">
        <w:t>zasmluvněných</w:t>
      </w:r>
      <w:proofErr w:type="spellEnd"/>
      <w:r w:rsidR="00A40CFD" w:rsidRPr="00205E1C">
        <w:t xml:space="preserve"> a vyčerpaných</w:t>
      </w:r>
      <w:r w:rsidR="00113C92" w:rsidRPr="00205E1C">
        <w:t xml:space="preserve"> prostředků </w:t>
      </w:r>
      <w:r w:rsidR="002E19C7">
        <w:t>v ČR</w:t>
      </w:r>
      <w:r w:rsidR="00C04E86" w:rsidRPr="00205E1C">
        <w:t xml:space="preserve"> </w:t>
      </w:r>
      <w:r w:rsidR="00113C92" w:rsidRPr="00205E1C">
        <w:t>uveden</w:t>
      </w:r>
      <w:r w:rsidR="002E19C7">
        <w:t>é</w:t>
      </w:r>
      <w:r w:rsidR="00113C92" w:rsidRPr="00205E1C">
        <w:t xml:space="preserve"> v graf</w:t>
      </w:r>
      <w:r w:rsidR="002E19C7">
        <w:t>ech</w:t>
      </w:r>
      <w:r w:rsidR="00113C92" w:rsidRPr="00205E1C">
        <w:t xml:space="preserve"> č. 1 a č. 3 j</w:t>
      </w:r>
      <w:r w:rsidR="002E19C7">
        <w:t>sou</w:t>
      </w:r>
      <w:r w:rsidR="00113C92" w:rsidRPr="00205E1C">
        <w:t xml:space="preserve"> dán</w:t>
      </w:r>
      <w:r w:rsidR="002E19C7">
        <w:t>y</w:t>
      </w:r>
      <w:r w:rsidR="00113C92" w:rsidRPr="00205E1C">
        <w:t xml:space="preserve"> rozdílným způsobem výpočtu</w:t>
      </w:r>
      <w:r w:rsidR="00F9273D" w:rsidRPr="00205E1C">
        <w:t xml:space="preserve">. </w:t>
      </w:r>
      <w:r w:rsidR="00C04E86" w:rsidRPr="00205E1C">
        <w:t xml:space="preserve">Komise provádí výpočet </w:t>
      </w:r>
      <w:r w:rsidR="002E19C7">
        <w:t xml:space="preserve">ve vztahu </w:t>
      </w:r>
      <w:r w:rsidR="00C04E86" w:rsidRPr="00205E1C">
        <w:t>k celkové alokaci</w:t>
      </w:r>
      <w:r w:rsidR="00741F51" w:rsidRPr="00205E1C">
        <w:t xml:space="preserve"> programového období</w:t>
      </w:r>
      <w:r w:rsidR="00C04E86" w:rsidRPr="00205E1C">
        <w:t xml:space="preserve"> zahrnující zdroje</w:t>
      </w:r>
      <w:r w:rsidR="00741F51" w:rsidRPr="00205E1C">
        <w:t xml:space="preserve"> EU i</w:t>
      </w:r>
      <w:r w:rsidR="002E19C7">
        <w:t> </w:t>
      </w:r>
      <w:r w:rsidR="00741F51" w:rsidRPr="00205E1C">
        <w:t>národní podíl spolufinancování</w:t>
      </w:r>
      <w:r w:rsidR="00C04E86" w:rsidRPr="00205E1C">
        <w:t xml:space="preserve">. Oproti tomu MMR </w:t>
      </w:r>
      <w:r w:rsidR="00741F51" w:rsidRPr="00205E1C">
        <w:t xml:space="preserve">v prezentovaných přehledech využívá </w:t>
      </w:r>
      <w:r w:rsidR="00C04E86" w:rsidRPr="00205E1C">
        <w:t xml:space="preserve">k výpočtu podílů hlavní alokaci </w:t>
      </w:r>
      <w:r w:rsidR="00741F51" w:rsidRPr="00205E1C">
        <w:t>zdrojů EU</w:t>
      </w:r>
      <w:r w:rsidR="00C04E86" w:rsidRPr="00205E1C">
        <w:t>.</w:t>
      </w:r>
    </w:p>
    <w:p w14:paraId="5242610A" w14:textId="304E7CA9" w:rsidR="00164DB4" w:rsidRDefault="00120F26" w:rsidP="00B6134E">
      <w:pPr>
        <w:keepNext/>
        <w:spacing w:after="80"/>
        <w:ind w:left="1060" w:hanging="1060"/>
        <w:rPr>
          <w:rFonts w:ascii="Calibri" w:eastAsia="Calibri" w:hAnsi="Calibri" w:cs="Calibri"/>
          <w:b/>
          <w:sz w:val="24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59776" behindDoc="0" locked="0" layoutInCell="1" allowOverlap="1" wp14:anchorId="37DA0A6E" wp14:editId="293DED33">
            <wp:simplePos x="0" y="0"/>
            <wp:positionH relativeFrom="column">
              <wp:posOffset>43180</wp:posOffset>
            </wp:positionH>
            <wp:positionV relativeFrom="paragraph">
              <wp:posOffset>376555</wp:posOffset>
            </wp:positionV>
            <wp:extent cx="5514975" cy="7581900"/>
            <wp:effectExtent l="0" t="0" r="9525" b="0"/>
            <wp:wrapTopAndBottom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3C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DFBB52" wp14:editId="603569E4">
                <wp:simplePos x="0" y="0"/>
                <wp:positionH relativeFrom="column">
                  <wp:posOffset>522017</wp:posOffset>
                </wp:positionH>
                <wp:positionV relativeFrom="paragraph">
                  <wp:posOffset>4401611</wp:posOffset>
                </wp:positionV>
                <wp:extent cx="3055047" cy="259200"/>
                <wp:effectExtent l="0" t="0" r="12065" b="26670"/>
                <wp:wrapNone/>
                <wp:docPr id="4" name="Zaoblený 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047" cy="259200"/>
                        </a:xfrm>
                        <a:prstGeom prst="round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  <a:alpha val="16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alpha val="62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CF5643" id="Zaoblený obdélník 2" o:spid="_x0000_s1026" style="position:absolute;margin-left:41.1pt;margin-top:346.6pt;width:240.55pt;height:20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" fillcolor="#262626" strokecolor="windowText" strokeweight="1pt">
                <v:fill opacity="10537f"/>
                <v:stroke opacity="40606f" joinstyle="miter"/>
              </v:roundrect>
            </w:pict>
          </mc:Fallback>
        </mc:AlternateContent>
      </w:r>
      <w:r w:rsidR="00164DB4">
        <w:rPr>
          <w:rFonts w:ascii="Calibri" w:eastAsia="Calibri" w:hAnsi="Calibri" w:cs="Calibri"/>
          <w:b/>
          <w:sz w:val="24"/>
        </w:rPr>
        <w:t xml:space="preserve">Graf č. 3 – </w:t>
      </w:r>
      <w:r w:rsidR="00164DB4">
        <w:rPr>
          <w:rFonts w:ascii="Calibri" w:eastAsia="Calibri" w:hAnsi="Calibri" w:cs="Calibri"/>
          <w:b/>
          <w:sz w:val="24"/>
        </w:rPr>
        <w:tab/>
      </w:r>
      <w:r w:rsidR="00164DB4" w:rsidRPr="001B7F55">
        <w:rPr>
          <w:rFonts w:ascii="Calibri" w:hAnsi="Calibri" w:cs="Calibri"/>
          <w:b/>
          <w:sz w:val="24"/>
          <w:lang w:eastAsia="cs-CZ"/>
        </w:rPr>
        <w:t>Přehled</w:t>
      </w:r>
      <w:r w:rsidR="00164DB4">
        <w:rPr>
          <w:rFonts w:ascii="Calibri" w:eastAsia="Calibri" w:hAnsi="Calibri" w:cs="Calibri"/>
          <w:b/>
          <w:sz w:val="24"/>
        </w:rPr>
        <w:t xml:space="preserve"> pokroku implementace období 2014</w:t>
      </w:r>
      <w:r w:rsidR="007915D6">
        <w:rPr>
          <w:rFonts w:ascii="Calibri" w:eastAsia="Calibri" w:hAnsi="Calibri" w:cs="Calibri"/>
          <w:b/>
          <w:sz w:val="24"/>
        </w:rPr>
        <w:t>–</w:t>
      </w:r>
      <w:r w:rsidR="00164DB4">
        <w:rPr>
          <w:rFonts w:ascii="Calibri" w:eastAsia="Calibri" w:hAnsi="Calibri" w:cs="Calibri"/>
          <w:b/>
          <w:sz w:val="24"/>
        </w:rPr>
        <w:t xml:space="preserve">2020 </w:t>
      </w:r>
      <w:r w:rsidR="007915D6">
        <w:rPr>
          <w:rFonts w:ascii="Calibri" w:eastAsia="Calibri" w:hAnsi="Calibri" w:cs="Calibri"/>
          <w:b/>
          <w:sz w:val="24"/>
        </w:rPr>
        <w:t>ve</w:t>
      </w:r>
      <w:r w:rsidR="00164DB4">
        <w:rPr>
          <w:rFonts w:ascii="Calibri" w:eastAsia="Calibri" w:hAnsi="Calibri" w:cs="Calibri"/>
          <w:b/>
          <w:sz w:val="24"/>
        </w:rPr>
        <w:t xml:space="preserve"> všech člensk</w:t>
      </w:r>
      <w:r w:rsidR="007915D6">
        <w:rPr>
          <w:rFonts w:ascii="Calibri" w:eastAsia="Calibri" w:hAnsi="Calibri" w:cs="Calibri"/>
          <w:b/>
          <w:sz w:val="24"/>
        </w:rPr>
        <w:t>ých</w:t>
      </w:r>
      <w:r w:rsidR="00164DB4">
        <w:rPr>
          <w:rFonts w:ascii="Calibri" w:eastAsia="Calibri" w:hAnsi="Calibri" w:cs="Calibri"/>
          <w:b/>
          <w:sz w:val="24"/>
        </w:rPr>
        <w:t xml:space="preserve"> stát</w:t>
      </w:r>
      <w:r w:rsidR="007915D6">
        <w:rPr>
          <w:rFonts w:ascii="Calibri" w:eastAsia="Calibri" w:hAnsi="Calibri" w:cs="Calibri"/>
          <w:b/>
          <w:sz w:val="24"/>
        </w:rPr>
        <w:t>ech</w:t>
      </w:r>
      <w:r w:rsidR="00164DB4">
        <w:rPr>
          <w:rFonts w:ascii="Calibri" w:eastAsia="Calibri" w:hAnsi="Calibri" w:cs="Calibri"/>
          <w:b/>
          <w:sz w:val="24"/>
        </w:rPr>
        <w:t xml:space="preserve"> EU k 31. 12. 2016</w:t>
      </w:r>
    </w:p>
    <w:p w14:paraId="0650AE76" w14:textId="533BAA2F" w:rsidR="007F1675" w:rsidRDefault="007F1675" w:rsidP="007915D6">
      <w:pPr>
        <w:keepNext/>
        <w:ind w:left="567" w:hanging="567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>Zdroj:</w:t>
      </w:r>
      <w:r>
        <w:rPr>
          <w:rFonts w:ascii="Calibri" w:eastAsia="Calibri" w:hAnsi="Calibri" w:cs="Calibri"/>
          <w:b/>
          <w:sz w:val="20"/>
        </w:rPr>
        <w:tab/>
      </w:r>
      <w:hyperlink r:id="rId20" w:history="1">
        <w:r w:rsidR="0092455B" w:rsidRPr="0092455B">
          <w:rPr>
            <w:rStyle w:val="Hypertextovodkaz"/>
            <w:rFonts w:ascii="Calibri" w:eastAsia="Calibri" w:hAnsi="Calibri" w:cs="Calibri"/>
            <w:sz w:val="20"/>
          </w:rPr>
          <w:t>https://cohesiondata.ec.europa.eu/overview</w:t>
        </w:r>
      </w:hyperlink>
      <w:r w:rsidR="0092455B">
        <w:rPr>
          <w:rFonts w:ascii="Calibri" w:eastAsia="Calibri" w:hAnsi="Calibri" w:cs="Calibri"/>
          <w:sz w:val="20"/>
        </w:rPr>
        <w:t>.</w:t>
      </w:r>
    </w:p>
    <w:p w14:paraId="71927A37" w14:textId="4B52E046" w:rsidR="00EE153F" w:rsidRDefault="007F1675" w:rsidP="007915D6">
      <w:pPr>
        <w:keepNext/>
        <w:tabs>
          <w:tab w:val="left" w:pos="2410"/>
        </w:tabs>
        <w:ind w:left="567" w:hanging="567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>Pozn</w:t>
      </w:r>
      <w:r w:rsidR="007915D6">
        <w:rPr>
          <w:rFonts w:ascii="Calibri" w:eastAsia="Calibri" w:hAnsi="Calibri" w:cs="Calibri"/>
          <w:b/>
          <w:sz w:val="20"/>
        </w:rPr>
        <w:t>.</w:t>
      </w:r>
      <w:r>
        <w:rPr>
          <w:rFonts w:ascii="Calibri" w:eastAsia="Calibri" w:hAnsi="Calibri" w:cs="Calibri"/>
          <w:b/>
          <w:sz w:val="20"/>
        </w:rPr>
        <w:t>:</w:t>
      </w:r>
      <w:r>
        <w:rPr>
          <w:rFonts w:ascii="Calibri" w:eastAsia="Calibri" w:hAnsi="Calibri" w:cs="Calibri"/>
          <w:sz w:val="20"/>
        </w:rPr>
        <w:tab/>
      </w:r>
      <w:r w:rsidR="00EE153F" w:rsidRPr="00EE153F">
        <w:rPr>
          <w:rFonts w:ascii="Calibri" w:eastAsia="Calibri" w:hAnsi="Calibri" w:cs="Calibri"/>
          <w:sz w:val="20"/>
        </w:rPr>
        <w:t>Procentuální podíl je uváděn</w:t>
      </w:r>
      <w:r w:rsidR="007915D6">
        <w:rPr>
          <w:rFonts w:ascii="Calibri" w:eastAsia="Calibri" w:hAnsi="Calibri" w:cs="Calibri"/>
          <w:sz w:val="20"/>
        </w:rPr>
        <w:t xml:space="preserve"> ve vztahu</w:t>
      </w:r>
      <w:r w:rsidR="00EE153F" w:rsidRPr="00EE153F">
        <w:rPr>
          <w:rFonts w:ascii="Calibri" w:eastAsia="Calibri" w:hAnsi="Calibri" w:cs="Calibri"/>
          <w:sz w:val="20"/>
        </w:rPr>
        <w:t xml:space="preserve"> k celkové alokaci </w:t>
      </w:r>
      <w:r w:rsidR="00F9273D">
        <w:rPr>
          <w:rFonts w:ascii="Calibri" w:eastAsia="Calibri" w:hAnsi="Calibri" w:cs="Calibri"/>
          <w:sz w:val="20"/>
        </w:rPr>
        <w:t>v </w:t>
      </w:r>
      <w:r w:rsidR="007915D6">
        <w:rPr>
          <w:rFonts w:ascii="Calibri" w:eastAsia="Calibri" w:hAnsi="Calibri" w:cs="Calibri"/>
          <w:sz w:val="20"/>
        </w:rPr>
        <w:t>eurech</w:t>
      </w:r>
      <w:r w:rsidR="00F9273D">
        <w:rPr>
          <w:rFonts w:ascii="Calibri" w:eastAsia="Calibri" w:hAnsi="Calibri" w:cs="Calibri"/>
          <w:sz w:val="20"/>
        </w:rPr>
        <w:t xml:space="preserve"> </w:t>
      </w:r>
      <w:r w:rsidR="00EE153F" w:rsidRPr="00EE153F">
        <w:rPr>
          <w:rFonts w:ascii="Calibri" w:eastAsia="Calibri" w:hAnsi="Calibri" w:cs="Calibri"/>
          <w:sz w:val="20"/>
        </w:rPr>
        <w:t>(</w:t>
      </w:r>
      <w:r w:rsidR="007915D6">
        <w:rPr>
          <w:rFonts w:ascii="Calibri" w:eastAsia="Calibri" w:hAnsi="Calibri" w:cs="Calibri"/>
          <w:sz w:val="20"/>
        </w:rPr>
        <w:t>celková alokace zahrnuje podíl</w:t>
      </w:r>
      <w:r w:rsidR="00EE153F" w:rsidRPr="00EE153F">
        <w:rPr>
          <w:rFonts w:ascii="Calibri" w:eastAsia="Calibri" w:hAnsi="Calibri" w:cs="Calibri"/>
          <w:sz w:val="20"/>
        </w:rPr>
        <w:t xml:space="preserve"> EU i</w:t>
      </w:r>
      <w:r w:rsidR="007915D6">
        <w:rPr>
          <w:rFonts w:ascii="Calibri" w:eastAsia="Calibri" w:hAnsi="Calibri" w:cs="Calibri"/>
          <w:sz w:val="20"/>
        </w:rPr>
        <w:t> </w:t>
      </w:r>
      <w:r w:rsidR="00EE153F" w:rsidRPr="00EE153F">
        <w:rPr>
          <w:rFonts w:ascii="Calibri" w:eastAsia="Calibri" w:hAnsi="Calibri" w:cs="Calibri"/>
          <w:sz w:val="20"/>
        </w:rPr>
        <w:t>národní podíl</w:t>
      </w:r>
      <w:r w:rsidR="00164DB4">
        <w:rPr>
          <w:rFonts w:ascii="Calibri" w:eastAsia="Calibri" w:hAnsi="Calibri" w:cs="Calibri"/>
          <w:sz w:val="20"/>
        </w:rPr>
        <w:t xml:space="preserve"> </w:t>
      </w:r>
      <w:r w:rsidR="007915D6">
        <w:rPr>
          <w:rFonts w:ascii="Calibri" w:eastAsia="Calibri" w:hAnsi="Calibri" w:cs="Calibri"/>
          <w:sz w:val="20"/>
        </w:rPr>
        <w:t>včetně</w:t>
      </w:r>
      <w:r w:rsidR="00164DB4">
        <w:rPr>
          <w:rFonts w:ascii="Calibri" w:eastAsia="Calibri" w:hAnsi="Calibri" w:cs="Calibri"/>
          <w:sz w:val="20"/>
        </w:rPr>
        <w:t xml:space="preserve"> výkonnostní rezerv</w:t>
      </w:r>
      <w:r w:rsidR="007915D6">
        <w:rPr>
          <w:rFonts w:ascii="Calibri" w:eastAsia="Calibri" w:hAnsi="Calibri" w:cs="Calibri"/>
          <w:sz w:val="20"/>
        </w:rPr>
        <w:t>y</w:t>
      </w:r>
      <w:r w:rsidR="00EE153F" w:rsidRPr="00EE153F">
        <w:rPr>
          <w:rFonts w:ascii="Calibri" w:eastAsia="Calibri" w:hAnsi="Calibri" w:cs="Calibri"/>
          <w:sz w:val="20"/>
        </w:rPr>
        <w:t>).</w:t>
      </w:r>
      <w:r w:rsidR="00EE153F" w:rsidRPr="00EE153F"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Údaje jsou poskytovány za programy v</w:t>
      </w:r>
      <w:r w:rsidR="007E682E">
        <w:rPr>
          <w:rFonts w:ascii="Calibri" w:eastAsia="Calibri" w:hAnsi="Calibri" w:cs="Calibri"/>
          <w:sz w:val="20"/>
        </w:rPr>
        <w:t>e</w:t>
      </w:r>
      <w:r w:rsidR="00164DB4"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 xml:space="preserve">struktuře: </w:t>
      </w:r>
    </w:p>
    <w:p w14:paraId="36F419B1" w14:textId="0CC6443E" w:rsidR="00120F26" w:rsidRDefault="00EE153F" w:rsidP="00120F26">
      <w:pPr>
        <w:keepNext/>
        <w:tabs>
          <w:tab w:val="left" w:pos="2410"/>
        </w:tabs>
        <w:ind w:left="567" w:hanging="567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ab/>
      </w:r>
      <w:r w:rsidR="007E682E" w:rsidRPr="007E682E">
        <w:rPr>
          <w:rFonts w:ascii="Calibri" w:eastAsia="Calibri" w:hAnsi="Calibri" w:cs="Calibri"/>
          <w:sz w:val="20"/>
        </w:rPr>
        <w:t>-</w:t>
      </w:r>
      <w:r w:rsidR="007E682E" w:rsidRPr="00B6134E">
        <w:rPr>
          <w:rFonts w:ascii="Calibri" w:eastAsia="Calibri" w:hAnsi="Calibri" w:cs="Calibri"/>
          <w:sz w:val="20"/>
        </w:rPr>
        <w:t xml:space="preserve"> </w:t>
      </w:r>
      <w:proofErr w:type="spellStart"/>
      <w:r w:rsidR="007E682E">
        <w:rPr>
          <w:rFonts w:ascii="Calibri" w:eastAsia="Calibri" w:hAnsi="Calibri" w:cs="Calibri"/>
          <w:sz w:val="20"/>
        </w:rPr>
        <w:t>z</w:t>
      </w:r>
      <w:r w:rsidRPr="00EE153F">
        <w:rPr>
          <w:rFonts w:ascii="Calibri" w:eastAsia="Calibri" w:hAnsi="Calibri" w:cs="Calibri"/>
          <w:sz w:val="20"/>
        </w:rPr>
        <w:t>asmluvněno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r w:rsidR="007915D6">
        <w:rPr>
          <w:rFonts w:ascii="Calibri" w:eastAsia="Calibri" w:hAnsi="Calibri" w:cs="Calibri"/>
          <w:sz w:val="20"/>
        </w:rPr>
        <w:t>–</w:t>
      </w:r>
      <w:r w:rsidRPr="00EE153F">
        <w:rPr>
          <w:rFonts w:ascii="Calibri" w:eastAsia="Calibri" w:hAnsi="Calibri" w:cs="Calibri"/>
          <w:sz w:val="20"/>
        </w:rPr>
        <w:t xml:space="preserve"> </w:t>
      </w:r>
      <w:r w:rsidR="007915D6">
        <w:rPr>
          <w:rFonts w:ascii="Calibri" w:eastAsia="Calibri" w:hAnsi="Calibri" w:cs="Calibri"/>
          <w:sz w:val="20"/>
        </w:rPr>
        <w:t>peněžní částky přidělené projektům na základě</w:t>
      </w:r>
      <w:r w:rsidRPr="00EE153F">
        <w:rPr>
          <w:rFonts w:ascii="Calibri" w:eastAsia="Calibri" w:hAnsi="Calibri" w:cs="Calibri"/>
          <w:sz w:val="20"/>
        </w:rPr>
        <w:t xml:space="preserve"> právních akt</w:t>
      </w:r>
      <w:r w:rsidR="007915D6">
        <w:rPr>
          <w:rFonts w:ascii="Calibri" w:eastAsia="Calibri" w:hAnsi="Calibri" w:cs="Calibri"/>
          <w:sz w:val="20"/>
        </w:rPr>
        <w:t>ů</w:t>
      </w:r>
      <w:r w:rsidRPr="00EE153F">
        <w:rPr>
          <w:rFonts w:ascii="Calibri" w:eastAsia="Calibri" w:hAnsi="Calibri" w:cs="Calibri"/>
          <w:sz w:val="20"/>
        </w:rPr>
        <w:t xml:space="preserve"> (</w:t>
      </w:r>
      <w:r w:rsidR="00120F26">
        <w:rPr>
          <w:rFonts w:ascii="Calibri" w:eastAsia="Calibri" w:hAnsi="Calibri" w:cs="Calibri"/>
          <w:sz w:val="20"/>
        </w:rPr>
        <w:t xml:space="preserve">tj. </w:t>
      </w:r>
      <w:r w:rsidRPr="00EE153F">
        <w:rPr>
          <w:rFonts w:ascii="Calibri" w:eastAsia="Calibri" w:hAnsi="Calibri" w:cs="Calibri"/>
          <w:sz w:val="20"/>
        </w:rPr>
        <w:t>rozhodnutí</w:t>
      </w:r>
      <w:r w:rsidR="00120F26">
        <w:rPr>
          <w:rFonts w:ascii="Calibri" w:eastAsia="Calibri" w:hAnsi="Calibri" w:cs="Calibri"/>
          <w:sz w:val="20"/>
        </w:rPr>
        <w:t xml:space="preserve"> nebo smluv </w:t>
      </w:r>
    </w:p>
    <w:p w14:paraId="4767D32B" w14:textId="1D9D4F33" w:rsidR="00EE153F" w:rsidRPr="00EE153F" w:rsidRDefault="00120F26" w:rsidP="00B6134E">
      <w:pPr>
        <w:keepNext/>
        <w:tabs>
          <w:tab w:val="left" w:pos="2410"/>
        </w:tabs>
        <w:ind w:left="567" w:firstLine="113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o poskytnutí podpory</w:t>
      </w:r>
      <w:r w:rsidR="00EE153F" w:rsidRPr="00EE153F">
        <w:rPr>
          <w:rFonts w:ascii="Calibri" w:eastAsia="Calibri" w:hAnsi="Calibri" w:cs="Calibri"/>
          <w:sz w:val="20"/>
        </w:rPr>
        <w:t xml:space="preserve">), </w:t>
      </w:r>
    </w:p>
    <w:p w14:paraId="0936F3B7" w14:textId="56CC4939" w:rsidR="007F1675" w:rsidRPr="00E50859" w:rsidRDefault="007E682E" w:rsidP="00120F26">
      <w:pPr>
        <w:keepNext/>
        <w:tabs>
          <w:tab w:val="left" w:pos="2410"/>
        </w:tabs>
        <w:ind w:left="567" w:hanging="567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ab/>
        <w:t xml:space="preserve">- </w:t>
      </w:r>
      <w:r w:rsidR="00164DB4">
        <w:rPr>
          <w:rFonts w:ascii="Calibri" w:eastAsia="Calibri" w:hAnsi="Calibri" w:cs="Calibri"/>
          <w:sz w:val="20"/>
        </w:rPr>
        <w:t>vyčerpáno</w:t>
      </w:r>
      <w:r w:rsidR="00EE153F">
        <w:rPr>
          <w:rFonts w:ascii="Calibri" w:eastAsia="Calibri" w:hAnsi="Calibri" w:cs="Calibri"/>
          <w:sz w:val="20"/>
        </w:rPr>
        <w:t xml:space="preserve"> </w:t>
      </w:r>
      <w:r w:rsidR="007915D6">
        <w:rPr>
          <w:rFonts w:ascii="Calibri" w:eastAsia="Calibri" w:hAnsi="Calibri" w:cs="Calibri"/>
          <w:sz w:val="20"/>
        </w:rPr>
        <w:t>–</w:t>
      </w:r>
      <w:r w:rsidR="00EE153F">
        <w:rPr>
          <w:rFonts w:ascii="Calibri" w:eastAsia="Calibri" w:hAnsi="Calibri" w:cs="Calibri"/>
          <w:sz w:val="20"/>
        </w:rPr>
        <w:t xml:space="preserve"> výdaje vykázané v</w:t>
      </w:r>
      <w:r w:rsidR="007915D6">
        <w:rPr>
          <w:rFonts w:ascii="Calibri" w:eastAsia="Calibri" w:hAnsi="Calibri" w:cs="Calibri"/>
          <w:sz w:val="20"/>
        </w:rPr>
        <w:t> žádostech o platbu</w:t>
      </w:r>
      <w:r w:rsidR="00EE153F">
        <w:rPr>
          <w:rFonts w:ascii="Calibri" w:eastAsia="Calibri" w:hAnsi="Calibri" w:cs="Calibri"/>
          <w:sz w:val="20"/>
        </w:rPr>
        <w:t>.</w:t>
      </w:r>
      <w:r w:rsidR="00EE153F" w:rsidRPr="00EE153F">
        <w:rPr>
          <w:rFonts w:ascii="Calibri" w:eastAsia="Calibri" w:hAnsi="Calibri" w:cs="Calibri"/>
          <w:b/>
          <w:sz w:val="20"/>
        </w:rPr>
        <w:t xml:space="preserve"> </w:t>
      </w:r>
    </w:p>
    <w:p w14:paraId="1C305E1E" w14:textId="77777777" w:rsidR="007F1675" w:rsidRDefault="007F1675" w:rsidP="00E866CC">
      <w:pPr>
        <w:keepNext/>
        <w:tabs>
          <w:tab w:val="left" w:pos="2410"/>
        </w:tabs>
        <w:rPr>
          <w:rFonts w:ascii="Calibri" w:hAnsi="Calibri" w:cs="Arial"/>
          <w:b/>
          <w:sz w:val="28"/>
        </w:rPr>
        <w:sectPr w:rsidR="007F1675" w:rsidSect="003F6826">
          <w:headerReference w:type="even" r:id="rId21"/>
          <w:headerReference w:type="default" r:id="rId22"/>
          <w:footerReference w:type="even" r:id="rId23"/>
          <w:footerReference w:type="default" r:id="rId24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617B3B32" w14:textId="1C467CD6" w:rsidR="00526BD5" w:rsidRPr="00955518" w:rsidRDefault="004B7864" w:rsidP="00E866CC">
      <w:pPr>
        <w:keepNext/>
        <w:tabs>
          <w:tab w:val="left" w:pos="2410"/>
        </w:tabs>
        <w:rPr>
          <w:rFonts w:ascii="Calibri" w:hAnsi="Calibri" w:cs="Arial"/>
          <w:b/>
          <w:sz w:val="28"/>
        </w:rPr>
      </w:pPr>
      <w:r w:rsidRPr="00955518">
        <w:rPr>
          <w:rFonts w:ascii="Calibri" w:hAnsi="Calibri" w:cs="Arial"/>
          <w:b/>
          <w:sz w:val="28"/>
        </w:rPr>
        <w:lastRenderedPageBreak/>
        <w:t>Seznam zkratek</w:t>
      </w:r>
    </w:p>
    <w:p w14:paraId="26A1B6C5" w14:textId="0B08423F" w:rsidR="003A07AB" w:rsidRDefault="003A07AB" w:rsidP="00E866CC">
      <w:pPr>
        <w:keepNext/>
        <w:tabs>
          <w:tab w:val="left" w:pos="2410"/>
        </w:tabs>
        <w:rPr>
          <w:rFonts w:ascii="Calibri" w:hAnsi="Calibri" w:cs="Arial"/>
          <w:sz w:val="24"/>
        </w:rPr>
      </w:pPr>
    </w:p>
    <w:p w14:paraId="56E223D5" w14:textId="77777777" w:rsidR="00263910" w:rsidRDefault="00263910" w:rsidP="00E866CC">
      <w:pPr>
        <w:keepNext/>
        <w:tabs>
          <w:tab w:val="left" w:pos="2410"/>
        </w:tabs>
        <w:rPr>
          <w:rFonts w:ascii="Calibri" w:hAnsi="Calibri" w:cs="Arial"/>
          <w:sz w:val="24"/>
        </w:rPr>
      </w:pPr>
    </w:p>
    <w:p w14:paraId="7B4E0CB6" w14:textId="77777777" w:rsidR="003A07AB" w:rsidRDefault="003A07AB" w:rsidP="00263910">
      <w:pPr>
        <w:spacing w:after="120"/>
        <w:ind w:left="2410" w:hanging="241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AO</w:t>
      </w:r>
      <w:r>
        <w:rPr>
          <w:rFonts w:ascii="Calibri" w:hAnsi="Calibri"/>
          <w:sz w:val="24"/>
        </w:rPr>
        <w:tab/>
        <w:t>Auditní orgán (Ministerstvo financí)</w:t>
      </w:r>
    </w:p>
    <w:p w14:paraId="7C4AAC82" w14:textId="77777777" w:rsidR="003A07AB" w:rsidRDefault="003A07AB" w:rsidP="00263910">
      <w:pPr>
        <w:spacing w:after="120"/>
        <w:ind w:left="2410" w:hanging="241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ČR</w:t>
      </w:r>
      <w:r>
        <w:rPr>
          <w:rFonts w:ascii="Calibri" w:hAnsi="Calibri"/>
          <w:sz w:val="24"/>
        </w:rPr>
        <w:tab/>
        <w:t>Česká republika</w:t>
      </w:r>
    </w:p>
    <w:p w14:paraId="57C8E3F2" w14:textId="5F6C7AFE" w:rsidR="003A07AB" w:rsidRDefault="003A07AB" w:rsidP="00263910">
      <w:pPr>
        <w:spacing w:after="120"/>
        <w:ind w:left="2410" w:hanging="241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Dohoda o partnerství</w:t>
      </w:r>
      <w:r>
        <w:rPr>
          <w:rFonts w:ascii="Calibri" w:hAnsi="Calibri"/>
          <w:sz w:val="24"/>
        </w:rPr>
        <w:tab/>
      </w:r>
      <w:r w:rsidRPr="004D7465">
        <w:rPr>
          <w:rFonts w:ascii="Calibri" w:hAnsi="Calibri"/>
          <w:i/>
          <w:sz w:val="24"/>
        </w:rPr>
        <w:t>Dohoda o partnerství pro programové období 2014</w:t>
      </w:r>
      <w:r>
        <w:rPr>
          <w:rFonts w:ascii="Calibri" w:hAnsi="Calibri"/>
          <w:i/>
          <w:sz w:val="24"/>
        </w:rPr>
        <w:t>–</w:t>
      </w:r>
      <w:r w:rsidRPr="004D7465">
        <w:rPr>
          <w:rFonts w:ascii="Calibri" w:hAnsi="Calibri"/>
          <w:i/>
          <w:sz w:val="24"/>
        </w:rPr>
        <w:t>2020</w:t>
      </w:r>
      <w:r>
        <w:rPr>
          <w:rFonts w:ascii="Calibri" w:hAnsi="Calibri"/>
          <w:sz w:val="24"/>
        </w:rPr>
        <w:t xml:space="preserve">; </w:t>
      </w:r>
      <w:r w:rsidRPr="00E77131">
        <w:rPr>
          <w:rFonts w:ascii="Calibri" w:hAnsi="Calibri"/>
          <w:sz w:val="24"/>
        </w:rPr>
        <w:t>základní zastřešující dokument pro čerpání finančních prostředků z</w:t>
      </w:r>
      <w:r>
        <w:rPr>
          <w:rFonts w:ascii="Calibri" w:hAnsi="Calibri"/>
          <w:sz w:val="24"/>
        </w:rPr>
        <w:t> e</w:t>
      </w:r>
      <w:r w:rsidRPr="00E77131">
        <w:rPr>
          <w:rFonts w:ascii="Calibri" w:hAnsi="Calibri"/>
          <w:sz w:val="24"/>
        </w:rPr>
        <w:t xml:space="preserve">vropských strukturálních </w:t>
      </w:r>
      <w:r>
        <w:rPr>
          <w:rFonts w:ascii="Calibri" w:hAnsi="Calibri"/>
          <w:sz w:val="24"/>
        </w:rPr>
        <w:t xml:space="preserve">a investičních fondů; </w:t>
      </w:r>
      <w:r w:rsidRPr="004D7465">
        <w:rPr>
          <w:rFonts w:ascii="Calibri" w:hAnsi="Calibri"/>
          <w:sz w:val="24"/>
        </w:rPr>
        <w:t xml:space="preserve">stanoví strategii </w:t>
      </w:r>
      <w:r>
        <w:rPr>
          <w:rFonts w:ascii="Calibri" w:hAnsi="Calibri"/>
          <w:sz w:val="24"/>
        </w:rPr>
        <w:t>ČR, priority a </w:t>
      </w:r>
      <w:r w:rsidRPr="004D7465">
        <w:rPr>
          <w:rFonts w:ascii="Calibri" w:hAnsi="Calibri"/>
          <w:sz w:val="24"/>
        </w:rPr>
        <w:t>opatření pro účinné a efektivní využív</w:t>
      </w:r>
      <w:r>
        <w:rPr>
          <w:rFonts w:ascii="Calibri" w:hAnsi="Calibri"/>
          <w:sz w:val="24"/>
        </w:rPr>
        <w:t>ání ESI</w:t>
      </w:r>
      <w:r w:rsidRPr="004D7465">
        <w:rPr>
          <w:rFonts w:ascii="Calibri" w:hAnsi="Calibri"/>
          <w:sz w:val="24"/>
        </w:rPr>
        <w:t xml:space="preserve"> fondů za účelem dosahování cílů strategie </w:t>
      </w:r>
      <w:r w:rsidRPr="000C7F32">
        <w:rPr>
          <w:rFonts w:ascii="Calibri" w:hAnsi="Calibri"/>
          <w:i/>
          <w:sz w:val="24"/>
        </w:rPr>
        <w:t>Evropa 2020</w:t>
      </w:r>
    </w:p>
    <w:p w14:paraId="50DDAA55" w14:textId="17817F1D" w:rsidR="003A07AB" w:rsidRDefault="003A07AB" w:rsidP="00263910">
      <w:pPr>
        <w:spacing w:after="120"/>
        <w:ind w:left="2410" w:hanging="241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Doporučení</w:t>
      </w:r>
      <w:r>
        <w:rPr>
          <w:rFonts w:ascii="Calibri" w:hAnsi="Calibri"/>
          <w:sz w:val="24"/>
        </w:rPr>
        <w:tab/>
      </w:r>
      <w:proofErr w:type="spellStart"/>
      <w:r w:rsidRPr="00091FFB">
        <w:rPr>
          <w:rFonts w:ascii="Calibri" w:hAnsi="Calibri"/>
          <w:i/>
          <w:sz w:val="24"/>
        </w:rPr>
        <w:t>Doporučení</w:t>
      </w:r>
      <w:proofErr w:type="spellEnd"/>
      <w:r w:rsidRPr="00091FFB">
        <w:rPr>
          <w:rFonts w:ascii="Calibri" w:hAnsi="Calibri"/>
          <w:i/>
          <w:sz w:val="24"/>
        </w:rPr>
        <w:t xml:space="preserve"> ke zjednodušení admini</w:t>
      </w:r>
      <w:r>
        <w:rPr>
          <w:rFonts w:ascii="Calibri" w:hAnsi="Calibri"/>
          <w:i/>
          <w:sz w:val="24"/>
        </w:rPr>
        <w:t>strativní zátěže pro žadatele a </w:t>
      </w:r>
      <w:r w:rsidRPr="00091FFB">
        <w:rPr>
          <w:rFonts w:ascii="Calibri" w:hAnsi="Calibri"/>
          <w:i/>
          <w:sz w:val="24"/>
        </w:rPr>
        <w:t>příjemce při čerpání fin</w:t>
      </w:r>
      <w:r>
        <w:rPr>
          <w:rFonts w:ascii="Calibri" w:hAnsi="Calibri"/>
          <w:i/>
          <w:sz w:val="24"/>
        </w:rPr>
        <w:t>ančních prostředků z fondů EU v </w:t>
      </w:r>
      <w:r w:rsidRPr="00091FFB">
        <w:rPr>
          <w:rFonts w:ascii="Calibri" w:hAnsi="Calibri"/>
          <w:i/>
          <w:sz w:val="24"/>
        </w:rPr>
        <w:t>programovém období 2014</w:t>
      </w:r>
      <w:r>
        <w:rPr>
          <w:rFonts w:ascii="Calibri" w:hAnsi="Calibri"/>
          <w:i/>
          <w:sz w:val="24"/>
        </w:rPr>
        <w:t>–</w:t>
      </w:r>
      <w:r w:rsidRPr="00091FFB">
        <w:rPr>
          <w:rFonts w:ascii="Calibri" w:hAnsi="Calibri"/>
          <w:i/>
          <w:sz w:val="24"/>
        </w:rPr>
        <w:t>2020</w:t>
      </w:r>
      <w:r>
        <w:rPr>
          <w:rFonts w:ascii="Calibri" w:hAnsi="Calibri"/>
          <w:sz w:val="24"/>
        </w:rPr>
        <w:t xml:space="preserve">; dokument, který </w:t>
      </w:r>
      <w:r w:rsidRPr="00DF4D60">
        <w:rPr>
          <w:rFonts w:ascii="Calibri" w:hAnsi="Calibri"/>
          <w:sz w:val="24"/>
        </w:rPr>
        <w:t xml:space="preserve">vláda </w:t>
      </w:r>
      <w:r>
        <w:rPr>
          <w:rFonts w:ascii="Calibri" w:hAnsi="Calibri"/>
          <w:sz w:val="24"/>
        </w:rPr>
        <w:t xml:space="preserve">ČR </w:t>
      </w:r>
      <w:r w:rsidRPr="00DF4D60">
        <w:rPr>
          <w:rFonts w:ascii="Calibri" w:hAnsi="Calibri"/>
          <w:sz w:val="24"/>
        </w:rPr>
        <w:t xml:space="preserve">vzala </w:t>
      </w:r>
      <w:r>
        <w:rPr>
          <w:rFonts w:ascii="Calibri" w:hAnsi="Calibri"/>
          <w:sz w:val="24"/>
        </w:rPr>
        <w:t>na vědomí</w:t>
      </w:r>
      <w:r w:rsidRPr="00DF4D60">
        <w:rPr>
          <w:rFonts w:ascii="Calibri" w:hAnsi="Calibri"/>
          <w:sz w:val="24"/>
        </w:rPr>
        <w:t xml:space="preserve"> usnesení</w:t>
      </w:r>
      <w:r>
        <w:rPr>
          <w:rFonts w:ascii="Calibri" w:hAnsi="Calibri"/>
          <w:sz w:val="24"/>
        </w:rPr>
        <w:t>m</w:t>
      </w:r>
      <w:r w:rsidRPr="00DF4D60">
        <w:rPr>
          <w:rFonts w:ascii="Calibri" w:hAnsi="Calibri"/>
          <w:sz w:val="24"/>
        </w:rPr>
        <w:t xml:space="preserve"> č. 184 ze dne 21. 3. 2012</w:t>
      </w:r>
    </w:p>
    <w:p w14:paraId="62DC5C8A" w14:textId="77777777" w:rsidR="003A07AB" w:rsidRDefault="003A07AB" w:rsidP="00263910">
      <w:pPr>
        <w:spacing w:after="120"/>
        <w:ind w:left="2410" w:hanging="241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DPH</w:t>
      </w:r>
      <w:r>
        <w:rPr>
          <w:rFonts w:ascii="Calibri" w:hAnsi="Calibri"/>
          <w:sz w:val="24"/>
        </w:rPr>
        <w:tab/>
        <w:t>Daň z přidané hodnoty</w:t>
      </w:r>
    </w:p>
    <w:p w14:paraId="3AD6F5EC" w14:textId="77777777" w:rsidR="003A07AB" w:rsidRDefault="003A07AB" w:rsidP="00263910">
      <w:pPr>
        <w:spacing w:after="120"/>
        <w:ind w:left="2410" w:hanging="241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ESI fondy</w:t>
      </w:r>
      <w:r>
        <w:rPr>
          <w:rFonts w:ascii="Calibri" w:hAnsi="Calibri"/>
          <w:sz w:val="24"/>
        </w:rPr>
        <w:tab/>
        <w:t>Evropské strukturální a investiční fondy</w:t>
      </w:r>
    </w:p>
    <w:p w14:paraId="63A525C4" w14:textId="77777777" w:rsidR="003A07AB" w:rsidRDefault="003A07AB" w:rsidP="00263910">
      <w:pPr>
        <w:spacing w:after="120"/>
        <w:ind w:left="2410" w:hanging="241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EU</w:t>
      </w:r>
      <w:r>
        <w:rPr>
          <w:rFonts w:ascii="Calibri" w:hAnsi="Calibri"/>
          <w:sz w:val="24"/>
        </w:rPr>
        <w:tab/>
        <w:t>Evropská unie</w:t>
      </w:r>
    </w:p>
    <w:p w14:paraId="51A6B189" w14:textId="77777777" w:rsidR="003A07AB" w:rsidRDefault="003A07AB" w:rsidP="00263910">
      <w:pPr>
        <w:spacing w:after="120"/>
        <w:ind w:left="2410" w:hanging="241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HW</w:t>
      </w:r>
      <w:r>
        <w:rPr>
          <w:rFonts w:ascii="Calibri" w:hAnsi="Calibri"/>
          <w:sz w:val="24"/>
        </w:rPr>
        <w:tab/>
        <w:t>Hardware</w:t>
      </w:r>
    </w:p>
    <w:p w14:paraId="02F5ACBD" w14:textId="77777777" w:rsidR="003A07AB" w:rsidRDefault="003A07AB" w:rsidP="00263910">
      <w:pPr>
        <w:spacing w:after="120"/>
        <w:ind w:left="2410" w:hanging="241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IS</w:t>
      </w:r>
      <w:r>
        <w:rPr>
          <w:rFonts w:ascii="Calibri" w:hAnsi="Calibri"/>
          <w:sz w:val="24"/>
        </w:rPr>
        <w:tab/>
        <w:t>Informační systémy</w:t>
      </w:r>
    </w:p>
    <w:p w14:paraId="25F08B94" w14:textId="77777777" w:rsidR="003A07AB" w:rsidRDefault="003A07AB" w:rsidP="00263910">
      <w:pPr>
        <w:spacing w:after="120"/>
        <w:ind w:left="2410" w:hanging="241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JMP</w:t>
      </w:r>
      <w:r>
        <w:rPr>
          <w:rFonts w:ascii="Calibri" w:hAnsi="Calibri"/>
          <w:sz w:val="24"/>
        </w:rPr>
        <w:tab/>
        <w:t>Jednotné metodické prostředí</w:t>
      </w:r>
    </w:p>
    <w:p w14:paraId="3D83C695" w14:textId="77777777" w:rsidR="003A07AB" w:rsidRDefault="003A07AB" w:rsidP="00263910">
      <w:pPr>
        <w:spacing w:after="120"/>
        <w:ind w:left="2410" w:hanging="241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Komise</w:t>
      </w:r>
      <w:r>
        <w:rPr>
          <w:rFonts w:ascii="Calibri" w:hAnsi="Calibri"/>
          <w:sz w:val="24"/>
        </w:rPr>
        <w:tab/>
        <w:t>Evropská komise</w:t>
      </w:r>
    </w:p>
    <w:p w14:paraId="03661022" w14:textId="77777777" w:rsidR="003A07AB" w:rsidRDefault="003A07AB" w:rsidP="00263910">
      <w:pPr>
        <w:spacing w:after="120"/>
        <w:ind w:left="2410" w:hanging="241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Koncepce JMP</w:t>
      </w:r>
      <w:r>
        <w:rPr>
          <w:rFonts w:ascii="Calibri" w:hAnsi="Calibri"/>
          <w:sz w:val="24"/>
        </w:rPr>
        <w:tab/>
      </w:r>
      <w:r w:rsidRPr="00EB1849">
        <w:rPr>
          <w:rFonts w:ascii="Calibri" w:hAnsi="Calibri" w:cs="Calibri"/>
          <w:i/>
          <w:sz w:val="24"/>
        </w:rPr>
        <w:t>Koncepce jednotného metodického prostředí jako součást pro naplňování cílů Dohody o partnerství</w:t>
      </w:r>
    </w:p>
    <w:p w14:paraId="7D859F32" w14:textId="77777777" w:rsidR="003A07AB" w:rsidRDefault="003A07AB" w:rsidP="00263910">
      <w:pPr>
        <w:spacing w:after="120"/>
        <w:ind w:left="2410" w:hanging="241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MF</w:t>
      </w:r>
      <w:r>
        <w:rPr>
          <w:rFonts w:ascii="Calibri" w:hAnsi="Calibri"/>
          <w:sz w:val="24"/>
        </w:rPr>
        <w:tab/>
        <w:t>Ministerstvo financí</w:t>
      </w:r>
    </w:p>
    <w:p w14:paraId="0A393FDF" w14:textId="77777777" w:rsidR="003A07AB" w:rsidRDefault="003A07AB" w:rsidP="00263910">
      <w:pPr>
        <w:spacing w:after="120"/>
        <w:ind w:left="2410" w:hanging="2410"/>
        <w:rPr>
          <w:rFonts w:ascii="Calibri" w:hAnsi="Calibri"/>
          <w:sz w:val="24"/>
        </w:rPr>
      </w:pPr>
      <w:r w:rsidRPr="00BE4AC8">
        <w:rPr>
          <w:rFonts w:ascii="Calibri" w:hAnsi="Calibri"/>
          <w:sz w:val="24"/>
        </w:rPr>
        <w:t>MMR</w:t>
      </w:r>
      <w:r w:rsidRPr="00BE4AC8">
        <w:rPr>
          <w:rFonts w:ascii="Calibri" w:hAnsi="Calibri"/>
          <w:sz w:val="24"/>
        </w:rPr>
        <w:tab/>
        <w:t>Ministerstvo pro místní rozvoj</w:t>
      </w:r>
    </w:p>
    <w:p w14:paraId="5154077B" w14:textId="77777777" w:rsidR="003A07AB" w:rsidRPr="00120F26" w:rsidRDefault="003A07AB" w:rsidP="00263910">
      <w:pPr>
        <w:spacing w:after="120"/>
        <w:ind w:left="2410" w:hanging="2410"/>
        <w:rPr>
          <w:rStyle w:val="st1"/>
          <w:rFonts w:ascii="Calibri" w:hAnsi="Calibri" w:cs="Arial"/>
          <w:color w:val="000000"/>
          <w:sz w:val="24"/>
        </w:rPr>
      </w:pPr>
      <w:r>
        <w:rPr>
          <w:rFonts w:ascii="Calibri" w:hAnsi="Calibri"/>
          <w:sz w:val="24"/>
        </w:rPr>
        <w:t>MS2014+</w:t>
      </w:r>
      <w:r>
        <w:rPr>
          <w:rFonts w:ascii="Calibri" w:hAnsi="Calibri"/>
          <w:sz w:val="24"/>
        </w:rPr>
        <w:tab/>
      </w:r>
      <w:r w:rsidRPr="000C7F32">
        <w:rPr>
          <w:rStyle w:val="st1"/>
          <w:rFonts w:ascii="Calibri" w:hAnsi="Calibri" w:cs="Arial"/>
          <w:color w:val="000000"/>
          <w:sz w:val="24"/>
        </w:rPr>
        <w:t>Monitorovací systém evropských strukturálních a investičních fondů pro programové období 2014–2020</w:t>
      </w:r>
    </w:p>
    <w:p w14:paraId="1FAFDFBD" w14:textId="110142DC" w:rsidR="003A07AB" w:rsidRPr="000C7F32" w:rsidRDefault="003A07AB" w:rsidP="00263910">
      <w:pPr>
        <w:spacing w:after="120"/>
        <w:ind w:left="2410" w:hanging="2410"/>
        <w:rPr>
          <w:rFonts w:ascii="Calibri" w:hAnsi="Calibri" w:cs="Arial"/>
          <w:color w:val="000000"/>
          <w:sz w:val="24"/>
        </w:rPr>
      </w:pPr>
      <w:r w:rsidRPr="00120F26">
        <w:rPr>
          <w:rFonts w:ascii="Calibri" w:hAnsi="Calibri"/>
          <w:sz w:val="24"/>
        </w:rPr>
        <w:t>MSC2007</w:t>
      </w:r>
      <w:r w:rsidRPr="00120F26">
        <w:rPr>
          <w:rFonts w:ascii="Calibri" w:hAnsi="Calibri"/>
          <w:sz w:val="24"/>
        </w:rPr>
        <w:tab/>
        <w:t xml:space="preserve">Centrální modul </w:t>
      </w:r>
      <w:r>
        <w:rPr>
          <w:rStyle w:val="st1"/>
          <w:rFonts w:ascii="Calibri" w:hAnsi="Calibri" w:cs="Arial"/>
          <w:color w:val="000000"/>
          <w:sz w:val="24"/>
        </w:rPr>
        <w:t>m</w:t>
      </w:r>
      <w:r w:rsidRPr="000C7F32">
        <w:rPr>
          <w:rStyle w:val="st1"/>
          <w:rFonts w:ascii="Calibri" w:hAnsi="Calibri" w:cs="Arial"/>
          <w:color w:val="000000"/>
          <w:sz w:val="24"/>
        </w:rPr>
        <w:t>onitorovacího systému strukturálních fondů a</w:t>
      </w:r>
      <w:r>
        <w:rPr>
          <w:rStyle w:val="st1"/>
          <w:rFonts w:ascii="Calibri" w:hAnsi="Calibri" w:cs="Arial"/>
          <w:color w:val="000000"/>
          <w:sz w:val="24"/>
        </w:rPr>
        <w:t> </w:t>
      </w:r>
      <w:r w:rsidRPr="00914FDA">
        <w:rPr>
          <w:rStyle w:val="st1"/>
          <w:rFonts w:ascii="Calibri" w:hAnsi="Calibri" w:cs="Arial"/>
          <w:i/>
          <w:color w:val="000000"/>
          <w:sz w:val="24"/>
        </w:rPr>
        <w:t>Fondu soudržnosti</w:t>
      </w:r>
      <w:r w:rsidRPr="000C7F32">
        <w:rPr>
          <w:rStyle w:val="st1"/>
          <w:rFonts w:ascii="Calibri" w:hAnsi="Calibri" w:cs="Arial"/>
          <w:color w:val="000000"/>
          <w:sz w:val="24"/>
        </w:rPr>
        <w:t xml:space="preserve"> pro programové období 2007–2013</w:t>
      </w:r>
    </w:p>
    <w:p w14:paraId="39271846" w14:textId="77777777" w:rsidR="003A07AB" w:rsidRDefault="003A07AB" w:rsidP="00263910">
      <w:pPr>
        <w:spacing w:after="120"/>
        <w:ind w:left="2410" w:hanging="2410"/>
        <w:rPr>
          <w:rFonts w:ascii="Calibri" w:hAnsi="Calibri" w:cs="Arial"/>
          <w:sz w:val="24"/>
        </w:rPr>
      </w:pPr>
      <w:proofErr w:type="spellStart"/>
      <w:r w:rsidRPr="00BE4AC8">
        <w:rPr>
          <w:rFonts w:ascii="Calibri" w:hAnsi="Calibri" w:cs="Arial"/>
          <w:sz w:val="24"/>
        </w:rPr>
        <w:t>MZe</w:t>
      </w:r>
      <w:proofErr w:type="spellEnd"/>
      <w:r w:rsidRPr="00BE4AC8">
        <w:rPr>
          <w:rFonts w:ascii="Calibri" w:hAnsi="Calibri" w:cs="Arial"/>
          <w:sz w:val="24"/>
        </w:rPr>
        <w:tab/>
        <w:t>Ministerstvo zemědělství</w:t>
      </w:r>
    </w:p>
    <w:p w14:paraId="2BDAFB44" w14:textId="3D6AFEBA" w:rsidR="003A07AB" w:rsidRDefault="003A07AB" w:rsidP="00263910">
      <w:pPr>
        <w:spacing w:after="120"/>
        <w:ind w:left="2410" w:hanging="2410"/>
        <w:rPr>
          <w:rFonts w:ascii="Calibri" w:hAnsi="Calibri" w:cs="Arial"/>
          <w:sz w:val="24"/>
        </w:rPr>
      </w:pPr>
      <w:r w:rsidRPr="00BE4AC8">
        <w:rPr>
          <w:rFonts w:ascii="Calibri" w:hAnsi="Calibri" w:cs="Arial"/>
          <w:sz w:val="24"/>
        </w:rPr>
        <w:t>NKÚ</w:t>
      </w:r>
      <w:r w:rsidRPr="00BE4AC8">
        <w:rPr>
          <w:rFonts w:ascii="Calibri" w:hAnsi="Calibri" w:cs="Arial"/>
          <w:sz w:val="24"/>
        </w:rPr>
        <w:tab/>
        <w:t>Nejvyšší kontrolní úřad</w:t>
      </w:r>
    </w:p>
    <w:p w14:paraId="39240A3E" w14:textId="77777777" w:rsidR="003A07AB" w:rsidRDefault="003A07AB" w:rsidP="00263910">
      <w:pPr>
        <w:spacing w:after="120"/>
        <w:ind w:left="2410" w:hanging="2410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Obecné nařízení</w:t>
      </w:r>
      <w:r>
        <w:rPr>
          <w:rFonts w:ascii="Calibri" w:hAnsi="Calibri" w:cs="Arial"/>
          <w:sz w:val="24"/>
        </w:rPr>
        <w:tab/>
      </w:r>
      <w:proofErr w:type="spellStart"/>
      <w:r w:rsidRPr="00E866CC">
        <w:rPr>
          <w:rFonts w:ascii="Calibri" w:hAnsi="Calibri" w:cs="Arial"/>
          <w:sz w:val="24"/>
        </w:rPr>
        <w:t>Nařízení</w:t>
      </w:r>
      <w:proofErr w:type="spellEnd"/>
      <w:r w:rsidRPr="00E866CC">
        <w:rPr>
          <w:rFonts w:ascii="Calibri" w:hAnsi="Calibri" w:cs="Arial"/>
          <w:sz w:val="24"/>
        </w:rPr>
        <w:t xml:space="preserve"> Evropského parlamentu a Rady (EU) č. 1303/2013</w:t>
      </w:r>
      <w:r>
        <w:rPr>
          <w:rFonts w:ascii="Calibri" w:hAnsi="Calibri" w:cs="Arial"/>
          <w:sz w:val="24"/>
        </w:rPr>
        <w:t>, o </w:t>
      </w:r>
      <w:r w:rsidRPr="00E866CC">
        <w:rPr>
          <w:rFonts w:ascii="Calibri" w:hAnsi="Calibri" w:cs="Arial"/>
          <w:sz w:val="24"/>
        </w:rPr>
        <w:t>společných ustanoveních o Evropském fondu pro regionální rozvoj, Evropském sociálním fondu, Fondu soudržnosti, Evropském zemědělském fondu pro rozvoj</w:t>
      </w:r>
      <w:r>
        <w:rPr>
          <w:rFonts w:ascii="Calibri" w:hAnsi="Calibri" w:cs="Arial"/>
          <w:sz w:val="24"/>
        </w:rPr>
        <w:t xml:space="preserve"> venkova a Evropském námořním a </w:t>
      </w:r>
      <w:r w:rsidRPr="00E866CC">
        <w:rPr>
          <w:rFonts w:ascii="Calibri" w:hAnsi="Calibri" w:cs="Arial"/>
          <w:sz w:val="24"/>
        </w:rPr>
        <w:t>rybářském fondu</w:t>
      </w:r>
      <w:r>
        <w:rPr>
          <w:rFonts w:ascii="Calibri" w:hAnsi="Calibri" w:cs="Arial"/>
          <w:sz w:val="24"/>
        </w:rPr>
        <w:t>,</w:t>
      </w:r>
      <w:r w:rsidRPr="00E866CC">
        <w:rPr>
          <w:rFonts w:ascii="Calibri" w:hAnsi="Calibri" w:cs="Arial"/>
          <w:sz w:val="24"/>
        </w:rPr>
        <w:t xml:space="preserve"> o obecných ustanoveních o Evropském fondu pro regionální rozvoj, Evropském sociá</w:t>
      </w:r>
      <w:r>
        <w:rPr>
          <w:rFonts w:ascii="Calibri" w:hAnsi="Calibri" w:cs="Arial"/>
          <w:sz w:val="24"/>
        </w:rPr>
        <w:t>lním fondu, Fondu soudržnosti a </w:t>
      </w:r>
      <w:r w:rsidRPr="00E866CC">
        <w:rPr>
          <w:rFonts w:ascii="Calibri" w:hAnsi="Calibri" w:cs="Arial"/>
          <w:sz w:val="24"/>
        </w:rPr>
        <w:t>Evropském námořním a rybářském fondu a o zrušení nařízení Rady (ES) č. 1083/2006</w:t>
      </w:r>
    </w:p>
    <w:p w14:paraId="36A9C9CF" w14:textId="77777777" w:rsidR="003A07AB" w:rsidRDefault="003A07AB" w:rsidP="00263910">
      <w:pPr>
        <w:spacing w:after="120"/>
        <w:ind w:left="2410" w:hanging="241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>OP</w:t>
      </w:r>
      <w:r>
        <w:rPr>
          <w:rFonts w:ascii="Calibri" w:hAnsi="Calibri"/>
          <w:sz w:val="24"/>
        </w:rPr>
        <w:tab/>
        <w:t>Operační program (příp. operační programy)</w:t>
      </w:r>
    </w:p>
    <w:p w14:paraId="2AAFE982" w14:textId="1B990719" w:rsidR="003A07AB" w:rsidRDefault="003A07AB" w:rsidP="00263910">
      <w:pPr>
        <w:spacing w:after="120"/>
        <w:ind w:left="2410" w:hanging="2410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OPR</w:t>
      </w:r>
      <w:r>
        <w:rPr>
          <w:rFonts w:ascii="Calibri" w:hAnsi="Calibri" w:cs="Arial"/>
          <w:sz w:val="24"/>
        </w:rPr>
        <w:tab/>
        <w:t xml:space="preserve">Operační program </w:t>
      </w:r>
      <w:r w:rsidRPr="00C67EEF">
        <w:rPr>
          <w:rFonts w:ascii="Calibri" w:hAnsi="Calibri" w:cs="Arial"/>
          <w:i/>
          <w:sz w:val="24"/>
        </w:rPr>
        <w:t>Rybářství</w:t>
      </w:r>
      <w:r>
        <w:rPr>
          <w:rFonts w:ascii="Calibri" w:hAnsi="Calibri" w:cs="Arial"/>
          <w:i/>
          <w:sz w:val="24"/>
        </w:rPr>
        <w:t xml:space="preserve"> na období 2014–2020</w:t>
      </w:r>
    </w:p>
    <w:p w14:paraId="399DFBDD" w14:textId="4C43AB83" w:rsidR="003A07AB" w:rsidRDefault="003A07AB" w:rsidP="00263910">
      <w:pPr>
        <w:ind w:left="2410" w:hanging="2410"/>
        <w:rPr>
          <w:rFonts w:ascii="Calibri" w:hAnsi="Calibri" w:cs="Arial"/>
          <w:i/>
          <w:sz w:val="24"/>
        </w:rPr>
      </w:pPr>
      <w:r>
        <w:rPr>
          <w:rFonts w:ascii="Calibri" w:hAnsi="Calibri" w:cs="Arial"/>
          <w:sz w:val="24"/>
        </w:rPr>
        <w:t>Pravidla Dohody</w:t>
      </w:r>
      <w:r>
        <w:rPr>
          <w:rFonts w:ascii="Calibri" w:hAnsi="Calibri" w:cs="Arial"/>
          <w:sz w:val="24"/>
        </w:rPr>
        <w:tab/>
      </w:r>
      <w:r w:rsidRPr="00E77131">
        <w:rPr>
          <w:rFonts w:ascii="Calibri" w:hAnsi="Calibri" w:cs="Arial"/>
          <w:i/>
          <w:sz w:val="24"/>
        </w:rPr>
        <w:t>Pravidla řízení a koordinace Dohody o partnerství v</w:t>
      </w:r>
      <w:r w:rsidR="00D27B5C">
        <w:rPr>
          <w:rFonts w:ascii="Calibri" w:hAnsi="Calibri" w:cs="Arial"/>
          <w:i/>
          <w:sz w:val="24"/>
        </w:rPr>
        <w:t> </w:t>
      </w:r>
      <w:r w:rsidRPr="00E77131">
        <w:rPr>
          <w:rFonts w:ascii="Calibri" w:hAnsi="Calibri" w:cs="Arial"/>
          <w:i/>
          <w:sz w:val="24"/>
        </w:rPr>
        <w:t>programovém</w:t>
      </w:r>
    </w:p>
    <w:p w14:paraId="4548059A" w14:textId="77777777" w:rsidR="00D27B5C" w:rsidRPr="00BE4AC8" w:rsidRDefault="00D27B5C" w:rsidP="00263910">
      <w:pPr>
        <w:spacing w:after="120"/>
        <w:ind w:left="2410" w:hanging="2410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o partnerství</w:t>
      </w:r>
      <w:r>
        <w:rPr>
          <w:rFonts w:ascii="Calibri" w:hAnsi="Calibri" w:cs="Arial"/>
          <w:sz w:val="24"/>
        </w:rPr>
        <w:tab/>
      </w:r>
      <w:r w:rsidRPr="00E77131">
        <w:rPr>
          <w:rFonts w:ascii="Calibri" w:hAnsi="Calibri" w:cs="Arial"/>
          <w:i/>
          <w:sz w:val="24"/>
        </w:rPr>
        <w:t>období 2014–2020</w:t>
      </w:r>
    </w:p>
    <w:p w14:paraId="7CD42CBE" w14:textId="2D0F24E5" w:rsidR="003A07AB" w:rsidRDefault="003A07AB" w:rsidP="00263910">
      <w:pPr>
        <w:spacing w:after="120"/>
        <w:ind w:left="2410" w:hanging="2410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Program</w:t>
      </w:r>
      <w:r>
        <w:rPr>
          <w:rFonts w:ascii="Calibri" w:hAnsi="Calibri" w:cs="Arial"/>
          <w:sz w:val="24"/>
        </w:rPr>
        <w:tab/>
      </w:r>
      <w:proofErr w:type="spellStart"/>
      <w:r>
        <w:rPr>
          <w:rFonts w:ascii="Calibri" w:hAnsi="Calibri" w:cs="Arial"/>
          <w:sz w:val="24"/>
        </w:rPr>
        <w:t>Program</w:t>
      </w:r>
      <w:proofErr w:type="spellEnd"/>
      <w:r>
        <w:rPr>
          <w:rFonts w:ascii="Calibri" w:hAnsi="Calibri" w:cs="Arial"/>
          <w:sz w:val="24"/>
        </w:rPr>
        <w:t xml:space="preserve">, který je spolufinancován z evropských strukturálních a investičních fondů a přispívá k naplnění </w:t>
      </w:r>
      <w:r w:rsidRPr="004D7465">
        <w:rPr>
          <w:rFonts w:ascii="Calibri" w:hAnsi="Calibri" w:cs="Arial"/>
          <w:i/>
          <w:sz w:val="24"/>
        </w:rPr>
        <w:t>Dohody o partnerství pro programové období 2014</w:t>
      </w:r>
      <w:r>
        <w:rPr>
          <w:rFonts w:ascii="Calibri" w:hAnsi="Calibri" w:cs="Arial"/>
          <w:i/>
          <w:sz w:val="24"/>
        </w:rPr>
        <w:t>–</w:t>
      </w:r>
      <w:r w:rsidRPr="004D7465">
        <w:rPr>
          <w:rFonts w:ascii="Calibri" w:hAnsi="Calibri" w:cs="Arial"/>
          <w:i/>
          <w:sz w:val="24"/>
        </w:rPr>
        <w:t>2020</w:t>
      </w:r>
    </w:p>
    <w:tbl>
      <w:tblPr>
        <w:tblStyle w:val="Mkatabulky"/>
        <w:tblW w:w="924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9"/>
        <w:gridCol w:w="6682"/>
      </w:tblGrid>
      <w:tr w:rsidR="00082CB4" w:rsidRPr="00082CB4" w14:paraId="2E634222" w14:textId="77777777" w:rsidTr="00263910">
        <w:trPr>
          <w:trHeight w:val="1636"/>
        </w:trPr>
        <w:tc>
          <w:tcPr>
            <w:tcW w:w="2559" w:type="dxa"/>
          </w:tcPr>
          <w:p w14:paraId="2878FBC8" w14:textId="5FBE971B" w:rsidR="00082CB4" w:rsidRPr="00082CB4" w:rsidRDefault="00082CB4" w:rsidP="00263910">
            <w:pPr>
              <w:jc w:val="left"/>
              <w:rPr>
                <w:rFonts w:ascii="Calibri" w:hAnsi="Calibri"/>
                <w:sz w:val="24"/>
              </w:rPr>
            </w:pPr>
            <w:r w:rsidRPr="00082CB4">
              <w:rPr>
                <w:rFonts w:ascii="Calibri" w:hAnsi="Calibri"/>
                <w:sz w:val="24"/>
              </w:rPr>
              <w:t>Prováděcí nařízení</w:t>
            </w:r>
            <w:r w:rsidR="00263910">
              <w:rPr>
                <w:rFonts w:ascii="Calibri" w:hAnsi="Calibri"/>
                <w:sz w:val="24"/>
              </w:rPr>
              <w:t xml:space="preserve"> </w:t>
            </w:r>
            <w:r w:rsidRPr="00082CB4">
              <w:rPr>
                <w:rFonts w:ascii="Calibri" w:hAnsi="Calibri"/>
                <w:sz w:val="24"/>
              </w:rPr>
              <w:t>Komise č. 1011/2014</w:t>
            </w:r>
          </w:p>
        </w:tc>
        <w:tc>
          <w:tcPr>
            <w:tcW w:w="6682" w:type="dxa"/>
          </w:tcPr>
          <w:p w14:paraId="445FE865" w14:textId="4CC42795" w:rsidR="00082CB4" w:rsidRPr="00082CB4" w:rsidRDefault="00082CB4" w:rsidP="00263910">
            <w:pPr>
              <w:spacing w:after="120"/>
              <w:ind w:left="-110" w:right="-87"/>
              <w:rPr>
                <w:rFonts w:ascii="Calibri" w:hAnsi="Calibri"/>
                <w:sz w:val="24"/>
              </w:rPr>
            </w:pPr>
            <w:r w:rsidRPr="00082CB4">
              <w:rPr>
                <w:rFonts w:ascii="Calibri" w:hAnsi="Calibri"/>
                <w:sz w:val="24"/>
              </w:rPr>
              <w:t>Prováděcí nařízení Komise (EU) č. 1011/2014, kterým se stanoví prováděcí pravidla k nařízení Evropského parlamentu a Rady (EU) č. 1303/2013, pokud jde o vzory pro předkládání určitých informací Komisi, a podrobná pravidla týkající se výměny informací mezi příjemci a řídicími orgány, certifikačními orgány, auditními orgány a zprostředkujícími subjekty</w:t>
            </w:r>
          </w:p>
        </w:tc>
      </w:tr>
    </w:tbl>
    <w:p w14:paraId="18CAEAE0" w14:textId="04191598" w:rsidR="003A07AB" w:rsidRDefault="003A07AB" w:rsidP="00263910">
      <w:pPr>
        <w:spacing w:after="120"/>
        <w:ind w:left="2410" w:hanging="2410"/>
        <w:rPr>
          <w:rFonts w:ascii="Calibri" w:hAnsi="Calibri"/>
          <w:sz w:val="24"/>
        </w:rPr>
      </w:pPr>
      <w:r w:rsidRPr="00BE4AC8">
        <w:rPr>
          <w:rFonts w:ascii="Calibri" w:hAnsi="Calibri"/>
          <w:sz w:val="24"/>
        </w:rPr>
        <w:t>PRV</w:t>
      </w:r>
      <w:r w:rsidRPr="00BE4AC8">
        <w:rPr>
          <w:rFonts w:ascii="Calibri" w:hAnsi="Calibri"/>
          <w:sz w:val="24"/>
        </w:rPr>
        <w:tab/>
      </w:r>
      <w:r w:rsidRPr="00955518">
        <w:rPr>
          <w:rFonts w:ascii="Calibri" w:hAnsi="Calibri"/>
          <w:i/>
          <w:sz w:val="24"/>
        </w:rPr>
        <w:t>Program rozvoje venkova</w:t>
      </w:r>
      <w:r>
        <w:rPr>
          <w:rFonts w:ascii="Calibri" w:hAnsi="Calibri"/>
          <w:i/>
          <w:sz w:val="24"/>
        </w:rPr>
        <w:t xml:space="preserve"> na období 2014–2020</w:t>
      </w:r>
    </w:p>
    <w:p w14:paraId="3BA15E61" w14:textId="77777777" w:rsidR="003A07AB" w:rsidRDefault="003A07AB" w:rsidP="00263910">
      <w:pPr>
        <w:spacing w:after="120"/>
        <w:ind w:left="2410" w:hanging="241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ŘO</w:t>
      </w:r>
      <w:r>
        <w:rPr>
          <w:rFonts w:ascii="Calibri" w:hAnsi="Calibri"/>
          <w:sz w:val="24"/>
        </w:rPr>
        <w:tab/>
        <w:t>Řídicí orgány (subjekty zodpovědné za řízení operačních programů)</w:t>
      </w:r>
    </w:p>
    <w:p w14:paraId="38AE8242" w14:textId="2DD3D2B6" w:rsidR="003A07AB" w:rsidRDefault="003A07AB" w:rsidP="00263910">
      <w:pPr>
        <w:keepNext/>
        <w:spacing w:after="120"/>
        <w:ind w:left="2410" w:hanging="241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SZIF</w:t>
      </w:r>
      <w:r>
        <w:rPr>
          <w:rFonts w:ascii="Calibri" w:hAnsi="Calibri"/>
          <w:sz w:val="24"/>
        </w:rPr>
        <w:tab/>
        <w:t>Státní zemědělský intervenční fond</w:t>
      </w:r>
    </w:p>
    <w:p w14:paraId="6D2B51AB" w14:textId="77777777" w:rsidR="00027972" w:rsidRDefault="00027972" w:rsidP="00C47DB0">
      <w:pPr>
        <w:tabs>
          <w:tab w:val="left" w:pos="2268"/>
        </w:tabs>
        <w:spacing w:after="160" w:line="259" w:lineRule="auto"/>
        <w:ind w:left="2268" w:hanging="2268"/>
        <w:rPr>
          <w:rFonts w:ascii="Calibri" w:hAnsi="Calibri"/>
          <w:sz w:val="24"/>
        </w:rPr>
        <w:sectPr w:rsidR="00027972" w:rsidSect="000C7F32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235E03B8" w14:textId="5AC0B63B" w:rsidR="00027972" w:rsidRDefault="00027972" w:rsidP="00027972">
      <w:pPr>
        <w:spacing w:after="160" w:line="259" w:lineRule="auto"/>
        <w:ind w:left="-851" w:right="-851"/>
        <w:rPr>
          <w:rFonts w:ascii="Calibri" w:hAnsi="Calibri"/>
          <w:sz w:val="24"/>
        </w:rPr>
        <w:sectPr w:rsidR="00027972" w:rsidSect="00027972">
          <w:pgSz w:w="11906" w:h="16838"/>
          <w:pgMar w:top="426" w:right="1417" w:bottom="1560" w:left="1417" w:header="709" w:footer="709" w:gutter="0"/>
          <w:cols w:space="708"/>
          <w:docGrid w:linePitch="360"/>
        </w:sect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2848" behindDoc="0" locked="0" layoutInCell="1" allowOverlap="1" wp14:anchorId="2E1BE60D" wp14:editId="0D3DDDAE">
            <wp:simplePos x="0" y="0"/>
            <wp:positionH relativeFrom="margin">
              <wp:posOffset>-2219325</wp:posOffset>
            </wp:positionH>
            <wp:positionV relativeFrom="margin">
              <wp:posOffset>989965</wp:posOffset>
            </wp:positionV>
            <wp:extent cx="10257790" cy="7077075"/>
            <wp:effectExtent l="9207" t="0" r="318" b="317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257790" cy="707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21EC38" w14:textId="77777777" w:rsidR="00027972" w:rsidRPr="00564ED1" w:rsidRDefault="00027972" w:rsidP="00027972">
      <w:pPr>
        <w:pStyle w:val="Nadpistabulky"/>
        <w:tabs>
          <w:tab w:val="clear" w:pos="1701"/>
        </w:tabs>
        <w:ind w:left="1361" w:hanging="1361"/>
        <w:rPr>
          <w:b/>
        </w:rPr>
      </w:pPr>
      <w:r>
        <w:rPr>
          <w:b/>
        </w:rPr>
        <w:lastRenderedPageBreak/>
        <w:t>Graf č. 1 – P</w:t>
      </w:r>
      <w:r w:rsidRPr="00564ED1">
        <w:rPr>
          <w:b/>
        </w:rPr>
        <w:t>oč</w:t>
      </w:r>
      <w:r>
        <w:rPr>
          <w:b/>
        </w:rPr>
        <w:t>ty</w:t>
      </w:r>
      <w:r w:rsidRPr="00564ED1">
        <w:rPr>
          <w:b/>
        </w:rPr>
        <w:t xml:space="preserve"> incidentů členěn</w:t>
      </w:r>
      <w:r>
        <w:rPr>
          <w:b/>
        </w:rPr>
        <w:t>é</w:t>
      </w:r>
      <w:r w:rsidRPr="00564ED1">
        <w:rPr>
          <w:b/>
        </w:rPr>
        <w:t xml:space="preserve"> dle kategorie incidentu</w:t>
      </w:r>
      <w:r w:rsidRPr="00564ED1">
        <w:rPr>
          <w:rStyle w:val="Znakapoznpodarou"/>
          <w:b/>
        </w:rPr>
        <w:footnoteReference w:id="26"/>
      </w:r>
      <w:r w:rsidRPr="00564ED1">
        <w:rPr>
          <w:b/>
        </w:rPr>
        <w:t xml:space="preserve"> a provozního prostředí</w:t>
      </w:r>
    </w:p>
    <w:p w14:paraId="246FDED6" w14:textId="77777777" w:rsidR="00027972" w:rsidRDefault="00027972" w:rsidP="00027972">
      <w:pPr>
        <w:pStyle w:val="Poznmkapodtabulkou"/>
        <w:ind w:left="0" w:firstLine="0"/>
      </w:pPr>
      <w:r>
        <w:rPr>
          <w:noProof/>
          <w:lang w:eastAsia="cs-CZ"/>
        </w:rPr>
        <w:drawing>
          <wp:inline distT="0" distB="0" distL="0" distR="0" wp14:anchorId="4912F725" wp14:editId="77A01F02">
            <wp:extent cx="5760720" cy="5767014"/>
            <wp:effectExtent l="0" t="0" r="0" b="0"/>
            <wp:docPr id="8" name="Graf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72C47DF2" w14:textId="77777777" w:rsidR="00027972" w:rsidRPr="000842AD" w:rsidRDefault="00027972" w:rsidP="00027972">
      <w:pPr>
        <w:pStyle w:val="Poznmkapodtabulkou"/>
        <w:keepNext/>
        <w:tabs>
          <w:tab w:val="clear" w:pos="1134"/>
          <w:tab w:val="left" w:pos="567"/>
        </w:tabs>
        <w:ind w:left="0" w:firstLine="0"/>
        <w:rPr>
          <w:i w:val="0"/>
        </w:rPr>
      </w:pPr>
      <w:r w:rsidRPr="000842AD">
        <w:rPr>
          <w:b/>
          <w:i w:val="0"/>
        </w:rPr>
        <w:t>Zdroj:</w:t>
      </w:r>
      <w:r w:rsidRPr="000842AD">
        <w:rPr>
          <w:i w:val="0"/>
        </w:rPr>
        <w:tab/>
        <w:t>vlastní zpracování NKÚ na základě podkladů MMR.</w:t>
      </w:r>
    </w:p>
    <w:p w14:paraId="7720B4AE" w14:textId="77777777" w:rsidR="00027972" w:rsidRPr="00DF64C2" w:rsidRDefault="00027972" w:rsidP="00027972">
      <w:pPr>
        <w:pStyle w:val="Poznmkapodtabulkou"/>
        <w:tabs>
          <w:tab w:val="clear" w:pos="1134"/>
        </w:tabs>
        <w:ind w:left="567" w:hanging="567"/>
        <w:rPr>
          <w:i w:val="0"/>
        </w:rPr>
      </w:pPr>
      <w:r w:rsidRPr="000842AD">
        <w:rPr>
          <w:b/>
          <w:i w:val="0"/>
        </w:rPr>
        <w:t>Pozn.:</w:t>
      </w:r>
      <w:r w:rsidRPr="000842AD">
        <w:rPr>
          <w:i w:val="0"/>
        </w:rPr>
        <w:tab/>
        <w:t>Data byla členěna podle typu provozního prostředí (produkční, referenční, testovací). Jelikož v období od 7. 11. 2014 do 25. 8. 2015 MMR nekategorizovalo provozní prostředí, kde k incidentu došlo, je pro toto období zaveden typ prostředí „Neuvedeno“.</w:t>
      </w:r>
    </w:p>
    <w:p w14:paraId="3CC07C82" w14:textId="77777777" w:rsidR="00027972" w:rsidRPr="00564ED1" w:rsidRDefault="00027972" w:rsidP="00027972">
      <w:pPr>
        <w:pStyle w:val="Nadpistabulky"/>
        <w:tabs>
          <w:tab w:val="clear" w:pos="1701"/>
        </w:tabs>
        <w:spacing w:before="240"/>
        <w:ind w:left="1060" w:hanging="1060"/>
        <w:rPr>
          <w:b/>
        </w:rPr>
      </w:pPr>
      <w:r w:rsidRPr="00564ED1">
        <w:rPr>
          <w:b/>
        </w:rPr>
        <w:lastRenderedPageBreak/>
        <w:t xml:space="preserve">Graf č. 2 – </w:t>
      </w:r>
      <w:r>
        <w:rPr>
          <w:b/>
        </w:rPr>
        <w:tab/>
      </w:r>
      <w:r w:rsidRPr="00564ED1">
        <w:rPr>
          <w:b/>
        </w:rPr>
        <w:t>Celkový počet incidentů za kalendářní měsíc v období od listopadu 2014 do dubna 2016 dle typu provozního prostředí</w:t>
      </w:r>
    </w:p>
    <w:p w14:paraId="3F756676" w14:textId="77777777" w:rsidR="00027972" w:rsidRDefault="00027972" w:rsidP="00027972">
      <w:pPr>
        <w:pStyle w:val="KP-normlntext"/>
        <w:spacing w:after="0"/>
        <w:ind w:firstLine="0"/>
        <w:rPr>
          <w:i/>
          <w:noProof/>
          <w:sz w:val="20"/>
          <w:lang w:eastAsia="cs-CZ"/>
        </w:rPr>
      </w:pPr>
      <w:r>
        <w:rPr>
          <w:noProof/>
          <w:lang w:val="cs-CZ" w:eastAsia="cs-CZ"/>
        </w:rPr>
        <w:drawing>
          <wp:inline distT="0" distB="0" distL="0" distR="0" wp14:anchorId="54D27507" wp14:editId="28E07D90">
            <wp:extent cx="5760720" cy="3426221"/>
            <wp:effectExtent l="0" t="0" r="0" b="3175"/>
            <wp:docPr id="9" name="Obrázek 9" descr="F:\Users\KULHANKOVAL\AppData\Local\Microsoft\Windows\Temporary Internet Files\Content.Word\gRAF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sers\KULHANKOVAL\AppData\Local\Microsoft\Windows\Temporary Internet Files\Content.Word\gRAF_2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2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8918A" w14:textId="77777777" w:rsidR="00027972" w:rsidRPr="005A5CCD" w:rsidRDefault="00027972" w:rsidP="00027972">
      <w:pPr>
        <w:pStyle w:val="Poznmkapodtabulkou"/>
        <w:keepNext/>
        <w:tabs>
          <w:tab w:val="clear" w:pos="1134"/>
        </w:tabs>
        <w:spacing w:after="0"/>
        <w:ind w:left="567" w:hanging="567"/>
        <w:contextualSpacing w:val="0"/>
        <w:rPr>
          <w:i w:val="0"/>
        </w:rPr>
      </w:pPr>
      <w:r w:rsidRPr="005A5CCD">
        <w:rPr>
          <w:b/>
          <w:i w:val="0"/>
        </w:rPr>
        <w:t>Zdroj:</w:t>
      </w:r>
      <w:r w:rsidRPr="005A5CCD">
        <w:rPr>
          <w:i w:val="0"/>
        </w:rPr>
        <w:tab/>
      </w:r>
      <w:r>
        <w:rPr>
          <w:i w:val="0"/>
        </w:rPr>
        <w:t>v</w:t>
      </w:r>
      <w:r w:rsidRPr="005A5CCD">
        <w:rPr>
          <w:i w:val="0"/>
        </w:rPr>
        <w:t>lastní zpracování NKÚ na základě podkladů MMR.</w:t>
      </w:r>
    </w:p>
    <w:p w14:paraId="1624185A" w14:textId="77777777" w:rsidR="00027972" w:rsidRPr="005A5CCD" w:rsidRDefault="00027972" w:rsidP="00027972">
      <w:pPr>
        <w:pStyle w:val="Poznmkapodtabulkou"/>
        <w:tabs>
          <w:tab w:val="clear" w:pos="1134"/>
        </w:tabs>
        <w:ind w:left="567" w:hanging="567"/>
        <w:contextualSpacing w:val="0"/>
        <w:rPr>
          <w:i w:val="0"/>
        </w:rPr>
      </w:pPr>
      <w:r w:rsidRPr="005A5CCD">
        <w:rPr>
          <w:b/>
          <w:i w:val="0"/>
        </w:rPr>
        <w:t>Pozn.:</w:t>
      </w:r>
      <w:r w:rsidRPr="005A5CCD">
        <w:rPr>
          <w:i w:val="0"/>
        </w:rPr>
        <w:tab/>
        <w:t>Data byla členěna podle typu provozního prostředí (produkční, referenční, testovací). Jelikož v období od 7. 11. 2014 do 25. 8. 2015 MMR nekategorizovalo provozní prostředí, kde k incidentu došlo, je pro toto období zaveden typ prostředí „Neuvedeno“.</w:t>
      </w:r>
    </w:p>
    <w:p w14:paraId="01C6F789" w14:textId="77777777" w:rsidR="00027972" w:rsidRDefault="00027972" w:rsidP="00027972"/>
    <w:p w14:paraId="59D84178" w14:textId="7D042720" w:rsidR="00B83B84" w:rsidRDefault="00B83B84" w:rsidP="00027972">
      <w:pPr>
        <w:spacing w:after="160" w:line="259" w:lineRule="auto"/>
        <w:rPr>
          <w:rFonts w:ascii="Calibri" w:hAnsi="Calibri"/>
          <w:sz w:val="24"/>
        </w:rPr>
      </w:pPr>
    </w:p>
    <w:sectPr w:rsidR="00B83B84" w:rsidSect="004C24C0">
      <w:footerReference w:type="default" r:id="rId28"/>
      <w:headerReference w:type="first" r:id="rId29"/>
      <w:pgSz w:w="11906" w:h="16838"/>
      <w:pgMar w:top="1417" w:right="1417" w:bottom="1417" w:left="1417" w:header="709" w:footer="709" w:gutter="0"/>
      <w:pgNumType w:start="2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ECEE5" w14:textId="77777777" w:rsidR="001F79F5" w:rsidRDefault="001F79F5" w:rsidP="00AB4D3E">
      <w:r>
        <w:separator/>
      </w:r>
    </w:p>
    <w:p w14:paraId="5483FD0F" w14:textId="77777777" w:rsidR="001F79F5" w:rsidRDefault="001F79F5"/>
  </w:endnote>
  <w:endnote w:type="continuationSeparator" w:id="0">
    <w:p w14:paraId="3EA057F3" w14:textId="77777777" w:rsidR="001F79F5" w:rsidRDefault="001F79F5" w:rsidP="00AB4D3E">
      <w:r>
        <w:continuationSeparator/>
      </w:r>
    </w:p>
    <w:p w14:paraId="285AE603" w14:textId="77777777" w:rsidR="001F79F5" w:rsidRDefault="001F79F5"/>
  </w:endnote>
  <w:endnote w:type="continuationNotice" w:id="1">
    <w:p w14:paraId="4A96EF5F" w14:textId="77777777" w:rsidR="001F79F5" w:rsidRDefault="001F79F5"/>
    <w:p w14:paraId="1B69D9D8" w14:textId="77777777" w:rsidR="001F79F5" w:rsidRDefault="001F79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FCHLL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51B5D" w14:textId="77777777" w:rsidR="001F79F5" w:rsidRDefault="001F79F5">
    <w:pPr>
      <w:pStyle w:val="Zpat"/>
    </w:pPr>
  </w:p>
  <w:p w14:paraId="7887A00A" w14:textId="77777777" w:rsidR="001F79F5" w:rsidRDefault="001F79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475C0" w14:textId="3EDA80C2" w:rsidR="001F79F5" w:rsidRPr="00667083" w:rsidRDefault="001F79F5" w:rsidP="005E654A">
    <w:pPr>
      <w:pStyle w:val="Zpat"/>
      <w:tabs>
        <w:tab w:val="clear" w:pos="4536"/>
      </w:tabs>
      <w:jc w:val="center"/>
      <w:rPr>
        <w:rFonts w:ascii="Calibri" w:hAnsi="Calibri" w:cs="Calibri"/>
        <w:lang w:val="cs-CZ"/>
      </w:rPr>
    </w:pPr>
    <w:r w:rsidRPr="00667083">
      <w:rPr>
        <w:rFonts w:ascii="Calibri" w:hAnsi="Calibri" w:cs="Calibri"/>
      </w:rPr>
      <w:fldChar w:fldCharType="begin"/>
    </w:r>
    <w:r w:rsidRPr="00667083">
      <w:rPr>
        <w:rFonts w:ascii="Calibri" w:hAnsi="Calibri" w:cs="Calibri"/>
      </w:rPr>
      <w:instrText xml:space="preserve"> PAGE   \* MERGEFORMAT </w:instrText>
    </w:r>
    <w:r w:rsidRPr="00667083">
      <w:rPr>
        <w:rFonts w:ascii="Calibri" w:hAnsi="Calibri" w:cs="Calibri"/>
      </w:rPr>
      <w:fldChar w:fldCharType="separate"/>
    </w:r>
    <w:r w:rsidR="00027972">
      <w:rPr>
        <w:rFonts w:ascii="Calibri" w:hAnsi="Calibri" w:cs="Calibri"/>
        <w:noProof/>
      </w:rPr>
      <w:t>21</w:t>
    </w:r>
    <w:r w:rsidRPr="00667083">
      <w:rPr>
        <w:rFonts w:ascii="Calibri" w:hAnsi="Calibri" w:cs="Calibri"/>
      </w:rPr>
      <w:fldChar w:fldCharType="end"/>
    </w:r>
  </w:p>
  <w:p w14:paraId="32761AAC" w14:textId="77777777" w:rsidR="001F79F5" w:rsidRDefault="001F79F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815282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BA4EE8A" w14:textId="444CB91B" w:rsidR="00AF5434" w:rsidRPr="004F5CC5" w:rsidRDefault="00027972">
        <w:pPr>
          <w:pStyle w:val="Zpat"/>
          <w:jc w:val="center"/>
          <w:rPr>
            <w:rFonts w:asciiTheme="minorHAnsi" w:hAnsiTheme="minorHAnsi" w:cstheme="minorHAnsi"/>
          </w:rPr>
        </w:pPr>
        <w:r w:rsidRPr="004F5CC5">
          <w:rPr>
            <w:rFonts w:asciiTheme="minorHAnsi" w:hAnsiTheme="minorHAnsi" w:cstheme="minorHAnsi"/>
          </w:rPr>
          <w:fldChar w:fldCharType="begin"/>
        </w:r>
        <w:r w:rsidRPr="004F5CC5">
          <w:rPr>
            <w:rFonts w:asciiTheme="minorHAnsi" w:hAnsiTheme="minorHAnsi" w:cstheme="minorHAnsi"/>
          </w:rPr>
          <w:instrText>PAGE   \* MERGEFORMAT</w:instrText>
        </w:r>
        <w:r w:rsidRPr="004F5CC5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23</w:t>
        </w:r>
        <w:r w:rsidRPr="004F5CC5">
          <w:rPr>
            <w:rFonts w:asciiTheme="minorHAnsi" w:hAnsiTheme="minorHAnsi" w:cstheme="minorHAnsi"/>
          </w:rPr>
          <w:fldChar w:fldCharType="end"/>
        </w:r>
      </w:p>
    </w:sdtContent>
  </w:sdt>
  <w:p w14:paraId="215FD7B0" w14:textId="77777777" w:rsidR="00AF5434" w:rsidRDefault="000279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D3A4B" w14:textId="77777777" w:rsidR="001F79F5" w:rsidRDefault="001F79F5" w:rsidP="00AB4D3E">
      <w:r>
        <w:separator/>
      </w:r>
    </w:p>
  </w:footnote>
  <w:footnote w:type="continuationSeparator" w:id="0">
    <w:p w14:paraId="5F3DF702" w14:textId="77777777" w:rsidR="001F79F5" w:rsidRDefault="001F79F5" w:rsidP="00AB4D3E">
      <w:r>
        <w:continuationSeparator/>
      </w:r>
    </w:p>
    <w:p w14:paraId="6739FF89" w14:textId="77777777" w:rsidR="001F79F5" w:rsidRDefault="001F79F5"/>
  </w:footnote>
  <w:footnote w:type="continuationNotice" w:id="1">
    <w:p w14:paraId="0C0328FE" w14:textId="77777777" w:rsidR="001F79F5" w:rsidRDefault="001F79F5"/>
    <w:p w14:paraId="70483C89" w14:textId="77777777" w:rsidR="001F79F5" w:rsidRDefault="001F79F5"/>
  </w:footnote>
  <w:footnote w:id="2">
    <w:p w14:paraId="498D2AA6" w14:textId="77777777" w:rsidR="001F79F5" w:rsidRPr="008F741D" w:rsidRDefault="001F79F5" w:rsidP="008F741D">
      <w:pPr>
        <w:pStyle w:val="poznmka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lang w:val="cs-CZ"/>
        </w:rPr>
        <w:t xml:space="preserve">Mezi ESI fondy se řadí </w:t>
      </w:r>
      <w:r w:rsidRPr="007F65A0">
        <w:rPr>
          <w:i/>
          <w:lang w:val="cs-CZ"/>
        </w:rPr>
        <w:t>Evropský fond pro regionální rozvoj</w:t>
      </w:r>
      <w:r>
        <w:rPr>
          <w:lang w:val="cs-CZ"/>
        </w:rPr>
        <w:t xml:space="preserve">, </w:t>
      </w:r>
      <w:r w:rsidRPr="007F65A0">
        <w:rPr>
          <w:i/>
          <w:lang w:val="cs-CZ"/>
        </w:rPr>
        <w:t>Evropský sociální fond</w:t>
      </w:r>
      <w:r>
        <w:rPr>
          <w:lang w:val="cs-CZ"/>
        </w:rPr>
        <w:t xml:space="preserve">, </w:t>
      </w:r>
      <w:r w:rsidRPr="007F65A0">
        <w:rPr>
          <w:i/>
          <w:lang w:val="cs-CZ"/>
        </w:rPr>
        <w:t>Fond soudržnosti</w:t>
      </w:r>
      <w:r>
        <w:rPr>
          <w:lang w:val="cs-CZ"/>
        </w:rPr>
        <w:t xml:space="preserve">, </w:t>
      </w:r>
      <w:r w:rsidRPr="007F65A0">
        <w:rPr>
          <w:i/>
          <w:lang w:val="cs-CZ"/>
        </w:rPr>
        <w:t>Evropský zemědělský fond pro rozvoj venkova</w:t>
      </w:r>
      <w:r>
        <w:rPr>
          <w:lang w:val="cs-CZ"/>
        </w:rPr>
        <w:t xml:space="preserve"> a </w:t>
      </w:r>
      <w:r w:rsidRPr="007F65A0">
        <w:rPr>
          <w:i/>
          <w:lang w:val="cs-CZ"/>
        </w:rPr>
        <w:t>Evropský námořní a rybářský fond</w:t>
      </w:r>
      <w:r>
        <w:rPr>
          <w:lang w:val="cs-CZ"/>
        </w:rPr>
        <w:t>.</w:t>
      </w:r>
    </w:p>
  </w:footnote>
  <w:footnote w:id="3">
    <w:p w14:paraId="2D55C89E" w14:textId="36677058" w:rsidR="001F79F5" w:rsidRPr="00147A78" w:rsidRDefault="001F79F5" w:rsidP="005A353C">
      <w:pPr>
        <w:pStyle w:val="poznmka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3D7143">
        <w:rPr>
          <w:i/>
        </w:rPr>
        <w:t xml:space="preserve">Dohoda o partnerství </w:t>
      </w:r>
      <w:r w:rsidRPr="003D7143">
        <w:rPr>
          <w:i/>
          <w:lang w:val="cs-CZ"/>
        </w:rPr>
        <w:t>pro programové období 2014</w:t>
      </w:r>
      <w:r>
        <w:rPr>
          <w:i/>
          <w:lang w:val="cs-CZ"/>
        </w:rPr>
        <w:t>–</w:t>
      </w:r>
      <w:r w:rsidRPr="003D7143">
        <w:rPr>
          <w:i/>
          <w:lang w:val="cs-CZ"/>
        </w:rPr>
        <w:t>2020</w:t>
      </w:r>
      <w:r w:rsidRPr="003D7143">
        <w:rPr>
          <w:lang w:val="cs-CZ"/>
        </w:rPr>
        <w:t xml:space="preserve"> </w:t>
      </w:r>
      <w:r>
        <w:rPr>
          <w:lang w:val="cs-CZ"/>
        </w:rPr>
        <w:t xml:space="preserve">(dále jen „Dohoda o partnerství“) </w:t>
      </w:r>
      <w:r w:rsidRPr="003D7143">
        <w:t xml:space="preserve">je </w:t>
      </w:r>
      <w:r w:rsidRPr="003D7143">
        <w:rPr>
          <w:lang w:val="cs-CZ"/>
        </w:rPr>
        <w:t xml:space="preserve">strategický </w:t>
      </w:r>
      <w:r w:rsidRPr="003D7143">
        <w:t>dokument</w:t>
      </w:r>
      <w:r w:rsidRPr="003D7143">
        <w:rPr>
          <w:lang w:val="cs-CZ"/>
        </w:rPr>
        <w:t xml:space="preserve">, který stanoví cíle a priority pro efektivní využívání ESI fondů za účelem naplňování strategie </w:t>
      </w:r>
      <w:r w:rsidRPr="007F65A0">
        <w:rPr>
          <w:i/>
          <w:lang w:val="cs-CZ"/>
        </w:rPr>
        <w:t>Evropa</w:t>
      </w:r>
      <w:r>
        <w:rPr>
          <w:i/>
          <w:lang w:val="cs-CZ"/>
        </w:rPr>
        <w:t> </w:t>
      </w:r>
      <w:r w:rsidRPr="007F65A0">
        <w:rPr>
          <w:i/>
          <w:lang w:val="cs-CZ"/>
        </w:rPr>
        <w:t>2020</w:t>
      </w:r>
      <w:r w:rsidRPr="003D7143">
        <w:rPr>
          <w:lang w:val="cs-CZ"/>
        </w:rPr>
        <w:t>. Dohodu o partnerství MMR připravovalo v rámci širokého partnerství, které zahrnovalo zástupce Evropské komise, ostatních resortů, regionálních i místních samospráv, zaměstnavatelských i</w:t>
      </w:r>
      <w:r>
        <w:rPr>
          <w:lang w:val="cs-CZ"/>
        </w:rPr>
        <w:t> </w:t>
      </w:r>
      <w:r w:rsidRPr="003D7143">
        <w:rPr>
          <w:lang w:val="cs-CZ"/>
        </w:rPr>
        <w:t>zaměstnaneckých svazů, neziskového sektoru, akademické sféry a mnohé další. Dohoda o partnerství je tedy dokument založený na široké shodě všech zainteresovaných aktérů v České republice. Dohoda o</w:t>
      </w:r>
      <w:r>
        <w:rPr>
          <w:lang w:val="cs-CZ"/>
        </w:rPr>
        <w:t> </w:t>
      </w:r>
      <w:r w:rsidRPr="003D7143">
        <w:rPr>
          <w:lang w:val="cs-CZ"/>
        </w:rPr>
        <w:t>partnerství byla definitivně schválena Evropskou komisí dne 26. 8. 2014.</w:t>
      </w:r>
    </w:p>
  </w:footnote>
  <w:footnote w:id="4">
    <w:p w14:paraId="3C93D402" w14:textId="1A391E69" w:rsidR="001F79F5" w:rsidRPr="009F59A4" w:rsidRDefault="001F79F5" w:rsidP="009F59A4">
      <w:pPr>
        <w:pStyle w:val="poznmka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lang w:val="cs-CZ"/>
        </w:rPr>
        <w:t>Zákon č. 248/2000 Sb., o podpoře regionálního rozvoje.</w:t>
      </w:r>
    </w:p>
  </w:footnote>
  <w:footnote w:id="5">
    <w:p w14:paraId="6E58AFC0" w14:textId="0EFDD450" w:rsidR="001F79F5" w:rsidRPr="00310B34" w:rsidRDefault="001F79F5" w:rsidP="00310B34">
      <w:pPr>
        <w:pStyle w:val="poznmka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lang w:val="cs-CZ"/>
        </w:rPr>
        <w:t xml:space="preserve">Designace </w:t>
      </w:r>
      <w:r w:rsidRPr="00CD36CF">
        <w:rPr>
          <w:lang w:val="cs-CZ"/>
        </w:rPr>
        <w:t>je post</w:t>
      </w:r>
      <w:r>
        <w:rPr>
          <w:lang w:val="cs-CZ"/>
        </w:rPr>
        <w:t>up pro určení řídicích orgánů operačních programů</w:t>
      </w:r>
      <w:r w:rsidRPr="00CD36CF">
        <w:rPr>
          <w:lang w:val="cs-CZ"/>
        </w:rPr>
        <w:t xml:space="preserve"> a certifikačního orgánu</w:t>
      </w:r>
      <w:r>
        <w:rPr>
          <w:lang w:val="cs-CZ"/>
        </w:rPr>
        <w:t>;</w:t>
      </w:r>
      <w:r w:rsidRPr="00CD36CF">
        <w:rPr>
          <w:lang w:val="cs-CZ"/>
        </w:rPr>
        <w:t xml:space="preserve"> </w:t>
      </w:r>
      <w:r>
        <w:rPr>
          <w:lang w:val="cs-CZ"/>
        </w:rPr>
        <w:t xml:space="preserve">designaci </w:t>
      </w:r>
      <w:r w:rsidRPr="00CD36CF">
        <w:rPr>
          <w:lang w:val="cs-CZ"/>
        </w:rPr>
        <w:t xml:space="preserve">provádí </w:t>
      </w:r>
      <w:r>
        <w:rPr>
          <w:lang w:val="cs-CZ"/>
        </w:rPr>
        <w:t xml:space="preserve">designační orgán na základě auditu provedeného </w:t>
      </w:r>
      <w:r w:rsidR="00AE6A36">
        <w:rPr>
          <w:lang w:val="cs-CZ"/>
        </w:rPr>
        <w:t>a</w:t>
      </w:r>
      <w:r w:rsidR="00C71D4D" w:rsidRPr="00CD36CF">
        <w:rPr>
          <w:lang w:val="cs-CZ"/>
        </w:rPr>
        <w:t>uditní</w:t>
      </w:r>
      <w:r w:rsidR="00C71D4D">
        <w:rPr>
          <w:lang w:val="cs-CZ"/>
        </w:rPr>
        <w:t>m</w:t>
      </w:r>
      <w:r w:rsidR="00C71D4D" w:rsidRPr="00CD36CF">
        <w:rPr>
          <w:lang w:val="cs-CZ"/>
        </w:rPr>
        <w:t xml:space="preserve"> </w:t>
      </w:r>
      <w:r w:rsidRPr="00CD36CF">
        <w:rPr>
          <w:lang w:val="cs-CZ"/>
        </w:rPr>
        <w:t>orgán</w:t>
      </w:r>
      <w:r>
        <w:rPr>
          <w:lang w:val="cs-CZ"/>
        </w:rPr>
        <w:t>em</w:t>
      </w:r>
      <w:r w:rsidRPr="00CD36CF">
        <w:rPr>
          <w:lang w:val="cs-CZ"/>
        </w:rPr>
        <w:t xml:space="preserve"> </w:t>
      </w:r>
      <w:r>
        <w:rPr>
          <w:lang w:val="cs-CZ"/>
        </w:rPr>
        <w:t xml:space="preserve">(AO) </w:t>
      </w:r>
      <w:r w:rsidRPr="00CD36CF">
        <w:rPr>
          <w:lang w:val="cs-CZ"/>
        </w:rPr>
        <w:t xml:space="preserve">členského státu. </w:t>
      </w:r>
      <w:r>
        <w:rPr>
          <w:lang w:val="cs-CZ"/>
        </w:rPr>
        <w:t>AO</w:t>
      </w:r>
      <w:r w:rsidRPr="00CD36CF">
        <w:rPr>
          <w:lang w:val="cs-CZ"/>
        </w:rPr>
        <w:t xml:space="preserve"> vydává stanovisko po přezkoumání řady kritérií n</w:t>
      </w:r>
      <w:r>
        <w:rPr>
          <w:lang w:val="cs-CZ"/>
        </w:rPr>
        <w:t>a základě žádosti příslušného řídicího orgánu</w:t>
      </w:r>
      <w:r w:rsidRPr="00CD36CF">
        <w:rPr>
          <w:lang w:val="cs-CZ"/>
        </w:rPr>
        <w:t xml:space="preserve">. Konkrétní postup je upraven v čl. 124 </w:t>
      </w:r>
      <w:r>
        <w:t>nařízení Evropského parlamentu a Rady (EU) č. 1303/2013 ze dne 17. prosince 2013</w:t>
      </w:r>
      <w:r>
        <w:rPr>
          <w:lang w:val="cs-CZ"/>
        </w:rPr>
        <w:t xml:space="preserve"> (tzv. </w:t>
      </w:r>
      <w:r w:rsidRPr="00CD36CF">
        <w:rPr>
          <w:lang w:val="cs-CZ"/>
        </w:rPr>
        <w:t>obecné nařízení</w:t>
      </w:r>
      <w:r>
        <w:rPr>
          <w:lang w:val="cs-CZ"/>
        </w:rPr>
        <w:t>)</w:t>
      </w:r>
      <w:r w:rsidRPr="00CD36CF">
        <w:rPr>
          <w:lang w:val="cs-CZ"/>
        </w:rPr>
        <w:t>.</w:t>
      </w:r>
    </w:p>
  </w:footnote>
  <w:footnote w:id="6">
    <w:p w14:paraId="5B5B5AF9" w14:textId="77777777" w:rsidR="001F79F5" w:rsidRDefault="001F79F5" w:rsidP="00330903">
      <w:pPr>
        <w:pStyle w:val="poznmkapodarou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lang w:val="cs-CZ"/>
        </w:rPr>
        <w:t xml:space="preserve">Obecné nařízení </w:t>
      </w:r>
      <w:r>
        <w:t xml:space="preserve">bylo vydáno </w:t>
      </w:r>
      <w:r>
        <w:rPr>
          <w:lang w:val="cs-CZ"/>
        </w:rPr>
        <w:t>v prosinci</w:t>
      </w:r>
      <w:r>
        <w:t> 2013.</w:t>
      </w:r>
    </w:p>
  </w:footnote>
  <w:footnote w:id="7">
    <w:p w14:paraId="5ABDF6F8" w14:textId="3CEAF5CE" w:rsidR="001F79F5" w:rsidRDefault="001F79F5" w:rsidP="00330903">
      <w:pPr>
        <w:pStyle w:val="poznmka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C07E58">
        <w:t xml:space="preserve">Prováděcí nařízení Komise </w:t>
      </w:r>
      <w:r>
        <w:rPr>
          <w:lang w:val="cs-CZ"/>
        </w:rPr>
        <w:t xml:space="preserve">(EU) </w:t>
      </w:r>
      <w:r w:rsidRPr="00C07E58">
        <w:t>č. 1011/2014</w:t>
      </w:r>
      <w:r>
        <w:rPr>
          <w:lang w:val="cs-CZ"/>
        </w:rPr>
        <w:t xml:space="preserve"> </w:t>
      </w:r>
      <w:r>
        <w:t xml:space="preserve">bylo </w:t>
      </w:r>
      <w:r w:rsidRPr="003D7143">
        <w:t xml:space="preserve">vydáno </w:t>
      </w:r>
      <w:r w:rsidRPr="003D7143">
        <w:rPr>
          <w:lang w:val="cs-CZ"/>
        </w:rPr>
        <w:t>v</w:t>
      </w:r>
      <w:r>
        <w:rPr>
          <w:lang w:val="cs-CZ"/>
        </w:rPr>
        <w:t xml:space="preserve"> září</w:t>
      </w:r>
      <w:r>
        <w:t> 2014.</w:t>
      </w:r>
    </w:p>
  </w:footnote>
  <w:footnote w:id="8">
    <w:p w14:paraId="44B8733E" w14:textId="4C0DBF37" w:rsidR="001F79F5" w:rsidRDefault="001F79F5" w:rsidP="00330903">
      <w:pPr>
        <w:pStyle w:val="poznmkapodarou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t xml:space="preserve">Dohoda o partnerství </w:t>
      </w:r>
      <w:r w:rsidRPr="00406610">
        <w:t>byla schválen</w:t>
      </w:r>
      <w:r>
        <w:t xml:space="preserve">a vládou </w:t>
      </w:r>
      <w:r>
        <w:rPr>
          <w:lang w:val="cs-CZ"/>
        </w:rPr>
        <w:t>ČR v dubnu 2014</w:t>
      </w:r>
      <w:r>
        <w:t xml:space="preserve">; </w:t>
      </w:r>
      <w:r>
        <w:rPr>
          <w:lang w:val="cs-CZ"/>
        </w:rPr>
        <w:t>Komise</w:t>
      </w:r>
      <w:r w:rsidRPr="00406610">
        <w:t xml:space="preserve"> vyslovila oficiální souhlas </w:t>
      </w:r>
      <w:r>
        <w:rPr>
          <w:lang w:val="cs-CZ"/>
        </w:rPr>
        <w:t>v srpnu</w:t>
      </w:r>
      <w:r w:rsidRPr="00406610">
        <w:t xml:space="preserve"> 2014</w:t>
      </w:r>
      <w:r>
        <w:t>.</w:t>
      </w:r>
    </w:p>
  </w:footnote>
  <w:footnote w:id="9">
    <w:p w14:paraId="52111EDE" w14:textId="28A088D4" w:rsidR="001F79F5" w:rsidRPr="00FE2184" w:rsidRDefault="001F79F5" w:rsidP="00382470">
      <w:pPr>
        <w:pStyle w:val="poznmka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proofErr w:type="spellStart"/>
      <w:r>
        <w:rPr>
          <w:lang w:val="cs-CZ"/>
        </w:rPr>
        <w:t>Releasem</w:t>
      </w:r>
      <w:proofErr w:type="spellEnd"/>
      <w:r>
        <w:rPr>
          <w:lang w:val="cs-CZ"/>
        </w:rPr>
        <w:t xml:space="preserve"> se rozumí jedna nebo více změn služby informační technologie</w:t>
      </w:r>
      <w:r w:rsidRPr="000176F8">
        <w:rPr>
          <w:lang w:val="cs-CZ"/>
        </w:rPr>
        <w:t>,</w:t>
      </w:r>
      <w:r>
        <w:rPr>
          <w:lang w:val="cs-CZ"/>
        </w:rPr>
        <w:t xml:space="preserve"> </w:t>
      </w:r>
      <w:r w:rsidRPr="000176F8">
        <w:rPr>
          <w:lang w:val="cs-CZ"/>
        </w:rPr>
        <w:t>kt</w:t>
      </w:r>
      <w:r>
        <w:rPr>
          <w:lang w:val="cs-CZ"/>
        </w:rPr>
        <w:t>eré jsou sestaveny, testovány a </w:t>
      </w:r>
      <w:r w:rsidRPr="000176F8">
        <w:rPr>
          <w:lang w:val="cs-CZ"/>
        </w:rPr>
        <w:t>nasazeny najednou.</w:t>
      </w:r>
      <w:r>
        <w:rPr>
          <w:lang w:val="cs-CZ"/>
        </w:rPr>
        <w:t xml:space="preserve"> </w:t>
      </w:r>
      <w:r w:rsidRPr="000176F8">
        <w:rPr>
          <w:lang w:val="cs-CZ"/>
        </w:rPr>
        <w:t xml:space="preserve">Jediný </w:t>
      </w:r>
      <w:proofErr w:type="spellStart"/>
      <w:r w:rsidRPr="000176F8">
        <w:rPr>
          <w:lang w:val="cs-CZ"/>
        </w:rPr>
        <w:t>release</w:t>
      </w:r>
      <w:proofErr w:type="spellEnd"/>
      <w:r w:rsidRPr="000176F8">
        <w:rPr>
          <w:lang w:val="cs-CZ"/>
        </w:rPr>
        <w:t xml:space="preserve"> může zahrnovat změny hardwaru,</w:t>
      </w:r>
      <w:r>
        <w:rPr>
          <w:lang w:val="cs-CZ"/>
        </w:rPr>
        <w:t xml:space="preserve"> </w:t>
      </w:r>
      <w:r w:rsidRPr="000176F8">
        <w:rPr>
          <w:lang w:val="cs-CZ"/>
        </w:rPr>
        <w:t>softwaru, dokumenta</w:t>
      </w:r>
      <w:r>
        <w:rPr>
          <w:lang w:val="cs-CZ"/>
        </w:rPr>
        <w:t xml:space="preserve">ce, procesů a dalších komponent. </w:t>
      </w:r>
      <w:r w:rsidRPr="00820280">
        <w:rPr>
          <w:lang w:val="cs-CZ"/>
        </w:rPr>
        <w:t>(</w:t>
      </w:r>
      <w:r w:rsidRPr="000176F8">
        <w:rPr>
          <w:i/>
          <w:lang w:val="cs-CZ"/>
        </w:rPr>
        <w:t>ITIL – výkladový slovník a zkratky v</w:t>
      </w:r>
      <w:r>
        <w:rPr>
          <w:i/>
          <w:lang w:val="cs-CZ"/>
        </w:rPr>
        <w:t> </w:t>
      </w:r>
      <w:r w:rsidRPr="000176F8">
        <w:rPr>
          <w:i/>
          <w:lang w:val="cs-CZ"/>
        </w:rPr>
        <w:t>češtině</w:t>
      </w:r>
      <w:r>
        <w:rPr>
          <w:i/>
          <w:lang w:val="cs-CZ"/>
        </w:rPr>
        <w:t>,</w:t>
      </w:r>
      <w:r w:rsidRPr="000176F8">
        <w:rPr>
          <w:i/>
          <w:lang w:val="cs-CZ"/>
        </w:rPr>
        <w:t xml:space="preserve"> </w:t>
      </w:r>
      <w:r w:rsidRPr="00820280">
        <w:rPr>
          <w:lang w:val="cs-CZ"/>
        </w:rPr>
        <w:t>AXELOS Limited 2012</w:t>
      </w:r>
      <w:r>
        <w:rPr>
          <w:i/>
          <w:lang w:val="cs-CZ"/>
        </w:rPr>
        <w:t>.</w:t>
      </w:r>
      <w:r w:rsidRPr="00820280">
        <w:rPr>
          <w:lang w:val="cs-CZ"/>
        </w:rPr>
        <w:t>)</w:t>
      </w:r>
    </w:p>
  </w:footnote>
  <w:footnote w:id="10">
    <w:p w14:paraId="7371DC62" w14:textId="2726A467" w:rsidR="001F79F5" w:rsidRPr="00E30FCD" w:rsidRDefault="001F79F5" w:rsidP="00B716FD">
      <w:pPr>
        <w:pStyle w:val="poznmka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820280">
        <w:rPr>
          <w:spacing w:val="-2"/>
        </w:rPr>
        <w:t xml:space="preserve">Na </w:t>
      </w:r>
      <w:r w:rsidRPr="00820280">
        <w:rPr>
          <w:spacing w:val="-2"/>
          <w:lang w:val="cs-CZ"/>
        </w:rPr>
        <w:t xml:space="preserve">svých </w:t>
      </w:r>
      <w:r w:rsidRPr="00820280">
        <w:rPr>
          <w:spacing w:val="-2"/>
        </w:rPr>
        <w:t>webových stránkách</w:t>
      </w:r>
      <w:r w:rsidRPr="00820280">
        <w:rPr>
          <w:spacing w:val="-2"/>
          <w:lang w:val="cs-CZ"/>
        </w:rPr>
        <w:t xml:space="preserve"> (</w:t>
      </w:r>
      <w:hyperlink r:id="rId1" w:anchor="CatName" w:history="1">
        <w:r w:rsidRPr="00820280">
          <w:rPr>
            <w:rStyle w:val="Hypertextovodkaz"/>
            <w:spacing w:val="-2"/>
          </w:rPr>
          <w:t>http://www.mmr.cz/cs/Ministerstvo/Ministerstvo/Otazky-a-odpoved/Dotazy-k-MS2014#CatName</w:t>
        </w:r>
      </w:hyperlink>
      <w:r w:rsidRPr="00820280">
        <w:rPr>
          <w:rStyle w:val="Hypertextovodkaz"/>
          <w:color w:val="auto"/>
          <w:spacing w:val="-2"/>
          <w:lang w:val="cs-CZ"/>
        </w:rPr>
        <w:t>)</w:t>
      </w:r>
      <w:r w:rsidRPr="003D7143">
        <w:t xml:space="preserve"> MMR uvádí, že do konce roku 2016 hlavní dodavatel za provoz MS2014+ vyfakturoval celkem 320,97 mil. Kč.</w:t>
      </w:r>
    </w:p>
  </w:footnote>
  <w:footnote w:id="11">
    <w:p w14:paraId="6E78B146" w14:textId="0C25491F" w:rsidR="001F79F5" w:rsidRPr="00E965A6" w:rsidRDefault="001F79F5" w:rsidP="00E761BA">
      <w:pPr>
        <w:pStyle w:val="poznmka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lang w:val="cs-CZ"/>
        </w:rPr>
        <w:t>Od května 2012 financovalo MMR výdaje spojené s projektovou přípravou</w:t>
      </w:r>
      <w:r w:rsidRPr="00E965A6">
        <w:rPr>
          <w:lang w:val="cs-CZ"/>
        </w:rPr>
        <w:t xml:space="preserve"> monitorovacího informačního systému pro programové období 2014</w:t>
      </w:r>
      <w:r>
        <w:rPr>
          <w:lang w:val="cs-CZ"/>
        </w:rPr>
        <w:t>–</w:t>
      </w:r>
      <w:r w:rsidRPr="00E965A6">
        <w:rPr>
          <w:lang w:val="cs-CZ"/>
        </w:rPr>
        <w:t>2020</w:t>
      </w:r>
      <w:r>
        <w:rPr>
          <w:lang w:val="cs-CZ"/>
        </w:rPr>
        <w:t xml:space="preserve"> v rámci projektu č. </w:t>
      </w:r>
      <w:r w:rsidRPr="00E965A6">
        <w:rPr>
          <w:lang w:val="cs-CZ"/>
        </w:rPr>
        <w:t>CZ.1.08/2.1.00/11.00139</w:t>
      </w:r>
      <w:r>
        <w:rPr>
          <w:lang w:val="cs-CZ"/>
        </w:rPr>
        <w:t>.</w:t>
      </w:r>
    </w:p>
  </w:footnote>
  <w:footnote w:id="12">
    <w:p w14:paraId="2735B834" w14:textId="09781B6F" w:rsidR="001F79F5" w:rsidRPr="00D83C76" w:rsidRDefault="001F79F5" w:rsidP="00E761BA">
      <w:pPr>
        <w:pStyle w:val="poznmka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lang w:val="cs-CZ"/>
        </w:rPr>
        <w:t xml:space="preserve">Jedná se o 11 projektů operačního programu </w:t>
      </w:r>
      <w:r w:rsidRPr="00D14E5C">
        <w:rPr>
          <w:i/>
          <w:lang w:val="cs-CZ"/>
        </w:rPr>
        <w:t>Technická pomoc pro období 2007–2013</w:t>
      </w:r>
      <w:r>
        <w:rPr>
          <w:lang w:val="cs-CZ"/>
        </w:rPr>
        <w:t xml:space="preserve"> a 4 projekty operačního programu </w:t>
      </w:r>
      <w:r w:rsidRPr="00D14E5C">
        <w:rPr>
          <w:i/>
          <w:lang w:val="cs-CZ"/>
        </w:rPr>
        <w:t>Technická pomoc pro období 2014–2020</w:t>
      </w:r>
      <w:r>
        <w:rPr>
          <w:lang w:val="cs-CZ"/>
        </w:rPr>
        <w:t>.</w:t>
      </w:r>
    </w:p>
  </w:footnote>
  <w:footnote w:id="13">
    <w:p w14:paraId="52E85A69" w14:textId="4DF6ADC7" w:rsidR="001F79F5" w:rsidRPr="003D7143" w:rsidRDefault="001F79F5" w:rsidP="00E761BA">
      <w:pPr>
        <w:pStyle w:val="poznmka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3D7143">
        <w:t xml:space="preserve">Plnění smlouvy CES 5138 probíhá v rámci připraveného, ale nepodaného projektu </w:t>
      </w:r>
      <w:r w:rsidRPr="00D14E5C">
        <w:rPr>
          <w:i/>
        </w:rPr>
        <w:t>Provozní podpora a rozvoj Aplikace MS2014+ pro programové období 2014</w:t>
      </w:r>
      <w:r w:rsidRPr="00D14E5C">
        <w:rPr>
          <w:i/>
          <w:lang w:val="cs-CZ"/>
        </w:rPr>
        <w:t>–</w:t>
      </w:r>
      <w:r w:rsidRPr="00D14E5C">
        <w:rPr>
          <w:i/>
        </w:rPr>
        <w:t>2020</w:t>
      </w:r>
      <w:r w:rsidRPr="003D7143">
        <w:rPr>
          <w:lang w:val="cs-CZ"/>
        </w:rPr>
        <w:t>. Do srpna 2016 hlavní dodavatel fakturoval částku ve výši 82,22 mil. Kč.</w:t>
      </w:r>
    </w:p>
  </w:footnote>
  <w:footnote w:id="14">
    <w:p w14:paraId="36E15ED6" w14:textId="149D104B" w:rsidR="001F79F5" w:rsidRPr="003D7143" w:rsidRDefault="001F79F5" w:rsidP="00E761BA">
      <w:pPr>
        <w:pStyle w:val="poznmkapodarou"/>
        <w:rPr>
          <w:lang w:val="cs-CZ"/>
        </w:rPr>
      </w:pPr>
      <w:r w:rsidRPr="003D7143">
        <w:rPr>
          <w:rStyle w:val="Znakapoznpodarou"/>
        </w:rPr>
        <w:footnoteRef/>
      </w:r>
      <w:r w:rsidRPr="003D7143">
        <w:t xml:space="preserve"> </w:t>
      </w:r>
      <w:r w:rsidRPr="003D7143">
        <w:tab/>
      </w:r>
      <w:r w:rsidRPr="003D7143">
        <w:t xml:space="preserve">Plnění smlouvy CES 5289 probíhá v rámci připraveného, ale nepodaného projektu </w:t>
      </w:r>
      <w:r w:rsidRPr="00D14E5C">
        <w:rPr>
          <w:i/>
        </w:rPr>
        <w:t>Provozní služby spojené s</w:t>
      </w:r>
      <w:r>
        <w:rPr>
          <w:i/>
          <w:lang w:val="cs-CZ"/>
        </w:rPr>
        <w:t> </w:t>
      </w:r>
      <w:r w:rsidRPr="00D14E5C">
        <w:rPr>
          <w:i/>
        </w:rPr>
        <w:t>udržováním prostředí MS2014+</w:t>
      </w:r>
      <w:r w:rsidRPr="003D7143">
        <w:rPr>
          <w:lang w:val="cs-CZ"/>
        </w:rPr>
        <w:t>; do srpna 2016 uhradilo MMR částku ve výši 27,05 mil. Kč.</w:t>
      </w:r>
    </w:p>
  </w:footnote>
  <w:footnote w:id="15">
    <w:p w14:paraId="7F0018C5" w14:textId="6886D852" w:rsidR="001F79F5" w:rsidRPr="00287D74" w:rsidRDefault="001F79F5" w:rsidP="00E761BA">
      <w:pPr>
        <w:pStyle w:val="poznmkapodarou"/>
        <w:rPr>
          <w:lang w:val="cs-CZ"/>
        </w:rPr>
      </w:pPr>
      <w:r w:rsidRPr="003D7143">
        <w:rPr>
          <w:rStyle w:val="Znakapoznpodarou"/>
        </w:rPr>
        <w:footnoteRef/>
      </w:r>
      <w:r w:rsidRPr="003D7143">
        <w:t xml:space="preserve"> </w:t>
      </w:r>
      <w:r w:rsidRPr="003D7143">
        <w:tab/>
      </w:r>
      <w:r w:rsidRPr="003D7143">
        <w:t xml:space="preserve">Usnesení </w:t>
      </w:r>
      <w:r w:rsidRPr="003D7143">
        <w:rPr>
          <w:lang w:val="cs-CZ"/>
        </w:rPr>
        <w:t xml:space="preserve">vlády </w:t>
      </w:r>
      <w:r>
        <w:rPr>
          <w:lang w:val="cs-CZ"/>
        </w:rPr>
        <w:t xml:space="preserve">ČR </w:t>
      </w:r>
      <w:r w:rsidRPr="003D7143">
        <w:t>ze dne 27. 4. 2015</w:t>
      </w:r>
      <w:r w:rsidRPr="00137AE5">
        <w:t xml:space="preserve"> </w:t>
      </w:r>
      <w:r w:rsidRPr="003D7143">
        <w:t>č. 315</w:t>
      </w:r>
      <w:r w:rsidRPr="003D7143">
        <w:rPr>
          <w:lang w:val="cs-CZ"/>
        </w:rPr>
        <w:t>.</w:t>
      </w:r>
    </w:p>
  </w:footnote>
  <w:footnote w:id="16">
    <w:p w14:paraId="20233C1C" w14:textId="36C4BDA2" w:rsidR="001F79F5" w:rsidRPr="00CC45A6" w:rsidRDefault="001F79F5" w:rsidP="00001BCD">
      <w:pPr>
        <w:pStyle w:val="poznmkapodarou"/>
      </w:pPr>
      <w:r w:rsidRPr="00CC45A6">
        <w:rPr>
          <w:rStyle w:val="Znakapoznpodarou"/>
          <w:rFonts w:cs="Calibri"/>
        </w:rPr>
        <w:footnoteRef/>
      </w:r>
      <w:r w:rsidRPr="00CC45A6">
        <w:t xml:space="preserve"> </w:t>
      </w:r>
      <w:r>
        <w:tab/>
      </w:r>
      <w:r w:rsidRPr="00CC45A6">
        <w:t xml:space="preserve">Kontrolní závěr </w:t>
      </w:r>
      <w:r>
        <w:rPr>
          <w:lang w:val="cs-CZ"/>
        </w:rPr>
        <w:t xml:space="preserve">z kontrolní akce </w:t>
      </w:r>
      <w:r w:rsidRPr="00CC45A6">
        <w:t xml:space="preserve">NKÚ č. 16/14 </w:t>
      </w:r>
      <w:r>
        <w:rPr>
          <w:lang w:val="cs-CZ"/>
        </w:rPr>
        <w:t xml:space="preserve">– </w:t>
      </w:r>
      <w:r w:rsidRPr="00C034D8">
        <w:rPr>
          <w:i/>
        </w:rPr>
        <w:t>Peněžní prostředky Evropské unie a státního rozpočtu určené na podporu místního rozvoje v rámci iniciativy L</w:t>
      </w:r>
      <w:r>
        <w:rPr>
          <w:i/>
          <w:lang w:val="cs-CZ"/>
        </w:rPr>
        <w:t>EADER</w:t>
      </w:r>
      <w:r w:rsidRPr="00C034D8">
        <w:rPr>
          <w:i/>
        </w:rPr>
        <w:t xml:space="preserve"> prostřednictvím Programu rozvoje venkova</w:t>
      </w:r>
      <w:r>
        <w:rPr>
          <w:lang w:val="cs-CZ"/>
        </w:rPr>
        <w:t>.</w:t>
      </w:r>
      <w:r w:rsidRPr="00CC45A6">
        <w:t xml:space="preserve"> NKÚ </w:t>
      </w:r>
      <w:r>
        <w:rPr>
          <w:lang w:val="cs-CZ"/>
        </w:rPr>
        <w:t xml:space="preserve">v rámci této kontroly </w:t>
      </w:r>
      <w:r w:rsidRPr="00CC45A6">
        <w:t xml:space="preserve">oslovil </w:t>
      </w:r>
      <w:r>
        <w:rPr>
          <w:lang w:val="cs-CZ"/>
        </w:rPr>
        <w:t>místní akční skupiny</w:t>
      </w:r>
      <w:r w:rsidRPr="00CC45A6">
        <w:t xml:space="preserve"> s žádostí o sdělení jejich názorů a zkušeností s imp</w:t>
      </w:r>
      <w:r>
        <w:t>lementací opatření osy IV PRV v </w:t>
      </w:r>
      <w:r w:rsidRPr="00CC45A6">
        <w:t>programovém období 2007</w:t>
      </w:r>
      <w:r>
        <w:rPr>
          <w:lang w:val="cs-CZ"/>
        </w:rPr>
        <w:t>–</w:t>
      </w:r>
      <w:r w:rsidRPr="00CC45A6">
        <w:t xml:space="preserve">2013 a s implementací iniciativy LEADER v rámci </w:t>
      </w:r>
      <w:r>
        <w:rPr>
          <w:lang w:val="cs-CZ"/>
        </w:rPr>
        <w:t>komunitně vedeného místního rozvoje</w:t>
      </w:r>
      <w:r>
        <w:t xml:space="preserve"> v programovém období 2014</w:t>
      </w:r>
      <w:r>
        <w:rPr>
          <w:lang w:val="cs-CZ"/>
        </w:rPr>
        <w:t>–</w:t>
      </w:r>
      <w:r w:rsidRPr="00CC45A6">
        <w:t>2020.</w:t>
      </w:r>
    </w:p>
  </w:footnote>
  <w:footnote w:id="17">
    <w:p w14:paraId="02C5C210" w14:textId="77777777" w:rsidR="001F79F5" w:rsidRPr="000139F5" w:rsidRDefault="001F79F5" w:rsidP="000139F5">
      <w:pPr>
        <w:pStyle w:val="poznmkapodarou"/>
      </w:pPr>
      <w:r>
        <w:rPr>
          <w:rStyle w:val="Znakapoznpodarou"/>
        </w:rPr>
        <w:footnoteRef/>
      </w:r>
      <w:r>
        <w:t xml:space="preserve"> </w:t>
      </w:r>
      <w:r>
        <w:tab/>
      </w:r>
      <w:hyperlink r:id="rId2" w:history="1">
        <w:r w:rsidRPr="00E56CBB">
          <w:rPr>
            <w:rStyle w:val="Hypertextovodkaz"/>
          </w:rPr>
          <w:t>https://www.mpo.cz/dokument164509.html</w:t>
        </w:r>
      </w:hyperlink>
      <w:r w:rsidRPr="00CC45A6">
        <w:t>.</w:t>
      </w:r>
    </w:p>
  </w:footnote>
  <w:footnote w:id="18">
    <w:p w14:paraId="77B282A7" w14:textId="77777777" w:rsidR="001F79F5" w:rsidRPr="000244F3" w:rsidRDefault="001F79F5" w:rsidP="000244F3">
      <w:pPr>
        <w:pStyle w:val="poznmka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hyperlink r:id="rId3" w:history="1">
        <w:r w:rsidRPr="000244F3">
          <w:rPr>
            <w:rStyle w:val="Hypertextovodkaz"/>
          </w:rPr>
          <w:t>https://www.mpo.cz/cz/podnikani/dotace-a-podpora-podnikani/oppik-2014-2020/aktualni-informace/posun-terminu-prijmu-zadosti-o-podporu-ve-vyzvach-puvodne-koncicich-29--2--2016--170273/</w:t>
        </w:r>
      </w:hyperlink>
      <w:r>
        <w:rPr>
          <w:lang w:val="cs-CZ"/>
        </w:rPr>
        <w:t>.</w:t>
      </w:r>
    </w:p>
  </w:footnote>
  <w:footnote w:id="19">
    <w:p w14:paraId="164B2C45" w14:textId="77777777" w:rsidR="001F79F5" w:rsidRPr="00826982" w:rsidRDefault="001F79F5" w:rsidP="00687890">
      <w:pPr>
        <w:pStyle w:val="poznmka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hyperlink r:id="rId4" w:history="1">
        <w:r w:rsidRPr="00826982">
          <w:rPr>
            <w:rStyle w:val="Hypertextovodkaz"/>
          </w:rPr>
          <w:t>http://www.opzp.cz/o-programu/aktuality-a-tiskove-zpravy/prodlouzeni-prijmu-zadosti-29-a-36-vyzvy</w:t>
        </w:r>
      </w:hyperlink>
      <w:r>
        <w:rPr>
          <w:lang w:val="cs-CZ"/>
        </w:rPr>
        <w:t>.</w:t>
      </w:r>
    </w:p>
  </w:footnote>
  <w:footnote w:id="20">
    <w:p w14:paraId="5CEE1753" w14:textId="7812E6B8" w:rsidR="001F79F5" w:rsidRPr="00D705B6" w:rsidRDefault="001F79F5" w:rsidP="00D705B6">
      <w:pPr>
        <w:pStyle w:val="poznmkapodarou"/>
        <w:rPr>
          <w:lang w:val="cs-CZ"/>
        </w:rPr>
      </w:pPr>
      <w:r w:rsidRPr="00AF2181">
        <w:rPr>
          <w:rStyle w:val="Znakapoznpodarou"/>
          <w:rFonts w:cs="Calibri"/>
        </w:rPr>
        <w:footnoteRef/>
      </w:r>
      <w:r w:rsidRPr="00AF2181">
        <w:rPr>
          <w:rFonts w:cs="Calibri"/>
        </w:rPr>
        <w:t xml:space="preserve"> </w:t>
      </w:r>
      <w:r>
        <w:tab/>
      </w:r>
      <w:r w:rsidR="00343B27">
        <w:rPr>
          <w:lang w:val="cs-CZ"/>
        </w:rPr>
        <w:t>Z</w:t>
      </w:r>
      <w:r w:rsidRPr="009271BF">
        <w:rPr>
          <w:lang w:val="cs-CZ"/>
        </w:rPr>
        <w:t>ávěrečn</w:t>
      </w:r>
      <w:r w:rsidR="00343B27">
        <w:rPr>
          <w:lang w:val="cs-CZ"/>
        </w:rPr>
        <w:t>á</w:t>
      </w:r>
      <w:r w:rsidRPr="00D705B6">
        <w:t xml:space="preserve"> zpráv</w:t>
      </w:r>
      <w:r w:rsidR="00343B27">
        <w:rPr>
          <w:lang w:val="cs-CZ"/>
        </w:rPr>
        <w:t>a</w:t>
      </w:r>
      <w:r w:rsidRPr="00D705B6">
        <w:t xml:space="preserve"> z</w:t>
      </w:r>
      <w:r>
        <w:t> </w:t>
      </w:r>
      <w:r w:rsidRPr="00D705B6">
        <w:t>projektu</w:t>
      </w:r>
      <w:r>
        <w:rPr>
          <w:lang w:val="cs-CZ"/>
        </w:rPr>
        <w:t xml:space="preserve"> č. </w:t>
      </w:r>
      <w:r w:rsidRPr="001614D9">
        <w:rPr>
          <w:lang w:val="cs-CZ"/>
        </w:rPr>
        <w:t>CZ.1.08/1.4.00/11.00117</w:t>
      </w:r>
      <w:r w:rsidR="00343B27">
        <w:rPr>
          <w:lang w:val="cs-CZ"/>
        </w:rPr>
        <w:t>,</w:t>
      </w:r>
      <w:r>
        <w:rPr>
          <w:lang w:val="cs-CZ"/>
        </w:rPr>
        <w:t xml:space="preserve"> </w:t>
      </w:r>
      <w:r w:rsidR="00343B27" w:rsidRPr="00343B27">
        <w:rPr>
          <w:lang w:val="cs-CZ"/>
        </w:rPr>
        <w:t>kapitola</w:t>
      </w:r>
      <w:r w:rsidR="00343B27" w:rsidRPr="00D705B6">
        <w:t xml:space="preserve"> </w:t>
      </w:r>
      <w:proofErr w:type="gramStart"/>
      <w:r w:rsidR="00343B27" w:rsidRPr="00D705B6">
        <w:t>1.1.2</w:t>
      </w:r>
      <w:r w:rsidR="00343B27">
        <w:rPr>
          <w:lang w:val="cs-CZ"/>
        </w:rPr>
        <w:t xml:space="preserve"> </w:t>
      </w:r>
      <w:r w:rsidR="00343B27" w:rsidRPr="00D705B6">
        <w:t xml:space="preserve"> </w:t>
      </w:r>
      <w:r>
        <w:rPr>
          <w:lang w:val="cs-CZ"/>
        </w:rPr>
        <w:t>–</w:t>
      </w:r>
      <w:r w:rsidRPr="00D705B6">
        <w:t xml:space="preserve"> </w:t>
      </w:r>
      <w:r w:rsidRPr="00D705B6">
        <w:rPr>
          <w:i/>
        </w:rPr>
        <w:t>Indikátory</w:t>
      </w:r>
      <w:proofErr w:type="gramEnd"/>
      <w:r w:rsidRPr="00D705B6">
        <w:rPr>
          <w:i/>
        </w:rPr>
        <w:t xml:space="preserve"> spokojenosti a hodnocení Koncepce jednotného metodického prostředí</w:t>
      </w:r>
      <w:r w:rsidRPr="00D705B6">
        <w:t xml:space="preserve">; </w:t>
      </w:r>
      <w:r>
        <w:rPr>
          <w:lang w:val="cs-CZ"/>
        </w:rPr>
        <w:t>duben 2016.</w:t>
      </w:r>
    </w:p>
  </w:footnote>
  <w:footnote w:id="21">
    <w:p w14:paraId="3501B733" w14:textId="264E0CAF" w:rsidR="001F79F5" w:rsidRPr="001B5CBC" w:rsidRDefault="001F79F5" w:rsidP="00BE42BB">
      <w:pPr>
        <w:pStyle w:val="poznmka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205E1C">
        <w:rPr>
          <w:lang w:val="cs-CZ"/>
        </w:rPr>
        <w:t>Zdroj:</w:t>
      </w:r>
      <w:r>
        <w:rPr>
          <w:lang w:val="cs-CZ"/>
        </w:rPr>
        <w:t xml:space="preserve"> příloha č. 2 – </w:t>
      </w:r>
      <w:r w:rsidRPr="001B5CBC">
        <w:rPr>
          <w:i/>
          <w:lang w:val="cs-CZ"/>
        </w:rPr>
        <w:t>Vynaložené náklady a odhad nákladů na všechny úrovně monitorovacího systému</w:t>
      </w:r>
      <w:r>
        <w:rPr>
          <w:lang w:val="cs-CZ"/>
        </w:rPr>
        <w:t xml:space="preserve"> materiálu pro jednání vlády čj.: 1318/09 – </w:t>
      </w:r>
      <w:r w:rsidRPr="001B5CBC">
        <w:rPr>
          <w:i/>
          <w:lang w:val="cs-CZ"/>
        </w:rPr>
        <w:t>Návrh dalšího postupu řešení pro centrální část monitorovacího systému strukturálních fondů pro období 2007</w:t>
      </w:r>
      <w:r>
        <w:rPr>
          <w:i/>
          <w:lang w:val="cs-CZ"/>
        </w:rPr>
        <w:t>–</w:t>
      </w:r>
      <w:r w:rsidRPr="001B5CBC">
        <w:rPr>
          <w:i/>
          <w:lang w:val="cs-CZ"/>
        </w:rPr>
        <w:t>2013</w:t>
      </w:r>
      <w:r>
        <w:rPr>
          <w:lang w:val="cs-CZ"/>
        </w:rPr>
        <w:t xml:space="preserve"> k usnesení vlády ČR ze dne 19. 10. 2009</w:t>
      </w:r>
      <w:r w:rsidRPr="004669E7">
        <w:rPr>
          <w:lang w:val="cs-CZ"/>
        </w:rPr>
        <w:t xml:space="preserve"> </w:t>
      </w:r>
      <w:r>
        <w:rPr>
          <w:lang w:val="cs-CZ"/>
        </w:rPr>
        <w:t>č. 1301. Do částky nejsou zahrnuty výdaje na informační systém VIOLA.</w:t>
      </w:r>
    </w:p>
  </w:footnote>
  <w:footnote w:id="22">
    <w:p w14:paraId="1DDDF686" w14:textId="78E29248" w:rsidR="001F79F5" w:rsidRPr="00B71E05" w:rsidRDefault="001F79F5" w:rsidP="000139F5">
      <w:pPr>
        <w:pStyle w:val="poznmka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205E1C">
        <w:rPr>
          <w:lang w:val="cs-CZ"/>
        </w:rPr>
        <w:t>Zdroj:</w:t>
      </w:r>
      <w:r>
        <w:rPr>
          <w:lang w:val="cs-CZ"/>
        </w:rPr>
        <w:t xml:space="preserve"> </w:t>
      </w:r>
      <w:r w:rsidRPr="00E86114">
        <w:rPr>
          <w:lang w:val="cs-CZ"/>
        </w:rPr>
        <w:t>materiál</w:t>
      </w:r>
      <w:r w:rsidRPr="00B71E05">
        <w:t xml:space="preserve"> pro informaci členům vlády čj.: 842/12 </w:t>
      </w:r>
      <w:r>
        <w:rPr>
          <w:lang w:val="cs-CZ"/>
        </w:rPr>
        <w:t>–</w:t>
      </w:r>
      <w:r w:rsidRPr="00B71E05">
        <w:t xml:space="preserve"> </w:t>
      </w:r>
      <w:r w:rsidRPr="00B71E05">
        <w:rPr>
          <w:i/>
        </w:rPr>
        <w:t>Analýza fungování stávající aplikace Monitorovacího systému strukturálních fondů a Fondu soudržnosti – Východiska veřejné zakázky „Pořízení aplikace MS 2014+ a zajištění jejího provozu</w:t>
      </w:r>
      <w:r>
        <w:rPr>
          <w:i/>
          <w:lang w:val="cs-CZ"/>
        </w:rPr>
        <w:t xml:space="preserve"> a</w:t>
      </w:r>
      <w:r w:rsidRPr="00B71E05">
        <w:rPr>
          <w:i/>
        </w:rPr>
        <w:t xml:space="preserve"> rozvoje“</w:t>
      </w:r>
      <w:r w:rsidRPr="00B71E05">
        <w:t>.</w:t>
      </w:r>
    </w:p>
  </w:footnote>
  <w:footnote w:id="23">
    <w:p w14:paraId="364DE9E8" w14:textId="777503E5" w:rsidR="001F79F5" w:rsidRPr="005C5E17" w:rsidRDefault="001F79F5" w:rsidP="004D7D1E">
      <w:pPr>
        <w:pStyle w:val="poznmkapodarou"/>
      </w:pPr>
      <w:r>
        <w:rPr>
          <w:rStyle w:val="Znakapoznpodarou"/>
        </w:rPr>
        <w:footnoteRef/>
      </w:r>
      <w:r>
        <w:t xml:space="preserve">  </w:t>
      </w:r>
      <w:r>
        <w:tab/>
      </w:r>
      <w:r w:rsidRPr="005C5E17">
        <w:t xml:space="preserve">Hlavní </w:t>
      </w:r>
      <w:r>
        <w:t xml:space="preserve">alokace Dohody o partnerství je objem disponibilních peněžních prostředků po odečtení </w:t>
      </w:r>
      <w:r>
        <w:br/>
        <w:t xml:space="preserve">tzv. výkonnostní rezervy </w:t>
      </w:r>
      <w:r>
        <w:rPr>
          <w:lang w:val="cs-CZ"/>
        </w:rPr>
        <w:t xml:space="preserve">ve výši 38,6 mld. Kč </w:t>
      </w:r>
      <w:r>
        <w:t>z alokace</w:t>
      </w:r>
      <w:r>
        <w:rPr>
          <w:lang w:val="cs-CZ"/>
        </w:rPr>
        <w:t xml:space="preserve"> celkové</w:t>
      </w:r>
      <w:r>
        <w:t xml:space="preserve">. Stav peněžních prostředků je vztažen </w:t>
      </w:r>
      <w:r>
        <w:br/>
        <w:t>k hlavní, nikoli celkové alokaci.</w:t>
      </w:r>
    </w:p>
  </w:footnote>
  <w:footnote w:id="24">
    <w:p w14:paraId="66133256" w14:textId="67BCF7C9" w:rsidR="001F79F5" w:rsidRPr="00373EA9" w:rsidRDefault="001F79F5" w:rsidP="005C0DC9">
      <w:pPr>
        <w:pStyle w:val="poznmkapodarou"/>
        <w:jc w:val="left"/>
        <w:rPr>
          <w:rFonts w:cs="Calibri"/>
          <w:lang w:val="cs-CZ"/>
        </w:rPr>
      </w:pPr>
      <w:r w:rsidRPr="00373EA9">
        <w:rPr>
          <w:rStyle w:val="Znakapoznpodarou"/>
          <w:rFonts w:cs="Calibri"/>
        </w:rPr>
        <w:footnoteRef/>
      </w:r>
      <w:r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Podrobnosti uvádí tisková zpráva publikovaná na webové stránce </w:t>
      </w:r>
      <w:hyperlink r:id="rId5" w:history="1">
        <w:r w:rsidRPr="00373EA9">
          <w:rPr>
            <w:rStyle w:val="Hypertextovodkaz"/>
            <w:rFonts w:cs="Calibri"/>
          </w:rPr>
          <w:t>https://www.strukturalni-fondy.cz/cs/Informace-a-dokumenty/Novinky/Karla-Slechtova-Nasim-spolecnym-cilem-musi-byt-smysluplne-vyuziti-pro</w:t>
        </w:r>
      </w:hyperlink>
      <w:r>
        <w:rPr>
          <w:rFonts w:cs="Calibri"/>
          <w:lang w:val="cs-CZ"/>
        </w:rPr>
        <w:t>.</w:t>
      </w:r>
    </w:p>
  </w:footnote>
  <w:footnote w:id="25">
    <w:p w14:paraId="097EEAE8" w14:textId="77777777" w:rsidR="001F79F5" w:rsidRPr="00EA2A75" w:rsidRDefault="001F79F5" w:rsidP="004D7D1E">
      <w:pPr>
        <w:pStyle w:val="poznmka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lang w:val="cs-CZ"/>
        </w:rPr>
        <w:t xml:space="preserve">Zdroj: MS2014+, sestava </w:t>
      </w:r>
      <w:r>
        <w:rPr>
          <w:i/>
          <w:lang w:val="cs-CZ"/>
        </w:rPr>
        <w:t>S005a Graf délky trvání administrace schvalování žádostí o podporu.</w:t>
      </w:r>
    </w:p>
  </w:footnote>
  <w:footnote w:id="26">
    <w:p w14:paraId="473DC5FE" w14:textId="77777777" w:rsidR="00027972" w:rsidRPr="008A2E66" w:rsidRDefault="00027972" w:rsidP="00027972">
      <w:pPr>
        <w:pStyle w:val="poznmkapodarou"/>
        <w:rPr>
          <w:lang w:val="cs-CZ" w:eastAsia="cs-CZ"/>
        </w:rPr>
      </w:pPr>
      <w:r w:rsidRPr="008B33B3">
        <w:rPr>
          <w:rStyle w:val="Znakapoznpodarou"/>
        </w:rPr>
        <w:footnoteRef/>
      </w:r>
      <w:r w:rsidRPr="008B33B3">
        <w:t xml:space="preserve"> </w:t>
      </w:r>
      <w:r>
        <w:tab/>
      </w:r>
      <w:r w:rsidRPr="008A2E66">
        <w:rPr>
          <w:b/>
          <w:bCs/>
          <w:lang w:val="cs-CZ" w:eastAsia="cs-CZ"/>
        </w:rPr>
        <w:t xml:space="preserve">Kategorie A </w:t>
      </w:r>
      <w:r w:rsidRPr="008A2E66">
        <w:rPr>
          <w:lang w:val="cs-CZ" w:eastAsia="cs-CZ"/>
        </w:rPr>
        <w:t xml:space="preserve">– Vážný incident s nejvyšší prioritou, který má kritický dopad na funkčnost aplikace MS2014+ nebo její zásadní části, a dále incident, který znemožňuje užívání aplikace MS2014+ nebo její části nebo způsobuje vážné provozní problémy. </w:t>
      </w:r>
    </w:p>
    <w:p w14:paraId="27E18275" w14:textId="77777777" w:rsidR="00027972" w:rsidRPr="008A2E66" w:rsidRDefault="00027972" w:rsidP="00027972">
      <w:pPr>
        <w:pStyle w:val="poznmkapodarou"/>
        <w:rPr>
          <w:lang w:val="cs-CZ" w:eastAsia="cs-CZ"/>
        </w:rPr>
      </w:pPr>
      <w:r w:rsidRPr="008A2E66">
        <w:rPr>
          <w:lang w:val="cs-CZ" w:eastAsia="cs-CZ"/>
        </w:rPr>
        <w:tab/>
      </w:r>
      <w:r w:rsidRPr="008A2E66">
        <w:rPr>
          <w:b/>
          <w:bCs/>
          <w:lang w:val="cs-CZ" w:eastAsia="cs-CZ"/>
        </w:rPr>
        <w:t xml:space="preserve">Kategorie B </w:t>
      </w:r>
      <w:r w:rsidRPr="008A2E66">
        <w:rPr>
          <w:lang w:val="cs-CZ" w:eastAsia="cs-CZ"/>
        </w:rPr>
        <w:t xml:space="preserve">– Incident, který svým charakterem nespadá do kategorie A., avšak znamená vážné zhoršení výkonnosti a funkčnosti aplikace MS2014+ nebo její části. Aplikace MS2014+ nebo její část má zásadní omezení nebo je částečně nefunkční. Jedná se o incidenty odstranitelné, které způsobují problémy při užívání a provozování aplikace MS2014+ nebo její části, ale umožňují provoz. </w:t>
      </w:r>
    </w:p>
    <w:p w14:paraId="11568C89" w14:textId="77777777" w:rsidR="00027972" w:rsidRDefault="00027972" w:rsidP="00027972">
      <w:pPr>
        <w:pStyle w:val="poznmkapodarou"/>
        <w:rPr>
          <w:lang w:val="cs-CZ" w:eastAsia="cs-CZ"/>
        </w:rPr>
      </w:pPr>
      <w:r w:rsidRPr="008A2E66">
        <w:rPr>
          <w:b/>
          <w:bCs/>
          <w:lang w:val="cs-CZ" w:eastAsia="cs-CZ"/>
        </w:rPr>
        <w:tab/>
        <w:t xml:space="preserve">Kategorie C </w:t>
      </w:r>
      <w:r w:rsidRPr="008A2E66">
        <w:rPr>
          <w:lang w:val="cs-CZ" w:eastAsia="cs-CZ"/>
        </w:rPr>
        <w:t>– Incident, který svým charakterem nespadá do kategorie A nebo kategorie B a znamená snadno odstranitelné nedostatky s minimálním dopadem na funkcionality či funkčnost aplikace MS2014+ nebo její části.</w:t>
      </w:r>
    </w:p>
    <w:p w14:paraId="405A28EE" w14:textId="77777777" w:rsidR="00027972" w:rsidRDefault="00027972" w:rsidP="00027972">
      <w:pPr>
        <w:pStyle w:val="poznmkapodarou"/>
        <w:rPr>
          <w:lang w:val="cs-CZ"/>
        </w:rPr>
      </w:pPr>
    </w:p>
    <w:p w14:paraId="5DE0FF09" w14:textId="77777777" w:rsidR="00027972" w:rsidRPr="004F5CC5" w:rsidRDefault="00027972" w:rsidP="00027972">
      <w:pPr>
        <w:pStyle w:val="poznmkapodarou"/>
        <w:jc w:val="center"/>
        <w:rPr>
          <w:rFonts w:asciiTheme="minorHAnsi" w:hAnsiTheme="minorHAnsi" w:cstheme="minorHAnsi"/>
          <w:sz w:val="24"/>
          <w:szCs w:val="24"/>
          <w:lang w:val="cs-CZ"/>
        </w:rPr>
      </w:pPr>
      <w:r w:rsidRPr="004F5CC5">
        <w:rPr>
          <w:rFonts w:asciiTheme="minorHAnsi" w:hAnsiTheme="minorHAnsi" w:cstheme="minorHAnsi"/>
          <w:sz w:val="24"/>
          <w:szCs w:val="24"/>
          <w:lang w:val="cs-CZ"/>
        </w:rPr>
        <w:t>22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98556" w14:textId="77777777" w:rsidR="001F79F5" w:rsidRDefault="001F79F5">
    <w:pPr>
      <w:pStyle w:val="Zhlav"/>
    </w:pPr>
  </w:p>
  <w:p w14:paraId="679D217C" w14:textId="77777777" w:rsidR="001F79F5" w:rsidRDefault="001F79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23E0C" w14:textId="77777777" w:rsidR="001F79F5" w:rsidRDefault="001F79F5">
    <w:pPr>
      <w:pStyle w:val="Zhlav"/>
    </w:pPr>
  </w:p>
  <w:p w14:paraId="7CC30E86" w14:textId="77777777" w:rsidR="001F79F5" w:rsidRDefault="001F79F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D6C40" w14:textId="77777777" w:rsidR="00D21572" w:rsidRPr="00D21572" w:rsidRDefault="00027972" w:rsidP="00D21572">
    <w:pPr>
      <w:tabs>
        <w:tab w:val="left" w:pos="2268"/>
      </w:tabs>
      <w:spacing w:after="160" w:line="259" w:lineRule="auto"/>
      <w:ind w:left="2268" w:hanging="2268"/>
      <w:jc w:val="right"/>
      <w:rPr>
        <w:rFonts w:ascii="Calibri" w:hAnsi="Calibri"/>
        <w:sz w:val="24"/>
      </w:rPr>
    </w:pPr>
    <w:r>
      <w:rPr>
        <w:rFonts w:ascii="Calibri" w:hAnsi="Calibri"/>
        <w:sz w:val="24"/>
      </w:rPr>
      <w:t xml:space="preserve">Příloha </w:t>
    </w:r>
    <w:proofErr w:type="gramStart"/>
    <w:r>
      <w:rPr>
        <w:rFonts w:ascii="Calibri" w:hAnsi="Calibri"/>
        <w:sz w:val="24"/>
      </w:rPr>
      <w:t>č. 2 kontrolního</w:t>
    </w:r>
    <w:proofErr w:type="gramEnd"/>
    <w:r>
      <w:rPr>
        <w:rFonts w:ascii="Calibri" w:hAnsi="Calibri"/>
        <w:sz w:val="24"/>
      </w:rPr>
      <w:t xml:space="preserve"> závěru 16/12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01D6"/>
    <w:multiLevelType w:val="multilevel"/>
    <w:tmpl w:val="084A392A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" w15:restartNumberingAfterBreak="0">
    <w:nsid w:val="0D5F3A5F"/>
    <w:multiLevelType w:val="hybridMultilevel"/>
    <w:tmpl w:val="8BCA31CE"/>
    <w:lvl w:ilvl="0" w:tplc="169CB3B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250F0"/>
    <w:multiLevelType w:val="hybridMultilevel"/>
    <w:tmpl w:val="8190F500"/>
    <w:lvl w:ilvl="0" w:tplc="4258A94C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91E88"/>
    <w:multiLevelType w:val="hybridMultilevel"/>
    <w:tmpl w:val="28DCCF3E"/>
    <w:lvl w:ilvl="0" w:tplc="199276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60D40"/>
    <w:multiLevelType w:val="hybridMultilevel"/>
    <w:tmpl w:val="6B761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F7ED0"/>
    <w:multiLevelType w:val="hybridMultilevel"/>
    <w:tmpl w:val="719833F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B1CF9"/>
    <w:multiLevelType w:val="hybridMultilevel"/>
    <w:tmpl w:val="43486D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C2CC6"/>
    <w:multiLevelType w:val="hybridMultilevel"/>
    <w:tmpl w:val="7FFA10E0"/>
    <w:lvl w:ilvl="0" w:tplc="04050001">
      <w:start w:val="1"/>
      <w:numFmt w:val="decimal"/>
      <w:pStyle w:val="Bezmezer"/>
      <w:lvlText w:val="%1."/>
      <w:lvlJc w:val="left"/>
      <w:pPr>
        <w:ind w:left="720" w:hanging="360"/>
      </w:pPr>
      <w:rPr>
        <w:rFonts w:cs="Times New Roman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1870AA"/>
    <w:multiLevelType w:val="hybridMultilevel"/>
    <w:tmpl w:val="6E9610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0738A"/>
    <w:multiLevelType w:val="hybridMultilevel"/>
    <w:tmpl w:val="B874BC7A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F759D"/>
    <w:multiLevelType w:val="hybridMultilevel"/>
    <w:tmpl w:val="C48815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F6E83"/>
    <w:multiLevelType w:val="hybridMultilevel"/>
    <w:tmpl w:val="A71A374C"/>
    <w:lvl w:ilvl="0" w:tplc="169CB3B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D6DC2"/>
    <w:multiLevelType w:val="hybridMultilevel"/>
    <w:tmpl w:val="771A93A0"/>
    <w:lvl w:ilvl="0" w:tplc="0E78926A">
      <w:start w:val="1"/>
      <w:numFmt w:val="decimal"/>
      <w:pStyle w:val="Nadpis3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2"/>
  </w:num>
  <w:num w:numId="5">
    <w:abstractNumId w:val="9"/>
  </w:num>
  <w:num w:numId="6">
    <w:abstractNumId w:val="10"/>
  </w:num>
  <w:num w:numId="7">
    <w:abstractNumId w:val="1"/>
  </w:num>
  <w:num w:numId="8">
    <w:abstractNumId w:val="5"/>
  </w:num>
  <w:num w:numId="9">
    <w:abstractNumId w:val="6"/>
  </w:num>
  <w:num w:numId="10">
    <w:abstractNumId w:val="2"/>
  </w:num>
  <w:num w:numId="11">
    <w:abstractNumId w:val="3"/>
  </w:num>
  <w:num w:numId="12">
    <w:abstractNumId w:val="8"/>
  </w:num>
  <w:num w:numId="1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cs-CZ" w:vendorID="7" w:dllVersion="514" w:checkStyle="1"/>
  <w:proofState w:spelling="clean" w:grammar="clean"/>
  <w:defaultTabStop w:val="142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73"/>
    <w:rsid w:val="00001B94"/>
    <w:rsid w:val="00001BCD"/>
    <w:rsid w:val="00001DA9"/>
    <w:rsid w:val="00001DAB"/>
    <w:rsid w:val="0000273A"/>
    <w:rsid w:val="00002B17"/>
    <w:rsid w:val="00002CC5"/>
    <w:rsid w:val="00002CF8"/>
    <w:rsid w:val="00002DD8"/>
    <w:rsid w:val="00003B58"/>
    <w:rsid w:val="00004099"/>
    <w:rsid w:val="00004224"/>
    <w:rsid w:val="000046E4"/>
    <w:rsid w:val="00005519"/>
    <w:rsid w:val="00005EDD"/>
    <w:rsid w:val="00005F73"/>
    <w:rsid w:val="000063C3"/>
    <w:rsid w:val="000063CA"/>
    <w:rsid w:val="00007068"/>
    <w:rsid w:val="00007279"/>
    <w:rsid w:val="000076F8"/>
    <w:rsid w:val="00007B00"/>
    <w:rsid w:val="00007B06"/>
    <w:rsid w:val="00007D3A"/>
    <w:rsid w:val="00007E4F"/>
    <w:rsid w:val="000102FB"/>
    <w:rsid w:val="00011439"/>
    <w:rsid w:val="00011AB8"/>
    <w:rsid w:val="00011CF4"/>
    <w:rsid w:val="00012292"/>
    <w:rsid w:val="00012774"/>
    <w:rsid w:val="000128B5"/>
    <w:rsid w:val="000131E3"/>
    <w:rsid w:val="000136A4"/>
    <w:rsid w:val="000139F5"/>
    <w:rsid w:val="0001595B"/>
    <w:rsid w:val="00015E52"/>
    <w:rsid w:val="00015EC6"/>
    <w:rsid w:val="000164BD"/>
    <w:rsid w:val="000165A5"/>
    <w:rsid w:val="000165AA"/>
    <w:rsid w:val="00016851"/>
    <w:rsid w:val="00016B3E"/>
    <w:rsid w:val="00016C25"/>
    <w:rsid w:val="00016C72"/>
    <w:rsid w:val="00016D1D"/>
    <w:rsid w:val="00016F99"/>
    <w:rsid w:val="000176F8"/>
    <w:rsid w:val="000178EC"/>
    <w:rsid w:val="00017EFC"/>
    <w:rsid w:val="000203BF"/>
    <w:rsid w:val="0002061E"/>
    <w:rsid w:val="00020A27"/>
    <w:rsid w:val="00020C37"/>
    <w:rsid w:val="00021990"/>
    <w:rsid w:val="00021F94"/>
    <w:rsid w:val="00021FD1"/>
    <w:rsid w:val="00022678"/>
    <w:rsid w:val="000244F3"/>
    <w:rsid w:val="00024A75"/>
    <w:rsid w:val="00024CAA"/>
    <w:rsid w:val="00025267"/>
    <w:rsid w:val="00025310"/>
    <w:rsid w:val="000254A8"/>
    <w:rsid w:val="0002561C"/>
    <w:rsid w:val="00025972"/>
    <w:rsid w:val="00025CAC"/>
    <w:rsid w:val="000262EA"/>
    <w:rsid w:val="00026567"/>
    <w:rsid w:val="00027972"/>
    <w:rsid w:val="00027A44"/>
    <w:rsid w:val="0003046C"/>
    <w:rsid w:val="00030F86"/>
    <w:rsid w:val="000310B1"/>
    <w:rsid w:val="000322EA"/>
    <w:rsid w:val="00033435"/>
    <w:rsid w:val="00033B26"/>
    <w:rsid w:val="00033F06"/>
    <w:rsid w:val="00033F80"/>
    <w:rsid w:val="000348B1"/>
    <w:rsid w:val="00034A34"/>
    <w:rsid w:val="00035331"/>
    <w:rsid w:val="00035501"/>
    <w:rsid w:val="00035803"/>
    <w:rsid w:val="00036091"/>
    <w:rsid w:val="00036538"/>
    <w:rsid w:val="00036B9F"/>
    <w:rsid w:val="000372CC"/>
    <w:rsid w:val="0003771D"/>
    <w:rsid w:val="0003772D"/>
    <w:rsid w:val="00040177"/>
    <w:rsid w:val="00040957"/>
    <w:rsid w:val="000411F6"/>
    <w:rsid w:val="000415EC"/>
    <w:rsid w:val="00041701"/>
    <w:rsid w:val="000417BD"/>
    <w:rsid w:val="00042314"/>
    <w:rsid w:val="00042EC1"/>
    <w:rsid w:val="00043BA1"/>
    <w:rsid w:val="00043D41"/>
    <w:rsid w:val="00043DDE"/>
    <w:rsid w:val="00044855"/>
    <w:rsid w:val="00044AE6"/>
    <w:rsid w:val="00044E8A"/>
    <w:rsid w:val="000458C2"/>
    <w:rsid w:val="00045ED2"/>
    <w:rsid w:val="00046D86"/>
    <w:rsid w:val="00046DF3"/>
    <w:rsid w:val="00046E00"/>
    <w:rsid w:val="00046E55"/>
    <w:rsid w:val="000474F1"/>
    <w:rsid w:val="0004796A"/>
    <w:rsid w:val="00047BED"/>
    <w:rsid w:val="0005029C"/>
    <w:rsid w:val="00050563"/>
    <w:rsid w:val="00050644"/>
    <w:rsid w:val="00050B7C"/>
    <w:rsid w:val="00050CE6"/>
    <w:rsid w:val="00051CE3"/>
    <w:rsid w:val="0005210C"/>
    <w:rsid w:val="00052EAE"/>
    <w:rsid w:val="0005422E"/>
    <w:rsid w:val="000546E0"/>
    <w:rsid w:val="000550C4"/>
    <w:rsid w:val="00055AF7"/>
    <w:rsid w:val="0005693C"/>
    <w:rsid w:val="00056A31"/>
    <w:rsid w:val="000572AC"/>
    <w:rsid w:val="000576E7"/>
    <w:rsid w:val="000577D2"/>
    <w:rsid w:val="00057DDB"/>
    <w:rsid w:val="00060198"/>
    <w:rsid w:val="0006137B"/>
    <w:rsid w:val="0006206D"/>
    <w:rsid w:val="00062A65"/>
    <w:rsid w:val="00063227"/>
    <w:rsid w:val="000633D6"/>
    <w:rsid w:val="00063928"/>
    <w:rsid w:val="00063A76"/>
    <w:rsid w:val="000647E5"/>
    <w:rsid w:val="00064F17"/>
    <w:rsid w:val="00065431"/>
    <w:rsid w:val="0006651A"/>
    <w:rsid w:val="00066953"/>
    <w:rsid w:val="000674F1"/>
    <w:rsid w:val="0006789D"/>
    <w:rsid w:val="000678CB"/>
    <w:rsid w:val="00067B55"/>
    <w:rsid w:val="00070DFC"/>
    <w:rsid w:val="00070F95"/>
    <w:rsid w:val="000713AF"/>
    <w:rsid w:val="00071556"/>
    <w:rsid w:val="000718A6"/>
    <w:rsid w:val="0007195C"/>
    <w:rsid w:val="000726FC"/>
    <w:rsid w:val="00072B86"/>
    <w:rsid w:val="00073538"/>
    <w:rsid w:val="00073748"/>
    <w:rsid w:val="00073885"/>
    <w:rsid w:val="00073BAF"/>
    <w:rsid w:val="00073C87"/>
    <w:rsid w:val="00074E52"/>
    <w:rsid w:val="000752BF"/>
    <w:rsid w:val="00075CA6"/>
    <w:rsid w:val="00075DF8"/>
    <w:rsid w:val="00076623"/>
    <w:rsid w:val="00076717"/>
    <w:rsid w:val="0007683B"/>
    <w:rsid w:val="00076AE7"/>
    <w:rsid w:val="00077F87"/>
    <w:rsid w:val="00080197"/>
    <w:rsid w:val="000809AA"/>
    <w:rsid w:val="000816D1"/>
    <w:rsid w:val="0008173A"/>
    <w:rsid w:val="000821F6"/>
    <w:rsid w:val="0008240E"/>
    <w:rsid w:val="00082CB4"/>
    <w:rsid w:val="00082EB0"/>
    <w:rsid w:val="00083CA6"/>
    <w:rsid w:val="00084B46"/>
    <w:rsid w:val="0008563A"/>
    <w:rsid w:val="0008598D"/>
    <w:rsid w:val="00086076"/>
    <w:rsid w:val="00086D00"/>
    <w:rsid w:val="00087588"/>
    <w:rsid w:val="00087A8F"/>
    <w:rsid w:val="000908F6"/>
    <w:rsid w:val="00090D28"/>
    <w:rsid w:val="00090DA3"/>
    <w:rsid w:val="00091061"/>
    <w:rsid w:val="000917E3"/>
    <w:rsid w:val="00091FFB"/>
    <w:rsid w:val="00092438"/>
    <w:rsid w:val="00092B53"/>
    <w:rsid w:val="00092B9B"/>
    <w:rsid w:val="000939EC"/>
    <w:rsid w:val="000942F4"/>
    <w:rsid w:val="000946F6"/>
    <w:rsid w:val="00094870"/>
    <w:rsid w:val="00094D21"/>
    <w:rsid w:val="00095512"/>
    <w:rsid w:val="0009570F"/>
    <w:rsid w:val="000962CA"/>
    <w:rsid w:val="000973D0"/>
    <w:rsid w:val="000974E9"/>
    <w:rsid w:val="000A0A48"/>
    <w:rsid w:val="000A0A93"/>
    <w:rsid w:val="000A1145"/>
    <w:rsid w:val="000A207D"/>
    <w:rsid w:val="000A227A"/>
    <w:rsid w:val="000A262B"/>
    <w:rsid w:val="000A3031"/>
    <w:rsid w:val="000A379C"/>
    <w:rsid w:val="000A38EE"/>
    <w:rsid w:val="000A3EBF"/>
    <w:rsid w:val="000A428B"/>
    <w:rsid w:val="000A54EE"/>
    <w:rsid w:val="000A56C5"/>
    <w:rsid w:val="000A68F7"/>
    <w:rsid w:val="000A6D0C"/>
    <w:rsid w:val="000A707A"/>
    <w:rsid w:val="000A7C89"/>
    <w:rsid w:val="000B0F82"/>
    <w:rsid w:val="000B2433"/>
    <w:rsid w:val="000B2594"/>
    <w:rsid w:val="000B2E6B"/>
    <w:rsid w:val="000B3A6E"/>
    <w:rsid w:val="000B3B3E"/>
    <w:rsid w:val="000B4540"/>
    <w:rsid w:val="000B4AD9"/>
    <w:rsid w:val="000B4DC2"/>
    <w:rsid w:val="000B5185"/>
    <w:rsid w:val="000B5C21"/>
    <w:rsid w:val="000B6166"/>
    <w:rsid w:val="000B6A5D"/>
    <w:rsid w:val="000B6FC2"/>
    <w:rsid w:val="000B7449"/>
    <w:rsid w:val="000B76AE"/>
    <w:rsid w:val="000B7A3F"/>
    <w:rsid w:val="000C0260"/>
    <w:rsid w:val="000C02F7"/>
    <w:rsid w:val="000C04E6"/>
    <w:rsid w:val="000C070C"/>
    <w:rsid w:val="000C11CE"/>
    <w:rsid w:val="000C1532"/>
    <w:rsid w:val="000C1B38"/>
    <w:rsid w:val="000C35E5"/>
    <w:rsid w:val="000C3B0E"/>
    <w:rsid w:val="000C3F20"/>
    <w:rsid w:val="000C3F63"/>
    <w:rsid w:val="000C41AC"/>
    <w:rsid w:val="000C45D5"/>
    <w:rsid w:val="000C50A9"/>
    <w:rsid w:val="000C6034"/>
    <w:rsid w:val="000C6103"/>
    <w:rsid w:val="000C6349"/>
    <w:rsid w:val="000C6763"/>
    <w:rsid w:val="000C680A"/>
    <w:rsid w:val="000C7F32"/>
    <w:rsid w:val="000D0438"/>
    <w:rsid w:val="000D07E9"/>
    <w:rsid w:val="000D117F"/>
    <w:rsid w:val="000D1F9F"/>
    <w:rsid w:val="000D22C1"/>
    <w:rsid w:val="000D2BD4"/>
    <w:rsid w:val="000D3DA8"/>
    <w:rsid w:val="000D4892"/>
    <w:rsid w:val="000D4D3D"/>
    <w:rsid w:val="000D502F"/>
    <w:rsid w:val="000D50EC"/>
    <w:rsid w:val="000D51F6"/>
    <w:rsid w:val="000D5620"/>
    <w:rsid w:val="000D56D0"/>
    <w:rsid w:val="000D58BD"/>
    <w:rsid w:val="000D64A1"/>
    <w:rsid w:val="000D65EE"/>
    <w:rsid w:val="000D6710"/>
    <w:rsid w:val="000D6985"/>
    <w:rsid w:val="000D6FA1"/>
    <w:rsid w:val="000E0913"/>
    <w:rsid w:val="000E0A8A"/>
    <w:rsid w:val="000E0C84"/>
    <w:rsid w:val="000E1700"/>
    <w:rsid w:val="000E1E08"/>
    <w:rsid w:val="000E21D2"/>
    <w:rsid w:val="000E3789"/>
    <w:rsid w:val="000E3DED"/>
    <w:rsid w:val="000E432D"/>
    <w:rsid w:val="000E4331"/>
    <w:rsid w:val="000E4C76"/>
    <w:rsid w:val="000E5B2E"/>
    <w:rsid w:val="000E6013"/>
    <w:rsid w:val="000E665A"/>
    <w:rsid w:val="000E6AA8"/>
    <w:rsid w:val="000E6AD6"/>
    <w:rsid w:val="000E6F8E"/>
    <w:rsid w:val="000E7699"/>
    <w:rsid w:val="000E7EE7"/>
    <w:rsid w:val="000F11E5"/>
    <w:rsid w:val="000F1FD2"/>
    <w:rsid w:val="000F26B8"/>
    <w:rsid w:val="000F29EF"/>
    <w:rsid w:val="000F320B"/>
    <w:rsid w:val="000F35CB"/>
    <w:rsid w:val="000F394E"/>
    <w:rsid w:val="000F3B80"/>
    <w:rsid w:val="000F4AB4"/>
    <w:rsid w:val="000F5EE7"/>
    <w:rsid w:val="000F7661"/>
    <w:rsid w:val="0010005F"/>
    <w:rsid w:val="0010072C"/>
    <w:rsid w:val="0010089D"/>
    <w:rsid w:val="00100F6A"/>
    <w:rsid w:val="00101AEF"/>
    <w:rsid w:val="00101CF1"/>
    <w:rsid w:val="0010266A"/>
    <w:rsid w:val="0010325B"/>
    <w:rsid w:val="00103528"/>
    <w:rsid w:val="0010384B"/>
    <w:rsid w:val="0010397B"/>
    <w:rsid w:val="00103997"/>
    <w:rsid w:val="001045BF"/>
    <w:rsid w:val="0010470A"/>
    <w:rsid w:val="00104E7C"/>
    <w:rsid w:val="00105034"/>
    <w:rsid w:val="001050CE"/>
    <w:rsid w:val="001053D8"/>
    <w:rsid w:val="001056D1"/>
    <w:rsid w:val="00106196"/>
    <w:rsid w:val="00106A01"/>
    <w:rsid w:val="00106CB3"/>
    <w:rsid w:val="00106E35"/>
    <w:rsid w:val="00107784"/>
    <w:rsid w:val="00111111"/>
    <w:rsid w:val="00112C28"/>
    <w:rsid w:val="00113C92"/>
    <w:rsid w:val="0011405B"/>
    <w:rsid w:val="00114CEB"/>
    <w:rsid w:val="00114DFA"/>
    <w:rsid w:val="00115A31"/>
    <w:rsid w:val="00115DED"/>
    <w:rsid w:val="001160DE"/>
    <w:rsid w:val="0011625C"/>
    <w:rsid w:val="0011629A"/>
    <w:rsid w:val="00116878"/>
    <w:rsid w:val="0011695D"/>
    <w:rsid w:val="00116973"/>
    <w:rsid w:val="00116D06"/>
    <w:rsid w:val="00116ED0"/>
    <w:rsid w:val="00116F0E"/>
    <w:rsid w:val="00120888"/>
    <w:rsid w:val="00120EA4"/>
    <w:rsid w:val="00120F26"/>
    <w:rsid w:val="001221C8"/>
    <w:rsid w:val="00123514"/>
    <w:rsid w:val="00123B9C"/>
    <w:rsid w:val="00123BEC"/>
    <w:rsid w:val="00123E06"/>
    <w:rsid w:val="001248B2"/>
    <w:rsid w:val="00124BFB"/>
    <w:rsid w:val="001250C8"/>
    <w:rsid w:val="00125162"/>
    <w:rsid w:val="0012550D"/>
    <w:rsid w:val="001258CC"/>
    <w:rsid w:val="00125D0A"/>
    <w:rsid w:val="00125DFD"/>
    <w:rsid w:val="00126CAD"/>
    <w:rsid w:val="00126DD0"/>
    <w:rsid w:val="00126FE5"/>
    <w:rsid w:val="0012767F"/>
    <w:rsid w:val="0012774D"/>
    <w:rsid w:val="00127D48"/>
    <w:rsid w:val="00127E43"/>
    <w:rsid w:val="00130AE1"/>
    <w:rsid w:val="001310E5"/>
    <w:rsid w:val="001311AF"/>
    <w:rsid w:val="001316D8"/>
    <w:rsid w:val="00131B82"/>
    <w:rsid w:val="00131CA4"/>
    <w:rsid w:val="00131CBB"/>
    <w:rsid w:val="00132C5D"/>
    <w:rsid w:val="00133B84"/>
    <w:rsid w:val="00133F84"/>
    <w:rsid w:val="00134444"/>
    <w:rsid w:val="00134716"/>
    <w:rsid w:val="001349A9"/>
    <w:rsid w:val="00134B6A"/>
    <w:rsid w:val="00134C07"/>
    <w:rsid w:val="0013514E"/>
    <w:rsid w:val="0013647A"/>
    <w:rsid w:val="001369D1"/>
    <w:rsid w:val="00137AE5"/>
    <w:rsid w:val="00137FD2"/>
    <w:rsid w:val="00140032"/>
    <w:rsid w:val="001405CB"/>
    <w:rsid w:val="001414E9"/>
    <w:rsid w:val="001420D6"/>
    <w:rsid w:val="0014236A"/>
    <w:rsid w:val="001423C9"/>
    <w:rsid w:val="0014256B"/>
    <w:rsid w:val="00142F5A"/>
    <w:rsid w:val="0014378E"/>
    <w:rsid w:val="001438D1"/>
    <w:rsid w:val="001441C6"/>
    <w:rsid w:val="001448A9"/>
    <w:rsid w:val="001448B8"/>
    <w:rsid w:val="00144A60"/>
    <w:rsid w:val="00145041"/>
    <w:rsid w:val="001453C0"/>
    <w:rsid w:val="001454D2"/>
    <w:rsid w:val="001458C0"/>
    <w:rsid w:val="00145B40"/>
    <w:rsid w:val="001464F5"/>
    <w:rsid w:val="001469A6"/>
    <w:rsid w:val="00146C4C"/>
    <w:rsid w:val="001472DA"/>
    <w:rsid w:val="00147485"/>
    <w:rsid w:val="001474FC"/>
    <w:rsid w:val="00147A78"/>
    <w:rsid w:val="00150687"/>
    <w:rsid w:val="001509FC"/>
    <w:rsid w:val="00150D9E"/>
    <w:rsid w:val="001517DC"/>
    <w:rsid w:val="00153104"/>
    <w:rsid w:val="00153114"/>
    <w:rsid w:val="001533E8"/>
    <w:rsid w:val="00153871"/>
    <w:rsid w:val="00154410"/>
    <w:rsid w:val="0015461B"/>
    <w:rsid w:val="00154DE0"/>
    <w:rsid w:val="00155BDC"/>
    <w:rsid w:val="00155EA6"/>
    <w:rsid w:val="00156261"/>
    <w:rsid w:val="00156403"/>
    <w:rsid w:val="001569D6"/>
    <w:rsid w:val="00156F33"/>
    <w:rsid w:val="00160F77"/>
    <w:rsid w:val="00161250"/>
    <w:rsid w:val="001614D9"/>
    <w:rsid w:val="00161A23"/>
    <w:rsid w:val="00161B09"/>
    <w:rsid w:val="001622A1"/>
    <w:rsid w:val="00162F65"/>
    <w:rsid w:val="00163952"/>
    <w:rsid w:val="001641FE"/>
    <w:rsid w:val="00164672"/>
    <w:rsid w:val="0016482C"/>
    <w:rsid w:val="00164D81"/>
    <w:rsid w:val="00164DB4"/>
    <w:rsid w:val="00164E51"/>
    <w:rsid w:val="001651C8"/>
    <w:rsid w:val="001651DE"/>
    <w:rsid w:val="00165F42"/>
    <w:rsid w:val="001669E9"/>
    <w:rsid w:val="00166ED3"/>
    <w:rsid w:val="001673F2"/>
    <w:rsid w:val="00167D7E"/>
    <w:rsid w:val="001700FD"/>
    <w:rsid w:val="00170230"/>
    <w:rsid w:val="001708FA"/>
    <w:rsid w:val="00170BF9"/>
    <w:rsid w:val="00171DEF"/>
    <w:rsid w:val="00172411"/>
    <w:rsid w:val="001724F3"/>
    <w:rsid w:val="00172C3C"/>
    <w:rsid w:val="001734B4"/>
    <w:rsid w:val="00174FE4"/>
    <w:rsid w:val="00175D4C"/>
    <w:rsid w:val="00175EDB"/>
    <w:rsid w:val="001764E9"/>
    <w:rsid w:val="0017659E"/>
    <w:rsid w:val="00176B56"/>
    <w:rsid w:val="00177527"/>
    <w:rsid w:val="00180479"/>
    <w:rsid w:val="00180678"/>
    <w:rsid w:val="00182314"/>
    <w:rsid w:val="00182C8D"/>
    <w:rsid w:val="00182E9A"/>
    <w:rsid w:val="00183139"/>
    <w:rsid w:val="00183257"/>
    <w:rsid w:val="001834CD"/>
    <w:rsid w:val="001837A0"/>
    <w:rsid w:val="0018392A"/>
    <w:rsid w:val="001839C7"/>
    <w:rsid w:val="00183BBA"/>
    <w:rsid w:val="0018440D"/>
    <w:rsid w:val="001846D6"/>
    <w:rsid w:val="00184A8E"/>
    <w:rsid w:val="001852A4"/>
    <w:rsid w:val="001854BD"/>
    <w:rsid w:val="00186106"/>
    <w:rsid w:val="001862DD"/>
    <w:rsid w:val="001862E2"/>
    <w:rsid w:val="00186903"/>
    <w:rsid w:val="00186950"/>
    <w:rsid w:val="00186BBE"/>
    <w:rsid w:val="00186E6D"/>
    <w:rsid w:val="00187D1E"/>
    <w:rsid w:val="001902AD"/>
    <w:rsid w:val="00190AD5"/>
    <w:rsid w:val="00190B21"/>
    <w:rsid w:val="00190E18"/>
    <w:rsid w:val="00190F22"/>
    <w:rsid w:val="00191218"/>
    <w:rsid w:val="001912D0"/>
    <w:rsid w:val="001914EF"/>
    <w:rsid w:val="001917F0"/>
    <w:rsid w:val="00191BC6"/>
    <w:rsid w:val="001933D6"/>
    <w:rsid w:val="001934DB"/>
    <w:rsid w:val="001936B5"/>
    <w:rsid w:val="0019383C"/>
    <w:rsid w:val="00194475"/>
    <w:rsid w:val="00194504"/>
    <w:rsid w:val="0019462C"/>
    <w:rsid w:val="00196302"/>
    <w:rsid w:val="00196BE5"/>
    <w:rsid w:val="00197D65"/>
    <w:rsid w:val="001A0446"/>
    <w:rsid w:val="001A04D9"/>
    <w:rsid w:val="001A0629"/>
    <w:rsid w:val="001A249E"/>
    <w:rsid w:val="001A2D11"/>
    <w:rsid w:val="001A3B1E"/>
    <w:rsid w:val="001A40AF"/>
    <w:rsid w:val="001A49D2"/>
    <w:rsid w:val="001A4ECB"/>
    <w:rsid w:val="001A5228"/>
    <w:rsid w:val="001A5321"/>
    <w:rsid w:val="001A534B"/>
    <w:rsid w:val="001A59FD"/>
    <w:rsid w:val="001A5FBD"/>
    <w:rsid w:val="001A6F50"/>
    <w:rsid w:val="001A7093"/>
    <w:rsid w:val="001A7775"/>
    <w:rsid w:val="001A7807"/>
    <w:rsid w:val="001A7BFC"/>
    <w:rsid w:val="001B0B52"/>
    <w:rsid w:val="001B0B53"/>
    <w:rsid w:val="001B12ED"/>
    <w:rsid w:val="001B1325"/>
    <w:rsid w:val="001B145D"/>
    <w:rsid w:val="001B15C9"/>
    <w:rsid w:val="001B22A6"/>
    <w:rsid w:val="001B27F9"/>
    <w:rsid w:val="001B3329"/>
    <w:rsid w:val="001B395D"/>
    <w:rsid w:val="001B4451"/>
    <w:rsid w:val="001B4BF4"/>
    <w:rsid w:val="001B4E82"/>
    <w:rsid w:val="001B55AA"/>
    <w:rsid w:val="001B5CBC"/>
    <w:rsid w:val="001B6367"/>
    <w:rsid w:val="001B67AA"/>
    <w:rsid w:val="001B7138"/>
    <w:rsid w:val="001B7826"/>
    <w:rsid w:val="001B7A82"/>
    <w:rsid w:val="001B7D0B"/>
    <w:rsid w:val="001B7F55"/>
    <w:rsid w:val="001C0983"/>
    <w:rsid w:val="001C1126"/>
    <w:rsid w:val="001C1788"/>
    <w:rsid w:val="001C2CC8"/>
    <w:rsid w:val="001C303E"/>
    <w:rsid w:val="001C408D"/>
    <w:rsid w:val="001C4F04"/>
    <w:rsid w:val="001C50AE"/>
    <w:rsid w:val="001C5198"/>
    <w:rsid w:val="001C5286"/>
    <w:rsid w:val="001C547E"/>
    <w:rsid w:val="001C5BE8"/>
    <w:rsid w:val="001C6239"/>
    <w:rsid w:val="001C655A"/>
    <w:rsid w:val="001C701C"/>
    <w:rsid w:val="001C7930"/>
    <w:rsid w:val="001C79BB"/>
    <w:rsid w:val="001C7B68"/>
    <w:rsid w:val="001C7FFC"/>
    <w:rsid w:val="001D0190"/>
    <w:rsid w:val="001D0587"/>
    <w:rsid w:val="001D1111"/>
    <w:rsid w:val="001D1245"/>
    <w:rsid w:val="001D1D0F"/>
    <w:rsid w:val="001D25A8"/>
    <w:rsid w:val="001D27D7"/>
    <w:rsid w:val="001D2A69"/>
    <w:rsid w:val="001D2AC1"/>
    <w:rsid w:val="001D2EBA"/>
    <w:rsid w:val="001D3271"/>
    <w:rsid w:val="001D3EDE"/>
    <w:rsid w:val="001D446F"/>
    <w:rsid w:val="001D4A50"/>
    <w:rsid w:val="001D4AFF"/>
    <w:rsid w:val="001D4EEA"/>
    <w:rsid w:val="001D564F"/>
    <w:rsid w:val="001D5B38"/>
    <w:rsid w:val="001D7811"/>
    <w:rsid w:val="001D785C"/>
    <w:rsid w:val="001D7A2C"/>
    <w:rsid w:val="001E1549"/>
    <w:rsid w:val="001E17F8"/>
    <w:rsid w:val="001E240D"/>
    <w:rsid w:val="001E2BEB"/>
    <w:rsid w:val="001E2FF2"/>
    <w:rsid w:val="001E3591"/>
    <w:rsid w:val="001E3B9D"/>
    <w:rsid w:val="001E4175"/>
    <w:rsid w:val="001E461C"/>
    <w:rsid w:val="001E5658"/>
    <w:rsid w:val="001E61AD"/>
    <w:rsid w:val="001E6C0E"/>
    <w:rsid w:val="001E704C"/>
    <w:rsid w:val="001E734A"/>
    <w:rsid w:val="001E7F42"/>
    <w:rsid w:val="001F01F1"/>
    <w:rsid w:val="001F0800"/>
    <w:rsid w:val="001F080B"/>
    <w:rsid w:val="001F0FAD"/>
    <w:rsid w:val="001F16A9"/>
    <w:rsid w:val="001F1883"/>
    <w:rsid w:val="001F235B"/>
    <w:rsid w:val="001F2AD9"/>
    <w:rsid w:val="001F32D6"/>
    <w:rsid w:val="001F32F4"/>
    <w:rsid w:val="001F4015"/>
    <w:rsid w:val="001F40CC"/>
    <w:rsid w:val="001F4120"/>
    <w:rsid w:val="001F4357"/>
    <w:rsid w:val="001F4A7E"/>
    <w:rsid w:val="001F5925"/>
    <w:rsid w:val="001F5A01"/>
    <w:rsid w:val="001F5E62"/>
    <w:rsid w:val="001F5F0D"/>
    <w:rsid w:val="001F61B7"/>
    <w:rsid w:val="001F6444"/>
    <w:rsid w:val="001F6C58"/>
    <w:rsid w:val="001F6E39"/>
    <w:rsid w:val="001F79F5"/>
    <w:rsid w:val="001F7CC2"/>
    <w:rsid w:val="00200264"/>
    <w:rsid w:val="00202245"/>
    <w:rsid w:val="00202590"/>
    <w:rsid w:val="002027B2"/>
    <w:rsid w:val="002035C4"/>
    <w:rsid w:val="00203866"/>
    <w:rsid w:val="0020395F"/>
    <w:rsid w:val="00203C8B"/>
    <w:rsid w:val="00203F27"/>
    <w:rsid w:val="002054E7"/>
    <w:rsid w:val="00205746"/>
    <w:rsid w:val="00205E14"/>
    <w:rsid w:val="00205E1C"/>
    <w:rsid w:val="00206DA5"/>
    <w:rsid w:val="0020730D"/>
    <w:rsid w:val="00207509"/>
    <w:rsid w:val="002076EB"/>
    <w:rsid w:val="0020775F"/>
    <w:rsid w:val="00207E34"/>
    <w:rsid w:val="00210005"/>
    <w:rsid w:val="00210A46"/>
    <w:rsid w:val="00211D32"/>
    <w:rsid w:val="00212E66"/>
    <w:rsid w:val="00213168"/>
    <w:rsid w:val="0021333F"/>
    <w:rsid w:val="00213508"/>
    <w:rsid w:val="00213932"/>
    <w:rsid w:val="00214149"/>
    <w:rsid w:val="00215826"/>
    <w:rsid w:val="00215BFE"/>
    <w:rsid w:val="00215CB6"/>
    <w:rsid w:val="00216541"/>
    <w:rsid w:val="00216B5B"/>
    <w:rsid w:val="00217165"/>
    <w:rsid w:val="002171F1"/>
    <w:rsid w:val="002173E9"/>
    <w:rsid w:val="00220947"/>
    <w:rsid w:val="00221259"/>
    <w:rsid w:val="00221620"/>
    <w:rsid w:val="00221EB4"/>
    <w:rsid w:val="00222258"/>
    <w:rsid w:val="0022269F"/>
    <w:rsid w:val="0022276D"/>
    <w:rsid w:val="002229E1"/>
    <w:rsid w:val="00222C52"/>
    <w:rsid w:val="00222E8C"/>
    <w:rsid w:val="00223161"/>
    <w:rsid w:val="00223375"/>
    <w:rsid w:val="00223A0C"/>
    <w:rsid w:val="00224CB1"/>
    <w:rsid w:val="00224F64"/>
    <w:rsid w:val="002251F5"/>
    <w:rsid w:val="00226277"/>
    <w:rsid w:val="00226973"/>
    <w:rsid w:val="0022745A"/>
    <w:rsid w:val="0022762A"/>
    <w:rsid w:val="00227F36"/>
    <w:rsid w:val="0023018D"/>
    <w:rsid w:val="002316CE"/>
    <w:rsid w:val="0023236E"/>
    <w:rsid w:val="002324B0"/>
    <w:rsid w:val="00232675"/>
    <w:rsid w:val="00232B5B"/>
    <w:rsid w:val="00232CA5"/>
    <w:rsid w:val="002332D4"/>
    <w:rsid w:val="00233D02"/>
    <w:rsid w:val="002348A7"/>
    <w:rsid w:val="00234EB7"/>
    <w:rsid w:val="00235F66"/>
    <w:rsid w:val="00236F11"/>
    <w:rsid w:val="0023716A"/>
    <w:rsid w:val="00237A47"/>
    <w:rsid w:val="0024035A"/>
    <w:rsid w:val="00240432"/>
    <w:rsid w:val="00240584"/>
    <w:rsid w:val="00240B4C"/>
    <w:rsid w:val="00240DCC"/>
    <w:rsid w:val="00241261"/>
    <w:rsid w:val="00241320"/>
    <w:rsid w:val="00241EF7"/>
    <w:rsid w:val="002438E7"/>
    <w:rsid w:val="00243D7E"/>
    <w:rsid w:val="00243EC8"/>
    <w:rsid w:val="00245265"/>
    <w:rsid w:val="002457C1"/>
    <w:rsid w:val="00245F9C"/>
    <w:rsid w:val="002465F2"/>
    <w:rsid w:val="0024673F"/>
    <w:rsid w:val="00246BAC"/>
    <w:rsid w:val="00247052"/>
    <w:rsid w:val="00247B32"/>
    <w:rsid w:val="00247F8C"/>
    <w:rsid w:val="002506C5"/>
    <w:rsid w:val="002507BE"/>
    <w:rsid w:val="0025080C"/>
    <w:rsid w:val="0025124C"/>
    <w:rsid w:val="002514CF"/>
    <w:rsid w:val="00251B4D"/>
    <w:rsid w:val="00252D5D"/>
    <w:rsid w:val="00255561"/>
    <w:rsid w:val="00256FE6"/>
    <w:rsid w:val="00257347"/>
    <w:rsid w:val="002573B5"/>
    <w:rsid w:val="00257854"/>
    <w:rsid w:val="0025787E"/>
    <w:rsid w:val="0026054E"/>
    <w:rsid w:val="00260774"/>
    <w:rsid w:val="00260D5A"/>
    <w:rsid w:val="0026104C"/>
    <w:rsid w:val="002618BB"/>
    <w:rsid w:val="00261A91"/>
    <w:rsid w:val="00262A1B"/>
    <w:rsid w:val="002637BB"/>
    <w:rsid w:val="00263910"/>
    <w:rsid w:val="00263DAB"/>
    <w:rsid w:val="00263E7F"/>
    <w:rsid w:val="002651CA"/>
    <w:rsid w:val="00265976"/>
    <w:rsid w:val="00265E42"/>
    <w:rsid w:val="002662EE"/>
    <w:rsid w:val="0026707A"/>
    <w:rsid w:val="002670A3"/>
    <w:rsid w:val="002673E1"/>
    <w:rsid w:val="00267EE7"/>
    <w:rsid w:val="0027034E"/>
    <w:rsid w:val="002706AA"/>
    <w:rsid w:val="00270901"/>
    <w:rsid w:val="00270951"/>
    <w:rsid w:val="002712F0"/>
    <w:rsid w:val="002717C6"/>
    <w:rsid w:val="00271B69"/>
    <w:rsid w:val="002720FD"/>
    <w:rsid w:val="00272575"/>
    <w:rsid w:val="00272B5A"/>
    <w:rsid w:val="0027367B"/>
    <w:rsid w:val="00273983"/>
    <w:rsid w:val="00274D07"/>
    <w:rsid w:val="00275498"/>
    <w:rsid w:val="0027554E"/>
    <w:rsid w:val="00275DB5"/>
    <w:rsid w:val="0027613D"/>
    <w:rsid w:val="0027623F"/>
    <w:rsid w:val="002762BA"/>
    <w:rsid w:val="00276588"/>
    <w:rsid w:val="002766B9"/>
    <w:rsid w:val="0027675A"/>
    <w:rsid w:val="00276AA4"/>
    <w:rsid w:val="00277393"/>
    <w:rsid w:val="0028028E"/>
    <w:rsid w:val="00281009"/>
    <w:rsid w:val="00281659"/>
    <w:rsid w:val="00281CCC"/>
    <w:rsid w:val="002826EA"/>
    <w:rsid w:val="00282C1A"/>
    <w:rsid w:val="00282F16"/>
    <w:rsid w:val="00282F28"/>
    <w:rsid w:val="0028389A"/>
    <w:rsid w:val="002838C5"/>
    <w:rsid w:val="00283B7C"/>
    <w:rsid w:val="00284C05"/>
    <w:rsid w:val="00284C5C"/>
    <w:rsid w:val="0028544E"/>
    <w:rsid w:val="002859C9"/>
    <w:rsid w:val="00286121"/>
    <w:rsid w:val="0028622D"/>
    <w:rsid w:val="00287071"/>
    <w:rsid w:val="00287A19"/>
    <w:rsid w:val="00287D74"/>
    <w:rsid w:val="002906DD"/>
    <w:rsid w:val="00291A23"/>
    <w:rsid w:val="00292809"/>
    <w:rsid w:val="002942FC"/>
    <w:rsid w:val="00294401"/>
    <w:rsid w:val="00294CBE"/>
    <w:rsid w:val="00294CDB"/>
    <w:rsid w:val="00295D40"/>
    <w:rsid w:val="00296901"/>
    <w:rsid w:val="00297139"/>
    <w:rsid w:val="002973ED"/>
    <w:rsid w:val="0029787F"/>
    <w:rsid w:val="002A06BC"/>
    <w:rsid w:val="002A11DF"/>
    <w:rsid w:val="002A15E2"/>
    <w:rsid w:val="002A1667"/>
    <w:rsid w:val="002A2A54"/>
    <w:rsid w:val="002A2EF2"/>
    <w:rsid w:val="002A30D7"/>
    <w:rsid w:val="002A3305"/>
    <w:rsid w:val="002A3D8A"/>
    <w:rsid w:val="002A4686"/>
    <w:rsid w:val="002A4880"/>
    <w:rsid w:val="002A54D1"/>
    <w:rsid w:val="002A65CC"/>
    <w:rsid w:val="002A6DD8"/>
    <w:rsid w:val="002A700F"/>
    <w:rsid w:val="002A738B"/>
    <w:rsid w:val="002A7BEF"/>
    <w:rsid w:val="002B09B6"/>
    <w:rsid w:val="002B11C6"/>
    <w:rsid w:val="002B1478"/>
    <w:rsid w:val="002B221B"/>
    <w:rsid w:val="002B2756"/>
    <w:rsid w:val="002B2AF2"/>
    <w:rsid w:val="002B2B0E"/>
    <w:rsid w:val="002B2C5A"/>
    <w:rsid w:val="002B3E3C"/>
    <w:rsid w:val="002B4BED"/>
    <w:rsid w:val="002B55C4"/>
    <w:rsid w:val="002B564A"/>
    <w:rsid w:val="002B5A42"/>
    <w:rsid w:val="002B5BDB"/>
    <w:rsid w:val="002B61FD"/>
    <w:rsid w:val="002B6788"/>
    <w:rsid w:val="002B6A0A"/>
    <w:rsid w:val="002B784D"/>
    <w:rsid w:val="002B7A59"/>
    <w:rsid w:val="002B7D66"/>
    <w:rsid w:val="002C0147"/>
    <w:rsid w:val="002C0711"/>
    <w:rsid w:val="002C087E"/>
    <w:rsid w:val="002C0C66"/>
    <w:rsid w:val="002C15EC"/>
    <w:rsid w:val="002C217A"/>
    <w:rsid w:val="002C22AC"/>
    <w:rsid w:val="002C255E"/>
    <w:rsid w:val="002C3140"/>
    <w:rsid w:val="002C3589"/>
    <w:rsid w:val="002C4D05"/>
    <w:rsid w:val="002C5F43"/>
    <w:rsid w:val="002C6ED2"/>
    <w:rsid w:val="002C73DA"/>
    <w:rsid w:val="002C7621"/>
    <w:rsid w:val="002C7725"/>
    <w:rsid w:val="002C7726"/>
    <w:rsid w:val="002C7DC8"/>
    <w:rsid w:val="002D0878"/>
    <w:rsid w:val="002D0DF9"/>
    <w:rsid w:val="002D0E5D"/>
    <w:rsid w:val="002D1EF8"/>
    <w:rsid w:val="002D2806"/>
    <w:rsid w:val="002D331F"/>
    <w:rsid w:val="002D3C24"/>
    <w:rsid w:val="002D41F0"/>
    <w:rsid w:val="002D435B"/>
    <w:rsid w:val="002D4EBE"/>
    <w:rsid w:val="002D5718"/>
    <w:rsid w:val="002D5E79"/>
    <w:rsid w:val="002D629A"/>
    <w:rsid w:val="002D6B83"/>
    <w:rsid w:val="002D6E70"/>
    <w:rsid w:val="002E0453"/>
    <w:rsid w:val="002E05CA"/>
    <w:rsid w:val="002E0936"/>
    <w:rsid w:val="002E18DB"/>
    <w:rsid w:val="002E19C7"/>
    <w:rsid w:val="002E23E9"/>
    <w:rsid w:val="002E420B"/>
    <w:rsid w:val="002E490C"/>
    <w:rsid w:val="002E4C6A"/>
    <w:rsid w:val="002E5922"/>
    <w:rsid w:val="002E5EA7"/>
    <w:rsid w:val="002E6BD7"/>
    <w:rsid w:val="002E6E36"/>
    <w:rsid w:val="002E6E50"/>
    <w:rsid w:val="002E6E82"/>
    <w:rsid w:val="002E7E46"/>
    <w:rsid w:val="002F0115"/>
    <w:rsid w:val="002F1277"/>
    <w:rsid w:val="002F1725"/>
    <w:rsid w:val="002F1869"/>
    <w:rsid w:val="002F1965"/>
    <w:rsid w:val="002F2D2E"/>
    <w:rsid w:val="002F2FC4"/>
    <w:rsid w:val="002F3644"/>
    <w:rsid w:val="002F3C92"/>
    <w:rsid w:val="002F3FCB"/>
    <w:rsid w:val="002F4767"/>
    <w:rsid w:val="002F49C7"/>
    <w:rsid w:val="002F55C8"/>
    <w:rsid w:val="002F58F7"/>
    <w:rsid w:val="002F6E15"/>
    <w:rsid w:val="002F7026"/>
    <w:rsid w:val="002F71DA"/>
    <w:rsid w:val="002F7559"/>
    <w:rsid w:val="002F77D9"/>
    <w:rsid w:val="002F7827"/>
    <w:rsid w:val="002F7E08"/>
    <w:rsid w:val="00300B39"/>
    <w:rsid w:val="00300C6D"/>
    <w:rsid w:val="00300E06"/>
    <w:rsid w:val="00301042"/>
    <w:rsid w:val="0030108B"/>
    <w:rsid w:val="003020AE"/>
    <w:rsid w:val="00304064"/>
    <w:rsid w:val="00304119"/>
    <w:rsid w:val="00304473"/>
    <w:rsid w:val="003045D6"/>
    <w:rsid w:val="00304611"/>
    <w:rsid w:val="00305375"/>
    <w:rsid w:val="00305BDD"/>
    <w:rsid w:val="003060F3"/>
    <w:rsid w:val="0030699E"/>
    <w:rsid w:val="00307571"/>
    <w:rsid w:val="003075E3"/>
    <w:rsid w:val="003102D0"/>
    <w:rsid w:val="00310B34"/>
    <w:rsid w:val="00310E92"/>
    <w:rsid w:val="00311208"/>
    <w:rsid w:val="003118CE"/>
    <w:rsid w:val="003118D6"/>
    <w:rsid w:val="00311AC4"/>
    <w:rsid w:val="00312595"/>
    <w:rsid w:val="003127FC"/>
    <w:rsid w:val="003137B0"/>
    <w:rsid w:val="00313F1F"/>
    <w:rsid w:val="00313FB7"/>
    <w:rsid w:val="0031409D"/>
    <w:rsid w:val="00314E70"/>
    <w:rsid w:val="00315225"/>
    <w:rsid w:val="00315CF8"/>
    <w:rsid w:val="0031651C"/>
    <w:rsid w:val="00316B0E"/>
    <w:rsid w:val="00317C80"/>
    <w:rsid w:val="00317F9D"/>
    <w:rsid w:val="00320167"/>
    <w:rsid w:val="003208BD"/>
    <w:rsid w:val="00320949"/>
    <w:rsid w:val="00320BED"/>
    <w:rsid w:val="00320C6D"/>
    <w:rsid w:val="00320DB7"/>
    <w:rsid w:val="00321479"/>
    <w:rsid w:val="003215B2"/>
    <w:rsid w:val="00321840"/>
    <w:rsid w:val="00321AD3"/>
    <w:rsid w:val="00323E71"/>
    <w:rsid w:val="00324836"/>
    <w:rsid w:val="0032553B"/>
    <w:rsid w:val="0032593E"/>
    <w:rsid w:val="00325AC2"/>
    <w:rsid w:val="003264EB"/>
    <w:rsid w:val="0032675C"/>
    <w:rsid w:val="00326812"/>
    <w:rsid w:val="0032712E"/>
    <w:rsid w:val="003277A7"/>
    <w:rsid w:val="00327D33"/>
    <w:rsid w:val="003306CA"/>
    <w:rsid w:val="00330903"/>
    <w:rsid w:val="003320C7"/>
    <w:rsid w:val="00332288"/>
    <w:rsid w:val="00332673"/>
    <w:rsid w:val="00332D62"/>
    <w:rsid w:val="003333C9"/>
    <w:rsid w:val="00333C1A"/>
    <w:rsid w:val="00333E12"/>
    <w:rsid w:val="00333FA7"/>
    <w:rsid w:val="00334716"/>
    <w:rsid w:val="00334A88"/>
    <w:rsid w:val="0033680B"/>
    <w:rsid w:val="0033692E"/>
    <w:rsid w:val="003370B7"/>
    <w:rsid w:val="00337355"/>
    <w:rsid w:val="003374A0"/>
    <w:rsid w:val="00337E31"/>
    <w:rsid w:val="00340D57"/>
    <w:rsid w:val="003415B0"/>
    <w:rsid w:val="00341C29"/>
    <w:rsid w:val="00342392"/>
    <w:rsid w:val="00342994"/>
    <w:rsid w:val="00342E61"/>
    <w:rsid w:val="003439BA"/>
    <w:rsid w:val="00343B27"/>
    <w:rsid w:val="00343C36"/>
    <w:rsid w:val="00343F48"/>
    <w:rsid w:val="003456C6"/>
    <w:rsid w:val="00345DA9"/>
    <w:rsid w:val="00346CC1"/>
    <w:rsid w:val="003472C7"/>
    <w:rsid w:val="003478EE"/>
    <w:rsid w:val="00351670"/>
    <w:rsid w:val="00352D40"/>
    <w:rsid w:val="00353A4D"/>
    <w:rsid w:val="0035409D"/>
    <w:rsid w:val="0035580F"/>
    <w:rsid w:val="00355D00"/>
    <w:rsid w:val="003568C7"/>
    <w:rsid w:val="00356C98"/>
    <w:rsid w:val="00356D96"/>
    <w:rsid w:val="0035778E"/>
    <w:rsid w:val="00357C24"/>
    <w:rsid w:val="0036053C"/>
    <w:rsid w:val="00360B5C"/>
    <w:rsid w:val="00360C4B"/>
    <w:rsid w:val="0036119E"/>
    <w:rsid w:val="00361515"/>
    <w:rsid w:val="00361FC1"/>
    <w:rsid w:val="003620ED"/>
    <w:rsid w:val="00362D4B"/>
    <w:rsid w:val="00363335"/>
    <w:rsid w:val="00363854"/>
    <w:rsid w:val="00363F4C"/>
    <w:rsid w:val="003640D0"/>
    <w:rsid w:val="00365125"/>
    <w:rsid w:val="00365CA8"/>
    <w:rsid w:val="00366CA4"/>
    <w:rsid w:val="00366FBE"/>
    <w:rsid w:val="00367CB6"/>
    <w:rsid w:val="0037007E"/>
    <w:rsid w:val="0037032A"/>
    <w:rsid w:val="0037045D"/>
    <w:rsid w:val="00371796"/>
    <w:rsid w:val="00371B87"/>
    <w:rsid w:val="00371F88"/>
    <w:rsid w:val="00372103"/>
    <w:rsid w:val="00373226"/>
    <w:rsid w:val="0037420F"/>
    <w:rsid w:val="00374F4D"/>
    <w:rsid w:val="003753A6"/>
    <w:rsid w:val="003760EF"/>
    <w:rsid w:val="00376952"/>
    <w:rsid w:val="00377238"/>
    <w:rsid w:val="00377745"/>
    <w:rsid w:val="00377C8C"/>
    <w:rsid w:val="00380154"/>
    <w:rsid w:val="003804DE"/>
    <w:rsid w:val="00380FC6"/>
    <w:rsid w:val="003810B6"/>
    <w:rsid w:val="00381366"/>
    <w:rsid w:val="00381D31"/>
    <w:rsid w:val="00382470"/>
    <w:rsid w:val="00382612"/>
    <w:rsid w:val="00382887"/>
    <w:rsid w:val="00382B43"/>
    <w:rsid w:val="00382C41"/>
    <w:rsid w:val="0038310E"/>
    <w:rsid w:val="00383BBA"/>
    <w:rsid w:val="00383CA2"/>
    <w:rsid w:val="003845ED"/>
    <w:rsid w:val="00384807"/>
    <w:rsid w:val="00384BF9"/>
    <w:rsid w:val="00385F59"/>
    <w:rsid w:val="00386034"/>
    <w:rsid w:val="00386166"/>
    <w:rsid w:val="003863F2"/>
    <w:rsid w:val="003868EF"/>
    <w:rsid w:val="00386BCC"/>
    <w:rsid w:val="00386DC3"/>
    <w:rsid w:val="00386FB1"/>
    <w:rsid w:val="00387067"/>
    <w:rsid w:val="00387543"/>
    <w:rsid w:val="00390275"/>
    <w:rsid w:val="003903F2"/>
    <w:rsid w:val="00390400"/>
    <w:rsid w:val="00391438"/>
    <w:rsid w:val="00391A9D"/>
    <w:rsid w:val="00391F0D"/>
    <w:rsid w:val="003922C9"/>
    <w:rsid w:val="00392A0C"/>
    <w:rsid w:val="0039314B"/>
    <w:rsid w:val="003935D3"/>
    <w:rsid w:val="0039398D"/>
    <w:rsid w:val="003939AA"/>
    <w:rsid w:val="00393C8A"/>
    <w:rsid w:val="003940E2"/>
    <w:rsid w:val="00394596"/>
    <w:rsid w:val="0039469D"/>
    <w:rsid w:val="003949DB"/>
    <w:rsid w:val="003950E3"/>
    <w:rsid w:val="003954C5"/>
    <w:rsid w:val="00395BFD"/>
    <w:rsid w:val="00395CAC"/>
    <w:rsid w:val="003962B2"/>
    <w:rsid w:val="003962C1"/>
    <w:rsid w:val="00396735"/>
    <w:rsid w:val="00396744"/>
    <w:rsid w:val="00396BE0"/>
    <w:rsid w:val="00396D6F"/>
    <w:rsid w:val="00396E71"/>
    <w:rsid w:val="00396E76"/>
    <w:rsid w:val="00397347"/>
    <w:rsid w:val="0039783C"/>
    <w:rsid w:val="00397BE0"/>
    <w:rsid w:val="00397DBA"/>
    <w:rsid w:val="00397F11"/>
    <w:rsid w:val="003A07AB"/>
    <w:rsid w:val="003A0D94"/>
    <w:rsid w:val="003A1955"/>
    <w:rsid w:val="003A21EB"/>
    <w:rsid w:val="003A29DC"/>
    <w:rsid w:val="003A2B63"/>
    <w:rsid w:val="003A2D66"/>
    <w:rsid w:val="003A3820"/>
    <w:rsid w:val="003A384C"/>
    <w:rsid w:val="003A3A5E"/>
    <w:rsid w:val="003A3BCD"/>
    <w:rsid w:val="003A4160"/>
    <w:rsid w:val="003A45BA"/>
    <w:rsid w:val="003A466C"/>
    <w:rsid w:val="003A4A08"/>
    <w:rsid w:val="003A4A39"/>
    <w:rsid w:val="003A567E"/>
    <w:rsid w:val="003A57D7"/>
    <w:rsid w:val="003A597B"/>
    <w:rsid w:val="003A6229"/>
    <w:rsid w:val="003A68B1"/>
    <w:rsid w:val="003A7003"/>
    <w:rsid w:val="003A706D"/>
    <w:rsid w:val="003A7431"/>
    <w:rsid w:val="003A79DF"/>
    <w:rsid w:val="003B010C"/>
    <w:rsid w:val="003B01D0"/>
    <w:rsid w:val="003B0482"/>
    <w:rsid w:val="003B08DB"/>
    <w:rsid w:val="003B08F2"/>
    <w:rsid w:val="003B0DCF"/>
    <w:rsid w:val="003B140F"/>
    <w:rsid w:val="003B19DC"/>
    <w:rsid w:val="003B1C52"/>
    <w:rsid w:val="003B26B6"/>
    <w:rsid w:val="003B27EF"/>
    <w:rsid w:val="003B29CA"/>
    <w:rsid w:val="003B2A69"/>
    <w:rsid w:val="003B3940"/>
    <w:rsid w:val="003B4224"/>
    <w:rsid w:val="003B43AB"/>
    <w:rsid w:val="003B612F"/>
    <w:rsid w:val="003B63A4"/>
    <w:rsid w:val="003B6B91"/>
    <w:rsid w:val="003B6FF0"/>
    <w:rsid w:val="003B7025"/>
    <w:rsid w:val="003C00B9"/>
    <w:rsid w:val="003C1A8B"/>
    <w:rsid w:val="003C29AF"/>
    <w:rsid w:val="003C35C6"/>
    <w:rsid w:val="003C39E4"/>
    <w:rsid w:val="003C3C1D"/>
    <w:rsid w:val="003C5F49"/>
    <w:rsid w:val="003C756A"/>
    <w:rsid w:val="003D03BD"/>
    <w:rsid w:val="003D10AB"/>
    <w:rsid w:val="003D1672"/>
    <w:rsid w:val="003D225A"/>
    <w:rsid w:val="003D3B9F"/>
    <w:rsid w:val="003D3FFC"/>
    <w:rsid w:val="003D415F"/>
    <w:rsid w:val="003D4A09"/>
    <w:rsid w:val="003D4CB0"/>
    <w:rsid w:val="003D4D6A"/>
    <w:rsid w:val="003D5B5B"/>
    <w:rsid w:val="003D6D10"/>
    <w:rsid w:val="003D6D84"/>
    <w:rsid w:val="003D6F23"/>
    <w:rsid w:val="003D6FB4"/>
    <w:rsid w:val="003D7143"/>
    <w:rsid w:val="003D73AD"/>
    <w:rsid w:val="003D7D48"/>
    <w:rsid w:val="003E010B"/>
    <w:rsid w:val="003E061A"/>
    <w:rsid w:val="003E0BC5"/>
    <w:rsid w:val="003E0C0A"/>
    <w:rsid w:val="003E14DF"/>
    <w:rsid w:val="003E27AC"/>
    <w:rsid w:val="003E317B"/>
    <w:rsid w:val="003E3604"/>
    <w:rsid w:val="003E3CBD"/>
    <w:rsid w:val="003E3E55"/>
    <w:rsid w:val="003E4038"/>
    <w:rsid w:val="003E426F"/>
    <w:rsid w:val="003E4D56"/>
    <w:rsid w:val="003E5586"/>
    <w:rsid w:val="003E57E6"/>
    <w:rsid w:val="003E5CCF"/>
    <w:rsid w:val="003E6481"/>
    <w:rsid w:val="003E67DA"/>
    <w:rsid w:val="003E68B5"/>
    <w:rsid w:val="003E7339"/>
    <w:rsid w:val="003E7E30"/>
    <w:rsid w:val="003E7E56"/>
    <w:rsid w:val="003F0C14"/>
    <w:rsid w:val="003F12B4"/>
    <w:rsid w:val="003F130E"/>
    <w:rsid w:val="003F13BA"/>
    <w:rsid w:val="003F1BC0"/>
    <w:rsid w:val="003F1C65"/>
    <w:rsid w:val="003F205C"/>
    <w:rsid w:val="003F46E5"/>
    <w:rsid w:val="003F4747"/>
    <w:rsid w:val="003F4D40"/>
    <w:rsid w:val="003F5624"/>
    <w:rsid w:val="003F5770"/>
    <w:rsid w:val="003F5821"/>
    <w:rsid w:val="003F5E8B"/>
    <w:rsid w:val="003F61B3"/>
    <w:rsid w:val="003F6826"/>
    <w:rsid w:val="003F7154"/>
    <w:rsid w:val="003F7845"/>
    <w:rsid w:val="003F7EF5"/>
    <w:rsid w:val="0040023E"/>
    <w:rsid w:val="00401B5D"/>
    <w:rsid w:val="00401F37"/>
    <w:rsid w:val="00402513"/>
    <w:rsid w:val="00402B31"/>
    <w:rsid w:val="00402B38"/>
    <w:rsid w:val="00402CE1"/>
    <w:rsid w:val="00403119"/>
    <w:rsid w:val="004042DD"/>
    <w:rsid w:val="0040447A"/>
    <w:rsid w:val="0040578C"/>
    <w:rsid w:val="00405981"/>
    <w:rsid w:val="00406220"/>
    <w:rsid w:val="0040669F"/>
    <w:rsid w:val="004079CF"/>
    <w:rsid w:val="00407BCF"/>
    <w:rsid w:val="00407F33"/>
    <w:rsid w:val="00410086"/>
    <w:rsid w:val="004103ED"/>
    <w:rsid w:val="004115AE"/>
    <w:rsid w:val="00411899"/>
    <w:rsid w:val="004119B3"/>
    <w:rsid w:val="00411A38"/>
    <w:rsid w:val="0041247D"/>
    <w:rsid w:val="00412C55"/>
    <w:rsid w:val="00412C80"/>
    <w:rsid w:val="004133C1"/>
    <w:rsid w:val="0041423D"/>
    <w:rsid w:val="004145F9"/>
    <w:rsid w:val="00414CD7"/>
    <w:rsid w:val="00415232"/>
    <w:rsid w:val="004159A6"/>
    <w:rsid w:val="00416530"/>
    <w:rsid w:val="00416A8F"/>
    <w:rsid w:val="004176D4"/>
    <w:rsid w:val="00417E96"/>
    <w:rsid w:val="00420315"/>
    <w:rsid w:val="004206A6"/>
    <w:rsid w:val="00420708"/>
    <w:rsid w:val="004211EE"/>
    <w:rsid w:val="0042263B"/>
    <w:rsid w:val="004234B3"/>
    <w:rsid w:val="00423579"/>
    <w:rsid w:val="004240F9"/>
    <w:rsid w:val="00424624"/>
    <w:rsid w:val="00424D30"/>
    <w:rsid w:val="00424E92"/>
    <w:rsid w:val="00424EE7"/>
    <w:rsid w:val="004251A6"/>
    <w:rsid w:val="00425557"/>
    <w:rsid w:val="00425E10"/>
    <w:rsid w:val="00426C87"/>
    <w:rsid w:val="00427335"/>
    <w:rsid w:val="00430AF9"/>
    <w:rsid w:val="00430C28"/>
    <w:rsid w:val="00430ECC"/>
    <w:rsid w:val="0043143C"/>
    <w:rsid w:val="0043352C"/>
    <w:rsid w:val="00433694"/>
    <w:rsid w:val="00433D23"/>
    <w:rsid w:val="00433FCA"/>
    <w:rsid w:val="004344FC"/>
    <w:rsid w:val="00434616"/>
    <w:rsid w:val="004349FB"/>
    <w:rsid w:val="004361E4"/>
    <w:rsid w:val="00436916"/>
    <w:rsid w:val="00436B52"/>
    <w:rsid w:val="00436B8D"/>
    <w:rsid w:val="00436C4C"/>
    <w:rsid w:val="00437B65"/>
    <w:rsid w:val="00437E1B"/>
    <w:rsid w:val="004406B5"/>
    <w:rsid w:val="00440835"/>
    <w:rsid w:val="00441149"/>
    <w:rsid w:val="0044114B"/>
    <w:rsid w:val="0044181E"/>
    <w:rsid w:val="00441EBE"/>
    <w:rsid w:val="00441F9D"/>
    <w:rsid w:val="004423BE"/>
    <w:rsid w:val="004423D2"/>
    <w:rsid w:val="00442486"/>
    <w:rsid w:val="00442C17"/>
    <w:rsid w:val="00442D32"/>
    <w:rsid w:val="00442EE7"/>
    <w:rsid w:val="004432A8"/>
    <w:rsid w:val="004442AD"/>
    <w:rsid w:val="00445575"/>
    <w:rsid w:val="00445D75"/>
    <w:rsid w:val="00445F49"/>
    <w:rsid w:val="00447315"/>
    <w:rsid w:val="004475E9"/>
    <w:rsid w:val="004479C0"/>
    <w:rsid w:val="00447AC1"/>
    <w:rsid w:val="00447BD4"/>
    <w:rsid w:val="00447C37"/>
    <w:rsid w:val="00450425"/>
    <w:rsid w:val="00450930"/>
    <w:rsid w:val="00450F2F"/>
    <w:rsid w:val="00451728"/>
    <w:rsid w:val="004518C6"/>
    <w:rsid w:val="00451947"/>
    <w:rsid w:val="00451AFB"/>
    <w:rsid w:val="0045346C"/>
    <w:rsid w:val="00453963"/>
    <w:rsid w:val="004542DF"/>
    <w:rsid w:val="004543B2"/>
    <w:rsid w:val="004543FF"/>
    <w:rsid w:val="00455410"/>
    <w:rsid w:val="00455472"/>
    <w:rsid w:val="00455A2B"/>
    <w:rsid w:val="0045668A"/>
    <w:rsid w:val="00456942"/>
    <w:rsid w:val="00456B78"/>
    <w:rsid w:val="00456E8B"/>
    <w:rsid w:val="00457378"/>
    <w:rsid w:val="00457DE3"/>
    <w:rsid w:val="004602D1"/>
    <w:rsid w:val="00460571"/>
    <w:rsid w:val="00460BF7"/>
    <w:rsid w:val="00461F07"/>
    <w:rsid w:val="00462228"/>
    <w:rsid w:val="004627A8"/>
    <w:rsid w:val="004629C6"/>
    <w:rsid w:val="00462DA8"/>
    <w:rsid w:val="00463336"/>
    <w:rsid w:val="004633B5"/>
    <w:rsid w:val="004634DE"/>
    <w:rsid w:val="004646E3"/>
    <w:rsid w:val="0046471B"/>
    <w:rsid w:val="00464891"/>
    <w:rsid w:val="0046498A"/>
    <w:rsid w:val="00464B62"/>
    <w:rsid w:val="00465619"/>
    <w:rsid w:val="004657C2"/>
    <w:rsid w:val="00465A66"/>
    <w:rsid w:val="00466601"/>
    <w:rsid w:val="00466932"/>
    <w:rsid w:val="004669E7"/>
    <w:rsid w:val="00466D5E"/>
    <w:rsid w:val="0046773E"/>
    <w:rsid w:val="00467A29"/>
    <w:rsid w:val="00467B1C"/>
    <w:rsid w:val="00467D4B"/>
    <w:rsid w:val="00470072"/>
    <w:rsid w:val="00470F97"/>
    <w:rsid w:val="004721C4"/>
    <w:rsid w:val="0047245B"/>
    <w:rsid w:val="004729A8"/>
    <w:rsid w:val="0047318C"/>
    <w:rsid w:val="00473D92"/>
    <w:rsid w:val="00475483"/>
    <w:rsid w:val="00475677"/>
    <w:rsid w:val="00475808"/>
    <w:rsid w:val="00475EE3"/>
    <w:rsid w:val="004761D8"/>
    <w:rsid w:val="00476372"/>
    <w:rsid w:val="004769A5"/>
    <w:rsid w:val="00476CF8"/>
    <w:rsid w:val="00476D6F"/>
    <w:rsid w:val="00477260"/>
    <w:rsid w:val="00477C8F"/>
    <w:rsid w:val="004808C3"/>
    <w:rsid w:val="00480A13"/>
    <w:rsid w:val="00480D81"/>
    <w:rsid w:val="00480F4B"/>
    <w:rsid w:val="004811C1"/>
    <w:rsid w:val="00481387"/>
    <w:rsid w:val="00481CC4"/>
    <w:rsid w:val="004823AF"/>
    <w:rsid w:val="004824FC"/>
    <w:rsid w:val="00483A24"/>
    <w:rsid w:val="00483ED6"/>
    <w:rsid w:val="00483F26"/>
    <w:rsid w:val="004842F7"/>
    <w:rsid w:val="00484BE1"/>
    <w:rsid w:val="00485522"/>
    <w:rsid w:val="00485590"/>
    <w:rsid w:val="00485974"/>
    <w:rsid w:val="00485C24"/>
    <w:rsid w:val="00485EF7"/>
    <w:rsid w:val="00486B7B"/>
    <w:rsid w:val="00486C5B"/>
    <w:rsid w:val="00486E26"/>
    <w:rsid w:val="00486F01"/>
    <w:rsid w:val="00487BDB"/>
    <w:rsid w:val="00490D12"/>
    <w:rsid w:val="00491550"/>
    <w:rsid w:val="00491ABD"/>
    <w:rsid w:val="00492664"/>
    <w:rsid w:val="00492B29"/>
    <w:rsid w:val="00493034"/>
    <w:rsid w:val="004931B7"/>
    <w:rsid w:val="00493BE5"/>
    <w:rsid w:val="00493D88"/>
    <w:rsid w:val="00493FBD"/>
    <w:rsid w:val="00494558"/>
    <w:rsid w:val="004947DD"/>
    <w:rsid w:val="00494B45"/>
    <w:rsid w:val="004959A7"/>
    <w:rsid w:val="0049694B"/>
    <w:rsid w:val="00496DFA"/>
    <w:rsid w:val="00497A50"/>
    <w:rsid w:val="00497D42"/>
    <w:rsid w:val="00497E7E"/>
    <w:rsid w:val="004A02BE"/>
    <w:rsid w:val="004A04C6"/>
    <w:rsid w:val="004A08FB"/>
    <w:rsid w:val="004A091F"/>
    <w:rsid w:val="004A164C"/>
    <w:rsid w:val="004A22CB"/>
    <w:rsid w:val="004A28CA"/>
    <w:rsid w:val="004A32EE"/>
    <w:rsid w:val="004A3586"/>
    <w:rsid w:val="004A3CBE"/>
    <w:rsid w:val="004A4325"/>
    <w:rsid w:val="004A543A"/>
    <w:rsid w:val="004A5C7D"/>
    <w:rsid w:val="004A67C4"/>
    <w:rsid w:val="004A6AC3"/>
    <w:rsid w:val="004B0A8A"/>
    <w:rsid w:val="004B0B6E"/>
    <w:rsid w:val="004B0BD9"/>
    <w:rsid w:val="004B0E45"/>
    <w:rsid w:val="004B108A"/>
    <w:rsid w:val="004B186E"/>
    <w:rsid w:val="004B2B9A"/>
    <w:rsid w:val="004B2F39"/>
    <w:rsid w:val="004B30E4"/>
    <w:rsid w:val="004B316C"/>
    <w:rsid w:val="004B4ACE"/>
    <w:rsid w:val="004B531C"/>
    <w:rsid w:val="004B5B55"/>
    <w:rsid w:val="004B5F8B"/>
    <w:rsid w:val="004B6DB6"/>
    <w:rsid w:val="004B7139"/>
    <w:rsid w:val="004B72CA"/>
    <w:rsid w:val="004B7864"/>
    <w:rsid w:val="004B79B4"/>
    <w:rsid w:val="004B79B6"/>
    <w:rsid w:val="004C13CC"/>
    <w:rsid w:val="004C157C"/>
    <w:rsid w:val="004C3E35"/>
    <w:rsid w:val="004C4106"/>
    <w:rsid w:val="004C4567"/>
    <w:rsid w:val="004C4618"/>
    <w:rsid w:val="004C4B46"/>
    <w:rsid w:val="004C4C37"/>
    <w:rsid w:val="004C4D81"/>
    <w:rsid w:val="004C56D5"/>
    <w:rsid w:val="004C587E"/>
    <w:rsid w:val="004C5910"/>
    <w:rsid w:val="004C5CD4"/>
    <w:rsid w:val="004C618A"/>
    <w:rsid w:val="004C66F1"/>
    <w:rsid w:val="004C697C"/>
    <w:rsid w:val="004C718F"/>
    <w:rsid w:val="004C7AF7"/>
    <w:rsid w:val="004D0CFC"/>
    <w:rsid w:val="004D1442"/>
    <w:rsid w:val="004D1BB4"/>
    <w:rsid w:val="004D250B"/>
    <w:rsid w:val="004D25D3"/>
    <w:rsid w:val="004D2AA4"/>
    <w:rsid w:val="004D2C60"/>
    <w:rsid w:val="004D3604"/>
    <w:rsid w:val="004D37EB"/>
    <w:rsid w:val="004D3D0E"/>
    <w:rsid w:val="004D41DC"/>
    <w:rsid w:val="004D513F"/>
    <w:rsid w:val="004D580F"/>
    <w:rsid w:val="004D5F84"/>
    <w:rsid w:val="004D666B"/>
    <w:rsid w:val="004D6912"/>
    <w:rsid w:val="004D6926"/>
    <w:rsid w:val="004D6D57"/>
    <w:rsid w:val="004D73C7"/>
    <w:rsid w:val="004D7465"/>
    <w:rsid w:val="004D7496"/>
    <w:rsid w:val="004D77CE"/>
    <w:rsid w:val="004D7D1E"/>
    <w:rsid w:val="004E06B9"/>
    <w:rsid w:val="004E11D7"/>
    <w:rsid w:val="004E11DA"/>
    <w:rsid w:val="004E166C"/>
    <w:rsid w:val="004E19C0"/>
    <w:rsid w:val="004E25DE"/>
    <w:rsid w:val="004E36D5"/>
    <w:rsid w:val="004E3D7E"/>
    <w:rsid w:val="004E3F5F"/>
    <w:rsid w:val="004E4585"/>
    <w:rsid w:val="004E4785"/>
    <w:rsid w:val="004E49C2"/>
    <w:rsid w:val="004E4D13"/>
    <w:rsid w:val="004E4FEA"/>
    <w:rsid w:val="004E51E3"/>
    <w:rsid w:val="004E550A"/>
    <w:rsid w:val="004E5692"/>
    <w:rsid w:val="004E5A02"/>
    <w:rsid w:val="004E69E0"/>
    <w:rsid w:val="004E6BB3"/>
    <w:rsid w:val="004E6F82"/>
    <w:rsid w:val="004E795A"/>
    <w:rsid w:val="004F0123"/>
    <w:rsid w:val="004F02DF"/>
    <w:rsid w:val="004F068A"/>
    <w:rsid w:val="004F0756"/>
    <w:rsid w:val="004F0845"/>
    <w:rsid w:val="004F0BC3"/>
    <w:rsid w:val="004F1A61"/>
    <w:rsid w:val="004F1F01"/>
    <w:rsid w:val="004F278F"/>
    <w:rsid w:val="004F28F7"/>
    <w:rsid w:val="004F2E89"/>
    <w:rsid w:val="004F3A88"/>
    <w:rsid w:val="004F3C51"/>
    <w:rsid w:val="004F3CB2"/>
    <w:rsid w:val="004F3DEE"/>
    <w:rsid w:val="004F3F53"/>
    <w:rsid w:val="004F43CD"/>
    <w:rsid w:val="004F50D5"/>
    <w:rsid w:val="004F583D"/>
    <w:rsid w:val="004F5B2F"/>
    <w:rsid w:val="004F5F2A"/>
    <w:rsid w:val="004F607B"/>
    <w:rsid w:val="004F76DB"/>
    <w:rsid w:val="004F77C4"/>
    <w:rsid w:val="004F7B97"/>
    <w:rsid w:val="00500535"/>
    <w:rsid w:val="00500E95"/>
    <w:rsid w:val="00500EEC"/>
    <w:rsid w:val="00501375"/>
    <w:rsid w:val="00501AA3"/>
    <w:rsid w:val="00501EE6"/>
    <w:rsid w:val="005025B2"/>
    <w:rsid w:val="00502F92"/>
    <w:rsid w:val="00503056"/>
    <w:rsid w:val="005030DD"/>
    <w:rsid w:val="005038C8"/>
    <w:rsid w:val="0050395A"/>
    <w:rsid w:val="00504C43"/>
    <w:rsid w:val="0050558D"/>
    <w:rsid w:val="00505C1D"/>
    <w:rsid w:val="00506887"/>
    <w:rsid w:val="00506FF4"/>
    <w:rsid w:val="005071B2"/>
    <w:rsid w:val="00507AB9"/>
    <w:rsid w:val="00507E79"/>
    <w:rsid w:val="00510AEB"/>
    <w:rsid w:val="00510B8F"/>
    <w:rsid w:val="00510BDB"/>
    <w:rsid w:val="00510F2E"/>
    <w:rsid w:val="00511CB2"/>
    <w:rsid w:val="00511D24"/>
    <w:rsid w:val="0051222A"/>
    <w:rsid w:val="00512CF2"/>
    <w:rsid w:val="005133C1"/>
    <w:rsid w:val="00513839"/>
    <w:rsid w:val="00513BA5"/>
    <w:rsid w:val="00513E8A"/>
    <w:rsid w:val="005152B5"/>
    <w:rsid w:val="0051553F"/>
    <w:rsid w:val="00516438"/>
    <w:rsid w:val="00516A51"/>
    <w:rsid w:val="00516BDB"/>
    <w:rsid w:val="00516F21"/>
    <w:rsid w:val="0051713F"/>
    <w:rsid w:val="00517BB9"/>
    <w:rsid w:val="00520ABD"/>
    <w:rsid w:val="00521ADA"/>
    <w:rsid w:val="00521B46"/>
    <w:rsid w:val="005227BB"/>
    <w:rsid w:val="0052328F"/>
    <w:rsid w:val="00523499"/>
    <w:rsid w:val="00523AA7"/>
    <w:rsid w:val="005252CC"/>
    <w:rsid w:val="00525552"/>
    <w:rsid w:val="00526A12"/>
    <w:rsid w:val="00526BD5"/>
    <w:rsid w:val="00526C46"/>
    <w:rsid w:val="005270C3"/>
    <w:rsid w:val="00530724"/>
    <w:rsid w:val="005307D8"/>
    <w:rsid w:val="00530AFF"/>
    <w:rsid w:val="00530D7D"/>
    <w:rsid w:val="00531019"/>
    <w:rsid w:val="005311BB"/>
    <w:rsid w:val="005313C0"/>
    <w:rsid w:val="005319B4"/>
    <w:rsid w:val="00531F88"/>
    <w:rsid w:val="00533562"/>
    <w:rsid w:val="00533A74"/>
    <w:rsid w:val="00534594"/>
    <w:rsid w:val="00534602"/>
    <w:rsid w:val="00535738"/>
    <w:rsid w:val="00536006"/>
    <w:rsid w:val="005360D3"/>
    <w:rsid w:val="005366B9"/>
    <w:rsid w:val="005372EA"/>
    <w:rsid w:val="005377F8"/>
    <w:rsid w:val="00540820"/>
    <w:rsid w:val="00541194"/>
    <w:rsid w:val="0054201E"/>
    <w:rsid w:val="005421CC"/>
    <w:rsid w:val="005434C7"/>
    <w:rsid w:val="00543704"/>
    <w:rsid w:val="0054388C"/>
    <w:rsid w:val="00543A4B"/>
    <w:rsid w:val="00543F3F"/>
    <w:rsid w:val="005445D2"/>
    <w:rsid w:val="00545AB0"/>
    <w:rsid w:val="00545C2D"/>
    <w:rsid w:val="0054629F"/>
    <w:rsid w:val="00546837"/>
    <w:rsid w:val="00546F49"/>
    <w:rsid w:val="00546F80"/>
    <w:rsid w:val="0054705B"/>
    <w:rsid w:val="005475A6"/>
    <w:rsid w:val="00547F33"/>
    <w:rsid w:val="005502FB"/>
    <w:rsid w:val="00550DC0"/>
    <w:rsid w:val="00552005"/>
    <w:rsid w:val="00552312"/>
    <w:rsid w:val="00552384"/>
    <w:rsid w:val="00552B7D"/>
    <w:rsid w:val="00552FD1"/>
    <w:rsid w:val="00553065"/>
    <w:rsid w:val="00553ADA"/>
    <w:rsid w:val="00553C5F"/>
    <w:rsid w:val="00553F82"/>
    <w:rsid w:val="005541CA"/>
    <w:rsid w:val="00554D58"/>
    <w:rsid w:val="005550F9"/>
    <w:rsid w:val="0055623B"/>
    <w:rsid w:val="00556DDB"/>
    <w:rsid w:val="005573B1"/>
    <w:rsid w:val="0055742A"/>
    <w:rsid w:val="00560406"/>
    <w:rsid w:val="00560412"/>
    <w:rsid w:val="0056071D"/>
    <w:rsid w:val="00560995"/>
    <w:rsid w:val="00561033"/>
    <w:rsid w:val="00562EAF"/>
    <w:rsid w:val="00564ECA"/>
    <w:rsid w:val="00564ED1"/>
    <w:rsid w:val="00564FBA"/>
    <w:rsid w:val="00565DE5"/>
    <w:rsid w:val="005669AC"/>
    <w:rsid w:val="00567E7B"/>
    <w:rsid w:val="005703EA"/>
    <w:rsid w:val="005707E0"/>
    <w:rsid w:val="00570E16"/>
    <w:rsid w:val="00571287"/>
    <w:rsid w:val="005719FB"/>
    <w:rsid w:val="00572715"/>
    <w:rsid w:val="00572F01"/>
    <w:rsid w:val="005730C4"/>
    <w:rsid w:val="00573217"/>
    <w:rsid w:val="00573724"/>
    <w:rsid w:val="0057496F"/>
    <w:rsid w:val="00574BC3"/>
    <w:rsid w:val="00574BF1"/>
    <w:rsid w:val="0057566C"/>
    <w:rsid w:val="00575A0D"/>
    <w:rsid w:val="00575E0F"/>
    <w:rsid w:val="00576081"/>
    <w:rsid w:val="0057645B"/>
    <w:rsid w:val="00576C94"/>
    <w:rsid w:val="00576F6F"/>
    <w:rsid w:val="0057791B"/>
    <w:rsid w:val="00577D18"/>
    <w:rsid w:val="00580483"/>
    <w:rsid w:val="0058068B"/>
    <w:rsid w:val="00580D0C"/>
    <w:rsid w:val="00580E01"/>
    <w:rsid w:val="00580E28"/>
    <w:rsid w:val="005811E6"/>
    <w:rsid w:val="005814BE"/>
    <w:rsid w:val="00581D80"/>
    <w:rsid w:val="0058247C"/>
    <w:rsid w:val="00582FEE"/>
    <w:rsid w:val="00583892"/>
    <w:rsid w:val="00583BAF"/>
    <w:rsid w:val="00583D46"/>
    <w:rsid w:val="00585580"/>
    <w:rsid w:val="00585586"/>
    <w:rsid w:val="00586895"/>
    <w:rsid w:val="00587BAE"/>
    <w:rsid w:val="00587EAE"/>
    <w:rsid w:val="00590AC8"/>
    <w:rsid w:val="00591377"/>
    <w:rsid w:val="00591686"/>
    <w:rsid w:val="00591E58"/>
    <w:rsid w:val="005921E9"/>
    <w:rsid w:val="00592B0E"/>
    <w:rsid w:val="00592FEB"/>
    <w:rsid w:val="00593F6E"/>
    <w:rsid w:val="005959EE"/>
    <w:rsid w:val="00595E71"/>
    <w:rsid w:val="00595EE8"/>
    <w:rsid w:val="00595F43"/>
    <w:rsid w:val="0059700A"/>
    <w:rsid w:val="00597074"/>
    <w:rsid w:val="0059765D"/>
    <w:rsid w:val="005976BB"/>
    <w:rsid w:val="00597D54"/>
    <w:rsid w:val="00597DB1"/>
    <w:rsid w:val="00597DBC"/>
    <w:rsid w:val="005A03B8"/>
    <w:rsid w:val="005A0BDC"/>
    <w:rsid w:val="005A0F44"/>
    <w:rsid w:val="005A1A6A"/>
    <w:rsid w:val="005A1D3C"/>
    <w:rsid w:val="005A24E1"/>
    <w:rsid w:val="005A2891"/>
    <w:rsid w:val="005A2C42"/>
    <w:rsid w:val="005A2F13"/>
    <w:rsid w:val="005A353C"/>
    <w:rsid w:val="005A3BF7"/>
    <w:rsid w:val="005A3D64"/>
    <w:rsid w:val="005A3FED"/>
    <w:rsid w:val="005A40AA"/>
    <w:rsid w:val="005A413E"/>
    <w:rsid w:val="005A41F2"/>
    <w:rsid w:val="005A42CA"/>
    <w:rsid w:val="005A434F"/>
    <w:rsid w:val="005A4414"/>
    <w:rsid w:val="005A4749"/>
    <w:rsid w:val="005A5171"/>
    <w:rsid w:val="005A5571"/>
    <w:rsid w:val="005A5593"/>
    <w:rsid w:val="005A58BC"/>
    <w:rsid w:val="005A58F8"/>
    <w:rsid w:val="005A59BA"/>
    <w:rsid w:val="005A65FE"/>
    <w:rsid w:val="005A7CDE"/>
    <w:rsid w:val="005B0AE8"/>
    <w:rsid w:val="005B13AA"/>
    <w:rsid w:val="005B2643"/>
    <w:rsid w:val="005B26A3"/>
    <w:rsid w:val="005B4425"/>
    <w:rsid w:val="005B4AEB"/>
    <w:rsid w:val="005B4B19"/>
    <w:rsid w:val="005B4D29"/>
    <w:rsid w:val="005B5CFB"/>
    <w:rsid w:val="005B64D2"/>
    <w:rsid w:val="005B7182"/>
    <w:rsid w:val="005B76E0"/>
    <w:rsid w:val="005B7ABA"/>
    <w:rsid w:val="005C0487"/>
    <w:rsid w:val="005C070C"/>
    <w:rsid w:val="005C0D17"/>
    <w:rsid w:val="005C0DC9"/>
    <w:rsid w:val="005C0E96"/>
    <w:rsid w:val="005C14C7"/>
    <w:rsid w:val="005C1569"/>
    <w:rsid w:val="005C156B"/>
    <w:rsid w:val="005C25A2"/>
    <w:rsid w:val="005C2B40"/>
    <w:rsid w:val="005C38C4"/>
    <w:rsid w:val="005C3CD8"/>
    <w:rsid w:val="005C4FF0"/>
    <w:rsid w:val="005C517C"/>
    <w:rsid w:val="005C575C"/>
    <w:rsid w:val="005C5A59"/>
    <w:rsid w:val="005C5BB0"/>
    <w:rsid w:val="005C5E17"/>
    <w:rsid w:val="005C66E9"/>
    <w:rsid w:val="005C6A3A"/>
    <w:rsid w:val="005C6E3C"/>
    <w:rsid w:val="005C6E59"/>
    <w:rsid w:val="005C7876"/>
    <w:rsid w:val="005C7A52"/>
    <w:rsid w:val="005D02C5"/>
    <w:rsid w:val="005D07B7"/>
    <w:rsid w:val="005D0828"/>
    <w:rsid w:val="005D0C35"/>
    <w:rsid w:val="005D0FAA"/>
    <w:rsid w:val="005D231B"/>
    <w:rsid w:val="005D2ABB"/>
    <w:rsid w:val="005D3602"/>
    <w:rsid w:val="005D41C9"/>
    <w:rsid w:val="005D42A3"/>
    <w:rsid w:val="005D4505"/>
    <w:rsid w:val="005D488C"/>
    <w:rsid w:val="005D5017"/>
    <w:rsid w:val="005D556B"/>
    <w:rsid w:val="005D6A11"/>
    <w:rsid w:val="005D7572"/>
    <w:rsid w:val="005D7F49"/>
    <w:rsid w:val="005E0EFD"/>
    <w:rsid w:val="005E133A"/>
    <w:rsid w:val="005E24BA"/>
    <w:rsid w:val="005E2D9A"/>
    <w:rsid w:val="005E324B"/>
    <w:rsid w:val="005E407A"/>
    <w:rsid w:val="005E4225"/>
    <w:rsid w:val="005E559D"/>
    <w:rsid w:val="005E55ED"/>
    <w:rsid w:val="005E5724"/>
    <w:rsid w:val="005E5E3E"/>
    <w:rsid w:val="005E654A"/>
    <w:rsid w:val="005E6831"/>
    <w:rsid w:val="005E763D"/>
    <w:rsid w:val="005E7C34"/>
    <w:rsid w:val="005E7CC2"/>
    <w:rsid w:val="005E7F78"/>
    <w:rsid w:val="005F127B"/>
    <w:rsid w:val="005F12EB"/>
    <w:rsid w:val="005F1B92"/>
    <w:rsid w:val="005F1BCF"/>
    <w:rsid w:val="005F20D8"/>
    <w:rsid w:val="005F2683"/>
    <w:rsid w:val="005F2933"/>
    <w:rsid w:val="005F35BB"/>
    <w:rsid w:val="005F4456"/>
    <w:rsid w:val="005F54E6"/>
    <w:rsid w:val="005F5C29"/>
    <w:rsid w:val="005F5FDE"/>
    <w:rsid w:val="005F617F"/>
    <w:rsid w:val="005F6BA5"/>
    <w:rsid w:val="005F7D16"/>
    <w:rsid w:val="005F7EE3"/>
    <w:rsid w:val="00600A53"/>
    <w:rsid w:val="00600B80"/>
    <w:rsid w:val="00600F18"/>
    <w:rsid w:val="00601EE0"/>
    <w:rsid w:val="006023D9"/>
    <w:rsid w:val="00603130"/>
    <w:rsid w:val="0060405A"/>
    <w:rsid w:val="00605E1C"/>
    <w:rsid w:val="0060657C"/>
    <w:rsid w:val="0060747F"/>
    <w:rsid w:val="006079AD"/>
    <w:rsid w:val="00607CDF"/>
    <w:rsid w:val="006100E5"/>
    <w:rsid w:val="00610486"/>
    <w:rsid w:val="00610794"/>
    <w:rsid w:val="00610864"/>
    <w:rsid w:val="00610D4B"/>
    <w:rsid w:val="00610DF0"/>
    <w:rsid w:val="00610F5E"/>
    <w:rsid w:val="00611295"/>
    <w:rsid w:val="00611998"/>
    <w:rsid w:val="00611D9B"/>
    <w:rsid w:val="006120CC"/>
    <w:rsid w:val="006128C9"/>
    <w:rsid w:val="00613A9C"/>
    <w:rsid w:val="00613BC8"/>
    <w:rsid w:val="00613E23"/>
    <w:rsid w:val="00614AED"/>
    <w:rsid w:val="00614E2D"/>
    <w:rsid w:val="00614FD9"/>
    <w:rsid w:val="00615EF5"/>
    <w:rsid w:val="00615F6D"/>
    <w:rsid w:val="00615FEF"/>
    <w:rsid w:val="00617381"/>
    <w:rsid w:val="00617E28"/>
    <w:rsid w:val="006200B4"/>
    <w:rsid w:val="00620255"/>
    <w:rsid w:val="00620A1C"/>
    <w:rsid w:val="00621471"/>
    <w:rsid w:val="00621510"/>
    <w:rsid w:val="00621714"/>
    <w:rsid w:val="00622B20"/>
    <w:rsid w:val="00622C0E"/>
    <w:rsid w:val="0062385A"/>
    <w:rsid w:val="00623FDF"/>
    <w:rsid w:val="00624134"/>
    <w:rsid w:val="00625117"/>
    <w:rsid w:val="0062593C"/>
    <w:rsid w:val="00626A39"/>
    <w:rsid w:val="00626C99"/>
    <w:rsid w:val="00626F3D"/>
    <w:rsid w:val="00627C4D"/>
    <w:rsid w:val="006308BF"/>
    <w:rsid w:val="00630A42"/>
    <w:rsid w:val="00631034"/>
    <w:rsid w:val="00631E90"/>
    <w:rsid w:val="0063228B"/>
    <w:rsid w:val="006323FF"/>
    <w:rsid w:val="0063246F"/>
    <w:rsid w:val="00632A5B"/>
    <w:rsid w:val="00632AAF"/>
    <w:rsid w:val="00632C41"/>
    <w:rsid w:val="00632D73"/>
    <w:rsid w:val="00632F1C"/>
    <w:rsid w:val="006342A4"/>
    <w:rsid w:val="00635B47"/>
    <w:rsid w:val="00635CDF"/>
    <w:rsid w:val="00636500"/>
    <w:rsid w:val="006365F7"/>
    <w:rsid w:val="0063676C"/>
    <w:rsid w:val="0063687A"/>
    <w:rsid w:val="00636BB0"/>
    <w:rsid w:val="00636E02"/>
    <w:rsid w:val="00636E15"/>
    <w:rsid w:val="006371DA"/>
    <w:rsid w:val="006377D3"/>
    <w:rsid w:val="00637E5F"/>
    <w:rsid w:val="00637F72"/>
    <w:rsid w:val="0064013C"/>
    <w:rsid w:val="00640214"/>
    <w:rsid w:val="00640B71"/>
    <w:rsid w:val="0064160E"/>
    <w:rsid w:val="00641BD4"/>
    <w:rsid w:val="00641CD1"/>
    <w:rsid w:val="00642558"/>
    <w:rsid w:val="0064307D"/>
    <w:rsid w:val="00643762"/>
    <w:rsid w:val="00643AF7"/>
    <w:rsid w:val="00643FAF"/>
    <w:rsid w:val="00644078"/>
    <w:rsid w:val="006446C5"/>
    <w:rsid w:val="00644F02"/>
    <w:rsid w:val="006454A5"/>
    <w:rsid w:val="00645EF5"/>
    <w:rsid w:val="00646043"/>
    <w:rsid w:val="0064657E"/>
    <w:rsid w:val="00646AD4"/>
    <w:rsid w:val="00646D69"/>
    <w:rsid w:val="00650668"/>
    <w:rsid w:val="00650A6C"/>
    <w:rsid w:val="00650FA3"/>
    <w:rsid w:val="00651775"/>
    <w:rsid w:val="00652876"/>
    <w:rsid w:val="0065412B"/>
    <w:rsid w:val="00654478"/>
    <w:rsid w:val="0065472C"/>
    <w:rsid w:val="006547F1"/>
    <w:rsid w:val="00654BCA"/>
    <w:rsid w:val="00654F73"/>
    <w:rsid w:val="006555C4"/>
    <w:rsid w:val="006558DE"/>
    <w:rsid w:val="00656669"/>
    <w:rsid w:val="006566DE"/>
    <w:rsid w:val="00656AEC"/>
    <w:rsid w:val="00656ECF"/>
    <w:rsid w:val="00657682"/>
    <w:rsid w:val="0065773E"/>
    <w:rsid w:val="00660984"/>
    <w:rsid w:val="006611F7"/>
    <w:rsid w:val="00663351"/>
    <w:rsid w:val="0066393E"/>
    <w:rsid w:val="006640B2"/>
    <w:rsid w:val="006650EB"/>
    <w:rsid w:val="00665649"/>
    <w:rsid w:val="006656F5"/>
    <w:rsid w:val="00665798"/>
    <w:rsid w:val="00665D3C"/>
    <w:rsid w:val="00665F6A"/>
    <w:rsid w:val="00667083"/>
    <w:rsid w:val="0066733B"/>
    <w:rsid w:val="006679D4"/>
    <w:rsid w:val="00667D76"/>
    <w:rsid w:val="006703DC"/>
    <w:rsid w:val="0067052D"/>
    <w:rsid w:val="0067054A"/>
    <w:rsid w:val="006705A8"/>
    <w:rsid w:val="0067073B"/>
    <w:rsid w:val="00670A00"/>
    <w:rsid w:val="00672550"/>
    <w:rsid w:val="00672638"/>
    <w:rsid w:val="00672766"/>
    <w:rsid w:val="006727A8"/>
    <w:rsid w:val="00672A75"/>
    <w:rsid w:val="006731E9"/>
    <w:rsid w:val="006732D3"/>
    <w:rsid w:val="0067342D"/>
    <w:rsid w:val="00673A9F"/>
    <w:rsid w:val="00673BA8"/>
    <w:rsid w:val="00674A23"/>
    <w:rsid w:val="00674BC3"/>
    <w:rsid w:val="0067537D"/>
    <w:rsid w:val="006755BF"/>
    <w:rsid w:val="00675A61"/>
    <w:rsid w:val="00675BA2"/>
    <w:rsid w:val="00676423"/>
    <w:rsid w:val="00676535"/>
    <w:rsid w:val="00676F5B"/>
    <w:rsid w:val="0068013F"/>
    <w:rsid w:val="0068165D"/>
    <w:rsid w:val="00681BA1"/>
    <w:rsid w:val="00681E4F"/>
    <w:rsid w:val="00682184"/>
    <w:rsid w:val="006824C3"/>
    <w:rsid w:val="0068254A"/>
    <w:rsid w:val="00682A09"/>
    <w:rsid w:val="006838AD"/>
    <w:rsid w:val="006841E6"/>
    <w:rsid w:val="00684694"/>
    <w:rsid w:val="00684A40"/>
    <w:rsid w:val="00685992"/>
    <w:rsid w:val="00685AD4"/>
    <w:rsid w:val="006862BD"/>
    <w:rsid w:val="00686B53"/>
    <w:rsid w:val="00686CD1"/>
    <w:rsid w:val="00686E7B"/>
    <w:rsid w:val="00686F4B"/>
    <w:rsid w:val="00687890"/>
    <w:rsid w:val="00687C3E"/>
    <w:rsid w:val="00687F70"/>
    <w:rsid w:val="006903BC"/>
    <w:rsid w:val="0069074D"/>
    <w:rsid w:val="00690FB8"/>
    <w:rsid w:val="006919BD"/>
    <w:rsid w:val="006919C3"/>
    <w:rsid w:val="00691A00"/>
    <w:rsid w:val="00691A4D"/>
    <w:rsid w:val="00691B64"/>
    <w:rsid w:val="006930F3"/>
    <w:rsid w:val="006931F1"/>
    <w:rsid w:val="00693429"/>
    <w:rsid w:val="00693476"/>
    <w:rsid w:val="00693518"/>
    <w:rsid w:val="0069367F"/>
    <w:rsid w:val="00693939"/>
    <w:rsid w:val="006939DF"/>
    <w:rsid w:val="006942E9"/>
    <w:rsid w:val="006942EF"/>
    <w:rsid w:val="00694653"/>
    <w:rsid w:val="00694D6E"/>
    <w:rsid w:val="006977A7"/>
    <w:rsid w:val="00697815"/>
    <w:rsid w:val="00697C5D"/>
    <w:rsid w:val="006A06DC"/>
    <w:rsid w:val="006A070C"/>
    <w:rsid w:val="006A1036"/>
    <w:rsid w:val="006A121D"/>
    <w:rsid w:val="006A171E"/>
    <w:rsid w:val="006A25C3"/>
    <w:rsid w:val="006A27E5"/>
    <w:rsid w:val="006A290E"/>
    <w:rsid w:val="006A3425"/>
    <w:rsid w:val="006A3842"/>
    <w:rsid w:val="006A387A"/>
    <w:rsid w:val="006A3DA2"/>
    <w:rsid w:val="006A3E8B"/>
    <w:rsid w:val="006A408C"/>
    <w:rsid w:val="006A4788"/>
    <w:rsid w:val="006A4A0B"/>
    <w:rsid w:val="006A52A5"/>
    <w:rsid w:val="006A6F87"/>
    <w:rsid w:val="006A7282"/>
    <w:rsid w:val="006A7902"/>
    <w:rsid w:val="006A7D47"/>
    <w:rsid w:val="006A7E17"/>
    <w:rsid w:val="006B0658"/>
    <w:rsid w:val="006B16B3"/>
    <w:rsid w:val="006B1ACA"/>
    <w:rsid w:val="006B2AD2"/>
    <w:rsid w:val="006B2EF3"/>
    <w:rsid w:val="006B36CD"/>
    <w:rsid w:val="006B371F"/>
    <w:rsid w:val="006B38FC"/>
    <w:rsid w:val="006B3DA2"/>
    <w:rsid w:val="006B3F42"/>
    <w:rsid w:val="006B4CF4"/>
    <w:rsid w:val="006B65B4"/>
    <w:rsid w:val="006C0867"/>
    <w:rsid w:val="006C0BA3"/>
    <w:rsid w:val="006C0E23"/>
    <w:rsid w:val="006C0E83"/>
    <w:rsid w:val="006C0F47"/>
    <w:rsid w:val="006C159D"/>
    <w:rsid w:val="006C1667"/>
    <w:rsid w:val="006C1A02"/>
    <w:rsid w:val="006C1F12"/>
    <w:rsid w:val="006C3106"/>
    <w:rsid w:val="006C3480"/>
    <w:rsid w:val="006C3803"/>
    <w:rsid w:val="006C3AA5"/>
    <w:rsid w:val="006C431F"/>
    <w:rsid w:val="006C4B32"/>
    <w:rsid w:val="006C5557"/>
    <w:rsid w:val="006C5B59"/>
    <w:rsid w:val="006C5FDD"/>
    <w:rsid w:val="006C76B7"/>
    <w:rsid w:val="006C7E58"/>
    <w:rsid w:val="006D062A"/>
    <w:rsid w:val="006D0B2B"/>
    <w:rsid w:val="006D1972"/>
    <w:rsid w:val="006D1E1B"/>
    <w:rsid w:val="006D2209"/>
    <w:rsid w:val="006D30EC"/>
    <w:rsid w:val="006D335E"/>
    <w:rsid w:val="006D36BB"/>
    <w:rsid w:val="006D37F4"/>
    <w:rsid w:val="006D3942"/>
    <w:rsid w:val="006D3EFC"/>
    <w:rsid w:val="006D441D"/>
    <w:rsid w:val="006D453E"/>
    <w:rsid w:val="006D49DE"/>
    <w:rsid w:val="006D4A42"/>
    <w:rsid w:val="006D56F3"/>
    <w:rsid w:val="006D577A"/>
    <w:rsid w:val="006D633F"/>
    <w:rsid w:val="006E0424"/>
    <w:rsid w:val="006E062A"/>
    <w:rsid w:val="006E0933"/>
    <w:rsid w:val="006E0A15"/>
    <w:rsid w:val="006E20C5"/>
    <w:rsid w:val="006E2269"/>
    <w:rsid w:val="006E2A5E"/>
    <w:rsid w:val="006E30DB"/>
    <w:rsid w:val="006E3556"/>
    <w:rsid w:val="006E3A24"/>
    <w:rsid w:val="006E4156"/>
    <w:rsid w:val="006E44AE"/>
    <w:rsid w:val="006E4735"/>
    <w:rsid w:val="006E5187"/>
    <w:rsid w:val="006E5A3A"/>
    <w:rsid w:val="006E5A92"/>
    <w:rsid w:val="006E67B8"/>
    <w:rsid w:val="006E691D"/>
    <w:rsid w:val="006E6A72"/>
    <w:rsid w:val="006E7F65"/>
    <w:rsid w:val="006F037B"/>
    <w:rsid w:val="006F03C6"/>
    <w:rsid w:val="006F0716"/>
    <w:rsid w:val="006F1B94"/>
    <w:rsid w:val="006F26C5"/>
    <w:rsid w:val="006F271F"/>
    <w:rsid w:val="006F3156"/>
    <w:rsid w:val="006F35D2"/>
    <w:rsid w:val="006F3CA3"/>
    <w:rsid w:val="006F3FE2"/>
    <w:rsid w:val="006F41C2"/>
    <w:rsid w:val="006F432F"/>
    <w:rsid w:val="006F4ED3"/>
    <w:rsid w:val="006F50E0"/>
    <w:rsid w:val="006F54F2"/>
    <w:rsid w:val="006F566C"/>
    <w:rsid w:val="006F77A6"/>
    <w:rsid w:val="006F7AB0"/>
    <w:rsid w:val="0070160A"/>
    <w:rsid w:val="00701B33"/>
    <w:rsid w:val="00701D5E"/>
    <w:rsid w:val="0070202A"/>
    <w:rsid w:val="0070268B"/>
    <w:rsid w:val="00702AFA"/>
    <w:rsid w:val="00703B06"/>
    <w:rsid w:val="00703CA8"/>
    <w:rsid w:val="00703DB3"/>
    <w:rsid w:val="00704BD3"/>
    <w:rsid w:val="007054E5"/>
    <w:rsid w:val="007066E0"/>
    <w:rsid w:val="007068BA"/>
    <w:rsid w:val="00706FBD"/>
    <w:rsid w:val="00707CEA"/>
    <w:rsid w:val="00710FD4"/>
    <w:rsid w:val="00712E50"/>
    <w:rsid w:val="007132DB"/>
    <w:rsid w:val="00713A32"/>
    <w:rsid w:val="00713E62"/>
    <w:rsid w:val="0071534A"/>
    <w:rsid w:val="00715548"/>
    <w:rsid w:val="007157C4"/>
    <w:rsid w:val="00716E50"/>
    <w:rsid w:val="00717044"/>
    <w:rsid w:val="00720D93"/>
    <w:rsid w:val="0072177F"/>
    <w:rsid w:val="007219C3"/>
    <w:rsid w:val="007227A1"/>
    <w:rsid w:val="0072381C"/>
    <w:rsid w:val="0072397F"/>
    <w:rsid w:val="00723FC2"/>
    <w:rsid w:val="0072449F"/>
    <w:rsid w:val="00724D72"/>
    <w:rsid w:val="007254B4"/>
    <w:rsid w:val="00725762"/>
    <w:rsid w:val="0072590A"/>
    <w:rsid w:val="00725B05"/>
    <w:rsid w:val="00725DDF"/>
    <w:rsid w:val="00725DF4"/>
    <w:rsid w:val="00726899"/>
    <w:rsid w:val="00727378"/>
    <w:rsid w:val="007279E6"/>
    <w:rsid w:val="00727B2A"/>
    <w:rsid w:val="00730298"/>
    <w:rsid w:val="00730C65"/>
    <w:rsid w:val="00730DA2"/>
    <w:rsid w:val="0073116E"/>
    <w:rsid w:val="007315C8"/>
    <w:rsid w:val="0073164E"/>
    <w:rsid w:val="00731EA3"/>
    <w:rsid w:val="007320CC"/>
    <w:rsid w:val="00732521"/>
    <w:rsid w:val="007327EA"/>
    <w:rsid w:val="007328E9"/>
    <w:rsid w:val="0073397C"/>
    <w:rsid w:val="007343A9"/>
    <w:rsid w:val="007344DA"/>
    <w:rsid w:val="007352C2"/>
    <w:rsid w:val="0073680A"/>
    <w:rsid w:val="00736905"/>
    <w:rsid w:val="00736DE8"/>
    <w:rsid w:val="00737B21"/>
    <w:rsid w:val="00737B8E"/>
    <w:rsid w:val="0074036B"/>
    <w:rsid w:val="00740902"/>
    <w:rsid w:val="00740B52"/>
    <w:rsid w:val="00741F30"/>
    <w:rsid w:val="00741F51"/>
    <w:rsid w:val="007426B4"/>
    <w:rsid w:val="00742A3D"/>
    <w:rsid w:val="00742B59"/>
    <w:rsid w:val="00742F0B"/>
    <w:rsid w:val="00742F6D"/>
    <w:rsid w:val="0074307B"/>
    <w:rsid w:val="00743748"/>
    <w:rsid w:val="00743872"/>
    <w:rsid w:val="00743AAE"/>
    <w:rsid w:val="0074451F"/>
    <w:rsid w:val="00744A42"/>
    <w:rsid w:val="00745397"/>
    <w:rsid w:val="0074569D"/>
    <w:rsid w:val="00745A26"/>
    <w:rsid w:val="00745C66"/>
    <w:rsid w:val="007463A8"/>
    <w:rsid w:val="007465ED"/>
    <w:rsid w:val="00746B8E"/>
    <w:rsid w:val="00747673"/>
    <w:rsid w:val="00747B44"/>
    <w:rsid w:val="007500FD"/>
    <w:rsid w:val="007506CE"/>
    <w:rsid w:val="00750851"/>
    <w:rsid w:val="00750C37"/>
    <w:rsid w:val="007518DD"/>
    <w:rsid w:val="00751977"/>
    <w:rsid w:val="00751B6A"/>
    <w:rsid w:val="0075296B"/>
    <w:rsid w:val="00752D66"/>
    <w:rsid w:val="007537B4"/>
    <w:rsid w:val="00753CB9"/>
    <w:rsid w:val="00754340"/>
    <w:rsid w:val="00755972"/>
    <w:rsid w:val="00755973"/>
    <w:rsid w:val="00756566"/>
    <w:rsid w:val="007566A3"/>
    <w:rsid w:val="00756880"/>
    <w:rsid w:val="00756D6D"/>
    <w:rsid w:val="00757428"/>
    <w:rsid w:val="00757899"/>
    <w:rsid w:val="00757A6D"/>
    <w:rsid w:val="00757B62"/>
    <w:rsid w:val="00757E5C"/>
    <w:rsid w:val="007603E4"/>
    <w:rsid w:val="00761B2E"/>
    <w:rsid w:val="007620F4"/>
    <w:rsid w:val="00762BE2"/>
    <w:rsid w:val="00762C72"/>
    <w:rsid w:val="00762FDA"/>
    <w:rsid w:val="0076319A"/>
    <w:rsid w:val="00764104"/>
    <w:rsid w:val="00764303"/>
    <w:rsid w:val="007648D3"/>
    <w:rsid w:val="00764E17"/>
    <w:rsid w:val="0076583A"/>
    <w:rsid w:val="00765CF8"/>
    <w:rsid w:val="00766CB2"/>
    <w:rsid w:val="00766FA9"/>
    <w:rsid w:val="0076725A"/>
    <w:rsid w:val="00767552"/>
    <w:rsid w:val="0077206F"/>
    <w:rsid w:val="00772966"/>
    <w:rsid w:val="00772FA5"/>
    <w:rsid w:val="007731FC"/>
    <w:rsid w:val="00773214"/>
    <w:rsid w:val="00773901"/>
    <w:rsid w:val="00773A0C"/>
    <w:rsid w:val="00773D3E"/>
    <w:rsid w:val="0077471A"/>
    <w:rsid w:val="00774BC0"/>
    <w:rsid w:val="00775092"/>
    <w:rsid w:val="0077526C"/>
    <w:rsid w:val="00775277"/>
    <w:rsid w:val="0077589A"/>
    <w:rsid w:val="00775AB3"/>
    <w:rsid w:val="00775EA6"/>
    <w:rsid w:val="007764E2"/>
    <w:rsid w:val="0077673B"/>
    <w:rsid w:val="00777284"/>
    <w:rsid w:val="007774AB"/>
    <w:rsid w:val="00777893"/>
    <w:rsid w:val="007800A9"/>
    <w:rsid w:val="007809A5"/>
    <w:rsid w:val="00780AB5"/>
    <w:rsid w:val="00781D8C"/>
    <w:rsid w:val="007821CA"/>
    <w:rsid w:val="00782B16"/>
    <w:rsid w:val="00782FB2"/>
    <w:rsid w:val="00783A36"/>
    <w:rsid w:val="00783EC1"/>
    <w:rsid w:val="00784091"/>
    <w:rsid w:val="007847E6"/>
    <w:rsid w:val="00784D39"/>
    <w:rsid w:val="007855A9"/>
    <w:rsid w:val="0078578A"/>
    <w:rsid w:val="00785892"/>
    <w:rsid w:val="00785D24"/>
    <w:rsid w:val="00785F1C"/>
    <w:rsid w:val="007860C7"/>
    <w:rsid w:val="007863E9"/>
    <w:rsid w:val="00786505"/>
    <w:rsid w:val="007866E0"/>
    <w:rsid w:val="007868EC"/>
    <w:rsid w:val="00786990"/>
    <w:rsid w:val="00786A81"/>
    <w:rsid w:val="00787E59"/>
    <w:rsid w:val="007902E1"/>
    <w:rsid w:val="00790928"/>
    <w:rsid w:val="00790B4A"/>
    <w:rsid w:val="00790CE5"/>
    <w:rsid w:val="00790D4C"/>
    <w:rsid w:val="00791574"/>
    <w:rsid w:val="007915D6"/>
    <w:rsid w:val="00791D1E"/>
    <w:rsid w:val="00791E4F"/>
    <w:rsid w:val="00792517"/>
    <w:rsid w:val="007926DF"/>
    <w:rsid w:val="00792942"/>
    <w:rsid w:val="00793187"/>
    <w:rsid w:val="0079411F"/>
    <w:rsid w:val="007942DA"/>
    <w:rsid w:val="007946C7"/>
    <w:rsid w:val="00794B93"/>
    <w:rsid w:val="00794E21"/>
    <w:rsid w:val="00795E75"/>
    <w:rsid w:val="007963CC"/>
    <w:rsid w:val="00796808"/>
    <w:rsid w:val="00796A2D"/>
    <w:rsid w:val="0079701E"/>
    <w:rsid w:val="00797ABE"/>
    <w:rsid w:val="007A0B99"/>
    <w:rsid w:val="007A102E"/>
    <w:rsid w:val="007A11A3"/>
    <w:rsid w:val="007A22E7"/>
    <w:rsid w:val="007A2968"/>
    <w:rsid w:val="007A30F9"/>
    <w:rsid w:val="007A3171"/>
    <w:rsid w:val="007A3724"/>
    <w:rsid w:val="007A3FDC"/>
    <w:rsid w:val="007A48BE"/>
    <w:rsid w:val="007A4AE1"/>
    <w:rsid w:val="007A5B31"/>
    <w:rsid w:val="007A6064"/>
    <w:rsid w:val="007A731D"/>
    <w:rsid w:val="007A7551"/>
    <w:rsid w:val="007A75AF"/>
    <w:rsid w:val="007A7A08"/>
    <w:rsid w:val="007B04D2"/>
    <w:rsid w:val="007B1126"/>
    <w:rsid w:val="007B21AC"/>
    <w:rsid w:val="007B2F47"/>
    <w:rsid w:val="007B34C7"/>
    <w:rsid w:val="007B39EC"/>
    <w:rsid w:val="007B42AA"/>
    <w:rsid w:val="007B4844"/>
    <w:rsid w:val="007B4990"/>
    <w:rsid w:val="007B60CF"/>
    <w:rsid w:val="007B6DF5"/>
    <w:rsid w:val="007B7008"/>
    <w:rsid w:val="007B70E4"/>
    <w:rsid w:val="007B72F0"/>
    <w:rsid w:val="007B77F0"/>
    <w:rsid w:val="007B7A07"/>
    <w:rsid w:val="007C00BA"/>
    <w:rsid w:val="007C03EE"/>
    <w:rsid w:val="007C0FA1"/>
    <w:rsid w:val="007C1706"/>
    <w:rsid w:val="007C1FEE"/>
    <w:rsid w:val="007C2635"/>
    <w:rsid w:val="007C2F96"/>
    <w:rsid w:val="007C32B5"/>
    <w:rsid w:val="007C3346"/>
    <w:rsid w:val="007C3912"/>
    <w:rsid w:val="007C39DE"/>
    <w:rsid w:val="007C3ED6"/>
    <w:rsid w:val="007C3F5B"/>
    <w:rsid w:val="007C44E2"/>
    <w:rsid w:val="007C50DD"/>
    <w:rsid w:val="007C553E"/>
    <w:rsid w:val="007C6423"/>
    <w:rsid w:val="007C6F4F"/>
    <w:rsid w:val="007C77C2"/>
    <w:rsid w:val="007D034F"/>
    <w:rsid w:val="007D0CCB"/>
    <w:rsid w:val="007D0F66"/>
    <w:rsid w:val="007D1143"/>
    <w:rsid w:val="007D11D2"/>
    <w:rsid w:val="007D139E"/>
    <w:rsid w:val="007D152B"/>
    <w:rsid w:val="007D164A"/>
    <w:rsid w:val="007D17C7"/>
    <w:rsid w:val="007D1B29"/>
    <w:rsid w:val="007D2C82"/>
    <w:rsid w:val="007D3CB8"/>
    <w:rsid w:val="007D40AA"/>
    <w:rsid w:val="007D462F"/>
    <w:rsid w:val="007D57C8"/>
    <w:rsid w:val="007D5B93"/>
    <w:rsid w:val="007D5BB3"/>
    <w:rsid w:val="007D6571"/>
    <w:rsid w:val="007D6660"/>
    <w:rsid w:val="007D6D11"/>
    <w:rsid w:val="007D77E8"/>
    <w:rsid w:val="007E0301"/>
    <w:rsid w:val="007E0564"/>
    <w:rsid w:val="007E097E"/>
    <w:rsid w:val="007E09DA"/>
    <w:rsid w:val="007E0CF4"/>
    <w:rsid w:val="007E11EF"/>
    <w:rsid w:val="007E15AD"/>
    <w:rsid w:val="007E200B"/>
    <w:rsid w:val="007E2273"/>
    <w:rsid w:val="007E29CF"/>
    <w:rsid w:val="007E2CB3"/>
    <w:rsid w:val="007E2EAF"/>
    <w:rsid w:val="007E321F"/>
    <w:rsid w:val="007E352F"/>
    <w:rsid w:val="007E3950"/>
    <w:rsid w:val="007E44D5"/>
    <w:rsid w:val="007E49B4"/>
    <w:rsid w:val="007E56E4"/>
    <w:rsid w:val="007E56F0"/>
    <w:rsid w:val="007E60A7"/>
    <w:rsid w:val="007E61D9"/>
    <w:rsid w:val="007E6611"/>
    <w:rsid w:val="007E682E"/>
    <w:rsid w:val="007E699E"/>
    <w:rsid w:val="007E6EEE"/>
    <w:rsid w:val="007E7328"/>
    <w:rsid w:val="007F021D"/>
    <w:rsid w:val="007F08CB"/>
    <w:rsid w:val="007F0F25"/>
    <w:rsid w:val="007F1675"/>
    <w:rsid w:val="007F1B3C"/>
    <w:rsid w:val="007F1C42"/>
    <w:rsid w:val="007F210C"/>
    <w:rsid w:val="007F2C2B"/>
    <w:rsid w:val="007F3527"/>
    <w:rsid w:val="007F359C"/>
    <w:rsid w:val="007F380E"/>
    <w:rsid w:val="007F48BA"/>
    <w:rsid w:val="007F60C5"/>
    <w:rsid w:val="007F6393"/>
    <w:rsid w:val="007F65A0"/>
    <w:rsid w:val="007F69A2"/>
    <w:rsid w:val="007F7415"/>
    <w:rsid w:val="007F792E"/>
    <w:rsid w:val="00800161"/>
    <w:rsid w:val="00800417"/>
    <w:rsid w:val="00800623"/>
    <w:rsid w:val="00801B03"/>
    <w:rsid w:val="00802485"/>
    <w:rsid w:val="00803221"/>
    <w:rsid w:val="00804001"/>
    <w:rsid w:val="00804113"/>
    <w:rsid w:val="008042AA"/>
    <w:rsid w:val="00806177"/>
    <w:rsid w:val="00806BC2"/>
    <w:rsid w:val="00807057"/>
    <w:rsid w:val="008106FB"/>
    <w:rsid w:val="00810AF8"/>
    <w:rsid w:val="0081107F"/>
    <w:rsid w:val="00811781"/>
    <w:rsid w:val="0081185C"/>
    <w:rsid w:val="00812E91"/>
    <w:rsid w:val="008130C3"/>
    <w:rsid w:val="008136DD"/>
    <w:rsid w:val="00813865"/>
    <w:rsid w:val="00813A9E"/>
    <w:rsid w:val="008141E7"/>
    <w:rsid w:val="00814916"/>
    <w:rsid w:val="008163B7"/>
    <w:rsid w:val="008167DA"/>
    <w:rsid w:val="00816917"/>
    <w:rsid w:val="00820221"/>
    <w:rsid w:val="00820280"/>
    <w:rsid w:val="008207E0"/>
    <w:rsid w:val="00820A07"/>
    <w:rsid w:val="00821577"/>
    <w:rsid w:val="00821E0B"/>
    <w:rsid w:val="00822555"/>
    <w:rsid w:val="00822D96"/>
    <w:rsid w:val="00822EA4"/>
    <w:rsid w:val="008230C7"/>
    <w:rsid w:val="00823246"/>
    <w:rsid w:val="00823451"/>
    <w:rsid w:val="00823ACF"/>
    <w:rsid w:val="00823E1E"/>
    <w:rsid w:val="008247E7"/>
    <w:rsid w:val="008248C5"/>
    <w:rsid w:val="00824A36"/>
    <w:rsid w:val="0082551C"/>
    <w:rsid w:val="008255AC"/>
    <w:rsid w:val="00826012"/>
    <w:rsid w:val="00826982"/>
    <w:rsid w:val="0082783E"/>
    <w:rsid w:val="00827B3E"/>
    <w:rsid w:val="00827FB2"/>
    <w:rsid w:val="00830159"/>
    <w:rsid w:val="008301B2"/>
    <w:rsid w:val="008305AF"/>
    <w:rsid w:val="00830791"/>
    <w:rsid w:val="00830B1D"/>
    <w:rsid w:val="00830E01"/>
    <w:rsid w:val="00831833"/>
    <w:rsid w:val="00831E88"/>
    <w:rsid w:val="00831F44"/>
    <w:rsid w:val="00832218"/>
    <w:rsid w:val="008325F2"/>
    <w:rsid w:val="00832A2B"/>
    <w:rsid w:val="00832B4D"/>
    <w:rsid w:val="00832E73"/>
    <w:rsid w:val="00832FEF"/>
    <w:rsid w:val="00833CB8"/>
    <w:rsid w:val="00834EA0"/>
    <w:rsid w:val="00834FF8"/>
    <w:rsid w:val="00835D34"/>
    <w:rsid w:val="0083739E"/>
    <w:rsid w:val="0083783E"/>
    <w:rsid w:val="00840651"/>
    <w:rsid w:val="00841EBC"/>
    <w:rsid w:val="00842050"/>
    <w:rsid w:val="00842E6A"/>
    <w:rsid w:val="008430B4"/>
    <w:rsid w:val="008438C7"/>
    <w:rsid w:val="00843995"/>
    <w:rsid w:val="00843A77"/>
    <w:rsid w:val="0084524B"/>
    <w:rsid w:val="0084552C"/>
    <w:rsid w:val="00846328"/>
    <w:rsid w:val="00846604"/>
    <w:rsid w:val="00847411"/>
    <w:rsid w:val="00847943"/>
    <w:rsid w:val="008502DE"/>
    <w:rsid w:val="008502E6"/>
    <w:rsid w:val="00850364"/>
    <w:rsid w:val="008509BD"/>
    <w:rsid w:val="00850C49"/>
    <w:rsid w:val="00851556"/>
    <w:rsid w:val="00851653"/>
    <w:rsid w:val="008521A6"/>
    <w:rsid w:val="008522E7"/>
    <w:rsid w:val="00852913"/>
    <w:rsid w:val="008529A4"/>
    <w:rsid w:val="00853160"/>
    <w:rsid w:val="0085428E"/>
    <w:rsid w:val="00854804"/>
    <w:rsid w:val="00854ABB"/>
    <w:rsid w:val="00855B75"/>
    <w:rsid w:val="00855D85"/>
    <w:rsid w:val="00855D87"/>
    <w:rsid w:val="008566C5"/>
    <w:rsid w:val="00856702"/>
    <w:rsid w:val="00856C03"/>
    <w:rsid w:val="0085704D"/>
    <w:rsid w:val="008574AD"/>
    <w:rsid w:val="0085781D"/>
    <w:rsid w:val="008579D9"/>
    <w:rsid w:val="00857B16"/>
    <w:rsid w:val="00857C45"/>
    <w:rsid w:val="00857C55"/>
    <w:rsid w:val="0086003A"/>
    <w:rsid w:val="00860A2E"/>
    <w:rsid w:val="00860C55"/>
    <w:rsid w:val="008623CD"/>
    <w:rsid w:val="00862F9F"/>
    <w:rsid w:val="008632FC"/>
    <w:rsid w:val="008638F5"/>
    <w:rsid w:val="00863A05"/>
    <w:rsid w:val="0086479D"/>
    <w:rsid w:val="00864A6F"/>
    <w:rsid w:val="00864A86"/>
    <w:rsid w:val="00864DED"/>
    <w:rsid w:val="00864F62"/>
    <w:rsid w:val="0086543B"/>
    <w:rsid w:val="0086557D"/>
    <w:rsid w:val="008658AB"/>
    <w:rsid w:val="0086590D"/>
    <w:rsid w:val="00865B40"/>
    <w:rsid w:val="00866C16"/>
    <w:rsid w:val="00866F56"/>
    <w:rsid w:val="00867391"/>
    <w:rsid w:val="008707DA"/>
    <w:rsid w:val="0087121B"/>
    <w:rsid w:val="00871368"/>
    <w:rsid w:val="00871516"/>
    <w:rsid w:val="008716C8"/>
    <w:rsid w:val="008716DA"/>
    <w:rsid w:val="00871892"/>
    <w:rsid w:val="008725BD"/>
    <w:rsid w:val="008740A5"/>
    <w:rsid w:val="0087458D"/>
    <w:rsid w:val="008752C1"/>
    <w:rsid w:val="0087591B"/>
    <w:rsid w:val="00875ACA"/>
    <w:rsid w:val="00876568"/>
    <w:rsid w:val="0087668B"/>
    <w:rsid w:val="0087696E"/>
    <w:rsid w:val="00876DBD"/>
    <w:rsid w:val="00877554"/>
    <w:rsid w:val="008777CE"/>
    <w:rsid w:val="008778FF"/>
    <w:rsid w:val="00880E24"/>
    <w:rsid w:val="00881F81"/>
    <w:rsid w:val="00882B87"/>
    <w:rsid w:val="00882C92"/>
    <w:rsid w:val="0088304E"/>
    <w:rsid w:val="00883621"/>
    <w:rsid w:val="00883644"/>
    <w:rsid w:val="008836C1"/>
    <w:rsid w:val="00883B13"/>
    <w:rsid w:val="00883FBE"/>
    <w:rsid w:val="008840A7"/>
    <w:rsid w:val="0088465E"/>
    <w:rsid w:val="008856F5"/>
    <w:rsid w:val="00886CDD"/>
    <w:rsid w:val="008870CD"/>
    <w:rsid w:val="00890444"/>
    <w:rsid w:val="0089072F"/>
    <w:rsid w:val="0089099C"/>
    <w:rsid w:val="00894AE0"/>
    <w:rsid w:val="008952A0"/>
    <w:rsid w:val="00895595"/>
    <w:rsid w:val="00895B77"/>
    <w:rsid w:val="008A00E6"/>
    <w:rsid w:val="008A05C4"/>
    <w:rsid w:val="008A05E0"/>
    <w:rsid w:val="008A08F5"/>
    <w:rsid w:val="008A0CD0"/>
    <w:rsid w:val="008A0FB6"/>
    <w:rsid w:val="008A11CE"/>
    <w:rsid w:val="008A1300"/>
    <w:rsid w:val="008A204A"/>
    <w:rsid w:val="008A2484"/>
    <w:rsid w:val="008A2A35"/>
    <w:rsid w:val="008A2DCD"/>
    <w:rsid w:val="008A3157"/>
    <w:rsid w:val="008A35EA"/>
    <w:rsid w:val="008A38A0"/>
    <w:rsid w:val="008A39E1"/>
    <w:rsid w:val="008A3B78"/>
    <w:rsid w:val="008A4A68"/>
    <w:rsid w:val="008A4A9D"/>
    <w:rsid w:val="008A528B"/>
    <w:rsid w:val="008A5BCB"/>
    <w:rsid w:val="008A7000"/>
    <w:rsid w:val="008A709E"/>
    <w:rsid w:val="008B1686"/>
    <w:rsid w:val="008B1989"/>
    <w:rsid w:val="008B1C9E"/>
    <w:rsid w:val="008B23BE"/>
    <w:rsid w:val="008B3227"/>
    <w:rsid w:val="008B32D7"/>
    <w:rsid w:val="008B455E"/>
    <w:rsid w:val="008B48B6"/>
    <w:rsid w:val="008B51BA"/>
    <w:rsid w:val="008B5892"/>
    <w:rsid w:val="008B5B2B"/>
    <w:rsid w:val="008B6479"/>
    <w:rsid w:val="008B76AA"/>
    <w:rsid w:val="008C025F"/>
    <w:rsid w:val="008C02DB"/>
    <w:rsid w:val="008C09FE"/>
    <w:rsid w:val="008C1547"/>
    <w:rsid w:val="008C156D"/>
    <w:rsid w:val="008C1D8A"/>
    <w:rsid w:val="008C21C3"/>
    <w:rsid w:val="008C3895"/>
    <w:rsid w:val="008C39D3"/>
    <w:rsid w:val="008C3FF5"/>
    <w:rsid w:val="008C486E"/>
    <w:rsid w:val="008C4F2F"/>
    <w:rsid w:val="008C5D70"/>
    <w:rsid w:val="008C6EE3"/>
    <w:rsid w:val="008C7174"/>
    <w:rsid w:val="008D0AE9"/>
    <w:rsid w:val="008D13A6"/>
    <w:rsid w:val="008D2CB2"/>
    <w:rsid w:val="008D2E72"/>
    <w:rsid w:val="008D355F"/>
    <w:rsid w:val="008D3637"/>
    <w:rsid w:val="008D3FEF"/>
    <w:rsid w:val="008D403D"/>
    <w:rsid w:val="008D43C6"/>
    <w:rsid w:val="008D4FCE"/>
    <w:rsid w:val="008D5009"/>
    <w:rsid w:val="008D539E"/>
    <w:rsid w:val="008D55DC"/>
    <w:rsid w:val="008D58EE"/>
    <w:rsid w:val="008D6159"/>
    <w:rsid w:val="008D61B9"/>
    <w:rsid w:val="008D667C"/>
    <w:rsid w:val="008D67C8"/>
    <w:rsid w:val="008D6CDF"/>
    <w:rsid w:val="008D79F2"/>
    <w:rsid w:val="008E0484"/>
    <w:rsid w:val="008E0A83"/>
    <w:rsid w:val="008E26D9"/>
    <w:rsid w:val="008E38C3"/>
    <w:rsid w:val="008E39A9"/>
    <w:rsid w:val="008E4E13"/>
    <w:rsid w:val="008E5EA2"/>
    <w:rsid w:val="008E5FDA"/>
    <w:rsid w:val="008E67BA"/>
    <w:rsid w:val="008E6E3F"/>
    <w:rsid w:val="008E758B"/>
    <w:rsid w:val="008E7CC5"/>
    <w:rsid w:val="008E7EDA"/>
    <w:rsid w:val="008F00EC"/>
    <w:rsid w:val="008F10C8"/>
    <w:rsid w:val="008F243C"/>
    <w:rsid w:val="008F330D"/>
    <w:rsid w:val="008F34DF"/>
    <w:rsid w:val="008F3EF4"/>
    <w:rsid w:val="008F4CAE"/>
    <w:rsid w:val="008F538E"/>
    <w:rsid w:val="008F5EBC"/>
    <w:rsid w:val="008F5FE2"/>
    <w:rsid w:val="008F6178"/>
    <w:rsid w:val="008F6BF3"/>
    <w:rsid w:val="008F6E2E"/>
    <w:rsid w:val="008F741D"/>
    <w:rsid w:val="008F75CF"/>
    <w:rsid w:val="008F7A18"/>
    <w:rsid w:val="008F7BBA"/>
    <w:rsid w:val="008F7E97"/>
    <w:rsid w:val="00900960"/>
    <w:rsid w:val="00900C26"/>
    <w:rsid w:val="0090129D"/>
    <w:rsid w:val="00901362"/>
    <w:rsid w:val="0090162F"/>
    <w:rsid w:val="009022B7"/>
    <w:rsid w:val="0090231F"/>
    <w:rsid w:val="00904148"/>
    <w:rsid w:val="009043B4"/>
    <w:rsid w:val="009044EB"/>
    <w:rsid w:val="00904EAD"/>
    <w:rsid w:val="00905289"/>
    <w:rsid w:val="00905512"/>
    <w:rsid w:val="009063BB"/>
    <w:rsid w:val="009068E4"/>
    <w:rsid w:val="00906B1F"/>
    <w:rsid w:val="00906CFE"/>
    <w:rsid w:val="00906DF3"/>
    <w:rsid w:val="00906F84"/>
    <w:rsid w:val="009073CC"/>
    <w:rsid w:val="00907EB5"/>
    <w:rsid w:val="00910CE2"/>
    <w:rsid w:val="00910F7A"/>
    <w:rsid w:val="00911053"/>
    <w:rsid w:val="009119E6"/>
    <w:rsid w:val="00912190"/>
    <w:rsid w:val="0091242C"/>
    <w:rsid w:val="00912708"/>
    <w:rsid w:val="00912B94"/>
    <w:rsid w:val="009137F8"/>
    <w:rsid w:val="00914236"/>
    <w:rsid w:val="00914FDA"/>
    <w:rsid w:val="009152BF"/>
    <w:rsid w:val="00915A84"/>
    <w:rsid w:val="009165F5"/>
    <w:rsid w:val="0091691C"/>
    <w:rsid w:val="00916A54"/>
    <w:rsid w:val="00916F39"/>
    <w:rsid w:val="009170AE"/>
    <w:rsid w:val="009175E8"/>
    <w:rsid w:val="009176C0"/>
    <w:rsid w:val="00917AB5"/>
    <w:rsid w:val="00917EF3"/>
    <w:rsid w:val="00920209"/>
    <w:rsid w:val="00920257"/>
    <w:rsid w:val="009202D4"/>
    <w:rsid w:val="00920894"/>
    <w:rsid w:val="00920D70"/>
    <w:rsid w:val="00920DB7"/>
    <w:rsid w:val="00920EC4"/>
    <w:rsid w:val="00921273"/>
    <w:rsid w:val="00921626"/>
    <w:rsid w:val="0092181C"/>
    <w:rsid w:val="00921CC6"/>
    <w:rsid w:val="00921D00"/>
    <w:rsid w:val="00921ED3"/>
    <w:rsid w:val="00922CD4"/>
    <w:rsid w:val="00922DDA"/>
    <w:rsid w:val="0092324A"/>
    <w:rsid w:val="00923D79"/>
    <w:rsid w:val="009243F5"/>
    <w:rsid w:val="0092455B"/>
    <w:rsid w:val="00925163"/>
    <w:rsid w:val="00925B19"/>
    <w:rsid w:val="00925B91"/>
    <w:rsid w:val="0092627A"/>
    <w:rsid w:val="0092676B"/>
    <w:rsid w:val="009271BF"/>
    <w:rsid w:val="009302DD"/>
    <w:rsid w:val="00930411"/>
    <w:rsid w:val="0093107D"/>
    <w:rsid w:val="00931263"/>
    <w:rsid w:val="00931588"/>
    <w:rsid w:val="00931FB6"/>
    <w:rsid w:val="00931FED"/>
    <w:rsid w:val="00932AEF"/>
    <w:rsid w:val="00932B17"/>
    <w:rsid w:val="00932CCB"/>
    <w:rsid w:val="00933008"/>
    <w:rsid w:val="009331A0"/>
    <w:rsid w:val="00933325"/>
    <w:rsid w:val="0093362C"/>
    <w:rsid w:val="00933C71"/>
    <w:rsid w:val="00934791"/>
    <w:rsid w:val="00934B0D"/>
    <w:rsid w:val="00934DD4"/>
    <w:rsid w:val="00935BDA"/>
    <w:rsid w:val="00935D9F"/>
    <w:rsid w:val="0093723A"/>
    <w:rsid w:val="009402BC"/>
    <w:rsid w:val="009402E6"/>
    <w:rsid w:val="009404B6"/>
    <w:rsid w:val="00941ADB"/>
    <w:rsid w:val="00942D68"/>
    <w:rsid w:val="00943127"/>
    <w:rsid w:val="009436E0"/>
    <w:rsid w:val="00943768"/>
    <w:rsid w:val="00943C28"/>
    <w:rsid w:val="00944128"/>
    <w:rsid w:val="009447E2"/>
    <w:rsid w:val="00944D75"/>
    <w:rsid w:val="0094504D"/>
    <w:rsid w:val="0094506C"/>
    <w:rsid w:val="0094510A"/>
    <w:rsid w:val="009455D4"/>
    <w:rsid w:val="00945B55"/>
    <w:rsid w:val="00945DF2"/>
    <w:rsid w:val="00946037"/>
    <w:rsid w:val="009470A7"/>
    <w:rsid w:val="00947109"/>
    <w:rsid w:val="009473F4"/>
    <w:rsid w:val="0095090C"/>
    <w:rsid w:val="00950A51"/>
    <w:rsid w:val="00952004"/>
    <w:rsid w:val="0095232B"/>
    <w:rsid w:val="00954052"/>
    <w:rsid w:val="009547CD"/>
    <w:rsid w:val="00954D3E"/>
    <w:rsid w:val="00954E25"/>
    <w:rsid w:val="00955518"/>
    <w:rsid w:val="0095590A"/>
    <w:rsid w:val="00955C33"/>
    <w:rsid w:val="00956A19"/>
    <w:rsid w:val="00956BD2"/>
    <w:rsid w:val="0095705C"/>
    <w:rsid w:val="00957377"/>
    <w:rsid w:val="0095746F"/>
    <w:rsid w:val="0095772C"/>
    <w:rsid w:val="00957D19"/>
    <w:rsid w:val="00960187"/>
    <w:rsid w:val="00960361"/>
    <w:rsid w:val="0096049B"/>
    <w:rsid w:val="00960BCB"/>
    <w:rsid w:val="00960C78"/>
    <w:rsid w:val="00960DE1"/>
    <w:rsid w:val="0096118D"/>
    <w:rsid w:val="00961AFF"/>
    <w:rsid w:val="00962243"/>
    <w:rsid w:val="00962BAF"/>
    <w:rsid w:val="00962F73"/>
    <w:rsid w:val="00963E61"/>
    <w:rsid w:val="00964176"/>
    <w:rsid w:val="00964946"/>
    <w:rsid w:val="00965409"/>
    <w:rsid w:val="00965E85"/>
    <w:rsid w:val="009664ED"/>
    <w:rsid w:val="009665CA"/>
    <w:rsid w:val="00966652"/>
    <w:rsid w:val="00966B31"/>
    <w:rsid w:val="00966EC8"/>
    <w:rsid w:val="0096767C"/>
    <w:rsid w:val="009676E1"/>
    <w:rsid w:val="00967C00"/>
    <w:rsid w:val="00967D91"/>
    <w:rsid w:val="00967F46"/>
    <w:rsid w:val="009702EA"/>
    <w:rsid w:val="0097090A"/>
    <w:rsid w:val="00970CC1"/>
    <w:rsid w:val="00971188"/>
    <w:rsid w:val="00971239"/>
    <w:rsid w:val="00971559"/>
    <w:rsid w:val="00971E00"/>
    <w:rsid w:val="009720A5"/>
    <w:rsid w:val="0097228D"/>
    <w:rsid w:val="0097295D"/>
    <w:rsid w:val="00972B02"/>
    <w:rsid w:val="00972DDD"/>
    <w:rsid w:val="009736EB"/>
    <w:rsid w:val="00973EA0"/>
    <w:rsid w:val="009743A2"/>
    <w:rsid w:val="009754F3"/>
    <w:rsid w:val="00975F26"/>
    <w:rsid w:val="00975F3E"/>
    <w:rsid w:val="00976094"/>
    <w:rsid w:val="00976A5E"/>
    <w:rsid w:val="0097750E"/>
    <w:rsid w:val="009779B9"/>
    <w:rsid w:val="00980B2E"/>
    <w:rsid w:val="00980D11"/>
    <w:rsid w:val="00980DC8"/>
    <w:rsid w:val="0098164A"/>
    <w:rsid w:val="00982910"/>
    <w:rsid w:val="00982EFF"/>
    <w:rsid w:val="00982F2A"/>
    <w:rsid w:val="00983AE2"/>
    <w:rsid w:val="00984F7C"/>
    <w:rsid w:val="00985D1F"/>
    <w:rsid w:val="00986240"/>
    <w:rsid w:val="0098690D"/>
    <w:rsid w:val="00986956"/>
    <w:rsid w:val="00986DDD"/>
    <w:rsid w:val="009873B3"/>
    <w:rsid w:val="009877D6"/>
    <w:rsid w:val="00987997"/>
    <w:rsid w:val="009907E4"/>
    <w:rsid w:val="00990D4D"/>
    <w:rsid w:val="0099100D"/>
    <w:rsid w:val="00992126"/>
    <w:rsid w:val="00992AB1"/>
    <w:rsid w:val="0099445F"/>
    <w:rsid w:val="00994E1B"/>
    <w:rsid w:val="0099543D"/>
    <w:rsid w:val="009960F6"/>
    <w:rsid w:val="0099639E"/>
    <w:rsid w:val="00996710"/>
    <w:rsid w:val="00997A44"/>
    <w:rsid w:val="009A0D97"/>
    <w:rsid w:val="009A1048"/>
    <w:rsid w:val="009A14EB"/>
    <w:rsid w:val="009A16C4"/>
    <w:rsid w:val="009A176F"/>
    <w:rsid w:val="009A1F52"/>
    <w:rsid w:val="009A2815"/>
    <w:rsid w:val="009A2ACB"/>
    <w:rsid w:val="009A4273"/>
    <w:rsid w:val="009A44E1"/>
    <w:rsid w:val="009A4A56"/>
    <w:rsid w:val="009A4D0B"/>
    <w:rsid w:val="009A538F"/>
    <w:rsid w:val="009A5923"/>
    <w:rsid w:val="009A5E1E"/>
    <w:rsid w:val="009A6495"/>
    <w:rsid w:val="009A67BE"/>
    <w:rsid w:val="009A694C"/>
    <w:rsid w:val="009A6B08"/>
    <w:rsid w:val="009A6C5C"/>
    <w:rsid w:val="009A73C4"/>
    <w:rsid w:val="009A76E0"/>
    <w:rsid w:val="009B09F4"/>
    <w:rsid w:val="009B0B4C"/>
    <w:rsid w:val="009B1251"/>
    <w:rsid w:val="009B171E"/>
    <w:rsid w:val="009B1F61"/>
    <w:rsid w:val="009B2273"/>
    <w:rsid w:val="009B26E1"/>
    <w:rsid w:val="009B2E99"/>
    <w:rsid w:val="009B4085"/>
    <w:rsid w:val="009B47CB"/>
    <w:rsid w:val="009B4CE6"/>
    <w:rsid w:val="009B5D58"/>
    <w:rsid w:val="009B602F"/>
    <w:rsid w:val="009B6283"/>
    <w:rsid w:val="009B6378"/>
    <w:rsid w:val="009B691A"/>
    <w:rsid w:val="009B6BC1"/>
    <w:rsid w:val="009B6C87"/>
    <w:rsid w:val="009B7920"/>
    <w:rsid w:val="009B7961"/>
    <w:rsid w:val="009B7BE2"/>
    <w:rsid w:val="009B7D26"/>
    <w:rsid w:val="009C000D"/>
    <w:rsid w:val="009C057F"/>
    <w:rsid w:val="009C105E"/>
    <w:rsid w:val="009C11AA"/>
    <w:rsid w:val="009C45DF"/>
    <w:rsid w:val="009C4774"/>
    <w:rsid w:val="009C4C3F"/>
    <w:rsid w:val="009C6093"/>
    <w:rsid w:val="009C6446"/>
    <w:rsid w:val="009C7314"/>
    <w:rsid w:val="009C7A70"/>
    <w:rsid w:val="009C7DA7"/>
    <w:rsid w:val="009D0249"/>
    <w:rsid w:val="009D09CB"/>
    <w:rsid w:val="009D0BD2"/>
    <w:rsid w:val="009D0BDD"/>
    <w:rsid w:val="009D0C9B"/>
    <w:rsid w:val="009D1138"/>
    <w:rsid w:val="009D1156"/>
    <w:rsid w:val="009D268F"/>
    <w:rsid w:val="009D3239"/>
    <w:rsid w:val="009D3E40"/>
    <w:rsid w:val="009D5A28"/>
    <w:rsid w:val="009D60F6"/>
    <w:rsid w:val="009D663E"/>
    <w:rsid w:val="009D71F7"/>
    <w:rsid w:val="009D722C"/>
    <w:rsid w:val="009D75E3"/>
    <w:rsid w:val="009D7C67"/>
    <w:rsid w:val="009E20B4"/>
    <w:rsid w:val="009E2521"/>
    <w:rsid w:val="009E2D0D"/>
    <w:rsid w:val="009E3196"/>
    <w:rsid w:val="009E33A8"/>
    <w:rsid w:val="009E38EE"/>
    <w:rsid w:val="009E3924"/>
    <w:rsid w:val="009E51DC"/>
    <w:rsid w:val="009E5FB8"/>
    <w:rsid w:val="009E67B6"/>
    <w:rsid w:val="009E7535"/>
    <w:rsid w:val="009E7D8E"/>
    <w:rsid w:val="009F01C4"/>
    <w:rsid w:val="009F062C"/>
    <w:rsid w:val="009F14E9"/>
    <w:rsid w:val="009F18E0"/>
    <w:rsid w:val="009F2847"/>
    <w:rsid w:val="009F3E25"/>
    <w:rsid w:val="009F4843"/>
    <w:rsid w:val="009F4A39"/>
    <w:rsid w:val="009F505E"/>
    <w:rsid w:val="009F5263"/>
    <w:rsid w:val="009F545D"/>
    <w:rsid w:val="009F59A4"/>
    <w:rsid w:val="009F5B10"/>
    <w:rsid w:val="009F5E26"/>
    <w:rsid w:val="009F66CB"/>
    <w:rsid w:val="009F6A9B"/>
    <w:rsid w:val="009F6FC1"/>
    <w:rsid w:val="009F72DC"/>
    <w:rsid w:val="009F767B"/>
    <w:rsid w:val="009F78EC"/>
    <w:rsid w:val="009F78F9"/>
    <w:rsid w:val="009F7D9E"/>
    <w:rsid w:val="00A0049A"/>
    <w:rsid w:val="00A0078D"/>
    <w:rsid w:val="00A00881"/>
    <w:rsid w:val="00A00E8C"/>
    <w:rsid w:val="00A01CDF"/>
    <w:rsid w:val="00A02277"/>
    <w:rsid w:val="00A022D6"/>
    <w:rsid w:val="00A0270C"/>
    <w:rsid w:val="00A03256"/>
    <w:rsid w:val="00A032C0"/>
    <w:rsid w:val="00A04157"/>
    <w:rsid w:val="00A0416E"/>
    <w:rsid w:val="00A043AC"/>
    <w:rsid w:val="00A04B07"/>
    <w:rsid w:val="00A0552A"/>
    <w:rsid w:val="00A056EB"/>
    <w:rsid w:val="00A058BE"/>
    <w:rsid w:val="00A05EB1"/>
    <w:rsid w:val="00A06581"/>
    <w:rsid w:val="00A07764"/>
    <w:rsid w:val="00A07958"/>
    <w:rsid w:val="00A07BB4"/>
    <w:rsid w:val="00A07D9D"/>
    <w:rsid w:val="00A10A3C"/>
    <w:rsid w:val="00A10CC3"/>
    <w:rsid w:val="00A11199"/>
    <w:rsid w:val="00A116DA"/>
    <w:rsid w:val="00A11742"/>
    <w:rsid w:val="00A1309B"/>
    <w:rsid w:val="00A13312"/>
    <w:rsid w:val="00A134DB"/>
    <w:rsid w:val="00A13EE6"/>
    <w:rsid w:val="00A15EF3"/>
    <w:rsid w:val="00A16191"/>
    <w:rsid w:val="00A165F8"/>
    <w:rsid w:val="00A1694C"/>
    <w:rsid w:val="00A17236"/>
    <w:rsid w:val="00A174D8"/>
    <w:rsid w:val="00A178DE"/>
    <w:rsid w:val="00A17BCD"/>
    <w:rsid w:val="00A20262"/>
    <w:rsid w:val="00A20523"/>
    <w:rsid w:val="00A206DE"/>
    <w:rsid w:val="00A20834"/>
    <w:rsid w:val="00A21816"/>
    <w:rsid w:val="00A22513"/>
    <w:rsid w:val="00A22EFC"/>
    <w:rsid w:val="00A2335B"/>
    <w:rsid w:val="00A2395D"/>
    <w:rsid w:val="00A2422D"/>
    <w:rsid w:val="00A244F7"/>
    <w:rsid w:val="00A253F8"/>
    <w:rsid w:val="00A257E7"/>
    <w:rsid w:val="00A26A8A"/>
    <w:rsid w:val="00A275B0"/>
    <w:rsid w:val="00A27857"/>
    <w:rsid w:val="00A306BC"/>
    <w:rsid w:val="00A3225F"/>
    <w:rsid w:val="00A32911"/>
    <w:rsid w:val="00A32E1E"/>
    <w:rsid w:val="00A339A8"/>
    <w:rsid w:val="00A34981"/>
    <w:rsid w:val="00A34E8B"/>
    <w:rsid w:val="00A35074"/>
    <w:rsid w:val="00A357A4"/>
    <w:rsid w:val="00A35A37"/>
    <w:rsid w:val="00A372DB"/>
    <w:rsid w:val="00A373C7"/>
    <w:rsid w:val="00A374BD"/>
    <w:rsid w:val="00A37AE1"/>
    <w:rsid w:val="00A40CFD"/>
    <w:rsid w:val="00A41C3B"/>
    <w:rsid w:val="00A42D33"/>
    <w:rsid w:val="00A42D38"/>
    <w:rsid w:val="00A4361F"/>
    <w:rsid w:val="00A44680"/>
    <w:rsid w:val="00A44D7C"/>
    <w:rsid w:val="00A450A6"/>
    <w:rsid w:val="00A45D53"/>
    <w:rsid w:val="00A46592"/>
    <w:rsid w:val="00A468F6"/>
    <w:rsid w:val="00A46BB9"/>
    <w:rsid w:val="00A47143"/>
    <w:rsid w:val="00A47614"/>
    <w:rsid w:val="00A47CFA"/>
    <w:rsid w:val="00A47E92"/>
    <w:rsid w:val="00A47F55"/>
    <w:rsid w:val="00A47F5E"/>
    <w:rsid w:val="00A5071C"/>
    <w:rsid w:val="00A5152D"/>
    <w:rsid w:val="00A52517"/>
    <w:rsid w:val="00A52D09"/>
    <w:rsid w:val="00A533A0"/>
    <w:rsid w:val="00A54176"/>
    <w:rsid w:val="00A542A3"/>
    <w:rsid w:val="00A546E7"/>
    <w:rsid w:val="00A54A15"/>
    <w:rsid w:val="00A54FCE"/>
    <w:rsid w:val="00A55468"/>
    <w:rsid w:val="00A557D2"/>
    <w:rsid w:val="00A55ABD"/>
    <w:rsid w:val="00A55D1A"/>
    <w:rsid w:val="00A55FF8"/>
    <w:rsid w:val="00A56270"/>
    <w:rsid w:val="00A5636E"/>
    <w:rsid w:val="00A56B80"/>
    <w:rsid w:val="00A5799B"/>
    <w:rsid w:val="00A57A7D"/>
    <w:rsid w:val="00A60032"/>
    <w:rsid w:val="00A605FE"/>
    <w:rsid w:val="00A60B5E"/>
    <w:rsid w:val="00A617CF"/>
    <w:rsid w:val="00A6184D"/>
    <w:rsid w:val="00A61988"/>
    <w:rsid w:val="00A61F29"/>
    <w:rsid w:val="00A62E1F"/>
    <w:rsid w:val="00A63436"/>
    <w:rsid w:val="00A63CE5"/>
    <w:rsid w:val="00A63F94"/>
    <w:rsid w:val="00A64897"/>
    <w:rsid w:val="00A64EEF"/>
    <w:rsid w:val="00A64FD3"/>
    <w:rsid w:val="00A65465"/>
    <w:rsid w:val="00A6559E"/>
    <w:rsid w:val="00A65B56"/>
    <w:rsid w:val="00A65FAD"/>
    <w:rsid w:val="00A66B23"/>
    <w:rsid w:val="00A66D68"/>
    <w:rsid w:val="00A67778"/>
    <w:rsid w:val="00A71B7A"/>
    <w:rsid w:val="00A72A97"/>
    <w:rsid w:val="00A72DAC"/>
    <w:rsid w:val="00A74101"/>
    <w:rsid w:val="00A74AC1"/>
    <w:rsid w:val="00A74D20"/>
    <w:rsid w:val="00A7534C"/>
    <w:rsid w:val="00A75600"/>
    <w:rsid w:val="00A76729"/>
    <w:rsid w:val="00A769AE"/>
    <w:rsid w:val="00A7764A"/>
    <w:rsid w:val="00A7768D"/>
    <w:rsid w:val="00A77E21"/>
    <w:rsid w:val="00A806F2"/>
    <w:rsid w:val="00A80D77"/>
    <w:rsid w:val="00A8140E"/>
    <w:rsid w:val="00A814F8"/>
    <w:rsid w:val="00A81633"/>
    <w:rsid w:val="00A817FF"/>
    <w:rsid w:val="00A8214D"/>
    <w:rsid w:val="00A8276D"/>
    <w:rsid w:val="00A8283C"/>
    <w:rsid w:val="00A83E86"/>
    <w:rsid w:val="00A84985"/>
    <w:rsid w:val="00A84A32"/>
    <w:rsid w:val="00A851E5"/>
    <w:rsid w:val="00A854DE"/>
    <w:rsid w:val="00A85E66"/>
    <w:rsid w:val="00A8631D"/>
    <w:rsid w:val="00A869CC"/>
    <w:rsid w:val="00A873D5"/>
    <w:rsid w:val="00A878C3"/>
    <w:rsid w:val="00A87B9D"/>
    <w:rsid w:val="00A87D18"/>
    <w:rsid w:val="00A90135"/>
    <w:rsid w:val="00A9044D"/>
    <w:rsid w:val="00A907C0"/>
    <w:rsid w:val="00A90881"/>
    <w:rsid w:val="00A91286"/>
    <w:rsid w:val="00A91656"/>
    <w:rsid w:val="00A9191A"/>
    <w:rsid w:val="00A91C8B"/>
    <w:rsid w:val="00A91D3A"/>
    <w:rsid w:val="00A92587"/>
    <w:rsid w:val="00A92EBE"/>
    <w:rsid w:val="00A93342"/>
    <w:rsid w:val="00A93350"/>
    <w:rsid w:val="00A93435"/>
    <w:rsid w:val="00A93601"/>
    <w:rsid w:val="00A93D65"/>
    <w:rsid w:val="00A9420A"/>
    <w:rsid w:val="00A94260"/>
    <w:rsid w:val="00A946E2"/>
    <w:rsid w:val="00A94E64"/>
    <w:rsid w:val="00A950D9"/>
    <w:rsid w:val="00A95CE4"/>
    <w:rsid w:val="00A97186"/>
    <w:rsid w:val="00A972F7"/>
    <w:rsid w:val="00A97313"/>
    <w:rsid w:val="00A9794C"/>
    <w:rsid w:val="00AA1324"/>
    <w:rsid w:val="00AA145E"/>
    <w:rsid w:val="00AA1925"/>
    <w:rsid w:val="00AA24AA"/>
    <w:rsid w:val="00AA274F"/>
    <w:rsid w:val="00AA27E7"/>
    <w:rsid w:val="00AA299E"/>
    <w:rsid w:val="00AA2CCB"/>
    <w:rsid w:val="00AA494E"/>
    <w:rsid w:val="00AA49BA"/>
    <w:rsid w:val="00AA49E8"/>
    <w:rsid w:val="00AA5821"/>
    <w:rsid w:val="00AA5FF2"/>
    <w:rsid w:val="00AA60B4"/>
    <w:rsid w:val="00AA6DC8"/>
    <w:rsid w:val="00AB0175"/>
    <w:rsid w:val="00AB04B1"/>
    <w:rsid w:val="00AB1A57"/>
    <w:rsid w:val="00AB1CAF"/>
    <w:rsid w:val="00AB25BB"/>
    <w:rsid w:val="00AB2ACF"/>
    <w:rsid w:val="00AB32AA"/>
    <w:rsid w:val="00AB4D3E"/>
    <w:rsid w:val="00AB51A1"/>
    <w:rsid w:val="00AB639A"/>
    <w:rsid w:val="00AB69A9"/>
    <w:rsid w:val="00AB6C23"/>
    <w:rsid w:val="00AB74C9"/>
    <w:rsid w:val="00AB770B"/>
    <w:rsid w:val="00AB7B3D"/>
    <w:rsid w:val="00AC106F"/>
    <w:rsid w:val="00AC1436"/>
    <w:rsid w:val="00AC20E7"/>
    <w:rsid w:val="00AC25EC"/>
    <w:rsid w:val="00AC2EB2"/>
    <w:rsid w:val="00AC3CF1"/>
    <w:rsid w:val="00AC445F"/>
    <w:rsid w:val="00AC57F8"/>
    <w:rsid w:val="00AC5B58"/>
    <w:rsid w:val="00AC6C1D"/>
    <w:rsid w:val="00AC7C5F"/>
    <w:rsid w:val="00AD01B8"/>
    <w:rsid w:val="00AD0A78"/>
    <w:rsid w:val="00AD0F96"/>
    <w:rsid w:val="00AD2036"/>
    <w:rsid w:val="00AD26CA"/>
    <w:rsid w:val="00AD319E"/>
    <w:rsid w:val="00AD3650"/>
    <w:rsid w:val="00AD36BF"/>
    <w:rsid w:val="00AD3AA2"/>
    <w:rsid w:val="00AD487E"/>
    <w:rsid w:val="00AD4A65"/>
    <w:rsid w:val="00AD538F"/>
    <w:rsid w:val="00AD543A"/>
    <w:rsid w:val="00AD560C"/>
    <w:rsid w:val="00AD56EE"/>
    <w:rsid w:val="00AD5E08"/>
    <w:rsid w:val="00AD5F48"/>
    <w:rsid w:val="00AD65C1"/>
    <w:rsid w:val="00AD6F73"/>
    <w:rsid w:val="00AD77C4"/>
    <w:rsid w:val="00AD7D37"/>
    <w:rsid w:val="00AD7E78"/>
    <w:rsid w:val="00AE0906"/>
    <w:rsid w:val="00AE0A81"/>
    <w:rsid w:val="00AE0AAA"/>
    <w:rsid w:val="00AE1147"/>
    <w:rsid w:val="00AE1666"/>
    <w:rsid w:val="00AE2171"/>
    <w:rsid w:val="00AE296F"/>
    <w:rsid w:val="00AE3416"/>
    <w:rsid w:val="00AE3574"/>
    <w:rsid w:val="00AE3804"/>
    <w:rsid w:val="00AE4B23"/>
    <w:rsid w:val="00AE4C37"/>
    <w:rsid w:val="00AE5323"/>
    <w:rsid w:val="00AE6363"/>
    <w:rsid w:val="00AE63DA"/>
    <w:rsid w:val="00AE6A36"/>
    <w:rsid w:val="00AE781D"/>
    <w:rsid w:val="00AE78D1"/>
    <w:rsid w:val="00AE7BC9"/>
    <w:rsid w:val="00AE7CF3"/>
    <w:rsid w:val="00AE7DC0"/>
    <w:rsid w:val="00AE7E24"/>
    <w:rsid w:val="00AE7E71"/>
    <w:rsid w:val="00AF04FF"/>
    <w:rsid w:val="00AF0799"/>
    <w:rsid w:val="00AF1014"/>
    <w:rsid w:val="00AF1092"/>
    <w:rsid w:val="00AF1367"/>
    <w:rsid w:val="00AF1498"/>
    <w:rsid w:val="00AF2181"/>
    <w:rsid w:val="00AF293E"/>
    <w:rsid w:val="00AF2A7A"/>
    <w:rsid w:val="00AF2AC3"/>
    <w:rsid w:val="00AF3BB5"/>
    <w:rsid w:val="00AF3C9C"/>
    <w:rsid w:val="00AF3EA6"/>
    <w:rsid w:val="00AF3F37"/>
    <w:rsid w:val="00AF3F83"/>
    <w:rsid w:val="00AF4456"/>
    <w:rsid w:val="00AF44B1"/>
    <w:rsid w:val="00AF4ACA"/>
    <w:rsid w:val="00AF53F9"/>
    <w:rsid w:val="00AF56CC"/>
    <w:rsid w:val="00AF5745"/>
    <w:rsid w:val="00AF5999"/>
    <w:rsid w:val="00AF5E91"/>
    <w:rsid w:val="00AF6861"/>
    <w:rsid w:val="00AF7778"/>
    <w:rsid w:val="00B00524"/>
    <w:rsid w:val="00B0094C"/>
    <w:rsid w:val="00B00E26"/>
    <w:rsid w:val="00B01F7C"/>
    <w:rsid w:val="00B0299E"/>
    <w:rsid w:val="00B02B27"/>
    <w:rsid w:val="00B03112"/>
    <w:rsid w:val="00B036A0"/>
    <w:rsid w:val="00B037FC"/>
    <w:rsid w:val="00B0414E"/>
    <w:rsid w:val="00B0511F"/>
    <w:rsid w:val="00B053EB"/>
    <w:rsid w:val="00B0544A"/>
    <w:rsid w:val="00B05563"/>
    <w:rsid w:val="00B05719"/>
    <w:rsid w:val="00B05A45"/>
    <w:rsid w:val="00B05AB0"/>
    <w:rsid w:val="00B05EE9"/>
    <w:rsid w:val="00B0604F"/>
    <w:rsid w:val="00B0638E"/>
    <w:rsid w:val="00B069F1"/>
    <w:rsid w:val="00B06A62"/>
    <w:rsid w:val="00B06E36"/>
    <w:rsid w:val="00B0782D"/>
    <w:rsid w:val="00B07CCD"/>
    <w:rsid w:val="00B102D6"/>
    <w:rsid w:val="00B10320"/>
    <w:rsid w:val="00B10654"/>
    <w:rsid w:val="00B10AF3"/>
    <w:rsid w:val="00B10D92"/>
    <w:rsid w:val="00B11323"/>
    <w:rsid w:val="00B1162C"/>
    <w:rsid w:val="00B11FAB"/>
    <w:rsid w:val="00B12240"/>
    <w:rsid w:val="00B12D4E"/>
    <w:rsid w:val="00B12FAA"/>
    <w:rsid w:val="00B1338F"/>
    <w:rsid w:val="00B14261"/>
    <w:rsid w:val="00B14E81"/>
    <w:rsid w:val="00B14FAC"/>
    <w:rsid w:val="00B15226"/>
    <w:rsid w:val="00B15F33"/>
    <w:rsid w:val="00B168FA"/>
    <w:rsid w:val="00B1694C"/>
    <w:rsid w:val="00B175CF"/>
    <w:rsid w:val="00B210E7"/>
    <w:rsid w:val="00B215C5"/>
    <w:rsid w:val="00B2179B"/>
    <w:rsid w:val="00B217E8"/>
    <w:rsid w:val="00B21917"/>
    <w:rsid w:val="00B2297A"/>
    <w:rsid w:val="00B23DC3"/>
    <w:rsid w:val="00B23F9B"/>
    <w:rsid w:val="00B2443C"/>
    <w:rsid w:val="00B24482"/>
    <w:rsid w:val="00B24C51"/>
    <w:rsid w:val="00B2585B"/>
    <w:rsid w:val="00B25FB5"/>
    <w:rsid w:val="00B26174"/>
    <w:rsid w:val="00B26885"/>
    <w:rsid w:val="00B26BE5"/>
    <w:rsid w:val="00B26CFD"/>
    <w:rsid w:val="00B27226"/>
    <w:rsid w:val="00B27498"/>
    <w:rsid w:val="00B27AD6"/>
    <w:rsid w:val="00B319DD"/>
    <w:rsid w:val="00B31A9D"/>
    <w:rsid w:val="00B31F99"/>
    <w:rsid w:val="00B322C2"/>
    <w:rsid w:val="00B322FB"/>
    <w:rsid w:val="00B3275B"/>
    <w:rsid w:val="00B32A21"/>
    <w:rsid w:val="00B32A71"/>
    <w:rsid w:val="00B32D24"/>
    <w:rsid w:val="00B3333F"/>
    <w:rsid w:val="00B33CD2"/>
    <w:rsid w:val="00B34836"/>
    <w:rsid w:val="00B34885"/>
    <w:rsid w:val="00B34CF4"/>
    <w:rsid w:val="00B3581D"/>
    <w:rsid w:val="00B35B8B"/>
    <w:rsid w:val="00B36092"/>
    <w:rsid w:val="00B36B50"/>
    <w:rsid w:val="00B36D6D"/>
    <w:rsid w:val="00B378F6"/>
    <w:rsid w:val="00B3799E"/>
    <w:rsid w:val="00B379BD"/>
    <w:rsid w:val="00B401F1"/>
    <w:rsid w:val="00B404E2"/>
    <w:rsid w:val="00B40CB9"/>
    <w:rsid w:val="00B41480"/>
    <w:rsid w:val="00B4151B"/>
    <w:rsid w:val="00B417D7"/>
    <w:rsid w:val="00B41A6C"/>
    <w:rsid w:val="00B41E04"/>
    <w:rsid w:val="00B422FF"/>
    <w:rsid w:val="00B423AA"/>
    <w:rsid w:val="00B42BAF"/>
    <w:rsid w:val="00B43A2E"/>
    <w:rsid w:val="00B43D1D"/>
    <w:rsid w:val="00B44111"/>
    <w:rsid w:val="00B447C7"/>
    <w:rsid w:val="00B4496C"/>
    <w:rsid w:val="00B44E6F"/>
    <w:rsid w:val="00B459C9"/>
    <w:rsid w:val="00B45C97"/>
    <w:rsid w:val="00B4629C"/>
    <w:rsid w:val="00B468F6"/>
    <w:rsid w:val="00B47320"/>
    <w:rsid w:val="00B47848"/>
    <w:rsid w:val="00B50C60"/>
    <w:rsid w:val="00B50DDA"/>
    <w:rsid w:val="00B513B6"/>
    <w:rsid w:val="00B51F52"/>
    <w:rsid w:val="00B52199"/>
    <w:rsid w:val="00B53CA7"/>
    <w:rsid w:val="00B54105"/>
    <w:rsid w:val="00B54FC7"/>
    <w:rsid w:val="00B554A2"/>
    <w:rsid w:val="00B55550"/>
    <w:rsid w:val="00B55568"/>
    <w:rsid w:val="00B55DE7"/>
    <w:rsid w:val="00B56555"/>
    <w:rsid w:val="00B56D9B"/>
    <w:rsid w:val="00B577C6"/>
    <w:rsid w:val="00B60439"/>
    <w:rsid w:val="00B607B4"/>
    <w:rsid w:val="00B60F2B"/>
    <w:rsid w:val="00B6134E"/>
    <w:rsid w:val="00B61E84"/>
    <w:rsid w:val="00B623DF"/>
    <w:rsid w:val="00B62D05"/>
    <w:rsid w:val="00B636AE"/>
    <w:rsid w:val="00B63B1D"/>
    <w:rsid w:val="00B63C6B"/>
    <w:rsid w:val="00B6469E"/>
    <w:rsid w:val="00B6471F"/>
    <w:rsid w:val="00B64B23"/>
    <w:rsid w:val="00B65F9D"/>
    <w:rsid w:val="00B66174"/>
    <w:rsid w:val="00B67066"/>
    <w:rsid w:val="00B674B5"/>
    <w:rsid w:val="00B67BCA"/>
    <w:rsid w:val="00B70046"/>
    <w:rsid w:val="00B701DD"/>
    <w:rsid w:val="00B70D4B"/>
    <w:rsid w:val="00B71223"/>
    <w:rsid w:val="00B716FD"/>
    <w:rsid w:val="00B71E05"/>
    <w:rsid w:val="00B725B5"/>
    <w:rsid w:val="00B72C92"/>
    <w:rsid w:val="00B7384E"/>
    <w:rsid w:val="00B74E9D"/>
    <w:rsid w:val="00B74F1E"/>
    <w:rsid w:val="00B74F8E"/>
    <w:rsid w:val="00B76189"/>
    <w:rsid w:val="00B761B8"/>
    <w:rsid w:val="00B766CF"/>
    <w:rsid w:val="00B76F14"/>
    <w:rsid w:val="00B76F1E"/>
    <w:rsid w:val="00B775D2"/>
    <w:rsid w:val="00B77B83"/>
    <w:rsid w:val="00B80782"/>
    <w:rsid w:val="00B80843"/>
    <w:rsid w:val="00B80EA9"/>
    <w:rsid w:val="00B817E3"/>
    <w:rsid w:val="00B81992"/>
    <w:rsid w:val="00B81CDC"/>
    <w:rsid w:val="00B821DC"/>
    <w:rsid w:val="00B82556"/>
    <w:rsid w:val="00B829B1"/>
    <w:rsid w:val="00B82B05"/>
    <w:rsid w:val="00B82F4F"/>
    <w:rsid w:val="00B832F4"/>
    <w:rsid w:val="00B83B84"/>
    <w:rsid w:val="00B8406D"/>
    <w:rsid w:val="00B84D2C"/>
    <w:rsid w:val="00B84EB0"/>
    <w:rsid w:val="00B854FE"/>
    <w:rsid w:val="00B856FC"/>
    <w:rsid w:val="00B8602F"/>
    <w:rsid w:val="00B86595"/>
    <w:rsid w:val="00B86AF1"/>
    <w:rsid w:val="00B871DC"/>
    <w:rsid w:val="00B87870"/>
    <w:rsid w:val="00B878BF"/>
    <w:rsid w:val="00B87B6D"/>
    <w:rsid w:val="00B87CB9"/>
    <w:rsid w:val="00B90BE5"/>
    <w:rsid w:val="00B9119D"/>
    <w:rsid w:val="00B91C05"/>
    <w:rsid w:val="00B923A2"/>
    <w:rsid w:val="00B9242A"/>
    <w:rsid w:val="00B927AD"/>
    <w:rsid w:val="00B92814"/>
    <w:rsid w:val="00B92B97"/>
    <w:rsid w:val="00B93747"/>
    <w:rsid w:val="00B93CEF"/>
    <w:rsid w:val="00B93F74"/>
    <w:rsid w:val="00B941C7"/>
    <w:rsid w:val="00B95505"/>
    <w:rsid w:val="00B959C0"/>
    <w:rsid w:val="00B95BB8"/>
    <w:rsid w:val="00B972C4"/>
    <w:rsid w:val="00B972CD"/>
    <w:rsid w:val="00B97CFE"/>
    <w:rsid w:val="00BA04F9"/>
    <w:rsid w:val="00BA0667"/>
    <w:rsid w:val="00BA0A23"/>
    <w:rsid w:val="00BA11E3"/>
    <w:rsid w:val="00BA1202"/>
    <w:rsid w:val="00BA1242"/>
    <w:rsid w:val="00BA12FA"/>
    <w:rsid w:val="00BA1BCB"/>
    <w:rsid w:val="00BA1C9F"/>
    <w:rsid w:val="00BA210C"/>
    <w:rsid w:val="00BA24C2"/>
    <w:rsid w:val="00BA2B7C"/>
    <w:rsid w:val="00BA2C93"/>
    <w:rsid w:val="00BA2EA3"/>
    <w:rsid w:val="00BA2F19"/>
    <w:rsid w:val="00BA32B1"/>
    <w:rsid w:val="00BA3870"/>
    <w:rsid w:val="00BA3DEA"/>
    <w:rsid w:val="00BA4CD3"/>
    <w:rsid w:val="00BA4F36"/>
    <w:rsid w:val="00BA4F53"/>
    <w:rsid w:val="00BA5781"/>
    <w:rsid w:val="00BA5877"/>
    <w:rsid w:val="00BA6116"/>
    <w:rsid w:val="00BA6CF8"/>
    <w:rsid w:val="00BB05C5"/>
    <w:rsid w:val="00BB0905"/>
    <w:rsid w:val="00BB0E78"/>
    <w:rsid w:val="00BB124E"/>
    <w:rsid w:val="00BB1DCB"/>
    <w:rsid w:val="00BB1F0F"/>
    <w:rsid w:val="00BB20C4"/>
    <w:rsid w:val="00BB20CB"/>
    <w:rsid w:val="00BB233A"/>
    <w:rsid w:val="00BB35B6"/>
    <w:rsid w:val="00BB3ADB"/>
    <w:rsid w:val="00BB3FDF"/>
    <w:rsid w:val="00BB4028"/>
    <w:rsid w:val="00BB4CEC"/>
    <w:rsid w:val="00BB56A8"/>
    <w:rsid w:val="00BB5C14"/>
    <w:rsid w:val="00BB7284"/>
    <w:rsid w:val="00BB77C4"/>
    <w:rsid w:val="00BB783A"/>
    <w:rsid w:val="00BC0123"/>
    <w:rsid w:val="00BC0E4E"/>
    <w:rsid w:val="00BC1331"/>
    <w:rsid w:val="00BC1C0C"/>
    <w:rsid w:val="00BC1C61"/>
    <w:rsid w:val="00BC22C7"/>
    <w:rsid w:val="00BC2349"/>
    <w:rsid w:val="00BC23DC"/>
    <w:rsid w:val="00BC26AF"/>
    <w:rsid w:val="00BC271D"/>
    <w:rsid w:val="00BC34C8"/>
    <w:rsid w:val="00BC3734"/>
    <w:rsid w:val="00BC4A62"/>
    <w:rsid w:val="00BC70AE"/>
    <w:rsid w:val="00BC77E7"/>
    <w:rsid w:val="00BC78CC"/>
    <w:rsid w:val="00BC7AF1"/>
    <w:rsid w:val="00BD0622"/>
    <w:rsid w:val="00BD06D8"/>
    <w:rsid w:val="00BD1FAA"/>
    <w:rsid w:val="00BD39BB"/>
    <w:rsid w:val="00BD431C"/>
    <w:rsid w:val="00BD476A"/>
    <w:rsid w:val="00BD4DA7"/>
    <w:rsid w:val="00BD5E0C"/>
    <w:rsid w:val="00BD6413"/>
    <w:rsid w:val="00BD64DC"/>
    <w:rsid w:val="00BD69FE"/>
    <w:rsid w:val="00BD745F"/>
    <w:rsid w:val="00BD7682"/>
    <w:rsid w:val="00BD7A0C"/>
    <w:rsid w:val="00BD7E1E"/>
    <w:rsid w:val="00BE06B7"/>
    <w:rsid w:val="00BE07F5"/>
    <w:rsid w:val="00BE0BED"/>
    <w:rsid w:val="00BE14A3"/>
    <w:rsid w:val="00BE1658"/>
    <w:rsid w:val="00BE17E0"/>
    <w:rsid w:val="00BE23B6"/>
    <w:rsid w:val="00BE2E06"/>
    <w:rsid w:val="00BE3AD0"/>
    <w:rsid w:val="00BE3C43"/>
    <w:rsid w:val="00BE3F75"/>
    <w:rsid w:val="00BE42BB"/>
    <w:rsid w:val="00BE433C"/>
    <w:rsid w:val="00BE4AC8"/>
    <w:rsid w:val="00BE51E5"/>
    <w:rsid w:val="00BE5764"/>
    <w:rsid w:val="00BE5893"/>
    <w:rsid w:val="00BE66A0"/>
    <w:rsid w:val="00BE6CF5"/>
    <w:rsid w:val="00BE70F5"/>
    <w:rsid w:val="00BF0C5F"/>
    <w:rsid w:val="00BF10FB"/>
    <w:rsid w:val="00BF188A"/>
    <w:rsid w:val="00BF1BF4"/>
    <w:rsid w:val="00BF1D43"/>
    <w:rsid w:val="00BF1EC6"/>
    <w:rsid w:val="00BF25E1"/>
    <w:rsid w:val="00BF2BF8"/>
    <w:rsid w:val="00BF2F3D"/>
    <w:rsid w:val="00BF4145"/>
    <w:rsid w:val="00BF5764"/>
    <w:rsid w:val="00BF6984"/>
    <w:rsid w:val="00BF6A25"/>
    <w:rsid w:val="00BF6EC6"/>
    <w:rsid w:val="00BF716D"/>
    <w:rsid w:val="00BF7456"/>
    <w:rsid w:val="00BF751D"/>
    <w:rsid w:val="00BF7630"/>
    <w:rsid w:val="00C0020F"/>
    <w:rsid w:val="00C003CB"/>
    <w:rsid w:val="00C0099D"/>
    <w:rsid w:val="00C00D10"/>
    <w:rsid w:val="00C012F7"/>
    <w:rsid w:val="00C01A00"/>
    <w:rsid w:val="00C01F11"/>
    <w:rsid w:val="00C03060"/>
    <w:rsid w:val="00C03121"/>
    <w:rsid w:val="00C034D8"/>
    <w:rsid w:val="00C0362C"/>
    <w:rsid w:val="00C0387D"/>
    <w:rsid w:val="00C03EF3"/>
    <w:rsid w:val="00C04435"/>
    <w:rsid w:val="00C0488B"/>
    <w:rsid w:val="00C04E86"/>
    <w:rsid w:val="00C056EC"/>
    <w:rsid w:val="00C05E33"/>
    <w:rsid w:val="00C062D3"/>
    <w:rsid w:val="00C06314"/>
    <w:rsid w:val="00C0655A"/>
    <w:rsid w:val="00C068DE"/>
    <w:rsid w:val="00C06965"/>
    <w:rsid w:val="00C070F1"/>
    <w:rsid w:val="00C07685"/>
    <w:rsid w:val="00C10562"/>
    <w:rsid w:val="00C10B86"/>
    <w:rsid w:val="00C123FD"/>
    <w:rsid w:val="00C12445"/>
    <w:rsid w:val="00C12552"/>
    <w:rsid w:val="00C129EE"/>
    <w:rsid w:val="00C13006"/>
    <w:rsid w:val="00C1318C"/>
    <w:rsid w:val="00C139C3"/>
    <w:rsid w:val="00C148BD"/>
    <w:rsid w:val="00C1501F"/>
    <w:rsid w:val="00C158D3"/>
    <w:rsid w:val="00C162F8"/>
    <w:rsid w:val="00C1645F"/>
    <w:rsid w:val="00C164F1"/>
    <w:rsid w:val="00C16BAF"/>
    <w:rsid w:val="00C16E83"/>
    <w:rsid w:val="00C202FF"/>
    <w:rsid w:val="00C20E02"/>
    <w:rsid w:val="00C21444"/>
    <w:rsid w:val="00C21A86"/>
    <w:rsid w:val="00C21C26"/>
    <w:rsid w:val="00C223EF"/>
    <w:rsid w:val="00C22A4E"/>
    <w:rsid w:val="00C239AF"/>
    <w:rsid w:val="00C23DD8"/>
    <w:rsid w:val="00C23E33"/>
    <w:rsid w:val="00C24D56"/>
    <w:rsid w:val="00C24F0A"/>
    <w:rsid w:val="00C253D7"/>
    <w:rsid w:val="00C27108"/>
    <w:rsid w:val="00C2714F"/>
    <w:rsid w:val="00C27315"/>
    <w:rsid w:val="00C27841"/>
    <w:rsid w:val="00C30C08"/>
    <w:rsid w:val="00C30D47"/>
    <w:rsid w:val="00C311AC"/>
    <w:rsid w:val="00C314B1"/>
    <w:rsid w:val="00C31618"/>
    <w:rsid w:val="00C317BE"/>
    <w:rsid w:val="00C31C19"/>
    <w:rsid w:val="00C31E18"/>
    <w:rsid w:val="00C32A73"/>
    <w:rsid w:val="00C332E3"/>
    <w:rsid w:val="00C33D76"/>
    <w:rsid w:val="00C34876"/>
    <w:rsid w:val="00C34927"/>
    <w:rsid w:val="00C34DC4"/>
    <w:rsid w:val="00C3517E"/>
    <w:rsid w:val="00C35571"/>
    <w:rsid w:val="00C36053"/>
    <w:rsid w:val="00C36D7A"/>
    <w:rsid w:val="00C40086"/>
    <w:rsid w:val="00C40436"/>
    <w:rsid w:val="00C407B0"/>
    <w:rsid w:val="00C40B02"/>
    <w:rsid w:val="00C40E01"/>
    <w:rsid w:val="00C441D7"/>
    <w:rsid w:val="00C44491"/>
    <w:rsid w:val="00C446C6"/>
    <w:rsid w:val="00C446D1"/>
    <w:rsid w:val="00C44D0B"/>
    <w:rsid w:val="00C44D1F"/>
    <w:rsid w:val="00C465C1"/>
    <w:rsid w:val="00C465C5"/>
    <w:rsid w:val="00C4687D"/>
    <w:rsid w:val="00C468A2"/>
    <w:rsid w:val="00C46B8E"/>
    <w:rsid w:val="00C47192"/>
    <w:rsid w:val="00C476B2"/>
    <w:rsid w:val="00C478AD"/>
    <w:rsid w:val="00C47DB0"/>
    <w:rsid w:val="00C502AF"/>
    <w:rsid w:val="00C508A8"/>
    <w:rsid w:val="00C50BB7"/>
    <w:rsid w:val="00C5102E"/>
    <w:rsid w:val="00C51372"/>
    <w:rsid w:val="00C518DC"/>
    <w:rsid w:val="00C51B6E"/>
    <w:rsid w:val="00C51CA1"/>
    <w:rsid w:val="00C521D0"/>
    <w:rsid w:val="00C53218"/>
    <w:rsid w:val="00C53603"/>
    <w:rsid w:val="00C548BF"/>
    <w:rsid w:val="00C564BE"/>
    <w:rsid w:val="00C568A0"/>
    <w:rsid w:val="00C56EB9"/>
    <w:rsid w:val="00C5775D"/>
    <w:rsid w:val="00C57C3E"/>
    <w:rsid w:val="00C60572"/>
    <w:rsid w:val="00C60A05"/>
    <w:rsid w:val="00C61ACD"/>
    <w:rsid w:val="00C61C83"/>
    <w:rsid w:val="00C61FA3"/>
    <w:rsid w:val="00C62371"/>
    <w:rsid w:val="00C62522"/>
    <w:rsid w:val="00C62785"/>
    <w:rsid w:val="00C62E64"/>
    <w:rsid w:val="00C6331E"/>
    <w:rsid w:val="00C63EFB"/>
    <w:rsid w:val="00C64239"/>
    <w:rsid w:val="00C64B82"/>
    <w:rsid w:val="00C65057"/>
    <w:rsid w:val="00C657C7"/>
    <w:rsid w:val="00C658A7"/>
    <w:rsid w:val="00C65A6E"/>
    <w:rsid w:val="00C65DDB"/>
    <w:rsid w:val="00C65E61"/>
    <w:rsid w:val="00C66CC2"/>
    <w:rsid w:val="00C671CE"/>
    <w:rsid w:val="00C674AD"/>
    <w:rsid w:val="00C679F8"/>
    <w:rsid w:val="00C67D0D"/>
    <w:rsid w:val="00C67EEF"/>
    <w:rsid w:val="00C70287"/>
    <w:rsid w:val="00C70B8B"/>
    <w:rsid w:val="00C71557"/>
    <w:rsid w:val="00C719F3"/>
    <w:rsid w:val="00C71D4D"/>
    <w:rsid w:val="00C71FCD"/>
    <w:rsid w:val="00C72AB5"/>
    <w:rsid w:val="00C72B96"/>
    <w:rsid w:val="00C738DF"/>
    <w:rsid w:val="00C748FF"/>
    <w:rsid w:val="00C74943"/>
    <w:rsid w:val="00C74B1E"/>
    <w:rsid w:val="00C74D50"/>
    <w:rsid w:val="00C74D9E"/>
    <w:rsid w:val="00C75FC4"/>
    <w:rsid w:val="00C762FB"/>
    <w:rsid w:val="00C763D8"/>
    <w:rsid w:val="00C76564"/>
    <w:rsid w:val="00C7660C"/>
    <w:rsid w:val="00C768B9"/>
    <w:rsid w:val="00C77426"/>
    <w:rsid w:val="00C77431"/>
    <w:rsid w:val="00C77F50"/>
    <w:rsid w:val="00C8006A"/>
    <w:rsid w:val="00C80A2A"/>
    <w:rsid w:val="00C81787"/>
    <w:rsid w:val="00C8191D"/>
    <w:rsid w:val="00C82269"/>
    <w:rsid w:val="00C8333B"/>
    <w:rsid w:val="00C835BB"/>
    <w:rsid w:val="00C84137"/>
    <w:rsid w:val="00C84516"/>
    <w:rsid w:val="00C84895"/>
    <w:rsid w:val="00C84A2F"/>
    <w:rsid w:val="00C86A5D"/>
    <w:rsid w:val="00C86EA7"/>
    <w:rsid w:val="00C87935"/>
    <w:rsid w:val="00C87DD4"/>
    <w:rsid w:val="00C87FA5"/>
    <w:rsid w:val="00C90AE4"/>
    <w:rsid w:val="00C90F0B"/>
    <w:rsid w:val="00C9105D"/>
    <w:rsid w:val="00C913B2"/>
    <w:rsid w:val="00C91B49"/>
    <w:rsid w:val="00C91BD6"/>
    <w:rsid w:val="00C91DA3"/>
    <w:rsid w:val="00C92B2C"/>
    <w:rsid w:val="00C93357"/>
    <w:rsid w:val="00C93891"/>
    <w:rsid w:val="00C93A91"/>
    <w:rsid w:val="00C94BF1"/>
    <w:rsid w:val="00C9507C"/>
    <w:rsid w:val="00C96052"/>
    <w:rsid w:val="00C96744"/>
    <w:rsid w:val="00C96A4C"/>
    <w:rsid w:val="00C96B48"/>
    <w:rsid w:val="00C96E5A"/>
    <w:rsid w:val="00C97154"/>
    <w:rsid w:val="00C977B4"/>
    <w:rsid w:val="00C97F3B"/>
    <w:rsid w:val="00CA0FAC"/>
    <w:rsid w:val="00CA1C49"/>
    <w:rsid w:val="00CA2478"/>
    <w:rsid w:val="00CA30F1"/>
    <w:rsid w:val="00CA34F6"/>
    <w:rsid w:val="00CA3867"/>
    <w:rsid w:val="00CA3CC7"/>
    <w:rsid w:val="00CA4064"/>
    <w:rsid w:val="00CA51B2"/>
    <w:rsid w:val="00CA5502"/>
    <w:rsid w:val="00CA5A43"/>
    <w:rsid w:val="00CA6120"/>
    <w:rsid w:val="00CA669A"/>
    <w:rsid w:val="00CA67C9"/>
    <w:rsid w:val="00CA6F99"/>
    <w:rsid w:val="00CA7825"/>
    <w:rsid w:val="00CA791D"/>
    <w:rsid w:val="00CA799E"/>
    <w:rsid w:val="00CB019C"/>
    <w:rsid w:val="00CB0646"/>
    <w:rsid w:val="00CB0CC5"/>
    <w:rsid w:val="00CB1BA3"/>
    <w:rsid w:val="00CB27BA"/>
    <w:rsid w:val="00CB3A0E"/>
    <w:rsid w:val="00CB4D03"/>
    <w:rsid w:val="00CB5455"/>
    <w:rsid w:val="00CB5518"/>
    <w:rsid w:val="00CB5D1D"/>
    <w:rsid w:val="00CB735D"/>
    <w:rsid w:val="00CB78BB"/>
    <w:rsid w:val="00CB79BD"/>
    <w:rsid w:val="00CB7DDE"/>
    <w:rsid w:val="00CC02B0"/>
    <w:rsid w:val="00CC05FD"/>
    <w:rsid w:val="00CC08B9"/>
    <w:rsid w:val="00CC16F2"/>
    <w:rsid w:val="00CC186E"/>
    <w:rsid w:val="00CC1C0C"/>
    <w:rsid w:val="00CC1E8F"/>
    <w:rsid w:val="00CC2829"/>
    <w:rsid w:val="00CC2AED"/>
    <w:rsid w:val="00CC3C0F"/>
    <w:rsid w:val="00CC3E5B"/>
    <w:rsid w:val="00CC45A6"/>
    <w:rsid w:val="00CC4656"/>
    <w:rsid w:val="00CC46AA"/>
    <w:rsid w:val="00CC4B28"/>
    <w:rsid w:val="00CC4E64"/>
    <w:rsid w:val="00CC54BA"/>
    <w:rsid w:val="00CC5779"/>
    <w:rsid w:val="00CC6046"/>
    <w:rsid w:val="00CC7647"/>
    <w:rsid w:val="00CC7AD8"/>
    <w:rsid w:val="00CD0052"/>
    <w:rsid w:val="00CD034F"/>
    <w:rsid w:val="00CD0F7F"/>
    <w:rsid w:val="00CD1077"/>
    <w:rsid w:val="00CD1427"/>
    <w:rsid w:val="00CD166C"/>
    <w:rsid w:val="00CD182A"/>
    <w:rsid w:val="00CD19C5"/>
    <w:rsid w:val="00CD1C1F"/>
    <w:rsid w:val="00CD2106"/>
    <w:rsid w:val="00CD22C0"/>
    <w:rsid w:val="00CD2957"/>
    <w:rsid w:val="00CD2F57"/>
    <w:rsid w:val="00CD36CF"/>
    <w:rsid w:val="00CD372A"/>
    <w:rsid w:val="00CD390C"/>
    <w:rsid w:val="00CD3951"/>
    <w:rsid w:val="00CD3FEC"/>
    <w:rsid w:val="00CD4528"/>
    <w:rsid w:val="00CD5946"/>
    <w:rsid w:val="00CD614F"/>
    <w:rsid w:val="00CD66CE"/>
    <w:rsid w:val="00CD69AC"/>
    <w:rsid w:val="00CD7924"/>
    <w:rsid w:val="00CD7F42"/>
    <w:rsid w:val="00CE09DE"/>
    <w:rsid w:val="00CE1B01"/>
    <w:rsid w:val="00CE2A7F"/>
    <w:rsid w:val="00CE2E49"/>
    <w:rsid w:val="00CE3857"/>
    <w:rsid w:val="00CE38A4"/>
    <w:rsid w:val="00CE4679"/>
    <w:rsid w:val="00CE46A8"/>
    <w:rsid w:val="00CE472C"/>
    <w:rsid w:val="00CE490F"/>
    <w:rsid w:val="00CE4981"/>
    <w:rsid w:val="00CE5711"/>
    <w:rsid w:val="00CE57C6"/>
    <w:rsid w:val="00CE59ED"/>
    <w:rsid w:val="00CE5EEB"/>
    <w:rsid w:val="00CE6189"/>
    <w:rsid w:val="00CE6A2A"/>
    <w:rsid w:val="00CE6C84"/>
    <w:rsid w:val="00CE73C0"/>
    <w:rsid w:val="00CE7A55"/>
    <w:rsid w:val="00CE7B29"/>
    <w:rsid w:val="00CE7F9D"/>
    <w:rsid w:val="00CF0046"/>
    <w:rsid w:val="00CF08D8"/>
    <w:rsid w:val="00CF1667"/>
    <w:rsid w:val="00CF1F9F"/>
    <w:rsid w:val="00CF2399"/>
    <w:rsid w:val="00CF24A7"/>
    <w:rsid w:val="00CF27E1"/>
    <w:rsid w:val="00CF2E93"/>
    <w:rsid w:val="00CF3001"/>
    <w:rsid w:val="00CF3364"/>
    <w:rsid w:val="00CF3633"/>
    <w:rsid w:val="00CF396F"/>
    <w:rsid w:val="00CF3A89"/>
    <w:rsid w:val="00CF4238"/>
    <w:rsid w:val="00CF4248"/>
    <w:rsid w:val="00CF44E1"/>
    <w:rsid w:val="00CF44E6"/>
    <w:rsid w:val="00CF4753"/>
    <w:rsid w:val="00CF4878"/>
    <w:rsid w:val="00CF4E71"/>
    <w:rsid w:val="00CF51EE"/>
    <w:rsid w:val="00CF588F"/>
    <w:rsid w:val="00CF6416"/>
    <w:rsid w:val="00CF645D"/>
    <w:rsid w:val="00CF67FE"/>
    <w:rsid w:val="00CF6BC2"/>
    <w:rsid w:val="00CF71E8"/>
    <w:rsid w:val="00CF73D8"/>
    <w:rsid w:val="00CF7DF6"/>
    <w:rsid w:val="00D003A2"/>
    <w:rsid w:val="00D01025"/>
    <w:rsid w:val="00D0142E"/>
    <w:rsid w:val="00D01484"/>
    <w:rsid w:val="00D01B88"/>
    <w:rsid w:val="00D028DC"/>
    <w:rsid w:val="00D0349A"/>
    <w:rsid w:val="00D03527"/>
    <w:rsid w:val="00D0414C"/>
    <w:rsid w:val="00D04C33"/>
    <w:rsid w:val="00D04E57"/>
    <w:rsid w:val="00D055D2"/>
    <w:rsid w:val="00D059B0"/>
    <w:rsid w:val="00D05A6B"/>
    <w:rsid w:val="00D0693C"/>
    <w:rsid w:val="00D070D9"/>
    <w:rsid w:val="00D073CF"/>
    <w:rsid w:val="00D07F81"/>
    <w:rsid w:val="00D1028C"/>
    <w:rsid w:val="00D10294"/>
    <w:rsid w:val="00D10889"/>
    <w:rsid w:val="00D1089C"/>
    <w:rsid w:val="00D109FF"/>
    <w:rsid w:val="00D10F63"/>
    <w:rsid w:val="00D11ECD"/>
    <w:rsid w:val="00D12361"/>
    <w:rsid w:val="00D13737"/>
    <w:rsid w:val="00D13797"/>
    <w:rsid w:val="00D14E1F"/>
    <w:rsid w:val="00D14E5C"/>
    <w:rsid w:val="00D15847"/>
    <w:rsid w:val="00D1593F"/>
    <w:rsid w:val="00D16838"/>
    <w:rsid w:val="00D20483"/>
    <w:rsid w:val="00D219BD"/>
    <w:rsid w:val="00D21A61"/>
    <w:rsid w:val="00D21D4F"/>
    <w:rsid w:val="00D22C45"/>
    <w:rsid w:val="00D22CE6"/>
    <w:rsid w:val="00D23239"/>
    <w:rsid w:val="00D23645"/>
    <w:rsid w:val="00D23FC9"/>
    <w:rsid w:val="00D24291"/>
    <w:rsid w:val="00D247A9"/>
    <w:rsid w:val="00D2483C"/>
    <w:rsid w:val="00D24ED2"/>
    <w:rsid w:val="00D2502F"/>
    <w:rsid w:val="00D250C9"/>
    <w:rsid w:val="00D253FB"/>
    <w:rsid w:val="00D26470"/>
    <w:rsid w:val="00D26C14"/>
    <w:rsid w:val="00D26FC4"/>
    <w:rsid w:val="00D27B5C"/>
    <w:rsid w:val="00D27F18"/>
    <w:rsid w:val="00D307AB"/>
    <w:rsid w:val="00D309FA"/>
    <w:rsid w:val="00D30D0F"/>
    <w:rsid w:val="00D3151A"/>
    <w:rsid w:val="00D31A45"/>
    <w:rsid w:val="00D31A81"/>
    <w:rsid w:val="00D3222D"/>
    <w:rsid w:val="00D324A3"/>
    <w:rsid w:val="00D33007"/>
    <w:rsid w:val="00D3303A"/>
    <w:rsid w:val="00D34C41"/>
    <w:rsid w:val="00D34EC9"/>
    <w:rsid w:val="00D34FFC"/>
    <w:rsid w:val="00D3557C"/>
    <w:rsid w:val="00D358F5"/>
    <w:rsid w:val="00D35AC3"/>
    <w:rsid w:val="00D365FC"/>
    <w:rsid w:val="00D36962"/>
    <w:rsid w:val="00D370FE"/>
    <w:rsid w:val="00D3721F"/>
    <w:rsid w:val="00D37B14"/>
    <w:rsid w:val="00D37B4F"/>
    <w:rsid w:val="00D401FD"/>
    <w:rsid w:val="00D4037C"/>
    <w:rsid w:val="00D4050D"/>
    <w:rsid w:val="00D40E4A"/>
    <w:rsid w:val="00D410F2"/>
    <w:rsid w:val="00D4114F"/>
    <w:rsid w:val="00D416C9"/>
    <w:rsid w:val="00D41F12"/>
    <w:rsid w:val="00D4225E"/>
    <w:rsid w:val="00D42424"/>
    <w:rsid w:val="00D42F9D"/>
    <w:rsid w:val="00D4387E"/>
    <w:rsid w:val="00D438A1"/>
    <w:rsid w:val="00D4684D"/>
    <w:rsid w:val="00D4689C"/>
    <w:rsid w:val="00D46C90"/>
    <w:rsid w:val="00D46D86"/>
    <w:rsid w:val="00D50167"/>
    <w:rsid w:val="00D50DC8"/>
    <w:rsid w:val="00D5144A"/>
    <w:rsid w:val="00D51BC5"/>
    <w:rsid w:val="00D51DB9"/>
    <w:rsid w:val="00D5266A"/>
    <w:rsid w:val="00D528DA"/>
    <w:rsid w:val="00D52CD5"/>
    <w:rsid w:val="00D52DEA"/>
    <w:rsid w:val="00D531A5"/>
    <w:rsid w:val="00D5349E"/>
    <w:rsid w:val="00D53DFA"/>
    <w:rsid w:val="00D5432D"/>
    <w:rsid w:val="00D54907"/>
    <w:rsid w:val="00D54E78"/>
    <w:rsid w:val="00D54FAE"/>
    <w:rsid w:val="00D55366"/>
    <w:rsid w:val="00D55BC4"/>
    <w:rsid w:val="00D5633C"/>
    <w:rsid w:val="00D56BC0"/>
    <w:rsid w:val="00D570E7"/>
    <w:rsid w:val="00D571DE"/>
    <w:rsid w:val="00D572A1"/>
    <w:rsid w:val="00D573B6"/>
    <w:rsid w:val="00D57723"/>
    <w:rsid w:val="00D57D63"/>
    <w:rsid w:val="00D60708"/>
    <w:rsid w:val="00D6101D"/>
    <w:rsid w:val="00D61502"/>
    <w:rsid w:val="00D61560"/>
    <w:rsid w:val="00D619F6"/>
    <w:rsid w:val="00D6200F"/>
    <w:rsid w:val="00D6258B"/>
    <w:rsid w:val="00D62659"/>
    <w:rsid w:val="00D62FEF"/>
    <w:rsid w:val="00D63226"/>
    <w:rsid w:val="00D635F1"/>
    <w:rsid w:val="00D63F40"/>
    <w:rsid w:val="00D645A9"/>
    <w:rsid w:val="00D648CF"/>
    <w:rsid w:val="00D64D4B"/>
    <w:rsid w:val="00D64DF1"/>
    <w:rsid w:val="00D660F0"/>
    <w:rsid w:val="00D660FA"/>
    <w:rsid w:val="00D66A0B"/>
    <w:rsid w:val="00D70487"/>
    <w:rsid w:val="00D705B6"/>
    <w:rsid w:val="00D708E1"/>
    <w:rsid w:val="00D70E84"/>
    <w:rsid w:val="00D71284"/>
    <w:rsid w:val="00D71BF5"/>
    <w:rsid w:val="00D71C5C"/>
    <w:rsid w:val="00D71C73"/>
    <w:rsid w:val="00D71E14"/>
    <w:rsid w:val="00D72460"/>
    <w:rsid w:val="00D72F67"/>
    <w:rsid w:val="00D73285"/>
    <w:rsid w:val="00D73A58"/>
    <w:rsid w:val="00D74676"/>
    <w:rsid w:val="00D74FA8"/>
    <w:rsid w:val="00D75327"/>
    <w:rsid w:val="00D75A61"/>
    <w:rsid w:val="00D761FB"/>
    <w:rsid w:val="00D765BF"/>
    <w:rsid w:val="00D76708"/>
    <w:rsid w:val="00D767A5"/>
    <w:rsid w:val="00D76EEF"/>
    <w:rsid w:val="00D77059"/>
    <w:rsid w:val="00D77648"/>
    <w:rsid w:val="00D7787B"/>
    <w:rsid w:val="00D77B04"/>
    <w:rsid w:val="00D77C65"/>
    <w:rsid w:val="00D80503"/>
    <w:rsid w:val="00D8055D"/>
    <w:rsid w:val="00D806F3"/>
    <w:rsid w:val="00D80D43"/>
    <w:rsid w:val="00D8135F"/>
    <w:rsid w:val="00D814A4"/>
    <w:rsid w:val="00D819CF"/>
    <w:rsid w:val="00D837FE"/>
    <w:rsid w:val="00D83BD0"/>
    <w:rsid w:val="00D83C76"/>
    <w:rsid w:val="00D83E8F"/>
    <w:rsid w:val="00D83F0F"/>
    <w:rsid w:val="00D83F20"/>
    <w:rsid w:val="00D840B3"/>
    <w:rsid w:val="00D8494D"/>
    <w:rsid w:val="00D85257"/>
    <w:rsid w:val="00D8572B"/>
    <w:rsid w:val="00D865D3"/>
    <w:rsid w:val="00D86963"/>
    <w:rsid w:val="00D86CFB"/>
    <w:rsid w:val="00D86F3A"/>
    <w:rsid w:val="00D87279"/>
    <w:rsid w:val="00D87F7B"/>
    <w:rsid w:val="00D9012B"/>
    <w:rsid w:val="00D902A6"/>
    <w:rsid w:val="00D9146D"/>
    <w:rsid w:val="00D918C5"/>
    <w:rsid w:val="00D9198C"/>
    <w:rsid w:val="00D91D47"/>
    <w:rsid w:val="00D9307A"/>
    <w:rsid w:val="00D931CC"/>
    <w:rsid w:val="00D93389"/>
    <w:rsid w:val="00D93455"/>
    <w:rsid w:val="00D946FA"/>
    <w:rsid w:val="00D94C3A"/>
    <w:rsid w:val="00D94D92"/>
    <w:rsid w:val="00D955B4"/>
    <w:rsid w:val="00D95D6B"/>
    <w:rsid w:val="00D960C8"/>
    <w:rsid w:val="00D966B3"/>
    <w:rsid w:val="00D96996"/>
    <w:rsid w:val="00D97440"/>
    <w:rsid w:val="00D9784D"/>
    <w:rsid w:val="00DA0238"/>
    <w:rsid w:val="00DA0B49"/>
    <w:rsid w:val="00DA0E54"/>
    <w:rsid w:val="00DA0FC1"/>
    <w:rsid w:val="00DA1510"/>
    <w:rsid w:val="00DA166A"/>
    <w:rsid w:val="00DA1A5A"/>
    <w:rsid w:val="00DA240E"/>
    <w:rsid w:val="00DA2D0A"/>
    <w:rsid w:val="00DA3718"/>
    <w:rsid w:val="00DA3D2B"/>
    <w:rsid w:val="00DA51A0"/>
    <w:rsid w:val="00DA51D5"/>
    <w:rsid w:val="00DA6021"/>
    <w:rsid w:val="00DA64BB"/>
    <w:rsid w:val="00DA6894"/>
    <w:rsid w:val="00DA6A18"/>
    <w:rsid w:val="00DA6A75"/>
    <w:rsid w:val="00DA6F2C"/>
    <w:rsid w:val="00DA73E4"/>
    <w:rsid w:val="00DA76FF"/>
    <w:rsid w:val="00DA7A4E"/>
    <w:rsid w:val="00DB0061"/>
    <w:rsid w:val="00DB0476"/>
    <w:rsid w:val="00DB05CF"/>
    <w:rsid w:val="00DB0BCB"/>
    <w:rsid w:val="00DB1094"/>
    <w:rsid w:val="00DB11C4"/>
    <w:rsid w:val="00DB19C8"/>
    <w:rsid w:val="00DB26BA"/>
    <w:rsid w:val="00DB2B9A"/>
    <w:rsid w:val="00DB3217"/>
    <w:rsid w:val="00DB32D1"/>
    <w:rsid w:val="00DB330B"/>
    <w:rsid w:val="00DB38A8"/>
    <w:rsid w:val="00DB3DEF"/>
    <w:rsid w:val="00DB418F"/>
    <w:rsid w:val="00DB4213"/>
    <w:rsid w:val="00DB44CC"/>
    <w:rsid w:val="00DB467A"/>
    <w:rsid w:val="00DB4FEF"/>
    <w:rsid w:val="00DB5802"/>
    <w:rsid w:val="00DB64CE"/>
    <w:rsid w:val="00DB69A8"/>
    <w:rsid w:val="00DB6B9D"/>
    <w:rsid w:val="00DB757A"/>
    <w:rsid w:val="00DC09FF"/>
    <w:rsid w:val="00DC0B14"/>
    <w:rsid w:val="00DC1F37"/>
    <w:rsid w:val="00DC262F"/>
    <w:rsid w:val="00DC2F07"/>
    <w:rsid w:val="00DC4562"/>
    <w:rsid w:val="00DC469B"/>
    <w:rsid w:val="00DC732B"/>
    <w:rsid w:val="00DC73C6"/>
    <w:rsid w:val="00DC74B7"/>
    <w:rsid w:val="00DC7FF7"/>
    <w:rsid w:val="00DD06D2"/>
    <w:rsid w:val="00DD07E9"/>
    <w:rsid w:val="00DD0FB4"/>
    <w:rsid w:val="00DD1327"/>
    <w:rsid w:val="00DD1D04"/>
    <w:rsid w:val="00DD2D7F"/>
    <w:rsid w:val="00DD2F47"/>
    <w:rsid w:val="00DD2F50"/>
    <w:rsid w:val="00DD313F"/>
    <w:rsid w:val="00DD3481"/>
    <w:rsid w:val="00DD36ED"/>
    <w:rsid w:val="00DD3D14"/>
    <w:rsid w:val="00DD3EC8"/>
    <w:rsid w:val="00DD4679"/>
    <w:rsid w:val="00DD4C94"/>
    <w:rsid w:val="00DD548A"/>
    <w:rsid w:val="00DD5713"/>
    <w:rsid w:val="00DD5FB0"/>
    <w:rsid w:val="00DD627B"/>
    <w:rsid w:val="00DD6D50"/>
    <w:rsid w:val="00DD6F59"/>
    <w:rsid w:val="00DD779F"/>
    <w:rsid w:val="00DD78C0"/>
    <w:rsid w:val="00DD78DC"/>
    <w:rsid w:val="00DD7E60"/>
    <w:rsid w:val="00DD7EFD"/>
    <w:rsid w:val="00DD7FF6"/>
    <w:rsid w:val="00DE03AD"/>
    <w:rsid w:val="00DE0A9C"/>
    <w:rsid w:val="00DE0E7A"/>
    <w:rsid w:val="00DE1AA9"/>
    <w:rsid w:val="00DE2083"/>
    <w:rsid w:val="00DE283B"/>
    <w:rsid w:val="00DE3415"/>
    <w:rsid w:val="00DE3449"/>
    <w:rsid w:val="00DE407B"/>
    <w:rsid w:val="00DE45E1"/>
    <w:rsid w:val="00DE5011"/>
    <w:rsid w:val="00DE64D0"/>
    <w:rsid w:val="00DE6A26"/>
    <w:rsid w:val="00DE74E4"/>
    <w:rsid w:val="00DF03EB"/>
    <w:rsid w:val="00DF05F4"/>
    <w:rsid w:val="00DF15FE"/>
    <w:rsid w:val="00DF2397"/>
    <w:rsid w:val="00DF23B5"/>
    <w:rsid w:val="00DF3095"/>
    <w:rsid w:val="00DF3521"/>
    <w:rsid w:val="00DF3E2E"/>
    <w:rsid w:val="00DF4499"/>
    <w:rsid w:val="00DF4B25"/>
    <w:rsid w:val="00DF4D60"/>
    <w:rsid w:val="00DF4F54"/>
    <w:rsid w:val="00DF5990"/>
    <w:rsid w:val="00DF5DD1"/>
    <w:rsid w:val="00DF5FDC"/>
    <w:rsid w:val="00DF6120"/>
    <w:rsid w:val="00DF6342"/>
    <w:rsid w:val="00DF6A37"/>
    <w:rsid w:val="00DF7B50"/>
    <w:rsid w:val="00DF7C13"/>
    <w:rsid w:val="00E00A74"/>
    <w:rsid w:val="00E010F1"/>
    <w:rsid w:val="00E01B5C"/>
    <w:rsid w:val="00E02460"/>
    <w:rsid w:val="00E02793"/>
    <w:rsid w:val="00E05300"/>
    <w:rsid w:val="00E053FB"/>
    <w:rsid w:val="00E055B6"/>
    <w:rsid w:val="00E0591C"/>
    <w:rsid w:val="00E05B85"/>
    <w:rsid w:val="00E06666"/>
    <w:rsid w:val="00E0693A"/>
    <w:rsid w:val="00E077CE"/>
    <w:rsid w:val="00E07923"/>
    <w:rsid w:val="00E106A5"/>
    <w:rsid w:val="00E10A66"/>
    <w:rsid w:val="00E10B9C"/>
    <w:rsid w:val="00E1119B"/>
    <w:rsid w:val="00E111E9"/>
    <w:rsid w:val="00E11D40"/>
    <w:rsid w:val="00E12440"/>
    <w:rsid w:val="00E124B4"/>
    <w:rsid w:val="00E1386C"/>
    <w:rsid w:val="00E138F1"/>
    <w:rsid w:val="00E148FF"/>
    <w:rsid w:val="00E149CE"/>
    <w:rsid w:val="00E15A3C"/>
    <w:rsid w:val="00E16478"/>
    <w:rsid w:val="00E16D4F"/>
    <w:rsid w:val="00E16E9C"/>
    <w:rsid w:val="00E173F0"/>
    <w:rsid w:val="00E1759B"/>
    <w:rsid w:val="00E17720"/>
    <w:rsid w:val="00E201A8"/>
    <w:rsid w:val="00E20FC4"/>
    <w:rsid w:val="00E210BE"/>
    <w:rsid w:val="00E210F6"/>
    <w:rsid w:val="00E21454"/>
    <w:rsid w:val="00E22849"/>
    <w:rsid w:val="00E231CE"/>
    <w:rsid w:val="00E23F38"/>
    <w:rsid w:val="00E24903"/>
    <w:rsid w:val="00E2554B"/>
    <w:rsid w:val="00E257DC"/>
    <w:rsid w:val="00E2624B"/>
    <w:rsid w:val="00E262FB"/>
    <w:rsid w:val="00E263F0"/>
    <w:rsid w:val="00E265B2"/>
    <w:rsid w:val="00E26EED"/>
    <w:rsid w:val="00E272D8"/>
    <w:rsid w:val="00E279EF"/>
    <w:rsid w:val="00E30201"/>
    <w:rsid w:val="00E30435"/>
    <w:rsid w:val="00E30BBA"/>
    <w:rsid w:val="00E30FCD"/>
    <w:rsid w:val="00E3107C"/>
    <w:rsid w:val="00E31358"/>
    <w:rsid w:val="00E3153A"/>
    <w:rsid w:val="00E31C3C"/>
    <w:rsid w:val="00E3276E"/>
    <w:rsid w:val="00E32C6C"/>
    <w:rsid w:val="00E330C4"/>
    <w:rsid w:val="00E34494"/>
    <w:rsid w:val="00E34C6F"/>
    <w:rsid w:val="00E35176"/>
    <w:rsid w:val="00E3530F"/>
    <w:rsid w:val="00E35621"/>
    <w:rsid w:val="00E3627E"/>
    <w:rsid w:val="00E3653A"/>
    <w:rsid w:val="00E3659C"/>
    <w:rsid w:val="00E3685E"/>
    <w:rsid w:val="00E36E95"/>
    <w:rsid w:val="00E37089"/>
    <w:rsid w:val="00E37776"/>
    <w:rsid w:val="00E40574"/>
    <w:rsid w:val="00E406BF"/>
    <w:rsid w:val="00E40B23"/>
    <w:rsid w:val="00E40C77"/>
    <w:rsid w:val="00E41044"/>
    <w:rsid w:val="00E4131C"/>
    <w:rsid w:val="00E41A98"/>
    <w:rsid w:val="00E41CB3"/>
    <w:rsid w:val="00E422CC"/>
    <w:rsid w:val="00E427E1"/>
    <w:rsid w:val="00E42C7D"/>
    <w:rsid w:val="00E43EE6"/>
    <w:rsid w:val="00E44D09"/>
    <w:rsid w:val="00E44FA2"/>
    <w:rsid w:val="00E454AF"/>
    <w:rsid w:val="00E473B1"/>
    <w:rsid w:val="00E473F1"/>
    <w:rsid w:val="00E47848"/>
    <w:rsid w:val="00E47866"/>
    <w:rsid w:val="00E4796D"/>
    <w:rsid w:val="00E47A28"/>
    <w:rsid w:val="00E50298"/>
    <w:rsid w:val="00E502E8"/>
    <w:rsid w:val="00E50859"/>
    <w:rsid w:val="00E50EC4"/>
    <w:rsid w:val="00E50FED"/>
    <w:rsid w:val="00E5132E"/>
    <w:rsid w:val="00E5137B"/>
    <w:rsid w:val="00E515EA"/>
    <w:rsid w:val="00E51691"/>
    <w:rsid w:val="00E528DA"/>
    <w:rsid w:val="00E52D08"/>
    <w:rsid w:val="00E52F46"/>
    <w:rsid w:val="00E53A47"/>
    <w:rsid w:val="00E5425E"/>
    <w:rsid w:val="00E542AD"/>
    <w:rsid w:val="00E54314"/>
    <w:rsid w:val="00E54508"/>
    <w:rsid w:val="00E54C52"/>
    <w:rsid w:val="00E555B1"/>
    <w:rsid w:val="00E555FD"/>
    <w:rsid w:val="00E55751"/>
    <w:rsid w:val="00E567C1"/>
    <w:rsid w:val="00E56850"/>
    <w:rsid w:val="00E57332"/>
    <w:rsid w:val="00E57F13"/>
    <w:rsid w:val="00E60755"/>
    <w:rsid w:val="00E612DA"/>
    <w:rsid w:val="00E613CD"/>
    <w:rsid w:val="00E614F3"/>
    <w:rsid w:val="00E61C26"/>
    <w:rsid w:val="00E61CD2"/>
    <w:rsid w:val="00E62FE2"/>
    <w:rsid w:val="00E6376B"/>
    <w:rsid w:val="00E652B5"/>
    <w:rsid w:val="00E65360"/>
    <w:rsid w:val="00E65939"/>
    <w:rsid w:val="00E66E1F"/>
    <w:rsid w:val="00E67AD0"/>
    <w:rsid w:val="00E67D1B"/>
    <w:rsid w:val="00E67EB9"/>
    <w:rsid w:val="00E701B0"/>
    <w:rsid w:val="00E71EAC"/>
    <w:rsid w:val="00E720FA"/>
    <w:rsid w:val="00E7216F"/>
    <w:rsid w:val="00E722A1"/>
    <w:rsid w:val="00E72BA2"/>
    <w:rsid w:val="00E72D5B"/>
    <w:rsid w:val="00E72EA4"/>
    <w:rsid w:val="00E73A92"/>
    <w:rsid w:val="00E74404"/>
    <w:rsid w:val="00E747C9"/>
    <w:rsid w:val="00E749FA"/>
    <w:rsid w:val="00E75203"/>
    <w:rsid w:val="00E75CFD"/>
    <w:rsid w:val="00E75E8B"/>
    <w:rsid w:val="00E761BA"/>
    <w:rsid w:val="00E76798"/>
    <w:rsid w:val="00E76B69"/>
    <w:rsid w:val="00E77131"/>
    <w:rsid w:val="00E8060F"/>
    <w:rsid w:val="00E80922"/>
    <w:rsid w:val="00E80CC7"/>
    <w:rsid w:val="00E80E4F"/>
    <w:rsid w:val="00E815CF"/>
    <w:rsid w:val="00E8179B"/>
    <w:rsid w:val="00E8197A"/>
    <w:rsid w:val="00E81D8C"/>
    <w:rsid w:val="00E82948"/>
    <w:rsid w:val="00E834DD"/>
    <w:rsid w:val="00E845DB"/>
    <w:rsid w:val="00E84F39"/>
    <w:rsid w:val="00E85170"/>
    <w:rsid w:val="00E85E04"/>
    <w:rsid w:val="00E86114"/>
    <w:rsid w:val="00E866CC"/>
    <w:rsid w:val="00E878D4"/>
    <w:rsid w:val="00E87B65"/>
    <w:rsid w:val="00E87F4A"/>
    <w:rsid w:val="00E9175F"/>
    <w:rsid w:val="00E917FA"/>
    <w:rsid w:val="00E91BAC"/>
    <w:rsid w:val="00E91E11"/>
    <w:rsid w:val="00E9207C"/>
    <w:rsid w:val="00E929A0"/>
    <w:rsid w:val="00E93027"/>
    <w:rsid w:val="00E935D9"/>
    <w:rsid w:val="00E93D77"/>
    <w:rsid w:val="00E93F2B"/>
    <w:rsid w:val="00E93F4A"/>
    <w:rsid w:val="00E9554D"/>
    <w:rsid w:val="00E96143"/>
    <w:rsid w:val="00E965A6"/>
    <w:rsid w:val="00E96699"/>
    <w:rsid w:val="00E9705E"/>
    <w:rsid w:val="00E9708F"/>
    <w:rsid w:val="00EA02B9"/>
    <w:rsid w:val="00EA0473"/>
    <w:rsid w:val="00EA0650"/>
    <w:rsid w:val="00EA0909"/>
    <w:rsid w:val="00EA0936"/>
    <w:rsid w:val="00EA1A34"/>
    <w:rsid w:val="00EA1CD3"/>
    <w:rsid w:val="00EA1D46"/>
    <w:rsid w:val="00EA24B5"/>
    <w:rsid w:val="00EA2A75"/>
    <w:rsid w:val="00EA2F32"/>
    <w:rsid w:val="00EA3272"/>
    <w:rsid w:val="00EA3288"/>
    <w:rsid w:val="00EA33F8"/>
    <w:rsid w:val="00EA3795"/>
    <w:rsid w:val="00EA3B20"/>
    <w:rsid w:val="00EA3D64"/>
    <w:rsid w:val="00EA41D8"/>
    <w:rsid w:val="00EA50F7"/>
    <w:rsid w:val="00EA57F3"/>
    <w:rsid w:val="00EA60EC"/>
    <w:rsid w:val="00EA6D2F"/>
    <w:rsid w:val="00EA7511"/>
    <w:rsid w:val="00EB0A7B"/>
    <w:rsid w:val="00EB1849"/>
    <w:rsid w:val="00EB1BC2"/>
    <w:rsid w:val="00EB26EA"/>
    <w:rsid w:val="00EB28B2"/>
    <w:rsid w:val="00EB291E"/>
    <w:rsid w:val="00EB3162"/>
    <w:rsid w:val="00EB31D4"/>
    <w:rsid w:val="00EB36ED"/>
    <w:rsid w:val="00EB388A"/>
    <w:rsid w:val="00EB4618"/>
    <w:rsid w:val="00EB4AE9"/>
    <w:rsid w:val="00EB58A8"/>
    <w:rsid w:val="00EB58E1"/>
    <w:rsid w:val="00EB5F76"/>
    <w:rsid w:val="00EB7DB6"/>
    <w:rsid w:val="00EC0542"/>
    <w:rsid w:val="00EC1412"/>
    <w:rsid w:val="00EC1EAE"/>
    <w:rsid w:val="00EC233D"/>
    <w:rsid w:val="00EC2987"/>
    <w:rsid w:val="00EC2D22"/>
    <w:rsid w:val="00EC3172"/>
    <w:rsid w:val="00EC3884"/>
    <w:rsid w:val="00EC46E9"/>
    <w:rsid w:val="00EC4815"/>
    <w:rsid w:val="00EC56D3"/>
    <w:rsid w:val="00EC5830"/>
    <w:rsid w:val="00EC59DC"/>
    <w:rsid w:val="00EC6182"/>
    <w:rsid w:val="00EC6A67"/>
    <w:rsid w:val="00EC752A"/>
    <w:rsid w:val="00EC784C"/>
    <w:rsid w:val="00EC7911"/>
    <w:rsid w:val="00ED0311"/>
    <w:rsid w:val="00ED0C41"/>
    <w:rsid w:val="00ED0F36"/>
    <w:rsid w:val="00ED16DA"/>
    <w:rsid w:val="00ED1722"/>
    <w:rsid w:val="00ED24A5"/>
    <w:rsid w:val="00ED2B0A"/>
    <w:rsid w:val="00ED2E82"/>
    <w:rsid w:val="00ED334E"/>
    <w:rsid w:val="00ED3EDD"/>
    <w:rsid w:val="00ED4492"/>
    <w:rsid w:val="00ED44E8"/>
    <w:rsid w:val="00ED45B2"/>
    <w:rsid w:val="00ED50A5"/>
    <w:rsid w:val="00ED512E"/>
    <w:rsid w:val="00ED5535"/>
    <w:rsid w:val="00ED575E"/>
    <w:rsid w:val="00ED5A42"/>
    <w:rsid w:val="00ED5B63"/>
    <w:rsid w:val="00ED5F82"/>
    <w:rsid w:val="00ED650A"/>
    <w:rsid w:val="00ED6CE6"/>
    <w:rsid w:val="00ED6DC0"/>
    <w:rsid w:val="00ED755E"/>
    <w:rsid w:val="00EE0096"/>
    <w:rsid w:val="00EE04BF"/>
    <w:rsid w:val="00EE0CB0"/>
    <w:rsid w:val="00EE0F28"/>
    <w:rsid w:val="00EE10BD"/>
    <w:rsid w:val="00EE153F"/>
    <w:rsid w:val="00EE29CA"/>
    <w:rsid w:val="00EE2D86"/>
    <w:rsid w:val="00EE3D71"/>
    <w:rsid w:val="00EE427D"/>
    <w:rsid w:val="00EE4604"/>
    <w:rsid w:val="00EE5879"/>
    <w:rsid w:val="00EE5A63"/>
    <w:rsid w:val="00EE5FCA"/>
    <w:rsid w:val="00EE7F92"/>
    <w:rsid w:val="00EF072C"/>
    <w:rsid w:val="00EF0AA7"/>
    <w:rsid w:val="00EF1C01"/>
    <w:rsid w:val="00EF2472"/>
    <w:rsid w:val="00EF2769"/>
    <w:rsid w:val="00EF2E5F"/>
    <w:rsid w:val="00EF2F87"/>
    <w:rsid w:val="00EF37F9"/>
    <w:rsid w:val="00EF40C2"/>
    <w:rsid w:val="00EF4407"/>
    <w:rsid w:val="00EF479F"/>
    <w:rsid w:val="00EF4B96"/>
    <w:rsid w:val="00EF53A3"/>
    <w:rsid w:val="00EF5CD9"/>
    <w:rsid w:val="00EF67B6"/>
    <w:rsid w:val="00EF67BC"/>
    <w:rsid w:val="00EF67E3"/>
    <w:rsid w:val="00EF7AF2"/>
    <w:rsid w:val="00F003B4"/>
    <w:rsid w:val="00F00BB8"/>
    <w:rsid w:val="00F0117E"/>
    <w:rsid w:val="00F011E7"/>
    <w:rsid w:val="00F01470"/>
    <w:rsid w:val="00F0155D"/>
    <w:rsid w:val="00F01938"/>
    <w:rsid w:val="00F01A10"/>
    <w:rsid w:val="00F01A71"/>
    <w:rsid w:val="00F01C36"/>
    <w:rsid w:val="00F02D95"/>
    <w:rsid w:val="00F04502"/>
    <w:rsid w:val="00F05882"/>
    <w:rsid w:val="00F0619E"/>
    <w:rsid w:val="00F06901"/>
    <w:rsid w:val="00F07796"/>
    <w:rsid w:val="00F104EA"/>
    <w:rsid w:val="00F106A2"/>
    <w:rsid w:val="00F115B9"/>
    <w:rsid w:val="00F11947"/>
    <w:rsid w:val="00F134E8"/>
    <w:rsid w:val="00F13B8C"/>
    <w:rsid w:val="00F13BCB"/>
    <w:rsid w:val="00F13E91"/>
    <w:rsid w:val="00F144B3"/>
    <w:rsid w:val="00F148E2"/>
    <w:rsid w:val="00F149EF"/>
    <w:rsid w:val="00F14AAB"/>
    <w:rsid w:val="00F14C76"/>
    <w:rsid w:val="00F15264"/>
    <w:rsid w:val="00F15D12"/>
    <w:rsid w:val="00F163E2"/>
    <w:rsid w:val="00F164FB"/>
    <w:rsid w:val="00F167B5"/>
    <w:rsid w:val="00F204D7"/>
    <w:rsid w:val="00F2062C"/>
    <w:rsid w:val="00F206D7"/>
    <w:rsid w:val="00F20D1C"/>
    <w:rsid w:val="00F21101"/>
    <w:rsid w:val="00F21990"/>
    <w:rsid w:val="00F22166"/>
    <w:rsid w:val="00F22535"/>
    <w:rsid w:val="00F226C5"/>
    <w:rsid w:val="00F228F1"/>
    <w:rsid w:val="00F22B8E"/>
    <w:rsid w:val="00F22CF7"/>
    <w:rsid w:val="00F22F88"/>
    <w:rsid w:val="00F2305B"/>
    <w:rsid w:val="00F23973"/>
    <w:rsid w:val="00F23AF2"/>
    <w:rsid w:val="00F23BB2"/>
    <w:rsid w:val="00F24284"/>
    <w:rsid w:val="00F25070"/>
    <w:rsid w:val="00F2679A"/>
    <w:rsid w:val="00F27137"/>
    <w:rsid w:val="00F273C4"/>
    <w:rsid w:val="00F27765"/>
    <w:rsid w:val="00F2782E"/>
    <w:rsid w:val="00F30868"/>
    <w:rsid w:val="00F31742"/>
    <w:rsid w:val="00F31B46"/>
    <w:rsid w:val="00F322F2"/>
    <w:rsid w:val="00F3274E"/>
    <w:rsid w:val="00F32761"/>
    <w:rsid w:val="00F33320"/>
    <w:rsid w:val="00F343FA"/>
    <w:rsid w:val="00F34944"/>
    <w:rsid w:val="00F34DCC"/>
    <w:rsid w:val="00F35294"/>
    <w:rsid w:val="00F36296"/>
    <w:rsid w:val="00F36800"/>
    <w:rsid w:val="00F37213"/>
    <w:rsid w:val="00F379CF"/>
    <w:rsid w:val="00F37B93"/>
    <w:rsid w:val="00F40806"/>
    <w:rsid w:val="00F413A7"/>
    <w:rsid w:val="00F41861"/>
    <w:rsid w:val="00F41E79"/>
    <w:rsid w:val="00F43C11"/>
    <w:rsid w:val="00F43DA5"/>
    <w:rsid w:val="00F44D7C"/>
    <w:rsid w:val="00F44EF4"/>
    <w:rsid w:val="00F455BB"/>
    <w:rsid w:val="00F45789"/>
    <w:rsid w:val="00F45975"/>
    <w:rsid w:val="00F45B48"/>
    <w:rsid w:val="00F46977"/>
    <w:rsid w:val="00F46A5F"/>
    <w:rsid w:val="00F46AC1"/>
    <w:rsid w:val="00F4742B"/>
    <w:rsid w:val="00F47930"/>
    <w:rsid w:val="00F5032D"/>
    <w:rsid w:val="00F50C6C"/>
    <w:rsid w:val="00F51059"/>
    <w:rsid w:val="00F517DC"/>
    <w:rsid w:val="00F51C99"/>
    <w:rsid w:val="00F52328"/>
    <w:rsid w:val="00F52B45"/>
    <w:rsid w:val="00F535EE"/>
    <w:rsid w:val="00F549E6"/>
    <w:rsid w:val="00F55248"/>
    <w:rsid w:val="00F557B7"/>
    <w:rsid w:val="00F5599C"/>
    <w:rsid w:val="00F560D8"/>
    <w:rsid w:val="00F60117"/>
    <w:rsid w:val="00F606A0"/>
    <w:rsid w:val="00F60749"/>
    <w:rsid w:val="00F6087A"/>
    <w:rsid w:val="00F60A23"/>
    <w:rsid w:val="00F60D06"/>
    <w:rsid w:val="00F626D0"/>
    <w:rsid w:val="00F6298E"/>
    <w:rsid w:val="00F632C8"/>
    <w:rsid w:val="00F63888"/>
    <w:rsid w:val="00F638DE"/>
    <w:rsid w:val="00F646F8"/>
    <w:rsid w:val="00F647C6"/>
    <w:rsid w:val="00F6496D"/>
    <w:rsid w:val="00F64C6A"/>
    <w:rsid w:val="00F654CD"/>
    <w:rsid w:val="00F655A6"/>
    <w:rsid w:val="00F65EAC"/>
    <w:rsid w:val="00F65F7D"/>
    <w:rsid w:val="00F66418"/>
    <w:rsid w:val="00F66D35"/>
    <w:rsid w:val="00F66EE7"/>
    <w:rsid w:val="00F671DE"/>
    <w:rsid w:val="00F6797E"/>
    <w:rsid w:val="00F67E3F"/>
    <w:rsid w:val="00F70ECE"/>
    <w:rsid w:val="00F721F8"/>
    <w:rsid w:val="00F730AA"/>
    <w:rsid w:val="00F7328C"/>
    <w:rsid w:val="00F741AB"/>
    <w:rsid w:val="00F74DF8"/>
    <w:rsid w:val="00F75426"/>
    <w:rsid w:val="00F75474"/>
    <w:rsid w:val="00F7680C"/>
    <w:rsid w:val="00F769F6"/>
    <w:rsid w:val="00F76DEA"/>
    <w:rsid w:val="00F770AA"/>
    <w:rsid w:val="00F77BFA"/>
    <w:rsid w:val="00F80402"/>
    <w:rsid w:val="00F807C3"/>
    <w:rsid w:val="00F80DA3"/>
    <w:rsid w:val="00F8380D"/>
    <w:rsid w:val="00F83FA3"/>
    <w:rsid w:val="00F83FE1"/>
    <w:rsid w:val="00F8406F"/>
    <w:rsid w:val="00F851FA"/>
    <w:rsid w:val="00F85263"/>
    <w:rsid w:val="00F85A3D"/>
    <w:rsid w:val="00F85EB4"/>
    <w:rsid w:val="00F86087"/>
    <w:rsid w:val="00F861F3"/>
    <w:rsid w:val="00F86650"/>
    <w:rsid w:val="00F86F2B"/>
    <w:rsid w:val="00F8718B"/>
    <w:rsid w:val="00F87A93"/>
    <w:rsid w:val="00F87BA8"/>
    <w:rsid w:val="00F90059"/>
    <w:rsid w:val="00F901E2"/>
    <w:rsid w:val="00F90543"/>
    <w:rsid w:val="00F90661"/>
    <w:rsid w:val="00F9082F"/>
    <w:rsid w:val="00F90AB7"/>
    <w:rsid w:val="00F90BBB"/>
    <w:rsid w:val="00F9123A"/>
    <w:rsid w:val="00F912F3"/>
    <w:rsid w:val="00F9273D"/>
    <w:rsid w:val="00F927C7"/>
    <w:rsid w:val="00F93393"/>
    <w:rsid w:val="00F93781"/>
    <w:rsid w:val="00F93818"/>
    <w:rsid w:val="00F93CA4"/>
    <w:rsid w:val="00F93CF0"/>
    <w:rsid w:val="00F93D87"/>
    <w:rsid w:val="00F94035"/>
    <w:rsid w:val="00F9430F"/>
    <w:rsid w:val="00F94A04"/>
    <w:rsid w:val="00F95BC4"/>
    <w:rsid w:val="00F95BCB"/>
    <w:rsid w:val="00F95F64"/>
    <w:rsid w:val="00F96228"/>
    <w:rsid w:val="00F96A21"/>
    <w:rsid w:val="00F96D90"/>
    <w:rsid w:val="00F97445"/>
    <w:rsid w:val="00F97652"/>
    <w:rsid w:val="00F97CB5"/>
    <w:rsid w:val="00FA016A"/>
    <w:rsid w:val="00FA15CA"/>
    <w:rsid w:val="00FA1CCD"/>
    <w:rsid w:val="00FA2252"/>
    <w:rsid w:val="00FA24B1"/>
    <w:rsid w:val="00FA4785"/>
    <w:rsid w:val="00FA4814"/>
    <w:rsid w:val="00FA49FE"/>
    <w:rsid w:val="00FA4EDB"/>
    <w:rsid w:val="00FA52DF"/>
    <w:rsid w:val="00FA55AB"/>
    <w:rsid w:val="00FA56D0"/>
    <w:rsid w:val="00FA56D7"/>
    <w:rsid w:val="00FA5D91"/>
    <w:rsid w:val="00FA5F79"/>
    <w:rsid w:val="00FA6CB0"/>
    <w:rsid w:val="00FA6F42"/>
    <w:rsid w:val="00FA7298"/>
    <w:rsid w:val="00FA7533"/>
    <w:rsid w:val="00FA781F"/>
    <w:rsid w:val="00FA7D6F"/>
    <w:rsid w:val="00FB0910"/>
    <w:rsid w:val="00FB1091"/>
    <w:rsid w:val="00FB22A9"/>
    <w:rsid w:val="00FB2417"/>
    <w:rsid w:val="00FB37F2"/>
    <w:rsid w:val="00FB47E5"/>
    <w:rsid w:val="00FB4EEF"/>
    <w:rsid w:val="00FB61D4"/>
    <w:rsid w:val="00FB6C28"/>
    <w:rsid w:val="00FB6E58"/>
    <w:rsid w:val="00FB7004"/>
    <w:rsid w:val="00FB70F4"/>
    <w:rsid w:val="00FB71BA"/>
    <w:rsid w:val="00FB77B2"/>
    <w:rsid w:val="00FC07AC"/>
    <w:rsid w:val="00FC14C1"/>
    <w:rsid w:val="00FC1508"/>
    <w:rsid w:val="00FC15C0"/>
    <w:rsid w:val="00FC1654"/>
    <w:rsid w:val="00FC28FC"/>
    <w:rsid w:val="00FC2E8B"/>
    <w:rsid w:val="00FC317D"/>
    <w:rsid w:val="00FC3255"/>
    <w:rsid w:val="00FC33C4"/>
    <w:rsid w:val="00FC513D"/>
    <w:rsid w:val="00FC6365"/>
    <w:rsid w:val="00FC65CE"/>
    <w:rsid w:val="00FC65FE"/>
    <w:rsid w:val="00FC6C27"/>
    <w:rsid w:val="00FC6DF3"/>
    <w:rsid w:val="00FC6E2E"/>
    <w:rsid w:val="00FC6EDD"/>
    <w:rsid w:val="00FC710C"/>
    <w:rsid w:val="00FC7549"/>
    <w:rsid w:val="00FC76DA"/>
    <w:rsid w:val="00FC7E8F"/>
    <w:rsid w:val="00FC7EF2"/>
    <w:rsid w:val="00FC7FC3"/>
    <w:rsid w:val="00FD002E"/>
    <w:rsid w:val="00FD0C7C"/>
    <w:rsid w:val="00FD1020"/>
    <w:rsid w:val="00FD179D"/>
    <w:rsid w:val="00FD2624"/>
    <w:rsid w:val="00FD2D8D"/>
    <w:rsid w:val="00FD3560"/>
    <w:rsid w:val="00FD373C"/>
    <w:rsid w:val="00FD4362"/>
    <w:rsid w:val="00FD57BA"/>
    <w:rsid w:val="00FD5DA2"/>
    <w:rsid w:val="00FD605E"/>
    <w:rsid w:val="00FD660D"/>
    <w:rsid w:val="00FD6C38"/>
    <w:rsid w:val="00FD6EC2"/>
    <w:rsid w:val="00FD74CE"/>
    <w:rsid w:val="00FD7D8B"/>
    <w:rsid w:val="00FE00EB"/>
    <w:rsid w:val="00FE03D2"/>
    <w:rsid w:val="00FE1D2B"/>
    <w:rsid w:val="00FE1F46"/>
    <w:rsid w:val="00FE2062"/>
    <w:rsid w:val="00FE2184"/>
    <w:rsid w:val="00FE2F87"/>
    <w:rsid w:val="00FE304F"/>
    <w:rsid w:val="00FE35E4"/>
    <w:rsid w:val="00FE3B9C"/>
    <w:rsid w:val="00FE43FF"/>
    <w:rsid w:val="00FE4DAB"/>
    <w:rsid w:val="00FE5ADA"/>
    <w:rsid w:val="00FE73C0"/>
    <w:rsid w:val="00FE774D"/>
    <w:rsid w:val="00FE7CC5"/>
    <w:rsid w:val="00FE7D58"/>
    <w:rsid w:val="00FE7E6D"/>
    <w:rsid w:val="00FF092E"/>
    <w:rsid w:val="00FF0E5C"/>
    <w:rsid w:val="00FF1191"/>
    <w:rsid w:val="00FF14D7"/>
    <w:rsid w:val="00FF171D"/>
    <w:rsid w:val="00FF198D"/>
    <w:rsid w:val="00FF199C"/>
    <w:rsid w:val="00FF1B70"/>
    <w:rsid w:val="00FF221D"/>
    <w:rsid w:val="00FF23F6"/>
    <w:rsid w:val="00FF280E"/>
    <w:rsid w:val="00FF4363"/>
    <w:rsid w:val="00FF4464"/>
    <w:rsid w:val="00FF476B"/>
    <w:rsid w:val="00FF539E"/>
    <w:rsid w:val="00FF597E"/>
    <w:rsid w:val="00FF5BDC"/>
    <w:rsid w:val="00FF5E3D"/>
    <w:rsid w:val="00FF632E"/>
    <w:rsid w:val="00FF68EA"/>
    <w:rsid w:val="00FF743A"/>
    <w:rsid w:val="00FF7AD0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C1D91F6"/>
  <w15:chartTrackingRefBased/>
  <w15:docId w15:val="{EA71362A-C7FC-461E-B133-3FB5CF7D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5BC4"/>
    <w:pPr>
      <w:jc w:val="both"/>
    </w:pPr>
    <w:rPr>
      <w:rFonts w:ascii="Arial" w:eastAsia="Times New Roman" w:hAnsi="Arial"/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C7D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EA2A75"/>
    <w:pPr>
      <w:spacing w:after="60"/>
      <w:outlineLvl w:val="1"/>
    </w:pPr>
    <w:rPr>
      <w:rFonts w:ascii="Calibri" w:hAnsi="Calibri" w:cs="Arial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7E59"/>
    <w:pPr>
      <w:numPr>
        <w:numId w:val="4"/>
      </w:numPr>
      <w:ind w:left="426" w:hanging="426"/>
      <w:outlineLvl w:val="2"/>
    </w:pPr>
    <w:rPr>
      <w:rFonts w:ascii="Calibri" w:hAnsi="Calibri" w:cs="Arial"/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962F73"/>
    <w:pPr>
      <w:keepNext/>
      <w:outlineLvl w:val="3"/>
    </w:pPr>
    <w:rPr>
      <w:rFonts w:ascii="Times New Roman" w:hAnsi="Times New Roman"/>
      <w:b/>
      <w:sz w:val="24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962F73"/>
    <w:pPr>
      <w:keepNext/>
      <w:jc w:val="center"/>
      <w:outlineLvl w:val="4"/>
    </w:pPr>
    <w:rPr>
      <w:rFonts w:ascii="Times New Roman" w:hAnsi="Times New Roman"/>
      <w:b/>
      <w:sz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A2A75"/>
    <w:rPr>
      <w:rFonts w:eastAsia="Times New Roman" w:cs="Arial"/>
      <w:b/>
      <w:sz w:val="24"/>
      <w:szCs w:val="24"/>
      <w:lang w:eastAsia="en-US"/>
    </w:rPr>
  </w:style>
  <w:style w:type="character" w:customStyle="1" w:styleId="Nadpis4Char">
    <w:name w:val="Nadpis 4 Char"/>
    <w:link w:val="Nadpis4"/>
    <w:rsid w:val="00962F7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dpis5Char">
    <w:name w:val="Nadpis 5 Char"/>
    <w:link w:val="Nadpis5"/>
    <w:rsid w:val="00962F73"/>
    <w:rPr>
      <w:rFonts w:ascii="Times New Roman" w:eastAsia="Times New Roman" w:hAnsi="Times New Roman" w:cs="Times New Roman"/>
      <w:b/>
      <w:sz w:val="28"/>
      <w:szCs w:val="24"/>
    </w:rPr>
  </w:style>
  <w:style w:type="paragraph" w:styleId="Nzev">
    <w:name w:val="Title"/>
    <w:basedOn w:val="Normln"/>
    <w:link w:val="NzevChar"/>
    <w:qFormat/>
    <w:rsid w:val="00962F73"/>
    <w:pPr>
      <w:jc w:val="center"/>
    </w:pPr>
    <w:rPr>
      <w:rFonts w:ascii="Times New Roman" w:hAnsi="Times New Roman"/>
      <w:b/>
      <w:sz w:val="24"/>
      <w:szCs w:val="20"/>
      <w:lang w:val="x-none" w:eastAsia="cs-CZ"/>
    </w:rPr>
  </w:style>
  <w:style w:type="character" w:customStyle="1" w:styleId="NzevChar">
    <w:name w:val="Název Char"/>
    <w:link w:val="Nzev"/>
    <w:rsid w:val="00962F7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aliases w:val="Standard paragraph,Body Text1,b,block style,?????1"/>
    <w:basedOn w:val="Normln"/>
    <w:link w:val="ZkladntextChar"/>
    <w:semiHidden/>
    <w:rsid w:val="00962F73"/>
    <w:rPr>
      <w:rFonts w:ascii="Times New Roman" w:hAnsi="Times New Roman"/>
      <w:sz w:val="24"/>
      <w:szCs w:val="20"/>
      <w:lang w:val="x-none" w:eastAsia="cs-CZ"/>
    </w:rPr>
  </w:style>
  <w:style w:type="character" w:customStyle="1" w:styleId="ZkladntextChar">
    <w:name w:val="Základní text Char"/>
    <w:aliases w:val="Standard paragraph Char,Body Text1 Char,b Char,block style Char,?????1 Char"/>
    <w:link w:val="Zkladntext"/>
    <w:semiHidden/>
    <w:rsid w:val="00962F7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">
    <w:name w:val="Z‡kladn’ text 2"/>
    <w:basedOn w:val="Normln"/>
    <w:rsid w:val="00962F73"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  <w:lang w:eastAsia="cs-CZ"/>
    </w:rPr>
  </w:style>
  <w:style w:type="paragraph" w:customStyle="1" w:styleId="NormlnKZ">
    <w:name w:val="Normální KZ"/>
    <w:basedOn w:val="Normln"/>
    <w:rsid w:val="00FF632E"/>
    <w:rPr>
      <w:rFonts w:ascii="Calibri" w:hAnsi="Calibri" w:cs="Calibri"/>
      <w:sz w:val="24"/>
      <w:lang w:eastAsia="cs-CZ"/>
    </w:rPr>
  </w:style>
  <w:style w:type="paragraph" w:customStyle="1" w:styleId="Pa10">
    <w:name w:val="Pa10"/>
    <w:basedOn w:val="Normln"/>
    <w:next w:val="Normln"/>
    <w:rsid w:val="00962F73"/>
    <w:pPr>
      <w:autoSpaceDE w:val="0"/>
      <w:autoSpaceDN w:val="0"/>
      <w:adjustRightInd w:val="0"/>
      <w:spacing w:before="360" w:after="100" w:line="281" w:lineRule="atLeast"/>
    </w:pPr>
    <w:rPr>
      <w:rFonts w:cs="Arial"/>
      <w:lang w:val="en-US"/>
    </w:rPr>
  </w:style>
  <w:style w:type="paragraph" w:styleId="Odstavecseseznamem">
    <w:name w:val="List Paragraph"/>
    <w:aliases w:val="Odstavec_muj,Nad,List Paragraph,Odstavec cíl se seznamem,Nadpis pro KZ"/>
    <w:basedOn w:val="Normln"/>
    <w:link w:val="OdstavecseseznamemChar"/>
    <w:uiPriority w:val="34"/>
    <w:qFormat/>
    <w:rsid w:val="00962F73"/>
    <w:pPr>
      <w:ind w:left="720"/>
      <w:contextualSpacing/>
    </w:pPr>
    <w:rPr>
      <w:lang w:val="x-none"/>
    </w:rPr>
  </w:style>
  <w:style w:type="paragraph" w:styleId="Zhlav">
    <w:name w:val="header"/>
    <w:basedOn w:val="Normln"/>
    <w:link w:val="ZhlavChar"/>
    <w:uiPriority w:val="99"/>
    <w:unhideWhenUsed/>
    <w:rsid w:val="00AB4D3E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hlavChar">
    <w:name w:val="Záhlaví Char"/>
    <w:link w:val="Zhlav"/>
    <w:uiPriority w:val="99"/>
    <w:rsid w:val="00AB4D3E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4D3E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patChar">
    <w:name w:val="Zápatí Char"/>
    <w:link w:val="Zpat"/>
    <w:uiPriority w:val="99"/>
    <w:rsid w:val="00AB4D3E"/>
    <w:rPr>
      <w:rFonts w:ascii="Times New Roman" w:eastAsia="Times New Roman" w:hAnsi="Times New Roman"/>
      <w:sz w:val="24"/>
      <w:szCs w:val="24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7342D"/>
    <w:rPr>
      <w:rFonts w:ascii="Times New Roman" w:hAnsi="Times New Roman"/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67342D"/>
    <w:rPr>
      <w:rFonts w:ascii="Times New Roman" w:eastAsia="Times New Roman" w:hAnsi="Times New Roman"/>
      <w:lang w:eastAsia="en-US"/>
    </w:rPr>
  </w:style>
  <w:style w:type="character" w:styleId="Odkaznavysvtlivky">
    <w:name w:val="endnote reference"/>
    <w:uiPriority w:val="99"/>
    <w:semiHidden/>
    <w:unhideWhenUsed/>
    <w:rsid w:val="0067342D"/>
    <w:rPr>
      <w:vertAlign w:val="superscript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Fußnotentextf,Geneva 9,Font: Geneva 9,Boston 10,f"/>
    <w:basedOn w:val="Normln"/>
    <w:link w:val="TextpoznpodarouChar"/>
    <w:uiPriority w:val="99"/>
    <w:unhideWhenUsed/>
    <w:rsid w:val="0067342D"/>
    <w:rPr>
      <w:rFonts w:ascii="Times New Roman" w:hAnsi="Times New Roman"/>
      <w:sz w:val="20"/>
      <w:szCs w:val="20"/>
      <w:lang w:val="x-none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Fußnotentextf Char,Geneva 9 Char,Font: Geneva 9 Char"/>
    <w:link w:val="Textpoznpodarou"/>
    <w:uiPriority w:val="99"/>
    <w:rsid w:val="0067342D"/>
    <w:rPr>
      <w:rFonts w:ascii="Times New Roman" w:eastAsia="Times New Roman" w:hAnsi="Times New Roman"/>
      <w:lang w:eastAsia="en-US"/>
    </w:rPr>
  </w:style>
  <w:style w:type="character" w:styleId="Znakapoznpodarou">
    <w:name w:val="footnote reference"/>
    <w:aliases w:val="PGI Fußnote Ziffer + Times New Roman,12 b.,Zúžené o ...,PGI Fußnote Ziffer"/>
    <w:uiPriority w:val="99"/>
    <w:unhideWhenUsed/>
    <w:rsid w:val="0067342D"/>
    <w:rPr>
      <w:vertAlign w:val="superscript"/>
    </w:rPr>
  </w:style>
  <w:style w:type="character" w:styleId="Odkaznakoment">
    <w:name w:val="annotation reference"/>
    <w:uiPriority w:val="99"/>
    <w:semiHidden/>
    <w:unhideWhenUsed/>
    <w:rsid w:val="003939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398D"/>
    <w:rPr>
      <w:rFonts w:ascii="Times New Roman" w:hAnsi="Times New Roman"/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39398D"/>
    <w:rPr>
      <w:rFonts w:ascii="Times New Roman" w:eastAsia="Times New Roman" w:hAnsi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2DD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22DDA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OdstavecseseznamemChar">
    <w:name w:val="Odstavec se seznamem Char"/>
    <w:aliases w:val="Odstavec_muj Char,Nad Char,List Paragraph Char,Odstavec cíl se seznamem Char,Nadpis pro KZ Char"/>
    <w:link w:val="Odstavecseseznamem"/>
    <w:uiPriority w:val="34"/>
    <w:rsid w:val="006E6A72"/>
    <w:rPr>
      <w:rFonts w:ascii="Arial" w:eastAsia="Times New Roman" w:hAnsi="Arial"/>
      <w:sz w:val="22"/>
      <w:szCs w:val="24"/>
      <w:lang w:eastAsia="en-US"/>
    </w:rPr>
  </w:style>
  <w:style w:type="paragraph" w:customStyle="1" w:styleId="poznmkapodarou">
    <w:name w:val="poznámka pod čarou"/>
    <w:basedOn w:val="Textpoznpodarou"/>
    <w:link w:val="poznmkapodarouChar"/>
    <w:qFormat/>
    <w:rsid w:val="00D705B6"/>
    <w:pPr>
      <w:tabs>
        <w:tab w:val="left" w:pos="284"/>
      </w:tabs>
      <w:ind w:left="284" w:hanging="284"/>
    </w:pPr>
    <w:rPr>
      <w:rFonts w:ascii="Calibri" w:hAnsi="Calibri"/>
    </w:rPr>
  </w:style>
  <w:style w:type="character" w:customStyle="1" w:styleId="poznmkapodarouChar">
    <w:name w:val="poznámka pod čarou Char"/>
    <w:link w:val="poznmkapodarou"/>
    <w:rsid w:val="00D705B6"/>
    <w:rPr>
      <w:rFonts w:ascii="Calibri" w:eastAsia="Times New Roman" w:hAnsi="Calibri"/>
      <w:lang w:val="x-none" w:eastAsia="en-US"/>
    </w:rPr>
  </w:style>
  <w:style w:type="paragraph" w:styleId="Bezmezer">
    <w:name w:val="No Spacing"/>
    <w:aliases w:val="číslovaný odstavec"/>
    <w:uiPriority w:val="1"/>
    <w:qFormat/>
    <w:rsid w:val="00371B87"/>
    <w:pPr>
      <w:numPr>
        <w:numId w:val="2"/>
      </w:numPr>
      <w:spacing w:line="276" w:lineRule="auto"/>
      <w:ind w:left="714" w:hanging="357"/>
      <w:jc w:val="both"/>
    </w:pPr>
    <w:rPr>
      <w:rFonts w:ascii="Arial" w:eastAsia="Times New Roman" w:hAnsi="Arial"/>
      <w:sz w:val="22"/>
      <w:szCs w:val="22"/>
      <w:lang w:eastAsia="en-US"/>
    </w:rPr>
  </w:style>
  <w:style w:type="paragraph" w:customStyle="1" w:styleId="KP-normlntext">
    <w:name w:val="KP-normální text"/>
    <w:basedOn w:val="Normln"/>
    <w:link w:val="KP-normlntextChar"/>
    <w:qFormat/>
    <w:rsid w:val="004B6DB6"/>
    <w:pPr>
      <w:spacing w:before="120" w:after="120"/>
      <w:ind w:firstLine="720"/>
    </w:pPr>
    <w:rPr>
      <w:color w:val="000000"/>
      <w:szCs w:val="22"/>
      <w:lang w:val="x-none"/>
    </w:rPr>
  </w:style>
  <w:style w:type="character" w:customStyle="1" w:styleId="KP-normlntextChar">
    <w:name w:val="KP-normální text Char"/>
    <w:link w:val="KP-normlntext"/>
    <w:rsid w:val="004B6DB6"/>
    <w:rPr>
      <w:rFonts w:ascii="Arial" w:eastAsia="Times New Roman" w:hAnsi="Arial" w:cs="Arial"/>
      <w:color w:val="000000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67C9"/>
    <w:rPr>
      <w:rFonts w:ascii="Arial" w:hAnsi="Arial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A67C9"/>
    <w:rPr>
      <w:rFonts w:ascii="Arial" w:eastAsia="Times New Roman" w:hAnsi="Arial"/>
      <w:b/>
      <w:bCs/>
      <w:lang w:eastAsia="en-US"/>
    </w:rPr>
  </w:style>
  <w:style w:type="character" w:styleId="Hypertextovodkaz">
    <w:name w:val="Hyperlink"/>
    <w:uiPriority w:val="99"/>
    <w:unhideWhenUsed/>
    <w:rsid w:val="001708FA"/>
    <w:rPr>
      <w:color w:val="0000FF"/>
      <w:u w:val="single"/>
    </w:rPr>
  </w:style>
  <w:style w:type="paragraph" w:customStyle="1" w:styleId="Pa13">
    <w:name w:val="Pa13"/>
    <w:basedOn w:val="Normln"/>
    <w:next w:val="Normln"/>
    <w:rsid w:val="00DB69A8"/>
    <w:pPr>
      <w:autoSpaceDE w:val="0"/>
      <w:autoSpaceDN w:val="0"/>
      <w:adjustRightInd w:val="0"/>
      <w:spacing w:after="80" w:line="181" w:lineRule="atLeast"/>
      <w:jc w:val="left"/>
    </w:pPr>
    <w:rPr>
      <w:sz w:val="24"/>
      <w:lang w:val="en-US"/>
    </w:rPr>
  </w:style>
  <w:style w:type="paragraph" w:customStyle="1" w:styleId="Default">
    <w:name w:val="Default"/>
    <w:rsid w:val="00086D00"/>
    <w:pPr>
      <w:autoSpaceDE w:val="0"/>
      <w:autoSpaceDN w:val="0"/>
      <w:adjustRightInd w:val="0"/>
    </w:pPr>
    <w:rPr>
      <w:rFonts w:ascii="KFCHLL+Verdana" w:eastAsia="Times New Roman" w:hAnsi="KFCHLL+Verdana"/>
      <w:color w:val="000000"/>
      <w:sz w:val="24"/>
      <w:szCs w:val="24"/>
      <w:lang w:val="en-US" w:eastAsia="en-US"/>
    </w:rPr>
  </w:style>
  <w:style w:type="character" w:customStyle="1" w:styleId="Nadpis1Char">
    <w:name w:val="Nadpis 1 Char"/>
    <w:link w:val="Nadpis1"/>
    <w:uiPriority w:val="9"/>
    <w:rsid w:val="002C7DC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dpis3Char">
    <w:name w:val="Nadpis 3 Char"/>
    <w:link w:val="Nadpis3"/>
    <w:uiPriority w:val="9"/>
    <w:rsid w:val="00787E59"/>
    <w:rPr>
      <w:rFonts w:eastAsia="Times New Roman" w:cs="Arial"/>
      <w:b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901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90136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C6ED2"/>
    <w:rPr>
      <w:rFonts w:ascii="Arial" w:eastAsia="Times New Roman" w:hAnsi="Arial"/>
      <w:sz w:val="22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2767F"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uiPriority w:val="99"/>
    <w:rsid w:val="0012767F"/>
    <w:rPr>
      <w:rFonts w:ascii="Times New Roman" w:eastAsia="Times New Roman" w:hAnsi="Times New Roman"/>
      <w:sz w:val="24"/>
      <w:szCs w:val="24"/>
      <w:lang w:eastAsia="en-US"/>
    </w:rPr>
  </w:style>
  <w:style w:type="table" w:styleId="Barevnstnovnzvraznn1">
    <w:name w:val="Colorful Shading Accent 1"/>
    <w:basedOn w:val="Normlntabulka"/>
    <w:uiPriority w:val="71"/>
    <w:rsid w:val="0064013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tednmka2zvraznn5">
    <w:name w:val="Medium Grid 2 Accent 5"/>
    <w:basedOn w:val="Normlntabulka"/>
    <w:uiPriority w:val="68"/>
    <w:rsid w:val="0064013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Svtlmkazvraznn1">
    <w:name w:val="Light Grid Accent 1"/>
    <w:basedOn w:val="Normlntabulka"/>
    <w:uiPriority w:val="62"/>
    <w:rsid w:val="0064013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Stednstnovn2zvraznn5">
    <w:name w:val="Medium Shading 2 Accent 5"/>
    <w:basedOn w:val="Normlntabulka"/>
    <w:uiPriority w:val="64"/>
    <w:rsid w:val="0064013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C61C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Barevnseznamzvraznn6">
    <w:name w:val="Colorful List Accent 6"/>
    <w:basedOn w:val="Normlntabulka"/>
    <w:uiPriority w:val="72"/>
    <w:rsid w:val="00C61C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Stednmka1zvraznn1">
    <w:name w:val="Medium Grid 1 Accent 1"/>
    <w:basedOn w:val="Normlntabulka"/>
    <w:uiPriority w:val="67"/>
    <w:rsid w:val="00C61C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tnovn1zvraznn5">
    <w:name w:val="Medium Shading 1 Accent 5"/>
    <w:basedOn w:val="Normlntabulka"/>
    <w:uiPriority w:val="63"/>
    <w:rsid w:val="00C61C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5">
    <w:name w:val="Medium Grid 3 Accent 5"/>
    <w:basedOn w:val="Normlntabulka"/>
    <w:uiPriority w:val="69"/>
    <w:rsid w:val="00C61C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character" w:styleId="Siln">
    <w:name w:val="Strong"/>
    <w:uiPriority w:val="22"/>
    <w:qFormat/>
    <w:rsid w:val="00A04B07"/>
    <w:rPr>
      <w:b/>
      <w:bCs/>
    </w:rPr>
  </w:style>
  <w:style w:type="table" w:styleId="Tabulkasmkou4zvraznn5">
    <w:name w:val="Grid Table 4 Accent 5"/>
    <w:basedOn w:val="Normlntabulka"/>
    <w:uiPriority w:val="49"/>
    <w:rsid w:val="00A72DAC"/>
    <w:rPr>
      <w:rFonts w:eastAsia="Times New Roman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table" w:styleId="Tmavtabulkasmkou5zvraznn1">
    <w:name w:val="Grid Table 5 Dark Accent 1"/>
    <w:basedOn w:val="Normlntabulka"/>
    <w:uiPriority w:val="50"/>
    <w:rsid w:val="00C70B8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character" w:styleId="Zdraznn">
    <w:name w:val="Emphasis"/>
    <w:uiPriority w:val="20"/>
    <w:qFormat/>
    <w:rsid w:val="00965409"/>
    <w:rPr>
      <w:rFonts w:cs="Times New Roman"/>
      <w:i/>
      <w:iCs/>
    </w:rPr>
  </w:style>
  <w:style w:type="character" w:customStyle="1" w:styleId="st1">
    <w:name w:val="st1"/>
    <w:rsid w:val="000128B5"/>
  </w:style>
  <w:style w:type="paragraph" w:customStyle="1" w:styleId="Nadpistabulky">
    <w:name w:val="Nadpis tabulky"/>
    <w:basedOn w:val="Normln"/>
    <w:qFormat/>
    <w:rsid w:val="00144A60"/>
    <w:pPr>
      <w:keepNext/>
      <w:tabs>
        <w:tab w:val="left" w:pos="1701"/>
      </w:tabs>
      <w:spacing w:after="120"/>
      <w:ind w:left="1701" w:hanging="1701"/>
    </w:pPr>
    <w:rPr>
      <w:rFonts w:ascii="Calibri" w:hAnsi="Calibri" w:cs="Calibri"/>
      <w:sz w:val="24"/>
    </w:rPr>
  </w:style>
  <w:style w:type="paragraph" w:customStyle="1" w:styleId="Poznmkapodtabulkou">
    <w:name w:val="Poznámka pod tabulkou"/>
    <w:basedOn w:val="Normln"/>
    <w:qFormat/>
    <w:rsid w:val="00144A60"/>
    <w:pPr>
      <w:tabs>
        <w:tab w:val="left" w:pos="1134"/>
      </w:tabs>
      <w:spacing w:after="120"/>
      <w:ind w:left="1134" w:hanging="1134"/>
      <w:contextualSpacing/>
    </w:pPr>
    <w:rPr>
      <w:rFonts w:ascii="Calibri" w:hAnsi="Calibri" w:cs="Calibri"/>
      <w:bCs/>
      <w:i/>
      <w:iCs/>
      <w:sz w:val="20"/>
      <w:szCs w:val="20"/>
    </w:rPr>
  </w:style>
  <w:style w:type="character" w:styleId="Sledovanodkaz">
    <w:name w:val="FollowedHyperlink"/>
    <w:uiPriority w:val="99"/>
    <w:semiHidden/>
    <w:unhideWhenUsed/>
    <w:rsid w:val="00B11FAB"/>
    <w:rPr>
      <w:color w:val="954F72"/>
      <w:u w:val="single"/>
    </w:rPr>
  </w:style>
  <w:style w:type="paragraph" w:customStyle="1" w:styleId="edrmeek">
    <w:name w:val="Šedý rámeček"/>
    <w:basedOn w:val="Normln"/>
    <w:qFormat/>
    <w:rsid w:val="000244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/>
      <w:spacing w:after="120"/>
      <w:ind w:left="567" w:right="283"/>
    </w:pPr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chart" Target="charts/chart2.xml"/><Relationship Id="rId26" Type="http://schemas.openxmlformats.org/officeDocument/2006/relationships/chart" Target="charts/chart4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hart" Target="charts/chart1.xml"/><Relationship Id="rId25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cohesiondata.ec.europa.eu/overview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footer" Target="footer1.xml"/><Relationship Id="rId28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chart" Target="charts/chart3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nku/sites/odbor_IV/KA1612/Dokumenty/28%20KONTROLN&#205;%20Z&#193;V&#282;R/www.dotaceEU.cz" TargetMode="External"/><Relationship Id="rId22" Type="http://schemas.openxmlformats.org/officeDocument/2006/relationships/header" Target="header2.xml"/><Relationship Id="rId27" Type="http://schemas.openxmlformats.org/officeDocument/2006/relationships/image" Target="media/image5.png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po.cz/cz/podnikani/dotace-a-podpora-podnikani/oppik-2014-2020/aktualni-informace/posun-terminu-prijmu-zadosti-o-podporu-ve-vyzvach-puvodne-koncicich-29--2--2016--170273/" TargetMode="External"/><Relationship Id="rId2" Type="http://schemas.openxmlformats.org/officeDocument/2006/relationships/hyperlink" Target="https://www.mpo.cz/dokument164509.html" TargetMode="External"/><Relationship Id="rId1" Type="http://schemas.openxmlformats.org/officeDocument/2006/relationships/hyperlink" Target="http://www.mmr.cz/cs/Ministerstvo/Ministerstvo/Otazky-a-odpoved/Dotazy-k-MS2014" TargetMode="External"/><Relationship Id="rId5" Type="http://schemas.openxmlformats.org/officeDocument/2006/relationships/hyperlink" Target="https://www.strukturalni-fondy.cz/cs/Informace-a-dokumenty/Novinky/Karla-Slechtova-Nasim-spolecnym-cilem-musi-byt-smysluplne-vyuziti-pro" TargetMode="External"/><Relationship Id="rId4" Type="http://schemas.openxmlformats.org/officeDocument/2006/relationships/hyperlink" Target="http://www.opzp.cz/o-programu/aktuality-a-tiskove-zpravy/prodlouzeni-prijmu-zadosti-29-a-36-vyzvy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List_aplikace_Microsoft_Excel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List_aplikace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https://nku/sites/odbor_IV/KA1612/Dokumenty/28%20KONTROLN&#205;%20Z&#193;V&#282;R/Kopie%20-%20Implementace_tabulka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gendy\NK&#218;\16_12\Kopie%20-%20Pro_graf_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'upravená tabulka'!$C$1</c:f>
              <c:strCache>
                <c:ptCount val="1"/>
                <c:pt idx="0">
                  <c:v>Prostředky v právních aktech o poskytnutí podpory</c:v>
                </c:pt>
              </c:strCache>
            </c:strRef>
          </c:tx>
          <c:spPr>
            <a:solidFill>
              <a:srgbClr val="004595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459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8FF-4871-A5D3-5AE1EFF3DEB4}"/>
              </c:ext>
            </c:extLst>
          </c:dPt>
          <c:dPt>
            <c:idx val="1"/>
            <c:invertIfNegative val="0"/>
            <c:bubble3D val="0"/>
            <c:spPr>
              <a:solidFill>
                <a:srgbClr val="00459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8FF-4871-A5D3-5AE1EFF3DEB4}"/>
              </c:ext>
            </c:extLst>
          </c:dPt>
          <c:dPt>
            <c:idx val="2"/>
            <c:invertIfNegative val="0"/>
            <c:bubble3D val="0"/>
            <c:spPr>
              <a:solidFill>
                <a:srgbClr val="00459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D8FF-4871-A5D3-5AE1EFF3DEB4}"/>
              </c:ext>
            </c:extLst>
          </c:dPt>
          <c:dPt>
            <c:idx val="3"/>
            <c:invertIfNegative val="0"/>
            <c:bubble3D val="0"/>
            <c:spPr>
              <a:solidFill>
                <a:srgbClr val="00459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D8FF-4871-A5D3-5AE1EFF3DEB4}"/>
              </c:ext>
            </c:extLst>
          </c:dPt>
          <c:dLbls>
            <c:dLbl>
              <c:idx val="0"/>
              <c:numFmt formatCode="0.0_i%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0275"/>
                        <a:gd name="adj2" fmla="val 131426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D8FF-4871-A5D3-5AE1EFF3DEB4}"/>
                </c:ext>
              </c:extLst>
            </c:dLbl>
            <c:dLbl>
              <c:idx val="1"/>
              <c:numFmt formatCode="0.0_i%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3425"/>
                        <a:gd name="adj2" fmla="val 136783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3-D8FF-4871-A5D3-5AE1EFF3DEB4}"/>
                </c:ext>
              </c:extLst>
            </c:dLbl>
            <c:dLbl>
              <c:idx val="2"/>
              <c:numFmt formatCode="0.0_i%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7349"/>
                        <a:gd name="adj2" fmla="val 115355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5-D8FF-4871-A5D3-5AE1EFF3DEB4}"/>
                </c:ext>
              </c:extLst>
            </c:dLbl>
            <c:dLbl>
              <c:idx val="3"/>
              <c:numFmt formatCode="0.0_i%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3425"/>
                        <a:gd name="adj2" fmla="val 136784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7-D8FF-4871-A5D3-5AE1EFF3DEB4}"/>
                </c:ext>
              </c:extLst>
            </c:dLbl>
            <c:numFmt formatCode="0.0_i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'upravená tabulka'!$A$2:$B$5</c:f>
              <c:multiLvlStrCache>
                <c:ptCount val="4"/>
                <c:lvl>
                  <c:pt idx="0">
                    <c:v>30. 6. 2009</c:v>
                  </c:pt>
                  <c:pt idx="1">
                    <c:v>31. 12. 2009</c:v>
                  </c:pt>
                  <c:pt idx="2">
                    <c:v>30. 6. 2016</c:v>
                  </c:pt>
                  <c:pt idx="3">
                    <c:v>31. 12. 2016</c:v>
                  </c:pt>
                </c:lvl>
                <c:lvl>
                  <c:pt idx="0">
                    <c:v>Programové období 2007–2013</c:v>
                  </c:pt>
                  <c:pt idx="2">
                    <c:v>Programové období 2014–2020</c:v>
                  </c:pt>
                </c:lvl>
              </c:multiLvlStrCache>
            </c:multiLvlStrRef>
          </c:cat>
          <c:val>
            <c:numRef>
              <c:f>'upravená tabulka'!$C$2:$C$5</c:f>
              <c:numCache>
                <c:formatCode>0.0%</c:formatCode>
                <c:ptCount val="4"/>
                <c:pt idx="0">
                  <c:v>0.16863033873343197</c:v>
                </c:pt>
                <c:pt idx="1">
                  <c:v>0.31332842415316597</c:v>
                </c:pt>
                <c:pt idx="2">
                  <c:v>7.4007220216606495E-2</c:v>
                </c:pt>
                <c:pt idx="3">
                  <c:v>0.14210699048244199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8FF-4871-A5D3-5AE1EFF3DEB4}"/>
            </c:ext>
          </c:extLst>
        </c:ser>
        <c:ser>
          <c:idx val="1"/>
          <c:order val="1"/>
          <c:tx>
            <c:strRef>
              <c:f>'upravená tabulka'!$D$1</c:f>
              <c:strCache>
                <c:ptCount val="1"/>
                <c:pt idx="0">
                  <c:v>Vyčerpané prostředky</c:v>
                </c:pt>
              </c:strCache>
            </c:strRef>
          </c:tx>
          <c:spPr>
            <a:solidFill>
              <a:srgbClr val="BD2A33"/>
            </a:solidFill>
            <a:ln>
              <a:noFill/>
            </a:ln>
            <a:effectLst/>
          </c:spPr>
          <c:invertIfNegative val="0"/>
          <c:dLbls>
            <c:dLbl>
              <c:idx val="0"/>
              <c:numFmt formatCode="0.0_i%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4337"/>
                        <a:gd name="adj2" fmla="val 115355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9-D8FF-4871-A5D3-5AE1EFF3DEB4}"/>
                </c:ext>
              </c:extLst>
            </c:dLbl>
            <c:dLbl>
              <c:idx val="1"/>
              <c:numFmt formatCode="0.0_i%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8674"/>
                        <a:gd name="adj2" fmla="val 109999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A-D8FF-4871-A5D3-5AE1EFF3DEB4}"/>
                </c:ext>
              </c:extLst>
            </c:dLbl>
            <c:dLbl>
              <c:idx val="2"/>
              <c:numFmt formatCode="0.0_i%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3238"/>
                        <a:gd name="adj2" fmla="val 94721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B-D8FF-4871-A5D3-5AE1EFF3DEB4}"/>
                </c:ext>
              </c:extLst>
            </c:dLbl>
            <c:dLbl>
              <c:idx val="3"/>
              <c:numFmt formatCode="0.0_i%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9458"/>
                        <a:gd name="adj2" fmla="val 126069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C-D8FF-4871-A5D3-5AE1EFF3DEB4}"/>
                </c:ext>
              </c:extLst>
            </c:dLbl>
            <c:numFmt formatCode="0.0_i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'upravená tabulka'!$A$2:$B$5</c:f>
              <c:multiLvlStrCache>
                <c:ptCount val="4"/>
                <c:lvl>
                  <c:pt idx="0">
                    <c:v>30. 6. 2009</c:v>
                  </c:pt>
                  <c:pt idx="1">
                    <c:v>31. 12. 2009</c:v>
                  </c:pt>
                  <c:pt idx="2">
                    <c:v>30. 6. 2016</c:v>
                  </c:pt>
                  <c:pt idx="3">
                    <c:v>31. 12. 2016</c:v>
                  </c:pt>
                </c:lvl>
                <c:lvl>
                  <c:pt idx="0">
                    <c:v>Programové období 2007–2013</c:v>
                  </c:pt>
                  <c:pt idx="2">
                    <c:v>Programové období 2014–2020</c:v>
                  </c:pt>
                </c:lvl>
              </c:multiLvlStrCache>
            </c:multiLvlStrRef>
          </c:cat>
          <c:val>
            <c:numRef>
              <c:f>'upravená tabulka'!$D$2:$D$5</c:f>
              <c:numCache>
                <c:formatCode>0.00%</c:formatCode>
                <c:ptCount val="4"/>
                <c:pt idx="0">
                  <c:v>2.4423171330387801E-2</c:v>
                </c:pt>
                <c:pt idx="1">
                  <c:v>8.640157093765341E-2</c:v>
                </c:pt>
                <c:pt idx="2">
                  <c:v>1.3619954053167101E-2</c:v>
                </c:pt>
                <c:pt idx="3">
                  <c:v>3.56087955365934E-2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D8FF-4871-A5D3-5AE1EFF3DE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7590776"/>
        <c:axId val="407591168"/>
      </c:barChart>
      <c:catAx>
        <c:axId val="407590776"/>
        <c:scaling>
          <c:orientation val="minMax"/>
        </c:scaling>
        <c:delete val="0"/>
        <c:axPos val="b"/>
        <c:numFmt formatCode="m/d/yy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07591168"/>
        <c:crosses val="autoZero"/>
        <c:auto val="1"/>
        <c:lblAlgn val="ctr"/>
        <c:lblOffset val="100"/>
        <c:noMultiLvlLbl val="0"/>
      </c:catAx>
      <c:valAx>
        <c:axId val="407591168"/>
        <c:scaling>
          <c:orientation val="minMax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sz="1000">
                    <a:solidFill>
                      <a:sysClr val="windowText" lastClr="000000"/>
                    </a:solidFill>
                  </a:rPr>
                  <a:t>Podíl</a:t>
                </a:r>
                <a:r>
                  <a:rPr lang="cs-CZ" sz="1000" baseline="0">
                    <a:solidFill>
                      <a:sysClr val="windowText" lastClr="000000"/>
                    </a:solidFill>
                  </a:rPr>
                  <a:t> v % k hlavní alokaci</a:t>
                </a:r>
                <a:endParaRPr lang="cs-CZ" sz="1000">
                  <a:solidFill>
                    <a:sysClr val="windowText" lastClr="000000"/>
                  </a:solidFill>
                </a:endParaRPr>
              </a:p>
            </c:rich>
          </c:tx>
          <c:layout>
            <c:manualLayout>
              <c:xMode val="edge"/>
              <c:yMode val="edge"/>
              <c:x val="1.0914982812124999E-2"/>
              <c:y val="0.2831836994660959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0%" sourceLinked="0"/>
        <c:majorTickMark val="none"/>
        <c:minorTickMark val="none"/>
        <c:tickLblPos val="nextTo"/>
        <c:crossAx val="407590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8050070130122621E-2"/>
          <c:y val="0.92880742761485524"/>
          <c:w val="0.84217146467802639"/>
          <c:h val="7.11925723851447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3.6668039316004673E-2"/>
          <c:y val="2.8280587522713507E-2"/>
          <c:w val="0.92684128430063506"/>
          <c:h val="0.75891211028527972"/>
        </c:manualLayout>
      </c:layout>
      <c:barChart>
        <c:barDir val="col"/>
        <c:grouping val="clustered"/>
        <c:varyColors val="0"/>
        <c:ser>
          <c:idx val="0"/>
          <c:order val="0"/>
          <c:tx>
            <c:v>2007–2013</c:v>
          </c:tx>
          <c:spPr>
            <a:solidFill>
              <a:srgbClr val="004595"/>
            </a:solidFill>
            <a:ln>
              <a:noFill/>
            </a:ln>
            <a:effectLst/>
          </c:spPr>
          <c:invertIfNegative val="0"/>
          <c:dLbls>
            <c:numFmt formatCode="0.0_i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0"/>
              </c:ext>
            </c:extLst>
          </c:dLbls>
          <c:cat>
            <c:strRef>
              <c:f>List1!$E$14:$E$17</c:f>
              <c:strCache>
                <c:ptCount val="4"/>
                <c:pt idx="0">
                  <c:v>OP Lidské zdroje 
a zaměstnanost /
OP Zaměstnanost </c:v>
                </c:pt>
                <c:pt idx="1">
                  <c:v>OP Doprava </c:v>
                </c:pt>
                <c:pt idx="2">
                  <c:v>OP Životní prostředí </c:v>
                </c:pt>
                <c:pt idx="3">
                  <c:v>OP Technická pomoc </c:v>
                </c:pt>
              </c:strCache>
            </c:strRef>
          </c:cat>
          <c:val>
            <c:numRef>
              <c:f>List1!$F$14:$F$17</c:f>
              <c:numCache>
                <c:formatCode>0.0%</c:formatCode>
                <c:ptCount val="4"/>
                <c:pt idx="0">
                  <c:v>0.58299999999999996</c:v>
                </c:pt>
                <c:pt idx="1">
                  <c:v>0.32600000000000001</c:v>
                </c:pt>
                <c:pt idx="2">
                  <c:v>0.28999999999999998</c:v>
                </c:pt>
                <c:pt idx="3">
                  <c:v>0.251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13-4E9F-AF02-80217DD421D8}"/>
            </c:ext>
          </c:extLst>
        </c:ser>
        <c:ser>
          <c:idx val="1"/>
          <c:order val="1"/>
          <c:tx>
            <c:v>2014–2020</c:v>
          </c:tx>
          <c:spPr>
            <a:solidFill>
              <a:srgbClr val="004595">
                <a:alpha val="47059"/>
              </a:srgbClr>
            </a:solidFill>
            <a:ln>
              <a:noFill/>
            </a:ln>
            <a:effectLst/>
          </c:spPr>
          <c:invertIfNegative val="0"/>
          <c:dLbls>
            <c:numFmt formatCode="0.0_i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0"/>
              </c:ext>
            </c:extLst>
          </c:dLbls>
          <c:cat>
            <c:strRef>
              <c:f>List1!$E$14:$E$17</c:f>
              <c:strCache>
                <c:ptCount val="4"/>
                <c:pt idx="0">
                  <c:v>OP Lidské zdroje 
a zaměstnanost /
OP Zaměstnanost </c:v>
                </c:pt>
                <c:pt idx="1">
                  <c:v>OP Doprava </c:v>
                </c:pt>
                <c:pt idx="2">
                  <c:v>OP Životní prostředí </c:v>
                </c:pt>
                <c:pt idx="3">
                  <c:v>OP Technická pomoc </c:v>
                </c:pt>
              </c:strCache>
            </c:strRef>
          </c:cat>
          <c:val>
            <c:numRef>
              <c:f>List1!$G$14:$G$17</c:f>
              <c:numCache>
                <c:formatCode>0.0%</c:formatCode>
                <c:ptCount val="4"/>
                <c:pt idx="0">
                  <c:v>0.52</c:v>
                </c:pt>
                <c:pt idx="1">
                  <c:v>8.8000000000000009E-2</c:v>
                </c:pt>
                <c:pt idx="2">
                  <c:v>6.6000000000000003E-2</c:v>
                </c:pt>
                <c:pt idx="3">
                  <c:v>0.34499999999999997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E13-4E9F-AF02-80217DD421D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5136992"/>
        <c:axId val="225140320"/>
      </c:barChart>
      <c:catAx>
        <c:axId val="225136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25140320"/>
        <c:crosses val="autoZero"/>
        <c:auto val="1"/>
        <c:lblAlgn val="ctr"/>
        <c:lblOffset val="100"/>
        <c:noMultiLvlLbl val="0"/>
      </c:catAx>
      <c:valAx>
        <c:axId val="225140320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>
                    <a:solidFill>
                      <a:sysClr val="windowText" lastClr="000000"/>
                    </a:solidFill>
                  </a:rPr>
                  <a:t>Podíl v % k hlavní alokaci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0.0%" sourceLinked="1"/>
        <c:majorTickMark val="none"/>
        <c:minorTickMark val="none"/>
        <c:tickLblPos val="nextTo"/>
        <c:crossAx val="225136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6895749362549968"/>
          <c:y val="0.92349586109428639"/>
          <c:w val="0.25785875022357546"/>
          <c:h val="5.257046140260504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'ČJ (3)'!$B$1</c:f>
              <c:strCache>
                <c:ptCount val="1"/>
                <c:pt idx="0">
                  <c:v>Zasmluvněno </c:v>
                </c:pt>
              </c:strCache>
            </c:strRef>
          </c:tx>
          <c:spPr>
            <a:solidFill>
              <a:srgbClr val="00459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9084628670120479E-3"/>
                  <c:y val="-3.35008375209380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17EE-44D3-96ED-A187F99C6B32}"/>
                </c:ext>
              </c:extLst>
            </c:dLbl>
            <c:dLbl>
              <c:idx val="12"/>
              <c:layout>
                <c:manualLayout>
                  <c:x val="-8.6528007304065082E-17"/>
                  <c:y val="-3.33750521485195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5663-4238-AE4F-4DB8F08F4A71}"/>
                </c:ext>
              </c:extLst>
            </c:dLbl>
            <c:dLbl>
              <c:idx val="13"/>
              <c:layout>
                <c:manualLayout>
                  <c:x val="0"/>
                  <c:y val="-6.67501042970385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5663-4238-AE4F-4DB8F08F4A71}"/>
                </c:ext>
              </c:extLst>
            </c:dLbl>
            <c:dLbl>
              <c:idx val="14"/>
              <c:layout>
                <c:manualLayout>
                  <c:x val="0"/>
                  <c:y val="-5.00625782227784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5663-4238-AE4F-4DB8F08F4A71}"/>
                </c:ext>
              </c:extLst>
            </c:dLbl>
            <c:numFmt formatCode="0.0_i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0"/>
              </c:ext>
            </c:extLst>
          </c:dLbls>
          <c:cat>
            <c:strRef>
              <c:f>'ČJ (3)'!$A$2:$A$30</c:f>
              <c:strCache>
                <c:ptCount val="29"/>
                <c:pt idx="0">
                  <c:v>Kypr</c:v>
                </c:pt>
                <c:pt idx="1">
                  <c:v>Rumunsko</c:v>
                </c:pt>
                <c:pt idx="2">
                  <c:v>Španělsko</c:v>
                </c:pt>
                <c:pt idx="3">
                  <c:v>Chorvatsko</c:v>
                </c:pt>
                <c:pt idx="4">
                  <c:v>Česká republika</c:v>
                </c:pt>
                <c:pt idx="5">
                  <c:v>Slovenská republika</c:v>
                </c:pt>
                <c:pt idx="6">
                  <c:v>Polsko</c:v>
                </c:pt>
                <c:pt idx="7">
                  <c:v>Malta</c:v>
                </c:pt>
                <c:pt idx="8">
                  <c:v>Itálie</c:v>
                </c:pt>
                <c:pt idx="9">
                  <c:v>Slovinsko</c:v>
                </c:pt>
                <c:pt idx="10">
                  <c:v>Řecko</c:v>
                </c:pt>
                <c:pt idx="11">
                  <c:v>Francie</c:v>
                </c:pt>
                <c:pt idx="12">
                  <c:v>Průměr EU</c:v>
                </c:pt>
                <c:pt idx="13">
                  <c:v>Rakousko</c:v>
                </c:pt>
                <c:pt idx="14">
                  <c:v>Litva</c:v>
                </c:pt>
                <c:pt idx="15">
                  <c:v>Lotyšsko</c:v>
                </c:pt>
                <c:pt idx="16">
                  <c:v>Lucembursko</c:v>
                </c:pt>
                <c:pt idx="17">
                  <c:v>Nizozemsko</c:v>
                </c:pt>
                <c:pt idx="18">
                  <c:v>Bulharsko</c:v>
                </c:pt>
                <c:pt idx="19">
                  <c:v>Dánsko</c:v>
                </c:pt>
                <c:pt idx="20">
                  <c:v>Německo</c:v>
                </c:pt>
                <c:pt idx="21">
                  <c:v>Estonsko</c:v>
                </c:pt>
                <c:pt idx="22">
                  <c:v>Švédsko</c:v>
                </c:pt>
                <c:pt idx="23">
                  <c:v>Irsko</c:v>
                </c:pt>
                <c:pt idx="24">
                  <c:v>Portugalsko</c:v>
                </c:pt>
                <c:pt idx="25">
                  <c:v>Finsko</c:v>
                </c:pt>
                <c:pt idx="26">
                  <c:v>Velká Británie</c:v>
                </c:pt>
                <c:pt idx="27">
                  <c:v>Maďarsko</c:v>
                </c:pt>
                <c:pt idx="28">
                  <c:v>Belgie</c:v>
                </c:pt>
              </c:strCache>
            </c:strRef>
          </c:cat>
          <c:val>
            <c:numRef>
              <c:f>'ČJ (3)'!$B$2:$B$30</c:f>
              <c:numCache>
                <c:formatCode>0.0%</c:formatCode>
                <c:ptCount val="29"/>
                <c:pt idx="0">
                  <c:v>5.5999999999999994E-2</c:v>
                </c:pt>
                <c:pt idx="1">
                  <c:v>0.114</c:v>
                </c:pt>
                <c:pt idx="2">
                  <c:v>0.115</c:v>
                </c:pt>
                <c:pt idx="3">
                  <c:v>0.124</c:v>
                </c:pt>
                <c:pt idx="4">
                  <c:v>0.13900000000000001</c:v>
                </c:pt>
                <c:pt idx="5">
                  <c:v>0.19800000000000001</c:v>
                </c:pt>
                <c:pt idx="6">
                  <c:v>0.22</c:v>
                </c:pt>
                <c:pt idx="7">
                  <c:v>0.221</c:v>
                </c:pt>
                <c:pt idx="8">
                  <c:v>0.253</c:v>
                </c:pt>
                <c:pt idx="9">
                  <c:v>0.26100000000000001</c:v>
                </c:pt>
                <c:pt idx="10">
                  <c:v>0.26600000000000001</c:v>
                </c:pt>
                <c:pt idx="11">
                  <c:v>0.26800000000000002</c:v>
                </c:pt>
                <c:pt idx="12">
                  <c:v>0.27700000000000002</c:v>
                </c:pt>
                <c:pt idx="13">
                  <c:v>0.28300000000000003</c:v>
                </c:pt>
                <c:pt idx="14">
                  <c:v>0.29100000000000004</c:v>
                </c:pt>
                <c:pt idx="15">
                  <c:v>0.32</c:v>
                </c:pt>
                <c:pt idx="16">
                  <c:v>0.32400000000000001</c:v>
                </c:pt>
                <c:pt idx="17">
                  <c:v>0.32799999999999996</c:v>
                </c:pt>
                <c:pt idx="18">
                  <c:v>0.33500000000000002</c:v>
                </c:pt>
                <c:pt idx="19">
                  <c:v>0.34299999999999997</c:v>
                </c:pt>
                <c:pt idx="20">
                  <c:v>0.36299999999999999</c:v>
                </c:pt>
                <c:pt idx="21">
                  <c:v>0.40200000000000002</c:v>
                </c:pt>
                <c:pt idx="22">
                  <c:v>0.42299999999999999</c:v>
                </c:pt>
                <c:pt idx="23">
                  <c:v>0.436</c:v>
                </c:pt>
                <c:pt idx="24">
                  <c:v>0.44299999999999995</c:v>
                </c:pt>
                <c:pt idx="25">
                  <c:v>0.48899999999999999</c:v>
                </c:pt>
                <c:pt idx="26">
                  <c:v>0.5</c:v>
                </c:pt>
                <c:pt idx="27">
                  <c:v>0.52300000000000002</c:v>
                </c:pt>
                <c:pt idx="28">
                  <c:v>0.54600000000000004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63-4238-AE4F-4DB8F08F4A71}"/>
            </c:ext>
          </c:extLst>
        </c:ser>
        <c:ser>
          <c:idx val="1"/>
          <c:order val="1"/>
          <c:tx>
            <c:strRef>
              <c:f>'ČJ (3)'!$C$1</c:f>
              <c:strCache>
                <c:ptCount val="1"/>
                <c:pt idx="0">
                  <c:v>Vyčerpáno</c:v>
                </c:pt>
              </c:strCache>
            </c:strRef>
          </c:tx>
          <c:spPr>
            <a:solidFill>
              <a:srgbClr val="BD2A33"/>
            </a:solidFill>
            <a:ln>
              <a:noFill/>
            </a:ln>
            <a:effectLst/>
          </c:spPr>
          <c:invertIfNegative val="0"/>
          <c:dLbls>
            <c:dLbl>
              <c:idx val="11"/>
              <c:layout>
                <c:manualLayout>
                  <c:x val="0"/>
                  <c:y val="3.33750521485189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5663-4238-AE4F-4DB8F08F4A71}"/>
                </c:ext>
              </c:extLst>
            </c:dLbl>
            <c:numFmt formatCode="0.0_i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0"/>
              </c:ext>
            </c:extLst>
          </c:dLbls>
          <c:cat>
            <c:strRef>
              <c:f>'ČJ (3)'!$A$2:$A$30</c:f>
              <c:strCache>
                <c:ptCount val="29"/>
                <c:pt idx="0">
                  <c:v>Kypr</c:v>
                </c:pt>
                <c:pt idx="1">
                  <c:v>Rumunsko</c:v>
                </c:pt>
                <c:pt idx="2">
                  <c:v>Španělsko</c:v>
                </c:pt>
                <c:pt idx="3">
                  <c:v>Chorvatsko</c:v>
                </c:pt>
                <c:pt idx="4">
                  <c:v>Česká republika</c:v>
                </c:pt>
                <c:pt idx="5">
                  <c:v>Slovenská republika</c:v>
                </c:pt>
                <c:pt idx="6">
                  <c:v>Polsko</c:v>
                </c:pt>
                <c:pt idx="7">
                  <c:v>Malta</c:v>
                </c:pt>
                <c:pt idx="8">
                  <c:v>Itálie</c:v>
                </c:pt>
                <c:pt idx="9">
                  <c:v>Slovinsko</c:v>
                </c:pt>
                <c:pt idx="10">
                  <c:v>Řecko</c:v>
                </c:pt>
                <c:pt idx="11">
                  <c:v>Francie</c:v>
                </c:pt>
                <c:pt idx="12">
                  <c:v>Průměr EU</c:v>
                </c:pt>
                <c:pt idx="13">
                  <c:v>Rakousko</c:v>
                </c:pt>
                <c:pt idx="14">
                  <c:v>Litva</c:v>
                </c:pt>
                <c:pt idx="15">
                  <c:v>Lotyšsko</c:v>
                </c:pt>
                <c:pt idx="16">
                  <c:v>Lucembursko</c:v>
                </c:pt>
                <c:pt idx="17">
                  <c:v>Nizozemsko</c:v>
                </c:pt>
                <c:pt idx="18">
                  <c:v>Bulharsko</c:v>
                </c:pt>
                <c:pt idx="19">
                  <c:v>Dánsko</c:v>
                </c:pt>
                <c:pt idx="20">
                  <c:v>Německo</c:v>
                </c:pt>
                <c:pt idx="21">
                  <c:v>Estonsko</c:v>
                </c:pt>
                <c:pt idx="22">
                  <c:v>Švédsko</c:v>
                </c:pt>
                <c:pt idx="23">
                  <c:v>Irsko</c:v>
                </c:pt>
                <c:pt idx="24">
                  <c:v>Portugalsko</c:v>
                </c:pt>
                <c:pt idx="25">
                  <c:v>Finsko</c:v>
                </c:pt>
                <c:pt idx="26">
                  <c:v>Velká Británie</c:v>
                </c:pt>
                <c:pt idx="27">
                  <c:v>Maďarsko</c:v>
                </c:pt>
                <c:pt idx="28">
                  <c:v>Belgie</c:v>
                </c:pt>
              </c:strCache>
            </c:strRef>
          </c:cat>
          <c:val>
            <c:numRef>
              <c:f>'ČJ (3)'!$C$2:$C$30</c:f>
              <c:numCache>
                <c:formatCode>0.0%</c:formatCode>
                <c:ptCount val="29"/>
                <c:pt idx="0">
                  <c:v>1.3999999999999999E-2</c:v>
                </c:pt>
                <c:pt idx="1">
                  <c:v>5.0000000000000001E-3</c:v>
                </c:pt>
                <c:pt idx="2">
                  <c:v>1.4999999999999999E-2</c:v>
                </c:pt>
                <c:pt idx="3">
                  <c:v>1.1000000000000001E-2</c:v>
                </c:pt>
                <c:pt idx="4">
                  <c:v>1.4999999999999999E-2</c:v>
                </c:pt>
                <c:pt idx="5">
                  <c:v>3.5000000000000003E-2</c:v>
                </c:pt>
                <c:pt idx="6">
                  <c:v>4.0999999999999995E-2</c:v>
                </c:pt>
                <c:pt idx="7">
                  <c:v>2.4E-2</c:v>
                </c:pt>
                <c:pt idx="8">
                  <c:v>1.2E-2</c:v>
                </c:pt>
                <c:pt idx="9">
                  <c:v>2.7000000000000003E-2</c:v>
                </c:pt>
                <c:pt idx="10">
                  <c:v>7.2999999999999995E-2</c:v>
                </c:pt>
                <c:pt idx="11">
                  <c:v>3.2000000000000001E-2</c:v>
                </c:pt>
                <c:pt idx="12">
                  <c:v>3.2000000000000001E-2</c:v>
                </c:pt>
                <c:pt idx="13">
                  <c:v>0</c:v>
                </c:pt>
                <c:pt idx="14">
                  <c:v>8.3000000000000004E-2</c:v>
                </c:pt>
                <c:pt idx="15">
                  <c:v>0.04</c:v>
                </c:pt>
                <c:pt idx="16">
                  <c:v>6.9999999999999993E-3</c:v>
                </c:pt>
                <c:pt idx="17">
                  <c:v>0.03</c:v>
                </c:pt>
                <c:pt idx="18">
                  <c:v>4.8000000000000001E-2</c:v>
                </c:pt>
                <c:pt idx="19">
                  <c:v>1.9E-2</c:v>
                </c:pt>
                <c:pt idx="20">
                  <c:v>5.5999999999999994E-2</c:v>
                </c:pt>
                <c:pt idx="21">
                  <c:v>5.7999999999999996E-2</c:v>
                </c:pt>
                <c:pt idx="22">
                  <c:v>2.7999999999999997E-2</c:v>
                </c:pt>
                <c:pt idx="23">
                  <c:v>2E-3</c:v>
                </c:pt>
                <c:pt idx="24">
                  <c:v>7.2000000000000008E-2</c:v>
                </c:pt>
                <c:pt idx="25">
                  <c:v>3.5000000000000003E-2</c:v>
                </c:pt>
                <c:pt idx="26">
                  <c:v>1.2999999999999999E-2</c:v>
                </c:pt>
                <c:pt idx="27">
                  <c:v>4.2000000000000003E-2</c:v>
                </c:pt>
                <c:pt idx="28">
                  <c:v>7.0000000000000001E-3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663-4238-AE4F-4DB8F08F4A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52685072"/>
        <c:axId val="352682576"/>
      </c:barChart>
      <c:catAx>
        <c:axId val="3526850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52682576"/>
        <c:crosses val="autoZero"/>
        <c:auto val="1"/>
        <c:lblAlgn val="ctr"/>
        <c:lblOffset val="100"/>
        <c:noMultiLvlLbl val="0"/>
      </c:catAx>
      <c:valAx>
        <c:axId val="352682576"/>
        <c:scaling>
          <c:orientation val="minMax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%" sourceLinked="1"/>
        <c:majorTickMark val="cross"/>
        <c:minorTickMark val="none"/>
        <c:tickLblPos val="none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52685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250440917107582E-2"/>
          <c:y val="7.0063694267515922E-2"/>
          <c:w val="0.95149911816578481"/>
          <c:h val="0.8107546349699917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'[Kopie - Pro_graf_1.xlsx]vše'!$T$10</c:f>
              <c:strCache>
                <c:ptCount val="1"/>
                <c:pt idx="0">
                  <c:v>Neuvedeno</c:v>
                </c:pt>
              </c:strCache>
            </c:strRef>
          </c:tx>
          <c:spPr>
            <a:solidFill>
              <a:srgbClr val="00459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'[Kopie - Pro_graf_1.xlsx]vše'!$U$9:$W$9</c:f>
              <c:strCache>
                <c:ptCount val="3"/>
                <c:pt idx="0">
                  <c:v>A</c:v>
                </c:pt>
                <c:pt idx="1">
                  <c:v>B</c:v>
                </c:pt>
                <c:pt idx="2">
                  <c:v>C</c:v>
                </c:pt>
              </c:strCache>
            </c:strRef>
          </c:cat>
          <c:val>
            <c:numRef>
              <c:f>'[Kopie - Pro_graf_1.xlsx]vše'!$U$10:$W$10</c:f>
              <c:numCache>
                <c:formatCode>General</c:formatCode>
                <c:ptCount val="3"/>
                <c:pt idx="0">
                  <c:v>186</c:v>
                </c:pt>
                <c:pt idx="1">
                  <c:v>562</c:v>
                </c:pt>
                <c:pt idx="2">
                  <c:v>728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DD-43F3-90F6-0707A439054F}"/>
            </c:ext>
          </c:extLst>
        </c:ser>
        <c:ser>
          <c:idx val="1"/>
          <c:order val="1"/>
          <c:tx>
            <c:strRef>
              <c:f>'[Kopie - Pro_graf_1.xlsx]vše'!$T$11</c:f>
              <c:strCache>
                <c:ptCount val="1"/>
                <c:pt idx="0">
                  <c:v>Produkční</c:v>
                </c:pt>
              </c:strCache>
            </c:strRef>
          </c:tx>
          <c:spPr>
            <a:solidFill>
              <a:srgbClr val="BD2A3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'[Kopie - Pro_graf_1.xlsx]vše'!$U$9:$W$9</c:f>
              <c:strCache>
                <c:ptCount val="3"/>
                <c:pt idx="0">
                  <c:v>A</c:v>
                </c:pt>
                <c:pt idx="1">
                  <c:v>B</c:v>
                </c:pt>
                <c:pt idx="2">
                  <c:v>C</c:v>
                </c:pt>
              </c:strCache>
            </c:strRef>
          </c:cat>
          <c:val>
            <c:numRef>
              <c:f>'[Kopie - Pro_graf_1.xlsx]vše'!$U$11:$W$11</c:f>
              <c:numCache>
                <c:formatCode>General</c:formatCode>
                <c:ptCount val="3"/>
                <c:pt idx="0">
                  <c:v>228</c:v>
                </c:pt>
                <c:pt idx="1">
                  <c:v>725</c:v>
                </c:pt>
                <c:pt idx="2">
                  <c:v>452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DD-43F3-90F6-0707A439054F}"/>
            </c:ext>
          </c:extLst>
        </c:ser>
        <c:ser>
          <c:idx val="2"/>
          <c:order val="2"/>
          <c:tx>
            <c:strRef>
              <c:f>'[Kopie - Pro_graf_1.xlsx]vše'!$T$12</c:f>
              <c:strCache>
                <c:ptCount val="1"/>
                <c:pt idx="0">
                  <c:v>Referenční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'[Kopie - Pro_graf_1.xlsx]vše'!$U$9:$W$9</c:f>
              <c:strCache>
                <c:ptCount val="3"/>
                <c:pt idx="0">
                  <c:v>A</c:v>
                </c:pt>
                <c:pt idx="1">
                  <c:v>B</c:v>
                </c:pt>
                <c:pt idx="2">
                  <c:v>C</c:v>
                </c:pt>
              </c:strCache>
            </c:strRef>
          </c:cat>
          <c:val>
            <c:numRef>
              <c:f>'[Kopie - Pro_graf_1.xlsx]vše'!$U$12:$W$12</c:f>
              <c:numCache>
                <c:formatCode>General</c:formatCode>
                <c:ptCount val="3"/>
                <c:pt idx="0">
                  <c:v>41</c:v>
                </c:pt>
                <c:pt idx="1">
                  <c:v>198</c:v>
                </c:pt>
                <c:pt idx="2">
                  <c:v>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4DD-43F3-90F6-0707A439054F}"/>
            </c:ext>
          </c:extLst>
        </c:ser>
        <c:ser>
          <c:idx val="3"/>
          <c:order val="3"/>
          <c:tx>
            <c:strRef>
              <c:f>'[Kopie - Pro_graf_1.xlsx]vše'!$T$13</c:f>
              <c:strCache>
                <c:ptCount val="1"/>
                <c:pt idx="0">
                  <c:v>Testovací</c:v>
                </c:pt>
              </c:strCache>
            </c:strRef>
          </c:tx>
          <c:spPr>
            <a:solidFill>
              <a:srgbClr val="004595">
                <a:alpha val="50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'[Kopie - Pro_graf_1.xlsx]vše'!$U$9:$W$9</c:f>
              <c:strCache>
                <c:ptCount val="3"/>
                <c:pt idx="0">
                  <c:v>A</c:v>
                </c:pt>
                <c:pt idx="1">
                  <c:v>B</c:v>
                </c:pt>
                <c:pt idx="2">
                  <c:v>C</c:v>
                </c:pt>
              </c:strCache>
            </c:strRef>
          </c:cat>
          <c:val>
            <c:numRef>
              <c:f>'[Kopie - Pro_graf_1.xlsx]vše'!$U$13:$W$13</c:f>
              <c:numCache>
                <c:formatCode>General</c:formatCode>
                <c:ptCount val="3"/>
                <c:pt idx="0">
                  <c:v>32</c:v>
                </c:pt>
                <c:pt idx="1">
                  <c:v>110</c:v>
                </c:pt>
                <c:pt idx="2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4DD-43F3-90F6-0707A439054F}"/>
            </c:ext>
          </c:extLst>
        </c:ser>
        <c:ser>
          <c:idx val="4"/>
          <c:order val="4"/>
          <c:tx>
            <c:strRef>
              <c:f>'[Kopie - Pro_graf_1.xlsx]vše'!$T$14</c:f>
              <c:strCache>
                <c:ptCount val="1"/>
                <c:pt idx="0">
                  <c:v>Všechna</c:v>
                </c:pt>
              </c:strCache>
            </c:strRef>
          </c:tx>
          <c:spPr>
            <a:solidFill>
              <a:srgbClr val="BD2A33">
                <a:alpha val="50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'[Kopie - Pro_graf_1.xlsx]vše'!$U$9:$W$9</c:f>
              <c:strCache>
                <c:ptCount val="3"/>
                <c:pt idx="0">
                  <c:v>A</c:v>
                </c:pt>
                <c:pt idx="1">
                  <c:v>B</c:v>
                </c:pt>
                <c:pt idx="2">
                  <c:v>C</c:v>
                </c:pt>
              </c:strCache>
            </c:strRef>
          </c:cat>
          <c:val>
            <c:numRef>
              <c:f>'[Kopie - Pro_graf_1.xlsx]vše'!$U$14:$W$14</c:f>
              <c:numCache>
                <c:formatCode>General</c:formatCode>
                <c:ptCount val="3"/>
                <c:pt idx="0">
                  <c:v>33</c:v>
                </c:pt>
                <c:pt idx="1">
                  <c:v>175</c:v>
                </c:pt>
                <c:pt idx="2">
                  <c:v>112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4DD-43F3-90F6-0707A43905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01306304"/>
        <c:axId val="401307480"/>
      </c:barChart>
      <c:catAx>
        <c:axId val="40130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01307480"/>
        <c:crosses val="autoZero"/>
        <c:auto val="1"/>
        <c:lblAlgn val="ctr"/>
        <c:lblOffset val="100"/>
        <c:noMultiLvlLbl val="0"/>
      </c:catAx>
      <c:valAx>
        <c:axId val="4013074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01306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0.05841</cdr:x>
      <cdr:y>0.02445</cdr:y>
    </cdr:from>
    <cdr:to>
      <cdr:x>0.51709</cdr:x>
      <cdr:y>0.73388</cdr:y>
    </cdr:to>
    <cdr:sp macro="" textlink="">
      <cdr:nvSpPr>
        <cdr:cNvPr id="2" name="Obdélník 1"/>
        <cdr:cNvSpPr/>
      </cdr:nvSpPr>
      <cdr:spPr>
        <a:xfrm xmlns:a="http://schemas.openxmlformats.org/drawingml/2006/main">
          <a:off x="336499" y="78871"/>
          <a:ext cx="2642313" cy="2288472"/>
        </a:xfrm>
        <a:prstGeom xmlns:a="http://schemas.openxmlformats.org/drawingml/2006/main" prst="rect">
          <a:avLst/>
        </a:prstGeom>
        <a:solidFill xmlns:a="http://schemas.openxmlformats.org/drawingml/2006/main">
          <a:srgbClr val="808080">
            <a:alpha val="20000"/>
          </a:srgbClr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cs-CZ"/>
        </a:p>
      </cdr:txBody>
    </cdr:sp>
  </cdr:relSizeAnchor>
</c:userShape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1349960A98294DB839DBFD406129F8" ma:contentTypeVersion="0" ma:contentTypeDescription="Vytvoří nový dokument" ma:contentTypeScope="" ma:versionID="6d4ff8c5d3d5b996b86629b72ddb24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9C4E6-91E2-475A-A8E7-1185050C91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20182E-B62E-477B-ACAE-68321522644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E05199D-A2CB-41C8-AED6-684D56F58BCF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2A1CBC4-E0D4-4A74-BA44-9B46E3436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0277566-DFF6-43C4-8F03-925EFF88103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B3CA39B-F33A-4317-814E-A3506F3B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BBC6511D.dotm</Template>
  <TotalTime>0</TotalTime>
  <Pages>23</Pages>
  <Words>6437</Words>
  <Characters>37980</Characters>
  <Application>Microsoft Office Word</Application>
  <DocSecurity>0</DocSecurity>
  <Lines>316</Lines>
  <Paragraphs>88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Kontrolní závěr z kontrolní akce NKÚ č. 16/12 - Peněžní prostředky Evropské unie a státního rozpočtu určené na podporu místního rozvoje v rámci iniciativy LEADER prostřednictvím Programu rozvoje venkova</vt:lpstr>
      <vt:lpstr>Kontrolní závěr z kontrolní akce NKÚ č. 09/26</vt:lpstr>
    </vt:vector>
  </TitlesOfParts>
  <Company>Nejvyšší kontrolní úřad</Company>
  <LinksUpToDate>false</LinksUpToDate>
  <CharactersWithSpaces>44329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16/12 - Peněžní prostředky Evropské unie a státního rozpočtu určené na podporu místního rozvoje v rámci iniciativy LEADER prostřednictvím Programu rozvoje venkova</dc:title>
  <dc:subject/>
  <dc:creator>Nejvyšší kontrolní úřad</dc:creator>
  <cp:keywords>kontrolní závěr; JMP; MMR; MS2014+; monitorovací systém; jednotné metodické prostředí; NOK</cp:keywords>
  <dc:description/>
  <cp:lastModifiedBy>KOKRDA Daniel</cp:lastModifiedBy>
  <cp:revision>2</cp:revision>
  <cp:lastPrinted>2017-05-22T05:50:00Z</cp:lastPrinted>
  <dcterms:created xsi:type="dcterms:W3CDTF">2017-06-02T08:43:00Z</dcterms:created>
  <dcterms:modified xsi:type="dcterms:W3CDTF">2017-06-02T08:43:00Z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J">
    <vt:lpwstr>12/06-NKU30/981/12</vt:lpwstr>
  </property>
  <property fmtid="{D5CDD505-2E9C-101B-9397-08002B2CF9AE}" pid="4" name="SZ_Spis_Pisemnost">
    <vt:lpwstr>12/06</vt:lpwstr>
  </property>
  <property fmtid="{D5CDD505-2E9C-101B-9397-08002B2CF9AE}" pid="5" name="DisplayName_SpisovyUzel_PoziceZodpo_Pisemnost">
    <vt:lpwstr>30</vt:lpwstr>
  </property>
  <property fmtid="{D5CDD505-2E9C-101B-9397-08002B2CF9AE}" pid="6" name="Zkratka_SpisovyUzel_PoziceZodpo_Pisemnost">
    <vt:lpwstr>30</vt:lpwstr>
  </property>
  <property fmtid="{D5CDD505-2E9C-101B-9397-08002B2CF9AE}" pid="7" name="Key_BarCode_Pisemnost">
    <vt:lpwstr>*B000162240*</vt:lpwstr>
  </property>
  <property fmtid="{D5CDD505-2E9C-101B-9397-08002B2CF9AE}" pid="8" name="EC_Pisemnost">
    <vt:lpwstr>12-12120</vt:lpwstr>
  </property>
  <property fmtid="{D5CDD505-2E9C-101B-9397-08002B2CF9AE}" pid="9" name="Odkaz">
    <vt:lpwstr>odkaz</vt:lpwstr>
  </property>
  <property fmtid="{D5CDD505-2E9C-101B-9397-08002B2CF9AE}" pid="10" name="SkartacniZnakLhuta_PisemnostZnak">
    <vt:lpwstr>/0</vt:lpwstr>
  </property>
  <property fmtid="{D5CDD505-2E9C-101B-9397-08002B2CF9AE}" pid="11" name="CJ_Spis_Pisemnost">
    <vt:lpwstr>CJ/SPIS/ROK</vt:lpwstr>
  </property>
  <property fmtid="{D5CDD505-2E9C-101B-9397-08002B2CF9AE}" pid="12" name="UserName_PisemnostTypZpristupneniInformaciZOSZ_Pisemnost">
    <vt:lpwstr>ZOSZ_UserName</vt:lpwstr>
  </property>
  <property fmtid="{D5CDD505-2E9C-101B-9397-08002B2CF9AE}" pid="13" name="Password_PisemnostTypZpristupneniInformaciZOSZ_Pisemnost">
    <vt:lpwstr>ZOSZ_Password</vt:lpwstr>
  </property>
  <property fmtid="{D5CDD505-2E9C-101B-9397-08002B2CF9AE}" pid="14" name="DatumPlatnosti_PisemnostTypZpristupneniInformaciZOSZ_Pisemnost">
    <vt:lpwstr>ZOSZ_DatumPlatnosti</vt:lpwstr>
  </property>
  <property fmtid="{D5CDD505-2E9C-101B-9397-08002B2CF9AE}" pid="15" name="TEST">
    <vt:lpwstr>testovací pole</vt:lpwstr>
  </property>
  <property fmtid="{D5CDD505-2E9C-101B-9397-08002B2CF9AE}" pid="16" name="PocetListu_Pisemnost">
    <vt:lpwstr/>
  </property>
  <property fmtid="{D5CDD505-2E9C-101B-9397-08002B2CF9AE}" pid="17" name="Vec_Pisemnost">
    <vt:lpwstr>Kontrolní závěr 12/06 do připomínek</vt:lpwstr>
  </property>
  <property fmtid="{D5CDD505-2E9C-101B-9397-08002B2CF9AE}" pid="18" name="DatumPoriz_Pisemnost">
    <vt:lpwstr>10.9.2012</vt:lpwstr>
  </property>
  <property fmtid="{D5CDD505-2E9C-101B-9397-08002B2CF9AE}" pid="19" name="Contact_PostaOdes_All">
    <vt:lpwstr/>
  </property>
  <property fmtid="{D5CDD505-2E9C-101B-9397-08002B2CF9AE}" pid="20" name="ContentTypeId">
    <vt:lpwstr>0x010100691349960A98294DB839DBFD406129F8</vt:lpwstr>
  </property>
</Properties>
</file>