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3FCB4" w14:textId="77777777" w:rsidR="00F72DE4" w:rsidRPr="00391416" w:rsidRDefault="00F72DE4" w:rsidP="00F72DE4">
      <w:pPr>
        <w:jc w:val="center"/>
        <w:rPr>
          <w:rFonts w:asciiTheme="minorHAnsi" w:hAnsiTheme="minorHAnsi" w:cstheme="minorHAnsi"/>
          <w:b/>
        </w:rPr>
      </w:pPr>
      <w:bookmarkStart w:id="0" w:name="_GoBack"/>
      <w:bookmarkEnd w:id="0"/>
      <w:r w:rsidRPr="00391416">
        <w:rPr>
          <w:rFonts w:asciiTheme="minorHAnsi" w:hAnsiTheme="minorHAnsi" w:cstheme="minorHAnsi"/>
          <w:noProof/>
          <w:lang w:eastAsia="cs-CZ"/>
        </w:rPr>
        <w:drawing>
          <wp:anchor distT="0" distB="0" distL="114935" distR="114935" simplePos="0" relativeHeight="251659264" behindDoc="0" locked="0" layoutInCell="1" allowOverlap="1" wp14:anchorId="155F7F5C" wp14:editId="0BA5ACF0">
            <wp:simplePos x="0" y="0"/>
            <wp:positionH relativeFrom="column">
              <wp:posOffset>2471420</wp:posOffset>
            </wp:positionH>
            <wp:positionV relativeFrom="paragraph">
              <wp:posOffset>26035</wp:posOffset>
            </wp:positionV>
            <wp:extent cx="790575" cy="558800"/>
            <wp:effectExtent l="0" t="0" r="952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558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082575D" w14:textId="77777777" w:rsidR="00F72DE4" w:rsidRPr="00391416" w:rsidRDefault="00F72DE4" w:rsidP="00F72DE4">
      <w:pPr>
        <w:jc w:val="center"/>
        <w:rPr>
          <w:rFonts w:asciiTheme="minorHAnsi" w:hAnsiTheme="minorHAnsi" w:cstheme="minorHAnsi"/>
          <w:b/>
          <w:highlight w:val="lightGray"/>
        </w:rPr>
      </w:pPr>
    </w:p>
    <w:p w14:paraId="335E59B0" w14:textId="77777777" w:rsidR="00F72DE4" w:rsidRPr="00391416" w:rsidRDefault="00F72DE4" w:rsidP="00F72DE4">
      <w:pPr>
        <w:jc w:val="center"/>
        <w:rPr>
          <w:rFonts w:asciiTheme="minorHAnsi" w:hAnsiTheme="minorHAnsi" w:cstheme="minorHAnsi"/>
          <w:b/>
          <w:sz w:val="28"/>
          <w:szCs w:val="28"/>
        </w:rPr>
      </w:pPr>
      <w:r w:rsidRPr="00391416">
        <w:rPr>
          <w:rFonts w:asciiTheme="minorHAnsi" w:hAnsiTheme="minorHAnsi" w:cstheme="minorHAnsi"/>
          <w:b/>
          <w:sz w:val="28"/>
          <w:szCs w:val="28"/>
        </w:rPr>
        <w:t>Kontrolní závěr z kontrolní akce</w:t>
      </w:r>
    </w:p>
    <w:p w14:paraId="45A372AE" w14:textId="77777777" w:rsidR="00F72DE4" w:rsidRPr="00391416" w:rsidRDefault="00F72DE4" w:rsidP="00F72DE4">
      <w:pPr>
        <w:jc w:val="center"/>
        <w:rPr>
          <w:rFonts w:asciiTheme="minorHAnsi" w:hAnsiTheme="minorHAnsi" w:cstheme="minorHAnsi"/>
          <w:b/>
          <w:sz w:val="28"/>
          <w:szCs w:val="28"/>
          <w:highlight w:val="lightGray"/>
        </w:rPr>
      </w:pPr>
    </w:p>
    <w:p w14:paraId="2A734A77" w14:textId="77777777" w:rsidR="00F72DE4" w:rsidRPr="00391416" w:rsidRDefault="00F72DE4" w:rsidP="00F72DE4">
      <w:pPr>
        <w:jc w:val="center"/>
        <w:rPr>
          <w:rFonts w:asciiTheme="minorHAnsi" w:hAnsiTheme="minorHAnsi" w:cstheme="minorHAnsi"/>
          <w:b/>
          <w:sz w:val="28"/>
          <w:szCs w:val="28"/>
        </w:rPr>
      </w:pPr>
      <w:r w:rsidRPr="00391416">
        <w:rPr>
          <w:rFonts w:asciiTheme="minorHAnsi" w:hAnsiTheme="minorHAnsi" w:cstheme="minorHAnsi"/>
          <w:b/>
          <w:sz w:val="28"/>
          <w:szCs w:val="28"/>
        </w:rPr>
        <w:t>1</w:t>
      </w:r>
      <w:r>
        <w:rPr>
          <w:rFonts w:asciiTheme="minorHAnsi" w:hAnsiTheme="minorHAnsi" w:cstheme="minorHAnsi"/>
          <w:b/>
          <w:sz w:val="28"/>
          <w:szCs w:val="28"/>
        </w:rPr>
        <w:t>6</w:t>
      </w:r>
      <w:r w:rsidRPr="00391416">
        <w:rPr>
          <w:rFonts w:asciiTheme="minorHAnsi" w:hAnsiTheme="minorHAnsi" w:cstheme="minorHAnsi"/>
          <w:b/>
          <w:sz w:val="28"/>
          <w:szCs w:val="28"/>
        </w:rPr>
        <w:t>/</w:t>
      </w:r>
      <w:r>
        <w:rPr>
          <w:rFonts w:asciiTheme="minorHAnsi" w:hAnsiTheme="minorHAnsi" w:cstheme="minorHAnsi"/>
          <w:b/>
          <w:sz w:val="28"/>
          <w:szCs w:val="28"/>
        </w:rPr>
        <w:t>08</w:t>
      </w:r>
    </w:p>
    <w:p w14:paraId="23FC7520" w14:textId="77777777" w:rsidR="00F72DE4" w:rsidRPr="00391416" w:rsidRDefault="00F72DE4" w:rsidP="00F72DE4">
      <w:pPr>
        <w:jc w:val="center"/>
        <w:rPr>
          <w:rFonts w:asciiTheme="minorHAnsi" w:hAnsiTheme="minorHAnsi" w:cstheme="minorHAnsi"/>
          <w:b/>
          <w:sz w:val="28"/>
          <w:szCs w:val="28"/>
          <w:highlight w:val="green"/>
        </w:rPr>
      </w:pPr>
    </w:p>
    <w:p w14:paraId="27260174" w14:textId="77777777" w:rsidR="00F72DE4" w:rsidRDefault="00F72DE4" w:rsidP="00F72DE4">
      <w:pPr>
        <w:jc w:val="center"/>
        <w:rPr>
          <w:rFonts w:asciiTheme="minorHAnsi" w:hAnsiTheme="minorHAnsi" w:cstheme="minorHAnsi"/>
          <w:b/>
          <w:sz w:val="28"/>
          <w:szCs w:val="28"/>
        </w:rPr>
      </w:pPr>
      <w:r>
        <w:rPr>
          <w:rFonts w:asciiTheme="minorHAnsi" w:hAnsiTheme="minorHAnsi" w:cstheme="minorHAnsi"/>
          <w:b/>
          <w:sz w:val="28"/>
          <w:szCs w:val="28"/>
        </w:rPr>
        <w:t>Účetní závěrka Ministerstva spravedlnosti za rok 2015</w:t>
      </w:r>
    </w:p>
    <w:p w14:paraId="781274C9" w14:textId="77777777" w:rsidR="00F72DE4" w:rsidRPr="00391416" w:rsidRDefault="00F72DE4" w:rsidP="00F72DE4">
      <w:pPr>
        <w:jc w:val="both"/>
        <w:rPr>
          <w:rFonts w:asciiTheme="minorHAnsi" w:hAnsiTheme="minorHAnsi" w:cstheme="minorHAnsi"/>
          <w:highlight w:val="green"/>
        </w:rPr>
      </w:pPr>
    </w:p>
    <w:p w14:paraId="77174551" w14:textId="77777777" w:rsidR="00B776E0" w:rsidRPr="00391416" w:rsidRDefault="00B776E0" w:rsidP="00F72DE4">
      <w:pPr>
        <w:jc w:val="both"/>
        <w:rPr>
          <w:rFonts w:asciiTheme="minorHAnsi" w:hAnsiTheme="minorHAnsi" w:cstheme="minorHAnsi"/>
          <w:highlight w:val="green"/>
        </w:rPr>
      </w:pPr>
    </w:p>
    <w:p w14:paraId="52CB2FD5" w14:textId="77777777" w:rsidR="00F72DE4" w:rsidRPr="00391416" w:rsidRDefault="00F72DE4" w:rsidP="00F72DE4">
      <w:pPr>
        <w:jc w:val="both"/>
        <w:rPr>
          <w:rFonts w:asciiTheme="minorHAnsi" w:hAnsiTheme="minorHAnsi" w:cstheme="minorHAnsi"/>
        </w:rPr>
      </w:pPr>
      <w:r w:rsidRPr="00391416">
        <w:rPr>
          <w:rFonts w:asciiTheme="minorHAnsi" w:hAnsiTheme="minorHAnsi" w:cstheme="minorHAnsi"/>
        </w:rPr>
        <w:t>Kontrolní akce byla zařazena do plánu kontrolní činnosti Nejvyššího kontrolního úřadu (dále jen „NKÚ“) na rok 201</w:t>
      </w:r>
      <w:r>
        <w:rPr>
          <w:rFonts w:asciiTheme="minorHAnsi" w:hAnsiTheme="minorHAnsi" w:cstheme="minorHAnsi"/>
        </w:rPr>
        <w:t>6</w:t>
      </w:r>
      <w:r w:rsidRPr="00391416">
        <w:rPr>
          <w:rFonts w:asciiTheme="minorHAnsi" w:hAnsiTheme="minorHAnsi" w:cstheme="minorHAnsi"/>
        </w:rPr>
        <w:t xml:space="preserve"> pod číslem 1</w:t>
      </w:r>
      <w:r>
        <w:rPr>
          <w:rFonts w:asciiTheme="minorHAnsi" w:hAnsiTheme="minorHAnsi" w:cstheme="minorHAnsi"/>
        </w:rPr>
        <w:t>6</w:t>
      </w:r>
      <w:r w:rsidRPr="00391416">
        <w:rPr>
          <w:rFonts w:asciiTheme="minorHAnsi" w:hAnsiTheme="minorHAnsi" w:cstheme="minorHAnsi"/>
        </w:rPr>
        <w:t>/</w:t>
      </w:r>
      <w:r>
        <w:rPr>
          <w:rFonts w:asciiTheme="minorHAnsi" w:hAnsiTheme="minorHAnsi" w:cstheme="minorHAnsi"/>
        </w:rPr>
        <w:t>08</w:t>
      </w:r>
      <w:r w:rsidRPr="00391416">
        <w:rPr>
          <w:rFonts w:asciiTheme="minorHAnsi" w:hAnsiTheme="minorHAnsi" w:cstheme="minorHAnsi"/>
        </w:rPr>
        <w:t>. Kontrolní akci řídila a kontrolní závěr vypracovala členka NKÚ Ing. Jaromíra Steidlová.</w:t>
      </w:r>
    </w:p>
    <w:p w14:paraId="57F6DE83" w14:textId="77777777" w:rsidR="00F72DE4" w:rsidRPr="00391416" w:rsidRDefault="00F72DE4" w:rsidP="00F72DE4">
      <w:pPr>
        <w:jc w:val="both"/>
        <w:rPr>
          <w:rFonts w:asciiTheme="minorHAnsi" w:hAnsiTheme="minorHAnsi" w:cstheme="minorHAnsi"/>
          <w:highlight w:val="yellow"/>
        </w:rPr>
      </w:pPr>
    </w:p>
    <w:p w14:paraId="34C32327" w14:textId="77777777" w:rsidR="00F72DE4" w:rsidRDefault="00F72DE4" w:rsidP="00F72DE4">
      <w:pPr>
        <w:jc w:val="both"/>
        <w:rPr>
          <w:rFonts w:asciiTheme="minorHAnsi" w:hAnsiTheme="minorHAnsi" w:cstheme="minorHAnsi"/>
          <w:bCs/>
        </w:rPr>
      </w:pPr>
      <w:r w:rsidRPr="00391416">
        <w:rPr>
          <w:rFonts w:asciiTheme="minorHAnsi" w:hAnsiTheme="minorHAnsi" w:cstheme="minorHAnsi"/>
        </w:rPr>
        <w:t xml:space="preserve">Cílem kontroly bylo prověřit, </w:t>
      </w:r>
      <w:r w:rsidRPr="00391416">
        <w:rPr>
          <w:rFonts w:asciiTheme="minorHAnsi" w:hAnsiTheme="minorHAnsi" w:cstheme="minorHAnsi"/>
          <w:bCs/>
        </w:rPr>
        <w:t xml:space="preserve">zda Ministerstvo </w:t>
      </w:r>
      <w:r>
        <w:rPr>
          <w:rFonts w:asciiTheme="minorHAnsi" w:hAnsiTheme="minorHAnsi" w:cstheme="minorHAnsi"/>
          <w:bCs/>
        </w:rPr>
        <w:t>spravedlnosti</w:t>
      </w:r>
      <w:r w:rsidRPr="00391416">
        <w:rPr>
          <w:rFonts w:asciiTheme="minorHAnsi" w:hAnsiTheme="minorHAnsi" w:cstheme="minorHAnsi"/>
          <w:bCs/>
        </w:rPr>
        <w:t xml:space="preserve"> při</w:t>
      </w:r>
      <w:r>
        <w:rPr>
          <w:rFonts w:asciiTheme="minorHAnsi" w:hAnsiTheme="minorHAnsi" w:cstheme="minorHAnsi"/>
          <w:bCs/>
        </w:rPr>
        <w:t xml:space="preserve"> vedení účetnictví v roce 2015 a sestavení účetní závěrky k 31. </w:t>
      </w:r>
      <w:r w:rsidR="00C90CCB">
        <w:rPr>
          <w:rFonts w:asciiTheme="minorHAnsi" w:hAnsiTheme="minorHAnsi" w:cstheme="minorHAnsi"/>
          <w:bCs/>
        </w:rPr>
        <w:t>prosinci</w:t>
      </w:r>
      <w:r>
        <w:rPr>
          <w:rFonts w:asciiTheme="minorHAnsi" w:hAnsiTheme="minorHAnsi" w:cstheme="minorHAnsi"/>
          <w:bCs/>
        </w:rPr>
        <w:t xml:space="preserve"> 2015 postupovalo v souladu s příslušnými právními předpisy.</w:t>
      </w:r>
    </w:p>
    <w:p w14:paraId="3D2867A9" w14:textId="77777777" w:rsidR="00F72DE4" w:rsidRDefault="00F72DE4" w:rsidP="00F72DE4">
      <w:pPr>
        <w:jc w:val="both"/>
        <w:rPr>
          <w:rFonts w:asciiTheme="minorHAnsi" w:hAnsiTheme="minorHAnsi" w:cstheme="minorHAnsi"/>
          <w:bCs/>
        </w:rPr>
      </w:pPr>
    </w:p>
    <w:p w14:paraId="521D85BA" w14:textId="77777777" w:rsidR="00F7510F" w:rsidRDefault="00F72DE4" w:rsidP="00F72DE4">
      <w:pPr>
        <w:jc w:val="both"/>
        <w:rPr>
          <w:rFonts w:asciiTheme="minorHAnsi" w:hAnsiTheme="minorHAnsi" w:cstheme="minorHAnsi"/>
        </w:rPr>
      </w:pPr>
      <w:r w:rsidRPr="003E71A5">
        <w:rPr>
          <w:rFonts w:asciiTheme="minorHAnsi" w:hAnsiTheme="minorHAnsi" w:cstheme="minorHAnsi"/>
          <w:b/>
        </w:rPr>
        <w:t>Kontrolovaná osoba</w:t>
      </w:r>
      <w:r w:rsidRPr="002914FC">
        <w:rPr>
          <w:rFonts w:asciiTheme="minorHAnsi" w:hAnsiTheme="minorHAnsi" w:cstheme="minorHAnsi"/>
          <w:b/>
        </w:rPr>
        <w:t>:</w:t>
      </w:r>
    </w:p>
    <w:p w14:paraId="51A00769" w14:textId="77777777" w:rsidR="00F72DE4" w:rsidRPr="00391416" w:rsidRDefault="00F72DE4" w:rsidP="00F72DE4">
      <w:pPr>
        <w:jc w:val="both"/>
        <w:rPr>
          <w:rFonts w:asciiTheme="minorHAnsi" w:hAnsiTheme="minorHAnsi" w:cstheme="minorHAnsi"/>
        </w:rPr>
      </w:pPr>
      <w:r w:rsidRPr="00391416">
        <w:rPr>
          <w:rFonts w:asciiTheme="minorHAnsi" w:hAnsiTheme="minorHAnsi" w:cstheme="minorHAnsi"/>
        </w:rPr>
        <w:t xml:space="preserve">Ministerstvo </w:t>
      </w:r>
      <w:r>
        <w:rPr>
          <w:rFonts w:asciiTheme="minorHAnsi" w:hAnsiTheme="minorHAnsi" w:cstheme="minorHAnsi"/>
        </w:rPr>
        <w:t>spravedlnosti</w:t>
      </w:r>
      <w:r w:rsidRPr="00391416">
        <w:rPr>
          <w:rFonts w:asciiTheme="minorHAnsi" w:hAnsiTheme="minorHAnsi" w:cstheme="minorHAnsi"/>
        </w:rPr>
        <w:t xml:space="preserve"> (dále také „</w:t>
      </w:r>
      <w:proofErr w:type="spellStart"/>
      <w:r>
        <w:rPr>
          <w:rFonts w:asciiTheme="minorHAnsi" w:hAnsiTheme="minorHAnsi" w:cstheme="minorHAnsi"/>
        </w:rPr>
        <w:t>MSp</w:t>
      </w:r>
      <w:proofErr w:type="spellEnd"/>
      <w:r w:rsidRPr="00391416">
        <w:rPr>
          <w:rFonts w:asciiTheme="minorHAnsi" w:hAnsiTheme="minorHAnsi" w:cstheme="minorHAnsi"/>
        </w:rPr>
        <w:t>“).</w:t>
      </w:r>
    </w:p>
    <w:p w14:paraId="034934FE" w14:textId="77777777" w:rsidR="00F72DE4" w:rsidRPr="00391416" w:rsidRDefault="00F72DE4" w:rsidP="00F72DE4">
      <w:pPr>
        <w:jc w:val="both"/>
        <w:rPr>
          <w:rFonts w:asciiTheme="minorHAnsi" w:hAnsiTheme="minorHAnsi" w:cstheme="minorHAnsi"/>
          <w:highlight w:val="yellow"/>
        </w:rPr>
      </w:pPr>
    </w:p>
    <w:p w14:paraId="2A82B2B1" w14:textId="77777777" w:rsidR="00F72DE4" w:rsidRPr="00391416" w:rsidRDefault="00F72DE4" w:rsidP="00F72DE4">
      <w:pPr>
        <w:jc w:val="both"/>
        <w:rPr>
          <w:rFonts w:asciiTheme="minorHAnsi" w:hAnsiTheme="minorHAnsi" w:cstheme="minorHAnsi"/>
        </w:rPr>
      </w:pPr>
      <w:r w:rsidRPr="00391416">
        <w:rPr>
          <w:rFonts w:asciiTheme="minorHAnsi" w:hAnsiTheme="minorHAnsi" w:cstheme="minorHAnsi"/>
        </w:rPr>
        <w:t>Kontrolováno bylo období roku 201</w:t>
      </w:r>
      <w:r>
        <w:rPr>
          <w:rFonts w:asciiTheme="minorHAnsi" w:hAnsiTheme="minorHAnsi" w:cstheme="minorHAnsi"/>
        </w:rPr>
        <w:t>5</w:t>
      </w:r>
      <w:r w:rsidRPr="00391416">
        <w:rPr>
          <w:rFonts w:asciiTheme="minorHAnsi" w:hAnsiTheme="minorHAnsi" w:cstheme="minorHAnsi"/>
        </w:rPr>
        <w:t xml:space="preserve"> včetně souvisejících skutečností </w:t>
      </w:r>
      <w:r w:rsidRPr="00391416">
        <w:rPr>
          <w:rFonts w:asciiTheme="minorHAnsi" w:hAnsiTheme="minorHAnsi" w:cstheme="minorHAnsi"/>
          <w:spacing w:val="-2"/>
        </w:rPr>
        <w:t>z let předchozích a roku následujícího</w:t>
      </w:r>
      <w:r w:rsidRPr="00391416">
        <w:rPr>
          <w:rFonts w:asciiTheme="minorHAnsi" w:hAnsiTheme="minorHAnsi" w:cstheme="minorHAnsi"/>
        </w:rPr>
        <w:t>.</w:t>
      </w:r>
    </w:p>
    <w:p w14:paraId="730DEF8A" w14:textId="77777777" w:rsidR="00F72DE4" w:rsidRPr="00391416" w:rsidRDefault="00F72DE4" w:rsidP="00F72DE4">
      <w:pPr>
        <w:jc w:val="both"/>
        <w:rPr>
          <w:rFonts w:asciiTheme="minorHAnsi" w:hAnsiTheme="minorHAnsi" w:cstheme="minorHAnsi"/>
          <w:highlight w:val="yellow"/>
        </w:rPr>
      </w:pPr>
    </w:p>
    <w:p w14:paraId="78AB7DA9" w14:textId="77777777" w:rsidR="00F72DE4" w:rsidRPr="00391416" w:rsidRDefault="00F72DE4" w:rsidP="00F72DE4">
      <w:pPr>
        <w:jc w:val="both"/>
        <w:rPr>
          <w:rFonts w:asciiTheme="minorHAnsi" w:hAnsiTheme="minorHAnsi" w:cstheme="minorHAnsi"/>
        </w:rPr>
      </w:pPr>
      <w:r w:rsidRPr="00391416">
        <w:rPr>
          <w:rFonts w:asciiTheme="minorHAnsi" w:hAnsiTheme="minorHAnsi" w:cstheme="minorHAnsi"/>
        </w:rPr>
        <w:t xml:space="preserve">Kontrola byla prováděna u kontrolované osoby v době od </w:t>
      </w:r>
      <w:r w:rsidR="00C4313F">
        <w:rPr>
          <w:rFonts w:asciiTheme="minorHAnsi" w:hAnsiTheme="minorHAnsi" w:cstheme="minorHAnsi"/>
        </w:rPr>
        <w:t>března</w:t>
      </w:r>
      <w:r>
        <w:rPr>
          <w:rFonts w:asciiTheme="minorHAnsi" w:hAnsiTheme="minorHAnsi" w:cstheme="minorHAnsi"/>
        </w:rPr>
        <w:t xml:space="preserve"> </w:t>
      </w:r>
      <w:r w:rsidRPr="00391416">
        <w:rPr>
          <w:rFonts w:asciiTheme="minorHAnsi" w:hAnsiTheme="minorHAnsi" w:cstheme="minorHAnsi"/>
        </w:rPr>
        <w:t xml:space="preserve">do </w:t>
      </w:r>
      <w:r w:rsidR="00C4313F">
        <w:rPr>
          <w:rFonts w:asciiTheme="minorHAnsi" w:hAnsiTheme="minorHAnsi" w:cstheme="minorHAnsi"/>
        </w:rPr>
        <w:t>srpna</w:t>
      </w:r>
      <w:r w:rsidRPr="00391416">
        <w:rPr>
          <w:rFonts w:asciiTheme="minorHAnsi" w:hAnsiTheme="minorHAnsi" w:cstheme="minorHAnsi"/>
        </w:rPr>
        <w:t xml:space="preserve"> 201</w:t>
      </w:r>
      <w:r>
        <w:rPr>
          <w:rFonts w:asciiTheme="minorHAnsi" w:hAnsiTheme="minorHAnsi" w:cstheme="minorHAnsi"/>
        </w:rPr>
        <w:t>6</w:t>
      </w:r>
      <w:r w:rsidRPr="00391416">
        <w:rPr>
          <w:rFonts w:asciiTheme="minorHAnsi" w:hAnsiTheme="minorHAnsi" w:cstheme="minorHAnsi"/>
        </w:rPr>
        <w:t>.</w:t>
      </w:r>
    </w:p>
    <w:p w14:paraId="6600B866" w14:textId="77777777" w:rsidR="00F72DE4" w:rsidRPr="00391416" w:rsidRDefault="00F72DE4" w:rsidP="00F72DE4">
      <w:pPr>
        <w:jc w:val="both"/>
        <w:rPr>
          <w:rFonts w:asciiTheme="minorHAnsi" w:hAnsiTheme="minorHAnsi" w:cstheme="minorHAnsi"/>
          <w:highlight w:val="yellow"/>
        </w:rPr>
      </w:pPr>
    </w:p>
    <w:p w14:paraId="44AF1292" w14:textId="77777777" w:rsidR="00F72DE4" w:rsidRPr="00391416" w:rsidRDefault="00F72DE4" w:rsidP="00F72DE4">
      <w:pPr>
        <w:jc w:val="both"/>
        <w:rPr>
          <w:rFonts w:asciiTheme="minorHAnsi" w:hAnsiTheme="minorHAnsi" w:cstheme="minorHAnsi"/>
        </w:rPr>
      </w:pPr>
      <w:r w:rsidRPr="00391416">
        <w:rPr>
          <w:rFonts w:asciiTheme="minorHAnsi" w:hAnsiTheme="minorHAnsi" w:cstheme="minorHAnsi"/>
        </w:rPr>
        <w:t>Námitky proti kontrolnímu protokolu</w:t>
      </w:r>
      <w:r w:rsidR="00F7510F">
        <w:rPr>
          <w:rFonts w:asciiTheme="minorHAnsi" w:hAnsiTheme="minorHAnsi" w:cstheme="minorHAnsi"/>
        </w:rPr>
        <w:t xml:space="preserve">, které </w:t>
      </w:r>
      <w:proofErr w:type="spellStart"/>
      <w:r w:rsidR="00F7510F">
        <w:rPr>
          <w:rFonts w:asciiTheme="minorHAnsi" w:hAnsiTheme="minorHAnsi" w:cstheme="minorHAnsi"/>
        </w:rPr>
        <w:t>MSp</w:t>
      </w:r>
      <w:proofErr w:type="spellEnd"/>
      <w:r w:rsidR="00F7510F">
        <w:rPr>
          <w:rFonts w:asciiTheme="minorHAnsi" w:hAnsiTheme="minorHAnsi" w:cstheme="minorHAnsi"/>
        </w:rPr>
        <w:t xml:space="preserve"> podalo, byly vypořádány vedoucím skupiny kontrolujících rozhodnutím o námitkách. </w:t>
      </w:r>
      <w:r w:rsidR="009B7991">
        <w:rPr>
          <w:rFonts w:asciiTheme="minorHAnsi" w:hAnsiTheme="minorHAnsi" w:cstheme="minorHAnsi"/>
        </w:rPr>
        <w:t xml:space="preserve">Odvolání </w:t>
      </w:r>
      <w:proofErr w:type="spellStart"/>
      <w:r w:rsidR="009B7991">
        <w:rPr>
          <w:rFonts w:asciiTheme="minorHAnsi" w:hAnsiTheme="minorHAnsi" w:cstheme="minorHAnsi"/>
        </w:rPr>
        <w:t>M</w:t>
      </w:r>
      <w:r w:rsidR="002560A5">
        <w:rPr>
          <w:rFonts w:asciiTheme="minorHAnsi" w:hAnsiTheme="minorHAnsi" w:cstheme="minorHAnsi"/>
        </w:rPr>
        <w:t>S</w:t>
      </w:r>
      <w:r w:rsidR="009B7991">
        <w:rPr>
          <w:rFonts w:asciiTheme="minorHAnsi" w:hAnsiTheme="minorHAnsi" w:cstheme="minorHAnsi"/>
        </w:rPr>
        <w:t>p</w:t>
      </w:r>
      <w:proofErr w:type="spellEnd"/>
      <w:r w:rsidR="009B7991">
        <w:rPr>
          <w:rFonts w:asciiTheme="minorHAnsi" w:hAnsiTheme="minorHAnsi" w:cstheme="minorHAnsi"/>
        </w:rPr>
        <w:t xml:space="preserve"> proti rozhodnutí o námitkách bylo vypořádáno usnesením Kolegia NKÚ.</w:t>
      </w:r>
    </w:p>
    <w:p w14:paraId="0B684C00" w14:textId="77777777" w:rsidR="00F72DE4" w:rsidRPr="00391416" w:rsidRDefault="00F72DE4" w:rsidP="00F72DE4">
      <w:pPr>
        <w:jc w:val="both"/>
        <w:rPr>
          <w:rFonts w:asciiTheme="minorHAnsi" w:hAnsiTheme="minorHAnsi" w:cstheme="minorHAnsi"/>
        </w:rPr>
      </w:pPr>
    </w:p>
    <w:p w14:paraId="3B385120" w14:textId="189ABC5B" w:rsidR="00F72DE4" w:rsidRPr="00D9112C" w:rsidRDefault="00F72DE4" w:rsidP="00F72DE4">
      <w:pPr>
        <w:jc w:val="both"/>
        <w:rPr>
          <w:rFonts w:asciiTheme="minorHAnsi" w:hAnsiTheme="minorHAnsi" w:cstheme="minorHAnsi"/>
        </w:rPr>
      </w:pPr>
      <w:r w:rsidRPr="00391416">
        <w:rPr>
          <w:rFonts w:asciiTheme="minorHAnsi" w:hAnsiTheme="minorHAnsi" w:cstheme="minorHAnsi"/>
          <w:b/>
          <w:bCs/>
          <w:i/>
          <w:iCs/>
          <w:spacing w:val="60"/>
        </w:rPr>
        <w:t>Kolegium</w:t>
      </w:r>
      <w:r w:rsidRPr="00391416">
        <w:rPr>
          <w:rFonts w:asciiTheme="minorHAnsi" w:hAnsiTheme="minorHAnsi" w:cstheme="minorHAnsi"/>
          <w:b/>
          <w:bCs/>
          <w:i/>
          <w:iCs/>
        </w:rPr>
        <w:t xml:space="preserve">   </w:t>
      </w:r>
      <w:r w:rsidRPr="00391416">
        <w:rPr>
          <w:rFonts w:asciiTheme="minorHAnsi" w:hAnsiTheme="minorHAnsi" w:cstheme="minorHAnsi"/>
          <w:b/>
          <w:bCs/>
          <w:i/>
          <w:iCs/>
          <w:spacing w:val="60"/>
        </w:rPr>
        <w:t>NKÚ</w:t>
      </w:r>
      <w:r w:rsidRPr="00391416">
        <w:rPr>
          <w:rFonts w:asciiTheme="minorHAnsi" w:hAnsiTheme="minorHAnsi" w:cstheme="minorHAnsi"/>
        </w:rPr>
        <w:t xml:space="preserve">   na svém </w:t>
      </w:r>
      <w:r w:rsidR="00652852">
        <w:rPr>
          <w:rFonts w:asciiTheme="minorHAnsi" w:hAnsiTheme="minorHAnsi" w:cstheme="minorHAnsi"/>
        </w:rPr>
        <w:t>XV</w:t>
      </w:r>
      <w:r w:rsidRPr="00D9112C">
        <w:rPr>
          <w:rFonts w:asciiTheme="minorHAnsi" w:hAnsiTheme="minorHAnsi" w:cstheme="minorHAnsi"/>
        </w:rPr>
        <w:t xml:space="preserve">. jednání, které se konalo dne </w:t>
      </w:r>
      <w:r w:rsidR="00652852">
        <w:rPr>
          <w:rFonts w:asciiTheme="minorHAnsi" w:hAnsiTheme="minorHAnsi" w:cstheme="minorHAnsi"/>
        </w:rPr>
        <w:t xml:space="preserve">28. listopadu </w:t>
      </w:r>
      <w:r>
        <w:rPr>
          <w:rFonts w:asciiTheme="minorHAnsi" w:hAnsiTheme="minorHAnsi" w:cstheme="minorHAnsi"/>
        </w:rPr>
        <w:t>2016</w:t>
      </w:r>
      <w:r w:rsidRPr="00D9112C">
        <w:rPr>
          <w:rFonts w:asciiTheme="minorHAnsi" w:hAnsiTheme="minorHAnsi" w:cstheme="minorHAnsi"/>
        </w:rPr>
        <w:t>,</w:t>
      </w:r>
    </w:p>
    <w:p w14:paraId="7A8D0A25" w14:textId="1336E1E3" w:rsidR="00F72DE4" w:rsidRPr="00391416" w:rsidRDefault="00F72DE4" w:rsidP="00F72DE4">
      <w:pPr>
        <w:jc w:val="both"/>
        <w:rPr>
          <w:rFonts w:asciiTheme="minorHAnsi" w:hAnsiTheme="minorHAnsi" w:cstheme="minorHAnsi"/>
        </w:rPr>
      </w:pPr>
      <w:r w:rsidRPr="00D9112C">
        <w:rPr>
          <w:rFonts w:asciiTheme="minorHAnsi" w:hAnsiTheme="minorHAnsi" w:cstheme="minorHAnsi"/>
          <w:b/>
          <w:bCs/>
          <w:i/>
          <w:iCs/>
          <w:spacing w:val="60"/>
        </w:rPr>
        <w:t>schválilo</w:t>
      </w:r>
      <w:r w:rsidRPr="00D9112C">
        <w:rPr>
          <w:rFonts w:asciiTheme="minorHAnsi" w:hAnsiTheme="minorHAnsi" w:cstheme="minorHAnsi"/>
        </w:rPr>
        <w:t xml:space="preserve">   usnesením č. </w:t>
      </w:r>
      <w:r w:rsidR="00733722">
        <w:rPr>
          <w:rFonts w:asciiTheme="minorHAnsi" w:hAnsiTheme="minorHAnsi" w:cstheme="minorHAnsi"/>
        </w:rPr>
        <w:t>9</w:t>
      </w:r>
      <w:r>
        <w:rPr>
          <w:rFonts w:asciiTheme="minorHAnsi" w:hAnsiTheme="minorHAnsi" w:cstheme="minorHAnsi"/>
        </w:rPr>
        <w:t>/</w:t>
      </w:r>
      <w:r w:rsidR="00652852">
        <w:rPr>
          <w:rFonts w:asciiTheme="minorHAnsi" w:hAnsiTheme="minorHAnsi" w:cstheme="minorHAnsi"/>
        </w:rPr>
        <w:t>XV</w:t>
      </w:r>
      <w:r>
        <w:rPr>
          <w:rFonts w:asciiTheme="minorHAnsi" w:hAnsiTheme="minorHAnsi" w:cstheme="minorHAnsi"/>
        </w:rPr>
        <w:t>/2016</w:t>
      </w:r>
    </w:p>
    <w:p w14:paraId="0FCB1F43" w14:textId="77777777" w:rsidR="00F72DE4" w:rsidRPr="00391416" w:rsidRDefault="00F72DE4" w:rsidP="00F72DE4">
      <w:pPr>
        <w:jc w:val="both"/>
        <w:rPr>
          <w:rFonts w:asciiTheme="minorHAnsi" w:hAnsiTheme="minorHAnsi" w:cstheme="minorHAnsi"/>
        </w:rPr>
      </w:pPr>
      <w:r w:rsidRPr="00391416">
        <w:rPr>
          <w:rFonts w:asciiTheme="minorHAnsi" w:hAnsiTheme="minorHAnsi" w:cstheme="minorHAnsi"/>
          <w:b/>
          <w:bCs/>
          <w:i/>
          <w:iCs/>
          <w:spacing w:val="60"/>
        </w:rPr>
        <w:t>kontrolní</w:t>
      </w:r>
      <w:r w:rsidRPr="00391416">
        <w:rPr>
          <w:rFonts w:asciiTheme="minorHAnsi" w:hAnsiTheme="minorHAnsi" w:cstheme="minorHAnsi"/>
          <w:b/>
          <w:bCs/>
          <w:i/>
          <w:iCs/>
        </w:rPr>
        <w:t xml:space="preserve">   </w:t>
      </w:r>
      <w:r w:rsidRPr="00391416">
        <w:rPr>
          <w:rFonts w:asciiTheme="minorHAnsi" w:hAnsiTheme="minorHAnsi" w:cstheme="minorHAnsi"/>
          <w:b/>
          <w:bCs/>
          <w:i/>
          <w:iCs/>
          <w:spacing w:val="60"/>
        </w:rPr>
        <w:t>závěr</w:t>
      </w:r>
      <w:r w:rsidRPr="00391416">
        <w:rPr>
          <w:rFonts w:asciiTheme="minorHAnsi" w:hAnsiTheme="minorHAnsi" w:cstheme="minorHAnsi"/>
        </w:rPr>
        <w:t xml:space="preserve">   v tomto znění:</w:t>
      </w:r>
    </w:p>
    <w:p w14:paraId="7E7AFD84" w14:textId="77777777" w:rsidR="00F72DE4" w:rsidRDefault="00F72DE4" w:rsidP="00F72DE4">
      <w:pPr>
        <w:jc w:val="both"/>
        <w:rPr>
          <w:rFonts w:asciiTheme="minorHAnsi" w:hAnsiTheme="minorHAnsi" w:cstheme="minorHAnsi"/>
          <w:highlight w:val="yellow"/>
        </w:rPr>
      </w:pPr>
    </w:p>
    <w:p w14:paraId="4F5CA94A" w14:textId="77777777" w:rsidR="00F72DE4" w:rsidRDefault="00F72DE4" w:rsidP="00F72DE4">
      <w:pPr>
        <w:jc w:val="both"/>
        <w:rPr>
          <w:rFonts w:asciiTheme="minorHAnsi" w:hAnsiTheme="minorHAnsi" w:cstheme="minorHAnsi"/>
          <w:highlight w:val="yellow"/>
        </w:rPr>
      </w:pPr>
    </w:p>
    <w:p w14:paraId="30D74AEF" w14:textId="77777777" w:rsidR="00F72DE4" w:rsidRDefault="00F72DE4" w:rsidP="00F72DE4">
      <w:pPr>
        <w:jc w:val="both"/>
        <w:rPr>
          <w:rFonts w:asciiTheme="minorHAnsi" w:hAnsiTheme="minorHAnsi" w:cstheme="minorHAnsi"/>
          <w:highlight w:val="yellow"/>
        </w:rPr>
      </w:pPr>
    </w:p>
    <w:p w14:paraId="4E627E80" w14:textId="77777777" w:rsidR="00F72DE4" w:rsidRDefault="00F72DE4" w:rsidP="00F72DE4">
      <w:pPr>
        <w:jc w:val="both"/>
        <w:rPr>
          <w:rFonts w:asciiTheme="minorHAnsi" w:hAnsiTheme="minorHAnsi" w:cstheme="minorHAnsi"/>
          <w:highlight w:val="yellow"/>
        </w:rPr>
      </w:pPr>
    </w:p>
    <w:p w14:paraId="339BDFE0" w14:textId="77777777" w:rsidR="00F72DE4" w:rsidRDefault="00F72DE4" w:rsidP="00F72DE4">
      <w:pPr>
        <w:jc w:val="both"/>
        <w:rPr>
          <w:rFonts w:asciiTheme="minorHAnsi" w:hAnsiTheme="minorHAnsi" w:cstheme="minorHAnsi"/>
          <w:highlight w:val="yellow"/>
        </w:rPr>
      </w:pPr>
    </w:p>
    <w:p w14:paraId="7DE85303" w14:textId="77777777" w:rsidR="00F72DE4" w:rsidRDefault="00F72DE4" w:rsidP="00F72DE4">
      <w:pPr>
        <w:jc w:val="both"/>
        <w:rPr>
          <w:rFonts w:asciiTheme="minorHAnsi" w:hAnsiTheme="minorHAnsi" w:cstheme="minorHAnsi"/>
          <w:highlight w:val="yellow"/>
        </w:rPr>
      </w:pPr>
    </w:p>
    <w:p w14:paraId="54C59499" w14:textId="77777777" w:rsidR="00F72DE4" w:rsidRDefault="00F72DE4" w:rsidP="00F72DE4">
      <w:pPr>
        <w:jc w:val="both"/>
        <w:rPr>
          <w:rFonts w:asciiTheme="minorHAnsi" w:hAnsiTheme="minorHAnsi" w:cstheme="minorHAnsi"/>
          <w:highlight w:val="yellow"/>
        </w:rPr>
      </w:pPr>
    </w:p>
    <w:p w14:paraId="3AE28AD2" w14:textId="77777777" w:rsidR="00F72DE4" w:rsidRDefault="00F72DE4" w:rsidP="00F72DE4">
      <w:pPr>
        <w:jc w:val="both"/>
        <w:rPr>
          <w:rFonts w:asciiTheme="minorHAnsi" w:hAnsiTheme="minorHAnsi" w:cstheme="minorHAnsi"/>
          <w:highlight w:val="yellow"/>
        </w:rPr>
      </w:pPr>
    </w:p>
    <w:p w14:paraId="1FF480F1" w14:textId="77777777" w:rsidR="00F7510F" w:rsidRDefault="00F7510F" w:rsidP="00F72DE4">
      <w:pPr>
        <w:jc w:val="both"/>
        <w:rPr>
          <w:rFonts w:asciiTheme="minorHAnsi" w:hAnsiTheme="minorHAnsi" w:cstheme="minorHAnsi"/>
          <w:highlight w:val="yellow"/>
        </w:rPr>
      </w:pPr>
    </w:p>
    <w:p w14:paraId="0203718D" w14:textId="77777777" w:rsidR="00F7510F" w:rsidRPr="00391416" w:rsidRDefault="00F7510F" w:rsidP="00F72DE4">
      <w:pPr>
        <w:jc w:val="both"/>
        <w:rPr>
          <w:rFonts w:asciiTheme="minorHAnsi" w:hAnsiTheme="minorHAnsi" w:cstheme="minorHAnsi"/>
          <w:highlight w:val="yellow"/>
        </w:rPr>
      </w:pPr>
    </w:p>
    <w:p w14:paraId="5927D316" w14:textId="77777777" w:rsidR="00F72DE4" w:rsidRPr="00391416" w:rsidRDefault="00F72DE4" w:rsidP="00F72DE4">
      <w:pPr>
        <w:jc w:val="both"/>
        <w:rPr>
          <w:rFonts w:asciiTheme="minorHAnsi" w:hAnsiTheme="minorHAnsi" w:cstheme="minorHAnsi"/>
          <w:highlight w:val="yellow"/>
        </w:rPr>
      </w:pPr>
    </w:p>
    <w:p w14:paraId="67D9DAEB" w14:textId="77777777" w:rsidR="00F72DE4" w:rsidRPr="00391416" w:rsidRDefault="00F72DE4" w:rsidP="00F72DE4">
      <w:pPr>
        <w:jc w:val="center"/>
        <w:rPr>
          <w:rFonts w:asciiTheme="minorHAnsi" w:hAnsiTheme="minorHAnsi" w:cstheme="minorHAnsi"/>
          <w:b/>
          <w:sz w:val="28"/>
          <w:szCs w:val="28"/>
        </w:rPr>
      </w:pPr>
      <w:r w:rsidRPr="00391416">
        <w:rPr>
          <w:rFonts w:asciiTheme="minorHAnsi" w:hAnsiTheme="minorHAnsi" w:cstheme="minorHAnsi"/>
          <w:b/>
          <w:sz w:val="28"/>
          <w:szCs w:val="28"/>
        </w:rPr>
        <w:lastRenderedPageBreak/>
        <w:t>I. Úvod</w:t>
      </w:r>
    </w:p>
    <w:p w14:paraId="2BB057BE" w14:textId="77777777" w:rsidR="00F72DE4" w:rsidRPr="00391416" w:rsidRDefault="00F72DE4" w:rsidP="00F72DE4">
      <w:pPr>
        <w:jc w:val="both"/>
        <w:rPr>
          <w:rFonts w:asciiTheme="minorHAnsi" w:hAnsiTheme="minorHAnsi" w:cstheme="minorHAnsi"/>
          <w:highlight w:val="green"/>
        </w:rPr>
      </w:pPr>
    </w:p>
    <w:p w14:paraId="2722DCDB" w14:textId="26EEDD0B" w:rsidR="00DF5324" w:rsidRDefault="00C4313F" w:rsidP="007A6454">
      <w:pPr>
        <w:spacing w:after="120"/>
        <w:jc w:val="both"/>
        <w:rPr>
          <w:rFonts w:asciiTheme="minorHAnsi" w:hAnsiTheme="minorHAnsi" w:cstheme="minorHAnsi"/>
        </w:rPr>
      </w:pPr>
      <w:proofErr w:type="spellStart"/>
      <w:r w:rsidRPr="002573E3">
        <w:rPr>
          <w:rFonts w:asciiTheme="minorHAnsi" w:hAnsiTheme="minorHAnsi" w:cstheme="minorHAnsi"/>
        </w:rPr>
        <w:t>MSp</w:t>
      </w:r>
      <w:proofErr w:type="spellEnd"/>
      <w:r w:rsidRPr="002573E3">
        <w:rPr>
          <w:rFonts w:asciiTheme="minorHAnsi" w:hAnsiTheme="minorHAnsi" w:cstheme="minorHAnsi"/>
        </w:rPr>
        <w:t xml:space="preserve"> bylo zřízeno zákonem č. 2/1969 Sb., o zřízení ministerstev a jiných ústředních orgánů státní správy České republiky</w:t>
      </w:r>
      <w:r w:rsidR="000501D0">
        <w:rPr>
          <w:rFonts w:asciiTheme="minorHAnsi" w:hAnsiTheme="minorHAnsi" w:cstheme="minorHAnsi"/>
        </w:rPr>
        <w:t xml:space="preserve">. </w:t>
      </w:r>
      <w:r w:rsidR="007A0F17">
        <w:rPr>
          <w:rFonts w:asciiTheme="minorHAnsi" w:hAnsiTheme="minorHAnsi" w:cstheme="minorHAnsi"/>
        </w:rPr>
        <w:t xml:space="preserve">Podle tohoto zákona je </w:t>
      </w:r>
      <w:proofErr w:type="spellStart"/>
      <w:r w:rsidRPr="00D37BF7">
        <w:rPr>
          <w:rFonts w:asciiTheme="minorHAnsi" w:hAnsiTheme="minorHAnsi" w:cstheme="minorHAnsi"/>
        </w:rPr>
        <w:t>MSp</w:t>
      </w:r>
      <w:proofErr w:type="spellEnd"/>
      <w:r w:rsidR="007A0F17">
        <w:rPr>
          <w:rFonts w:asciiTheme="minorHAnsi" w:hAnsiTheme="minorHAnsi" w:cstheme="minorHAnsi"/>
        </w:rPr>
        <w:t xml:space="preserve"> </w:t>
      </w:r>
      <w:r w:rsidRPr="00D37BF7">
        <w:rPr>
          <w:rFonts w:asciiTheme="minorHAnsi" w:hAnsiTheme="minorHAnsi" w:cstheme="minorHAnsi"/>
        </w:rPr>
        <w:t xml:space="preserve">ústředním orgánem státní správy pro soudy, státní zastupitelství, vězeňství, probaci a mediaci. </w:t>
      </w:r>
      <w:proofErr w:type="spellStart"/>
      <w:r w:rsidRPr="00D37BF7">
        <w:rPr>
          <w:rFonts w:asciiTheme="minorHAnsi" w:hAnsiTheme="minorHAnsi" w:cstheme="minorHAnsi"/>
        </w:rPr>
        <w:t>MSp</w:t>
      </w:r>
      <w:proofErr w:type="spellEnd"/>
      <w:r w:rsidRPr="00D37BF7">
        <w:rPr>
          <w:rFonts w:asciiTheme="minorHAnsi" w:hAnsiTheme="minorHAnsi" w:cstheme="minorHAnsi"/>
        </w:rPr>
        <w:t xml:space="preserve"> dále </w:t>
      </w:r>
      <w:r w:rsidR="00DB524A">
        <w:rPr>
          <w:rFonts w:asciiTheme="minorHAnsi" w:hAnsiTheme="minorHAnsi" w:cstheme="minorHAnsi"/>
        </w:rPr>
        <w:t>vyhotovuje</w:t>
      </w:r>
      <w:r w:rsidRPr="00D37BF7">
        <w:rPr>
          <w:rFonts w:asciiTheme="minorHAnsi" w:hAnsiTheme="minorHAnsi" w:cstheme="minorHAnsi"/>
        </w:rPr>
        <w:t xml:space="preserve"> právní posudky k úvěrovým a garančním dohodám, v nichž je sm</w:t>
      </w:r>
      <w:r w:rsidR="005758B2">
        <w:rPr>
          <w:rFonts w:asciiTheme="minorHAnsi" w:hAnsiTheme="minorHAnsi" w:cstheme="minorHAnsi"/>
        </w:rPr>
        <w:t>luvní stranou Česká republika</w:t>
      </w:r>
      <w:r w:rsidR="00DB524A">
        <w:rPr>
          <w:rFonts w:asciiTheme="minorHAnsi" w:hAnsiTheme="minorHAnsi" w:cstheme="minorHAnsi"/>
        </w:rPr>
        <w:t>,</w:t>
      </w:r>
      <w:r w:rsidR="005758B2">
        <w:rPr>
          <w:rFonts w:asciiTheme="minorHAnsi" w:hAnsiTheme="minorHAnsi" w:cstheme="minorHAnsi"/>
        </w:rPr>
        <w:t xml:space="preserve"> a </w:t>
      </w:r>
      <w:r w:rsidRPr="00D37BF7">
        <w:rPr>
          <w:rFonts w:asciiTheme="minorHAnsi" w:hAnsiTheme="minorHAnsi" w:cstheme="minorHAnsi"/>
        </w:rPr>
        <w:t xml:space="preserve">zastupuje Českou republiku při vyřizování stížností na porušení </w:t>
      </w:r>
      <w:r w:rsidRPr="00C869E4">
        <w:rPr>
          <w:rFonts w:asciiTheme="minorHAnsi" w:hAnsiTheme="minorHAnsi" w:cstheme="minorHAnsi"/>
          <w:i/>
        </w:rPr>
        <w:t>Úmluvy o ochraně lidských práv a základních svobod</w:t>
      </w:r>
      <w:r>
        <w:rPr>
          <w:rFonts w:asciiTheme="minorHAnsi" w:hAnsiTheme="minorHAnsi" w:cstheme="minorHAnsi"/>
        </w:rPr>
        <w:t xml:space="preserve"> a jejích </w:t>
      </w:r>
      <w:r w:rsidR="00DB524A">
        <w:rPr>
          <w:rFonts w:asciiTheme="minorHAnsi" w:hAnsiTheme="minorHAnsi" w:cstheme="minorHAnsi"/>
        </w:rPr>
        <w:t>p</w:t>
      </w:r>
      <w:r w:rsidRPr="00D37BF7">
        <w:rPr>
          <w:rFonts w:asciiTheme="minorHAnsi" w:hAnsiTheme="minorHAnsi" w:cstheme="minorHAnsi"/>
        </w:rPr>
        <w:t xml:space="preserve">rotokolů a </w:t>
      </w:r>
      <w:r w:rsidRPr="00C869E4">
        <w:rPr>
          <w:rFonts w:asciiTheme="minorHAnsi" w:hAnsiTheme="minorHAnsi" w:cstheme="minorHAnsi"/>
          <w:i/>
        </w:rPr>
        <w:t>Mezinárodního paktu o občanských a</w:t>
      </w:r>
      <w:r w:rsidR="00CE6FFD">
        <w:rPr>
          <w:rFonts w:asciiTheme="minorHAnsi" w:hAnsiTheme="minorHAnsi" w:cstheme="minorHAnsi"/>
          <w:i/>
        </w:rPr>
        <w:t> </w:t>
      </w:r>
      <w:r w:rsidRPr="00C869E4">
        <w:rPr>
          <w:rFonts w:asciiTheme="minorHAnsi" w:hAnsiTheme="minorHAnsi" w:cstheme="minorHAnsi"/>
          <w:i/>
        </w:rPr>
        <w:t>politických právech</w:t>
      </w:r>
      <w:r>
        <w:rPr>
          <w:rFonts w:asciiTheme="minorHAnsi" w:hAnsiTheme="minorHAnsi" w:cstheme="minorHAnsi"/>
        </w:rPr>
        <w:t xml:space="preserve"> a koordinuje provádění rozhodnutí příslušných mezinárodních orgánů</w:t>
      </w:r>
      <w:r w:rsidRPr="00D37BF7">
        <w:rPr>
          <w:rFonts w:asciiTheme="minorHAnsi" w:hAnsiTheme="minorHAnsi" w:cstheme="minorHAnsi"/>
        </w:rPr>
        <w:t xml:space="preserve">. </w:t>
      </w:r>
    </w:p>
    <w:p w14:paraId="7F7F864F" w14:textId="34A2B0EF" w:rsidR="00256A26" w:rsidRPr="00972381" w:rsidRDefault="00256A26" w:rsidP="007A6454">
      <w:pPr>
        <w:spacing w:after="120"/>
        <w:jc w:val="both"/>
        <w:rPr>
          <w:rFonts w:asciiTheme="minorHAnsi" w:hAnsiTheme="minorHAnsi" w:cstheme="minorHAnsi"/>
        </w:rPr>
      </w:pPr>
      <w:proofErr w:type="spellStart"/>
      <w:r w:rsidRPr="00D37BF7">
        <w:rPr>
          <w:rFonts w:asciiTheme="minorHAnsi" w:hAnsiTheme="minorHAnsi" w:cstheme="minorHAnsi"/>
        </w:rPr>
        <w:t>MSp</w:t>
      </w:r>
      <w:proofErr w:type="spellEnd"/>
      <w:r w:rsidRPr="00D37BF7">
        <w:rPr>
          <w:rFonts w:asciiTheme="minorHAnsi" w:hAnsiTheme="minorHAnsi" w:cstheme="minorHAnsi"/>
        </w:rPr>
        <w:t xml:space="preserve"> </w:t>
      </w:r>
      <w:r w:rsidR="00DF5324">
        <w:rPr>
          <w:rFonts w:asciiTheme="minorHAnsi" w:hAnsiTheme="minorHAnsi" w:cstheme="minorHAnsi"/>
        </w:rPr>
        <w:t xml:space="preserve">je </w:t>
      </w:r>
      <w:r w:rsidRPr="00D37BF7">
        <w:rPr>
          <w:rFonts w:asciiTheme="minorHAnsi" w:hAnsiTheme="minorHAnsi" w:cstheme="minorHAnsi"/>
        </w:rPr>
        <w:t xml:space="preserve">organizační </w:t>
      </w:r>
      <w:r w:rsidR="00DF5324">
        <w:rPr>
          <w:rFonts w:asciiTheme="minorHAnsi" w:hAnsiTheme="minorHAnsi" w:cstheme="minorHAnsi"/>
        </w:rPr>
        <w:t xml:space="preserve">složkou státu (dále také „OSS“), samostatnou účetní jednotkou a </w:t>
      </w:r>
      <w:r w:rsidRPr="00D37BF7">
        <w:rPr>
          <w:rFonts w:asciiTheme="minorHAnsi" w:hAnsiTheme="minorHAnsi" w:cstheme="minorHAnsi"/>
        </w:rPr>
        <w:t xml:space="preserve">správcem kapitoly </w:t>
      </w:r>
      <w:r w:rsidR="00DB524A">
        <w:rPr>
          <w:rFonts w:asciiTheme="minorHAnsi" w:hAnsiTheme="minorHAnsi" w:cstheme="minorHAnsi"/>
        </w:rPr>
        <w:t xml:space="preserve">státního rozpočtu </w:t>
      </w:r>
      <w:r w:rsidRPr="00D37BF7">
        <w:rPr>
          <w:rFonts w:asciiTheme="minorHAnsi" w:hAnsiTheme="minorHAnsi" w:cstheme="minorHAnsi"/>
        </w:rPr>
        <w:t xml:space="preserve">336 </w:t>
      </w:r>
      <w:r w:rsidR="00DF5324">
        <w:rPr>
          <w:rFonts w:asciiTheme="minorHAnsi" w:hAnsiTheme="minorHAnsi" w:cstheme="minorHAnsi"/>
        </w:rPr>
        <w:t xml:space="preserve">– </w:t>
      </w:r>
      <w:r w:rsidRPr="00DF5324">
        <w:rPr>
          <w:rFonts w:asciiTheme="minorHAnsi" w:hAnsiTheme="minorHAnsi" w:cstheme="minorHAnsi"/>
          <w:i/>
        </w:rPr>
        <w:t>M</w:t>
      </w:r>
      <w:r w:rsidR="00DF5324" w:rsidRPr="00DF5324">
        <w:rPr>
          <w:rFonts w:asciiTheme="minorHAnsi" w:hAnsiTheme="minorHAnsi" w:cstheme="minorHAnsi"/>
          <w:i/>
        </w:rPr>
        <w:t>inisterstvo spravedlnosti</w:t>
      </w:r>
      <w:r w:rsidR="00DF5324">
        <w:rPr>
          <w:rFonts w:asciiTheme="minorHAnsi" w:hAnsiTheme="minorHAnsi" w:cstheme="minorHAnsi"/>
        </w:rPr>
        <w:t xml:space="preserve"> </w:t>
      </w:r>
      <w:r w:rsidR="00DF5324" w:rsidRPr="001D1576">
        <w:rPr>
          <w:rFonts w:asciiTheme="minorHAnsi" w:hAnsiTheme="minorHAnsi" w:cstheme="minorHAnsi"/>
        </w:rPr>
        <w:t xml:space="preserve">(dále také „kapitola </w:t>
      </w:r>
      <w:proofErr w:type="spellStart"/>
      <w:r w:rsidR="00DF5324" w:rsidRPr="001D1576">
        <w:rPr>
          <w:rFonts w:asciiTheme="minorHAnsi" w:hAnsiTheme="minorHAnsi" w:cstheme="minorHAnsi"/>
        </w:rPr>
        <w:t>MSp</w:t>
      </w:r>
      <w:proofErr w:type="spellEnd"/>
      <w:r w:rsidR="00DF5324" w:rsidRPr="001D1576">
        <w:rPr>
          <w:rFonts w:asciiTheme="minorHAnsi" w:hAnsiTheme="minorHAnsi" w:cstheme="minorHAnsi"/>
        </w:rPr>
        <w:t>“)</w:t>
      </w:r>
      <w:r w:rsidRPr="009B7991">
        <w:rPr>
          <w:rFonts w:asciiTheme="minorHAnsi" w:hAnsiTheme="minorHAnsi" w:cstheme="minorHAnsi"/>
        </w:rPr>
        <w:t>.</w:t>
      </w:r>
      <w:r w:rsidR="00DF5324" w:rsidRPr="009B7991">
        <w:rPr>
          <w:rFonts w:asciiTheme="minorHAnsi" w:hAnsiTheme="minorHAnsi" w:cstheme="minorHAnsi"/>
        </w:rPr>
        <w:t xml:space="preserve"> </w:t>
      </w:r>
      <w:proofErr w:type="spellStart"/>
      <w:r w:rsidR="00DF5324" w:rsidRPr="009B7991">
        <w:rPr>
          <w:rFonts w:asciiTheme="minorHAnsi" w:hAnsiTheme="minorHAnsi" w:cstheme="minorHAnsi"/>
        </w:rPr>
        <w:t>MSp</w:t>
      </w:r>
      <w:proofErr w:type="spellEnd"/>
      <w:r w:rsidR="00992EAD">
        <w:rPr>
          <w:rFonts w:asciiTheme="minorHAnsi" w:hAnsiTheme="minorHAnsi" w:cstheme="minorHAnsi"/>
        </w:rPr>
        <w:t xml:space="preserve"> bylo k </w:t>
      </w:r>
      <w:r w:rsidR="00DF5324">
        <w:rPr>
          <w:rFonts w:asciiTheme="minorHAnsi" w:hAnsiTheme="minorHAnsi" w:cstheme="minorHAnsi"/>
        </w:rPr>
        <w:t>31. prosinci</w:t>
      </w:r>
      <w:r w:rsidRPr="00D37BF7">
        <w:rPr>
          <w:rFonts w:asciiTheme="minorHAnsi" w:hAnsiTheme="minorHAnsi" w:cstheme="minorHAnsi"/>
        </w:rPr>
        <w:t xml:space="preserve"> 2015 </w:t>
      </w:r>
      <w:r w:rsidRPr="00DF5324">
        <w:rPr>
          <w:rFonts w:asciiTheme="minorHAnsi" w:hAnsiTheme="minorHAnsi" w:cstheme="minorHAnsi"/>
        </w:rPr>
        <w:t xml:space="preserve">zřizovatelem </w:t>
      </w:r>
      <w:r w:rsidRPr="00057075">
        <w:rPr>
          <w:rFonts w:asciiTheme="minorHAnsi" w:hAnsiTheme="minorHAnsi" w:cstheme="minorHAnsi"/>
        </w:rPr>
        <w:t>11</w:t>
      </w:r>
      <w:r w:rsidR="00DF5324" w:rsidRPr="00057075">
        <w:rPr>
          <w:rFonts w:asciiTheme="minorHAnsi" w:hAnsiTheme="minorHAnsi" w:cstheme="minorHAnsi"/>
        </w:rPr>
        <w:t>4</w:t>
      </w:r>
      <w:r w:rsidRPr="00057075">
        <w:rPr>
          <w:rFonts w:asciiTheme="minorHAnsi" w:hAnsiTheme="minorHAnsi" w:cstheme="minorHAnsi"/>
        </w:rPr>
        <w:t xml:space="preserve"> </w:t>
      </w:r>
      <w:r w:rsidR="00DF5324" w:rsidRPr="00057075">
        <w:rPr>
          <w:rFonts w:asciiTheme="minorHAnsi" w:hAnsiTheme="minorHAnsi" w:cstheme="minorHAnsi"/>
        </w:rPr>
        <w:t>OSS</w:t>
      </w:r>
      <w:r w:rsidRPr="00057075">
        <w:rPr>
          <w:rFonts w:asciiTheme="minorHAnsi" w:hAnsiTheme="minorHAnsi" w:cstheme="minorHAnsi"/>
        </w:rPr>
        <w:t xml:space="preserve"> a 3 příspěvkových </w:t>
      </w:r>
      <w:r w:rsidRPr="00972381">
        <w:rPr>
          <w:rFonts w:asciiTheme="minorHAnsi" w:hAnsiTheme="minorHAnsi" w:cstheme="minorHAnsi"/>
        </w:rPr>
        <w:t>organizací.</w:t>
      </w:r>
    </w:p>
    <w:p w14:paraId="5A509336" w14:textId="77777777" w:rsidR="001C4A4A" w:rsidRDefault="001C4A4A" w:rsidP="00C4313F">
      <w:pPr>
        <w:spacing w:after="120"/>
        <w:jc w:val="both"/>
        <w:rPr>
          <w:rFonts w:asciiTheme="minorHAnsi" w:hAnsiTheme="minorHAnsi" w:cstheme="minorHAnsi"/>
        </w:rPr>
      </w:pPr>
      <w:r>
        <w:rPr>
          <w:rFonts w:asciiTheme="minorHAnsi" w:hAnsiTheme="minorHAnsi" w:cstheme="minorHAnsi"/>
        </w:rPr>
        <w:t>Podíl</w:t>
      </w:r>
      <w:r w:rsidR="00293BDF">
        <w:rPr>
          <w:rFonts w:asciiTheme="minorHAnsi" w:hAnsiTheme="minorHAnsi" w:cstheme="minorHAnsi"/>
        </w:rPr>
        <w:t xml:space="preserve"> </w:t>
      </w:r>
      <w:proofErr w:type="spellStart"/>
      <w:r w:rsidR="00293BDF">
        <w:rPr>
          <w:rFonts w:asciiTheme="minorHAnsi" w:hAnsiTheme="minorHAnsi" w:cstheme="minorHAnsi"/>
        </w:rPr>
        <w:t>MSp</w:t>
      </w:r>
      <w:proofErr w:type="spellEnd"/>
      <w:r w:rsidR="00293BDF">
        <w:rPr>
          <w:rFonts w:asciiTheme="minorHAnsi" w:hAnsiTheme="minorHAnsi" w:cstheme="minorHAnsi"/>
        </w:rPr>
        <w:t xml:space="preserve"> na aktivech (netto), nákladech, výnosech, příjmech a výdajích kapitoly </w:t>
      </w:r>
      <w:proofErr w:type="spellStart"/>
      <w:r w:rsidR="00293BDF">
        <w:rPr>
          <w:rFonts w:asciiTheme="minorHAnsi" w:hAnsiTheme="minorHAnsi" w:cstheme="minorHAnsi"/>
        </w:rPr>
        <w:t>MSp</w:t>
      </w:r>
      <w:proofErr w:type="spellEnd"/>
      <w:r w:rsidR="00293BDF">
        <w:rPr>
          <w:rFonts w:asciiTheme="minorHAnsi" w:hAnsiTheme="minorHAnsi" w:cstheme="minorHAnsi"/>
        </w:rPr>
        <w:t xml:space="preserve"> byl v roce 2015 následující:</w:t>
      </w:r>
    </w:p>
    <w:p w14:paraId="602C6B09" w14:textId="606A94AB" w:rsidR="00293BDF" w:rsidRDefault="004929E8" w:rsidP="002914FC">
      <w:pPr>
        <w:pStyle w:val="Odstavecseseznamem"/>
        <w:numPr>
          <w:ilvl w:val="0"/>
          <w:numId w:val="41"/>
        </w:numPr>
        <w:spacing w:line="264" w:lineRule="auto"/>
        <w:ind w:left="284" w:hanging="284"/>
        <w:jc w:val="both"/>
        <w:rPr>
          <w:rFonts w:asciiTheme="minorHAnsi" w:hAnsiTheme="minorHAnsi" w:cstheme="minorHAnsi"/>
        </w:rPr>
      </w:pPr>
      <w:r>
        <w:rPr>
          <w:rFonts w:asciiTheme="minorHAnsi" w:hAnsiTheme="minorHAnsi" w:cstheme="minorHAnsi"/>
        </w:rPr>
        <w:t>7</w:t>
      </w:r>
      <w:r w:rsidR="006A2B9E">
        <w:rPr>
          <w:rFonts w:asciiTheme="minorHAnsi" w:hAnsiTheme="minorHAnsi" w:cstheme="minorHAnsi"/>
        </w:rPr>
        <w:t>,</w:t>
      </w:r>
      <w:r>
        <w:rPr>
          <w:rFonts w:asciiTheme="minorHAnsi" w:hAnsiTheme="minorHAnsi" w:cstheme="minorHAnsi"/>
        </w:rPr>
        <w:t>78</w:t>
      </w:r>
      <w:r w:rsidR="006A2B9E">
        <w:rPr>
          <w:rFonts w:asciiTheme="minorHAnsi" w:hAnsiTheme="minorHAnsi" w:cstheme="minorHAnsi"/>
        </w:rPr>
        <w:t xml:space="preserve"> % </w:t>
      </w:r>
      <w:r w:rsidR="00CE6FFD">
        <w:rPr>
          <w:rFonts w:asciiTheme="minorHAnsi" w:hAnsiTheme="minorHAnsi" w:cstheme="minorHAnsi"/>
        </w:rPr>
        <w:t xml:space="preserve">u </w:t>
      </w:r>
      <w:r w:rsidR="006A2B9E">
        <w:rPr>
          <w:rFonts w:asciiTheme="minorHAnsi" w:hAnsiTheme="minorHAnsi" w:cstheme="minorHAnsi"/>
        </w:rPr>
        <w:t>aktiv netto,</w:t>
      </w:r>
    </w:p>
    <w:p w14:paraId="2313321B" w14:textId="73D647C6" w:rsidR="001D1576" w:rsidRDefault="006A2B9E" w:rsidP="002914FC">
      <w:pPr>
        <w:pStyle w:val="Odstavecseseznamem"/>
        <w:numPr>
          <w:ilvl w:val="0"/>
          <w:numId w:val="41"/>
        </w:numPr>
        <w:spacing w:line="264" w:lineRule="auto"/>
        <w:ind w:left="284" w:hanging="284"/>
        <w:jc w:val="both"/>
        <w:rPr>
          <w:rFonts w:asciiTheme="minorHAnsi" w:hAnsiTheme="minorHAnsi" w:cstheme="minorHAnsi"/>
        </w:rPr>
      </w:pPr>
      <w:r w:rsidRPr="001D1576">
        <w:rPr>
          <w:rFonts w:asciiTheme="minorHAnsi" w:hAnsiTheme="minorHAnsi" w:cstheme="minorHAnsi"/>
        </w:rPr>
        <w:t xml:space="preserve">3,79 % </w:t>
      </w:r>
      <w:r w:rsidR="00CE6FFD">
        <w:rPr>
          <w:rFonts w:asciiTheme="minorHAnsi" w:hAnsiTheme="minorHAnsi" w:cstheme="minorHAnsi"/>
        </w:rPr>
        <w:t xml:space="preserve">u </w:t>
      </w:r>
      <w:r w:rsidRPr="001D1576">
        <w:rPr>
          <w:rFonts w:asciiTheme="minorHAnsi" w:hAnsiTheme="minorHAnsi" w:cstheme="minorHAnsi"/>
        </w:rPr>
        <w:t>nákladů z hlavní činnosti</w:t>
      </w:r>
      <w:r w:rsidR="001D1576">
        <w:rPr>
          <w:rFonts w:asciiTheme="minorHAnsi" w:hAnsiTheme="minorHAnsi" w:cstheme="minorHAnsi"/>
        </w:rPr>
        <w:t>,</w:t>
      </w:r>
    </w:p>
    <w:p w14:paraId="3275F69F" w14:textId="7E8C6718" w:rsidR="006A2B9E" w:rsidRPr="003566D0" w:rsidRDefault="006A2B9E" w:rsidP="002914FC">
      <w:pPr>
        <w:pStyle w:val="Odstavecseseznamem"/>
        <w:numPr>
          <w:ilvl w:val="0"/>
          <w:numId w:val="41"/>
        </w:numPr>
        <w:spacing w:line="264" w:lineRule="auto"/>
        <w:ind w:left="284" w:hanging="284"/>
        <w:jc w:val="both"/>
        <w:rPr>
          <w:rFonts w:asciiTheme="minorHAnsi" w:hAnsiTheme="minorHAnsi" w:cstheme="minorHAnsi"/>
        </w:rPr>
      </w:pPr>
      <w:r w:rsidRPr="009B7991">
        <w:rPr>
          <w:rFonts w:asciiTheme="minorHAnsi" w:hAnsiTheme="minorHAnsi" w:cstheme="minorHAnsi"/>
        </w:rPr>
        <w:t>0</w:t>
      </w:r>
      <w:r w:rsidRPr="003566D0">
        <w:rPr>
          <w:rFonts w:asciiTheme="minorHAnsi" w:hAnsiTheme="minorHAnsi" w:cstheme="minorHAnsi"/>
        </w:rPr>
        <w:t xml:space="preserve">,74 % </w:t>
      </w:r>
      <w:r w:rsidR="00CE6FFD">
        <w:rPr>
          <w:rFonts w:asciiTheme="minorHAnsi" w:hAnsiTheme="minorHAnsi" w:cstheme="minorHAnsi"/>
        </w:rPr>
        <w:t xml:space="preserve">u </w:t>
      </w:r>
      <w:r w:rsidRPr="003566D0">
        <w:rPr>
          <w:rFonts w:asciiTheme="minorHAnsi" w:hAnsiTheme="minorHAnsi" w:cstheme="minorHAnsi"/>
        </w:rPr>
        <w:t>výnosů z hlavní činnosti,</w:t>
      </w:r>
    </w:p>
    <w:p w14:paraId="7283102B" w14:textId="6B5C00C6" w:rsidR="006A2B9E" w:rsidRDefault="006A2B9E" w:rsidP="009B7991">
      <w:pPr>
        <w:pStyle w:val="Odstavecseseznamem"/>
        <w:numPr>
          <w:ilvl w:val="0"/>
          <w:numId w:val="9"/>
        </w:numPr>
        <w:spacing w:line="264" w:lineRule="auto"/>
        <w:ind w:left="284" w:hanging="284"/>
        <w:jc w:val="both"/>
        <w:rPr>
          <w:rFonts w:asciiTheme="minorHAnsi" w:hAnsiTheme="minorHAnsi" w:cstheme="minorHAnsi"/>
        </w:rPr>
      </w:pPr>
      <w:r>
        <w:rPr>
          <w:rFonts w:asciiTheme="minorHAnsi" w:hAnsiTheme="minorHAnsi" w:cstheme="minorHAnsi"/>
        </w:rPr>
        <w:t xml:space="preserve">3,13 % </w:t>
      </w:r>
      <w:r w:rsidR="00CE6FFD">
        <w:rPr>
          <w:rFonts w:asciiTheme="minorHAnsi" w:hAnsiTheme="minorHAnsi" w:cstheme="minorHAnsi"/>
        </w:rPr>
        <w:t xml:space="preserve">u </w:t>
      </w:r>
      <w:r>
        <w:rPr>
          <w:rFonts w:asciiTheme="minorHAnsi" w:hAnsiTheme="minorHAnsi" w:cstheme="minorHAnsi"/>
        </w:rPr>
        <w:t>příjmů,</w:t>
      </w:r>
    </w:p>
    <w:p w14:paraId="29103CBB" w14:textId="43968BEA" w:rsidR="006A2B9E" w:rsidRDefault="006A2B9E" w:rsidP="007A6454">
      <w:pPr>
        <w:pStyle w:val="Odstavecseseznamem"/>
        <w:numPr>
          <w:ilvl w:val="0"/>
          <w:numId w:val="9"/>
        </w:numPr>
        <w:spacing w:after="120" w:line="264" w:lineRule="auto"/>
        <w:ind w:left="284" w:hanging="284"/>
        <w:jc w:val="both"/>
        <w:rPr>
          <w:rFonts w:asciiTheme="minorHAnsi" w:hAnsiTheme="minorHAnsi" w:cstheme="minorHAnsi"/>
        </w:rPr>
      </w:pPr>
      <w:r>
        <w:rPr>
          <w:rFonts w:asciiTheme="minorHAnsi" w:hAnsiTheme="minorHAnsi" w:cstheme="minorHAnsi"/>
        </w:rPr>
        <w:t xml:space="preserve">3,84 % </w:t>
      </w:r>
      <w:r w:rsidR="00CE6FFD">
        <w:rPr>
          <w:rFonts w:asciiTheme="minorHAnsi" w:hAnsiTheme="minorHAnsi" w:cstheme="minorHAnsi"/>
        </w:rPr>
        <w:t xml:space="preserve">u </w:t>
      </w:r>
      <w:r>
        <w:rPr>
          <w:rFonts w:asciiTheme="minorHAnsi" w:hAnsiTheme="minorHAnsi" w:cstheme="minorHAnsi"/>
        </w:rPr>
        <w:t>výdajů.</w:t>
      </w:r>
    </w:p>
    <w:p w14:paraId="6EF69631" w14:textId="77777777" w:rsidR="00E82499" w:rsidRPr="000A5EB3" w:rsidRDefault="000A5EB3" w:rsidP="007A6454">
      <w:pPr>
        <w:spacing w:after="120"/>
        <w:jc w:val="both"/>
        <w:rPr>
          <w:rFonts w:asciiTheme="minorHAnsi" w:hAnsiTheme="minorHAnsi" w:cstheme="minorHAnsi"/>
        </w:rPr>
      </w:pPr>
      <w:r w:rsidRPr="000A5EB3">
        <w:rPr>
          <w:rFonts w:asciiTheme="minorHAnsi" w:hAnsiTheme="minorHAnsi" w:cstheme="minorHAnsi"/>
        </w:rPr>
        <w:t>Ko</w:t>
      </w:r>
      <w:r>
        <w:rPr>
          <w:rFonts w:asciiTheme="minorHAnsi" w:hAnsiTheme="minorHAnsi" w:cstheme="minorHAnsi"/>
        </w:rPr>
        <w:t xml:space="preserve">ntrolovány byly činnosti a skutečnosti, které byly předmětem účetnictví </w:t>
      </w:r>
      <w:proofErr w:type="spellStart"/>
      <w:r>
        <w:rPr>
          <w:rFonts w:asciiTheme="minorHAnsi" w:hAnsiTheme="minorHAnsi" w:cstheme="minorHAnsi"/>
        </w:rPr>
        <w:t>MSp</w:t>
      </w:r>
      <w:proofErr w:type="spellEnd"/>
      <w:r>
        <w:rPr>
          <w:rFonts w:asciiTheme="minorHAnsi" w:hAnsiTheme="minorHAnsi" w:cstheme="minorHAnsi"/>
        </w:rPr>
        <w:t xml:space="preserve"> a měly vliv na hodnoty kontrolovaných významných konečných zůstatků </w:t>
      </w:r>
      <w:r w:rsidR="00992EAD">
        <w:rPr>
          <w:rFonts w:asciiTheme="minorHAnsi" w:hAnsiTheme="minorHAnsi" w:cstheme="minorHAnsi"/>
        </w:rPr>
        <w:t xml:space="preserve">účtů v účetní závěrce </w:t>
      </w:r>
      <w:proofErr w:type="spellStart"/>
      <w:r w:rsidR="00992EAD">
        <w:rPr>
          <w:rFonts w:asciiTheme="minorHAnsi" w:hAnsiTheme="minorHAnsi" w:cstheme="minorHAnsi"/>
        </w:rPr>
        <w:t>MSp</w:t>
      </w:r>
      <w:proofErr w:type="spellEnd"/>
      <w:r w:rsidR="00992EAD">
        <w:rPr>
          <w:rFonts w:asciiTheme="minorHAnsi" w:hAnsiTheme="minorHAnsi" w:cstheme="minorHAnsi"/>
        </w:rPr>
        <w:t xml:space="preserve"> k 31. </w:t>
      </w:r>
      <w:r>
        <w:rPr>
          <w:rFonts w:asciiTheme="minorHAnsi" w:hAnsiTheme="minorHAnsi" w:cstheme="minorHAnsi"/>
        </w:rPr>
        <w:t xml:space="preserve">prosinci 2015 (dále také „ÚZ“). </w:t>
      </w:r>
    </w:p>
    <w:p w14:paraId="04ECC1DA" w14:textId="794AB1E8" w:rsidR="00BB495A" w:rsidRPr="00BB495A" w:rsidRDefault="00BB495A" w:rsidP="00BB495A">
      <w:pPr>
        <w:spacing w:after="120"/>
        <w:jc w:val="both"/>
        <w:rPr>
          <w:rFonts w:asciiTheme="minorHAnsi" w:hAnsiTheme="minorHAnsi" w:cstheme="minorHAnsi"/>
        </w:rPr>
      </w:pPr>
      <w:r w:rsidRPr="00BB495A">
        <w:rPr>
          <w:rFonts w:asciiTheme="minorHAnsi" w:hAnsiTheme="minorHAnsi" w:cstheme="minorHAnsi"/>
        </w:rPr>
        <w:t>Informace z účetnictví a z účetních závěrek jsou základním informačním zdrojem zejména pro operativní i strategické řízení na úrovni účetních jednotek i státu a administrativním zdrojem dat pro účely statistik. Mají význam i při modelování procesů veřejné správy</w:t>
      </w:r>
      <w:r w:rsidR="00731317">
        <w:rPr>
          <w:rStyle w:val="Znakapoznpodarou"/>
          <w:rFonts w:asciiTheme="minorHAnsi" w:hAnsiTheme="minorHAnsi" w:cstheme="minorHAnsi"/>
        </w:rPr>
        <w:footnoteReference w:id="1"/>
      </w:r>
      <w:r w:rsidR="000501D0">
        <w:rPr>
          <w:rFonts w:asciiTheme="minorHAnsi" w:hAnsiTheme="minorHAnsi" w:cstheme="minorHAnsi"/>
        </w:rPr>
        <w:t xml:space="preserve">, </w:t>
      </w:r>
      <w:r w:rsidRPr="00BB495A">
        <w:rPr>
          <w:rFonts w:asciiTheme="minorHAnsi" w:hAnsiTheme="minorHAnsi" w:cstheme="minorHAnsi"/>
        </w:rPr>
        <w:t xml:space="preserve">a to pro určení nákladovosti </w:t>
      </w:r>
      <w:r>
        <w:rPr>
          <w:rFonts w:asciiTheme="minorHAnsi" w:hAnsiTheme="minorHAnsi" w:cstheme="minorHAnsi"/>
        </w:rPr>
        <w:t>jednotlivých vykonávaných agend</w:t>
      </w:r>
      <w:r w:rsidR="00731317">
        <w:rPr>
          <w:rStyle w:val="Znakapoznpodarou"/>
          <w:rFonts w:asciiTheme="minorHAnsi" w:hAnsiTheme="minorHAnsi" w:cstheme="minorHAnsi"/>
        </w:rPr>
        <w:footnoteReference w:id="2"/>
      </w:r>
      <w:r w:rsidRPr="00BB495A">
        <w:rPr>
          <w:rFonts w:asciiTheme="minorHAnsi" w:hAnsiTheme="minorHAnsi" w:cstheme="minorHAnsi"/>
        </w:rPr>
        <w:t>. Nákladovo</w:t>
      </w:r>
      <w:r w:rsidR="00992EAD">
        <w:rPr>
          <w:rFonts w:asciiTheme="minorHAnsi" w:hAnsiTheme="minorHAnsi" w:cstheme="minorHAnsi"/>
        </w:rPr>
        <w:t>st (a její srovnání v letech) a </w:t>
      </w:r>
      <w:r w:rsidRPr="00BB495A">
        <w:rPr>
          <w:rFonts w:asciiTheme="minorHAnsi" w:hAnsiTheme="minorHAnsi" w:cstheme="minorHAnsi"/>
        </w:rPr>
        <w:t>efektivnost činnosti (vyjádřen</w:t>
      </w:r>
      <w:r w:rsidR="00CE6FFD">
        <w:rPr>
          <w:rFonts w:asciiTheme="minorHAnsi" w:hAnsiTheme="minorHAnsi" w:cstheme="minorHAnsi"/>
        </w:rPr>
        <w:t>á</w:t>
      </w:r>
      <w:r w:rsidRPr="00BB495A">
        <w:rPr>
          <w:rFonts w:asciiTheme="minorHAnsi" w:hAnsiTheme="minorHAnsi" w:cstheme="minorHAnsi"/>
        </w:rPr>
        <w:t xml:space="preserve"> dosaženým efektem na jednotku nákladů) jsou možnosti, jak v souladu s přílohou č. 1 vyhl</w:t>
      </w:r>
      <w:r>
        <w:rPr>
          <w:rFonts w:asciiTheme="minorHAnsi" w:hAnsiTheme="minorHAnsi" w:cstheme="minorHAnsi"/>
        </w:rPr>
        <w:t>ášky</w:t>
      </w:r>
      <w:r w:rsidRPr="00BB495A">
        <w:rPr>
          <w:rFonts w:asciiTheme="minorHAnsi" w:hAnsiTheme="minorHAnsi" w:cstheme="minorHAnsi"/>
        </w:rPr>
        <w:t xml:space="preserve"> č. 419/2001 Sb., o rozsahu, struktuře a termínech údajů předkládaných pro vypracování návrhu státního závěrečného účtu a o rozsahu a termínech sestavení návrhů závěrečných účtů kapitol státního rozpočtu</w:t>
      </w:r>
      <w:r>
        <w:rPr>
          <w:rFonts w:asciiTheme="minorHAnsi" w:hAnsiTheme="minorHAnsi" w:cstheme="minorHAnsi"/>
        </w:rPr>
        <w:t>,</w:t>
      </w:r>
      <w:r w:rsidRPr="00BB495A">
        <w:rPr>
          <w:rFonts w:asciiTheme="minorHAnsi" w:hAnsiTheme="minorHAnsi" w:cstheme="minorHAnsi"/>
        </w:rPr>
        <w:t xml:space="preserve"> naplnit povinnost stanovenou jednotlivým správcům kapitol státního rozpočtu</w:t>
      </w:r>
      <w:r w:rsidR="00731317">
        <w:rPr>
          <w:rFonts w:asciiTheme="minorHAnsi" w:hAnsiTheme="minorHAnsi" w:cstheme="minorHAnsi"/>
        </w:rPr>
        <w:t xml:space="preserve"> </w:t>
      </w:r>
      <w:r w:rsidR="00992EAD">
        <w:rPr>
          <w:rFonts w:asciiTheme="minorHAnsi" w:hAnsiTheme="minorHAnsi" w:cstheme="minorHAnsi"/>
        </w:rPr>
        <w:t>–</w:t>
      </w:r>
      <w:r w:rsidRPr="00BB495A">
        <w:rPr>
          <w:rFonts w:asciiTheme="minorHAnsi" w:hAnsiTheme="minorHAnsi" w:cstheme="minorHAnsi"/>
        </w:rPr>
        <w:t xml:space="preserve"> hodnotit v závěrečném účtu hospodárnost, efektivnost a účelnost vynakládání výdajů kapitoly.</w:t>
      </w:r>
    </w:p>
    <w:p w14:paraId="09D578FA" w14:textId="77777777" w:rsidR="00BB495A" w:rsidRDefault="00BB495A" w:rsidP="00BB495A">
      <w:pPr>
        <w:spacing w:after="120"/>
        <w:jc w:val="both"/>
        <w:rPr>
          <w:rFonts w:asciiTheme="minorHAnsi" w:hAnsiTheme="minorHAnsi" w:cstheme="minorHAnsi"/>
        </w:rPr>
      </w:pPr>
      <w:r w:rsidRPr="00BB495A">
        <w:rPr>
          <w:rFonts w:asciiTheme="minorHAnsi" w:hAnsiTheme="minorHAnsi" w:cstheme="minorHAnsi"/>
        </w:rPr>
        <w:t>Z uvedených důvodů je důležitá spolehlivost údajů z účetnictví a účetních závěrek.</w:t>
      </w:r>
    </w:p>
    <w:p w14:paraId="5D8ECBCF" w14:textId="419813CE" w:rsidR="000A5EB3" w:rsidRDefault="00FD1A4C" w:rsidP="00EF393E">
      <w:pPr>
        <w:jc w:val="both"/>
        <w:rPr>
          <w:rFonts w:asciiTheme="minorHAnsi" w:hAnsiTheme="minorHAnsi" w:cstheme="minorHAnsi"/>
        </w:rPr>
      </w:pPr>
      <w:proofErr w:type="spellStart"/>
      <w:r w:rsidRPr="006C7FD6">
        <w:rPr>
          <w:rFonts w:asciiTheme="minorHAnsi" w:hAnsiTheme="minorHAnsi" w:cstheme="minorHAnsi"/>
        </w:rPr>
        <w:lastRenderedPageBreak/>
        <w:t>MSp</w:t>
      </w:r>
      <w:proofErr w:type="spellEnd"/>
      <w:r w:rsidRPr="006C7FD6">
        <w:rPr>
          <w:rFonts w:asciiTheme="minorHAnsi" w:hAnsiTheme="minorHAnsi" w:cstheme="minorHAnsi"/>
        </w:rPr>
        <w:t xml:space="preserve"> sestavilo </w:t>
      </w:r>
      <w:r w:rsidR="004C15E1">
        <w:rPr>
          <w:rFonts w:asciiTheme="minorHAnsi" w:hAnsiTheme="minorHAnsi" w:cstheme="minorHAnsi"/>
        </w:rPr>
        <w:t>ÚZ</w:t>
      </w:r>
      <w:r w:rsidRPr="006C7FD6">
        <w:rPr>
          <w:rFonts w:asciiTheme="minorHAnsi" w:hAnsiTheme="minorHAnsi" w:cstheme="minorHAnsi"/>
        </w:rPr>
        <w:t xml:space="preserve"> v rozsahu dle</w:t>
      </w:r>
      <w:r w:rsidR="004C15E1">
        <w:rPr>
          <w:rFonts w:asciiTheme="minorHAnsi" w:hAnsiTheme="minorHAnsi" w:cstheme="minorHAnsi"/>
        </w:rPr>
        <w:t xml:space="preserve"> ustanovení</w:t>
      </w:r>
      <w:r w:rsidRPr="006C7FD6">
        <w:rPr>
          <w:rFonts w:asciiTheme="minorHAnsi" w:hAnsiTheme="minorHAnsi" w:cstheme="minorHAnsi"/>
        </w:rPr>
        <w:t xml:space="preserve"> </w:t>
      </w:r>
      <w:r w:rsidRPr="006C7FD6">
        <w:rPr>
          <w:rFonts w:asciiTheme="minorHAnsi" w:hAnsiTheme="minorHAnsi" w:cstheme="minorHAnsi"/>
          <w:bCs/>
        </w:rPr>
        <w:t xml:space="preserve">§ 18 odst. 1 </w:t>
      </w:r>
      <w:r w:rsidR="004C15E1">
        <w:rPr>
          <w:rFonts w:asciiTheme="minorHAnsi" w:hAnsiTheme="minorHAnsi" w:cstheme="minorHAnsi"/>
          <w:bCs/>
        </w:rPr>
        <w:t xml:space="preserve">zákona č. 563/1991 Sb., o </w:t>
      </w:r>
      <w:r w:rsidRPr="006C7FD6">
        <w:rPr>
          <w:rFonts w:asciiTheme="minorHAnsi" w:hAnsiTheme="minorHAnsi" w:cstheme="minorHAnsi"/>
          <w:bCs/>
        </w:rPr>
        <w:t>účetnictví,</w:t>
      </w:r>
      <w:r w:rsidR="007A6454">
        <w:rPr>
          <w:rFonts w:asciiTheme="minorHAnsi" w:hAnsiTheme="minorHAnsi" w:cstheme="minorHAnsi"/>
          <w:bCs/>
        </w:rPr>
        <w:t xml:space="preserve"> </w:t>
      </w:r>
      <w:r w:rsidRPr="006C7FD6">
        <w:rPr>
          <w:rFonts w:asciiTheme="minorHAnsi" w:hAnsiTheme="minorHAnsi" w:cstheme="minorHAnsi"/>
          <w:bCs/>
        </w:rPr>
        <w:t xml:space="preserve">tj. sestavilo </w:t>
      </w:r>
      <w:r w:rsidR="004C15E1">
        <w:rPr>
          <w:rFonts w:asciiTheme="minorHAnsi" w:hAnsiTheme="minorHAnsi" w:cstheme="minorHAnsi"/>
          <w:bCs/>
        </w:rPr>
        <w:t>r</w:t>
      </w:r>
      <w:r w:rsidRPr="006C7FD6">
        <w:rPr>
          <w:rFonts w:asciiTheme="minorHAnsi" w:hAnsiTheme="minorHAnsi" w:cstheme="minorHAnsi"/>
          <w:bCs/>
        </w:rPr>
        <w:t xml:space="preserve">ozvahu, </w:t>
      </w:r>
      <w:r w:rsidR="004C15E1">
        <w:rPr>
          <w:rFonts w:asciiTheme="minorHAnsi" w:hAnsiTheme="minorHAnsi" w:cstheme="minorHAnsi"/>
          <w:bCs/>
        </w:rPr>
        <w:t>v</w:t>
      </w:r>
      <w:r w:rsidRPr="006C7FD6">
        <w:rPr>
          <w:rFonts w:asciiTheme="minorHAnsi" w:hAnsiTheme="minorHAnsi" w:cstheme="minorHAnsi"/>
          <w:bCs/>
        </w:rPr>
        <w:t xml:space="preserve">ýkaz zisku a ztráty a </w:t>
      </w:r>
      <w:r w:rsidR="004C15E1">
        <w:rPr>
          <w:rFonts w:asciiTheme="minorHAnsi" w:hAnsiTheme="minorHAnsi" w:cstheme="minorHAnsi"/>
          <w:bCs/>
        </w:rPr>
        <w:t>p</w:t>
      </w:r>
      <w:r w:rsidRPr="006C7FD6">
        <w:rPr>
          <w:rFonts w:asciiTheme="minorHAnsi" w:hAnsiTheme="minorHAnsi" w:cstheme="minorHAnsi"/>
          <w:bCs/>
        </w:rPr>
        <w:t>řílohu</w:t>
      </w:r>
      <w:r w:rsidR="00C76F42">
        <w:rPr>
          <w:rFonts w:asciiTheme="minorHAnsi" w:hAnsiTheme="minorHAnsi" w:cstheme="minorHAnsi"/>
          <w:bCs/>
        </w:rPr>
        <w:t xml:space="preserve"> ÚZ</w:t>
      </w:r>
      <w:r w:rsidRPr="006C7FD6">
        <w:rPr>
          <w:rFonts w:asciiTheme="minorHAnsi" w:hAnsiTheme="minorHAnsi" w:cstheme="minorHAnsi"/>
          <w:bCs/>
        </w:rPr>
        <w:t>. Ta</w:t>
      </w:r>
      <w:r w:rsidR="004C15E1">
        <w:rPr>
          <w:rFonts w:asciiTheme="minorHAnsi" w:hAnsiTheme="minorHAnsi" w:cstheme="minorHAnsi"/>
          <w:bCs/>
        </w:rPr>
        <w:t xml:space="preserve">to ÚZ </w:t>
      </w:r>
      <w:r w:rsidRPr="006C7FD6">
        <w:rPr>
          <w:rFonts w:asciiTheme="minorHAnsi" w:hAnsiTheme="minorHAnsi" w:cstheme="minorHAnsi"/>
          <w:bCs/>
        </w:rPr>
        <w:t>obsahovala veškeré náležitosti dle</w:t>
      </w:r>
      <w:r w:rsidR="004C15E1">
        <w:rPr>
          <w:rFonts w:asciiTheme="minorHAnsi" w:hAnsiTheme="minorHAnsi" w:cstheme="minorHAnsi"/>
          <w:bCs/>
        </w:rPr>
        <w:t xml:space="preserve"> ustanovení</w:t>
      </w:r>
      <w:r w:rsidRPr="006C7FD6">
        <w:rPr>
          <w:rFonts w:asciiTheme="minorHAnsi" w:hAnsiTheme="minorHAnsi" w:cstheme="minorHAnsi"/>
          <w:bCs/>
        </w:rPr>
        <w:t xml:space="preserve"> § 18 odst. 2 zákona o účetnictví</w:t>
      </w:r>
      <w:r w:rsidRPr="006C7FD6">
        <w:rPr>
          <w:rFonts w:asciiTheme="minorHAnsi" w:hAnsiTheme="minorHAnsi" w:cstheme="minorHAnsi"/>
        </w:rPr>
        <w:t>.</w:t>
      </w:r>
    </w:p>
    <w:p w14:paraId="4A2DBEDB" w14:textId="77777777" w:rsidR="004929E8" w:rsidRPr="001C4A4A" w:rsidRDefault="004929E8" w:rsidP="00F72DE4">
      <w:pPr>
        <w:pStyle w:val="NormlnKZ"/>
        <w:spacing w:after="0"/>
        <w:ind w:firstLine="0"/>
        <w:rPr>
          <w:rFonts w:asciiTheme="minorHAnsi" w:hAnsiTheme="minorHAnsi" w:cstheme="minorHAnsi"/>
          <w:b/>
          <w:sz w:val="24"/>
          <w:highlight w:val="yellow"/>
        </w:rPr>
      </w:pPr>
    </w:p>
    <w:p w14:paraId="094230D7" w14:textId="483D3FDF" w:rsidR="004929E8" w:rsidRPr="004929E8" w:rsidRDefault="004929E8" w:rsidP="00F470EA">
      <w:pPr>
        <w:pStyle w:val="Titulek"/>
        <w:tabs>
          <w:tab w:val="right" w:pos="9072"/>
        </w:tabs>
        <w:spacing w:before="0" w:after="0"/>
        <w:rPr>
          <w:rFonts w:asciiTheme="minorHAnsi" w:hAnsiTheme="minorHAnsi" w:cstheme="minorHAnsi"/>
          <w:b w:val="0"/>
          <w:sz w:val="24"/>
          <w:szCs w:val="24"/>
        </w:rPr>
      </w:pPr>
      <w:r w:rsidRPr="004929E8">
        <w:rPr>
          <w:rFonts w:asciiTheme="minorHAnsi" w:hAnsiTheme="minorHAnsi" w:cstheme="minorHAnsi"/>
          <w:bCs w:val="0"/>
          <w:sz w:val="24"/>
          <w:szCs w:val="24"/>
        </w:rPr>
        <w:t xml:space="preserve">Tabulka č. </w:t>
      </w:r>
      <w:r w:rsidR="003566D0">
        <w:rPr>
          <w:rFonts w:asciiTheme="minorHAnsi" w:hAnsiTheme="minorHAnsi" w:cstheme="minorHAnsi"/>
          <w:bCs w:val="0"/>
          <w:sz w:val="24"/>
          <w:szCs w:val="24"/>
        </w:rPr>
        <w:t>1</w:t>
      </w:r>
      <w:r w:rsidRPr="004929E8">
        <w:rPr>
          <w:rFonts w:asciiTheme="minorHAnsi" w:hAnsiTheme="minorHAnsi" w:cstheme="minorHAnsi"/>
          <w:b w:val="0"/>
          <w:bCs w:val="0"/>
          <w:sz w:val="24"/>
          <w:szCs w:val="24"/>
        </w:rPr>
        <w:t xml:space="preserve"> </w:t>
      </w:r>
      <w:r w:rsidRPr="004929E8">
        <w:rPr>
          <w:rFonts w:asciiTheme="minorHAnsi" w:hAnsiTheme="minorHAnsi" w:cstheme="minorHAnsi"/>
          <w:bCs w:val="0"/>
          <w:sz w:val="24"/>
          <w:szCs w:val="24"/>
        </w:rPr>
        <w:t>–</w:t>
      </w:r>
      <w:r w:rsidRPr="004929E8">
        <w:rPr>
          <w:rFonts w:asciiTheme="minorHAnsi" w:hAnsiTheme="minorHAnsi" w:cstheme="minorHAnsi"/>
          <w:b w:val="0"/>
          <w:bCs w:val="0"/>
          <w:sz w:val="24"/>
          <w:szCs w:val="24"/>
        </w:rPr>
        <w:t xml:space="preserve"> </w:t>
      </w:r>
      <w:r w:rsidRPr="004929E8">
        <w:rPr>
          <w:rFonts w:asciiTheme="minorHAnsi" w:hAnsiTheme="minorHAnsi" w:cstheme="minorHAnsi"/>
          <w:sz w:val="24"/>
          <w:szCs w:val="24"/>
        </w:rPr>
        <w:t>Údaje za běžné účetní období z </w:t>
      </w:r>
      <w:r w:rsidRPr="004929E8">
        <w:rPr>
          <w:rFonts w:asciiTheme="minorHAnsi" w:hAnsiTheme="minorHAnsi" w:cstheme="minorHAnsi"/>
          <w:iCs/>
          <w:sz w:val="24"/>
          <w:szCs w:val="24"/>
        </w:rPr>
        <w:t>výkazu rozvaha</w:t>
      </w:r>
      <w:r w:rsidRPr="004929E8">
        <w:rPr>
          <w:rFonts w:asciiTheme="minorHAnsi" w:hAnsiTheme="minorHAnsi" w:cstheme="minorHAnsi"/>
          <w:i/>
          <w:iCs/>
          <w:sz w:val="24"/>
          <w:szCs w:val="24"/>
        </w:rPr>
        <w:t xml:space="preserve"> </w:t>
      </w:r>
      <w:r w:rsidRPr="004929E8">
        <w:rPr>
          <w:rFonts w:asciiTheme="minorHAnsi" w:hAnsiTheme="minorHAnsi" w:cstheme="minorHAnsi"/>
          <w:sz w:val="24"/>
          <w:szCs w:val="24"/>
        </w:rPr>
        <w:t xml:space="preserve">k 31. prosinci 2015 </w:t>
      </w:r>
      <w:r w:rsidR="00F470EA">
        <w:rPr>
          <w:rFonts w:asciiTheme="minorHAnsi" w:hAnsiTheme="minorHAnsi" w:cstheme="minorHAnsi"/>
          <w:sz w:val="24"/>
          <w:szCs w:val="24"/>
        </w:rPr>
        <w:tab/>
      </w:r>
      <w:r w:rsidRPr="004929E8">
        <w:rPr>
          <w:rFonts w:asciiTheme="minorHAnsi" w:hAnsiTheme="minorHAnsi" w:cstheme="minorHAnsi"/>
          <w:sz w:val="24"/>
          <w:szCs w:val="24"/>
        </w:rPr>
        <w:t>(v Kč)</w:t>
      </w:r>
    </w:p>
    <w:tbl>
      <w:tblPr>
        <w:tblW w:w="9088" w:type="dxa"/>
        <w:tblInd w:w="-10" w:type="dxa"/>
        <w:tblCellMar>
          <w:left w:w="70" w:type="dxa"/>
          <w:right w:w="70" w:type="dxa"/>
        </w:tblCellMar>
        <w:tblLook w:val="04A0" w:firstRow="1" w:lastRow="0" w:firstColumn="1" w:lastColumn="0" w:noHBand="0" w:noVBand="1"/>
      </w:tblPr>
      <w:tblGrid>
        <w:gridCol w:w="1608"/>
        <w:gridCol w:w="1496"/>
        <w:gridCol w:w="1496"/>
        <w:gridCol w:w="1496"/>
        <w:gridCol w:w="1459"/>
        <w:gridCol w:w="37"/>
        <w:gridCol w:w="1496"/>
      </w:tblGrid>
      <w:tr w:rsidR="00D9527A" w:rsidRPr="00E563A8" w14:paraId="5D691548" w14:textId="77777777" w:rsidTr="00C869E4">
        <w:trPr>
          <w:trHeight w:val="268"/>
        </w:trPr>
        <w:tc>
          <w:tcPr>
            <w:tcW w:w="4600" w:type="dxa"/>
            <w:gridSpan w:val="3"/>
            <w:tcBorders>
              <w:top w:val="single" w:sz="8" w:space="0" w:color="auto"/>
              <w:left w:val="single" w:sz="8" w:space="0" w:color="auto"/>
              <w:bottom w:val="single" w:sz="8" w:space="0" w:color="auto"/>
              <w:right w:val="single" w:sz="8" w:space="0" w:color="000000"/>
            </w:tcBorders>
            <w:shd w:val="clear" w:color="000000" w:fill="DDD6E7"/>
            <w:vAlign w:val="center"/>
            <w:hideMark/>
          </w:tcPr>
          <w:p w14:paraId="4B585A9B" w14:textId="77777777" w:rsidR="00D9527A" w:rsidRPr="00D9527A" w:rsidRDefault="00D9527A" w:rsidP="00D9527A">
            <w:pPr>
              <w:jc w:val="center"/>
              <w:rPr>
                <w:rFonts w:ascii="Calibri" w:hAnsi="Calibri"/>
                <w:b/>
                <w:bCs/>
                <w:color w:val="000000"/>
                <w:sz w:val="18"/>
                <w:szCs w:val="18"/>
                <w:lang w:eastAsia="cs-CZ"/>
              </w:rPr>
            </w:pPr>
            <w:r w:rsidRPr="00D9527A">
              <w:rPr>
                <w:rFonts w:ascii="Calibri" w:hAnsi="Calibri"/>
                <w:b/>
                <w:bCs/>
                <w:color w:val="000000"/>
                <w:sz w:val="18"/>
                <w:szCs w:val="18"/>
                <w:lang w:eastAsia="cs-CZ"/>
              </w:rPr>
              <w:t>Aktiva (v netto hodnotě)</w:t>
            </w:r>
          </w:p>
        </w:tc>
        <w:tc>
          <w:tcPr>
            <w:tcW w:w="4488" w:type="dxa"/>
            <w:gridSpan w:val="4"/>
            <w:tcBorders>
              <w:top w:val="single" w:sz="8" w:space="0" w:color="auto"/>
              <w:left w:val="nil"/>
              <w:bottom w:val="single" w:sz="8" w:space="0" w:color="auto"/>
              <w:right w:val="single" w:sz="8" w:space="0" w:color="000000"/>
            </w:tcBorders>
            <w:shd w:val="clear" w:color="000000" w:fill="DDD6E7"/>
            <w:vAlign w:val="center"/>
            <w:hideMark/>
          </w:tcPr>
          <w:p w14:paraId="1798D67C" w14:textId="77777777" w:rsidR="00D9527A" w:rsidRPr="00D9527A" w:rsidRDefault="00D9527A" w:rsidP="00D9527A">
            <w:pPr>
              <w:jc w:val="center"/>
              <w:rPr>
                <w:rFonts w:ascii="Calibri" w:hAnsi="Calibri"/>
                <w:b/>
                <w:bCs/>
                <w:color w:val="000000"/>
                <w:sz w:val="18"/>
                <w:szCs w:val="18"/>
                <w:lang w:eastAsia="cs-CZ"/>
              </w:rPr>
            </w:pPr>
            <w:r w:rsidRPr="00D9527A">
              <w:rPr>
                <w:rFonts w:ascii="Calibri" w:hAnsi="Calibri"/>
                <w:b/>
                <w:bCs/>
                <w:color w:val="000000"/>
                <w:sz w:val="18"/>
                <w:szCs w:val="18"/>
                <w:lang w:eastAsia="cs-CZ"/>
              </w:rPr>
              <w:t xml:space="preserve">Pasiva </w:t>
            </w:r>
          </w:p>
        </w:tc>
      </w:tr>
      <w:tr w:rsidR="00D9527A" w:rsidRPr="00E563A8" w14:paraId="68A1223F" w14:textId="77777777" w:rsidTr="00C869E4">
        <w:trPr>
          <w:trHeight w:val="421"/>
        </w:trPr>
        <w:tc>
          <w:tcPr>
            <w:tcW w:w="1608" w:type="dxa"/>
            <w:tcBorders>
              <w:top w:val="nil"/>
              <w:left w:val="single" w:sz="8" w:space="0" w:color="auto"/>
              <w:bottom w:val="single" w:sz="8" w:space="0" w:color="auto"/>
              <w:right w:val="single" w:sz="8" w:space="0" w:color="auto"/>
            </w:tcBorders>
            <w:shd w:val="clear" w:color="000000" w:fill="DDD6E7"/>
            <w:vAlign w:val="center"/>
            <w:hideMark/>
          </w:tcPr>
          <w:p w14:paraId="23625AE0" w14:textId="77777777" w:rsidR="00D9527A" w:rsidRPr="00D9527A" w:rsidRDefault="00D9527A" w:rsidP="00D9527A">
            <w:pPr>
              <w:jc w:val="center"/>
              <w:rPr>
                <w:rFonts w:ascii="Calibri" w:hAnsi="Calibri"/>
                <w:b/>
                <w:bCs/>
                <w:color w:val="000000"/>
                <w:sz w:val="18"/>
                <w:szCs w:val="18"/>
                <w:lang w:eastAsia="cs-CZ"/>
              </w:rPr>
            </w:pPr>
            <w:r w:rsidRPr="00D9527A">
              <w:rPr>
                <w:rFonts w:ascii="Calibri" w:hAnsi="Calibri"/>
                <w:b/>
                <w:bCs/>
                <w:color w:val="000000"/>
                <w:sz w:val="18"/>
                <w:szCs w:val="18"/>
                <w:lang w:eastAsia="cs-CZ"/>
              </w:rPr>
              <w:t>Stálá aktiva</w:t>
            </w:r>
          </w:p>
        </w:tc>
        <w:tc>
          <w:tcPr>
            <w:tcW w:w="1496" w:type="dxa"/>
            <w:tcBorders>
              <w:top w:val="nil"/>
              <w:left w:val="nil"/>
              <w:bottom w:val="single" w:sz="8" w:space="0" w:color="auto"/>
              <w:right w:val="single" w:sz="8" w:space="0" w:color="auto"/>
            </w:tcBorders>
            <w:shd w:val="clear" w:color="000000" w:fill="DDD6E7"/>
            <w:vAlign w:val="center"/>
            <w:hideMark/>
          </w:tcPr>
          <w:p w14:paraId="0F45168C" w14:textId="77777777" w:rsidR="00D9527A" w:rsidRPr="00D9527A" w:rsidRDefault="00D9527A" w:rsidP="00D9527A">
            <w:pPr>
              <w:jc w:val="center"/>
              <w:rPr>
                <w:rFonts w:ascii="Calibri" w:hAnsi="Calibri"/>
                <w:b/>
                <w:bCs/>
                <w:color w:val="000000"/>
                <w:sz w:val="18"/>
                <w:szCs w:val="18"/>
                <w:lang w:eastAsia="cs-CZ"/>
              </w:rPr>
            </w:pPr>
            <w:r w:rsidRPr="00D9527A">
              <w:rPr>
                <w:rFonts w:ascii="Calibri" w:hAnsi="Calibri"/>
                <w:b/>
                <w:bCs/>
                <w:color w:val="000000"/>
                <w:sz w:val="18"/>
                <w:szCs w:val="18"/>
                <w:lang w:eastAsia="cs-CZ"/>
              </w:rPr>
              <w:t>Oběžná aktiva</w:t>
            </w:r>
          </w:p>
        </w:tc>
        <w:tc>
          <w:tcPr>
            <w:tcW w:w="1496" w:type="dxa"/>
            <w:tcBorders>
              <w:top w:val="nil"/>
              <w:left w:val="nil"/>
              <w:bottom w:val="single" w:sz="8" w:space="0" w:color="auto"/>
              <w:right w:val="single" w:sz="8" w:space="0" w:color="auto"/>
            </w:tcBorders>
            <w:shd w:val="clear" w:color="000000" w:fill="DDD6E7"/>
            <w:vAlign w:val="center"/>
            <w:hideMark/>
          </w:tcPr>
          <w:p w14:paraId="687EC429" w14:textId="77777777" w:rsidR="00D9527A" w:rsidRPr="00D9527A" w:rsidRDefault="00D9527A" w:rsidP="00D9527A">
            <w:pPr>
              <w:jc w:val="center"/>
              <w:rPr>
                <w:rFonts w:ascii="Calibri" w:hAnsi="Calibri"/>
                <w:b/>
                <w:bCs/>
                <w:color w:val="000000"/>
                <w:sz w:val="18"/>
                <w:szCs w:val="18"/>
                <w:lang w:eastAsia="cs-CZ"/>
              </w:rPr>
            </w:pPr>
            <w:r w:rsidRPr="00D9527A">
              <w:rPr>
                <w:rFonts w:ascii="Calibri" w:hAnsi="Calibri"/>
                <w:b/>
                <w:bCs/>
                <w:color w:val="000000"/>
                <w:sz w:val="18"/>
                <w:szCs w:val="18"/>
                <w:lang w:eastAsia="cs-CZ"/>
              </w:rPr>
              <w:t>Aktiva celkem</w:t>
            </w:r>
          </w:p>
        </w:tc>
        <w:tc>
          <w:tcPr>
            <w:tcW w:w="1496" w:type="dxa"/>
            <w:tcBorders>
              <w:top w:val="nil"/>
              <w:left w:val="nil"/>
              <w:bottom w:val="single" w:sz="8" w:space="0" w:color="auto"/>
              <w:right w:val="single" w:sz="8" w:space="0" w:color="auto"/>
            </w:tcBorders>
            <w:shd w:val="clear" w:color="000000" w:fill="DDD6E7"/>
            <w:vAlign w:val="center"/>
            <w:hideMark/>
          </w:tcPr>
          <w:p w14:paraId="623847C9" w14:textId="77777777" w:rsidR="00D9527A" w:rsidRPr="00D9527A" w:rsidRDefault="00D9527A" w:rsidP="00D9527A">
            <w:pPr>
              <w:jc w:val="center"/>
              <w:rPr>
                <w:rFonts w:ascii="Calibri" w:hAnsi="Calibri"/>
                <w:b/>
                <w:bCs/>
                <w:color w:val="000000"/>
                <w:sz w:val="18"/>
                <w:szCs w:val="18"/>
                <w:lang w:eastAsia="cs-CZ"/>
              </w:rPr>
            </w:pPr>
            <w:r w:rsidRPr="00D9527A">
              <w:rPr>
                <w:rFonts w:ascii="Calibri" w:hAnsi="Calibri"/>
                <w:b/>
                <w:bCs/>
                <w:color w:val="000000"/>
                <w:sz w:val="18"/>
                <w:szCs w:val="18"/>
                <w:lang w:eastAsia="cs-CZ"/>
              </w:rPr>
              <w:t>Vlastní kapitál</w:t>
            </w:r>
          </w:p>
        </w:tc>
        <w:tc>
          <w:tcPr>
            <w:tcW w:w="1496" w:type="dxa"/>
            <w:gridSpan w:val="2"/>
            <w:tcBorders>
              <w:top w:val="nil"/>
              <w:left w:val="nil"/>
              <w:bottom w:val="single" w:sz="8" w:space="0" w:color="auto"/>
              <w:right w:val="single" w:sz="8" w:space="0" w:color="auto"/>
            </w:tcBorders>
            <w:shd w:val="clear" w:color="000000" w:fill="DDD6E7"/>
            <w:vAlign w:val="center"/>
            <w:hideMark/>
          </w:tcPr>
          <w:p w14:paraId="2426E3A1" w14:textId="77777777" w:rsidR="00D9527A" w:rsidRPr="00D9527A" w:rsidRDefault="00D9527A" w:rsidP="00D9527A">
            <w:pPr>
              <w:jc w:val="center"/>
              <w:rPr>
                <w:rFonts w:ascii="Calibri" w:hAnsi="Calibri"/>
                <w:b/>
                <w:bCs/>
                <w:color w:val="000000"/>
                <w:sz w:val="18"/>
                <w:szCs w:val="18"/>
                <w:lang w:eastAsia="cs-CZ"/>
              </w:rPr>
            </w:pPr>
            <w:r w:rsidRPr="00D9527A">
              <w:rPr>
                <w:rFonts w:ascii="Calibri" w:hAnsi="Calibri"/>
                <w:b/>
                <w:bCs/>
                <w:color w:val="000000"/>
                <w:sz w:val="18"/>
                <w:szCs w:val="18"/>
                <w:lang w:eastAsia="cs-CZ"/>
              </w:rPr>
              <w:t>Cizí zdroje</w:t>
            </w:r>
          </w:p>
        </w:tc>
        <w:tc>
          <w:tcPr>
            <w:tcW w:w="1496" w:type="dxa"/>
            <w:tcBorders>
              <w:top w:val="nil"/>
              <w:left w:val="nil"/>
              <w:bottom w:val="single" w:sz="8" w:space="0" w:color="auto"/>
              <w:right w:val="single" w:sz="8" w:space="0" w:color="auto"/>
            </w:tcBorders>
            <w:shd w:val="clear" w:color="000000" w:fill="DDD6E7"/>
            <w:vAlign w:val="center"/>
            <w:hideMark/>
          </w:tcPr>
          <w:p w14:paraId="02F769C3" w14:textId="77777777" w:rsidR="00D9527A" w:rsidRPr="00D9527A" w:rsidRDefault="00D9527A" w:rsidP="00D9527A">
            <w:pPr>
              <w:jc w:val="center"/>
              <w:rPr>
                <w:rFonts w:ascii="Calibri" w:hAnsi="Calibri"/>
                <w:b/>
                <w:bCs/>
                <w:color w:val="000000"/>
                <w:sz w:val="18"/>
                <w:szCs w:val="18"/>
                <w:lang w:eastAsia="cs-CZ"/>
              </w:rPr>
            </w:pPr>
            <w:r w:rsidRPr="00D9527A">
              <w:rPr>
                <w:rFonts w:ascii="Calibri" w:hAnsi="Calibri"/>
                <w:b/>
                <w:bCs/>
                <w:color w:val="000000"/>
                <w:sz w:val="18"/>
                <w:szCs w:val="18"/>
                <w:lang w:eastAsia="cs-CZ"/>
              </w:rPr>
              <w:t>Pasiva celkem</w:t>
            </w:r>
          </w:p>
        </w:tc>
      </w:tr>
      <w:tr w:rsidR="00D9527A" w:rsidRPr="00D9527A" w14:paraId="5B777CF3" w14:textId="77777777" w:rsidTr="00C869E4">
        <w:trPr>
          <w:trHeight w:val="268"/>
        </w:trPr>
        <w:tc>
          <w:tcPr>
            <w:tcW w:w="1608" w:type="dxa"/>
            <w:tcBorders>
              <w:top w:val="nil"/>
              <w:left w:val="single" w:sz="8" w:space="0" w:color="auto"/>
              <w:bottom w:val="single" w:sz="8" w:space="0" w:color="auto"/>
              <w:right w:val="single" w:sz="8" w:space="0" w:color="auto"/>
            </w:tcBorders>
            <w:shd w:val="clear" w:color="auto" w:fill="auto"/>
            <w:vAlign w:val="center"/>
            <w:hideMark/>
          </w:tcPr>
          <w:p w14:paraId="08ABC4E0" w14:textId="77777777" w:rsidR="00D9527A" w:rsidRPr="00D9527A" w:rsidRDefault="00D9527A" w:rsidP="00D9527A">
            <w:pPr>
              <w:jc w:val="right"/>
              <w:rPr>
                <w:rFonts w:ascii="Calibri" w:hAnsi="Calibri"/>
                <w:color w:val="000000"/>
                <w:sz w:val="16"/>
                <w:szCs w:val="16"/>
                <w:lang w:eastAsia="cs-CZ"/>
              </w:rPr>
            </w:pPr>
            <w:r w:rsidRPr="00D9527A">
              <w:rPr>
                <w:rFonts w:ascii="Calibri" w:hAnsi="Calibri"/>
                <w:color w:val="000000"/>
                <w:sz w:val="16"/>
                <w:szCs w:val="16"/>
                <w:lang w:eastAsia="cs-CZ"/>
              </w:rPr>
              <w:t>1 890 203 781,40</w:t>
            </w:r>
          </w:p>
        </w:tc>
        <w:tc>
          <w:tcPr>
            <w:tcW w:w="1496" w:type="dxa"/>
            <w:tcBorders>
              <w:top w:val="nil"/>
              <w:left w:val="nil"/>
              <w:bottom w:val="single" w:sz="8" w:space="0" w:color="auto"/>
              <w:right w:val="single" w:sz="8" w:space="0" w:color="auto"/>
            </w:tcBorders>
            <w:shd w:val="clear" w:color="auto" w:fill="auto"/>
            <w:vAlign w:val="center"/>
            <w:hideMark/>
          </w:tcPr>
          <w:p w14:paraId="40AC84C4" w14:textId="77777777" w:rsidR="00D9527A" w:rsidRPr="00D9527A" w:rsidRDefault="00D9527A" w:rsidP="00D9527A">
            <w:pPr>
              <w:jc w:val="right"/>
              <w:rPr>
                <w:rFonts w:ascii="Calibri" w:hAnsi="Calibri"/>
                <w:color w:val="000000"/>
                <w:sz w:val="16"/>
                <w:szCs w:val="16"/>
                <w:lang w:eastAsia="cs-CZ"/>
              </w:rPr>
            </w:pPr>
            <w:r w:rsidRPr="00D9527A">
              <w:rPr>
                <w:rFonts w:ascii="Calibri" w:hAnsi="Calibri"/>
                <w:color w:val="000000"/>
                <w:sz w:val="16"/>
                <w:szCs w:val="16"/>
                <w:lang w:eastAsia="cs-CZ"/>
              </w:rPr>
              <w:t>79 783 088,09</w:t>
            </w:r>
          </w:p>
        </w:tc>
        <w:tc>
          <w:tcPr>
            <w:tcW w:w="1496" w:type="dxa"/>
            <w:tcBorders>
              <w:top w:val="nil"/>
              <w:left w:val="nil"/>
              <w:bottom w:val="single" w:sz="8" w:space="0" w:color="auto"/>
              <w:right w:val="single" w:sz="8" w:space="0" w:color="auto"/>
            </w:tcBorders>
            <w:shd w:val="clear" w:color="auto" w:fill="auto"/>
            <w:vAlign w:val="center"/>
            <w:hideMark/>
          </w:tcPr>
          <w:p w14:paraId="356E204E" w14:textId="77777777" w:rsidR="00D9527A" w:rsidRPr="00D9527A" w:rsidRDefault="00D9527A" w:rsidP="00D9527A">
            <w:pPr>
              <w:jc w:val="right"/>
              <w:rPr>
                <w:rFonts w:ascii="Calibri" w:hAnsi="Calibri"/>
                <w:color w:val="000000"/>
                <w:sz w:val="16"/>
                <w:szCs w:val="16"/>
                <w:lang w:eastAsia="cs-CZ"/>
              </w:rPr>
            </w:pPr>
            <w:r w:rsidRPr="00D9527A">
              <w:rPr>
                <w:rFonts w:ascii="Calibri" w:hAnsi="Calibri"/>
                <w:color w:val="000000"/>
                <w:sz w:val="16"/>
                <w:szCs w:val="16"/>
                <w:lang w:eastAsia="cs-CZ"/>
              </w:rPr>
              <w:t>1 969 986 869,49</w:t>
            </w:r>
          </w:p>
        </w:tc>
        <w:tc>
          <w:tcPr>
            <w:tcW w:w="1496" w:type="dxa"/>
            <w:tcBorders>
              <w:top w:val="nil"/>
              <w:left w:val="nil"/>
              <w:bottom w:val="single" w:sz="8" w:space="0" w:color="auto"/>
              <w:right w:val="single" w:sz="8" w:space="0" w:color="auto"/>
            </w:tcBorders>
            <w:shd w:val="clear" w:color="auto" w:fill="auto"/>
            <w:vAlign w:val="center"/>
            <w:hideMark/>
          </w:tcPr>
          <w:p w14:paraId="5CDA26A7" w14:textId="77777777" w:rsidR="00D9527A" w:rsidRPr="00D9527A" w:rsidRDefault="00D9527A" w:rsidP="00D9527A">
            <w:pPr>
              <w:jc w:val="right"/>
              <w:rPr>
                <w:rFonts w:ascii="Calibri" w:hAnsi="Calibri"/>
                <w:color w:val="000000"/>
                <w:sz w:val="16"/>
                <w:szCs w:val="16"/>
                <w:lang w:eastAsia="cs-CZ"/>
              </w:rPr>
            </w:pPr>
            <w:r w:rsidRPr="00D9527A">
              <w:rPr>
                <w:rFonts w:ascii="Calibri" w:hAnsi="Calibri"/>
                <w:color w:val="000000"/>
                <w:sz w:val="16"/>
                <w:szCs w:val="16"/>
                <w:lang w:eastAsia="cs-CZ"/>
              </w:rPr>
              <w:t>1 729 343 206,89</w:t>
            </w:r>
          </w:p>
        </w:tc>
        <w:tc>
          <w:tcPr>
            <w:tcW w:w="1496" w:type="dxa"/>
            <w:gridSpan w:val="2"/>
            <w:tcBorders>
              <w:top w:val="nil"/>
              <w:left w:val="nil"/>
              <w:bottom w:val="single" w:sz="8" w:space="0" w:color="auto"/>
              <w:right w:val="single" w:sz="8" w:space="0" w:color="auto"/>
            </w:tcBorders>
            <w:shd w:val="clear" w:color="auto" w:fill="auto"/>
            <w:vAlign w:val="center"/>
            <w:hideMark/>
          </w:tcPr>
          <w:p w14:paraId="3809B819" w14:textId="77777777" w:rsidR="00D9527A" w:rsidRPr="00D9527A" w:rsidRDefault="00D9527A" w:rsidP="00D9527A">
            <w:pPr>
              <w:jc w:val="right"/>
              <w:rPr>
                <w:rFonts w:ascii="Calibri" w:hAnsi="Calibri"/>
                <w:color w:val="000000"/>
                <w:sz w:val="16"/>
                <w:szCs w:val="16"/>
                <w:lang w:eastAsia="cs-CZ"/>
              </w:rPr>
            </w:pPr>
            <w:r w:rsidRPr="00D9527A">
              <w:rPr>
                <w:rFonts w:ascii="Calibri" w:hAnsi="Calibri"/>
                <w:color w:val="000000"/>
                <w:sz w:val="16"/>
                <w:szCs w:val="16"/>
                <w:lang w:eastAsia="cs-CZ"/>
              </w:rPr>
              <w:t>240 643 662,60</w:t>
            </w:r>
          </w:p>
        </w:tc>
        <w:tc>
          <w:tcPr>
            <w:tcW w:w="1496" w:type="dxa"/>
            <w:tcBorders>
              <w:top w:val="nil"/>
              <w:left w:val="nil"/>
              <w:bottom w:val="single" w:sz="8" w:space="0" w:color="auto"/>
              <w:right w:val="single" w:sz="8" w:space="0" w:color="auto"/>
            </w:tcBorders>
            <w:shd w:val="clear" w:color="auto" w:fill="auto"/>
            <w:vAlign w:val="center"/>
            <w:hideMark/>
          </w:tcPr>
          <w:p w14:paraId="67E87258" w14:textId="77777777" w:rsidR="00D9527A" w:rsidRPr="00D9527A" w:rsidRDefault="00D9527A" w:rsidP="00D9527A">
            <w:pPr>
              <w:jc w:val="right"/>
              <w:rPr>
                <w:rFonts w:ascii="Calibri" w:hAnsi="Calibri"/>
                <w:color w:val="000000"/>
                <w:sz w:val="16"/>
                <w:szCs w:val="16"/>
                <w:lang w:eastAsia="cs-CZ"/>
              </w:rPr>
            </w:pPr>
            <w:r w:rsidRPr="00D9527A">
              <w:rPr>
                <w:rFonts w:ascii="Calibri" w:hAnsi="Calibri"/>
                <w:color w:val="000000"/>
                <w:sz w:val="16"/>
                <w:szCs w:val="16"/>
                <w:lang w:eastAsia="cs-CZ"/>
              </w:rPr>
              <w:t>1 969 986 869,49</w:t>
            </w:r>
          </w:p>
        </w:tc>
      </w:tr>
      <w:tr w:rsidR="00D9527A" w:rsidRPr="00D9527A" w14:paraId="2BF76F62" w14:textId="77777777" w:rsidTr="00C869E4">
        <w:trPr>
          <w:trHeight w:val="255"/>
        </w:trPr>
        <w:tc>
          <w:tcPr>
            <w:tcW w:w="7555" w:type="dxa"/>
            <w:gridSpan w:val="5"/>
            <w:tcBorders>
              <w:top w:val="single" w:sz="8" w:space="0" w:color="auto"/>
              <w:left w:val="nil"/>
              <w:bottom w:val="nil"/>
              <w:right w:val="nil"/>
            </w:tcBorders>
            <w:shd w:val="clear" w:color="auto" w:fill="auto"/>
            <w:noWrap/>
            <w:vAlign w:val="bottom"/>
            <w:hideMark/>
          </w:tcPr>
          <w:p w14:paraId="12014E19" w14:textId="77777777" w:rsidR="00D9527A" w:rsidRPr="00D9527A" w:rsidRDefault="00D9527A" w:rsidP="00D9527A">
            <w:pPr>
              <w:rPr>
                <w:rFonts w:ascii="Calibri" w:hAnsi="Calibri"/>
                <w:color w:val="000000"/>
                <w:sz w:val="20"/>
                <w:szCs w:val="20"/>
                <w:lang w:eastAsia="cs-CZ"/>
              </w:rPr>
            </w:pPr>
            <w:r w:rsidRPr="00287383">
              <w:rPr>
                <w:rFonts w:ascii="Calibri" w:hAnsi="Calibri"/>
                <w:b/>
                <w:color w:val="000000"/>
                <w:sz w:val="20"/>
                <w:szCs w:val="20"/>
                <w:lang w:eastAsia="cs-CZ"/>
              </w:rPr>
              <w:t>Zdroj:</w:t>
            </w:r>
            <w:r w:rsidRPr="00D9527A">
              <w:rPr>
                <w:rFonts w:ascii="Calibri" w:hAnsi="Calibri"/>
                <w:color w:val="000000"/>
                <w:sz w:val="20"/>
                <w:szCs w:val="20"/>
                <w:lang w:eastAsia="cs-CZ"/>
              </w:rPr>
              <w:t xml:space="preserve"> účetní závěrka </w:t>
            </w:r>
            <w:proofErr w:type="spellStart"/>
            <w:r w:rsidRPr="00D9527A">
              <w:rPr>
                <w:rFonts w:ascii="Calibri" w:hAnsi="Calibri"/>
                <w:color w:val="000000"/>
                <w:sz w:val="20"/>
                <w:szCs w:val="20"/>
                <w:lang w:eastAsia="cs-CZ"/>
              </w:rPr>
              <w:t>MSp</w:t>
            </w:r>
            <w:proofErr w:type="spellEnd"/>
            <w:r w:rsidRPr="00D9527A">
              <w:rPr>
                <w:rFonts w:ascii="Calibri" w:hAnsi="Calibri"/>
                <w:color w:val="000000"/>
                <w:sz w:val="20"/>
                <w:szCs w:val="20"/>
                <w:lang w:eastAsia="cs-CZ"/>
              </w:rPr>
              <w:t xml:space="preserve"> k 31. prosinci 2015.</w:t>
            </w:r>
          </w:p>
        </w:tc>
        <w:tc>
          <w:tcPr>
            <w:tcW w:w="1533" w:type="dxa"/>
            <w:gridSpan w:val="2"/>
            <w:tcBorders>
              <w:top w:val="nil"/>
              <w:left w:val="nil"/>
              <w:bottom w:val="nil"/>
              <w:right w:val="nil"/>
            </w:tcBorders>
            <w:shd w:val="clear" w:color="auto" w:fill="auto"/>
            <w:noWrap/>
            <w:vAlign w:val="bottom"/>
            <w:hideMark/>
          </w:tcPr>
          <w:p w14:paraId="571DC410" w14:textId="77777777" w:rsidR="00D9527A" w:rsidRPr="00D9527A" w:rsidRDefault="00D9527A" w:rsidP="00D9527A">
            <w:pPr>
              <w:rPr>
                <w:rFonts w:ascii="Calibri" w:hAnsi="Calibri"/>
                <w:color w:val="000000"/>
                <w:sz w:val="20"/>
                <w:szCs w:val="20"/>
                <w:lang w:eastAsia="cs-CZ"/>
              </w:rPr>
            </w:pPr>
          </w:p>
        </w:tc>
      </w:tr>
    </w:tbl>
    <w:p w14:paraId="4E78C6B6" w14:textId="77777777" w:rsidR="004929E8" w:rsidRPr="00287383" w:rsidRDefault="004929E8" w:rsidP="00287383">
      <w:pPr>
        <w:pStyle w:val="NormlnKZ"/>
        <w:spacing w:after="0"/>
        <w:ind w:firstLine="0"/>
        <w:rPr>
          <w:rFonts w:asciiTheme="minorHAnsi" w:hAnsiTheme="minorHAnsi" w:cstheme="minorHAnsi"/>
          <w:b/>
          <w:sz w:val="24"/>
          <w:highlight w:val="yellow"/>
        </w:rPr>
      </w:pPr>
    </w:p>
    <w:p w14:paraId="6F041A4D" w14:textId="7709E2B2" w:rsidR="00D9527A" w:rsidRPr="00D9527A" w:rsidRDefault="00D9527A" w:rsidP="005E39B3">
      <w:pPr>
        <w:tabs>
          <w:tab w:val="right" w:pos="9072"/>
        </w:tabs>
        <w:jc w:val="both"/>
        <w:rPr>
          <w:rFonts w:asciiTheme="minorHAnsi" w:hAnsiTheme="minorHAnsi" w:cstheme="minorHAnsi"/>
          <w:b/>
        </w:rPr>
      </w:pPr>
      <w:r w:rsidRPr="00C869E4">
        <w:rPr>
          <w:rFonts w:asciiTheme="minorHAnsi" w:hAnsiTheme="minorHAnsi" w:cstheme="minorHAnsi"/>
          <w:b/>
          <w:spacing w:val="-1"/>
        </w:rPr>
        <w:t xml:space="preserve">Tabulka č. </w:t>
      </w:r>
      <w:r w:rsidR="003566D0" w:rsidRPr="00C869E4">
        <w:rPr>
          <w:rFonts w:asciiTheme="minorHAnsi" w:hAnsiTheme="minorHAnsi" w:cstheme="minorHAnsi"/>
          <w:b/>
          <w:spacing w:val="-1"/>
        </w:rPr>
        <w:t>2</w:t>
      </w:r>
      <w:r w:rsidRPr="00C869E4">
        <w:rPr>
          <w:rFonts w:asciiTheme="minorHAnsi" w:hAnsiTheme="minorHAnsi" w:cstheme="minorHAnsi"/>
          <w:b/>
          <w:spacing w:val="-1"/>
        </w:rPr>
        <w:t xml:space="preserve"> – Údaje za běžné účetní období z výkazu zisku a ztráty k 31. prosinci 2015 </w:t>
      </w:r>
      <w:r w:rsidR="00F470EA" w:rsidRPr="00C869E4">
        <w:rPr>
          <w:rFonts w:asciiTheme="minorHAnsi" w:hAnsiTheme="minorHAnsi" w:cstheme="minorHAnsi"/>
          <w:b/>
          <w:bCs/>
          <w:spacing w:val="-1"/>
        </w:rPr>
        <w:tab/>
      </w:r>
      <w:r w:rsidRPr="00D9527A">
        <w:rPr>
          <w:rFonts w:asciiTheme="minorHAnsi" w:hAnsiTheme="minorHAnsi" w:cstheme="minorHAnsi"/>
          <w:b/>
          <w:bCs/>
        </w:rPr>
        <w:t>(v Kč)</w:t>
      </w:r>
    </w:p>
    <w:tbl>
      <w:tblPr>
        <w:tblW w:w="9142" w:type="dxa"/>
        <w:tblInd w:w="-100" w:type="dxa"/>
        <w:tblCellMar>
          <w:left w:w="70" w:type="dxa"/>
          <w:right w:w="70" w:type="dxa"/>
        </w:tblCellMar>
        <w:tblLook w:val="04A0" w:firstRow="1" w:lastRow="0" w:firstColumn="1" w:lastColumn="0" w:noHBand="0" w:noVBand="1"/>
      </w:tblPr>
      <w:tblGrid>
        <w:gridCol w:w="80"/>
        <w:gridCol w:w="2324"/>
        <w:gridCol w:w="2236"/>
        <w:gridCol w:w="23"/>
        <w:gridCol w:w="4379"/>
        <w:gridCol w:w="100"/>
      </w:tblGrid>
      <w:tr w:rsidR="00DF0111" w:rsidRPr="00E563A8" w14:paraId="0A7C8646" w14:textId="77777777" w:rsidTr="00C869E4">
        <w:trPr>
          <w:gridBefore w:val="1"/>
          <w:wBefore w:w="80" w:type="dxa"/>
          <w:trHeight w:val="525"/>
        </w:trPr>
        <w:tc>
          <w:tcPr>
            <w:tcW w:w="2324" w:type="dxa"/>
            <w:tcBorders>
              <w:top w:val="single" w:sz="8" w:space="0" w:color="auto"/>
              <w:left w:val="single" w:sz="8" w:space="0" w:color="auto"/>
              <w:bottom w:val="single" w:sz="8" w:space="0" w:color="auto"/>
              <w:right w:val="single" w:sz="8" w:space="0" w:color="auto"/>
            </w:tcBorders>
            <w:shd w:val="clear" w:color="000000" w:fill="DDD6E7"/>
            <w:vAlign w:val="center"/>
            <w:hideMark/>
          </w:tcPr>
          <w:p w14:paraId="0B71F702" w14:textId="77777777" w:rsidR="00DF0111" w:rsidRPr="00DF0111" w:rsidRDefault="00DF0111" w:rsidP="00F470EA">
            <w:pPr>
              <w:ind w:left="152"/>
              <w:jc w:val="center"/>
              <w:rPr>
                <w:rFonts w:ascii="Calibri" w:hAnsi="Calibri"/>
                <w:b/>
                <w:bCs/>
                <w:color w:val="000000"/>
                <w:sz w:val="20"/>
                <w:szCs w:val="20"/>
                <w:lang w:eastAsia="cs-CZ"/>
              </w:rPr>
            </w:pPr>
            <w:r w:rsidRPr="00DF0111">
              <w:rPr>
                <w:rFonts w:ascii="Calibri" w:hAnsi="Calibri"/>
                <w:b/>
                <w:bCs/>
                <w:color w:val="000000"/>
                <w:sz w:val="20"/>
                <w:szCs w:val="20"/>
                <w:lang w:eastAsia="cs-CZ"/>
              </w:rPr>
              <w:t>Náklady</w:t>
            </w:r>
          </w:p>
        </w:tc>
        <w:tc>
          <w:tcPr>
            <w:tcW w:w="2259" w:type="dxa"/>
            <w:gridSpan w:val="2"/>
            <w:tcBorders>
              <w:top w:val="single" w:sz="8" w:space="0" w:color="auto"/>
              <w:left w:val="nil"/>
              <w:bottom w:val="single" w:sz="8" w:space="0" w:color="auto"/>
              <w:right w:val="single" w:sz="8" w:space="0" w:color="auto"/>
            </w:tcBorders>
            <w:shd w:val="clear" w:color="000000" w:fill="DDD6E7"/>
            <w:vAlign w:val="center"/>
            <w:hideMark/>
          </w:tcPr>
          <w:p w14:paraId="2E1DC518" w14:textId="77777777" w:rsidR="00DF0111" w:rsidRPr="00DF0111" w:rsidRDefault="00DF0111" w:rsidP="00DF0111">
            <w:pPr>
              <w:jc w:val="center"/>
              <w:rPr>
                <w:rFonts w:ascii="Calibri" w:hAnsi="Calibri"/>
                <w:b/>
                <w:bCs/>
                <w:color w:val="000000"/>
                <w:sz w:val="20"/>
                <w:szCs w:val="20"/>
                <w:lang w:eastAsia="cs-CZ"/>
              </w:rPr>
            </w:pPr>
            <w:r w:rsidRPr="00DF0111">
              <w:rPr>
                <w:rFonts w:ascii="Calibri" w:hAnsi="Calibri"/>
                <w:b/>
                <w:bCs/>
                <w:color w:val="000000"/>
                <w:sz w:val="20"/>
                <w:szCs w:val="20"/>
                <w:lang w:eastAsia="cs-CZ"/>
              </w:rPr>
              <w:t>Výnosy</w:t>
            </w:r>
          </w:p>
        </w:tc>
        <w:tc>
          <w:tcPr>
            <w:tcW w:w="4479" w:type="dxa"/>
            <w:gridSpan w:val="2"/>
            <w:tcBorders>
              <w:top w:val="single" w:sz="8" w:space="0" w:color="auto"/>
              <w:left w:val="nil"/>
              <w:bottom w:val="single" w:sz="8" w:space="0" w:color="auto"/>
              <w:right w:val="single" w:sz="8" w:space="0" w:color="auto"/>
            </w:tcBorders>
            <w:shd w:val="clear" w:color="000000" w:fill="DDD6E7"/>
            <w:vAlign w:val="center"/>
            <w:hideMark/>
          </w:tcPr>
          <w:p w14:paraId="471EFA7E" w14:textId="77777777" w:rsidR="00DF0111" w:rsidRPr="00DF0111" w:rsidRDefault="00DF0111" w:rsidP="00DF0111">
            <w:pPr>
              <w:jc w:val="center"/>
              <w:rPr>
                <w:rFonts w:ascii="Calibri" w:hAnsi="Calibri"/>
                <w:b/>
                <w:bCs/>
                <w:color w:val="000000"/>
                <w:sz w:val="20"/>
                <w:szCs w:val="20"/>
                <w:lang w:eastAsia="cs-CZ"/>
              </w:rPr>
            </w:pPr>
            <w:r w:rsidRPr="00DF0111">
              <w:rPr>
                <w:rFonts w:ascii="Calibri" w:hAnsi="Calibri"/>
                <w:b/>
                <w:bCs/>
                <w:color w:val="000000"/>
                <w:sz w:val="20"/>
                <w:szCs w:val="20"/>
                <w:lang w:eastAsia="cs-CZ"/>
              </w:rPr>
              <w:t>Výsledek hospodaření běžného účetního období</w:t>
            </w:r>
          </w:p>
        </w:tc>
      </w:tr>
      <w:tr w:rsidR="00DF0111" w:rsidRPr="00DF0111" w14:paraId="7D8BA4B5" w14:textId="77777777" w:rsidTr="00C869E4">
        <w:trPr>
          <w:gridBefore w:val="1"/>
          <w:wBefore w:w="80" w:type="dxa"/>
          <w:trHeight w:val="315"/>
        </w:trPr>
        <w:tc>
          <w:tcPr>
            <w:tcW w:w="2324" w:type="dxa"/>
            <w:tcBorders>
              <w:top w:val="nil"/>
              <w:left w:val="single" w:sz="8" w:space="0" w:color="auto"/>
              <w:bottom w:val="single" w:sz="8" w:space="0" w:color="auto"/>
              <w:right w:val="single" w:sz="8" w:space="0" w:color="auto"/>
            </w:tcBorders>
            <w:shd w:val="clear" w:color="auto" w:fill="auto"/>
            <w:vAlign w:val="center"/>
            <w:hideMark/>
          </w:tcPr>
          <w:p w14:paraId="6637DE61" w14:textId="77777777" w:rsidR="00DF0111" w:rsidRPr="00DF0111" w:rsidRDefault="00DF0111" w:rsidP="00F470EA">
            <w:pPr>
              <w:ind w:left="152"/>
              <w:jc w:val="right"/>
              <w:rPr>
                <w:rFonts w:ascii="Calibri" w:hAnsi="Calibri"/>
                <w:color w:val="000000"/>
                <w:sz w:val="20"/>
                <w:szCs w:val="20"/>
                <w:lang w:eastAsia="cs-CZ"/>
              </w:rPr>
            </w:pPr>
            <w:r w:rsidRPr="00DF0111">
              <w:rPr>
                <w:rFonts w:ascii="Calibri" w:hAnsi="Calibri"/>
                <w:color w:val="000000"/>
                <w:sz w:val="20"/>
                <w:szCs w:val="20"/>
                <w:lang w:eastAsia="cs-CZ"/>
              </w:rPr>
              <w:t>969 704 134,94</w:t>
            </w:r>
          </w:p>
        </w:tc>
        <w:tc>
          <w:tcPr>
            <w:tcW w:w="2259" w:type="dxa"/>
            <w:gridSpan w:val="2"/>
            <w:tcBorders>
              <w:top w:val="nil"/>
              <w:left w:val="nil"/>
              <w:bottom w:val="single" w:sz="8" w:space="0" w:color="auto"/>
              <w:right w:val="single" w:sz="8" w:space="0" w:color="auto"/>
            </w:tcBorders>
            <w:shd w:val="clear" w:color="auto" w:fill="auto"/>
            <w:vAlign w:val="center"/>
            <w:hideMark/>
          </w:tcPr>
          <w:p w14:paraId="085B1CDD" w14:textId="77777777" w:rsidR="00DF0111" w:rsidRPr="00DF0111" w:rsidRDefault="00DF0111" w:rsidP="00DF0111">
            <w:pPr>
              <w:jc w:val="right"/>
              <w:rPr>
                <w:rFonts w:ascii="Calibri" w:hAnsi="Calibri"/>
                <w:color w:val="000000"/>
                <w:sz w:val="20"/>
                <w:szCs w:val="20"/>
                <w:lang w:eastAsia="cs-CZ"/>
              </w:rPr>
            </w:pPr>
            <w:r w:rsidRPr="00DF0111">
              <w:rPr>
                <w:rFonts w:ascii="Calibri" w:hAnsi="Calibri"/>
                <w:color w:val="000000"/>
                <w:sz w:val="20"/>
                <w:szCs w:val="20"/>
                <w:lang w:eastAsia="cs-CZ"/>
              </w:rPr>
              <w:t>28 622 071,99</w:t>
            </w:r>
          </w:p>
        </w:tc>
        <w:tc>
          <w:tcPr>
            <w:tcW w:w="4479" w:type="dxa"/>
            <w:gridSpan w:val="2"/>
            <w:tcBorders>
              <w:top w:val="nil"/>
              <w:left w:val="nil"/>
              <w:bottom w:val="single" w:sz="8" w:space="0" w:color="auto"/>
              <w:right w:val="single" w:sz="8" w:space="0" w:color="auto"/>
            </w:tcBorders>
            <w:shd w:val="clear" w:color="auto" w:fill="auto"/>
            <w:vAlign w:val="center"/>
            <w:hideMark/>
          </w:tcPr>
          <w:p w14:paraId="2A6EF3CC" w14:textId="023CAFDD" w:rsidR="00DF0111" w:rsidRPr="00DF0111" w:rsidRDefault="005E39B3" w:rsidP="00287383">
            <w:pPr>
              <w:jc w:val="right"/>
              <w:rPr>
                <w:rFonts w:ascii="Calibri" w:hAnsi="Calibri"/>
                <w:color w:val="000000"/>
                <w:sz w:val="20"/>
                <w:szCs w:val="20"/>
                <w:lang w:eastAsia="cs-CZ"/>
              </w:rPr>
            </w:pPr>
            <w:r w:rsidRPr="00397737">
              <w:rPr>
                <w:rFonts w:ascii="Calibri" w:hAnsi="Calibri" w:cs="Calibri"/>
                <w:sz w:val="20"/>
                <w:szCs w:val="20"/>
              </w:rPr>
              <w:t>−</w:t>
            </w:r>
            <w:r w:rsidR="00DF0111" w:rsidRPr="00DF0111">
              <w:rPr>
                <w:rFonts w:ascii="Calibri" w:hAnsi="Calibri"/>
                <w:color w:val="000000"/>
                <w:sz w:val="20"/>
                <w:szCs w:val="20"/>
                <w:lang w:eastAsia="cs-CZ"/>
              </w:rPr>
              <w:t>9</w:t>
            </w:r>
            <w:r w:rsidR="00287383">
              <w:rPr>
                <w:rFonts w:ascii="Calibri" w:hAnsi="Calibri"/>
                <w:color w:val="000000"/>
                <w:sz w:val="20"/>
                <w:szCs w:val="20"/>
                <w:lang w:eastAsia="cs-CZ"/>
              </w:rPr>
              <w:t>41</w:t>
            </w:r>
            <w:r w:rsidR="00DF0111" w:rsidRPr="00DF0111">
              <w:rPr>
                <w:rFonts w:ascii="Calibri" w:hAnsi="Calibri"/>
                <w:color w:val="000000"/>
                <w:sz w:val="20"/>
                <w:szCs w:val="20"/>
                <w:lang w:eastAsia="cs-CZ"/>
              </w:rPr>
              <w:t xml:space="preserve"> </w:t>
            </w:r>
            <w:r w:rsidR="00287383">
              <w:rPr>
                <w:rFonts w:ascii="Calibri" w:hAnsi="Calibri"/>
                <w:color w:val="000000"/>
                <w:sz w:val="20"/>
                <w:szCs w:val="20"/>
                <w:lang w:eastAsia="cs-CZ"/>
              </w:rPr>
              <w:t>082</w:t>
            </w:r>
            <w:r w:rsidR="00DF0111" w:rsidRPr="00DF0111">
              <w:rPr>
                <w:rFonts w:ascii="Calibri" w:hAnsi="Calibri"/>
                <w:color w:val="000000"/>
                <w:sz w:val="20"/>
                <w:szCs w:val="20"/>
                <w:lang w:eastAsia="cs-CZ"/>
              </w:rPr>
              <w:t xml:space="preserve"> </w:t>
            </w:r>
            <w:r w:rsidR="00287383">
              <w:rPr>
                <w:rFonts w:ascii="Calibri" w:hAnsi="Calibri"/>
                <w:color w:val="000000"/>
                <w:sz w:val="20"/>
                <w:szCs w:val="20"/>
                <w:lang w:eastAsia="cs-CZ"/>
              </w:rPr>
              <w:t>062</w:t>
            </w:r>
            <w:r w:rsidR="00DF0111" w:rsidRPr="00DF0111">
              <w:rPr>
                <w:rFonts w:ascii="Calibri" w:hAnsi="Calibri"/>
                <w:color w:val="000000"/>
                <w:sz w:val="20"/>
                <w:szCs w:val="20"/>
                <w:lang w:eastAsia="cs-CZ"/>
              </w:rPr>
              <w:t>,</w:t>
            </w:r>
            <w:r w:rsidR="00287383">
              <w:rPr>
                <w:rFonts w:ascii="Calibri" w:hAnsi="Calibri"/>
                <w:color w:val="000000"/>
                <w:sz w:val="20"/>
                <w:szCs w:val="20"/>
                <w:lang w:eastAsia="cs-CZ"/>
              </w:rPr>
              <w:t>95</w:t>
            </w:r>
          </w:p>
        </w:tc>
      </w:tr>
      <w:tr w:rsidR="00DF0111" w:rsidRPr="00DF0111" w14:paraId="5D5B0BE5" w14:textId="77777777" w:rsidTr="00C869E4">
        <w:trPr>
          <w:gridAfter w:val="1"/>
          <w:wAfter w:w="100" w:type="dxa"/>
          <w:trHeight w:val="300"/>
        </w:trPr>
        <w:tc>
          <w:tcPr>
            <w:tcW w:w="4640" w:type="dxa"/>
            <w:gridSpan w:val="3"/>
            <w:tcBorders>
              <w:top w:val="nil"/>
              <w:left w:val="nil"/>
              <w:bottom w:val="nil"/>
              <w:right w:val="nil"/>
            </w:tcBorders>
            <w:shd w:val="clear" w:color="auto" w:fill="auto"/>
            <w:noWrap/>
            <w:vAlign w:val="center"/>
            <w:hideMark/>
          </w:tcPr>
          <w:p w14:paraId="713ABE85" w14:textId="77777777" w:rsidR="00DF0111" w:rsidRPr="00DF0111" w:rsidRDefault="00DF0111" w:rsidP="00DF0111">
            <w:pPr>
              <w:rPr>
                <w:rFonts w:ascii="Calibri" w:hAnsi="Calibri"/>
                <w:b/>
                <w:bCs/>
                <w:color w:val="000000"/>
                <w:sz w:val="20"/>
                <w:szCs w:val="20"/>
                <w:lang w:eastAsia="cs-CZ"/>
              </w:rPr>
            </w:pPr>
            <w:r w:rsidRPr="00DF0111">
              <w:rPr>
                <w:rFonts w:ascii="Calibri" w:hAnsi="Calibri"/>
                <w:b/>
                <w:bCs/>
                <w:color w:val="000000"/>
                <w:sz w:val="20"/>
                <w:szCs w:val="20"/>
                <w:lang w:eastAsia="cs-CZ"/>
              </w:rPr>
              <w:t>Zdroj:</w:t>
            </w:r>
            <w:r w:rsidRPr="00DF0111">
              <w:rPr>
                <w:rFonts w:ascii="Calibri" w:hAnsi="Calibri"/>
                <w:color w:val="000000"/>
                <w:sz w:val="20"/>
                <w:szCs w:val="20"/>
                <w:lang w:eastAsia="cs-CZ"/>
              </w:rPr>
              <w:t xml:space="preserve"> účetní závěrka </w:t>
            </w:r>
            <w:proofErr w:type="spellStart"/>
            <w:r w:rsidRPr="00DF0111">
              <w:rPr>
                <w:rFonts w:ascii="Calibri" w:hAnsi="Calibri"/>
                <w:color w:val="000000"/>
                <w:sz w:val="20"/>
                <w:szCs w:val="20"/>
                <w:lang w:eastAsia="cs-CZ"/>
              </w:rPr>
              <w:t>MSp</w:t>
            </w:r>
            <w:proofErr w:type="spellEnd"/>
            <w:r w:rsidRPr="00DF0111">
              <w:rPr>
                <w:rFonts w:ascii="Calibri" w:hAnsi="Calibri"/>
                <w:color w:val="000000"/>
                <w:sz w:val="20"/>
                <w:szCs w:val="20"/>
                <w:lang w:eastAsia="cs-CZ"/>
              </w:rPr>
              <w:t xml:space="preserve"> k 31. prosinci 2015.</w:t>
            </w:r>
          </w:p>
        </w:tc>
        <w:tc>
          <w:tcPr>
            <w:tcW w:w="4402" w:type="dxa"/>
            <w:gridSpan w:val="2"/>
            <w:tcBorders>
              <w:top w:val="nil"/>
              <w:left w:val="nil"/>
              <w:bottom w:val="nil"/>
              <w:right w:val="nil"/>
            </w:tcBorders>
            <w:shd w:val="clear" w:color="auto" w:fill="auto"/>
            <w:noWrap/>
            <w:vAlign w:val="bottom"/>
            <w:hideMark/>
          </w:tcPr>
          <w:p w14:paraId="75ABDD70" w14:textId="77777777" w:rsidR="00DF0111" w:rsidRPr="00DF0111" w:rsidRDefault="00DF0111" w:rsidP="00DF0111">
            <w:pPr>
              <w:rPr>
                <w:rFonts w:ascii="Calibri" w:hAnsi="Calibri"/>
                <w:b/>
                <w:bCs/>
                <w:color w:val="000000"/>
                <w:sz w:val="20"/>
                <w:szCs w:val="20"/>
                <w:lang w:eastAsia="cs-CZ"/>
              </w:rPr>
            </w:pPr>
          </w:p>
        </w:tc>
      </w:tr>
    </w:tbl>
    <w:p w14:paraId="08E433ED" w14:textId="77777777" w:rsidR="001D1576" w:rsidRDefault="001D1576" w:rsidP="00EF393E">
      <w:pPr>
        <w:tabs>
          <w:tab w:val="right" w:pos="9072"/>
        </w:tabs>
        <w:jc w:val="both"/>
        <w:rPr>
          <w:rFonts w:asciiTheme="minorHAnsi" w:hAnsiTheme="minorHAnsi" w:cstheme="minorHAnsi"/>
          <w:b/>
          <w:highlight w:val="yellow"/>
        </w:rPr>
      </w:pPr>
    </w:p>
    <w:p w14:paraId="24480EBA" w14:textId="14A893AF" w:rsidR="00DF0111" w:rsidRPr="00DF0111" w:rsidRDefault="00DF0111" w:rsidP="00F470EA">
      <w:pPr>
        <w:tabs>
          <w:tab w:val="right" w:pos="9072"/>
        </w:tabs>
        <w:jc w:val="both"/>
        <w:rPr>
          <w:rFonts w:asciiTheme="minorHAnsi" w:hAnsiTheme="minorHAnsi" w:cstheme="minorHAnsi"/>
          <w:b/>
        </w:rPr>
      </w:pPr>
      <w:r w:rsidRPr="00DF0111">
        <w:rPr>
          <w:rFonts w:asciiTheme="minorHAnsi" w:hAnsiTheme="minorHAnsi" w:cstheme="minorHAnsi"/>
          <w:b/>
        </w:rPr>
        <w:t xml:space="preserve">Tabulka č. </w:t>
      </w:r>
      <w:r w:rsidR="003566D0">
        <w:rPr>
          <w:rFonts w:asciiTheme="minorHAnsi" w:hAnsiTheme="minorHAnsi" w:cstheme="minorHAnsi"/>
          <w:b/>
        </w:rPr>
        <w:t>3</w:t>
      </w:r>
      <w:r w:rsidR="00E97A59">
        <w:rPr>
          <w:rFonts w:asciiTheme="minorHAnsi" w:hAnsiTheme="minorHAnsi" w:cstheme="minorHAnsi"/>
          <w:b/>
        </w:rPr>
        <w:t xml:space="preserve"> </w:t>
      </w:r>
      <w:r w:rsidR="00E97A59" w:rsidRPr="00D9527A">
        <w:rPr>
          <w:rFonts w:asciiTheme="minorHAnsi" w:hAnsiTheme="minorHAnsi" w:cstheme="minorHAnsi"/>
          <w:b/>
        </w:rPr>
        <w:t>–</w:t>
      </w:r>
      <w:r w:rsidR="003566D0">
        <w:rPr>
          <w:rFonts w:asciiTheme="minorHAnsi" w:hAnsiTheme="minorHAnsi" w:cstheme="minorHAnsi"/>
          <w:b/>
        </w:rPr>
        <w:t xml:space="preserve"> </w:t>
      </w:r>
      <w:r w:rsidRPr="00DF0111">
        <w:rPr>
          <w:rFonts w:asciiTheme="minorHAnsi" w:hAnsiTheme="minorHAnsi" w:cstheme="minorHAnsi"/>
          <w:b/>
        </w:rPr>
        <w:t>Údaje za běžné účetní období z přílohy ÚZ k 31. prosinci 2015, část A.4.</w:t>
      </w:r>
      <w:r w:rsidRPr="00DF0111">
        <w:rPr>
          <w:rFonts w:asciiTheme="minorHAnsi" w:hAnsiTheme="minorHAnsi" w:cstheme="minorHAnsi"/>
          <w:b/>
        </w:rPr>
        <w:tab/>
      </w:r>
      <w:r w:rsidRPr="00DF0111">
        <w:rPr>
          <w:rFonts w:asciiTheme="minorHAnsi" w:hAnsiTheme="minorHAnsi" w:cstheme="minorHAnsi"/>
          <w:b/>
          <w:bCs/>
        </w:rPr>
        <w:t>(v Kč)</w:t>
      </w:r>
    </w:p>
    <w:tbl>
      <w:tblPr>
        <w:tblW w:w="9082" w:type="dxa"/>
        <w:tblInd w:w="-15" w:type="dxa"/>
        <w:tblCellMar>
          <w:left w:w="70" w:type="dxa"/>
          <w:right w:w="70" w:type="dxa"/>
        </w:tblCellMar>
        <w:tblLook w:val="04A0" w:firstRow="1" w:lastRow="0" w:firstColumn="1" w:lastColumn="0" w:noHBand="0" w:noVBand="1"/>
      </w:tblPr>
      <w:tblGrid>
        <w:gridCol w:w="6860"/>
        <w:gridCol w:w="2222"/>
      </w:tblGrid>
      <w:tr w:rsidR="00A737A7" w:rsidRPr="00A737A7" w14:paraId="159F3E24" w14:textId="77777777" w:rsidTr="005E39B3">
        <w:trPr>
          <w:trHeight w:val="240"/>
        </w:trPr>
        <w:tc>
          <w:tcPr>
            <w:tcW w:w="6860" w:type="dxa"/>
            <w:tcBorders>
              <w:top w:val="single" w:sz="4" w:space="0" w:color="auto"/>
              <w:left w:val="single" w:sz="4" w:space="0" w:color="auto"/>
              <w:bottom w:val="single" w:sz="4" w:space="0" w:color="auto"/>
              <w:right w:val="single" w:sz="4" w:space="0" w:color="auto"/>
            </w:tcBorders>
            <w:shd w:val="clear" w:color="000000" w:fill="DDD6E7"/>
            <w:vAlign w:val="center"/>
            <w:hideMark/>
          </w:tcPr>
          <w:p w14:paraId="7B69A885" w14:textId="77777777" w:rsidR="00A737A7" w:rsidRPr="00A737A7" w:rsidRDefault="00A737A7" w:rsidP="00A737A7">
            <w:pPr>
              <w:jc w:val="center"/>
              <w:rPr>
                <w:rFonts w:ascii="Calibri" w:hAnsi="Calibri"/>
                <w:b/>
                <w:bCs/>
                <w:color w:val="000000"/>
                <w:sz w:val="18"/>
                <w:szCs w:val="18"/>
                <w:lang w:eastAsia="cs-CZ"/>
              </w:rPr>
            </w:pPr>
            <w:r w:rsidRPr="00A737A7">
              <w:rPr>
                <w:rFonts w:ascii="Calibri" w:hAnsi="Calibri"/>
                <w:b/>
                <w:bCs/>
                <w:color w:val="000000"/>
                <w:sz w:val="18"/>
                <w:szCs w:val="18"/>
                <w:lang w:eastAsia="cs-CZ"/>
              </w:rPr>
              <w:t>Podrozvahové položky</w:t>
            </w:r>
          </w:p>
        </w:tc>
        <w:tc>
          <w:tcPr>
            <w:tcW w:w="2222" w:type="dxa"/>
            <w:tcBorders>
              <w:top w:val="single" w:sz="4" w:space="0" w:color="auto"/>
              <w:left w:val="nil"/>
              <w:bottom w:val="single" w:sz="4" w:space="0" w:color="auto"/>
              <w:right w:val="single" w:sz="4" w:space="0" w:color="auto"/>
            </w:tcBorders>
            <w:shd w:val="clear" w:color="000000" w:fill="DDD6E7"/>
            <w:vAlign w:val="center"/>
            <w:hideMark/>
          </w:tcPr>
          <w:p w14:paraId="1F72E3F0" w14:textId="77777777" w:rsidR="00A737A7" w:rsidRPr="00A737A7" w:rsidRDefault="00A737A7" w:rsidP="00A737A7">
            <w:pPr>
              <w:jc w:val="center"/>
              <w:rPr>
                <w:rFonts w:ascii="Calibri" w:hAnsi="Calibri"/>
                <w:b/>
                <w:bCs/>
                <w:color w:val="000000"/>
                <w:sz w:val="18"/>
                <w:szCs w:val="18"/>
                <w:lang w:eastAsia="cs-CZ"/>
              </w:rPr>
            </w:pPr>
            <w:r w:rsidRPr="00A737A7">
              <w:rPr>
                <w:rFonts w:ascii="Calibri" w:hAnsi="Calibri"/>
                <w:b/>
                <w:bCs/>
                <w:color w:val="000000"/>
                <w:sz w:val="18"/>
                <w:szCs w:val="18"/>
                <w:lang w:eastAsia="cs-CZ"/>
              </w:rPr>
              <w:t>Účetní hodnota</w:t>
            </w:r>
          </w:p>
        </w:tc>
      </w:tr>
      <w:tr w:rsidR="00A737A7" w:rsidRPr="00A737A7" w14:paraId="30FAC0F9" w14:textId="77777777" w:rsidTr="005E39B3">
        <w:trPr>
          <w:trHeight w:val="240"/>
        </w:trPr>
        <w:tc>
          <w:tcPr>
            <w:tcW w:w="6860" w:type="dxa"/>
            <w:tcBorders>
              <w:top w:val="nil"/>
              <w:left w:val="single" w:sz="4" w:space="0" w:color="auto"/>
              <w:bottom w:val="single" w:sz="4" w:space="0" w:color="auto"/>
              <w:right w:val="single" w:sz="4" w:space="0" w:color="auto"/>
            </w:tcBorders>
            <w:shd w:val="clear" w:color="000000" w:fill="FFFFFF"/>
            <w:vAlign w:val="center"/>
            <w:hideMark/>
          </w:tcPr>
          <w:p w14:paraId="191F974A" w14:textId="77777777" w:rsidR="00A737A7" w:rsidRPr="00A737A7" w:rsidRDefault="00AF2AF3" w:rsidP="00AF2AF3">
            <w:pPr>
              <w:rPr>
                <w:rFonts w:ascii="Calibri" w:hAnsi="Calibri"/>
                <w:color w:val="000000"/>
                <w:sz w:val="18"/>
                <w:szCs w:val="18"/>
                <w:lang w:eastAsia="cs-CZ"/>
              </w:rPr>
            </w:pPr>
            <w:r w:rsidRPr="00A737A7">
              <w:rPr>
                <w:rFonts w:ascii="Calibri" w:hAnsi="Calibri"/>
                <w:color w:val="000000"/>
                <w:sz w:val="18"/>
                <w:szCs w:val="18"/>
                <w:lang w:eastAsia="cs-CZ"/>
              </w:rPr>
              <w:t>P.I.</w:t>
            </w:r>
            <w:r>
              <w:rPr>
                <w:rFonts w:ascii="Calibri" w:hAnsi="Calibri"/>
                <w:color w:val="000000"/>
                <w:sz w:val="18"/>
                <w:szCs w:val="18"/>
                <w:lang w:eastAsia="cs-CZ"/>
              </w:rPr>
              <w:t>1. Jiný drobný dlouhodobý nehmotný majetek</w:t>
            </w:r>
          </w:p>
        </w:tc>
        <w:tc>
          <w:tcPr>
            <w:tcW w:w="2222" w:type="dxa"/>
            <w:tcBorders>
              <w:top w:val="nil"/>
              <w:left w:val="nil"/>
              <w:bottom w:val="single" w:sz="4" w:space="0" w:color="auto"/>
              <w:right w:val="single" w:sz="4" w:space="0" w:color="auto"/>
            </w:tcBorders>
            <w:shd w:val="clear" w:color="000000" w:fill="FFFFFF"/>
            <w:vAlign w:val="center"/>
            <w:hideMark/>
          </w:tcPr>
          <w:p w14:paraId="6BFBABCD" w14:textId="77777777" w:rsidR="00A737A7" w:rsidRPr="003907A4" w:rsidRDefault="00AF2AF3" w:rsidP="00A737A7">
            <w:pPr>
              <w:ind w:firstLineChars="200" w:firstLine="360"/>
              <w:jc w:val="right"/>
              <w:rPr>
                <w:rFonts w:ascii="Calibri" w:hAnsi="Calibri"/>
                <w:sz w:val="18"/>
                <w:szCs w:val="18"/>
                <w:lang w:eastAsia="cs-CZ"/>
              </w:rPr>
            </w:pPr>
            <w:r>
              <w:rPr>
                <w:rFonts w:ascii="Calibri" w:hAnsi="Calibri"/>
                <w:sz w:val="18"/>
                <w:szCs w:val="18"/>
                <w:lang w:eastAsia="cs-CZ"/>
              </w:rPr>
              <w:t>225 454,14</w:t>
            </w:r>
          </w:p>
        </w:tc>
      </w:tr>
      <w:tr w:rsidR="00AF2AF3" w:rsidRPr="00A737A7" w14:paraId="3BD6AC8B" w14:textId="77777777" w:rsidTr="005E39B3">
        <w:trPr>
          <w:trHeight w:val="240"/>
        </w:trPr>
        <w:tc>
          <w:tcPr>
            <w:tcW w:w="6860" w:type="dxa"/>
            <w:tcBorders>
              <w:top w:val="nil"/>
              <w:left w:val="single" w:sz="4" w:space="0" w:color="auto"/>
              <w:bottom w:val="single" w:sz="4" w:space="0" w:color="auto"/>
              <w:right w:val="single" w:sz="4" w:space="0" w:color="auto"/>
            </w:tcBorders>
            <w:shd w:val="clear" w:color="000000" w:fill="FFFFFF"/>
            <w:vAlign w:val="center"/>
          </w:tcPr>
          <w:p w14:paraId="1EC9E0B5" w14:textId="77777777" w:rsidR="00AF2AF3" w:rsidRPr="00A737A7" w:rsidRDefault="00AF2AF3" w:rsidP="00AF2AF3">
            <w:pPr>
              <w:rPr>
                <w:rFonts w:ascii="Calibri" w:hAnsi="Calibri"/>
                <w:color w:val="000000"/>
                <w:sz w:val="18"/>
                <w:szCs w:val="18"/>
                <w:lang w:eastAsia="cs-CZ"/>
              </w:rPr>
            </w:pPr>
            <w:r>
              <w:rPr>
                <w:rFonts w:ascii="Calibri" w:hAnsi="Calibri"/>
                <w:color w:val="000000"/>
                <w:sz w:val="18"/>
                <w:szCs w:val="18"/>
                <w:lang w:eastAsia="cs-CZ"/>
              </w:rPr>
              <w:t>P.I.2. Jiný drobný dlouhodobý hmotný majetek</w:t>
            </w:r>
          </w:p>
        </w:tc>
        <w:tc>
          <w:tcPr>
            <w:tcW w:w="2222" w:type="dxa"/>
            <w:tcBorders>
              <w:top w:val="nil"/>
              <w:left w:val="nil"/>
              <w:bottom w:val="single" w:sz="4" w:space="0" w:color="auto"/>
              <w:right w:val="single" w:sz="4" w:space="0" w:color="auto"/>
            </w:tcBorders>
            <w:shd w:val="clear" w:color="000000" w:fill="FFFFFF"/>
            <w:vAlign w:val="center"/>
          </w:tcPr>
          <w:p w14:paraId="41BE47D6" w14:textId="77777777" w:rsidR="00AF2AF3" w:rsidRPr="003907A4" w:rsidDel="00AF2AF3" w:rsidRDefault="00AF2AF3" w:rsidP="00A737A7">
            <w:pPr>
              <w:ind w:firstLineChars="200" w:firstLine="360"/>
              <w:jc w:val="right"/>
              <w:rPr>
                <w:rFonts w:ascii="Calibri" w:hAnsi="Calibri"/>
                <w:sz w:val="18"/>
                <w:szCs w:val="18"/>
                <w:lang w:eastAsia="cs-CZ"/>
              </w:rPr>
            </w:pPr>
            <w:r>
              <w:rPr>
                <w:rFonts w:ascii="Calibri" w:hAnsi="Calibri"/>
                <w:sz w:val="18"/>
                <w:szCs w:val="18"/>
                <w:lang w:eastAsia="cs-CZ"/>
              </w:rPr>
              <w:t>7 003 132,27</w:t>
            </w:r>
          </w:p>
        </w:tc>
      </w:tr>
      <w:tr w:rsidR="00AF2AF3" w:rsidRPr="00A737A7" w14:paraId="7EE03956" w14:textId="77777777" w:rsidTr="005E39B3">
        <w:trPr>
          <w:trHeight w:val="240"/>
        </w:trPr>
        <w:tc>
          <w:tcPr>
            <w:tcW w:w="6860" w:type="dxa"/>
            <w:tcBorders>
              <w:top w:val="nil"/>
              <w:left w:val="single" w:sz="4" w:space="0" w:color="auto"/>
              <w:bottom w:val="single" w:sz="4" w:space="0" w:color="auto"/>
              <w:right w:val="single" w:sz="4" w:space="0" w:color="auto"/>
            </w:tcBorders>
            <w:shd w:val="clear" w:color="000000" w:fill="FFFFFF"/>
            <w:vAlign w:val="center"/>
          </w:tcPr>
          <w:p w14:paraId="35A61522" w14:textId="77777777" w:rsidR="00AF2AF3" w:rsidRPr="00A737A7" w:rsidRDefault="00AF2AF3" w:rsidP="00AF2AF3">
            <w:pPr>
              <w:rPr>
                <w:rFonts w:ascii="Calibri" w:hAnsi="Calibri"/>
                <w:color w:val="000000"/>
                <w:sz w:val="18"/>
                <w:szCs w:val="18"/>
                <w:lang w:eastAsia="cs-CZ"/>
              </w:rPr>
            </w:pPr>
            <w:r>
              <w:rPr>
                <w:rFonts w:ascii="Calibri" w:hAnsi="Calibri"/>
                <w:color w:val="000000"/>
                <w:sz w:val="18"/>
                <w:szCs w:val="18"/>
                <w:lang w:eastAsia="cs-CZ"/>
              </w:rPr>
              <w:t>P.I.3. Vyřazené pohledávky</w:t>
            </w:r>
          </w:p>
        </w:tc>
        <w:tc>
          <w:tcPr>
            <w:tcW w:w="2222" w:type="dxa"/>
            <w:tcBorders>
              <w:top w:val="nil"/>
              <w:left w:val="nil"/>
              <w:bottom w:val="single" w:sz="4" w:space="0" w:color="auto"/>
              <w:right w:val="single" w:sz="4" w:space="0" w:color="auto"/>
            </w:tcBorders>
            <w:shd w:val="clear" w:color="000000" w:fill="FFFFFF"/>
            <w:vAlign w:val="center"/>
          </w:tcPr>
          <w:p w14:paraId="3F857B83" w14:textId="77777777" w:rsidR="00AF2AF3" w:rsidRPr="003907A4" w:rsidDel="00AF2AF3" w:rsidRDefault="00AF2AF3" w:rsidP="00A737A7">
            <w:pPr>
              <w:ind w:firstLineChars="200" w:firstLine="360"/>
              <w:jc w:val="right"/>
              <w:rPr>
                <w:rFonts w:ascii="Calibri" w:hAnsi="Calibri"/>
                <w:sz w:val="18"/>
                <w:szCs w:val="18"/>
                <w:lang w:eastAsia="cs-CZ"/>
              </w:rPr>
            </w:pPr>
            <w:r>
              <w:rPr>
                <w:rFonts w:ascii="Calibri" w:hAnsi="Calibri"/>
                <w:sz w:val="18"/>
                <w:szCs w:val="18"/>
                <w:lang w:eastAsia="cs-CZ"/>
              </w:rPr>
              <w:t>12 690 644,05</w:t>
            </w:r>
          </w:p>
        </w:tc>
      </w:tr>
      <w:tr w:rsidR="00AF2AF3" w:rsidRPr="00A737A7" w14:paraId="22B3380C" w14:textId="77777777" w:rsidTr="005E39B3">
        <w:trPr>
          <w:trHeight w:val="240"/>
        </w:trPr>
        <w:tc>
          <w:tcPr>
            <w:tcW w:w="6860" w:type="dxa"/>
            <w:tcBorders>
              <w:top w:val="nil"/>
              <w:left w:val="single" w:sz="4" w:space="0" w:color="auto"/>
              <w:bottom w:val="single" w:sz="4" w:space="0" w:color="auto"/>
              <w:right w:val="single" w:sz="4" w:space="0" w:color="auto"/>
            </w:tcBorders>
            <w:shd w:val="clear" w:color="000000" w:fill="FFFFFF"/>
            <w:vAlign w:val="center"/>
          </w:tcPr>
          <w:p w14:paraId="7B0495E5" w14:textId="77777777" w:rsidR="00AF2AF3" w:rsidRPr="00A737A7" w:rsidRDefault="00AF2AF3" w:rsidP="00AF2AF3">
            <w:pPr>
              <w:rPr>
                <w:rFonts w:ascii="Calibri" w:hAnsi="Calibri"/>
                <w:color w:val="000000"/>
                <w:sz w:val="18"/>
                <w:szCs w:val="18"/>
                <w:lang w:eastAsia="cs-CZ"/>
              </w:rPr>
            </w:pPr>
            <w:r>
              <w:rPr>
                <w:rFonts w:ascii="Calibri" w:hAnsi="Calibri"/>
                <w:color w:val="000000"/>
                <w:sz w:val="18"/>
                <w:szCs w:val="18"/>
                <w:lang w:eastAsia="cs-CZ"/>
              </w:rPr>
              <w:t>P.I.4. Vyřazené závazky</w:t>
            </w:r>
          </w:p>
        </w:tc>
        <w:tc>
          <w:tcPr>
            <w:tcW w:w="2222" w:type="dxa"/>
            <w:tcBorders>
              <w:top w:val="nil"/>
              <w:left w:val="nil"/>
              <w:bottom w:val="single" w:sz="4" w:space="0" w:color="auto"/>
              <w:right w:val="single" w:sz="4" w:space="0" w:color="auto"/>
            </w:tcBorders>
            <w:shd w:val="clear" w:color="000000" w:fill="FFFFFF"/>
            <w:vAlign w:val="center"/>
          </w:tcPr>
          <w:p w14:paraId="79F7638E" w14:textId="77777777" w:rsidR="00AF2AF3" w:rsidRPr="003907A4" w:rsidDel="00AF2AF3" w:rsidRDefault="00AF2AF3" w:rsidP="00A737A7">
            <w:pPr>
              <w:ind w:firstLineChars="200" w:firstLine="360"/>
              <w:jc w:val="right"/>
              <w:rPr>
                <w:rFonts w:ascii="Calibri" w:hAnsi="Calibri"/>
                <w:sz w:val="18"/>
                <w:szCs w:val="18"/>
                <w:lang w:eastAsia="cs-CZ"/>
              </w:rPr>
            </w:pPr>
            <w:r>
              <w:rPr>
                <w:rFonts w:ascii="Calibri" w:hAnsi="Calibri"/>
                <w:sz w:val="18"/>
                <w:szCs w:val="18"/>
                <w:lang w:eastAsia="cs-CZ"/>
              </w:rPr>
              <w:t>10 406,00</w:t>
            </w:r>
          </w:p>
        </w:tc>
      </w:tr>
      <w:tr w:rsidR="00AF2AF3" w:rsidRPr="00A737A7" w14:paraId="0AAB7D31" w14:textId="77777777" w:rsidTr="005E39B3">
        <w:trPr>
          <w:trHeight w:val="240"/>
        </w:trPr>
        <w:tc>
          <w:tcPr>
            <w:tcW w:w="6860" w:type="dxa"/>
            <w:tcBorders>
              <w:top w:val="nil"/>
              <w:left w:val="single" w:sz="4" w:space="0" w:color="auto"/>
              <w:bottom w:val="single" w:sz="4" w:space="0" w:color="auto"/>
              <w:right w:val="single" w:sz="4" w:space="0" w:color="auto"/>
            </w:tcBorders>
            <w:shd w:val="clear" w:color="000000" w:fill="FFFFFF"/>
            <w:vAlign w:val="center"/>
          </w:tcPr>
          <w:p w14:paraId="5079E8C5" w14:textId="77777777" w:rsidR="00AF2AF3" w:rsidRPr="00A737A7" w:rsidRDefault="00AF2AF3" w:rsidP="00AF2AF3">
            <w:pPr>
              <w:rPr>
                <w:rFonts w:ascii="Calibri" w:hAnsi="Calibri"/>
                <w:color w:val="000000"/>
                <w:sz w:val="18"/>
                <w:szCs w:val="18"/>
                <w:lang w:eastAsia="cs-CZ"/>
              </w:rPr>
            </w:pPr>
            <w:r>
              <w:rPr>
                <w:rFonts w:ascii="Calibri" w:hAnsi="Calibri"/>
                <w:color w:val="000000"/>
                <w:sz w:val="18"/>
                <w:szCs w:val="18"/>
                <w:lang w:eastAsia="cs-CZ"/>
              </w:rPr>
              <w:t>P.I.5. Ostatní majetek</w:t>
            </w:r>
          </w:p>
        </w:tc>
        <w:tc>
          <w:tcPr>
            <w:tcW w:w="2222" w:type="dxa"/>
            <w:tcBorders>
              <w:top w:val="nil"/>
              <w:left w:val="nil"/>
              <w:bottom w:val="single" w:sz="4" w:space="0" w:color="auto"/>
              <w:right w:val="single" w:sz="4" w:space="0" w:color="auto"/>
            </w:tcBorders>
            <w:shd w:val="clear" w:color="000000" w:fill="FFFFFF"/>
            <w:vAlign w:val="center"/>
          </w:tcPr>
          <w:p w14:paraId="6FE3A12F" w14:textId="77777777" w:rsidR="00AF2AF3" w:rsidRPr="003907A4" w:rsidDel="00AF2AF3" w:rsidRDefault="00AF2AF3" w:rsidP="00A737A7">
            <w:pPr>
              <w:ind w:firstLineChars="200" w:firstLine="360"/>
              <w:jc w:val="right"/>
              <w:rPr>
                <w:rFonts w:ascii="Calibri" w:hAnsi="Calibri"/>
                <w:sz w:val="18"/>
                <w:szCs w:val="18"/>
                <w:lang w:eastAsia="cs-CZ"/>
              </w:rPr>
            </w:pPr>
            <w:r>
              <w:rPr>
                <w:rFonts w:ascii="Calibri" w:hAnsi="Calibri"/>
                <w:sz w:val="18"/>
                <w:szCs w:val="18"/>
                <w:lang w:eastAsia="cs-CZ"/>
              </w:rPr>
              <w:t>11 083,60</w:t>
            </w:r>
          </w:p>
        </w:tc>
      </w:tr>
      <w:tr w:rsidR="00A737A7" w:rsidRPr="00A737A7" w14:paraId="3AAB6905" w14:textId="77777777" w:rsidTr="005E39B3">
        <w:trPr>
          <w:trHeight w:val="238"/>
        </w:trPr>
        <w:tc>
          <w:tcPr>
            <w:tcW w:w="6860" w:type="dxa"/>
            <w:tcBorders>
              <w:top w:val="nil"/>
              <w:left w:val="single" w:sz="4" w:space="0" w:color="auto"/>
              <w:bottom w:val="single" w:sz="4" w:space="0" w:color="auto"/>
              <w:right w:val="single" w:sz="4" w:space="0" w:color="auto"/>
            </w:tcBorders>
            <w:shd w:val="clear" w:color="000000" w:fill="FFFFFF"/>
            <w:hideMark/>
          </w:tcPr>
          <w:p w14:paraId="6FEE70AD" w14:textId="77777777" w:rsidR="00A737A7" w:rsidRPr="00A737A7" w:rsidRDefault="00A737A7" w:rsidP="00A737A7">
            <w:pPr>
              <w:rPr>
                <w:rFonts w:ascii="Calibri" w:hAnsi="Calibri"/>
                <w:color w:val="000000"/>
                <w:sz w:val="18"/>
                <w:szCs w:val="18"/>
                <w:lang w:eastAsia="cs-CZ"/>
              </w:rPr>
            </w:pPr>
            <w:r w:rsidRPr="00A737A7">
              <w:rPr>
                <w:rFonts w:ascii="Calibri" w:hAnsi="Calibri"/>
                <w:color w:val="000000"/>
                <w:sz w:val="18"/>
                <w:szCs w:val="18"/>
                <w:lang w:eastAsia="cs-CZ"/>
              </w:rPr>
              <w:t>P.III. Podmíněné pohledávky z důvodu užívání majetku jinou osobou</w:t>
            </w:r>
          </w:p>
        </w:tc>
        <w:tc>
          <w:tcPr>
            <w:tcW w:w="2222" w:type="dxa"/>
            <w:tcBorders>
              <w:top w:val="nil"/>
              <w:left w:val="nil"/>
              <w:bottom w:val="single" w:sz="4" w:space="0" w:color="auto"/>
              <w:right w:val="single" w:sz="4" w:space="0" w:color="auto"/>
            </w:tcBorders>
            <w:shd w:val="clear" w:color="000000" w:fill="FFFFFF"/>
            <w:vAlign w:val="center"/>
            <w:hideMark/>
          </w:tcPr>
          <w:p w14:paraId="29659FAD" w14:textId="77777777" w:rsidR="00A737A7" w:rsidRPr="003907A4" w:rsidRDefault="00A737A7" w:rsidP="00A737A7">
            <w:pPr>
              <w:ind w:firstLineChars="200" w:firstLine="360"/>
              <w:jc w:val="right"/>
              <w:rPr>
                <w:rFonts w:ascii="Calibri" w:hAnsi="Calibri"/>
                <w:sz w:val="18"/>
                <w:szCs w:val="18"/>
                <w:lang w:eastAsia="cs-CZ"/>
              </w:rPr>
            </w:pPr>
            <w:r w:rsidRPr="003907A4">
              <w:rPr>
                <w:rFonts w:ascii="Calibri" w:hAnsi="Calibri"/>
                <w:sz w:val="18"/>
                <w:szCs w:val="18"/>
                <w:lang w:eastAsia="cs-CZ"/>
              </w:rPr>
              <w:t>117 204 940,41</w:t>
            </w:r>
          </w:p>
        </w:tc>
      </w:tr>
      <w:tr w:rsidR="00A737A7" w:rsidRPr="00A737A7" w14:paraId="1D2FD3A2" w14:textId="77777777" w:rsidTr="005E39B3">
        <w:trPr>
          <w:trHeight w:val="238"/>
        </w:trPr>
        <w:tc>
          <w:tcPr>
            <w:tcW w:w="6860" w:type="dxa"/>
            <w:tcBorders>
              <w:top w:val="nil"/>
              <w:left w:val="single" w:sz="4" w:space="0" w:color="auto"/>
              <w:bottom w:val="single" w:sz="4" w:space="0" w:color="auto"/>
              <w:right w:val="single" w:sz="4" w:space="0" w:color="auto"/>
            </w:tcBorders>
            <w:shd w:val="clear" w:color="000000" w:fill="FFFFFF"/>
            <w:vAlign w:val="center"/>
            <w:hideMark/>
          </w:tcPr>
          <w:p w14:paraId="5CE8AEFE" w14:textId="77777777" w:rsidR="00A737A7" w:rsidRPr="00A737A7" w:rsidRDefault="00AF2AF3" w:rsidP="00AF2AF3">
            <w:pPr>
              <w:rPr>
                <w:rFonts w:ascii="Calibri" w:hAnsi="Calibri"/>
                <w:color w:val="000000"/>
                <w:sz w:val="18"/>
                <w:szCs w:val="18"/>
                <w:lang w:eastAsia="cs-CZ"/>
              </w:rPr>
            </w:pPr>
            <w:r w:rsidRPr="00A737A7">
              <w:rPr>
                <w:rFonts w:ascii="Calibri" w:hAnsi="Calibri"/>
                <w:color w:val="000000"/>
                <w:sz w:val="18"/>
                <w:szCs w:val="18"/>
                <w:lang w:eastAsia="cs-CZ"/>
              </w:rPr>
              <w:t>P.V.</w:t>
            </w:r>
            <w:r>
              <w:rPr>
                <w:rFonts w:ascii="Calibri" w:hAnsi="Calibri"/>
                <w:color w:val="000000"/>
                <w:sz w:val="18"/>
                <w:szCs w:val="18"/>
                <w:lang w:eastAsia="cs-CZ"/>
              </w:rPr>
              <w:t>3.</w:t>
            </w:r>
            <w:r w:rsidRPr="00A737A7">
              <w:rPr>
                <w:rFonts w:ascii="Calibri" w:hAnsi="Calibri"/>
                <w:color w:val="000000"/>
                <w:sz w:val="18"/>
                <w:szCs w:val="18"/>
                <w:lang w:eastAsia="cs-CZ"/>
              </w:rPr>
              <w:t xml:space="preserve"> Dlouhodobé podmíněné pohledávky z</w:t>
            </w:r>
            <w:r>
              <w:rPr>
                <w:rFonts w:ascii="Calibri" w:hAnsi="Calibri"/>
                <w:color w:val="000000"/>
                <w:sz w:val="18"/>
                <w:szCs w:val="18"/>
                <w:lang w:eastAsia="cs-CZ"/>
              </w:rPr>
              <w:t>e zahraničních transferů</w:t>
            </w:r>
            <w:r w:rsidRPr="00A737A7" w:rsidDel="00AF2AF3">
              <w:rPr>
                <w:rFonts w:ascii="Calibri" w:hAnsi="Calibri"/>
                <w:color w:val="000000"/>
                <w:sz w:val="18"/>
                <w:szCs w:val="18"/>
                <w:lang w:eastAsia="cs-CZ"/>
              </w:rPr>
              <w:t xml:space="preserve"> </w:t>
            </w:r>
          </w:p>
        </w:tc>
        <w:tc>
          <w:tcPr>
            <w:tcW w:w="2222" w:type="dxa"/>
            <w:tcBorders>
              <w:top w:val="nil"/>
              <w:left w:val="nil"/>
              <w:bottom w:val="single" w:sz="4" w:space="0" w:color="auto"/>
              <w:right w:val="single" w:sz="4" w:space="0" w:color="auto"/>
            </w:tcBorders>
            <w:shd w:val="clear" w:color="000000" w:fill="FFFFFF"/>
            <w:vAlign w:val="center"/>
            <w:hideMark/>
          </w:tcPr>
          <w:p w14:paraId="658E3FBB" w14:textId="77777777" w:rsidR="00A737A7" w:rsidRPr="003907A4" w:rsidRDefault="00AF2AF3" w:rsidP="00A737A7">
            <w:pPr>
              <w:ind w:firstLineChars="200" w:firstLine="360"/>
              <w:jc w:val="right"/>
              <w:rPr>
                <w:rFonts w:ascii="Calibri" w:hAnsi="Calibri"/>
                <w:sz w:val="18"/>
                <w:szCs w:val="18"/>
                <w:lang w:eastAsia="cs-CZ"/>
              </w:rPr>
            </w:pPr>
            <w:r>
              <w:rPr>
                <w:rFonts w:ascii="Calibri" w:hAnsi="Calibri"/>
                <w:sz w:val="18"/>
                <w:szCs w:val="18"/>
                <w:lang w:eastAsia="cs-CZ"/>
              </w:rPr>
              <w:t>297 596 307,63</w:t>
            </w:r>
          </w:p>
        </w:tc>
      </w:tr>
      <w:tr w:rsidR="00AF2AF3" w:rsidRPr="00A737A7" w14:paraId="6F8B3716" w14:textId="77777777" w:rsidTr="005E39B3">
        <w:trPr>
          <w:trHeight w:val="238"/>
        </w:trPr>
        <w:tc>
          <w:tcPr>
            <w:tcW w:w="6860" w:type="dxa"/>
            <w:tcBorders>
              <w:top w:val="nil"/>
              <w:left w:val="single" w:sz="4" w:space="0" w:color="auto"/>
              <w:bottom w:val="single" w:sz="4" w:space="0" w:color="auto"/>
              <w:right w:val="single" w:sz="4" w:space="0" w:color="auto"/>
            </w:tcBorders>
            <w:shd w:val="clear" w:color="000000" w:fill="FFFFFF"/>
            <w:vAlign w:val="center"/>
          </w:tcPr>
          <w:p w14:paraId="4ED6BA81" w14:textId="77777777" w:rsidR="00AF2AF3" w:rsidRPr="00A737A7" w:rsidDel="00AF2AF3" w:rsidRDefault="00AF2AF3" w:rsidP="00AF2AF3">
            <w:pPr>
              <w:rPr>
                <w:rFonts w:ascii="Calibri" w:hAnsi="Calibri"/>
                <w:color w:val="000000"/>
                <w:sz w:val="18"/>
                <w:szCs w:val="18"/>
                <w:lang w:eastAsia="cs-CZ"/>
              </w:rPr>
            </w:pPr>
            <w:r>
              <w:rPr>
                <w:rFonts w:ascii="Calibri" w:hAnsi="Calibri"/>
                <w:color w:val="000000"/>
                <w:sz w:val="18"/>
                <w:szCs w:val="18"/>
                <w:lang w:eastAsia="cs-CZ"/>
              </w:rPr>
              <w:t xml:space="preserve">P.V.4. </w:t>
            </w:r>
            <w:r w:rsidRPr="00A737A7">
              <w:rPr>
                <w:rFonts w:ascii="Calibri" w:hAnsi="Calibri"/>
                <w:color w:val="000000"/>
                <w:sz w:val="18"/>
                <w:szCs w:val="18"/>
                <w:lang w:eastAsia="cs-CZ"/>
              </w:rPr>
              <w:t xml:space="preserve">Dlouhodobé podmíněné </w:t>
            </w:r>
            <w:r>
              <w:rPr>
                <w:rFonts w:ascii="Calibri" w:hAnsi="Calibri"/>
                <w:color w:val="000000"/>
                <w:sz w:val="18"/>
                <w:szCs w:val="18"/>
                <w:lang w:eastAsia="cs-CZ"/>
              </w:rPr>
              <w:t>závazky</w:t>
            </w:r>
            <w:r w:rsidRPr="00A737A7">
              <w:rPr>
                <w:rFonts w:ascii="Calibri" w:hAnsi="Calibri"/>
                <w:color w:val="000000"/>
                <w:sz w:val="18"/>
                <w:szCs w:val="18"/>
                <w:lang w:eastAsia="cs-CZ"/>
              </w:rPr>
              <w:t xml:space="preserve"> z</w:t>
            </w:r>
            <w:r>
              <w:rPr>
                <w:rFonts w:ascii="Calibri" w:hAnsi="Calibri"/>
                <w:color w:val="000000"/>
                <w:sz w:val="18"/>
                <w:szCs w:val="18"/>
                <w:lang w:eastAsia="cs-CZ"/>
              </w:rPr>
              <w:t>e zahraničních transferů</w:t>
            </w:r>
          </w:p>
        </w:tc>
        <w:tc>
          <w:tcPr>
            <w:tcW w:w="2222" w:type="dxa"/>
            <w:tcBorders>
              <w:top w:val="nil"/>
              <w:left w:val="nil"/>
              <w:bottom w:val="single" w:sz="4" w:space="0" w:color="auto"/>
              <w:right w:val="single" w:sz="4" w:space="0" w:color="auto"/>
            </w:tcBorders>
            <w:shd w:val="clear" w:color="000000" w:fill="FFFFFF"/>
            <w:vAlign w:val="center"/>
          </w:tcPr>
          <w:p w14:paraId="1EBDB9BD" w14:textId="77777777" w:rsidR="00AF2AF3" w:rsidRPr="003907A4" w:rsidRDefault="00AF2AF3" w:rsidP="00A737A7">
            <w:pPr>
              <w:ind w:firstLineChars="200" w:firstLine="360"/>
              <w:jc w:val="right"/>
              <w:rPr>
                <w:rFonts w:ascii="Calibri" w:hAnsi="Calibri"/>
                <w:sz w:val="18"/>
                <w:szCs w:val="18"/>
                <w:lang w:eastAsia="cs-CZ"/>
              </w:rPr>
            </w:pPr>
            <w:r>
              <w:rPr>
                <w:rFonts w:ascii="Calibri" w:hAnsi="Calibri"/>
                <w:sz w:val="18"/>
                <w:szCs w:val="18"/>
                <w:lang w:eastAsia="cs-CZ"/>
              </w:rPr>
              <w:t>303 796 416,80</w:t>
            </w:r>
          </w:p>
        </w:tc>
      </w:tr>
      <w:tr w:rsidR="00A737A7" w:rsidRPr="00A737A7" w14:paraId="79D8D055" w14:textId="77777777" w:rsidTr="005E39B3">
        <w:trPr>
          <w:trHeight w:val="238"/>
        </w:trPr>
        <w:tc>
          <w:tcPr>
            <w:tcW w:w="6860" w:type="dxa"/>
            <w:tcBorders>
              <w:top w:val="nil"/>
              <w:left w:val="single" w:sz="4" w:space="0" w:color="auto"/>
              <w:bottom w:val="single" w:sz="4" w:space="0" w:color="auto"/>
              <w:right w:val="single" w:sz="4" w:space="0" w:color="auto"/>
            </w:tcBorders>
            <w:shd w:val="clear" w:color="000000" w:fill="FFFFFF"/>
            <w:vAlign w:val="center"/>
            <w:hideMark/>
          </w:tcPr>
          <w:p w14:paraId="4ACD465F" w14:textId="77777777" w:rsidR="00A737A7" w:rsidRPr="00A737A7" w:rsidRDefault="00A737A7" w:rsidP="00AF2AF3">
            <w:pPr>
              <w:rPr>
                <w:rFonts w:ascii="Calibri" w:hAnsi="Calibri"/>
                <w:color w:val="000000"/>
                <w:sz w:val="18"/>
                <w:szCs w:val="18"/>
                <w:lang w:eastAsia="cs-CZ"/>
              </w:rPr>
            </w:pPr>
            <w:r w:rsidRPr="00A737A7">
              <w:rPr>
                <w:rFonts w:ascii="Calibri" w:hAnsi="Calibri"/>
                <w:color w:val="000000"/>
                <w:sz w:val="18"/>
                <w:szCs w:val="18"/>
                <w:lang w:eastAsia="cs-CZ"/>
              </w:rPr>
              <w:t>P.VI. Podmíněné závazky z důvodu užívání cizího majetku</w:t>
            </w:r>
          </w:p>
        </w:tc>
        <w:tc>
          <w:tcPr>
            <w:tcW w:w="2222" w:type="dxa"/>
            <w:tcBorders>
              <w:top w:val="nil"/>
              <w:left w:val="nil"/>
              <w:bottom w:val="single" w:sz="4" w:space="0" w:color="auto"/>
              <w:right w:val="single" w:sz="4" w:space="0" w:color="auto"/>
            </w:tcBorders>
            <w:shd w:val="clear" w:color="000000" w:fill="FFFFFF"/>
            <w:vAlign w:val="center"/>
            <w:hideMark/>
          </w:tcPr>
          <w:p w14:paraId="40117C42" w14:textId="77777777" w:rsidR="00A737A7" w:rsidRPr="003907A4" w:rsidRDefault="00A737A7" w:rsidP="00A737A7">
            <w:pPr>
              <w:ind w:firstLineChars="200" w:firstLine="360"/>
              <w:jc w:val="right"/>
              <w:rPr>
                <w:rFonts w:ascii="Calibri" w:hAnsi="Calibri"/>
                <w:sz w:val="18"/>
                <w:szCs w:val="18"/>
                <w:lang w:eastAsia="cs-CZ"/>
              </w:rPr>
            </w:pPr>
            <w:r w:rsidRPr="003907A4">
              <w:rPr>
                <w:rFonts w:ascii="Calibri" w:hAnsi="Calibri"/>
                <w:sz w:val="18"/>
                <w:szCs w:val="18"/>
                <w:lang w:eastAsia="cs-CZ"/>
              </w:rPr>
              <w:t>1 606 224,85</w:t>
            </w:r>
          </w:p>
        </w:tc>
      </w:tr>
      <w:tr w:rsidR="00A737A7" w:rsidRPr="00A737A7" w14:paraId="57499631" w14:textId="77777777" w:rsidTr="005E39B3">
        <w:trPr>
          <w:trHeight w:val="238"/>
        </w:trPr>
        <w:tc>
          <w:tcPr>
            <w:tcW w:w="6860" w:type="dxa"/>
            <w:tcBorders>
              <w:top w:val="nil"/>
              <w:left w:val="single" w:sz="4" w:space="0" w:color="auto"/>
              <w:bottom w:val="single" w:sz="4" w:space="0" w:color="auto"/>
              <w:right w:val="single" w:sz="4" w:space="0" w:color="auto"/>
            </w:tcBorders>
            <w:shd w:val="clear" w:color="000000" w:fill="FFFFFF"/>
            <w:vAlign w:val="center"/>
            <w:hideMark/>
          </w:tcPr>
          <w:p w14:paraId="0DBD3D5A" w14:textId="77777777" w:rsidR="00A737A7" w:rsidRPr="00A737A7" w:rsidRDefault="00A737A7" w:rsidP="00AF2AF3">
            <w:pPr>
              <w:rPr>
                <w:rFonts w:ascii="Calibri" w:hAnsi="Calibri"/>
                <w:color w:val="000000"/>
                <w:sz w:val="18"/>
                <w:szCs w:val="18"/>
                <w:lang w:eastAsia="cs-CZ"/>
              </w:rPr>
            </w:pPr>
            <w:r w:rsidRPr="00A737A7">
              <w:rPr>
                <w:rFonts w:ascii="Calibri" w:hAnsi="Calibri"/>
                <w:color w:val="000000"/>
                <w:sz w:val="18"/>
                <w:szCs w:val="18"/>
                <w:lang w:eastAsia="cs-CZ"/>
              </w:rPr>
              <w:t>P.VIII.5. Vyrovnávací účet k podrozvahovým účtům</w:t>
            </w:r>
          </w:p>
        </w:tc>
        <w:tc>
          <w:tcPr>
            <w:tcW w:w="2222" w:type="dxa"/>
            <w:tcBorders>
              <w:top w:val="nil"/>
              <w:left w:val="nil"/>
              <w:bottom w:val="single" w:sz="4" w:space="0" w:color="auto"/>
              <w:right w:val="single" w:sz="4" w:space="0" w:color="auto"/>
            </w:tcBorders>
            <w:shd w:val="clear" w:color="000000" w:fill="FFFFFF"/>
            <w:vAlign w:val="center"/>
            <w:hideMark/>
          </w:tcPr>
          <w:p w14:paraId="2FE74B89" w14:textId="77777777" w:rsidR="00A737A7" w:rsidRPr="003907A4" w:rsidRDefault="00A737A7" w:rsidP="00A737A7">
            <w:pPr>
              <w:ind w:firstLineChars="200" w:firstLine="360"/>
              <w:jc w:val="right"/>
              <w:rPr>
                <w:rFonts w:ascii="Calibri" w:hAnsi="Calibri"/>
                <w:sz w:val="18"/>
                <w:szCs w:val="18"/>
                <w:lang w:eastAsia="cs-CZ"/>
              </w:rPr>
            </w:pPr>
            <w:r w:rsidRPr="003907A4">
              <w:rPr>
                <w:rFonts w:ascii="Calibri" w:hAnsi="Calibri"/>
                <w:sz w:val="18"/>
                <w:szCs w:val="18"/>
                <w:lang w:eastAsia="cs-CZ"/>
              </w:rPr>
              <w:t>129 318 514,45</w:t>
            </w:r>
          </w:p>
        </w:tc>
      </w:tr>
      <w:tr w:rsidR="00A737A7" w:rsidRPr="00287383" w14:paraId="3A5F548F" w14:textId="77777777" w:rsidTr="005E39B3">
        <w:trPr>
          <w:trHeight w:val="240"/>
        </w:trPr>
        <w:tc>
          <w:tcPr>
            <w:tcW w:w="9082" w:type="dxa"/>
            <w:gridSpan w:val="2"/>
            <w:tcBorders>
              <w:top w:val="single" w:sz="4" w:space="0" w:color="auto"/>
              <w:left w:val="nil"/>
              <w:bottom w:val="nil"/>
              <w:right w:val="nil"/>
            </w:tcBorders>
            <w:shd w:val="clear" w:color="000000" w:fill="FFFFFF"/>
            <w:vAlign w:val="center"/>
            <w:hideMark/>
          </w:tcPr>
          <w:p w14:paraId="3D13C452" w14:textId="77777777" w:rsidR="00A737A7" w:rsidRPr="00287383" w:rsidRDefault="00A737A7" w:rsidP="00A737A7">
            <w:pPr>
              <w:rPr>
                <w:rFonts w:ascii="Calibri" w:hAnsi="Calibri"/>
                <w:b/>
                <w:bCs/>
                <w:color w:val="000000"/>
                <w:sz w:val="20"/>
                <w:szCs w:val="20"/>
                <w:lang w:eastAsia="cs-CZ"/>
              </w:rPr>
            </w:pPr>
            <w:r w:rsidRPr="00287383">
              <w:rPr>
                <w:rFonts w:ascii="Calibri" w:hAnsi="Calibri"/>
                <w:b/>
                <w:bCs/>
                <w:color w:val="000000"/>
                <w:sz w:val="20"/>
                <w:szCs w:val="20"/>
                <w:lang w:eastAsia="cs-CZ"/>
              </w:rPr>
              <w:t xml:space="preserve">Zdroj: </w:t>
            </w:r>
            <w:r w:rsidRPr="00287383">
              <w:rPr>
                <w:rFonts w:ascii="Calibri" w:hAnsi="Calibri"/>
                <w:bCs/>
                <w:color w:val="000000"/>
                <w:sz w:val="20"/>
                <w:szCs w:val="20"/>
                <w:lang w:eastAsia="cs-CZ"/>
              </w:rPr>
              <w:t xml:space="preserve">účetní závěrka </w:t>
            </w:r>
            <w:proofErr w:type="spellStart"/>
            <w:r w:rsidRPr="00287383">
              <w:rPr>
                <w:rFonts w:ascii="Calibri" w:hAnsi="Calibri"/>
                <w:bCs/>
                <w:color w:val="000000"/>
                <w:sz w:val="20"/>
                <w:szCs w:val="20"/>
                <w:lang w:eastAsia="cs-CZ"/>
              </w:rPr>
              <w:t>MSp</w:t>
            </w:r>
            <w:proofErr w:type="spellEnd"/>
            <w:r w:rsidRPr="00287383">
              <w:rPr>
                <w:rFonts w:ascii="Calibri" w:hAnsi="Calibri"/>
                <w:bCs/>
                <w:color w:val="000000"/>
                <w:sz w:val="20"/>
                <w:szCs w:val="20"/>
                <w:lang w:eastAsia="cs-CZ"/>
              </w:rPr>
              <w:t xml:space="preserve"> k 31. prosinci 2015.</w:t>
            </w:r>
          </w:p>
        </w:tc>
      </w:tr>
    </w:tbl>
    <w:p w14:paraId="763BB276" w14:textId="77777777" w:rsidR="00DF0111" w:rsidRPr="001C4A4A" w:rsidRDefault="00DF0111" w:rsidP="00F72DE4">
      <w:pPr>
        <w:spacing w:before="40"/>
        <w:rPr>
          <w:rFonts w:asciiTheme="minorHAnsi" w:hAnsiTheme="minorHAnsi" w:cstheme="minorHAnsi"/>
          <w:sz w:val="20"/>
          <w:szCs w:val="20"/>
          <w:highlight w:val="yellow"/>
          <w:lang w:eastAsia="cs-CZ"/>
        </w:rPr>
      </w:pPr>
    </w:p>
    <w:p w14:paraId="6B3A41C4" w14:textId="77777777" w:rsidR="00A737A7" w:rsidRPr="00733722" w:rsidRDefault="00A737A7" w:rsidP="00191627">
      <w:pPr>
        <w:spacing w:before="40"/>
        <w:ind w:left="595" w:hanging="595"/>
        <w:jc w:val="both"/>
        <w:rPr>
          <w:rFonts w:asciiTheme="minorHAnsi" w:hAnsiTheme="minorHAnsi" w:cstheme="minorHAnsi"/>
          <w:sz w:val="20"/>
          <w:szCs w:val="20"/>
          <w:lang w:eastAsia="cs-CZ"/>
        </w:rPr>
      </w:pPr>
      <w:r w:rsidRPr="00733722">
        <w:rPr>
          <w:rFonts w:asciiTheme="minorHAnsi" w:hAnsiTheme="minorHAnsi" w:cstheme="minorHAnsi"/>
          <w:b/>
          <w:sz w:val="20"/>
          <w:szCs w:val="20"/>
          <w:lang w:eastAsia="cs-CZ"/>
        </w:rPr>
        <w:t>Pozn</w:t>
      </w:r>
      <w:r w:rsidRPr="00F470EA">
        <w:rPr>
          <w:rFonts w:asciiTheme="minorHAnsi" w:hAnsiTheme="minorHAnsi" w:cstheme="minorHAnsi"/>
          <w:b/>
          <w:sz w:val="20"/>
          <w:szCs w:val="20"/>
          <w:lang w:eastAsia="cs-CZ"/>
        </w:rPr>
        <w:t>.</w:t>
      </w:r>
      <w:r w:rsidRPr="00C869E4">
        <w:rPr>
          <w:rFonts w:asciiTheme="minorHAnsi" w:hAnsiTheme="minorHAnsi" w:cstheme="minorHAnsi"/>
          <w:b/>
          <w:sz w:val="20"/>
          <w:szCs w:val="20"/>
          <w:lang w:eastAsia="cs-CZ"/>
        </w:rPr>
        <w:t>:</w:t>
      </w:r>
      <w:r w:rsidRPr="00733722">
        <w:rPr>
          <w:rFonts w:asciiTheme="minorHAnsi" w:hAnsiTheme="minorHAnsi" w:cstheme="minorHAnsi"/>
          <w:sz w:val="20"/>
          <w:szCs w:val="20"/>
          <w:lang w:eastAsia="cs-CZ"/>
        </w:rPr>
        <w:t xml:space="preserve"> Všechny právní předpisy uvedené v tomto kontrolním závěru jsou aplikovány ve znění účinném pro kontrolované období.</w:t>
      </w:r>
    </w:p>
    <w:p w14:paraId="34F9E16F" w14:textId="77777777" w:rsidR="00F72DE4" w:rsidRPr="00A737A7" w:rsidRDefault="00F72DE4" w:rsidP="00EF393E">
      <w:pPr>
        <w:jc w:val="both"/>
        <w:rPr>
          <w:rFonts w:asciiTheme="minorHAnsi" w:hAnsiTheme="minorHAnsi" w:cstheme="minorHAnsi"/>
          <w:b/>
          <w:sz w:val="20"/>
          <w:szCs w:val="20"/>
          <w:lang w:eastAsia="cs-CZ"/>
        </w:rPr>
      </w:pPr>
    </w:p>
    <w:p w14:paraId="164DB964" w14:textId="77777777" w:rsidR="00EF393E" w:rsidRDefault="00EF393E" w:rsidP="00C869E4">
      <w:pPr>
        <w:spacing w:after="240" w:line="259" w:lineRule="auto"/>
        <w:jc w:val="center"/>
        <w:rPr>
          <w:rFonts w:asciiTheme="minorHAnsi" w:hAnsiTheme="minorHAnsi" w:cstheme="minorHAnsi"/>
          <w:b/>
        </w:rPr>
      </w:pPr>
    </w:p>
    <w:p w14:paraId="6EABBF9B" w14:textId="77777777" w:rsidR="005E39B3" w:rsidRPr="00EF393E" w:rsidRDefault="005E39B3" w:rsidP="00281557">
      <w:pPr>
        <w:spacing w:line="259" w:lineRule="auto"/>
        <w:jc w:val="center"/>
        <w:rPr>
          <w:rFonts w:asciiTheme="minorHAnsi" w:hAnsiTheme="minorHAnsi" w:cstheme="minorHAnsi"/>
          <w:b/>
        </w:rPr>
      </w:pPr>
    </w:p>
    <w:p w14:paraId="440A79C3" w14:textId="77777777" w:rsidR="00F72DE4" w:rsidRPr="00A737A7" w:rsidRDefault="00F72DE4" w:rsidP="00281557">
      <w:pPr>
        <w:spacing w:line="259" w:lineRule="auto"/>
        <w:jc w:val="center"/>
        <w:rPr>
          <w:rFonts w:asciiTheme="minorHAnsi" w:hAnsiTheme="minorHAnsi" w:cstheme="minorHAnsi"/>
          <w:b/>
          <w:sz w:val="28"/>
          <w:szCs w:val="28"/>
        </w:rPr>
      </w:pPr>
      <w:r w:rsidRPr="00A737A7">
        <w:rPr>
          <w:rFonts w:asciiTheme="minorHAnsi" w:hAnsiTheme="minorHAnsi" w:cstheme="minorHAnsi"/>
          <w:b/>
          <w:sz w:val="28"/>
          <w:szCs w:val="28"/>
        </w:rPr>
        <w:t>II. Shrnutí a vyhodnocení</w:t>
      </w:r>
    </w:p>
    <w:p w14:paraId="60EE0AAD" w14:textId="77777777" w:rsidR="00F72DE4" w:rsidRPr="00A737A7" w:rsidRDefault="00F72DE4" w:rsidP="00F72DE4">
      <w:pPr>
        <w:jc w:val="both"/>
        <w:rPr>
          <w:rFonts w:asciiTheme="minorHAnsi" w:hAnsiTheme="minorHAnsi" w:cstheme="minorHAnsi"/>
        </w:rPr>
      </w:pPr>
    </w:p>
    <w:p w14:paraId="271C6AB6" w14:textId="775975EF" w:rsidR="00A737A7" w:rsidRDefault="00A737A7" w:rsidP="008D6750">
      <w:pPr>
        <w:jc w:val="both"/>
        <w:rPr>
          <w:rFonts w:asciiTheme="minorHAnsi" w:hAnsiTheme="minorHAnsi" w:cstheme="minorHAnsi"/>
        </w:rPr>
      </w:pPr>
      <w:r w:rsidRPr="00A737A7">
        <w:rPr>
          <w:rFonts w:asciiTheme="minorHAnsi" w:hAnsiTheme="minorHAnsi" w:cstheme="minorHAnsi"/>
        </w:rPr>
        <w:t>Cílem</w:t>
      </w:r>
      <w:r>
        <w:rPr>
          <w:rFonts w:asciiTheme="minorHAnsi" w:hAnsiTheme="minorHAnsi" w:cstheme="minorHAnsi"/>
        </w:rPr>
        <w:t xml:space="preserve"> kontrolní akce č. 16/08 bylo prověřit, zda </w:t>
      </w:r>
      <w:proofErr w:type="spellStart"/>
      <w:r>
        <w:rPr>
          <w:rFonts w:asciiTheme="minorHAnsi" w:hAnsiTheme="minorHAnsi" w:cstheme="minorHAnsi"/>
        </w:rPr>
        <w:t>MSp</w:t>
      </w:r>
      <w:proofErr w:type="spellEnd"/>
      <w:r>
        <w:rPr>
          <w:rFonts w:asciiTheme="minorHAnsi" w:hAnsiTheme="minorHAnsi" w:cstheme="minorHAnsi"/>
        </w:rPr>
        <w:t xml:space="preserve"> při </w:t>
      </w:r>
      <w:r w:rsidR="00227DDC">
        <w:rPr>
          <w:rFonts w:asciiTheme="minorHAnsi" w:hAnsiTheme="minorHAnsi" w:cstheme="minorHAnsi"/>
        </w:rPr>
        <w:t>vedení účetnictví v roce 2015 a </w:t>
      </w:r>
      <w:r>
        <w:rPr>
          <w:rFonts w:asciiTheme="minorHAnsi" w:hAnsiTheme="minorHAnsi" w:cstheme="minorHAnsi"/>
        </w:rPr>
        <w:t xml:space="preserve">sestavení účetní závěrky k 31. </w:t>
      </w:r>
      <w:r w:rsidR="004835FB">
        <w:rPr>
          <w:rFonts w:asciiTheme="minorHAnsi" w:hAnsiTheme="minorHAnsi" w:cstheme="minorHAnsi"/>
        </w:rPr>
        <w:t>prosinci</w:t>
      </w:r>
      <w:r>
        <w:rPr>
          <w:rFonts w:asciiTheme="minorHAnsi" w:hAnsiTheme="minorHAnsi" w:cstheme="minorHAnsi"/>
        </w:rPr>
        <w:t xml:space="preserve"> 2015 postupovalo v souladu s příslušnými právními předpisy.</w:t>
      </w:r>
      <w:r w:rsidR="008D6750">
        <w:rPr>
          <w:rFonts w:asciiTheme="minorHAnsi" w:hAnsiTheme="minorHAnsi" w:cstheme="minorHAnsi"/>
        </w:rPr>
        <w:t xml:space="preserve"> V rámci kontroly bylo mimo jiné </w:t>
      </w:r>
      <w:r w:rsidR="008B5D08">
        <w:rPr>
          <w:rFonts w:asciiTheme="minorHAnsi" w:hAnsiTheme="minorHAnsi" w:cstheme="minorHAnsi"/>
        </w:rPr>
        <w:t xml:space="preserve">prověřováno </w:t>
      </w:r>
      <w:r w:rsidR="008D6750">
        <w:rPr>
          <w:rFonts w:asciiTheme="minorHAnsi" w:hAnsiTheme="minorHAnsi" w:cstheme="minorHAnsi"/>
        </w:rPr>
        <w:t>i plnění jedné ze základních povinností OSS při hospodaření s majetkem státu</w:t>
      </w:r>
      <w:r w:rsidR="008D6750">
        <w:rPr>
          <w:rStyle w:val="Znakapoznpodarou"/>
          <w:rFonts w:asciiTheme="minorHAnsi" w:hAnsiTheme="minorHAnsi" w:cstheme="minorHAnsi"/>
        </w:rPr>
        <w:footnoteReference w:id="3"/>
      </w:r>
      <w:r w:rsidR="008D6750">
        <w:rPr>
          <w:rFonts w:asciiTheme="minorHAnsi" w:hAnsiTheme="minorHAnsi" w:cstheme="minorHAnsi"/>
        </w:rPr>
        <w:t xml:space="preserve">, tj. vést majetek v účetnictví a provádět jeho inventarizaci v souladu se zákonem o účetnictví. Současně bylo cílem kontrolní akce identifikovat případná systémová rizika při vedení účetnictví (např. neúplnost vykazovaných </w:t>
      </w:r>
      <w:r w:rsidR="008D6750">
        <w:rPr>
          <w:rFonts w:asciiTheme="minorHAnsi" w:hAnsiTheme="minorHAnsi" w:cstheme="minorHAnsi"/>
        </w:rPr>
        <w:lastRenderedPageBreak/>
        <w:t>údajů)</w:t>
      </w:r>
      <w:r w:rsidR="0041148C">
        <w:rPr>
          <w:rFonts w:asciiTheme="minorHAnsi" w:hAnsiTheme="minorHAnsi" w:cstheme="minorHAnsi"/>
        </w:rPr>
        <w:t>, která by potenciálně mohla mít vliv na účetní výkazy za Českou republiku</w:t>
      </w:r>
      <w:r w:rsidR="0041148C">
        <w:rPr>
          <w:rStyle w:val="Znakapoznpodarou"/>
          <w:rFonts w:asciiTheme="minorHAnsi" w:hAnsiTheme="minorHAnsi" w:cstheme="minorHAnsi"/>
        </w:rPr>
        <w:footnoteReference w:id="4"/>
      </w:r>
      <w:r w:rsidR="008D6750">
        <w:rPr>
          <w:rFonts w:asciiTheme="minorHAnsi" w:hAnsiTheme="minorHAnsi" w:cstheme="minorHAnsi"/>
        </w:rPr>
        <w:t>. Jednalo se o první kontrolu účetní</w:t>
      </w:r>
      <w:r w:rsidR="00D12E25">
        <w:rPr>
          <w:rFonts w:asciiTheme="minorHAnsi" w:hAnsiTheme="minorHAnsi" w:cstheme="minorHAnsi"/>
        </w:rPr>
        <w:t xml:space="preserve"> závěrky</w:t>
      </w:r>
      <w:r w:rsidR="008D6750">
        <w:rPr>
          <w:rFonts w:asciiTheme="minorHAnsi" w:hAnsiTheme="minorHAnsi" w:cstheme="minorHAnsi"/>
        </w:rPr>
        <w:t xml:space="preserve"> </w:t>
      </w:r>
      <w:proofErr w:type="spellStart"/>
      <w:r w:rsidR="008D6750">
        <w:rPr>
          <w:rFonts w:asciiTheme="minorHAnsi" w:hAnsiTheme="minorHAnsi" w:cstheme="minorHAnsi"/>
        </w:rPr>
        <w:t>MSp</w:t>
      </w:r>
      <w:proofErr w:type="spellEnd"/>
      <w:r w:rsidR="008D6750">
        <w:rPr>
          <w:rFonts w:asciiTheme="minorHAnsi" w:hAnsiTheme="minorHAnsi" w:cstheme="minorHAnsi"/>
        </w:rPr>
        <w:t xml:space="preserve"> provedenou NKÚ po účetní reformě</w:t>
      </w:r>
      <w:r w:rsidR="00D12E25">
        <w:rPr>
          <w:rFonts w:asciiTheme="minorHAnsi" w:hAnsiTheme="minorHAnsi" w:cstheme="minorHAnsi"/>
        </w:rPr>
        <w:t xml:space="preserve"> v oblasti veřejných financí</w:t>
      </w:r>
      <w:r w:rsidR="0092508C">
        <w:rPr>
          <w:rStyle w:val="Znakapoznpodarou"/>
          <w:rFonts w:asciiTheme="minorHAnsi" w:hAnsiTheme="minorHAnsi" w:cstheme="minorHAnsi"/>
        </w:rPr>
        <w:footnoteReference w:id="5"/>
      </w:r>
      <w:r w:rsidR="008D6750">
        <w:rPr>
          <w:rFonts w:asciiTheme="minorHAnsi" w:hAnsiTheme="minorHAnsi" w:cstheme="minorHAnsi"/>
        </w:rPr>
        <w:t>.</w:t>
      </w:r>
      <w:r>
        <w:rPr>
          <w:rFonts w:asciiTheme="minorHAnsi" w:hAnsiTheme="minorHAnsi" w:cstheme="minorHAnsi"/>
        </w:rPr>
        <w:t xml:space="preserve"> </w:t>
      </w:r>
    </w:p>
    <w:p w14:paraId="0836961F" w14:textId="77777777" w:rsidR="001D1576" w:rsidRPr="00A737A7" w:rsidRDefault="001D1576" w:rsidP="008D6750">
      <w:pPr>
        <w:jc w:val="both"/>
        <w:rPr>
          <w:rFonts w:asciiTheme="minorHAnsi" w:hAnsiTheme="minorHAnsi" w:cstheme="minorHAnsi"/>
        </w:rPr>
      </w:pPr>
    </w:p>
    <w:p w14:paraId="3129DA1C" w14:textId="44627FD4" w:rsidR="007C237A" w:rsidRDefault="007C237A" w:rsidP="007C237A">
      <w:pPr>
        <w:jc w:val="both"/>
        <w:rPr>
          <w:rFonts w:asciiTheme="minorHAnsi" w:hAnsiTheme="minorHAnsi" w:cstheme="minorHAnsi"/>
        </w:rPr>
      </w:pPr>
      <w:r w:rsidRPr="00D12E25">
        <w:rPr>
          <w:rFonts w:asciiTheme="minorHAnsi" w:hAnsiTheme="minorHAnsi" w:cstheme="minorHAnsi"/>
        </w:rPr>
        <w:t xml:space="preserve">Organizační složky státu jsou </w:t>
      </w:r>
      <w:r w:rsidR="00274F60">
        <w:rPr>
          <w:rFonts w:asciiTheme="minorHAnsi" w:hAnsiTheme="minorHAnsi" w:cstheme="minorHAnsi"/>
        </w:rPr>
        <w:t>dle</w:t>
      </w:r>
      <w:r w:rsidRPr="00D12E25">
        <w:rPr>
          <w:rFonts w:asciiTheme="minorHAnsi" w:hAnsiTheme="minorHAnsi" w:cstheme="minorHAnsi"/>
        </w:rPr>
        <w:t xml:space="preserve"> zákon</w:t>
      </w:r>
      <w:r w:rsidR="00274F60">
        <w:rPr>
          <w:rFonts w:asciiTheme="minorHAnsi" w:hAnsiTheme="minorHAnsi" w:cstheme="minorHAnsi"/>
        </w:rPr>
        <w:t>a</w:t>
      </w:r>
      <w:r w:rsidR="00227DDC">
        <w:rPr>
          <w:rFonts w:asciiTheme="minorHAnsi" w:hAnsiTheme="minorHAnsi" w:cstheme="minorHAnsi"/>
        </w:rPr>
        <w:t xml:space="preserve"> o účetnictví </w:t>
      </w:r>
      <w:r w:rsidR="00274F60">
        <w:rPr>
          <w:rFonts w:asciiTheme="minorHAnsi" w:hAnsiTheme="minorHAnsi" w:cstheme="minorHAnsi"/>
        </w:rPr>
        <w:t xml:space="preserve">povinny </w:t>
      </w:r>
      <w:r w:rsidR="00227DDC">
        <w:rPr>
          <w:rFonts w:asciiTheme="minorHAnsi" w:hAnsiTheme="minorHAnsi" w:cstheme="minorHAnsi"/>
        </w:rPr>
        <w:t>účtovat o stavu a </w:t>
      </w:r>
      <w:r w:rsidRPr="00D12E25">
        <w:rPr>
          <w:rFonts w:asciiTheme="minorHAnsi" w:hAnsiTheme="minorHAnsi" w:cstheme="minorHAnsi"/>
        </w:rPr>
        <w:t>pohybu majetku a jiných aktiv, závazků a jiných pasiv, o nákladech a výnosech a o výsledku hospodaření. Informace, které předkládají v účetní závěrce</w:t>
      </w:r>
      <w:r>
        <w:rPr>
          <w:rStyle w:val="Znakapoznpodarou"/>
          <w:rFonts w:asciiTheme="minorHAnsi" w:hAnsiTheme="minorHAnsi" w:cstheme="minorHAnsi"/>
        </w:rPr>
        <w:footnoteReference w:id="6"/>
      </w:r>
      <w:r w:rsidRPr="00D12E25">
        <w:rPr>
          <w:rFonts w:asciiTheme="minorHAnsi" w:hAnsiTheme="minorHAnsi" w:cstheme="minorHAnsi"/>
        </w:rPr>
        <w:t>, musí být spolehlivé, srovnatelné, srozumitelné a posuzují se z hlediska významnosti.</w:t>
      </w:r>
    </w:p>
    <w:p w14:paraId="2DA13C84" w14:textId="77777777" w:rsidR="007C237A" w:rsidRDefault="007C237A" w:rsidP="007C237A">
      <w:pPr>
        <w:jc w:val="both"/>
        <w:rPr>
          <w:rFonts w:asciiTheme="minorHAnsi" w:eastAsia="Calibri" w:hAnsiTheme="minorHAnsi" w:cstheme="minorHAnsi"/>
        </w:rPr>
      </w:pPr>
    </w:p>
    <w:p w14:paraId="1D9B4D5A" w14:textId="77777777" w:rsidR="007C237A" w:rsidRPr="001F4F9E" w:rsidRDefault="00BB495A" w:rsidP="001F4F9E">
      <w:pPr>
        <w:spacing w:after="60"/>
        <w:jc w:val="both"/>
        <w:rPr>
          <w:rFonts w:asciiTheme="minorHAnsi" w:eastAsia="Calibri" w:hAnsiTheme="minorHAnsi" w:cstheme="minorHAnsi"/>
          <w:b/>
        </w:rPr>
      </w:pPr>
      <w:r w:rsidRPr="001F4F9E">
        <w:rPr>
          <w:rFonts w:asciiTheme="minorHAnsi" w:eastAsia="Calibri" w:hAnsiTheme="minorHAnsi" w:cstheme="minorHAnsi"/>
          <w:b/>
        </w:rPr>
        <w:t>Vedení účetnictví</w:t>
      </w:r>
    </w:p>
    <w:p w14:paraId="69F32E6A" w14:textId="77777777" w:rsidR="00BB495A" w:rsidRDefault="00BB495A" w:rsidP="001F4F9E">
      <w:pPr>
        <w:pStyle w:val="Nadpis1"/>
        <w:spacing w:before="0" w:after="0"/>
        <w:jc w:val="both"/>
        <w:rPr>
          <w:b w:val="0"/>
        </w:rPr>
      </w:pPr>
      <w:r w:rsidRPr="001F4F9E">
        <w:rPr>
          <w:b w:val="0"/>
        </w:rPr>
        <w:t>V oblasti vedení účetnictví se kontrola zaměřila na jeho s</w:t>
      </w:r>
      <w:r w:rsidR="00227DDC">
        <w:rPr>
          <w:b w:val="0"/>
        </w:rPr>
        <w:t>právnost, úplnost, průkaznost a </w:t>
      </w:r>
      <w:r w:rsidRPr="001F4F9E">
        <w:rPr>
          <w:b w:val="0"/>
        </w:rPr>
        <w:t>srozumitelnost. Prověřila dodržování směrné účtové osnovy a správnost používání účetních metod. Byly identifikovány významné transakční cykly a posouzeno nastavení systému účtování. U vybraných účetních případů byla provedena kontrola s cílem ověřit systém účtování a vykazování informací o skutečnostech, které jsou předmětem účetnictví.</w:t>
      </w:r>
    </w:p>
    <w:p w14:paraId="3148859B" w14:textId="77777777" w:rsidR="00BB495A" w:rsidRPr="001F4F9E" w:rsidRDefault="00BB495A" w:rsidP="001F4F9E">
      <w:pPr>
        <w:pStyle w:val="Nadpis1"/>
        <w:spacing w:before="0" w:after="0"/>
        <w:jc w:val="both"/>
        <w:rPr>
          <w:b w:val="0"/>
        </w:rPr>
      </w:pPr>
      <w:r w:rsidRPr="001F4F9E">
        <w:rPr>
          <w:b w:val="0"/>
        </w:rPr>
        <w:t xml:space="preserve"> </w:t>
      </w:r>
    </w:p>
    <w:p w14:paraId="463A50C4" w14:textId="11CEB725" w:rsidR="00D12E25" w:rsidRPr="001F4F9E" w:rsidRDefault="00BB495A" w:rsidP="001F4F9E">
      <w:pPr>
        <w:pStyle w:val="Nadpis1"/>
        <w:spacing w:before="0" w:after="120"/>
        <w:rPr>
          <w:b w:val="0"/>
        </w:rPr>
      </w:pPr>
      <w:r w:rsidRPr="001F4F9E">
        <w:rPr>
          <w:b w:val="0"/>
        </w:rPr>
        <w:t xml:space="preserve">Zjištěny byly systémové nedostatky při vedení účetnictví, </w:t>
      </w:r>
      <w:proofErr w:type="spellStart"/>
      <w:r w:rsidRPr="001F4F9E">
        <w:rPr>
          <w:b w:val="0"/>
        </w:rPr>
        <w:t>MSp</w:t>
      </w:r>
      <w:proofErr w:type="spellEnd"/>
      <w:r w:rsidRPr="001F4F9E">
        <w:rPr>
          <w:b w:val="0"/>
        </w:rPr>
        <w:t xml:space="preserve"> např.:</w:t>
      </w:r>
    </w:p>
    <w:p w14:paraId="463957A7" w14:textId="46594A75" w:rsidR="00BB495A" w:rsidRPr="00A06E12" w:rsidRDefault="00BB495A" w:rsidP="00BB495A">
      <w:pPr>
        <w:pStyle w:val="Odstavecseseznamem"/>
        <w:numPr>
          <w:ilvl w:val="0"/>
          <w:numId w:val="40"/>
        </w:numPr>
        <w:spacing w:after="120"/>
        <w:jc w:val="both"/>
        <w:rPr>
          <w:rFonts w:asciiTheme="minorHAnsi" w:hAnsiTheme="minorHAnsi" w:cs="Arial"/>
        </w:rPr>
      </w:pPr>
      <w:r w:rsidRPr="00A06E12">
        <w:rPr>
          <w:rFonts w:asciiTheme="minorHAnsi" w:hAnsiTheme="minorHAnsi" w:cs="Arial"/>
          <w:b/>
        </w:rPr>
        <w:t>nesprávně aplikovalo účetní metodu odpisování</w:t>
      </w:r>
      <w:r>
        <w:rPr>
          <w:rFonts w:asciiTheme="minorHAnsi" w:hAnsiTheme="minorHAnsi" w:cs="Arial"/>
        </w:rPr>
        <w:t xml:space="preserve"> </w:t>
      </w:r>
      <w:r w:rsidRPr="00A06E12">
        <w:rPr>
          <w:rFonts w:asciiTheme="minorHAnsi" w:hAnsiTheme="minorHAnsi" w:cs="Arial"/>
        </w:rPr>
        <w:t>dlouhodobého majetku (viz část III.</w:t>
      </w:r>
      <w:r w:rsidR="00227DDC">
        <w:rPr>
          <w:rFonts w:asciiTheme="minorHAnsi" w:hAnsiTheme="minorHAnsi" w:cs="Arial"/>
        </w:rPr>
        <w:t>1.1 tohoto kontrolního závěru)</w:t>
      </w:r>
      <w:r w:rsidR="00C13D4F">
        <w:rPr>
          <w:rFonts w:asciiTheme="minorHAnsi" w:hAnsiTheme="minorHAnsi" w:cs="Arial"/>
        </w:rPr>
        <w:t>,</w:t>
      </w:r>
    </w:p>
    <w:p w14:paraId="20E48374" w14:textId="6A8A4FE1" w:rsidR="00BB495A" w:rsidRPr="00A06E12" w:rsidRDefault="00BB495A" w:rsidP="00BB495A">
      <w:pPr>
        <w:pStyle w:val="Odstavecseseznamem"/>
        <w:numPr>
          <w:ilvl w:val="0"/>
          <w:numId w:val="40"/>
        </w:numPr>
        <w:spacing w:after="120"/>
        <w:jc w:val="both"/>
        <w:rPr>
          <w:rFonts w:asciiTheme="minorHAnsi" w:hAnsiTheme="minorHAnsi" w:cs="Arial"/>
        </w:rPr>
      </w:pPr>
      <w:r w:rsidRPr="00A06E12">
        <w:rPr>
          <w:rFonts w:asciiTheme="minorHAnsi" w:hAnsiTheme="minorHAnsi" w:cs="Arial"/>
          <w:b/>
        </w:rPr>
        <w:t>vedlo nesprávné a neúplné účetnictví v oblasti transferů</w:t>
      </w:r>
      <w:r w:rsidRPr="00A06E12">
        <w:rPr>
          <w:rFonts w:asciiTheme="minorHAnsi" w:hAnsiTheme="minorHAnsi" w:cs="Arial"/>
        </w:rPr>
        <w:t xml:space="preserve"> (viz část III.1.</w:t>
      </w:r>
      <w:r>
        <w:rPr>
          <w:rFonts w:asciiTheme="minorHAnsi" w:hAnsiTheme="minorHAnsi" w:cs="Arial"/>
        </w:rPr>
        <w:t xml:space="preserve">2 </w:t>
      </w:r>
      <w:r w:rsidRPr="00A06E12">
        <w:rPr>
          <w:rFonts w:asciiTheme="minorHAnsi" w:hAnsiTheme="minorHAnsi" w:cs="Arial"/>
        </w:rPr>
        <w:t>tohoto kontrolního závěru)</w:t>
      </w:r>
      <w:r w:rsidR="00C13D4F">
        <w:rPr>
          <w:rFonts w:asciiTheme="minorHAnsi" w:hAnsiTheme="minorHAnsi" w:cs="Arial"/>
        </w:rPr>
        <w:t>,</w:t>
      </w:r>
    </w:p>
    <w:p w14:paraId="7993AE30" w14:textId="77777777" w:rsidR="00BB495A" w:rsidRPr="00A06E12" w:rsidRDefault="00BB495A" w:rsidP="00BB495A">
      <w:pPr>
        <w:pStyle w:val="Odstavecseseznamem"/>
        <w:numPr>
          <w:ilvl w:val="0"/>
          <w:numId w:val="40"/>
        </w:numPr>
        <w:ind w:left="357" w:hanging="357"/>
        <w:jc w:val="both"/>
        <w:rPr>
          <w:rFonts w:asciiTheme="minorHAnsi" w:hAnsiTheme="minorHAnsi" w:cs="Arial"/>
        </w:rPr>
      </w:pPr>
      <w:r w:rsidRPr="00A06E12">
        <w:rPr>
          <w:rFonts w:asciiTheme="minorHAnsi" w:hAnsiTheme="minorHAnsi" w:cs="Arial"/>
          <w:b/>
        </w:rPr>
        <w:t xml:space="preserve">vedlo nesprávné a neúplné účetnictví </w:t>
      </w:r>
      <w:r>
        <w:rPr>
          <w:rFonts w:asciiTheme="minorHAnsi" w:hAnsiTheme="minorHAnsi" w:cs="Arial"/>
          <w:b/>
        </w:rPr>
        <w:t>na</w:t>
      </w:r>
      <w:r w:rsidRPr="00A06E12">
        <w:rPr>
          <w:rFonts w:asciiTheme="minorHAnsi" w:hAnsiTheme="minorHAnsi" w:cs="Arial"/>
          <w:b/>
        </w:rPr>
        <w:t xml:space="preserve"> podrozvahových účt</w:t>
      </w:r>
      <w:r>
        <w:rPr>
          <w:rFonts w:asciiTheme="minorHAnsi" w:hAnsiTheme="minorHAnsi" w:cs="Arial"/>
          <w:b/>
        </w:rPr>
        <w:t>ech</w:t>
      </w:r>
      <w:r w:rsidRPr="00A06E12">
        <w:rPr>
          <w:rFonts w:asciiTheme="minorHAnsi" w:hAnsiTheme="minorHAnsi" w:cs="Arial"/>
        </w:rPr>
        <w:t xml:space="preserve"> (viz část III.1.</w:t>
      </w:r>
      <w:r>
        <w:rPr>
          <w:rFonts w:asciiTheme="minorHAnsi" w:hAnsiTheme="minorHAnsi" w:cs="Arial"/>
        </w:rPr>
        <w:t>3</w:t>
      </w:r>
      <w:r w:rsidRPr="00A06E12">
        <w:rPr>
          <w:rFonts w:asciiTheme="minorHAnsi" w:hAnsiTheme="minorHAnsi" w:cs="Arial"/>
        </w:rPr>
        <w:t xml:space="preserve"> tohoto kontrolního závěru)</w:t>
      </w:r>
      <w:r>
        <w:rPr>
          <w:rFonts w:asciiTheme="minorHAnsi" w:hAnsiTheme="minorHAnsi" w:cs="Arial"/>
        </w:rPr>
        <w:t>.</w:t>
      </w:r>
      <w:r w:rsidRPr="00A06E12">
        <w:rPr>
          <w:rFonts w:asciiTheme="minorHAnsi" w:hAnsiTheme="minorHAnsi" w:cs="Arial"/>
        </w:rPr>
        <w:t xml:space="preserve"> </w:t>
      </w:r>
    </w:p>
    <w:p w14:paraId="318E585B" w14:textId="77777777" w:rsidR="00BB495A" w:rsidRPr="00C869E4" w:rsidRDefault="00BB495A" w:rsidP="001F4F9E">
      <w:pPr>
        <w:rPr>
          <w:rFonts w:asciiTheme="minorHAnsi" w:hAnsiTheme="minorHAnsi" w:cstheme="minorHAnsi"/>
        </w:rPr>
      </w:pPr>
    </w:p>
    <w:p w14:paraId="3CE06AB5" w14:textId="2B243CA3" w:rsidR="00BB495A" w:rsidRDefault="00C13D4F" w:rsidP="00C869E4">
      <w:pPr>
        <w:jc w:val="both"/>
        <w:rPr>
          <w:rFonts w:asciiTheme="minorHAnsi" w:eastAsia="Calibri" w:hAnsiTheme="minorHAnsi" w:cstheme="minorHAnsi"/>
        </w:rPr>
      </w:pPr>
      <w:r>
        <w:rPr>
          <w:rFonts w:asciiTheme="minorHAnsi" w:eastAsia="Calibri" w:hAnsiTheme="minorHAnsi" w:cstheme="minorHAnsi"/>
        </w:rPr>
        <w:t>Nejvýznamnější n</w:t>
      </w:r>
      <w:r w:rsidR="00BB495A" w:rsidRPr="006D09AE">
        <w:rPr>
          <w:rFonts w:asciiTheme="minorHAnsi" w:eastAsia="Calibri" w:hAnsiTheme="minorHAnsi" w:cstheme="minorHAnsi"/>
        </w:rPr>
        <w:t>esprávnosti zjištěn</w:t>
      </w:r>
      <w:r>
        <w:rPr>
          <w:rFonts w:asciiTheme="minorHAnsi" w:eastAsia="Calibri" w:hAnsiTheme="minorHAnsi" w:cstheme="minorHAnsi"/>
        </w:rPr>
        <w:t>é</w:t>
      </w:r>
      <w:r w:rsidR="00BB495A" w:rsidRPr="006D09AE">
        <w:rPr>
          <w:rFonts w:asciiTheme="minorHAnsi" w:eastAsia="Calibri" w:hAnsiTheme="minorHAnsi" w:cstheme="minorHAnsi"/>
        </w:rPr>
        <w:t xml:space="preserve"> </w:t>
      </w:r>
      <w:r>
        <w:rPr>
          <w:rFonts w:asciiTheme="minorHAnsi" w:eastAsia="Calibri" w:hAnsiTheme="minorHAnsi" w:cstheme="minorHAnsi"/>
        </w:rPr>
        <w:t xml:space="preserve">při kontrole jsou podrobněji popsány </w:t>
      </w:r>
      <w:r w:rsidR="00BB495A" w:rsidRPr="006D09AE">
        <w:rPr>
          <w:rFonts w:asciiTheme="minorHAnsi" w:eastAsia="Calibri" w:hAnsiTheme="minorHAnsi" w:cstheme="minorHAnsi"/>
        </w:rPr>
        <w:t>v části III. tohoto kontrolního závěru</w:t>
      </w:r>
      <w:r w:rsidR="00673AC9">
        <w:rPr>
          <w:rFonts w:asciiTheme="minorHAnsi" w:eastAsia="Calibri" w:hAnsiTheme="minorHAnsi" w:cstheme="minorHAnsi"/>
        </w:rPr>
        <w:t>.</w:t>
      </w:r>
    </w:p>
    <w:p w14:paraId="0CD4D434" w14:textId="77777777" w:rsidR="00B26363" w:rsidRPr="006D09AE" w:rsidRDefault="00B26363" w:rsidP="00C869E4">
      <w:pPr>
        <w:jc w:val="both"/>
        <w:rPr>
          <w:rFonts w:asciiTheme="minorHAnsi" w:hAnsiTheme="minorHAnsi" w:cstheme="minorHAnsi"/>
        </w:rPr>
      </w:pPr>
    </w:p>
    <w:p w14:paraId="086A7ED2" w14:textId="77777777" w:rsidR="00BB495A" w:rsidRPr="005E39B3" w:rsidRDefault="00BB495A" w:rsidP="00AA1789">
      <w:pPr>
        <w:jc w:val="both"/>
        <w:rPr>
          <w:rFonts w:asciiTheme="minorHAnsi" w:hAnsiTheme="minorHAnsi" w:cstheme="minorHAnsi"/>
        </w:rPr>
      </w:pPr>
      <w:r w:rsidRPr="006D09AE">
        <w:rPr>
          <w:rFonts w:asciiTheme="minorHAnsi" w:hAnsiTheme="minorHAnsi" w:cstheme="minorHAnsi"/>
          <w:b/>
        </w:rPr>
        <w:t xml:space="preserve">Na základě zjištěných skutečností NKÚ konstatuje, že </w:t>
      </w:r>
      <w:proofErr w:type="spellStart"/>
      <w:r w:rsidRPr="006D09AE">
        <w:rPr>
          <w:rFonts w:asciiTheme="minorHAnsi" w:hAnsiTheme="minorHAnsi" w:cstheme="minorHAnsi"/>
          <w:b/>
        </w:rPr>
        <w:t>MS</w:t>
      </w:r>
      <w:r w:rsidR="00AA1789">
        <w:rPr>
          <w:rFonts w:asciiTheme="minorHAnsi" w:hAnsiTheme="minorHAnsi" w:cstheme="minorHAnsi"/>
          <w:b/>
        </w:rPr>
        <w:t>p</w:t>
      </w:r>
      <w:proofErr w:type="spellEnd"/>
      <w:r w:rsidR="00AA1789">
        <w:rPr>
          <w:rFonts w:asciiTheme="minorHAnsi" w:hAnsiTheme="minorHAnsi" w:cstheme="minorHAnsi"/>
          <w:b/>
        </w:rPr>
        <w:t xml:space="preserve"> v roce 2015 nevedlo správné a </w:t>
      </w:r>
      <w:r w:rsidRPr="006D09AE">
        <w:rPr>
          <w:rFonts w:asciiTheme="minorHAnsi" w:hAnsiTheme="minorHAnsi" w:cstheme="minorHAnsi"/>
          <w:b/>
        </w:rPr>
        <w:t>úplné účetnictví ve smyslu ustanovení § 8 odst. 1 až 3 zákona o účetnictví.</w:t>
      </w:r>
    </w:p>
    <w:p w14:paraId="788FE254" w14:textId="77777777" w:rsidR="00BB495A" w:rsidRPr="005E39B3" w:rsidRDefault="00BB495A" w:rsidP="001F4F9E">
      <w:pPr>
        <w:rPr>
          <w:rFonts w:asciiTheme="minorHAnsi" w:hAnsiTheme="minorHAnsi" w:cstheme="minorHAnsi"/>
        </w:rPr>
      </w:pPr>
    </w:p>
    <w:p w14:paraId="42EA9884" w14:textId="77777777" w:rsidR="00F72DE4" w:rsidRPr="00023B78" w:rsidRDefault="00F72DE4" w:rsidP="00D12E25">
      <w:pPr>
        <w:pStyle w:val="Nadpis1"/>
        <w:spacing w:before="0"/>
        <w:rPr>
          <w:sz w:val="22"/>
          <w:szCs w:val="22"/>
        </w:rPr>
      </w:pPr>
      <w:r w:rsidRPr="00023B78">
        <w:t>Spolehlivost údajů účetní závěrky sestavené k 31. prosinci 2015</w:t>
      </w:r>
    </w:p>
    <w:p w14:paraId="3CE9DE4A" w14:textId="00ECF994" w:rsidR="00F72DE4" w:rsidRDefault="00F72DE4" w:rsidP="00D12E25">
      <w:pPr>
        <w:shd w:val="clear" w:color="auto" w:fill="FFFFFF" w:themeFill="background1"/>
        <w:jc w:val="both"/>
        <w:rPr>
          <w:rFonts w:ascii="Calibri" w:eastAsia="Calibri" w:hAnsi="Calibri" w:cs="Calibri"/>
        </w:rPr>
      </w:pPr>
      <w:r w:rsidRPr="000A4BD8">
        <w:rPr>
          <w:rFonts w:ascii="Calibri" w:eastAsia="Calibri" w:hAnsi="Calibri" w:cs="Calibri"/>
        </w:rPr>
        <w:t xml:space="preserve">Kontrolou byla ověřena spolehlivost údajů účetní závěrky </w:t>
      </w:r>
      <w:proofErr w:type="spellStart"/>
      <w:r w:rsidRPr="000A4BD8">
        <w:rPr>
          <w:rFonts w:ascii="Calibri" w:eastAsia="Calibri" w:hAnsi="Calibri" w:cs="Calibri"/>
        </w:rPr>
        <w:t>M</w:t>
      </w:r>
      <w:r w:rsidR="00023B78" w:rsidRPr="000A4BD8">
        <w:rPr>
          <w:rFonts w:ascii="Calibri" w:eastAsia="Calibri" w:hAnsi="Calibri" w:cs="Calibri"/>
        </w:rPr>
        <w:t>Sp</w:t>
      </w:r>
      <w:proofErr w:type="spellEnd"/>
      <w:r w:rsidRPr="000A4BD8">
        <w:rPr>
          <w:rFonts w:ascii="Calibri" w:eastAsia="Calibri" w:hAnsi="Calibri" w:cs="Calibri"/>
        </w:rPr>
        <w:t xml:space="preserve"> sestavené k 31. prosinci 2015, </w:t>
      </w:r>
      <w:r w:rsidR="00057075">
        <w:rPr>
          <w:rFonts w:ascii="Calibri" w:eastAsia="Calibri" w:hAnsi="Calibri" w:cs="Calibri"/>
        </w:rPr>
        <w:t xml:space="preserve">která se skládá </w:t>
      </w:r>
      <w:r w:rsidRPr="000A4BD8">
        <w:rPr>
          <w:rFonts w:ascii="Calibri" w:eastAsia="Calibri" w:hAnsi="Calibri" w:cs="Calibri"/>
        </w:rPr>
        <w:t>z</w:t>
      </w:r>
      <w:r w:rsidR="001F3583">
        <w:rPr>
          <w:rFonts w:ascii="Calibri" w:eastAsia="Calibri" w:hAnsi="Calibri" w:cs="Calibri"/>
        </w:rPr>
        <w:t xml:space="preserve"> výkazu </w:t>
      </w:r>
      <w:r w:rsidRPr="000A4BD8">
        <w:rPr>
          <w:rFonts w:ascii="Calibri" w:eastAsia="Calibri" w:hAnsi="Calibri" w:cs="Calibri"/>
        </w:rPr>
        <w:t>rozvah</w:t>
      </w:r>
      <w:r w:rsidR="001F3583">
        <w:rPr>
          <w:rFonts w:ascii="Calibri" w:eastAsia="Calibri" w:hAnsi="Calibri" w:cs="Calibri"/>
        </w:rPr>
        <w:t>a</w:t>
      </w:r>
      <w:r w:rsidRPr="000A4BD8">
        <w:rPr>
          <w:rFonts w:ascii="Calibri" w:eastAsia="Calibri" w:hAnsi="Calibri" w:cs="Calibri"/>
        </w:rPr>
        <w:t>, v</w:t>
      </w:r>
      <w:r w:rsidR="00023B78" w:rsidRPr="000A4BD8">
        <w:rPr>
          <w:rFonts w:ascii="Calibri" w:eastAsia="Calibri" w:hAnsi="Calibri" w:cs="Calibri"/>
        </w:rPr>
        <w:t>ýkazu zisku a ztráty a</w:t>
      </w:r>
      <w:r w:rsidRPr="000A4BD8">
        <w:rPr>
          <w:rFonts w:ascii="Calibri" w:eastAsia="Calibri" w:hAnsi="Calibri" w:cs="Calibri"/>
        </w:rPr>
        <w:t xml:space="preserve"> příloh</w:t>
      </w:r>
      <w:r w:rsidR="00023B78" w:rsidRPr="000A4BD8">
        <w:rPr>
          <w:rFonts w:ascii="Calibri" w:eastAsia="Calibri" w:hAnsi="Calibri" w:cs="Calibri"/>
        </w:rPr>
        <w:t xml:space="preserve">y. </w:t>
      </w:r>
    </w:p>
    <w:p w14:paraId="73018AA8" w14:textId="77777777" w:rsidR="00452A48" w:rsidRDefault="00452A48" w:rsidP="00D12E25">
      <w:pPr>
        <w:jc w:val="both"/>
        <w:rPr>
          <w:rFonts w:asciiTheme="minorHAnsi" w:hAnsiTheme="minorHAnsi" w:cstheme="minorHAnsi"/>
        </w:rPr>
      </w:pPr>
    </w:p>
    <w:p w14:paraId="1D313DB4" w14:textId="13913043" w:rsidR="007725F9" w:rsidRPr="007A33F6" w:rsidRDefault="007725F9" w:rsidP="007725F9">
      <w:pPr>
        <w:jc w:val="both"/>
        <w:rPr>
          <w:rFonts w:asciiTheme="minorHAnsi" w:hAnsiTheme="minorHAnsi" w:cstheme="minorHAnsi"/>
        </w:rPr>
      </w:pPr>
      <w:r w:rsidRPr="00521932">
        <w:rPr>
          <w:rFonts w:asciiTheme="minorHAnsi" w:hAnsiTheme="minorHAnsi" w:cstheme="minorHAnsi"/>
        </w:rPr>
        <w:t xml:space="preserve">Pro posouzení spolehlivosti účetní závěrky </w:t>
      </w:r>
      <w:proofErr w:type="spellStart"/>
      <w:r>
        <w:rPr>
          <w:rFonts w:asciiTheme="minorHAnsi" w:hAnsiTheme="minorHAnsi" w:cstheme="minorHAnsi"/>
        </w:rPr>
        <w:t>MSp</w:t>
      </w:r>
      <w:proofErr w:type="spellEnd"/>
      <w:r>
        <w:rPr>
          <w:rFonts w:asciiTheme="minorHAnsi" w:hAnsiTheme="minorHAnsi" w:cstheme="minorHAnsi"/>
        </w:rPr>
        <w:t xml:space="preserve"> </w:t>
      </w:r>
      <w:r w:rsidRPr="00521932">
        <w:rPr>
          <w:rFonts w:asciiTheme="minorHAnsi" w:hAnsiTheme="minorHAnsi" w:cstheme="minorHAnsi"/>
        </w:rPr>
        <w:t>byla stanoven</w:t>
      </w:r>
      <w:r w:rsidR="00AA1789">
        <w:rPr>
          <w:rFonts w:asciiTheme="minorHAnsi" w:hAnsiTheme="minorHAnsi" w:cstheme="minorHAnsi"/>
        </w:rPr>
        <w:t xml:space="preserve">a významnost </w:t>
      </w:r>
      <w:r w:rsidR="00711913">
        <w:rPr>
          <w:rFonts w:asciiTheme="minorHAnsi" w:hAnsiTheme="minorHAnsi" w:cstheme="minorHAnsi"/>
        </w:rPr>
        <w:t xml:space="preserve">neboli </w:t>
      </w:r>
      <w:proofErr w:type="spellStart"/>
      <w:r w:rsidR="00AA1789">
        <w:rPr>
          <w:rFonts w:asciiTheme="minorHAnsi" w:hAnsiTheme="minorHAnsi" w:cstheme="minorHAnsi"/>
        </w:rPr>
        <w:t>materialita</w:t>
      </w:r>
      <w:proofErr w:type="spellEnd"/>
      <w:r w:rsidR="00AA1789">
        <w:rPr>
          <w:rFonts w:asciiTheme="minorHAnsi" w:hAnsiTheme="minorHAnsi" w:cstheme="minorHAnsi"/>
        </w:rPr>
        <w:t xml:space="preserve"> </w:t>
      </w:r>
      <w:r w:rsidR="00711913">
        <w:rPr>
          <w:rFonts w:asciiTheme="minorHAnsi" w:hAnsiTheme="minorHAnsi" w:cstheme="minorHAnsi"/>
        </w:rPr>
        <w:t>(</w:t>
      </w:r>
      <w:r w:rsidR="00AA1789">
        <w:rPr>
          <w:rFonts w:asciiTheme="minorHAnsi" w:hAnsiTheme="minorHAnsi" w:cstheme="minorHAnsi"/>
        </w:rPr>
        <w:t>tj. </w:t>
      </w:r>
      <w:r w:rsidRPr="00521932">
        <w:rPr>
          <w:rFonts w:asciiTheme="minorHAnsi" w:hAnsiTheme="minorHAnsi" w:cstheme="minorHAnsi"/>
        </w:rPr>
        <w:t>hodnota nesprávností, u kterých je možné přiměřeně očekávat, že jednotlivě nebo v součtu ovlivní ekonomická rozhodnutí uživatelů účetní závěrky</w:t>
      </w:r>
      <w:r w:rsidR="00711913">
        <w:rPr>
          <w:rFonts w:asciiTheme="minorHAnsi" w:hAnsiTheme="minorHAnsi" w:cstheme="minorHAnsi"/>
        </w:rPr>
        <w:t>)</w:t>
      </w:r>
      <w:r w:rsidRPr="00521932">
        <w:rPr>
          <w:rFonts w:asciiTheme="minorHAnsi" w:hAnsiTheme="minorHAnsi" w:cstheme="minorHAnsi"/>
        </w:rPr>
        <w:t xml:space="preserve"> </w:t>
      </w:r>
      <w:r w:rsidR="00D12E25">
        <w:rPr>
          <w:rFonts w:asciiTheme="minorHAnsi" w:hAnsiTheme="minorHAnsi" w:cstheme="minorHAnsi"/>
        </w:rPr>
        <w:t>ve výši 2 % z aktiv netto vykázaných k 31. prosinci 2015, tj. v částce</w:t>
      </w:r>
      <w:r w:rsidRPr="00521932">
        <w:rPr>
          <w:rFonts w:asciiTheme="minorHAnsi" w:hAnsiTheme="minorHAnsi" w:cstheme="minorHAnsi"/>
        </w:rPr>
        <w:t xml:space="preserve"> </w:t>
      </w:r>
      <w:r w:rsidR="00D12E25">
        <w:rPr>
          <w:rFonts w:asciiTheme="minorHAnsi" w:hAnsiTheme="minorHAnsi" w:cstheme="minorHAnsi"/>
        </w:rPr>
        <w:t xml:space="preserve">cca </w:t>
      </w:r>
      <w:r>
        <w:rPr>
          <w:rFonts w:asciiTheme="minorHAnsi" w:hAnsiTheme="minorHAnsi" w:cstheme="minorHAnsi"/>
        </w:rPr>
        <w:t>39</w:t>
      </w:r>
      <w:r w:rsidRPr="00521932">
        <w:rPr>
          <w:rFonts w:asciiTheme="minorHAnsi" w:hAnsiTheme="minorHAnsi" w:cstheme="minorHAnsi"/>
        </w:rPr>
        <w:t xml:space="preserve"> m</w:t>
      </w:r>
      <w:r>
        <w:rPr>
          <w:rFonts w:asciiTheme="minorHAnsi" w:hAnsiTheme="minorHAnsi" w:cstheme="minorHAnsi"/>
        </w:rPr>
        <w:t>il</w:t>
      </w:r>
      <w:r w:rsidRPr="00521932">
        <w:rPr>
          <w:rFonts w:asciiTheme="minorHAnsi" w:hAnsiTheme="minorHAnsi" w:cstheme="minorHAnsi"/>
        </w:rPr>
        <w:t>. Kč.</w:t>
      </w:r>
    </w:p>
    <w:p w14:paraId="2E8FEBF6" w14:textId="43F527BF" w:rsidR="005E39B3" w:rsidRDefault="005E39B3" w:rsidP="00C869E4">
      <w:pPr>
        <w:spacing w:line="259" w:lineRule="auto"/>
        <w:rPr>
          <w:rFonts w:asciiTheme="minorHAnsi" w:hAnsiTheme="minorHAnsi" w:cstheme="minorHAnsi"/>
          <w:b/>
        </w:rPr>
      </w:pPr>
    </w:p>
    <w:p w14:paraId="26752471" w14:textId="070038CE" w:rsidR="00A738E4" w:rsidRPr="00A738E4" w:rsidRDefault="00A738E4" w:rsidP="005E39B3">
      <w:pPr>
        <w:tabs>
          <w:tab w:val="right" w:pos="9072"/>
        </w:tabs>
        <w:spacing w:after="40"/>
        <w:jc w:val="both"/>
        <w:rPr>
          <w:rFonts w:asciiTheme="minorHAnsi" w:hAnsiTheme="minorHAnsi" w:cstheme="minorHAnsi"/>
        </w:rPr>
      </w:pPr>
      <w:r w:rsidRPr="00A738E4">
        <w:rPr>
          <w:rFonts w:asciiTheme="minorHAnsi" w:hAnsiTheme="minorHAnsi" w:cstheme="minorHAnsi"/>
          <w:b/>
        </w:rPr>
        <w:t xml:space="preserve">Tabulka č. </w:t>
      </w:r>
      <w:r w:rsidR="003566D0">
        <w:rPr>
          <w:rFonts w:asciiTheme="minorHAnsi" w:hAnsiTheme="minorHAnsi" w:cstheme="minorHAnsi"/>
          <w:b/>
        </w:rPr>
        <w:t>4</w:t>
      </w:r>
      <w:r w:rsidRPr="00A738E4">
        <w:rPr>
          <w:rFonts w:asciiTheme="minorHAnsi" w:hAnsiTheme="minorHAnsi" w:cstheme="minorHAnsi"/>
          <w:b/>
        </w:rPr>
        <w:t xml:space="preserve"> – Hladina významnosti a celková nesprávnost </w:t>
      </w:r>
      <w:r w:rsidRPr="00A738E4">
        <w:rPr>
          <w:rFonts w:asciiTheme="minorHAnsi" w:hAnsiTheme="minorHAnsi" w:cstheme="minorHAnsi"/>
          <w:b/>
        </w:rPr>
        <w:tab/>
      </w:r>
      <w:r w:rsidRPr="00A738E4">
        <w:rPr>
          <w:rFonts w:asciiTheme="minorHAnsi" w:hAnsiTheme="minorHAnsi" w:cstheme="minorHAnsi"/>
          <w:b/>
          <w:bCs/>
        </w:rPr>
        <w:t>(v</w:t>
      </w:r>
      <w:r w:rsidR="0099143D">
        <w:rPr>
          <w:rFonts w:asciiTheme="minorHAnsi" w:hAnsiTheme="minorHAnsi" w:cstheme="minorHAnsi"/>
          <w:b/>
          <w:bCs/>
        </w:rPr>
        <w:t xml:space="preserve"> mil.</w:t>
      </w:r>
      <w:r w:rsidRPr="00A738E4">
        <w:rPr>
          <w:rFonts w:asciiTheme="minorHAnsi" w:hAnsiTheme="minorHAnsi" w:cstheme="minorHAnsi"/>
          <w:b/>
          <w:bCs/>
        </w:rPr>
        <w:t xml:space="preserve"> Kč)</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2"/>
        <w:gridCol w:w="3002"/>
        <w:gridCol w:w="3003"/>
      </w:tblGrid>
      <w:tr w:rsidR="00A738E4" w:rsidRPr="001C4A4A" w14:paraId="57A4E39C" w14:textId="77777777" w:rsidTr="00EF393E">
        <w:trPr>
          <w:cantSplit/>
          <w:trHeight w:val="283"/>
          <w:jc w:val="center"/>
        </w:trPr>
        <w:tc>
          <w:tcPr>
            <w:tcW w:w="3002" w:type="dxa"/>
            <w:tcBorders>
              <w:top w:val="single" w:sz="4" w:space="0" w:color="auto"/>
              <w:left w:val="single" w:sz="4" w:space="0" w:color="auto"/>
              <w:bottom w:val="single" w:sz="4" w:space="0" w:color="auto"/>
              <w:right w:val="single" w:sz="4" w:space="0" w:color="auto"/>
            </w:tcBorders>
            <w:shd w:val="clear" w:color="auto" w:fill="DDD6E7"/>
            <w:vAlign w:val="center"/>
          </w:tcPr>
          <w:p w14:paraId="7703C236" w14:textId="77777777" w:rsidR="00A738E4" w:rsidRPr="00A738E4" w:rsidRDefault="00A738E4" w:rsidP="009022A2">
            <w:pPr>
              <w:jc w:val="center"/>
              <w:rPr>
                <w:rFonts w:asciiTheme="minorHAnsi" w:hAnsiTheme="minorHAnsi" w:cstheme="minorHAnsi"/>
                <w:b/>
                <w:bCs/>
                <w:color w:val="000000" w:themeColor="text1"/>
                <w:sz w:val="20"/>
                <w:szCs w:val="20"/>
              </w:rPr>
            </w:pPr>
            <w:r w:rsidRPr="00A738E4">
              <w:rPr>
                <w:rFonts w:asciiTheme="minorHAnsi" w:hAnsiTheme="minorHAnsi" w:cstheme="minorHAnsi"/>
                <w:b/>
                <w:bCs/>
                <w:color w:val="000000" w:themeColor="text1"/>
                <w:sz w:val="20"/>
                <w:szCs w:val="20"/>
              </w:rPr>
              <w:t>Aktiva netto</w:t>
            </w:r>
          </w:p>
        </w:tc>
        <w:tc>
          <w:tcPr>
            <w:tcW w:w="3002" w:type="dxa"/>
            <w:tcBorders>
              <w:top w:val="single" w:sz="4" w:space="0" w:color="auto"/>
              <w:left w:val="single" w:sz="4" w:space="0" w:color="auto"/>
              <w:bottom w:val="single" w:sz="4" w:space="0" w:color="auto"/>
              <w:right w:val="single" w:sz="4" w:space="0" w:color="auto"/>
            </w:tcBorders>
            <w:shd w:val="clear" w:color="auto" w:fill="DDD6E7"/>
            <w:vAlign w:val="center"/>
          </w:tcPr>
          <w:p w14:paraId="663E968A" w14:textId="77777777" w:rsidR="00A738E4" w:rsidRPr="00A738E4" w:rsidRDefault="00A738E4" w:rsidP="009022A2">
            <w:pPr>
              <w:jc w:val="center"/>
              <w:rPr>
                <w:rFonts w:asciiTheme="minorHAnsi" w:hAnsiTheme="minorHAnsi" w:cstheme="minorHAnsi"/>
                <w:b/>
                <w:bCs/>
                <w:color w:val="000000" w:themeColor="text1"/>
                <w:sz w:val="20"/>
                <w:szCs w:val="20"/>
              </w:rPr>
            </w:pPr>
            <w:r w:rsidRPr="00A738E4">
              <w:rPr>
                <w:rFonts w:asciiTheme="minorHAnsi" w:hAnsiTheme="minorHAnsi" w:cstheme="minorHAnsi"/>
                <w:b/>
                <w:bCs/>
                <w:color w:val="000000" w:themeColor="text1"/>
                <w:sz w:val="20"/>
                <w:szCs w:val="20"/>
              </w:rPr>
              <w:t>Hladina významnosti</w:t>
            </w:r>
          </w:p>
        </w:tc>
        <w:tc>
          <w:tcPr>
            <w:tcW w:w="3003" w:type="dxa"/>
            <w:tcBorders>
              <w:top w:val="single" w:sz="4" w:space="0" w:color="auto"/>
              <w:left w:val="single" w:sz="4" w:space="0" w:color="auto"/>
              <w:bottom w:val="single" w:sz="4" w:space="0" w:color="auto"/>
              <w:right w:val="single" w:sz="4" w:space="0" w:color="auto"/>
            </w:tcBorders>
            <w:shd w:val="clear" w:color="auto" w:fill="DDD6E7"/>
          </w:tcPr>
          <w:p w14:paraId="0A220EF8" w14:textId="77777777" w:rsidR="00A738E4" w:rsidRPr="00A738E4" w:rsidRDefault="00A738E4" w:rsidP="009022A2">
            <w:pPr>
              <w:jc w:val="center"/>
              <w:rPr>
                <w:rFonts w:asciiTheme="minorHAnsi" w:hAnsiTheme="minorHAnsi" w:cstheme="minorHAnsi"/>
                <w:b/>
                <w:bCs/>
                <w:color w:val="000000" w:themeColor="text1"/>
                <w:sz w:val="20"/>
                <w:szCs w:val="20"/>
              </w:rPr>
            </w:pPr>
            <w:r w:rsidRPr="00A738E4">
              <w:rPr>
                <w:rFonts w:asciiTheme="minorHAnsi" w:hAnsiTheme="minorHAnsi" w:cstheme="minorHAnsi"/>
                <w:b/>
                <w:bCs/>
                <w:color w:val="000000" w:themeColor="text1"/>
                <w:sz w:val="20"/>
                <w:szCs w:val="20"/>
              </w:rPr>
              <w:t>Celková nesprávnost</w:t>
            </w:r>
          </w:p>
        </w:tc>
      </w:tr>
      <w:tr w:rsidR="00A738E4" w:rsidRPr="001C4A4A" w14:paraId="736BB54B" w14:textId="77777777" w:rsidTr="00EF393E">
        <w:trPr>
          <w:cantSplit/>
          <w:trHeight w:val="283"/>
          <w:jc w:val="center"/>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6BBCB541" w14:textId="77777777" w:rsidR="00A738E4" w:rsidRPr="001C4A4A" w:rsidRDefault="0099143D" w:rsidP="009022A2">
            <w:pPr>
              <w:jc w:val="center"/>
              <w:rPr>
                <w:rFonts w:asciiTheme="minorHAnsi" w:hAnsiTheme="minorHAnsi" w:cstheme="minorHAnsi"/>
                <w:b/>
                <w:bCs/>
                <w:color w:val="000000" w:themeColor="text1"/>
                <w:sz w:val="20"/>
                <w:szCs w:val="20"/>
                <w:highlight w:val="yellow"/>
              </w:rPr>
            </w:pPr>
            <w:r w:rsidRPr="0099143D">
              <w:rPr>
                <w:rFonts w:asciiTheme="minorHAnsi" w:hAnsiTheme="minorHAnsi" w:cstheme="minorHAnsi"/>
                <w:b/>
                <w:bCs/>
                <w:color w:val="000000" w:themeColor="text1"/>
                <w:sz w:val="20"/>
                <w:szCs w:val="20"/>
              </w:rPr>
              <w:t>1 969,99</w:t>
            </w:r>
          </w:p>
        </w:tc>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18279CC" w14:textId="77777777" w:rsidR="00A738E4" w:rsidRPr="001C4A4A" w:rsidRDefault="0099143D" w:rsidP="0099143D">
            <w:pPr>
              <w:jc w:val="center"/>
              <w:rPr>
                <w:rFonts w:asciiTheme="minorHAnsi" w:hAnsiTheme="minorHAnsi" w:cstheme="minorHAnsi"/>
                <w:b/>
                <w:bCs/>
                <w:color w:val="000000" w:themeColor="text1"/>
                <w:sz w:val="20"/>
                <w:szCs w:val="20"/>
                <w:highlight w:val="yellow"/>
              </w:rPr>
            </w:pPr>
            <w:r>
              <w:rPr>
                <w:rFonts w:asciiTheme="minorHAnsi" w:hAnsiTheme="minorHAnsi" w:cstheme="minorHAnsi"/>
                <w:b/>
                <w:bCs/>
                <w:color w:val="000000" w:themeColor="text1"/>
                <w:sz w:val="20"/>
                <w:szCs w:val="20"/>
              </w:rPr>
              <w:t>39</w:t>
            </w:r>
            <w:r w:rsidRPr="0099143D">
              <w:rPr>
                <w:rFonts w:asciiTheme="minorHAnsi" w:hAnsiTheme="minorHAnsi" w:cstheme="minorHAnsi"/>
                <w:b/>
                <w:bCs/>
                <w:color w:val="000000" w:themeColor="text1"/>
                <w:sz w:val="20"/>
                <w:szCs w:val="20"/>
              </w:rPr>
              <w:t>,00</w:t>
            </w:r>
          </w:p>
        </w:tc>
        <w:tc>
          <w:tcPr>
            <w:tcW w:w="3003" w:type="dxa"/>
            <w:tcBorders>
              <w:top w:val="single" w:sz="4" w:space="0" w:color="auto"/>
              <w:left w:val="single" w:sz="4" w:space="0" w:color="auto"/>
              <w:bottom w:val="single" w:sz="4" w:space="0" w:color="auto"/>
              <w:right w:val="single" w:sz="4" w:space="0" w:color="auto"/>
            </w:tcBorders>
            <w:shd w:val="clear" w:color="auto" w:fill="auto"/>
          </w:tcPr>
          <w:p w14:paraId="45875243" w14:textId="77777777" w:rsidR="00A738E4" w:rsidRPr="001C4A4A" w:rsidRDefault="0099143D" w:rsidP="009022A2">
            <w:pPr>
              <w:jc w:val="center"/>
              <w:rPr>
                <w:rFonts w:asciiTheme="minorHAnsi" w:hAnsiTheme="minorHAnsi" w:cstheme="minorHAnsi"/>
                <w:b/>
                <w:bCs/>
                <w:color w:val="000000" w:themeColor="text1"/>
                <w:sz w:val="20"/>
                <w:szCs w:val="20"/>
                <w:highlight w:val="yellow"/>
              </w:rPr>
            </w:pPr>
            <w:r w:rsidRPr="0099143D">
              <w:rPr>
                <w:rFonts w:asciiTheme="minorHAnsi" w:hAnsiTheme="minorHAnsi" w:cstheme="minorHAnsi"/>
                <w:b/>
                <w:bCs/>
                <w:color w:val="000000" w:themeColor="text1"/>
                <w:sz w:val="20"/>
                <w:szCs w:val="20"/>
              </w:rPr>
              <w:t>2 476,18</w:t>
            </w:r>
          </w:p>
        </w:tc>
      </w:tr>
    </w:tbl>
    <w:p w14:paraId="0617001A" w14:textId="0FC2F659" w:rsidR="00A738E4" w:rsidRDefault="00A738E4" w:rsidP="00A738E4">
      <w:pPr>
        <w:spacing w:before="40"/>
        <w:rPr>
          <w:rFonts w:asciiTheme="minorHAnsi" w:hAnsiTheme="minorHAnsi" w:cstheme="minorHAnsi"/>
          <w:sz w:val="20"/>
          <w:szCs w:val="20"/>
          <w:lang w:eastAsia="cs-CZ"/>
        </w:rPr>
      </w:pPr>
      <w:r w:rsidRPr="00A738E4">
        <w:rPr>
          <w:rFonts w:asciiTheme="minorHAnsi" w:hAnsiTheme="minorHAnsi" w:cstheme="minorHAnsi"/>
          <w:b/>
          <w:sz w:val="20"/>
          <w:szCs w:val="20"/>
          <w:lang w:eastAsia="cs-CZ"/>
        </w:rPr>
        <w:t>Zdroj:</w:t>
      </w:r>
      <w:r w:rsidRPr="00A738E4">
        <w:rPr>
          <w:rFonts w:asciiTheme="minorHAnsi" w:hAnsiTheme="minorHAnsi" w:cstheme="minorHAnsi"/>
          <w:sz w:val="20"/>
          <w:szCs w:val="20"/>
          <w:lang w:eastAsia="cs-CZ"/>
        </w:rPr>
        <w:t xml:space="preserve"> </w:t>
      </w:r>
      <w:r w:rsidR="00B26363">
        <w:rPr>
          <w:rFonts w:asciiTheme="minorHAnsi" w:hAnsiTheme="minorHAnsi" w:cstheme="minorHAnsi"/>
          <w:sz w:val="20"/>
          <w:szCs w:val="20"/>
          <w:lang w:eastAsia="cs-CZ"/>
        </w:rPr>
        <w:t xml:space="preserve">účetní závěrka </w:t>
      </w:r>
      <w:proofErr w:type="spellStart"/>
      <w:r w:rsidR="00B26363">
        <w:rPr>
          <w:rFonts w:asciiTheme="minorHAnsi" w:hAnsiTheme="minorHAnsi" w:cstheme="minorHAnsi"/>
          <w:sz w:val="20"/>
          <w:szCs w:val="20"/>
          <w:lang w:eastAsia="cs-CZ"/>
        </w:rPr>
        <w:t>MSp</w:t>
      </w:r>
      <w:proofErr w:type="spellEnd"/>
      <w:r w:rsidR="00B26363">
        <w:rPr>
          <w:rFonts w:asciiTheme="minorHAnsi" w:hAnsiTheme="minorHAnsi" w:cstheme="minorHAnsi"/>
          <w:sz w:val="20"/>
          <w:szCs w:val="20"/>
          <w:lang w:eastAsia="cs-CZ"/>
        </w:rPr>
        <w:t xml:space="preserve"> k 31. prosinci 2015, </w:t>
      </w:r>
      <w:r w:rsidRPr="00A738E4">
        <w:rPr>
          <w:rFonts w:asciiTheme="minorHAnsi" w:hAnsiTheme="minorHAnsi" w:cstheme="minorHAnsi"/>
          <w:sz w:val="20"/>
          <w:szCs w:val="20"/>
          <w:lang w:eastAsia="cs-CZ"/>
        </w:rPr>
        <w:t>vlastní</w:t>
      </w:r>
      <w:r w:rsidR="00B26363">
        <w:rPr>
          <w:rFonts w:asciiTheme="minorHAnsi" w:hAnsiTheme="minorHAnsi" w:cstheme="minorHAnsi"/>
          <w:sz w:val="20"/>
          <w:szCs w:val="20"/>
          <w:lang w:eastAsia="cs-CZ"/>
        </w:rPr>
        <w:t xml:space="preserve"> výpočty NKÚ</w:t>
      </w:r>
      <w:r w:rsidRPr="00A738E4">
        <w:rPr>
          <w:rFonts w:asciiTheme="minorHAnsi" w:hAnsiTheme="minorHAnsi" w:cstheme="minorHAnsi"/>
          <w:sz w:val="20"/>
          <w:szCs w:val="20"/>
          <w:lang w:eastAsia="cs-CZ"/>
        </w:rPr>
        <w:t>.</w:t>
      </w:r>
    </w:p>
    <w:p w14:paraId="3B6B90AE" w14:textId="77777777" w:rsidR="0041148C" w:rsidRPr="00C869E4" w:rsidRDefault="0041148C" w:rsidP="00C869E4">
      <w:pPr>
        <w:rPr>
          <w:rFonts w:asciiTheme="minorHAnsi" w:hAnsiTheme="minorHAnsi" w:cstheme="minorHAnsi"/>
          <w:lang w:eastAsia="cs-CZ"/>
        </w:rPr>
      </w:pPr>
    </w:p>
    <w:p w14:paraId="289A35A2" w14:textId="2F02A713" w:rsidR="00641624" w:rsidRDefault="00BB495A" w:rsidP="00AF2AF3">
      <w:pPr>
        <w:spacing w:line="264" w:lineRule="auto"/>
        <w:jc w:val="both"/>
        <w:rPr>
          <w:rFonts w:asciiTheme="minorHAnsi" w:hAnsiTheme="minorHAnsi" w:cs="Calibri"/>
        </w:rPr>
      </w:pPr>
      <w:r>
        <w:rPr>
          <w:rFonts w:ascii="Calibri" w:eastAsia="Calibri" w:hAnsi="Calibri" w:cs="Calibri"/>
        </w:rPr>
        <w:t>B</w:t>
      </w:r>
      <w:r w:rsidR="00641624">
        <w:rPr>
          <w:rFonts w:ascii="Calibri" w:eastAsia="Calibri" w:hAnsi="Calibri" w:cs="Calibri"/>
        </w:rPr>
        <w:t xml:space="preserve">ylo zjištěno, že některé informace v účetní závěrce sestavené k 31. prosinci 2015 nevykázalo </w:t>
      </w:r>
      <w:proofErr w:type="spellStart"/>
      <w:r w:rsidR="00641624">
        <w:rPr>
          <w:rFonts w:ascii="Calibri" w:eastAsia="Calibri" w:hAnsi="Calibri" w:cs="Calibri"/>
        </w:rPr>
        <w:t>MSp</w:t>
      </w:r>
      <w:proofErr w:type="spellEnd"/>
      <w:r w:rsidR="00641624">
        <w:rPr>
          <w:rFonts w:ascii="Calibri" w:eastAsia="Calibri" w:hAnsi="Calibri" w:cs="Calibri"/>
        </w:rPr>
        <w:t xml:space="preserve"> v souladu s právními předpisy upravujícími vedení účetnictví </w:t>
      </w:r>
      <w:r w:rsidR="00B26363">
        <w:rPr>
          <w:rFonts w:ascii="Calibri" w:eastAsia="Calibri" w:hAnsi="Calibri" w:cs="Calibri"/>
        </w:rPr>
        <w:t xml:space="preserve">– </w:t>
      </w:r>
      <w:r w:rsidR="00641624">
        <w:rPr>
          <w:rFonts w:ascii="Calibri" w:eastAsia="Calibri" w:hAnsi="Calibri" w:cs="Calibri"/>
        </w:rPr>
        <w:t xml:space="preserve">v údajích za běžné období byly zjištěny nesprávnosti ve výši téměř 2,5 mld. Kč (viz tabulka č. 5) a jsou ve svém celkovém rozsahu významné. </w:t>
      </w:r>
    </w:p>
    <w:p w14:paraId="3F085A33" w14:textId="77777777" w:rsidR="008A397B" w:rsidRDefault="008A397B" w:rsidP="00F72DE4">
      <w:pPr>
        <w:spacing w:line="264" w:lineRule="auto"/>
        <w:jc w:val="both"/>
        <w:rPr>
          <w:rFonts w:asciiTheme="minorHAnsi" w:hAnsiTheme="minorHAnsi" w:cs="Calibri"/>
        </w:rPr>
      </w:pPr>
    </w:p>
    <w:p w14:paraId="481690C8" w14:textId="1DCBC8F9" w:rsidR="008A397B" w:rsidRPr="007725F9" w:rsidRDefault="008A397B" w:rsidP="005758B2">
      <w:pPr>
        <w:shd w:val="clear" w:color="auto" w:fill="FFFFFF" w:themeFill="background1"/>
        <w:tabs>
          <w:tab w:val="right" w:pos="9072"/>
        </w:tabs>
        <w:jc w:val="both"/>
        <w:rPr>
          <w:rFonts w:asciiTheme="minorHAnsi" w:hAnsiTheme="minorHAnsi" w:cstheme="minorHAnsi"/>
        </w:rPr>
      </w:pPr>
      <w:r w:rsidRPr="007725F9">
        <w:rPr>
          <w:rFonts w:asciiTheme="minorHAnsi" w:hAnsiTheme="minorHAnsi" w:cstheme="minorHAnsi"/>
          <w:b/>
        </w:rPr>
        <w:t xml:space="preserve">Tabulka č. </w:t>
      </w:r>
      <w:r>
        <w:rPr>
          <w:rFonts w:asciiTheme="minorHAnsi" w:hAnsiTheme="minorHAnsi" w:cstheme="minorHAnsi"/>
          <w:b/>
        </w:rPr>
        <w:t xml:space="preserve">5 </w:t>
      </w:r>
      <w:r w:rsidRPr="007725F9">
        <w:rPr>
          <w:rFonts w:asciiTheme="minorHAnsi" w:hAnsiTheme="minorHAnsi" w:cstheme="minorHAnsi"/>
          <w:b/>
        </w:rPr>
        <w:t xml:space="preserve">– </w:t>
      </w:r>
      <w:r>
        <w:rPr>
          <w:rFonts w:asciiTheme="minorHAnsi" w:hAnsiTheme="minorHAnsi" w:cstheme="minorHAnsi"/>
          <w:b/>
        </w:rPr>
        <w:t xml:space="preserve">Přehled nesprávností zjištěných v jednotlivých částech ÚZ </w:t>
      </w:r>
      <w:r w:rsidR="005E39B3">
        <w:rPr>
          <w:rFonts w:asciiTheme="minorHAnsi" w:hAnsiTheme="minorHAnsi" w:cstheme="minorHAnsi"/>
          <w:b/>
        </w:rPr>
        <w:tab/>
      </w:r>
      <w:r>
        <w:rPr>
          <w:rFonts w:asciiTheme="minorHAnsi" w:hAnsiTheme="minorHAnsi" w:cstheme="minorHAnsi"/>
          <w:b/>
        </w:rPr>
        <w:t>(v mil. Kč)</w:t>
      </w:r>
    </w:p>
    <w:tbl>
      <w:tblPr>
        <w:tblW w:w="9052" w:type="dxa"/>
        <w:tblInd w:w="-30" w:type="dxa"/>
        <w:tblCellMar>
          <w:left w:w="70" w:type="dxa"/>
          <w:right w:w="70" w:type="dxa"/>
        </w:tblCellMar>
        <w:tblLook w:val="04A0" w:firstRow="1" w:lastRow="0" w:firstColumn="1" w:lastColumn="0" w:noHBand="0" w:noVBand="1"/>
      </w:tblPr>
      <w:tblGrid>
        <w:gridCol w:w="3464"/>
        <w:gridCol w:w="1833"/>
        <w:gridCol w:w="1833"/>
        <w:gridCol w:w="1922"/>
      </w:tblGrid>
      <w:tr w:rsidR="008A397B" w:rsidRPr="008E5835" w14:paraId="5BDE5315" w14:textId="77777777" w:rsidTr="00C869E4">
        <w:trPr>
          <w:trHeight w:val="579"/>
        </w:trPr>
        <w:tc>
          <w:tcPr>
            <w:tcW w:w="3464" w:type="dxa"/>
            <w:vMerge w:val="restart"/>
            <w:tcBorders>
              <w:top w:val="single" w:sz="8" w:space="0" w:color="auto"/>
              <w:left w:val="single" w:sz="8" w:space="0" w:color="auto"/>
              <w:bottom w:val="single" w:sz="8" w:space="0" w:color="000000"/>
              <w:right w:val="single" w:sz="8" w:space="0" w:color="auto"/>
            </w:tcBorders>
            <w:shd w:val="clear" w:color="auto" w:fill="DDD6E7"/>
            <w:vAlign w:val="center"/>
            <w:hideMark/>
          </w:tcPr>
          <w:p w14:paraId="24BD17C8" w14:textId="77777777" w:rsidR="008A397B" w:rsidRPr="008E5835" w:rsidRDefault="008A397B" w:rsidP="00BE5F76">
            <w:pPr>
              <w:jc w:val="center"/>
              <w:rPr>
                <w:rFonts w:ascii="Calibri" w:hAnsi="Calibri"/>
                <w:b/>
                <w:bCs/>
                <w:color w:val="000000"/>
                <w:sz w:val="22"/>
                <w:szCs w:val="22"/>
                <w:lang w:eastAsia="cs-CZ"/>
              </w:rPr>
            </w:pPr>
            <w:r w:rsidRPr="008E5835">
              <w:rPr>
                <w:rFonts w:ascii="Calibri" w:hAnsi="Calibri"/>
                <w:b/>
                <w:bCs/>
                <w:color w:val="000000"/>
                <w:sz w:val="22"/>
                <w:szCs w:val="22"/>
                <w:lang w:eastAsia="cs-CZ"/>
              </w:rPr>
              <w:t>Výkaz</w:t>
            </w:r>
          </w:p>
        </w:tc>
        <w:tc>
          <w:tcPr>
            <w:tcW w:w="3666" w:type="dxa"/>
            <w:gridSpan w:val="2"/>
            <w:tcBorders>
              <w:top w:val="single" w:sz="8" w:space="0" w:color="auto"/>
              <w:left w:val="nil"/>
              <w:bottom w:val="single" w:sz="8" w:space="0" w:color="auto"/>
              <w:right w:val="single" w:sz="8" w:space="0" w:color="000000"/>
            </w:tcBorders>
            <w:shd w:val="clear" w:color="auto" w:fill="DDD6E7"/>
            <w:vAlign w:val="center"/>
            <w:hideMark/>
          </w:tcPr>
          <w:p w14:paraId="0546264E" w14:textId="77777777" w:rsidR="008A397B" w:rsidRPr="008E5835" w:rsidRDefault="008A397B" w:rsidP="00BE5F76">
            <w:pPr>
              <w:jc w:val="center"/>
              <w:rPr>
                <w:rFonts w:ascii="Calibri" w:hAnsi="Calibri"/>
                <w:b/>
                <w:bCs/>
                <w:color w:val="000000"/>
                <w:sz w:val="22"/>
                <w:szCs w:val="22"/>
                <w:lang w:eastAsia="cs-CZ"/>
              </w:rPr>
            </w:pPr>
            <w:r w:rsidRPr="008E5835">
              <w:rPr>
                <w:rFonts w:ascii="Calibri" w:hAnsi="Calibri"/>
                <w:b/>
                <w:bCs/>
                <w:color w:val="000000"/>
                <w:sz w:val="22"/>
                <w:szCs w:val="22"/>
                <w:lang w:eastAsia="cs-CZ"/>
              </w:rPr>
              <w:t>Hodnotová chyba</w:t>
            </w:r>
          </w:p>
        </w:tc>
        <w:tc>
          <w:tcPr>
            <w:tcW w:w="1922" w:type="dxa"/>
            <w:vMerge w:val="restart"/>
            <w:tcBorders>
              <w:top w:val="single" w:sz="8" w:space="0" w:color="auto"/>
              <w:left w:val="nil"/>
              <w:bottom w:val="single" w:sz="8" w:space="0" w:color="000000"/>
              <w:right w:val="single" w:sz="8" w:space="0" w:color="auto"/>
            </w:tcBorders>
            <w:shd w:val="clear" w:color="auto" w:fill="DDD6E7"/>
            <w:vAlign w:val="center"/>
            <w:hideMark/>
          </w:tcPr>
          <w:p w14:paraId="6F383F39" w14:textId="77777777" w:rsidR="008A397B" w:rsidRPr="008E5835" w:rsidRDefault="008A397B" w:rsidP="00BE5F76">
            <w:pPr>
              <w:jc w:val="center"/>
              <w:rPr>
                <w:rFonts w:ascii="Calibri" w:hAnsi="Calibri"/>
                <w:b/>
                <w:bCs/>
                <w:color w:val="000000"/>
                <w:sz w:val="22"/>
                <w:szCs w:val="22"/>
                <w:lang w:eastAsia="cs-CZ"/>
              </w:rPr>
            </w:pPr>
            <w:r w:rsidRPr="008E5835">
              <w:rPr>
                <w:rFonts w:ascii="Calibri" w:hAnsi="Calibri"/>
                <w:b/>
                <w:bCs/>
                <w:color w:val="000000"/>
                <w:sz w:val="22"/>
                <w:szCs w:val="22"/>
                <w:lang w:eastAsia="cs-CZ"/>
              </w:rPr>
              <w:t>Celková započtená nesprávnost</w:t>
            </w:r>
          </w:p>
        </w:tc>
      </w:tr>
      <w:tr w:rsidR="008A397B" w:rsidRPr="008E5835" w14:paraId="67FC1893" w14:textId="77777777" w:rsidTr="00C869E4">
        <w:trPr>
          <w:trHeight w:val="546"/>
        </w:trPr>
        <w:tc>
          <w:tcPr>
            <w:tcW w:w="3464" w:type="dxa"/>
            <w:vMerge/>
            <w:tcBorders>
              <w:top w:val="single" w:sz="8" w:space="0" w:color="auto"/>
              <w:left w:val="single" w:sz="8" w:space="0" w:color="auto"/>
              <w:bottom w:val="single" w:sz="8" w:space="0" w:color="000000"/>
              <w:right w:val="single" w:sz="8" w:space="0" w:color="auto"/>
            </w:tcBorders>
            <w:shd w:val="clear" w:color="auto" w:fill="DDD6E7"/>
            <w:vAlign w:val="center"/>
            <w:hideMark/>
          </w:tcPr>
          <w:p w14:paraId="7B2643B0" w14:textId="77777777" w:rsidR="008A397B" w:rsidRPr="008E5835" w:rsidRDefault="008A397B" w:rsidP="00BE5F76">
            <w:pPr>
              <w:rPr>
                <w:rFonts w:ascii="Calibri" w:hAnsi="Calibri"/>
                <w:b/>
                <w:bCs/>
                <w:color w:val="000000"/>
                <w:sz w:val="22"/>
                <w:szCs w:val="22"/>
                <w:lang w:eastAsia="cs-CZ"/>
              </w:rPr>
            </w:pPr>
          </w:p>
        </w:tc>
        <w:tc>
          <w:tcPr>
            <w:tcW w:w="1833" w:type="dxa"/>
            <w:tcBorders>
              <w:top w:val="nil"/>
              <w:left w:val="nil"/>
              <w:bottom w:val="single" w:sz="8" w:space="0" w:color="auto"/>
              <w:right w:val="single" w:sz="8" w:space="0" w:color="auto"/>
            </w:tcBorders>
            <w:shd w:val="clear" w:color="auto" w:fill="DDD6E7"/>
            <w:vAlign w:val="center"/>
            <w:hideMark/>
          </w:tcPr>
          <w:p w14:paraId="05FFA8D5" w14:textId="77777777" w:rsidR="008A397B" w:rsidRPr="008E5835" w:rsidRDefault="008A397B" w:rsidP="00BE5F76">
            <w:pPr>
              <w:jc w:val="center"/>
              <w:rPr>
                <w:rFonts w:ascii="Calibri" w:hAnsi="Calibri"/>
                <w:b/>
                <w:bCs/>
                <w:color w:val="000000"/>
                <w:sz w:val="22"/>
                <w:szCs w:val="22"/>
                <w:lang w:eastAsia="cs-CZ"/>
              </w:rPr>
            </w:pPr>
            <w:r w:rsidRPr="008E5835">
              <w:rPr>
                <w:rFonts w:ascii="Calibri" w:hAnsi="Calibri"/>
                <w:b/>
                <w:bCs/>
                <w:color w:val="000000"/>
                <w:sz w:val="22"/>
                <w:szCs w:val="22"/>
                <w:lang w:eastAsia="cs-CZ"/>
              </w:rPr>
              <w:t>Nadhodnocení</w:t>
            </w:r>
          </w:p>
        </w:tc>
        <w:tc>
          <w:tcPr>
            <w:tcW w:w="1833" w:type="dxa"/>
            <w:tcBorders>
              <w:top w:val="nil"/>
              <w:left w:val="nil"/>
              <w:bottom w:val="single" w:sz="8" w:space="0" w:color="auto"/>
              <w:right w:val="single" w:sz="8" w:space="0" w:color="auto"/>
            </w:tcBorders>
            <w:shd w:val="clear" w:color="auto" w:fill="DDD6E7"/>
            <w:vAlign w:val="center"/>
            <w:hideMark/>
          </w:tcPr>
          <w:p w14:paraId="3BFCAA74" w14:textId="77777777" w:rsidR="008A397B" w:rsidRPr="008E5835" w:rsidRDefault="008A397B" w:rsidP="00BE5F76">
            <w:pPr>
              <w:jc w:val="center"/>
              <w:rPr>
                <w:rFonts w:ascii="Calibri" w:hAnsi="Calibri"/>
                <w:b/>
                <w:bCs/>
                <w:color w:val="000000"/>
                <w:sz w:val="22"/>
                <w:szCs w:val="22"/>
                <w:lang w:eastAsia="cs-CZ"/>
              </w:rPr>
            </w:pPr>
            <w:r w:rsidRPr="008E5835">
              <w:rPr>
                <w:rFonts w:ascii="Calibri" w:hAnsi="Calibri"/>
                <w:b/>
                <w:bCs/>
                <w:color w:val="000000"/>
                <w:sz w:val="22"/>
                <w:szCs w:val="22"/>
                <w:lang w:eastAsia="cs-CZ"/>
              </w:rPr>
              <w:t>Podhodnocení</w:t>
            </w:r>
          </w:p>
        </w:tc>
        <w:tc>
          <w:tcPr>
            <w:tcW w:w="1922" w:type="dxa"/>
            <w:vMerge/>
            <w:tcBorders>
              <w:top w:val="single" w:sz="8" w:space="0" w:color="auto"/>
              <w:left w:val="nil"/>
              <w:bottom w:val="single" w:sz="8" w:space="0" w:color="000000"/>
              <w:right w:val="single" w:sz="8" w:space="0" w:color="auto"/>
            </w:tcBorders>
            <w:shd w:val="clear" w:color="auto" w:fill="DDD6E7"/>
            <w:vAlign w:val="center"/>
            <w:hideMark/>
          </w:tcPr>
          <w:p w14:paraId="6723EB05" w14:textId="77777777" w:rsidR="008A397B" w:rsidRPr="008E5835" w:rsidRDefault="008A397B" w:rsidP="00BE5F76">
            <w:pPr>
              <w:rPr>
                <w:rFonts w:ascii="Calibri" w:hAnsi="Calibri"/>
                <w:b/>
                <w:bCs/>
                <w:color w:val="000000"/>
                <w:sz w:val="22"/>
                <w:szCs w:val="22"/>
                <w:lang w:eastAsia="cs-CZ"/>
              </w:rPr>
            </w:pPr>
          </w:p>
        </w:tc>
      </w:tr>
      <w:tr w:rsidR="008A397B" w:rsidRPr="008E5835" w14:paraId="5097DEAE" w14:textId="77777777" w:rsidTr="00C869E4">
        <w:trPr>
          <w:trHeight w:val="310"/>
        </w:trPr>
        <w:tc>
          <w:tcPr>
            <w:tcW w:w="3464" w:type="dxa"/>
            <w:tcBorders>
              <w:top w:val="nil"/>
              <w:left w:val="single" w:sz="8" w:space="0" w:color="auto"/>
              <w:bottom w:val="single" w:sz="8" w:space="0" w:color="auto"/>
              <w:right w:val="single" w:sz="8" w:space="0" w:color="auto"/>
            </w:tcBorders>
            <w:shd w:val="clear" w:color="auto" w:fill="auto"/>
            <w:noWrap/>
            <w:vAlign w:val="center"/>
            <w:hideMark/>
          </w:tcPr>
          <w:p w14:paraId="4D479F9C" w14:textId="13D051D5" w:rsidR="008A397B" w:rsidRPr="008E5835" w:rsidRDefault="00B26363" w:rsidP="00B26363">
            <w:pPr>
              <w:rPr>
                <w:rFonts w:ascii="Calibri" w:hAnsi="Calibri"/>
                <w:color w:val="000000"/>
                <w:sz w:val="22"/>
                <w:szCs w:val="22"/>
                <w:lang w:eastAsia="cs-CZ"/>
              </w:rPr>
            </w:pPr>
            <w:r>
              <w:rPr>
                <w:rFonts w:ascii="Calibri" w:hAnsi="Calibri"/>
                <w:color w:val="000000"/>
                <w:sz w:val="22"/>
                <w:szCs w:val="22"/>
                <w:lang w:eastAsia="cs-CZ"/>
              </w:rPr>
              <w:t>Výkaz r</w:t>
            </w:r>
            <w:r w:rsidR="008A397B" w:rsidRPr="008E5835">
              <w:rPr>
                <w:rFonts w:ascii="Calibri" w:hAnsi="Calibri"/>
                <w:color w:val="000000"/>
                <w:sz w:val="22"/>
                <w:szCs w:val="22"/>
                <w:lang w:eastAsia="cs-CZ"/>
              </w:rPr>
              <w:t>ozvaha</w:t>
            </w:r>
          </w:p>
        </w:tc>
        <w:tc>
          <w:tcPr>
            <w:tcW w:w="1833" w:type="dxa"/>
            <w:tcBorders>
              <w:top w:val="nil"/>
              <w:left w:val="nil"/>
              <w:bottom w:val="single" w:sz="8" w:space="0" w:color="auto"/>
              <w:right w:val="single" w:sz="8" w:space="0" w:color="auto"/>
            </w:tcBorders>
            <w:shd w:val="clear" w:color="auto" w:fill="auto"/>
            <w:noWrap/>
            <w:vAlign w:val="center"/>
            <w:hideMark/>
          </w:tcPr>
          <w:p w14:paraId="4FC30634" w14:textId="77777777" w:rsidR="008A397B" w:rsidRPr="008E5835" w:rsidRDefault="008A397B" w:rsidP="00BE5F76">
            <w:pPr>
              <w:jc w:val="right"/>
              <w:rPr>
                <w:rFonts w:ascii="Calibri" w:hAnsi="Calibri"/>
                <w:color w:val="000000"/>
                <w:sz w:val="22"/>
                <w:szCs w:val="22"/>
                <w:lang w:eastAsia="cs-CZ"/>
              </w:rPr>
            </w:pPr>
            <w:r>
              <w:rPr>
                <w:rFonts w:ascii="Calibri" w:hAnsi="Calibri"/>
                <w:color w:val="000000"/>
                <w:sz w:val="22"/>
                <w:szCs w:val="22"/>
                <w:lang w:eastAsia="cs-CZ"/>
              </w:rPr>
              <w:t>72,66</w:t>
            </w:r>
          </w:p>
        </w:tc>
        <w:tc>
          <w:tcPr>
            <w:tcW w:w="1833" w:type="dxa"/>
            <w:tcBorders>
              <w:top w:val="nil"/>
              <w:left w:val="nil"/>
              <w:bottom w:val="single" w:sz="8" w:space="0" w:color="auto"/>
              <w:right w:val="single" w:sz="8" w:space="0" w:color="auto"/>
            </w:tcBorders>
            <w:shd w:val="clear" w:color="auto" w:fill="auto"/>
            <w:noWrap/>
            <w:vAlign w:val="center"/>
            <w:hideMark/>
          </w:tcPr>
          <w:p w14:paraId="07D1CD43" w14:textId="77777777" w:rsidR="008A397B" w:rsidRPr="008E5835" w:rsidRDefault="008A397B" w:rsidP="00BE5F76">
            <w:pPr>
              <w:jc w:val="right"/>
              <w:rPr>
                <w:rFonts w:ascii="Calibri" w:hAnsi="Calibri"/>
                <w:color w:val="000000"/>
                <w:sz w:val="22"/>
                <w:szCs w:val="22"/>
                <w:lang w:eastAsia="cs-CZ"/>
              </w:rPr>
            </w:pPr>
            <w:r w:rsidRPr="0099143D">
              <w:rPr>
                <w:rFonts w:ascii="Calibri" w:hAnsi="Calibri"/>
                <w:color w:val="000000"/>
                <w:sz w:val="22"/>
                <w:szCs w:val="22"/>
                <w:lang w:eastAsia="cs-CZ"/>
              </w:rPr>
              <w:t>1 574,20</w:t>
            </w:r>
          </w:p>
        </w:tc>
        <w:tc>
          <w:tcPr>
            <w:tcW w:w="1922" w:type="dxa"/>
            <w:tcBorders>
              <w:top w:val="nil"/>
              <w:left w:val="nil"/>
              <w:bottom w:val="single" w:sz="8" w:space="0" w:color="auto"/>
              <w:right w:val="single" w:sz="8" w:space="0" w:color="auto"/>
            </w:tcBorders>
            <w:shd w:val="clear" w:color="auto" w:fill="auto"/>
            <w:noWrap/>
            <w:vAlign w:val="center"/>
            <w:hideMark/>
          </w:tcPr>
          <w:p w14:paraId="16BC4B0D" w14:textId="77777777" w:rsidR="008A397B" w:rsidRPr="008E5835" w:rsidRDefault="008A397B" w:rsidP="00BE5F76">
            <w:pPr>
              <w:jc w:val="right"/>
              <w:rPr>
                <w:rFonts w:ascii="Calibri" w:hAnsi="Calibri"/>
                <w:color w:val="000000"/>
                <w:sz w:val="22"/>
                <w:szCs w:val="22"/>
                <w:lang w:eastAsia="cs-CZ"/>
              </w:rPr>
            </w:pPr>
            <w:r w:rsidRPr="0099143D">
              <w:rPr>
                <w:rFonts w:ascii="Calibri" w:hAnsi="Calibri"/>
                <w:color w:val="000000"/>
                <w:sz w:val="22"/>
                <w:szCs w:val="22"/>
                <w:lang w:eastAsia="cs-CZ"/>
              </w:rPr>
              <w:t>823,43</w:t>
            </w:r>
          </w:p>
        </w:tc>
      </w:tr>
      <w:tr w:rsidR="008A397B" w:rsidRPr="008E5835" w14:paraId="03C2B025" w14:textId="77777777" w:rsidTr="00C869E4">
        <w:trPr>
          <w:trHeight w:val="310"/>
        </w:trPr>
        <w:tc>
          <w:tcPr>
            <w:tcW w:w="3464" w:type="dxa"/>
            <w:tcBorders>
              <w:top w:val="nil"/>
              <w:left w:val="single" w:sz="8" w:space="0" w:color="auto"/>
              <w:bottom w:val="single" w:sz="8" w:space="0" w:color="auto"/>
              <w:right w:val="single" w:sz="8" w:space="0" w:color="auto"/>
            </w:tcBorders>
            <w:shd w:val="clear" w:color="auto" w:fill="auto"/>
            <w:noWrap/>
            <w:vAlign w:val="center"/>
            <w:hideMark/>
          </w:tcPr>
          <w:p w14:paraId="6D469273" w14:textId="77777777" w:rsidR="008A397B" w:rsidRPr="008E5835" w:rsidRDefault="008A397B" w:rsidP="00BE5F76">
            <w:pPr>
              <w:rPr>
                <w:rFonts w:ascii="Calibri" w:hAnsi="Calibri"/>
                <w:color w:val="000000"/>
                <w:sz w:val="22"/>
                <w:szCs w:val="22"/>
                <w:lang w:eastAsia="cs-CZ"/>
              </w:rPr>
            </w:pPr>
            <w:r w:rsidRPr="008E5835">
              <w:rPr>
                <w:rFonts w:ascii="Calibri" w:hAnsi="Calibri"/>
                <w:color w:val="000000"/>
                <w:sz w:val="22"/>
                <w:szCs w:val="22"/>
                <w:lang w:eastAsia="cs-CZ"/>
              </w:rPr>
              <w:t>Výkaz zisku a ztráty</w:t>
            </w:r>
          </w:p>
        </w:tc>
        <w:tc>
          <w:tcPr>
            <w:tcW w:w="1833" w:type="dxa"/>
            <w:tcBorders>
              <w:top w:val="nil"/>
              <w:left w:val="nil"/>
              <w:bottom w:val="single" w:sz="8" w:space="0" w:color="auto"/>
              <w:right w:val="single" w:sz="8" w:space="0" w:color="auto"/>
            </w:tcBorders>
            <w:shd w:val="clear" w:color="auto" w:fill="auto"/>
            <w:noWrap/>
            <w:vAlign w:val="center"/>
            <w:hideMark/>
          </w:tcPr>
          <w:p w14:paraId="476D2C6E" w14:textId="77777777" w:rsidR="008A397B" w:rsidRPr="008E5835" w:rsidRDefault="008A397B" w:rsidP="00BE5F76">
            <w:pPr>
              <w:jc w:val="right"/>
              <w:rPr>
                <w:rFonts w:ascii="Calibri" w:hAnsi="Calibri"/>
                <w:color w:val="000000"/>
                <w:sz w:val="22"/>
                <w:szCs w:val="22"/>
                <w:lang w:eastAsia="cs-CZ"/>
              </w:rPr>
            </w:pPr>
            <w:r w:rsidRPr="0099143D">
              <w:rPr>
                <w:rFonts w:ascii="Calibri" w:hAnsi="Calibri"/>
                <w:color w:val="000000"/>
                <w:sz w:val="22"/>
                <w:szCs w:val="22"/>
                <w:lang w:eastAsia="cs-CZ"/>
              </w:rPr>
              <w:t>15</w:t>
            </w:r>
            <w:r>
              <w:rPr>
                <w:rFonts w:ascii="Calibri" w:hAnsi="Calibri"/>
                <w:color w:val="000000"/>
                <w:sz w:val="22"/>
                <w:szCs w:val="22"/>
                <w:lang w:eastAsia="cs-CZ"/>
              </w:rPr>
              <w:t>,36</w:t>
            </w:r>
          </w:p>
        </w:tc>
        <w:tc>
          <w:tcPr>
            <w:tcW w:w="1833" w:type="dxa"/>
            <w:tcBorders>
              <w:top w:val="nil"/>
              <w:left w:val="nil"/>
              <w:bottom w:val="single" w:sz="8" w:space="0" w:color="auto"/>
              <w:right w:val="single" w:sz="8" w:space="0" w:color="auto"/>
            </w:tcBorders>
            <w:shd w:val="clear" w:color="auto" w:fill="auto"/>
            <w:noWrap/>
            <w:vAlign w:val="center"/>
            <w:hideMark/>
          </w:tcPr>
          <w:p w14:paraId="424E4C1B" w14:textId="77777777" w:rsidR="008A397B" w:rsidRPr="008E5835" w:rsidRDefault="008A397B" w:rsidP="00BE5F76">
            <w:pPr>
              <w:jc w:val="right"/>
              <w:rPr>
                <w:rFonts w:ascii="Calibri" w:hAnsi="Calibri"/>
                <w:color w:val="000000"/>
                <w:sz w:val="22"/>
                <w:szCs w:val="22"/>
                <w:lang w:eastAsia="cs-CZ"/>
              </w:rPr>
            </w:pPr>
            <w:r w:rsidRPr="0099143D">
              <w:rPr>
                <w:rFonts w:ascii="Calibri" w:hAnsi="Calibri"/>
                <w:color w:val="000000"/>
                <w:sz w:val="22"/>
                <w:szCs w:val="22"/>
                <w:lang w:eastAsia="cs-CZ"/>
              </w:rPr>
              <w:t>93,47</w:t>
            </w:r>
          </w:p>
        </w:tc>
        <w:tc>
          <w:tcPr>
            <w:tcW w:w="1922" w:type="dxa"/>
            <w:tcBorders>
              <w:top w:val="nil"/>
              <w:left w:val="nil"/>
              <w:bottom w:val="single" w:sz="8" w:space="0" w:color="auto"/>
              <w:right w:val="single" w:sz="8" w:space="0" w:color="auto"/>
            </w:tcBorders>
            <w:shd w:val="clear" w:color="auto" w:fill="auto"/>
            <w:noWrap/>
            <w:vAlign w:val="center"/>
            <w:hideMark/>
          </w:tcPr>
          <w:p w14:paraId="50CA80F9" w14:textId="77777777" w:rsidR="008A397B" w:rsidRPr="008E5835" w:rsidRDefault="008A397B" w:rsidP="00BE5F76">
            <w:pPr>
              <w:jc w:val="right"/>
              <w:rPr>
                <w:rFonts w:ascii="Calibri" w:hAnsi="Calibri"/>
                <w:color w:val="000000"/>
                <w:sz w:val="22"/>
                <w:szCs w:val="22"/>
                <w:lang w:eastAsia="cs-CZ"/>
              </w:rPr>
            </w:pPr>
            <w:r w:rsidRPr="0099143D">
              <w:rPr>
                <w:rFonts w:ascii="Calibri" w:hAnsi="Calibri"/>
                <w:color w:val="000000"/>
                <w:sz w:val="22"/>
                <w:szCs w:val="22"/>
                <w:lang w:eastAsia="cs-CZ"/>
              </w:rPr>
              <w:t>54,42</w:t>
            </w:r>
          </w:p>
        </w:tc>
      </w:tr>
      <w:tr w:rsidR="008A397B" w:rsidRPr="008E5835" w14:paraId="6873D024" w14:textId="77777777" w:rsidTr="00C869E4">
        <w:trPr>
          <w:trHeight w:val="310"/>
        </w:trPr>
        <w:tc>
          <w:tcPr>
            <w:tcW w:w="3464" w:type="dxa"/>
            <w:tcBorders>
              <w:top w:val="nil"/>
              <w:left w:val="single" w:sz="8" w:space="0" w:color="auto"/>
              <w:bottom w:val="nil"/>
              <w:right w:val="single" w:sz="8" w:space="0" w:color="auto"/>
            </w:tcBorders>
            <w:shd w:val="clear" w:color="auto" w:fill="auto"/>
            <w:noWrap/>
            <w:vAlign w:val="center"/>
            <w:hideMark/>
          </w:tcPr>
          <w:p w14:paraId="5EEC2D31" w14:textId="77777777" w:rsidR="008A397B" w:rsidRPr="008E5835" w:rsidRDefault="008A397B" w:rsidP="00BE5F76">
            <w:pPr>
              <w:rPr>
                <w:rFonts w:ascii="Calibri" w:hAnsi="Calibri"/>
                <w:color w:val="000000"/>
                <w:sz w:val="22"/>
                <w:szCs w:val="22"/>
                <w:lang w:eastAsia="cs-CZ"/>
              </w:rPr>
            </w:pPr>
            <w:r w:rsidRPr="008E5835">
              <w:rPr>
                <w:rFonts w:ascii="Calibri" w:hAnsi="Calibri"/>
                <w:color w:val="000000"/>
                <w:sz w:val="22"/>
                <w:szCs w:val="22"/>
                <w:lang w:eastAsia="cs-CZ"/>
              </w:rPr>
              <w:t xml:space="preserve">Příloha </w:t>
            </w:r>
            <w:r>
              <w:rPr>
                <w:rFonts w:ascii="Calibri" w:hAnsi="Calibri"/>
                <w:color w:val="000000"/>
                <w:sz w:val="22"/>
                <w:szCs w:val="22"/>
                <w:lang w:eastAsia="cs-CZ"/>
              </w:rPr>
              <w:t>ÚZ</w:t>
            </w:r>
            <w:r w:rsidRPr="008E5835">
              <w:rPr>
                <w:rFonts w:ascii="Calibri" w:hAnsi="Calibri"/>
                <w:color w:val="000000"/>
                <w:sz w:val="22"/>
                <w:szCs w:val="22"/>
                <w:lang w:eastAsia="cs-CZ"/>
              </w:rPr>
              <w:t xml:space="preserve"> (podrozvahové účty)</w:t>
            </w:r>
          </w:p>
        </w:tc>
        <w:tc>
          <w:tcPr>
            <w:tcW w:w="1833" w:type="dxa"/>
            <w:tcBorders>
              <w:top w:val="nil"/>
              <w:left w:val="nil"/>
              <w:bottom w:val="single" w:sz="8" w:space="0" w:color="auto"/>
              <w:right w:val="single" w:sz="8" w:space="0" w:color="auto"/>
            </w:tcBorders>
            <w:shd w:val="clear" w:color="auto" w:fill="auto"/>
            <w:noWrap/>
            <w:vAlign w:val="center"/>
            <w:hideMark/>
          </w:tcPr>
          <w:p w14:paraId="258EA205" w14:textId="77777777" w:rsidR="008A397B" w:rsidRPr="008E5835" w:rsidRDefault="008A397B" w:rsidP="00BE5F76">
            <w:pPr>
              <w:jc w:val="right"/>
              <w:rPr>
                <w:rFonts w:ascii="Calibri" w:hAnsi="Calibri"/>
                <w:color w:val="000000"/>
                <w:sz w:val="22"/>
                <w:szCs w:val="22"/>
                <w:lang w:eastAsia="cs-CZ"/>
              </w:rPr>
            </w:pPr>
            <w:r w:rsidRPr="0099143D">
              <w:rPr>
                <w:rFonts w:ascii="Calibri" w:hAnsi="Calibri"/>
                <w:color w:val="000000"/>
                <w:sz w:val="22"/>
                <w:szCs w:val="22"/>
                <w:lang w:eastAsia="cs-CZ"/>
              </w:rPr>
              <w:t>1 852,88</w:t>
            </w:r>
          </w:p>
        </w:tc>
        <w:tc>
          <w:tcPr>
            <w:tcW w:w="1833" w:type="dxa"/>
            <w:tcBorders>
              <w:top w:val="nil"/>
              <w:left w:val="nil"/>
              <w:bottom w:val="single" w:sz="8" w:space="0" w:color="auto"/>
              <w:right w:val="single" w:sz="8" w:space="0" w:color="auto"/>
            </w:tcBorders>
            <w:shd w:val="clear" w:color="auto" w:fill="auto"/>
            <w:noWrap/>
            <w:vAlign w:val="center"/>
            <w:hideMark/>
          </w:tcPr>
          <w:p w14:paraId="6BEA5EE6" w14:textId="77777777" w:rsidR="008A397B" w:rsidRPr="008E5835" w:rsidRDefault="008A397B" w:rsidP="00BE5F76">
            <w:pPr>
              <w:jc w:val="right"/>
              <w:rPr>
                <w:rFonts w:ascii="Calibri" w:hAnsi="Calibri"/>
                <w:color w:val="000000"/>
                <w:sz w:val="22"/>
                <w:szCs w:val="22"/>
                <w:lang w:eastAsia="cs-CZ"/>
              </w:rPr>
            </w:pPr>
            <w:r w:rsidRPr="0099143D">
              <w:rPr>
                <w:rFonts w:ascii="Calibri" w:hAnsi="Calibri"/>
                <w:color w:val="000000"/>
                <w:sz w:val="22"/>
                <w:szCs w:val="22"/>
                <w:lang w:eastAsia="cs-CZ"/>
              </w:rPr>
              <w:t>1 343,80</w:t>
            </w:r>
          </w:p>
        </w:tc>
        <w:tc>
          <w:tcPr>
            <w:tcW w:w="1922" w:type="dxa"/>
            <w:tcBorders>
              <w:top w:val="nil"/>
              <w:left w:val="nil"/>
              <w:bottom w:val="single" w:sz="8" w:space="0" w:color="auto"/>
              <w:right w:val="single" w:sz="8" w:space="0" w:color="auto"/>
            </w:tcBorders>
            <w:shd w:val="clear" w:color="auto" w:fill="auto"/>
            <w:noWrap/>
            <w:vAlign w:val="center"/>
            <w:hideMark/>
          </w:tcPr>
          <w:p w14:paraId="19478987" w14:textId="77777777" w:rsidR="008A397B" w:rsidRPr="008E5835" w:rsidRDefault="008A397B" w:rsidP="00BE5F76">
            <w:pPr>
              <w:jc w:val="right"/>
              <w:rPr>
                <w:rFonts w:ascii="Calibri" w:hAnsi="Calibri"/>
                <w:color w:val="000000"/>
                <w:sz w:val="22"/>
                <w:szCs w:val="22"/>
                <w:lang w:eastAsia="cs-CZ"/>
              </w:rPr>
            </w:pPr>
            <w:r w:rsidRPr="0099143D">
              <w:rPr>
                <w:rFonts w:ascii="Calibri" w:hAnsi="Calibri"/>
                <w:color w:val="000000"/>
                <w:sz w:val="22"/>
                <w:szCs w:val="22"/>
                <w:lang w:eastAsia="cs-CZ"/>
              </w:rPr>
              <w:t>1 598,34</w:t>
            </w:r>
          </w:p>
        </w:tc>
      </w:tr>
      <w:tr w:rsidR="008A397B" w:rsidRPr="008E5835" w14:paraId="5A4CA965" w14:textId="77777777" w:rsidTr="00C869E4">
        <w:trPr>
          <w:trHeight w:val="310"/>
        </w:trPr>
        <w:tc>
          <w:tcPr>
            <w:tcW w:w="346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04D596" w14:textId="77777777" w:rsidR="008A397B" w:rsidRPr="008E5835" w:rsidRDefault="008A397B" w:rsidP="00BE5F76">
            <w:pPr>
              <w:rPr>
                <w:rFonts w:ascii="Calibri" w:hAnsi="Calibri"/>
                <w:b/>
                <w:bCs/>
                <w:color w:val="000000"/>
                <w:sz w:val="22"/>
                <w:szCs w:val="22"/>
                <w:lang w:eastAsia="cs-CZ"/>
              </w:rPr>
            </w:pPr>
            <w:r w:rsidRPr="008E5835">
              <w:rPr>
                <w:rFonts w:ascii="Calibri" w:hAnsi="Calibri"/>
                <w:b/>
                <w:bCs/>
                <w:color w:val="000000"/>
                <w:sz w:val="22"/>
                <w:szCs w:val="22"/>
                <w:lang w:eastAsia="cs-CZ"/>
              </w:rPr>
              <w:t>Celková nesprávnost vykázaných hodnot</w:t>
            </w:r>
          </w:p>
        </w:tc>
        <w:tc>
          <w:tcPr>
            <w:tcW w:w="1833" w:type="dxa"/>
            <w:tcBorders>
              <w:top w:val="nil"/>
              <w:left w:val="nil"/>
              <w:bottom w:val="single" w:sz="8" w:space="0" w:color="auto"/>
              <w:right w:val="single" w:sz="8" w:space="0" w:color="auto"/>
            </w:tcBorders>
            <w:shd w:val="clear" w:color="auto" w:fill="auto"/>
            <w:noWrap/>
            <w:vAlign w:val="center"/>
            <w:hideMark/>
          </w:tcPr>
          <w:p w14:paraId="5A82B388" w14:textId="77777777" w:rsidR="008A397B" w:rsidRPr="008E5835" w:rsidRDefault="008A397B" w:rsidP="00BE5F76">
            <w:pPr>
              <w:jc w:val="right"/>
              <w:rPr>
                <w:rFonts w:ascii="Calibri" w:hAnsi="Calibri"/>
                <w:b/>
                <w:bCs/>
                <w:color w:val="000000"/>
                <w:sz w:val="22"/>
                <w:szCs w:val="22"/>
                <w:lang w:eastAsia="cs-CZ"/>
              </w:rPr>
            </w:pPr>
            <w:r w:rsidRPr="0099143D">
              <w:rPr>
                <w:rFonts w:ascii="Calibri" w:hAnsi="Calibri"/>
                <w:b/>
                <w:bCs/>
                <w:color w:val="000000"/>
                <w:sz w:val="22"/>
                <w:szCs w:val="22"/>
                <w:lang w:eastAsia="cs-CZ"/>
              </w:rPr>
              <w:t>1 940,90</w:t>
            </w:r>
          </w:p>
        </w:tc>
        <w:tc>
          <w:tcPr>
            <w:tcW w:w="1833" w:type="dxa"/>
            <w:tcBorders>
              <w:top w:val="nil"/>
              <w:left w:val="nil"/>
              <w:bottom w:val="single" w:sz="8" w:space="0" w:color="auto"/>
              <w:right w:val="single" w:sz="8" w:space="0" w:color="auto"/>
            </w:tcBorders>
            <w:shd w:val="clear" w:color="auto" w:fill="auto"/>
            <w:noWrap/>
            <w:vAlign w:val="center"/>
            <w:hideMark/>
          </w:tcPr>
          <w:p w14:paraId="632E52A7" w14:textId="77777777" w:rsidR="008A397B" w:rsidRPr="008E5835" w:rsidRDefault="008A397B" w:rsidP="00BE5F76">
            <w:pPr>
              <w:jc w:val="right"/>
              <w:rPr>
                <w:rFonts w:ascii="Calibri" w:hAnsi="Calibri"/>
                <w:b/>
                <w:bCs/>
                <w:color w:val="000000"/>
                <w:sz w:val="22"/>
                <w:szCs w:val="22"/>
                <w:lang w:eastAsia="cs-CZ"/>
              </w:rPr>
            </w:pPr>
            <w:r w:rsidRPr="0099143D">
              <w:rPr>
                <w:rFonts w:ascii="Calibri" w:hAnsi="Calibri"/>
                <w:b/>
                <w:bCs/>
                <w:color w:val="000000"/>
                <w:sz w:val="22"/>
                <w:szCs w:val="22"/>
                <w:lang w:eastAsia="cs-CZ"/>
              </w:rPr>
              <w:t>3 011,47</w:t>
            </w:r>
          </w:p>
        </w:tc>
        <w:tc>
          <w:tcPr>
            <w:tcW w:w="1922" w:type="dxa"/>
            <w:tcBorders>
              <w:top w:val="nil"/>
              <w:left w:val="nil"/>
              <w:bottom w:val="single" w:sz="8" w:space="0" w:color="auto"/>
              <w:right w:val="single" w:sz="8" w:space="0" w:color="auto"/>
            </w:tcBorders>
            <w:shd w:val="clear" w:color="auto" w:fill="auto"/>
            <w:noWrap/>
            <w:vAlign w:val="center"/>
            <w:hideMark/>
          </w:tcPr>
          <w:p w14:paraId="0325C03D" w14:textId="77777777" w:rsidR="008A397B" w:rsidRPr="008E5835" w:rsidRDefault="008A397B" w:rsidP="00BE5F76">
            <w:pPr>
              <w:jc w:val="right"/>
              <w:rPr>
                <w:rFonts w:ascii="Calibri" w:hAnsi="Calibri"/>
                <w:b/>
                <w:bCs/>
                <w:color w:val="000000"/>
                <w:sz w:val="22"/>
                <w:szCs w:val="22"/>
                <w:lang w:eastAsia="cs-CZ"/>
              </w:rPr>
            </w:pPr>
            <w:r w:rsidRPr="0099143D">
              <w:rPr>
                <w:rFonts w:ascii="Calibri" w:hAnsi="Calibri"/>
                <w:b/>
                <w:bCs/>
                <w:color w:val="000000"/>
                <w:sz w:val="22"/>
                <w:szCs w:val="22"/>
                <w:lang w:eastAsia="cs-CZ"/>
              </w:rPr>
              <w:t>2 476,18</w:t>
            </w:r>
          </w:p>
        </w:tc>
      </w:tr>
    </w:tbl>
    <w:p w14:paraId="4949720D" w14:textId="439FC4DB" w:rsidR="008A397B" w:rsidRDefault="00B26363" w:rsidP="00F72DE4">
      <w:pPr>
        <w:spacing w:line="264" w:lineRule="auto"/>
        <w:jc w:val="both"/>
        <w:rPr>
          <w:rFonts w:asciiTheme="minorHAnsi" w:hAnsiTheme="minorHAnsi" w:cs="Calibri"/>
        </w:rPr>
      </w:pPr>
      <w:r w:rsidRPr="00C869E4">
        <w:rPr>
          <w:rFonts w:asciiTheme="minorHAnsi" w:hAnsiTheme="minorHAnsi" w:cstheme="minorHAnsi"/>
          <w:b/>
          <w:sz w:val="20"/>
          <w:szCs w:val="20"/>
          <w:lang w:eastAsia="cs-CZ"/>
        </w:rPr>
        <w:t>Zdroj:</w:t>
      </w:r>
      <w:r>
        <w:rPr>
          <w:rFonts w:asciiTheme="minorHAnsi" w:hAnsiTheme="minorHAnsi" w:cstheme="minorHAnsi"/>
          <w:sz w:val="20"/>
          <w:szCs w:val="20"/>
          <w:lang w:eastAsia="cs-CZ"/>
        </w:rPr>
        <w:t xml:space="preserve"> účetní závěrka </w:t>
      </w:r>
      <w:proofErr w:type="spellStart"/>
      <w:r>
        <w:rPr>
          <w:rFonts w:asciiTheme="minorHAnsi" w:hAnsiTheme="minorHAnsi" w:cstheme="minorHAnsi"/>
          <w:sz w:val="20"/>
          <w:szCs w:val="20"/>
          <w:lang w:eastAsia="cs-CZ"/>
        </w:rPr>
        <w:t>MSp</w:t>
      </w:r>
      <w:proofErr w:type="spellEnd"/>
      <w:r>
        <w:rPr>
          <w:rFonts w:asciiTheme="minorHAnsi" w:hAnsiTheme="minorHAnsi" w:cstheme="minorHAnsi"/>
          <w:sz w:val="20"/>
          <w:szCs w:val="20"/>
          <w:lang w:eastAsia="cs-CZ"/>
        </w:rPr>
        <w:t xml:space="preserve"> k 31. prosinci 2015, kontrolní činnost NKÚ.</w:t>
      </w:r>
    </w:p>
    <w:p w14:paraId="2B36243A" w14:textId="77777777" w:rsidR="00B26363" w:rsidRDefault="00B26363" w:rsidP="004803AA">
      <w:pPr>
        <w:jc w:val="both"/>
        <w:rPr>
          <w:rFonts w:ascii="Calibri" w:eastAsia="Calibri" w:hAnsi="Calibri" w:cs="Calibri"/>
        </w:rPr>
      </w:pPr>
    </w:p>
    <w:p w14:paraId="21A93DD5" w14:textId="634FF0C7" w:rsidR="004803AA" w:rsidRDefault="00BB495A" w:rsidP="004803AA">
      <w:pPr>
        <w:jc w:val="both"/>
        <w:rPr>
          <w:rFonts w:asciiTheme="minorHAnsi" w:hAnsiTheme="minorHAnsi" w:cs="Calibri"/>
          <w:b/>
        </w:rPr>
      </w:pPr>
      <w:r>
        <w:rPr>
          <w:rFonts w:ascii="Calibri" w:eastAsia="Calibri" w:hAnsi="Calibri" w:cs="Calibri"/>
        </w:rPr>
        <w:t xml:space="preserve">Jak vyplývá z tabulky č. 5, významné nesprávnosti </w:t>
      </w:r>
      <w:r>
        <w:rPr>
          <w:rFonts w:asciiTheme="minorHAnsi" w:hAnsiTheme="minorHAnsi" w:cs="Calibri"/>
        </w:rPr>
        <w:t>se vyskytují ve všech částech účetní závěrky a mají na účetní závěrku rozsáhlý dopad.</w:t>
      </w:r>
      <w:r w:rsidR="001F4F9E">
        <w:rPr>
          <w:rFonts w:asciiTheme="minorHAnsi" w:hAnsiTheme="minorHAnsi" w:cs="Calibri"/>
        </w:rPr>
        <w:t xml:space="preserve"> </w:t>
      </w:r>
      <w:r w:rsidR="004803AA" w:rsidRPr="00704AC3">
        <w:rPr>
          <w:rFonts w:asciiTheme="minorHAnsi" w:hAnsiTheme="minorHAnsi" w:cs="Calibri"/>
          <w:b/>
        </w:rPr>
        <w:t xml:space="preserve">Podle názoru </w:t>
      </w:r>
      <w:r w:rsidR="00704AC3" w:rsidRPr="00704AC3">
        <w:rPr>
          <w:rFonts w:asciiTheme="minorHAnsi" w:hAnsiTheme="minorHAnsi" w:cs="Calibri"/>
          <w:b/>
        </w:rPr>
        <w:t>NKÚ</w:t>
      </w:r>
      <w:r w:rsidR="004803AA" w:rsidRPr="00704AC3">
        <w:rPr>
          <w:rFonts w:asciiTheme="minorHAnsi" w:hAnsiTheme="minorHAnsi" w:cs="Calibri"/>
          <w:b/>
        </w:rPr>
        <w:t xml:space="preserve">, </w:t>
      </w:r>
      <w:r w:rsidR="00704AC3" w:rsidRPr="00704AC3">
        <w:rPr>
          <w:rFonts w:asciiTheme="minorHAnsi" w:hAnsiTheme="minorHAnsi" w:cs="Calibri"/>
          <w:b/>
        </w:rPr>
        <w:t>v</w:t>
      </w:r>
      <w:r w:rsidR="004803AA" w:rsidRPr="00704AC3">
        <w:rPr>
          <w:rFonts w:asciiTheme="minorHAnsi" w:hAnsiTheme="minorHAnsi" w:cs="Calibri"/>
          <w:b/>
        </w:rPr>
        <w:t xml:space="preserve">zhledem ke skutečnostem popsaným výše, účetní závěrka </w:t>
      </w:r>
      <w:proofErr w:type="spellStart"/>
      <w:r w:rsidR="004803AA" w:rsidRPr="00704AC3">
        <w:rPr>
          <w:rFonts w:asciiTheme="minorHAnsi" w:hAnsiTheme="minorHAnsi" w:cs="Calibri"/>
          <w:b/>
        </w:rPr>
        <w:t>MSp</w:t>
      </w:r>
      <w:proofErr w:type="spellEnd"/>
      <w:r w:rsidR="004803AA" w:rsidRPr="00D10B6A">
        <w:rPr>
          <w:rFonts w:asciiTheme="minorHAnsi" w:hAnsiTheme="minorHAnsi" w:cs="Calibri"/>
          <w:b/>
        </w:rPr>
        <w:t xml:space="preserve"> sestavená k 31. </w:t>
      </w:r>
      <w:r w:rsidR="00C90CCB">
        <w:rPr>
          <w:rFonts w:asciiTheme="minorHAnsi" w:hAnsiTheme="minorHAnsi" w:cs="Calibri"/>
          <w:b/>
        </w:rPr>
        <w:t>prosinci</w:t>
      </w:r>
      <w:r w:rsidR="004803AA" w:rsidRPr="00D10B6A">
        <w:rPr>
          <w:rFonts w:asciiTheme="minorHAnsi" w:hAnsiTheme="minorHAnsi" w:cs="Calibri"/>
          <w:b/>
        </w:rPr>
        <w:t xml:space="preserve"> 2015 nepodává věrný a poctivý obraz předmětu účetnictví a finanční situace účetní jednotky dle účetních předpisů pro některé vybrané účetní jednotky.</w:t>
      </w:r>
      <w:r w:rsidR="00403AE7">
        <w:rPr>
          <w:rFonts w:asciiTheme="minorHAnsi" w:hAnsiTheme="minorHAnsi" w:cs="Calibri"/>
          <w:b/>
        </w:rPr>
        <w:t xml:space="preserve"> </w:t>
      </w:r>
    </w:p>
    <w:p w14:paraId="74B5D770" w14:textId="77777777" w:rsidR="004803AA" w:rsidRDefault="004803AA" w:rsidP="004803AA">
      <w:pPr>
        <w:jc w:val="both"/>
        <w:rPr>
          <w:rFonts w:asciiTheme="minorHAnsi" w:hAnsiTheme="minorHAnsi" w:cs="Calibri"/>
          <w:b/>
        </w:rPr>
      </w:pPr>
    </w:p>
    <w:p w14:paraId="7F16D354" w14:textId="77777777" w:rsidR="00B11655" w:rsidRDefault="00B11655" w:rsidP="00B11655">
      <w:pPr>
        <w:jc w:val="both"/>
        <w:rPr>
          <w:rFonts w:asciiTheme="minorHAnsi" w:hAnsiTheme="minorHAnsi" w:cstheme="minorHAnsi"/>
        </w:rPr>
      </w:pPr>
      <w:r>
        <w:rPr>
          <w:rFonts w:asciiTheme="minorHAnsi" w:hAnsiTheme="minorHAnsi" w:cstheme="minorHAnsi"/>
        </w:rPr>
        <w:t xml:space="preserve">Zjištěné nesprávnosti v účetní závěrce </w:t>
      </w:r>
      <w:proofErr w:type="spellStart"/>
      <w:r>
        <w:rPr>
          <w:rFonts w:asciiTheme="minorHAnsi" w:hAnsiTheme="minorHAnsi" w:cstheme="minorHAnsi"/>
        </w:rPr>
        <w:t>M</w:t>
      </w:r>
      <w:r w:rsidR="002560A5">
        <w:rPr>
          <w:rFonts w:asciiTheme="minorHAnsi" w:hAnsiTheme="minorHAnsi" w:cstheme="minorHAnsi"/>
        </w:rPr>
        <w:t>S</w:t>
      </w:r>
      <w:r>
        <w:rPr>
          <w:rFonts w:asciiTheme="minorHAnsi" w:hAnsiTheme="minorHAnsi" w:cstheme="minorHAnsi"/>
        </w:rPr>
        <w:t>p</w:t>
      </w:r>
      <w:proofErr w:type="spellEnd"/>
      <w:r>
        <w:rPr>
          <w:rFonts w:asciiTheme="minorHAnsi" w:hAnsiTheme="minorHAnsi" w:cstheme="minorHAnsi"/>
        </w:rPr>
        <w:t xml:space="preserve"> ovlivní</w:t>
      </w:r>
      <w:r w:rsidRPr="001D1576">
        <w:rPr>
          <w:rFonts w:asciiTheme="minorHAnsi" w:hAnsiTheme="minorHAnsi" w:cstheme="minorHAnsi"/>
        </w:rPr>
        <w:t xml:space="preserve"> účetní vý</w:t>
      </w:r>
      <w:r w:rsidR="005A1645">
        <w:rPr>
          <w:rFonts w:asciiTheme="minorHAnsi" w:hAnsiTheme="minorHAnsi" w:cstheme="minorHAnsi"/>
        </w:rPr>
        <w:t>kazy za Českou republiku za rok </w:t>
      </w:r>
      <w:r w:rsidRPr="001D1576">
        <w:rPr>
          <w:rFonts w:asciiTheme="minorHAnsi" w:hAnsiTheme="minorHAnsi" w:cstheme="minorHAnsi"/>
        </w:rPr>
        <w:t xml:space="preserve">2015. </w:t>
      </w:r>
    </w:p>
    <w:p w14:paraId="29B6303C" w14:textId="77777777" w:rsidR="001D1576" w:rsidRPr="001D1576" w:rsidRDefault="001D1576" w:rsidP="00B11655">
      <w:pPr>
        <w:jc w:val="both"/>
        <w:rPr>
          <w:rFonts w:asciiTheme="minorHAnsi" w:hAnsiTheme="minorHAnsi" w:cstheme="minorHAnsi"/>
        </w:rPr>
      </w:pPr>
    </w:p>
    <w:p w14:paraId="4D6524DE" w14:textId="21AFB013" w:rsidR="00B11655" w:rsidRPr="001D1576" w:rsidRDefault="00D80B31" w:rsidP="00B11655">
      <w:pPr>
        <w:jc w:val="both"/>
        <w:rPr>
          <w:rFonts w:asciiTheme="minorHAnsi" w:hAnsiTheme="minorHAnsi" w:cstheme="minorHAnsi"/>
        </w:rPr>
      </w:pPr>
      <w:r>
        <w:rPr>
          <w:rFonts w:asciiTheme="minorHAnsi" w:hAnsiTheme="minorHAnsi" w:cstheme="minorHAnsi"/>
        </w:rPr>
        <w:t xml:space="preserve">Více </w:t>
      </w:r>
      <w:r w:rsidR="006774B7">
        <w:rPr>
          <w:rFonts w:asciiTheme="minorHAnsi" w:hAnsiTheme="minorHAnsi" w:cstheme="minorHAnsi"/>
        </w:rPr>
        <w:t>než</w:t>
      </w:r>
      <w:r>
        <w:rPr>
          <w:rFonts w:asciiTheme="minorHAnsi" w:hAnsiTheme="minorHAnsi" w:cstheme="minorHAnsi"/>
        </w:rPr>
        <w:t xml:space="preserve"> polovinu </w:t>
      </w:r>
      <w:r w:rsidR="00146EEE">
        <w:rPr>
          <w:rFonts w:asciiTheme="minorHAnsi" w:hAnsiTheme="minorHAnsi" w:cstheme="minorHAnsi"/>
        </w:rPr>
        <w:t>částky</w:t>
      </w:r>
      <w:r>
        <w:rPr>
          <w:rFonts w:asciiTheme="minorHAnsi" w:hAnsiTheme="minorHAnsi" w:cstheme="minorHAnsi"/>
        </w:rPr>
        <w:t xml:space="preserve"> zjištěných </w:t>
      </w:r>
      <w:r w:rsidR="00951B83">
        <w:rPr>
          <w:rFonts w:asciiTheme="minorHAnsi" w:hAnsiTheme="minorHAnsi" w:cstheme="minorHAnsi"/>
        </w:rPr>
        <w:t xml:space="preserve">celkových </w:t>
      </w:r>
      <w:r>
        <w:rPr>
          <w:rFonts w:asciiTheme="minorHAnsi" w:hAnsiTheme="minorHAnsi" w:cstheme="minorHAnsi"/>
        </w:rPr>
        <w:t>nesprávností</w:t>
      </w:r>
      <w:r w:rsidR="00951B83">
        <w:rPr>
          <w:rFonts w:asciiTheme="minorHAnsi" w:hAnsiTheme="minorHAnsi" w:cstheme="minorHAnsi"/>
        </w:rPr>
        <w:t xml:space="preserve"> (1 343,68 mil. Kč)</w:t>
      </w:r>
      <w:r>
        <w:rPr>
          <w:rFonts w:asciiTheme="minorHAnsi" w:hAnsiTheme="minorHAnsi" w:cstheme="minorHAnsi"/>
        </w:rPr>
        <w:t xml:space="preserve"> tvoří hodnota nevykázaných podmíněných závazků. </w:t>
      </w:r>
      <w:r w:rsidR="00B11655" w:rsidRPr="001D1576">
        <w:rPr>
          <w:rFonts w:asciiTheme="minorHAnsi" w:hAnsiTheme="minorHAnsi" w:cstheme="minorHAnsi"/>
        </w:rPr>
        <w:t>Vykázání</w:t>
      </w:r>
      <w:r w:rsidR="00846D65">
        <w:rPr>
          <w:rFonts w:asciiTheme="minorHAnsi" w:hAnsiTheme="minorHAnsi" w:cstheme="minorHAnsi"/>
        </w:rPr>
        <w:t>m</w:t>
      </w:r>
      <w:r w:rsidR="00B11655" w:rsidRPr="001D1576">
        <w:rPr>
          <w:rFonts w:asciiTheme="minorHAnsi" w:hAnsiTheme="minorHAnsi" w:cstheme="minorHAnsi"/>
        </w:rPr>
        <w:t xml:space="preserve"> nesprávných konečných zůstatků účtů podmíněných závazků je podávána nesprávná informace o nárocích na budoucí rozpočty</w:t>
      </w:r>
      <w:r w:rsidR="00ED6BD6">
        <w:rPr>
          <w:rStyle w:val="Znakapoznpodarou"/>
          <w:rFonts w:asciiTheme="minorHAnsi" w:hAnsiTheme="minorHAnsi" w:cstheme="minorHAnsi"/>
        </w:rPr>
        <w:footnoteReference w:id="7"/>
      </w:r>
      <w:r w:rsidR="00B11655" w:rsidRPr="001D1576">
        <w:rPr>
          <w:rFonts w:asciiTheme="minorHAnsi" w:hAnsiTheme="minorHAnsi" w:cstheme="minorHAnsi"/>
        </w:rPr>
        <w:t>.</w:t>
      </w:r>
      <w:r>
        <w:rPr>
          <w:rFonts w:asciiTheme="minorHAnsi" w:hAnsiTheme="minorHAnsi" w:cstheme="minorHAnsi"/>
        </w:rPr>
        <w:t xml:space="preserve"> Informace o podmíněných závazcích jsou významné z hlediska rozsahu</w:t>
      </w:r>
      <w:r w:rsidR="006774B7">
        <w:rPr>
          <w:rFonts w:asciiTheme="minorHAnsi" w:hAnsiTheme="minorHAnsi" w:cstheme="minorHAnsi"/>
        </w:rPr>
        <w:t>.</w:t>
      </w:r>
      <w:r w:rsidR="005A4589">
        <w:rPr>
          <w:rStyle w:val="Znakapoznpodarou"/>
          <w:rFonts w:asciiTheme="minorHAnsi" w:hAnsiTheme="minorHAnsi" w:cstheme="minorHAnsi"/>
        </w:rPr>
        <w:footnoteReference w:id="8"/>
      </w:r>
      <w:r>
        <w:rPr>
          <w:rFonts w:asciiTheme="minorHAnsi" w:hAnsiTheme="minorHAnsi" w:cstheme="minorHAnsi"/>
        </w:rPr>
        <w:t xml:space="preserve"> Při kontrolách NKÚ jsou v této oblasti zjišťovány významné nedostatky</w:t>
      </w:r>
      <w:r w:rsidR="006774B7">
        <w:rPr>
          <w:rFonts w:asciiTheme="minorHAnsi" w:hAnsiTheme="minorHAnsi" w:cstheme="minorHAnsi"/>
        </w:rPr>
        <w:t>.</w:t>
      </w:r>
      <w:r w:rsidR="005A4589">
        <w:rPr>
          <w:rStyle w:val="Znakapoznpodarou"/>
          <w:rFonts w:asciiTheme="minorHAnsi" w:hAnsiTheme="minorHAnsi" w:cstheme="minorHAnsi"/>
        </w:rPr>
        <w:footnoteReference w:id="9"/>
      </w:r>
    </w:p>
    <w:p w14:paraId="3C4445E5" w14:textId="77777777" w:rsidR="00456C64" w:rsidRDefault="00456C64" w:rsidP="00C869E4">
      <w:pPr>
        <w:jc w:val="both"/>
        <w:rPr>
          <w:rFonts w:asciiTheme="minorHAnsi" w:hAnsiTheme="minorHAnsi" w:cs="Calibri"/>
          <w:b/>
        </w:rPr>
      </w:pPr>
    </w:p>
    <w:p w14:paraId="223A3597" w14:textId="77777777" w:rsidR="00BB495A" w:rsidRDefault="00BB495A" w:rsidP="001F4F9E">
      <w:pPr>
        <w:spacing w:after="60"/>
        <w:jc w:val="both"/>
        <w:rPr>
          <w:rFonts w:asciiTheme="minorHAnsi" w:hAnsiTheme="minorHAnsi" w:cs="Calibri"/>
          <w:b/>
        </w:rPr>
      </w:pPr>
      <w:r>
        <w:rPr>
          <w:rFonts w:asciiTheme="minorHAnsi" w:hAnsiTheme="minorHAnsi" w:cs="Calibri"/>
          <w:b/>
        </w:rPr>
        <w:t>Správní delikty</w:t>
      </w:r>
    </w:p>
    <w:p w14:paraId="2E269BB4" w14:textId="6C028524" w:rsidR="00BB495A" w:rsidRPr="001F4F9E" w:rsidRDefault="00BB495A" w:rsidP="00C869E4">
      <w:pPr>
        <w:spacing w:after="120"/>
        <w:jc w:val="both"/>
        <w:rPr>
          <w:rFonts w:asciiTheme="minorHAnsi" w:hAnsiTheme="minorHAnsi" w:cs="Calibri"/>
        </w:rPr>
      </w:pPr>
      <w:r w:rsidRPr="001F4F9E">
        <w:rPr>
          <w:rFonts w:asciiTheme="minorHAnsi" w:hAnsiTheme="minorHAnsi" w:cs="Calibri"/>
        </w:rPr>
        <w:t>Vedení účetnictví v rozporu s</w:t>
      </w:r>
      <w:r w:rsidR="00F9698C">
        <w:rPr>
          <w:rFonts w:asciiTheme="minorHAnsi" w:hAnsiTheme="minorHAnsi" w:cs="Calibri"/>
        </w:rPr>
        <w:t xml:space="preserve"> ustanovením </w:t>
      </w:r>
      <w:r w:rsidRPr="001F4F9E">
        <w:rPr>
          <w:rFonts w:asciiTheme="minorHAnsi" w:hAnsiTheme="minorHAnsi" w:cs="Calibri"/>
        </w:rPr>
        <w:t>§ 8 odst. 2 zákona o účetnictví, který požaduje, aby účetnictví bylo vedeno takovým způsobem, aby to neodporovalo tomuto zákonu a ostatním právním předpisům ani neobcházelo jejich účel, je dle ustanovení § 37a odst. 1 písm. d) tohoto zákona správním deliktem.</w:t>
      </w:r>
    </w:p>
    <w:p w14:paraId="1A300490" w14:textId="11293752" w:rsidR="00BB495A" w:rsidRPr="001F4F9E" w:rsidRDefault="00BB495A" w:rsidP="00BB495A">
      <w:pPr>
        <w:jc w:val="both"/>
        <w:rPr>
          <w:rFonts w:asciiTheme="minorHAnsi" w:hAnsiTheme="minorHAnsi" w:cs="Calibri"/>
        </w:rPr>
      </w:pPr>
      <w:r w:rsidRPr="001F4F9E">
        <w:rPr>
          <w:rFonts w:asciiTheme="minorHAnsi" w:hAnsiTheme="minorHAnsi" w:cs="Calibri"/>
        </w:rPr>
        <w:t>Vedení účetnictví v rozporu s</w:t>
      </w:r>
      <w:r w:rsidR="00541CA8">
        <w:rPr>
          <w:rFonts w:asciiTheme="minorHAnsi" w:hAnsiTheme="minorHAnsi" w:cs="Calibri"/>
        </w:rPr>
        <w:t xml:space="preserve"> ustanovením </w:t>
      </w:r>
      <w:r w:rsidRPr="001F4F9E">
        <w:rPr>
          <w:rFonts w:asciiTheme="minorHAnsi" w:hAnsiTheme="minorHAnsi" w:cs="Calibri"/>
        </w:rPr>
        <w:t xml:space="preserve">§ 7 odst. 1 zákona o účetnictví, </w:t>
      </w:r>
      <w:r w:rsidR="00B060B4">
        <w:rPr>
          <w:rFonts w:asciiTheme="minorHAnsi" w:hAnsiTheme="minorHAnsi" w:cs="Calibri"/>
        </w:rPr>
        <w:t>kde je požadováno</w:t>
      </w:r>
      <w:r w:rsidRPr="001F4F9E">
        <w:rPr>
          <w:rFonts w:asciiTheme="minorHAnsi" w:hAnsiTheme="minorHAnsi" w:cs="Calibri"/>
        </w:rPr>
        <w:t>, aby účetnictví bylo vedeno takovým způsobem, aby účetní závěrka sestavená na jeho základě podávala věrný a poctivý obraz předmětu účetnictví a finanční situace účetní jednotky, je dle ustanovení § 37a odst. 1 písm. c) tohoto zákona správním deliktem.</w:t>
      </w:r>
    </w:p>
    <w:p w14:paraId="3F2BB652" w14:textId="77777777" w:rsidR="00BB495A" w:rsidRDefault="00BB495A" w:rsidP="004803AA">
      <w:pPr>
        <w:jc w:val="both"/>
        <w:rPr>
          <w:rFonts w:asciiTheme="minorHAnsi" w:hAnsiTheme="minorHAnsi" w:cs="Calibri"/>
          <w:b/>
        </w:rPr>
      </w:pPr>
    </w:p>
    <w:p w14:paraId="0AFE2F80" w14:textId="18CFB8F5" w:rsidR="003222FF" w:rsidRPr="00C869E4" w:rsidRDefault="003222FF" w:rsidP="004803AA">
      <w:pPr>
        <w:jc w:val="both"/>
        <w:rPr>
          <w:rFonts w:asciiTheme="minorHAnsi" w:hAnsiTheme="minorHAnsi" w:cstheme="minorHAnsi"/>
          <w:bCs/>
          <w:szCs w:val="22"/>
        </w:rPr>
      </w:pPr>
      <w:r>
        <w:rPr>
          <w:rFonts w:asciiTheme="minorHAnsi" w:hAnsiTheme="minorHAnsi" w:cs="Calibri"/>
          <w:b/>
        </w:rPr>
        <w:t xml:space="preserve">Při kontrole bylo také zjištěno, že </w:t>
      </w:r>
      <w:proofErr w:type="spellStart"/>
      <w:r>
        <w:rPr>
          <w:rFonts w:asciiTheme="minorHAnsi" w:hAnsiTheme="minorHAnsi" w:cs="Calibri"/>
          <w:b/>
        </w:rPr>
        <w:t>MSp</w:t>
      </w:r>
      <w:proofErr w:type="spellEnd"/>
      <w:r>
        <w:rPr>
          <w:rFonts w:asciiTheme="minorHAnsi" w:hAnsiTheme="minorHAnsi" w:cs="Calibri"/>
          <w:b/>
        </w:rPr>
        <w:t xml:space="preserve"> v roce 2015 porušilo ustanovení § 45 odst. 2 zákona č. 218/2000 Sb.</w:t>
      </w:r>
      <w:r w:rsidRPr="003222FF">
        <w:rPr>
          <w:rFonts w:asciiTheme="minorHAnsi" w:hAnsiTheme="minorHAnsi" w:cs="Calibri"/>
        </w:rPr>
        <w:t xml:space="preserve">, o rozpočtových pravidlech a o změně některých souvisejících zákonů (rozpočtová pravidla), neboť prostředky, kterými disponovalo, nepoužilo na krytí nezbytných potřeb a na opatření zakládající se na právních předpisech, když poskytlo dobrovolný příspěvek </w:t>
      </w:r>
      <w:r w:rsidR="005721BC">
        <w:rPr>
          <w:rFonts w:asciiTheme="minorHAnsi" w:hAnsiTheme="minorHAnsi" w:cs="Calibri"/>
        </w:rPr>
        <w:t>do zahraničí</w:t>
      </w:r>
      <w:r w:rsidR="00AE27A2">
        <w:rPr>
          <w:rFonts w:asciiTheme="minorHAnsi" w:hAnsiTheme="minorHAnsi" w:cs="Calibri"/>
        </w:rPr>
        <w:t xml:space="preserve"> ve výši 543 100 Kč</w:t>
      </w:r>
      <w:r w:rsidRPr="003222FF">
        <w:rPr>
          <w:rFonts w:asciiTheme="minorHAnsi" w:hAnsiTheme="minorHAnsi" w:cs="Calibri"/>
        </w:rPr>
        <w:t xml:space="preserve"> bez předchozího souhlasu vlády</w:t>
      </w:r>
      <w:r w:rsidR="005721BC">
        <w:rPr>
          <w:rFonts w:asciiTheme="minorHAnsi" w:hAnsiTheme="minorHAnsi" w:cs="Calibri"/>
        </w:rPr>
        <w:t>, který je v takovém případě dle ustanovení § 7 odst. 2 zákona č. 218/2000 Sb. nezbytný</w:t>
      </w:r>
      <w:r w:rsidRPr="003222FF">
        <w:rPr>
          <w:rFonts w:asciiTheme="minorHAnsi" w:hAnsiTheme="minorHAnsi" w:cs="Calibri"/>
        </w:rPr>
        <w:t xml:space="preserve">. </w:t>
      </w:r>
      <w:r w:rsidR="005721BC">
        <w:rPr>
          <w:rFonts w:asciiTheme="minorHAnsi" w:hAnsiTheme="minorHAnsi" w:cs="Calibri"/>
          <w:b/>
        </w:rPr>
        <w:t>P</w:t>
      </w:r>
      <w:r>
        <w:rPr>
          <w:rFonts w:asciiTheme="minorHAnsi" w:hAnsiTheme="minorHAnsi" w:cs="Calibri"/>
          <w:b/>
        </w:rPr>
        <w:t xml:space="preserve">orušení </w:t>
      </w:r>
      <w:r w:rsidR="00F9698C">
        <w:rPr>
          <w:rFonts w:asciiTheme="minorHAnsi" w:hAnsiTheme="minorHAnsi" w:cs="Calibri"/>
          <w:b/>
        </w:rPr>
        <w:t xml:space="preserve">ustanovení </w:t>
      </w:r>
      <w:r w:rsidR="00836AFE">
        <w:rPr>
          <w:rFonts w:asciiTheme="minorHAnsi" w:hAnsiTheme="minorHAnsi" w:cs="Calibri"/>
          <w:b/>
        </w:rPr>
        <w:t>§ </w:t>
      </w:r>
      <w:r>
        <w:rPr>
          <w:rFonts w:asciiTheme="minorHAnsi" w:hAnsiTheme="minorHAnsi" w:cs="Calibri"/>
          <w:b/>
        </w:rPr>
        <w:t xml:space="preserve">45 odst. 2 tohoto zákona </w:t>
      </w:r>
      <w:r w:rsidR="005721BC">
        <w:rPr>
          <w:rFonts w:asciiTheme="minorHAnsi" w:hAnsiTheme="minorHAnsi" w:cs="Calibri"/>
          <w:b/>
        </w:rPr>
        <w:t xml:space="preserve">je dle ustanovení § 44 odst. 1 písm. </w:t>
      </w:r>
      <w:r w:rsidR="00C10E1A">
        <w:rPr>
          <w:rFonts w:asciiTheme="minorHAnsi" w:hAnsiTheme="minorHAnsi" w:cs="Calibri"/>
          <w:b/>
        </w:rPr>
        <w:t>f</w:t>
      </w:r>
      <w:r w:rsidR="005721BC">
        <w:rPr>
          <w:rFonts w:asciiTheme="minorHAnsi" w:hAnsiTheme="minorHAnsi" w:cs="Calibri"/>
          <w:b/>
        </w:rPr>
        <w:t>) zákona č. 218/2000 Sb. porušením</w:t>
      </w:r>
      <w:r>
        <w:rPr>
          <w:rFonts w:asciiTheme="minorHAnsi" w:hAnsiTheme="minorHAnsi" w:cs="Calibri"/>
          <w:b/>
        </w:rPr>
        <w:t xml:space="preserve"> rozpočtové kázně</w:t>
      </w:r>
      <w:r w:rsidR="00A06E12">
        <w:rPr>
          <w:rFonts w:asciiTheme="minorHAnsi" w:hAnsiTheme="minorHAnsi" w:cs="Calibri"/>
          <w:b/>
        </w:rPr>
        <w:t xml:space="preserve"> </w:t>
      </w:r>
      <w:r w:rsidR="00A06E12" w:rsidRPr="00A06E12">
        <w:rPr>
          <w:rFonts w:asciiTheme="minorHAnsi" w:hAnsiTheme="minorHAnsi" w:cs="Calibri"/>
        </w:rPr>
        <w:t>(viz část III.2</w:t>
      </w:r>
      <w:r w:rsidR="006774B7">
        <w:rPr>
          <w:rFonts w:asciiTheme="minorHAnsi" w:hAnsiTheme="minorHAnsi" w:cs="Calibri"/>
        </w:rPr>
        <w:t>.</w:t>
      </w:r>
      <w:r w:rsidR="00A06E12" w:rsidRPr="00A06E12">
        <w:rPr>
          <w:rFonts w:asciiTheme="minorHAnsi" w:hAnsiTheme="minorHAnsi" w:cs="Calibri"/>
        </w:rPr>
        <w:t xml:space="preserve"> tohoto kontrolního závěru)</w:t>
      </w:r>
      <w:r w:rsidRPr="00A06E12">
        <w:rPr>
          <w:rFonts w:asciiTheme="minorHAnsi" w:hAnsiTheme="minorHAnsi" w:cs="Calibri"/>
        </w:rPr>
        <w:t>.</w:t>
      </w:r>
    </w:p>
    <w:p w14:paraId="5470EE75" w14:textId="77777777" w:rsidR="00FD4822" w:rsidRPr="001C4A4A" w:rsidRDefault="00FD4822" w:rsidP="00F72DE4">
      <w:pPr>
        <w:spacing w:line="264" w:lineRule="auto"/>
        <w:jc w:val="both"/>
        <w:rPr>
          <w:rFonts w:ascii="Calibri" w:eastAsia="Calibri" w:hAnsi="Calibri" w:cs="Calibri"/>
          <w:highlight w:val="yellow"/>
        </w:rPr>
      </w:pPr>
    </w:p>
    <w:p w14:paraId="0B78D7BF" w14:textId="77777777" w:rsidR="00F72DE4" w:rsidRPr="00CD1A95" w:rsidRDefault="00F72DE4" w:rsidP="00F72DE4">
      <w:pPr>
        <w:jc w:val="center"/>
        <w:rPr>
          <w:rFonts w:asciiTheme="minorHAnsi" w:hAnsiTheme="minorHAnsi" w:cstheme="minorHAnsi"/>
          <w:b/>
          <w:highlight w:val="yellow"/>
        </w:rPr>
      </w:pPr>
    </w:p>
    <w:p w14:paraId="35F97AAD" w14:textId="77777777" w:rsidR="00F72DE4" w:rsidRPr="009F7136" w:rsidRDefault="00F72DE4" w:rsidP="00F72DE4">
      <w:pPr>
        <w:jc w:val="center"/>
        <w:rPr>
          <w:rFonts w:asciiTheme="minorHAnsi" w:hAnsiTheme="minorHAnsi" w:cstheme="minorHAnsi"/>
          <w:b/>
          <w:sz w:val="28"/>
          <w:szCs w:val="28"/>
        </w:rPr>
      </w:pPr>
      <w:r w:rsidRPr="009F7136">
        <w:rPr>
          <w:rFonts w:asciiTheme="minorHAnsi" w:hAnsiTheme="minorHAnsi" w:cstheme="minorHAnsi"/>
          <w:b/>
          <w:sz w:val="28"/>
          <w:szCs w:val="28"/>
        </w:rPr>
        <w:t>III. Podrobné informace ke zjištěným skutečnostem</w:t>
      </w:r>
    </w:p>
    <w:p w14:paraId="3EE412D8" w14:textId="77777777" w:rsidR="00F72DE4" w:rsidRPr="001C4A4A" w:rsidRDefault="00F72DE4" w:rsidP="00F72DE4">
      <w:pPr>
        <w:jc w:val="both"/>
        <w:rPr>
          <w:rFonts w:asciiTheme="minorHAnsi" w:hAnsiTheme="minorHAnsi" w:cs="Calibri"/>
          <w:highlight w:val="yellow"/>
        </w:rPr>
      </w:pPr>
    </w:p>
    <w:p w14:paraId="5F019B97" w14:textId="05AEE23B" w:rsidR="00F72DE4" w:rsidRPr="009F7136" w:rsidRDefault="00F72DE4" w:rsidP="00F72DE4">
      <w:pPr>
        <w:pStyle w:val="NormlnKZ"/>
        <w:ind w:firstLine="0"/>
        <w:rPr>
          <w:rFonts w:asciiTheme="minorHAnsi" w:hAnsiTheme="minorHAnsi" w:cstheme="minorHAnsi"/>
          <w:b/>
          <w:sz w:val="24"/>
        </w:rPr>
      </w:pPr>
      <w:r w:rsidRPr="009F7136">
        <w:rPr>
          <w:rFonts w:asciiTheme="minorHAnsi" w:hAnsiTheme="minorHAnsi" w:cs="Calibri"/>
          <w:b/>
          <w:sz w:val="24"/>
          <w:lang w:eastAsia="en-US"/>
        </w:rPr>
        <w:t>1</w:t>
      </w:r>
      <w:r w:rsidR="00F470EA">
        <w:rPr>
          <w:rFonts w:asciiTheme="minorHAnsi" w:hAnsiTheme="minorHAnsi" w:cs="Calibri"/>
          <w:b/>
          <w:sz w:val="24"/>
          <w:lang w:eastAsia="en-US"/>
        </w:rPr>
        <w:t>.</w:t>
      </w:r>
      <w:r w:rsidRPr="00C869E4">
        <w:rPr>
          <w:rFonts w:asciiTheme="minorHAnsi" w:hAnsiTheme="minorHAnsi" w:cstheme="minorHAnsi"/>
          <w:sz w:val="24"/>
          <w:lang w:eastAsia="en-US"/>
        </w:rPr>
        <w:t xml:space="preserve"> </w:t>
      </w:r>
      <w:r w:rsidRPr="009F7136">
        <w:rPr>
          <w:rFonts w:asciiTheme="minorHAnsi" w:hAnsiTheme="minorHAnsi" w:cstheme="minorHAnsi"/>
          <w:b/>
          <w:sz w:val="24"/>
        </w:rPr>
        <w:t>Nesprávnosti v účetní závěrce a hlavní příčiny těchto nesprávností</w:t>
      </w:r>
    </w:p>
    <w:p w14:paraId="5BBAC738" w14:textId="121BEC36" w:rsidR="00F72DE4" w:rsidRPr="009F7136" w:rsidRDefault="00F72DE4" w:rsidP="00F72DE4">
      <w:pPr>
        <w:pStyle w:val="NormlnKZ"/>
        <w:spacing w:after="0"/>
        <w:ind w:firstLine="0"/>
        <w:rPr>
          <w:rFonts w:asciiTheme="minorHAnsi" w:hAnsiTheme="minorHAnsi" w:cstheme="minorHAnsi"/>
          <w:sz w:val="24"/>
        </w:rPr>
      </w:pPr>
      <w:r w:rsidRPr="009F7136">
        <w:rPr>
          <w:rFonts w:asciiTheme="minorHAnsi" w:hAnsiTheme="minorHAnsi" w:cstheme="minorHAnsi"/>
          <w:spacing w:val="-2"/>
          <w:sz w:val="24"/>
        </w:rPr>
        <w:t>Kontrolou byly zjištěny nesprávnosti dle jednotlivých položek ÚZ v návaznosti na jejich obsahové</w:t>
      </w:r>
      <w:r w:rsidRPr="009F7136">
        <w:rPr>
          <w:rFonts w:asciiTheme="minorHAnsi" w:hAnsiTheme="minorHAnsi" w:cstheme="minorHAnsi"/>
          <w:sz w:val="24"/>
        </w:rPr>
        <w:t xml:space="preserve"> vymezení podle vyhlášky č. 410/2009 Sb., </w:t>
      </w:r>
      <w:r w:rsidR="00330594">
        <w:rPr>
          <w:rFonts w:asciiTheme="minorHAnsi" w:hAnsiTheme="minorHAnsi" w:cstheme="minorHAnsi"/>
          <w:sz w:val="24"/>
        </w:rPr>
        <w:t>kterou se provádějí někt</w:t>
      </w:r>
      <w:r w:rsidR="00541CA8">
        <w:rPr>
          <w:rFonts w:asciiTheme="minorHAnsi" w:hAnsiTheme="minorHAnsi" w:cstheme="minorHAnsi"/>
          <w:sz w:val="24"/>
        </w:rPr>
        <w:t>erá ustanovení zákona č. </w:t>
      </w:r>
      <w:r w:rsidR="00330594">
        <w:rPr>
          <w:rFonts w:asciiTheme="minorHAnsi" w:hAnsiTheme="minorHAnsi" w:cstheme="minorHAnsi"/>
          <w:sz w:val="24"/>
        </w:rPr>
        <w:t xml:space="preserve">563/1991 Sb., o účetnictví, ve znění pozdějších předpisů, pro některé vybrané účetní jednotky. Tyto nesprávnosti vznikly </w:t>
      </w:r>
      <w:r w:rsidRPr="009F7136">
        <w:rPr>
          <w:rFonts w:asciiTheme="minorHAnsi" w:hAnsiTheme="minorHAnsi" w:cstheme="minorHAnsi"/>
          <w:sz w:val="24"/>
        </w:rPr>
        <w:t>v důsledku nesp</w:t>
      </w:r>
      <w:r w:rsidR="00541CA8">
        <w:rPr>
          <w:rFonts w:asciiTheme="minorHAnsi" w:hAnsiTheme="minorHAnsi" w:cstheme="minorHAnsi"/>
          <w:sz w:val="24"/>
        </w:rPr>
        <w:t>rávné aplikace účetních metod a </w:t>
      </w:r>
      <w:r w:rsidR="00330594">
        <w:rPr>
          <w:rFonts w:asciiTheme="minorHAnsi" w:hAnsiTheme="minorHAnsi" w:cstheme="minorHAnsi"/>
          <w:sz w:val="24"/>
        </w:rPr>
        <w:t xml:space="preserve">v důsledku </w:t>
      </w:r>
      <w:r w:rsidRPr="009F7136">
        <w:rPr>
          <w:rFonts w:asciiTheme="minorHAnsi" w:hAnsiTheme="minorHAnsi" w:cstheme="minorHAnsi"/>
          <w:sz w:val="24"/>
        </w:rPr>
        <w:t xml:space="preserve">nedodržení </w:t>
      </w:r>
      <w:r w:rsidR="00EB7366">
        <w:rPr>
          <w:rFonts w:asciiTheme="minorHAnsi" w:hAnsiTheme="minorHAnsi" w:cstheme="minorHAnsi"/>
          <w:sz w:val="24"/>
        </w:rPr>
        <w:t>některých</w:t>
      </w:r>
      <w:r w:rsidRPr="009F7136">
        <w:rPr>
          <w:rFonts w:asciiTheme="minorHAnsi" w:hAnsiTheme="minorHAnsi" w:cstheme="minorHAnsi"/>
          <w:sz w:val="24"/>
        </w:rPr>
        <w:t xml:space="preserve"> podmínek vedení účetnictví stanovených právními předpisy. V</w:t>
      </w:r>
      <w:r w:rsidR="00EB7366">
        <w:rPr>
          <w:rFonts w:asciiTheme="minorHAnsi" w:hAnsiTheme="minorHAnsi" w:cstheme="minorHAnsi"/>
          <w:sz w:val="24"/>
        </w:rPr>
        <w:t> následujících částech kontrolního závěru</w:t>
      </w:r>
      <w:r w:rsidRPr="009F7136">
        <w:rPr>
          <w:rFonts w:asciiTheme="minorHAnsi" w:hAnsiTheme="minorHAnsi" w:cstheme="minorHAnsi"/>
          <w:sz w:val="24"/>
        </w:rPr>
        <w:t xml:space="preserve"> jsou uvedena některá významná zjištění s vlivem na ÚZ.</w:t>
      </w:r>
    </w:p>
    <w:p w14:paraId="2779A79B" w14:textId="77777777" w:rsidR="00F72DE4" w:rsidRPr="00C869E4" w:rsidRDefault="00F72DE4" w:rsidP="00F72DE4">
      <w:pPr>
        <w:rPr>
          <w:rFonts w:asciiTheme="minorHAnsi" w:hAnsiTheme="minorHAnsi" w:cstheme="minorHAnsi"/>
          <w:b/>
          <w:highlight w:val="yellow"/>
        </w:rPr>
      </w:pPr>
    </w:p>
    <w:p w14:paraId="011FAD3E" w14:textId="77777777" w:rsidR="0064327F" w:rsidRPr="001F4F9E" w:rsidRDefault="00B95FEF" w:rsidP="00731317">
      <w:pPr>
        <w:pStyle w:val="Odstavecseseznamem"/>
        <w:numPr>
          <w:ilvl w:val="1"/>
          <w:numId w:val="47"/>
        </w:numPr>
        <w:spacing w:before="40" w:after="120"/>
        <w:jc w:val="both"/>
        <w:rPr>
          <w:rFonts w:ascii="Calibri" w:hAnsi="Calibri" w:cs="Calibri"/>
          <w:b/>
          <w:lang w:eastAsia="cs-CZ"/>
        </w:rPr>
      </w:pPr>
      <w:r w:rsidRPr="001F4F9E">
        <w:rPr>
          <w:rFonts w:ascii="Calibri" w:hAnsi="Calibri" w:cs="Calibri"/>
          <w:b/>
          <w:lang w:eastAsia="cs-CZ"/>
        </w:rPr>
        <w:t>Odpisování</w:t>
      </w:r>
      <w:r w:rsidR="00846D65" w:rsidRPr="001F4F9E">
        <w:rPr>
          <w:rFonts w:ascii="Calibri" w:hAnsi="Calibri" w:cs="Calibri"/>
          <w:b/>
          <w:lang w:eastAsia="cs-CZ"/>
        </w:rPr>
        <w:t xml:space="preserve"> dlouhodobého majetku</w:t>
      </w:r>
    </w:p>
    <w:p w14:paraId="3745E563" w14:textId="77777777" w:rsidR="001D1576" w:rsidRPr="001D1576" w:rsidRDefault="001D1576" w:rsidP="001D1576">
      <w:pPr>
        <w:pStyle w:val="Odstavecseseznamem"/>
        <w:spacing w:before="40" w:after="120"/>
        <w:ind w:left="360"/>
        <w:jc w:val="both"/>
        <w:rPr>
          <w:rFonts w:ascii="Calibri" w:hAnsi="Calibri" w:cs="Calibri"/>
          <w:b/>
          <w:lang w:eastAsia="cs-CZ"/>
        </w:rPr>
      </w:pPr>
    </w:p>
    <w:p w14:paraId="0F7DD3D9" w14:textId="77777777" w:rsidR="0064327F" w:rsidRPr="001D1576" w:rsidRDefault="0064327F" w:rsidP="001D1576">
      <w:pPr>
        <w:pStyle w:val="Odstavecseseznamem"/>
        <w:numPr>
          <w:ilvl w:val="0"/>
          <w:numId w:val="42"/>
        </w:numPr>
        <w:spacing w:before="40" w:after="120"/>
        <w:jc w:val="both"/>
        <w:rPr>
          <w:rFonts w:ascii="Calibri" w:hAnsi="Calibri" w:cs="Calibri"/>
          <w:b/>
          <w:lang w:eastAsia="cs-CZ"/>
        </w:rPr>
      </w:pPr>
      <w:r>
        <w:rPr>
          <w:rFonts w:ascii="Calibri" w:hAnsi="Calibri" w:cs="Calibri"/>
          <w:b/>
          <w:lang w:eastAsia="cs-CZ"/>
        </w:rPr>
        <w:t>Neprovedení kvalifikovaného odhadu zbývající doby používání</w:t>
      </w:r>
      <w:r w:rsidR="003205AE">
        <w:rPr>
          <w:rFonts w:ascii="Calibri" w:hAnsi="Calibri" w:cs="Calibri"/>
          <w:b/>
          <w:lang w:eastAsia="cs-CZ"/>
        </w:rPr>
        <w:t xml:space="preserve"> při prvním použití metody</w:t>
      </w:r>
    </w:p>
    <w:p w14:paraId="6934D258" w14:textId="47AB31E4" w:rsidR="00ED6BD6" w:rsidRDefault="0064327F" w:rsidP="00C869E4">
      <w:pPr>
        <w:spacing w:after="120"/>
        <w:jc w:val="both"/>
        <w:rPr>
          <w:rFonts w:ascii="Calibri" w:hAnsi="Calibri" w:cs="Calibri"/>
          <w:lang w:eastAsia="cs-CZ"/>
        </w:rPr>
      </w:pPr>
      <w:r w:rsidRPr="00684DD4">
        <w:rPr>
          <w:rFonts w:ascii="Calibri" w:hAnsi="Calibri" w:cs="Calibri"/>
          <w:lang w:eastAsia="cs-CZ"/>
        </w:rPr>
        <w:t xml:space="preserve">Od roku 2011 je pro </w:t>
      </w:r>
      <w:r>
        <w:rPr>
          <w:rFonts w:ascii="Calibri" w:hAnsi="Calibri" w:cs="Calibri"/>
          <w:lang w:eastAsia="cs-CZ"/>
        </w:rPr>
        <w:t>OSS</w:t>
      </w:r>
      <w:r w:rsidRPr="00684DD4">
        <w:rPr>
          <w:rFonts w:ascii="Calibri" w:hAnsi="Calibri" w:cs="Calibri"/>
          <w:lang w:eastAsia="cs-CZ"/>
        </w:rPr>
        <w:t xml:space="preserve"> stanovena </w:t>
      </w:r>
      <w:r w:rsidRPr="006F0394">
        <w:rPr>
          <w:rFonts w:ascii="Calibri" w:hAnsi="Calibri" w:cs="Calibri"/>
          <w:lang w:eastAsia="cs-CZ"/>
        </w:rPr>
        <w:t>vyhláškou č. 410/2009</w:t>
      </w:r>
      <w:r w:rsidRPr="00684DD4">
        <w:rPr>
          <w:rFonts w:ascii="Calibri" w:hAnsi="Calibri" w:cs="Calibri"/>
          <w:lang w:eastAsia="cs-CZ"/>
        </w:rPr>
        <w:t xml:space="preserve"> Sb. povinnost odpisovat dlouhodobý majetek, přičemž první použití metody odpisování aplikovaly tyto účetní jednotky k 31. </w:t>
      </w:r>
      <w:r>
        <w:rPr>
          <w:rFonts w:ascii="Calibri" w:hAnsi="Calibri" w:cs="Calibri"/>
          <w:lang w:eastAsia="cs-CZ"/>
        </w:rPr>
        <w:t xml:space="preserve">prosinci </w:t>
      </w:r>
      <w:r w:rsidRPr="00684DD4">
        <w:rPr>
          <w:rFonts w:ascii="Calibri" w:hAnsi="Calibri" w:cs="Calibri"/>
          <w:lang w:eastAsia="cs-CZ"/>
        </w:rPr>
        <w:t>2011</w:t>
      </w:r>
      <w:r>
        <w:rPr>
          <w:rFonts w:ascii="Calibri" w:hAnsi="Calibri" w:cs="Calibri"/>
          <w:lang w:eastAsia="cs-CZ"/>
        </w:rPr>
        <w:t xml:space="preserve">. </w:t>
      </w:r>
      <w:r w:rsidR="00284124">
        <w:rPr>
          <w:rFonts w:ascii="Calibri" w:hAnsi="Calibri" w:cs="Calibri"/>
          <w:lang w:eastAsia="cs-CZ"/>
        </w:rPr>
        <w:t>V</w:t>
      </w:r>
      <w:r w:rsidR="00FC2ADF">
        <w:rPr>
          <w:rFonts w:ascii="Calibri" w:hAnsi="Calibri" w:cs="Calibri"/>
          <w:lang w:eastAsia="cs-CZ"/>
        </w:rPr>
        <w:t xml:space="preserve"> souladu </w:t>
      </w:r>
      <w:r w:rsidR="00846D65">
        <w:rPr>
          <w:rFonts w:ascii="Calibri" w:hAnsi="Calibri" w:cs="Calibri"/>
          <w:lang w:eastAsia="cs-CZ"/>
        </w:rPr>
        <w:t>s</w:t>
      </w:r>
      <w:r w:rsidR="008C1111">
        <w:rPr>
          <w:rFonts w:ascii="Calibri" w:hAnsi="Calibri" w:cs="Calibri"/>
          <w:lang w:eastAsia="cs-CZ"/>
        </w:rPr>
        <w:t xml:space="preserve"> bodem 7. </w:t>
      </w:r>
      <w:r w:rsidR="00FC2ADF" w:rsidRPr="00ED6BD6">
        <w:rPr>
          <w:rFonts w:ascii="Calibri" w:hAnsi="Calibri" w:cs="Calibri"/>
          <w:lang w:eastAsia="cs-CZ"/>
        </w:rPr>
        <w:t xml:space="preserve">ČÚS </w:t>
      </w:r>
      <w:r w:rsidR="00846D65">
        <w:rPr>
          <w:rFonts w:ascii="Calibri" w:hAnsi="Calibri" w:cs="Calibri"/>
          <w:lang w:eastAsia="cs-CZ"/>
        </w:rPr>
        <w:t xml:space="preserve">č. </w:t>
      </w:r>
      <w:r w:rsidR="00FC2ADF" w:rsidRPr="00ED6BD6">
        <w:rPr>
          <w:rFonts w:ascii="Calibri" w:hAnsi="Calibri" w:cs="Calibri"/>
          <w:lang w:eastAsia="cs-CZ"/>
        </w:rPr>
        <w:t>708</w:t>
      </w:r>
      <w:r w:rsidR="00ED6BD6">
        <w:rPr>
          <w:rFonts w:ascii="Calibri" w:hAnsi="Calibri" w:cs="Calibri"/>
          <w:lang w:eastAsia="cs-CZ"/>
        </w:rPr>
        <w:t xml:space="preserve"> – </w:t>
      </w:r>
      <w:r w:rsidR="00ED6BD6" w:rsidRPr="001D1576">
        <w:rPr>
          <w:rFonts w:ascii="Calibri" w:hAnsi="Calibri" w:cs="Calibri"/>
          <w:i/>
          <w:lang w:eastAsia="cs-CZ"/>
        </w:rPr>
        <w:t>Odpisování dlouhodobého</w:t>
      </w:r>
      <w:r w:rsidR="00ED6BD6">
        <w:rPr>
          <w:rFonts w:ascii="Calibri" w:hAnsi="Calibri" w:cs="Calibri"/>
          <w:lang w:eastAsia="cs-CZ"/>
        </w:rPr>
        <w:t xml:space="preserve"> </w:t>
      </w:r>
      <w:r w:rsidR="00ED6BD6" w:rsidRPr="001D1576">
        <w:rPr>
          <w:rFonts w:ascii="Calibri" w:hAnsi="Calibri" w:cs="Calibri"/>
          <w:i/>
          <w:lang w:eastAsia="cs-CZ"/>
        </w:rPr>
        <w:t>majetku</w:t>
      </w:r>
      <w:r w:rsidR="00ED6BD6">
        <w:rPr>
          <w:rFonts w:ascii="Calibri" w:hAnsi="Calibri" w:cs="Calibri"/>
          <w:lang w:eastAsia="cs-CZ"/>
        </w:rPr>
        <w:t xml:space="preserve"> </w:t>
      </w:r>
      <w:r w:rsidR="008C1111">
        <w:rPr>
          <w:rFonts w:ascii="Calibri" w:hAnsi="Calibri" w:cs="Calibri"/>
          <w:lang w:eastAsia="cs-CZ"/>
        </w:rPr>
        <w:t>měly OSS</w:t>
      </w:r>
      <w:r w:rsidR="00ED6BD6">
        <w:rPr>
          <w:rFonts w:ascii="Calibri" w:hAnsi="Calibri" w:cs="Calibri"/>
          <w:lang w:eastAsia="cs-CZ"/>
        </w:rPr>
        <w:t xml:space="preserve"> provést k 31. prosinci 2011:</w:t>
      </w:r>
    </w:p>
    <w:p w14:paraId="2A7661BF" w14:textId="651E9AE8" w:rsidR="00ED6BD6" w:rsidRDefault="00ED6BD6" w:rsidP="001D1576">
      <w:pPr>
        <w:pStyle w:val="Odstavecseseznamem"/>
        <w:numPr>
          <w:ilvl w:val="0"/>
          <w:numId w:val="46"/>
        </w:numPr>
        <w:spacing w:before="40" w:after="120"/>
        <w:jc w:val="both"/>
        <w:rPr>
          <w:rFonts w:ascii="Calibri" w:hAnsi="Calibri" w:cs="Calibri"/>
          <w:lang w:eastAsia="cs-CZ"/>
        </w:rPr>
      </w:pPr>
      <w:r w:rsidRPr="001D1576">
        <w:rPr>
          <w:rFonts w:ascii="Calibri" w:hAnsi="Calibri" w:cs="Calibri"/>
          <w:lang w:eastAsia="cs-CZ"/>
        </w:rPr>
        <w:t>kvalifikovaný odhad zbývající doby používání majetku</w:t>
      </w:r>
      <w:r>
        <w:rPr>
          <w:rFonts w:ascii="Calibri" w:hAnsi="Calibri" w:cs="Calibri"/>
          <w:lang w:eastAsia="cs-CZ"/>
        </w:rPr>
        <w:t xml:space="preserve"> v případě, že zvolil</w:t>
      </w:r>
      <w:r w:rsidR="008C1111">
        <w:rPr>
          <w:rFonts w:ascii="Calibri" w:hAnsi="Calibri" w:cs="Calibri"/>
          <w:lang w:eastAsia="cs-CZ"/>
        </w:rPr>
        <w:t>y</w:t>
      </w:r>
      <w:r>
        <w:rPr>
          <w:rFonts w:ascii="Calibri" w:hAnsi="Calibri" w:cs="Calibri"/>
          <w:lang w:eastAsia="cs-CZ"/>
        </w:rPr>
        <w:t xml:space="preserve"> metodu odpisování</w:t>
      </w:r>
      <w:r w:rsidR="0022032E">
        <w:rPr>
          <w:rFonts w:ascii="Calibri" w:hAnsi="Calibri" w:cs="Calibri"/>
          <w:lang w:eastAsia="cs-CZ"/>
        </w:rPr>
        <w:t xml:space="preserve"> majetku</w:t>
      </w:r>
      <w:r>
        <w:rPr>
          <w:rFonts w:ascii="Calibri" w:hAnsi="Calibri" w:cs="Calibri"/>
          <w:lang w:eastAsia="cs-CZ"/>
        </w:rPr>
        <w:t xml:space="preserve"> rovnoměrným, výkonovým nebo komponentním způsobem</w:t>
      </w:r>
      <w:r w:rsidR="008C1111">
        <w:rPr>
          <w:rFonts w:ascii="Calibri" w:hAnsi="Calibri" w:cs="Calibri"/>
          <w:lang w:eastAsia="cs-CZ"/>
        </w:rPr>
        <w:t>,</w:t>
      </w:r>
    </w:p>
    <w:p w14:paraId="1A90A5D2" w14:textId="77777777" w:rsidR="0064327F" w:rsidRPr="001D1576" w:rsidRDefault="0064327F" w:rsidP="00C869E4">
      <w:pPr>
        <w:pStyle w:val="Odstavecseseznamem"/>
        <w:numPr>
          <w:ilvl w:val="0"/>
          <w:numId w:val="46"/>
        </w:numPr>
        <w:jc w:val="both"/>
        <w:rPr>
          <w:rFonts w:ascii="Calibri" w:hAnsi="Calibri" w:cs="Calibri"/>
          <w:lang w:eastAsia="cs-CZ"/>
        </w:rPr>
      </w:pPr>
      <w:r w:rsidRPr="001D1576">
        <w:rPr>
          <w:rFonts w:ascii="Calibri" w:hAnsi="Calibri" w:cs="Calibri"/>
          <w:lang w:eastAsia="cs-CZ"/>
        </w:rPr>
        <w:t>dopočet oprávek za období, po které dlouhodobý majetek užívaly, ale</w:t>
      </w:r>
      <w:r w:rsidR="00ED6BD6">
        <w:rPr>
          <w:rFonts w:ascii="Calibri" w:hAnsi="Calibri" w:cs="Calibri"/>
          <w:lang w:eastAsia="cs-CZ"/>
        </w:rPr>
        <w:t xml:space="preserve"> </w:t>
      </w:r>
      <w:r w:rsidRPr="001D1576">
        <w:rPr>
          <w:rFonts w:ascii="Calibri" w:hAnsi="Calibri" w:cs="Calibri"/>
          <w:lang w:eastAsia="cs-CZ"/>
        </w:rPr>
        <w:t>neodpisovaly</w:t>
      </w:r>
      <w:r w:rsidR="00ED6BD6">
        <w:rPr>
          <w:rFonts w:ascii="Calibri" w:hAnsi="Calibri" w:cs="Calibri"/>
          <w:lang w:eastAsia="cs-CZ"/>
        </w:rPr>
        <w:t>.</w:t>
      </w:r>
    </w:p>
    <w:p w14:paraId="0B290B11" w14:textId="77777777" w:rsidR="008C1111" w:rsidRDefault="008C1111" w:rsidP="00C869E4">
      <w:pPr>
        <w:jc w:val="both"/>
        <w:rPr>
          <w:rFonts w:ascii="Calibri" w:hAnsi="Calibri" w:cs="Calibri"/>
          <w:lang w:eastAsia="cs-CZ"/>
        </w:rPr>
      </w:pPr>
    </w:p>
    <w:p w14:paraId="3A361D11" w14:textId="4E5DB82C" w:rsidR="00F06A9B" w:rsidRDefault="0064327F" w:rsidP="00C869E4">
      <w:pPr>
        <w:jc w:val="both"/>
        <w:rPr>
          <w:rFonts w:ascii="Calibri" w:hAnsi="Calibri" w:cs="Calibri"/>
          <w:lang w:eastAsia="cs-CZ"/>
        </w:rPr>
      </w:pPr>
      <w:proofErr w:type="spellStart"/>
      <w:r>
        <w:rPr>
          <w:rFonts w:ascii="Calibri" w:hAnsi="Calibri" w:cs="Calibri"/>
          <w:lang w:eastAsia="cs-CZ"/>
        </w:rPr>
        <w:lastRenderedPageBreak/>
        <w:t>MSp</w:t>
      </w:r>
      <w:proofErr w:type="spellEnd"/>
      <w:r>
        <w:rPr>
          <w:rFonts w:ascii="Calibri" w:hAnsi="Calibri" w:cs="Calibri"/>
          <w:lang w:eastAsia="cs-CZ"/>
        </w:rPr>
        <w:t xml:space="preserve"> však kvalifikované odhady zbývající doby používání majetku neprov</w:t>
      </w:r>
      <w:r w:rsidR="006F0394">
        <w:rPr>
          <w:rFonts w:ascii="Calibri" w:hAnsi="Calibri" w:cs="Calibri"/>
          <w:lang w:eastAsia="cs-CZ"/>
        </w:rPr>
        <w:t>edlo</w:t>
      </w:r>
      <w:r w:rsidR="00770CCC">
        <w:rPr>
          <w:rFonts w:ascii="Calibri" w:hAnsi="Calibri" w:cs="Calibri"/>
          <w:lang w:eastAsia="cs-CZ"/>
        </w:rPr>
        <w:t>,</w:t>
      </w:r>
      <w:r w:rsidR="006F0394">
        <w:rPr>
          <w:rFonts w:ascii="Calibri" w:hAnsi="Calibri" w:cs="Calibri"/>
          <w:lang w:eastAsia="cs-CZ"/>
        </w:rPr>
        <w:t xml:space="preserve"> </w:t>
      </w:r>
      <w:r>
        <w:rPr>
          <w:rFonts w:ascii="Calibri" w:hAnsi="Calibri" w:cs="Calibri"/>
          <w:lang w:eastAsia="cs-CZ"/>
        </w:rPr>
        <w:t>a nezohled</w:t>
      </w:r>
      <w:r w:rsidR="006F0394">
        <w:rPr>
          <w:rFonts w:ascii="Calibri" w:hAnsi="Calibri" w:cs="Calibri"/>
          <w:lang w:eastAsia="cs-CZ"/>
        </w:rPr>
        <w:t>nilo</w:t>
      </w:r>
      <w:r>
        <w:rPr>
          <w:rFonts w:ascii="Calibri" w:hAnsi="Calibri" w:cs="Calibri"/>
          <w:lang w:eastAsia="cs-CZ"/>
        </w:rPr>
        <w:t xml:space="preserve"> tak zbývající dobu používání při dopočtu oprávek k 31. prosinci 2011</w:t>
      </w:r>
      <w:r w:rsidR="00B21456">
        <w:rPr>
          <w:rFonts w:ascii="Calibri" w:hAnsi="Calibri" w:cs="Calibri"/>
          <w:lang w:eastAsia="cs-CZ"/>
        </w:rPr>
        <w:t xml:space="preserve"> </w:t>
      </w:r>
      <w:r w:rsidR="004560CB">
        <w:rPr>
          <w:rFonts w:ascii="Calibri" w:hAnsi="Calibri" w:cs="Calibri"/>
          <w:lang w:eastAsia="cs-CZ"/>
        </w:rPr>
        <w:t>(</w:t>
      </w:r>
      <w:r w:rsidR="004560CB" w:rsidRPr="004560CB">
        <w:rPr>
          <w:rFonts w:ascii="Calibri" w:hAnsi="Calibri" w:cs="Calibri"/>
          <w:lang w:eastAsia="cs-CZ"/>
        </w:rPr>
        <w:t>n</w:t>
      </w:r>
      <w:r w:rsidR="0022032E" w:rsidRPr="001D1576">
        <w:rPr>
          <w:rFonts w:ascii="Calibri" w:hAnsi="Calibri" w:cs="Calibri"/>
          <w:lang w:eastAsia="cs-CZ"/>
        </w:rPr>
        <w:t>apř. u budovy</w:t>
      </w:r>
      <w:r w:rsidR="00B21456">
        <w:rPr>
          <w:rFonts w:ascii="Calibri" w:hAnsi="Calibri" w:cs="Calibri"/>
          <w:lang w:eastAsia="cs-CZ"/>
        </w:rPr>
        <w:t xml:space="preserve"> v pořizovací ceně 129 151 903,24 Kč</w:t>
      </w:r>
      <w:r w:rsidR="0022032E" w:rsidRPr="001D1576">
        <w:rPr>
          <w:rFonts w:ascii="Calibri" w:hAnsi="Calibri" w:cs="Calibri"/>
          <w:lang w:eastAsia="cs-CZ"/>
        </w:rPr>
        <w:t xml:space="preserve">, ve které </w:t>
      </w:r>
      <w:proofErr w:type="spellStart"/>
      <w:r w:rsidR="0022032E" w:rsidRPr="001D1576">
        <w:rPr>
          <w:rFonts w:ascii="Calibri" w:hAnsi="Calibri" w:cs="Calibri"/>
          <w:lang w:eastAsia="cs-CZ"/>
        </w:rPr>
        <w:t>MSp</w:t>
      </w:r>
      <w:proofErr w:type="spellEnd"/>
      <w:r w:rsidR="0022032E" w:rsidRPr="001D1576">
        <w:rPr>
          <w:rFonts w:ascii="Calibri" w:hAnsi="Calibri" w:cs="Calibri"/>
          <w:lang w:eastAsia="cs-CZ"/>
        </w:rPr>
        <w:t xml:space="preserve"> sídlí</w:t>
      </w:r>
      <w:r w:rsidR="00B21456">
        <w:rPr>
          <w:rFonts w:ascii="Calibri" w:hAnsi="Calibri" w:cs="Calibri"/>
          <w:lang w:eastAsia="cs-CZ"/>
        </w:rPr>
        <w:t>,</w:t>
      </w:r>
      <w:r w:rsidR="006F0394" w:rsidRPr="001D1576">
        <w:rPr>
          <w:rFonts w:ascii="Calibri" w:hAnsi="Calibri" w:cs="Calibri"/>
          <w:lang w:eastAsia="cs-CZ"/>
        </w:rPr>
        <w:t xml:space="preserve"> odepsalo k 31. prosinci 2011 </w:t>
      </w:r>
      <w:r w:rsidR="00B21456">
        <w:rPr>
          <w:rFonts w:ascii="Calibri" w:hAnsi="Calibri" w:cs="Calibri"/>
          <w:lang w:eastAsia="cs-CZ"/>
        </w:rPr>
        <w:t>jednorázově</w:t>
      </w:r>
      <w:r w:rsidR="006F0394" w:rsidRPr="001D1576">
        <w:rPr>
          <w:rFonts w:ascii="Calibri" w:hAnsi="Calibri" w:cs="Calibri"/>
          <w:lang w:eastAsia="cs-CZ"/>
        </w:rPr>
        <w:t xml:space="preserve"> 95 % hodnoty budovy</w:t>
      </w:r>
      <w:r w:rsidR="004560CB">
        <w:rPr>
          <w:rFonts w:ascii="Calibri" w:hAnsi="Calibri" w:cs="Calibri"/>
          <w:lang w:eastAsia="cs-CZ"/>
        </w:rPr>
        <w:t>).</w:t>
      </w:r>
    </w:p>
    <w:p w14:paraId="409A39DB" w14:textId="77777777" w:rsidR="008C1111" w:rsidRPr="001D1576" w:rsidRDefault="008C1111" w:rsidP="00C869E4">
      <w:pPr>
        <w:jc w:val="both"/>
        <w:rPr>
          <w:rFonts w:ascii="Calibri" w:hAnsi="Calibri" w:cs="Calibri"/>
          <w:lang w:eastAsia="cs-CZ"/>
        </w:rPr>
      </w:pPr>
    </w:p>
    <w:p w14:paraId="4905DC5C" w14:textId="77777777" w:rsidR="0022032E" w:rsidRDefault="0022032E" w:rsidP="00C869E4">
      <w:pPr>
        <w:jc w:val="both"/>
        <w:rPr>
          <w:rFonts w:ascii="Calibri" w:hAnsi="Calibri" w:cs="Calibri"/>
          <w:lang w:eastAsia="cs-CZ"/>
        </w:rPr>
      </w:pPr>
      <w:r>
        <w:rPr>
          <w:rFonts w:ascii="Calibri" w:hAnsi="Calibri" w:cs="Calibri"/>
          <w:lang w:eastAsia="cs-CZ"/>
        </w:rPr>
        <w:t xml:space="preserve">Tento </w:t>
      </w:r>
      <w:r w:rsidR="0064327F">
        <w:rPr>
          <w:rFonts w:ascii="Calibri" w:hAnsi="Calibri" w:cs="Calibri"/>
          <w:lang w:eastAsia="cs-CZ"/>
        </w:rPr>
        <w:t xml:space="preserve">systémový nedostatek měl zásadní dopad na správnost vykázaných </w:t>
      </w:r>
      <w:r w:rsidR="00ED6BD6">
        <w:rPr>
          <w:rFonts w:ascii="Calibri" w:hAnsi="Calibri" w:cs="Calibri"/>
          <w:lang w:eastAsia="cs-CZ"/>
        </w:rPr>
        <w:t xml:space="preserve">konečných </w:t>
      </w:r>
      <w:r w:rsidR="0064327F">
        <w:rPr>
          <w:rFonts w:ascii="Calibri" w:hAnsi="Calibri" w:cs="Calibri"/>
          <w:lang w:eastAsia="cs-CZ"/>
        </w:rPr>
        <w:t>zůstatků</w:t>
      </w:r>
      <w:r w:rsidR="00ED6BD6">
        <w:rPr>
          <w:rFonts w:ascii="Calibri" w:hAnsi="Calibri" w:cs="Calibri"/>
          <w:lang w:eastAsia="cs-CZ"/>
        </w:rPr>
        <w:t xml:space="preserve"> účtů ve výkazu</w:t>
      </w:r>
      <w:r w:rsidR="0064327F">
        <w:rPr>
          <w:rFonts w:ascii="Calibri" w:hAnsi="Calibri" w:cs="Calibri"/>
          <w:lang w:eastAsia="cs-CZ"/>
        </w:rPr>
        <w:t xml:space="preserve"> rozvah</w:t>
      </w:r>
      <w:r w:rsidR="00ED6BD6">
        <w:rPr>
          <w:rFonts w:ascii="Calibri" w:hAnsi="Calibri" w:cs="Calibri"/>
          <w:lang w:eastAsia="cs-CZ"/>
        </w:rPr>
        <w:t>a</w:t>
      </w:r>
      <w:r w:rsidR="0064327F">
        <w:rPr>
          <w:rFonts w:ascii="Calibri" w:hAnsi="Calibri" w:cs="Calibri"/>
          <w:lang w:eastAsia="cs-CZ"/>
        </w:rPr>
        <w:t xml:space="preserve"> a</w:t>
      </w:r>
      <w:r w:rsidR="00ED6BD6">
        <w:rPr>
          <w:rFonts w:ascii="Calibri" w:hAnsi="Calibri" w:cs="Calibri"/>
          <w:lang w:eastAsia="cs-CZ"/>
        </w:rPr>
        <w:t xml:space="preserve"> ve</w:t>
      </w:r>
      <w:r w:rsidR="0064327F">
        <w:rPr>
          <w:rFonts w:ascii="Calibri" w:hAnsi="Calibri" w:cs="Calibri"/>
          <w:lang w:eastAsia="cs-CZ"/>
        </w:rPr>
        <w:t xml:space="preserve"> výkazu zisku a ztráty v účetních obdobích 2011 až 2015</w:t>
      </w:r>
      <w:r w:rsidR="00E507D6">
        <w:rPr>
          <w:rFonts w:ascii="Calibri" w:hAnsi="Calibri" w:cs="Calibri"/>
          <w:lang w:eastAsia="cs-CZ"/>
        </w:rPr>
        <w:t>,</w:t>
      </w:r>
      <w:r w:rsidR="00F06A9B">
        <w:rPr>
          <w:rFonts w:ascii="Calibri" w:hAnsi="Calibri" w:cs="Calibri"/>
          <w:lang w:eastAsia="cs-CZ"/>
        </w:rPr>
        <w:t xml:space="preserve"> a to</w:t>
      </w:r>
      <w:r>
        <w:rPr>
          <w:rFonts w:ascii="Calibri" w:hAnsi="Calibri" w:cs="Calibri"/>
          <w:lang w:eastAsia="cs-CZ"/>
        </w:rPr>
        <w:t xml:space="preserve"> k</w:t>
      </w:r>
      <w:r w:rsidR="00ED6BD6">
        <w:rPr>
          <w:rFonts w:ascii="Calibri" w:hAnsi="Calibri" w:cs="Calibri"/>
          <w:lang w:eastAsia="cs-CZ"/>
        </w:rPr>
        <w:t xml:space="preserve">onkrétně </w:t>
      </w:r>
      <w:r w:rsidR="00F06A9B">
        <w:rPr>
          <w:rFonts w:ascii="Calibri" w:hAnsi="Calibri" w:cs="Calibri"/>
          <w:lang w:eastAsia="cs-CZ"/>
        </w:rPr>
        <w:t xml:space="preserve">u </w:t>
      </w:r>
      <w:r w:rsidR="00ED6BD6">
        <w:rPr>
          <w:rFonts w:ascii="Calibri" w:hAnsi="Calibri" w:cs="Calibri"/>
          <w:lang w:eastAsia="cs-CZ"/>
        </w:rPr>
        <w:t>účtů</w:t>
      </w:r>
      <w:r w:rsidR="005A4589">
        <w:rPr>
          <w:rFonts w:ascii="Calibri" w:hAnsi="Calibri" w:cs="Calibri"/>
          <w:lang w:eastAsia="cs-CZ"/>
        </w:rPr>
        <w:t xml:space="preserve"> odpisovaného</w:t>
      </w:r>
      <w:r w:rsidR="0064327F">
        <w:rPr>
          <w:rFonts w:ascii="Calibri" w:hAnsi="Calibri" w:cs="Calibri"/>
          <w:lang w:eastAsia="cs-CZ"/>
        </w:rPr>
        <w:t xml:space="preserve"> dlouhodobého majetku, účtu 406 – </w:t>
      </w:r>
      <w:r w:rsidR="0064327F" w:rsidRPr="00B86A6B">
        <w:rPr>
          <w:rFonts w:ascii="Calibri" w:hAnsi="Calibri" w:cs="Calibri"/>
          <w:i/>
          <w:lang w:eastAsia="cs-CZ"/>
        </w:rPr>
        <w:t>Oceňovací rozdíly při prvotním použití metody</w:t>
      </w:r>
      <w:r w:rsidR="0064327F">
        <w:rPr>
          <w:rFonts w:ascii="Calibri" w:hAnsi="Calibri" w:cs="Calibri"/>
          <w:lang w:eastAsia="cs-CZ"/>
        </w:rPr>
        <w:t xml:space="preserve">, účtu 551 – </w:t>
      </w:r>
      <w:r w:rsidR="0064327F" w:rsidRPr="00B86A6B">
        <w:rPr>
          <w:rFonts w:ascii="Calibri" w:hAnsi="Calibri" w:cs="Calibri"/>
          <w:i/>
          <w:lang w:eastAsia="cs-CZ"/>
        </w:rPr>
        <w:t>Odpisy dlouhodobého majetku</w:t>
      </w:r>
      <w:r w:rsidR="0064327F">
        <w:rPr>
          <w:rFonts w:ascii="Calibri" w:hAnsi="Calibri" w:cs="Calibri"/>
          <w:lang w:eastAsia="cs-CZ"/>
        </w:rPr>
        <w:t xml:space="preserve"> a</w:t>
      </w:r>
      <w:r w:rsidR="00F06A9B">
        <w:rPr>
          <w:rFonts w:ascii="Calibri" w:hAnsi="Calibri" w:cs="Calibri"/>
          <w:lang w:eastAsia="cs-CZ"/>
        </w:rPr>
        <w:t xml:space="preserve"> účtů</w:t>
      </w:r>
      <w:r w:rsidR="0064327F">
        <w:rPr>
          <w:rFonts w:ascii="Calibri" w:hAnsi="Calibri" w:cs="Calibri"/>
          <w:lang w:eastAsia="cs-CZ"/>
        </w:rPr>
        <w:t xml:space="preserve"> výsledků hospodaření. </w:t>
      </w:r>
    </w:p>
    <w:p w14:paraId="77AA669D" w14:textId="77777777" w:rsidR="008C1111" w:rsidRDefault="008C1111" w:rsidP="00C869E4">
      <w:pPr>
        <w:jc w:val="both"/>
        <w:rPr>
          <w:rFonts w:ascii="Calibri" w:hAnsi="Calibri" w:cs="Calibri"/>
          <w:lang w:eastAsia="cs-CZ"/>
        </w:rPr>
      </w:pPr>
    </w:p>
    <w:p w14:paraId="00E37E55" w14:textId="77777777" w:rsidR="0064327F" w:rsidRDefault="00ED6BD6" w:rsidP="00C869E4">
      <w:pPr>
        <w:jc w:val="both"/>
        <w:rPr>
          <w:rFonts w:ascii="Calibri" w:hAnsi="Calibri" w:cs="Calibri"/>
          <w:lang w:eastAsia="cs-CZ"/>
        </w:rPr>
      </w:pPr>
      <w:r>
        <w:rPr>
          <w:rFonts w:ascii="Calibri" w:hAnsi="Calibri" w:cs="Calibri"/>
          <w:lang w:eastAsia="cs-CZ"/>
        </w:rPr>
        <w:t xml:space="preserve">V důsledku neprovedení kvalifikovaného odhadu </w:t>
      </w:r>
      <w:r w:rsidR="0064327F">
        <w:rPr>
          <w:rFonts w:ascii="Calibri" w:hAnsi="Calibri" w:cs="Calibri"/>
          <w:lang w:eastAsia="cs-CZ"/>
        </w:rPr>
        <w:t xml:space="preserve">zbývající doby používání majetku </w:t>
      </w:r>
      <w:proofErr w:type="spellStart"/>
      <w:r w:rsidR="0064327F">
        <w:rPr>
          <w:rFonts w:ascii="Calibri" w:hAnsi="Calibri" w:cs="Calibri"/>
          <w:lang w:eastAsia="cs-CZ"/>
        </w:rPr>
        <w:t>MSp</w:t>
      </w:r>
      <w:proofErr w:type="spellEnd"/>
      <w:r w:rsidR="0064327F">
        <w:rPr>
          <w:rFonts w:ascii="Calibri" w:hAnsi="Calibri" w:cs="Calibri"/>
          <w:lang w:eastAsia="cs-CZ"/>
        </w:rPr>
        <w:t xml:space="preserve"> neodpisovalo dlouhodobý majetek po celou dobu jeho používání.    </w:t>
      </w:r>
    </w:p>
    <w:p w14:paraId="5F2F8FFE" w14:textId="77777777" w:rsidR="008C1111" w:rsidRDefault="008C1111" w:rsidP="00C869E4">
      <w:pPr>
        <w:jc w:val="both"/>
        <w:rPr>
          <w:rFonts w:ascii="Calibri" w:hAnsi="Calibri" w:cs="Calibri"/>
          <w:lang w:eastAsia="cs-CZ"/>
        </w:rPr>
      </w:pPr>
    </w:p>
    <w:p w14:paraId="32722C3E" w14:textId="77777777" w:rsidR="0064327F" w:rsidRPr="001D1576" w:rsidRDefault="0064327F" w:rsidP="00C869E4">
      <w:pPr>
        <w:pStyle w:val="Odstavecseseznamem"/>
        <w:numPr>
          <w:ilvl w:val="0"/>
          <w:numId w:val="42"/>
        </w:numPr>
        <w:spacing w:after="120"/>
        <w:jc w:val="both"/>
        <w:rPr>
          <w:rFonts w:ascii="Calibri" w:hAnsi="Calibri" w:cs="Calibri"/>
          <w:b/>
          <w:lang w:eastAsia="cs-CZ"/>
        </w:rPr>
      </w:pPr>
      <w:r w:rsidRPr="001D1576">
        <w:rPr>
          <w:rFonts w:ascii="Calibri" w:hAnsi="Calibri" w:cs="Calibri"/>
          <w:b/>
          <w:lang w:eastAsia="cs-CZ"/>
        </w:rPr>
        <w:t xml:space="preserve">Nesprávný dopočet oprávek </w:t>
      </w:r>
      <w:r w:rsidR="003205AE" w:rsidRPr="001D1576">
        <w:rPr>
          <w:rFonts w:ascii="Calibri" w:hAnsi="Calibri" w:cs="Calibri"/>
          <w:b/>
          <w:lang w:eastAsia="cs-CZ"/>
        </w:rPr>
        <w:t>při prvním použití metody</w:t>
      </w:r>
    </w:p>
    <w:p w14:paraId="61180430" w14:textId="1FD3CF3F" w:rsidR="003205AE" w:rsidRDefault="003205AE" w:rsidP="00C869E4">
      <w:pPr>
        <w:jc w:val="both"/>
        <w:rPr>
          <w:rFonts w:ascii="Calibri" w:hAnsi="Calibri" w:cs="Calibri"/>
          <w:lang w:eastAsia="cs-CZ"/>
        </w:rPr>
      </w:pPr>
      <w:r>
        <w:rPr>
          <w:rFonts w:ascii="Calibri" w:hAnsi="Calibri" w:cs="Calibri"/>
          <w:lang w:eastAsia="cs-CZ"/>
        </w:rPr>
        <w:t xml:space="preserve">V účetním období 2011 si </w:t>
      </w:r>
      <w:proofErr w:type="spellStart"/>
      <w:r w:rsidR="008337FD">
        <w:rPr>
          <w:rFonts w:ascii="Calibri" w:hAnsi="Calibri" w:cs="Calibri"/>
          <w:lang w:eastAsia="cs-CZ"/>
        </w:rPr>
        <w:t>MSp</w:t>
      </w:r>
      <w:proofErr w:type="spellEnd"/>
      <w:r w:rsidR="0064327F">
        <w:rPr>
          <w:rFonts w:ascii="Calibri" w:hAnsi="Calibri" w:cs="Calibri"/>
          <w:lang w:eastAsia="cs-CZ"/>
        </w:rPr>
        <w:t xml:space="preserve"> </w:t>
      </w:r>
      <w:r w:rsidR="000548BE">
        <w:rPr>
          <w:rFonts w:ascii="Calibri" w:hAnsi="Calibri" w:cs="Calibri"/>
          <w:lang w:eastAsia="cs-CZ"/>
        </w:rPr>
        <w:t>určilo</w:t>
      </w:r>
      <w:r w:rsidR="0064327F">
        <w:rPr>
          <w:rFonts w:ascii="Calibri" w:hAnsi="Calibri" w:cs="Calibri"/>
          <w:lang w:eastAsia="cs-CZ"/>
        </w:rPr>
        <w:t>, že</w:t>
      </w:r>
      <w:r w:rsidR="008337FD">
        <w:rPr>
          <w:rFonts w:ascii="Calibri" w:hAnsi="Calibri" w:cs="Calibri"/>
          <w:lang w:eastAsia="cs-CZ"/>
        </w:rPr>
        <w:t xml:space="preserve"> </w:t>
      </w:r>
      <w:r w:rsidR="000548BE">
        <w:rPr>
          <w:rFonts w:ascii="Calibri" w:hAnsi="Calibri" w:cs="Calibri"/>
          <w:lang w:eastAsia="cs-CZ"/>
        </w:rPr>
        <w:t>dlouhodobý</w:t>
      </w:r>
      <w:r w:rsidR="001D1576">
        <w:rPr>
          <w:rFonts w:ascii="Calibri" w:hAnsi="Calibri" w:cs="Calibri"/>
          <w:lang w:eastAsia="cs-CZ"/>
        </w:rPr>
        <w:t xml:space="preserve"> </w:t>
      </w:r>
      <w:r w:rsidR="008337FD">
        <w:rPr>
          <w:rFonts w:ascii="Calibri" w:hAnsi="Calibri" w:cs="Calibri"/>
          <w:lang w:eastAsia="cs-CZ"/>
        </w:rPr>
        <w:t>majetek</w:t>
      </w:r>
      <w:r w:rsidR="0064327F">
        <w:rPr>
          <w:rFonts w:ascii="Calibri" w:hAnsi="Calibri" w:cs="Calibri"/>
          <w:lang w:eastAsia="cs-CZ"/>
        </w:rPr>
        <w:t xml:space="preserve"> bude odpisovat</w:t>
      </w:r>
      <w:r w:rsidR="008337FD">
        <w:rPr>
          <w:rFonts w:ascii="Calibri" w:hAnsi="Calibri" w:cs="Calibri"/>
          <w:lang w:eastAsia="cs-CZ"/>
        </w:rPr>
        <w:t xml:space="preserve"> rovnoměrným způsobem</w:t>
      </w:r>
      <w:r>
        <w:rPr>
          <w:rFonts w:ascii="Calibri" w:hAnsi="Calibri" w:cs="Calibri"/>
          <w:lang w:eastAsia="cs-CZ"/>
        </w:rPr>
        <w:t xml:space="preserve">. </w:t>
      </w:r>
      <w:r w:rsidRPr="000548BE">
        <w:rPr>
          <w:rFonts w:ascii="Calibri" w:hAnsi="Calibri" w:cs="Calibri"/>
          <w:lang w:eastAsia="cs-CZ"/>
        </w:rPr>
        <w:t xml:space="preserve">U tohoto způsobu </w:t>
      </w:r>
      <w:r w:rsidR="00E7119A" w:rsidRPr="001D1576">
        <w:rPr>
          <w:rFonts w:ascii="Calibri" w:hAnsi="Calibri" w:cs="Calibri"/>
          <w:lang w:eastAsia="cs-CZ"/>
        </w:rPr>
        <w:t xml:space="preserve">odpisování </w:t>
      </w:r>
      <w:r w:rsidRPr="000548BE">
        <w:rPr>
          <w:rFonts w:ascii="Calibri" w:hAnsi="Calibri" w:cs="Calibri"/>
          <w:lang w:eastAsia="cs-CZ"/>
        </w:rPr>
        <w:t>Č</w:t>
      </w:r>
      <w:r w:rsidR="005A4589">
        <w:rPr>
          <w:rFonts w:ascii="Calibri" w:hAnsi="Calibri" w:cs="Calibri"/>
          <w:lang w:eastAsia="cs-CZ"/>
        </w:rPr>
        <w:t>Ú</w:t>
      </w:r>
      <w:r w:rsidRPr="000548BE">
        <w:rPr>
          <w:rFonts w:ascii="Calibri" w:hAnsi="Calibri" w:cs="Calibri"/>
          <w:lang w:eastAsia="cs-CZ"/>
        </w:rPr>
        <w:t xml:space="preserve">S </w:t>
      </w:r>
      <w:r w:rsidR="00846D65">
        <w:rPr>
          <w:rFonts w:ascii="Calibri" w:hAnsi="Calibri" w:cs="Calibri"/>
          <w:lang w:eastAsia="cs-CZ"/>
        </w:rPr>
        <w:t xml:space="preserve">č. </w:t>
      </w:r>
      <w:r w:rsidRPr="000548BE">
        <w:rPr>
          <w:rFonts w:ascii="Calibri" w:hAnsi="Calibri" w:cs="Calibri"/>
          <w:lang w:eastAsia="cs-CZ"/>
        </w:rPr>
        <w:t>708</w:t>
      </w:r>
      <w:r w:rsidR="00B761A7" w:rsidRPr="001D1576">
        <w:rPr>
          <w:rFonts w:ascii="Calibri" w:hAnsi="Calibri" w:cs="Calibri"/>
          <w:lang w:eastAsia="cs-CZ"/>
        </w:rPr>
        <w:t xml:space="preserve"> </w:t>
      </w:r>
      <w:r w:rsidR="00B761A7" w:rsidRPr="000548BE">
        <w:rPr>
          <w:rFonts w:ascii="Calibri" w:hAnsi="Calibri" w:cs="Calibri"/>
          <w:lang w:eastAsia="cs-CZ"/>
        </w:rPr>
        <w:t xml:space="preserve">– </w:t>
      </w:r>
      <w:r w:rsidR="00B761A7" w:rsidRPr="000548BE">
        <w:rPr>
          <w:rFonts w:ascii="Calibri" w:hAnsi="Calibri" w:cs="Calibri"/>
          <w:i/>
          <w:lang w:eastAsia="cs-CZ"/>
        </w:rPr>
        <w:t>Odpisování dlouhodobého</w:t>
      </w:r>
      <w:r w:rsidR="00B761A7" w:rsidRPr="000548BE">
        <w:rPr>
          <w:rFonts w:ascii="Calibri" w:hAnsi="Calibri" w:cs="Calibri"/>
          <w:lang w:eastAsia="cs-CZ"/>
        </w:rPr>
        <w:t xml:space="preserve"> </w:t>
      </w:r>
      <w:r w:rsidR="00B761A7" w:rsidRPr="000548BE">
        <w:rPr>
          <w:rFonts w:ascii="Calibri" w:hAnsi="Calibri" w:cs="Calibri"/>
          <w:i/>
          <w:lang w:eastAsia="cs-CZ"/>
        </w:rPr>
        <w:t>majetku</w:t>
      </w:r>
      <w:r w:rsidR="000548BE" w:rsidRPr="001D1576">
        <w:rPr>
          <w:rFonts w:ascii="Calibri" w:hAnsi="Calibri" w:cs="Calibri"/>
          <w:lang w:eastAsia="cs-CZ"/>
        </w:rPr>
        <w:t xml:space="preserve"> v bodě 7.</w:t>
      </w:r>
      <w:r w:rsidR="000548BE">
        <w:rPr>
          <w:rFonts w:ascii="Calibri" w:hAnsi="Calibri" w:cs="Calibri"/>
          <w:lang w:eastAsia="cs-CZ"/>
        </w:rPr>
        <w:t xml:space="preserve"> </w:t>
      </w:r>
      <w:r w:rsidR="00770CCC">
        <w:rPr>
          <w:rFonts w:ascii="Calibri" w:hAnsi="Calibri" w:cs="Calibri"/>
          <w:lang w:eastAsia="cs-CZ"/>
        </w:rPr>
        <w:t>stanovil</w:t>
      </w:r>
      <w:r w:rsidR="00770CCC" w:rsidRPr="001D1576">
        <w:rPr>
          <w:rFonts w:ascii="Calibri" w:hAnsi="Calibri" w:cs="Calibri"/>
          <w:lang w:eastAsia="cs-CZ"/>
        </w:rPr>
        <w:t xml:space="preserve"> </w:t>
      </w:r>
      <w:r w:rsidR="000548BE">
        <w:rPr>
          <w:rFonts w:ascii="Calibri" w:hAnsi="Calibri" w:cs="Calibri"/>
          <w:lang w:eastAsia="cs-CZ"/>
        </w:rPr>
        <w:t xml:space="preserve">pro dopočet oprávek k 31. prosinci 2011 </w:t>
      </w:r>
      <w:r w:rsidR="000548BE" w:rsidRPr="001D1576">
        <w:rPr>
          <w:rFonts w:ascii="Calibri" w:hAnsi="Calibri" w:cs="Calibri"/>
          <w:lang w:eastAsia="cs-CZ"/>
        </w:rPr>
        <w:t xml:space="preserve">povinnost </w:t>
      </w:r>
      <w:r w:rsidR="005A4589">
        <w:rPr>
          <w:rFonts w:ascii="Calibri" w:hAnsi="Calibri" w:cs="Calibri"/>
          <w:lang w:eastAsia="cs-CZ"/>
        </w:rPr>
        <w:t>(</w:t>
      </w:r>
      <w:r w:rsidR="000548BE" w:rsidRPr="001D1576">
        <w:rPr>
          <w:rFonts w:ascii="Calibri" w:hAnsi="Calibri" w:cs="Calibri"/>
          <w:lang w:eastAsia="cs-CZ"/>
        </w:rPr>
        <w:t>v případě, že je účetní jednotce znám okamžik zařazení</w:t>
      </w:r>
      <w:r w:rsidR="005A4589">
        <w:rPr>
          <w:rFonts w:ascii="Calibri" w:hAnsi="Calibri" w:cs="Calibri"/>
          <w:lang w:eastAsia="cs-CZ"/>
        </w:rPr>
        <w:t xml:space="preserve"> majetku</w:t>
      </w:r>
      <w:r w:rsidR="000548BE" w:rsidRPr="001D1576">
        <w:rPr>
          <w:rFonts w:ascii="Calibri" w:hAnsi="Calibri" w:cs="Calibri"/>
          <w:lang w:eastAsia="cs-CZ"/>
        </w:rPr>
        <w:t xml:space="preserve"> do užívání a výše ocenění tohoto majetku</w:t>
      </w:r>
      <w:r w:rsidR="005A4589">
        <w:rPr>
          <w:rFonts w:ascii="Calibri" w:hAnsi="Calibri" w:cs="Calibri"/>
          <w:lang w:eastAsia="cs-CZ"/>
        </w:rPr>
        <w:t>)</w:t>
      </w:r>
      <w:r w:rsidR="000548BE" w:rsidRPr="001D1576">
        <w:rPr>
          <w:rFonts w:ascii="Calibri" w:hAnsi="Calibri" w:cs="Calibri"/>
          <w:lang w:eastAsia="cs-CZ"/>
        </w:rPr>
        <w:t xml:space="preserve"> provést dopočet za období, po které tento majetek účetní jednotka užívala a ne</w:t>
      </w:r>
      <w:r w:rsidR="000548BE">
        <w:rPr>
          <w:rFonts w:ascii="Calibri" w:hAnsi="Calibri" w:cs="Calibri"/>
          <w:lang w:eastAsia="cs-CZ"/>
        </w:rPr>
        <w:t>o</w:t>
      </w:r>
      <w:r w:rsidR="000548BE" w:rsidRPr="001D1576">
        <w:rPr>
          <w:rFonts w:ascii="Calibri" w:hAnsi="Calibri" w:cs="Calibri"/>
          <w:lang w:eastAsia="cs-CZ"/>
        </w:rPr>
        <w:t>dpisovala, a to s</w:t>
      </w:r>
      <w:r w:rsidR="001D1576">
        <w:rPr>
          <w:rFonts w:ascii="Calibri" w:hAnsi="Calibri" w:cs="Calibri"/>
          <w:lang w:eastAsia="cs-CZ"/>
        </w:rPr>
        <w:t> </w:t>
      </w:r>
      <w:r w:rsidR="000548BE" w:rsidRPr="001D1576">
        <w:rPr>
          <w:rFonts w:ascii="Calibri" w:hAnsi="Calibri" w:cs="Calibri"/>
          <w:lang w:eastAsia="cs-CZ"/>
        </w:rPr>
        <w:t>přihlédnutím</w:t>
      </w:r>
      <w:r w:rsidR="001D1576">
        <w:rPr>
          <w:rFonts w:ascii="Calibri" w:hAnsi="Calibri" w:cs="Calibri"/>
          <w:lang w:eastAsia="cs-CZ"/>
        </w:rPr>
        <w:t xml:space="preserve"> </w:t>
      </w:r>
      <w:r w:rsidR="000548BE">
        <w:rPr>
          <w:rFonts w:ascii="Calibri" w:hAnsi="Calibri" w:cs="Calibri"/>
          <w:lang w:eastAsia="cs-CZ"/>
        </w:rPr>
        <w:t>ke zbývající době používání majetku.</w:t>
      </w:r>
      <w:r w:rsidR="00E7119A" w:rsidRPr="000548BE">
        <w:rPr>
          <w:rFonts w:ascii="Calibri" w:hAnsi="Calibri" w:cs="Calibri"/>
          <w:lang w:eastAsia="cs-CZ"/>
        </w:rPr>
        <w:t xml:space="preserve"> </w:t>
      </w:r>
      <w:r w:rsidR="005A4589">
        <w:rPr>
          <w:rFonts w:ascii="Calibri" w:hAnsi="Calibri" w:cs="Calibri"/>
          <w:lang w:eastAsia="cs-CZ"/>
        </w:rPr>
        <w:t>U</w:t>
      </w:r>
      <w:r w:rsidRPr="000548BE">
        <w:rPr>
          <w:rFonts w:ascii="Calibri" w:hAnsi="Calibri" w:cs="Calibri"/>
          <w:lang w:eastAsia="cs-CZ"/>
        </w:rPr>
        <w:t xml:space="preserve"> Justičního areálu </w:t>
      </w:r>
      <w:r w:rsidR="00EE2587">
        <w:rPr>
          <w:rFonts w:ascii="Calibri" w:hAnsi="Calibri" w:cs="Calibri"/>
          <w:lang w:eastAsia="cs-CZ"/>
        </w:rPr>
        <w:t>N</w:t>
      </w:r>
      <w:r w:rsidRPr="000548BE">
        <w:rPr>
          <w:rFonts w:ascii="Calibri" w:hAnsi="Calibri" w:cs="Calibri"/>
          <w:lang w:eastAsia="cs-CZ"/>
        </w:rPr>
        <w:t xml:space="preserve">a </w:t>
      </w:r>
      <w:proofErr w:type="spellStart"/>
      <w:r w:rsidRPr="000548BE">
        <w:rPr>
          <w:rFonts w:ascii="Calibri" w:hAnsi="Calibri" w:cs="Calibri"/>
          <w:lang w:eastAsia="cs-CZ"/>
        </w:rPr>
        <w:t>Míčánkách</w:t>
      </w:r>
      <w:proofErr w:type="spellEnd"/>
      <w:r w:rsidR="005A4589">
        <w:rPr>
          <w:rFonts w:ascii="Calibri" w:hAnsi="Calibri" w:cs="Calibri"/>
          <w:lang w:eastAsia="cs-CZ"/>
        </w:rPr>
        <w:t xml:space="preserve"> </w:t>
      </w:r>
      <w:r w:rsidR="00770CCC">
        <w:rPr>
          <w:rFonts w:ascii="Calibri" w:hAnsi="Calibri" w:cs="Calibri"/>
          <w:lang w:eastAsia="cs-CZ"/>
        </w:rPr>
        <w:t xml:space="preserve">ale </w:t>
      </w:r>
      <w:proofErr w:type="spellStart"/>
      <w:r w:rsidR="00770CCC">
        <w:rPr>
          <w:rFonts w:ascii="Calibri" w:hAnsi="Calibri" w:cs="Calibri"/>
          <w:lang w:eastAsia="cs-CZ"/>
        </w:rPr>
        <w:t>MSp</w:t>
      </w:r>
      <w:proofErr w:type="spellEnd"/>
      <w:r w:rsidR="00770CCC">
        <w:rPr>
          <w:rFonts w:ascii="Calibri" w:hAnsi="Calibri" w:cs="Calibri"/>
          <w:lang w:eastAsia="cs-CZ"/>
        </w:rPr>
        <w:t xml:space="preserve"> </w:t>
      </w:r>
      <w:r w:rsidR="005A4589">
        <w:rPr>
          <w:rFonts w:ascii="Calibri" w:hAnsi="Calibri" w:cs="Calibri"/>
          <w:lang w:eastAsia="cs-CZ"/>
        </w:rPr>
        <w:t xml:space="preserve">provedlo k tomuto datu </w:t>
      </w:r>
      <w:r w:rsidR="000548BE">
        <w:rPr>
          <w:rFonts w:ascii="Calibri" w:hAnsi="Calibri" w:cs="Calibri"/>
          <w:lang w:eastAsia="cs-CZ"/>
        </w:rPr>
        <w:t xml:space="preserve">dopočet oprávek </w:t>
      </w:r>
      <w:r w:rsidR="008337FD" w:rsidRPr="000548BE">
        <w:rPr>
          <w:rFonts w:ascii="Calibri" w:hAnsi="Calibri" w:cs="Calibri"/>
          <w:lang w:eastAsia="cs-CZ"/>
        </w:rPr>
        <w:t>ve</w:t>
      </w:r>
      <w:r w:rsidR="008337FD">
        <w:rPr>
          <w:rFonts w:ascii="Calibri" w:hAnsi="Calibri" w:cs="Calibri"/>
          <w:lang w:eastAsia="cs-CZ"/>
        </w:rPr>
        <w:t xml:space="preserve"> výši 40 % z pořizovací ceny, přestože</w:t>
      </w:r>
      <w:r w:rsidR="000548BE">
        <w:rPr>
          <w:rFonts w:ascii="Calibri" w:hAnsi="Calibri" w:cs="Calibri"/>
          <w:lang w:eastAsia="cs-CZ"/>
        </w:rPr>
        <w:t xml:space="preserve"> byl</w:t>
      </w:r>
      <w:r w:rsidR="008337FD">
        <w:rPr>
          <w:rFonts w:ascii="Calibri" w:hAnsi="Calibri" w:cs="Calibri"/>
          <w:lang w:eastAsia="cs-CZ"/>
        </w:rPr>
        <w:t xml:space="preserve"> </w:t>
      </w:r>
      <w:proofErr w:type="spellStart"/>
      <w:r w:rsidR="008337FD">
        <w:rPr>
          <w:rFonts w:ascii="Calibri" w:hAnsi="Calibri" w:cs="Calibri"/>
          <w:lang w:eastAsia="cs-CZ"/>
        </w:rPr>
        <w:t>MSp</w:t>
      </w:r>
      <w:proofErr w:type="spellEnd"/>
      <w:r w:rsidR="00456C64">
        <w:rPr>
          <w:rFonts w:ascii="Calibri" w:hAnsi="Calibri" w:cs="Calibri"/>
          <w:lang w:eastAsia="cs-CZ"/>
        </w:rPr>
        <w:t xml:space="preserve"> </w:t>
      </w:r>
      <w:r w:rsidR="008337FD">
        <w:rPr>
          <w:rFonts w:ascii="Calibri" w:hAnsi="Calibri" w:cs="Calibri"/>
          <w:lang w:eastAsia="cs-CZ"/>
        </w:rPr>
        <w:t xml:space="preserve">znám okamžik zařazení </w:t>
      </w:r>
      <w:r w:rsidR="000548BE">
        <w:rPr>
          <w:rFonts w:ascii="Calibri" w:hAnsi="Calibri" w:cs="Calibri"/>
          <w:lang w:eastAsia="cs-CZ"/>
        </w:rPr>
        <w:t xml:space="preserve">tohoto </w:t>
      </w:r>
      <w:r w:rsidR="008337FD">
        <w:rPr>
          <w:rFonts w:ascii="Calibri" w:hAnsi="Calibri" w:cs="Calibri"/>
          <w:lang w:eastAsia="cs-CZ"/>
        </w:rPr>
        <w:t>majetku do užíván</w:t>
      </w:r>
      <w:r w:rsidR="000548BE">
        <w:rPr>
          <w:rFonts w:ascii="Calibri" w:hAnsi="Calibri" w:cs="Calibri"/>
          <w:lang w:eastAsia="cs-CZ"/>
        </w:rPr>
        <w:t>í</w:t>
      </w:r>
      <w:r>
        <w:rPr>
          <w:rStyle w:val="Znakapoznpodarou"/>
          <w:rFonts w:ascii="Calibri" w:hAnsi="Calibri" w:cs="Calibri"/>
          <w:lang w:eastAsia="cs-CZ"/>
        </w:rPr>
        <w:footnoteReference w:id="10"/>
      </w:r>
      <w:r w:rsidR="00287FEA">
        <w:rPr>
          <w:rFonts w:ascii="Calibri" w:hAnsi="Calibri" w:cs="Calibri"/>
          <w:lang w:eastAsia="cs-CZ"/>
        </w:rPr>
        <w:t xml:space="preserve">. </w:t>
      </w:r>
      <w:r w:rsidR="000548BE">
        <w:rPr>
          <w:rFonts w:ascii="Calibri" w:hAnsi="Calibri" w:cs="Calibri"/>
          <w:lang w:eastAsia="cs-CZ"/>
        </w:rPr>
        <w:t xml:space="preserve">Takový postup </w:t>
      </w:r>
      <w:r w:rsidR="008337FD">
        <w:rPr>
          <w:rFonts w:ascii="Calibri" w:hAnsi="Calibri" w:cs="Calibri"/>
          <w:lang w:eastAsia="cs-CZ"/>
        </w:rPr>
        <w:t>ČÚS</w:t>
      </w:r>
      <w:r w:rsidR="00F910DE">
        <w:rPr>
          <w:rFonts w:ascii="Calibri" w:hAnsi="Calibri" w:cs="Calibri"/>
          <w:lang w:eastAsia="cs-CZ"/>
        </w:rPr>
        <w:t xml:space="preserve"> </w:t>
      </w:r>
      <w:r w:rsidR="008337FD">
        <w:rPr>
          <w:rFonts w:ascii="Calibri" w:hAnsi="Calibri" w:cs="Calibri"/>
          <w:lang w:eastAsia="cs-CZ"/>
        </w:rPr>
        <w:t>č. 708</w:t>
      </w:r>
      <w:r w:rsidR="00DE76AC">
        <w:rPr>
          <w:rFonts w:ascii="Calibri" w:hAnsi="Calibri" w:cs="Calibri"/>
          <w:lang w:eastAsia="cs-CZ"/>
        </w:rPr>
        <w:t xml:space="preserve"> –</w:t>
      </w:r>
      <w:r w:rsidR="000548BE" w:rsidRPr="000548BE">
        <w:rPr>
          <w:rFonts w:ascii="Calibri" w:hAnsi="Calibri" w:cs="Calibri"/>
          <w:lang w:eastAsia="cs-CZ"/>
        </w:rPr>
        <w:t xml:space="preserve"> </w:t>
      </w:r>
      <w:r w:rsidR="000548BE" w:rsidRPr="000548BE">
        <w:rPr>
          <w:rFonts w:ascii="Calibri" w:hAnsi="Calibri" w:cs="Calibri"/>
          <w:i/>
          <w:lang w:eastAsia="cs-CZ"/>
        </w:rPr>
        <w:t>Odpisování dlouhodobého</w:t>
      </w:r>
      <w:r w:rsidR="000548BE" w:rsidRPr="000548BE">
        <w:rPr>
          <w:rFonts w:ascii="Calibri" w:hAnsi="Calibri" w:cs="Calibri"/>
          <w:lang w:eastAsia="cs-CZ"/>
        </w:rPr>
        <w:t xml:space="preserve"> </w:t>
      </w:r>
      <w:r w:rsidR="000548BE" w:rsidRPr="000548BE">
        <w:rPr>
          <w:rFonts w:ascii="Calibri" w:hAnsi="Calibri" w:cs="Calibri"/>
          <w:i/>
          <w:lang w:eastAsia="cs-CZ"/>
        </w:rPr>
        <w:t>majetku</w:t>
      </w:r>
      <w:r w:rsidR="005A4589">
        <w:rPr>
          <w:rFonts w:ascii="Calibri" w:hAnsi="Calibri" w:cs="Calibri"/>
          <w:i/>
          <w:lang w:eastAsia="cs-CZ"/>
        </w:rPr>
        <w:t xml:space="preserve"> </w:t>
      </w:r>
      <w:r w:rsidR="008337FD">
        <w:rPr>
          <w:rFonts w:ascii="Calibri" w:hAnsi="Calibri" w:cs="Calibri"/>
          <w:lang w:eastAsia="cs-CZ"/>
        </w:rPr>
        <w:t xml:space="preserve">umožňoval </w:t>
      </w:r>
      <w:r w:rsidR="000548BE">
        <w:rPr>
          <w:rFonts w:ascii="Calibri" w:hAnsi="Calibri" w:cs="Calibri"/>
          <w:lang w:eastAsia="cs-CZ"/>
        </w:rPr>
        <w:t>pouze v případ</w:t>
      </w:r>
      <w:r w:rsidR="00770CCC">
        <w:rPr>
          <w:rFonts w:ascii="Calibri" w:hAnsi="Calibri" w:cs="Calibri"/>
          <w:lang w:eastAsia="cs-CZ"/>
        </w:rPr>
        <w:t>ech</w:t>
      </w:r>
      <w:r w:rsidR="008337FD">
        <w:rPr>
          <w:rFonts w:ascii="Calibri" w:hAnsi="Calibri" w:cs="Calibri"/>
          <w:lang w:eastAsia="cs-CZ"/>
        </w:rPr>
        <w:t>,</w:t>
      </w:r>
      <w:r w:rsidR="000548BE">
        <w:rPr>
          <w:rFonts w:ascii="Calibri" w:hAnsi="Calibri" w:cs="Calibri"/>
          <w:lang w:eastAsia="cs-CZ"/>
        </w:rPr>
        <w:t xml:space="preserve"> kdy </w:t>
      </w:r>
      <w:r w:rsidR="008337FD">
        <w:rPr>
          <w:rFonts w:ascii="Calibri" w:hAnsi="Calibri" w:cs="Calibri"/>
          <w:lang w:eastAsia="cs-CZ"/>
        </w:rPr>
        <w:t xml:space="preserve">účetní jednotce nebyl znám okamžik zařazení majetku do užívání. Postup zvolený </w:t>
      </w:r>
      <w:proofErr w:type="spellStart"/>
      <w:r w:rsidR="000548BE">
        <w:rPr>
          <w:rFonts w:ascii="Calibri" w:hAnsi="Calibri" w:cs="Calibri"/>
          <w:lang w:eastAsia="cs-CZ"/>
        </w:rPr>
        <w:t>M</w:t>
      </w:r>
      <w:r w:rsidR="00846D65">
        <w:rPr>
          <w:rFonts w:ascii="Calibri" w:hAnsi="Calibri" w:cs="Calibri"/>
          <w:lang w:eastAsia="cs-CZ"/>
        </w:rPr>
        <w:t>S</w:t>
      </w:r>
      <w:r w:rsidR="000548BE">
        <w:rPr>
          <w:rFonts w:ascii="Calibri" w:hAnsi="Calibri" w:cs="Calibri"/>
          <w:lang w:eastAsia="cs-CZ"/>
        </w:rPr>
        <w:t>p</w:t>
      </w:r>
      <w:proofErr w:type="spellEnd"/>
      <w:r w:rsidR="00DE76AC">
        <w:rPr>
          <w:rFonts w:ascii="Calibri" w:hAnsi="Calibri" w:cs="Calibri"/>
          <w:lang w:eastAsia="cs-CZ"/>
        </w:rPr>
        <w:t xml:space="preserve"> tak vedl k tomu, že k 31. </w:t>
      </w:r>
      <w:r w:rsidR="006209C7">
        <w:rPr>
          <w:rFonts w:ascii="Calibri" w:hAnsi="Calibri" w:cs="Calibri"/>
          <w:lang w:eastAsia="cs-CZ"/>
        </w:rPr>
        <w:t xml:space="preserve">prosinci </w:t>
      </w:r>
      <w:r w:rsidR="008337FD">
        <w:rPr>
          <w:rFonts w:ascii="Calibri" w:hAnsi="Calibri" w:cs="Calibri"/>
          <w:lang w:eastAsia="cs-CZ"/>
        </w:rPr>
        <w:t xml:space="preserve">2011 jednorázově odepsalo 40 % hodnoty technického zhodnocení Justičního areálu Na </w:t>
      </w:r>
      <w:proofErr w:type="spellStart"/>
      <w:r w:rsidR="008337FD">
        <w:rPr>
          <w:rFonts w:ascii="Calibri" w:hAnsi="Calibri" w:cs="Calibri"/>
          <w:lang w:eastAsia="cs-CZ"/>
        </w:rPr>
        <w:t>Míčánkách</w:t>
      </w:r>
      <w:proofErr w:type="spellEnd"/>
      <w:r w:rsidR="008337FD">
        <w:rPr>
          <w:rFonts w:ascii="Calibri" w:hAnsi="Calibri" w:cs="Calibri"/>
          <w:lang w:eastAsia="cs-CZ"/>
        </w:rPr>
        <w:t>, přestože byl</w:t>
      </w:r>
      <w:r w:rsidR="00846D65">
        <w:rPr>
          <w:rFonts w:ascii="Calibri" w:hAnsi="Calibri" w:cs="Calibri"/>
          <w:lang w:eastAsia="cs-CZ"/>
        </w:rPr>
        <w:t>o</w:t>
      </w:r>
      <w:r w:rsidR="008337FD">
        <w:rPr>
          <w:rFonts w:ascii="Calibri" w:hAnsi="Calibri" w:cs="Calibri"/>
          <w:lang w:eastAsia="cs-CZ"/>
        </w:rPr>
        <w:t xml:space="preserve"> </w:t>
      </w:r>
      <w:r w:rsidR="00770CCC">
        <w:rPr>
          <w:rFonts w:ascii="Calibri" w:hAnsi="Calibri" w:cs="Calibri"/>
          <w:lang w:eastAsia="cs-CZ"/>
        </w:rPr>
        <w:t xml:space="preserve">toto zhodnocení </w:t>
      </w:r>
      <w:r w:rsidR="008337FD">
        <w:rPr>
          <w:rFonts w:ascii="Calibri" w:hAnsi="Calibri" w:cs="Calibri"/>
          <w:lang w:eastAsia="cs-CZ"/>
        </w:rPr>
        <w:t>užíván</w:t>
      </w:r>
      <w:r w:rsidR="00846D65">
        <w:rPr>
          <w:rFonts w:ascii="Calibri" w:hAnsi="Calibri" w:cs="Calibri"/>
          <w:lang w:eastAsia="cs-CZ"/>
        </w:rPr>
        <w:t>o</w:t>
      </w:r>
      <w:r w:rsidR="008337FD">
        <w:rPr>
          <w:rFonts w:ascii="Calibri" w:hAnsi="Calibri" w:cs="Calibri"/>
          <w:lang w:eastAsia="cs-CZ"/>
        </w:rPr>
        <w:t xml:space="preserve"> pouhých 5 let</w:t>
      </w:r>
      <w:r w:rsidR="00846D65">
        <w:rPr>
          <w:rFonts w:ascii="Calibri" w:hAnsi="Calibri" w:cs="Calibri"/>
          <w:lang w:eastAsia="cs-CZ"/>
        </w:rPr>
        <w:t xml:space="preserve">. </w:t>
      </w:r>
      <w:proofErr w:type="spellStart"/>
      <w:r w:rsidR="008337FD">
        <w:rPr>
          <w:rFonts w:ascii="Calibri" w:hAnsi="Calibri" w:cs="Calibri"/>
          <w:lang w:eastAsia="cs-CZ"/>
        </w:rPr>
        <w:t>MSp</w:t>
      </w:r>
      <w:proofErr w:type="spellEnd"/>
      <w:r w:rsidR="008337FD">
        <w:rPr>
          <w:rFonts w:ascii="Calibri" w:hAnsi="Calibri" w:cs="Calibri"/>
          <w:lang w:eastAsia="cs-CZ"/>
        </w:rPr>
        <w:t xml:space="preserve"> </w:t>
      </w:r>
      <w:r w:rsidR="00E7119A">
        <w:rPr>
          <w:rFonts w:ascii="Calibri" w:hAnsi="Calibri" w:cs="Calibri"/>
          <w:lang w:eastAsia="cs-CZ"/>
        </w:rPr>
        <w:t>u</w:t>
      </w:r>
      <w:r w:rsidR="00F910DE">
        <w:rPr>
          <w:rFonts w:ascii="Calibri" w:hAnsi="Calibri" w:cs="Calibri"/>
          <w:lang w:eastAsia="cs-CZ"/>
        </w:rPr>
        <w:t xml:space="preserve"> </w:t>
      </w:r>
      <w:r w:rsidR="00E7119A">
        <w:rPr>
          <w:rFonts w:ascii="Calibri" w:hAnsi="Calibri" w:cs="Calibri"/>
          <w:lang w:eastAsia="cs-CZ"/>
        </w:rPr>
        <w:t>tohoto majetku</w:t>
      </w:r>
      <w:r w:rsidR="000548BE">
        <w:rPr>
          <w:rFonts w:ascii="Calibri" w:hAnsi="Calibri" w:cs="Calibri"/>
          <w:lang w:eastAsia="cs-CZ"/>
        </w:rPr>
        <w:t xml:space="preserve"> vyčíslilo</w:t>
      </w:r>
      <w:r w:rsidR="00E7119A">
        <w:rPr>
          <w:rFonts w:ascii="Calibri" w:hAnsi="Calibri" w:cs="Calibri"/>
          <w:lang w:eastAsia="cs-CZ"/>
        </w:rPr>
        <w:t xml:space="preserve"> nesprávně</w:t>
      </w:r>
      <w:r w:rsidR="008337FD">
        <w:rPr>
          <w:rFonts w:ascii="Calibri" w:hAnsi="Calibri" w:cs="Calibri"/>
          <w:lang w:eastAsia="cs-CZ"/>
        </w:rPr>
        <w:t xml:space="preserve"> oprávky</w:t>
      </w:r>
      <w:r w:rsidR="00E7119A">
        <w:rPr>
          <w:rFonts w:ascii="Calibri" w:hAnsi="Calibri" w:cs="Calibri"/>
          <w:lang w:eastAsia="cs-CZ"/>
        </w:rPr>
        <w:t xml:space="preserve"> </w:t>
      </w:r>
      <w:r w:rsidR="000548BE">
        <w:rPr>
          <w:rFonts w:ascii="Calibri" w:hAnsi="Calibri" w:cs="Calibri"/>
          <w:lang w:eastAsia="cs-CZ"/>
        </w:rPr>
        <w:t>i v následujících letech</w:t>
      </w:r>
      <w:r w:rsidR="008337FD">
        <w:rPr>
          <w:rFonts w:ascii="Calibri" w:hAnsi="Calibri" w:cs="Calibri"/>
          <w:lang w:eastAsia="cs-CZ"/>
        </w:rPr>
        <w:t xml:space="preserve"> 2014 a 2015</w:t>
      </w:r>
      <w:r w:rsidR="00846D65">
        <w:rPr>
          <w:rFonts w:ascii="Calibri" w:hAnsi="Calibri" w:cs="Calibri"/>
          <w:lang w:eastAsia="cs-CZ"/>
        </w:rPr>
        <w:t xml:space="preserve">. </w:t>
      </w:r>
      <w:r w:rsidR="008337FD">
        <w:rPr>
          <w:rFonts w:ascii="Calibri" w:hAnsi="Calibri" w:cs="Calibri"/>
          <w:lang w:eastAsia="cs-CZ"/>
        </w:rPr>
        <w:t xml:space="preserve">V důsledku uvedených skutečností </w:t>
      </w:r>
      <w:proofErr w:type="spellStart"/>
      <w:r w:rsidR="008337FD">
        <w:rPr>
          <w:rFonts w:ascii="Calibri" w:hAnsi="Calibri" w:cs="Calibri"/>
          <w:lang w:eastAsia="cs-CZ"/>
        </w:rPr>
        <w:t>MSp</w:t>
      </w:r>
      <w:proofErr w:type="spellEnd"/>
      <w:r w:rsidR="008337FD">
        <w:rPr>
          <w:rFonts w:ascii="Calibri" w:hAnsi="Calibri" w:cs="Calibri"/>
          <w:lang w:eastAsia="cs-CZ"/>
        </w:rPr>
        <w:t xml:space="preserve"> v rozvaze podhodnotilo zůstatek účtu 406 – </w:t>
      </w:r>
      <w:r w:rsidR="008337FD" w:rsidRPr="00BB2E7E">
        <w:rPr>
          <w:rFonts w:ascii="Calibri" w:hAnsi="Calibri" w:cs="Calibri"/>
          <w:i/>
          <w:lang w:eastAsia="cs-CZ"/>
        </w:rPr>
        <w:t>Oceňovací rozdíly při prvotním použití metody</w:t>
      </w:r>
      <w:r w:rsidR="008337FD">
        <w:rPr>
          <w:rFonts w:ascii="Calibri" w:hAnsi="Calibri" w:cs="Calibri"/>
          <w:lang w:eastAsia="cs-CZ"/>
        </w:rPr>
        <w:t xml:space="preserve"> o 744,6 mil. Kč</w:t>
      </w:r>
      <w:r w:rsidR="00770CCC">
        <w:rPr>
          <w:rFonts w:ascii="Calibri" w:hAnsi="Calibri" w:cs="Calibri"/>
          <w:lang w:eastAsia="cs-CZ"/>
        </w:rPr>
        <w:t>,</w:t>
      </w:r>
      <w:r w:rsidR="008337FD">
        <w:rPr>
          <w:rFonts w:ascii="Calibri" w:hAnsi="Calibri" w:cs="Calibri"/>
          <w:lang w:eastAsia="cs-CZ"/>
        </w:rPr>
        <w:t xml:space="preserve"> zůstatek účtu 021 – </w:t>
      </w:r>
      <w:r w:rsidR="008337FD" w:rsidRPr="00BB2E7E">
        <w:rPr>
          <w:rFonts w:ascii="Calibri" w:hAnsi="Calibri" w:cs="Calibri"/>
          <w:i/>
          <w:lang w:eastAsia="cs-CZ"/>
        </w:rPr>
        <w:t>Stavby</w:t>
      </w:r>
      <w:r w:rsidR="008337FD">
        <w:rPr>
          <w:rFonts w:ascii="Calibri" w:hAnsi="Calibri" w:cs="Calibri"/>
          <w:lang w:eastAsia="cs-CZ"/>
        </w:rPr>
        <w:t xml:space="preserve"> o 719,6 mil. Kč </w:t>
      </w:r>
      <w:r w:rsidR="00770CCC">
        <w:rPr>
          <w:rFonts w:ascii="Calibri" w:hAnsi="Calibri" w:cs="Calibri"/>
          <w:lang w:eastAsia="cs-CZ"/>
        </w:rPr>
        <w:t xml:space="preserve">a dále </w:t>
      </w:r>
      <w:r w:rsidR="008337FD">
        <w:rPr>
          <w:rFonts w:ascii="Calibri" w:hAnsi="Calibri" w:cs="Calibri"/>
          <w:lang w:eastAsia="cs-CZ"/>
        </w:rPr>
        <w:t xml:space="preserve">nadhodnotilo zůstatek na položce </w:t>
      </w:r>
      <w:r w:rsidR="008337FD" w:rsidRPr="00C869E4">
        <w:rPr>
          <w:rFonts w:ascii="Calibri" w:hAnsi="Calibri" w:cs="Calibri"/>
          <w:i/>
          <w:lang w:eastAsia="cs-CZ"/>
        </w:rPr>
        <w:t>C.III. Výsledek hospodaření</w:t>
      </w:r>
      <w:r w:rsidR="008337FD">
        <w:rPr>
          <w:rFonts w:ascii="Calibri" w:hAnsi="Calibri" w:cs="Calibri"/>
          <w:lang w:eastAsia="cs-CZ"/>
        </w:rPr>
        <w:t xml:space="preserve"> o 12,5 mil. Kč a ve výkazu zisku a ztráty podhodnotilo zůstatek účtu 551 – </w:t>
      </w:r>
      <w:r w:rsidR="008337FD" w:rsidRPr="007A634E">
        <w:rPr>
          <w:rFonts w:ascii="Calibri" w:hAnsi="Calibri" w:cs="Calibri"/>
          <w:i/>
          <w:lang w:eastAsia="cs-CZ"/>
        </w:rPr>
        <w:t>Odpisy dlouhodobého majetku</w:t>
      </w:r>
      <w:r w:rsidR="008337FD">
        <w:rPr>
          <w:rFonts w:ascii="Calibri" w:hAnsi="Calibri" w:cs="Calibri"/>
          <w:lang w:eastAsia="cs-CZ"/>
        </w:rPr>
        <w:t xml:space="preserve"> o 12,5 mil. Kč. </w:t>
      </w:r>
    </w:p>
    <w:p w14:paraId="3EB3DFF6" w14:textId="77777777" w:rsidR="008C1111" w:rsidRDefault="008C1111" w:rsidP="00C869E4">
      <w:pPr>
        <w:jc w:val="both"/>
        <w:rPr>
          <w:rFonts w:ascii="Calibri" w:hAnsi="Calibri" w:cs="Calibri"/>
          <w:lang w:eastAsia="cs-CZ"/>
        </w:rPr>
      </w:pPr>
    </w:p>
    <w:p w14:paraId="71659D95" w14:textId="4477F9EB" w:rsidR="001D1576" w:rsidRDefault="003205AE" w:rsidP="001D1576">
      <w:pPr>
        <w:jc w:val="both"/>
        <w:rPr>
          <w:rFonts w:asciiTheme="minorHAnsi" w:hAnsiTheme="minorHAnsi"/>
          <w:lang w:eastAsia="cs-CZ"/>
        </w:rPr>
      </w:pPr>
      <w:r>
        <w:rPr>
          <w:rFonts w:asciiTheme="minorHAnsi" w:hAnsiTheme="minorHAnsi"/>
          <w:lang w:eastAsia="cs-CZ"/>
        </w:rPr>
        <w:t xml:space="preserve">V účetním období 2012 </w:t>
      </w:r>
      <w:proofErr w:type="spellStart"/>
      <w:r>
        <w:rPr>
          <w:rFonts w:asciiTheme="minorHAnsi" w:hAnsiTheme="minorHAnsi"/>
          <w:lang w:eastAsia="cs-CZ"/>
        </w:rPr>
        <w:t>M</w:t>
      </w:r>
      <w:r w:rsidR="00846D65">
        <w:rPr>
          <w:rFonts w:asciiTheme="minorHAnsi" w:hAnsiTheme="minorHAnsi"/>
          <w:lang w:eastAsia="cs-CZ"/>
        </w:rPr>
        <w:t>S</w:t>
      </w:r>
      <w:r>
        <w:rPr>
          <w:rFonts w:asciiTheme="minorHAnsi" w:hAnsiTheme="minorHAnsi"/>
          <w:lang w:eastAsia="cs-CZ"/>
        </w:rPr>
        <w:t>p</w:t>
      </w:r>
      <w:proofErr w:type="spellEnd"/>
      <w:r>
        <w:rPr>
          <w:rFonts w:asciiTheme="minorHAnsi" w:hAnsiTheme="minorHAnsi"/>
          <w:lang w:eastAsia="cs-CZ"/>
        </w:rPr>
        <w:t xml:space="preserve"> nesprávně účtovalo o oprávkách k ocenitelným prá</w:t>
      </w:r>
      <w:r w:rsidR="00DE76AC">
        <w:rPr>
          <w:rFonts w:asciiTheme="minorHAnsi" w:hAnsiTheme="minorHAnsi"/>
          <w:lang w:eastAsia="cs-CZ"/>
        </w:rPr>
        <w:t>vům a k </w:t>
      </w:r>
      <w:r>
        <w:rPr>
          <w:rFonts w:asciiTheme="minorHAnsi" w:hAnsiTheme="minorHAnsi"/>
          <w:lang w:eastAsia="cs-CZ"/>
        </w:rPr>
        <w:t>ostatnímu dlouhodobému nehmotnému majetku</w:t>
      </w:r>
      <w:r w:rsidR="00287FEA">
        <w:rPr>
          <w:rFonts w:asciiTheme="minorHAnsi" w:hAnsiTheme="minorHAnsi"/>
          <w:lang w:eastAsia="cs-CZ"/>
        </w:rPr>
        <w:t>, které zpětně dopočetlo</w:t>
      </w:r>
      <w:r w:rsidRPr="00287FEA">
        <w:rPr>
          <w:rFonts w:asciiTheme="minorHAnsi" w:hAnsiTheme="minorHAnsi"/>
          <w:lang w:eastAsia="cs-CZ"/>
        </w:rPr>
        <w:t xml:space="preserve"> k 31. prosinci 2011 dle bodu 7. ČÚS č. 708</w:t>
      </w:r>
      <w:r w:rsidR="00B761A7" w:rsidRPr="001D1576">
        <w:rPr>
          <w:rFonts w:asciiTheme="minorHAnsi" w:hAnsiTheme="minorHAnsi"/>
          <w:lang w:eastAsia="cs-CZ"/>
        </w:rPr>
        <w:t xml:space="preserve"> </w:t>
      </w:r>
      <w:r w:rsidR="00B761A7" w:rsidRPr="00287FEA">
        <w:rPr>
          <w:rFonts w:ascii="Calibri" w:hAnsi="Calibri" w:cs="Calibri"/>
          <w:lang w:eastAsia="cs-CZ"/>
        </w:rPr>
        <w:t xml:space="preserve">– </w:t>
      </w:r>
      <w:r w:rsidR="00B761A7" w:rsidRPr="00287FEA">
        <w:rPr>
          <w:rFonts w:ascii="Calibri" w:hAnsi="Calibri" w:cs="Calibri"/>
          <w:i/>
          <w:lang w:eastAsia="cs-CZ"/>
        </w:rPr>
        <w:t>Odpisování dlouhodobého</w:t>
      </w:r>
      <w:r w:rsidR="00B761A7" w:rsidRPr="001219F1">
        <w:rPr>
          <w:rFonts w:ascii="Calibri" w:hAnsi="Calibri" w:cs="Calibri"/>
          <w:lang w:eastAsia="cs-CZ"/>
        </w:rPr>
        <w:t xml:space="preserve"> </w:t>
      </w:r>
      <w:r w:rsidR="00B761A7" w:rsidRPr="001219F1">
        <w:rPr>
          <w:rFonts w:ascii="Calibri" w:hAnsi="Calibri" w:cs="Calibri"/>
          <w:i/>
          <w:lang w:eastAsia="cs-CZ"/>
        </w:rPr>
        <w:t>majetku</w:t>
      </w:r>
      <w:r w:rsidR="00287FEA" w:rsidRPr="001219F1">
        <w:rPr>
          <w:rFonts w:ascii="Calibri" w:hAnsi="Calibri" w:cs="Calibri"/>
          <w:i/>
          <w:lang w:eastAsia="cs-CZ"/>
        </w:rPr>
        <w:t>.</w:t>
      </w:r>
      <w:r w:rsidRPr="001219F1">
        <w:rPr>
          <w:rFonts w:asciiTheme="minorHAnsi" w:hAnsiTheme="minorHAnsi"/>
          <w:lang w:eastAsia="cs-CZ"/>
        </w:rPr>
        <w:t xml:space="preserve"> </w:t>
      </w:r>
      <w:proofErr w:type="spellStart"/>
      <w:r w:rsidR="001219F1">
        <w:rPr>
          <w:rFonts w:asciiTheme="minorHAnsi" w:hAnsiTheme="minorHAnsi"/>
          <w:lang w:eastAsia="cs-CZ"/>
        </w:rPr>
        <w:t>M</w:t>
      </w:r>
      <w:r w:rsidR="00846D65">
        <w:rPr>
          <w:rFonts w:asciiTheme="minorHAnsi" w:hAnsiTheme="minorHAnsi"/>
          <w:lang w:eastAsia="cs-CZ"/>
        </w:rPr>
        <w:t>S</w:t>
      </w:r>
      <w:r w:rsidR="001219F1">
        <w:rPr>
          <w:rFonts w:asciiTheme="minorHAnsi" w:hAnsiTheme="minorHAnsi"/>
          <w:lang w:eastAsia="cs-CZ"/>
        </w:rPr>
        <w:t>p</w:t>
      </w:r>
      <w:proofErr w:type="spellEnd"/>
      <w:r w:rsidR="001219F1">
        <w:rPr>
          <w:rFonts w:asciiTheme="minorHAnsi" w:hAnsiTheme="minorHAnsi"/>
          <w:lang w:eastAsia="cs-CZ"/>
        </w:rPr>
        <w:t xml:space="preserve"> mělo o této skutečnosti účtovat na účtu 406 </w:t>
      </w:r>
      <w:r w:rsidR="00DE76AC">
        <w:rPr>
          <w:rFonts w:asciiTheme="minorHAnsi" w:hAnsiTheme="minorHAnsi"/>
          <w:lang w:eastAsia="cs-CZ"/>
        </w:rPr>
        <w:t>–</w:t>
      </w:r>
      <w:r w:rsidR="001219F1" w:rsidRPr="001219F1">
        <w:rPr>
          <w:rFonts w:asciiTheme="minorHAnsi" w:hAnsiTheme="minorHAnsi"/>
          <w:i/>
          <w:lang w:eastAsia="cs-CZ"/>
        </w:rPr>
        <w:t xml:space="preserve"> Oceňovací rozdíly při změně metody</w:t>
      </w:r>
      <w:r w:rsidR="001219F1">
        <w:rPr>
          <w:rFonts w:asciiTheme="minorHAnsi" w:hAnsiTheme="minorHAnsi"/>
          <w:lang w:eastAsia="cs-CZ"/>
        </w:rPr>
        <w:t xml:space="preserve">. </w:t>
      </w:r>
      <w:r w:rsidR="00371FC4">
        <w:rPr>
          <w:rFonts w:asciiTheme="minorHAnsi" w:hAnsiTheme="minorHAnsi"/>
          <w:lang w:eastAsia="cs-CZ"/>
        </w:rPr>
        <w:t>Ú</w:t>
      </w:r>
      <w:r w:rsidR="001219F1">
        <w:rPr>
          <w:rFonts w:asciiTheme="minorHAnsi" w:hAnsiTheme="minorHAnsi"/>
          <w:lang w:eastAsia="cs-CZ"/>
        </w:rPr>
        <w:t>čtovalo</w:t>
      </w:r>
      <w:r w:rsidR="00371FC4">
        <w:rPr>
          <w:rFonts w:asciiTheme="minorHAnsi" w:hAnsiTheme="minorHAnsi"/>
          <w:lang w:eastAsia="cs-CZ"/>
        </w:rPr>
        <w:t xml:space="preserve"> ale</w:t>
      </w:r>
      <w:r w:rsidR="001219F1">
        <w:rPr>
          <w:rFonts w:asciiTheme="minorHAnsi" w:hAnsiTheme="minorHAnsi"/>
          <w:lang w:eastAsia="cs-CZ"/>
        </w:rPr>
        <w:t xml:space="preserve"> nesprávně </w:t>
      </w:r>
      <w:r w:rsidRPr="001219F1">
        <w:rPr>
          <w:rFonts w:asciiTheme="minorHAnsi" w:hAnsiTheme="minorHAnsi"/>
          <w:lang w:eastAsia="cs-CZ"/>
        </w:rPr>
        <w:t xml:space="preserve">na účtu 408 – </w:t>
      </w:r>
      <w:r w:rsidRPr="001219F1">
        <w:rPr>
          <w:rFonts w:asciiTheme="minorHAnsi" w:hAnsiTheme="minorHAnsi"/>
          <w:i/>
          <w:lang w:eastAsia="cs-CZ"/>
        </w:rPr>
        <w:t>Opravy minulých období</w:t>
      </w:r>
      <w:r w:rsidRPr="001219F1">
        <w:rPr>
          <w:rFonts w:asciiTheme="minorHAnsi" w:hAnsiTheme="minorHAnsi"/>
          <w:lang w:eastAsia="cs-CZ"/>
        </w:rPr>
        <w:t xml:space="preserve"> </w:t>
      </w:r>
      <w:r w:rsidR="001219F1">
        <w:rPr>
          <w:rFonts w:asciiTheme="minorHAnsi" w:hAnsiTheme="minorHAnsi"/>
          <w:lang w:eastAsia="cs-CZ"/>
        </w:rPr>
        <w:t xml:space="preserve">a v důsledku této </w:t>
      </w:r>
      <w:r w:rsidR="00371FC4">
        <w:rPr>
          <w:rFonts w:asciiTheme="minorHAnsi" w:hAnsiTheme="minorHAnsi"/>
          <w:lang w:eastAsia="cs-CZ"/>
        </w:rPr>
        <w:t>skutečnosti</w:t>
      </w:r>
      <w:r w:rsidRPr="001219F1">
        <w:rPr>
          <w:rFonts w:asciiTheme="minorHAnsi" w:hAnsiTheme="minorHAnsi"/>
          <w:lang w:eastAsia="cs-CZ"/>
        </w:rPr>
        <w:t xml:space="preserve"> podhodnotilo</w:t>
      </w:r>
      <w:r w:rsidR="001219F1">
        <w:rPr>
          <w:rFonts w:asciiTheme="minorHAnsi" w:hAnsiTheme="minorHAnsi"/>
          <w:lang w:eastAsia="cs-CZ"/>
        </w:rPr>
        <w:t xml:space="preserve"> ve výkazu rozvaha </w:t>
      </w:r>
      <w:r w:rsidRPr="001219F1">
        <w:rPr>
          <w:rFonts w:asciiTheme="minorHAnsi" w:hAnsiTheme="minorHAnsi"/>
          <w:lang w:eastAsia="cs-CZ"/>
        </w:rPr>
        <w:t>zůstatek účtu 408</w:t>
      </w:r>
      <w:r w:rsidR="00F06A9B" w:rsidRPr="001D1576">
        <w:rPr>
          <w:rFonts w:asciiTheme="minorHAnsi" w:hAnsiTheme="minorHAnsi"/>
          <w:lang w:eastAsia="cs-CZ"/>
        </w:rPr>
        <w:t xml:space="preserve"> </w:t>
      </w:r>
      <w:r w:rsidR="00DE76AC">
        <w:rPr>
          <w:rFonts w:asciiTheme="minorHAnsi" w:hAnsiTheme="minorHAnsi"/>
          <w:lang w:eastAsia="cs-CZ"/>
        </w:rPr>
        <w:t>–</w:t>
      </w:r>
      <w:r w:rsidR="00F06A9B" w:rsidRPr="001D1576">
        <w:rPr>
          <w:rFonts w:asciiTheme="minorHAnsi" w:hAnsiTheme="minorHAnsi"/>
          <w:lang w:eastAsia="cs-CZ"/>
        </w:rPr>
        <w:t xml:space="preserve"> </w:t>
      </w:r>
      <w:r w:rsidR="00F06A9B" w:rsidRPr="001D1576">
        <w:rPr>
          <w:rFonts w:asciiTheme="minorHAnsi" w:hAnsiTheme="minorHAnsi"/>
          <w:i/>
          <w:lang w:eastAsia="cs-CZ"/>
        </w:rPr>
        <w:t xml:space="preserve">Opravy </w:t>
      </w:r>
      <w:r w:rsidR="001F4F9E">
        <w:rPr>
          <w:rFonts w:asciiTheme="minorHAnsi" w:hAnsiTheme="minorHAnsi"/>
          <w:i/>
          <w:lang w:eastAsia="cs-CZ"/>
        </w:rPr>
        <w:t>předcházejících účetních</w:t>
      </w:r>
      <w:r w:rsidR="00F06A9B" w:rsidRPr="001D1576">
        <w:rPr>
          <w:rFonts w:asciiTheme="minorHAnsi" w:hAnsiTheme="minorHAnsi"/>
          <w:i/>
          <w:lang w:eastAsia="cs-CZ"/>
        </w:rPr>
        <w:t xml:space="preserve"> období</w:t>
      </w:r>
      <w:r w:rsidR="00F06A9B" w:rsidRPr="001D1576">
        <w:rPr>
          <w:rFonts w:asciiTheme="minorHAnsi" w:hAnsiTheme="minorHAnsi"/>
          <w:lang w:eastAsia="cs-CZ"/>
        </w:rPr>
        <w:t xml:space="preserve"> </w:t>
      </w:r>
      <w:r w:rsidRPr="00287FEA">
        <w:rPr>
          <w:rFonts w:asciiTheme="minorHAnsi" w:hAnsiTheme="minorHAnsi"/>
          <w:lang w:eastAsia="cs-CZ"/>
        </w:rPr>
        <w:t>o 44,4 mil. Kč a o stejnou částku nadhodnotilo zůstatek účtu 406</w:t>
      </w:r>
      <w:r w:rsidR="00F06A9B" w:rsidRPr="001D1576">
        <w:rPr>
          <w:rFonts w:asciiTheme="minorHAnsi" w:hAnsiTheme="minorHAnsi"/>
          <w:lang w:eastAsia="cs-CZ"/>
        </w:rPr>
        <w:t xml:space="preserve"> </w:t>
      </w:r>
      <w:r w:rsidR="00DE76AC">
        <w:rPr>
          <w:rFonts w:asciiTheme="minorHAnsi" w:hAnsiTheme="minorHAnsi"/>
          <w:lang w:eastAsia="cs-CZ"/>
        </w:rPr>
        <w:t>–</w:t>
      </w:r>
      <w:r w:rsidR="00F06A9B" w:rsidRPr="001D1576">
        <w:rPr>
          <w:rFonts w:asciiTheme="minorHAnsi" w:hAnsiTheme="minorHAnsi"/>
          <w:lang w:eastAsia="cs-CZ"/>
        </w:rPr>
        <w:t xml:space="preserve"> </w:t>
      </w:r>
      <w:r w:rsidR="00F06A9B" w:rsidRPr="001D1576">
        <w:rPr>
          <w:rFonts w:asciiTheme="minorHAnsi" w:hAnsiTheme="minorHAnsi"/>
          <w:i/>
          <w:lang w:eastAsia="cs-CZ"/>
        </w:rPr>
        <w:t xml:space="preserve">Oceňovací rozdíly při </w:t>
      </w:r>
      <w:r w:rsidR="001F4F9E">
        <w:rPr>
          <w:rFonts w:asciiTheme="minorHAnsi" w:hAnsiTheme="minorHAnsi"/>
          <w:i/>
          <w:lang w:eastAsia="cs-CZ"/>
        </w:rPr>
        <w:t>prvotním použití</w:t>
      </w:r>
      <w:r w:rsidR="00F06A9B" w:rsidRPr="001D1576">
        <w:rPr>
          <w:rFonts w:asciiTheme="minorHAnsi" w:hAnsiTheme="minorHAnsi"/>
          <w:i/>
          <w:lang w:eastAsia="cs-CZ"/>
        </w:rPr>
        <w:t xml:space="preserve"> metody</w:t>
      </w:r>
      <w:r w:rsidRPr="00287FEA">
        <w:rPr>
          <w:rFonts w:asciiTheme="minorHAnsi" w:hAnsiTheme="minorHAnsi"/>
          <w:lang w:eastAsia="cs-CZ"/>
        </w:rPr>
        <w:t>.</w:t>
      </w:r>
    </w:p>
    <w:p w14:paraId="64B6C775" w14:textId="6D99E876" w:rsidR="008337FD" w:rsidRPr="001D1576" w:rsidRDefault="008337FD" w:rsidP="001D1576">
      <w:pPr>
        <w:jc w:val="both"/>
        <w:rPr>
          <w:rFonts w:asciiTheme="minorHAnsi" w:hAnsiTheme="minorHAnsi"/>
          <w:lang w:eastAsia="cs-CZ"/>
        </w:rPr>
      </w:pPr>
    </w:p>
    <w:p w14:paraId="530EB50F" w14:textId="62633898" w:rsidR="008337FD" w:rsidRDefault="008337FD" w:rsidP="00C869E4">
      <w:pPr>
        <w:pStyle w:val="Odstavecseseznamem"/>
        <w:keepNext/>
        <w:numPr>
          <w:ilvl w:val="0"/>
          <w:numId w:val="42"/>
        </w:numPr>
        <w:spacing w:after="120"/>
        <w:ind w:left="714" w:hanging="357"/>
        <w:jc w:val="both"/>
        <w:rPr>
          <w:rFonts w:ascii="Calibri" w:hAnsi="Calibri" w:cs="Calibri"/>
          <w:b/>
          <w:lang w:eastAsia="cs-CZ"/>
        </w:rPr>
      </w:pPr>
      <w:r>
        <w:rPr>
          <w:rFonts w:ascii="Calibri" w:hAnsi="Calibri" w:cs="Calibri"/>
          <w:b/>
          <w:lang w:eastAsia="cs-CZ"/>
        </w:rPr>
        <w:lastRenderedPageBreak/>
        <w:t>Neodpisování dlouhodobého majetku po celou dobu jeho používání</w:t>
      </w:r>
    </w:p>
    <w:p w14:paraId="5EA3EC78" w14:textId="77777777" w:rsidR="008C1111" w:rsidRDefault="008337FD" w:rsidP="00C869E4">
      <w:pPr>
        <w:spacing w:before="40"/>
        <w:jc w:val="both"/>
        <w:rPr>
          <w:rFonts w:ascii="Calibri" w:hAnsi="Calibri" w:cs="Calibri"/>
          <w:lang w:eastAsia="cs-CZ"/>
        </w:rPr>
      </w:pPr>
      <w:r w:rsidRPr="004838EB">
        <w:rPr>
          <w:rFonts w:ascii="Calibri" w:hAnsi="Calibri" w:cs="Calibri"/>
          <w:lang w:eastAsia="cs-CZ"/>
        </w:rPr>
        <w:t>Vyhláška č. 410/2009 Sb. a ČÚS č. 708</w:t>
      </w:r>
      <w:r w:rsidR="00B761A7">
        <w:rPr>
          <w:rFonts w:ascii="Calibri" w:hAnsi="Calibri" w:cs="Calibri"/>
          <w:lang w:eastAsia="cs-CZ"/>
        </w:rPr>
        <w:t xml:space="preserve"> – </w:t>
      </w:r>
      <w:r w:rsidR="00B761A7" w:rsidRPr="00252196">
        <w:rPr>
          <w:rFonts w:ascii="Calibri" w:hAnsi="Calibri" w:cs="Calibri"/>
          <w:i/>
          <w:lang w:eastAsia="cs-CZ"/>
        </w:rPr>
        <w:t>Odpisování dlouhodobého</w:t>
      </w:r>
      <w:r w:rsidR="00B761A7">
        <w:rPr>
          <w:rFonts w:ascii="Calibri" w:hAnsi="Calibri" w:cs="Calibri"/>
          <w:lang w:eastAsia="cs-CZ"/>
        </w:rPr>
        <w:t xml:space="preserve"> </w:t>
      </w:r>
      <w:r w:rsidR="00B761A7" w:rsidRPr="00252196">
        <w:rPr>
          <w:rFonts w:ascii="Calibri" w:hAnsi="Calibri" w:cs="Calibri"/>
          <w:i/>
          <w:lang w:eastAsia="cs-CZ"/>
        </w:rPr>
        <w:t>majetku</w:t>
      </w:r>
      <w:r w:rsidRPr="004838EB">
        <w:rPr>
          <w:rFonts w:ascii="Calibri" w:hAnsi="Calibri" w:cs="Calibri"/>
          <w:lang w:eastAsia="cs-CZ"/>
        </w:rPr>
        <w:t xml:space="preserve"> </w:t>
      </w:r>
      <w:r w:rsidR="0022032E">
        <w:rPr>
          <w:rFonts w:ascii="Calibri" w:hAnsi="Calibri" w:cs="Calibri"/>
          <w:lang w:eastAsia="cs-CZ"/>
        </w:rPr>
        <w:t>stanovují povinnost</w:t>
      </w:r>
      <w:r>
        <w:rPr>
          <w:rFonts w:ascii="Calibri" w:hAnsi="Calibri" w:cs="Calibri"/>
          <w:lang w:eastAsia="cs-CZ"/>
        </w:rPr>
        <w:t xml:space="preserve"> odpisovat dlouhodobý majetek po celou dobu jeho používání.</w:t>
      </w:r>
    </w:p>
    <w:p w14:paraId="7644ED51" w14:textId="1BC26FA4" w:rsidR="008337FD" w:rsidRDefault="008337FD" w:rsidP="00C869E4">
      <w:pPr>
        <w:jc w:val="both"/>
        <w:rPr>
          <w:rFonts w:ascii="Calibri" w:hAnsi="Calibri" w:cs="Calibri"/>
          <w:lang w:eastAsia="cs-CZ"/>
        </w:rPr>
      </w:pPr>
    </w:p>
    <w:p w14:paraId="4D5139B5" w14:textId="77777777" w:rsidR="0022032E" w:rsidRDefault="008337FD" w:rsidP="00C869E4">
      <w:pPr>
        <w:spacing w:after="120"/>
        <w:jc w:val="both"/>
        <w:rPr>
          <w:rFonts w:ascii="Calibri" w:hAnsi="Calibri" w:cs="Calibri"/>
          <w:lang w:eastAsia="cs-CZ"/>
        </w:rPr>
      </w:pPr>
      <w:r>
        <w:rPr>
          <w:rFonts w:ascii="Calibri" w:hAnsi="Calibri" w:cs="Calibri"/>
          <w:lang w:eastAsia="cs-CZ"/>
        </w:rPr>
        <w:t>Kontrolní akc</w:t>
      </w:r>
      <w:r w:rsidR="00C46242">
        <w:rPr>
          <w:rFonts w:ascii="Calibri" w:hAnsi="Calibri" w:cs="Calibri"/>
          <w:lang w:eastAsia="cs-CZ"/>
        </w:rPr>
        <w:t>í bylo na</w:t>
      </w:r>
      <w:r>
        <w:rPr>
          <w:rFonts w:ascii="Calibri" w:hAnsi="Calibri" w:cs="Calibri"/>
          <w:lang w:eastAsia="cs-CZ"/>
        </w:rPr>
        <w:t xml:space="preserve"> vzorku majetkových položek</w:t>
      </w:r>
      <w:r w:rsidR="00C46242">
        <w:rPr>
          <w:rFonts w:ascii="Calibri" w:hAnsi="Calibri" w:cs="Calibri"/>
          <w:lang w:eastAsia="cs-CZ"/>
        </w:rPr>
        <w:t xml:space="preserve"> zjištěno</w:t>
      </w:r>
      <w:r>
        <w:rPr>
          <w:rFonts w:ascii="Calibri" w:hAnsi="Calibri" w:cs="Calibri"/>
          <w:lang w:eastAsia="cs-CZ"/>
        </w:rPr>
        <w:t xml:space="preserve">, že </w:t>
      </w:r>
      <w:proofErr w:type="spellStart"/>
      <w:r>
        <w:rPr>
          <w:rFonts w:ascii="Calibri" w:hAnsi="Calibri" w:cs="Calibri"/>
          <w:lang w:eastAsia="cs-CZ"/>
        </w:rPr>
        <w:t>MSp</w:t>
      </w:r>
      <w:proofErr w:type="spellEnd"/>
      <w:r>
        <w:rPr>
          <w:rFonts w:ascii="Calibri" w:hAnsi="Calibri" w:cs="Calibri"/>
          <w:lang w:eastAsia="cs-CZ"/>
        </w:rPr>
        <w:t xml:space="preserve"> neodpisovalo dlouhodobý majetek po celou dobu jeho používání. </w:t>
      </w:r>
      <w:r w:rsidR="001D1576">
        <w:rPr>
          <w:rFonts w:ascii="Calibri" w:hAnsi="Calibri" w:cs="Calibri"/>
          <w:lang w:eastAsia="cs-CZ"/>
        </w:rPr>
        <w:t>Například:</w:t>
      </w:r>
    </w:p>
    <w:p w14:paraId="401FA334" w14:textId="2D2DE61F" w:rsidR="008337FD" w:rsidRPr="001D1576" w:rsidRDefault="00FB1139" w:rsidP="001D1576">
      <w:pPr>
        <w:pStyle w:val="Odstavecseseznamem"/>
        <w:numPr>
          <w:ilvl w:val="0"/>
          <w:numId w:val="46"/>
        </w:numPr>
        <w:spacing w:before="40"/>
        <w:jc w:val="both"/>
        <w:rPr>
          <w:rFonts w:ascii="Calibri" w:hAnsi="Calibri" w:cs="Calibri"/>
          <w:lang w:eastAsia="cs-CZ"/>
        </w:rPr>
      </w:pPr>
      <w:proofErr w:type="spellStart"/>
      <w:r w:rsidRPr="001D1576">
        <w:rPr>
          <w:rFonts w:ascii="Calibri" w:hAnsi="Calibri" w:cs="Calibri"/>
          <w:lang w:eastAsia="cs-CZ"/>
        </w:rPr>
        <w:t>MSp</w:t>
      </w:r>
      <w:proofErr w:type="spellEnd"/>
      <w:r>
        <w:rPr>
          <w:rFonts w:ascii="Calibri" w:hAnsi="Calibri" w:cs="Calibri"/>
          <w:lang w:eastAsia="cs-CZ"/>
        </w:rPr>
        <w:t xml:space="preserve"> </w:t>
      </w:r>
      <w:r w:rsidR="008337FD" w:rsidRPr="001D1576">
        <w:rPr>
          <w:rFonts w:ascii="Calibri" w:hAnsi="Calibri" w:cs="Calibri"/>
          <w:lang w:eastAsia="cs-CZ"/>
        </w:rPr>
        <w:t>dlouhodob</w:t>
      </w:r>
      <w:r w:rsidR="0022032E">
        <w:rPr>
          <w:rFonts w:ascii="Calibri" w:hAnsi="Calibri" w:cs="Calibri"/>
          <w:lang w:eastAsia="cs-CZ"/>
        </w:rPr>
        <w:t>ý</w:t>
      </w:r>
      <w:r w:rsidR="008337FD" w:rsidRPr="001D1576">
        <w:rPr>
          <w:rFonts w:ascii="Calibri" w:hAnsi="Calibri" w:cs="Calibri"/>
          <w:lang w:eastAsia="cs-CZ"/>
        </w:rPr>
        <w:t xml:space="preserve"> nehmotn</w:t>
      </w:r>
      <w:r w:rsidR="0022032E">
        <w:rPr>
          <w:rFonts w:ascii="Calibri" w:hAnsi="Calibri" w:cs="Calibri"/>
          <w:lang w:eastAsia="cs-CZ"/>
        </w:rPr>
        <w:t>ý</w:t>
      </w:r>
      <w:r w:rsidR="008337FD" w:rsidRPr="001D1576">
        <w:rPr>
          <w:rFonts w:ascii="Calibri" w:hAnsi="Calibri" w:cs="Calibri"/>
          <w:lang w:eastAsia="cs-CZ"/>
        </w:rPr>
        <w:t xml:space="preserve"> majet</w:t>
      </w:r>
      <w:r w:rsidR="0022032E">
        <w:rPr>
          <w:rFonts w:ascii="Calibri" w:hAnsi="Calibri" w:cs="Calibri"/>
          <w:lang w:eastAsia="cs-CZ"/>
        </w:rPr>
        <w:t>e</w:t>
      </w:r>
      <w:r w:rsidR="008337FD" w:rsidRPr="001D1576">
        <w:rPr>
          <w:rFonts w:ascii="Calibri" w:hAnsi="Calibri" w:cs="Calibri"/>
          <w:lang w:eastAsia="cs-CZ"/>
        </w:rPr>
        <w:t xml:space="preserve">k </w:t>
      </w:r>
      <w:r w:rsidR="0022032E" w:rsidRPr="001D1576">
        <w:rPr>
          <w:rFonts w:ascii="Calibri" w:hAnsi="Calibri" w:cs="Calibri"/>
          <w:lang w:eastAsia="cs-CZ"/>
        </w:rPr>
        <w:t>používan</w:t>
      </w:r>
      <w:r w:rsidR="0022032E">
        <w:rPr>
          <w:rFonts w:ascii="Calibri" w:hAnsi="Calibri" w:cs="Calibri"/>
          <w:lang w:eastAsia="cs-CZ"/>
        </w:rPr>
        <w:t>ý</w:t>
      </w:r>
      <w:r w:rsidR="008337FD" w:rsidRPr="001D1576">
        <w:rPr>
          <w:rFonts w:ascii="Calibri" w:hAnsi="Calibri" w:cs="Calibri"/>
          <w:lang w:eastAsia="cs-CZ"/>
        </w:rPr>
        <w:t xml:space="preserve"> pro administrativu soudů </w:t>
      </w:r>
      <w:r w:rsidRPr="001D1576">
        <w:rPr>
          <w:rFonts w:ascii="Calibri" w:hAnsi="Calibri" w:cs="Calibri"/>
          <w:lang w:eastAsia="cs-CZ"/>
        </w:rPr>
        <w:t xml:space="preserve">vůbec </w:t>
      </w:r>
      <w:r w:rsidR="0022032E">
        <w:rPr>
          <w:rFonts w:ascii="Calibri" w:hAnsi="Calibri" w:cs="Calibri"/>
          <w:lang w:eastAsia="cs-CZ"/>
        </w:rPr>
        <w:t>v účetním období 2012 a 2014</w:t>
      </w:r>
      <w:r w:rsidR="008337FD" w:rsidRPr="001D1576">
        <w:rPr>
          <w:rFonts w:ascii="Calibri" w:hAnsi="Calibri" w:cs="Calibri"/>
          <w:lang w:eastAsia="cs-CZ"/>
        </w:rPr>
        <w:t xml:space="preserve"> neodpisovalo, přestože jej používalo</w:t>
      </w:r>
      <w:r>
        <w:rPr>
          <w:rFonts w:ascii="Calibri" w:hAnsi="Calibri" w:cs="Calibri"/>
          <w:lang w:eastAsia="cs-CZ"/>
        </w:rPr>
        <w:t>.</w:t>
      </w:r>
      <w:r w:rsidR="001D1576">
        <w:rPr>
          <w:rFonts w:ascii="Calibri" w:hAnsi="Calibri" w:cs="Calibri"/>
          <w:lang w:eastAsia="cs-CZ"/>
        </w:rPr>
        <w:t xml:space="preserve"> </w:t>
      </w:r>
      <w:r>
        <w:rPr>
          <w:rFonts w:ascii="Calibri" w:hAnsi="Calibri" w:cs="Calibri"/>
          <w:lang w:eastAsia="cs-CZ"/>
        </w:rPr>
        <w:t>D</w:t>
      </w:r>
      <w:r w:rsidR="001D1576">
        <w:rPr>
          <w:rFonts w:ascii="Calibri" w:hAnsi="Calibri" w:cs="Calibri"/>
          <w:lang w:eastAsia="cs-CZ"/>
        </w:rPr>
        <w:t>ů</w:t>
      </w:r>
      <w:r w:rsidR="008337FD" w:rsidRPr="001D1576">
        <w:rPr>
          <w:rFonts w:ascii="Calibri" w:hAnsi="Calibri" w:cs="Calibri"/>
          <w:lang w:eastAsia="cs-CZ"/>
        </w:rPr>
        <w:t xml:space="preserve">vodem neodpisování byla zejména skutečnost, že </w:t>
      </w:r>
      <w:proofErr w:type="spellStart"/>
      <w:r w:rsidR="008337FD" w:rsidRPr="001D1576">
        <w:rPr>
          <w:rFonts w:ascii="Calibri" w:hAnsi="Calibri" w:cs="Calibri"/>
          <w:lang w:eastAsia="cs-CZ"/>
        </w:rPr>
        <w:t>MSp</w:t>
      </w:r>
      <w:proofErr w:type="spellEnd"/>
      <w:r w:rsidR="008337FD" w:rsidRPr="001D1576">
        <w:rPr>
          <w:rFonts w:ascii="Calibri" w:hAnsi="Calibri" w:cs="Calibri"/>
          <w:lang w:eastAsia="cs-CZ"/>
        </w:rPr>
        <w:t xml:space="preserve"> </w:t>
      </w:r>
      <w:r w:rsidR="00B761A7">
        <w:rPr>
          <w:rFonts w:ascii="Calibri" w:hAnsi="Calibri" w:cs="Calibri"/>
          <w:lang w:eastAsia="cs-CZ"/>
        </w:rPr>
        <w:t>velkou část</w:t>
      </w:r>
      <w:r w:rsidR="008337FD" w:rsidRPr="001D1576">
        <w:rPr>
          <w:rFonts w:ascii="Calibri" w:hAnsi="Calibri" w:cs="Calibri"/>
          <w:lang w:eastAsia="cs-CZ"/>
        </w:rPr>
        <w:t xml:space="preserve"> majetk</w:t>
      </w:r>
      <w:r w:rsidR="00B761A7">
        <w:rPr>
          <w:rFonts w:ascii="Calibri" w:hAnsi="Calibri" w:cs="Calibri"/>
          <w:lang w:eastAsia="cs-CZ"/>
        </w:rPr>
        <w:t>u</w:t>
      </w:r>
      <w:r w:rsidR="008337FD" w:rsidRPr="001D1576">
        <w:rPr>
          <w:rFonts w:ascii="Calibri" w:hAnsi="Calibri" w:cs="Calibri"/>
          <w:lang w:eastAsia="cs-CZ"/>
        </w:rPr>
        <w:t xml:space="preserve"> odepsalo již v roce 2011, neboť neprovádělo kvalifikované odhady zbývající doby používání</w:t>
      </w:r>
      <w:r w:rsidR="00B761A7">
        <w:rPr>
          <w:rFonts w:ascii="Calibri" w:hAnsi="Calibri" w:cs="Calibri"/>
          <w:lang w:eastAsia="cs-CZ"/>
        </w:rPr>
        <w:t>,</w:t>
      </w:r>
      <w:r w:rsidR="001D1576">
        <w:rPr>
          <w:rFonts w:ascii="Calibri" w:hAnsi="Calibri" w:cs="Calibri"/>
          <w:lang w:eastAsia="cs-CZ"/>
        </w:rPr>
        <w:t xml:space="preserve"> </w:t>
      </w:r>
      <w:r w:rsidR="008337FD" w:rsidRPr="001D1576">
        <w:rPr>
          <w:rFonts w:ascii="Calibri" w:hAnsi="Calibri" w:cs="Calibri"/>
          <w:lang w:eastAsia="cs-CZ"/>
        </w:rPr>
        <w:t>průběžně nezjišťovalo, zda předpokládaná doba používání majetku odpovídá odpisovému plánu</w:t>
      </w:r>
      <w:r>
        <w:rPr>
          <w:rFonts w:ascii="Calibri" w:hAnsi="Calibri" w:cs="Calibri"/>
          <w:lang w:eastAsia="cs-CZ"/>
        </w:rPr>
        <w:t>,</w:t>
      </w:r>
      <w:r w:rsidR="008337FD" w:rsidRPr="001D1576">
        <w:rPr>
          <w:rFonts w:ascii="Calibri" w:hAnsi="Calibri" w:cs="Calibri"/>
          <w:lang w:eastAsia="cs-CZ"/>
        </w:rPr>
        <w:t xml:space="preserve"> a</w:t>
      </w:r>
      <w:r w:rsidR="0099799D">
        <w:rPr>
          <w:rFonts w:ascii="Calibri" w:hAnsi="Calibri" w:cs="Calibri"/>
          <w:lang w:eastAsia="cs-CZ"/>
        </w:rPr>
        <w:t xml:space="preserve"> následně tak ani</w:t>
      </w:r>
      <w:r w:rsidR="008337FD" w:rsidRPr="001D1576">
        <w:rPr>
          <w:rFonts w:ascii="Calibri" w:hAnsi="Calibri" w:cs="Calibri"/>
          <w:lang w:eastAsia="cs-CZ"/>
        </w:rPr>
        <w:t xml:space="preserve"> nezohledňovalo tuto skutečnost </w:t>
      </w:r>
      <w:r w:rsidR="0099799D">
        <w:rPr>
          <w:rFonts w:ascii="Calibri" w:hAnsi="Calibri" w:cs="Calibri"/>
          <w:lang w:eastAsia="cs-CZ"/>
        </w:rPr>
        <w:t>v odpisových plánech</w:t>
      </w:r>
      <w:r w:rsidR="001D1576">
        <w:rPr>
          <w:rFonts w:ascii="Calibri" w:hAnsi="Calibri" w:cs="Calibri"/>
          <w:lang w:eastAsia="cs-CZ"/>
        </w:rPr>
        <w:t xml:space="preserve"> </w:t>
      </w:r>
      <w:r w:rsidR="004D2D30">
        <w:rPr>
          <w:rFonts w:ascii="Calibri" w:hAnsi="Calibri" w:cs="Calibri"/>
          <w:lang w:eastAsia="cs-CZ"/>
        </w:rPr>
        <w:t>u </w:t>
      </w:r>
      <w:r w:rsidR="00B761A7">
        <w:rPr>
          <w:rFonts w:ascii="Calibri" w:hAnsi="Calibri" w:cs="Calibri"/>
          <w:lang w:eastAsia="cs-CZ"/>
        </w:rPr>
        <w:t>jednotlivého majetku</w:t>
      </w:r>
      <w:r>
        <w:rPr>
          <w:rFonts w:ascii="Calibri" w:hAnsi="Calibri" w:cs="Calibri"/>
          <w:lang w:eastAsia="cs-CZ"/>
        </w:rPr>
        <w:t>.</w:t>
      </w:r>
      <w:r w:rsidR="008337FD" w:rsidRPr="001D1576">
        <w:rPr>
          <w:rFonts w:ascii="Calibri" w:hAnsi="Calibri" w:cs="Calibri"/>
          <w:lang w:eastAsia="cs-CZ"/>
        </w:rPr>
        <w:t xml:space="preserve"> </w:t>
      </w:r>
    </w:p>
    <w:p w14:paraId="18C4E28D" w14:textId="64F2AE25" w:rsidR="008337FD" w:rsidRPr="001D1576" w:rsidRDefault="00FB1139" w:rsidP="00C869E4">
      <w:pPr>
        <w:pStyle w:val="Odstavecseseznamem"/>
        <w:numPr>
          <w:ilvl w:val="0"/>
          <w:numId w:val="46"/>
        </w:numPr>
        <w:jc w:val="both"/>
        <w:rPr>
          <w:rFonts w:ascii="Calibri" w:hAnsi="Calibri" w:cs="Calibri"/>
          <w:lang w:eastAsia="cs-CZ"/>
        </w:rPr>
      </w:pPr>
      <w:r>
        <w:rPr>
          <w:rFonts w:ascii="Calibri" w:hAnsi="Calibri" w:cs="Calibri"/>
          <w:lang w:eastAsia="cs-CZ"/>
        </w:rPr>
        <w:t>U</w:t>
      </w:r>
      <w:r w:rsidR="008337FD" w:rsidRPr="001D1576">
        <w:rPr>
          <w:rFonts w:ascii="Calibri" w:hAnsi="Calibri" w:cs="Calibri"/>
          <w:lang w:eastAsia="cs-CZ"/>
        </w:rPr>
        <w:t xml:space="preserve"> některých majetkových položek</w:t>
      </w:r>
      <w:r w:rsidR="004E2931">
        <w:rPr>
          <w:rFonts w:ascii="Calibri" w:hAnsi="Calibri" w:cs="Calibri"/>
          <w:lang w:eastAsia="cs-CZ"/>
        </w:rPr>
        <w:t xml:space="preserve"> </w:t>
      </w:r>
      <w:r w:rsidR="008337FD" w:rsidRPr="001D1576">
        <w:rPr>
          <w:rFonts w:ascii="Calibri" w:hAnsi="Calibri" w:cs="Calibri"/>
          <w:lang w:eastAsia="cs-CZ"/>
        </w:rPr>
        <w:t xml:space="preserve">neodpisovalo </w:t>
      </w:r>
      <w:proofErr w:type="spellStart"/>
      <w:r>
        <w:rPr>
          <w:rFonts w:ascii="Calibri" w:hAnsi="Calibri" w:cs="Calibri"/>
          <w:lang w:eastAsia="cs-CZ"/>
        </w:rPr>
        <w:t>MSp</w:t>
      </w:r>
      <w:proofErr w:type="spellEnd"/>
      <w:r w:rsidRPr="001D1576">
        <w:rPr>
          <w:rFonts w:ascii="Calibri" w:hAnsi="Calibri" w:cs="Calibri"/>
          <w:lang w:eastAsia="cs-CZ"/>
        </w:rPr>
        <w:t xml:space="preserve"> </w:t>
      </w:r>
      <w:r w:rsidR="008337FD" w:rsidRPr="001D1576">
        <w:rPr>
          <w:rFonts w:ascii="Calibri" w:hAnsi="Calibri" w:cs="Calibri"/>
          <w:lang w:eastAsia="cs-CZ"/>
        </w:rPr>
        <w:t xml:space="preserve">technické zhodnocení po celou dobu jeho používání, </w:t>
      </w:r>
      <w:r w:rsidR="0099799D">
        <w:rPr>
          <w:rFonts w:ascii="Calibri" w:hAnsi="Calibri" w:cs="Calibri"/>
          <w:lang w:eastAsia="cs-CZ"/>
        </w:rPr>
        <w:t>ale</w:t>
      </w:r>
      <w:r w:rsidR="008337FD" w:rsidRPr="001D1576">
        <w:rPr>
          <w:rFonts w:ascii="Calibri" w:hAnsi="Calibri" w:cs="Calibri"/>
          <w:lang w:eastAsia="cs-CZ"/>
        </w:rPr>
        <w:t xml:space="preserve"> odepsalo</w:t>
      </w:r>
      <w:r w:rsidR="0099799D">
        <w:rPr>
          <w:rFonts w:ascii="Calibri" w:hAnsi="Calibri" w:cs="Calibri"/>
          <w:lang w:eastAsia="cs-CZ"/>
        </w:rPr>
        <w:t xml:space="preserve"> ho</w:t>
      </w:r>
      <w:r w:rsidR="008337FD" w:rsidRPr="001D1576">
        <w:rPr>
          <w:rFonts w:ascii="Calibri" w:hAnsi="Calibri" w:cs="Calibri"/>
          <w:lang w:eastAsia="cs-CZ"/>
        </w:rPr>
        <w:t xml:space="preserve"> jednorázově</w:t>
      </w:r>
      <w:r>
        <w:rPr>
          <w:rFonts w:ascii="Calibri" w:hAnsi="Calibri" w:cs="Calibri"/>
          <w:lang w:eastAsia="cs-CZ"/>
        </w:rPr>
        <w:t>,</w:t>
      </w:r>
      <w:r w:rsidR="008337FD" w:rsidRPr="001D1576">
        <w:rPr>
          <w:rFonts w:ascii="Calibri" w:hAnsi="Calibri" w:cs="Calibri"/>
          <w:lang w:eastAsia="cs-CZ"/>
        </w:rPr>
        <w:t xml:space="preserve"> a to do výše 95 % hodnoty provedeného technického zhodnocení</w:t>
      </w:r>
      <w:r>
        <w:rPr>
          <w:rFonts w:ascii="Calibri" w:hAnsi="Calibri" w:cs="Calibri"/>
          <w:lang w:eastAsia="cs-CZ"/>
        </w:rPr>
        <w:t>.</w:t>
      </w:r>
      <w:r w:rsidR="001D1576">
        <w:rPr>
          <w:rFonts w:ascii="Calibri" w:hAnsi="Calibri" w:cs="Calibri"/>
          <w:lang w:eastAsia="cs-CZ"/>
        </w:rPr>
        <w:t xml:space="preserve"> </w:t>
      </w:r>
      <w:r>
        <w:rPr>
          <w:rFonts w:ascii="Calibri" w:hAnsi="Calibri" w:cs="Calibri"/>
          <w:lang w:eastAsia="cs-CZ"/>
        </w:rPr>
        <w:t>D</w:t>
      </w:r>
      <w:r w:rsidR="008337FD" w:rsidRPr="001D1576">
        <w:rPr>
          <w:rFonts w:ascii="Calibri" w:hAnsi="Calibri" w:cs="Calibri"/>
          <w:lang w:eastAsia="cs-CZ"/>
        </w:rPr>
        <w:t xml:space="preserve">ůvodem neodpisování technického zhodnocení v průběhu jeho používání byla mj. skutečnost, že </w:t>
      </w:r>
      <w:proofErr w:type="spellStart"/>
      <w:r w:rsidR="008337FD" w:rsidRPr="001D1576">
        <w:rPr>
          <w:rFonts w:ascii="Calibri" w:hAnsi="Calibri" w:cs="Calibri"/>
          <w:lang w:eastAsia="cs-CZ"/>
        </w:rPr>
        <w:t>MSp</w:t>
      </w:r>
      <w:proofErr w:type="spellEnd"/>
      <w:r w:rsidR="008337FD" w:rsidRPr="001D1576">
        <w:rPr>
          <w:rFonts w:ascii="Calibri" w:hAnsi="Calibri" w:cs="Calibri"/>
          <w:lang w:eastAsia="cs-CZ"/>
        </w:rPr>
        <w:t xml:space="preserve"> nepřehodnocovalo odpisové plány v souvislosti s provedením technického zhodnoce</w:t>
      </w:r>
      <w:r w:rsidR="00AF4EF0" w:rsidRPr="001D1576">
        <w:rPr>
          <w:rFonts w:ascii="Calibri" w:hAnsi="Calibri" w:cs="Calibri"/>
          <w:lang w:eastAsia="cs-CZ"/>
        </w:rPr>
        <w:t>ní, což je</w:t>
      </w:r>
      <w:r w:rsidR="001D1576">
        <w:rPr>
          <w:rFonts w:ascii="Calibri" w:hAnsi="Calibri" w:cs="Calibri"/>
          <w:lang w:eastAsia="cs-CZ"/>
        </w:rPr>
        <w:t xml:space="preserve"> </w:t>
      </w:r>
      <w:r w:rsidR="0099799D">
        <w:rPr>
          <w:rFonts w:ascii="Calibri" w:hAnsi="Calibri" w:cs="Calibri"/>
          <w:lang w:eastAsia="cs-CZ"/>
        </w:rPr>
        <w:t>povinnost</w:t>
      </w:r>
      <w:r w:rsidR="00AF4EF0" w:rsidRPr="001D1576">
        <w:rPr>
          <w:rFonts w:ascii="Calibri" w:hAnsi="Calibri" w:cs="Calibri"/>
          <w:lang w:eastAsia="cs-CZ"/>
        </w:rPr>
        <w:t xml:space="preserve"> </w:t>
      </w:r>
      <w:r w:rsidR="0099799D">
        <w:rPr>
          <w:rFonts w:ascii="Calibri" w:hAnsi="Calibri" w:cs="Calibri"/>
          <w:lang w:eastAsia="cs-CZ"/>
        </w:rPr>
        <w:t xml:space="preserve">stanovená v </w:t>
      </w:r>
      <w:r w:rsidR="00AF4EF0" w:rsidRPr="001D1576">
        <w:rPr>
          <w:rFonts w:ascii="Calibri" w:hAnsi="Calibri" w:cs="Calibri"/>
          <w:lang w:eastAsia="cs-CZ"/>
        </w:rPr>
        <w:t>ČÚS č. 708</w:t>
      </w:r>
      <w:r w:rsidR="00B761A7">
        <w:rPr>
          <w:rFonts w:ascii="Calibri" w:hAnsi="Calibri" w:cs="Calibri"/>
          <w:lang w:eastAsia="cs-CZ"/>
        </w:rPr>
        <w:t xml:space="preserve"> – </w:t>
      </w:r>
      <w:r w:rsidR="00B761A7" w:rsidRPr="00252196">
        <w:rPr>
          <w:rFonts w:ascii="Calibri" w:hAnsi="Calibri" w:cs="Calibri"/>
          <w:i/>
          <w:lang w:eastAsia="cs-CZ"/>
        </w:rPr>
        <w:t>Odpisování dlouhodobého</w:t>
      </w:r>
      <w:r w:rsidR="00B761A7">
        <w:rPr>
          <w:rFonts w:ascii="Calibri" w:hAnsi="Calibri" w:cs="Calibri"/>
          <w:lang w:eastAsia="cs-CZ"/>
        </w:rPr>
        <w:t xml:space="preserve"> </w:t>
      </w:r>
      <w:r w:rsidR="00B761A7" w:rsidRPr="00252196">
        <w:rPr>
          <w:rFonts w:ascii="Calibri" w:hAnsi="Calibri" w:cs="Calibri"/>
          <w:i/>
          <w:lang w:eastAsia="cs-CZ"/>
        </w:rPr>
        <w:t>majetku</w:t>
      </w:r>
      <w:r w:rsidR="008337FD" w:rsidRPr="001D1576">
        <w:rPr>
          <w:rFonts w:ascii="Calibri" w:hAnsi="Calibri" w:cs="Calibri"/>
          <w:lang w:eastAsia="cs-CZ"/>
        </w:rPr>
        <w:t>.</w:t>
      </w:r>
    </w:p>
    <w:p w14:paraId="5433FAD6" w14:textId="65198A9E" w:rsidR="008337FD" w:rsidRDefault="008337FD" w:rsidP="00032E6F">
      <w:pPr>
        <w:jc w:val="both"/>
        <w:rPr>
          <w:rFonts w:ascii="Calibri" w:hAnsi="Calibri" w:cs="Calibri"/>
          <w:lang w:eastAsia="cs-CZ"/>
        </w:rPr>
      </w:pPr>
    </w:p>
    <w:p w14:paraId="692AC5BF" w14:textId="77777777" w:rsidR="003205AE" w:rsidRDefault="003205AE" w:rsidP="00C869E4">
      <w:pPr>
        <w:pStyle w:val="Odstavecseseznamem"/>
        <w:numPr>
          <w:ilvl w:val="0"/>
          <w:numId w:val="42"/>
        </w:numPr>
        <w:spacing w:after="120"/>
        <w:jc w:val="both"/>
        <w:rPr>
          <w:rFonts w:ascii="Calibri" w:hAnsi="Calibri" w:cs="Calibri"/>
          <w:b/>
          <w:lang w:eastAsia="cs-CZ"/>
        </w:rPr>
      </w:pPr>
      <w:r>
        <w:rPr>
          <w:rFonts w:ascii="Calibri" w:hAnsi="Calibri" w:cs="Calibri"/>
          <w:b/>
          <w:lang w:eastAsia="cs-CZ"/>
        </w:rPr>
        <w:t>Nesprávné účtování odpisů v průběhu účetního období</w:t>
      </w:r>
    </w:p>
    <w:p w14:paraId="28F120B5" w14:textId="4D0FA2B3" w:rsidR="003205AE" w:rsidRPr="00143134" w:rsidRDefault="003205AE" w:rsidP="003205AE">
      <w:pPr>
        <w:jc w:val="both"/>
        <w:rPr>
          <w:rFonts w:asciiTheme="minorHAnsi" w:hAnsiTheme="minorHAnsi"/>
          <w:lang w:eastAsia="cs-CZ"/>
        </w:rPr>
      </w:pPr>
      <w:proofErr w:type="spellStart"/>
      <w:r>
        <w:rPr>
          <w:rFonts w:asciiTheme="minorHAnsi" w:hAnsiTheme="minorHAnsi"/>
          <w:lang w:eastAsia="cs-CZ"/>
        </w:rPr>
        <w:t>MSp</w:t>
      </w:r>
      <w:proofErr w:type="spellEnd"/>
      <w:r>
        <w:rPr>
          <w:rFonts w:asciiTheme="minorHAnsi" w:hAnsiTheme="minorHAnsi"/>
          <w:lang w:eastAsia="cs-CZ"/>
        </w:rPr>
        <w:t xml:space="preserve"> v účetním období 2012 účtovalo o odpisech za 2. čtvrtletí 2012 nesprávně na účtu</w:t>
      </w:r>
      <w:r w:rsidR="004D2D30">
        <w:rPr>
          <w:rFonts w:asciiTheme="minorHAnsi" w:hAnsiTheme="minorHAnsi"/>
          <w:lang w:eastAsia="cs-CZ"/>
        </w:rPr>
        <w:br/>
      </w:r>
      <w:r>
        <w:rPr>
          <w:rFonts w:asciiTheme="minorHAnsi" w:hAnsiTheme="minorHAnsi"/>
          <w:lang w:eastAsia="cs-CZ"/>
        </w:rPr>
        <w:t xml:space="preserve">408 – </w:t>
      </w:r>
      <w:r w:rsidRPr="008E1184">
        <w:rPr>
          <w:rFonts w:asciiTheme="minorHAnsi" w:hAnsiTheme="minorHAnsi"/>
          <w:i/>
          <w:lang w:eastAsia="cs-CZ"/>
        </w:rPr>
        <w:t>Opravy minulých období</w:t>
      </w:r>
      <w:r>
        <w:rPr>
          <w:rFonts w:asciiTheme="minorHAnsi" w:hAnsiTheme="minorHAnsi"/>
          <w:lang w:eastAsia="cs-CZ"/>
        </w:rPr>
        <w:t>, přestože v souladu s vyhláškou č. 410/2009 Sb. a ČÚS</w:t>
      </w:r>
      <w:r w:rsidR="004D2D30">
        <w:rPr>
          <w:rFonts w:asciiTheme="minorHAnsi" w:hAnsiTheme="minorHAnsi"/>
          <w:lang w:eastAsia="cs-CZ"/>
        </w:rPr>
        <w:br/>
      </w:r>
      <w:r>
        <w:rPr>
          <w:rFonts w:asciiTheme="minorHAnsi" w:hAnsiTheme="minorHAnsi"/>
          <w:lang w:eastAsia="cs-CZ"/>
        </w:rPr>
        <w:t>č. 708</w:t>
      </w:r>
      <w:r w:rsidR="00B761A7">
        <w:rPr>
          <w:rFonts w:asciiTheme="minorHAnsi" w:hAnsiTheme="minorHAnsi"/>
          <w:lang w:eastAsia="cs-CZ"/>
        </w:rPr>
        <w:t xml:space="preserve"> </w:t>
      </w:r>
      <w:r w:rsidR="0076520F">
        <w:rPr>
          <w:rFonts w:asciiTheme="minorHAnsi" w:hAnsiTheme="minorHAnsi"/>
          <w:lang w:eastAsia="cs-CZ"/>
        </w:rPr>
        <w:t xml:space="preserve">– </w:t>
      </w:r>
      <w:r w:rsidR="0076520F">
        <w:rPr>
          <w:rFonts w:ascii="Calibri" w:hAnsi="Calibri" w:cs="Calibri"/>
          <w:i/>
          <w:lang w:eastAsia="cs-CZ"/>
        </w:rPr>
        <w:t>O</w:t>
      </w:r>
      <w:r w:rsidR="00B761A7" w:rsidRPr="00252196">
        <w:rPr>
          <w:rFonts w:ascii="Calibri" w:hAnsi="Calibri" w:cs="Calibri"/>
          <w:i/>
          <w:lang w:eastAsia="cs-CZ"/>
        </w:rPr>
        <w:t>dpisování dlouhodobého</w:t>
      </w:r>
      <w:r w:rsidR="00B761A7">
        <w:rPr>
          <w:rFonts w:ascii="Calibri" w:hAnsi="Calibri" w:cs="Calibri"/>
          <w:lang w:eastAsia="cs-CZ"/>
        </w:rPr>
        <w:t xml:space="preserve"> </w:t>
      </w:r>
      <w:r w:rsidR="00B761A7" w:rsidRPr="00252196">
        <w:rPr>
          <w:rFonts w:ascii="Calibri" w:hAnsi="Calibri" w:cs="Calibri"/>
          <w:i/>
          <w:lang w:eastAsia="cs-CZ"/>
        </w:rPr>
        <w:t>majetku</w:t>
      </w:r>
      <w:r>
        <w:rPr>
          <w:rFonts w:asciiTheme="minorHAnsi" w:hAnsiTheme="minorHAnsi"/>
          <w:lang w:eastAsia="cs-CZ"/>
        </w:rPr>
        <w:t xml:space="preserve"> mělo účtovat o nákladech na účtu 551 – </w:t>
      </w:r>
      <w:r w:rsidRPr="008E1184">
        <w:rPr>
          <w:rFonts w:asciiTheme="minorHAnsi" w:hAnsiTheme="minorHAnsi"/>
          <w:i/>
          <w:lang w:eastAsia="cs-CZ"/>
        </w:rPr>
        <w:t>Odpisy dlouhodobého majetku</w:t>
      </w:r>
      <w:r>
        <w:rPr>
          <w:rFonts w:asciiTheme="minorHAnsi" w:hAnsiTheme="minorHAnsi"/>
          <w:lang w:eastAsia="cs-CZ"/>
        </w:rPr>
        <w:t xml:space="preserve">. V důsledku uvedené skutečnosti </w:t>
      </w:r>
      <w:proofErr w:type="spellStart"/>
      <w:r>
        <w:rPr>
          <w:rFonts w:asciiTheme="minorHAnsi" w:hAnsiTheme="minorHAnsi"/>
          <w:lang w:eastAsia="cs-CZ"/>
        </w:rPr>
        <w:t>MSp</w:t>
      </w:r>
      <w:proofErr w:type="spellEnd"/>
      <w:r>
        <w:rPr>
          <w:rFonts w:asciiTheme="minorHAnsi" w:hAnsiTheme="minorHAnsi"/>
          <w:lang w:eastAsia="cs-CZ"/>
        </w:rPr>
        <w:t xml:space="preserve"> v rozvaze podhodnotilo zůstatek účtu 408</w:t>
      </w:r>
      <w:r w:rsidR="00B761A7">
        <w:rPr>
          <w:rFonts w:asciiTheme="minorHAnsi" w:hAnsiTheme="minorHAnsi"/>
          <w:lang w:eastAsia="cs-CZ"/>
        </w:rPr>
        <w:t xml:space="preserve"> </w:t>
      </w:r>
      <w:r w:rsidR="00D70C45">
        <w:rPr>
          <w:rFonts w:asciiTheme="minorHAnsi" w:hAnsiTheme="minorHAnsi"/>
          <w:lang w:eastAsia="cs-CZ"/>
        </w:rPr>
        <w:t>–</w:t>
      </w:r>
      <w:r>
        <w:rPr>
          <w:rFonts w:asciiTheme="minorHAnsi" w:hAnsiTheme="minorHAnsi"/>
          <w:lang w:eastAsia="cs-CZ"/>
        </w:rPr>
        <w:t xml:space="preserve"> </w:t>
      </w:r>
      <w:r w:rsidR="00B761A7" w:rsidRPr="008E1184">
        <w:rPr>
          <w:rFonts w:asciiTheme="minorHAnsi" w:hAnsiTheme="minorHAnsi"/>
          <w:i/>
          <w:lang w:eastAsia="cs-CZ"/>
        </w:rPr>
        <w:t xml:space="preserve">Opravy </w:t>
      </w:r>
      <w:r w:rsidR="001F4F9E">
        <w:rPr>
          <w:rFonts w:asciiTheme="minorHAnsi" w:hAnsiTheme="minorHAnsi"/>
          <w:i/>
          <w:lang w:eastAsia="cs-CZ"/>
        </w:rPr>
        <w:t>předcházejících účetních</w:t>
      </w:r>
      <w:r w:rsidR="00B761A7" w:rsidRPr="008E1184">
        <w:rPr>
          <w:rFonts w:asciiTheme="minorHAnsi" w:hAnsiTheme="minorHAnsi"/>
          <w:i/>
          <w:lang w:eastAsia="cs-CZ"/>
        </w:rPr>
        <w:t xml:space="preserve"> období</w:t>
      </w:r>
      <w:r w:rsidR="00B761A7">
        <w:rPr>
          <w:rFonts w:asciiTheme="minorHAnsi" w:hAnsiTheme="minorHAnsi"/>
          <w:lang w:eastAsia="cs-CZ"/>
        </w:rPr>
        <w:t xml:space="preserve"> </w:t>
      </w:r>
      <w:r>
        <w:rPr>
          <w:rFonts w:asciiTheme="minorHAnsi" w:hAnsiTheme="minorHAnsi"/>
          <w:lang w:eastAsia="cs-CZ"/>
        </w:rPr>
        <w:t xml:space="preserve">o 2,1 mil. Kč a o stejnou částku nadhodnotilo zůstatek na položce </w:t>
      </w:r>
      <w:r w:rsidRPr="00C869E4">
        <w:rPr>
          <w:rFonts w:asciiTheme="minorHAnsi" w:hAnsiTheme="minorHAnsi"/>
          <w:i/>
          <w:lang w:eastAsia="cs-CZ"/>
        </w:rPr>
        <w:t>C.III. Výsledek hospodaření</w:t>
      </w:r>
      <w:r>
        <w:rPr>
          <w:rFonts w:asciiTheme="minorHAnsi" w:hAnsiTheme="minorHAnsi"/>
          <w:lang w:eastAsia="cs-CZ"/>
        </w:rPr>
        <w:t xml:space="preserve">. </w:t>
      </w:r>
    </w:p>
    <w:p w14:paraId="45807DF2" w14:textId="77777777" w:rsidR="003205AE" w:rsidRPr="00600D6B" w:rsidRDefault="003205AE" w:rsidP="00032E6F">
      <w:pPr>
        <w:jc w:val="both"/>
        <w:rPr>
          <w:rFonts w:ascii="Calibri" w:hAnsi="Calibri" w:cs="Calibri"/>
          <w:lang w:eastAsia="cs-CZ"/>
        </w:rPr>
      </w:pPr>
    </w:p>
    <w:p w14:paraId="6D6C7D9C" w14:textId="77777777" w:rsidR="008337FD" w:rsidRDefault="008337FD" w:rsidP="00C869E4">
      <w:pPr>
        <w:pStyle w:val="Odstavecseseznamem"/>
        <w:numPr>
          <w:ilvl w:val="0"/>
          <w:numId w:val="42"/>
        </w:numPr>
        <w:spacing w:after="120"/>
        <w:jc w:val="both"/>
        <w:rPr>
          <w:rFonts w:ascii="Calibri" w:hAnsi="Calibri" w:cs="Calibri"/>
          <w:b/>
          <w:lang w:eastAsia="cs-CZ"/>
        </w:rPr>
      </w:pPr>
      <w:r>
        <w:rPr>
          <w:rFonts w:ascii="Calibri" w:hAnsi="Calibri" w:cs="Calibri"/>
          <w:b/>
          <w:lang w:eastAsia="cs-CZ"/>
        </w:rPr>
        <w:t>Zbytková hodnota odpisovaného majetku</w:t>
      </w:r>
    </w:p>
    <w:p w14:paraId="4D476CB5" w14:textId="7D537665" w:rsidR="005A4589" w:rsidRPr="001D1576" w:rsidRDefault="008337FD" w:rsidP="001D1576">
      <w:pPr>
        <w:jc w:val="both"/>
        <w:rPr>
          <w:rFonts w:asciiTheme="minorHAnsi" w:hAnsiTheme="minorHAnsi"/>
          <w:lang w:eastAsia="cs-CZ"/>
        </w:rPr>
      </w:pPr>
      <w:proofErr w:type="spellStart"/>
      <w:r>
        <w:rPr>
          <w:rFonts w:asciiTheme="minorHAnsi" w:hAnsiTheme="minorHAnsi"/>
          <w:lang w:eastAsia="cs-CZ"/>
        </w:rPr>
        <w:t>MSp</w:t>
      </w:r>
      <w:proofErr w:type="spellEnd"/>
      <w:r>
        <w:rPr>
          <w:rFonts w:asciiTheme="minorHAnsi" w:hAnsiTheme="minorHAnsi"/>
          <w:lang w:eastAsia="cs-CZ"/>
        </w:rPr>
        <w:t xml:space="preserve"> si v účetních obdobích před rokem 2014 stanovilo u jednotlivého dlouhodobého odpisovaného majetku hranici významnosti pro zaúčtování zůstatkové ceny dlouhodobého majetku při jeho vyřazení ve výši 5 % z ocenění tohoto majetku tak, jak umožňoval ČÚS</w:t>
      </w:r>
      <w:r w:rsidR="004D2D30">
        <w:rPr>
          <w:rFonts w:asciiTheme="minorHAnsi" w:hAnsiTheme="minorHAnsi"/>
          <w:lang w:eastAsia="cs-CZ"/>
        </w:rPr>
        <w:br/>
      </w:r>
      <w:r>
        <w:rPr>
          <w:rFonts w:asciiTheme="minorHAnsi" w:hAnsiTheme="minorHAnsi"/>
          <w:lang w:eastAsia="cs-CZ"/>
        </w:rPr>
        <w:t>č. 708</w:t>
      </w:r>
      <w:r w:rsidR="0099799D">
        <w:rPr>
          <w:rFonts w:asciiTheme="minorHAnsi" w:hAnsiTheme="minorHAnsi"/>
          <w:lang w:eastAsia="cs-CZ"/>
        </w:rPr>
        <w:t xml:space="preserve"> </w:t>
      </w:r>
      <w:r w:rsidR="0099799D">
        <w:rPr>
          <w:rFonts w:ascii="Calibri" w:hAnsi="Calibri" w:cs="Calibri"/>
          <w:lang w:eastAsia="cs-CZ"/>
        </w:rPr>
        <w:t xml:space="preserve">– </w:t>
      </w:r>
      <w:r w:rsidR="0099799D" w:rsidRPr="00252196">
        <w:rPr>
          <w:rFonts w:ascii="Calibri" w:hAnsi="Calibri" w:cs="Calibri"/>
          <w:i/>
          <w:lang w:eastAsia="cs-CZ"/>
        </w:rPr>
        <w:t>Odpisování dlouhodobého</w:t>
      </w:r>
      <w:r w:rsidR="0099799D">
        <w:rPr>
          <w:rFonts w:ascii="Calibri" w:hAnsi="Calibri" w:cs="Calibri"/>
          <w:lang w:eastAsia="cs-CZ"/>
        </w:rPr>
        <w:t xml:space="preserve"> </w:t>
      </w:r>
      <w:r w:rsidR="0099799D" w:rsidRPr="00252196">
        <w:rPr>
          <w:rFonts w:ascii="Calibri" w:hAnsi="Calibri" w:cs="Calibri"/>
          <w:i/>
          <w:lang w:eastAsia="cs-CZ"/>
        </w:rPr>
        <w:t>majetku</w:t>
      </w:r>
      <w:r w:rsidR="00AF4EF0">
        <w:rPr>
          <w:rFonts w:asciiTheme="minorHAnsi" w:hAnsiTheme="minorHAnsi"/>
          <w:lang w:eastAsia="cs-CZ"/>
        </w:rPr>
        <w:t xml:space="preserve"> </w:t>
      </w:r>
      <w:r>
        <w:rPr>
          <w:rFonts w:asciiTheme="minorHAnsi" w:hAnsiTheme="minorHAnsi"/>
          <w:lang w:eastAsia="cs-CZ"/>
        </w:rPr>
        <w:t>ve znění platném do 31. prosince 2013. Od účetního období 2014 je v ČÚS č. 708</w:t>
      </w:r>
      <w:r w:rsidR="0099799D">
        <w:rPr>
          <w:rFonts w:asciiTheme="minorHAnsi" w:hAnsiTheme="minorHAnsi"/>
          <w:lang w:eastAsia="cs-CZ"/>
        </w:rPr>
        <w:t xml:space="preserve"> </w:t>
      </w:r>
      <w:r w:rsidR="0099799D">
        <w:rPr>
          <w:rFonts w:ascii="Calibri" w:hAnsi="Calibri" w:cs="Calibri"/>
          <w:lang w:eastAsia="cs-CZ"/>
        </w:rPr>
        <w:t xml:space="preserve">– </w:t>
      </w:r>
      <w:r w:rsidR="0099799D" w:rsidRPr="00252196">
        <w:rPr>
          <w:rFonts w:ascii="Calibri" w:hAnsi="Calibri" w:cs="Calibri"/>
          <w:i/>
          <w:lang w:eastAsia="cs-CZ"/>
        </w:rPr>
        <w:t>Odpisování dlouhodobého</w:t>
      </w:r>
      <w:r w:rsidR="0099799D">
        <w:rPr>
          <w:rFonts w:ascii="Calibri" w:hAnsi="Calibri" w:cs="Calibri"/>
          <w:lang w:eastAsia="cs-CZ"/>
        </w:rPr>
        <w:t xml:space="preserve"> </w:t>
      </w:r>
      <w:r w:rsidR="0099799D" w:rsidRPr="00252196">
        <w:rPr>
          <w:rFonts w:ascii="Calibri" w:hAnsi="Calibri" w:cs="Calibri"/>
          <w:i/>
          <w:lang w:eastAsia="cs-CZ"/>
        </w:rPr>
        <w:t>majetku</w:t>
      </w:r>
      <w:r>
        <w:rPr>
          <w:rFonts w:asciiTheme="minorHAnsi" w:hAnsiTheme="minorHAnsi"/>
          <w:lang w:eastAsia="cs-CZ"/>
        </w:rPr>
        <w:t xml:space="preserve"> nově definována tzv. zbytková hodnota majetku</w:t>
      </w:r>
      <w:r w:rsidR="00EE2587">
        <w:rPr>
          <w:rFonts w:asciiTheme="minorHAnsi" w:hAnsiTheme="minorHAnsi"/>
          <w:lang w:eastAsia="cs-CZ"/>
        </w:rPr>
        <w:t>,</w:t>
      </w:r>
      <w:r>
        <w:rPr>
          <w:rFonts w:asciiTheme="minorHAnsi" w:hAnsiTheme="minorHAnsi"/>
          <w:lang w:eastAsia="cs-CZ"/>
        </w:rPr>
        <w:t xml:space="preserve"> a to jako zdůvodnitelná odhadovaná částka, kterou by vybraná účetní jednotka mohla získat při vyřazení </w:t>
      </w:r>
      <w:r w:rsidR="00FB1139">
        <w:rPr>
          <w:rFonts w:asciiTheme="minorHAnsi" w:hAnsiTheme="minorHAnsi"/>
          <w:lang w:eastAsia="cs-CZ"/>
        </w:rPr>
        <w:t>příslušného</w:t>
      </w:r>
      <w:r>
        <w:rPr>
          <w:rFonts w:asciiTheme="minorHAnsi" w:hAnsiTheme="minorHAnsi"/>
          <w:lang w:eastAsia="cs-CZ"/>
        </w:rPr>
        <w:t xml:space="preserve"> majetku.</w:t>
      </w:r>
      <w:r w:rsidR="00432336">
        <w:rPr>
          <w:rFonts w:asciiTheme="minorHAnsi" w:hAnsiTheme="minorHAnsi"/>
          <w:lang w:eastAsia="cs-CZ"/>
        </w:rPr>
        <w:t xml:space="preserve"> </w:t>
      </w:r>
      <w:proofErr w:type="spellStart"/>
      <w:r w:rsidR="00432336">
        <w:rPr>
          <w:rFonts w:asciiTheme="minorHAnsi" w:hAnsiTheme="minorHAnsi"/>
          <w:lang w:eastAsia="cs-CZ"/>
        </w:rPr>
        <w:t>MSp</w:t>
      </w:r>
      <w:proofErr w:type="spellEnd"/>
      <w:r w:rsidR="00432336">
        <w:rPr>
          <w:rFonts w:asciiTheme="minorHAnsi" w:hAnsiTheme="minorHAnsi"/>
          <w:lang w:eastAsia="cs-CZ"/>
        </w:rPr>
        <w:t xml:space="preserve"> mělo nejpozději k 1. lednu </w:t>
      </w:r>
      <w:r>
        <w:rPr>
          <w:rFonts w:asciiTheme="minorHAnsi" w:hAnsiTheme="minorHAnsi"/>
          <w:lang w:eastAsia="cs-CZ"/>
        </w:rPr>
        <w:t>2015 přehodnotit odpisové plány a stanovit zb</w:t>
      </w:r>
      <w:r w:rsidR="00432336">
        <w:rPr>
          <w:rFonts w:asciiTheme="minorHAnsi" w:hAnsiTheme="minorHAnsi"/>
          <w:lang w:eastAsia="cs-CZ"/>
        </w:rPr>
        <w:t>ytkovou hodnotu majetku pouze u </w:t>
      </w:r>
      <w:r>
        <w:rPr>
          <w:rFonts w:asciiTheme="minorHAnsi" w:hAnsiTheme="minorHAnsi"/>
          <w:lang w:eastAsia="cs-CZ"/>
        </w:rPr>
        <w:t>majetku, u kterého předpokládalo, že v</w:t>
      </w:r>
      <w:r w:rsidR="00FB1139">
        <w:rPr>
          <w:rFonts w:asciiTheme="minorHAnsi" w:hAnsiTheme="minorHAnsi"/>
          <w:lang w:eastAsia="cs-CZ"/>
        </w:rPr>
        <w:t> </w:t>
      </w:r>
      <w:r>
        <w:rPr>
          <w:rFonts w:asciiTheme="minorHAnsi" w:hAnsiTheme="minorHAnsi"/>
          <w:lang w:eastAsia="cs-CZ"/>
        </w:rPr>
        <w:t>okamžiku</w:t>
      </w:r>
      <w:r w:rsidR="00FB1139">
        <w:rPr>
          <w:rFonts w:asciiTheme="minorHAnsi" w:hAnsiTheme="minorHAnsi"/>
          <w:lang w:eastAsia="cs-CZ"/>
        </w:rPr>
        <w:t xml:space="preserve"> jeho</w:t>
      </w:r>
      <w:r>
        <w:rPr>
          <w:rFonts w:asciiTheme="minorHAnsi" w:hAnsiTheme="minorHAnsi"/>
          <w:lang w:eastAsia="cs-CZ"/>
        </w:rPr>
        <w:t xml:space="preserve"> vyřazení by </w:t>
      </w:r>
      <w:r w:rsidR="00FB1139">
        <w:rPr>
          <w:rFonts w:asciiTheme="minorHAnsi" w:hAnsiTheme="minorHAnsi"/>
          <w:lang w:eastAsia="cs-CZ"/>
        </w:rPr>
        <w:t xml:space="preserve">za něj </w:t>
      </w:r>
      <w:r>
        <w:rPr>
          <w:rFonts w:asciiTheme="minorHAnsi" w:hAnsiTheme="minorHAnsi"/>
          <w:lang w:eastAsia="cs-CZ"/>
        </w:rPr>
        <w:t xml:space="preserve">mohlo získat určitou hodnotu. </w:t>
      </w:r>
      <w:proofErr w:type="spellStart"/>
      <w:r>
        <w:rPr>
          <w:rFonts w:asciiTheme="minorHAnsi" w:hAnsiTheme="minorHAnsi"/>
          <w:lang w:eastAsia="cs-CZ"/>
        </w:rPr>
        <w:t>MSp</w:t>
      </w:r>
      <w:proofErr w:type="spellEnd"/>
      <w:r>
        <w:rPr>
          <w:rFonts w:asciiTheme="minorHAnsi" w:hAnsiTheme="minorHAnsi"/>
          <w:lang w:eastAsia="cs-CZ"/>
        </w:rPr>
        <w:t xml:space="preserve"> však nezpracovalo odpisový plán v souladu s</w:t>
      </w:r>
      <w:r w:rsidR="0099799D">
        <w:rPr>
          <w:rFonts w:asciiTheme="minorHAnsi" w:hAnsiTheme="minorHAnsi"/>
          <w:lang w:eastAsia="cs-CZ"/>
        </w:rPr>
        <w:t xml:space="preserve"> platnou </w:t>
      </w:r>
      <w:r w:rsidR="00432336">
        <w:rPr>
          <w:rFonts w:asciiTheme="minorHAnsi" w:hAnsiTheme="minorHAnsi"/>
          <w:lang w:eastAsia="cs-CZ"/>
        </w:rPr>
        <w:t>účetní regulací a </w:t>
      </w:r>
      <w:r>
        <w:rPr>
          <w:rFonts w:asciiTheme="minorHAnsi" w:hAnsiTheme="minorHAnsi"/>
          <w:lang w:eastAsia="cs-CZ"/>
        </w:rPr>
        <w:t xml:space="preserve">zbytkovou hodnotu ponechalo u veškerého odpisovaného dlouhodobého majetku. </w:t>
      </w:r>
      <w:r w:rsidR="005A4589">
        <w:rPr>
          <w:rFonts w:asciiTheme="minorHAnsi" w:hAnsiTheme="minorHAnsi"/>
          <w:lang w:eastAsia="cs-CZ"/>
        </w:rPr>
        <w:t>V důsledku této skutečnosti existuje riziko podhodnocování nákladů na účtu 551</w:t>
      </w:r>
      <w:r w:rsidR="00432336">
        <w:rPr>
          <w:rFonts w:asciiTheme="minorHAnsi" w:hAnsiTheme="minorHAnsi"/>
          <w:lang w:eastAsia="cs-CZ"/>
        </w:rPr>
        <w:t xml:space="preserve"> –</w:t>
      </w:r>
      <w:r w:rsidR="005A4589">
        <w:rPr>
          <w:rFonts w:asciiTheme="minorHAnsi" w:hAnsiTheme="minorHAnsi"/>
          <w:lang w:eastAsia="cs-CZ"/>
        </w:rPr>
        <w:t xml:space="preserve"> </w:t>
      </w:r>
      <w:r w:rsidR="005A4589" w:rsidRPr="008E1184">
        <w:rPr>
          <w:rFonts w:asciiTheme="minorHAnsi" w:hAnsiTheme="minorHAnsi"/>
          <w:i/>
          <w:lang w:eastAsia="cs-CZ"/>
        </w:rPr>
        <w:t>Odpisy dlouhodobého majetku</w:t>
      </w:r>
      <w:r w:rsidR="005A4589">
        <w:rPr>
          <w:rFonts w:asciiTheme="minorHAnsi" w:hAnsiTheme="minorHAnsi"/>
          <w:lang w:eastAsia="cs-CZ"/>
        </w:rPr>
        <w:t xml:space="preserve"> v jednotlivých letech při neodepsání majetku až do výše pořizovací ceny.</w:t>
      </w:r>
    </w:p>
    <w:p w14:paraId="4822361E" w14:textId="77777777" w:rsidR="008337FD" w:rsidRDefault="008337FD" w:rsidP="00F72DE4">
      <w:pPr>
        <w:rPr>
          <w:rFonts w:asciiTheme="minorHAnsi" w:hAnsiTheme="minorHAnsi" w:cstheme="minorHAnsi"/>
          <w:highlight w:val="yellow"/>
        </w:rPr>
      </w:pPr>
    </w:p>
    <w:p w14:paraId="736C7D63" w14:textId="77777777" w:rsidR="00630182" w:rsidRDefault="00630182" w:rsidP="00F72DE4">
      <w:pPr>
        <w:rPr>
          <w:rFonts w:asciiTheme="minorHAnsi" w:hAnsiTheme="minorHAnsi" w:cstheme="minorHAnsi"/>
          <w:highlight w:val="yellow"/>
        </w:rPr>
      </w:pPr>
    </w:p>
    <w:p w14:paraId="24134371" w14:textId="77777777" w:rsidR="00630182" w:rsidRPr="00C869E4" w:rsidRDefault="00630182" w:rsidP="00F72DE4">
      <w:pPr>
        <w:rPr>
          <w:rFonts w:asciiTheme="minorHAnsi" w:hAnsiTheme="minorHAnsi" w:cstheme="minorHAnsi"/>
          <w:highlight w:val="yellow"/>
        </w:rPr>
      </w:pPr>
    </w:p>
    <w:p w14:paraId="5C1538FD" w14:textId="05F20192" w:rsidR="00483326" w:rsidRPr="001F4F9E" w:rsidRDefault="00483326" w:rsidP="00C869E4">
      <w:pPr>
        <w:jc w:val="both"/>
        <w:rPr>
          <w:rFonts w:ascii="Calibri" w:hAnsi="Calibri" w:cs="Calibri"/>
          <w:b/>
          <w:lang w:eastAsia="cs-CZ"/>
        </w:rPr>
      </w:pPr>
      <w:r w:rsidRPr="00483326">
        <w:rPr>
          <w:rFonts w:ascii="Calibri" w:hAnsi="Calibri" w:cs="Calibri"/>
          <w:b/>
          <w:lang w:eastAsia="cs-CZ"/>
        </w:rPr>
        <w:lastRenderedPageBreak/>
        <w:t>1</w:t>
      </w:r>
      <w:r>
        <w:rPr>
          <w:rFonts w:ascii="Calibri" w:hAnsi="Calibri" w:cs="Calibri"/>
          <w:b/>
          <w:lang w:eastAsia="cs-CZ"/>
        </w:rPr>
        <w:t xml:space="preserve">.2 </w:t>
      </w:r>
      <w:r w:rsidR="00B95FEF" w:rsidRPr="001F4F9E">
        <w:rPr>
          <w:rFonts w:ascii="Calibri" w:hAnsi="Calibri" w:cs="Calibri"/>
          <w:b/>
          <w:lang w:eastAsia="cs-CZ"/>
        </w:rPr>
        <w:t>Transfery</w:t>
      </w:r>
    </w:p>
    <w:p w14:paraId="35381B60" w14:textId="787C809B" w:rsidR="00B95FEF" w:rsidRPr="00C869E4" w:rsidRDefault="00B95FEF" w:rsidP="001F4F9E">
      <w:pPr>
        <w:rPr>
          <w:rFonts w:ascii="Calibri" w:hAnsi="Calibri" w:cs="Calibri"/>
          <w:lang w:eastAsia="cs-CZ"/>
        </w:rPr>
      </w:pPr>
    </w:p>
    <w:p w14:paraId="447F0712" w14:textId="303301B3" w:rsidR="008337FD" w:rsidRDefault="00FC2ADF" w:rsidP="00257929">
      <w:pPr>
        <w:pStyle w:val="Odstavecseseznamem"/>
        <w:numPr>
          <w:ilvl w:val="0"/>
          <w:numId w:val="42"/>
        </w:numPr>
        <w:spacing w:before="40"/>
        <w:jc w:val="both"/>
        <w:rPr>
          <w:rFonts w:ascii="Calibri" w:hAnsi="Calibri" w:cs="Calibri"/>
          <w:b/>
          <w:lang w:eastAsia="cs-CZ"/>
        </w:rPr>
      </w:pPr>
      <w:r>
        <w:rPr>
          <w:rFonts w:ascii="Calibri" w:hAnsi="Calibri" w:cs="Calibri"/>
          <w:b/>
          <w:lang w:eastAsia="cs-CZ"/>
        </w:rPr>
        <w:t>Transfery</w:t>
      </w:r>
      <w:r w:rsidR="008337FD">
        <w:rPr>
          <w:rFonts w:ascii="Calibri" w:hAnsi="Calibri" w:cs="Calibri"/>
          <w:b/>
          <w:lang w:eastAsia="cs-CZ"/>
        </w:rPr>
        <w:t>, které nebyly k </w:t>
      </w:r>
      <w:r>
        <w:rPr>
          <w:rFonts w:ascii="Calibri" w:hAnsi="Calibri" w:cs="Calibri"/>
          <w:b/>
          <w:lang w:eastAsia="cs-CZ"/>
        </w:rPr>
        <w:t>datu účetní závěrky</w:t>
      </w:r>
      <w:r w:rsidR="008337FD">
        <w:rPr>
          <w:rFonts w:ascii="Calibri" w:hAnsi="Calibri" w:cs="Calibri"/>
          <w:b/>
          <w:lang w:eastAsia="cs-CZ"/>
        </w:rPr>
        <w:t xml:space="preserve"> finančně vypořád</w:t>
      </w:r>
      <w:r w:rsidR="00E43490">
        <w:rPr>
          <w:rFonts w:ascii="Calibri" w:hAnsi="Calibri" w:cs="Calibri"/>
          <w:b/>
          <w:lang w:eastAsia="cs-CZ"/>
        </w:rPr>
        <w:t>ány</w:t>
      </w:r>
    </w:p>
    <w:p w14:paraId="583F052B" w14:textId="2FD50AB1" w:rsidR="008337FD" w:rsidRDefault="008337FD" w:rsidP="00C869E4">
      <w:pPr>
        <w:spacing w:after="120"/>
        <w:jc w:val="both"/>
        <w:rPr>
          <w:rFonts w:asciiTheme="minorHAnsi" w:hAnsiTheme="minorHAnsi"/>
          <w:szCs w:val="22"/>
        </w:rPr>
      </w:pPr>
      <w:proofErr w:type="spellStart"/>
      <w:r w:rsidRPr="00584FD3">
        <w:rPr>
          <w:rFonts w:asciiTheme="minorHAnsi" w:hAnsiTheme="minorHAnsi"/>
          <w:szCs w:val="22"/>
        </w:rPr>
        <w:t>MSp</w:t>
      </w:r>
      <w:proofErr w:type="spellEnd"/>
      <w:r w:rsidRPr="00584FD3">
        <w:rPr>
          <w:rFonts w:asciiTheme="minorHAnsi" w:hAnsiTheme="minorHAnsi"/>
          <w:szCs w:val="22"/>
        </w:rPr>
        <w:t xml:space="preserve"> </w:t>
      </w:r>
      <w:r>
        <w:rPr>
          <w:rFonts w:asciiTheme="minorHAnsi" w:hAnsiTheme="minorHAnsi"/>
          <w:szCs w:val="22"/>
        </w:rPr>
        <w:t>v souvislosti s přijatými neinvestičními transfery, ve kterých vystupovalo jako příjemce transferu</w:t>
      </w:r>
      <w:r w:rsidR="0084150F">
        <w:rPr>
          <w:rStyle w:val="Znakapoznpodarou"/>
          <w:rFonts w:asciiTheme="minorHAnsi" w:hAnsiTheme="minorHAnsi"/>
          <w:szCs w:val="22"/>
        </w:rPr>
        <w:footnoteReference w:id="11"/>
      </w:r>
      <w:r>
        <w:rPr>
          <w:rFonts w:asciiTheme="minorHAnsi" w:hAnsiTheme="minorHAnsi"/>
          <w:szCs w:val="22"/>
        </w:rPr>
        <w:t xml:space="preserve"> a které nebyly k datu 31. prosince 2015 finančně vypořád</w:t>
      </w:r>
      <w:r w:rsidR="00E43490">
        <w:rPr>
          <w:rFonts w:asciiTheme="minorHAnsi" w:hAnsiTheme="minorHAnsi"/>
          <w:szCs w:val="22"/>
        </w:rPr>
        <w:t>ány</w:t>
      </w:r>
      <w:r>
        <w:rPr>
          <w:rFonts w:asciiTheme="minorHAnsi" w:hAnsiTheme="minorHAnsi"/>
          <w:szCs w:val="22"/>
        </w:rPr>
        <w:t>, neúčtovalo o:</w:t>
      </w:r>
    </w:p>
    <w:p w14:paraId="04B63557" w14:textId="1B07F9E6" w:rsidR="008337FD" w:rsidRDefault="008337FD" w:rsidP="0004693C">
      <w:pPr>
        <w:pStyle w:val="Odstavecseseznamem"/>
        <w:numPr>
          <w:ilvl w:val="0"/>
          <w:numId w:val="46"/>
        </w:numPr>
        <w:jc w:val="both"/>
        <w:rPr>
          <w:rFonts w:asciiTheme="minorHAnsi" w:hAnsiTheme="minorHAnsi"/>
          <w:szCs w:val="22"/>
        </w:rPr>
      </w:pPr>
      <w:r w:rsidRPr="006F3E7F">
        <w:rPr>
          <w:rFonts w:asciiTheme="minorHAnsi" w:hAnsiTheme="minorHAnsi"/>
          <w:szCs w:val="22"/>
        </w:rPr>
        <w:t xml:space="preserve">dohadných účtech aktivních na účtu 388 – </w:t>
      </w:r>
      <w:r w:rsidRPr="006F3E7F">
        <w:rPr>
          <w:rFonts w:asciiTheme="minorHAnsi" w:hAnsiTheme="minorHAnsi"/>
          <w:i/>
          <w:szCs w:val="22"/>
        </w:rPr>
        <w:t>Dohadné účty aktivní</w:t>
      </w:r>
      <w:r w:rsidR="00E43490">
        <w:rPr>
          <w:rFonts w:asciiTheme="minorHAnsi" w:hAnsiTheme="minorHAnsi"/>
          <w:szCs w:val="22"/>
        </w:rPr>
        <w:t>,</w:t>
      </w:r>
      <w:r w:rsidRPr="006F3E7F">
        <w:rPr>
          <w:rFonts w:asciiTheme="minorHAnsi" w:hAnsiTheme="minorHAnsi"/>
          <w:szCs w:val="22"/>
        </w:rPr>
        <w:t xml:space="preserve"> </w:t>
      </w:r>
    </w:p>
    <w:p w14:paraId="5D29019A" w14:textId="1C0ABEFA" w:rsidR="009A383E" w:rsidRPr="001D1576" w:rsidRDefault="008337FD" w:rsidP="00C869E4">
      <w:pPr>
        <w:pStyle w:val="Odstavecseseznamem"/>
        <w:numPr>
          <w:ilvl w:val="0"/>
          <w:numId w:val="46"/>
        </w:numPr>
        <w:spacing w:after="120"/>
        <w:ind w:left="714" w:hanging="357"/>
        <w:contextualSpacing w:val="0"/>
        <w:jc w:val="both"/>
        <w:rPr>
          <w:rFonts w:asciiTheme="minorHAnsi" w:hAnsiTheme="minorHAnsi"/>
          <w:szCs w:val="22"/>
        </w:rPr>
      </w:pPr>
      <w:r w:rsidRPr="006F3E7F">
        <w:rPr>
          <w:rFonts w:asciiTheme="minorHAnsi" w:hAnsiTheme="minorHAnsi"/>
          <w:szCs w:val="22"/>
        </w:rPr>
        <w:t xml:space="preserve">výnosech na účtu 671 – </w:t>
      </w:r>
      <w:r w:rsidRPr="006F3E7F">
        <w:rPr>
          <w:rFonts w:asciiTheme="minorHAnsi" w:hAnsiTheme="minorHAnsi"/>
          <w:i/>
          <w:szCs w:val="22"/>
        </w:rPr>
        <w:t>Výnosy vybraných ústředních vládních institucí z</w:t>
      </w:r>
      <w:r w:rsidR="00D70C45">
        <w:rPr>
          <w:rFonts w:asciiTheme="minorHAnsi" w:hAnsiTheme="minorHAnsi"/>
          <w:i/>
          <w:szCs w:val="22"/>
        </w:rPr>
        <w:t> </w:t>
      </w:r>
      <w:r w:rsidRPr="006F3E7F">
        <w:rPr>
          <w:rFonts w:asciiTheme="minorHAnsi" w:hAnsiTheme="minorHAnsi"/>
          <w:i/>
          <w:szCs w:val="22"/>
        </w:rPr>
        <w:t>transferů</w:t>
      </w:r>
      <w:r w:rsidR="00D70C45">
        <w:rPr>
          <w:rFonts w:asciiTheme="minorHAnsi" w:hAnsiTheme="minorHAnsi"/>
          <w:szCs w:val="22"/>
        </w:rPr>
        <w:t>,</w:t>
      </w:r>
    </w:p>
    <w:p w14:paraId="092F573A" w14:textId="0898197E" w:rsidR="008337FD" w:rsidRPr="001D1576" w:rsidRDefault="00857283" w:rsidP="00C869E4">
      <w:pPr>
        <w:pStyle w:val="Odstavecseseznamem"/>
        <w:ind w:left="0"/>
        <w:contextualSpacing w:val="0"/>
        <w:jc w:val="both"/>
        <w:rPr>
          <w:rFonts w:asciiTheme="minorHAnsi" w:hAnsiTheme="minorHAnsi"/>
          <w:szCs w:val="22"/>
        </w:rPr>
      </w:pPr>
      <w:r w:rsidRPr="00857283">
        <w:rPr>
          <w:rFonts w:asciiTheme="minorHAnsi" w:hAnsiTheme="minorHAnsi"/>
          <w:szCs w:val="22"/>
        </w:rPr>
        <w:t xml:space="preserve">a nenaplnilo tak požadavky </w:t>
      </w:r>
      <w:r w:rsidR="008337FD" w:rsidRPr="001D1576">
        <w:rPr>
          <w:rFonts w:asciiTheme="minorHAnsi" w:hAnsiTheme="minorHAnsi"/>
          <w:szCs w:val="22"/>
        </w:rPr>
        <w:t xml:space="preserve">ČÚS č. 703 – </w:t>
      </w:r>
      <w:r w:rsidR="008337FD" w:rsidRPr="001F4F9E">
        <w:rPr>
          <w:rFonts w:asciiTheme="minorHAnsi" w:hAnsiTheme="minorHAnsi"/>
          <w:i/>
          <w:szCs w:val="22"/>
        </w:rPr>
        <w:t>Transfery</w:t>
      </w:r>
      <w:r w:rsidR="008337FD" w:rsidRPr="001D1576">
        <w:rPr>
          <w:rFonts w:asciiTheme="minorHAnsi" w:hAnsiTheme="minorHAnsi"/>
          <w:szCs w:val="22"/>
        </w:rPr>
        <w:t>.</w:t>
      </w:r>
    </w:p>
    <w:p w14:paraId="007F7EEE" w14:textId="77777777" w:rsidR="00E43490" w:rsidRDefault="00E43490" w:rsidP="008337FD">
      <w:pPr>
        <w:jc w:val="both"/>
        <w:rPr>
          <w:rFonts w:asciiTheme="minorHAnsi" w:hAnsiTheme="minorHAnsi"/>
          <w:szCs w:val="22"/>
        </w:rPr>
      </w:pPr>
    </w:p>
    <w:p w14:paraId="7831FD38" w14:textId="481DFF80" w:rsidR="008337FD" w:rsidRPr="00C869E4" w:rsidRDefault="0084150F" w:rsidP="008337FD">
      <w:pPr>
        <w:jc w:val="both"/>
        <w:rPr>
          <w:rFonts w:asciiTheme="minorHAnsi" w:hAnsiTheme="minorHAnsi"/>
          <w:szCs w:val="22"/>
        </w:rPr>
      </w:pPr>
      <w:r>
        <w:rPr>
          <w:rFonts w:asciiTheme="minorHAnsi" w:hAnsiTheme="minorHAnsi"/>
          <w:szCs w:val="22"/>
        </w:rPr>
        <w:t>V</w:t>
      </w:r>
      <w:r w:rsidR="001D1576">
        <w:rPr>
          <w:rFonts w:asciiTheme="minorHAnsi" w:hAnsiTheme="minorHAnsi"/>
          <w:szCs w:val="22"/>
        </w:rPr>
        <w:t xml:space="preserve"> </w:t>
      </w:r>
      <w:r w:rsidR="008337FD">
        <w:rPr>
          <w:rFonts w:asciiTheme="minorHAnsi" w:hAnsiTheme="minorHAnsi"/>
          <w:szCs w:val="22"/>
        </w:rPr>
        <w:t xml:space="preserve">důsledku uvedených skutečností </w:t>
      </w:r>
      <w:proofErr w:type="spellStart"/>
      <w:r w:rsidR="008337FD">
        <w:rPr>
          <w:rFonts w:asciiTheme="minorHAnsi" w:hAnsiTheme="minorHAnsi"/>
          <w:szCs w:val="22"/>
        </w:rPr>
        <w:t>MSp</w:t>
      </w:r>
      <w:proofErr w:type="spellEnd"/>
      <w:r w:rsidR="008337FD">
        <w:rPr>
          <w:rFonts w:asciiTheme="minorHAnsi" w:hAnsiTheme="minorHAnsi"/>
          <w:szCs w:val="22"/>
        </w:rPr>
        <w:t xml:space="preserve"> v rozvaze podhodnotilo zůstatek účtu 388</w:t>
      </w:r>
      <w:r>
        <w:rPr>
          <w:rFonts w:asciiTheme="minorHAnsi" w:hAnsiTheme="minorHAnsi"/>
          <w:szCs w:val="22"/>
        </w:rPr>
        <w:t xml:space="preserve"> </w:t>
      </w:r>
      <w:r w:rsidR="003A2BFC">
        <w:rPr>
          <w:rFonts w:asciiTheme="minorHAnsi" w:hAnsiTheme="minorHAnsi"/>
          <w:szCs w:val="22"/>
        </w:rPr>
        <w:t>–</w:t>
      </w:r>
      <w:r w:rsidRPr="0084150F">
        <w:rPr>
          <w:rFonts w:asciiTheme="minorHAnsi" w:hAnsiTheme="minorHAnsi"/>
          <w:i/>
          <w:szCs w:val="22"/>
        </w:rPr>
        <w:t xml:space="preserve"> </w:t>
      </w:r>
      <w:r w:rsidRPr="006F3E7F">
        <w:rPr>
          <w:rFonts w:asciiTheme="minorHAnsi" w:hAnsiTheme="minorHAnsi"/>
          <w:i/>
          <w:szCs w:val="22"/>
        </w:rPr>
        <w:t>Dohadné účty aktivní</w:t>
      </w:r>
      <w:r w:rsidR="008337FD">
        <w:rPr>
          <w:rFonts w:asciiTheme="minorHAnsi" w:hAnsiTheme="minorHAnsi"/>
          <w:szCs w:val="22"/>
        </w:rPr>
        <w:t xml:space="preserve"> o 57,7 mil. Kč a zůstatek na položce </w:t>
      </w:r>
      <w:r w:rsidR="008337FD" w:rsidRPr="00C869E4">
        <w:rPr>
          <w:rFonts w:asciiTheme="minorHAnsi" w:hAnsiTheme="minorHAnsi"/>
          <w:i/>
          <w:szCs w:val="22"/>
        </w:rPr>
        <w:t>C.III. Výsledek hospodaření</w:t>
      </w:r>
      <w:r w:rsidR="008337FD">
        <w:rPr>
          <w:rFonts w:asciiTheme="minorHAnsi" w:hAnsiTheme="minorHAnsi"/>
          <w:szCs w:val="22"/>
        </w:rPr>
        <w:t xml:space="preserve"> o 11,3 mil. Kč </w:t>
      </w:r>
      <w:r w:rsidR="00E43490">
        <w:rPr>
          <w:rFonts w:asciiTheme="minorHAnsi" w:hAnsiTheme="minorHAnsi"/>
          <w:szCs w:val="22"/>
        </w:rPr>
        <w:t xml:space="preserve">a dále </w:t>
      </w:r>
      <w:r w:rsidR="008337FD">
        <w:rPr>
          <w:rFonts w:asciiTheme="minorHAnsi" w:hAnsiTheme="minorHAnsi"/>
          <w:szCs w:val="22"/>
        </w:rPr>
        <w:t>ve výkazu zisku a ztráty podhodnotilo zůstatek účtu 671</w:t>
      </w:r>
      <w:r>
        <w:rPr>
          <w:rFonts w:asciiTheme="minorHAnsi" w:hAnsiTheme="minorHAnsi"/>
          <w:szCs w:val="22"/>
        </w:rPr>
        <w:t xml:space="preserve"> </w:t>
      </w:r>
      <w:r w:rsidR="003A2BFC">
        <w:rPr>
          <w:rFonts w:asciiTheme="minorHAnsi" w:hAnsiTheme="minorHAnsi"/>
          <w:szCs w:val="22"/>
        </w:rPr>
        <w:t>–</w:t>
      </w:r>
      <w:r>
        <w:rPr>
          <w:rFonts w:asciiTheme="minorHAnsi" w:hAnsiTheme="minorHAnsi"/>
          <w:szCs w:val="22"/>
        </w:rPr>
        <w:t xml:space="preserve"> </w:t>
      </w:r>
      <w:r w:rsidRPr="006F3E7F">
        <w:rPr>
          <w:rFonts w:asciiTheme="minorHAnsi" w:hAnsiTheme="minorHAnsi"/>
          <w:i/>
          <w:szCs w:val="22"/>
        </w:rPr>
        <w:t>Výnosy vybraných ústředních vládních institucí z transferů</w:t>
      </w:r>
      <w:r w:rsidR="008337FD">
        <w:rPr>
          <w:rFonts w:asciiTheme="minorHAnsi" w:hAnsiTheme="minorHAnsi"/>
          <w:szCs w:val="22"/>
        </w:rPr>
        <w:t xml:space="preserve"> o 46,4 mil. Kč.</w:t>
      </w:r>
    </w:p>
    <w:p w14:paraId="30CC538B" w14:textId="77777777" w:rsidR="008337FD" w:rsidRPr="00C869E4" w:rsidRDefault="008337FD" w:rsidP="008337FD">
      <w:pPr>
        <w:jc w:val="both"/>
        <w:rPr>
          <w:rFonts w:asciiTheme="minorHAnsi" w:hAnsiTheme="minorHAnsi"/>
          <w:szCs w:val="22"/>
        </w:rPr>
      </w:pPr>
    </w:p>
    <w:p w14:paraId="29ADBB43" w14:textId="41DFA0A0" w:rsidR="008337FD" w:rsidRDefault="00FC2ADF" w:rsidP="00CD1A95">
      <w:pPr>
        <w:pStyle w:val="Odstavecseseznamem"/>
        <w:numPr>
          <w:ilvl w:val="0"/>
          <w:numId w:val="42"/>
        </w:numPr>
        <w:spacing w:after="120"/>
        <w:jc w:val="both"/>
        <w:rPr>
          <w:rFonts w:ascii="Calibri" w:hAnsi="Calibri" w:cs="Calibri"/>
          <w:b/>
          <w:lang w:eastAsia="cs-CZ"/>
        </w:rPr>
      </w:pPr>
      <w:r>
        <w:rPr>
          <w:rFonts w:ascii="Calibri" w:hAnsi="Calibri" w:cs="Calibri"/>
          <w:b/>
          <w:lang w:eastAsia="cs-CZ"/>
        </w:rPr>
        <w:t>Transfery</w:t>
      </w:r>
      <w:r w:rsidR="008337FD">
        <w:rPr>
          <w:rFonts w:ascii="Calibri" w:hAnsi="Calibri" w:cs="Calibri"/>
          <w:b/>
          <w:lang w:eastAsia="cs-CZ"/>
        </w:rPr>
        <w:t>, které byly k </w:t>
      </w:r>
      <w:r>
        <w:rPr>
          <w:rFonts w:ascii="Calibri" w:hAnsi="Calibri" w:cs="Calibri"/>
          <w:b/>
          <w:lang w:eastAsia="cs-CZ"/>
        </w:rPr>
        <w:t>datu účetní závěrky</w:t>
      </w:r>
      <w:r w:rsidR="008337FD">
        <w:rPr>
          <w:rFonts w:ascii="Calibri" w:hAnsi="Calibri" w:cs="Calibri"/>
          <w:b/>
          <w:lang w:eastAsia="cs-CZ"/>
        </w:rPr>
        <w:t xml:space="preserve"> finančně vypořád</w:t>
      </w:r>
      <w:r w:rsidR="00E43490">
        <w:rPr>
          <w:rFonts w:ascii="Calibri" w:hAnsi="Calibri" w:cs="Calibri"/>
          <w:b/>
          <w:lang w:eastAsia="cs-CZ"/>
        </w:rPr>
        <w:t>ány</w:t>
      </w:r>
    </w:p>
    <w:p w14:paraId="08F5C2EC" w14:textId="77777777" w:rsidR="008337FD" w:rsidRDefault="008337FD" w:rsidP="00C869E4">
      <w:pPr>
        <w:spacing w:after="120"/>
        <w:jc w:val="both"/>
        <w:rPr>
          <w:rFonts w:asciiTheme="minorHAnsi" w:hAnsiTheme="minorHAnsi"/>
          <w:szCs w:val="22"/>
        </w:rPr>
      </w:pPr>
      <w:proofErr w:type="spellStart"/>
      <w:r>
        <w:rPr>
          <w:rFonts w:asciiTheme="minorHAnsi" w:hAnsiTheme="minorHAnsi"/>
          <w:szCs w:val="22"/>
        </w:rPr>
        <w:t>MSp</w:t>
      </w:r>
      <w:proofErr w:type="spellEnd"/>
      <w:r>
        <w:rPr>
          <w:rFonts w:asciiTheme="minorHAnsi" w:hAnsiTheme="minorHAnsi"/>
          <w:szCs w:val="22"/>
        </w:rPr>
        <w:t xml:space="preserve"> v souvislosti s přijatými investičními i neinvestičními transfery, ve kterých vystupovalo jako příjemce transferu</w:t>
      </w:r>
      <w:r w:rsidR="0084150F">
        <w:rPr>
          <w:rStyle w:val="Znakapoznpodarou"/>
          <w:rFonts w:asciiTheme="minorHAnsi" w:hAnsiTheme="minorHAnsi"/>
          <w:szCs w:val="22"/>
        </w:rPr>
        <w:footnoteReference w:id="12"/>
      </w:r>
      <w:r w:rsidR="009354E7">
        <w:rPr>
          <w:rFonts w:asciiTheme="minorHAnsi" w:hAnsiTheme="minorHAnsi"/>
          <w:szCs w:val="22"/>
        </w:rPr>
        <w:t xml:space="preserve"> </w:t>
      </w:r>
      <w:r>
        <w:rPr>
          <w:rFonts w:asciiTheme="minorHAnsi" w:hAnsiTheme="minorHAnsi"/>
          <w:szCs w:val="22"/>
        </w:rPr>
        <w:t xml:space="preserve">a které byly k datu 31. prosince 2015 finančně vypořádané, neúčtovalo o: </w:t>
      </w:r>
    </w:p>
    <w:p w14:paraId="57439972" w14:textId="77777777" w:rsidR="008337FD" w:rsidRDefault="008337FD" w:rsidP="0004693C">
      <w:pPr>
        <w:pStyle w:val="Odstavecseseznamem"/>
        <w:numPr>
          <w:ilvl w:val="0"/>
          <w:numId w:val="46"/>
        </w:numPr>
        <w:jc w:val="both"/>
        <w:rPr>
          <w:rFonts w:asciiTheme="minorHAnsi" w:hAnsiTheme="minorHAnsi"/>
          <w:szCs w:val="22"/>
        </w:rPr>
      </w:pPr>
      <w:r w:rsidRPr="006F3E7F">
        <w:rPr>
          <w:rFonts w:asciiTheme="minorHAnsi" w:hAnsiTheme="minorHAnsi"/>
          <w:szCs w:val="22"/>
        </w:rPr>
        <w:t xml:space="preserve">pohledávkách a jejich zúčtování na účtu 344 – </w:t>
      </w:r>
      <w:r w:rsidRPr="006F3E7F">
        <w:rPr>
          <w:rFonts w:asciiTheme="minorHAnsi" w:hAnsiTheme="minorHAnsi"/>
          <w:i/>
          <w:szCs w:val="22"/>
        </w:rPr>
        <w:t>Pohledávky za osobami mimo vybrané vládní instituce</w:t>
      </w:r>
      <w:r w:rsidRPr="006F3E7F">
        <w:rPr>
          <w:rFonts w:asciiTheme="minorHAnsi" w:hAnsiTheme="minorHAnsi"/>
          <w:szCs w:val="22"/>
        </w:rPr>
        <w:t xml:space="preserve">, </w:t>
      </w:r>
    </w:p>
    <w:p w14:paraId="57628FB7" w14:textId="77777777" w:rsidR="008337FD" w:rsidRDefault="008337FD" w:rsidP="0004693C">
      <w:pPr>
        <w:pStyle w:val="Odstavecseseznamem"/>
        <w:numPr>
          <w:ilvl w:val="0"/>
          <w:numId w:val="46"/>
        </w:numPr>
        <w:jc w:val="both"/>
        <w:rPr>
          <w:rFonts w:asciiTheme="minorHAnsi" w:hAnsiTheme="minorHAnsi"/>
          <w:szCs w:val="22"/>
        </w:rPr>
      </w:pPr>
      <w:r>
        <w:rPr>
          <w:rFonts w:asciiTheme="minorHAnsi" w:hAnsiTheme="minorHAnsi"/>
          <w:szCs w:val="22"/>
        </w:rPr>
        <w:t xml:space="preserve">výnosech na </w:t>
      </w:r>
      <w:r w:rsidRPr="006F3E7F">
        <w:rPr>
          <w:rFonts w:asciiTheme="minorHAnsi" w:hAnsiTheme="minorHAnsi"/>
          <w:szCs w:val="22"/>
        </w:rPr>
        <w:t xml:space="preserve">účtu 671 – </w:t>
      </w:r>
      <w:r w:rsidRPr="006F3E7F">
        <w:rPr>
          <w:rFonts w:asciiTheme="minorHAnsi" w:hAnsiTheme="minorHAnsi"/>
          <w:i/>
          <w:szCs w:val="22"/>
        </w:rPr>
        <w:t>Výnosy vybraných ústředních vládních institucí z transferů</w:t>
      </w:r>
      <w:r w:rsidR="003A2BFC">
        <w:rPr>
          <w:rFonts w:asciiTheme="minorHAnsi" w:hAnsiTheme="minorHAnsi"/>
          <w:szCs w:val="22"/>
        </w:rPr>
        <w:t xml:space="preserve"> (v </w:t>
      </w:r>
      <w:r>
        <w:rPr>
          <w:rFonts w:asciiTheme="minorHAnsi" w:hAnsiTheme="minorHAnsi"/>
          <w:szCs w:val="22"/>
        </w:rPr>
        <w:t>případě neinvestičních přijatých transferů),</w:t>
      </w:r>
    </w:p>
    <w:p w14:paraId="7B304F7F" w14:textId="3B21ECC6" w:rsidR="008337FD" w:rsidRDefault="008337FD" w:rsidP="0004693C">
      <w:pPr>
        <w:pStyle w:val="Odstavecseseznamem"/>
        <w:numPr>
          <w:ilvl w:val="0"/>
          <w:numId w:val="46"/>
        </w:numPr>
        <w:jc w:val="both"/>
        <w:rPr>
          <w:rFonts w:asciiTheme="minorHAnsi" w:hAnsiTheme="minorHAnsi"/>
          <w:szCs w:val="22"/>
        </w:rPr>
      </w:pPr>
      <w:r>
        <w:rPr>
          <w:rFonts w:asciiTheme="minorHAnsi" w:hAnsiTheme="minorHAnsi"/>
          <w:szCs w:val="22"/>
        </w:rPr>
        <w:t xml:space="preserve">jmění účetní jednotky na účtu 401 – </w:t>
      </w:r>
      <w:r w:rsidRPr="006F3E7F">
        <w:rPr>
          <w:rFonts w:asciiTheme="minorHAnsi" w:hAnsiTheme="minorHAnsi"/>
          <w:i/>
          <w:szCs w:val="22"/>
        </w:rPr>
        <w:t>Jmění účetní jednotky</w:t>
      </w:r>
      <w:r>
        <w:rPr>
          <w:rFonts w:asciiTheme="minorHAnsi" w:hAnsiTheme="minorHAnsi"/>
          <w:szCs w:val="22"/>
        </w:rPr>
        <w:t xml:space="preserve"> (v případě investičních přijatých transferů)</w:t>
      </w:r>
      <w:r w:rsidR="007614B3">
        <w:rPr>
          <w:rFonts w:asciiTheme="minorHAnsi" w:hAnsiTheme="minorHAnsi"/>
          <w:szCs w:val="22"/>
        </w:rPr>
        <w:t>,</w:t>
      </w:r>
    </w:p>
    <w:p w14:paraId="0766AA2F" w14:textId="66FFA5FE" w:rsidR="009A383E" w:rsidRPr="001D1576" w:rsidRDefault="008337FD" w:rsidP="00C869E4">
      <w:pPr>
        <w:pStyle w:val="Odstavecseseznamem"/>
        <w:numPr>
          <w:ilvl w:val="0"/>
          <w:numId w:val="46"/>
        </w:numPr>
        <w:spacing w:after="120"/>
        <w:ind w:left="714" w:hanging="357"/>
        <w:contextualSpacing w:val="0"/>
        <w:jc w:val="both"/>
        <w:rPr>
          <w:rFonts w:asciiTheme="minorHAnsi" w:hAnsiTheme="minorHAnsi"/>
          <w:szCs w:val="22"/>
        </w:rPr>
      </w:pPr>
      <w:r w:rsidRPr="006F3E7F">
        <w:rPr>
          <w:rFonts w:asciiTheme="minorHAnsi" w:hAnsiTheme="minorHAnsi"/>
          <w:szCs w:val="22"/>
        </w:rPr>
        <w:t xml:space="preserve">zúčtování dlouhodobých přijatých záloh na účtu 472 – </w:t>
      </w:r>
      <w:r w:rsidRPr="006F3E7F">
        <w:rPr>
          <w:rFonts w:asciiTheme="minorHAnsi" w:hAnsiTheme="minorHAnsi"/>
          <w:i/>
          <w:szCs w:val="22"/>
        </w:rPr>
        <w:t>Dlouhodobé přijaté zálohy na transfery</w:t>
      </w:r>
      <w:r w:rsidR="007614B3">
        <w:rPr>
          <w:rFonts w:asciiTheme="minorHAnsi" w:hAnsiTheme="minorHAnsi"/>
          <w:szCs w:val="22"/>
        </w:rPr>
        <w:t>,</w:t>
      </w:r>
    </w:p>
    <w:p w14:paraId="089B880C" w14:textId="1F8528D2" w:rsidR="008337FD" w:rsidRPr="001D1576" w:rsidRDefault="007614B3" w:rsidP="00F7493C">
      <w:pPr>
        <w:pStyle w:val="Odstavecseseznamem"/>
        <w:ind w:left="0"/>
        <w:jc w:val="both"/>
        <w:rPr>
          <w:rFonts w:asciiTheme="minorHAnsi" w:hAnsiTheme="minorHAnsi"/>
          <w:szCs w:val="22"/>
        </w:rPr>
      </w:pPr>
      <w:r>
        <w:rPr>
          <w:rFonts w:asciiTheme="minorHAnsi" w:hAnsiTheme="minorHAnsi"/>
          <w:szCs w:val="22"/>
        </w:rPr>
        <w:t xml:space="preserve">a </w:t>
      </w:r>
      <w:r w:rsidR="00303CCE">
        <w:rPr>
          <w:rFonts w:asciiTheme="minorHAnsi" w:hAnsiTheme="minorHAnsi"/>
          <w:szCs w:val="22"/>
        </w:rPr>
        <w:t>nenaplnilo</w:t>
      </w:r>
      <w:r>
        <w:rPr>
          <w:rFonts w:asciiTheme="minorHAnsi" w:hAnsiTheme="minorHAnsi"/>
          <w:szCs w:val="22"/>
        </w:rPr>
        <w:t xml:space="preserve"> tak </w:t>
      </w:r>
      <w:r w:rsidR="00303CCE">
        <w:rPr>
          <w:rFonts w:asciiTheme="minorHAnsi" w:hAnsiTheme="minorHAnsi"/>
          <w:szCs w:val="22"/>
        </w:rPr>
        <w:t>požadavky</w:t>
      </w:r>
      <w:r w:rsidR="00AF4EF0" w:rsidRPr="001D1576">
        <w:rPr>
          <w:rFonts w:asciiTheme="minorHAnsi" w:hAnsiTheme="minorHAnsi"/>
          <w:szCs w:val="22"/>
        </w:rPr>
        <w:t xml:space="preserve"> ČÚS č. 703</w:t>
      </w:r>
      <w:r w:rsidR="0084150F" w:rsidRPr="001D1576">
        <w:rPr>
          <w:rFonts w:asciiTheme="minorHAnsi" w:hAnsiTheme="minorHAnsi"/>
          <w:szCs w:val="22"/>
        </w:rPr>
        <w:t xml:space="preserve"> </w:t>
      </w:r>
      <w:r w:rsidR="009354E7">
        <w:rPr>
          <w:rFonts w:asciiTheme="minorHAnsi" w:hAnsiTheme="minorHAnsi"/>
          <w:lang w:eastAsia="cs-CZ"/>
        </w:rPr>
        <w:t>–</w:t>
      </w:r>
      <w:r w:rsidR="0084150F" w:rsidRPr="001D1576">
        <w:rPr>
          <w:rFonts w:asciiTheme="minorHAnsi" w:hAnsiTheme="minorHAnsi"/>
          <w:szCs w:val="22"/>
        </w:rPr>
        <w:t xml:space="preserve"> </w:t>
      </w:r>
      <w:r w:rsidR="0084150F" w:rsidRPr="001F4F9E">
        <w:rPr>
          <w:rFonts w:asciiTheme="minorHAnsi" w:hAnsiTheme="minorHAnsi"/>
          <w:i/>
          <w:szCs w:val="22"/>
        </w:rPr>
        <w:t>Transfery</w:t>
      </w:r>
      <w:r w:rsidR="008337FD" w:rsidRPr="001D1576">
        <w:rPr>
          <w:rFonts w:asciiTheme="minorHAnsi" w:hAnsiTheme="minorHAnsi"/>
          <w:szCs w:val="22"/>
        </w:rPr>
        <w:t xml:space="preserve">. </w:t>
      </w:r>
    </w:p>
    <w:p w14:paraId="0A150076" w14:textId="77777777" w:rsidR="00F7493C" w:rsidRDefault="00F7493C" w:rsidP="008337FD">
      <w:pPr>
        <w:jc w:val="both"/>
        <w:rPr>
          <w:rFonts w:asciiTheme="minorHAnsi" w:hAnsiTheme="minorHAnsi"/>
          <w:szCs w:val="22"/>
        </w:rPr>
      </w:pPr>
    </w:p>
    <w:p w14:paraId="51BEE5F6" w14:textId="527BBF4E" w:rsidR="008337FD" w:rsidRDefault="008337FD" w:rsidP="008337FD">
      <w:pPr>
        <w:jc w:val="both"/>
        <w:rPr>
          <w:rFonts w:asciiTheme="minorHAnsi" w:hAnsiTheme="minorHAnsi"/>
          <w:szCs w:val="22"/>
        </w:rPr>
      </w:pPr>
      <w:r w:rsidRPr="006F3E7F">
        <w:rPr>
          <w:rFonts w:asciiTheme="minorHAnsi" w:hAnsiTheme="minorHAnsi"/>
          <w:szCs w:val="22"/>
        </w:rPr>
        <w:t xml:space="preserve">V důsledku uvedených skutečností </w:t>
      </w:r>
      <w:proofErr w:type="spellStart"/>
      <w:r w:rsidRPr="006F3E7F">
        <w:rPr>
          <w:rFonts w:asciiTheme="minorHAnsi" w:hAnsiTheme="minorHAnsi"/>
          <w:szCs w:val="22"/>
        </w:rPr>
        <w:t>MSp</w:t>
      </w:r>
      <w:proofErr w:type="spellEnd"/>
      <w:r w:rsidRPr="006F3E7F">
        <w:rPr>
          <w:rFonts w:asciiTheme="minorHAnsi" w:hAnsiTheme="minorHAnsi"/>
          <w:szCs w:val="22"/>
        </w:rPr>
        <w:t xml:space="preserve"> v rozvaze nadhodnotilo zůstatek účtu</w:t>
      </w:r>
      <w:r w:rsidR="00596422">
        <w:rPr>
          <w:rFonts w:asciiTheme="minorHAnsi" w:hAnsiTheme="minorHAnsi"/>
          <w:szCs w:val="22"/>
        </w:rPr>
        <w:t xml:space="preserve"> </w:t>
      </w:r>
      <w:r w:rsidR="003A2BFC">
        <w:rPr>
          <w:rFonts w:asciiTheme="minorHAnsi" w:hAnsiTheme="minorHAnsi"/>
          <w:szCs w:val="22"/>
        </w:rPr>
        <w:br/>
      </w:r>
      <w:r w:rsidRPr="006F3E7F">
        <w:rPr>
          <w:rFonts w:asciiTheme="minorHAnsi" w:hAnsiTheme="minorHAnsi"/>
          <w:szCs w:val="22"/>
        </w:rPr>
        <w:t>472</w:t>
      </w:r>
      <w:r w:rsidR="0084150F">
        <w:rPr>
          <w:rFonts w:asciiTheme="minorHAnsi" w:hAnsiTheme="minorHAnsi"/>
          <w:szCs w:val="22"/>
        </w:rPr>
        <w:t xml:space="preserve"> </w:t>
      </w:r>
      <w:r w:rsidR="003A2BFC">
        <w:rPr>
          <w:rFonts w:asciiTheme="minorHAnsi" w:hAnsiTheme="minorHAnsi"/>
          <w:szCs w:val="22"/>
        </w:rPr>
        <w:t>–</w:t>
      </w:r>
      <w:r w:rsidR="0084150F" w:rsidRPr="0084150F">
        <w:rPr>
          <w:rFonts w:asciiTheme="minorHAnsi" w:hAnsiTheme="minorHAnsi"/>
          <w:i/>
          <w:szCs w:val="22"/>
        </w:rPr>
        <w:t xml:space="preserve"> </w:t>
      </w:r>
      <w:r w:rsidR="0084150F" w:rsidRPr="006F3E7F">
        <w:rPr>
          <w:rFonts w:asciiTheme="minorHAnsi" w:hAnsiTheme="minorHAnsi"/>
          <w:i/>
          <w:szCs w:val="22"/>
        </w:rPr>
        <w:t>Dlouhodobé přijaté zálohy na transfery</w:t>
      </w:r>
      <w:r w:rsidRPr="006F3E7F">
        <w:rPr>
          <w:rFonts w:asciiTheme="minorHAnsi" w:hAnsiTheme="minorHAnsi"/>
          <w:szCs w:val="22"/>
        </w:rPr>
        <w:t xml:space="preserve"> o 69 mil. Kč a podhodnotilo zůstatek účtu</w:t>
      </w:r>
      <w:r w:rsidR="00596422">
        <w:rPr>
          <w:rFonts w:asciiTheme="minorHAnsi" w:hAnsiTheme="minorHAnsi"/>
          <w:szCs w:val="22"/>
        </w:rPr>
        <w:t xml:space="preserve"> </w:t>
      </w:r>
      <w:r w:rsidR="003A2BFC">
        <w:rPr>
          <w:rFonts w:asciiTheme="minorHAnsi" w:hAnsiTheme="minorHAnsi"/>
          <w:szCs w:val="22"/>
        </w:rPr>
        <w:br/>
      </w:r>
      <w:r w:rsidRPr="006F3E7F">
        <w:rPr>
          <w:rFonts w:asciiTheme="minorHAnsi" w:hAnsiTheme="minorHAnsi"/>
          <w:szCs w:val="22"/>
        </w:rPr>
        <w:t>401</w:t>
      </w:r>
      <w:r w:rsidR="0084150F">
        <w:rPr>
          <w:rFonts w:asciiTheme="minorHAnsi" w:hAnsiTheme="minorHAnsi"/>
          <w:szCs w:val="22"/>
        </w:rPr>
        <w:t xml:space="preserve"> </w:t>
      </w:r>
      <w:r w:rsidR="003A2BFC">
        <w:rPr>
          <w:rFonts w:asciiTheme="minorHAnsi" w:hAnsiTheme="minorHAnsi"/>
          <w:szCs w:val="22"/>
        </w:rPr>
        <w:t>–</w:t>
      </w:r>
      <w:r w:rsidR="0084150F">
        <w:rPr>
          <w:rFonts w:asciiTheme="minorHAnsi" w:hAnsiTheme="minorHAnsi"/>
          <w:szCs w:val="22"/>
        </w:rPr>
        <w:t xml:space="preserve"> </w:t>
      </w:r>
      <w:r w:rsidR="0084150F" w:rsidRPr="006F3E7F">
        <w:rPr>
          <w:rFonts w:asciiTheme="minorHAnsi" w:hAnsiTheme="minorHAnsi"/>
          <w:i/>
          <w:szCs w:val="22"/>
        </w:rPr>
        <w:t>Jmění účetní jednotky</w:t>
      </w:r>
      <w:r w:rsidR="0084150F">
        <w:rPr>
          <w:rFonts w:asciiTheme="minorHAnsi" w:hAnsiTheme="minorHAnsi"/>
          <w:szCs w:val="22"/>
        </w:rPr>
        <w:t xml:space="preserve"> </w:t>
      </w:r>
      <w:r w:rsidRPr="006F3E7F">
        <w:rPr>
          <w:rFonts w:asciiTheme="minorHAnsi" w:hAnsiTheme="minorHAnsi"/>
          <w:szCs w:val="22"/>
        </w:rPr>
        <w:t xml:space="preserve">o 50,1 mil. Kč </w:t>
      </w:r>
      <w:r w:rsidR="00596422">
        <w:rPr>
          <w:rFonts w:asciiTheme="minorHAnsi" w:hAnsiTheme="minorHAnsi"/>
          <w:szCs w:val="22"/>
        </w:rPr>
        <w:t xml:space="preserve">a dále </w:t>
      </w:r>
      <w:r w:rsidRPr="006F3E7F">
        <w:rPr>
          <w:rFonts w:asciiTheme="minorHAnsi" w:hAnsiTheme="minorHAnsi"/>
          <w:szCs w:val="22"/>
        </w:rPr>
        <w:t>ve výkazu zisku a ztráty podhodnotilo zůstatek účtu 671</w:t>
      </w:r>
      <w:r w:rsidR="0084150F">
        <w:rPr>
          <w:rFonts w:asciiTheme="minorHAnsi" w:hAnsiTheme="minorHAnsi"/>
          <w:szCs w:val="22"/>
        </w:rPr>
        <w:t xml:space="preserve"> </w:t>
      </w:r>
      <w:r w:rsidR="003A2BFC">
        <w:rPr>
          <w:rFonts w:asciiTheme="minorHAnsi" w:hAnsiTheme="minorHAnsi"/>
          <w:szCs w:val="22"/>
        </w:rPr>
        <w:t>–</w:t>
      </w:r>
      <w:r w:rsidR="0084150F">
        <w:rPr>
          <w:rFonts w:asciiTheme="minorHAnsi" w:hAnsiTheme="minorHAnsi"/>
          <w:szCs w:val="22"/>
        </w:rPr>
        <w:t xml:space="preserve"> </w:t>
      </w:r>
      <w:r w:rsidR="0084150F" w:rsidRPr="006F3E7F">
        <w:rPr>
          <w:rFonts w:asciiTheme="minorHAnsi" w:hAnsiTheme="minorHAnsi"/>
          <w:i/>
          <w:szCs w:val="22"/>
        </w:rPr>
        <w:t>Výnosy vybraných ústředních vládních institucí z transferů</w:t>
      </w:r>
      <w:r w:rsidRPr="006F3E7F">
        <w:rPr>
          <w:rFonts w:asciiTheme="minorHAnsi" w:hAnsiTheme="minorHAnsi"/>
          <w:szCs w:val="22"/>
        </w:rPr>
        <w:t xml:space="preserve"> o 18,8 mil. Kč.</w:t>
      </w:r>
    </w:p>
    <w:p w14:paraId="2388F1A6" w14:textId="77777777" w:rsidR="00FC2ADF" w:rsidRDefault="00FC2ADF" w:rsidP="008337FD">
      <w:pPr>
        <w:jc w:val="both"/>
        <w:rPr>
          <w:rFonts w:asciiTheme="minorHAnsi" w:hAnsiTheme="minorHAnsi"/>
          <w:szCs w:val="22"/>
        </w:rPr>
      </w:pPr>
    </w:p>
    <w:p w14:paraId="57AB3AA1" w14:textId="77777777" w:rsidR="00B95FEF" w:rsidRPr="0024115E" w:rsidRDefault="00FC2ADF" w:rsidP="00CD1A95">
      <w:pPr>
        <w:pStyle w:val="Odstavecseseznamem"/>
        <w:numPr>
          <w:ilvl w:val="0"/>
          <w:numId w:val="42"/>
        </w:numPr>
        <w:spacing w:after="120"/>
        <w:jc w:val="both"/>
        <w:rPr>
          <w:rFonts w:ascii="Calibri" w:hAnsi="Calibri" w:cs="Calibri"/>
          <w:b/>
          <w:lang w:eastAsia="cs-CZ"/>
        </w:rPr>
      </w:pPr>
      <w:r>
        <w:rPr>
          <w:rFonts w:ascii="Calibri" w:hAnsi="Calibri" w:cs="Calibri"/>
          <w:b/>
          <w:lang w:eastAsia="cs-CZ"/>
        </w:rPr>
        <w:t>Transfery na pomoc</w:t>
      </w:r>
      <w:r w:rsidR="00B95FEF" w:rsidRPr="0024115E">
        <w:rPr>
          <w:rFonts w:ascii="Calibri" w:hAnsi="Calibri" w:cs="Calibri"/>
          <w:b/>
          <w:lang w:eastAsia="cs-CZ"/>
        </w:rPr>
        <w:t xml:space="preserve"> obětem trestných činů</w:t>
      </w:r>
    </w:p>
    <w:p w14:paraId="7C81A62E" w14:textId="73EA5C68" w:rsidR="00B95FEF" w:rsidRDefault="00B95FEF" w:rsidP="00B95FEF">
      <w:pPr>
        <w:jc w:val="both"/>
        <w:rPr>
          <w:rFonts w:asciiTheme="minorHAnsi" w:hAnsiTheme="minorHAnsi" w:cs="Arial"/>
        </w:rPr>
      </w:pPr>
      <w:proofErr w:type="spellStart"/>
      <w:r>
        <w:rPr>
          <w:rFonts w:asciiTheme="minorHAnsi" w:hAnsiTheme="minorHAnsi" w:cstheme="minorHAnsi"/>
        </w:rPr>
        <w:t>MSp</w:t>
      </w:r>
      <w:proofErr w:type="spellEnd"/>
      <w:r>
        <w:rPr>
          <w:rFonts w:asciiTheme="minorHAnsi" w:hAnsiTheme="minorHAnsi" w:cstheme="minorHAnsi"/>
        </w:rPr>
        <w:t xml:space="preserve"> jako správní orgán příslušný </w:t>
      </w:r>
      <w:r>
        <w:rPr>
          <w:rFonts w:ascii="Calibri" w:hAnsi="Calibri" w:cs="Calibri"/>
          <w:bCs/>
          <w:iCs/>
        </w:rPr>
        <w:t>podle zákona č. 45/2013 Sb.</w:t>
      </w:r>
      <w:r w:rsidR="00044B3C">
        <w:rPr>
          <w:rFonts w:asciiTheme="minorHAnsi" w:hAnsiTheme="minorHAnsi" w:cstheme="minorHAnsi"/>
        </w:rPr>
        <w:t>, o obětech trestných činů a o </w:t>
      </w:r>
      <w:r w:rsidRPr="004342C1">
        <w:rPr>
          <w:rFonts w:asciiTheme="minorHAnsi" w:hAnsiTheme="minorHAnsi" w:cstheme="minorHAnsi"/>
        </w:rPr>
        <w:t>změně některých zákonů</w:t>
      </w:r>
      <w:r w:rsidR="00EE2587">
        <w:rPr>
          <w:rFonts w:asciiTheme="minorHAnsi" w:hAnsiTheme="minorHAnsi" w:cstheme="minorHAnsi"/>
        </w:rPr>
        <w:t xml:space="preserve"> </w:t>
      </w:r>
      <w:r w:rsidR="00EE2587" w:rsidRPr="00EE2587">
        <w:rPr>
          <w:rFonts w:asciiTheme="minorHAnsi" w:hAnsiTheme="minorHAnsi" w:cstheme="minorHAnsi"/>
        </w:rPr>
        <w:t>(zákon o obětech trestných činů)</w:t>
      </w:r>
      <w:r w:rsidRPr="004342C1">
        <w:rPr>
          <w:rFonts w:asciiTheme="minorHAnsi" w:hAnsiTheme="minorHAnsi" w:cstheme="minorHAnsi"/>
        </w:rPr>
        <w:t>,</w:t>
      </w:r>
      <w:r>
        <w:rPr>
          <w:rFonts w:asciiTheme="minorHAnsi" w:hAnsiTheme="minorHAnsi" w:cstheme="minorHAnsi"/>
        </w:rPr>
        <w:t xml:space="preserve"> poskytuje obětem trestných činů peněžitou pomoc. Účelem peněžité pomoci je překlenout zhoršenou sociální situaci způsobenou oběti trestným činem. Tato peněžitá pomoc tak má povahu dávky (podpory) a dle </w:t>
      </w:r>
      <w:r w:rsidRPr="00630981">
        <w:rPr>
          <w:rFonts w:asciiTheme="minorHAnsi" w:hAnsiTheme="minorHAnsi" w:cstheme="minorHAnsi"/>
        </w:rPr>
        <w:t>Č</w:t>
      </w:r>
      <w:r>
        <w:rPr>
          <w:rFonts w:asciiTheme="minorHAnsi" w:hAnsiTheme="minorHAnsi" w:cstheme="minorHAnsi"/>
        </w:rPr>
        <w:t>ÚS č. 703</w:t>
      </w:r>
      <w:r w:rsidR="00222B08">
        <w:rPr>
          <w:rFonts w:asciiTheme="minorHAnsi" w:hAnsiTheme="minorHAnsi" w:cstheme="minorHAnsi"/>
        </w:rPr>
        <w:t xml:space="preserve"> </w:t>
      </w:r>
      <w:r w:rsidR="00222B08">
        <w:rPr>
          <w:rFonts w:asciiTheme="minorHAnsi" w:hAnsiTheme="minorHAnsi"/>
          <w:lang w:eastAsia="cs-CZ"/>
        </w:rPr>
        <w:t>–</w:t>
      </w:r>
      <w:r w:rsidR="00222B08">
        <w:rPr>
          <w:rFonts w:asciiTheme="minorHAnsi" w:hAnsiTheme="minorHAnsi" w:cstheme="minorHAnsi"/>
        </w:rPr>
        <w:t xml:space="preserve"> </w:t>
      </w:r>
      <w:r w:rsidR="009A383E" w:rsidRPr="001F4F9E">
        <w:rPr>
          <w:rFonts w:asciiTheme="minorHAnsi" w:hAnsiTheme="minorHAnsi" w:cstheme="minorHAnsi"/>
          <w:i/>
        </w:rPr>
        <w:t>Transfery</w:t>
      </w:r>
      <w:r>
        <w:rPr>
          <w:rFonts w:asciiTheme="minorHAnsi" w:hAnsiTheme="minorHAnsi" w:cstheme="minorHAnsi"/>
        </w:rPr>
        <w:t xml:space="preserve"> je </w:t>
      </w:r>
      <w:r w:rsidRPr="00630981">
        <w:rPr>
          <w:rFonts w:asciiTheme="minorHAnsi" w:hAnsiTheme="minorHAnsi" w:cstheme="minorHAnsi"/>
        </w:rPr>
        <w:t>transferem</w:t>
      </w:r>
      <w:r>
        <w:rPr>
          <w:rFonts w:asciiTheme="minorHAnsi" w:hAnsiTheme="minorHAnsi" w:cstheme="minorHAnsi"/>
        </w:rPr>
        <w:t xml:space="preserve">, o kterém se účtuje na účtu 571 – </w:t>
      </w:r>
      <w:r w:rsidRPr="00810A01">
        <w:rPr>
          <w:rFonts w:asciiTheme="minorHAnsi" w:hAnsiTheme="minorHAnsi" w:cstheme="minorHAnsi"/>
          <w:i/>
        </w:rPr>
        <w:t>Náklady vybraných ústředních vládních institucí na transfery</w:t>
      </w:r>
      <w:r>
        <w:rPr>
          <w:rFonts w:asciiTheme="minorHAnsi" w:hAnsiTheme="minorHAnsi" w:cstheme="minorHAnsi"/>
          <w:i/>
        </w:rPr>
        <w:t xml:space="preserve">. </w:t>
      </w:r>
      <w:proofErr w:type="spellStart"/>
      <w:r>
        <w:rPr>
          <w:rFonts w:asciiTheme="minorHAnsi" w:hAnsiTheme="minorHAnsi" w:cstheme="minorHAnsi"/>
        </w:rPr>
        <w:t>MSp</w:t>
      </w:r>
      <w:proofErr w:type="spellEnd"/>
      <w:r>
        <w:rPr>
          <w:rFonts w:asciiTheme="minorHAnsi" w:hAnsiTheme="minorHAnsi" w:cstheme="minorHAnsi"/>
        </w:rPr>
        <w:t xml:space="preserve"> však o nákladech </w:t>
      </w:r>
      <w:r w:rsidR="000D7185">
        <w:rPr>
          <w:rFonts w:asciiTheme="minorHAnsi" w:hAnsiTheme="minorHAnsi" w:cstheme="minorHAnsi"/>
        </w:rPr>
        <w:t xml:space="preserve">vyplývajících </w:t>
      </w:r>
      <w:r>
        <w:rPr>
          <w:rFonts w:asciiTheme="minorHAnsi" w:hAnsiTheme="minorHAnsi" w:cstheme="minorHAnsi"/>
        </w:rPr>
        <w:t xml:space="preserve">z poskytování </w:t>
      </w:r>
      <w:r>
        <w:rPr>
          <w:rFonts w:asciiTheme="minorHAnsi" w:hAnsiTheme="minorHAnsi" w:cstheme="minorHAnsi"/>
        </w:rPr>
        <w:lastRenderedPageBreak/>
        <w:t xml:space="preserve">peněžité pomoci obětem trestných činů účtovalo na účtu </w:t>
      </w:r>
      <w:r w:rsidRPr="004342C1">
        <w:rPr>
          <w:rFonts w:asciiTheme="minorHAnsi" w:hAnsiTheme="minorHAnsi" w:cstheme="minorHAnsi"/>
        </w:rPr>
        <w:t xml:space="preserve">549 – </w:t>
      </w:r>
      <w:r w:rsidRPr="004342C1">
        <w:rPr>
          <w:rFonts w:asciiTheme="minorHAnsi" w:hAnsiTheme="minorHAnsi" w:cstheme="minorHAnsi"/>
          <w:i/>
        </w:rPr>
        <w:t>Ostatní náklady z činnosti</w:t>
      </w:r>
      <w:r>
        <w:rPr>
          <w:rFonts w:asciiTheme="minorHAnsi" w:hAnsiTheme="minorHAnsi" w:cstheme="minorHAnsi"/>
        </w:rPr>
        <w:t xml:space="preserve">. </w:t>
      </w:r>
      <w:r w:rsidRPr="00C235AD">
        <w:rPr>
          <w:rFonts w:asciiTheme="minorHAnsi" w:hAnsiTheme="minorHAnsi" w:cstheme="minorHAnsi"/>
        </w:rPr>
        <w:t xml:space="preserve">V důsledku </w:t>
      </w:r>
      <w:r w:rsidR="000D7185">
        <w:rPr>
          <w:rFonts w:asciiTheme="minorHAnsi" w:hAnsiTheme="minorHAnsi" w:cstheme="minorHAnsi"/>
        </w:rPr>
        <w:t>této</w:t>
      </w:r>
      <w:r>
        <w:rPr>
          <w:rFonts w:asciiTheme="minorHAnsi" w:hAnsiTheme="minorHAnsi" w:cstheme="minorHAnsi"/>
        </w:rPr>
        <w:t xml:space="preserve"> skutečnost</w:t>
      </w:r>
      <w:r w:rsidR="000D7185">
        <w:rPr>
          <w:rFonts w:asciiTheme="minorHAnsi" w:hAnsiTheme="minorHAnsi" w:cstheme="minorHAnsi"/>
        </w:rPr>
        <w:t>i</w:t>
      </w:r>
      <w:r>
        <w:rPr>
          <w:rFonts w:asciiTheme="minorHAnsi" w:hAnsiTheme="minorHAnsi" w:cstheme="minorHAnsi"/>
        </w:rPr>
        <w:t xml:space="preserve"> </w:t>
      </w:r>
      <w:proofErr w:type="spellStart"/>
      <w:r w:rsidRPr="00C235AD">
        <w:rPr>
          <w:rFonts w:asciiTheme="minorHAnsi" w:hAnsiTheme="minorHAnsi" w:cstheme="minorHAnsi"/>
        </w:rPr>
        <w:t>MSp</w:t>
      </w:r>
      <w:proofErr w:type="spellEnd"/>
      <w:r>
        <w:rPr>
          <w:rFonts w:asciiTheme="minorHAnsi" w:hAnsiTheme="minorHAnsi" w:cstheme="minorHAnsi"/>
        </w:rPr>
        <w:t xml:space="preserve"> ve výkazu zisku a ztráty nadhodnotilo </w:t>
      </w:r>
      <w:r w:rsidRPr="00C235AD">
        <w:rPr>
          <w:rFonts w:asciiTheme="minorHAnsi" w:hAnsiTheme="minorHAnsi" w:cstheme="minorHAnsi"/>
        </w:rPr>
        <w:t>zůstat</w:t>
      </w:r>
      <w:r>
        <w:rPr>
          <w:rFonts w:asciiTheme="minorHAnsi" w:hAnsiTheme="minorHAnsi" w:cstheme="minorHAnsi"/>
        </w:rPr>
        <w:t>e</w:t>
      </w:r>
      <w:r w:rsidRPr="00C235AD">
        <w:rPr>
          <w:rFonts w:asciiTheme="minorHAnsi" w:hAnsiTheme="minorHAnsi" w:cstheme="minorHAnsi"/>
        </w:rPr>
        <w:t>k účt</w:t>
      </w:r>
      <w:r>
        <w:rPr>
          <w:rFonts w:asciiTheme="minorHAnsi" w:hAnsiTheme="minorHAnsi" w:cstheme="minorHAnsi"/>
        </w:rPr>
        <w:t>u</w:t>
      </w:r>
      <w:r w:rsidRPr="00C235AD">
        <w:rPr>
          <w:rFonts w:asciiTheme="minorHAnsi" w:hAnsiTheme="minorHAnsi" w:cstheme="minorHAnsi"/>
        </w:rPr>
        <w:t xml:space="preserve"> </w:t>
      </w:r>
      <w:r w:rsidR="00630182">
        <w:rPr>
          <w:rFonts w:asciiTheme="minorHAnsi" w:hAnsiTheme="minorHAnsi" w:cstheme="minorHAnsi"/>
        </w:rPr>
        <w:br/>
      </w:r>
      <w:r w:rsidRPr="00C235AD">
        <w:rPr>
          <w:rFonts w:asciiTheme="minorHAnsi" w:hAnsiTheme="minorHAnsi" w:cstheme="minorHAnsi"/>
        </w:rPr>
        <w:t>5</w:t>
      </w:r>
      <w:r>
        <w:rPr>
          <w:rFonts w:asciiTheme="minorHAnsi" w:hAnsiTheme="minorHAnsi" w:cstheme="minorHAnsi"/>
        </w:rPr>
        <w:t>49</w:t>
      </w:r>
      <w:r w:rsidRPr="00C235AD">
        <w:rPr>
          <w:rFonts w:asciiTheme="minorHAnsi" w:hAnsiTheme="minorHAnsi" w:cstheme="minorHAnsi"/>
        </w:rPr>
        <w:t xml:space="preserve"> – </w:t>
      </w:r>
      <w:r w:rsidRPr="005533DA">
        <w:rPr>
          <w:rFonts w:asciiTheme="minorHAnsi" w:hAnsiTheme="minorHAnsi" w:cstheme="minorHAnsi"/>
          <w:i/>
        </w:rPr>
        <w:t xml:space="preserve">Ostatní </w:t>
      </w:r>
      <w:r>
        <w:rPr>
          <w:rFonts w:asciiTheme="minorHAnsi" w:hAnsiTheme="minorHAnsi" w:cstheme="minorHAnsi"/>
          <w:i/>
        </w:rPr>
        <w:t xml:space="preserve">náklady z činnosti </w:t>
      </w:r>
      <w:r>
        <w:rPr>
          <w:rFonts w:asciiTheme="minorHAnsi" w:hAnsiTheme="minorHAnsi" w:cstheme="minorHAnsi"/>
        </w:rPr>
        <w:t xml:space="preserve">o 11,2 mil. Kč </w:t>
      </w:r>
      <w:r w:rsidRPr="00C235AD">
        <w:rPr>
          <w:rFonts w:asciiTheme="minorHAnsi" w:hAnsiTheme="minorHAnsi" w:cstheme="minorHAnsi"/>
        </w:rPr>
        <w:t>a</w:t>
      </w:r>
      <w:r>
        <w:rPr>
          <w:rFonts w:asciiTheme="minorHAnsi" w:hAnsiTheme="minorHAnsi" w:cstheme="minorHAnsi"/>
        </w:rPr>
        <w:t xml:space="preserve"> o stejnou částku podhodnotilo zůstatek účtu</w:t>
      </w:r>
      <w:r w:rsidRPr="00C235AD">
        <w:rPr>
          <w:rFonts w:asciiTheme="minorHAnsi" w:hAnsiTheme="minorHAnsi" w:cstheme="minorHAnsi"/>
        </w:rPr>
        <w:t xml:space="preserve"> 571 – </w:t>
      </w:r>
      <w:r w:rsidRPr="005533DA">
        <w:rPr>
          <w:rFonts w:asciiTheme="minorHAnsi" w:hAnsiTheme="minorHAnsi" w:cstheme="minorHAnsi"/>
          <w:i/>
        </w:rPr>
        <w:t xml:space="preserve">Náklady vybraných </w:t>
      </w:r>
      <w:r w:rsidR="000D7185">
        <w:rPr>
          <w:rFonts w:asciiTheme="minorHAnsi" w:hAnsiTheme="minorHAnsi" w:cstheme="minorHAnsi"/>
          <w:i/>
        </w:rPr>
        <w:t>ústředních</w:t>
      </w:r>
      <w:r w:rsidRPr="005533DA">
        <w:rPr>
          <w:rFonts w:asciiTheme="minorHAnsi" w:hAnsiTheme="minorHAnsi" w:cstheme="minorHAnsi"/>
          <w:i/>
        </w:rPr>
        <w:t xml:space="preserve"> vládních institucí na transfery</w:t>
      </w:r>
      <w:r w:rsidRPr="00C235AD">
        <w:rPr>
          <w:rFonts w:asciiTheme="minorHAnsi" w:hAnsiTheme="minorHAnsi" w:cs="Arial"/>
        </w:rPr>
        <w:t>.</w:t>
      </w:r>
    </w:p>
    <w:p w14:paraId="10263744" w14:textId="77777777" w:rsidR="00630182" w:rsidRDefault="00630182" w:rsidP="00B95FEF">
      <w:pPr>
        <w:jc w:val="both"/>
        <w:rPr>
          <w:rFonts w:asciiTheme="minorHAnsi" w:hAnsiTheme="minorHAnsi" w:cstheme="minorHAnsi"/>
        </w:rPr>
      </w:pPr>
    </w:p>
    <w:p w14:paraId="38FCC85C" w14:textId="77777777" w:rsidR="00B95FEF" w:rsidRPr="00731317" w:rsidRDefault="00483326" w:rsidP="00731317">
      <w:pPr>
        <w:spacing w:before="40"/>
        <w:jc w:val="both"/>
        <w:rPr>
          <w:rFonts w:ascii="Calibri" w:hAnsi="Calibri" w:cs="Calibri"/>
          <w:b/>
          <w:lang w:eastAsia="cs-CZ"/>
        </w:rPr>
      </w:pPr>
      <w:r w:rsidRPr="00483326">
        <w:rPr>
          <w:rFonts w:ascii="Calibri" w:hAnsi="Calibri" w:cs="Calibri"/>
          <w:b/>
          <w:lang w:eastAsia="cs-CZ"/>
        </w:rPr>
        <w:t>1.</w:t>
      </w:r>
      <w:r>
        <w:rPr>
          <w:rFonts w:ascii="Calibri" w:hAnsi="Calibri" w:cs="Calibri"/>
          <w:b/>
          <w:lang w:eastAsia="cs-CZ"/>
        </w:rPr>
        <w:t xml:space="preserve">3 </w:t>
      </w:r>
      <w:r w:rsidR="00B95FEF" w:rsidRPr="00731317">
        <w:rPr>
          <w:rFonts w:ascii="Calibri" w:hAnsi="Calibri" w:cs="Calibri"/>
          <w:b/>
          <w:lang w:eastAsia="cs-CZ"/>
        </w:rPr>
        <w:t>Podrozvahové účty</w:t>
      </w:r>
    </w:p>
    <w:p w14:paraId="549F38C1" w14:textId="77777777" w:rsidR="00483326" w:rsidRPr="00C869E4" w:rsidRDefault="00483326" w:rsidP="00731317">
      <w:pPr>
        <w:rPr>
          <w:rFonts w:asciiTheme="minorHAnsi" w:hAnsiTheme="minorHAnsi" w:cstheme="minorHAnsi"/>
          <w:lang w:eastAsia="cs-CZ"/>
        </w:rPr>
      </w:pPr>
    </w:p>
    <w:p w14:paraId="7B511AF4" w14:textId="77777777" w:rsidR="005A4589" w:rsidRPr="0024115E" w:rsidRDefault="005A4589" w:rsidP="00C869E4">
      <w:pPr>
        <w:pStyle w:val="Odstavecseseznamem"/>
        <w:numPr>
          <w:ilvl w:val="0"/>
          <w:numId w:val="42"/>
        </w:numPr>
        <w:spacing w:after="120"/>
        <w:ind w:left="714" w:hanging="357"/>
        <w:contextualSpacing w:val="0"/>
        <w:jc w:val="both"/>
        <w:rPr>
          <w:rFonts w:ascii="Calibri" w:hAnsi="Calibri" w:cs="Calibri"/>
          <w:b/>
          <w:lang w:eastAsia="cs-CZ"/>
        </w:rPr>
      </w:pPr>
      <w:r w:rsidRPr="0024115E">
        <w:rPr>
          <w:rFonts w:ascii="Calibri" w:hAnsi="Calibri" w:cs="Calibri"/>
          <w:b/>
          <w:lang w:eastAsia="cs-CZ"/>
        </w:rPr>
        <w:t>Vyřazené pohledávky</w:t>
      </w:r>
    </w:p>
    <w:p w14:paraId="6DADA9F9" w14:textId="1B2DF9AB" w:rsidR="005A4589" w:rsidRDefault="005A4589" w:rsidP="005A4589">
      <w:pPr>
        <w:jc w:val="both"/>
        <w:rPr>
          <w:rFonts w:asciiTheme="minorHAnsi" w:hAnsiTheme="minorHAnsi" w:cstheme="minorHAnsi"/>
        </w:rPr>
      </w:pPr>
      <w:proofErr w:type="spellStart"/>
      <w:r w:rsidRPr="007A4914">
        <w:rPr>
          <w:rFonts w:asciiTheme="minorHAnsi" w:hAnsiTheme="minorHAnsi" w:cstheme="minorHAnsi"/>
        </w:rPr>
        <w:t>MSp</w:t>
      </w:r>
      <w:proofErr w:type="spellEnd"/>
      <w:r w:rsidRPr="007A4914">
        <w:rPr>
          <w:rFonts w:asciiTheme="minorHAnsi" w:hAnsiTheme="minorHAnsi" w:cstheme="minorHAnsi"/>
        </w:rPr>
        <w:t xml:space="preserve"> </w:t>
      </w:r>
      <w:r>
        <w:rPr>
          <w:rFonts w:asciiTheme="minorHAnsi" w:hAnsiTheme="minorHAnsi" w:cstheme="minorHAnsi"/>
        </w:rPr>
        <w:t xml:space="preserve">na účtu 905 – </w:t>
      </w:r>
      <w:r w:rsidRPr="0082789B">
        <w:rPr>
          <w:rFonts w:asciiTheme="minorHAnsi" w:hAnsiTheme="minorHAnsi" w:cstheme="minorHAnsi"/>
          <w:i/>
        </w:rPr>
        <w:t>Vyřazené pohledávky</w:t>
      </w:r>
      <w:r>
        <w:rPr>
          <w:rFonts w:asciiTheme="minorHAnsi" w:hAnsiTheme="minorHAnsi" w:cstheme="minorHAnsi"/>
        </w:rPr>
        <w:t xml:space="preserve"> vykazovalo i takové pohledávky, u kterých již nepředpokládalo jejich uhrazení a u kterých nemělo potřebu</w:t>
      </w:r>
      <w:r w:rsidR="006D1835">
        <w:rPr>
          <w:rFonts w:asciiTheme="minorHAnsi" w:hAnsiTheme="minorHAnsi" w:cstheme="minorHAnsi"/>
        </w:rPr>
        <w:t xml:space="preserve"> jejich sledování. Jednalo se o </w:t>
      </w:r>
      <w:r>
        <w:rPr>
          <w:rFonts w:asciiTheme="minorHAnsi" w:hAnsiTheme="minorHAnsi" w:cstheme="minorHAnsi"/>
        </w:rPr>
        <w:t xml:space="preserve">zaniklé pohledávky </w:t>
      </w:r>
      <w:r w:rsidR="00630182">
        <w:rPr>
          <w:rFonts w:asciiTheme="minorHAnsi" w:hAnsiTheme="minorHAnsi" w:cstheme="minorHAnsi"/>
        </w:rPr>
        <w:t>vůči obětem</w:t>
      </w:r>
      <w:r>
        <w:rPr>
          <w:rFonts w:asciiTheme="minorHAnsi" w:hAnsiTheme="minorHAnsi" w:cstheme="minorHAnsi"/>
        </w:rPr>
        <w:t xml:space="preserve"> trestných činů, kterým byla v minulosti na základě </w:t>
      </w:r>
      <w:r w:rsidR="006D1835">
        <w:rPr>
          <w:rFonts w:asciiTheme="minorHAnsi" w:hAnsiTheme="minorHAnsi" w:cstheme="minorHAnsi"/>
        </w:rPr>
        <w:t>zákona č. </w:t>
      </w:r>
      <w:r w:rsidRPr="006032CF">
        <w:rPr>
          <w:rFonts w:asciiTheme="minorHAnsi" w:hAnsiTheme="minorHAnsi" w:cstheme="minorHAnsi"/>
          <w:bCs/>
          <w:iCs/>
        </w:rPr>
        <w:t>209/1997 Sb., o poskytnutí peněžité pomoci obětem trestné činnosti</w:t>
      </w:r>
      <w:r w:rsidR="002813FA">
        <w:rPr>
          <w:rFonts w:asciiTheme="minorHAnsi" w:hAnsiTheme="minorHAnsi" w:cstheme="minorHAnsi"/>
          <w:bCs/>
          <w:iCs/>
        </w:rPr>
        <w:t xml:space="preserve"> </w:t>
      </w:r>
      <w:r w:rsidR="002813FA" w:rsidRPr="002813FA">
        <w:rPr>
          <w:rFonts w:asciiTheme="minorHAnsi" w:hAnsiTheme="minorHAnsi" w:cstheme="minorHAnsi"/>
          <w:bCs/>
          <w:iCs/>
        </w:rPr>
        <w:t>a o změně a doplnění některých zákonů</w:t>
      </w:r>
      <w:r>
        <w:rPr>
          <w:rFonts w:asciiTheme="minorHAnsi" w:hAnsiTheme="minorHAnsi" w:cstheme="minorHAnsi"/>
          <w:bCs/>
          <w:iCs/>
        </w:rPr>
        <w:t xml:space="preserve">, poskytnuta peněžitá pomoc. </w:t>
      </w:r>
      <w:r w:rsidR="002813FA">
        <w:rPr>
          <w:rFonts w:asciiTheme="minorHAnsi" w:hAnsiTheme="minorHAnsi" w:cstheme="minorHAnsi"/>
          <w:bCs/>
          <w:iCs/>
        </w:rPr>
        <w:t>Dne</w:t>
      </w:r>
      <w:r>
        <w:rPr>
          <w:rFonts w:asciiTheme="minorHAnsi" w:hAnsiTheme="minorHAnsi" w:cstheme="minorHAnsi"/>
          <w:bCs/>
          <w:iCs/>
        </w:rPr>
        <w:t xml:space="preserve"> 1. srpna 2013 </w:t>
      </w:r>
      <w:r w:rsidR="002813FA">
        <w:rPr>
          <w:rFonts w:asciiTheme="minorHAnsi" w:hAnsiTheme="minorHAnsi" w:cstheme="minorHAnsi"/>
          <w:bCs/>
          <w:iCs/>
        </w:rPr>
        <w:t xml:space="preserve">nabyla </w:t>
      </w:r>
      <w:r>
        <w:rPr>
          <w:rFonts w:asciiTheme="minorHAnsi" w:hAnsiTheme="minorHAnsi" w:cstheme="minorHAnsi"/>
          <w:bCs/>
          <w:iCs/>
        </w:rPr>
        <w:t>účinnost</w:t>
      </w:r>
      <w:r w:rsidR="00630182">
        <w:rPr>
          <w:rFonts w:asciiTheme="minorHAnsi" w:hAnsiTheme="minorHAnsi" w:cstheme="minorHAnsi"/>
          <w:bCs/>
          <w:iCs/>
        </w:rPr>
        <w:t>i</w:t>
      </w:r>
      <w:r>
        <w:rPr>
          <w:rFonts w:asciiTheme="minorHAnsi" w:hAnsiTheme="minorHAnsi" w:cstheme="minorHAnsi"/>
          <w:bCs/>
          <w:iCs/>
        </w:rPr>
        <w:t xml:space="preserve"> část zákona č. 45/2013</w:t>
      </w:r>
      <w:r>
        <w:rPr>
          <w:rFonts w:asciiTheme="minorHAnsi" w:hAnsiTheme="minorHAnsi" w:cstheme="minorHAnsi"/>
        </w:rPr>
        <w:t xml:space="preserve"> Sb., o obětech trestných činů a o změně některých zákonů</w:t>
      </w:r>
      <w:r w:rsidR="002813FA">
        <w:rPr>
          <w:rFonts w:asciiTheme="minorHAnsi" w:hAnsiTheme="minorHAnsi" w:cstheme="minorHAnsi"/>
        </w:rPr>
        <w:t xml:space="preserve"> </w:t>
      </w:r>
      <w:r w:rsidR="002813FA" w:rsidRPr="002813FA">
        <w:rPr>
          <w:rFonts w:asciiTheme="minorHAnsi" w:hAnsiTheme="minorHAnsi" w:cstheme="minorHAnsi"/>
        </w:rPr>
        <w:t>(zákon o obětech trestných činů)</w:t>
      </w:r>
      <w:r>
        <w:rPr>
          <w:rFonts w:asciiTheme="minorHAnsi" w:hAnsiTheme="minorHAnsi" w:cstheme="minorHAnsi"/>
        </w:rPr>
        <w:t xml:space="preserve">, kterou byla zrušena povinnost oběti trestného činu odvést na účet </w:t>
      </w:r>
      <w:proofErr w:type="spellStart"/>
      <w:r>
        <w:rPr>
          <w:rFonts w:asciiTheme="minorHAnsi" w:hAnsiTheme="minorHAnsi" w:cstheme="minorHAnsi"/>
        </w:rPr>
        <w:t>MSp</w:t>
      </w:r>
      <w:proofErr w:type="spellEnd"/>
      <w:r>
        <w:rPr>
          <w:rFonts w:asciiTheme="minorHAnsi" w:hAnsiTheme="minorHAnsi" w:cstheme="minorHAnsi"/>
        </w:rPr>
        <w:t xml:space="preserve"> částky, které obdržela v rámci této peněžité pomoci.</w:t>
      </w:r>
      <w:r w:rsidR="00630182">
        <w:rPr>
          <w:rFonts w:asciiTheme="minorHAnsi" w:hAnsiTheme="minorHAnsi" w:cstheme="minorHAnsi"/>
        </w:rPr>
        <w:t xml:space="preserve"> </w:t>
      </w:r>
      <w:r>
        <w:rPr>
          <w:rFonts w:asciiTheme="minorHAnsi" w:hAnsiTheme="minorHAnsi" w:cstheme="minorHAnsi"/>
        </w:rPr>
        <w:t xml:space="preserve">V důsledku uvedených skutečností </w:t>
      </w:r>
      <w:proofErr w:type="spellStart"/>
      <w:r>
        <w:rPr>
          <w:rFonts w:asciiTheme="minorHAnsi" w:hAnsiTheme="minorHAnsi" w:cstheme="minorHAnsi"/>
        </w:rPr>
        <w:t>MSp</w:t>
      </w:r>
      <w:proofErr w:type="spellEnd"/>
      <w:r>
        <w:rPr>
          <w:rFonts w:asciiTheme="minorHAnsi" w:hAnsiTheme="minorHAnsi" w:cstheme="minorHAnsi"/>
        </w:rPr>
        <w:t xml:space="preserve"> v příloze ÚZ nadhodnotilo zůstatek účtu</w:t>
      </w:r>
      <w:r w:rsidR="00630182">
        <w:rPr>
          <w:rFonts w:asciiTheme="minorHAnsi" w:hAnsiTheme="minorHAnsi" w:cstheme="minorHAnsi"/>
        </w:rPr>
        <w:t xml:space="preserve"> </w:t>
      </w:r>
      <w:r>
        <w:rPr>
          <w:rFonts w:asciiTheme="minorHAnsi" w:hAnsiTheme="minorHAnsi" w:cstheme="minorHAnsi"/>
        </w:rPr>
        <w:t xml:space="preserve">905 </w:t>
      </w:r>
      <w:r w:rsidR="006D1835">
        <w:rPr>
          <w:rFonts w:asciiTheme="minorHAnsi" w:hAnsiTheme="minorHAnsi" w:cstheme="minorHAnsi"/>
        </w:rPr>
        <w:t>–</w:t>
      </w:r>
      <w:r>
        <w:rPr>
          <w:rFonts w:asciiTheme="minorHAnsi" w:hAnsiTheme="minorHAnsi" w:cstheme="minorHAnsi"/>
        </w:rPr>
        <w:t xml:space="preserve"> </w:t>
      </w:r>
      <w:r w:rsidRPr="0082789B">
        <w:rPr>
          <w:rFonts w:asciiTheme="minorHAnsi" w:hAnsiTheme="minorHAnsi" w:cstheme="minorHAnsi"/>
          <w:i/>
        </w:rPr>
        <w:t>Vyřazené pohledávky</w:t>
      </w:r>
      <w:r>
        <w:rPr>
          <w:rFonts w:asciiTheme="minorHAnsi" w:hAnsiTheme="minorHAnsi" w:cstheme="minorHAnsi"/>
        </w:rPr>
        <w:t xml:space="preserve"> o 10,2 mil. Kč. Tato skutečnost měla vliv i na konečný zůstatek souvztažného účtu 999 – </w:t>
      </w:r>
      <w:r w:rsidRPr="000E1F72">
        <w:rPr>
          <w:rFonts w:asciiTheme="minorHAnsi" w:hAnsiTheme="minorHAnsi" w:cstheme="minorHAnsi"/>
          <w:i/>
        </w:rPr>
        <w:t>Vyrovnávací účet k podrozvahovým účtům</w:t>
      </w:r>
      <w:r>
        <w:rPr>
          <w:rFonts w:asciiTheme="minorHAnsi" w:hAnsiTheme="minorHAnsi" w:cstheme="minorHAnsi"/>
        </w:rPr>
        <w:t xml:space="preserve">.   </w:t>
      </w:r>
    </w:p>
    <w:p w14:paraId="5C88FBDE" w14:textId="4DCFC839" w:rsidR="005A4589" w:rsidRPr="00C869E4" w:rsidRDefault="005A4589" w:rsidP="00257929">
      <w:pPr>
        <w:jc w:val="both"/>
        <w:rPr>
          <w:rFonts w:asciiTheme="minorHAnsi" w:hAnsiTheme="minorHAnsi" w:cstheme="minorHAnsi"/>
          <w:lang w:eastAsia="cs-CZ"/>
        </w:rPr>
      </w:pPr>
    </w:p>
    <w:p w14:paraId="0E3355CF" w14:textId="77777777" w:rsidR="001D1576" w:rsidRDefault="00FC2ADF" w:rsidP="00C869E4">
      <w:pPr>
        <w:pStyle w:val="Odstavecseseznamem"/>
        <w:numPr>
          <w:ilvl w:val="0"/>
          <w:numId w:val="42"/>
        </w:numPr>
        <w:spacing w:after="120"/>
        <w:ind w:left="714" w:hanging="357"/>
        <w:contextualSpacing w:val="0"/>
        <w:jc w:val="both"/>
        <w:rPr>
          <w:rFonts w:ascii="Calibri" w:hAnsi="Calibri" w:cs="Calibri"/>
          <w:b/>
          <w:lang w:eastAsia="cs-CZ"/>
        </w:rPr>
      </w:pPr>
      <w:r w:rsidRPr="00460477">
        <w:rPr>
          <w:rFonts w:ascii="Calibri" w:hAnsi="Calibri" w:cs="Calibri"/>
          <w:b/>
          <w:lang w:eastAsia="cs-CZ"/>
        </w:rPr>
        <w:t>Dlouhodobé p</w:t>
      </w:r>
      <w:r w:rsidR="008337FD" w:rsidRPr="001D1576">
        <w:rPr>
          <w:rFonts w:ascii="Calibri" w:hAnsi="Calibri" w:cs="Calibri"/>
          <w:b/>
          <w:lang w:eastAsia="cs-CZ"/>
        </w:rPr>
        <w:t xml:space="preserve">odmíněné pohledávky </w:t>
      </w:r>
      <w:r w:rsidR="00460477" w:rsidRPr="00460477">
        <w:rPr>
          <w:rFonts w:ascii="Calibri" w:hAnsi="Calibri" w:cs="Calibri"/>
          <w:b/>
          <w:lang w:eastAsia="cs-CZ"/>
        </w:rPr>
        <w:t>z licenčních smluv</w:t>
      </w:r>
    </w:p>
    <w:p w14:paraId="626F97BA" w14:textId="77777777" w:rsidR="008337FD" w:rsidRPr="00460477" w:rsidRDefault="008337FD" w:rsidP="001D1576">
      <w:pPr>
        <w:pStyle w:val="Odstavecseseznamem"/>
        <w:spacing w:before="40" w:after="120"/>
        <w:ind w:left="0"/>
        <w:contextualSpacing w:val="0"/>
        <w:jc w:val="both"/>
        <w:rPr>
          <w:rFonts w:asciiTheme="minorHAnsi" w:hAnsiTheme="minorHAnsi" w:cstheme="minorHAnsi"/>
        </w:rPr>
      </w:pPr>
      <w:proofErr w:type="spellStart"/>
      <w:r w:rsidRPr="00460477">
        <w:rPr>
          <w:rFonts w:asciiTheme="minorHAnsi" w:hAnsiTheme="minorHAnsi" w:cstheme="minorHAnsi"/>
        </w:rPr>
        <w:t>MSp</w:t>
      </w:r>
      <w:proofErr w:type="spellEnd"/>
      <w:r w:rsidRPr="00460477">
        <w:rPr>
          <w:rFonts w:asciiTheme="minorHAnsi" w:hAnsiTheme="minorHAnsi" w:cstheme="minorHAnsi"/>
        </w:rPr>
        <w:t xml:space="preserve"> na účtu 924 – </w:t>
      </w:r>
      <w:r w:rsidRPr="00460477">
        <w:rPr>
          <w:rFonts w:asciiTheme="minorHAnsi" w:hAnsiTheme="minorHAnsi" w:cstheme="minorHAnsi"/>
          <w:i/>
        </w:rPr>
        <w:t xml:space="preserve">Dlouhodobé podmíněné pohledávky z důvodu užívání majetku jinou osobou na základě smlouvy o výpůjčce </w:t>
      </w:r>
      <w:r w:rsidRPr="00460477">
        <w:rPr>
          <w:rFonts w:asciiTheme="minorHAnsi" w:hAnsiTheme="minorHAnsi" w:cstheme="minorHAnsi"/>
        </w:rPr>
        <w:t>vykazovalo</w:t>
      </w:r>
      <w:r w:rsidR="00460477">
        <w:rPr>
          <w:rFonts w:asciiTheme="minorHAnsi" w:hAnsiTheme="minorHAnsi" w:cstheme="minorHAnsi"/>
        </w:rPr>
        <w:t xml:space="preserve"> podmíněné pohledávky na základě licenčních oprávnění k používání softwaru,</w:t>
      </w:r>
      <w:r w:rsidR="0004693C">
        <w:rPr>
          <w:rFonts w:asciiTheme="minorHAnsi" w:hAnsiTheme="minorHAnsi" w:cstheme="minorHAnsi"/>
        </w:rPr>
        <w:t xml:space="preserve"> </w:t>
      </w:r>
      <w:r w:rsidR="00460477">
        <w:rPr>
          <w:rFonts w:asciiTheme="minorHAnsi" w:hAnsiTheme="minorHAnsi" w:cstheme="minorHAnsi"/>
        </w:rPr>
        <w:t>který</w:t>
      </w:r>
      <w:r w:rsidRPr="00460477">
        <w:rPr>
          <w:rFonts w:asciiTheme="minorHAnsi" w:hAnsiTheme="minorHAnsi" w:cstheme="minorHAnsi"/>
        </w:rPr>
        <w:t xml:space="preserve">: </w:t>
      </w:r>
    </w:p>
    <w:p w14:paraId="6E1C96E1" w14:textId="4512BFD9" w:rsidR="008337FD" w:rsidRPr="0024115E" w:rsidRDefault="008337FD" w:rsidP="001D1576">
      <w:pPr>
        <w:pStyle w:val="Odstavecseseznamem"/>
        <w:numPr>
          <w:ilvl w:val="0"/>
          <w:numId w:val="46"/>
        </w:numPr>
        <w:jc w:val="both"/>
        <w:rPr>
          <w:rFonts w:ascii="Calibri" w:hAnsi="Calibri" w:cs="Calibri"/>
          <w:lang w:eastAsia="cs-CZ"/>
        </w:rPr>
      </w:pPr>
      <w:r w:rsidRPr="0024115E">
        <w:rPr>
          <w:rFonts w:ascii="Calibri" w:eastAsia="Calibri" w:hAnsi="Calibri" w:cs="Calibri"/>
        </w:rPr>
        <w:t xml:space="preserve">odbor informatiky </w:t>
      </w:r>
      <w:proofErr w:type="spellStart"/>
      <w:r w:rsidRPr="0024115E">
        <w:rPr>
          <w:rFonts w:ascii="Calibri" w:eastAsia="Calibri" w:hAnsi="Calibri" w:cs="Calibri"/>
        </w:rPr>
        <w:t>MSp</w:t>
      </w:r>
      <w:proofErr w:type="spellEnd"/>
      <w:r w:rsidRPr="0024115E">
        <w:rPr>
          <w:rFonts w:ascii="Calibri" w:eastAsia="Calibri" w:hAnsi="Calibri" w:cs="Calibri"/>
        </w:rPr>
        <w:t xml:space="preserve"> instaloval příslušným odborům </w:t>
      </w:r>
      <w:proofErr w:type="spellStart"/>
      <w:r w:rsidRPr="0024115E">
        <w:rPr>
          <w:rFonts w:ascii="Calibri" w:eastAsia="Calibri" w:hAnsi="Calibri" w:cs="Calibri"/>
        </w:rPr>
        <w:t>MSp</w:t>
      </w:r>
      <w:proofErr w:type="spellEnd"/>
      <w:r w:rsidR="00630182">
        <w:rPr>
          <w:rFonts w:ascii="Calibri" w:eastAsia="Calibri" w:hAnsi="Calibri" w:cs="Calibri"/>
        </w:rPr>
        <w:t>,</w:t>
      </w:r>
      <w:r w:rsidRPr="0024115E">
        <w:rPr>
          <w:rFonts w:ascii="Calibri" w:eastAsia="Calibri" w:hAnsi="Calibri" w:cs="Calibri"/>
        </w:rPr>
        <w:t xml:space="preserve"> </w:t>
      </w:r>
    </w:p>
    <w:p w14:paraId="59D52D8C" w14:textId="77777777" w:rsidR="008337FD" w:rsidRPr="0024115E" w:rsidRDefault="008337FD" w:rsidP="00C869E4">
      <w:pPr>
        <w:pStyle w:val="Odstavecseseznamem"/>
        <w:numPr>
          <w:ilvl w:val="0"/>
          <w:numId w:val="46"/>
        </w:numPr>
        <w:ind w:left="714" w:hanging="357"/>
        <w:contextualSpacing w:val="0"/>
        <w:jc w:val="both"/>
        <w:rPr>
          <w:rFonts w:ascii="Calibri" w:hAnsi="Calibri" w:cs="Calibri"/>
          <w:lang w:eastAsia="cs-CZ"/>
        </w:rPr>
      </w:pPr>
      <w:proofErr w:type="spellStart"/>
      <w:r w:rsidRPr="0024115E">
        <w:rPr>
          <w:rFonts w:ascii="Calibri" w:hAnsi="Calibri" w:cs="Calibri"/>
          <w:lang w:eastAsia="cs-CZ"/>
        </w:rPr>
        <w:t>MSp</w:t>
      </w:r>
      <w:proofErr w:type="spellEnd"/>
      <w:r w:rsidRPr="0024115E">
        <w:rPr>
          <w:rFonts w:ascii="Calibri" w:hAnsi="Calibri" w:cs="Calibri"/>
          <w:lang w:eastAsia="cs-CZ"/>
        </w:rPr>
        <w:t xml:space="preserve"> zapůjč</w:t>
      </w:r>
      <w:r w:rsidR="00460477">
        <w:rPr>
          <w:rFonts w:ascii="Calibri" w:hAnsi="Calibri" w:cs="Calibri"/>
          <w:lang w:eastAsia="cs-CZ"/>
        </w:rPr>
        <w:t>ilo</w:t>
      </w:r>
      <w:r w:rsidRPr="0024115E">
        <w:rPr>
          <w:rFonts w:ascii="Calibri" w:hAnsi="Calibri" w:cs="Calibri"/>
          <w:lang w:eastAsia="cs-CZ"/>
        </w:rPr>
        <w:t xml:space="preserve"> na základě smlouvy o výpůjčce </w:t>
      </w:r>
      <w:r w:rsidR="00460477">
        <w:rPr>
          <w:rFonts w:ascii="Calibri" w:hAnsi="Calibri" w:cs="Calibri"/>
          <w:lang w:eastAsia="cs-CZ"/>
        </w:rPr>
        <w:t xml:space="preserve">jednotlivým </w:t>
      </w:r>
      <w:r w:rsidRPr="0024115E">
        <w:rPr>
          <w:rFonts w:ascii="Calibri" w:hAnsi="Calibri" w:cs="Calibri"/>
          <w:lang w:eastAsia="cs-CZ"/>
        </w:rPr>
        <w:t>soudům.</w:t>
      </w:r>
    </w:p>
    <w:p w14:paraId="62413EC8" w14:textId="374107E7" w:rsidR="008337FD" w:rsidRDefault="008337FD" w:rsidP="00C869E4">
      <w:pPr>
        <w:spacing w:before="120"/>
        <w:jc w:val="both"/>
        <w:rPr>
          <w:rFonts w:asciiTheme="minorHAnsi" w:hAnsiTheme="minorHAnsi" w:cstheme="minorHAnsi"/>
        </w:rPr>
      </w:pPr>
      <w:r>
        <w:rPr>
          <w:rFonts w:asciiTheme="minorHAnsi" w:hAnsiTheme="minorHAnsi" w:cstheme="minorHAnsi"/>
        </w:rPr>
        <w:t>Účet 924</w:t>
      </w:r>
      <w:r w:rsidR="00B47655">
        <w:rPr>
          <w:rFonts w:asciiTheme="minorHAnsi" w:hAnsiTheme="minorHAnsi" w:cstheme="minorHAnsi"/>
        </w:rPr>
        <w:t xml:space="preserve"> </w:t>
      </w:r>
      <w:r w:rsidR="004B2F0E">
        <w:rPr>
          <w:rFonts w:asciiTheme="minorHAnsi" w:hAnsiTheme="minorHAnsi" w:cstheme="minorHAnsi"/>
        </w:rPr>
        <w:t>–</w:t>
      </w:r>
      <w:r w:rsidR="00B47655">
        <w:rPr>
          <w:rFonts w:asciiTheme="minorHAnsi" w:hAnsiTheme="minorHAnsi" w:cstheme="minorHAnsi"/>
        </w:rPr>
        <w:t xml:space="preserve"> </w:t>
      </w:r>
      <w:r w:rsidR="00B47655" w:rsidRPr="009C696D">
        <w:rPr>
          <w:rFonts w:asciiTheme="minorHAnsi" w:hAnsiTheme="minorHAnsi" w:cstheme="minorHAnsi"/>
          <w:i/>
        </w:rPr>
        <w:t>Dlouhodobé podmíněné pohledávky z důvodu užívání majetku jinou osobou na základě smlouvy o výpůjčce</w:t>
      </w:r>
      <w:r w:rsidR="00B47655" w:rsidRPr="009C696D">
        <w:rPr>
          <w:rFonts w:asciiTheme="minorHAnsi" w:hAnsiTheme="minorHAnsi" w:cstheme="minorHAnsi"/>
        </w:rPr>
        <w:t xml:space="preserve"> </w:t>
      </w:r>
      <w:r>
        <w:rPr>
          <w:rFonts w:asciiTheme="minorHAnsi" w:hAnsiTheme="minorHAnsi" w:cstheme="minorHAnsi"/>
        </w:rPr>
        <w:t>je</w:t>
      </w:r>
      <w:r w:rsidR="00B47655">
        <w:rPr>
          <w:rFonts w:asciiTheme="minorHAnsi" w:hAnsiTheme="minorHAnsi" w:cstheme="minorHAnsi"/>
        </w:rPr>
        <w:t xml:space="preserve"> však</w:t>
      </w:r>
      <w:r>
        <w:rPr>
          <w:rFonts w:asciiTheme="minorHAnsi" w:hAnsiTheme="minorHAnsi" w:cstheme="minorHAnsi"/>
        </w:rPr>
        <w:t xml:space="preserve"> určen </w:t>
      </w:r>
      <w:r w:rsidRPr="0031204B">
        <w:rPr>
          <w:rFonts w:asciiTheme="minorHAnsi" w:hAnsiTheme="minorHAnsi" w:cstheme="minorHAnsi"/>
        </w:rPr>
        <w:t xml:space="preserve">pro vykazování podmíněných pohledávek z titulu případné nemožnosti vrácení majetku </w:t>
      </w:r>
      <w:proofErr w:type="spellStart"/>
      <w:r w:rsidRPr="0031204B">
        <w:rPr>
          <w:rFonts w:asciiTheme="minorHAnsi" w:hAnsiTheme="minorHAnsi" w:cstheme="minorHAnsi"/>
        </w:rPr>
        <w:t>MSp</w:t>
      </w:r>
      <w:proofErr w:type="spellEnd"/>
      <w:r w:rsidRPr="0031204B">
        <w:rPr>
          <w:rFonts w:asciiTheme="minorHAnsi" w:hAnsiTheme="minorHAnsi" w:cstheme="minorHAnsi"/>
        </w:rPr>
        <w:t xml:space="preserve"> užívaného ji</w:t>
      </w:r>
      <w:r w:rsidR="004B2F0E">
        <w:rPr>
          <w:rFonts w:asciiTheme="minorHAnsi" w:hAnsiTheme="minorHAnsi" w:cstheme="minorHAnsi"/>
        </w:rPr>
        <w:t>nou osobou na základě smlouvy o </w:t>
      </w:r>
      <w:r w:rsidRPr="0031204B">
        <w:rPr>
          <w:rFonts w:asciiTheme="minorHAnsi" w:hAnsiTheme="minorHAnsi" w:cstheme="minorHAnsi"/>
        </w:rPr>
        <w:t>výpůjčce</w:t>
      </w:r>
      <w:r>
        <w:rPr>
          <w:rFonts w:asciiTheme="minorHAnsi" w:hAnsiTheme="minorHAnsi" w:cstheme="minorHAnsi"/>
        </w:rPr>
        <w:t xml:space="preserve">. </w:t>
      </w:r>
      <w:proofErr w:type="spellStart"/>
      <w:r>
        <w:rPr>
          <w:rFonts w:asciiTheme="minorHAnsi" w:hAnsiTheme="minorHAnsi" w:cstheme="minorHAnsi"/>
        </w:rPr>
        <w:t>MSp</w:t>
      </w:r>
      <w:proofErr w:type="spellEnd"/>
      <w:r>
        <w:rPr>
          <w:rFonts w:asciiTheme="minorHAnsi" w:hAnsiTheme="minorHAnsi" w:cstheme="minorHAnsi"/>
        </w:rPr>
        <w:t xml:space="preserve"> uvedené případy </w:t>
      </w:r>
      <w:r w:rsidR="00B47655">
        <w:rPr>
          <w:rFonts w:asciiTheme="minorHAnsi" w:hAnsiTheme="minorHAnsi" w:cstheme="minorHAnsi"/>
        </w:rPr>
        <w:t>na podrozvahových účtech</w:t>
      </w:r>
      <w:r>
        <w:rPr>
          <w:rFonts w:asciiTheme="minorHAnsi" w:hAnsiTheme="minorHAnsi" w:cstheme="minorHAnsi"/>
        </w:rPr>
        <w:t xml:space="preserve"> vykazovat nemělo, neboť instalaci licencí odborům </w:t>
      </w:r>
      <w:proofErr w:type="spellStart"/>
      <w:r>
        <w:rPr>
          <w:rFonts w:asciiTheme="minorHAnsi" w:hAnsiTheme="minorHAnsi" w:cstheme="minorHAnsi"/>
        </w:rPr>
        <w:t>MSp</w:t>
      </w:r>
      <w:proofErr w:type="spellEnd"/>
      <w:r>
        <w:rPr>
          <w:rFonts w:asciiTheme="minorHAnsi" w:hAnsiTheme="minorHAnsi" w:cstheme="minorHAnsi"/>
        </w:rPr>
        <w:t xml:space="preserve"> uvnitř účetní jednotky </w:t>
      </w:r>
      <w:proofErr w:type="spellStart"/>
      <w:r>
        <w:rPr>
          <w:rFonts w:asciiTheme="minorHAnsi" w:hAnsiTheme="minorHAnsi" w:cstheme="minorHAnsi"/>
        </w:rPr>
        <w:t>MSp</w:t>
      </w:r>
      <w:proofErr w:type="spellEnd"/>
      <w:r>
        <w:rPr>
          <w:rFonts w:asciiTheme="minorHAnsi" w:hAnsiTheme="minorHAnsi" w:cstheme="minorHAnsi"/>
        </w:rPr>
        <w:t xml:space="preserve"> nelze považovat za výpůjčku jiné osobě a </w:t>
      </w:r>
      <w:r w:rsidR="00B47655">
        <w:rPr>
          <w:rFonts w:asciiTheme="minorHAnsi" w:hAnsiTheme="minorHAnsi" w:cstheme="minorHAnsi"/>
        </w:rPr>
        <w:t>současně ani</w:t>
      </w:r>
      <w:r>
        <w:rPr>
          <w:rFonts w:asciiTheme="minorHAnsi" w:hAnsiTheme="minorHAnsi" w:cstheme="minorHAnsi"/>
        </w:rPr>
        <w:t xml:space="preserve"> nemůže nastat skutečnost, která by vedla ke vzniku pohledávek v případě </w:t>
      </w:r>
      <w:r w:rsidR="00630182">
        <w:rPr>
          <w:rFonts w:asciiTheme="minorHAnsi" w:hAnsiTheme="minorHAnsi" w:cstheme="minorHAnsi"/>
        </w:rPr>
        <w:t xml:space="preserve">licencí </w:t>
      </w:r>
      <w:r>
        <w:rPr>
          <w:rFonts w:asciiTheme="minorHAnsi" w:hAnsiTheme="minorHAnsi" w:cstheme="minorHAnsi"/>
        </w:rPr>
        <w:t>zapůjčených jednotlivým soudům.</w:t>
      </w:r>
    </w:p>
    <w:p w14:paraId="2BA25509" w14:textId="77777777" w:rsidR="000F12EC" w:rsidRDefault="000F12EC" w:rsidP="000F12EC">
      <w:pPr>
        <w:jc w:val="both"/>
        <w:rPr>
          <w:rFonts w:asciiTheme="minorHAnsi" w:hAnsiTheme="minorHAnsi" w:cstheme="minorHAnsi"/>
        </w:rPr>
      </w:pPr>
    </w:p>
    <w:p w14:paraId="7C126036" w14:textId="77777777" w:rsidR="008337FD" w:rsidRDefault="008337FD" w:rsidP="008337FD">
      <w:pPr>
        <w:jc w:val="both"/>
        <w:rPr>
          <w:rFonts w:asciiTheme="minorHAnsi" w:hAnsiTheme="minorHAnsi" w:cstheme="minorHAnsi"/>
        </w:rPr>
      </w:pPr>
      <w:proofErr w:type="spellStart"/>
      <w:r>
        <w:rPr>
          <w:rFonts w:asciiTheme="minorHAnsi" w:hAnsiTheme="minorHAnsi" w:cstheme="minorHAnsi"/>
        </w:rPr>
        <w:t>MSp</w:t>
      </w:r>
      <w:proofErr w:type="spellEnd"/>
      <w:r>
        <w:rPr>
          <w:rFonts w:asciiTheme="minorHAnsi" w:hAnsiTheme="minorHAnsi" w:cstheme="minorHAnsi"/>
        </w:rPr>
        <w:t xml:space="preserve"> tak účtovalo o skutečnostech, které nebyly předmětem účetnictví, a v důsledku toho v příloze ÚZ nadhodnotilo zůstatek účtu 924</w:t>
      </w:r>
      <w:r w:rsidR="00B47655">
        <w:rPr>
          <w:rFonts w:asciiTheme="minorHAnsi" w:hAnsiTheme="minorHAnsi" w:cstheme="minorHAnsi"/>
        </w:rPr>
        <w:t xml:space="preserve"> </w:t>
      </w:r>
      <w:r w:rsidR="004B2F0E">
        <w:rPr>
          <w:rFonts w:asciiTheme="minorHAnsi" w:hAnsiTheme="minorHAnsi" w:cstheme="minorHAnsi"/>
        </w:rPr>
        <w:t>–</w:t>
      </w:r>
      <w:r w:rsidR="00B47655" w:rsidRPr="00B47655">
        <w:rPr>
          <w:rFonts w:asciiTheme="minorHAnsi" w:hAnsiTheme="minorHAnsi" w:cstheme="minorHAnsi"/>
          <w:i/>
        </w:rPr>
        <w:t xml:space="preserve"> </w:t>
      </w:r>
      <w:r w:rsidR="00B47655" w:rsidRPr="009C696D">
        <w:rPr>
          <w:rFonts w:asciiTheme="minorHAnsi" w:hAnsiTheme="minorHAnsi" w:cstheme="minorHAnsi"/>
          <w:i/>
        </w:rPr>
        <w:t>Dlouhodobé podmíněné pohledávky z důvodu užívání majetku jinou osobou na základě smlouvy o výpůjčce</w:t>
      </w:r>
      <w:r w:rsidR="00B47655" w:rsidRPr="009C696D">
        <w:rPr>
          <w:rFonts w:asciiTheme="minorHAnsi" w:hAnsiTheme="minorHAnsi" w:cstheme="minorHAnsi"/>
        </w:rPr>
        <w:t xml:space="preserve"> </w:t>
      </w:r>
      <w:r>
        <w:rPr>
          <w:rFonts w:asciiTheme="minorHAnsi" w:hAnsiTheme="minorHAnsi" w:cstheme="minorHAnsi"/>
        </w:rPr>
        <w:t xml:space="preserve">o </w:t>
      </w:r>
      <w:r w:rsidRPr="00751F8B">
        <w:rPr>
          <w:rFonts w:asciiTheme="minorHAnsi" w:hAnsiTheme="minorHAnsi" w:cstheme="minorHAnsi"/>
        </w:rPr>
        <w:t>117</w:t>
      </w:r>
      <w:r>
        <w:rPr>
          <w:rFonts w:asciiTheme="minorHAnsi" w:hAnsiTheme="minorHAnsi" w:cstheme="minorHAnsi"/>
        </w:rPr>
        <w:t xml:space="preserve"> mil.</w:t>
      </w:r>
      <w:r w:rsidRPr="00751F8B">
        <w:rPr>
          <w:rFonts w:asciiTheme="minorHAnsi" w:hAnsiTheme="minorHAnsi" w:cstheme="minorHAnsi"/>
        </w:rPr>
        <w:t xml:space="preserve"> Kč</w:t>
      </w:r>
      <w:r>
        <w:rPr>
          <w:rFonts w:asciiTheme="minorHAnsi" w:hAnsiTheme="minorHAnsi" w:cstheme="minorHAnsi"/>
        </w:rPr>
        <w:t xml:space="preserve">. Tato skutečnost měla vliv i na konečný zůstatek souvztažného účtu 999 – </w:t>
      </w:r>
      <w:r w:rsidRPr="000E1F72">
        <w:rPr>
          <w:rFonts w:asciiTheme="minorHAnsi" w:hAnsiTheme="minorHAnsi" w:cstheme="minorHAnsi"/>
          <w:i/>
        </w:rPr>
        <w:t>Vyrovnávací účet k podrozvahovým účtům</w:t>
      </w:r>
      <w:r>
        <w:rPr>
          <w:rFonts w:asciiTheme="minorHAnsi" w:hAnsiTheme="minorHAnsi" w:cstheme="minorHAnsi"/>
        </w:rPr>
        <w:t>.</w:t>
      </w:r>
    </w:p>
    <w:p w14:paraId="2BA76667" w14:textId="77777777" w:rsidR="00FD44D6" w:rsidRDefault="00FD44D6" w:rsidP="008337FD">
      <w:pPr>
        <w:jc w:val="both"/>
        <w:rPr>
          <w:rFonts w:asciiTheme="minorHAnsi" w:hAnsiTheme="minorHAnsi"/>
          <w:szCs w:val="22"/>
        </w:rPr>
      </w:pPr>
    </w:p>
    <w:p w14:paraId="501052D6" w14:textId="54D8F08C" w:rsidR="00FD44D6" w:rsidRPr="0024115E" w:rsidRDefault="00FD44D6" w:rsidP="00731317">
      <w:pPr>
        <w:pStyle w:val="Odstavecseseznamem"/>
        <w:numPr>
          <w:ilvl w:val="0"/>
          <w:numId w:val="42"/>
        </w:numPr>
        <w:spacing w:before="40" w:after="120"/>
        <w:ind w:left="714" w:hanging="357"/>
        <w:contextualSpacing w:val="0"/>
        <w:jc w:val="both"/>
        <w:rPr>
          <w:rFonts w:ascii="Calibri" w:hAnsi="Calibri" w:cs="Calibri"/>
          <w:b/>
          <w:lang w:eastAsia="cs-CZ"/>
        </w:rPr>
      </w:pPr>
      <w:r w:rsidRPr="0024115E">
        <w:rPr>
          <w:rFonts w:ascii="Calibri" w:hAnsi="Calibri" w:cs="Calibri"/>
          <w:b/>
          <w:lang w:eastAsia="cs-CZ"/>
        </w:rPr>
        <w:t xml:space="preserve">Dlouhodobé podmíněné pohledávky </w:t>
      </w:r>
      <w:r w:rsidR="00D060BB">
        <w:rPr>
          <w:rFonts w:ascii="Calibri" w:hAnsi="Calibri" w:cs="Calibri"/>
          <w:b/>
          <w:lang w:eastAsia="cs-CZ"/>
        </w:rPr>
        <w:t>z projektů norských fondů</w:t>
      </w:r>
    </w:p>
    <w:p w14:paraId="1D46B848" w14:textId="4E16AE72" w:rsidR="00FD44D6" w:rsidRDefault="00FD44D6" w:rsidP="00FD44D6">
      <w:pPr>
        <w:jc w:val="both"/>
        <w:rPr>
          <w:rFonts w:asciiTheme="minorHAnsi" w:hAnsiTheme="minorHAnsi"/>
          <w:szCs w:val="22"/>
        </w:rPr>
      </w:pPr>
      <w:proofErr w:type="spellStart"/>
      <w:r w:rsidRPr="00DE3397">
        <w:rPr>
          <w:rFonts w:asciiTheme="minorHAnsi" w:hAnsiTheme="minorHAnsi"/>
          <w:bCs/>
        </w:rPr>
        <w:t>MSp</w:t>
      </w:r>
      <w:proofErr w:type="spellEnd"/>
      <w:r w:rsidRPr="00DE3397">
        <w:rPr>
          <w:rFonts w:asciiTheme="minorHAnsi" w:hAnsiTheme="minorHAnsi"/>
          <w:bCs/>
        </w:rPr>
        <w:t xml:space="preserve"> je příjemcem podpory z</w:t>
      </w:r>
      <w:r w:rsidR="000F12EC">
        <w:rPr>
          <w:rFonts w:asciiTheme="minorHAnsi" w:hAnsiTheme="minorHAnsi"/>
          <w:bCs/>
        </w:rPr>
        <w:t xml:space="preserve"> tzv. </w:t>
      </w:r>
      <w:r w:rsidR="000F12EC" w:rsidRPr="00DE3397">
        <w:rPr>
          <w:rFonts w:asciiTheme="minorHAnsi" w:hAnsiTheme="minorHAnsi"/>
          <w:bCs/>
        </w:rPr>
        <w:t xml:space="preserve">norských fondů </w:t>
      </w:r>
      <w:r w:rsidRPr="00DE3397">
        <w:rPr>
          <w:rFonts w:asciiTheme="minorHAnsi" w:hAnsiTheme="minorHAnsi"/>
          <w:bCs/>
        </w:rPr>
        <w:t>pro období 2009</w:t>
      </w:r>
      <w:r w:rsidR="004C7E4A">
        <w:rPr>
          <w:rFonts w:asciiTheme="minorHAnsi" w:hAnsiTheme="minorHAnsi"/>
          <w:bCs/>
        </w:rPr>
        <w:t>–</w:t>
      </w:r>
      <w:r w:rsidRPr="00DE3397">
        <w:rPr>
          <w:rFonts w:asciiTheme="minorHAnsi" w:hAnsiTheme="minorHAnsi"/>
          <w:bCs/>
        </w:rPr>
        <w:t xml:space="preserve">2014. V kapitole </w:t>
      </w:r>
      <w:proofErr w:type="spellStart"/>
      <w:r w:rsidRPr="00DE3397">
        <w:rPr>
          <w:rFonts w:asciiTheme="minorHAnsi" w:hAnsiTheme="minorHAnsi"/>
          <w:bCs/>
        </w:rPr>
        <w:t>MSp</w:t>
      </w:r>
      <w:proofErr w:type="spellEnd"/>
      <w:r w:rsidRPr="00DE3397">
        <w:rPr>
          <w:rFonts w:asciiTheme="minorHAnsi" w:hAnsiTheme="minorHAnsi"/>
          <w:bCs/>
        </w:rPr>
        <w:t xml:space="preserve"> je realizován </w:t>
      </w:r>
      <w:r w:rsidR="000F12EC">
        <w:rPr>
          <w:rFonts w:asciiTheme="minorHAnsi" w:hAnsiTheme="minorHAnsi"/>
          <w:bCs/>
        </w:rPr>
        <w:t>p</w:t>
      </w:r>
      <w:r w:rsidRPr="00DE3397">
        <w:rPr>
          <w:rFonts w:asciiTheme="minorHAnsi" w:hAnsiTheme="minorHAnsi"/>
          <w:bCs/>
        </w:rPr>
        <w:t>rogram CZ15</w:t>
      </w:r>
      <w:r w:rsidRPr="00DE3397">
        <w:rPr>
          <w:rFonts w:asciiTheme="minorHAnsi" w:hAnsiTheme="minorHAnsi"/>
          <w:bCs/>
          <w:i/>
        </w:rPr>
        <w:t xml:space="preserve"> </w:t>
      </w:r>
      <w:r w:rsidR="0076520F">
        <w:rPr>
          <w:rFonts w:asciiTheme="minorHAnsi" w:hAnsiTheme="minorHAnsi"/>
          <w:lang w:eastAsia="cs-CZ"/>
        </w:rPr>
        <w:t>–</w:t>
      </w:r>
      <w:r w:rsidRPr="00DE3397">
        <w:rPr>
          <w:rFonts w:asciiTheme="minorHAnsi" w:hAnsiTheme="minorHAnsi"/>
          <w:bCs/>
          <w:i/>
        </w:rPr>
        <w:t xml:space="preserve"> </w:t>
      </w:r>
      <w:r w:rsidRPr="00DE3397">
        <w:rPr>
          <w:rFonts w:ascii="Calibri" w:hAnsi="Calibri" w:cs="Calibri"/>
          <w:i/>
        </w:rPr>
        <w:t>Budování kapacit a spolupráce v justici a</w:t>
      </w:r>
      <w:r w:rsidR="00463694">
        <w:rPr>
          <w:rFonts w:ascii="Calibri" w:hAnsi="Calibri" w:cs="Calibri"/>
          <w:i/>
        </w:rPr>
        <w:t> </w:t>
      </w:r>
      <w:r w:rsidRPr="00DE3397">
        <w:rPr>
          <w:rFonts w:ascii="Calibri" w:hAnsi="Calibri" w:cs="Calibri"/>
          <w:i/>
        </w:rPr>
        <w:t xml:space="preserve">Nápravné služby včetně alternativních trestů </w:t>
      </w:r>
      <w:r w:rsidRPr="00DE3397">
        <w:rPr>
          <w:rFonts w:ascii="Calibri" w:hAnsi="Calibri" w:cs="Calibri"/>
        </w:rPr>
        <w:t>(dále jen „</w:t>
      </w:r>
      <w:r w:rsidR="000F12EC">
        <w:rPr>
          <w:rFonts w:ascii="Calibri" w:hAnsi="Calibri" w:cs="Calibri"/>
        </w:rPr>
        <w:t>p</w:t>
      </w:r>
      <w:r w:rsidRPr="00DE3397">
        <w:rPr>
          <w:rFonts w:ascii="Calibri" w:hAnsi="Calibri" w:cs="Calibri"/>
        </w:rPr>
        <w:t xml:space="preserve">rogram CZ15“). </w:t>
      </w:r>
      <w:proofErr w:type="spellStart"/>
      <w:r w:rsidRPr="00DE3397">
        <w:rPr>
          <w:rFonts w:asciiTheme="minorHAnsi" w:hAnsiTheme="minorHAnsi"/>
          <w:bCs/>
        </w:rPr>
        <w:t>MSp</w:t>
      </w:r>
      <w:proofErr w:type="spellEnd"/>
      <w:r w:rsidRPr="00DE3397">
        <w:rPr>
          <w:rFonts w:asciiTheme="minorHAnsi" w:hAnsiTheme="minorHAnsi"/>
          <w:bCs/>
        </w:rPr>
        <w:t xml:space="preserve"> jako příjemce transferu účtovalo o vzniku </w:t>
      </w:r>
      <w:r w:rsidRPr="00DE3397">
        <w:rPr>
          <w:rFonts w:asciiTheme="minorHAnsi" w:hAnsiTheme="minorHAnsi"/>
          <w:bCs/>
        </w:rPr>
        <w:lastRenderedPageBreak/>
        <w:t>podmíněných pohledávek</w:t>
      </w:r>
      <w:r>
        <w:rPr>
          <w:rFonts w:asciiTheme="minorHAnsi" w:hAnsiTheme="minorHAnsi"/>
          <w:bCs/>
        </w:rPr>
        <w:t xml:space="preserve"> </w:t>
      </w:r>
      <w:r w:rsidRPr="00DE3397">
        <w:rPr>
          <w:rFonts w:asciiTheme="minorHAnsi" w:hAnsiTheme="minorHAnsi"/>
          <w:szCs w:val="22"/>
        </w:rPr>
        <w:t xml:space="preserve">na účtu 953 – </w:t>
      </w:r>
      <w:r w:rsidRPr="00DE3397">
        <w:rPr>
          <w:rFonts w:asciiTheme="minorHAnsi" w:hAnsiTheme="minorHAnsi"/>
          <w:i/>
          <w:szCs w:val="22"/>
        </w:rPr>
        <w:t>Dlouhodobé podmíněné pohledávky ze zahraničních transferů</w:t>
      </w:r>
      <w:r w:rsidRPr="00DE3397">
        <w:rPr>
          <w:rFonts w:asciiTheme="minorHAnsi" w:hAnsiTheme="minorHAnsi"/>
          <w:szCs w:val="22"/>
        </w:rPr>
        <w:t>.</w:t>
      </w:r>
    </w:p>
    <w:p w14:paraId="0DA50E7E" w14:textId="77777777" w:rsidR="000F12EC" w:rsidRDefault="000F12EC" w:rsidP="00FD44D6">
      <w:pPr>
        <w:jc w:val="both"/>
        <w:rPr>
          <w:rFonts w:asciiTheme="minorHAnsi" w:hAnsiTheme="minorHAnsi"/>
          <w:szCs w:val="22"/>
        </w:rPr>
      </w:pPr>
    </w:p>
    <w:p w14:paraId="3D186225" w14:textId="381D0FA3" w:rsidR="00FD44D6" w:rsidRDefault="00FD44D6" w:rsidP="00FD44D6">
      <w:pPr>
        <w:jc w:val="both"/>
        <w:rPr>
          <w:rFonts w:asciiTheme="minorHAnsi" w:hAnsiTheme="minorHAnsi"/>
          <w:szCs w:val="22"/>
        </w:rPr>
      </w:pPr>
      <w:r>
        <w:rPr>
          <w:rFonts w:asciiTheme="minorHAnsi" w:hAnsiTheme="minorHAnsi"/>
          <w:szCs w:val="22"/>
        </w:rPr>
        <w:t xml:space="preserve">V rámci </w:t>
      </w:r>
      <w:r w:rsidR="000F12EC">
        <w:rPr>
          <w:rFonts w:asciiTheme="minorHAnsi" w:hAnsiTheme="minorHAnsi"/>
          <w:szCs w:val="22"/>
        </w:rPr>
        <w:t>p</w:t>
      </w:r>
      <w:r w:rsidRPr="00DE3397">
        <w:rPr>
          <w:rFonts w:asciiTheme="minorHAnsi" w:hAnsiTheme="minorHAnsi"/>
          <w:szCs w:val="22"/>
        </w:rPr>
        <w:t>rogramu CZ15 je realizováno 7 samostatných projektů</w:t>
      </w:r>
      <w:r>
        <w:rPr>
          <w:rFonts w:asciiTheme="minorHAnsi" w:hAnsiTheme="minorHAnsi"/>
          <w:szCs w:val="22"/>
        </w:rPr>
        <w:t xml:space="preserve">, přičemž </w:t>
      </w:r>
      <w:proofErr w:type="spellStart"/>
      <w:r>
        <w:rPr>
          <w:rFonts w:asciiTheme="minorHAnsi" w:hAnsiTheme="minorHAnsi"/>
          <w:szCs w:val="22"/>
        </w:rPr>
        <w:t>MSp</w:t>
      </w:r>
      <w:proofErr w:type="spellEnd"/>
      <w:r>
        <w:rPr>
          <w:rFonts w:asciiTheme="minorHAnsi" w:hAnsiTheme="minorHAnsi"/>
          <w:szCs w:val="22"/>
        </w:rPr>
        <w:t xml:space="preserve"> je příjemcem transferu pouze v případě jednoho projektu s alokací ve výši 48,9 mil. Kč. </w:t>
      </w:r>
      <w:proofErr w:type="spellStart"/>
      <w:r>
        <w:rPr>
          <w:rFonts w:asciiTheme="minorHAnsi" w:hAnsiTheme="minorHAnsi"/>
          <w:szCs w:val="22"/>
        </w:rPr>
        <w:t>MSp</w:t>
      </w:r>
      <w:proofErr w:type="spellEnd"/>
      <w:r>
        <w:rPr>
          <w:rFonts w:asciiTheme="minorHAnsi" w:hAnsiTheme="minorHAnsi"/>
          <w:szCs w:val="22"/>
        </w:rPr>
        <w:t xml:space="preserve"> však na účtu 953</w:t>
      </w:r>
      <w:r w:rsidR="00C76D62">
        <w:rPr>
          <w:rFonts w:asciiTheme="minorHAnsi" w:hAnsiTheme="minorHAnsi"/>
          <w:szCs w:val="22"/>
        </w:rPr>
        <w:t xml:space="preserve"> </w:t>
      </w:r>
      <w:r w:rsidR="0034343E">
        <w:rPr>
          <w:rFonts w:asciiTheme="minorHAnsi" w:hAnsiTheme="minorHAnsi"/>
          <w:szCs w:val="22"/>
        </w:rPr>
        <w:t>–</w:t>
      </w:r>
      <w:r w:rsidR="00C76D62">
        <w:rPr>
          <w:rFonts w:asciiTheme="minorHAnsi" w:hAnsiTheme="minorHAnsi"/>
          <w:szCs w:val="22"/>
        </w:rPr>
        <w:t xml:space="preserve"> </w:t>
      </w:r>
      <w:r w:rsidR="00C76D62" w:rsidRPr="00DE3397">
        <w:rPr>
          <w:rFonts w:asciiTheme="minorHAnsi" w:hAnsiTheme="minorHAnsi"/>
          <w:i/>
          <w:szCs w:val="22"/>
        </w:rPr>
        <w:t>Dlouhodobé podmíněné pohledávky ze zahraničních transferů</w:t>
      </w:r>
      <w:r w:rsidR="003560D6">
        <w:rPr>
          <w:rFonts w:asciiTheme="minorHAnsi" w:hAnsiTheme="minorHAnsi"/>
          <w:i/>
          <w:szCs w:val="22"/>
        </w:rPr>
        <w:t xml:space="preserve"> </w:t>
      </w:r>
      <w:r>
        <w:rPr>
          <w:rFonts w:asciiTheme="minorHAnsi" w:hAnsiTheme="minorHAnsi"/>
          <w:szCs w:val="22"/>
        </w:rPr>
        <w:t xml:space="preserve">vykázalo očekávané pohledávky i z ostatních projektů, u kterých </w:t>
      </w:r>
      <w:proofErr w:type="spellStart"/>
      <w:r>
        <w:rPr>
          <w:rFonts w:asciiTheme="minorHAnsi" w:hAnsiTheme="minorHAnsi"/>
          <w:szCs w:val="22"/>
        </w:rPr>
        <w:t>MSp</w:t>
      </w:r>
      <w:proofErr w:type="spellEnd"/>
      <w:r>
        <w:rPr>
          <w:rFonts w:asciiTheme="minorHAnsi" w:hAnsiTheme="minorHAnsi"/>
          <w:szCs w:val="22"/>
        </w:rPr>
        <w:t xml:space="preserve"> není příjemcem transferu. Navíc podmíněnou pohledávku ve výši 48,9 mil. Kč </w:t>
      </w:r>
      <w:proofErr w:type="spellStart"/>
      <w:r>
        <w:rPr>
          <w:rFonts w:asciiTheme="minorHAnsi" w:hAnsiTheme="minorHAnsi"/>
          <w:szCs w:val="22"/>
        </w:rPr>
        <w:t>MSp</w:t>
      </w:r>
      <w:proofErr w:type="spellEnd"/>
      <w:r>
        <w:rPr>
          <w:rFonts w:asciiTheme="minorHAnsi" w:hAnsiTheme="minorHAnsi"/>
          <w:szCs w:val="22"/>
        </w:rPr>
        <w:t xml:space="preserve"> na účet 953</w:t>
      </w:r>
      <w:r w:rsidR="00C76D62">
        <w:rPr>
          <w:rFonts w:asciiTheme="minorHAnsi" w:hAnsiTheme="minorHAnsi"/>
          <w:szCs w:val="22"/>
        </w:rPr>
        <w:t xml:space="preserve"> </w:t>
      </w:r>
      <w:r w:rsidR="0034343E">
        <w:rPr>
          <w:rFonts w:asciiTheme="minorHAnsi" w:hAnsiTheme="minorHAnsi"/>
          <w:szCs w:val="22"/>
        </w:rPr>
        <w:t>–</w:t>
      </w:r>
      <w:r w:rsidR="00C76D62" w:rsidRPr="00C76D62">
        <w:rPr>
          <w:rFonts w:asciiTheme="minorHAnsi" w:hAnsiTheme="minorHAnsi"/>
          <w:i/>
          <w:szCs w:val="22"/>
        </w:rPr>
        <w:t xml:space="preserve"> </w:t>
      </w:r>
      <w:r w:rsidR="00C76D62" w:rsidRPr="00DE3397">
        <w:rPr>
          <w:rFonts w:asciiTheme="minorHAnsi" w:hAnsiTheme="minorHAnsi"/>
          <w:i/>
          <w:szCs w:val="22"/>
        </w:rPr>
        <w:t>Dlouhodobé podmíněné pohledávky ze zahraničních transferů</w:t>
      </w:r>
      <w:r w:rsidR="003560D6">
        <w:rPr>
          <w:rFonts w:asciiTheme="minorHAnsi" w:hAnsiTheme="minorHAnsi"/>
          <w:i/>
          <w:szCs w:val="22"/>
        </w:rPr>
        <w:t xml:space="preserve"> </w:t>
      </w:r>
      <w:r>
        <w:rPr>
          <w:rFonts w:asciiTheme="minorHAnsi" w:hAnsiTheme="minorHAnsi"/>
          <w:szCs w:val="22"/>
        </w:rPr>
        <w:t xml:space="preserve">zaúčtovalo dvakrát. </w:t>
      </w:r>
    </w:p>
    <w:p w14:paraId="1029B18C" w14:textId="77777777" w:rsidR="000F12EC" w:rsidRPr="00DE3397" w:rsidRDefault="000F12EC" w:rsidP="00FD44D6">
      <w:pPr>
        <w:jc w:val="both"/>
        <w:rPr>
          <w:rFonts w:asciiTheme="minorHAnsi" w:hAnsiTheme="minorHAnsi"/>
          <w:szCs w:val="22"/>
        </w:rPr>
      </w:pPr>
    </w:p>
    <w:p w14:paraId="6B7A03EC" w14:textId="4B127374" w:rsidR="00FD44D6" w:rsidRPr="00C76D62" w:rsidRDefault="00FD44D6" w:rsidP="00FD44D6">
      <w:pPr>
        <w:jc w:val="both"/>
        <w:rPr>
          <w:rFonts w:asciiTheme="minorHAnsi" w:hAnsiTheme="minorHAnsi"/>
          <w:szCs w:val="22"/>
        </w:rPr>
      </w:pPr>
      <w:proofErr w:type="spellStart"/>
      <w:r>
        <w:rPr>
          <w:rFonts w:asciiTheme="minorHAnsi" w:hAnsiTheme="minorHAnsi"/>
          <w:szCs w:val="22"/>
        </w:rPr>
        <w:t>MSp</w:t>
      </w:r>
      <w:proofErr w:type="spellEnd"/>
      <w:r>
        <w:rPr>
          <w:rFonts w:asciiTheme="minorHAnsi" w:hAnsiTheme="minorHAnsi"/>
          <w:szCs w:val="22"/>
        </w:rPr>
        <w:t xml:space="preserve"> tak účtovalo o skutečnostech, které nebyly předmětem účetnictví</w:t>
      </w:r>
      <w:r w:rsidR="00463694">
        <w:rPr>
          <w:rFonts w:asciiTheme="minorHAnsi" w:hAnsiTheme="minorHAnsi"/>
          <w:szCs w:val="22"/>
        </w:rPr>
        <w:t>,</w:t>
      </w:r>
      <w:r>
        <w:rPr>
          <w:rFonts w:asciiTheme="minorHAnsi" w:hAnsiTheme="minorHAnsi"/>
          <w:szCs w:val="22"/>
        </w:rPr>
        <w:t xml:space="preserve"> a v důsledku toho v příloze ÚZ nadhodnotilo zůstatek účtu 953</w:t>
      </w:r>
      <w:r w:rsidR="00C76D62">
        <w:rPr>
          <w:rFonts w:asciiTheme="minorHAnsi" w:hAnsiTheme="minorHAnsi"/>
          <w:szCs w:val="22"/>
        </w:rPr>
        <w:t xml:space="preserve"> </w:t>
      </w:r>
      <w:r w:rsidR="0034343E">
        <w:rPr>
          <w:rFonts w:asciiTheme="minorHAnsi" w:hAnsiTheme="minorHAnsi"/>
          <w:szCs w:val="22"/>
        </w:rPr>
        <w:t>–</w:t>
      </w:r>
      <w:r w:rsidR="00C76D62" w:rsidRPr="00C76D62">
        <w:rPr>
          <w:rFonts w:asciiTheme="minorHAnsi" w:hAnsiTheme="minorHAnsi"/>
          <w:i/>
          <w:szCs w:val="22"/>
        </w:rPr>
        <w:t xml:space="preserve"> </w:t>
      </w:r>
      <w:r w:rsidR="00C76D62" w:rsidRPr="00DE3397">
        <w:rPr>
          <w:rFonts w:asciiTheme="minorHAnsi" w:hAnsiTheme="minorHAnsi"/>
          <w:i/>
          <w:szCs w:val="22"/>
        </w:rPr>
        <w:t>Dlouhodobé podmíněné pohledávky ze zahraničních transferů</w:t>
      </w:r>
      <w:r>
        <w:rPr>
          <w:rFonts w:asciiTheme="minorHAnsi" w:hAnsiTheme="minorHAnsi"/>
          <w:szCs w:val="22"/>
        </w:rPr>
        <w:t xml:space="preserve"> o 116 mil. Kč. Tato skutečnost měla vliv i na konečný </w:t>
      </w:r>
      <w:r>
        <w:rPr>
          <w:rFonts w:asciiTheme="minorHAnsi" w:hAnsiTheme="minorHAnsi" w:cstheme="minorHAnsi"/>
        </w:rPr>
        <w:t xml:space="preserve">zůstatek souvztažného účtu 999 – </w:t>
      </w:r>
      <w:r w:rsidRPr="000E1F72">
        <w:rPr>
          <w:rFonts w:asciiTheme="minorHAnsi" w:hAnsiTheme="minorHAnsi" w:cstheme="minorHAnsi"/>
          <w:i/>
        </w:rPr>
        <w:t>Vyrovnávací účet k podrozvahovým účtům</w:t>
      </w:r>
      <w:r>
        <w:rPr>
          <w:rFonts w:asciiTheme="minorHAnsi" w:hAnsiTheme="minorHAnsi" w:cstheme="minorHAnsi"/>
        </w:rPr>
        <w:t>.</w:t>
      </w:r>
    </w:p>
    <w:p w14:paraId="42F576CF" w14:textId="77777777" w:rsidR="00FD44D6" w:rsidRDefault="00FD44D6" w:rsidP="00FD44D6">
      <w:pPr>
        <w:jc w:val="both"/>
        <w:rPr>
          <w:rFonts w:asciiTheme="minorHAnsi" w:hAnsiTheme="minorHAnsi" w:cstheme="minorHAnsi"/>
        </w:rPr>
      </w:pPr>
    </w:p>
    <w:p w14:paraId="5DDBC9A0" w14:textId="77777777" w:rsidR="00FD44D6" w:rsidRDefault="00D060BB" w:rsidP="00731317">
      <w:pPr>
        <w:pStyle w:val="Odstavecseseznamem"/>
        <w:numPr>
          <w:ilvl w:val="0"/>
          <w:numId w:val="42"/>
        </w:numPr>
        <w:spacing w:before="40" w:after="120"/>
        <w:ind w:left="714" w:hanging="357"/>
        <w:contextualSpacing w:val="0"/>
        <w:jc w:val="both"/>
        <w:rPr>
          <w:rFonts w:ascii="Calibri" w:hAnsi="Calibri" w:cs="Calibri"/>
          <w:b/>
          <w:lang w:eastAsia="cs-CZ"/>
        </w:rPr>
      </w:pPr>
      <w:r>
        <w:rPr>
          <w:rFonts w:ascii="Calibri" w:hAnsi="Calibri" w:cs="Calibri"/>
          <w:b/>
          <w:lang w:eastAsia="cs-CZ"/>
        </w:rPr>
        <w:t xml:space="preserve"> Dlouhodobé podmíněné pohledávky</w:t>
      </w:r>
      <w:r w:rsidR="00FD44D6">
        <w:rPr>
          <w:rFonts w:ascii="Calibri" w:hAnsi="Calibri" w:cs="Calibri"/>
          <w:b/>
          <w:lang w:eastAsia="cs-CZ"/>
        </w:rPr>
        <w:t xml:space="preserve"> z projektů OP LZZ</w:t>
      </w:r>
    </w:p>
    <w:p w14:paraId="53D2E494" w14:textId="77777777" w:rsidR="00C76D62" w:rsidRDefault="00FD44D6" w:rsidP="00FD44D6">
      <w:pPr>
        <w:spacing w:before="40"/>
        <w:jc w:val="both"/>
        <w:rPr>
          <w:rFonts w:asciiTheme="minorHAnsi" w:hAnsiTheme="minorHAnsi" w:cs="Calibri"/>
        </w:rPr>
      </w:pPr>
      <w:proofErr w:type="spellStart"/>
      <w:r w:rsidRPr="00B61A6E">
        <w:rPr>
          <w:rFonts w:asciiTheme="minorHAnsi" w:hAnsiTheme="minorHAnsi"/>
        </w:rPr>
        <w:t>MSp</w:t>
      </w:r>
      <w:proofErr w:type="spellEnd"/>
      <w:r w:rsidRPr="00B61A6E">
        <w:rPr>
          <w:rFonts w:asciiTheme="minorHAnsi" w:hAnsiTheme="minorHAnsi"/>
        </w:rPr>
        <w:t xml:space="preserve"> vykázalo u projektu </w:t>
      </w:r>
      <w:r w:rsidRPr="00B61A6E">
        <w:rPr>
          <w:rFonts w:asciiTheme="minorHAnsi" w:hAnsiTheme="minorHAnsi" w:cs="Calibri"/>
          <w:i/>
        </w:rPr>
        <w:t>Nové soukromé právo</w:t>
      </w:r>
      <w:r w:rsidRPr="00B61A6E">
        <w:rPr>
          <w:rFonts w:asciiTheme="minorHAnsi" w:hAnsiTheme="minorHAnsi" w:cs="Calibri"/>
        </w:rPr>
        <w:t xml:space="preserve"> podmíněnou pohledávku ve výši 2</w:t>
      </w:r>
      <w:r>
        <w:rPr>
          <w:rFonts w:asciiTheme="minorHAnsi" w:hAnsiTheme="minorHAnsi" w:cs="Calibri"/>
        </w:rPr>
        <w:t>,6 mil.</w:t>
      </w:r>
      <w:r w:rsidR="0061321E">
        <w:rPr>
          <w:rFonts w:asciiTheme="minorHAnsi" w:hAnsiTheme="minorHAnsi" w:cs="Calibri"/>
        </w:rPr>
        <w:t xml:space="preserve"> Kč a u </w:t>
      </w:r>
      <w:r w:rsidRPr="00B61A6E">
        <w:rPr>
          <w:rFonts w:asciiTheme="minorHAnsi" w:hAnsiTheme="minorHAnsi" w:cs="Calibri"/>
        </w:rPr>
        <w:t xml:space="preserve">projektu </w:t>
      </w:r>
      <w:r w:rsidRPr="00B61A6E">
        <w:rPr>
          <w:rFonts w:asciiTheme="minorHAnsi" w:hAnsiTheme="minorHAnsi" w:cs="Calibri"/>
          <w:i/>
        </w:rPr>
        <w:t xml:space="preserve">Bezpečnostní monitoring přístupů k aplikacím a datům </w:t>
      </w:r>
      <w:proofErr w:type="spellStart"/>
      <w:r w:rsidRPr="00B61A6E">
        <w:rPr>
          <w:rFonts w:asciiTheme="minorHAnsi" w:hAnsiTheme="minorHAnsi" w:cs="Calibri"/>
          <w:i/>
        </w:rPr>
        <w:t>MSp</w:t>
      </w:r>
      <w:proofErr w:type="spellEnd"/>
      <w:r w:rsidRPr="00B61A6E">
        <w:rPr>
          <w:rFonts w:asciiTheme="minorHAnsi" w:hAnsiTheme="minorHAnsi" w:cs="Calibri"/>
        </w:rPr>
        <w:t xml:space="preserve"> podmíněnou pohledávku ve výši 8</w:t>
      </w:r>
      <w:r>
        <w:rPr>
          <w:rFonts w:asciiTheme="minorHAnsi" w:hAnsiTheme="minorHAnsi" w:cs="Calibri"/>
        </w:rPr>
        <w:t>,8 mil.</w:t>
      </w:r>
      <w:r w:rsidRPr="00B61A6E">
        <w:rPr>
          <w:rFonts w:asciiTheme="minorHAnsi" w:hAnsiTheme="minorHAnsi" w:cs="Calibri"/>
        </w:rPr>
        <w:t xml:space="preserve"> Kč, přestože uvedené projekty byly ukončeny a finančně vypořádány v průběhu roku 2015</w:t>
      </w:r>
      <w:r w:rsidR="00C76D62">
        <w:rPr>
          <w:rFonts w:asciiTheme="minorHAnsi" w:hAnsiTheme="minorHAnsi" w:cs="Calibri"/>
        </w:rPr>
        <w:t>.</w:t>
      </w:r>
      <w:r>
        <w:rPr>
          <w:rFonts w:asciiTheme="minorHAnsi" w:hAnsiTheme="minorHAnsi" w:cs="Calibri"/>
        </w:rPr>
        <w:t xml:space="preserve"> </w:t>
      </w:r>
      <w:proofErr w:type="spellStart"/>
      <w:r>
        <w:rPr>
          <w:rFonts w:asciiTheme="minorHAnsi" w:hAnsiTheme="minorHAnsi" w:cs="Calibri"/>
        </w:rPr>
        <w:t>MSp</w:t>
      </w:r>
      <w:proofErr w:type="spellEnd"/>
      <w:r>
        <w:rPr>
          <w:rFonts w:asciiTheme="minorHAnsi" w:hAnsiTheme="minorHAnsi" w:cs="Calibri"/>
        </w:rPr>
        <w:t xml:space="preserve"> tak v rámci těchto projektů již neočekávalo přijetí dalších peněžních prostředků</w:t>
      </w:r>
      <w:r w:rsidRPr="00B61A6E">
        <w:rPr>
          <w:rFonts w:asciiTheme="minorHAnsi" w:hAnsiTheme="minorHAnsi" w:cs="Calibri"/>
        </w:rPr>
        <w:t xml:space="preserve">. </w:t>
      </w:r>
    </w:p>
    <w:p w14:paraId="1DE411AB" w14:textId="77777777" w:rsidR="00463694" w:rsidRDefault="00463694" w:rsidP="00C869E4">
      <w:pPr>
        <w:jc w:val="both"/>
        <w:rPr>
          <w:rFonts w:asciiTheme="minorHAnsi" w:hAnsiTheme="minorHAnsi" w:cs="Calibri"/>
        </w:rPr>
      </w:pPr>
    </w:p>
    <w:p w14:paraId="5C97D95B" w14:textId="77777777" w:rsidR="00C76D62" w:rsidRDefault="00C76D62" w:rsidP="00C869E4">
      <w:pPr>
        <w:jc w:val="both"/>
        <w:rPr>
          <w:rFonts w:asciiTheme="minorHAnsi" w:hAnsiTheme="minorHAnsi" w:cs="Calibri"/>
        </w:rPr>
      </w:pPr>
      <w:r>
        <w:rPr>
          <w:rFonts w:asciiTheme="minorHAnsi" w:hAnsiTheme="minorHAnsi" w:cs="Calibri"/>
        </w:rPr>
        <w:t xml:space="preserve">V rámci inventarizace k 31. prosinci 2015 nebylo zjištěno, že uvedené dlouhodobé podmíněné pohledávky nejsou v souladu se skutečností. </w:t>
      </w:r>
      <w:proofErr w:type="spellStart"/>
      <w:r>
        <w:rPr>
          <w:rFonts w:asciiTheme="minorHAnsi" w:hAnsiTheme="minorHAnsi" w:cs="Calibri"/>
        </w:rPr>
        <w:t>MSp</w:t>
      </w:r>
      <w:proofErr w:type="spellEnd"/>
      <w:r>
        <w:rPr>
          <w:rFonts w:asciiTheme="minorHAnsi" w:hAnsiTheme="minorHAnsi" w:cs="Calibri"/>
        </w:rPr>
        <w:t xml:space="preserve"> tak při inventarizaci v roce 2015 porušilo zákon o účetnictví, neboť při dokladové inventuře nepostupovalo správně, když k rozvahovému dni nezjistilo skutečný stav účtu 953 </w:t>
      </w:r>
      <w:r w:rsidR="0076520F">
        <w:rPr>
          <w:rFonts w:asciiTheme="minorHAnsi" w:hAnsiTheme="minorHAnsi"/>
          <w:lang w:eastAsia="cs-CZ"/>
        </w:rPr>
        <w:t>–</w:t>
      </w:r>
      <w:r>
        <w:rPr>
          <w:rFonts w:asciiTheme="minorHAnsi" w:hAnsiTheme="minorHAnsi" w:cs="Calibri"/>
        </w:rPr>
        <w:t xml:space="preserve"> </w:t>
      </w:r>
      <w:r w:rsidRPr="00B61A6E">
        <w:rPr>
          <w:rFonts w:asciiTheme="minorHAnsi" w:hAnsiTheme="minorHAnsi" w:cs="Calibri"/>
          <w:i/>
        </w:rPr>
        <w:t>Dlouhodobé podmíněné pohledávky ze zahraničních transferů</w:t>
      </w:r>
      <w:r>
        <w:rPr>
          <w:rFonts w:asciiTheme="minorHAnsi" w:hAnsiTheme="minorHAnsi" w:cs="Calibri"/>
        </w:rPr>
        <w:t>.</w:t>
      </w:r>
    </w:p>
    <w:p w14:paraId="51868F82" w14:textId="77777777" w:rsidR="00463694" w:rsidRPr="001D1576" w:rsidRDefault="00463694" w:rsidP="00C869E4">
      <w:pPr>
        <w:jc w:val="both"/>
        <w:rPr>
          <w:rFonts w:ascii="Calibri" w:hAnsi="Calibri" w:cs="Calibri"/>
          <w:b/>
          <w:lang w:eastAsia="cs-CZ"/>
        </w:rPr>
      </w:pPr>
    </w:p>
    <w:p w14:paraId="487A5EDC" w14:textId="77777777" w:rsidR="00FD44D6" w:rsidRPr="00191C4D" w:rsidRDefault="00FD44D6" w:rsidP="00FD44D6">
      <w:pPr>
        <w:spacing w:before="40"/>
        <w:jc w:val="both"/>
        <w:rPr>
          <w:rFonts w:ascii="Calibri" w:hAnsi="Calibri" w:cs="Calibri"/>
          <w:lang w:eastAsia="cs-CZ"/>
        </w:rPr>
      </w:pPr>
      <w:r w:rsidRPr="00B61A6E">
        <w:rPr>
          <w:rFonts w:asciiTheme="minorHAnsi" w:hAnsiTheme="minorHAnsi" w:cs="Calibri"/>
        </w:rPr>
        <w:t xml:space="preserve">V důsledku </w:t>
      </w:r>
      <w:r>
        <w:rPr>
          <w:rFonts w:asciiTheme="minorHAnsi" w:hAnsiTheme="minorHAnsi" w:cs="Calibri"/>
        </w:rPr>
        <w:t>uvedených</w:t>
      </w:r>
      <w:r w:rsidRPr="00B61A6E">
        <w:rPr>
          <w:rFonts w:asciiTheme="minorHAnsi" w:hAnsiTheme="minorHAnsi" w:cs="Calibri"/>
        </w:rPr>
        <w:t xml:space="preserve"> skutečností </w:t>
      </w:r>
      <w:proofErr w:type="spellStart"/>
      <w:r w:rsidRPr="00B61A6E">
        <w:rPr>
          <w:rFonts w:asciiTheme="minorHAnsi" w:hAnsiTheme="minorHAnsi" w:cs="Calibri"/>
        </w:rPr>
        <w:t>MSp</w:t>
      </w:r>
      <w:proofErr w:type="spellEnd"/>
      <w:r w:rsidRPr="00B61A6E">
        <w:rPr>
          <w:rFonts w:asciiTheme="minorHAnsi" w:hAnsiTheme="minorHAnsi" w:cs="Calibri"/>
        </w:rPr>
        <w:t xml:space="preserve"> v příloze </w:t>
      </w:r>
      <w:r>
        <w:rPr>
          <w:rFonts w:asciiTheme="minorHAnsi" w:hAnsiTheme="minorHAnsi" w:cs="Calibri"/>
        </w:rPr>
        <w:t xml:space="preserve">ÚZ </w:t>
      </w:r>
      <w:r w:rsidRPr="00B61A6E">
        <w:rPr>
          <w:rFonts w:asciiTheme="minorHAnsi" w:hAnsiTheme="minorHAnsi" w:cs="Calibri"/>
        </w:rPr>
        <w:t>nadhodnotilo zůstatek účtu</w:t>
      </w:r>
      <w:r w:rsidR="0061321E">
        <w:rPr>
          <w:rFonts w:asciiTheme="minorHAnsi" w:hAnsiTheme="minorHAnsi" w:cs="Calibri"/>
        </w:rPr>
        <w:br/>
      </w:r>
      <w:r w:rsidRPr="00B61A6E">
        <w:rPr>
          <w:rFonts w:asciiTheme="minorHAnsi" w:hAnsiTheme="minorHAnsi" w:cs="Calibri"/>
        </w:rPr>
        <w:t xml:space="preserve">953 – </w:t>
      </w:r>
      <w:r w:rsidRPr="00B61A6E">
        <w:rPr>
          <w:rFonts w:asciiTheme="minorHAnsi" w:hAnsiTheme="minorHAnsi" w:cs="Calibri"/>
          <w:i/>
        </w:rPr>
        <w:t>Dlouhodobé podmíněné pohledávky ze zahraničních transferů</w:t>
      </w:r>
      <w:r w:rsidRPr="00B61A6E">
        <w:rPr>
          <w:rFonts w:asciiTheme="minorHAnsi" w:hAnsiTheme="minorHAnsi" w:cs="Calibri"/>
        </w:rPr>
        <w:t xml:space="preserve"> o 11</w:t>
      </w:r>
      <w:r>
        <w:rPr>
          <w:rFonts w:asciiTheme="minorHAnsi" w:hAnsiTheme="minorHAnsi" w:cs="Calibri"/>
        </w:rPr>
        <w:t>,</w:t>
      </w:r>
      <w:r w:rsidRPr="00B61A6E">
        <w:rPr>
          <w:rFonts w:asciiTheme="minorHAnsi" w:hAnsiTheme="minorHAnsi" w:cs="Calibri"/>
        </w:rPr>
        <w:t>4</w:t>
      </w:r>
      <w:r>
        <w:rPr>
          <w:rFonts w:asciiTheme="minorHAnsi" w:hAnsiTheme="minorHAnsi" w:cs="Calibri"/>
        </w:rPr>
        <w:t xml:space="preserve"> mil.</w:t>
      </w:r>
      <w:r w:rsidRPr="00B61A6E">
        <w:rPr>
          <w:rFonts w:asciiTheme="minorHAnsi" w:hAnsiTheme="minorHAnsi" w:cs="Calibri"/>
        </w:rPr>
        <w:t xml:space="preserve"> Kč</w:t>
      </w:r>
      <w:r>
        <w:rPr>
          <w:rFonts w:asciiTheme="minorHAnsi" w:hAnsiTheme="minorHAnsi" w:cs="Calibri"/>
        </w:rPr>
        <w:t xml:space="preserve">. Tato skutečnost měla vliv i na konečný zůstatek souvztažného účtu 999 – </w:t>
      </w:r>
      <w:r w:rsidRPr="00083017">
        <w:rPr>
          <w:rFonts w:asciiTheme="minorHAnsi" w:hAnsiTheme="minorHAnsi" w:cs="Calibri"/>
          <w:i/>
        </w:rPr>
        <w:t>Vyrovnávací účet k podrozvahovým účtům</w:t>
      </w:r>
      <w:r>
        <w:rPr>
          <w:rFonts w:asciiTheme="minorHAnsi" w:hAnsiTheme="minorHAnsi" w:cs="Calibri"/>
        </w:rPr>
        <w:t>.</w:t>
      </w:r>
    </w:p>
    <w:p w14:paraId="1995FFDB" w14:textId="77777777" w:rsidR="008337FD" w:rsidRPr="00C869E4" w:rsidRDefault="008337FD" w:rsidP="00F72DE4">
      <w:pPr>
        <w:rPr>
          <w:rFonts w:asciiTheme="minorHAnsi" w:hAnsiTheme="minorHAnsi" w:cstheme="minorHAnsi"/>
          <w:b/>
          <w:highlight w:val="yellow"/>
        </w:rPr>
      </w:pPr>
    </w:p>
    <w:p w14:paraId="2A85378C" w14:textId="77777777" w:rsidR="005A4589" w:rsidRPr="0024115E" w:rsidRDefault="005A4589" w:rsidP="005A4589">
      <w:pPr>
        <w:pStyle w:val="Odstavecseseznamem"/>
        <w:numPr>
          <w:ilvl w:val="0"/>
          <w:numId w:val="42"/>
        </w:numPr>
        <w:spacing w:before="40" w:after="120"/>
        <w:ind w:left="714" w:hanging="357"/>
        <w:contextualSpacing w:val="0"/>
        <w:jc w:val="both"/>
        <w:rPr>
          <w:rFonts w:ascii="Calibri" w:hAnsi="Calibri" w:cs="Calibri"/>
          <w:b/>
          <w:lang w:eastAsia="cs-CZ"/>
        </w:rPr>
      </w:pPr>
      <w:r w:rsidRPr="0024115E">
        <w:rPr>
          <w:rFonts w:ascii="Calibri" w:hAnsi="Calibri" w:cs="Calibri"/>
          <w:b/>
          <w:lang w:eastAsia="cs-CZ"/>
        </w:rPr>
        <w:t>Dlouhodobé podmíněné závazky ze zahraničních transferů</w:t>
      </w:r>
    </w:p>
    <w:p w14:paraId="3D96404F" w14:textId="1C3A3721" w:rsidR="005A4589" w:rsidRDefault="005A4589" w:rsidP="005A4589">
      <w:pPr>
        <w:jc w:val="both"/>
        <w:rPr>
          <w:rFonts w:asciiTheme="minorHAnsi" w:hAnsiTheme="minorHAnsi"/>
          <w:szCs w:val="22"/>
        </w:rPr>
      </w:pPr>
      <w:proofErr w:type="spellStart"/>
      <w:r w:rsidRPr="00DE3397">
        <w:rPr>
          <w:rFonts w:asciiTheme="minorHAnsi" w:hAnsiTheme="minorHAnsi"/>
          <w:szCs w:val="22"/>
        </w:rPr>
        <w:t>MSp</w:t>
      </w:r>
      <w:proofErr w:type="spellEnd"/>
      <w:r w:rsidRPr="00DE3397">
        <w:rPr>
          <w:rFonts w:asciiTheme="minorHAnsi" w:hAnsiTheme="minorHAnsi"/>
          <w:szCs w:val="22"/>
        </w:rPr>
        <w:t xml:space="preserve"> </w:t>
      </w:r>
      <w:r>
        <w:rPr>
          <w:rFonts w:asciiTheme="minorHAnsi" w:hAnsiTheme="minorHAnsi"/>
          <w:szCs w:val="22"/>
        </w:rPr>
        <w:t>na</w:t>
      </w:r>
      <w:r w:rsidRPr="00DE3397">
        <w:rPr>
          <w:rFonts w:asciiTheme="minorHAnsi" w:hAnsiTheme="minorHAnsi"/>
          <w:szCs w:val="22"/>
        </w:rPr>
        <w:t xml:space="preserve"> účtu 95</w:t>
      </w:r>
      <w:r w:rsidR="00DE54EB">
        <w:rPr>
          <w:rFonts w:asciiTheme="minorHAnsi" w:hAnsiTheme="minorHAnsi"/>
          <w:szCs w:val="22"/>
        </w:rPr>
        <w:t>4 – </w:t>
      </w:r>
      <w:r w:rsidRPr="00001C34">
        <w:rPr>
          <w:rFonts w:asciiTheme="minorHAnsi" w:hAnsiTheme="minorHAnsi"/>
          <w:i/>
          <w:szCs w:val="22"/>
        </w:rPr>
        <w:t>Dlouhodobé podmíněné závazky ze zahraničních transferů</w:t>
      </w:r>
      <w:r w:rsidR="00DE54EB">
        <w:rPr>
          <w:rFonts w:asciiTheme="minorHAnsi" w:hAnsiTheme="minorHAnsi"/>
          <w:szCs w:val="22"/>
        </w:rPr>
        <w:t xml:space="preserve"> účtovalo o </w:t>
      </w:r>
      <w:r>
        <w:rPr>
          <w:rFonts w:asciiTheme="minorHAnsi" w:hAnsiTheme="minorHAnsi"/>
          <w:szCs w:val="22"/>
        </w:rPr>
        <w:t xml:space="preserve">vzniku podmíněných závazků z projektů, ve kterých </w:t>
      </w:r>
      <w:proofErr w:type="spellStart"/>
      <w:r>
        <w:rPr>
          <w:rFonts w:asciiTheme="minorHAnsi" w:hAnsiTheme="minorHAnsi"/>
          <w:szCs w:val="22"/>
        </w:rPr>
        <w:t>MSp</w:t>
      </w:r>
      <w:proofErr w:type="spellEnd"/>
      <w:r>
        <w:rPr>
          <w:rFonts w:asciiTheme="minorHAnsi" w:hAnsiTheme="minorHAnsi"/>
          <w:szCs w:val="22"/>
        </w:rPr>
        <w:t xml:space="preserve"> vystupovalo v roli příjemce transferu. Účet 954 </w:t>
      </w:r>
      <w:r w:rsidR="00DE54EB">
        <w:rPr>
          <w:rFonts w:asciiTheme="minorHAnsi" w:hAnsiTheme="minorHAnsi"/>
          <w:szCs w:val="22"/>
        </w:rPr>
        <w:t>–</w:t>
      </w:r>
      <w:r w:rsidRPr="009A383E">
        <w:rPr>
          <w:rFonts w:asciiTheme="minorHAnsi" w:hAnsiTheme="minorHAnsi"/>
          <w:i/>
          <w:szCs w:val="22"/>
        </w:rPr>
        <w:t xml:space="preserve"> </w:t>
      </w:r>
      <w:r w:rsidRPr="00001C34">
        <w:rPr>
          <w:rFonts w:asciiTheme="minorHAnsi" w:hAnsiTheme="minorHAnsi"/>
          <w:i/>
          <w:szCs w:val="22"/>
        </w:rPr>
        <w:t>Dlouhodobé podmíněné závazky ze zahraničních transferů</w:t>
      </w:r>
      <w:r>
        <w:rPr>
          <w:rFonts w:asciiTheme="minorHAnsi" w:hAnsiTheme="minorHAnsi"/>
          <w:szCs w:val="22"/>
        </w:rPr>
        <w:t xml:space="preserve"> je však určen</w:t>
      </w:r>
      <w:r w:rsidR="008725CD">
        <w:rPr>
          <w:rFonts w:asciiTheme="minorHAnsi" w:hAnsiTheme="minorHAnsi"/>
          <w:szCs w:val="22"/>
        </w:rPr>
        <w:t> </w:t>
      </w:r>
      <w:r>
        <w:rPr>
          <w:rFonts w:asciiTheme="minorHAnsi" w:hAnsiTheme="minorHAnsi"/>
          <w:szCs w:val="22"/>
        </w:rPr>
        <w:t xml:space="preserve">pro poskytovatele transferu, a to za účelem vykazování podmíněných závazků z titulu možnosti poskytnutí transferu příjemci se sídlem v zahraničí. </w:t>
      </w:r>
      <w:proofErr w:type="spellStart"/>
      <w:r>
        <w:rPr>
          <w:rFonts w:asciiTheme="minorHAnsi" w:hAnsiTheme="minorHAnsi"/>
          <w:szCs w:val="22"/>
        </w:rPr>
        <w:t>MSp</w:t>
      </w:r>
      <w:proofErr w:type="spellEnd"/>
      <w:r>
        <w:rPr>
          <w:rFonts w:asciiTheme="minorHAnsi" w:hAnsiTheme="minorHAnsi"/>
          <w:szCs w:val="22"/>
        </w:rPr>
        <w:t xml:space="preserve"> tak účtovalo o</w:t>
      </w:r>
      <w:r w:rsidR="008725CD">
        <w:rPr>
          <w:rFonts w:asciiTheme="minorHAnsi" w:hAnsiTheme="minorHAnsi"/>
          <w:szCs w:val="22"/>
        </w:rPr>
        <w:t> </w:t>
      </w:r>
      <w:r>
        <w:rPr>
          <w:rFonts w:asciiTheme="minorHAnsi" w:hAnsiTheme="minorHAnsi"/>
          <w:szCs w:val="22"/>
        </w:rPr>
        <w:t>skutečnostech, které nebyly předmětem účetnictví, a v důsledku toho v příloze ÚZ</w:t>
      </w:r>
      <w:r w:rsidR="008725CD">
        <w:rPr>
          <w:rFonts w:asciiTheme="minorHAnsi" w:hAnsiTheme="minorHAnsi"/>
          <w:szCs w:val="22"/>
        </w:rPr>
        <w:t> </w:t>
      </w:r>
      <w:r>
        <w:rPr>
          <w:rFonts w:asciiTheme="minorHAnsi" w:hAnsiTheme="minorHAnsi"/>
          <w:szCs w:val="22"/>
        </w:rPr>
        <w:t xml:space="preserve">nadhodnotilo zůstatek účtu 954 </w:t>
      </w:r>
      <w:r w:rsidR="00DE54EB">
        <w:rPr>
          <w:rFonts w:asciiTheme="minorHAnsi" w:hAnsiTheme="minorHAnsi"/>
          <w:szCs w:val="22"/>
        </w:rPr>
        <w:t>–</w:t>
      </w:r>
      <w:r>
        <w:rPr>
          <w:rFonts w:asciiTheme="minorHAnsi" w:hAnsiTheme="minorHAnsi"/>
          <w:szCs w:val="22"/>
        </w:rPr>
        <w:t xml:space="preserve"> </w:t>
      </w:r>
      <w:r w:rsidRPr="00001C34">
        <w:rPr>
          <w:rFonts w:asciiTheme="minorHAnsi" w:hAnsiTheme="minorHAnsi"/>
          <w:i/>
          <w:szCs w:val="22"/>
        </w:rPr>
        <w:t>Dlouhodobé podmíněné závazky ze zahraničních transferů</w:t>
      </w:r>
      <w:r>
        <w:rPr>
          <w:rFonts w:asciiTheme="minorHAnsi" w:hAnsiTheme="minorHAnsi"/>
          <w:szCs w:val="22"/>
        </w:rPr>
        <w:t xml:space="preserve"> o 304 mil. Kč. Tato skutečnost měla vliv i na konečný </w:t>
      </w:r>
      <w:r>
        <w:rPr>
          <w:rFonts w:asciiTheme="minorHAnsi" w:hAnsiTheme="minorHAnsi" w:cstheme="minorHAnsi"/>
        </w:rPr>
        <w:t xml:space="preserve">zůstatek souvztažného účtu 999 – </w:t>
      </w:r>
      <w:r w:rsidRPr="000E1F72">
        <w:rPr>
          <w:rFonts w:asciiTheme="minorHAnsi" w:hAnsiTheme="minorHAnsi" w:cstheme="minorHAnsi"/>
          <w:i/>
        </w:rPr>
        <w:t>Vyrovnávací účet k podrozvahovým účtům</w:t>
      </w:r>
      <w:r>
        <w:rPr>
          <w:rFonts w:asciiTheme="minorHAnsi" w:hAnsiTheme="minorHAnsi" w:cstheme="minorHAnsi"/>
        </w:rPr>
        <w:t>.</w:t>
      </w:r>
      <w:r>
        <w:rPr>
          <w:rFonts w:asciiTheme="minorHAnsi" w:hAnsiTheme="minorHAnsi"/>
          <w:szCs w:val="22"/>
        </w:rPr>
        <w:t xml:space="preserve"> </w:t>
      </w:r>
    </w:p>
    <w:p w14:paraId="482DE5C0" w14:textId="77777777" w:rsidR="005A4589" w:rsidRPr="00C869E4" w:rsidRDefault="005A4589" w:rsidP="00F72DE4">
      <w:pPr>
        <w:rPr>
          <w:rFonts w:asciiTheme="minorHAnsi" w:hAnsiTheme="minorHAnsi" w:cstheme="minorHAnsi"/>
          <w:b/>
          <w:highlight w:val="yellow"/>
        </w:rPr>
      </w:pPr>
    </w:p>
    <w:p w14:paraId="23D3C26E" w14:textId="77777777" w:rsidR="008337FD" w:rsidRDefault="00FC2ADF" w:rsidP="00C869E4">
      <w:pPr>
        <w:pStyle w:val="Odstavecseseznamem"/>
        <w:keepNext/>
        <w:numPr>
          <w:ilvl w:val="0"/>
          <w:numId w:val="42"/>
        </w:numPr>
        <w:spacing w:before="40" w:after="120"/>
        <w:ind w:left="714" w:hanging="357"/>
        <w:contextualSpacing w:val="0"/>
        <w:jc w:val="both"/>
        <w:rPr>
          <w:rFonts w:ascii="Calibri" w:hAnsi="Calibri" w:cs="Calibri"/>
          <w:b/>
          <w:lang w:eastAsia="cs-CZ"/>
        </w:rPr>
      </w:pPr>
      <w:r>
        <w:rPr>
          <w:rFonts w:ascii="Calibri" w:hAnsi="Calibri" w:cs="Calibri"/>
          <w:b/>
          <w:lang w:eastAsia="cs-CZ"/>
        </w:rPr>
        <w:lastRenderedPageBreak/>
        <w:t>Dlouhodobé podmíněné závazky</w:t>
      </w:r>
      <w:r w:rsidR="008337FD">
        <w:rPr>
          <w:rFonts w:ascii="Calibri" w:hAnsi="Calibri" w:cs="Calibri"/>
          <w:b/>
          <w:lang w:eastAsia="cs-CZ"/>
        </w:rPr>
        <w:t xml:space="preserve"> ze smluv</w:t>
      </w:r>
    </w:p>
    <w:p w14:paraId="1564103B" w14:textId="0011639A" w:rsidR="008337FD" w:rsidRDefault="008337FD" w:rsidP="008337FD">
      <w:pPr>
        <w:spacing w:before="40"/>
        <w:jc w:val="both"/>
        <w:rPr>
          <w:rFonts w:asciiTheme="minorHAnsi" w:hAnsiTheme="minorHAnsi" w:cs="Calibri"/>
        </w:rPr>
      </w:pPr>
      <w:proofErr w:type="spellStart"/>
      <w:r>
        <w:rPr>
          <w:rFonts w:asciiTheme="minorHAnsi" w:hAnsiTheme="minorHAnsi"/>
        </w:rPr>
        <w:t>MSp</w:t>
      </w:r>
      <w:proofErr w:type="spellEnd"/>
      <w:r>
        <w:rPr>
          <w:rFonts w:asciiTheme="minorHAnsi" w:hAnsiTheme="minorHAnsi"/>
        </w:rPr>
        <w:t xml:space="preserve"> neúčtovalo</w:t>
      </w:r>
      <w:r w:rsidR="00C76D62">
        <w:rPr>
          <w:rFonts w:asciiTheme="minorHAnsi" w:hAnsiTheme="minorHAnsi"/>
        </w:rPr>
        <w:t xml:space="preserve"> vůbec</w:t>
      </w:r>
      <w:r>
        <w:rPr>
          <w:rFonts w:asciiTheme="minorHAnsi" w:hAnsiTheme="minorHAnsi"/>
        </w:rPr>
        <w:t xml:space="preserve"> o dlouhodobých podmíněných závazcích z titulu uzavřených smluv na </w:t>
      </w:r>
      <w:r w:rsidRPr="00750993">
        <w:rPr>
          <w:rFonts w:asciiTheme="minorHAnsi" w:hAnsiTheme="minorHAnsi" w:cs="Calibri"/>
          <w:bCs/>
          <w:iCs/>
        </w:rPr>
        <w:t xml:space="preserve">účtu 974 – </w:t>
      </w:r>
      <w:r w:rsidRPr="00750993">
        <w:rPr>
          <w:rFonts w:asciiTheme="minorHAnsi" w:hAnsiTheme="minorHAnsi" w:cs="Calibri"/>
          <w:bCs/>
          <w:i/>
          <w:iCs/>
        </w:rPr>
        <w:t>Dlouhodobé podmíněné závazky z jiných smluv</w:t>
      </w:r>
      <w:r>
        <w:rPr>
          <w:rFonts w:asciiTheme="minorHAnsi" w:hAnsiTheme="minorHAnsi" w:cs="Calibri"/>
          <w:bCs/>
          <w:iCs/>
        </w:rPr>
        <w:t>.</w:t>
      </w:r>
      <w:r>
        <w:rPr>
          <w:rFonts w:asciiTheme="minorHAnsi" w:hAnsiTheme="minorHAnsi" w:cs="Calibri"/>
        </w:rPr>
        <w:t xml:space="preserve"> </w:t>
      </w:r>
      <w:r w:rsidR="00C76D62">
        <w:rPr>
          <w:rFonts w:asciiTheme="minorHAnsi" w:hAnsiTheme="minorHAnsi" w:cs="Calibri"/>
        </w:rPr>
        <w:t xml:space="preserve">V rámci inventarizace k 31. prosinci 2015 nebylo zjištěno, že existují podmíněné závazky ze smluv </w:t>
      </w:r>
      <w:r w:rsidR="008725CD">
        <w:rPr>
          <w:rFonts w:asciiTheme="minorHAnsi" w:hAnsiTheme="minorHAnsi" w:cs="Calibri"/>
        </w:rPr>
        <w:t>a že tyto závazky</w:t>
      </w:r>
      <w:r w:rsidR="00C76D62">
        <w:rPr>
          <w:rFonts w:asciiTheme="minorHAnsi" w:hAnsiTheme="minorHAnsi" w:cs="Calibri"/>
        </w:rPr>
        <w:t xml:space="preserve"> nejsou vedeny v účetnictví. </w:t>
      </w:r>
      <w:proofErr w:type="spellStart"/>
      <w:r w:rsidR="00C76D62">
        <w:rPr>
          <w:rFonts w:asciiTheme="minorHAnsi" w:hAnsiTheme="minorHAnsi" w:cs="Calibri"/>
        </w:rPr>
        <w:t>MSp</w:t>
      </w:r>
      <w:proofErr w:type="spellEnd"/>
      <w:r w:rsidR="00C76D62">
        <w:rPr>
          <w:rFonts w:asciiTheme="minorHAnsi" w:hAnsiTheme="minorHAnsi" w:cs="Calibri"/>
        </w:rPr>
        <w:t xml:space="preserve"> tak při inventarizaci v roce 2015 porušilo zákon o účetnictví, neboť při dokladové inventuře nepostupovalo správně, když k rozvahovému dni ne</w:t>
      </w:r>
      <w:r w:rsidR="00DE54EB">
        <w:rPr>
          <w:rFonts w:asciiTheme="minorHAnsi" w:hAnsiTheme="minorHAnsi" w:cs="Calibri"/>
        </w:rPr>
        <w:t>zjistilo skutečný stav</w:t>
      </w:r>
      <w:r w:rsidR="008725CD">
        <w:rPr>
          <w:rFonts w:asciiTheme="minorHAnsi" w:hAnsiTheme="minorHAnsi" w:cs="Calibri"/>
        </w:rPr>
        <w:t> </w:t>
      </w:r>
      <w:r w:rsidR="00DE54EB">
        <w:rPr>
          <w:rFonts w:asciiTheme="minorHAnsi" w:hAnsiTheme="minorHAnsi" w:cs="Calibri"/>
        </w:rPr>
        <w:t>účtu 974 –</w:t>
      </w:r>
      <w:r w:rsidR="00C76D62">
        <w:rPr>
          <w:rFonts w:asciiTheme="minorHAnsi" w:hAnsiTheme="minorHAnsi" w:cs="Calibri"/>
        </w:rPr>
        <w:t xml:space="preserve"> </w:t>
      </w:r>
      <w:r w:rsidR="00C76D62" w:rsidRPr="00750993">
        <w:rPr>
          <w:rFonts w:asciiTheme="minorHAnsi" w:hAnsiTheme="minorHAnsi" w:cs="Calibri"/>
          <w:bCs/>
          <w:i/>
          <w:iCs/>
        </w:rPr>
        <w:t>Dlouhodobé podmíněné závazky z jiných smluv</w:t>
      </w:r>
      <w:r w:rsidR="00C76D62">
        <w:rPr>
          <w:rFonts w:asciiTheme="minorHAnsi" w:hAnsiTheme="minorHAnsi" w:cs="Calibri"/>
        </w:rPr>
        <w:t>.</w:t>
      </w:r>
      <w:r w:rsidR="008725CD">
        <w:rPr>
          <w:rFonts w:asciiTheme="minorHAnsi" w:hAnsiTheme="minorHAnsi" w:cs="Calibri"/>
        </w:rPr>
        <w:t xml:space="preserve"> </w:t>
      </w:r>
      <w:r>
        <w:rPr>
          <w:rFonts w:asciiTheme="minorHAnsi" w:hAnsiTheme="minorHAnsi" w:cs="Calibri"/>
        </w:rPr>
        <w:t xml:space="preserve">V důsledku toho </w:t>
      </w:r>
      <w:proofErr w:type="spellStart"/>
      <w:r>
        <w:rPr>
          <w:rFonts w:asciiTheme="minorHAnsi" w:hAnsiTheme="minorHAnsi" w:cs="Calibri"/>
        </w:rPr>
        <w:t>MSp</w:t>
      </w:r>
      <w:proofErr w:type="spellEnd"/>
      <w:r>
        <w:rPr>
          <w:rFonts w:asciiTheme="minorHAnsi" w:hAnsiTheme="minorHAnsi" w:cs="Calibri"/>
        </w:rPr>
        <w:t xml:space="preserve"> v příloze</w:t>
      </w:r>
      <w:r w:rsidR="008725CD">
        <w:rPr>
          <w:rFonts w:asciiTheme="minorHAnsi" w:hAnsiTheme="minorHAnsi" w:cs="Calibri"/>
        </w:rPr>
        <w:t> </w:t>
      </w:r>
      <w:r>
        <w:rPr>
          <w:rFonts w:asciiTheme="minorHAnsi" w:hAnsiTheme="minorHAnsi" w:cs="Calibri"/>
        </w:rPr>
        <w:t>ÚZ</w:t>
      </w:r>
      <w:r w:rsidR="008725CD">
        <w:rPr>
          <w:rFonts w:asciiTheme="minorHAnsi" w:hAnsiTheme="minorHAnsi" w:cs="Calibri"/>
        </w:rPr>
        <w:t> </w:t>
      </w:r>
      <w:r w:rsidRPr="0017281A">
        <w:rPr>
          <w:rFonts w:asciiTheme="minorHAnsi" w:hAnsiTheme="minorHAnsi" w:cs="Calibri"/>
        </w:rPr>
        <w:t>podhodnotilo zůstatek účtu 974</w:t>
      </w:r>
      <w:r w:rsidR="00827819">
        <w:rPr>
          <w:rFonts w:asciiTheme="minorHAnsi" w:hAnsiTheme="minorHAnsi" w:cs="Calibri"/>
        </w:rPr>
        <w:t xml:space="preserve"> –</w:t>
      </w:r>
      <w:r w:rsidR="00C76D62" w:rsidRPr="00C76D62">
        <w:rPr>
          <w:rFonts w:asciiTheme="minorHAnsi" w:hAnsiTheme="minorHAnsi" w:cs="Calibri"/>
          <w:bCs/>
          <w:i/>
          <w:iCs/>
        </w:rPr>
        <w:t xml:space="preserve"> </w:t>
      </w:r>
      <w:r w:rsidR="00C76D62" w:rsidRPr="00750993">
        <w:rPr>
          <w:rFonts w:asciiTheme="minorHAnsi" w:hAnsiTheme="minorHAnsi" w:cs="Calibri"/>
          <w:bCs/>
          <w:i/>
          <w:iCs/>
        </w:rPr>
        <w:t>Dlouhodobé podmíněné závazky z jiných smluv</w:t>
      </w:r>
      <w:r w:rsidR="008725CD">
        <w:rPr>
          <w:rFonts w:asciiTheme="minorHAnsi" w:hAnsiTheme="minorHAnsi" w:cs="Calibri"/>
        </w:rPr>
        <w:t> </w:t>
      </w:r>
      <w:r w:rsidRPr="0017281A">
        <w:rPr>
          <w:rFonts w:asciiTheme="minorHAnsi" w:hAnsiTheme="minorHAnsi" w:cs="Calibri"/>
        </w:rPr>
        <w:t>o 623</w:t>
      </w:r>
      <w:r>
        <w:rPr>
          <w:rFonts w:asciiTheme="minorHAnsi" w:hAnsiTheme="minorHAnsi" w:cs="Calibri"/>
        </w:rPr>
        <w:t>,7</w:t>
      </w:r>
      <w:r w:rsidR="008725CD">
        <w:rPr>
          <w:rFonts w:asciiTheme="minorHAnsi" w:hAnsiTheme="minorHAnsi" w:cs="Calibri"/>
        </w:rPr>
        <w:t> </w:t>
      </w:r>
      <w:r>
        <w:rPr>
          <w:rFonts w:asciiTheme="minorHAnsi" w:hAnsiTheme="minorHAnsi" w:cs="Calibri"/>
        </w:rPr>
        <w:t>mil. Kč</w:t>
      </w:r>
      <w:r>
        <w:rPr>
          <w:rStyle w:val="Znakapoznpodarou"/>
          <w:rFonts w:asciiTheme="minorHAnsi" w:hAnsiTheme="minorHAnsi" w:cs="Calibri"/>
        </w:rPr>
        <w:footnoteReference w:id="13"/>
      </w:r>
      <w:r>
        <w:rPr>
          <w:rFonts w:asciiTheme="minorHAnsi" w:hAnsiTheme="minorHAnsi" w:cs="Calibri"/>
        </w:rPr>
        <w:t xml:space="preserve">. Tato skutečnost měla vliv i na konečný zůstatek souvztažného účtu 999 – </w:t>
      </w:r>
      <w:r w:rsidRPr="009022A2">
        <w:rPr>
          <w:rFonts w:asciiTheme="minorHAnsi" w:hAnsiTheme="minorHAnsi" w:cs="Calibri"/>
          <w:i/>
        </w:rPr>
        <w:t>Vyrovnávací účet k podrozvahovým účtům</w:t>
      </w:r>
      <w:r>
        <w:rPr>
          <w:rFonts w:asciiTheme="minorHAnsi" w:hAnsiTheme="minorHAnsi" w:cs="Calibri"/>
        </w:rPr>
        <w:t>.</w:t>
      </w:r>
    </w:p>
    <w:p w14:paraId="3ACF5A3D" w14:textId="77777777" w:rsidR="008337FD" w:rsidRDefault="008337FD" w:rsidP="008337FD">
      <w:pPr>
        <w:jc w:val="both"/>
        <w:rPr>
          <w:rFonts w:asciiTheme="minorHAnsi" w:hAnsiTheme="minorHAnsi"/>
          <w:szCs w:val="22"/>
        </w:rPr>
      </w:pPr>
    </w:p>
    <w:p w14:paraId="3FC5A67C" w14:textId="77777777" w:rsidR="008337FD" w:rsidRDefault="00222B08" w:rsidP="00731317">
      <w:pPr>
        <w:pStyle w:val="Odstavecseseznamem"/>
        <w:numPr>
          <w:ilvl w:val="0"/>
          <w:numId w:val="42"/>
        </w:numPr>
        <w:spacing w:before="40" w:after="120"/>
        <w:ind w:left="714" w:hanging="357"/>
        <w:contextualSpacing w:val="0"/>
        <w:jc w:val="both"/>
        <w:rPr>
          <w:rFonts w:ascii="Calibri" w:hAnsi="Calibri" w:cs="Calibri"/>
          <w:b/>
          <w:lang w:eastAsia="cs-CZ"/>
        </w:rPr>
      </w:pPr>
      <w:r>
        <w:rPr>
          <w:rFonts w:ascii="Calibri" w:hAnsi="Calibri" w:cs="Calibri"/>
          <w:b/>
          <w:lang w:eastAsia="cs-CZ"/>
        </w:rPr>
        <w:t>P</w:t>
      </w:r>
      <w:r w:rsidR="00FC2ADF">
        <w:rPr>
          <w:rFonts w:ascii="Calibri" w:hAnsi="Calibri" w:cs="Calibri"/>
          <w:b/>
          <w:lang w:eastAsia="cs-CZ"/>
        </w:rPr>
        <w:t>odmíněné závazky z titulu náhrady</w:t>
      </w:r>
      <w:r w:rsidR="008337FD">
        <w:rPr>
          <w:rFonts w:ascii="Calibri" w:hAnsi="Calibri" w:cs="Calibri"/>
          <w:b/>
          <w:lang w:eastAsia="cs-CZ"/>
        </w:rPr>
        <w:t xml:space="preserve"> škody způsobené výkonem veřejné moci</w:t>
      </w:r>
    </w:p>
    <w:p w14:paraId="1C90B219" w14:textId="05D36356" w:rsidR="008337FD" w:rsidRDefault="008337FD" w:rsidP="008337FD">
      <w:pPr>
        <w:spacing w:before="40"/>
        <w:jc w:val="both"/>
        <w:rPr>
          <w:rFonts w:ascii="Calibri" w:hAnsi="Calibri" w:cs="Arial"/>
        </w:rPr>
      </w:pPr>
      <w:proofErr w:type="spellStart"/>
      <w:r w:rsidRPr="006879DD">
        <w:rPr>
          <w:rFonts w:asciiTheme="minorHAnsi" w:hAnsiTheme="minorHAnsi"/>
        </w:rPr>
        <w:t>MSp</w:t>
      </w:r>
      <w:proofErr w:type="spellEnd"/>
      <w:r w:rsidRPr="006879DD">
        <w:rPr>
          <w:rFonts w:asciiTheme="minorHAnsi" w:hAnsiTheme="minorHAnsi"/>
        </w:rPr>
        <w:t xml:space="preserve"> je dle zákona č. 82/1998 Sb</w:t>
      </w:r>
      <w:r w:rsidRPr="003B66D7">
        <w:rPr>
          <w:rFonts w:asciiTheme="minorHAnsi" w:hAnsiTheme="minorHAnsi"/>
        </w:rPr>
        <w:t xml:space="preserve">., </w:t>
      </w:r>
      <w:r w:rsidRPr="003B66D7">
        <w:rPr>
          <w:rFonts w:ascii="Calibri" w:hAnsi="Calibri" w:cs="Arial"/>
        </w:rPr>
        <w:t>o odpovědnosti za škodu způsobenou při výkonu veřejné moci rozhodnutím nebo nesprávným úředním postupem a o změně zákona ČNR č.</w:t>
      </w:r>
      <w:r w:rsidR="00CD1A95">
        <w:rPr>
          <w:rFonts w:ascii="Calibri" w:hAnsi="Calibri" w:cs="Arial"/>
        </w:rPr>
        <w:t> </w:t>
      </w:r>
      <w:r w:rsidRPr="003B66D7">
        <w:rPr>
          <w:rFonts w:ascii="Calibri" w:hAnsi="Calibri" w:cs="Arial"/>
        </w:rPr>
        <w:t>358/1992</w:t>
      </w:r>
      <w:r w:rsidR="00CD1A95">
        <w:rPr>
          <w:rFonts w:ascii="Calibri" w:hAnsi="Calibri" w:cs="Arial"/>
        </w:rPr>
        <w:t> </w:t>
      </w:r>
      <w:r w:rsidRPr="003B66D7">
        <w:rPr>
          <w:rFonts w:ascii="Calibri" w:hAnsi="Calibri" w:cs="Arial"/>
        </w:rPr>
        <w:t>Sb., o notářích a jejich činnosti (notářský řád),</w:t>
      </w:r>
      <w:r w:rsidRPr="006879DD">
        <w:rPr>
          <w:rFonts w:ascii="Calibri" w:hAnsi="Calibri" w:cs="Arial"/>
        </w:rPr>
        <w:t xml:space="preserve"> odpovědné ve věcech náhrady škody způsobené rozhodnutím nebo nesprávným úředním </w:t>
      </w:r>
      <w:r>
        <w:rPr>
          <w:rFonts w:ascii="Calibri" w:hAnsi="Calibri" w:cs="Arial"/>
        </w:rPr>
        <w:t xml:space="preserve">postupem. Přestože </w:t>
      </w:r>
      <w:proofErr w:type="spellStart"/>
      <w:r>
        <w:rPr>
          <w:rFonts w:ascii="Calibri" w:hAnsi="Calibri" w:cs="Arial"/>
        </w:rPr>
        <w:t>MSp</w:t>
      </w:r>
      <w:proofErr w:type="spellEnd"/>
      <w:r>
        <w:rPr>
          <w:rFonts w:ascii="Calibri" w:hAnsi="Calibri" w:cs="Arial"/>
        </w:rPr>
        <w:t xml:space="preserve"> k 31.</w:t>
      </w:r>
      <w:r w:rsidR="00CD1A95">
        <w:rPr>
          <w:rFonts w:ascii="Calibri" w:hAnsi="Calibri" w:cs="Arial"/>
        </w:rPr>
        <w:t> </w:t>
      </w:r>
      <w:r>
        <w:rPr>
          <w:rFonts w:ascii="Calibri" w:hAnsi="Calibri" w:cs="Arial"/>
        </w:rPr>
        <w:t xml:space="preserve">prosinci 2015 evidovalo žádosti o odškodnění, ze kterých bylo zřejmé, že v budoucnosti nastanou podmínky pro vyplacení náhrady škody, </w:t>
      </w:r>
      <w:r w:rsidR="00BF3E9B">
        <w:rPr>
          <w:rFonts w:ascii="Calibri" w:hAnsi="Calibri" w:cs="Arial"/>
        </w:rPr>
        <w:t>ne</w:t>
      </w:r>
      <w:r>
        <w:rPr>
          <w:rFonts w:ascii="Calibri" w:hAnsi="Calibri" w:cs="Arial"/>
        </w:rPr>
        <w:t xml:space="preserve">vykázalo v ÚZ </w:t>
      </w:r>
      <w:r w:rsidR="00BF3E9B">
        <w:rPr>
          <w:rFonts w:ascii="Calibri" w:hAnsi="Calibri" w:cs="Arial"/>
        </w:rPr>
        <w:t>žádné</w:t>
      </w:r>
      <w:r>
        <w:rPr>
          <w:rFonts w:ascii="Calibri" w:hAnsi="Calibri" w:cs="Arial"/>
        </w:rPr>
        <w:t xml:space="preserve"> podmíněné závazky z tohoto titulu.</w:t>
      </w:r>
    </w:p>
    <w:p w14:paraId="7E0D7FF5" w14:textId="77777777" w:rsidR="008725CD" w:rsidRDefault="008725CD" w:rsidP="00C869E4">
      <w:pPr>
        <w:jc w:val="both"/>
        <w:rPr>
          <w:rFonts w:ascii="Calibri" w:hAnsi="Calibri" w:cs="Arial"/>
        </w:rPr>
      </w:pPr>
    </w:p>
    <w:p w14:paraId="760D34C2" w14:textId="3626BE0C" w:rsidR="008337FD" w:rsidRDefault="008337FD" w:rsidP="008337FD">
      <w:pPr>
        <w:jc w:val="both"/>
        <w:rPr>
          <w:rFonts w:asciiTheme="minorHAnsi" w:hAnsiTheme="minorHAnsi" w:cs="Calibri"/>
        </w:rPr>
      </w:pPr>
      <w:proofErr w:type="spellStart"/>
      <w:r>
        <w:rPr>
          <w:rFonts w:ascii="Calibri" w:hAnsi="Calibri" w:cs="Arial"/>
        </w:rPr>
        <w:t>MSp</w:t>
      </w:r>
      <w:proofErr w:type="spellEnd"/>
      <w:r>
        <w:rPr>
          <w:rFonts w:ascii="Calibri" w:hAnsi="Calibri" w:cs="Arial"/>
        </w:rPr>
        <w:t xml:space="preserve"> pravidelně </w:t>
      </w:r>
      <w:r w:rsidR="008725CD">
        <w:rPr>
          <w:rFonts w:ascii="Calibri" w:hAnsi="Calibri" w:cs="Arial"/>
        </w:rPr>
        <w:t>vy</w:t>
      </w:r>
      <w:r>
        <w:rPr>
          <w:rFonts w:ascii="Calibri" w:hAnsi="Calibri" w:cs="Arial"/>
        </w:rPr>
        <w:t>pracovává kvalifikované odhady potřeby peněžních prostředků pro agendu náhrady škody způsobené výkonem veřejné moci. Z těchto kvalifikovaných odhadů lze získat hodnotu krátkodobých a dlouhodobých podmíněných závazků z titulu výplaty náhrady škody způsobené výkonem veřejné moci, a to ve výši 180 mil. Kč v</w:t>
      </w:r>
      <w:r w:rsidR="00827819">
        <w:rPr>
          <w:rFonts w:ascii="Calibri" w:hAnsi="Calibri" w:cs="Arial"/>
        </w:rPr>
        <w:t> případě krátkodobých závazků a </w:t>
      </w:r>
      <w:r>
        <w:rPr>
          <w:rFonts w:ascii="Calibri" w:hAnsi="Calibri" w:cs="Arial"/>
        </w:rPr>
        <w:t xml:space="preserve">540 mil. Kč v případě dlouhodobých závazků. V důsledku uvedených skutečností </w:t>
      </w:r>
      <w:proofErr w:type="spellStart"/>
      <w:r>
        <w:rPr>
          <w:rFonts w:ascii="Calibri" w:hAnsi="Calibri" w:cs="Arial"/>
        </w:rPr>
        <w:t>MSp</w:t>
      </w:r>
      <w:proofErr w:type="spellEnd"/>
      <w:r>
        <w:rPr>
          <w:rFonts w:ascii="Calibri" w:hAnsi="Calibri" w:cs="Arial"/>
        </w:rPr>
        <w:t xml:space="preserve"> v příloze ÚZ </w:t>
      </w:r>
      <w:r w:rsidRPr="00331372">
        <w:rPr>
          <w:rFonts w:asciiTheme="minorHAnsi" w:hAnsiTheme="minorHAnsi" w:cs="Calibri"/>
        </w:rPr>
        <w:t xml:space="preserve">podhodnotilo krátkodobé podmíněné závazky z titulu </w:t>
      </w:r>
      <w:r w:rsidRPr="00331372">
        <w:rPr>
          <w:rFonts w:asciiTheme="minorHAnsi" w:hAnsiTheme="minorHAnsi" w:cs="Arial"/>
        </w:rPr>
        <w:t>náhrady škody způsobené rozhodnutím nebo nesprávným úředním postupem</w:t>
      </w:r>
      <w:r>
        <w:rPr>
          <w:rFonts w:asciiTheme="minorHAnsi" w:hAnsiTheme="minorHAnsi" w:cs="Arial"/>
        </w:rPr>
        <w:t xml:space="preserve"> </w:t>
      </w:r>
      <w:r w:rsidRPr="00331372">
        <w:rPr>
          <w:rFonts w:asciiTheme="minorHAnsi" w:hAnsiTheme="minorHAnsi" w:cs="Calibri"/>
        </w:rPr>
        <w:t>o 180</w:t>
      </w:r>
      <w:r>
        <w:rPr>
          <w:rFonts w:asciiTheme="minorHAnsi" w:hAnsiTheme="minorHAnsi" w:cs="Calibri"/>
        </w:rPr>
        <w:t xml:space="preserve"> mil.</w:t>
      </w:r>
      <w:r w:rsidRPr="00331372">
        <w:rPr>
          <w:rFonts w:asciiTheme="minorHAnsi" w:hAnsiTheme="minorHAnsi" w:cs="Calibri"/>
        </w:rPr>
        <w:t xml:space="preserve"> Kč</w:t>
      </w:r>
      <w:r>
        <w:rPr>
          <w:rFonts w:asciiTheme="minorHAnsi" w:hAnsiTheme="minorHAnsi" w:cs="Calibri"/>
        </w:rPr>
        <w:t xml:space="preserve"> a </w:t>
      </w:r>
      <w:r w:rsidRPr="00331372">
        <w:rPr>
          <w:rFonts w:asciiTheme="minorHAnsi" w:hAnsiTheme="minorHAnsi" w:cs="Calibri"/>
        </w:rPr>
        <w:t>dlouhodobé podmíněné závazky z titulu </w:t>
      </w:r>
      <w:r w:rsidRPr="00331372">
        <w:rPr>
          <w:rFonts w:asciiTheme="minorHAnsi" w:hAnsiTheme="minorHAnsi" w:cs="Arial"/>
        </w:rPr>
        <w:t>náhrady škody způsobené rozhodnutím nebo nesprávným úředním postupem</w:t>
      </w:r>
      <w:r>
        <w:rPr>
          <w:rFonts w:asciiTheme="minorHAnsi" w:hAnsiTheme="minorHAnsi" w:cs="Arial"/>
        </w:rPr>
        <w:t xml:space="preserve"> </w:t>
      </w:r>
      <w:r w:rsidRPr="00331372">
        <w:rPr>
          <w:rFonts w:asciiTheme="minorHAnsi" w:hAnsiTheme="minorHAnsi" w:cs="Calibri"/>
        </w:rPr>
        <w:t>o 540</w:t>
      </w:r>
      <w:r>
        <w:rPr>
          <w:rFonts w:asciiTheme="minorHAnsi" w:hAnsiTheme="minorHAnsi" w:cs="Calibri"/>
        </w:rPr>
        <w:t xml:space="preserve"> mil. Kč. Tato skutečnost měla vliv i na konečný zůstatek souvztažného účtu </w:t>
      </w:r>
      <w:r w:rsidRPr="00331372">
        <w:rPr>
          <w:rFonts w:asciiTheme="minorHAnsi" w:hAnsiTheme="minorHAnsi" w:cs="Calibri"/>
        </w:rPr>
        <w:t>999 – </w:t>
      </w:r>
      <w:r w:rsidRPr="000E4B94">
        <w:rPr>
          <w:rFonts w:asciiTheme="minorHAnsi" w:hAnsiTheme="minorHAnsi" w:cs="Calibri"/>
          <w:i/>
        </w:rPr>
        <w:t>Vyrovnávací účet k podrozvahovým účtům</w:t>
      </w:r>
      <w:r w:rsidRPr="00331372">
        <w:rPr>
          <w:rFonts w:asciiTheme="minorHAnsi" w:hAnsiTheme="minorHAnsi" w:cs="Calibri"/>
        </w:rPr>
        <w:t>.</w:t>
      </w:r>
    </w:p>
    <w:p w14:paraId="66F2D3AF" w14:textId="77777777" w:rsidR="008725CD" w:rsidRDefault="008725CD" w:rsidP="008337FD">
      <w:pPr>
        <w:jc w:val="both"/>
        <w:rPr>
          <w:rFonts w:asciiTheme="minorHAnsi" w:hAnsiTheme="minorHAnsi" w:cs="Calibri"/>
        </w:rPr>
      </w:pPr>
    </w:p>
    <w:p w14:paraId="73ADE1D9" w14:textId="0755A78F" w:rsidR="007C4677" w:rsidRDefault="007C4677" w:rsidP="008337FD">
      <w:pPr>
        <w:jc w:val="both"/>
        <w:rPr>
          <w:rFonts w:asciiTheme="minorHAnsi" w:hAnsiTheme="minorHAnsi" w:cs="Calibri"/>
        </w:rPr>
      </w:pPr>
      <w:r>
        <w:rPr>
          <w:rFonts w:asciiTheme="minorHAnsi" w:hAnsiTheme="minorHAnsi" w:cs="Calibri"/>
        </w:rPr>
        <w:t xml:space="preserve">V rámci inventarizace k 31. prosinci 2015 nebylo zjištěno, že existují podmíněné závazky vyplývající z náhrady škody způsobené výkonem veřejné moci </w:t>
      </w:r>
      <w:r w:rsidR="00122E35">
        <w:rPr>
          <w:rFonts w:asciiTheme="minorHAnsi" w:hAnsiTheme="minorHAnsi" w:cs="Calibri"/>
        </w:rPr>
        <w:t xml:space="preserve">a že tyto závazky </w:t>
      </w:r>
      <w:r>
        <w:rPr>
          <w:rFonts w:asciiTheme="minorHAnsi" w:hAnsiTheme="minorHAnsi" w:cs="Calibri"/>
        </w:rPr>
        <w:t xml:space="preserve">nejsou vedeny v účetnictví. </w:t>
      </w:r>
      <w:proofErr w:type="spellStart"/>
      <w:r>
        <w:rPr>
          <w:rFonts w:asciiTheme="minorHAnsi" w:hAnsiTheme="minorHAnsi" w:cs="Calibri"/>
        </w:rPr>
        <w:t>MSp</w:t>
      </w:r>
      <w:proofErr w:type="spellEnd"/>
      <w:r>
        <w:rPr>
          <w:rFonts w:asciiTheme="minorHAnsi" w:hAnsiTheme="minorHAnsi" w:cs="Calibri"/>
        </w:rPr>
        <w:t xml:space="preserve"> tak při inventarizaci v roce 2015 porušilo zákon o účetnictví, neboť při dokladové inventuře nepostupovalo správně, když k rozvahovému dni nezjistilo skutečný stav těchto závazků.</w:t>
      </w:r>
    </w:p>
    <w:p w14:paraId="49E793D5" w14:textId="3ABE253B" w:rsidR="00584FD3" w:rsidRPr="006F3E7F" w:rsidRDefault="00584FD3" w:rsidP="00191C4D">
      <w:pPr>
        <w:jc w:val="both"/>
        <w:rPr>
          <w:rFonts w:asciiTheme="minorHAnsi" w:hAnsiTheme="minorHAnsi"/>
          <w:szCs w:val="22"/>
        </w:rPr>
      </w:pPr>
    </w:p>
    <w:p w14:paraId="541F2E77" w14:textId="1396AEF3" w:rsidR="00B95FEF" w:rsidRPr="001D1576" w:rsidRDefault="00B95FEF" w:rsidP="00C869E4">
      <w:pPr>
        <w:spacing w:before="40" w:after="120"/>
        <w:ind w:left="397" w:hanging="397"/>
        <w:jc w:val="both"/>
        <w:rPr>
          <w:rFonts w:ascii="Calibri" w:hAnsi="Calibri" w:cs="Calibri"/>
          <w:b/>
          <w:lang w:eastAsia="cs-CZ"/>
        </w:rPr>
      </w:pPr>
      <w:r w:rsidRPr="001D1576">
        <w:rPr>
          <w:rFonts w:ascii="Calibri" w:hAnsi="Calibri" w:cs="Calibri"/>
          <w:b/>
          <w:lang w:eastAsia="cs-CZ"/>
        </w:rPr>
        <w:t>1.</w:t>
      </w:r>
      <w:r w:rsidR="007A6162">
        <w:rPr>
          <w:rFonts w:ascii="Calibri" w:hAnsi="Calibri" w:cs="Calibri"/>
          <w:b/>
          <w:lang w:eastAsia="cs-CZ"/>
        </w:rPr>
        <w:t>4</w:t>
      </w:r>
      <w:r w:rsidRPr="001D1576">
        <w:rPr>
          <w:rFonts w:ascii="Calibri" w:hAnsi="Calibri" w:cs="Calibri"/>
          <w:b/>
          <w:lang w:eastAsia="cs-CZ"/>
        </w:rPr>
        <w:t xml:space="preserve"> </w:t>
      </w:r>
      <w:r w:rsidR="00122E35">
        <w:rPr>
          <w:rFonts w:ascii="Calibri" w:hAnsi="Calibri" w:cs="Calibri"/>
          <w:b/>
          <w:lang w:eastAsia="cs-CZ"/>
        </w:rPr>
        <w:tab/>
      </w:r>
      <w:r w:rsidRPr="001D1576">
        <w:rPr>
          <w:rFonts w:ascii="Calibri" w:hAnsi="Calibri" w:cs="Calibri"/>
          <w:b/>
          <w:lang w:eastAsia="cs-CZ"/>
        </w:rPr>
        <w:t xml:space="preserve">Výnosy z poplatků za umožnění vykonání zkoušky insolvenčního správce a za připuštění ke zkoušce mediátora </w:t>
      </w:r>
    </w:p>
    <w:p w14:paraId="67FC058F" w14:textId="5A84299C" w:rsidR="00292D73" w:rsidRPr="00581629" w:rsidRDefault="00B95FEF" w:rsidP="00292D73">
      <w:pPr>
        <w:jc w:val="both"/>
        <w:rPr>
          <w:rFonts w:asciiTheme="minorHAnsi" w:hAnsiTheme="minorHAnsi" w:cs="Calibri"/>
        </w:rPr>
      </w:pPr>
      <w:proofErr w:type="spellStart"/>
      <w:r w:rsidRPr="00EA01EA">
        <w:rPr>
          <w:rFonts w:asciiTheme="minorHAnsi" w:hAnsiTheme="minorHAnsi" w:cs="Calibri"/>
        </w:rPr>
        <w:t>MSp</w:t>
      </w:r>
      <w:proofErr w:type="spellEnd"/>
      <w:r w:rsidRPr="00EA01EA">
        <w:rPr>
          <w:rFonts w:asciiTheme="minorHAnsi" w:hAnsiTheme="minorHAnsi" w:cs="Calibri"/>
        </w:rPr>
        <w:t xml:space="preserve"> </w:t>
      </w:r>
      <w:r>
        <w:rPr>
          <w:rFonts w:asciiTheme="minorHAnsi" w:hAnsiTheme="minorHAnsi" w:cs="Calibri"/>
        </w:rPr>
        <w:t xml:space="preserve">vybírá </w:t>
      </w:r>
      <w:r w:rsidRPr="00EA01EA">
        <w:rPr>
          <w:rFonts w:asciiTheme="minorHAnsi" w:hAnsiTheme="minorHAnsi" w:cs="Calibri"/>
        </w:rPr>
        <w:t>poplatky, které</w:t>
      </w:r>
      <w:r>
        <w:rPr>
          <w:rFonts w:asciiTheme="minorHAnsi" w:hAnsiTheme="minorHAnsi" w:cs="Calibri"/>
        </w:rPr>
        <w:t xml:space="preserve"> </w:t>
      </w:r>
      <w:r w:rsidRPr="00A10C96">
        <w:rPr>
          <w:rFonts w:asciiTheme="minorHAnsi" w:hAnsiTheme="minorHAnsi" w:cs="Calibri"/>
        </w:rPr>
        <w:t>dle zákona č. 312/2006 Sb., o insolvenčních správcích, resp. dle zákona č. 202/2012 Sb., o mediaci</w:t>
      </w:r>
      <w:r>
        <w:rPr>
          <w:rFonts w:asciiTheme="minorHAnsi" w:hAnsiTheme="minorHAnsi" w:cs="Calibri"/>
        </w:rPr>
        <w:t xml:space="preserve"> </w:t>
      </w:r>
      <w:r w:rsidR="00B8670B" w:rsidRPr="00B8670B">
        <w:rPr>
          <w:rFonts w:asciiTheme="minorHAnsi" w:hAnsiTheme="minorHAnsi" w:cs="Calibri"/>
        </w:rPr>
        <w:t>a o změně některých zákonů (zákon o mediaci)</w:t>
      </w:r>
      <w:r w:rsidR="00B8670B">
        <w:rPr>
          <w:rFonts w:asciiTheme="minorHAnsi" w:hAnsiTheme="minorHAnsi" w:cs="Calibri"/>
        </w:rPr>
        <w:t xml:space="preserve">, </w:t>
      </w:r>
      <w:r w:rsidRPr="00EA01EA">
        <w:rPr>
          <w:rFonts w:asciiTheme="minorHAnsi" w:hAnsiTheme="minorHAnsi" w:cs="Calibri"/>
        </w:rPr>
        <w:t xml:space="preserve">hradí </w:t>
      </w:r>
      <w:r>
        <w:rPr>
          <w:rFonts w:asciiTheme="minorHAnsi" w:hAnsiTheme="minorHAnsi" w:cs="Calibri"/>
        </w:rPr>
        <w:t xml:space="preserve">žadatelé </w:t>
      </w:r>
      <w:r w:rsidR="00827819">
        <w:rPr>
          <w:rFonts w:asciiTheme="minorHAnsi" w:hAnsiTheme="minorHAnsi" w:cs="Calibri"/>
        </w:rPr>
        <w:t>–</w:t>
      </w:r>
      <w:r>
        <w:rPr>
          <w:rFonts w:asciiTheme="minorHAnsi" w:hAnsiTheme="minorHAnsi" w:cs="Calibri"/>
        </w:rPr>
        <w:t xml:space="preserve"> </w:t>
      </w:r>
      <w:r w:rsidRPr="00EA01EA">
        <w:rPr>
          <w:rFonts w:asciiTheme="minorHAnsi" w:hAnsiTheme="minorHAnsi" w:cs="Calibri"/>
        </w:rPr>
        <w:t xml:space="preserve">fyzické osoby za umožnění vykonání zkoušky insolvenčního správce, </w:t>
      </w:r>
      <w:r>
        <w:rPr>
          <w:rFonts w:asciiTheme="minorHAnsi" w:hAnsiTheme="minorHAnsi" w:cs="Calibri"/>
        </w:rPr>
        <w:t>resp.</w:t>
      </w:r>
      <w:r w:rsidRPr="00EA01EA">
        <w:rPr>
          <w:rFonts w:asciiTheme="minorHAnsi" w:hAnsiTheme="minorHAnsi" w:cs="Calibri"/>
        </w:rPr>
        <w:t xml:space="preserve"> za připuštění ke zkoušce mediátora.</w:t>
      </w:r>
      <w:r>
        <w:rPr>
          <w:rFonts w:asciiTheme="minorHAnsi" w:hAnsiTheme="minorHAnsi" w:cs="Calibri"/>
        </w:rPr>
        <w:t xml:space="preserve"> </w:t>
      </w:r>
      <w:r w:rsidR="00827819">
        <w:rPr>
          <w:rFonts w:asciiTheme="minorHAnsi" w:hAnsiTheme="minorHAnsi" w:cs="Calibri"/>
        </w:rPr>
        <w:t>Doklad o </w:t>
      </w:r>
      <w:r w:rsidRPr="00EA01EA">
        <w:rPr>
          <w:rFonts w:asciiTheme="minorHAnsi" w:hAnsiTheme="minorHAnsi" w:cs="Calibri"/>
        </w:rPr>
        <w:t xml:space="preserve">zaplacení poplatku vyžadovaného zákonem je nezbytnou přílohou žádosti o vykonání zkoušky insolvenčního </w:t>
      </w:r>
      <w:r w:rsidRPr="004A2397">
        <w:rPr>
          <w:rFonts w:asciiTheme="minorHAnsi" w:hAnsiTheme="minorHAnsi" w:cs="Calibri"/>
        </w:rPr>
        <w:t xml:space="preserve">správce </w:t>
      </w:r>
      <w:r w:rsidRPr="00EA01EA">
        <w:rPr>
          <w:rFonts w:asciiTheme="minorHAnsi" w:hAnsiTheme="minorHAnsi" w:cs="Calibri"/>
        </w:rPr>
        <w:t xml:space="preserve">i žádosti o vykonání </w:t>
      </w:r>
      <w:r w:rsidRPr="00EA01EA">
        <w:rPr>
          <w:rFonts w:asciiTheme="minorHAnsi" w:hAnsiTheme="minorHAnsi" w:cs="Calibri"/>
        </w:rPr>
        <w:lastRenderedPageBreak/>
        <w:t>zkoušky mediátora</w:t>
      </w:r>
      <w:r w:rsidRPr="004A2397">
        <w:rPr>
          <w:rFonts w:asciiTheme="minorHAnsi" w:hAnsiTheme="minorHAnsi" w:cs="Calibri"/>
        </w:rPr>
        <w:t>.</w:t>
      </w:r>
      <w:r w:rsidR="003560D6">
        <w:rPr>
          <w:rFonts w:asciiTheme="minorHAnsi" w:hAnsiTheme="minorHAnsi" w:cs="Calibri"/>
        </w:rPr>
        <w:t xml:space="preserve"> </w:t>
      </w:r>
      <w:proofErr w:type="spellStart"/>
      <w:r w:rsidRPr="00EA01EA">
        <w:rPr>
          <w:rFonts w:asciiTheme="minorHAnsi" w:hAnsiTheme="minorHAnsi" w:cs="Calibri"/>
        </w:rPr>
        <w:t>MSp</w:t>
      </w:r>
      <w:proofErr w:type="spellEnd"/>
      <w:r w:rsidRPr="00EA01EA">
        <w:rPr>
          <w:rFonts w:asciiTheme="minorHAnsi" w:hAnsiTheme="minorHAnsi" w:cs="Calibri"/>
        </w:rPr>
        <w:t xml:space="preserve"> o </w:t>
      </w:r>
      <w:r>
        <w:rPr>
          <w:rFonts w:asciiTheme="minorHAnsi" w:hAnsiTheme="minorHAnsi" w:cs="Calibri"/>
        </w:rPr>
        <w:t xml:space="preserve">výnosech z těchto </w:t>
      </w:r>
      <w:r w:rsidRPr="00EA01EA">
        <w:rPr>
          <w:rFonts w:asciiTheme="minorHAnsi" w:hAnsiTheme="minorHAnsi" w:cs="Calibri"/>
        </w:rPr>
        <w:t>poplat</w:t>
      </w:r>
      <w:r>
        <w:rPr>
          <w:rFonts w:asciiTheme="minorHAnsi" w:hAnsiTheme="minorHAnsi" w:cs="Calibri"/>
        </w:rPr>
        <w:t>ků účtovalo</w:t>
      </w:r>
      <w:r w:rsidRPr="00581629">
        <w:rPr>
          <w:rFonts w:asciiTheme="minorHAnsi" w:hAnsiTheme="minorHAnsi" w:cs="Calibri"/>
        </w:rPr>
        <w:t xml:space="preserve"> na </w:t>
      </w:r>
      <w:r w:rsidRPr="00EA01EA">
        <w:rPr>
          <w:rFonts w:asciiTheme="minorHAnsi" w:hAnsiTheme="minorHAnsi" w:cs="Calibri"/>
        </w:rPr>
        <w:t xml:space="preserve">účtu 602 – </w:t>
      </w:r>
      <w:r w:rsidRPr="00EA01EA">
        <w:rPr>
          <w:rFonts w:asciiTheme="minorHAnsi" w:hAnsiTheme="minorHAnsi" w:cs="Calibri"/>
          <w:i/>
        </w:rPr>
        <w:t>Výnosy z prodeje služeb</w:t>
      </w:r>
      <w:r w:rsidR="00827819">
        <w:rPr>
          <w:rFonts w:asciiTheme="minorHAnsi" w:hAnsiTheme="minorHAnsi" w:cs="Calibri"/>
        </w:rPr>
        <w:t>, přestože se nejednalo o </w:t>
      </w:r>
      <w:r>
        <w:rPr>
          <w:rFonts w:asciiTheme="minorHAnsi" w:hAnsiTheme="minorHAnsi" w:cs="Calibri"/>
        </w:rPr>
        <w:t>výnosy z prodeje služeb, al</w:t>
      </w:r>
      <w:r w:rsidR="00FC3AE1">
        <w:rPr>
          <w:rFonts w:asciiTheme="minorHAnsi" w:hAnsiTheme="minorHAnsi" w:cs="Calibri"/>
        </w:rPr>
        <w:t xml:space="preserve">e o výnosy z úhrady poplatků, </w:t>
      </w:r>
      <w:r w:rsidR="00A22B0F">
        <w:rPr>
          <w:rFonts w:asciiTheme="minorHAnsi" w:hAnsiTheme="minorHAnsi" w:cs="Calibri"/>
        </w:rPr>
        <w:t>a proto měly být účtovány</w:t>
      </w:r>
      <w:r w:rsidR="00FC3AE1">
        <w:rPr>
          <w:rFonts w:asciiTheme="minorHAnsi" w:hAnsiTheme="minorHAnsi" w:cs="Calibri"/>
        </w:rPr>
        <w:t xml:space="preserve"> </w:t>
      </w:r>
      <w:r>
        <w:rPr>
          <w:rFonts w:asciiTheme="minorHAnsi" w:hAnsiTheme="minorHAnsi" w:cs="Calibri"/>
        </w:rPr>
        <w:t>na</w:t>
      </w:r>
      <w:r w:rsidR="00FC3AE1">
        <w:rPr>
          <w:rFonts w:asciiTheme="minorHAnsi" w:hAnsiTheme="minorHAnsi" w:cs="Calibri"/>
        </w:rPr>
        <w:t xml:space="preserve"> </w:t>
      </w:r>
      <w:r>
        <w:rPr>
          <w:rFonts w:asciiTheme="minorHAnsi" w:hAnsiTheme="minorHAnsi" w:cs="Calibri"/>
        </w:rPr>
        <w:t>účtu</w:t>
      </w:r>
      <w:r w:rsidR="00FC3AE1">
        <w:rPr>
          <w:rFonts w:asciiTheme="minorHAnsi" w:hAnsiTheme="minorHAnsi" w:cs="Calibri"/>
        </w:rPr>
        <w:t xml:space="preserve"> </w:t>
      </w:r>
      <w:r>
        <w:rPr>
          <w:rFonts w:asciiTheme="minorHAnsi" w:hAnsiTheme="minorHAnsi" w:cs="Calibri"/>
        </w:rPr>
        <w:t xml:space="preserve">639 – </w:t>
      </w:r>
      <w:r w:rsidRPr="00BC7799">
        <w:rPr>
          <w:rFonts w:asciiTheme="minorHAnsi" w:hAnsiTheme="minorHAnsi" w:cs="Calibri"/>
          <w:i/>
        </w:rPr>
        <w:t>Výnosy z ostatních daní a poplatků</w:t>
      </w:r>
      <w:r>
        <w:rPr>
          <w:rFonts w:asciiTheme="minorHAnsi" w:hAnsiTheme="minorHAnsi" w:cs="Calibri"/>
        </w:rPr>
        <w:t>.</w:t>
      </w:r>
      <w:r w:rsidR="00A22B0F">
        <w:rPr>
          <w:rFonts w:asciiTheme="minorHAnsi" w:hAnsiTheme="minorHAnsi" w:cs="Calibri"/>
        </w:rPr>
        <w:t xml:space="preserve"> </w:t>
      </w:r>
      <w:r>
        <w:rPr>
          <w:rFonts w:asciiTheme="minorHAnsi" w:hAnsiTheme="minorHAnsi" w:cstheme="minorHAnsi"/>
        </w:rPr>
        <w:t xml:space="preserve">V důsledku uvedených skutečností </w:t>
      </w:r>
      <w:proofErr w:type="spellStart"/>
      <w:r>
        <w:rPr>
          <w:rFonts w:asciiTheme="minorHAnsi" w:hAnsiTheme="minorHAnsi" w:cstheme="minorHAnsi"/>
        </w:rPr>
        <w:t>MSp</w:t>
      </w:r>
      <w:proofErr w:type="spellEnd"/>
      <w:r>
        <w:rPr>
          <w:rFonts w:asciiTheme="minorHAnsi" w:hAnsiTheme="minorHAnsi" w:cstheme="minorHAnsi"/>
        </w:rPr>
        <w:t xml:space="preserve"> ve výkazu zisku a ztráty nadhodnotilo zůstatek účtu 602</w:t>
      </w:r>
      <w:r w:rsidR="00292D73">
        <w:rPr>
          <w:rFonts w:asciiTheme="minorHAnsi" w:hAnsiTheme="minorHAnsi" w:cstheme="minorHAnsi"/>
        </w:rPr>
        <w:t xml:space="preserve"> </w:t>
      </w:r>
      <w:r w:rsidR="00827819">
        <w:rPr>
          <w:rFonts w:asciiTheme="minorHAnsi" w:hAnsiTheme="minorHAnsi" w:cstheme="minorHAnsi"/>
        </w:rPr>
        <w:t>–</w:t>
      </w:r>
      <w:r w:rsidR="00292D73">
        <w:rPr>
          <w:rFonts w:asciiTheme="minorHAnsi" w:hAnsiTheme="minorHAnsi" w:cstheme="minorHAnsi"/>
        </w:rPr>
        <w:t xml:space="preserve"> </w:t>
      </w:r>
      <w:r w:rsidR="00292D73" w:rsidRPr="00EA01EA">
        <w:rPr>
          <w:rFonts w:asciiTheme="minorHAnsi" w:hAnsiTheme="minorHAnsi" w:cs="Calibri"/>
          <w:i/>
        </w:rPr>
        <w:t>Výnosy z prodeje služeb</w:t>
      </w:r>
      <w:r>
        <w:rPr>
          <w:rFonts w:asciiTheme="minorHAnsi" w:hAnsiTheme="minorHAnsi" w:cstheme="minorHAnsi"/>
        </w:rPr>
        <w:t xml:space="preserve"> o 1,5 mil. Kč a o stejnou částku podhodnotilo zůstatek účtu</w:t>
      </w:r>
      <w:r w:rsidR="00920CFF">
        <w:rPr>
          <w:rFonts w:asciiTheme="minorHAnsi" w:hAnsiTheme="minorHAnsi" w:cstheme="minorHAnsi"/>
        </w:rPr>
        <w:t xml:space="preserve"> </w:t>
      </w:r>
      <w:r>
        <w:rPr>
          <w:rFonts w:asciiTheme="minorHAnsi" w:hAnsiTheme="minorHAnsi" w:cstheme="minorHAnsi"/>
        </w:rPr>
        <w:t>639</w:t>
      </w:r>
      <w:r w:rsidR="00292D73">
        <w:rPr>
          <w:rFonts w:asciiTheme="minorHAnsi" w:hAnsiTheme="minorHAnsi" w:cstheme="minorHAnsi"/>
        </w:rPr>
        <w:t xml:space="preserve"> </w:t>
      </w:r>
      <w:r w:rsidR="00827819">
        <w:rPr>
          <w:rFonts w:asciiTheme="minorHAnsi" w:hAnsiTheme="minorHAnsi" w:cstheme="minorHAnsi"/>
        </w:rPr>
        <w:t>–</w:t>
      </w:r>
      <w:r w:rsidR="00292D73" w:rsidRPr="00292D73">
        <w:rPr>
          <w:rFonts w:asciiTheme="minorHAnsi" w:hAnsiTheme="minorHAnsi" w:cs="Calibri"/>
          <w:i/>
        </w:rPr>
        <w:t xml:space="preserve"> </w:t>
      </w:r>
      <w:r w:rsidR="00292D73" w:rsidRPr="00BC7799">
        <w:rPr>
          <w:rFonts w:asciiTheme="minorHAnsi" w:hAnsiTheme="minorHAnsi" w:cs="Calibri"/>
          <w:i/>
        </w:rPr>
        <w:t>Výnosy z ostatních daní a poplatků</w:t>
      </w:r>
      <w:r w:rsidR="00292D73">
        <w:rPr>
          <w:rFonts w:asciiTheme="minorHAnsi" w:hAnsiTheme="minorHAnsi" w:cs="Calibri"/>
        </w:rPr>
        <w:t>.</w:t>
      </w:r>
    </w:p>
    <w:p w14:paraId="5BB671EA" w14:textId="77777777" w:rsidR="00EF393E" w:rsidRDefault="00EF393E" w:rsidP="00CD1A95">
      <w:pPr>
        <w:spacing w:before="40"/>
        <w:jc w:val="both"/>
        <w:rPr>
          <w:rFonts w:ascii="Calibri" w:hAnsi="Calibri" w:cs="Calibri"/>
          <w:b/>
          <w:lang w:eastAsia="cs-CZ"/>
        </w:rPr>
      </w:pPr>
    </w:p>
    <w:p w14:paraId="64BCDC0A" w14:textId="6EF82A47" w:rsidR="00FC2ADF" w:rsidRPr="001D1576" w:rsidRDefault="00FC2ADF" w:rsidP="00CD1A95">
      <w:pPr>
        <w:spacing w:after="120"/>
        <w:jc w:val="both"/>
        <w:rPr>
          <w:rFonts w:ascii="Calibri" w:hAnsi="Calibri" w:cs="Calibri"/>
          <w:b/>
          <w:lang w:eastAsia="cs-CZ"/>
        </w:rPr>
      </w:pPr>
      <w:r w:rsidRPr="001D1576">
        <w:rPr>
          <w:rFonts w:ascii="Calibri" w:hAnsi="Calibri" w:cs="Calibri"/>
          <w:b/>
          <w:lang w:eastAsia="cs-CZ"/>
        </w:rPr>
        <w:t>1.</w:t>
      </w:r>
      <w:r w:rsidR="007A6162">
        <w:rPr>
          <w:rFonts w:ascii="Calibri" w:hAnsi="Calibri" w:cs="Calibri"/>
          <w:b/>
          <w:lang w:eastAsia="cs-CZ"/>
        </w:rPr>
        <w:t>5</w:t>
      </w:r>
      <w:r w:rsidR="00D060BB">
        <w:rPr>
          <w:rFonts w:ascii="Calibri" w:hAnsi="Calibri" w:cs="Calibri"/>
          <w:b/>
          <w:lang w:eastAsia="cs-CZ"/>
        </w:rPr>
        <w:t xml:space="preserve"> Náklady</w:t>
      </w:r>
      <w:r w:rsidRPr="001D1576">
        <w:rPr>
          <w:rFonts w:ascii="Calibri" w:hAnsi="Calibri" w:cs="Calibri"/>
          <w:b/>
          <w:lang w:eastAsia="cs-CZ"/>
        </w:rPr>
        <w:t xml:space="preserve"> </w:t>
      </w:r>
      <w:r w:rsidR="00A22B0F">
        <w:rPr>
          <w:rFonts w:ascii="Calibri" w:hAnsi="Calibri" w:cs="Calibri"/>
          <w:b/>
          <w:lang w:eastAsia="cs-CZ"/>
        </w:rPr>
        <w:t xml:space="preserve">vyplývající </w:t>
      </w:r>
      <w:r w:rsidRPr="001D1576">
        <w:rPr>
          <w:rFonts w:ascii="Calibri" w:hAnsi="Calibri" w:cs="Calibri"/>
          <w:b/>
          <w:lang w:eastAsia="cs-CZ"/>
        </w:rPr>
        <w:t>z pořízení jiného drobného dlouhodobého hmotného majetku</w:t>
      </w:r>
    </w:p>
    <w:p w14:paraId="3C525E5A" w14:textId="686B0590" w:rsidR="00FC2ADF" w:rsidRDefault="00FC2ADF" w:rsidP="00FC2ADF">
      <w:pPr>
        <w:jc w:val="both"/>
        <w:rPr>
          <w:rFonts w:ascii="Calibri" w:hAnsi="Calibri" w:cs="Calibri"/>
        </w:rPr>
      </w:pPr>
      <w:proofErr w:type="spellStart"/>
      <w:r w:rsidRPr="008B2AD4">
        <w:rPr>
          <w:rFonts w:asciiTheme="minorHAnsi" w:hAnsiTheme="minorHAnsi"/>
          <w:lang w:eastAsia="cs-CZ"/>
        </w:rPr>
        <w:t>MSp</w:t>
      </w:r>
      <w:proofErr w:type="spellEnd"/>
      <w:r w:rsidRPr="008B2AD4">
        <w:rPr>
          <w:rFonts w:asciiTheme="minorHAnsi" w:hAnsiTheme="minorHAnsi"/>
          <w:lang w:eastAsia="cs-CZ"/>
        </w:rPr>
        <w:t xml:space="preserve"> </w:t>
      </w:r>
      <w:r>
        <w:rPr>
          <w:rFonts w:asciiTheme="minorHAnsi" w:hAnsiTheme="minorHAnsi"/>
          <w:lang w:eastAsia="cs-CZ"/>
        </w:rPr>
        <w:t xml:space="preserve">o nákladech z titulu pořízení jiného drobného dlouhodobého hmotného majetku účtovalo nesprávně na účtu 558 </w:t>
      </w:r>
      <w:r w:rsidRPr="008B2AD4">
        <w:rPr>
          <w:rFonts w:ascii="Calibri" w:hAnsi="Calibri" w:cs="Calibri"/>
          <w:i/>
        </w:rPr>
        <w:t>–</w:t>
      </w:r>
      <w:r w:rsidRPr="008B2AD4">
        <w:rPr>
          <w:rFonts w:asciiTheme="minorHAnsi" w:hAnsiTheme="minorHAnsi"/>
          <w:i/>
          <w:lang w:eastAsia="cs-CZ"/>
        </w:rPr>
        <w:t xml:space="preserve"> Náklady z drobného dlouhodobého majetku</w:t>
      </w:r>
      <w:r>
        <w:rPr>
          <w:rFonts w:asciiTheme="minorHAnsi" w:hAnsiTheme="minorHAnsi"/>
          <w:lang w:eastAsia="cs-CZ"/>
        </w:rPr>
        <w:t xml:space="preserve">, přestože dle ČÚS č. 710 – </w:t>
      </w:r>
      <w:r w:rsidRPr="00731317">
        <w:rPr>
          <w:rFonts w:asciiTheme="minorHAnsi" w:hAnsiTheme="minorHAnsi"/>
          <w:i/>
          <w:lang w:eastAsia="cs-CZ"/>
        </w:rPr>
        <w:t>Dlouhodobý nehmotný majetek a dlouhodobý hmotný majetek</w:t>
      </w:r>
      <w:r>
        <w:rPr>
          <w:rFonts w:asciiTheme="minorHAnsi" w:hAnsiTheme="minorHAnsi"/>
          <w:lang w:eastAsia="cs-CZ"/>
        </w:rPr>
        <w:t xml:space="preserve"> se o nákladech na pořízení majetku vykazované</w:t>
      </w:r>
      <w:r w:rsidR="00A22B0F">
        <w:rPr>
          <w:rFonts w:asciiTheme="minorHAnsi" w:hAnsiTheme="minorHAnsi"/>
          <w:lang w:eastAsia="cs-CZ"/>
        </w:rPr>
        <w:t>ho</w:t>
      </w:r>
      <w:r>
        <w:rPr>
          <w:rFonts w:asciiTheme="minorHAnsi" w:hAnsiTheme="minorHAnsi"/>
          <w:lang w:eastAsia="cs-CZ"/>
        </w:rPr>
        <w:t xml:space="preserve"> na účtu 902 </w:t>
      </w:r>
      <w:r w:rsidRPr="008B2AD4">
        <w:rPr>
          <w:rFonts w:ascii="Calibri" w:hAnsi="Calibri" w:cs="Calibri"/>
          <w:i/>
        </w:rPr>
        <w:t>–</w:t>
      </w:r>
      <w:r>
        <w:rPr>
          <w:rFonts w:asciiTheme="minorHAnsi" w:hAnsiTheme="minorHAnsi"/>
          <w:lang w:eastAsia="cs-CZ"/>
        </w:rPr>
        <w:t xml:space="preserve"> </w:t>
      </w:r>
      <w:r w:rsidRPr="00140F7A">
        <w:rPr>
          <w:rFonts w:ascii="Calibri" w:hAnsi="Calibri" w:cs="Calibri"/>
          <w:i/>
        </w:rPr>
        <w:t>Jiný drobný dlouhodobý hmotný majetek</w:t>
      </w:r>
      <w:r>
        <w:rPr>
          <w:rFonts w:ascii="Calibri" w:hAnsi="Calibri" w:cs="Calibri"/>
        </w:rPr>
        <w:t xml:space="preserve"> účtuje na účtu 501 </w:t>
      </w:r>
      <w:r w:rsidRPr="008B2AD4">
        <w:rPr>
          <w:rFonts w:ascii="Calibri" w:hAnsi="Calibri" w:cs="Calibri"/>
          <w:i/>
        </w:rPr>
        <w:t>–</w:t>
      </w:r>
      <w:r>
        <w:rPr>
          <w:rFonts w:ascii="Calibri" w:hAnsi="Calibri" w:cs="Calibri"/>
        </w:rPr>
        <w:t xml:space="preserve"> </w:t>
      </w:r>
      <w:r w:rsidRPr="00140F7A">
        <w:rPr>
          <w:rFonts w:ascii="Calibri" w:hAnsi="Calibri" w:cs="Calibri"/>
          <w:i/>
        </w:rPr>
        <w:t>Spotřeba materiálu</w:t>
      </w:r>
      <w:r w:rsidRPr="00140F7A">
        <w:rPr>
          <w:rFonts w:ascii="Calibri" w:hAnsi="Calibri" w:cs="Calibri"/>
        </w:rPr>
        <w:t>.</w:t>
      </w:r>
      <w:r>
        <w:rPr>
          <w:rFonts w:ascii="Calibri" w:hAnsi="Calibri" w:cs="Calibri"/>
        </w:rPr>
        <w:t xml:space="preserve"> V důsledku uvedené sk</w:t>
      </w:r>
      <w:r w:rsidR="007C2E32">
        <w:rPr>
          <w:rFonts w:ascii="Calibri" w:hAnsi="Calibri" w:cs="Calibri"/>
        </w:rPr>
        <w:t xml:space="preserve">utečnosti </w:t>
      </w:r>
      <w:proofErr w:type="spellStart"/>
      <w:r w:rsidR="007C2E32">
        <w:rPr>
          <w:rFonts w:ascii="Calibri" w:hAnsi="Calibri" w:cs="Calibri"/>
        </w:rPr>
        <w:t>MSp</w:t>
      </w:r>
      <w:proofErr w:type="spellEnd"/>
      <w:r w:rsidR="007C2E32">
        <w:rPr>
          <w:rFonts w:ascii="Calibri" w:hAnsi="Calibri" w:cs="Calibri"/>
        </w:rPr>
        <w:t xml:space="preserve"> ve výkazu zisku a </w:t>
      </w:r>
      <w:r>
        <w:rPr>
          <w:rFonts w:ascii="Calibri" w:hAnsi="Calibri" w:cs="Calibri"/>
        </w:rPr>
        <w:t>ztráty nadhodnotilo zůstatek účtu 558</w:t>
      </w:r>
      <w:r w:rsidR="000B2030">
        <w:rPr>
          <w:rFonts w:ascii="Calibri" w:hAnsi="Calibri" w:cs="Calibri"/>
        </w:rPr>
        <w:t xml:space="preserve"> </w:t>
      </w:r>
      <w:r w:rsidR="000B2030" w:rsidRPr="008B2AD4">
        <w:rPr>
          <w:rFonts w:ascii="Calibri" w:hAnsi="Calibri" w:cs="Calibri"/>
          <w:i/>
        </w:rPr>
        <w:t>–</w:t>
      </w:r>
      <w:r w:rsidR="000B2030" w:rsidRPr="008B2AD4">
        <w:rPr>
          <w:rFonts w:asciiTheme="minorHAnsi" w:hAnsiTheme="minorHAnsi"/>
          <w:i/>
          <w:lang w:eastAsia="cs-CZ"/>
        </w:rPr>
        <w:t xml:space="preserve"> Náklady z drobného dlouhodobého majetku</w:t>
      </w:r>
      <w:r w:rsidR="000B2030">
        <w:rPr>
          <w:rFonts w:asciiTheme="minorHAnsi" w:hAnsiTheme="minorHAnsi"/>
          <w:lang w:eastAsia="cs-CZ"/>
        </w:rPr>
        <w:t xml:space="preserve"> </w:t>
      </w:r>
      <w:r w:rsidR="007C2E32">
        <w:rPr>
          <w:rFonts w:ascii="Calibri" w:hAnsi="Calibri" w:cs="Calibri"/>
        </w:rPr>
        <w:t>o </w:t>
      </w:r>
      <w:r w:rsidRPr="008B2AD4">
        <w:rPr>
          <w:rFonts w:ascii="Calibri" w:hAnsi="Calibri" w:cs="Calibri"/>
        </w:rPr>
        <w:t>1,</w:t>
      </w:r>
      <w:r>
        <w:rPr>
          <w:rFonts w:ascii="Calibri" w:hAnsi="Calibri" w:cs="Calibri"/>
        </w:rPr>
        <w:t>1</w:t>
      </w:r>
      <w:r w:rsidR="007C2E32">
        <w:rPr>
          <w:rFonts w:ascii="Calibri" w:hAnsi="Calibri" w:cs="Calibri"/>
        </w:rPr>
        <w:t> mil. </w:t>
      </w:r>
      <w:r w:rsidRPr="008B2AD4">
        <w:rPr>
          <w:rFonts w:ascii="Calibri" w:hAnsi="Calibri" w:cs="Calibri"/>
        </w:rPr>
        <w:t>Kč a o stejnou částku p</w:t>
      </w:r>
      <w:r>
        <w:rPr>
          <w:rFonts w:ascii="Calibri" w:hAnsi="Calibri" w:cs="Calibri"/>
        </w:rPr>
        <w:t>odhodnotilo zůstatek účtu 501</w:t>
      </w:r>
      <w:r w:rsidR="000B2030">
        <w:rPr>
          <w:rFonts w:ascii="Calibri" w:hAnsi="Calibri" w:cs="Calibri"/>
        </w:rPr>
        <w:t xml:space="preserve"> </w:t>
      </w:r>
      <w:r w:rsidR="007C2E32">
        <w:rPr>
          <w:rFonts w:ascii="Calibri" w:hAnsi="Calibri" w:cs="Calibri"/>
        </w:rPr>
        <w:t>–</w:t>
      </w:r>
      <w:r w:rsidR="000B2030">
        <w:rPr>
          <w:rFonts w:ascii="Calibri" w:hAnsi="Calibri" w:cs="Calibri"/>
        </w:rPr>
        <w:t xml:space="preserve"> </w:t>
      </w:r>
      <w:r w:rsidR="000B2030" w:rsidRPr="00140F7A">
        <w:rPr>
          <w:rFonts w:ascii="Calibri" w:hAnsi="Calibri" w:cs="Calibri"/>
          <w:i/>
        </w:rPr>
        <w:t>Spotřeba materiálu</w:t>
      </w:r>
      <w:r w:rsidRPr="008B2AD4">
        <w:rPr>
          <w:rFonts w:ascii="Calibri" w:hAnsi="Calibri" w:cs="Calibri"/>
        </w:rPr>
        <w:t>.</w:t>
      </w:r>
    </w:p>
    <w:p w14:paraId="7F0B52D2" w14:textId="77777777" w:rsidR="00A22B0F" w:rsidRDefault="00A22B0F" w:rsidP="00FC2ADF">
      <w:pPr>
        <w:jc w:val="both"/>
        <w:rPr>
          <w:rFonts w:ascii="Calibri" w:hAnsi="Calibri" w:cs="Calibri"/>
        </w:rPr>
      </w:pPr>
    </w:p>
    <w:p w14:paraId="28C239E0" w14:textId="77777777" w:rsidR="0062665F" w:rsidRPr="001D1576" w:rsidRDefault="00B95FEF" w:rsidP="001D1576">
      <w:pPr>
        <w:spacing w:before="40" w:after="120"/>
        <w:jc w:val="both"/>
        <w:rPr>
          <w:rFonts w:ascii="Calibri" w:hAnsi="Calibri" w:cs="Calibri"/>
          <w:b/>
          <w:lang w:eastAsia="cs-CZ"/>
        </w:rPr>
      </w:pPr>
      <w:r>
        <w:rPr>
          <w:rFonts w:ascii="Calibri" w:hAnsi="Calibri" w:cs="Calibri"/>
          <w:b/>
          <w:lang w:eastAsia="cs-CZ"/>
        </w:rPr>
        <w:t>1.</w:t>
      </w:r>
      <w:r w:rsidR="007A6162">
        <w:rPr>
          <w:rFonts w:ascii="Calibri" w:hAnsi="Calibri" w:cs="Calibri"/>
          <w:b/>
          <w:lang w:eastAsia="cs-CZ"/>
        </w:rPr>
        <w:t>6</w:t>
      </w:r>
      <w:r>
        <w:rPr>
          <w:rFonts w:ascii="Calibri" w:hAnsi="Calibri" w:cs="Calibri"/>
          <w:b/>
          <w:lang w:eastAsia="cs-CZ"/>
        </w:rPr>
        <w:t xml:space="preserve"> </w:t>
      </w:r>
      <w:r w:rsidR="00A968D9" w:rsidRPr="001D1576">
        <w:rPr>
          <w:rFonts w:ascii="Calibri" w:hAnsi="Calibri" w:cs="Calibri"/>
          <w:b/>
          <w:lang w:eastAsia="cs-CZ"/>
        </w:rPr>
        <w:t>Vzájemné odsouhlasení pohledávek a závazků</w:t>
      </w:r>
    </w:p>
    <w:p w14:paraId="3E331EB7" w14:textId="1B3D3505" w:rsidR="00A968D9" w:rsidRDefault="00A968D9" w:rsidP="00A968D9">
      <w:pPr>
        <w:spacing w:before="40"/>
        <w:jc w:val="both"/>
        <w:rPr>
          <w:rFonts w:ascii="Calibri" w:hAnsi="Calibri" w:cs="Calibri"/>
          <w:lang w:eastAsia="cs-CZ"/>
        </w:rPr>
      </w:pPr>
      <w:proofErr w:type="spellStart"/>
      <w:r w:rsidRPr="00A968D9">
        <w:rPr>
          <w:rFonts w:ascii="Calibri" w:hAnsi="Calibri" w:cs="Calibri"/>
          <w:lang w:eastAsia="cs-CZ"/>
        </w:rPr>
        <w:t>MSp</w:t>
      </w:r>
      <w:proofErr w:type="spellEnd"/>
      <w:r>
        <w:rPr>
          <w:rFonts w:ascii="Calibri" w:hAnsi="Calibri" w:cs="Calibri"/>
          <w:lang w:eastAsia="cs-CZ"/>
        </w:rPr>
        <w:t xml:space="preserve"> v rozporu s vyhláškou č. 270/2010 Sb., o inventarizaci majetku a závazků, nestanovilo výši ocenění pohledávek a závazků, od které bude provádět jejich vzájemné odsouhlasení</w:t>
      </w:r>
      <w:r w:rsidR="00920CFF">
        <w:rPr>
          <w:rFonts w:ascii="Calibri" w:hAnsi="Calibri" w:cs="Calibri"/>
          <w:lang w:eastAsia="cs-CZ"/>
        </w:rPr>
        <w:t>,</w:t>
      </w:r>
      <w:r>
        <w:rPr>
          <w:rFonts w:ascii="Calibri" w:hAnsi="Calibri" w:cs="Calibri"/>
          <w:lang w:eastAsia="cs-CZ"/>
        </w:rPr>
        <w:t xml:space="preserve"> a</w:t>
      </w:r>
      <w:r w:rsidR="0054178E">
        <w:rPr>
          <w:rFonts w:ascii="Calibri" w:hAnsi="Calibri" w:cs="Calibri"/>
          <w:lang w:eastAsia="cs-CZ"/>
        </w:rPr>
        <w:t> </w:t>
      </w:r>
      <w:r w:rsidR="00920CFF">
        <w:rPr>
          <w:rFonts w:ascii="Calibri" w:hAnsi="Calibri" w:cs="Calibri"/>
          <w:lang w:eastAsia="cs-CZ"/>
        </w:rPr>
        <w:t xml:space="preserve">s výjimkou pohledávek vykazovaných na účtu 377 – </w:t>
      </w:r>
      <w:r w:rsidR="00920CFF" w:rsidRPr="00A968D9">
        <w:rPr>
          <w:rFonts w:ascii="Calibri" w:hAnsi="Calibri" w:cs="Calibri"/>
          <w:i/>
          <w:lang w:eastAsia="cs-CZ"/>
        </w:rPr>
        <w:t>Ostatní krátkodobé pohledávky</w:t>
      </w:r>
      <w:r w:rsidR="00920CFF">
        <w:rPr>
          <w:rFonts w:ascii="Calibri" w:hAnsi="Calibri" w:cs="Calibri"/>
          <w:lang w:eastAsia="cs-CZ"/>
        </w:rPr>
        <w:t xml:space="preserve"> </w:t>
      </w:r>
      <w:r>
        <w:rPr>
          <w:rFonts w:ascii="Calibri" w:hAnsi="Calibri" w:cs="Calibri"/>
          <w:lang w:eastAsia="cs-CZ"/>
        </w:rPr>
        <w:t>toto odsouhlasení v roce 2015 ani neprovádělo</w:t>
      </w:r>
      <w:r>
        <w:rPr>
          <w:rStyle w:val="Znakapoznpodarou"/>
          <w:rFonts w:asciiTheme="minorHAnsi" w:hAnsiTheme="minorHAnsi" w:cstheme="minorHAnsi"/>
          <w:bCs/>
          <w:iCs/>
        </w:rPr>
        <w:footnoteReference w:id="14"/>
      </w:r>
      <w:r>
        <w:rPr>
          <w:rFonts w:ascii="Calibri" w:hAnsi="Calibri" w:cs="Calibri"/>
          <w:lang w:eastAsia="cs-CZ"/>
        </w:rPr>
        <w:t>.</w:t>
      </w:r>
    </w:p>
    <w:p w14:paraId="4A2E323D" w14:textId="77777777" w:rsidR="00A968D9" w:rsidRDefault="00A968D9" w:rsidP="00032E6F">
      <w:pPr>
        <w:jc w:val="both"/>
        <w:rPr>
          <w:rFonts w:ascii="Calibri" w:hAnsi="Calibri" w:cs="Calibri"/>
          <w:lang w:eastAsia="cs-CZ"/>
        </w:rPr>
      </w:pPr>
    </w:p>
    <w:p w14:paraId="694A2D3E" w14:textId="77777777" w:rsidR="00A968D9" w:rsidRPr="001D1576" w:rsidRDefault="00B95FEF" w:rsidP="001D1576">
      <w:pPr>
        <w:spacing w:before="40" w:after="120"/>
        <w:jc w:val="both"/>
        <w:rPr>
          <w:rFonts w:ascii="Calibri" w:hAnsi="Calibri" w:cs="Calibri"/>
          <w:b/>
          <w:lang w:eastAsia="cs-CZ"/>
        </w:rPr>
      </w:pPr>
      <w:r w:rsidRPr="001D1576">
        <w:rPr>
          <w:rFonts w:ascii="Calibri" w:hAnsi="Calibri" w:cs="Calibri"/>
          <w:b/>
          <w:lang w:eastAsia="cs-CZ"/>
        </w:rPr>
        <w:t>1.</w:t>
      </w:r>
      <w:r w:rsidR="007A6162">
        <w:rPr>
          <w:rFonts w:ascii="Calibri" w:hAnsi="Calibri" w:cs="Calibri"/>
          <w:b/>
          <w:lang w:eastAsia="cs-CZ"/>
        </w:rPr>
        <w:t>7</w:t>
      </w:r>
      <w:r w:rsidRPr="001D1576">
        <w:rPr>
          <w:rFonts w:ascii="Calibri" w:hAnsi="Calibri" w:cs="Calibri"/>
          <w:b/>
          <w:lang w:eastAsia="cs-CZ"/>
        </w:rPr>
        <w:t xml:space="preserve"> </w:t>
      </w:r>
      <w:r w:rsidR="00A968D9" w:rsidRPr="001D1576">
        <w:rPr>
          <w:rFonts w:ascii="Calibri" w:hAnsi="Calibri" w:cs="Calibri"/>
          <w:b/>
          <w:lang w:eastAsia="cs-CZ"/>
        </w:rPr>
        <w:t>Neúplnost textové přílohy ÚZ</w:t>
      </w:r>
    </w:p>
    <w:p w14:paraId="5DB6909E" w14:textId="05C7FFFF" w:rsidR="00A968D9" w:rsidRDefault="009E2E78" w:rsidP="007E4A85">
      <w:pPr>
        <w:spacing w:before="40"/>
        <w:jc w:val="both"/>
        <w:rPr>
          <w:rFonts w:ascii="Calibri" w:hAnsi="Calibri" w:cs="Calibri"/>
          <w:lang w:eastAsia="cs-CZ"/>
        </w:rPr>
      </w:pPr>
      <w:r>
        <w:rPr>
          <w:rFonts w:ascii="Calibri" w:hAnsi="Calibri" w:cs="Calibri"/>
          <w:lang w:eastAsia="cs-CZ"/>
        </w:rPr>
        <w:t xml:space="preserve">Příloha </w:t>
      </w:r>
      <w:r w:rsidR="007E4A85">
        <w:rPr>
          <w:rFonts w:ascii="Calibri" w:hAnsi="Calibri" w:cs="Calibri"/>
          <w:lang w:eastAsia="cs-CZ"/>
        </w:rPr>
        <w:t>ÚZ neobsahovala</w:t>
      </w:r>
      <w:r w:rsidR="006D7A7F">
        <w:rPr>
          <w:rFonts w:ascii="Calibri" w:hAnsi="Calibri" w:cs="Calibri"/>
          <w:lang w:eastAsia="cs-CZ"/>
        </w:rPr>
        <w:t xml:space="preserve"> zejména</w:t>
      </w:r>
      <w:r>
        <w:rPr>
          <w:rFonts w:ascii="Calibri" w:hAnsi="Calibri" w:cs="Calibri"/>
          <w:lang w:eastAsia="cs-CZ"/>
        </w:rPr>
        <w:t xml:space="preserve"> informace o některých použitých účetních metodách (např.</w:t>
      </w:r>
      <w:r w:rsidR="0054178E">
        <w:rPr>
          <w:rFonts w:ascii="Calibri" w:hAnsi="Calibri" w:cs="Calibri"/>
          <w:lang w:eastAsia="cs-CZ"/>
        </w:rPr>
        <w:t> </w:t>
      </w:r>
      <w:r>
        <w:rPr>
          <w:rFonts w:ascii="Calibri" w:hAnsi="Calibri" w:cs="Calibri"/>
          <w:lang w:eastAsia="cs-CZ"/>
        </w:rPr>
        <w:t>o odpisování majetku, tvorbě opravných položek k</w:t>
      </w:r>
      <w:r w:rsidR="007A6162">
        <w:rPr>
          <w:rFonts w:ascii="Calibri" w:hAnsi="Calibri" w:cs="Calibri"/>
          <w:lang w:eastAsia="cs-CZ"/>
        </w:rPr>
        <w:t> </w:t>
      </w:r>
      <w:r>
        <w:rPr>
          <w:rFonts w:ascii="Calibri" w:hAnsi="Calibri" w:cs="Calibri"/>
          <w:lang w:eastAsia="cs-CZ"/>
        </w:rPr>
        <w:t>majetku, časovém</w:t>
      </w:r>
      <w:r w:rsidR="00122416">
        <w:rPr>
          <w:rFonts w:ascii="Calibri" w:hAnsi="Calibri" w:cs="Calibri"/>
          <w:lang w:eastAsia="cs-CZ"/>
        </w:rPr>
        <w:t xml:space="preserve"> rozlišení nákladů a </w:t>
      </w:r>
      <w:r>
        <w:rPr>
          <w:rFonts w:ascii="Calibri" w:hAnsi="Calibri" w:cs="Calibri"/>
          <w:lang w:eastAsia="cs-CZ"/>
        </w:rPr>
        <w:t xml:space="preserve">výnosů, oceňování podmíněných aktiv a pasiv), i když </w:t>
      </w:r>
      <w:r w:rsidR="00920CFF">
        <w:rPr>
          <w:rFonts w:ascii="Calibri" w:hAnsi="Calibri" w:cs="Calibri"/>
          <w:lang w:eastAsia="cs-CZ"/>
        </w:rPr>
        <w:t>uvádění těchto informací</w:t>
      </w:r>
      <w:r w:rsidR="00122416">
        <w:rPr>
          <w:rFonts w:ascii="Calibri" w:hAnsi="Calibri" w:cs="Calibri"/>
          <w:lang w:eastAsia="cs-CZ"/>
        </w:rPr>
        <w:t xml:space="preserve"> stanovuje zákon o </w:t>
      </w:r>
      <w:r>
        <w:rPr>
          <w:rFonts w:ascii="Calibri" w:hAnsi="Calibri" w:cs="Calibri"/>
          <w:lang w:eastAsia="cs-CZ"/>
        </w:rPr>
        <w:t>účetnictví a návazně i vyhláška č. 410</w:t>
      </w:r>
      <w:r w:rsidR="007E4A85">
        <w:rPr>
          <w:rFonts w:ascii="Calibri" w:hAnsi="Calibri" w:cs="Calibri"/>
          <w:lang w:eastAsia="cs-CZ"/>
        </w:rPr>
        <w:t>/2009 Sb.</w:t>
      </w:r>
      <w:r>
        <w:rPr>
          <w:rFonts w:ascii="Calibri" w:hAnsi="Calibri" w:cs="Calibri"/>
          <w:lang w:eastAsia="cs-CZ"/>
        </w:rPr>
        <w:t xml:space="preserve"> </w:t>
      </w:r>
      <w:r w:rsidR="00A968D9" w:rsidRPr="00A968D9">
        <w:rPr>
          <w:rFonts w:ascii="Calibri" w:hAnsi="Calibri" w:cs="Calibri"/>
          <w:lang w:eastAsia="cs-CZ"/>
        </w:rPr>
        <w:t xml:space="preserve"> </w:t>
      </w:r>
    </w:p>
    <w:p w14:paraId="3FD6E938" w14:textId="77777777" w:rsidR="007E4A85" w:rsidRDefault="007E4A85" w:rsidP="00032E6F">
      <w:pPr>
        <w:jc w:val="both"/>
        <w:rPr>
          <w:rFonts w:ascii="Calibri" w:hAnsi="Calibri" w:cs="Calibri"/>
          <w:lang w:eastAsia="cs-CZ"/>
        </w:rPr>
      </w:pPr>
    </w:p>
    <w:p w14:paraId="32BDF1CC" w14:textId="2129A06A" w:rsidR="007E4A85" w:rsidRPr="00731317" w:rsidRDefault="007A6162" w:rsidP="00731317">
      <w:pPr>
        <w:spacing w:before="40" w:after="120"/>
        <w:jc w:val="both"/>
        <w:rPr>
          <w:rFonts w:ascii="Calibri" w:hAnsi="Calibri" w:cs="Calibri"/>
          <w:b/>
          <w:lang w:eastAsia="cs-CZ"/>
        </w:rPr>
      </w:pPr>
      <w:r>
        <w:rPr>
          <w:rFonts w:ascii="Calibri" w:hAnsi="Calibri" w:cs="Calibri"/>
          <w:b/>
          <w:lang w:eastAsia="cs-CZ"/>
        </w:rPr>
        <w:t>2</w:t>
      </w:r>
      <w:r w:rsidR="00F470EA">
        <w:rPr>
          <w:rFonts w:ascii="Calibri" w:hAnsi="Calibri" w:cs="Calibri"/>
          <w:b/>
          <w:lang w:eastAsia="cs-CZ"/>
        </w:rPr>
        <w:t>.</w:t>
      </w:r>
      <w:r>
        <w:rPr>
          <w:rFonts w:ascii="Calibri" w:hAnsi="Calibri" w:cs="Calibri"/>
          <w:b/>
          <w:lang w:eastAsia="cs-CZ"/>
        </w:rPr>
        <w:t xml:space="preserve"> </w:t>
      </w:r>
      <w:r w:rsidR="0020798B" w:rsidRPr="00731317">
        <w:rPr>
          <w:rFonts w:ascii="Calibri" w:hAnsi="Calibri" w:cs="Calibri"/>
          <w:b/>
          <w:lang w:eastAsia="cs-CZ"/>
        </w:rPr>
        <w:t>Porušení rozpočtové kázně</w:t>
      </w:r>
    </w:p>
    <w:p w14:paraId="3BF1DA87" w14:textId="642433FD" w:rsidR="007E4A85" w:rsidRDefault="007E4A85" w:rsidP="0020798B">
      <w:pPr>
        <w:spacing w:before="40"/>
        <w:jc w:val="both"/>
        <w:rPr>
          <w:rFonts w:asciiTheme="minorHAnsi" w:hAnsiTheme="minorHAnsi" w:cs="Calibri"/>
          <w:bCs/>
          <w:iCs/>
        </w:rPr>
      </w:pPr>
      <w:proofErr w:type="spellStart"/>
      <w:r>
        <w:rPr>
          <w:rFonts w:asciiTheme="minorHAnsi" w:hAnsiTheme="minorHAnsi" w:cs="Arial"/>
          <w:bCs/>
          <w:iCs/>
        </w:rPr>
        <w:t>MSp</w:t>
      </w:r>
      <w:proofErr w:type="spellEnd"/>
      <w:r>
        <w:rPr>
          <w:rFonts w:asciiTheme="minorHAnsi" w:hAnsiTheme="minorHAnsi" w:cs="Arial"/>
          <w:bCs/>
          <w:iCs/>
        </w:rPr>
        <w:t xml:space="preserve"> poskytlo v roce 2015 dobrovolný příspěvek </w:t>
      </w:r>
      <w:r w:rsidR="00023A05">
        <w:rPr>
          <w:rFonts w:asciiTheme="minorHAnsi" w:hAnsiTheme="minorHAnsi" w:cs="Calibri"/>
          <w:bCs/>
          <w:iCs/>
        </w:rPr>
        <w:t>do zahraničí</w:t>
      </w:r>
      <w:r>
        <w:rPr>
          <w:rFonts w:asciiTheme="minorHAnsi" w:hAnsiTheme="minorHAnsi" w:cs="Calibri"/>
          <w:bCs/>
          <w:iCs/>
        </w:rPr>
        <w:t xml:space="preserve"> ve výši 543 100 Kč.</w:t>
      </w:r>
      <w:r w:rsidR="00401DAA">
        <w:rPr>
          <w:rFonts w:asciiTheme="minorHAnsi" w:hAnsiTheme="minorHAnsi" w:cs="Calibri"/>
          <w:bCs/>
          <w:iCs/>
        </w:rPr>
        <w:t xml:space="preserve"> </w:t>
      </w:r>
      <w:r w:rsidR="00920CFF">
        <w:rPr>
          <w:rFonts w:asciiTheme="minorHAnsi" w:hAnsiTheme="minorHAnsi" w:cs="Calibri"/>
          <w:bCs/>
          <w:iCs/>
        </w:rPr>
        <w:t>Pro</w:t>
      </w:r>
      <w:r w:rsidR="009341F4">
        <w:rPr>
          <w:rFonts w:asciiTheme="minorHAnsi" w:hAnsiTheme="minorHAnsi" w:cs="Calibri"/>
          <w:bCs/>
          <w:iCs/>
        </w:rPr>
        <w:t xml:space="preserve"> </w:t>
      </w:r>
      <w:r w:rsidR="00401DAA">
        <w:rPr>
          <w:rFonts w:asciiTheme="minorHAnsi" w:hAnsiTheme="minorHAnsi" w:cs="Calibri"/>
          <w:bCs/>
          <w:iCs/>
        </w:rPr>
        <w:t xml:space="preserve">uskutečnění tohoto výdaje </w:t>
      </w:r>
      <w:r w:rsidR="009341F4">
        <w:rPr>
          <w:rFonts w:asciiTheme="minorHAnsi" w:hAnsiTheme="minorHAnsi" w:cs="Calibri"/>
          <w:bCs/>
          <w:iCs/>
        </w:rPr>
        <w:t>nemělo</w:t>
      </w:r>
      <w:r w:rsidR="00401DAA">
        <w:rPr>
          <w:rFonts w:asciiTheme="minorHAnsi" w:hAnsiTheme="minorHAnsi" w:cs="Calibri"/>
          <w:bCs/>
          <w:iCs/>
        </w:rPr>
        <w:t xml:space="preserve"> </w:t>
      </w:r>
      <w:proofErr w:type="spellStart"/>
      <w:r w:rsidR="00401DAA">
        <w:rPr>
          <w:rFonts w:asciiTheme="minorHAnsi" w:hAnsiTheme="minorHAnsi" w:cs="Calibri"/>
          <w:bCs/>
          <w:iCs/>
        </w:rPr>
        <w:t>MSp</w:t>
      </w:r>
      <w:proofErr w:type="spellEnd"/>
      <w:r w:rsidR="00401DAA">
        <w:rPr>
          <w:rFonts w:asciiTheme="minorHAnsi" w:hAnsiTheme="minorHAnsi" w:cs="Calibri"/>
          <w:bCs/>
          <w:iCs/>
        </w:rPr>
        <w:t xml:space="preserve"> předchozí souhlas vlády, </w:t>
      </w:r>
      <w:r w:rsidR="009341F4">
        <w:rPr>
          <w:rFonts w:asciiTheme="minorHAnsi" w:hAnsiTheme="minorHAnsi" w:cs="Calibri"/>
          <w:bCs/>
          <w:iCs/>
        </w:rPr>
        <w:t xml:space="preserve">přitom </w:t>
      </w:r>
      <w:r w:rsidR="00401DAA">
        <w:rPr>
          <w:rFonts w:asciiTheme="minorHAnsi" w:hAnsiTheme="minorHAnsi" w:cs="Calibri"/>
          <w:bCs/>
          <w:iCs/>
        </w:rPr>
        <w:t>dle příslušných ust</w:t>
      </w:r>
      <w:r w:rsidR="00BE5B63">
        <w:rPr>
          <w:rFonts w:asciiTheme="minorHAnsi" w:hAnsiTheme="minorHAnsi" w:cs="Calibri"/>
          <w:bCs/>
          <w:iCs/>
        </w:rPr>
        <w:t>anovení zákona č. 218/2000 Sb.</w:t>
      </w:r>
      <w:r w:rsidR="00401DAA">
        <w:rPr>
          <w:rFonts w:asciiTheme="minorHAnsi" w:hAnsiTheme="minorHAnsi" w:cs="Calibri"/>
          <w:bCs/>
          <w:iCs/>
        </w:rPr>
        <w:t xml:space="preserve"> je pro poskytnutí příspěvku, jehož platba je dobrovolná, souhlas vlády nezbytný. </w:t>
      </w:r>
      <w:r w:rsidR="00D03B1C">
        <w:rPr>
          <w:rFonts w:asciiTheme="minorHAnsi" w:hAnsiTheme="minorHAnsi" w:cs="Calibri"/>
          <w:bCs/>
          <w:iCs/>
        </w:rPr>
        <w:t xml:space="preserve">Rozpočtová pravidla umožňují používat prostředky, kterými </w:t>
      </w:r>
      <w:r w:rsidR="00BE5B63">
        <w:rPr>
          <w:rFonts w:asciiTheme="minorHAnsi" w:hAnsiTheme="minorHAnsi" w:cs="Calibri"/>
          <w:bCs/>
          <w:iCs/>
        </w:rPr>
        <w:t xml:space="preserve">OSS </w:t>
      </w:r>
      <w:r w:rsidR="00D03B1C">
        <w:rPr>
          <w:rFonts w:asciiTheme="minorHAnsi" w:hAnsiTheme="minorHAnsi" w:cs="Calibri"/>
          <w:bCs/>
          <w:iCs/>
        </w:rPr>
        <w:t xml:space="preserve">disponují, jen na krytí nezbytných potřeb a na opatření zakládající se na právních předpisech. </w:t>
      </w:r>
      <w:r w:rsidR="009B2C39">
        <w:rPr>
          <w:rFonts w:asciiTheme="minorHAnsi" w:hAnsiTheme="minorHAnsi" w:cs="Calibri"/>
          <w:bCs/>
          <w:iCs/>
        </w:rPr>
        <w:t>Právně závazným důvodem pro po</w:t>
      </w:r>
      <w:r w:rsidR="00D03B1C">
        <w:rPr>
          <w:rFonts w:asciiTheme="minorHAnsi" w:hAnsiTheme="minorHAnsi" w:cs="Calibri"/>
          <w:bCs/>
          <w:iCs/>
        </w:rPr>
        <w:t>skytnutí dobrovolného příspěvku</w:t>
      </w:r>
      <w:r w:rsidR="009B2C39">
        <w:rPr>
          <w:rFonts w:asciiTheme="minorHAnsi" w:hAnsiTheme="minorHAnsi" w:cs="Calibri"/>
          <w:bCs/>
          <w:iCs/>
        </w:rPr>
        <w:t xml:space="preserve"> tak může být jedině předchozí souhlas vlády. Poskytnutí dobrovolného příspěvku do zahraničí jen v důsledku rozhodnutí </w:t>
      </w:r>
      <w:proofErr w:type="spellStart"/>
      <w:r w:rsidR="009B2C39">
        <w:rPr>
          <w:rFonts w:asciiTheme="minorHAnsi" w:hAnsiTheme="minorHAnsi" w:cs="Calibri"/>
          <w:bCs/>
          <w:iCs/>
        </w:rPr>
        <w:t>MSp</w:t>
      </w:r>
      <w:proofErr w:type="spellEnd"/>
      <w:r w:rsidR="009B2C39">
        <w:rPr>
          <w:rFonts w:asciiTheme="minorHAnsi" w:hAnsiTheme="minorHAnsi" w:cs="Calibri"/>
          <w:bCs/>
          <w:iCs/>
        </w:rPr>
        <w:t xml:space="preserve"> bez předchozího souhlasu vlády nelze považovat za použití prostředků na krytí nezbytných potřeb </w:t>
      </w:r>
      <w:r w:rsidR="009341F4">
        <w:rPr>
          <w:rFonts w:asciiTheme="minorHAnsi" w:hAnsiTheme="minorHAnsi" w:cs="Calibri"/>
          <w:bCs/>
          <w:iCs/>
        </w:rPr>
        <w:t>či</w:t>
      </w:r>
      <w:r w:rsidR="00B47921">
        <w:rPr>
          <w:rFonts w:asciiTheme="minorHAnsi" w:hAnsiTheme="minorHAnsi" w:cs="Calibri"/>
          <w:bCs/>
          <w:iCs/>
        </w:rPr>
        <w:t xml:space="preserve"> </w:t>
      </w:r>
      <w:r w:rsidR="009341F4">
        <w:rPr>
          <w:rFonts w:asciiTheme="minorHAnsi" w:hAnsiTheme="minorHAnsi" w:cs="Calibri"/>
          <w:bCs/>
          <w:iCs/>
        </w:rPr>
        <w:t>n</w:t>
      </w:r>
      <w:r w:rsidR="00B47921">
        <w:rPr>
          <w:rFonts w:asciiTheme="minorHAnsi" w:hAnsiTheme="minorHAnsi" w:cs="Calibri"/>
          <w:bCs/>
          <w:iCs/>
        </w:rPr>
        <w:t>a opatření zakládající se na právních předpisech</w:t>
      </w:r>
      <w:r w:rsidR="006D7A7F">
        <w:rPr>
          <w:rFonts w:asciiTheme="minorHAnsi" w:hAnsiTheme="minorHAnsi" w:cs="Calibri"/>
          <w:bCs/>
          <w:iCs/>
        </w:rPr>
        <w:t>. Tato skutečnost je dle rozpočtových pravidel porušením rozpočtové kázně.</w:t>
      </w:r>
    </w:p>
    <w:p w14:paraId="48D4C246" w14:textId="013D0EC7" w:rsidR="00EF393E" w:rsidRDefault="00EF393E">
      <w:pPr>
        <w:spacing w:after="160" w:line="259" w:lineRule="auto"/>
        <w:rPr>
          <w:rFonts w:ascii="Calibri" w:hAnsi="Calibri" w:cs="Calibri"/>
          <w:lang w:eastAsia="cs-CZ"/>
        </w:rPr>
      </w:pPr>
      <w:r>
        <w:rPr>
          <w:rFonts w:ascii="Calibri" w:hAnsi="Calibri" w:cs="Calibri"/>
          <w:lang w:eastAsia="cs-CZ"/>
        </w:rPr>
        <w:br w:type="page"/>
      </w:r>
    </w:p>
    <w:p w14:paraId="4A40578F" w14:textId="77777777" w:rsidR="00F72DE4" w:rsidRPr="00143134" w:rsidRDefault="00F72DE4" w:rsidP="00C869E4">
      <w:pPr>
        <w:spacing w:before="40" w:after="120" w:line="360" w:lineRule="auto"/>
        <w:jc w:val="both"/>
        <w:rPr>
          <w:rFonts w:asciiTheme="minorHAnsi" w:hAnsiTheme="minorHAnsi" w:cstheme="minorHAnsi"/>
          <w:b/>
        </w:rPr>
      </w:pPr>
      <w:r w:rsidRPr="00143134">
        <w:rPr>
          <w:rFonts w:asciiTheme="minorHAnsi" w:hAnsiTheme="minorHAnsi" w:cstheme="minorHAnsi"/>
          <w:b/>
        </w:rPr>
        <w:lastRenderedPageBreak/>
        <w:t>Použité zkratky:</w:t>
      </w:r>
    </w:p>
    <w:p w14:paraId="216BEB55" w14:textId="45757A28" w:rsidR="00F72DE4" w:rsidRDefault="00F72DE4" w:rsidP="00C869E4">
      <w:pPr>
        <w:spacing w:after="120"/>
        <w:ind w:left="1701" w:hanging="1701"/>
        <w:jc w:val="both"/>
        <w:rPr>
          <w:rFonts w:asciiTheme="minorHAnsi" w:hAnsiTheme="minorHAnsi" w:cstheme="minorHAnsi"/>
        </w:rPr>
      </w:pPr>
      <w:r w:rsidRPr="00143134">
        <w:rPr>
          <w:rFonts w:asciiTheme="minorHAnsi" w:hAnsiTheme="minorHAnsi" w:cstheme="minorHAnsi"/>
        </w:rPr>
        <w:t>ČÚS</w:t>
      </w:r>
      <w:r w:rsidRPr="00143134">
        <w:rPr>
          <w:rFonts w:asciiTheme="minorHAnsi" w:hAnsiTheme="minorHAnsi" w:cstheme="minorHAnsi"/>
        </w:rPr>
        <w:tab/>
      </w:r>
      <w:r w:rsidR="007E5659">
        <w:rPr>
          <w:rFonts w:asciiTheme="minorHAnsi" w:hAnsiTheme="minorHAnsi" w:cstheme="minorHAnsi"/>
        </w:rPr>
        <w:t>–</w:t>
      </w:r>
      <w:r w:rsidRPr="00143134">
        <w:rPr>
          <w:rFonts w:asciiTheme="minorHAnsi" w:hAnsiTheme="minorHAnsi" w:cstheme="minorHAnsi"/>
        </w:rPr>
        <w:t xml:space="preserve"> </w:t>
      </w:r>
      <w:r w:rsidR="00213EC0">
        <w:rPr>
          <w:rFonts w:asciiTheme="minorHAnsi" w:hAnsiTheme="minorHAnsi" w:cstheme="minorHAnsi"/>
        </w:rPr>
        <w:tab/>
      </w:r>
      <w:r w:rsidRPr="00143134">
        <w:rPr>
          <w:rFonts w:asciiTheme="minorHAnsi" w:hAnsiTheme="minorHAnsi" w:cstheme="minorHAnsi"/>
        </w:rPr>
        <w:t>české účetní standardy pro některé vybrané účetní jednotky</w:t>
      </w:r>
    </w:p>
    <w:p w14:paraId="2FF51A24" w14:textId="01B2EA63" w:rsidR="00213EC0" w:rsidRPr="00143134" w:rsidRDefault="00213EC0" w:rsidP="00C869E4">
      <w:pPr>
        <w:spacing w:after="120"/>
        <w:ind w:left="1701" w:hanging="1701"/>
        <w:jc w:val="both"/>
        <w:rPr>
          <w:rFonts w:asciiTheme="minorHAnsi" w:hAnsiTheme="minorHAnsi" w:cstheme="minorHAnsi"/>
        </w:rPr>
      </w:pPr>
      <w:r>
        <w:rPr>
          <w:rFonts w:asciiTheme="minorHAnsi" w:hAnsiTheme="minorHAnsi" w:cstheme="minorHAnsi"/>
        </w:rPr>
        <w:t xml:space="preserve">kapitola </w:t>
      </w:r>
      <w:proofErr w:type="spellStart"/>
      <w:r>
        <w:rPr>
          <w:rFonts w:asciiTheme="minorHAnsi" w:hAnsiTheme="minorHAnsi" w:cstheme="minorHAnsi"/>
        </w:rPr>
        <w:t>MSp</w:t>
      </w:r>
      <w:proofErr w:type="spellEnd"/>
      <w:r>
        <w:rPr>
          <w:rFonts w:asciiTheme="minorHAnsi" w:hAnsiTheme="minorHAnsi" w:cstheme="minorHAnsi"/>
        </w:rPr>
        <w:tab/>
        <w:t>–</w:t>
      </w:r>
      <w:r>
        <w:rPr>
          <w:rFonts w:asciiTheme="minorHAnsi" w:hAnsiTheme="minorHAnsi" w:cstheme="minorHAnsi"/>
        </w:rPr>
        <w:tab/>
      </w:r>
      <w:r w:rsidR="00E4159C">
        <w:rPr>
          <w:rFonts w:asciiTheme="minorHAnsi" w:hAnsiTheme="minorHAnsi" w:cstheme="minorHAnsi"/>
        </w:rPr>
        <w:t xml:space="preserve">kapitola státního rozpočtu </w:t>
      </w:r>
      <w:r w:rsidR="00E4159C" w:rsidRPr="00D37BF7">
        <w:rPr>
          <w:rFonts w:asciiTheme="minorHAnsi" w:hAnsiTheme="minorHAnsi" w:cstheme="minorHAnsi"/>
        </w:rPr>
        <w:t xml:space="preserve">336 </w:t>
      </w:r>
      <w:r w:rsidR="00E4159C">
        <w:rPr>
          <w:rFonts w:asciiTheme="minorHAnsi" w:hAnsiTheme="minorHAnsi" w:cstheme="minorHAnsi"/>
        </w:rPr>
        <w:t xml:space="preserve">– </w:t>
      </w:r>
      <w:r w:rsidR="00E4159C" w:rsidRPr="00DF5324">
        <w:rPr>
          <w:rFonts w:asciiTheme="minorHAnsi" w:hAnsiTheme="minorHAnsi" w:cstheme="minorHAnsi"/>
          <w:i/>
        </w:rPr>
        <w:t>Ministerstvo spravedlnosti</w:t>
      </w:r>
    </w:p>
    <w:p w14:paraId="442FE250" w14:textId="46DC1C35" w:rsidR="00F72DE4" w:rsidRPr="00143134" w:rsidRDefault="00F72DE4" w:rsidP="00C869E4">
      <w:pPr>
        <w:spacing w:after="120"/>
        <w:ind w:left="1701" w:hanging="1701"/>
        <w:jc w:val="both"/>
        <w:rPr>
          <w:rFonts w:asciiTheme="minorHAnsi" w:hAnsiTheme="minorHAnsi" w:cstheme="minorHAnsi"/>
        </w:rPr>
      </w:pPr>
      <w:proofErr w:type="spellStart"/>
      <w:r w:rsidRPr="00143134">
        <w:rPr>
          <w:rFonts w:asciiTheme="minorHAnsi" w:hAnsiTheme="minorHAnsi" w:cstheme="minorHAnsi"/>
        </w:rPr>
        <w:t>M</w:t>
      </w:r>
      <w:r w:rsidR="00143134" w:rsidRPr="00143134">
        <w:rPr>
          <w:rFonts w:asciiTheme="minorHAnsi" w:hAnsiTheme="minorHAnsi" w:cstheme="minorHAnsi"/>
        </w:rPr>
        <w:t>Sp</w:t>
      </w:r>
      <w:proofErr w:type="spellEnd"/>
      <w:r w:rsidRPr="00143134">
        <w:rPr>
          <w:rFonts w:asciiTheme="minorHAnsi" w:hAnsiTheme="minorHAnsi" w:cstheme="minorHAnsi"/>
        </w:rPr>
        <w:tab/>
      </w:r>
      <w:r w:rsidR="007E5659">
        <w:rPr>
          <w:rFonts w:asciiTheme="minorHAnsi" w:hAnsiTheme="minorHAnsi" w:cstheme="minorHAnsi"/>
        </w:rPr>
        <w:t>–</w:t>
      </w:r>
      <w:r w:rsidRPr="00143134">
        <w:rPr>
          <w:rFonts w:asciiTheme="minorHAnsi" w:hAnsiTheme="minorHAnsi" w:cstheme="minorHAnsi"/>
        </w:rPr>
        <w:t xml:space="preserve"> </w:t>
      </w:r>
      <w:r w:rsidR="00213EC0">
        <w:rPr>
          <w:rFonts w:asciiTheme="minorHAnsi" w:hAnsiTheme="minorHAnsi" w:cstheme="minorHAnsi"/>
        </w:rPr>
        <w:tab/>
      </w:r>
      <w:r w:rsidRPr="00143134">
        <w:rPr>
          <w:rFonts w:asciiTheme="minorHAnsi" w:hAnsiTheme="minorHAnsi" w:cstheme="minorHAnsi"/>
        </w:rPr>
        <w:t xml:space="preserve">Ministerstvo </w:t>
      </w:r>
      <w:r w:rsidR="00143134" w:rsidRPr="00143134">
        <w:rPr>
          <w:rFonts w:asciiTheme="minorHAnsi" w:hAnsiTheme="minorHAnsi" w:cstheme="minorHAnsi"/>
        </w:rPr>
        <w:t>spravedlnosti</w:t>
      </w:r>
    </w:p>
    <w:p w14:paraId="7C09E702" w14:textId="053308A1" w:rsidR="00F72DE4" w:rsidRPr="00143134" w:rsidRDefault="00F72DE4" w:rsidP="00C869E4">
      <w:pPr>
        <w:spacing w:after="120"/>
        <w:ind w:left="1701" w:hanging="1701"/>
        <w:jc w:val="both"/>
        <w:rPr>
          <w:rFonts w:asciiTheme="minorHAnsi" w:hAnsiTheme="minorHAnsi" w:cstheme="minorHAnsi"/>
        </w:rPr>
      </w:pPr>
      <w:r w:rsidRPr="00143134">
        <w:rPr>
          <w:rFonts w:asciiTheme="minorHAnsi" w:hAnsiTheme="minorHAnsi" w:cstheme="minorHAnsi"/>
        </w:rPr>
        <w:t>NKÚ</w:t>
      </w:r>
      <w:r w:rsidRPr="00143134">
        <w:rPr>
          <w:rFonts w:asciiTheme="minorHAnsi" w:hAnsiTheme="minorHAnsi" w:cstheme="minorHAnsi"/>
        </w:rPr>
        <w:tab/>
      </w:r>
      <w:r w:rsidR="007E5659">
        <w:rPr>
          <w:rFonts w:asciiTheme="minorHAnsi" w:hAnsiTheme="minorHAnsi" w:cstheme="minorHAnsi"/>
        </w:rPr>
        <w:t>–</w:t>
      </w:r>
      <w:r w:rsidRPr="00143134">
        <w:rPr>
          <w:rFonts w:asciiTheme="minorHAnsi" w:hAnsiTheme="minorHAnsi" w:cstheme="minorHAnsi"/>
        </w:rPr>
        <w:t xml:space="preserve"> </w:t>
      </w:r>
      <w:r w:rsidR="00213EC0">
        <w:rPr>
          <w:rFonts w:asciiTheme="minorHAnsi" w:hAnsiTheme="minorHAnsi" w:cstheme="minorHAnsi"/>
        </w:rPr>
        <w:tab/>
      </w:r>
      <w:r w:rsidRPr="00143134">
        <w:rPr>
          <w:rFonts w:asciiTheme="minorHAnsi" w:hAnsiTheme="minorHAnsi" w:cstheme="minorHAnsi"/>
        </w:rPr>
        <w:t>Nejvyšší kontrolní úřad</w:t>
      </w:r>
    </w:p>
    <w:p w14:paraId="22F030AA" w14:textId="5BEB5FBA" w:rsidR="00143134" w:rsidRPr="00143134" w:rsidRDefault="00143134" w:rsidP="00C869E4">
      <w:pPr>
        <w:spacing w:after="120"/>
        <w:ind w:left="1701" w:hanging="1701"/>
        <w:jc w:val="both"/>
        <w:rPr>
          <w:rFonts w:asciiTheme="minorHAnsi" w:hAnsiTheme="minorHAnsi" w:cstheme="minorHAnsi"/>
        </w:rPr>
      </w:pPr>
      <w:r w:rsidRPr="00143134">
        <w:rPr>
          <w:rFonts w:asciiTheme="minorHAnsi" w:hAnsiTheme="minorHAnsi" w:cstheme="minorHAnsi"/>
        </w:rPr>
        <w:t>OP LZZ</w:t>
      </w:r>
      <w:r w:rsidRPr="00143134">
        <w:rPr>
          <w:rFonts w:asciiTheme="minorHAnsi" w:hAnsiTheme="minorHAnsi" w:cstheme="minorHAnsi"/>
        </w:rPr>
        <w:tab/>
      </w:r>
      <w:r w:rsidR="007E5659">
        <w:rPr>
          <w:rFonts w:asciiTheme="minorHAnsi" w:hAnsiTheme="minorHAnsi" w:cstheme="minorHAnsi"/>
        </w:rPr>
        <w:t>–</w:t>
      </w:r>
      <w:r w:rsidRPr="00143134">
        <w:rPr>
          <w:rFonts w:asciiTheme="minorHAnsi" w:hAnsiTheme="minorHAnsi" w:cstheme="minorHAnsi"/>
        </w:rPr>
        <w:t xml:space="preserve"> </w:t>
      </w:r>
      <w:r w:rsidR="00213EC0">
        <w:rPr>
          <w:rFonts w:asciiTheme="minorHAnsi" w:hAnsiTheme="minorHAnsi" w:cstheme="minorHAnsi"/>
        </w:rPr>
        <w:tab/>
        <w:t>o</w:t>
      </w:r>
      <w:r w:rsidRPr="00143134">
        <w:rPr>
          <w:rFonts w:asciiTheme="minorHAnsi" w:hAnsiTheme="minorHAnsi" w:cstheme="minorHAnsi"/>
        </w:rPr>
        <w:t xml:space="preserve">perační program </w:t>
      </w:r>
      <w:r w:rsidRPr="00C869E4">
        <w:rPr>
          <w:rFonts w:asciiTheme="minorHAnsi" w:hAnsiTheme="minorHAnsi" w:cstheme="minorHAnsi"/>
          <w:i/>
        </w:rPr>
        <w:t>Lidské zdroje a zaměstnanost</w:t>
      </w:r>
    </w:p>
    <w:p w14:paraId="7387A3D3" w14:textId="2A8A1122" w:rsidR="00F72DE4" w:rsidRDefault="00F72DE4" w:rsidP="00C869E4">
      <w:pPr>
        <w:spacing w:after="120"/>
        <w:ind w:left="1701" w:hanging="1701"/>
        <w:jc w:val="both"/>
        <w:rPr>
          <w:rFonts w:asciiTheme="minorHAnsi" w:hAnsiTheme="minorHAnsi" w:cstheme="minorHAnsi"/>
        </w:rPr>
      </w:pPr>
      <w:r w:rsidRPr="00143134">
        <w:rPr>
          <w:rFonts w:asciiTheme="minorHAnsi" w:hAnsiTheme="minorHAnsi" w:cstheme="minorHAnsi"/>
        </w:rPr>
        <w:t>OSS</w:t>
      </w:r>
      <w:r w:rsidRPr="00143134">
        <w:rPr>
          <w:rFonts w:asciiTheme="minorHAnsi" w:hAnsiTheme="minorHAnsi" w:cstheme="minorHAnsi"/>
        </w:rPr>
        <w:tab/>
      </w:r>
      <w:r w:rsidR="007E5659">
        <w:rPr>
          <w:rFonts w:asciiTheme="minorHAnsi" w:hAnsiTheme="minorHAnsi" w:cs="Calibri"/>
        </w:rPr>
        <w:t>–</w:t>
      </w:r>
      <w:r w:rsidRPr="00143134">
        <w:rPr>
          <w:rFonts w:asciiTheme="minorHAnsi" w:hAnsiTheme="minorHAnsi" w:cstheme="minorHAnsi"/>
        </w:rPr>
        <w:t xml:space="preserve"> </w:t>
      </w:r>
      <w:r w:rsidR="00213EC0">
        <w:rPr>
          <w:rFonts w:asciiTheme="minorHAnsi" w:hAnsiTheme="minorHAnsi" w:cstheme="minorHAnsi"/>
        </w:rPr>
        <w:tab/>
      </w:r>
      <w:r w:rsidRPr="00143134">
        <w:rPr>
          <w:rFonts w:asciiTheme="minorHAnsi" w:hAnsiTheme="minorHAnsi" w:cstheme="minorHAnsi"/>
        </w:rPr>
        <w:t>organizační složka státu</w:t>
      </w:r>
    </w:p>
    <w:p w14:paraId="737FA17F" w14:textId="77777777" w:rsidR="00213EC0" w:rsidRDefault="00213EC0" w:rsidP="00C869E4">
      <w:pPr>
        <w:ind w:left="1701" w:hanging="1701"/>
        <w:jc w:val="both"/>
        <w:rPr>
          <w:rFonts w:ascii="Calibri" w:hAnsi="Calibri" w:cs="Calibri"/>
          <w:i/>
        </w:rPr>
      </w:pPr>
      <w:r>
        <w:rPr>
          <w:rFonts w:asciiTheme="minorHAnsi" w:hAnsiTheme="minorHAnsi" w:cstheme="minorHAnsi"/>
        </w:rPr>
        <w:t>program CZ15</w:t>
      </w:r>
      <w:r>
        <w:rPr>
          <w:rFonts w:asciiTheme="minorHAnsi" w:hAnsiTheme="minorHAnsi" w:cstheme="minorHAnsi"/>
        </w:rPr>
        <w:tab/>
        <w:t xml:space="preserve">– </w:t>
      </w:r>
      <w:r>
        <w:rPr>
          <w:rFonts w:asciiTheme="minorHAnsi" w:hAnsiTheme="minorHAnsi" w:cstheme="minorHAnsi"/>
        </w:rPr>
        <w:tab/>
      </w:r>
      <w:r>
        <w:rPr>
          <w:rFonts w:asciiTheme="minorHAnsi" w:hAnsiTheme="minorHAnsi"/>
          <w:bCs/>
        </w:rPr>
        <w:t>p</w:t>
      </w:r>
      <w:r w:rsidRPr="00DE3397">
        <w:rPr>
          <w:rFonts w:asciiTheme="minorHAnsi" w:hAnsiTheme="minorHAnsi"/>
          <w:bCs/>
        </w:rPr>
        <w:t>rogram CZ15</w:t>
      </w:r>
      <w:r w:rsidRPr="00DE3397">
        <w:rPr>
          <w:rFonts w:asciiTheme="minorHAnsi" w:hAnsiTheme="minorHAnsi"/>
          <w:bCs/>
          <w:i/>
        </w:rPr>
        <w:t xml:space="preserve"> </w:t>
      </w:r>
      <w:r>
        <w:rPr>
          <w:rFonts w:asciiTheme="minorHAnsi" w:hAnsiTheme="minorHAnsi"/>
          <w:lang w:eastAsia="cs-CZ"/>
        </w:rPr>
        <w:t>–</w:t>
      </w:r>
      <w:r w:rsidRPr="00DE3397">
        <w:rPr>
          <w:rFonts w:asciiTheme="minorHAnsi" w:hAnsiTheme="minorHAnsi"/>
          <w:bCs/>
          <w:i/>
        </w:rPr>
        <w:t xml:space="preserve"> </w:t>
      </w:r>
      <w:r w:rsidRPr="00DE3397">
        <w:rPr>
          <w:rFonts w:ascii="Calibri" w:hAnsi="Calibri" w:cs="Calibri"/>
          <w:i/>
        </w:rPr>
        <w:t>Budování kapacit a spolupráce v justici a</w:t>
      </w:r>
      <w:r>
        <w:rPr>
          <w:rFonts w:ascii="Calibri" w:hAnsi="Calibri" w:cs="Calibri"/>
          <w:i/>
        </w:rPr>
        <w:t> </w:t>
      </w:r>
      <w:r w:rsidRPr="00DE3397">
        <w:rPr>
          <w:rFonts w:ascii="Calibri" w:hAnsi="Calibri" w:cs="Calibri"/>
          <w:i/>
        </w:rPr>
        <w:t xml:space="preserve">Nápravné </w:t>
      </w:r>
    </w:p>
    <w:p w14:paraId="0A13C839" w14:textId="4EAF1B66" w:rsidR="00213EC0" w:rsidRPr="00E4159C" w:rsidRDefault="00213EC0" w:rsidP="00C869E4">
      <w:pPr>
        <w:spacing w:after="120"/>
        <w:ind w:left="2127"/>
        <w:jc w:val="both"/>
        <w:rPr>
          <w:rFonts w:asciiTheme="minorHAnsi" w:hAnsiTheme="minorHAnsi" w:cstheme="minorHAnsi"/>
        </w:rPr>
      </w:pPr>
      <w:r w:rsidRPr="00DE3397">
        <w:rPr>
          <w:rFonts w:ascii="Calibri" w:hAnsi="Calibri" w:cs="Calibri"/>
          <w:i/>
        </w:rPr>
        <w:t>služby včetně alternativních trestů</w:t>
      </w:r>
      <w:r>
        <w:rPr>
          <w:rFonts w:ascii="Calibri" w:hAnsi="Calibri" w:cs="Calibri"/>
        </w:rPr>
        <w:t xml:space="preserve"> (program financovaný z norských fondů)</w:t>
      </w:r>
    </w:p>
    <w:p w14:paraId="35A4CD17" w14:textId="0DC01E85" w:rsidR="00F72DE4" w:rsidRPr="008620C1" w:rsidRDefault="00F72DE4" w:rsidP="00C869E4">
      <w:pPr>
        <w:spacing w:after="120"/>
        <w:ind w:left="1701" w:hanging="1701"/>
        <w:jc w:val="both"/>
        <w:rPr>
          <w:rFonts w:asciiTheme="minorHAnsi" w:hAnsiTheme="minorHAnsi" w:cstheme="minorHAnsi"/>
        </w:rPr>
      </w:pPr>
      <w:r w:rsidRPr="00143134">
        <w:rPr>
          <w:rFonts w:asciiTheme="minorHAnsi" w:hAnsiTheme="minorHAnsi" w:cstheme="minorHAnsi"/>
        </w:rPr>
        <w:t>ÚZ</w:t>
      </w:r>
      <w:r w:rsidRPr="00143134">
        <w:rPr>
          <w:rFonts w:asciiTheme="minorHAnsi" w:hAnsiTheme="minorHAnsi" w:cstheme="minorHAnsi"/>
        </w:rPr>
        <w:tab/>
      </w:r>
      <w:r w:rsidR="007E5659">
        <w:rPr>
          <w:rFonts w:asciiTheme="minorHAnsi" w:hAnsiTheme="minorHAnsi" w:cs="Calibri"/>
        </w:rPr>
        <w:t>–</w:t>
      </w:r>
      <w:r w:rsidR="00143134" w:rsidRPr="00143134">
        <w:rPr>
          <w:rFonts w:asciiTheme="minorHAnsi" w:hAnsiTheme="minorHAnsi" w:cstheme="minorHAnsi"/>
        </w:rPr>
        <w:t xml:space="preserve"> </w:t>
      </w:r>
      <w:r w:rsidR="00213EC0">
        <w:rPr>
          <w:rFonts w:asciiTheme="minorHAnsi" w:hAnsiTheme="minorHAnsi" w:cstheme="minorHAnsi"/>
        </w:rPr>
        <w:tab/>
      </w:r>
      <w:r w:rsidR="00143134" w:rsidRPr="00143134">
        <w:rPr>
          <w:rFonts w:asciiTheme="minorHAnsi" w:hAnsiTheme="minorHAnsi" w:cstheme="minorHAnsi"/>
        </w:rPr>
        <w:t xml:space="preserve">účetní závěrka </w:t>
      </w:r>
      <w:proofErr w:type="spellStart"/>
      <w:r w:rsidR="00143134" w:rsidRPr="00143134">
        <w:rPr>
          <w:rFonts w:asciiTheme="minorHAnsi" w:hAnsiTheme="minorHAnsi" w:cstheme="minorHAnsi"/>
        </w:rPr>
        <w:t>MSp</w:t>
      </w:r>
      <w:proofErr w:type="spellEnd"/>
      <w:r w:rsidRPr="00143134">
        <w:rPr>
          <w:rFonts w:asciiTheme="minorHAnsi" w:hAnsiTheme="minorHAnsi" w:cstheme="minorHAnsi"/>
        </w:rPr>
        <w:t xml:space="preserve"> k 31. prosinci 2015</w:t>
      </w:r>
    </w:p>
    <w:p w14:paraId="0E5CB384" w14:textId="77777777" w:rsidR="00B744A6" w:rsidRDefault="00B744A6"/>
    <w:sectPr w:rsidR="00B744A6" w:rsidSect="00B744A6">
      <w:footerReference w:type="even" r:id="rId9"/>
      <w:footerReference w:type="default" r:id="rId10"/>
      <w:headerReference w:type="firs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4270E8" w14:textId="77777777" w:rsidR="00BE5F76" w:rsidRDefault="00BE5F76" w:rsidP="00F72DE4">
      <w:r>
        <w:separator/>
      </w:r>
    </w:p>
  </w:endnote>
  <w:endnote w:type="continuationSeparator" w:id="0">
    <w:p w14:paraId="63B3BEA7" w14:textId="77777777" w:rsidR="00BE5F76" w:rsidRDefault="00BE5F76" w:rsidP="00F7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3CA20" w14:textId="77777777" w:rsidR="00BE5F76" w:rsidRDefault="00BE5F7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6ADE122D" w14:textId="77777777" w:rsidR="00BE5F76" w:rsidRDefault="00BE5F7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0615792"/>
      <w:docPartObj>
        <w:docPartGallery w:val="Page Numbers (Bottom of Page)"/>
        <w:docPartUnique/>
      </w:docPartObj>
    </w:sdtPr>
    <w:sdtEndPr>
      <w:rPr>
        <w:rFonts w:asciiTheme="minorHAnsi" w:hAnsiTheme="minorHAnsi" w:cstheme="minorHAnsi"/>
        <w:sz w:val="22"/>
        <w:szCs w:val="22"/>
      </w:rPr>
    </w:sdtEndPr>
    <w:sdtContent>
      <w:p w14:paraId="27CF2A7E" w14:textId="77777777" w:rsidR="00BE5F76" w:rsidRPr="00391416" w:rsidRDefault="00BE5F76" w:rsidP="00B744A6">
        <w:pPr>
          <w:pStyle w:val="Zpat"/>
          <w:tabs>
            <w:tab w:val="clear" w:pos="4536"/>
          </w:tabs>
          <w:jc w:val="center"/>
          <w:rPr>
            <w:rFonts w:asciiTheme="minorHAnsi" w:hAnsiTheme="minorHAnsi" w:cstheme="minorHAnsi"/>
            <w:sz w:val="22"/>
            <w:szCs w:val="22"/>
          </w:rPr>
        </w:pPr>
        <w:r w:rsidRPr="00391416">
          <w:rPr>
            <w:rFonts w:asciiTheme="minorHAnsi" w:hAnsiTheme="minorHAnsi" w:cstheme="minorHAnsi"/>
          </w:rPr>
          <w:fldChar w:fldCharType="begin"/>
        </w:r>
        <w:r w:rsidRPr="00391416">
          <w:rPr>
            <w:rFonts w:asciiTheme="minorHAnsi" w:hAnsiTheme="minorHAnsi" w:cstheme="minorHAnsi"/>
          </w:rPr>
          <w:instrText>PAGE   \* MERGEFORMAT</w:instrText>
        </w:r>
        <w:r w:rsidRPr="00391416">
          <w:rPr>
            <w:rFonts w:asciiTheme="minorHAnsi" w:hAnsiTheme="minorHAnsi" w:cstheme="minorHAnsi"/>
          </w:rPr>
          <w:fldChar w:fldCharType="separate"/>
        </w:r>
        <w:r w:rsidR="00EF5790">
          <w:rPr>
            <w:rFonts w:asciiTheme="minorHAnsi" w:hAnsiTheme="minorHAnsi" w:cstheme="minorHAnsi"/>
            <w:noProof/>
          </w:rPr>
          <w:t>14</w:t>
        </w:r>
        <w:r w:rsidRPr="00391416">
          <w:rPr>
            <w:rFonts w:asciiTheme="minorHAnsi" w:hAnsiTheme="minorHAnsi" w:cs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BB687" w14:textId="77777777" w:rsidR="00BE5F76" w:rsidRDefault="00BE5F76" w:rsidP="00F72DE4">
      <w:r>
        <w:separator/>
      </w:r>
    </w:p>
  </w:footnote>
  <w:footnote w:type="continuationSeparator" w:id="0">
    <w:p w14:paraId="73B03E3E" w14:textId="77777777" w:rsidR="00BE5F76" w:rsidRDefault="00BE5F76" w:rsidP="00F72DE4">
      <w:r>
        <w:continuationSeparator/>
      </w:r>
    </w:p>
  </w:footnote>
  <w:footnote w:id="1">
    <w:p w14:paraId="1945DE64" w14:textId="0C628E23" w:rsidR="00BE5F76" w:rsidRPr="00733722" w:rsidRDefault="00BE5F76" w:rsidP="00733722">
      <w:pPr>
        <w:pStyle w:val="Textpoznpodarou"/>
        <w:ind w:left="284" w:hanging="284"/>
        <w:jc w:val="both"/>
        <w:rPr>
          <w:rFonts w:asciiTheme="minorHAnsi" w:hAnsiTheme="minorHAnsi" w:cstheme="minorHAnsi"/>
        </w:rPr>
      </w:pPr>
      <w:r w:rsidRPr="00733722">
        <w:rPr>
          <w:rStyle w:val="Znakapoznpodarou"/>
          <w:rFonts w:asciiTheme="minorHAnsi" w:hAnsiTheme="minorHAnsi" w:cstheme="minorHAnsi"/>
        </w:rPr>
        <w:footnoteRef/>
      </w:r>
      <w:r w:rsidRPr="00733722">
        <w:rPr>
          <w:rFonts w:asciiTheme="minorHAnsi" w:hAnsiTheme="minorHAnsi" w:cstheme="minorHAnsi"/>
        </w:rPr>
        <w:t xml:space="preserve"> </w:t>
      </w:r>
      <w:r>
        <w:rPr>
          <w:rFonts w:asciiTheme="minorHAnsi" w:hAnsiTheme="minorHAnsi" w:cstheme="minorHAnsi"/>
        </w:rPr>
        <w:tab/>
      </w:r>
      <w:r w:rsidRPr="00733722">
        <w:rPr>
          <w:rFonts w:asciiTheme="minorHAnsi" w:hAnsiTheme="minorHAnsi" w:cstheme="minorHAnsi"/>
        </w:rPr>
        <w:t>Usnesení vlády České republiky ze dne 14. července 2014 č. 585, k postupu při procesním modelování agend a tvorby standardů agend veřejné správy pro jednotný a finančně měřitelný výkon veřejné správy.</w:t>
      </w:r>
    </w:p>
  </w:footnote>
  <w:footnote w:id="2">
    <w:p w14:paraId="2871555B" w14:textId="4A47D072" w:rsidR="00BE5F76" w:rsidRPr="00733722" w:rsidRDefault="00BE5F76" w:rsidP="00733722">
      <w:pPr>
        <w:pStyle w:val="Textpoznpodarou"/>
        <w:ind w:left="284" w:hanging="284"/>
        <w:jc w:val="both"/>
        <w:rPr>
          <w:rFonts w:asciiTheme="minorHAnsi" w:hAnsiTheme="minorHAnsi" w:cstheme="minorHAnsi"/>
        </w:rPr>
      </w:pPr>
      <w:r w:rsidRPr="00733722">
        <w:rPr>
          <w:rStyle w:val="Znakapoznpodarou"/>
          <w:rFonts w:asciiTheme="minorHAnsi" w:hAnsiTheme="minorHAnsi" w:cstheme="minorHAnsi"/>
        </w:rPr>
        <w:footnoteRef/>
      </w:r>
      <w:r w:rsidRPr="00733722">
        <w:rPr>
          <w:rFonts w:asciiTheme="minorHAnsi" w:hAnsiTheme="minorHAnsi" w:cstheme="minorHAnsi"/>
        </w:rPr>
        <w:t xml:space="preserve"> </w:t>
      </w:r>
      <w:r>
        <w:rPr>
          <w:rFonts w:asciiTheme="minorHAnsi" w:hAnsiTheme="minorHAnsi" w:cstheme="minorHAnsi"/>
        </w:rPr>
        <w:tab/>
      </w:r>
      <w:r w:rsidRPr="00733722">
        <w:rPr>
          <w:rFonts w:asciiTheme="minorHAnsi" w:hAnsiTheme="minorHAnsi" w:cstheme="minorHAnsi"/>
        </w:rPr>
        <w:t xml:space="preserve">Příloha č. 1 usnesení vlády České republiky ze dne 14. července 2014 č. 585 vymezuje pro účely modelování agend veřejné správy pojem „náklady“ </w:t>
      </w:r>
      <w:r>
        <w:rPr>
          <w:rFonts w:asciiTheme="minorHAnsi" w:hAnsiTheme="minorHAnsi" w:cstheme="minorHAnsi"/>
        </w:rPr>
        <w:t>těmito slovy:</w:t>
      </w:r>
      <w:r w:rsidRPr="00733722">
        <w:rPr>
          <w:rFonts w:asciiTheme="minorHAnsi" w:hAnsiTheme="minorHAnsi" w:cstheme="minorHAnsi"/>
        </w:rPr>
        <w:t xml:space="preserve"> „</w:t>
      </w:r>
      <w:r w:rsidRPr="00C869E4">
        <w:rPr>
          <w:rFonts w:asciiTheme="minorHAnsi" w:hAnsiTheme="minorHAnsi" w:cstheme="minorHAnsi"/>
          <w:i/>
        </w:rPr>
        <w:t>spotřebované ekonomické zdroje v peněžním vyjádření (včetně opotřebení majetku vyjádřeného odpisy). V rámci této metodiky jde o zdroje vydané na provádění agendy, tj. jejích procesních oblastí, procesů, výstupů či typů případů. Celkovými náklady se rozumí součet přímo přiřaditelných nákladů vypočítaných na základě pracnosti agendy, dalších přímo přiřaditelných nákladů (např. poplatky jako poštovné apod.) a poměrově alokované části nepřímých (sdílených) nákladů úřadu</w:t>
      </w:r>
      <w:r w:rsidRPr="00733722">
        <w:rPr>
          <w:rFonts w:asciiTheme="minorHAnsi" w:hAnsiTheme="minorHAnsi" w:cstheme="minorHAnsi"/>
        </w:rPr>
        <w:t>.“</w:t>
      </w:r>
    </w:p>
    <w:p w14:paraId="1EE45249" w14:textId="77777777" w:rsidR="00BE5F76" w:rsidRDefault="00BE5F76">
      <w:pPr>
        <w:pStyle w:val="Textpoznpodarou"/>
      </w:pPr>
    </w:p>
  </w:footnote>
  <w:footnote w:id="3">
    <w:p w14:paraId="38358646" w14:textId="22FFE39A" w:rsidR="00BE5F76" w:rsidRPr="00733722" w:rsidRDefault="00BE5F76" w:rsidP="00733722">
      <w:pPr>
        <w:pStyle w:val="Textpoznpodarou"/>
        <w:ind w:left="284" w:hanging="284"/>
        <w:jc w:val="both"/>
        <w:rPr>
          <w:rFonts w:asciiTheme="minorHAnsi" w:hAnsiTheme="minorHAnsi" w:cstheme="minorHAnsi"/>
        </w:rPr>
      </w:pPr>
      <w:r w:rsidRPr="00733722">
        <w:rPr>
          <w:rStyle w:val="Znakapoznpodarou"/>
          <w:rFonts w:asciiTheme="minorHAnsi" w:hAnsiTheme="minorHAnsi"/>
        </w:rPr>
        <w:footnoteRef/>
      </w:r>
      <w:r w:rsidRPr="00733722">
        <w:rPr>
          <w:rFonts w:asciiTheme="minorHAnsi" w:hAnsiTheme="minorHAnsi"/>
        </w:rPr>
        <w:t xml:space="preserve"> </w:t>
      </w:r>
      <w:r>
        <w:rPr>
          <w:rFonts w:asciiTheme="minorHAnsi" w:hAnsiTheme="minorHAnsi"/>
        </w:rPr>
        <w:tab/>
      </w:r>
      <w:r w:rsidRPr="00733722">
        <w:rPr>
          <w:rFonts w:asciiTheme="minorHAnsi" w:hAnsiTheme="minorHAnsi" w:cstheme="minorHAnsi"/>
        </w:rPr>
        <w:t>Viz ustanovení § 14 odst. 2 zákona č. 219/2000 Sb., o majetku České republiky a jejím vystupování v právních vztazích.</w:t>
      </w:r>
    </w:p>
  </w:footnote>
  <w:footnote w:id="4">
    <w:p w14:paraId="786CF767" w14:textId="5AAD0D7A" w:rsidR="00BE5F76" w:rsidRPr="00733722" w:rsidRDefault="00BE5F76" w:rsidP="00733722">
      <w:pPr>
        <w:pStyle w:val="Textpoznpodarou"/>
        <w:ind w:left="284" w:hanging="284"/>
        <w:jc w:val="both"/>
        <w:rPr>
          <w:rFonts w:asciiTheme="minorHAnsi" w:hAnsiTheme="minorHAnsi" w:cstheme="minorHAnsi"/>
        </w:rPr>
      </w:pPr>
      <w:r w:rsidRPr="00733722">
        <w:rPr>
          <w:rStyle w:val="Znakapoznpodarou"/>
          <w:rFonts w:asciiTheme="minorHAnsi" w:hAnsiTheme="minorHAnsi" w:cstheme="minorHAnsi"/>
        </w:rPr>
        <w:footnoteRef/>
      </w:r>
      <w:r w:rsidRPr="00733722">
        <w:rPr>
          <w:rFonts w:asciiTheme="minorHAnsi" w:hAnsiTheme="minorHAnsi" w:cstheme="minorHAnsi"/>
        </w:rPr>
        <w:t xml:space="preserve"> </w:t>
      </w:r>
      <w:r>
        <w:rPr>
          <w:rFonts w:asciiTheme="minorHAnsi" w:hAnsiTheme="minorHAnsi" w:cstheme="minorHAnsi"/>
        </w:rPr>
        <w:tab/>
      </w:r>
      <w:r w:rsidRPr="00733722">
        <w:rPr>
          <w:rFonts w:asciiTheme="minorHAnsi" w:hAnsiTheme="minorHAnsi" w:cstheme="minorHAnsi"/>
        </w:rPr>
        <w:t>Povinnost sestav</w:t>
      </w:r>
      <w:r>
        <w:rPr>
          <w:rFonts w:asciiTheme="minorHAnsi" w:hAnsiTheme="minorHAnsi" w:cstheme="minorHAnsi"/>
        </w:rPr>
        <w:t>ovat</w:t>
      </w:r>
      <w:r w:rsidRPr="00733722">
        <w:rPr>
          <w:rFonts w:asciiTheme="minorHAnsi" w:hAnsiTheme="minorHAnsi" w:cstheme="minorHAnsi"/>
        </w:rPr>
        <w:t xml:space="preserve"> účetní výkaz</w:t>
      </w:r>
      <w:r>
        <w:rPr>
          <w:rFonts w:asciiTheme="minorHAnsi" w:hAnsiTheme="minorHAnsi" w:cstheme="minorHAnsi"/>
        </w:rPr>
        <w:t>y</w:t>
      </w:r>
      <w:r w:rsidRPr="00733722">
        <w:rPr>
          <w:rFonts w:asciiTheme="minorHAnsi" w:hAnsiTheme="minorHAnsi" w:cstheme="minorHAnsi"/>
        </w:rPr>
        <w:t xml:space="preserve"> za Českou republiku je stanovena vyhláškou č. 312/2014 Sb., o</w:t>
      </w:r>
      <w:r>
        <w:rPr>
          <w:rFonts w:asciiTheme="minorHAnsi" w:hAnsiTheme="minorHAnsi" w:cstheme="minorHAnsi"/>
        </w:rPr>
        <w:t> </w:t>
      </w:r>
      <w:r w:rsidRPr="00733722">
        <w:rPr>
          <w:rFonts w:asciiTheme="minorHAnsi" w:hAnsiTheme="minorHAnsi" w:cstheme="minorHAnsi"/>
        </w:rPr>
        <w:t xml:space="preserve">podmínkách sestavení účetních výkazů za Českou republiku (konsolidační vyhláška státu). </w:t>
      </w:r>
    </w:p>
  </w:footnote>
  <w:footnote w:id="5">
    <w:p w14:paraId="075C31AB" w14:textId="3BEADAB6" w:rsidR="00BE5F76" w:rsidRPr="00733722" w:rsidRDefault="00BE5F76" w:rsidP="00733722">
      <w:pPr>
        <w:ind w:left="284" w:hanging="284"/>
        <w:jc w:val="both"/>
        <w:rPr>
          <w:rFonts w:asciiTheme="minorHAnsi" w:hAnsiTheme="minorHAnsi" w:cstheme="minorHAnsi"/>
          <w:bCs/>
          <w:sz w:val="20"/>
          <w:szCs w:val="20"/>
        </w:rPr>
      </w:pPr>
      <w:r w:rsidRPr="00733722">
        <w:rPr>
          <w:rStyle w:val="Znakapoznpodarou"/>
          <w:rFonts w:asciiTheme="minorHAnsi" w:hAnsiTheme="minorHAnsi" w:cstheme="minorHAnsi"/>
          <w:sz w:val="20"/>
          <w:szCs w:val="20"/>
        </w:rPr>
        <w:footnoteRef/>
      </w:r>
      <w:r w:rsidRPr="00733722">
        <w:rPr>
          <w:rFonts w:asciiTheme="minorHAnsi" w:hAnsiTheme="minorHAnsi" w:cstheme="minorHAnsi"/>
          <w:sz w:val="20"/>
          <w:szCs w:val="20"/>
        </w:rPr>
        <w:t xml:space="preserve"> </w:t>
      </w:r>
      <w:r>
        <w:rPr>
          <w:rFonts w:asciiTheme="minorHAnsi" w:hAnsiTheme="minorHAnsi" w:cstheme="minorHAnsi"/>
          <w:sz w:val="20"/>
          <w:szCs w:val="20"/>
        </w:rPr>
        <w:tab/>
      </w:r>
      <w:r w:rsidRPr="00733722">
        <w:rPr>
          <w:rFonts w:asciiTheme="minorHAnsi" w:hAnsiTheme="minorHAnsi" w:cstheme="minorHAnsi"/>
          <w:bCs/>
          <w:sz w:val="20"/>
          <w:szCs w:val="20"/>
        </w:rPr>
        <w:t>Zákon č. 563/1991 Sb., o účetnictví</w:t>
      </w:r>
      <w:r>
        <w:rPr>
          <w:rFonts w:asciiTheme="minorHAnsi" w:hAnsiTheme="minorHAnsi" w:cstheme="minorHAnsi"/>
          <w:bCs/>
          <w:sz w:val="20"/>
          <w:szCs w:val="20"/>
        </w:rPr>
        <w:t>,</w:t>
      </w:r>
      <w:r w:rsidRPr="00733722">
        <w:rPr>
          <w:rFonts w:asciiTheme="minorHAnsi" w:hAnsiTheme="minorHAnsi" w:cstheme="minorHAnsi"/>
          <w:bCs/>
          <w:sz w:val="20"/>
          <w:szCs w:val="20"/>
        </w:rPr>
        <w:t xml:space="preserve"> byl s účinností od 1. ledna 2010 novelizován zákonem č. 304/2008 Sb., kterým se mění zákon č. 563/1991 Sb., o účetnictví, ve znění pozdějších předpisů, a některé zákony. Pro organizační složky státu byly stanoveny nové účetní metody implementující akruální principy pro vedení účetnictví a výkaznictví, byla stanovena nová směrná účtová osnova a účetní výkazy. Nově byly také stanoveny povinnosti týkající se předávání údajů do centrálního systému účetních informací státu. </w:t>
      </w:r>
    </w:p>
  </w:footnote>
  <w:footnote w:id="6">
    <w:p w14:paraId="76EA1B59" w14:textId="3BD54658" w:rsidR="00BE5F76" w:rsidRPr="00733722" w:rsidRDefault="00BE5F76" w:rsidP="00733722">
      <w:pPr>
        <w:pStyle w:val="Textpoznpodarou"/>
        <w:ind w:left="284" w:hanging="284"/>
        <w:jc w:val="both"/>
        <w:rPr>
          <w:rFonts w:asciiTheme="minorHAnsi" w:hAnsiTheme="minorHAnsi" w:cstheme="minorHAnsi"/>
        </w:rPr>
      </w:pPr>
      <w:r w:rsidRPr="00733722">
        <w:rPr>
          <w:rStyle w:val="Znakapoznpodarou"/>
          <w:rFonts w:asciiTheme="minorHAnsi" w:hAnsiTheme="minorHAnsi" w:cstheme="minorHAnsi"/>
        </w:rPr>
        <w:footnoteRef/>
      </w:r>
      <w:r w:rsidRPr="00733722">
        <w:rPr>
          <w:rFonts w:asciiTheme="minorHAnsi" w:hAnsiTheme="minorHAnsi" w:cstheme="minorHAnsi"/>
        </w:rPr>
        <w:t xml:space="preserve"> </w:t>
      </w:r>
      <w:r>
        <w:rPr>
          <w:rFonts w:asciiTheme="minorHAnsi" w:hAnsiTheme="minorHAnsi" w:cstheme="minorHAnsi"/>
        </w:rPr>
        <w:tab/>
      </w:r>
      <w:r w:rsidRPr="00733722">
        <w:rPr>
          <w:rFonts w:asciiTheme="minorHAnsi" w:hAnsiTheme="minorHAnsi" w:cstheme="minorHAnsi"/>
        </w:rPr>
        <w:t>V souladu s ustanovením § 21a odst. 5 zákona o účetnictví organizační složky státu zveřejňují účetní závěrk</w:t>
      </w:r>
      <w:r>
        <w:rPr>
          <w:rFonts w:asciiTheme="minorHAnsi" w:hAnsiTheme="minorHAnsi" w:cstheme="minorHAnsi"/>
        </w:rPr>
        <w:t>y</w:t>
      </w:r>
      <w:r w:rsidRPr="00733722">
        <w:rPr>
          <w:rFonts w:asciiTheme="minorHAnsi" w:hAnsiTheme="minorHAnsi" w:cstheme="minorHAnsi"/>
        </w:rPr>
        <w:t xml:space="preserve"> prostřednictvím Ministerstva financí způsobem umožňujícím dálkový přístup.</w:t>
      </w:r>
    </w:p>
  </w:footnote>
  <w:footnote w:id="7">
    <w:p w14:paraId="0E28284F" w14:textId="77FCAA2E" w:rsidR="00BE5F76" w:rsidRPr="00257929" w:rsidRDefault="00BE5F76" w:rsidP="00257929">
      <w:pPr>
        <w:ind w:left="227" w:hanging="227"/>
        <w:jc w:val="both"/>
        <w:rPr>
          <w:rFonts w:asciiTheme="minorHAnsi" w:hAnsiTheme="minorHAnsi" w:cstheme="minorHAnsi"/>
          <w:sz w:val="20"/>
          <w:szCs w:val="20"/>
        </w:rPr>
      </w:pPr>
      <w:r w:rsidRPr="00257929">
        <w:rPr>
          <w:rStyle w:val="Znakapoznpodarou"/>
          <w:rFonts w:asciiTheme="minorHAnsi" w:hAnsiTheme="minorHAnsi" w:cstheme="minorHAnsi"/>
          <w:sz w:val="20"/>
          <w:szCs w:val="20"/>
        </w:rPr>
        <w:footnoteRef/>
      </w:r>
      <w:r w:rsidRPr="00257929">
        <w:rPr>
          <w:rFonts w:asciiTheme="minorHAnsi" w:hAnsiTheme="minorHAnsi" w:cstheme="minorHAnsi"/>
          <w:sz w:val="20"/>
          <w:szCs w:val="20"/>
        </w:rPr>
        <w:t xml:space="preserve"> Dle návrhu zákona o pravidlech rozpočtové odpovědnosti (viz senátní tisk č. 349 dostupn</w:t>
      </w:r>
      <w:r>
        <w:rPr>
          <w:rFonts w:asciiTheme="minorHAnsi" w:hAnsiTheme="minorHAnsi" w:cstheme="minorHAnsi"/>
          <w:sz w:val="20"/>
          <w:szCs w:val="20"/>
        </w:rPr>
        <w:t>ý</w:t>
      </w:r>
      <w:r w:rsidRPr="00257929">
        <w:rPr>
          <w:rFonts w:asciiTheme="minorHAnsi" w:hAnsiTheme="minorHAnsi" w:cstheme="minorHAnsi"/>
          <w:sz w:val="20"/>
          <w:szCs w:val="20"/>
        </w:rPr>
        <w:t xml:space="preserve"> na </w:t>
      </w:r>
      <w:hyperlink r:id="rId1" w:history="1">
        <w:r w:rsidRPr="00C869E4">
          <w:rPr>
            <w:rStyle w:val="Hypertextovodkaz"/>
            <w:rFonts w:asciiTheme="minorHAnsi" w:hAnsiTheme="minorHAnsi" w:cstheme="minorHAnsi"/>
            <w:sz w:val="20"/>
            <w:szCs w:val="20"/>
            <w:u w:val="none"/>
          </w:rPr>
          <w:t>http://www.senat.cz/xqw/xervlet/pssenat/historie?cid=pssenat_historie.pHistorieTisku.list&amp;forEach.action=detail&amp;forEach.value=s3980</w:t>
        </w:r>
      </w:hyperlink>
      <w:r w:rsidRPr="00257929">
        <w:rPr>
          <w:rFonts w:asciiTheme="minorHAnsi" w:hAnsiTheme="minorHAnsi" w:cstheme="minorHAnsi"/>
          <w:sz w:val="20"/>
          <w:szCs w:val="20"/>
        </w:rPr>
        <w:t>) by měly být za Českou republiku zveřejňovány vybrané údaje stanovené tímto zákonem. Návrh zákona reaguje na povinnost transponovat do národních právních řádů směrnici Rady č. 2011/85/EU, o požadavcích na rozpočtové rámce členských států. Dle čl. 15 odst. 1 této směrnice byly členské státy povinny uvést v účinnost právní předpisy nezbytné pro dosažení souladu s touto směrnicí do 31.</w:t>
      </w:r>
      <w:r>
        <w:rPr>
          <w:rFonts w:asciiTheme="minorHAnsi" w:hAnsiTheme="minorHAnsi" w:cstheme="minorHAnsi"/>
          <w:sz w:val="20"/>
          <w:szCs w:val="20"/>
        </w:rPr>
        <w:t> </w:t>
      </w:r>
      <w:r w:rsidRPr="00257929">
        <w:rPr>
          <w:rFonts w:asciiTheme="minorHAnsi" w:hAnsiTheme="minorHAnsi" w:cstheme="minorHAnsi"/>
          <w:sz w:val="20"/>
          <w:szCs w:val="20"/>
        </w:rPr>
        <w:t>prosince 2013. Mezi povinně zveřejňované údaje patří i informace o podmíněných závazcích, u nichž lze očekávat, resp. nelze vyloučit, potenciálně významný dopad na veřejné finance.</w:t>
      </w:r>
    </w:p>
  </w:footnote>
  <w:footnote w:id="8">
    <w:p w14:paraId="359F25A8" w14:textId="1E1D26FB" w:rsidR="00BE5F76" w:rsidRPr="00C869E4" w:rsidRDefault="00BE5F76" w:rsidP="00257929">
      <w:pPr>
        <w:pStyle w:val="Textpoznpodarou"/>
        <w:ind w:left="227" w:hanging="227"/>
        <w:rPr>
          <w:rFonts w:asciiTheme="minorHAnsi" w:hAnsiTheme="minorHAnsi" w:cstheme="minorHAnsi"/>
        </w:rPr>
      </w:pPr>
      <w:r w:rsidRPr="00257929">
        <w:rPr>
          <w:rStyle w:val="Znakapoznpodarou"/>
          <w:rFonts w:asciiTheme="minorHAnsi" w:hAnsiTheme="minorHAnsi" w:cstheme="minorHAnsi"/>
        </w:rPr>
        <w:footnoteRef/>
      </w:r>
      <w:r w:rsidRPr="00257929">
        <w:rPr>
          <w:rFonts w:asciiTheme="minorHAnsi" w:hAnsiTheme="minorHAnsi" w:cstheme="minorHAnsi"/>
        </w:rPr>
        <w:t xml:space="preserve"> </w:t>
      </w:r>
      <w:r>
        <w:rPr>
          <w:rFonts w:asciiTheme="minorHAnsi" w:hAnsiTheme="minorHAnsi" w:cstheme="minorHAnsi"/>
        </w:rPr>
        <w:tab/>
      </w:r>
      <w:r w:rsidRPr="00257929">
        <w:rPr>
          <w:rFonts w:asciiTheme="minorHAnsi" w:hAnsiTheme="minorHAnsi" w:cstheme="minorHAnsi"/>
        </w:rPr>
        <w:t>Viz např. kontrolní závěr z kontrolní akce č. 15/35, zveřejněn</w:t>
      </w:r>
      <w:r>
        <w:rPr>
          <w:rFonts w:asciiTheme="minorHAnsi" w:hAnsiTheme="minorHAnsi" w:cstheme="minorHAnsi"/>
        </w:rPr>
        <w:t xml:space="preserve"> byl</w:t>
      </w:r>
      <w:r w:rsidRPr="00257929">
        <w:rPr>
          <w:rFonts w:asciiTheme="minorHAnsi" w:hAnsiTheme="minorHAnsi" w:cstheme="minorHAnsi"/>
        </w:rPr>
        <w:t xml:space="preserve"> v částce 4/2016 </w:t>
      </w:r>
      <w:r w:rsidRPr="00257929">
        <w:rPr>
          <w:rFonts w:asciiTheme="minorHAnsi" w:hAnsiTheme="minorHAnsi" w:cstheme="minorHAnsi"/>
          <w:i/>
        </w:rPr>
        <w:t>Věstníku NKÚ</w:t>
      </w:r>
      <w:r w:rsidRPr="00C869E4">
        <w:rPr>
          <w:rFonts w:asciiTheme="minorHAnsi" w:hAnsiTheme="minorHAnsi" w:cstheme="minorHAnsi"/>
        </w:rPr>
        <w:t>.</w:t>
      </w:r>
    </w:p>
  </w:footnote>
  <w:footnote w:id="9">
    <w:p w14:paraId="35747865" w14:textId="5F6D257A" w:rsidR="00BE5F76" w:rsidRPr="00C869E4" w:rsidRDefault="00BE5F76" w:rsidP="00257929">
      <w:pPr>
        <w:pStyle w:val="Textpoznpodarou"/>
        <w:ind w:left="227" w:hanging="227"/>
        <w:rPr>
          <w:rFonts w:asciiTheme="minorHAnsi" w:hAnsiTheme="minorHAnsi" w:cstheme="minorHAnsi"/>
        </w:rPr>
      </w:pPr>
      <w:r w:rsidRPr="00257929">
        <w:rPr>
          <w:rStyle w:val="Znakapoznpodarou"/>
          <w:rFonts w:asciiTheme="minorHAnsi" w:hAnsiTheme="minorHAnsi" w:cstheme="minorHAnsi"/>
        </w:rPr>
        <w:footnoteRef/>
      </w:r>
      <w:r w:rsidRPr="00257929">
        <w:rPr>
          <w:rFonts w:asciiTheme="minorHAnsi" w:hAnsiTheme="minorHAnsi" w:cstheme="minorHAnsi"/>
        </w:rPr>
        <w:t xml:space="preserve"> </w:t>
      </w:r>
      <w:r>
        <w:rPr>
          <w:rFonts w:asciiTheme="minorHAnsi" w:hAnsiTheme="minorHAnsi" w:cstheme="minorHAnsi"/>
        </w:rPr>
        <w:tab/>
      </w:r>
      <w:r w:rsidRPr="00257929">
        <w:rPr>
          <w:rFonts w:asciiTheme="minorHAnsi" w:hAnsiTheme="minorHAnsi" w:cstheme="minorHAnsi"/>
        </w:rPr>
        <w:t xml:space="preserve">Viz např. kontrolní závěr z kontrolní akce č. 15/32, zveřejněn </w:t>
      </w:r>
      <w:r>
        <w:rPr>
          <w:rFonts w:asciiTheme="minorHAnsi" w:hAnsiTheme="minorHAnsi" w:cstheme="minorHAnsi"/>
        </w:rPr>
        <w:t xml:space="preserve">byl </w:t>
      </w:r>
      <w:r w:rsidRPr="00257929">
        <w:rPr>
          <w:rFonts w:asciiTheme="minorHAnsi" w:hAnsiTheme="minorHAnsi" w:cstheme="minorHAnsi"/>
        </w:rPr>
        <w:t xml:space="preserve">v částce 4/2016 </w:t>
      </w:r>
      <w:r w:rsidRPr="00257929">
        <w:rPr>
          <w:rFonts w:asciiTheme="minorHAnsi" w:hAnsiTheme="minorHAnsi" w:cstheme="minorHAnsi"/>
          <w:i/>
        </w:rPr>
        <w:t>Věstníku NKÚ</w:t>
      </w:r>
      <w:r w:rsidRPr="00C869E4">
        <w:rPr>
          <w:rFonts w:asciiTheme="minorHAnsi" w:hAnsiTheme="minorHAnsi" w:cstheme="minorHAnsi"/>
        </w:rPr>
        <w:t>.</w:t>
      </w:r>
    </w:p>
  </w:footnote>
  <w:footnote w:id="10">
    <w:p w14:paraId="19143333" w14:textId="64F3ADE6" w:rsidR="00BE5F76" w:rsidRPr="00EA7B80" w:rsidRDefault="00BE5F76" w:rsidP="00257929">
      <w:pPr>
        <w:spacing w:before="40" w:after="120"/>
        <w:ind w:left="284" w:hanging="284"/>
        <w:jc w:val="both"/>
        <w:rPr>
          <w:rFonts w:ascii="Calibri" w:hAnsi="Calibri" w:cs="Calibri"/>
          <w:sz w:val="20"/>
          <w:szCs w:val="20"/>
        </w:rPr>
      </w:pPr>
      <w:r w:rsidRPr="00EA7B80">
        <w:rPr>
          <w:rStyle w:val="Znakapoznpodarou"/>
          <w:rFonts w:asciiTheme="minorHAnsi" w:hAnsiTheme="minorHAnsi"/>
          <w:sz w:val="20"/>
          <w:szCs w:val="20"/>
        </w:rPr>
        <w:footnoteRef/>
      </w:r>
      <w:r>
        <w:rPr>
          <w:sz w:val="20"/>
          <w:szCs w:val="20"/>
        </w:rPr>
        <w:t xml:space="preserve"> </w:t>
      </w:r>
      <w:r>
        <w:rPr>
          <w:sz w:val="20"/>
          <w:szCs w:val="20"/>
        </w:rPr>
        <w:tab/>
      </w:r>
      <w:proofErr w:type="spellStart"/>
      <w:r w:rsidRPr="00EA7B80">
        <w:rPr>
          <w:rFonts w:ascii="Calibri" w:hAnsi="Calibri" w:cs="Calibri"/>
          <w:sz w:val="20"/>
          <w:szCs w:val="20"/>
          <w:lang w:eastAsia="cs-CZ"/>
        </w:rPr>
        <w:t>MSp</w:t>
      </w:r>
      <w:proofErr w:type="spellEnd"/>
      <w:r w:rsidRPr="00EA7B80">
        <w:rPr>
          <w:rFonts w:ascii="Calibri" w:hAnsi="Calibri" w:cs="Calibri"/>
          <w:sz w:val="20"/>
          <w:szCs w:val="20"/>
          <w:lang w:eastAsia="cs-CZ"/>
        </w:rPr>
        <w:t xml:space="preserve"> nabylo bezúplatně tento majetek v roce 2003 v ocenění ve výši 190,7 mil. Kč</w:t>
      </w:r>
      <w:r>
        <w:rPr>
          <w:rFonts w:ascii="Calibri" w:hAnsi="Calibri" w:cs="Calibri"/>
          <w:sz w:val="20"/>
          <w:szCs w:val="20"/>
          <w:lang w:eastAsia="cs-CZ"/>
        </w:rPr>
        <w:t>,</w:t>
      </w:r>
      <w:r w:rsidRPr="00EA7B80">
        <w:rPr>
          <w:rFonts w:ascii="Calibri" w:hAnsi="Calibri" w:cs="Calibri"/>
          <w:sz w:val="20"/>
          <w:szCs w:val="20"/>
          <w:lang w:eastAsia="cs-CZ"/>
        </w:rPr>
        <w:t xml:space="preserve"> a to za účelem provedení jeho rekonstrukce a dostavby na Justiční areál Na </w:t>
      </w:r>
      <w:proofErr w:type="spellStart"/>
      <w:r w:rsidRPr="00EA7B80">
        <w:rPr>
          <w:rFonts w:ascii="Calibri" w:hAnsi="Calibri" w:cs="Calibri"/>
          <w:sz w:val="20"/>
          <w:szCs w:val="20"/>
          <w:lang w:eastAsia="cs-CZ"/>
        </w:rPr>
        <w:t>Míčánkách</w:t>
      </w:r>
      <w:proofErr w:type="spellEnd"/>
      <w:r w:rsidRPr="00EA7B80">
        <w:rPr>
          <w:rFonts w:ascii="Calibri" w:hAnsi="Calibri" w:cs="Calibri"/>
          <w:sz w:val="20"/>
          <w:szCs w:val="20"/>
          <w:lang w:eastAsia="cs-CZ"/>
        </w:rPr>
        <w:t>. Technické zhodnocení spočívající v rekonstrukci a v dostavbě areálu bylo zařazeno do užívání v roce 2006 v hodnotě 2 332,3 mil. Kč.</w:t>
      </w:r>
    </w:p>
  </w:footnote>
  <w:footnote w:id="11">
    <w:p w14:paraId="36FCFC60" w14:textId="5A33F1F9" w:rsidR="00BE5F76" w:rsidRPr="00257929" w:rsidRDefault="00BE5F76" w:rsidP="00257929">
      <w:pPr>
        <w:ind w:left="284" w:hanging="284"/>
        <w:jc w:val="both"/>
        <w:rPr>
          <w:rFonts w:asciiTheme="minorHAnsi" w:hAnsiTheme="minorHAnsi"/>
          <w:sz w:val="20"/>
          <w:szCs w:val="20"/>
        </w:rPr>
      </w:pPr>
      <w:r w:rsidRPr="00257929">
        <w:rPr>
          <w:rStyle w:val="Znakapoznpodarou"/>
          <w:rFonts w:asciiTheme="minorHAnsi" w:hAnsiTheme="minorHAnsi"/>
          <w:sz w:val="20"/>
          <w:szCs w:val="20"/>
        </w:rPr>
        <w:footnoteRef/>
      </w:r>
      <w:r w:rsidRPr="00257929">
        <w:rPr>
          <w:sz w:val="20"/>
          <w:szCs w:val="20"/>
        </w:rPr>
        <w:t xml:space="preserve"> </w:t>
      </w:r>
      <w:r>
        <w:rPr>
          <w:sz w:val="20"/>
          <w:szCs w:val="20"/>
        </w:rPr>
        <w:tab/>
      </w:r>
      <w:r w:rsidRPr="00257929">
        <w:rPr>
          <w:rFonts w:asciiTheme="minorHAnsi" w:hAnsiTheme="minorHAnsi"/>
          <w:sz w:val="20"/>
          <w:szCs w:val="20"/>
        </w:rPr>
        <w:t xml:space="preserve">Jednalo se o projekty realizované v rámci </w:t>
      </w:r>
      <w:r w:rsidR="000D7185">
        <w:rPr>
          <w:rFonts w:asciiTheme="minorHAnsi" w:hAnsiTheme="minorHAnsi"/>
          <w:sz w:val="20"/>
          <w:szCs w:val="20"/>
        </w:rPr>
        <w:t>o</w:t>
      </w:r>
      <w:r w:rsidRPr="00257929">
        <w:rPr>
          <w:rFonts w:asciiTheme="minorHAnsi" w:hAnsiTheme="minorHAnsi"/>
          <w:sz w:val="20"/>
          <w:szCs w:val="20"/>
        </w:rPr>
        <w:t xml:space="preserve">peračního programu </w:t>
      </w:r>
      <w:r w:rsidRPr="00C869E4">
        <w:rPr>
          <w:rFonts w:asciiTheme="minorHAnsi" w:hAnsiTheme="minorHAnsi"/>
          <w:i/>
          <w:sz w:val="20"/>
          <w:szCs w:val="20"/>
        </w:rPr>
        <w:t>Lidské zdroje a zaměstnanost</w:t>
      </w:r>
      <w:r w:rsidRPr="00257929">
        <w:rPr>
          <w:rFonts w:asciiTheme="minorHAnsi" w:hAnsiTheme="minorHAnsi"/>
          <w:sz w:val="20"/>
          <w:szCs w:val="20"/>
        </w:rPr>
        <w:t xml:space="preserve"> (dále jen „OP</w:t>
      </w:r>
      <w:r>
        <w:rPr>
          <w:rFonts w:asciiTheme="minorHAnsi" w:hAnsiTheme="minorHAnsi"/>
          <w:sz w:val="20"/>
          <w:szCs w:val="20"/>
        </w:rPr>
        <w:t> </w:t>
      </w:r>
      <w:r w:rsidRPr="00257929">
        <w:rPr>
          <w:rFonts w:asciiTheme="minorHAnsi" w:hAnsiTheme="minorHAnsi"/>
          <w:sz w:val="20"/>
          <w:szCs w:val="20"/>
        </w:rPr>
        <w:t xml:space="preserve">LZZ“) a o projekt realizovaný v rámci </w:t>
      </w:r>
      <w:r w:rsidRPr="00C869E4">
        <w:rPr>
          <w:rFonts w:asciiTheme="minorHAnsi" w:hAnsiTheme="minorHAnsi"/>
          <w:i/>
          <w:sz w:val="20"/>
          <w:szCs w:val="20"/>
        </w:rPr>
        <w:t>Programu švýcarsko-české spolupráce</w:t>
      </w:r>
      <w:r w:rsidRPr="00257929">
        <w:rPr>
          <w:rFonts w:asciiTheme="minorHAnsi" w:hAnsiTheme="minorHAnsi"/>
          <w:sz w:val="20"/>
          <w:szCs w:val="20"/>
        </w:rPr>
        <w:t xml:space="preserve">. </w:t>
      </w:r>
    </w:p>
  </w:footnote>
  <w:footnote w:id="12">
    <w:p w14:paraId="226AC857" w14:textId="4BC052E2" w:rsidR="00BE5F76" w:rsidRPr="00C869E4" w:rsidRDefault="00BE5F76" w:rsidP="00257929">
      <w:pPr>
        <w:pStyle w:val="Textpoznpodarou"/>
        <w:ind w:left="284" w:hanging="284"/>
        <w:jc w:val="both"/>
        <w:rPr>
          <w:rFonts w:asciiTheme="minorHAnsi" w:hAnsiTheme="minorHAnsi" w:cstheme="minorHAnsi"/>
        </w:rPr>
      </w:pPr>
      <w:r w:rsidRPr="00257929">
        <w:rPr>
          <w:rStyle w:val="Znakapoznpodarou"/>
          <w:rFonts w:asciiTheme="minorHAnsi" w:hAnsiTheme="minorHAnsi"/>
        </w:rPr>
        <w:footnoteRef/>
      </w:r>
      <w:r w:rsidRPr="00257929">
        <w:t xml:space="preserve"> </w:t>
      </w:r>
      <w:r>
        <w:tab/>
      </w:r>
      <w:r w:rsidRPr="00257929">
        <w:rPr>
          <w:rFonts w:asciiTheme="minorHAnsi" w:hAnsiTheme="minorHAnsi" w:cstheme="minorHAnsi"/>
        </w:rPr>
        <w:t>V p</w:t>
      </w:r>
      <w:r w:rsidRPr="00257929">
        <w:rPr>
          <w:rFonts w:asciiTheme="minorHAnsi" w:hAnsiTheme="minorHAnsi"/>
        </w:rPr>
        <w:t xml:space="preserve">rojektech realizovaných v rámci OP LZZ a v projektu realizovaném v rámci </w:t>
      </w:r>
      <w:r w:rsidRPr="00C869E4">
        <w:rPr>
          <w:rFonts w:asciiTheme="minorHAnsi" w:hAnsiTheme="minorHAnsi"/>
          <w:i/>
        </w:rPr>
        <w:t>Integrovaného operačního programu</w:t>
      </w:r>
      <w:r w:rsidRPr="00257929">
        <w:rPr>
          <w:rFonts w:asciiTheme="minorHAnsi" w:hAnsiTheme="minorHAnsi"/>
        </w:rPr>
        <w:t>.</w:t>
      </w:r>
    </w:p>
  </w:footnote>
  <w:footnote w:id="13">
    <w:p w14:paraId="759486CC" w14:textId="73366F5C" w:rsidR="00BE5F76" w:rsidRPr="007C2E32" w:rsidRDefault="00BE5F76" w:rsidP="00EF393E">
      <w:pPr>
        <w:pStyle w:val="Textpoznpodarou"/>
        <w:ind w:left="284" w:hanging="284"/>
        <w:rPr>
          <w:rFonts w:asciiTheme="minorHAnsi" w:hAnsiTheme="minorHAnsi"/>
        </w:rPr>
      </w:pPr>
      <w:r w:rsidRPr="007C2E32">
        <w:rPr>
          <w:rStyle w:val="Znakapoznpodarou"/>
          <w:rFonts w:asciiTheme="minorHAnsi" w:hAnsiTheme="minorHAnsi"/>
        </w:rPr>
        <w:footnoteRef/>
      </w:r>
      <w:r w:rsidRPr="007C2E32">
        <w:rPr>
          <w:rFonts w:asciiTheme="minorHAnsi" w:hAnsiTheme="minorHAnsi"/>
        </w:rPr>
        <w:t xml:space="preserve"> </w:t>
      </w:r>
      <w:r>
        <w:rPr>
          <w:rFonts w:asciiTheme="minorHAnsi" w:hAnsiTheme="minorHAnsi"/>
        </w:rPr>
        <w:tab/>
      </w:r>
      <w:r w:rsidRPr="007C2E32">
        <w:rPr>
          <w:rFonts w:asciiTheme="minorHAnsi" w:hAnsiTheme="minorHAnsi"/>
        </w:rPr>
        <w:t>Částka byla vyčíslena na vzorku dvaceti smluv.</w:t>
      </w:r>
    </w:p>
  </w:footnote>
  <w:footnote w:id="14">
    <w:p w14:paraId="5E042E1A" w14:textId="0054F6D0" w:rsidR="00BE5F76" w:rsidRPr="004A5986" w:rsidRDefault="00BE5F76" w:rsidP="00213EC0">
      <w:pPr>
        <w:pStyle w:val="Textpoznpodarou"/>
        <w:ind w:left="284" w:hanging="284"/>
        <w:jc w:val="both"/>
        <w:rPr>
          <w:rFonts w:asciiTheme="minorHAnsi" w:hAnsiTheme="minorHAnsi" w:cstheme="minorHAnsi"/>
        </w:rPr>
      </w:pPr>
      <w:r w:rsidRPr="004A5986">
        <w:rPr>
          <w:rStyle w:val="Znakapoznpodarou"/>
          <w:rFonts w:asciiTheme="minorHAnsi" w:hAnsiTheme="minorHAnsi" w:cstheme="minorHAnsi"/>
        </w:rPr>
        <w:footnoteRef/>
      </w:r>
      <w:r w:rsidR="00213EC0">
        <w:rPr>
          <w:rFonts w:asciiTheme="minorHAnsi" w:hAnsiTheme="minorHAnsi" w:cstheme="minorHAnsi"/>
        </w:rPr>
        <w:tab/>
      </w:r>
      <w:r w:rsidRPr="004A5986">
        <w:rPr>
          <w:rFonts w:asciiTheme="minorHAnsi" w:hAnsiTheme="minorHAnsi" w:cstheme="minorHAnsi"/>
        </w:rPr>
        <w:t xml:space="preserve">Povinnost provádět vzájemné odsouhlasení pohledávek a závazků </w:t>
      </w:r>
      <w:r w:rsidR="00920CFF">
        <w:rPr>
          <w:rFonts w:asciiTheme="minorHAnsi" w:hAnsiTheme="minorHAnsi" w:cstheme="minorHAnsi"/>
        </w:rPr>
        <w:t>stanovuje od počátku</w:t>
      </w:r>
      <w:r w:rsidRPr="004A5986">
        <w:rPr>
          <w:rFonts w:asciiTheme="minorHAnsi" w:hAnsiTheme="minorHAnsi" w:cstheme="minorHAnsi"/>
        </w:rPr>
        <w:t xml:space="preserve"> účetní</w:t>
      </w:r>
      <w:r w:rsidR="00920CFF">
        <w:rPr>
          <w:rFonts w:asciiTheme="minorHAnsi" w:hAnsiTheme="minorHAnsi" w:cstheme="minorHAnsi"/>
        </w:rPr>
        <w:t>ho</w:t>
      </w:r>
      <w:r w:rsidRPr="004A5986">
        <w:rPr>
          <w:rFonts w:asciiTheme="minorHAnsi" w:hAnsiTheme="minorHAnsi" w:cstheme="minorHAnsi"/>
        </w:rPr>
        <w:t xml:space="preserve"> obdobím 2015 </w:t>
      </w:r>
      <w:r w:rsidR="00920CFF">
        <w:rPr>
          <w:rFonts w:asciiTheme="minorHAnsi" w:hAnsiTheme="minorHAnsi" w:cstheme="minorHAnsi"/>
        </w:rPr>
        <w:t>i</w:t>
      </w:r>
      <w:r w:rsidRPr="004A5986">
        <w:rPr>
          <w:rFonts w:asciiTheme="minorHAnsi" w:hAnsiTheme="minorHAnsi" w:cstheme="minorHAnsi"/>
        </w:rPr>
        <w:t xml:space="preserve"> § 22 vyhlášky č. 312/2014 Sb., o podmínkách sestavení účetních výkazů za Českou republiku (konsolidační vyhláška státu). </w:t>
      </w:r>
    </w:p>
    <w:p w14:paraId="61698E29" w14:textId="77777777" w:rsidR="00BE5F76" w:rsidRPr="00753F12" w:rsidRDefault="00BE5F76" w:rsidP="00A968D9">
      <w:pPr>
        <w:pStyle w:val="Textpoznpodarou"/>
        <w:rPr>
          <w:rFonts w:asciiTheme="minorHAnsi" w:hAnsiTheme="minorHAnsi" w:cs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09FEA" w14:textId="6FC45535" w:rsidR="00BE5F76" w:rsidRPr="00D3754D" w:rsidRDefault="00BE5F76">
    <w:pPr>
      <w:pStyle w:val="Zhlav"/>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7B6"/>
    <w:multiLevelType w:val="multilevel"/>
    <w:tmpl w:val="CEB0D89C"/>
    <w:lvl w:ilvl="0">
      <w:start w:val="1"/>
      <w:numFmt w:val="decimal"/>
      <w:lvlText w:val="%1."/>
      <w:lvlJc w:val="left"/>
      <w:pPr>
        <w:ind w:left="360" w:hanging="360"/>
      </w:pPr>
      <w:rPr>
        <w:rFonts w:cs="Times New Roman"/>
      </w:rPr>
    </w:lvl>
    <w:lvl w:ilvl="1">
      <w:start w:val="62"/>
      <w:numFmt w:val="bullet"/>
      <w:lvlText w:val="–"/>
      <w:lvlJc w:val="left"/>
      <w:pPr>
        <w:ind w:left="792" w:hanging="432"/>
      </w:pPr>
      <w:rPr>
        <w:rFonts w:ascii="Times New Roman" w:eastAsia="Times New Roman" w:hAnsi="Times New Roman" w:hint="default"/>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68F3AD3"/>
    <w:multiLevelType w:val="hybridMultilevel"/>
    <w:tmpl w:val="593CB1CA"/>
    <w:lvl w:ilvl="0" w:tplc="BA8C2414">
      <w:start w:val="1"/>
      <w:numFmt w:val="decimal"/>
      <w:lvlText w:val="%1."/>
      <w:lvlJc w:val="left"/>
      <w:pPr>
        <w:ind w:left="1080" w:hanging="360"/>
      </w:pPr>
      <w:rPr>
        <w:rFonts w:asciiTheme="minorHAnsi" w:eastAsia="Times New Roman" w:hAnsiTheme="minorHAnsi"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B36403C"/>
    <w:multiLevelType w:val="hybridMultilevel"/>
    <w:tmpl w:val="1F3CA9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EB4748"/>
    <w:multiLevelType w:val="hybridMultilevel"/>
    <w:tmpl w:val="A57055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E690270"/>
    <w:multiLevelType w:val="hybridMultilevel"/>
    <w:tmpl w:val="30BC03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05000B8"/>
    <w:multiLevelType w:val="hybridMultilevel"/>
    <w:tmpl w:val="20ACE270"/>
    <w:lvl w:ilvl="0" w:tplc="13F2829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07A462B"/>
    <w:multiLevelType w:val="hybridMultilevel"/>
    <w:tmpl w:val="6450E4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485D3D"/>
    <w:multiLevelType w:val="hybridMultilevel"/>
    <w:tmpl w:val="5F9EB1F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9A74A7D"/>
    <w:multiLevelType w:val="hybridMultilevel"/>
    <w:tmpl w:val="0E6486F8"/>
    <w:lvl w:ilvl="0" w:tplc="8DF2E96A">
      <w:start w:val="1"/>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A7C34C8"/>
    <w:multiLevelType w:val="hybridMultilevel"/>
    <w:tmpl w:val="35FEDAF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D31148B"/>
    <w:multiLevelType w:val="hybridMultilevel"/>
    <w:tmpl w:val="140213AE"/>
    <w:lvl w:ilvl="0" w:tplc="904C2F96">
      <w:start w:val="1"/>
      <w:numFmt w:val="decimal"/>
      <w:lvlText w:val="%1."/>
      <w:lvlJc w:val="left"/>
      <w:pPr>
        <w:ind w:left="1068" w:hanging="360"/>
      </w:pPr>
      <w:rPr>
        <w:rFonts w:cstheme="minorHAnsi"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nsid w:val="1DB14AA4"/>
    <w:multiLevelType w:val="hybridMultilevel"/>
    <w:tmpl w:val="17381F2E"/>
    <w:lvl w:ilvl="0" w:tplc="69EC1214">
      <w:start w:val="1"/>
      <w:numFmt w:val="bullet"/>
      <w:pStyle w:val="Fousteka"/>
      <w:lvlText w:val=""/>
      <w:lvlJc w:val="left"/>
      <w:pPr>
        <w:tabs>
          <w:tab w:val="num" w:pos="721"/>
        </w:tabs>
        <w:ind w:left="721" w:hanging="381"/>
      </w:pPr>
      <w:rPr>
        <w:rFonts w:ascii="Symbol" w:hAnsi="Symbol" w:hint="default"/>
        <w:sz w:val="16"/>
      </w:rPr>
    </w:lvl>
    <w:lvl w:ilvl="1" w:tplc="5490A942">
      <w:numFmt w:val="bullet"/>
      <w:lvlText w:val="–"/>
      <w:lvlJc w:val="left"/>
      <w:pPr>
        <w:tabs>
          <w:tab w:val="num" w:pos="1441"/>
        </w:tabs>
        <w:ind w:left="1441" w:hanging="360"/>
      </w:pPr>
      <w:rPr>
        <w:rFonts w:ascii="Times New Roman" w:eastAsia="Times New Roman" w:hAnsi="Times New Roman" w:cs="Times New Roman" w:hint="default"/>
      </w:rPr>
    </w:lvl>
    <w:lvl w:ilvl="2" w:tplc="04050005" w:tentative="1">
      <w:start w:val="1"/>
      <w:numFmt w:val="bullet"/>
      <w:lvlText w:val=""/>
      <w:lvlJc w:val="left"/>
      <w:pPr>
        <w:tabs>
          <w:tab w:val="num" w:pos="2161"/>
        </w:tabs>
        <w:ind w:left="2161" w:hanging="360"/>
      </w:pPr>
      <w:rPr>
        <w:rFonts w:ascii="Wingdings" w:hAnsi="Wingdings" w:hint="default"/>
      </w:rPr>
    </w:lvl>
    <w:lvl w:ilvl="3" w:tplc="04050001" w:tentative="1">
      <w:start w:val="1"/>
      <w:numFmt w:val="bullet"/>
      <w:lvlText w:val=""/>
      <w:lvlJc w:val="left"/>
      <w:pPr>
        <w:tabs>
          <w:tab w:val="num" w:pos="2881"/>
        </w:tabs>
        <w:ind w:left="2881" w:hanging="360"/>
      </w:pPr>
      <w:rPr>
        <w:rFonts w:ascii="Symbol" w:hAnsi="Symbol" w:hint="default"/>
      </w:rPr>
    </w:lvl>
    <w:lvl w:ilvl="4" w:tplc="04050003" w:tentative="1">
      <w:start w:val="1"/>
      <w:numFmt w:val="bullet"/>
      <w:lvlText w:val="o"/>
      <w:lvlJc w:val="left"/>
      <w:pPr>
        <w:tabs>
          <w:tab w:val="num" w:pos="3601"/>
        </w:tabs>
        <w:ind w:left="3601" w:hanging="360"/>
      </w:pPr>
      <w:rPr>
        <w:rFonts w:ascii="Courier New" w:hAnsi="Courier New" w:hint="default"/>
      </w:rPr>
    </w:lvl>
    <w:lvl w:ilvl="5" w:tplc="04050005" w:tentative="1">
      <w:start w:val="1"/>
      <w:numFmt w:val="bullet"/>
      <w:lvlText w:val=""/>
      <w:lvlJc w:val="left"/>
      <w:pPr>
        <w:tabs>
          <w:tab w:val="num" w:pos="4321"/>
        </w:tabs>
        <w:ind w:left="4321" w:hanging="360"/>
      </w:pPr>
      <w:rPr>
        <w:rFonts w:ascii="Wingdings" w:hAnsi="Wingdings" w:hint="default"/>
      </w:rPr>
    </w:lvl>
    <w:lvl w:ilvl="6" w:tplc="04050001" w:tentative="1">
      <w:start w:val="1"/>
      <w:numFmt w:val="bullet"/>
      <w:lvlText w:val=""/>
      <w:lvlJc w:val="left"/>
      <w:pPr>
        <w:tabs>
          <w:tab w:val="num" w:pos="5041"/>
        </w:tabs>
        <w:ind w:left="5041" w:hanging="360"/>
      </w:pPr>
      <w:rPr>
        <w:rFonts w:ascii="Symbol" w:hAnsi="Symbol" w:hint="default"/>
      </w:rPr>
    </w:lvl>
    <w:lvl w:ilvl="7" w:tplc="04050003" w:tentative="1">
      <w:start w:val="1"/>
      <w:numFmt w:val="bullet"/>
      <w:lvlText w:val="o"/>
      <w:lvlJc w:val="left"/>
      <w:pPr>
        <w:tabs>
          <w:tab w:val="num" w:pos="5761"/>
        </w:tabs>
        <w:ind w:left="5761" w:hanging="360"/>
      </w:pPr>
      <w:rPr>
        <w:rFonts w:ascii="Courier New" w:hAnsi="Courier New" w:hint="default"/>
      </w:rPr>
    </w:lvl>
    <w:lvl w:ilvl="8" w:tplc="04050005" w:tentative="1">
      <w:start w:val="1"/>
      <w:numFmt w:val="bullet"/>
      <w:lvlText w:val=""/>
      <w:lvlJc w:val="left"/>
      <w:pPr>
        <w:tabs>
          <w:tab w:val="num" w:pos="6481"/>
        </w:tabs>
        <w:ind w:left="6481" w:hanging="360"/>
      </w:pPr>
      <w:rPr>
        <w:rFonts w:ascii="Wingdings" w:hAnsi="Wingdings" w:hint="default"/>
      </w:rPr>
    </w:lvl>
  </w:abstractNum>
  <w:abstractNum w:abstractNumId="12">
    <w:nsid w:val="205359BD"/>
    <w:multiLevelType w:val="hybridMultilevel"/>
    <w:tmpl w:val="10BEAF6A"/>
    <w:lvl w:ilvl="0" w:tplc="E4EE2B28">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2490303"/>
    <w:multiLevelType w:val="hybridMultilevel"/>
    <w:tmpl w:val="6F3839D2"/>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14">
    <w:nsid w:val="22F95E7B"/>
    <w:multiLevelType w:val="hybridMultilevel"/>
    <w:tmpl w:val="0D76E4F2"/>
    <w:lvl w:ilvl="0" w:tplc="BADAC8C0">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6E60C63"/>
    <w:multiLevelType w:val="hybridMultilevel"/>
    <w:tmpl w:val="DE8EB2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95A16DC"/>
    <w:multiLevelType w:val="hybridMultilevel"/>
    <w:tmpl w:val="A106E0AE"/>
    <w:lvl w:ilvl="0" w:tplc="E4DC74DC">
      <w:start w:val="1"/>
      <w:numFmt w:val="decimal"/>
      <w:lvlText w:val="%1."/>
      <w:lvlJc w:val="left"/>
      <w:pPr>
        <w:ind w:left="1080" w:hanging="360"/>
      </w:pPr>
      <w:rPr>
        <w:rFonts w:ascii="Times New Roman" w:eastAsia="Times New Roman" w:hAnsi="Times New Roman"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nsid w:val="2B03560C"/>
    <w:multiLevelType w:val="hybridMultilevel"/>
    <w:tmpl w:val="5B6242C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8">
    <w:nsid w:val="2BE47E9B"/>
    <w:multiLevelType w:val="multilevel"/>
    <w:tmpl w:val="9CC0F76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4F5418"/>
    <w:multiLevelType w:val="hybridMultilevel"/>
    <w:tmpl w:val="C3D09D48"/>
    <w:lvl w:ilvl="0" w:tplc="04050001">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20">
    <w:nsid w:val="39E67BF4"/>
    <w:multiLevelType w:val="hybridMultilevel"/>
    <w:tmpl w:val="A2B0B9A8"/>
    <w:lvl w:ilvl="0" w:tplc="008087FA">
      <w:start w:val="1"/>
      <w:numFmt w:val="bullet"/>
      <w:pStyle w:val="Fousnadpis"/>
      <w:lvlText w:val=""/>
      <w:lvlJc w:val="left"/>
      <w:pPr>
        <w:tabs>
          <w:tab w:val="num" w:pos="720"/>
        </w:tabs>
        <w:ind w:left="720" w:hanging="380"/>
      </w:pPr>
      <w:rPr>
        <w:rFonts w:ascii="Symbol" w:hAnsi="Symbol" w:hint="default"/>
      </w:rPr>
    </w:lvl>
    <w:lvl w:ilvl="1" w:tplc="5490A94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E434274"/>
    <w:multiLevelType w:val="hybridMultilevel"/>
    <w:tmpl w:val="060A1E9C"/>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2">
    <w:nsid w:val="3EAF7787"/>
    <w:multiLevelType w:val="hybridMultilevel"/>
    <w:tmpl w:val="E3560B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41F349AE"/>
    <w:multiLevelType w:val="multilevel"/>
    <w:tmpl w:val="46E886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9F5FC9"/>
    <w:multiLevelType w:val="hybridMultilevel"/>
    <w:tmpl w:val="69E4E464"/>
    <w:lvl w:ilvl="0" w:tplc="1DAA56CC">
      <w:start w:val="1"/>
      <w:numFmt w:val="decimal"/>
      <w:lvlText w:val="10.%1"/>
      <w:lvlJc w:val="left"/>
      <w:pPr>
        <w:ind w:left="720" w:hanging="360"/>
      </w:pPr>
      <w:rPr>
        <w:rFonts w:hint="default"/>
      </w:rPr>
    </w:lvl>
    <w:lvl w:ilvl="1" w:tplc="8F24BD06">
      <w:start w:val="1"/>
      <w:numFmt w:val="decimal"/>
      <w:lvlText w:val="%2)"/>
      <w:lvlJc w:val="left"/>
      <w:pPr>
        <w:tabs>
          <w:tab w:val="num" w:pos="1440"/>
        </w:tabs>
        <w:ind w:left="1440" w:hanging="360"/>
      </w:pPr>
      <w:rPr>
        <w:rFonts w:hint="default"/>
      </w:rPr>
    </w:lvl>
    <w:lvl w:ilvl="2" w:tplc="D9369980">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1F2159"/>
    <w:multiLevelType w:val="multilevel"/>
    <w:tmpl w:val="2F589E66"/>
    <w:lvl w:ilvl="0">
      <w:start w:val="1"/>
      <w:numFmt w:val="decimal"/>
      <w:pStyle w:val="lenn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A340258"/>
    <w:multiLevelType w:val="hybridMultilevel"/>
    <w:tmpl w:val="E5C688B8"/>
    <w:lvl w:ilvl="0" w:tplc="B584286A">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A502E2D"/>
    <w:multiLevelType w:val="hybridMultilevel"/>
    <w:tmpl w:val="E30828B8"/>
    <w:lvl w:ilvl="0" w:tplc="92C07AB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BBA6DE2"/>
    <w:multiLevelType w:val="hybridMultilevel"/>
    <w:tmpl w:val="B54A53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E6006E3"/>
    <w:multiLevelType w:val="hybridMultilevel"/>
    <w:tmpl w:val="6F220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51921D81"/>
    <w:multiLevelType w:val="hybridMultilevel"/>
    <w:tmpl w:val="0B4CAC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6BF2913"/>
    <w:multiLevelType w:val="hybridMultilevel"/>
    <w:tmpl w:val="B51A4BC2"/>
    <w:lvl w:ilvl="0" w:tplc="45E60D26">
      <w:start w:val="1"/>
      <w:numFmt w:val="decimal"/>
      <w:pStyle w:val="KZ-nadpis"/>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770DE"/>
    <w:multiLevelType w:val="hybridMultilevel"/>
    <w:tmpl w:val="73445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636772D"/>
    <w:multiLevelType w:val="hybridMultilevel"/>
    <w:tmpl w:val="194E0F2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nsid w:val="66412B43"/>
    <w:multiLevelType w:val="hybridMultilevel"/>
    <w:tmpl w:val="CD50E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6796C62"/>
    <w:multiLevelType w:val="hybridMultilevel"/>
    <w:tmpl w:val="62D28E34"/>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6">
    <w:nsid w:val="691B774F"/>
    <w:multiLevelType w:val="hybridMultilevel"/>
    <w:tmpl w:val="64963762"/>
    <w:lvl w:ilvl="0" w:tplc="04050017">
      <w:start w:val="1"/>
      <w:numFmt w:val="bullet"/>
      <w:pStyle w:val="Fous"/>
      <w:lvlText w:val=""/>
      <w:lvlJc w:val="left"/>
      <w:pPr>
        <w:tabs>
          <w:tab w:val="num" w:pos="722"/>
        </w:tabs>
        <w:ind w:left="722" w:hanging="382"/>
      </w:pPr>
      <w:rPr>
        <w:rFonts w:ascii="Symbol" w:hAnsi="Symbol" w:hint="default"/>
      </w:rPr>
    </w:lvl>
    <w:lvl w:ilvl="1" w:tplc="04050019" w:tentative="1">
      <w:start w:val="1"/>
      <w:numFmt w:val="bullet"/>
      <w:lvlText w:val="o"/>
      <w:lvlJc w:val="left"/>
      <w:pPr>
        <w:tabs>
          <w:tab w:val="num" w:pos="1442"/>
        </w:tabs>
        <w:ind w:left="1442" w:hanging="360"/>
      </w:pPr>
      <w:rPr>
        <w:rFonts w:ascii="Courier New" w:hAnsi="Courier New" w:hint="default"/>
      </w:rPr>
    </w:lvl>
    <w:lvl w:ilvl="2" w:tplc="0405001B" w:tentative="1">
      <w:start w:val="1"/>
      <w:numFmt w:val="bullet"/>
      <w:lvlText w:val=""/>
      <w:lvlJc w:val="left"/>
      <w:pPr>
        <w:tabs>
          <w:tab w:val="num" w:pos="2162"/>
        </w:tabs>
        <w:ind w:left="2162" w:hanging="360"/>
      </w:pPr>
      <w:rPr>
        <w:rFonts w:ascii="Wingdings" w:hAnsi="Wingdings" w:hint="default"/>
      </w:rPr>
    </w:lvl>
    <w:lvl w:ilvl="3" w:tplc="0405000F" w:tentative="1">
      <w:start w:val="1"/>
      <w:numFmt w:val="bullet"/>
      <w:lvlText w:val=""/>
      <w:lvlJc w:val="left"/>
      <w:pPr>
        <w:tabs>
          <w:tab w:val="num" w:pos="2882"/>
        </w:tabs>
        <w:ind w:left="2882" w:hanging="360"/>
      </w:pPr>
      <w:rPr>
        <w:rFonts w:ascii="Symbol" w:hAnsi="Symbol" w:hint="default"/>
      </w:rPr>
    </w:lvl>
    <w:lvl w:ilvl="4" w:tplc="04050019" w:tentative="1">
      <w:start w:val="1"/>
      <w:numFmt w:val="bullet"/>
      <w:lvlText w:val="o"/>
      <w:lvlJc w:val="left"/>
      <w:pPr>
        <w:tabs>
          <w:tab w:val="num" w:pos="3602"/>
        </w:tabs>
        <w:ind w:left="3602" w:hanging="360"/>
      </w:pPr>
      <w:rPr>
        <w:rFonts w:ascii="Courier New" w:hAnsi="Courier New" w:hint="default"/>
      </w:rPr>
    </w:lvl>
    <w:lvl w:ilvl="5" w:tplc="0405001B" w:tentative="1">
      <w:start w:val="1"/>
      <w:numFmt w:val="bullet"/>
      <w:lvlText w:val=""/>
      <w:lvlJc w:val="left"/>
      <w:pPr>
        <w:tabs>
          <w:tab w:val="num" w:pos="4322"/>
        </w:tabs>
        <w:ind w:left="4322" w:hanging="360"/>
      </w:pPr>
      <w:rPr>
        <w:rFonts w:ascii="Wingdings" w:hAnsi="Wingdings" w:hint="default"/>
      </w:rPr>
    </w:lvl>
    <w:lvl w:ilvl="6" w:tplc="0405000F" w:tentative="1">
      <w:start w:val="1"/>
      <w:numFmt w:val="bullet"/>
      <w:lvlText w:val=""/>
      <w:lvlJc w:val="left"/>
      <w:pPr>
        <w:tabs>
          <w:tab w:val="num" w:pos="5042"/>
        </w:tabs>
        <w:ind w:left="5042" w:hanging="360"/>
      </w:pPr>
      <w:rPr>
        <w:rFonts w:ascii="Symbol" w:hAnsi="Symbol" w:hint="default"/>
      </w:rPr>
    </w:lvl>
    <w:lvl w:ilvl="7" w:tplc="04050019" w:tentative="1">
      <w:start w:val="1"/>
      <w:numFmt w:val="bullet"/>
      <w:lvlText w:val="o"/>
      <w:lvlJc w:val="left"/>
      <w:pPr>
        <w:tabs>
          <w:tab w:val="num" w:pos="5762"/>
        </w:tabs>
        <w:ind w:left="5762" w:hanging="360"/>
      </w:pPr>
      <w:rPr>
        <w:rFonts w:ascii="Courier New" w:hAnsi="Courier New" w:hint="default"/>
      </w:rPr>
    </w:lvl>
    <w:lvl w:ilvl="8" w:tplc="0405001B" w:tentative="1">
      <w:start w:val="1"/>
      <w:numFmt w:val="bullet"/>
      <w:lvlText w:val=""/>
      <w:lvlJc w:val="left"/>
      <w:pPr>
        <w:tabs>
          <w:tab w:val="num" w:pos="6482"/>
        </w:tabs>
        <w:ind w:left="6482" w:hanging="360"/>
      </w:pPr>
      <w:rPr>
        <w:rFonts w:ascii="Wingdings" w:hAnsi="Wingdings" w:hint="default"/>
      </w:rPr>
    </w:lvl>
  </w:abstractNum>
  <w:abstractNum w:abstractNumId="37">
    <w:nsid w:val="6B97462E"/>
    <w:multiLevelType w:val="hybridMultilevel"/>
    <w:tmpl w:val="1908936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nsid w:val="71424AC0"/>
    <w:multiLevelType w:val="hybridMultilevel"/>
    <w:tmpl w:val="8BA8358C"/>
    <w:lvl w:ilvl="0" w:tplc="ECCABD0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40A02FC"/>
    <w:multiLevelType w:val="hybridMultilevel"/>
    <w:tmpl w:val="ADF8B232"/>
    <w:lvl w:ilvl="0" w:tplc="685E6B7C">
      <w:start w:val="1"/>
      <w:numFmt w:val="upperRoman"/>
      <w:pStyle w:val="Nadpis5"/>
      <w:lvlText w:val="%1."/>
      <w:lvlJc w:val="right"/>
      <w:pPr>
        <w:tabs>
          <w:tab w:val="num" w:pos="540"/>
        </w:tabs>
        <w:ind w:left="540" w:hanging="180"/>
      </w:pPr>
    </w:lvl>
    <w:lvl w:ilvl="1" w:tplc="04050003">
      <w:start w:val="1"/>
      <w:numFmt w:val="decimal"/>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0">
    <w:nsid w:val="7462319B"/>
    <w:multiLevelType w:val="multilevel"/>
    <w:tmpl w:val="9A841F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51E4FF5"/>
    <w:multiLevelType w:val="hybridMultilevel"/>
    <w:tmpl w:val="32B239D0"/>
    <w:lvl w:ilvl="0" w:tplc="6A5264EC">
      <w:start w:val="1"/>
      <w:numFmt w:val="bullet"/>
      <w:lvlText w:val="-"/>
      <w:lvlJc w:val="left"/>
      <w:pPr>
        <w:ind w:left="360" w:hanging="360"/>
      </w:pPr>
      <w:rPr>
        <w:rFonts w:ascii="Calibri" w:eastAsia="Times New Roman" w:hAnsi="Calibri" w:cstheme="minorHAns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75C60C25"/>
    <w:multiLevelType w:val="multilevel"/>
    <w:tmpl w:val="0DEA282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5D70FFD"/>
    <w:multiLevelType w:val="hybridMultilevel"/>
    <w:tmpl w:val="440012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9CD06E4"/>
    <w:multiLevelType w:val="hybridMultilevel"/>
    <w:tmpl w:val="9E908430"/>
    <w:lvl w:ilvl="0" w:tplc="0946081C">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BF544B2"/>
    <w:multiLevelType w:val="hybridMultilevel"/>
    <w:tmpl w:val="37785A70"/>
    <w:lvl w:ilvl="0" w:tplc="BB8685DE">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F360F06"/>
    <w:multiLevelType w:val="multilevel"/>
    <w:tmpl w:val="0D26B3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9"/>
  </w:num>
  <w:num w:numId="3">
    <w:abstractNumId w:val="31"/>
  </w:num>
  <w:num w:numId="4">
    <w:abstractNumId w:val="11"/>
  </w:num>
  <w:num w:numId="5">
    <w:abstractNumId w:val="20"/>
  </w:num>
  <w:num w:numId="6">
    <w:abstractNumId w:val="36"/>
  </w:num>
  <w:num w:numId="7">
    <w:abstractNumId w:val="25"/>
  </w:num>
  <w:num w:numId="8">
    <w:abstractNumId w:val="28"/>
  </w:num>
  <w:num w:numId="9">
    <w:abstractNumId w:val="19"/>
  </w:num>
  <w:num w:numId="10">
    <w:abstractNumId w:val="0"/>
  </w:num>
  <w:num w:numId="11">
    <w:abstractNumId w:val="38"/>
  </w:num>
  <w:num w:numId="12">
    <w:abstractNumId w:val="12"/>
  </w:num>
  <w:num w:numId="13">
    <w:abstractNumId w:val="44"/>
  </w:num>
  <w:num w:numId="14">
    <w:abstractNumId w:val="45"/>
  </w:num>
  <w:num w:numId="15">
    <w:abstractNumId w:val="26"/>
  </w:num>
  <w:num w:numId="16">
    <w:abstractNumId w:val="21"/>
  </w:num>
  <w:num w:numId="17">
    <w:abstractNumId w:val="6"/>
  </w:num>
  <w:num w:numId="18">
    <w:abstractNumId w:val="46"/>
  </w:num>
  <w:num w:numId="19">
    <w:abstractNumId w:val="13"/>
  </w:num>
  <w:num w:numId="20">
    <w:abstractNumId w:val="8"/>
  </w:num>
  <w:num w:numId="21">
    <w:abstractNumId w:val="41"/>
  </w:num>
  <w:num w:numId="22">
    <w:abstractNumId w:val="2"/>
  </w:num>
  <w:num w:numId="23">
    <w:abstractNumId w:val="34"/>
  </w:num>
  <w:num w:numId="24">
    <w:abstractNumId w:val="43"/>
  </w:num>
  <w:num w:numId="25">
    <w:abstractNumId w:val="30"/>
  </w:num>
  <w:num w:numId="26">
    <w:abstractNumId w:val="16"/>
  </w:num>
  <w:num w:numId="27">
    <w:abstractNumId w:val="5"/>
  </w:num>
  <w:num w:numId="28">
    <w:abstractNumId w:val="1"/>
  </w:num>
  <w:num w:numId="29">
    <w:abstractNumId w:val="29"/>
  </w:num>
  <w:num w:numId="30">
    <w:abstractNumId w:val="10"/>
  </w:num>
  <w:num w:numId="31">
    <w:abstractNumId w:val="27"/>
  </w:num>
  <w:num w:numId="32">
    <w:abstractNumId w:val="18"/>
  </w:num>
  <w:num w:numId="33">
    <w:abstractNumId w:val="42"/>
  </w:num>
  <w:num w:numId="34">
    <w:abstractNumId w:val="15"/>
  </w:num>
  <w:num w:numId="35">
    <w:abstractNumId w:val="3"/>
  </w:num>
  <w:num w:numId="36">
    <w:abstractNumId w:val="23"/>
  </w:num>
  <w:num w:numId="37">
    <w:abstractNumId w:val="35"/>
  </w:num>
  <w:num w:numId="38">
    <w:abstractNumId w:val="37"/>
  </w:num>
  <w:num w:numId="39">
    <w:abstractNumId w:val="7"/>
  </w:num>
  <w:num w:numId="40">
    <w:abstractNumId w:val="22"/>
  </w:num>
  <w:num w:numId="41">
    <w:abstractNumId w:val="33"/>
  </w:num>
  <w:num w:numId="42">
    <w:abstractNumId w:val="4"/>
  </w:num>
  <w:num w:numId="43">
    <w:abstractNumId w:val="32"/>
  </w:num>
  <w:num w:numId="44">
    <w:abstractNumId w:val="9"/>
  </w:num>
  <w:num w:numId="45">
    <w:abstractNumId w:val="17"/>
  </w:num>
  <w:num w:numId="46">
    <w:abstractNumId w:val="1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E4"/>
    <w:rsid w:val="00001C34"/>
    <w:rsid w:val="00006AD4"/>
    <w:rsid w:val="00015A58"/>
    <w:rsid w:val="000172CC"/>
    <w:rsid w:val="00023A05"/>
    <w:rsid w:val="00023B78"/>
    <w:rsid w:val="00025D94"/>
    <w:rsid w:val="00032E6F"/>
    <w:rsid w:val="00043286"/>
    <w:rsid w:val="00044B3C"/>
    <w:rsid w:val="0004693C"/>
    <w:rsid w:val="000501D0"/>
    <w:rsid w:val="000548BE"/>
    <w:rsid w:val="00057075"/>
    <w:rsid w:val="00074B45"/>
    <w:rsid w:val="000754AA"/>
    <w:rsid w:val="00082B11"/>
    <w:rsid w:val="00083017"/>
    <w:rsid w:val="000A39B5"/>
    <w:rsid w:val="000A4BD8"/>
    <w:rsid w:val="000A5EB3"/>
    <w:rsid w:val="000B2030"/>
    <w:rsid w:val="000B384D"/>
    <w:rsid w:val="000D7185"/>
    <w:rsid w:val="000E1F72"/>
    <w:rsid w:val="000E3E94"/>
    <w:rsid w:val="000E4B94"/>
    <w:rsid w:val="000E70A8"/>
    <w:rsid w:val="000F12EC"/>
    <w:rsid w:val="000F677B"/>
    <w:rsid w:val="00111AA2"/>
    <w:rsid w:val="00117296"/>
    <w:rsid w:val="001219F1"/>
    <w:rsid w:val="00122416"/>
    <w:rsid w:val="00122E35"/>
    <w:rsid w:val="00132F44"/>
    <w:rsid w:val="00143134"/>
    <w:rsid w:val="00146CA8"/>
    <w:rsid w:val="00146EEE"/>
    <w:rsid w:val="00154248"/>
    <w:rsid w:val="00160D32"/>
    <w:rsid w:val="001639BA"/>
    <w:rsid w:val="00171B60"/>
    <w:rsid w:val="00176317"/>
    <w:rsid w:val="00185D13"/>
    <w:rsid w:val="0019062B"/>
    <w:rsid w:val="00191627"/>
    <w:rsid w:val="00191C4D"/>
    <w:rsid w:val="0019377A"/>
    <w:rsid w:val="00194400"/>
    <w:rsid w:val="001B72F8"/>
    <w:rsid w:val="001C4A4A"/>
    <w:rsid w:val="001C5D9E"/>
    <w:rsid w:val="001D1576"/>
    <w:rsid w:val="001D2518"/>
    <w:rsid w:val="001F0DEB"/>
    <w:rsid w:val="001F3583"/>
    <w:rsid w:val="001F4F9E"/>
    <w:rsid w:val="0020798B"/>
    <w:rsid w:val="00213EC0"/>
    <w:rsid w:val="00214850"/>
    <w:rsid w:val="00217494"/>
    <w:rsid w:val="0022032E"/>
    <w:rsid w:val="00222B08"/>
    <w:rsid w:val="00227AA1"/>
    <w:rsid w:val="00227DDC"/>
    <w:rsid w:val="0024115E"/>
    <w:rsid w:val="00246605"/>
    <w:rsid w:val="00252D24"/>
    <w:rsid w:val="002560A5"/>
    <w:rsid w:val="00256A26"/>
    <w:rsid w:val="00257929"/>
    <w:rsid w:val="00263CC9"/>
    <w:rsid w:val="00267F96"/>
    <w:rsid w:val="00272E41"/>
    <w:rsid w:val="00274F60"/>
    <w:rsid w:val="00275EA2"/>
    <w:rsid w:val="00280FE8"/>
    <w:rsid w:val="002813FA"/>
    <w:rsid w:val="00281557"/>
    <w:rsid w:val="00284124"/>
    <w:rsid w:val="00287383"/>
    <w:rsid w:val="00287FEA"/>
    <w:rsid w:val="00290A32"/>
    <w:rsid w:val="002914FC"/>
    <w:rsid w:val="00292D73"/>
    <w:rsid w:val="00293BDF"/>
    <w:rsid w:val="002A2387"/>
    <w:rsid w:val="002A5C64"/>
    <w:rsid w:val="002B3FC0"/>
    <w:rsid w:val="002B42D9"/>
    <w:rsid w:val="002C343D"/>
    <w:rsid w:val="002C56BF"/>
    <w:rsid w:val="002F4E7E"/>
    <w:rsid w:val="00303CCE"/>
    <w:rsid w:val="00310BD9"/>
    <w:rsid w:val="0031204B"/>
    <w:rsid w:val="003133C8"/>
    <w:rsid w:val="003205AE"/>
    <w:rsid w:val="003222FF"/>
    <w:rsid w:val="0032462E"/>
    <w:rsid w:val="003301E2"/>
    <w:rsid w:val="00330594"/>
    <w:rsid w:val="00342906"/>
    <w:rsid w:val="0034343E"/>
    <w:rsid w:val="00350E2A"/>
    <w:rsid w:val="003560D6"/>
    <w:rsid w:val="003566D0"/>
    <w:rsid w:val="003717BE"/>
    <w:rsid w:val="00371FC4"/>
    <w:rsid w:val="00374A41"/>
    <w:rsid w:val="00384EB2"/>
    <w:rsid w:val="003907A4"/>
    <w:rsid w:val="00394B0F"/>
    <w:rsid w:val="003A2BFC"/>
    <w:rsid w:val="003A30F6"/>
    <w:rsid w:val="003B66D7"/>
    <w:rsid w:val="003C08B4"/>
    <w:rsid w:val="003D3F69"/>
    <w:rsid w:val="003D5828"/>
    <w:rsid w:val="003F796F"/>
    <w:rsid w:val="003F7E8F"/>
    <w:rsid w:val="00401DAA"/>
    <w:rsid w:val="00403AE7"/>
    <w:rsid w:val="00410E9F"/>
    <w:rsid w:val="0041148C"/>
    <w:rsid w:val="00422A07"/>
    <w:rsid w:val="0042477A"/>
    <w:rsid w:val="00432336"/>
    <w:rsid w:val="00434804"/>
    <w:rsid w:val="00445E39"/>
    <w:rsid w:val="00451D66"/>
    <w:rsid w:val="00452A48"/>
    <w:rsid w:val="00453A02"/>
    <w:rsid w:val="0045499A"/>
    <w:rsid w:val="00454B70"/>
    <w:rsid w:val="004560CB"/>
    <w:rsid w:val="00456C64"/>
    <w:rsid w:val="00460477"/>
    <w:rsid w:val="00463694"/>
    <w:rsid w:val="00471CDE"/>
    <w:rsid w:val="004803AA"/>
    <w:rsid w:val="00483326"/>
    <w:rsid w:val="004835FB"/>
    <w:rsid w:val="004838EB"/>
    <w:rsid w:val="00485386"/>
    <w:rsid w:val="004929E8"/>
    <w:rsid w:val="00492CD0"/>
    <w:rsid w:val="004975A2"/>
    <w:rsid w:val="004A17AD"/>
    <w:rsid w:val="004A2397"/>
    <w:rsid w:val="004A5986"/>
    <w:rsid w:val="004B19A1"/>
    <w:rsid w:val="004B287D"/>
    <w:rsid w:val="004B2F0E"/>
    <w:rsid w:val="004B5909"/>
    <w:rsid w:val="004C15E1"/>
    <w:rsid w:val="004C7E4A"/>
    <w:rsid w:val="004D0533"/>
    <w:rsid w:val="004D2D30"/>
    <w:rsid w:val="004D72B9"/>
    <w:rsid w:val="004E2931"/>
    <w:rsid w:val="004E458E"/>
    <w:rsid w:val="004F3F33"/>
    <w:rsid w:val="00506554"/>
    <w:rsid w:val="00512304"/>
    <w:rsid w:val="005202A8"/>
    <w:rsid w:val="00526A6F"/>
    <w:rsid w:val="0054178E"/>
    <w:rsid w:val="00541CA8"/>
    <w:rsid w:val="005434F1"/>
    <w:rsid w:val="005533DA"/>
    <w:rsid w:val="00556A2A"/>
    <w:rsid w:val="00556F16"/>
    <w:rsid w:val="0056580E"/>
    <w:rsid w:val="00567D79"/>
    <w:rsid w:val="005721BC"/>
    <w:rsid w:val="0057536D"/>
    <w:rsid w:val="005758B2"/>
    <w:rsid w:val="00584FD3"/>
    <w:rsid w:val="00596422"/>
    <w:rsid w:val="00597A52"/>
    <w:rsid w:val="005A0CD6"/>
    <w:rsid w:val="005A1645"/>
    <w:rsid w:val="005A4589"/>
    <w:rsid w:val="005B784C"/>
    <w:rsid w:val="005C61A8"/>
    <w:rsid w:val="005D02F8"/>
    <w:rsid w:val="005D1037"/>
    <w:rsid w:val="005E39B3"/>
    <w:rsid w:val="005E520D"/>
    <w:rsid w:val="005F1A8B"/>
    <w:rsid w:val="005F24A4"/>
    <w:rsid w:val="00600D6B"/>
    <w:rsid w:val="006032CF"/>
    <w:rsid w:val="00603C52"/>
    <w:rsid w:val="0061321E"/>
    <w:rsid w:val="006209C7"/>
    <w:rsid w:val="0062665F"/>
    <w:rsid w:val="006277EB"/>
    <w:rsid w:val="00630182"/>
    <w:rsid w:val="00630F5F"/>
    <w:rsid w:val="00632800"/>
    <w:rsid w:val="00632FF4"/>
    <w:rsid w:val="00641624"/>
    <w:rsid w:val="0064327F"/>
    <w:rsid w:val="0064460D"/>
    <w:rsid w:val="00652852"/>
    <w:rsid w:val="00673AC9"/>
    <w:rsid w:val="006774B7"/>
    <w:rsid w:val="00680788"/>
    <w:rsid w:val="00684DD4"/>
    <w:rsid w:val="006A2B9E"/>
    <w:rsid w:val="006C7469"/>
    <w:rsid w:val="006D1835"/>
    <w:rsid w:val="006D3446"/>
    <w:rsid w:val="006D5813"/>
    <w:rsid w:val="006D7A7F"/>
    <w:rsid w:val="006E7D2A"/>
    <w:rsid w:val="006F0394"/>
    <w:rsid w:val="006F3E7F"/>
    <w:rsid w:val="00704AC3"/>
    <w:rsid w:val="00707FEA"/>
    <w:rsid w:val="00711913"/>
    <w:rsid w:val="00722B72"/>
    <w:rsid w:val="00724CA5"/>
    <w:rsid w:val="00725C2B"/>
    <w:rsid w:val="00731317"/>
    <w:rsid w:val="007324B1"/>
    <w:rsid w:val="00733722"/>
    <w:rsid w:val="00733FCD"/>
    <w:rsid w:val="00744608"/>
    <w:rsid w:val="00751AD2"/>
    <w:rsid w:val="00751F8B"/>
    <w:rsid w:val="007614B3"/>
    <w:rsid w:val="007637BB"/>
    <w:rsid w:val="007644B4"/>
    <w:rsid w:val="0076520F"/>
    <w:rsid w:val="00770CCC"/>
    <w:rsid w:val="00771854"/>
    <w:rsid w:val="007725F9"/>
    <w:rsid w:val="00784FF3"/>
    <w:rsid w:val="0079115F"/>
    <w:rsid w:val="00794364"/>
    <w:rsid w:val="007A0F17"/>
    <w:rsid w:val="007A1F3D"/>
    <w:rsid w:val="007A4780"/>
    <w:rsid w:val="007A6162"/>
    <w:rsid w:val="007A634E"/>
    <w:rsid w:val="007A6454"/>
    <w:rsid w:val="007A699B"/>
    <w:rsid w:val="007A7C72"/>
    <w:rsid w:val="007B2270"/>
    <w:rsid w:val="007B5736"/>
    <w:rsid w:val="007B5AC7"/>
    <w:rsid w:val="007C237A"/>
    <w:rsid w:val="007C2E32"/>
    <w:rsid w:val="007C4677"/>
    <w:rsid w:val="007C6397"/>
    <w:rsid w:val="007D22FD"/>
    <w:rsid w:val="007D3C74"/>
    <w:rsid w:val="007E258E"/>
    <w:rsid w:val="007E4A85"/>
    <w:rsid w:val="007E5659"/>
    <w:rsid w:val="007F57DF"/>
    <w:rsid w:val="00800B78"/>
    <w:rsid w:val="008069FA"/>
    <w:rsid w:val="00821229"/>
    <w:rsid w:val="008248EF"/>
    <w:rsid w:val="008269F0"/>
    <w:rsid w:val="00827819"/>
    <w:rsid w:val="0082789B"/>
    <w:rsid w:val="008337FD"/>
    <w:rsid w:val="0083386B"/>
    <w:rsid w:val="00836AFE"/>
    <w:rsid w:val="0084150F"/>
    <w:rsid w:val="00842E45"/>
    <w:rsid w:val="00846D65"/>
    <w:rsid w:val="00850E00"/>
    <w:rsid w:val="00854878"/>
    <w:rsid w:val="00857283"/>
    <w:rsid w:val="008725CD"/>
    <w:rsid w:val="00885025"/>
    <w:rsid w:val="00890B06"/>
    <w:rsid w:val="00892EBC"/>
    <w:rsid w:val="00897688"/>
    <w:rsid w:val="008A397B"/>
    <w:rsid w:val="008A6235"/>
    <w:rsid w:val="008A74E9"/>
    <w:rsid w:val="008A7A5F"/>
    <w:rsid w:val="008B5D08"/>
    <w:rsid w:val="008C1111"/>
    <w:rsid w:val="008D543D"/>
    <w:rsid w:val="008D6750"/>
    <w:rsid w:val="008E1184"/>
    <w:rsid w:val="008E5835"/>
    <w:rsid w:val="008F3379"/>
    <w:rsid w:val="009022A2"/>
    <w:rsid w:val="00916857"/>
    <w:rsid w:val="00917E28"/>
    <w:rsid w:val="00920CFF"/>
    <w:rsid w:val="00921369"/>
    <w:rsid w:val="009218F1"/>
    <w:rsid w:val="0092508C"/>
    <w:rsid w:val="00931732"/>
    <w:rsid w:val="009341F4"/>
    <w:rsid w:val="009354E7"/>
    <w:rsid w:val="00936A3E"/>
    <w:rsid w:val="00946F5C"/>
    <w:rsid w:val="00951B83"/>
    <w:rsid w:val="00967D70"/>
    <w:rsid w:val="00975AF9"/>
    <w:rsid w:val="0099143D"/>
    <w:rsid w:val="00992EAD"/>
    <w:rsid w:val="0099799D"/>
    <w:rsid w:val="009A383E"/>
    <w:rsid w:val="009B1812"/>
    <w:rsid w:val="009B2088"/>
    <w:rsid w:val="009B2C39"/>
    <w:rsid w:val="009B7991"/>
    <w:rsid w:val="009C03C3"/>
    <w:rsid w:val="009C696D"/>
    <w:rsid w:val="009D2D0A"/>
    <w:rsid w:val="009D43FB"/>
    <w:rsid w:val="009E1E0C"/>
    <w:rsid w:val="009E2E78"/>
    <w:rsid w:val="009E50D7"/>
    <w:rsid w:val="009E5EE2"/>
    <w:rsid w:val="009E609B"/>
    <w:rsid w:val="009F64B8"/>
    <w:rsid w:val="009F7136"/>
    <w:rsid w:val="00A05C71"/>
    <w:rsid w:val="00A06AA7"/>
    <w:rsid w:val="00A06E12"/>
    <w:rsid w:val="00A10C96"/>
    <w:rsid w:val="00A145A9"/>
    <w:rsid w:val="00A16C82"/>
    <w:rsid w:val="00A203CB"/>
    <w:rsid w:val="00A22B0F"/>
    <w:rsid w:val="00A231EA"/>
    <w:rsid w:val="00A27BF3"/>
    <w:rsid w:val="00A3461E"/>
    <w:rsid w:val="00A35EEC"/>
    <w:rsid w:val="00A368B1"/>
    <w:rsid w:val="00A36A78"/>
    <w:rsid w:val="00A44139"/>
    <w:rsid w:val="00A4774F"/>
    <w:rsid w:val="00A56DA2"/>
    <w:rsid w:val="00A63480"/>
    <w:rsid w:val="00A657A8"/>
    <w:rsid w:val="00A66F4A"/>
    <w:rsid w:val="00A737A7"/>
    <w:rsid w:val="00A738E4"/>
    <w:rsid w:val="00A82885"/>
    <w:rsid w:val="00A968D9"/>
    <w:rsid w:val="00AA13B6"/>
    <w:rsid w:val="00AA1789"/>
    <w:rsid w:val="00AA54CB"/>
    <w:rsid w:val="00AC7FDF"/>
    <w:rsid w:val="00AD757F"/>
    <w:rsid w:val="00AE27A2"/>
    <w:rsid w:val="00AF1A64"/>
    <w:rsid w:val="00AF2AF3"/>
    <w:rsid w:val="00AF4EF0"/>
    <w:rsid w:val="00B00A29"/>
    <w:rsid w:val="00B00F48"/>
    <w:rsid w:val="00B060B4"/>
    <w:rsid w:val="00B11655"/>
    <w:rsid w:val="00B21456"/>
    <w:rsid w:val="00B26363"/>
    <w:rsid w:val="00B30D3B"/>
    <w:rsid w:val="00B31767"/>
    <w:rsid w:val="00B4674D"/>
    <w:rsid w:val="00B4715F"/>
    <w:rsid w:val="00B47655"/>
    <w:rsid w:val="00B47921"/>
    <w:rsid w:val="00B52E28"/>
    <w:rsid w:val="00B62F9C"/>
    <w:rsid w:val="00B744A6"/>
    <w:rsid w:val="00B761A7"/>
    <w:rsid w:val="00B776E0"/>
    <w:rsid w:val="00B82795"/>
    <w:rsid w:val="00B8670B"/>
    <w:rsid w:val="00B86A6B"/>
    <w:rsid w:val="00B95FEF"/>
    <w:rsid w:val="00B96453"/>
    <w:rsid w:val="00BA78A5"/>
    <w:rsid w:val="00BB2E7E"/>
    <w:rsid w:val="00BB495A"/>
    <w:rsid w:val="00BB7C98"/>
    <w:rsid w:val="00BC1285"/>
    <w:rsid w:val="00BC6D5A"/>
    <w:rsid w:val="00BC7799"/>
    <w:rsid w:val="00BE5B63"/>
    <w:rsid w:val="00BE5F76"/>
    <w:rsid w:val="00BF3E9B"/>
    <w:rsid w:val="00BF5FA1"/>
    <w:rsid w:val="00BF6937"/>
    <w:rsid w:val="00C10E1A"/>
    <w:rsid w:val="00C13D4F"/>
    <w:rsid w:val="00C235AD"/>
    <w:rsid w:val="00C237D7"/>
    <w:rsid w:val="00C308DD"/>
    <w:rsid w:val="00C37C02"/>
    <w:rsid w:val="00C4313F"/>
    <w:rsid w:val="00C46242"/>
    <w:rsid w:val="00C469F6"/>
    <w:rsid w:val="00C53F72"/>
    <w:rsid w:val="00C56F7B"/>
    <w:rsid w:val="00C66D2A"/>
    <w:rsid w:val="00C70363"/>
    <w:rsid w:val="00C76D62"/>
    <w:rsid w:val="00C76DBF"/>
    <w:rsid w:val="00C76F42"/>
    <w:rsid w:val="00C805D9"/>
    <w:rsid w:val="00C869E4"/>
    <w:rsid w:val="00C90CCB"/>
    <w:rsid w:val="00CD1A95"/>
    <w:rsid w:val="00CD3061"/>
    <w:rsid w:val="00CE6FFD"/>
    <w:rsid w:val="00CF3638"/>
    <w:rsid w:val="00D03B1C"/>
    <w:rsid w:val="00D060BB"/>
    <w:rsid w:val="00D12E25"/>
    <w:rsid w:val="00D16D54"/>
    <w:rsid w:val="00D22D4A"/>
    <w:rsid w:val="00D25680"/>
    <w:rsid w:val="00D331B7"/>
    <w:rsid w:val="00D37EA1"/>
    <w:rsid w:val="00D46ACE"/>
    <w:rsid w:val="00D5077C"/>
    <w:rsid w:val="00D55AFA"/>
    <w:rsid w:val="00D66ECD"/>
    <w:rsid w:val="00D70C45"/>
    <w:rsid w:val="00D80B31"/>
    <w:rsid w:val="00D84B5B"/>
    <w:rsid w:val="00D9527A"/>
    <w:rsid w:val="00DA1777"/>
    <w:rsid w:val="00DA6514"/>
    <w:rsid w:val="00DB1C7D"/>
    <w:rsid w:val="00DB269C"/>
    <w:rsid w:val="00DB2A7A"/>
    <w:rsid w:val="00DB524A"/>
    <w:rsid w:val="00DD4D0E"/>
    <w:rsid w:val="00DD730E"/>
    <w:rsid w:val="00DE3397"/>
    <w:rsid w:val="00DE4C7F"/>
    <w:rsid w:val="00DE54EB"/>
    <w:rsid w:val="00DE76AC"/>
    <w:rsid w:val="00DF0111"/>
    <w:rsid w:val="00DF0B2C"/>
    <w:rsid w:val="00DF5324"/>
    <w:rsid w:val="00DF6087"/>
    <w:rsid w:val="00E13329"/>
    <w:rsid w:val="00E202FD"/>
    <w:rsid w:val="00E24706"/>
    <w:rsid w:val="00E368B2"/>
    <w:rsid w:val="00E4159C"/>
    <w:rsid w:val="00E43490"/>
    <w:rsid w:val="00E43E33"/>
    <w:rsid w:val="00E507D6"/>
    <w:rsid w:val="00E53F4B"/>
    <w:rsid w:val="00E563A8"/>
    <w:rsid w:val="00E63DA5"/>
    <w:rsid w:val="00E7119A"/>
    <w:rsid w:val="00E82499"/>
    <w:rsid w:val="00E84FD2"/>
    <w:rsid w:val="00E8782A"/>
    <w:rsid w:val="00E9641B"/>
    <w:rsid w:val="00E97A59"/>
    <w:rsid w:val="00E97F99"/>
    <w:rsid w:val="00EA7B80"/>
    <w:rsid w:val="00EB5F9E"/>
    <w:rsid w:val="00EB6E95"/>
    <w:rsid w:val="00EB7366"/>
    <w:rsid w:val="00EC3F04"/>
    <w:rsid w:val="00ED6BD6"/>
    <w:rsid w:val="00EE2587"/>
    <w:rsid w:val="00EF393E"/>
    <w:rsid w:val="00EF5790"/>
    <w:rsid w:val="00EF7714"/>
    <w:rsid w:val="00EF7CAC"/>
    <w:rsid w:val="00F00212"/>
    <w:rsid w:val="00F06A9B"/>
    <w:rsid w:val="00F42CD4"/>
    <w:rsid w:val="00F470EA"/>
    <w:rsid w:val="00F51560"/>
    <w:rsid w:val="00F72DE4"/>
    <w:rsid w:val="00F7493C"/>
    <w:rsid w:val="00F7510F"/>
    <w:rsid w:val="00F85973"/>
    <w:rsid w:val="00F910DE"/>
    <w:rsid w:val="00F9698C"/>
    <w:rsid w:val="00FA2950"/>
    <w:rsid w:val="00FA35B4"/>
    <w:rsid w:val="00FB1139"/>
    <w:rsid w:val="00FB1C17"/>
    <w:rsid w:val="00FC1A34"/>
    <w:rsid w:val="00FC2ADF"/>
    <w:rsid w:val="00FC3AE1"/>
    <w:rsid w:val="00FC4A01"/>
    <w:rsid w:val="00FD1A4C"/>
    <w:rsid w:val="00FD44D6"/>
    <w:rsid w:val="00FD48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9157"/>
  <w15:chartTrackingRefBased/>
  <w15:docId w15:val="{D4420EB5-006D-4D98-9FD1-9C13B0AF2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DE4"/>
    <w:pPr>
      <w:spacing w:after="0" w:line="240" w:lineRule="auto"/>
    </w:pPr>
    <w:rPr>
      <w:rFonts w:ascii="Times New Roman" w:eastAsia="Times New Roman" w:hAnsi="Times New Roman" w:cs="Times New Roman"/>
      <w:szCs w:val="24"/>
    </w:rPr>
  </w:style>
  <w:style w:type="paragraph" w:styleId="Nadpis1">
    <w:name w:val="heading 1"/>
    <w:basedOn w:val="Normln"/>
    <w:next w:val="Normln"/>
    <w:link w:val="Nadpis1Char"/>
    <w:uiPriority w:val="9"/>
    <w:qFormat/>
    <w:rsid w:val="00F72DE4"/>
    <w:pPr>
      <w:keepNext/>
      <w:spacing w:before="240" w:after="60"/>
      <w:outlineLvl w:val="0"/>
    </w:pPr>
    <w:rPr>
      <w:rFonts w:asciiTheme="minorHAnsi" w:hAnsiTheme="minorHAnsi" w:cs="Arial"/>
      <w:b/>
      <w:bCs/>
      <w:kern w:val="32"/>
      <w:szCs w:val="32"/>
    </w:rPr>
  </w:style>
  <w:style w:type="paragraph" w:styleId="Nadpis2">
    <w:name w:val="heading 2"/>
    <w:basedOn w:val="Normln"/>
    <w:next w:val="Normln"/>
    <w:link w:val="Nadpis2Char"/>
    <w:uiPriority w:val="9"/>
    <w:qFormat/>
    <w:rsid w:val="00F72DE4"/>
    <w:pPr>
      <w:keepNext/>
      <w:spacing w:before="360" w:after="240"/>
      <w:outlineLvl w:val="1"/>
    </w:pPr>
    <w:rPr>
      <w:b/>
      <w:bCs/>
      <w:iCs/>
      <w:sz w:val="28"/>
      <w:lang w:eastAsia="cs-CZ"/>
    </w:rPr>
  </w:style>
  <w:style w:type="paragraph" w:styleId="Nadpis3">
    <w:name w:val="heading 3"/>
    <w:basedOn w:val="Nadpis2"/>
    <w:next w:val="Normln"/>
    <w:link w:val="Nadpis3Char"/>
    <w:uiPriority w:val="9"/>
    <w:qFormat/>
    <w:rsid w:val="00F72DE4"/>
    <w:pPr>
      <w:keepLines/>
      <w:spacing w:before="240" w:after="60"/>
      <w:ind w:left="1134" w:hanging="850"/>
      <w:jc w:val="both"/>
      <w:outlineLvl w:val="2"/>
    </w:pPr>
    <w:rPr>
      <w:rFonts w:ascii="Arial" w:hAnsi="Arial" w:cs="Arial"/>
      <w:sz w:val="26"/>
      <w:szCs w:val="26"/>
      <w:lang w:eastAsia="en-US"/>
    </w:rPr>
  </w:style>
  <w:style w:type="paragraph" w:styleId="Nadpis4">
    <w:name w:val="heading 4"/>
    <w:basedOn w:val="Normln"/>
    <w:next w:val="Normln"/>
    <w:link w:val="Nadpis4Char"/>
    <w:uiPriority w:val="9"/>
    <w:qFormat/>
    <w:rsid w:val="00F72DE4"/>
    <w:pPr>
      <w:keepNext/>
      <w:outlineLvl w:val="3"/>
    </w:pPr>
    <w:rPr>
      <w:sz w:val="28"/>
      <w:lang w:eastAsia="cs-CZ"/>
    </w:rPr>
  </w:style>
  <w:style w:type="paragraph" w:styleId="Nadpis5">
    <w:name w:val="heading 5"/>
    <w:basedOn w:val="Normln"/>
    <w:next w:val="Normln"/>
    <w:link w:val="Nadpis5Char"/>
    <w:uiPriority w:val="9"/>
    <w:qFormat/>
    <w:rsid w:val="00F72DE4"/>
    <w:pPr>
      <w:numPr>
        <w:numId w:val="2"/>
      </w:numPr>
      <w:spacing w:before="240" w:after="60"/>
      <w:outlineLvl w:val="4"/>
    </w:pPr>
    <w:rPr>
      <w:b/>
      <w:bCs/>
      <w:i/>
      <w:iCs/>
      <w:sz w:val="26"/>
      <w:szCs w:val="26"/>
    </w:rPr>
  </w:style>
  <w:style w:type="paragraph" w:styleId="Nadpis6">
    <w:name w:val="heading 6"/>
    <w:basedOn w:val="Normln"/>
    <w:next w:val="Normln"/>
    <w:link w:val="Nadpis6Char"/>
    <w:qFormat/>
    <w:rsid w:val="00F72DE4"/>
    <w:pPr>
      <w:keepNext/>
      <w:outlineLvl w:val="5"/>
    </w:pPr>
    <w:rPr>
      <w:b/>
      <w:bCs/>
      <w:sz w:val="32"/>
      <w:lang w:eastAsia="cs-CZ"/>
    </w:rPr>
  </w:style>
  <w:style w:type="paragraph" w:styleId="Nadpis7">
    <w:name w:val="heading 7"/>
    <w:basedOn w:val="Normln"/>
    <w:next w:val="Normln"/>
    <w:link w:val="Nadpis7Char"/>
    <w:qFormat/>
    <w:rsid w:val="00F72DE4"/>
    <w:pPr>
      <w:spacing w:before="240" w:after="60"/>
      <w:outlineLvl w:val="6"/>
    </w:pPr>
    <w:rPr>
      <w:lang w:eastAsia="cs-CZ"/>
    </w:rPr>
  </w:style>
  <w:style w:type="paragraph" w:styleId="Nadpis8">
    <w:name w:val="heading 8"/>
    <w:basedOn w:val="Normln"/>
    <w:next w:val="Normln"/>
    <w:link w:val="Nadpis8Char"/>
    <w:qFormat/>
    <w:rsid w:val="00F72DE4"/>
    <w:pPr>
      <w:spacing w:before="240" w:after="60"/>
      <w:outlineLvl w:val="7"/>
    </w:pPr>
    <w:rPr>
      <w:i/>
      <w:iCs/>
      <w:lang w:eastAsia="cs-CZ"/>
    </w:rPr>
  </w:style>
  <w:style w:type="paragraph" w:styleId="Nadpis9">
    <w:name w:val="heading 9"/>
    <w:basedOn w:val="Normln"/>
    <w:next w:val="Normln"/>
    <w:link w:val="Nadpis9Char"/>
    <w:qFormat/>
    <w:rsid w:val="00F72DE4"/>
    <w:pPr>
      <w:spacing w:before="240" w:after="60"/>
      <w:outlineLvl w:val="8"/>
    </w:pPr>
    <w:rPr>
      <w:rFonts w:ascii="Arial" w:hAnsi="Arial"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72DE4"/>
    <w:rPr>
      <w:rFonts w:eastAsia="Times New Roman" w:cs="Arial"/>
      <w:b/>
      <w:bCs/>
      <w:kern w:val="32"/>
      <w:szCs w:val="32"/>
    </w:rPr>
  </w:style>
  <w:style w:type="character" w:customStyle="1" w:styleId="Nadpis2Char">
    <w:name w:val="Nadpis 2 Char"/>
    <w:basedOn w:val="Standardnpsmoodstavce"/>
    <w:link w:val="Nadpis2"/>
    <w:uiPriority w:val="9"/>
    <w:rsid w:val="00F72DE4"/>
    <w:rPr>
      <w:rFonts w:ascii="Times New Roman" w:eastAsia="Times New Roman" w:hAnsi="Times New Roman" w:cs="Times New Roman"/>
      <w:b/>
      <w:bCs/>
      <w:iCs/>
      <w:sz w:val="28"/>
      <w:szCs w:val="24"/>
      <w:lang w:eastAsia="cs-CZ"/>
    </w:rPr>
  </w:style>
  <w:style w:type="character" w:customStyle="1" w:styleId="Nadpis3Char">
    <w:name w:val="Nadpis 3 Char"/>
    <w:basedOn w:val="Standardnpsmoodstavce"/>
    <w:link w:val="Nadpis3"/>
    <w:uiPriority w:val="9"/>
    <w:rsid w:val="00F72DE4"/>
    <w:rPr>
      <w:rFonts w:ascii="Arial" w:eastAsia="Times New Roman" w:hAnsi="Arial" w:cs="Arial"/>
      <w:b/>
      <w:bCs/>
      <w:iCs/>
      <w:sz w:val="26"/>
      <w:szCs w:val="26"/>
    </w:rPr>
  </w:style>
  <w:style w:type="character" w:customStyle="1" w:styleId="Nadpis4Char">
    <w:name w:val="Nadpis 4 Char"/>
    <w:basedOn w:val="Standardnpsmoodstavce"/>
    <w:link w:val="Nadpis4"/>
    <w:uiPriority w:val="9"/>
    <w:rsid w:val="00F72DE4"/>
    <w:rPr>
      <w:rFonts w:ascii="Times New Roman" w:eastAsia="Times New Roman" w:hAnsi="Times New Roman" w:cs="Times New Roman"/>
      <w:sz w:val="28"/>
      <w:szCs w:val="24"/>
      <w:lang w:eastAsia="cs-CZ"/>
    </w:rPr>
  </w:style>
  <w:style w:type="character" w:customStyle="1" w:styleId="Nadpis5Char">
    <w:name w:val="Nadpis 5 Char"/>
    <w:basedOn w:val="Standardnpsmoodstavce"/>
    <w:link w:val="Nadpis5"/>
    <w:uiPriority w:val="9"/>
    <w:rsid w:val="00F72DE4"/>
    <w:rPr>
      <w:rFonts w:ascii="Times New Roman" w:eastAsia="Times New Roman" w:hAnsi="Times New Roman" w:cs="Times New Roman"/>
      <w:b/>
      <w:bCs/>
      <w:i/>
      <w:iCs/>
      <w:sz w:val="26"/>
      <w:szCs w:val="26"/>
    </w:rPr>
  </w:style>
  <w:style w:type="character" w:customStyle="1" w:styleId="Nadpis6Char">
    <w:name w:val="Nadpis 6 Char"/>
    <w:basedOn w:val="Standardnpsmoodstavce"/>
    <w:link w:val="Nadpis6"/>
    <w:rsid w:val="00F72DE4"/>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link w:val="Nadpis7"/>
    <w:rsid w:val="00F72DE4"/>
    <w:rPr>
      <w:rFonts w:ascii="Times New Roman" w:eastAsia="Times New Roman" w:hAnsi="Times New Roman" w:cs="Times New Roman"/>
      <w:szCs w:val="24"/>
      <w:lang w:eastAsia="cs-CZ"/>
    </w:rPr>
  </w:style>
  <w:style w:type="character" w:customStyle="1" w:styleId="Nadpis8Char">
    <w:name w:val="Nadpis 8 Char"/>
    <w:basedOn w:val="Standardnpsmoodstavce"/>
    <w:link w:val="Nadpis8"/>
    <w:rsid w:val="00F72DE4"/>
    <w:rPr>
      <w:rFonts w:ascii="Times New Roman" w:eastAsia="Times New Roman" w:hAnsi="Times New Roman" w:cs="Times New Roman"/>
      <w:i/>
      <w:iCs/>
      <w:szCs w:val="24"/>
      <w:lang w:eastAsia="cs-CZ"/>
    </w:rPr>
  </w:style>
  <w:style w:type="character" w:customStyle="1" w:styleId="Nadpis9Char">
    <w:name w:val="Nadpis 9 Char"/>
    <w:basedOn w:val="Standardnpsmoodstavce"/>
    <w:link w:val="Nadpis9"/>
    <w:rsid w:val="00F72DE4"/>
    <w:rPr>
      <w:rFonts w:ascii="Arial" w:eastAsia="Times New Roman" w:hAnsi="Arial" w:cs="Arial"/>
      <w:sz w:val="22"/>
      <w:lang w:eastAsia="cs-CZ"/>
    </w:rPr>
  </w:style>
  <w:style w:type="paragraph" w:customStyle="1" w:styleId="Zpravodaj1">
    <w:name w:val="Zpravodaj 1"/>
    <w:basedOn w:val="Zkladntext2"/>
    <w:next w:val="Zkladntext2"/>
    <w:rsid w:val="00F72DE4"/>
    <w:pPr>
      <w:spacing w:after="0" w:line="240" w:lineRule="auto"/>
    </w:pPr>
    <w:rPr>
      <w:rFonts w:ascii="Palatino Linotype" w:hAnsi="Palatino Linotype" w:cs="Arial"/>
      <w:b/>
      <w:bCs/>
      <w:color w:val="000080"/>
      <w:sz w:val="40"/>
    </w:rPr>
  </w:style>
  <w:style w:type="paragraph" w:styleId="Zkladntext2">
    <w:name w:val="Body Text 2"/>
    <w:basedOn w:val="Normln"/>
    <w:link w:val="Zkladntext2Char"/>
    <w:semiHidden/>
    <w:rsid w:val="00F72DE4"/>
    <w:pPr>
      <w:spacing w:after="120" w:line="480" w:lineRule="auto"/>
    </w:pPr>
  </w:style>
  <w:style w:type="character" w:customStyle="1" w:styleId="Zkladntext2Char">
    <w:name w:val="Základní text 2 Char"/>
    <w:basedOn w:val="Standardnpsmoodstavce"/>
    <w:link w:val="Zkladntext2"/>
    <w:semiHidden/>
    <w:rsid w:val="00F72DE4"/>
    <w:rPr>
      <w:rFonts w:ascii="Times New Roman" w:eastAsia="Times New Roman" w:hAnsi="Times New Roman" w:cs="Times New Roman"/>
      <w:szCs w:val="24"/>
    </w:rPr>
  </w:style>
  <w:style w:type="paragraph" w:customStyle="1" w:styleId="Zpravodaj2">
    <w:name w:val="Zpravodaj2"/>
    <w:basedOn w:val="Nadpis1"/>
    <w:next w:val="Zkladntext"/>
    <w:rsid w:val="00F72DE4"/>
    <w:pPr>
      <w:spacing w:before="0" w:after="0"/>
      <w:jc w:val="both"/>
    </w:pPr>
    <w:rPr>
      <w:rFonts w:ascii="Palatino Linotype" w:hAnsi="Palatino Linotype" w:cs="Times New Roman"/>
      <w:kern w:val="0"/>
      <w:sz w:val="28"/>
      <w:szCs w:val="24"/>
    </w:rPr>
  </w:style>
  <w:style w:type="paragraph" w:styleId="Zkladntext">
    <w:name w:val="Body Text"/>
    <w:basedOn w:val="Normln"/>
    <w:link w:val="ZkladntextChar"/>
    <w:semiHidden/>
    <w:rsid w:val="00F72DE4"/>
    <w:pPr>
      <w:spacing w:after="120"/>
    </w:pPr>
  </w:style>
  <w:style w:type="character" w:customStyle="1" w:styleId="ZkladntextChar">
    <w:name w:val="Základní text Char"/>
    <w:basedOn w:val="Standardnpsmoodstavce"/>
    <w:link w:val="Zkladntext"/>
    <w:semiHidden/>
    <w:rsid w:val="00F72DE4"/>
    <w:rPr>
      <w:rFonts w:ascii="Times New Roman" w:eastAsia="Times New Roman" w:hAnsi="Times New Roman" w:cs="Times New Roman"/>
      <w:szCs w:val="24"/>
    </w:rPr>
  </w:style>
  <w:style w:type="paragraph" w:customStyle="1" w:styleId="Zpravodaj3">
    <w:name w:val="Zpravodaj3"/>
    <w:basedOn w:val="Nadpis5"/>
    <w:next w:val="Zkladntext"/>
    <w:rsid w:val="00F72DE4"/>
    <w:pPr>
      <w:keepNext/>
      <w:spacing w:before="0" w:after="0"/>
    </w:pPr>
    <w:rPr>
      <w:rFonts w:ascii="Palatino Linotype" w:hAnsi="Palatino Linotype"/>
      <w:sz w:val="28"/>
      <w:szCs w:val="24"/>
      <w:u w:val="single"/>
    </w:rPr>
  </w:style>
  <w:style w:type="paragraph" w:customStyle="1" w:styleId="KZ-nadpis">
    <w:name w:val="KZ-nadpis"/>
    <w:basedOn w:val="Normln"/>
    <w:next w:val="Normln"/>
    <w:rsid w:val="00F72DE4"/>
    <w:pPr>
      <w:numPr>
        <w:numId w:val="3"/>
      </w:numPr>
      <w:spacing w:after="120"/>
    </w:pPr>
    <w:rPr>
      <w:b/>
      <w:bCs/>
      <w:sz w:val="28"/>
    </w:rPr>
  </w:style>
  <w:style w:type="paragraph" w:customStyle="1" w:styleId="Pressrelease">
    <w:name w:val="Press release"/>
    <w:basedOn w:val="Normlnweb"/>
    <w:rsid w:val="00F72DE4"/>
    <w:pPr>
      <w:spacing w:after="120"/>
      <w:ind w:firstLine="720"/>
    </w:pPr>
    <w:rPr>
      <w:b/>
      <w:bCs/>
      <w:i/>
      <w:iCs/>
      <w:lang w:val="en-US"/>
    </w:rPr>
  </w:style>
  <w:style w:type="paragraph" w:styleId="Normlnweb">
    <w:name w:val="Normal (Web)"/>
    <w:basedOn w:val="Normln"/>
    <w:uiPriority w:val="99"/>
    <w:rsid w:val="00F72DE4"/>
  </w:style>
  <w:style w:type="paragraph" w:styleId="Zhlav">
    <w:name w:val="header"/>
    <w:basedOn w:val="Normln"/>
    <w:link w:val="ZhlavChar"/>
    <w:semiHidden/>
    <w:rsid w:val="00F72DE4"/>
    <w:pPr>
      <w:tabs>
        <w:tab w:val="center" w:pos="4536"/>
        <w:tab w:val="right" w:pos="9072"/>
      </w:tabs>
    </w:pPr>
  </w:style>
  <w:style w:type="character" w:customStyle="1" w:styleId="ZhlavChar">
    <w:name w:val="Záhlaví Char"/>
    <w:basedOn w:val="Standardnpsmoodstavce"/>
    <w:link w:val="Zhlav"/>
    <w:semiHidden/>
    <w:rsid w:val="00F72DE4"/>
    <w:rPr>
      <w:rFonts w:ascii="Times New Roman" w:eastAsia="Times New Roman" w:hAnsi="Times New Roman" w:cs="Times New Roman"/>
      <w:szCs w:val="24"/>
    </w:rPr>
  </w:style>
  <w:style w:type="paragraph" w:styleId="Zpat">
    <w:name w:val="footer"/>
    <w:basedOn w:val="Normln"/>
    <w:link w:val="ZpatChar"/>
    <w:uiPriority w:val="99"/>
    <w:rsid w:val="00F72DE4"/>
    <w:pPr>
      <w:tabs>
        <w:tab w:val="center" w:pos="4536"/>
        <w:tab w:val="right" w:pos="9072"/>
      </w:tabs>
    </w:pPr>
  </w:style>
  <w:style w:type="character" w:customStyle="1" w:styleId="ZpatChar">
    <w:name w:val="Zápatí Char"/>
    <w:basedOn w:val="Standardnpsmoodstavce"/>
    <w:link w:val="Zpat"/>
    <w:uiPriority w:val="99"/>
    <w:rsid w:val="00F72DE4"/>
    <w:rPr>
      <w:rFonts w:ascii="Times New Roman" w:eastAsia="Times New Roman" w:hAnsi="Times New Roman" w:cs="Times New Roman"/>
      <w:szCs w:val="24"/>
    </w:rPr>
  </w:style>
  <w:style w:type="character" w:styleId="Hypertextovodkaz">
    <w:name w:val="Hyperlink"/>
    <w:basedOn w:val="Standardnpsmoodstavce"/>
    <w:uiPriority w:val="99"/>
    <w:rsid w:val="00F72DE4"/>
    <w:rPr>
      <w:color w:val="0000FF"/>
      <w:u w:val="single"/>
    </w:rPr>
  </w:style>
  <w:style w:type="character" w:styleId="slostrnky">
    <w:name w:val="page number"/>
    <w:basedOn w:val="Standardnpsmoodstavce"/>
    <w:semiHidden/>
    <w:rsid w:val="00F72DE4"/>
  </w:style>
  <w:style w:type="paragraph" w:customStyle="1" w:styleId="Fousteka">
    <w:name w:val="Fous tečka"/>
    <w:basedOn w:val="Normln"/>
    <w:rsid w:val="00F72DE4"/>
    <w:pPr>
      <w:numPr>
        <w:numId w:val="4"/>
      </w:numPr>
      <w:tabs>
        <w:tab w:val="clear" w:pos="721"/>
        <w:tab w:val="num" w:pos="180"/>
      </w:tabs>
      <w:spacing w:after="60"/>
      <w:ind w:left="180" w:hanging="180"/>
      <w:jc w:val="both"/>
    </w:pPr>
    <w:rPr>
      <w:sz w:val="22"/>
      <w:lang w:eastAsia="cs-CZ"/>
    </w:rPr>
  </w:style>
  <w:style w:type="paragraph" w:customStyle="1" w:styleId="Fousnadpis">
    <w:name w:val="Fous nadpis"/>
    <w:basedOn w:val="Normln"/>
    <w:rsid w:val="00F72DE4"/>
    <w:pPr>
      <w:numPr>
        <w:numId w:val="5"/>
      </w:numPr>
      <w:tabs>
        <w:tab w:val="clear" w:pos="720"/>
        <w:tab w:val="num" w:pos="360"/>
      </w:tabs>
      <w:spacing w:before="120" w:after="120"/>
      <w:ind w:left="360" w:hanging="360"/>
      <w:jc w:val="both"/>
    </w:pPr>
    <w:rPr>
      <w:b/>
      <w:bCs/>
      <w:sz w:val="22"/>
      <w:lang w:eastAsia="cs-CZ"/>
    </w:rPr>
  </w:style>
  <w:style w:type="paragraph" w:customStyle="1" w:styleId="Fous">
    <w:name w:val="Fous"/>
    <w:basedOn w:val="Normln"/>
    <w:rsid w:val="00F72DE4"/>
    <w:pPr>
      <w:numPr>
        <w:numId w:val="6"/>
      </w:numPr>
      <w:tabs>
        <w:tab w:val="clear" w:pos="722"/>
        <w:tab w:val="num" w:pos="360"/>
      </w:tabs>
      <w:ind w:left="360" w:hanging="360"/>
      <w:jc w:val="both"/>
    </w:pPr>
    <w:rPr>
      <w:sz w:val="22"/>
      <w:lang w:eastAsia="cs-CZ"/>
    </w:rPr>
  </w:style>
  <w:style w:type="paragraph" w:customStyle="1" w:styleId="lenn1">
    <w:name w:val="členění 1"/>
    <w:basedOn w:val="Normln"/>
    <w:rsid w:val="00F72DE4"/>
    <w:pPr>
      <w:numPr>
        <w:numId w:val="7"/>
      </w:numPr>
    </w:pPr>
    <w:rPr>
      <w:b/>
      <w:lang w:eastAsia="cs-CZ"/>
    </w:rPr>
  </w:style>
  <w:style w:type="paragraph" w:customStyle="1" w:styleId="NadpisKZ">
    <w:name w:val="Nadpis KZ"/>
    <w:basedOn w:val="Zkladntext2"/>
    <w:rsid w:val="00F72DE4"/>
    <w:pPr>
      <w:spacing w:before="120" w:after="360" w:line="240" w:lineRule="auto"/>
    </w:pPr>
    <w:rPr>
      <w:b/>
      <w:bCs/>
      <w:sz w:val="32"/>
      <w:lang w:eastAsia="cs-CZ"/>
    </w:rPr>
  </w:style>
  <w:style w:type="paragraph" w:customStyle="1" w:styleId="NormlnKZ">
    <w:name w:val="Normální KZ"/>
    <w:basedOn w:val="Normln"/>
    <w:rsid w:val="00F72DE4"/>
    <w:pPr>
      <w:spacing w:after="120"/>
      <w:ind w:firstLine="425"/>
      <w:jc w:val="both"/>
    </w:pPr>
    <w:rPr>
      <w:sz w:val="22"/>
      <w:lang w:eastAsia="cs-CZ"/>
    </w:rPr>
  </w:style>
  <w:style w:type="paragraph" w:customStyle="1" w:styleId="vod">
    <w:name w:val="Úvod"/>
    <w:basedOn w:val="Nadpisvod"/>
    <w:rsid w:val="00F72DE4"/>
    <w:pPr>
      <w:tabs>
        <w:tab w:val="clear" w:pos="360"/>
      </w:tabs>
      <w:ind w:left="0" w:firstLine="0"/>
    </w:pPr>
  </w:style>
  <w:style w:type="paragraph" w:customStyle="1" w:styleId="Nadpisvod">
    <w:name w:val="Nadpis úvod"/>
    <w:basedOn w:val="Nadpis1"/>
    <w:rsid w:val="00F72DE4"/>
    <w:pPr>
      <w:tabs>
        <w:tab w:val="num" w:pos="360"/>
        <w:tab w:val="num" w:pos="787"/>
      </w:tabs>
      <w:spacing w:before="360" w:after="240"/>
      <w:ind w:left="787" w:hanging="360"/>
      <w:jc w:val="both"/>
    </w:pPr>
    <w:rPr>
      <w:rFonts w:ascii="Times New Roman" w:hAnsi="Times New Roman" w:cs="Times New Roman"/>
      <w:kern w:val="0"/>
      <w:sz w:val="28"/>
      <w:szCs w:val="24"/>
      <w:lang w:eastAsia="cs-CZ"/>
    </w:rPr>
  </w:style>
  <w:style w:type="character" w:styleId="Znakapoznpodarou">
    <w:name w:val="footnote reference"/>
    <w:aliases w:val="number,PGI Fußnote Ziffer + Times New Roman,12 b.,Zúžené o ...,PGI Fußnote Ziffer"/>
    <w:basedOn w:val="Standardnpsmoodstavce"/>
    <w:uiPriority w:val="99"/>
    <w:rsid w:val="00F72DE4"/>
    <w:rPr>
      <w:vertAlign w:val="superscript"/>
    </w:rPr>
  </w:style>
  <w:style w:type="paragraph" w:styleId="Titulek">
    <w:name w:val="caption"/>
    <w:basedOn w:val="Normln"/>
    <w:next w:val="Normln"/>
    <w:uiPriority w:val="35"/>
    <w:qFormat/>
    <w:rsid w:val="00F72DE4"/>
    <w:pPr>
      <w:spacing w:before="120" w:after="120"/>
    </w:pPr>
    <w:rPr>
      <w:b/>
      <w:bCs/>
      <w:sz w:val="20"/>
      <w:szCs w:val="20"/>
      <w:lang w:eastAsia="cs-CZ"/>
    </w:rPr>
  </w:style>
  <w:style w:type="paragraph" w:styleId="Zkladntext3">
    <w:name w:val="Body Text 3"/>
    <w:basedOn w:val="Normln"/>
    <w:link w:val="Zkladntext3Char"/>
    <w:semiHidden/>
    <w:rsid w:val="00F72DE4"/>
    <w:pPr>
      <w:jc w:val="center"/>
    </w:pPr>
    <w:rPr>
      <w:szCs w:val="20"/>
    </w:rPr>
  </w:style>
  <w:style w:type="character" w:customStyle="1" w:styleId="Zkladntext3Char">
    <w:name w:val="Základní text 3 Char"/>
    <w:basedOn w:val="Standardnpsmoodstavce"/>
    <w:link w:val="Zkladntext3"/>
    <w:semiHidden/>
    <w:rsid w:val="00F72DE4"/>
    <w:rPr>
      <w:rFonts w:ascii="Times New Roman" w:eastAsia="Times New Roman" w:hAnsi="Times New Roman" w:cs="Times New Roman"/>
      <w:szCs w:val="20"/>
    </w:rPr>
  </w:style>
  <w:style w:type="paragraph" w:styleId="Textpoznpodarou">
    <w:name w:val="footnote text"/>
    <w:basedOn w:val="Normln"/>
    <w:link w:val="TextpoznpodarouChar"/>
    <w:uiPriority w:val="99"/>
    <w:rsid w:val="00F72DE4"/>
    <w:rPr>
      <w:sz w:val="20"/>
      <w:szCs w:val="20"/>
      <w:lang w:eastAsia="cs-CZ"/>
    </w:rPr>
  </w:style>
  <w:style w:type="character" w:customStyle="1" w:styleId="TextpoznpodarouChar">
    <w:name w:val="Text pozn. pod čarou Char"/>
    <w:basedOn w:val="Standardnpsmoodstavce"/>
    <w:link w:val="Textpoznpodarou"/>
    <w:uiPriority w:val="99"/>
    <w:rsid w:val="00F72DE4"/>
    <w:rPr>
      <w:rFonts w:ascii="Times New Roman" w:eastAsia="Times New Roman" w:hAnsi="Times New Roman" w:cs="Times New Roman"/>
      <w:sz w:val="20"/>
      <w:szCs w:val="20"/>
      <w:lang w:eastAsia="cs-CZ"/>
    </w:rPr>
  </w:style>
  <w:style w:type="paragraph" w:customStyle="1" w:styleId="Normln0">
    <w:name w:val="Norm‡ln’"/>
    <w:rsid w:val="00F72DE4"/>
    <w:pPr>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cs-CZ"/>
    </w:rPr>
  </w:style>
  <w:style w:type="character" w:styleId="Sledovanodkaz">
    <w:name w:val="FollowedHyperlink"/>
    <w:basedOn w:val="Standardnpsmoodstavce"/>
    <w:semiHidden/>
    <w:rsid w:val="00F72DE4"/>
    <w:rPr>
      <w:color w:val="800080"/>
      <w:u w:val="single"/>
    </w:rPr>
  </w:style>
  <w:style w:type="paragraph" w:styleId="Odstavecseseznamem">
    <w:name w:val="List Paragraph"/>
    <w:aliases w:val="Nadpis pro KZ"/>
    <w:basedOn w:val="Normln"/>
    <w:link w:val="OdstavecseseznamemChar"/>
    <w:uiPriority w:val="34"/>
    <w:qFormat/>
    <w:rsid w:val="00F72DE4"/>
    <w:pPr>
      <w:ind w:left="720"/>
      <w:contextualSpacing/>
    </w:pPr>
  </w:style>
  <w:style w:type="paragraph" w:styleId="Textbubliny">
    <w:name w:val="Balloon Text"/>
    <w:basedOn w:val="Normln"/>
    <w:link w:val="TextbublinyChar"/>
    <w:semiHidden/>
    <w:unhideWhenUsed/>
    <w:rsid w:val="00F72DE4"/>
    <w:rPr>
      <w:rFonts w:ascii="Tahoma" w:hAnsi="Tahoma" w:cs="Tahoma"/>
      <w:sz w:val="16"/>
      <w:szCs w:val="16"/>
    </w:rPr>
  </w:style>
  <w:style w:type="character" w:customStyle="1" w:styleId="TextbublinyChar">
    <w:name w:val="Text bubliny Char"/>
    <w:basedOn w:val="Standardnpsmoodstavce"/>
    <w:link w:val="Textbubliny"/>
    <w:semiHidden/>
    <w:rsid w:val="00F72DE4"/>
    <w:rPr>
      <w:rFonts w:ascii="Tahoma" w:eastAsia="Times New Roman" w:hAnsi="Tahoma" w:cs="Tahoma"/>
      <w:sz w:val="16"/>
      <w:szCs w:val="16"/>
    </w:rPr>
  </w:style>
  <w:style w:type="paragraph" w:styleId="Textvysvtlivek">
    <w:name w:val="endnote text"/>
    <w:basedOn w:val="Normln"/>
    <w:link w:val="TextvysvtlivekChar"/>
    <w:semiHidden/>
    <w:unhideWhenUsed/>
    <w:rsid w:val="00F72DE4"/>
    <w:rPr>
      <w:sz w:val="20"/>
      <w:szCs w:val="20"/>
    </w:rPr>
  </w:style>
  <w:style w:type="character" w:customStyle="1" w:styleId="TextvysvtlivekChar">
    <w:name w:val="Text vysvětlivek Char"/>
    <w:basedOn w:val="Standardnpsmoodstavce"/>
    <w:link w:val="Textvysvtlivek"/>
    <w:semiHidden/>
    <w:rsid w:val="00F72DE4"/>
    <w:rPr>
      <w:rFonts w:ascii="Times New Roman" w:eastAsia="Times New Roman" w:hAnsi="Times New Roman" w:cs="Times New Roman"/>
      <w:sz w:val="20"/>
      <w:szCs w:val="20"/>
    </w:rPr>
  </w:style>
  <w:style w:type="character" w:styleId="Odkaznavysvtlivky">
    <w:name w:val="endnote reference"/>
    <w:basedOn w:val="Standardnpsmoodstavce"/>
    <w:semiHidden/>
    <w:unhideWhenUsed/>
    <w:rsid w:val="00F72DE4"/>
    <w:rPr>
      <w:vertAlign w:val="superscript"/>
    </w:rPr>
  </w:style>
  <w:style w:type="character" w:styleId="Odkaznakoment">
    <w:name w:val="annotation reference"/>
    <w:basedOn w:val="Standardnpsmoodstavce"/>
    <w:semiHidden/>
    <w:unhideWhenUsed/>
    <w:rsid w:val="00F72DE4"/>
    <w:rPr>
      <w:sz w:val="16"/>
      <w:szCs w:val="16"/>
    </w:rPr>
  </w:style>
  <w:style w:type="paragraph" w:styleId="Textkomente">
    <w:name w:val="annotation text"/>
    <w:basedOn w:val="Normln"/>
    <w:link w:val="TextkomenteChar"/>
    <w:semiHidden/>
    <w:unhideWhenUsed/>
    <w:rsid w:val="00F72DE4"/>
    <w:rPr>
      <w:sz w:val="20"/>
      <w:szCs w:val="20"/>
    </w:rPr>
  </w:style>
  <w:style w:type="character" w:customStyle="1" w:styleId="TextkomenteChar">
    <w:name w:val="Text komentáře Char"/>
    <w:basedOn w:val="Standardnpsmoodstavce"/>
    <w:link w:val="Textkomente"/>
    <w:semiHidden/>
    <w:rsid w:val="00F72DE4"/>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semiHidden/>
    <w:unhideWhenUsed/>
    <w:rsid w:val="00F72DE4"/>
    <w:rPr>
      <w:b/>
      <w:bCs/>
    </w:rPr>
  </w:style>
  <w:style w:type="character" w:customStyle="1" w:styleId="PedmtkomenteChar">
    <w:name w:val="Předmět komentáře Char"/>
    <w:basedOn w:val="TextkomenteChar"/>
    <w:link w:val="Pedmtkomente"/>
    <w:semiHidden/>
    <w:rsid w:val="00F72DE4"/>
    <w:rPr>
      <w:rFonts w:ascii="Times New Roman" w:eastAsia="Times New Roman" w:hAnsi="Times New Roman" w:cs="Times New Roman"/>
      <w:b/>
      <w:bCs/>
      <w:sz w:val="20"/>
      <w:szCs w:val="20"/>
    </w:rPr>
  </w:style>
  <w:style w:type="paragraph" w:styleId="Revize">
    <w:name w:val="Revision"/>
    <w:hidden/>
    <w:semiHidden/>
    <w:rsid w:val="00F72DE4"/>
    <w:pPr>
      <w:spacing w:after="0" w:line="240" w:lineRule="auto"/>
    </w:pPr>
    <w:rPr>
      <w:rFonts w:ascii="Times New Roman" w:eastAsia="Times New Roman" w:hAnsi="Times New Roman" w:cs="Times New Roman"/>
      <w:szCs w:val="24"/>
    </w:rPr>
  </w:style>
  <w:style w:type="paragraph" w:customStyle="1" w:styleId="Nadpisrovn3">
    <w:name w:val="Nadpis úrovně 3"/>
    <w:basedOn w:val="NormlnKZ"/>
    <w:next w:val="NormlnKZ"/>
    <w:rsid w:val="00F72DE4"/>
    <w:pPr>
      <w:keepNext/>
      <w:spacing w:before="240"/>
      <w:ind w:firstLine="0"/>
      <w:jc w:val="left"/>
    </w:pPr>
    <w:rPr>
      <w:b/>
      <w:sz w:val="26"/>
    </w:rPr>
  </w:style>
  <w:style w:type="paragraph" w:styleId="Bezmezer">
    <w:name w:val="No Spacing"/>
    <w:aliases w:val="Bez mezer11"/>
    <w:basedOn w:val="Normln"/>
    <w:uiPriority w:val="1"/>
    <w:qFormat/>
    <w:rsid w:val="00F72DE4"/>
    <w:pPr>
      <w:spacing w:after="120"/>
      <w:ind w:firstLine="567"/>
      <w:jc w:val="both"/>
    </w:pPr>
    <w:rPr>
      <w:rFonts w:ascii="Arial" w:hAnsi="Arial" w:cs="Arial"/>
      <w:sz w:val="22"/>
      <w:szCs w:val="22"/>
    </w:rPr>
  </w:style>
  <w:style w:type="character" w:customStyle="1" w:styleId="OdstavecseseznamemChar">
    <w:name w:val="Odstavec se seznamem Char"/>
    <w:aliases w:val="Nadpis pro KZ Char"/>
    <w:link w:val="Odstavecseseznamem"/>
    <w:uiPriority w:val="34"/>
    <w:locked/>
    <w:rsid w:val="00F72DE4"/>
    <w:rPr>
      <w:rFonts w:ascii="Times New Roman" w:eastAsia="Times New Roman" w:hAnsi="Times New Roman" w:cs="Times New Roman"/>
      <w:szCs w:val="24"/>
    </w:rPr>
  </w:style>
  <w:style w:type="paragraph" w:customStyle="1" w:styleId="Default">
    <w:name w:val="Default"/>
    <w:rsid w:val="00F72DE4"/>
    <w:pPr>
      <w:autoSpaceDE w:val="0"/>
      <w:autoSpaceDN w:val="0"/>
      <w:adjustRightInd w:val="0"/>
      <w:spacing w:after="0" w:line="240" w:lineRule="auto"/>
    </w:pPr>
    <w:rPr>
      <w:rFonts w:ascii="Arial" w:eastAsia="Times New Roman" w:hAnsi="Arial" w:cs="Arial"/>
      <w:color w:val="000000"/>
      <w:szCs w:val="24"/>
      <w:lang w:eastAsia="cs-CZ"/>
    </w:rPr>
  </w:style>
  <w:style w:type="table" w:styleId="Mkatabulky">
    <w:name w:val="Table Grid"/>
    <w:basedOn w:val="Normlntabulka"/>
    <w:uiPriority w:val="59"/>
    <w:rsid w:val="00F72DE4"/>
    <w:pPr>
      <w:spacing w:after="0" w:line="240" w:lineRule="auto"/>
    </w:pPr>
    <w:rPr>
      <w:rFonts w:eastAsia="Times New Roman"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droj">
    <w:name w:val="Zdroj"/>
    <w:basedOn w:val="Normln"/>
    <w:link w:val="ZdrojChar"/>
    <w:qFormat/>
    <w:rsid w:val="00F72DE4"/>
    <w:pPr>
      <w:spacing w:before="120" w:after="240"/>
      <w:jc w:val="both"/>
    </w:pPr>
    <w:rPr>
      <w:rFonts w:ascii="Arial" w:hAnsi="Arial" w:cs="Arial"/>
      <w:i/>
      <w:sz w:val="20"/>
    </w:rPr>
  </w:style>
  <w:style w:type="character" w:customStyle="1" w:styleId="ZdrojChar">
    <w:name w:val="Zdroj Char"/>
    <w:basedOn w:val="Standardnpsmoodstavce"/>
    <w:link w:val="Zdroj"/>
    <w:locked/>
    <w:rsid w:val="00F72DE4"/>
    <w:rPr>
      <w:rFonts w:ascii="Arial" w:eastAsia="Times New Roman" w:hAnsi="Arial" w:cs="Arial"/>
      <w:i/>
      <w:sz w:val="20"/>
      <w:szCs w:val="24"/>
    </w:rPr>
  </w:style>
  <w:style w:type="paragraph" w:styleId="Normlnodsazen">
    <w:name w:val="Normal Indent"/>
    <w:basedOn w:val="Normln"/>
    <w:uiPriority w:val="99"/>
    <w:rsid w:val="00FD4822"/>
    <w:pPr>
      <w:spacing w:line="360" w:lineRule="auto"/>
      <w:ind w:firstLine="720"/>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572">
      <w:bodyDiv w:val="1"/>
      <w:marLeft w:val="0"/>
      <w:marRight w:val="0"/>
      <w:marTop w:val="0"/>
      <w:marBottom w:val="0"/>
      <w:divBdr>
        <w:top w:val="none" w:sz="0" w:space="0" w:color="auto"/>
        <w:left w:val="none" w:sz="0" w:space="0" w:color="auto"/>
        <w:bottom w:val="none" w:sz="0" w:space="0" w:color="auto"/>
        <w:right w:val="none" w:sz="0" w:space="0" w:color="auto"/>
      </w:divBdr>
    </w:div>
    <w:div w:id="39399285">
      <w:bodyDiv w:val="1"/>
      <w:marLeft w:val="0"/>
      <w:marRight w:val="0"/>
      <w:marTop w:val="0"/>
      <w:marBottom w:val="0"/>
      <w:divBdr>
        <w:top w:val="none" w:sz="0" w:space="0" w:color="auto"/>
        <w:left w:val="none" w:sz="0" w:space="0" w:color="auto"/>
        <w:bottom w:val="none" w:sz="0" w:space="0" w:color="auto"/>
        <w:right w:val="none" w:sz="0" w:space="0" w:color="auto"/>
      </w:divBdr>
    </w:div>
    <w:div w:id="61832800">
      <w:bodyDiv w:val="1"/>
      <w:marLeft w:val="0"/>
      <w:marRight w:val="0"/>
      <w:marTop w:val="0"/>
      <w:marBottom w:val="0"/>
      <w:divBdr>
        <w:top w:val="none" w:sz="0" w:space="0" w:color="auto"/>
        <w:left w:val="none" w:sz="0" w:space="0" w:color="auto"/>
        <w:bottom w:val="none" w:sz="0" w:space="0" w:color="auto"/>
        <w:right w:val="none" w:sz="0" w:space="0" w:color="auto"/>
      </w:divBdr>
    </w:div>
    <w:div w:id="294799593">
      <w:bodyDiv w:val="1"/>
      <w:marLeft w:val="0"/>
      <w:marRight w:val="0"/>
      <w:marTop w:val="0"/>
      <w:marBottom w:val="0"/>
      <w:divBdr>
        <w:top w:val="none" w:sz="0" w:space="0" w:color="auto"/>
        <w:left w:val="none" w:sz="0" w:space="0" w:color="auto"/>
        <w:bottom w:val="none" w:sz="0" w:space="0" w:color="auto"/>
        <w:right w:val="none" w:sz="0" w:space="0" w:color="auto"/>
      </w:divBdr>
    </w:div>
    <w:div w:id="444692566">
      <w:bodyDiv w:val="1"/>
      <w:marLeft w:val="0"/>
      <w:marRight w:val="0"/>
      <w:marTop w:val="0"/>
      <w:marBottom w:val="0"/>
      <w:divBdr>
        <w:top w:val="none" w:sz="0" w:space="0" w:color="auto"/>
        <w:left w:val="none" w:sz="0" w:space="0" w:color="auto"/>
        <w:bottom w:val="none" w:sz="0" w:space="0" w:color="auto"/>
        <w:right w:val="none" w:sz="0" w:space="0" w:color="auto"/>
      </w:divBdr>
    </w:div>
    <w:div w:id="548154634">
      <w:bodyDiv w:val="1"/>
      <w:marLeft w:val="0"/>
      <w:marRight w:val="0"/>
      <w:marTop w:val="0"/>
      <w:marBottom w:val="0"/>
      <w:divBdr>
        <w:top w:val="none" w:sz="0" w:space="0" w:color="auto"/>
        <w:left w:val="none" w:sz="0" w:space="0" w:color="auto"/>
        <w:bottom w:val="none" w:sz="0" w:space="0" w:color="auto"/>
        <w:right w:val="none" w:sz="0" w:space="0" w:color="auto"/>
      </w:divBdr>
    </w:div>
    <w:div w:id="598224584">
      <w:bodyDiv w:val="1"/>
      <w:marLeft w:val="0"/>
      <w:marRight w:val="0"/>
      <w:marTop w:val="0"/>
      <w:marBottom w:val="0"/>
      <w:divBdr>
        <w:top w:val="none" w:sz="0" w:space="0" w:color="auto"/>
        <w:left w:val="none" w:sz="0" w:space="0" w:color="auto"/>
        <w:bottom w:val="none" w:sz="0" w:space="0" w:color="auto"/>
        <w:right w:val="none" w:sz="0" w:space="0" w:color="auto"/>
      </w:divBdr>
    </w:div>
    <w:div w:id="616566257">
      <w:bodyDiv w:val="1"/>
      <w:marLeft w:val="0"/>
      <w:marRight w:val="0"/>
      <w:marTop w:val="0"/>
      <w:marBottom w:val="0"/>
      <w:divBdr>
        <w:top w:val="none" w:sz="0" w:space="0" w:color="auto"/>
        <w:left w:val="none" w:sz="0" w:space="0" w:color="auto"/>
        <w:bottom w:val="none" w:sz="0" w:space="0" w:color="auto"/>
        <w:right w:val="none" w:sz="0" w:space="0" w:color="auto"/>
      </w:divBdr>
    </w:div>
    <w:div w:id="668872289">
      <w:bodyDiv w:val="1"/>
      <w:marLeft w:val="0"/>
      <w:marRight w:val="0"/>
      <w:marTop w:val="0"/>
      <w:marBottom w:val="0"/>
      <w:divBdr>
        <w:top w:val="none" w:sz="0" w:space="0" w:color="auto"/>
        <w:left w:val="none" w:sz="0" w:space="0" w:color="auto"/>
        <w:bottom w:val="none" w:sz="0" w:space="0" w:color="auto"/>
        <w:right w:val="none" w:sz="0" w:space="0" w:color="auto"/>
      </w:divBdr>
    </w:div>
    <w:div w:id="687219087">
      <w:bodyDiv w:val="1"/>
      <w:marLeft w:val="0"/>
      <w:marRight w:val="0"/>
      <w:marTop w:val="0"/>
      <w:marBottom w:val="0"/>
      <w:divBdr>
        <w:top w:val="none" w:sz="0" w:space="0" w:color="auto"/>
        <w:left w:val="none" w:sz="0" w:space="0" w:color="auto"/>
        <w:bottom w:val="none" w:sz="0" w:space="0" w:color="auto"/>
        <w:right w:val="none" w:sz="0" w:space="0" w:color="auto"/>
      </w:divBdr>
    </w:div>
    <w:div w:id="723603452">
      <w:bodyDiv w:val="1"/>
      <w:marLeft w:val="0"/>
      <w:marRight w:val="0"/>
      <w:marTop w:val="0"/>
      <w:marBottom w:val="0"/>
      <w:divBdr>
        <w:top w:val="none" w:sz="0" w:space="0" w:color="auto"/>
        <w:left w:val="none" w:sz="0" w:space="0" w:color="auto"/>
        <w:bottom w:val="none" w:sz="0" w:space="0" w:color="auto"/>
        <w:right w:val="none" w:sz="0" w:space="0" w:color="auto"/>
      </w:divBdr>
    </w:div>
    <w:div w:id="776951141">
      <w:bodyDiv w:val="1"/>
      <w:marLeft w:val="0"/>
      <w:marRight w:val="0"/>
      <w:marTop w:val="0"/>
      <w:marBottom w:val="0"/>
      <w:divBdr>
        <w:top w:val="none" w:sz="0" w:space="0" w:color="auto"/>
        <w:left w:val="none" w:sz="0" w:space="0" w:color="auto"/>
        <w:bottom w:val="none" w:sz="0" w:space="0" w:color="auto"/>
        <w:right w:val="none" w:sz="0" w:space="0" w:color="auto"/>
      </w:divBdr>
    </w:div>
    <w:div w:id="801310468">
      <w:bodyDiv w:val="1"/>
      <w:marLeft w:val="0"/>
      <w:marRight w:val="0"/>
      <w:marTop w:val="0"/>
      <w:marBottom w:val="0"/>
      <w:divBdr>
        <w:top w:val="none" w:sz="0" w:space="0" w:color="auto"/>
        <w:left w:val="none" w:sz="0" w:space="0" w:color="auto"/>
        <w:bottom w:val="none" w:sz="0" w:space="0" w:color="auto"/>
        <w:right w:val="none" w:sz="0" w:space="0" w:color="auto"/>
      </w:divBdr>
    </w:div>
    <w:div w:id="964699200">
      <w:bodyDiv w:val="1"/>
      <w:marLeft w:val="0"/>
      <w:marRight w:val="0"/>
      <w:marTop w:val="0"/>
      <w:marBottom w:val="0"/>
      <w:divBdr>
        <w:top w:val="none" w:sz="0" w:space="0" w:color="auto"/>
        <w:left w:val="none" w:sz="0" w:space="0" w:color="auto"/>
        <w:bottom w:val="none" w:sz="0" w:space="0" w:color="auto"/>
        <w:right w:val="none" w:sz="0" w:space="0" w:color="auto"/>
      </w:divBdr>
    </w:div>
    <w:div w:id="1079250112">
      <w:bodyDiv w:val="1"/>
      <w:marLeft w:val="0"/>
      <w:marRight w:val="0"/>
      <w:marTop w:val="0"/>
      <w:marBottom w:val="0"/>
      <w:divBdr>
        <w:top w:val="none" w:sz="0" w:space="0" w:color="auto"/>
        <w:left w:val="none" w:sz="0" w:space="0" w:color="auto"/>
        <w:bottom w:val="none" w:sz="0" w:space="0" w:color="auto"/>
        <w:right w:val="none" w:sz="0" w:space="0" w:color="auto"/>
      </w:divBdr>
    </w:div>
    <w:div w:id="1174413429">
      <w:bodyDiv w:val="1"/>
      <w:marLeft w:val="0"/>
      <w:marRight w:val="0"/>
      <w:marTop w:val="0"/>
      <w:marBottom w:val="0"/>
      <w:divBdr>
        <w:top w:val="none" w:sz="0" w:space="0" w:color="auto"/>
        <w:left w:val="none" w:sz="0" w:space="0" w:color="auto"/>
        <w:bottom w:val="none" w:sz="0" w:space="0" w:color="auto"/>
        <w:right w:val="none" w:sz="0" w:space="0" w:color="auto"/>
      </w:divBdr>
    </w:div>
    <w:div w:id="1375888248">
      <w:bodyDiv w:val="1"/>
      <w:marLeft w:val="0"/>
      <w:marRight w:val="0"/>
      <w:marTop w:val="0"/>
      <w:marBottom w:val="0"/>
      <w:divBdr>
        <w:top w:val="none" w:sz="0" w:space="0" w:color="auto"/>
        <w:left w:val="none" w:sz="0" w:space="0" w:color="auto"/>
        <w:bottom w:val="none" w:sz="0" w:space="0" w:color="auto"/>
        <w:right w:val="none" w:sz="0" w:space="0" w:color="auto"/>
      </w:divBdr>
    </w:div>
    <w:div w:id="1529179125">
      <w:bodyDiv w:val="1"/>
      <w:marLeft w:val="0"/>
      <w:marRight w:val="0"/>
      <w:marTop w:val="0"/>
      <w:marBottom w:val="0"/>
      <w:divBdr>
        <w:top w:val="none" w:sz="0" w:space="0" w:color="auto"/>
        <w:left w:val="none" w:sz="0" w:space="0" w:color="auto"/>
        <w:bottom w:val="none" w:sz="0" w:space="0" w:color="auto"/>
        <w:right w:val="none" w:sz="0" w:space="0" w:color="auto"/>
      </w:divBdr>
    </w:div>
    <w:div w:id="1584993302">
      <w:bodyDiv w:val="1"/>
      <w:marLeft w:val="0"/>
      <w:marRight w:val="0"/>
      <w:marTop w:val="0"/>
      <w:marBottom w:val="0"/>
      <w:divBdr>
        <w:top w:val="none" w:sz="0" w:space="0" w:color="auto"/>
        <w:left w:val="none" w:sz="0" w:space="0" w:color="auto"/>
        <w:bottom w:val="none" w:sz="0" w:space="0" w:color="auto"/>
        <w:right w:val="none" w:sz="0" w:space="0" w:color="auto"/>
      </w:divBdr>
    </w:div>
    <w:div w:id="1596356882">
      <w:bodyDiv w:val="1"/>
      <w:marLeft w:val="0"/>
      <w:marRight w:val="0"/>
      <w:marTop w:val="0"/>
      <w:marBottom w:val="0"/>
      <w:divBdr>
        <w:top w:val="none" w:sz="0" w:space="0" w:color="auto"/>
        <w:left w:val="none" w:sz="0" w:space="0" w:color="auto"/>
        <w:bottom w:val="none" w:sz="0" w:space="0" w:color="auto"/>
        <w:right w:val="none" w:sz="0" w:space="0" w:color="auto"/>
      </w:divBdr>
    </w:div>
    <w:div w:id="1685402273">
      <w:bodyDiv w:val="1"/>
      <w:marLeft w:val="0"/>
      <w:marRight w:val="0"/>
      <w:marTop w:val="0"/>
      <w:marBottom w:val="0"/>
      <w:divBdr>
        <w:top w:val="none" w:sz="0" w:space="0" w:color="auto"/>
        <w:left w:val="none" w:sz="0" w:space="0" w:color="auto"/>
        <w:bottom w:val="none" w:sz="0" w:space="0" w:color="auto"/>
        <w:right w:val="none" w:sz="0" w:space="0" w:color="auto"/>
      </w:divBdr>
    </w:div>
    <w:div w:id="1699116176">
      <w:bodyDiv w:val="1"/>
      <w:marLeft w:val="0"/>
      <w:marRight w:val="0"/>
      <w:marTop w:val="0"/>
      <w:marBottom w:val="0"/>
      <w:divBdr>
        <w:top w:val="none" w:sz="0" w:space="0" w:color="auto"/>
        <w:left w:val="none" w:sz="0" w:space="0" w:color="auto"/>
        <w:bottom w:val="none" w:sz="0" w:space="0" w:color="auto"/>
        <w:right w:val="none" w:sz="0" w:space="0" w:color="auto"/>
      </w:divBdr>
    </w:div>
    <w:div w:id="1748333695">
      <w:bodyDiv w:val="1"/>
      <w:marLeft w:val="0"/>
      <w:marRight w:val="0"/>
      <w:marTop w:val="0"/>
      <w:marBottom w:val="0"/>
      <w:divBdr>
        <w:top w:val="none" w:sz="0" w:space="0" w:color="auto"/>
        <w:left w:val="none" w:sz="0" w:space="0" w:color="auto"/>
        <w:bottom w:val="none" w:sz="0" w:space="0" w:color="auto"/>
        <w:right w:val="none" w:sz="0" w:space="0" w:color="auto"/>
      </w:divBdr>
    </w:div>
    <w:div w:id="1930194000">
      <w:bodyDiv w:val="1"/>
      <w:marLeft w:val="0"/>
      <w:marRight w:val="0"/>
      <w:marTop w:val="0"/>
      <w:marBottom w:val="0"/>
      <w:divBdr>
        <w:top w:val="none" w:sz="0" w:space="0" w:color="auto"/>
        <w:left w:val="none" w:sz="0" w:space="0" w:color="auto"/>
        <w:bottom w:val="none" w:sz="0" w:space="0" w:color="auto"/>
        <w:right w:val="none" w:sz="0" w:space="0" w:color="auto"/>
      </w:divBdr>
    </w:div>
    <w:div w:id="1934196342">
      <w:bodyDiv w:val="1"/>
      <w:marLeft w:val="0"/>
      <w:marRight w:val="0"/>
      <w:marTop w:val="0"/>
      <w:marBottom w:val="0"/>
      <w:divBdr>
        <w:top w:val="none" w:sz="0" w:space="0" w:color="auto"/>
        <w:left w:val="none" w:sz="0" w:space="0" w:color="auto"/>
        <w:bottom w:val="none" w:sz="0" w:space="0" w:color="auto"/>
        <w:right w:val="none" w:sz="0" w:space="0" w:color="auto"/>
      </w:divBdr>
    </w:div>
    <w:div w:id="2080595366">
      <w:bodyDiv w:val="1"/>
      <w:marLeft w:val="0"/>
      <w:marRight w:val="0"/>
      <w:marTop w:val="0"/>
      <w:marBottom w:val="0"/>
      <w:divBdr>
        <w:top w:val="none" w:sz="0" w:space="0" w:color="auto"/>
        <w:left w:val="none" w:sz="0" w:space="0" w:color="auto"/>
        <w:bottom w:val="none" w:sz="0" w:space="0" w:color="auto"/>
        <w:right w:val="none" w:sz="0" w:space="0" w:color="auto"/>
      </w:divBdr>
    </w:div>
    <w:div w:id="2080906589">
      <w:bodyDiv w:val="1"/>
      <w:marLeft w:val="0"/>
      <w:marRight w:val="0"/>
      <w:marTop w:val="0"/>
      <w:marBottom w:val="0"/>
      <w:divBdr>
        <w:top w:val="none" w:sz="0" w:space="0" w:color="auto"/>
        <w:left w:val="none" w:sz="0" w:space="0" w:color="auto"/>
        <w:bottom w:val="none" w:sz="0" w:space="0" w:color="auto"/>
        <w:right w:val="none" w:sz="0" w:space="0" w:color="auto"/>
      </w:divBdr>
    </w:div>
    <w:div w:id="21359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nat.cz/xqw/xervlet/pssenat/historie?cid=pssenat_historie.pHistorieTisku.list&amp;forEach.action=detail&amp;forEach.value=s3980"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8AFB-D14C-469A-840D-0EFD1A651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4F792992.dotm</Template>
  <TotalTime>1</TotalTime>
  <Pages>14</Pages>
  <Words>4770</Words>
  <Characters>28143</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32848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16/08 - Účetní závěrka Ministerstva spravedlnosti za rok 2015</dc:title>
  <dc:subject>Kontrolní závěr z kontrolní akce NKÚ č. 16/08 - Účetní závěrka Ministerstva spravedlnosti za rok 2015</dc:subject>
  <dc:creator>Nejvyšší kontrolní úřad</dc:creator>
  <cp:keywords>kontrolní závěr; účetnictví; Ministerstvo spravedlnosti; MSp</cp:keywords>
  <dc:description/>
  <cp:lastModifiedBy>KOKRDA Daniel</cp:lastModifiedBy>
  <cp:revision>4</cp:revision>
  <cp:lastPrinted>2016-12-05T09:53:00Z</cp:lastPrinted>
  <dcterms:created xsi:type="dcterms:W3CDTF">2016-12-05T09:49:00Z</dcterms:created>
  <dcterms:modified xsi:type="dcterms:W3CDTF">2016-12-05T09:53:00Z</dcterms:modified>
</cp:coreProperties>
</file>