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EB44" w14:textId="519F095B" w:rsidR="00CD28B4" w:rsidRDefault="00CD28B4" w:rsidP="00517EFD">
      <w:pPr>
        <w:pStyle w:val="Nzev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D36D47A" wp14:editId="5AFAD210">
            <wp:extent cx="720000" cy="620760"/>
            <wp:effectExtent l="0" t="0" r="4445" b="8255"/>
            <wp:docPr id="1694786013" name="Obrázek 10" descr="Obsah obrázku logo, Grafika, Písm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86013" name="Obrázek 10" descr="Obsah obrázku logo, Grafika, Písmo, symbol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A47DA" w14:textId="77777777" w:rsidR="00CD28B4" w:rsidRDefault="00CD28B4" w:rsidP="00517EFD">
      <w:pPr>
        <w:pStyle w:val="Nzev"/>
        <w:outlineLvl w:val="0"/>
        <w:rPr>
          <w:rFonts w:asciiTheme="minorHAnsi" w:hAnsiTheme="minorHAnsi" w:cstheme="minorHAnsi"/>
          <w:sz w:val="28"/>
          <w:szCs w:val="28"/>
        </w:rPr>
      </w:pPr>
    </w:p>
    <w:p w14:paraId="12F4AEFD" w14:textId="77777777" w:rsidR="00CD28B4" w:rsidRDefault="00CD28B4" w:rsidP="00517EFD">
      <w:pPr>
        <w:pStyle w:val="Nzev"/>
        <w:outlineLvl w:val="0"/>
        <w:rPr>
          <w:rFonts w:asciiTheme="minorHAnsi" w:hAnsiTheme="minorHAnsi" w:cstheme="minorHAnsi"/>
          <w:sz w:val="28"/>
          <w:szCs w:val="28"/>
        </w:rPr>
      </w:pPr>
    </w:p>
    <w:p w14:paraId="4A0F3698" w14:textId="6C109834" w:rsidR="008E6616" w:rsidRPr="007F1D90" w:rsidRDefault="007F68A4" w:rsidP="00517EFD">
      <w:pPr>
        <w:pStyle w:val="Nzev"/>
        <w:outlineLvl w:val="0"/>
        <w:rPr>
          <w:rFonts w:asciiTheme="minorHAnsi" w:hAnsiTheme="minorHAnsi" w:cstheme="minorHAnsi"/>
          <w:sz w:val="28"/>
          <w:szCs w:val="28"/>
        </w:rPr>
      </w:pPr>
      <w:r w:rsidRPr="007F1D90">
        <w:rPr>
          <w:rFonts w:asciiTheme="minorHAnsi" w:hAnsiTheme="minorHAnsi" w:cstheme="minorHAnsi"/>
          <w:sz w:val="28"/>
          <w:szCs w:val="28"/>
        </w:rPr>
        <w:t>Kontrolní závěr z kontrolní akce</w:t>
      </w:r>
    </w:p>
    <w:p w14:paraId="44AE3132" w14:textId="77777777" w:rsidR="008E6616" w:rsidRPr="00482426" w:rsidRDefault="008E6616" w:rsidP="00517EFD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</w:p>
    <w:p w14:paraId="69A22C0B" w14:textId="77777777" w:rsidR="008E6616" w:rsidRPr="007F1D90" w:rsidRDefault="007F68A4" w:rsidP="00517EF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25</w:t>
      </w:r>
      <w:r w:rsidRPr="007F1D90">
        <w:rPr>
          <w:rFonts w:cstheme="minorHAnsi"/>
          <w:b/>
          <w:bCs/>
          <w:sz w:val="28"/>
          <w:szCs w:val="28"/>
        </w:rPr>
        <w:t>/</w:t>
      </w:r>
      <w:r>
        <w:rPr>
          <w:rFonts w:cstheme="minorHAnsi"/>
          <w:b/>
          <w:bCs/>
          <w:sz w:val="28"/>
          <w:szCs w:val="28"/>
        </w:rPr>
        <w:t>03</w:t>
      </w:r>
    </w:p>
    <w:p w14:paraId="0D809CE2" w14:textId="77777777" w:rsidR="008E6616" w:rsidRPr="00482426" w:rsidRDefault="008E6616" w:rsidP="00517EFD">
      <w:pPr>
        <w:pStyle w:val="Nzev"/>
        <w:outlineLvl w:val="0"/>
        <w:rPr>
          <w:rFonts w:asciiTheme="minorHAnsi" w:hAnsiTheme="minorHAnsi" w:cstheme="minorHAnsi"/>
          <w:sz w:val="24"/>
          <w:szCs w:val="24"/>
        </w:rPr>
      </w:pPr>
    </w:p>
    <w:p w14:paraId="1A0F3962" w14:textId="77777777" w:rsidR="008E6616" w:rsidRPr="007F1D90" w:rsidRDefault="007F68A4" w:rsidP="00517EFD">
      <w:pPr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>Správa majetkových účastí státu</w:t>
      </w:r>
    </w:p>
    <w:p w14:paraId="55192FAE" w14:textId="77777777" w:rsidR="008D6D1E" w:rsidRPr="00482426" w:rsidRDefault="008D6D1E" w:rsidP="00517EFD">
      <w:pPr>
        <w:spacing w:after="0" w:line="240" w:lineRule="auto"/>
        <w:rPr>
          <w:rFonts w:cstheme="minorHAnsi"/>
          <w:sz w:val="24"/>
          <w:szCs w:val="24"/>
        </w:rPr>
      </w:pPr>
    </w:p>
    <w:p w14:paraId="42470033" w14:textId="77777777" w:rsidR="009A0492" w:rsidRPr="007F1D90" w:rsidRDefault="009A0492" w:rsidP="00517EFD">
      <w:pPr>
        <w:tabs>
          <w:tab w:val="left" w:pos="7988"/>
        </w:tabs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38DF8423" w14:textId="77777777" w:rsidR="008E6616" w:rsidRPr="007F1D90" w:rsidRDefault="007F68A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1D90">
        <w:rPr>
          <w:rFonts w:cstheme="minorHAnsi"/>
          <w:sz w:val="24"/>
          <w:szCs w:val="24"/>
        </w:rPr>
        <w:t xml:space="preserve">Kontrolní akce byla zařazena do plánu kontrolní činnosti Nejvyššího kontrolního úřadu (dále také „NKÚ“) na rok </w:t>
      </w:r>
      <w:r w:rsidR="00645B3A">
        <w:rPr>
          <w:rFonts w:cstheme="minorHAnsi"/>
          <w:sz w:val="24"/>
          <w:szCs w:val="24"/>
        </w:rPr>
        <w:t>2025</w:t>
      </w:r>
      <w:r w:rsidRPr="007F1D90">
        <w:rPr>
          <w:rFonts w:cstheme="minorHAnsi"/>
          <w:sz w:val="24"/>
          <w:szCs w:val="24"/>
        </w:rPr>
        <w:t xml:space="preserve"> pod číslem </w:t>
      </w:r>
      <w:r w:rsidR="00645B3A">
        <w:rPr>
          <w:rFonts w:cstheme="minorHAnsi"/>
          <w:sz w:val="24"/>
          <w:szCs w:val="24"/>
        </w:rPr>
        <w:t>25</w:t>
      </w:r>
      <w:r w:rsidR="009A67C7">
        <w:rPr>
          <w:rFonts w:cstheme="minorHAnsi"/>
          <w:sz w:val="24"/>
          <w:szCs w:val="24"/>
        </w:rPr>
        <w:t>/</w:t>
      </w:r>
      <w:r w:rsidR="00645B3A">
        <w:rPr>
          <w:rFonts w:cstheme="minorHAnsi"/>
          <w:sz w:val="24"/>
          <w:szCs w:val="24"/>
        </w:rPr>
        <w:t>03</w:t>
      </w:r>
      <w:r w:rsidRPr="007F1D90">
        <w:rPr>
          <w:rFonts w:cstheme="minorHAnsi"/>
          <w:sz w:val="24"/>
          <w:szCs w:val="24"/>
        </w:rPr>
        <w:t xml:space="preserve">. Kontrolní akci řídil a kontrolní závěr vypracoval člen NKÚ </w:t>
      </w:r>
      <w:r w:rsidR="00645B3A">
        <w:rPr>
          <w:rFonts w:cstheme="minorHAnsi"/>
          <w:sz w:val="24"/>
          <w:szCs w:val="24"/>
        </w:rPr>
        <w:t>RNDr. Vladimír Koníček</w:t>
      </w:r>
      <w:r w:rsidRPr="007F1D90">
        <w:rPr>
          <w:rFonts w:cstheme="minorHAnsi"/>
          <w:sz w:val="24"/>
          <w:szCs w:val="24"/>
        </w:rPr>
        <w:t>.</w:t>
      </w:r>
    </w:p>
    <w:p w14:paraId="71DD03DC" w14:textId="77777777" w:rsidR="008E6616" w:rsidRPr="007F1D90" w:rsidRDefault="008E6616" w:rsidP="00BC2A72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6EA0442" w14:textId="77777777" w:rsidR="00130B2E" w:rsidRDefault="007F68A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1D90">
        <w:rPr>
          <w:rFonts w:cstheme="minorHAnsi"/>
          <w:sz w:val="24"/>
          <w:szCs w:val="24"/>
        </w:rPr>
        <w:t xml:space="preserve">Cílem kontroly bylo </w:t>
      </w:r>
      <w:bookmarkStart w:id="0" w:name="_Toc506383339"/>
      <w:bookmarkStart w:id="1" w:name="_Toc256000068"/>
      <w:bookmarkStart w:id="2" w:name="_Toc256000035"/>
      <w:bookmarkStart w:id="3" w:name="_Toc256000002"/>
      <w:r w:rsidRPr="007F1D90">
        <w:rPr>
          <w:rFonts w:cstheme="minorHAnsi"/>
          <w:sz w:val="24"/>
          <w:szCs w:val="24"/>
        </w:rPr>
        <w:t>prověřit</w:t>
      </w:r>
      <w:r w:rsidR="0073031A" w:rsidRPr="007F1D90">
        <w:rPr>
          <w:rFonts w:cstheme="minorHAnsi"/>
          <w:sz w:val="24"/>
          <w:szCs w:val="24"/>
        </w:rPr>
        <w:t xml:space="preserve">, </w:t>
      </w:r>
      <w:r w:rsidR="00645B3A">
        <w:rPr>
          <w:rFonts w:cstheme="minorHAnsi"/>
          <w:sz w:val="24"/>
          <w:szCs w:val="24"/>
        </w:rPr>
        <w:t xml:space="preserve">zda vybraná ministerstva vykonávají správu majetkových účastí státu v souladu s cíli </w:t>
      </w:r>
      <w:r w:rsidR="00645B3A" w:rsidRPr="00C45202">
        <w:rPr>
          <w:rFonts w:cstheme="minorHAnsi"/>
          <w:i/>
          <w:iCs/>
          <w:sz w:val="24"/>
          <w:szCs w:val="24"/>
        </w:rPr>
        <w:t>Strategie vlastnické politiky státu</w:t>
      </w:r>
      <w:r w:rsidR="00645B3A">
        <w:rPr>
          <w:rFonts w:cstheme="minorHAnsi"/>
          <w:sz w:val="24"/>
          <w:szCs w:val="24"/>
        </w:rPr>
        <w:t xml:space="preserve"> a zda při správě subjektů s majetkovou účastí státu postupují v souladu s právními předpisy.</w:t>
      </w:r>
      <w:r w:rsidR="00506CA0">
        <w:rPr>
          <w:rFonts w:cstheme="minorHAnsi"/>
          <w:sz w:val="24"/>
          <w:szCs w:val="24"/>
        </w:rPr>
        <w:t xml:space="preserve"> </w:t>
      </w:r>
      <w:r w:rsidR="00506CA0" w:rsidRPr="002D42C5">
        <w:rPr>
          <w:rFonts w:cstheme="minorHAnsi"/>
          <w:sz w:val="24"/>
          <w:szCs w:val="24"/>
        </w:rPr>
        <w:t xml:space="preserve">  </w:t>
      </w:r>
      <w:bookmarkEnd w:id="0"/>
      <w:bookmarkEnd w:id="1"/>
      <w:bookmarkEnd w:id="2"/>
      <w:bookmarkEnd w:id="3"/>
    </w:p>
    <w:p w14:paraId="1AB24334" w14:textId="77777777" w:rsidR="00645B3A" w:rsidRDefault="00645B3A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C8D298" w14:textId="77777777" w:rsidR="00645B3A" w:rsidRDefault="007F68A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Kontrolováno bylo období let 2020 až 2025 a v případě věcných souvislostí i období předcházející.</w:t>
      </w:r>
    </w:p>
    <w:p w14:paraId="0A43ED9C" w14:textId="77777777" w:rsidR="00645B3A" w:rsidRDefault="00645B3A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FF2BB9" w14:textId="77777777" w:rsidR="00645B3A" w:rsidRPr="007F1D90" w:rsidRDefault="007F68A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Kontrola byla u kontrolovaných osob prováděna v období od února do září 2025.</w:t>
      </w:r>
    </w:p>
    <w:p w14:paraId="5A3D3EEF" w14:textId="77777777" w:rsidR="00645B3A" w:rsidRDefault="00645B3A" w:rsidP="00BC2A72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A431DC" w14:textId="77777777" w:rsidR="00645B3A" w:rsidRDefault="00645B3A" w:rsidP="00BC2A72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19B95D" w14:textId="77777777" w:rsidR="00645B3A" w:rsidRDefault="00645B3A" w:rsidP="00517EFD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DE8E2C0" w14:textId="77777777" w:rsidR="008E6616" w:rsidRDefault="007F68A4" w:rsidP="00606CC4">
      <w:pPr>
        <w:shd w:val="clear" w:color="auto" w:fill="FFFFFF" w:themeFill="background1"/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645B3A">
        <w:rPr>
          <w:rFonts w:cstheme="minorHAnsi"/>
          <w:b/>
          <w:bCs/>
          <w:sz w:val="24"/>
          <w:szCs w:val="24"/>
        </w:rPr>
        <w:t>Kontrolované osoby:</w:t>
      </w:r>
    </w:p>
    <w:p w14:paraId="70CEB92B" w14:textId="79157FB8" w:rsidR="00645B3A" w:rsidRDefault="007F68A4" w:rsidP="00517EF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Ministerstvo financí (dále také „MF“)</w:t>
      </w:r>
      <w:r w:rsidR="00565BB8">
        <w:rPr>
          <w:rFonts w:cstheme="minorHAnsi"/>
          <w:sz w:val="24"/>
          <w:szCs w:val="24"/>
        </w:rPr>
        <w:t>;</w:t>
      </w:r>
    </w:p>
    <w:p w14:paraId="45A2A94C" w14:textId="101D7BBA" w:rsidR="00645B3A" w:rsidRDefault="007F68A4" w:rsidP="00517EF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Ministerstvo průmyslu a obchodu (dále také „MPO“)</w:t>
      </w:r>
      <w:r w:rsidR="00565BB8">
        <w:rPr>
          <w:rFonts w:cstheme="minorHAnsi"/>
          <w:sz w:val="24"/>
          <w:szCs w:val="24"/>
        </w:rPr>
        <w:t>;</w:t>
      </w:r>
    </w:p>
    <w:p w14:paraId="0C459A0F" w14:textId="6BAD9989" w:rsidR="00506CA0" w:rsidRPr="00506CA0" w:rsidRDefault="007F68A4" w:rsidP="00517E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6CA0">
        <w:rPr>
          <w:rFonts w:cstheme="minorHAnsi"/>
          <w:sz w:val="24"/>
          <w:szCs w:val="24"/>
        </w:rPr>
        <w:t>Ministerstvo zemědělství</w:t>
      </w:r>
      <w:r w:rsidR="00645B3A">
        <w:rPr>
          <w:rFonts w:cstheme="minorHAnsi"/>
          <w:sz w:val="24"/>
          <w:szCs w:val="24"/>
        </w:rPr>
        <w:t xml:space="preserve"> (dále také „</w:t>
      </w:r>
      <w:proofErr w:type="spellStart"/>
      <w:r w:rsidR="00645B3A">
        <w:rPr>
          <w:rFonts w:cstheme="minorHAnsi"/>
          <w:sz w:val="24"/>
          <w:szCs w:val="24"/>
        </w:rPr>
        <w:t>MZe</w:t>
      </w:r>
      <w:proofErr w:type="spellEnd"/>
      <w:r w:rsidR="00645B3A">
        <w:rPr>
          <w:rFonts w:cstheme="minorHAnsi"/>
          <w:sz w:val="24"/>
          <w:szCs w:val="24"/>
        </w:rPr>
        <w:t>“)</w:t>
      </w:r>
      <w:r w:rsidR="00565BB8">
        <w:rPr>
          <w:rFonts w:cstheme="minorHAnsi"/>
          <w:sz w:val="24"/>
          <w:szCs w:val="24"/>
        </w:rPr>
        <w:t>.</w:t>
      </w:r>
    </w:p>
    <w:p w14:paraId="6533F5EF" w14:textId="77777777" w:rsidR="00130B2E" w:rsidRPr="007F1D90" w:rsidRDefault="00130B2E" w:rsidP="00517E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6EAC6A" w14:textId="77777777" w:rsidR="00130B2E" w:rsidRPr="007F1D90" w:rsidRDefault="00130B2E" w:rsidP="00517EFD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1D92923" w14:textId="77777777" w:rsidR="00645B3A" w:rsidRPr="00645B3A" w:rsidRDefault="00645B3A" w:rsidP="00517EF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30BFA43" w14:textId="5001DD59" w:rsidR="008E6616" w:rsidRPr="005D342D" w:rsidRDefault="007F68A4" w:rsidP="00517EF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D342D">
        <w:rPr>
          <w:rFonts w:cstheme="minorHAnsi"/>
          <w:b/>
          <w:bCs/>
          <w:i/>
          <w:iCs/>
          <w:sz w:val="24"/>
          <w:szCs w:val="24"/>
        </w:rPr>
        <w:t xml:space="preserve">K o l e g i u m   N K Ú  </w:t>
      </w:r>
      <w:r w:rsidRPr="005D342D">
        <w:rPr>
          <w:rFonts w:cstheme="minorHAnsi"/>
          <w:sz w:val="24"/>
          <w:szCs w:val="24"/>
        </w:rPr>
        <w:t xml:space="preserve"> na svém</w:t>
      </w:r>
      <w:r w:rsidR="00920CA5" w:rsidRPr="005D342D">
        <w:rPr>
          <w:rFonts w:cstheme="minorHAnsi"/>
          <w:sz w:val="24"/>
          <w:szCs w:val="24"/>
        </w:rPr>
        <w:t xml:space="preserve"> </w:t>
      </w:r>
      <w:r w:rsidR="0054743B">
        <w:rPr>
          <w:rFonts w:cstheme="minorHAnsi"/>
          <w:sz w:val="24"/>
          <w:szCs w:val="24"/>
        </w:rPr>
        <w:t>I</w:t>
      </w:r>
      <w:r w:rsidRPr="005D342D">
        <w:rPr>
          <w:rFonts w:cstheme="minorHAnsi"/>
          <w:sz w:val="24"/>
          <w:szCs w:val="24"/>
        </w:rPr>
        <w:t xml:space="preserve">. jednání, </w:t>
      </w:r>
      <w:r w:rsidR="0026522A">
        <w:rPr>
          <w:rFonts w:cstheme="minorHAnsi"/>
          <w:sz w:val="24"/>
          <w:szCs w:val="24"/>
        </w:rPr>
        <w:t xml:space="preserve">které se </w:t>
      </w:r>
      <w:r w:rsidRPr="005D342D">
        <w:rPr>
          <w:rFonts w:cstheme="minorHAnsi"/>
          <w:sz w:val="24"/>
          <w:szCs w:val="24"/>
        </w:rPr>
        <w:t>kona</w:t>
      </w:r>
      <w:r w:rsidR="0026522A">
        <w:rPr>
          <w:rFonts w:cstheme="minorHAnsi"/>
          <w:sz w:val="24"/>
          <w:szCs w:val="24"/>
        </w:rPr>
        <w:t>lo</w:t>
      </w:r>
      <w:r w:rsidRPr="005D342D">
        <w:rPr>
          <w:rFonts w:cstheme="minorHAnsi"/>
          <w:sz w:val="24"/>
          <w:szCs w:val="24"/>
        </w:rPr>
        <w:t xml:space="preserve"> dne</w:t>
      </w:r>
      <w:r w:rsidR="0054743B">
        <w:rPr>
          <w:rFonts w:cstheme="minorHAnsi"/>
          <w:sz w:val="24"/>
          <w:szCs w:val="24"/>
        </w:rPr>
        <w:t xml:space="preserve"> 26. ledna 2026</w:t>
      </w:r>
      <w:r w:rsidRPr="005D342D">
        <w:rPr>
          <w:rFonts w:cstheme="minorHAnsi"/>
          <w:sz w:val="24"/>
          <w:szCs w:val="24"/>
        </w:rPr>
        <w:t>,</w:t>
      </w:r>
    </w:p>
    <w:p w14:paraId="4D8C87F3" w14:textId="5CFF902E" w:rsidR="008E6616" w:rsidRPr="005D342D" w:rsidRDefault="007F68A4" w:rsidP="00517EFD">
      <w:pPr>
        <w:pStyle w:val="NormlnKZ"/>
        <w:ind w:firstLine="0"/>
        <w:rPr>
          <w:rFonts w:asciiTheme="minorHAnsi" w:hAnsiTheme="minorHAnsi" w:cstheme="minorHAnsi"/>
          <w:sz w:val="24"/>
        </w:rPr>
      </w:pPr>
      <w:r w:rsidRPr="005D342D">
        <w:rPr>
          <w:rFonts w:asciiTheme="minorHAnsi" w:hAnsiTheme="minorHAnsi" w:cstheme="minorHAnsi"/>
          <w:b/>
          <w:bCs/>
          <w:i/>
          <w:iCs/>
          <w:sz w:val="24"/>
        </w:rPr>
        <w:t xml:space="preserve">s c h v á l i l o  </w:t>
      </w:r>
      <w:r w:rsidR="002F122F" w:rsidRPr="005D342D">
        <w:rPr>
          <w:rFonts w:asciiTheme="minorHAnsi" w:hAnsiTheme="minorHAnsi" w:cstheme="minorHAnsi"/>
          <w:sz w:val="24"/>
        </w:rPr>
        <w:t xml:space="preserve"> usnesením č.</w:t>
      </w:r>
      <w:r w:rsidR="00DD6075" w:rsidRPr="005D342D">
        <w:rPr>
          <w:rFonts w:asciiTheme="minorHAnsi" w:hAnsiTheme="minorHAnsi" w:cstheme="minorHAnsi"/>
          <w:sz w:val="24"/>
        </w:rPr>
        <w:t xml:space="preserve"> </w:t>
      </w:r>
      <w:r w:rsidR="00C17188">
        <w:rPr>
          <w:rFonts w:asciiTheme="minorHAnsi" w:hAnsiTheme="minorHAnsi" w:cstheme="minorHAnsi"/>
          <w:sz w:val="24"/>
        </w:rPr>
        <w:t>14</w:t>
      </w:r>
      <w:r w:rsidR="00B6357B" w:rsidRPr="0054743B">
        <w:rPr>
          <w:rFonts w:asciiTheme="minorHAnsi" w:hAnsiTheme="minorHAnsi" w:cstheme="minorHAnsi"/>
          <w:sz w:val="24"/>
        </w:rPr>
        <w:t>/</w:t>
      </w:r>
      <w:r w:rsidR="0054743B" w:rsidRPr="0054743B">
        <w:rPr>
          <w:rFonts w:asciiTheme="minorHAnsi" w:hAnsiTheme="minorHAnsi" w:cstheme="minorHAnsi"/>
          <w:sz w:val="24"/>
        </w:rPr>
        <w:t>I/</w:t>
      </w:r>
      <w:r w:rsidR="00B6357B" w:rsidRPr="0054743B">
        <w:rPr>
          <w:rFonts w:asciiTheme="minorHAnsi" w:hAnsiTheme="minorHAnsi" w:cstheme="minorHAnsi"/>
          <w:sz w:val="24"/>
        </w:rPr>
        <w:t>202</w:t>
      </w:r>
      <w:r w:rsidR="0054743B" w:rsidRPr="0054743B">
        <w:rPr>
          <w:rFonts w:asciiTheme="minorHAnsi" w:hAnsiTheme="minorHAnsi" w:cstheme="minorHAnsi"/>
          <w:sz w:val="24"/>
        </w:rPr>
        <w:t>6</w:t>
      </w:r>
    </w:p>
    <w:p w14:paraId="2348442E" w14:textId="77777777" w:rsidR="003C20A4" w:rsidRPr="000C7054" w:rsidRDefault="007F68A4" w:rsidP="000C7054">
      <w:pPr>
        <w:pStyle w:val="NormlnKZ"/>
        <w:ind w:firstLine="0"/>
        <w:rPr>
          <w:rFonts w:asciiTheme="minorHAnsi" w:hAnsiTheme="minorHAnsi" w:cstheme="minorHAnsi"/>
          <w:sz w:val="24"/>
        </w:rPr>
        <w:sectPr w:rsidR="003C20A4" w:rsidRPr="000C7054" w:rsidSect="002348EC"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560" w:right="1417" w:bottom="1276" w:left="1417" w:header="708" w:footer="708" w:gutter="0"/>
          <w:cols w:space="708"/>
          <w:titlePg/>
          <w:docGrid w:linePitch="360"/>
        </w:sectPr>
      </w:pPr>
      <w:r w:rsidRPr="007F1D90">
        <w:rPr>
          <w:rFonts w:asciiTheme="minorHAnsi" w:hAnsiTheme="minorHAnsi" w:cstheme="minorHAnsi"/>
          <w:b/>
          <w:bCs/>
          <w:i/>
          <w:iCs/>
          <w:sz w:val="24"/>
        </w:rPr>
        <w:t>k o n t r o l n í   z á v ě r</w:t>
      </w:r>
      <w:r w:rsidRPr="007F1D90">
        <w:rPr>
          <w:rFonts w:asciiTheme="minorHAnsi" w:hAnsiTheme="minorHAnsi" w:cstheme="minorHAnsi"/>
          <w:sz w:val="24"/>
        </w:rPr>
        <w:t xml:space="preserve">   v tomto zně</w:t>
      </w:r>
      <w:r w:rsidR="001611D4">
        <w:rPr>
          <w:rFonts w:asciiTheme="minorHAnsi" w:hAnsiTheme="minorHAnsi" w:cstheme="minorHAnsi"/>
          <w:sz w:val="24"/>
        </w:rPr>
        <w:t>n</w:t>
      </w:r>
      <w:r w:rsidR="00CB06A3">
        <w:rPr>
          <w:rFonts w:asciiTheme="minorHAnsi" w:hAnsiTheme="minorHAnsi" w:cstheme="minorHAnsi"/>
          <w:sz w:val="24"/>
        </w:rPr>
        <w:t>í:</w:t>
      </w:r>
    </w:p>
    <w:p w14:paraId="17B3292E" w14:textId="77777777" w:rsidR="002E245B" w:rsidRPr="00857606" w:rsidRDefault="002E245B" w:rsidP="00857606">
      <w:pPr>
        <w:tabs>
          <w:tab w:val="left" w:pos="1115"/>
        </w:tabs>
        <w:spacing w:after="360" w:line="240" w:lineRule="auto"/>
        <w:jc w:val="center"/>
        <w:rPr>
          <w:rFonts w:cstheme="minorHAnsi"/>
          <w:b/>
          <w:sz w:val="24"/>
          <w:szCs w:val="24"/>
        </w:rPr>
      </w:pPr>
      <w:bookmarkStart w:id="4" w:name="_Hlk218866051"/>
      <w:r w:rsidRPr="005313C8">
        <w:rPr>
          <w:rFonts w:cstheme="minorHAnsi"/>
          <w:b/>
          <w:sz w:val="32"/>
          <w:szCs w:val="32"/>
        </w:rPr>
        <w:lastRenderedPageBreak/>
        <w:t>Správa majetkových účastí státu</w:t>
      </w:r>
    </w:p>
    <w:p w14:paraId="4F3F7EE9" w14:textId="77777777" w:rsidR="002E245B" w:rsidRPr="00C24CBE" w:rsidRDefault="002E245B" w:rsidP="002E245B">
      <w:pPr>
        <w:tabs>
          <w:tab w:val="left" w:pos="1115"/>
        </w:tabs>
        <w:ind w:left="1416" w:hanging="1416"/>
        <w:jc w:val="center"/>
        <w:rPr>
          <w:caps/>
          <w:sz w:val="24"/>
          <w:szCs w:val="24"/>
        </w:rPr>
      </w:pPr>
      <w:r w:rsidRPr="00C24CB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6FF22" wp14:editId="2D36877B">
                <wp:simplePos x="0" y="0"/>
                <wp:positionH relativeFrom="margin">
                  <wp:posOffset>3696335</wp:posOffset>
                </wp:positionH>
                <wp:positionV relativeFrom="paragraph">
                  <wp:posOffset>104981</wp:posOffset>
                </wp:positionV>
                <wp:extent cx="2043430" cy="0"/>
                <wp:effectExtent l="0" t="0" r="0" b="0"/>
                <wp:wrapNone/>
                <wp:docPr id="1318451196" name="Přímá spojnice 131845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45239" id="Přímá spojnice 131845119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05pt,8.25pt" to="451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24CB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84224" wp14:editId="120E2B5C">
                <wp:simplePos x="0" y="0"/>
                <wp:positionH relativeFrom="column">
                  <wp:posOffset>-33655</wp:posOffset>
                </wp:positionH>
                <wp:positionV relativeFrom="paragraph">
                  <wp:posOffset>99266</wp:posOffset>
                </wp:positionV>
                <wp:extent cx="2109216" cy="0"/>
                <wp:effectExtent l="0" t="0" r="0" b="0"/>
                <wp:wrapNone/>
                <wp:docPr id="303618084" name="Přímá spojnice 303618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2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7D026" id="Přímá spojnice 30361808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.8pt" to="163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oUsQEAANQ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C24CBE">
        <w:rPr>
          <w:caps/>
          <w:sz w:val="24"/>
          <w:szCs w:val="24"/>
        </w:rPr>
        <w:t>ZÁKLADNÍ INFORMACE</w:t>
      </w:r>
    </w:p>
    <w:p w14:paraId="51F48922" w14:textId="77777777" w:rsidR="002E245B" w:rsidRPr="00C24CBE" w:rsidRDefault="002E245B" w:rsidP="00857606">
      <w:pPr>
        <w:spacing w:before="240" w:after="240"/>
        <w:jc w:val="center"/>
        <w:rPr>
          <w:noProof/>
          <w:sz w:val="24"/>
          <w:szCs w:val="24"/>
        </w:rPr>
      </w:pPr>
      <w:r w:rsidRPr="00C24CBE">
        <w:rPr>
          <w:b/>
          <w:bCs/>
          <w:sz w:val="24"/>
          <w:szCs w:val="24"/>
          <w14:shadow w14:blurRad="50800" w14:dist="50800" w14:dir="0" w14:sx="1000" w14:sy="1000" w14:kx="0" w14:ky="0" w14:algn="ctr">
            <w14:srgbClr w14:val="000000"/>
          </w14:shadow>
          <w14:reflection w14:blurRad="0" w14:stA="3000" w14:stPos="0" w14:endA="0" w14:endPos="0" w14:dist="0" w14:dir="0" w14:fadeDir="0" w14:sx="0" w14:sy="0" w14:kx="0" w14:ky="0" w14:algn="b"/>
        </w:rPr>
        <w:t xml:space="preserve">Majetkové účasti státu v gesci MF, MPO a </w:t>
      </w:r>
      <w:proofErr w:type="spellStart"/>
      <w:r w:rsidRPr="00C24CBE">
        <w:rPr>
          <w:b/>
          <w:bCs/>
          <w:sz w:val="24"/>
          <w:szCs w:val="24"/>
          <w14:shadow w14:blurRad="50800" w14:dist="50800" w14:dir="0" w14:sx="1000" w14:sy="1000" w14:kx="0" w14:ky="0" w14:algn="ctr">
            <w14:srgbClr w14:val="000000"/>
          </w14:shadow>
          <w14:reflection w14:blurRad="0" w14:stA="3000" w14:stPos="0" w14:endA="0" w14:endPos="0" w14:dist="0" w14:dir="0" w14:fadeDir="0" w14:sx="0" w14:sy="0" w14:kx="0" w14:ky="0" w14:algn="b"/>
        </w:rPr>
        <w:t>MZe</w:t>
      </w:r>
      <w:proofErr w:type="spellEnd"/>
    </w:p>
    <w:tbl>
      <w:tblPr>
        <w:tblpPr w:leftFromText="141" w:rightFromText="141" w:vertAnchor="page" w:horzAnchor="margin" w:tblpY="3500"/>
        <w:tblW w:w="9072" w:type="dxa"/>
        <w:shd w:val="clear" w:color="auto" w:fill="FFFFFF" w:themeFill="background1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57606" w14:paraId="5CA1A4F6" w14:textId="77777777" w:rsidTr="00857606">
        <w:trPr>
          <w:trHeight w:val="2253"/>
        </w:trPr>
        <w:tc>
          <w:tcPr>
            <w:tcW w:w="3024" w:type="dxa"/>
            <w:shd w:val="clear" w:color="auto" w:fill="FFFFFF" w:themeFill="background1"/>
          </w:tcPr>
          <w:p w14:paraId="232C7690" w14:textId="77777777" w:rsidR="00857606" w:rsidRDefault="00857606" w:rsidP="00857606">
            <w:pPr>
              <w:tabs>
                <w:tab w:val="left" w:pos="1747"/>
                <w:tab w:val="center" w:pos="4536"/>
              </w:tabs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A002C9">
              <w:rPr>
                <w:rFonts w:cs="Calibri"/>
                <w:b/>
                <w:bCs/>
                <w:sz w:val="32"/>
                <w:szCs w:val="32"/>
              </w:rPr>
              <w:t>235,6 mld. Kč</w:t>
            </w:r>
          </w:p>
          <w:p w14:paraId="2D3DCB0C" w14:textId="050C2019" w:rsidR="00857606" w:rsidRPr="00B1776C" w:rsidRDefault="00857606" w:rsidP="00857606">
            <w:pPr>
              <w:tabs>
                <w:tab w:val="left" w:pos="1747"/>
                <w:tab w:val="center" w:pos="4536"/>
              </w:tabs>
              <w:spacing w:after="0" w:line="240" w:lineRule="auto"/>
              <w:jc w:val="center"/>
              <w:rPr>
                <w:caps/>
                <w:noProof/>
                <w:sz w:val="24"/>
                <w:szCs w:val="24"/>
              </w:rPr>
            </w:pPr>
            <w:r w:rsidRPr="00A002C9">
              <w:rPr>
                <w:sz w:val="24"/>
                <w:szCs w:val="24"/>
              </w:rPr>
              <w:t xml:space="preserve">Peněžní prostředky poskytnuté ze státního rozpočtu obchodním společnostem </w:t>
            </w:r>
            <w:r>
              <w:rPr>
                <w:sz w:val="24"/>
                <w:szCs w:val="24"/>
              </w:rPr>
              <w:br/>
              <w:t>v </w:t>
            </w:r>
            <w:r w:rsidRPr="00A002C9">
              <w:rPr>
                <w:sz w:val="24"/>
                <w:szCs w:val="24"/>
              </w:rPr>
              <w:t>letech 2020–2024</w:t>
            </w:r>
          </w:p>
        </w:tc>
        <w:tc>
          <w:tcPr>
            <w:tcW w:w="3024" w:type="dxa"/>
            <w:shd w:val="clear" w:color="auto" w:fill="FFFFFF" w:themeFill="background1"/>
          </w:tcPr>
          <w:p w14:paraId="36A36234" w14:textId="77777777" w:rsidR="00857606" w:rsidRPr="00681201" w:rsidRDefault="00857606" w:rsidP="00857606">
            <w:pPr>
              <w:pStyle w:val="Pa18"/>
              <w:spacing w:line="240" w:lineRule="auto"/>
              <w:jc w:val="center"/>
              <w:rPr>
                <w:rFonts w:cs="Calibri"/>
                <w:b/>
                <w:bCs/>
                <w:sz w:val="32"/>
                <w:szCs w:val="36"/>
              </w:rPr>
            </w:pPr>
            <w:r>
              <w:rPr>
                <w:rFonts w:cs="Calibri"/>
                <w:b/>
                <w:bCs/>
                <w:sz w:val="32"/>
                <w:szCs w:val="36"/>
              </w:rPr>
              <w:t xml:space="preserve">145,2 </w:t>
            </w:r>
            <w:r w:rsidRPr="00681201">
              <w:rPr>
                <w:rFonts w:cs="Calibri"/>
                <w:b/>
                <w:bCs/>
                <w:sz w:val="32"/>
                <w:szCs w:val="36"/>
              </w:rPr>
              <w:t>mld. Kč</w:t>
            </w:r>
          </w:p>
          <w:p w14:paraId="34FB2C60" w14:textId="4E0089C0" w:rsidR="00857606" w:rsidRPr="00CB06A3" w:rsidRDefault="00857606" w:rsidP="00857606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2267A4">
              <w:rPr>
                <w:sz w:val="24"/>
                <w:szCs w:val="24"/>
              </w:rPr>
              <w:t>ividendy státu od obchodních společností</w:t>
            </w:r>
            <w:r>
              <w:rPr>
                <w:sz w:val="24"/>
                <w:szCs w:val="24"/>
              </w:rPr>
              <w:t xml:space="preserve"> </w:t>
            </w:r>
            <w:r w:rsidRPr="002267A4">
              <w:rPr>
                <w:sz w:val="24"/>
                <w:szCs w:val="24"/>
              </w:rPr>
              <w:t>v letech 2020–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3024" w:type="dxa"/>
            <w:shd w:val="clear" w:color="auto" w:fill="FFFFFF" w:themeFill="background1"/>
          </w:tcPr>
          <w:p w14:paraId="22E21D4B" w14:textId="77777777" w:rsidR="00857606" w:rsidRPr="00A002C9" w:rsidRDefault="00857606" w:rsidP="00857606">
            <w:pPr>
              <w:tabs>
                <w:tab w:val="left" w:pos="1747"/>
                <w:tab w:val="center" w:pos="4536"/>
              </w:tabs>
              <w:spacing w:after="0" w:line="240" w:lineRule="auto"/>
              <w:jc w:val="center"/>
              <w:rPr>
                <w:b/>
                <w:bCs/>
                <w:caps/>
                <w:noProof/>
                <w:sz w:val="32"/>
                <w:szCs w:val="32"/>
              </w:rPr>
            </w:pPr>
            <w:r w:rsidRPr="00A002C9">
              <w:rPr>
                <w:b/>
                <w:bCs/>
                <w:noProof/>
                <w:sz w:val="32"/>
                <w:szCs w:val="32"/>
              </w:rPr>
              <w:t>165,</w:t>
            </w:r>
            <w:r>
              <w:rPr>
                <w:b/>
                <w:bCs/>
                <w:noProof/>
                <w:sz w:val="32"/>
                <w:szCs w:val="32"/>
              </w:rPr>
              <w:t>5</w:t>
            </w:r>
            <w:r w:rsidRPr="00A002C9">
              <w:rPr>
                <w:b/>
                <w:bCs/>
                <w:noProof/>
                <w:sz w:val="32"/>
                <w:szCs w:val="32"/>
              </w:rPr>
              <w:t xml:space="preserve"> mil. Kč</w:t>
            </w:r>
          </w:p>
          <w:p w14:paraId="782FCB92" w14:textId="5B679188" w:rsidR="00857606" w:rsidRPr="002267A4" w:rsidRDefault="00857606" w:rsidP="00857606">
            <w:pPr>
              <w:tabs>
                <w:tab w:val="left" w:pos="1747"/>
                <w:tab w:val="center" w:pos="453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BDC">
              <w:rPr>
                <w:noProof/>
                <w:sz w:val="24"/>
                <w:szCs w:val="24"/>
              </w:rPr>
              <w:t xml:space="preserve">Výdaje na správu majetkových účastí </w:t>
            </w:r>
            <w:r>
              <w:rPr>
                <w:noProof/>
                <w:sz w:val="24"/>
                <w:szCs w:val="24"/>
              </w:rPr>
              <w:t xml:space="preserve">v obchodních společnostech </w:t>
            </w:r>
            <w:r w:rsidRPr="00C12BDC">
              <w:rPr>
                <w:noProof/>
                <w:sz w:val="24"/>
                <w:szCs w:val="24"/>
              </w:rPr>
              <w:t>v letech 2020</w:t>
            </w:r>
            <w:r w:rsidR="00565BB8" w:rsidRPr="00A002C9">
              <w:rPr>
                <w:sz w:val="24"/>
                <w:szCs w:val="24"/>
              </w:rPr>
              <w:t>–</w:t>
            </w:r>
            <w:r w:rsidRPr="00C12BDC">
              <w:rPr>
                <w:noProof/>
                <w:sz w:val="24"/>
                <w:szCs w:val="24"/>
              </w:rPr>
              <w:t>2024</w:t>
            </w:r>
          </w:p>
        </w:tc>
      </w:tr>
    </w:tbl>
    <w:p w14:paraId="4BA4F268" w14:textId="77777777" w:rsidR="002E245B" w:rsidRDefault="002E245B" w:rsidP="002E245B">
      <w:pPr>
        <w:rPr>
          <w14:shadow w14:blurRad="50800" w14:dist="50800" w14:dir="0" w14:sx="1000" w14:sy="1000" w14:kx="0" w14:ky="0" w14:algn="ctr">
            <w14:srgbClr w14:val="000000"/>
          </w14:shadow>
          <w14:reflection w14:blurRad="0" w14:stA="3000" w14:stPos="0" w14:endA="0" w14:endPos="0" w14:dist="0" w14:dir="0" w14:fadeDir="0" w14:sx="0" w14:sy="0" w14:kx="0" w14:ky="0" w14:algn="b"/>
        </w:rPr>
      </w:pPr>
    </w:p>
    <w:p w14:paraId="11F45D5F" w14:textId="5AB2B52B" w:rsidR="002E245B" w:rsidRPr="00C24CBE" w:rsidRDefault="002E245B" w:rsidP="002E245B">
      <w:pPr>
        <w:tabs>
          <w:tab w:val="left" w:pos="1115"/>
        </w:tabs>
        <w:ind w:left="1416" w:hanging="1416"/>
        <w:jc w:val="center"/>
        <w:rPr>
          <w:caps/>
          <w:sz w:val="24"/>
          <w:szCs w:val="24"/>
        </w:rPr>
      </w:pPr>
      <w:r w:rsidRPr="00C24CBE">
        <w:rPr>
          <w:caps/>
          <w:sz w:val="24"/>
          <w:szCs w:val="24"/>
        </w:rPr>
        <w:t xml:space="preserve"> Zjištěné skutečnosti</w:t>
      </w:r>
      <w:r w:rsidRPr="00C24CBE">
        <w:rPr>
          <w:b/>
          <w:noProof/>
          <w:sz w:val="24"/>
          <w:szCs w:val="24"/>
        </w:rPr>
        <w:t xml:space="preserve"> </w:t>
      </w:r>
      <w:r w:rsidRPr="00C24CB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21873" wp14:editId="1990DE2E">
                <wp:simplePos x="0" y="0"/>
                <wp:positionH relativeFrom="margin">
                  <wp:posOffset>3696335</wp:posOffset>
                </wp:positionH>
                <wp:positionV relativeFrom="paragraph">
                  <wp:posOffset>104981</wp:posOffset>
                </wp:positionV>
                <wp:extent cx="2043430" cy="0"/>
                <wp:effectExtent l="0" t="0" r="0" b="0"/>
                <wp:wrapNone/>
                <wp:docPr id="1979747828" name="Přímá spojnice 1979747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5DA58" id="Přímá spojnice 197974782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05pt,8.25pt" to="451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24CB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83B7D" wp14:editId="01FF0DC5">
                <wp:simplePos x="0" y="0"/>
                <wp:positionH relativeFrom="column">
                  <wp:posOffset>-33655</wp:posOffset>
                </wp:positionH>
                <wp:positionV relativeFrom="paragraph">
                  <wp:posOffset>99266</wp:posOffset>
                </wp:positionV>
                <wp:extent cx="2109216" cy="0"/>
                <wp:effectExtent l="0" t="0" r="0" b="0"/>
                <wp:wrapNone/>
                <wp:docPr id="580036960" name="Přímá spojnice 580036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2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89EEA" id="Přímá spojnice 58003696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.8pt" to="163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oUsQEAANQ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Mkatabulky"/>
        <w:tblW w:w="90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3641"/>
      </w:tblGrid>
      <w:tr w:rsidR="002E245B" w14:paraId="00A76F16" w14:textId="77777777" w:rsidTr="006C0D1E">
        <w:trPr>
          <w:trHeight w:val="1662"/>
        </w:trPr>
        <w:tc>
          <w:tcPr>
            <w:tcW w:w="3544" w:type="dxa"/>
          </w:tcPr>
          <w:p w14:paraId="66AEB3F7" w14:textId="77777777" w:rsidR="002E245B" w:rsidRPr="00880C1E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b/>
                <w:bCs/>
                <w:caps/>
                <w:noProof/>
                <w:sz w:val="32"/>
                <w:szCs w:val="32"/>
              </w:rPr>
            </w:pPr>
            <w:r w:rsidRPr="00880C1E">
              <w:rPr>
                <w:caps/>
                <w:sz w:val="32"/>
                <w:szCs w:val="32"/>
              </w:rPr>
              <w:t xml:space="preserve"> </w:t>
            </w:r>
            <w:r w:rsidRPr="00880C1E">
              <w:rPr>
                <w:b/>
                <w:bCs/>
                <w:caps/>
                <w:noProof/>
                <w:sz w:val="32"/>
                <w:szCs w:val="32"/>
              </w:rPr>
              <w:t>37</w:t>
            </w:r>
          </w:p>
          <w:p w14:paraId="573AFC3F" w14:textId="768004A9" w:rsidR="002E245B" w:rsidRPr="00880C1E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caps/>
                <w:noProof/>
                <w:sz w:val="24"/>
                <w:szCs w:val="24"/>
              </w:rPr>
            </w:pPr>
            <w:r w:rsidRPr="00880C1E">
              <w:rPr>
                <w:noProof/>
                <w:sz w:val="24"/>
                <w:szCs w:val="24"/>
              </w:rPr>
              <w:t>Počet obchodních společností k 31. 12. 2024</w:t>
            </w:r>
          </w:p>
          <w:p w14:paraId="0CEBDDD9" w14:textId="77777777" w:rsidR="002E245B" w:rsidRPr="00880C1E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b/>
                <w:bCs/>
                <w:caps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AA82F5" w14:textId="77777777" w:rsidR="002E245B" w:rsidRPr="00880C1E" w:rsidRDefault="002E245B" w:rsidP="006C0D1E">
            <w:pPr>
              <w:tabs>
                <w:tab w:val="left" w:pos="1747"/>
                <w:tab w:val="center" w:pos="4536"/>
              </w:tabs>
              <w:rPr>
                <w:caps/>
                <w:noProof/>
                <w:sz w:val="24"/>
                <w:szCs w:val="24"/>
              </w:rPr>
            </w:pPr>
          </w:p>
        </w:tc>
        <w:tc>
          <w:tcPr>
            <w:tcW w:w="3641" w:type="dxa"/>
          </w:tcPr>
          <w:p w14:paraId="5B6EC286" w14:textId="63C93BFD" w:rsidR="002E245B" w:rsidRPr="00880C1E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b/>
                <w:bCs/>
                <w:caps/>
                <w:noProof/>
                <w:sz w:val="32"/>
                <w:szCs w:val="32"/>
              </w:rPr>
            </w:pPr>
            <w:r w:rsidRPr="00880C1E">
              <w:rPr>
                <w:b/>
                <w:bCs/>
                <w:noProof/>
                <w:sz w:val="32"/>
                <w:szCs w:val="32"/>
              </w:rPr>
              <w:t>127 mld. Kč</w:t>
            </w:r>
          </w:p>
          <w:p w14:paraId="4329807F" w14:textId="2F46E879" w:rsidR="002E245B" w:rsidRPr="00880C1E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caps/>
                <w:noProof/>
                <w:sz w:val="24"/>
                <w:szCs w:val="24"/>
              </w:rPr>
            </w:pPr>
            <w:r w:rsidRPr="00880C1E">
              <w:rPr>
                <w:noProof/>
                <w:sz w:val="24"/>
                <w:szCs w:val="24"/>
              </w:rPr>
              <w:t>Hodnota majetkových podílů v těchto obchodních společnostech k 31. 12. 2024</w:t>
            </w:r>
          </w:p>
          <w:p w14:paraId="2A335E9B" w14:textId="77777777" w:rsidR="002E245B" w:rsidRPr="00880C1E" w:rsidRDefault="002E245B" w:rsidP="006C0D1E">
            <w:pPr>
              <w:jc w:val="center"/>
              <w:rPr>
                <w:sz w:val="24"/>
                <w:szCs w:val="24"/>
              </w:rPr>
            </w:pPr>
          </w:p>
          <w:p w14:paraId="0FC12B51" w14:textId="77777777" w:rsidR="002E245B" w:rsidRPr="00880C1E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caps/>
                <w:noProof/>
                <w:sz w:val="24"/>
                <w:szCs w:val="24"/>
              </w:rPr>
            </w:pPr>
          </w:p>
        </w:tc>
      </w:tr>
      <w:tr w:rsidR="002E245B" w14:paraId="178611EC" w14:textId="77777777" w:rsidTr="006C0D1E">
        <w:trPr>
          <w:trHeight w:val="1676"/>
        </w:trPr>
        <w:tc>
          <w:tcPr>
            <w:tcW w:w="3544" w:type="dxa"/>
          </w:tcPr>
          <w:p w14:paraId="325D5C5C" w14:textId="77777777" w:rsidR="002E245B" w:rsidRPr="00880C1E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b/>
                <w:bCs/>
                <w:caps/>
                <w:noProof/>
                <w:color w:val="AF1953"/>
                <w:sz w:val="32"/>
                <w:szCs w:val="32"/>
              </w:rPr>
            </w:pPr>
            <w:r w:rsidRPr="00880C1E">
              <w:rPr>
                <w:b/>
                <w:bCs/>
                <w:caps/>
                <w:noProof/>
                <w:color w:val="AF1953"/>
                <w:sz w:val="32"/>
                <w:szCs w:val="32"/>
              </w:rPr>
              <w:t>2</w:t>
            </w:r>
          </w:p>
          <w:p w14:paraId="42AD0632" w14:textId="77777777" w:rsidR="002E245B" w:rsidRPr="00137E00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noProof/>
                <w:color w:val="AF1953"/>
                <w:sz w:val="24"/>
                <w:szCs w:val="24"/>
              </w:rPr>
            </w:pPr>
            <w:r w:rsidRPr="00880C1E">
              <w:rPr>
                <w:noProof/>
                <w:color w:val="AF1953"/>
                <w:sz w:val="24"/>
                <w:szCs w:val="24"/>
              </w:rPr>
              <w:t>Počet obchodních společností</w:t>
            </w:r>
            <w:r>
              <w:rPr>
                <w:noProof/>
                <w:color w:val="AF1953"/>
                <w:sz w:val="24"/>
                <w:szCs w:val="24"/>
              </w:rPr>
              <w:t>, které stát nepotřeboval, ale MF je zařadilo mezi strategické</w:t>
            </w:r>
          </w:p>
        </w:tc>
        <w:tc>
          <w:tcPr>
            <w:tcW w:w="1843" w:type="dxa"/>
          </w:tcPr>
          <w:p w14:paraId="02D38A2A" w14:textId="77777777" w:rsidR="002E245B" w:rsidRPr="00880C1E" w:rsidRDefault="002E245B" w:rsidP="006C0D1E">
            <w:pPr>
              <w:tabs>
                <w:tab w:val="left" w:pos="1747"/>
                <w:tab w:val="center" w:pos="4536"/>
              </w:tabs>
              <w:rPr>
                <w:caps/>
                <w:noProof/>
                <w:sz w:val="24"/>
                <w:szCs w:val="24"/>
              </w:rPr>
            </w:pPr>
          </w:p>
        </w:tc>
        <w:tc>
          <w:tcPr>
            <w:tcW w:w="3641" w:type="dxa"/>
          </w:tcPr>
          <w:p w14:paraId="08682EE6" w14:textId="77777777" w:rsidR="002E245B" w:rsidRPr="00880C1E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b/>
                <w:bCs/>
                <w:caps/>
                <w:noProof/>
                <w:color w:val="AF1953"/>
                <w:sz w:val="32"/>
                <w:szCs w:val="32"/>
              </w:rPr>
            </w:pPr>
            <w:r w:rsidRPr="00880C1E">
              <w:rPr>
                <w:b/>
                <w:bCs/>
                <w:noProof/>
                <w:color w:val="AF1953"/>
                <w:sz w:val="32"/>
                <w:szCs w:val="32"/>
              </w:rPr>
              <w:t xml:space="preserve">3,1 mld. Kč </w:t>
            </w:r>
          </w:p>
          <w:p w14:paraId="1FDBE588" w14:textId="77777777" w:rsidR="002E245B" w:rsidRPr="00880C1E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b/>
                <w:bCs/>
                <w:caps/>
                <w:noProof/>
                <w:color w:val="AF1953"/>
                <w:sz w:val="24"/>
                <w:szCs w:val="24"/>
              </w:rPr>
            </w:pPr>
            <w:r w:rsidRPr="00880C1E">
              <w:rPr>
                <w:noProof/>
                <w:color w:val="AF1953"/>
                <w:sz w:val="24"/>
                <w:szCs w:val="24"/>
              </w:rPr>
              <w:t>Hodnota majetkových podílů v těchto obchodních společnostech k 31. 12. 2024</w:t>
            </w:r>
          </w:p>
          <w:p w14:paraId="520150D0" w14:textId="77777777" w:rsidR="002E245B" w:rsidRPr="00880C1E" w:rsidRDefault="002E245B" w:rsidP="006C0D1E">
            <w:pPr>
              <w:tabs>
                <w:tab w:val="left" w:pos="1747"/>
                <w:tab w:val="center" w:pos="4536"/>
              </w:tabs>
              <w:rPr>
                <w:caps/>
                <w:noProof/>
                <w:sz w:val="24"/>
                <w:szCs w:val="24"/>
              </w:rPr>
            </w:pPr>
          </w:p>
        </w:tc>
      </w:tr>
    </w:tbl>
    <w:p w14:paraId="0D6A3825" w14:textId="77777777" w:rsidR="002E245B" w:rsidRDefault="002E245B" w:rsidP="002E245B">
      <w:pPr>
        <w:tabs>
          <w:tab w:val="left" w:pos="1115"/>
        </w:tabs>
        <w:rPr>
          <w:caps/>
        </w:rPr>
      </w:pPr>
    </w:p>
    <w:p w14:paraId="3EF899C4" w14:textId="77777777" w:rsidR="002E245B" w:rsidRPr="00C24CBE" w:rsidRDefault="002E245B" w:rsidP="002E245B">
      <w:pPr>
        <w:tabs>
          <w:tab w:val="left" w:pos="1115"/>
        </w:tabs>
        <w:ind w:left="1416" w:hanging="1416"/>
        <w:jc w:val="center"/>
        <w:rPr>
          <w:caps/>
          <w:sz w:val="24"/>
          <w:szCs w:val="24"/>
        </w:rPr>
      </w:pPr>
      <w:r w:rsidRPr="00C24CB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BFEC80" wp14:editId="4DE0AB3D">
                <wp:simplePos x="0" y="0"/>
                <wp:positionH relativeFrom="column">
                  <wp:posOffset>-33161</wp:posOffset>
                </wp:positionH>
                <wp:positionV relativeFrom="paragraph">
                  <wp:posOffset>94359</wp:posOffset>
                </wp:positionV>
                <wp:extent cx="1685498" cy="6824"/>
                <wp:effectExtent l="0" t="0" r="29210" b="31750"/>
                <wp:wrapNone/>
                <wp:docPr id="1214890259" name="Přímá spojnice 1214890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498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6850C" id="Přímá spojnice 121489025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7.45pt" to="130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Pr="00C24CB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16319B" wp14:editId="5179D71B">
                <wp:simplePos x="0" y="0"/>
                <wp:positionH relativeFrom="margin">
                  <wp:posOffset>4115757</wp:posOffset>
                </wp:positionH>
                <wp:positionV relativeFrom="paragraph">
                  <wp:posOffset>101183</wp:posOffset>
                </wp:positionV>
                <wp:extent cx="1627174" cy="6824"/>
                <wp:effectExtent l="0" t="0" r="30480" b="31750"/>
                <wp:wrapNone/>
                <wp:docPr id="1178113212" name="Přímá spojnice 1178113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7174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620F4" id="Přímá spojnice 11781132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4.1pt,7.95pt" to="452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24CBE">
        <w:rPr>
          <w:caps/>
          <w:sz w:val="24"/>
          <w:szCs w:val="24"/>
        </w:rPr>
        <w:t xml:space="preserve">  STRATEGIE VLASTNICKÉ POLITIKY STÁTU</w:t>
      </w:r>
      <w:r w:rsidRPr="00C24CBE">
        <w:rPr>
          <w:b/>
          <w:noProof/>
          <w:sz w:val="24"/>
          <w:szCs w:val="24"/>
        </w:rPr>
        <w:t xml:space="preserve"> </w:t>
      </w:r>
    </w:p>
    <w:tbl>
      <w:tblPr>
        <w:tblStyle w:val="Mkatabulky"/>
        <w:tblW w:w="90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3009"/>
        <w:gridCol w:w="3010"/>
      </w:tblGrid>
      <w:tr w:rsidR="002E245B" w14:paraId="3DE43B11" w14:textId="77777777" w:rsidTr="006C0D1E">
        <w:trPr>
          <w:trHeight w:val="1325"/>
        </w:trPr>
        <w:tc>
          <w:tcPr>
            <w:tcW w:w="3009" w:type="dxa"/>
          </w:tcPr>
          <w:p w14:paraId="622FC220" w14:textId="77777777" w:rsidR="002E245B" w:rsidRPr="007C7E8A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b/>
                <w:bCs/>
                <w:caps/>
                <w:noProof/>
                <w:sz w:val="32"/>
                <w:szCs w:val="32"/>
              </w:rPr>
            </w:pPr>
            <w:r w:rsidRPr="007C7E8A">
              <w:rPr>
                <w:b/>
                <w:bCs/>
                <w:caps/>
                <w:noProof/>
                <w:sz w:val="32"/>
                <w:szCs w:val="32"/>
              </w:rPr>
              <w:t>21</w:t>
            </w:r>
          </w:p>
          <w:p w14:paraId="5D37423B" w14:textId="77777777" w:rsidR="002E245B" w:rsidRPr="00BA5D9B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caps/>
                <w:noProof/>
                <w:sz w:val="24"/>
                <w:szCs w:val="24"/>
              </w:rPr>
            </w:pPr>
            <w:r w:rsidRPr="00BA5D9B">
              <w:rPr>
                <w:noProof/>
                <w:sz w:val="24"/>
                <w:szCs w:val="24"/>
              </w:rPr>
              <w:t xml:space="preserve">Počet opatření k plnění jejích cílů </w:t>
            </w:r>
          </w:p>
        </w:tc>
        <w:tc>
          <w:tcPr>
            <w:tcW w:w="3009" w:type="dxa"/>
          </w:tcPr>
          <w:p w14:paraId="2BF4ADE6" w14:textId="77777777" w:rsidR="002E245B" w:rsidRDefault="002E245B" w:rsidP="006C0D1E">
            <w:pPr>
              <w:tabs>
                <w:tab w:val="left" w:pos="1747"/>
                <w:tab w:val="center" w:pos="4536"/>
              </w:tabs>
              <w:rPr>
                <w:caps/>
                <w:noProof/>
              </w:rPr>
            </w:pPr>
          </w:p>
        </w:tc>
        <w:tc>
          <w:tcPr>
            <w:tcW w:w="3010" w:type="dxa"/>
          </w:tcPr>
          <w:p w14:paraId="64C00993" w14:textId="6C02D5D8" w:rsidR="002E245B" w:rsidRPr="007C7E8A" w:rsidRDefault="00C47F2C" w:rsidP="006C0D1E">
            <w:pPr>
              <w:tabs>
                <w:tab w:val="left" w:pos="1747"/>
                <w:tab w:val="center" w:pos="4536"/>
              </w:tabs>
              <w:jc w:val="center"/>
              <w:rPr>
                <w:b/>
                <w:bCs/>
                <w:caps/>
                <w:noProof/>
                <w:color w:val="AF1953"/>
                <w:sz w:val="32"/>
                <w:szCs w:val="32"/>
              </w:rPr>
            </w:pPr>
            <w:r>
              <w:rPr>
                <w:b/>
                <w:bCs/>
                <w:caps/>
                <w:noProof/>
                <w:color w:val="AF1953"/>
                <w:sz w:val="32"/>
                <w:szCs w:val="32"/>
              </w:rPr>
              <w:t>7</w:t>
            </w:r>
          </w:p>
          <w:p w14:paraId="363C2F02" w14:textId="2AC24AC3" w:rsidR="002E245B" w:rsidRPr="00BA5D9B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b/>
                <w:bCs/>
                <w:caps/>
                <w:noProof/>
                <w:color w:val="AF1953"/>
                <w:sz w:val="24"/>
                <w:szCs w:val="24"/>
              </w:rPr>
            </w:pPr>
            <w:r w:rsidRPr="00BA5D9B">
              <w:rPr>
                <w:noProof/>
                <w:color w:val="AF1953"/>
                <w:sz w:val="24"/>
                <w:szCs w:val="24"/>
              </w:rPr>
              <w:t xml:space="preserve">Počet </w:t>
            </w:r>
            <w:r w:rsidRPr="00BA5D9B">
              <w:rPr>
                <w:b/>
                <w:bCs/>
                <w:noProof/>
                <w:color w:val="AF1953"/>
                <w:sz w:val="24"/>
                <w:szCs w:val="24"/>
              </w:rPr>
              <w:t>nesplněných</w:t>
            </w:r>
            <w:r w:rsidRPr="00BA5D9B">
              <w:rPr>
                <w:noProof/>
                <w:color w:val="AF1953"/>
                <w:sz w:val="24"/>
                <w:szCs w:val="24"/>
              </w:rPr>
              <w:t xml:space="preserve"> opatření</w:t>
            </w:r>
          </w:p>
        </w:tc>
      </w:tr>
      <w:tr w:rsidR="002E245B" w14:paraId="52351289" w14:textId="77777777" w:rsidTr="006C0D1E">
        <w:trPr>
          <w:trHeight w:val="1325"/>
        </w:trPr>
        <w:tc>
          <w:tcPr>
            <w:tcW w:w="9028" w:type="dxa"/>
            <w:gridSpan w:val="3"/>
          </w:tcPr>
          <w:p w14:paraId="4587C56B" w14:textId="77777777" w:rsidR="00EA2A1E" w:rsidRDefault="00EA2A1E" w:rsidP="006C0D1E">
            <w:pPr>
              <w:tabs>
                <w:tab w:val="left" w:pos="1747"/>
                <w:tab w:val="center" w:pos="4536"/>
              </w:tabs>
              <w:jc w:val="center"/>
              <w:rPr>
                <w:noProof/>
                <w:color w:val="AF1953"/>
                <w:sz w:val="24"/>
                <w:szCs w:val="24"/>
              </w:rPr>
            </w:pPr>
          </w:p>
          <w:p w14:paraId="77BABEC2" w14:textId="5E1FA69A" w:rsidR="002E245B" w:rsidRPr="00BA5D9B" w:rsidRDefault="002E245B" w:rsidP="006C0D1E">
            <w:pPr>
              <w:tabs>
                <w:tab w:val="left" w:pos="1747"/>
                <w:tab w:val="center" w:pos="4536"/>
              </w:tabs>
              <w:jc w:val="center"/>
              <w:rPr>
                <w:sz w:val="24"/>
                <w:szCs w:val="24"/>
              </w:rPr>
            </w:pPr>
            <w:r w:rsidRPr="00BA5D9B">
              <w:rPr>
                <w:noProof/>
                <w:color w:val="AF1953"/>
                <w:sz w:val="24"/>
                <w:szCs w:val="24"/>
              </w:rPr>
              <w:t>MZe ne</w:t>
            </w:r>
            <w:r w:rsidR="00C17188">
              <w:rPr>
                <w:noProof/>
                <w:color w:val="AF1953"/>
                <w:sz w:val="24"/>
                <w:szCs w:val="24"/>
              </w:rPr>
              <w:t>přezkoumalo</w:t>
            </w:r>
            <w:r w:rsidRPr="00BA5D9B">
              <w:rPr>
                <w:noProof/>
                <w:color w:val="AF1953"/>
                <w:sz w:val="24"/>
                <w:szCs w:val="24"/>
              </w:rPr>
              <w:t xml:space="preserve">, zda je právní forma </w:t>
            </w:r>
            <w:r w:rsidR="00DB318A">
              <w:rPr>
                <w:noProof/>
                <w:color w:val="AF1953"/>
                <w:sz w:val="24"/>
                <w:szCs w:val="24"/>
              </w:rPr>
              <w:t xml:space="preserve">společnosti </w:t>
            </w:r>
            <w:r w:rsidRPr="00BA5D9B">
              <w:rPr>
                <w:noProof/>
                <w:color w:val="AF1953"/>
                <w:sz w:val="24"/>
                <w:szCs w:val="24"/>
              </w:rPr>
              <w:t>Podpůrn</w:t>
            </w:r>
            <w:r w:rsidR="00DB318A">
              <w:rPr>
                <w:noProof/>
                <w:color w:val="AF1953"/>
                <w:sz w:val="24"/>
                <w:szCs w:val="24"/>
              </w:rPr>
              <w:t>ý</w:t>
            </w:r>
            <w:r w:rsidRPr="00BA5D9B">
              <w:rPr>
                <w:noProof/>
                <w:color w:val="AF1953"/>
                <w:sz w:val="24"/>
                <w:szCs w:val="24"/>
              </w:rPr>
              <w:t xml:space="preserve"> a garanční rolnick</w:t>
            </w:r>
            <w:r w:rsidR="00DB318A">
              <w:rPr>
                <w:noProof/>
                <w:color w:val="AF1953"/>
                <w:sz w:val="24"/>
                <w:szCs w:val="24"/>
              </w:rPr>
              <w:t>ý</w:t>
            </w:r>
            <w:r w:rsidRPr="00BA5D9B">
              <w:rPr>
                <w:noProof/>
                <w:color w:val="AF1953"/>
                <w:sz w:val="24"/>
                <w:szCs w:val="24"/>
              </w:rPr>
              <w:t xml:space="preserve"> a</w:t>
            </w:r>
            <w:r w:rsidR="00C24CBE">
              <w:rPr>
                <w:noProof/>
                <w:color w:val="AF1953"/>
                <w:sz w:val="24"/>
                <w:szCs w:val="24"/>
              </w:rPr>
              <w:t> </w:t>
            </w:r>
            <w:r w:rsidRPr="00BA5D9B">
              <w:rPr>
                <w:noProof/>
                <w:color w:val="AF1953"/>
                <w:sz w:val="24"/>
                <w:szCs w:val="24"/>
              </w:rPr>
              <w:t>lesnick</w:t>
            </w:r>
            <w:r w:rsidR="00DB318A">
              <w:rPr>
                <w:noProof/>
                <w:color w:val="AF1953"/>
                <w:sz w:val="24"/>
                <w:szCs w:val="24"/>
              </w:rPr>
              <w:t>ý</w:t>
            </w:r>
            <w:r w:rsidRPr="00BA5D9B">
              <w:rPr>
                <w:noProof/>
                <w:color w:val="AF1953"/>
                <w:sz w:val="24"/>
                <w:szCs w:val="24"/>
              </w:rPr>
              <w:t xml:space="preserve"> fond, a.s.</w:t>
            </w:r>
            <w:r w:rsidR="00565BB8">
              <w:rPr>
                <w:noProof/>
                <w:color w:val="AF1953"/>
                <w:sz w:val="24"/>
                <w:szCs w:val="24"/>
              </w:rPr>
              <w:t>,</w:t>
            </w:r>
            <w:r w:rsidRPr="00BA5D9B">
              <w:rPr>
                <w:noProof/>
                <w:color w:val="AF1953"/>
                <w:sz w:val="24"/>
                <w:szCs w:val="24"/>
              </w:rPr>
              <w:t xml:space="preserve"> vzhledem k je</w:t>
            </w:r>
            <w:r w:rsidR="00DB318A">
              <w:rPr>
                <w:noProof/>
                <w:color w:val="AF1953"/>
                <w:sz w:val="24"/>
                <w:szCs w:val="24"/>
              </w:rPr>
              <w:t>jí</w:t>
            </w:r>
            <w:r w:rsidRPr="00BA5D9B">
              <w:rPr>
                <w:noProof/>
                <w:color w:val="AF1953"/>
                <w:sz w:val="24"/>
                <w:szCs w:val="24"/>
              </w:rPr>
              <w:t xml:space="preserve"> činnosti vhodná.</w:t>
            </w:r>
          </w:p>
        </w:tc>
      </w:tr>
    </w:tbl>
    <w:p w14:paraId="3B22CAB3" w14:textId="11403E87" w:rsidR="002E245B" w:rsidRPr="00DE054E" w:rsidRDefault="002E245B" w:rsidP="002E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47"/>
          <w:tab w:val="center" w:pos="4536"/>
        </w:tabs>
        <w:jc w:val="both"/>
        <w:rPr>
          <w:b/>
          <w:bCs/>
          <w:noProof/>
          <w:sz w:val="24"/>
          <w:szCs w:val="24"/>
        </w:rPr>
      </w:pPr>
      <w:r w:rsidRPr="009E54DF">
        <w:rPr>
          <w:b/>
          <w:bCs/>
          <w:noProof/>
          <w:sz w:val="24"/>
          <w:szCs w:val="24"/>
        </w:rPr>
        <w:t>NKÚ doporučuje</w:t>
      </w:r>
      <w:r>
        <w:rPr>
          <w:b/>
          <w:bCs/>
          <w:noProof/>
          <w:sz w:val="24"/>
          <w:szCs w:val="24"/>
        </w:rPr>
        <w:t xml:space="preserve"> </w:t>
      </w:r>
      <w:r w:rsidRPr="009E54DF">
        <w:rPr>
          <w:b/>
          <w:bCs/>
          <w:noProof/>
          <w:sz w:val="24"/>
          <w:szCs w:val="24"/>
        </w:rPr>
        <w:t xml:space="preserve">provést revizi </w:t>
      </w:r>
      <w:r w:rsidRPr="00C45202">
        <w:rPr>
          <w:b/>
          <w:bCs/>
          <w:i/>
          <w:iCs/>
          <w:noProof/>
          <w:sz w:val="24"/>
          <w:szCs w:val="24"/>
        </w:rPr>
        <w:t>Strategie vlastnické politiky státu</w:t>
      </w:r>
      <w:r>
        <w:rPr>
          <w:b/>
          <w:bCs/>
          <w:noProof/>
          <w:sz w:val="24"/>
          <w:szCs w:val="24"/>
        </w:rPr>
        <w:t>, protože s</w:t>
      </w:r>
      <w:r w:rsidRPr="00832685">
        <w:rPr>
          <w:b/>
          <w:bCs/>
          <w:noProof/>
          <w:sz w:val="24"/>
          <w:szCs w:val="24"/>
        </w:rPr>
        <w:t xml:space="preserve">tát nemá </w:t>
      </w:r>
      <w:r w:rsidR="00DB318A">
        <w:rPr>
          <w:b/>
          <w:bCs/>
          <w:noProof/>
          <w:sz w:val="24"/>
          <w:szCs w:val="24"/>
        </w:rPr>
        <w:t>jasná pravidla</w:t>
      </w:r>
      <w:r w:rsidR="00565BB8">
        <w:rPr>
          <w:b/>
          <w:bCs/>
          <w:noProof/>
          <w:sz w:val="24"/>
          <w:szCs w:val="24"/>
        </w:rPr>
        <w:t>,</w:t>
      </w:r>
      <w:r w:rsidRPr="00832685">
        <w:rPr>
          <w:b/>
          <w:bCs/>
          <w:noProof/>
          <w:sz w:val="24"/>
          <w:szCs w:val="24"/>
        </w:rPr>
        <w:t xml:space="preserve"> co má vlastnit a jakým způsobem má vlastněná aktiva spravovat</w:t>
      </w:r>
      <w:r w:rsidRPr="00C45202">
        <w:rPr>
          <w:b/>
          <w:bCs/>
          <w:noProof/>
          <w:sz w:val="20"/>
          <w:szCs w:val="20"/>
        </w:rPr>
        <w:t>.</w:t>
      </w:r>
    </w:p>
    <w:p w14:paraId="0921114E" w14:textId="7DA948B4" w:rsidR="00DB318A" w:rsidRDefault="00DB318A" w:rsidP="00951FCF">
      <w:pPr>
        <w:pStyle w:val="Nadpis1"/>
        <w:numPr>
          <w:ilvl w:val="0"/>
          <w:numId w:val="0"/>
        </w:numPr>
        <w:jc w:val="center"/>
        <w:rPr>
          <w:b w:val="0"/>
          <w:bCs/>
          <w:caps/>
          <w:noProof/>
          <w:szCs w:val="24"/>
        </w:rPr>
      </w:pPr>
    </w:p>
    <w:p w14:paraId="6257256A" w14:textId="77777777" w:rsidR="00DB318A" w:rsidRDefault="00DB318A">
      <w:pPr>
        <w:rPr>
          <w:rFonts w:eastAsia="Times New Roman" w:cstheme="minorHAnsi"/>
          <w:bCs/>
          <w:caps/>
          <w:noProof/>
          <w:color w:val="000000"/>
          <w:sz w:val="24"/>
          <w:szCs w:val="24"/>
          <w:lang w:eastAsia="cs-CZ"/>
        </w:rPr>
      </w:pPr>
      <w:r>
        <w:rPr>
          <w:b/>
          <w:bCs/>
          <w:caps/>
          <w:noProof/>
          <w:szCs w:val="24"/>
        </w:rPr>
        <w:br w:type="page"/>
      </w:r>
    </w:p>
    <w:p w14:paraId="116F711C" w14:textId="77777777" w:rsidR="0001060B" w:rsidRDefault="007F68A4" w:rsidP="00727A34">
      <w:pPr>
        <w:pStyle w:val="Nadpis1"/>
        <w:numPr>
          <w:ilvl w:val="0"/>
          <w:numId w:val="0"/>
        </w:numPr>
        <w:spacing w:after="240"/>
        <w:jc w:val="center"/>
        <w:rPr>
          <w:sz w:val="28"/>
          <w:szCs w:val="28"/>
        </w:rPr>
      </w:pPr>
      <w:r w:rsidRPr="007F1D90">
        <w:rPr>
          <w:sz w:val="28"/>
          <w:szCs w:val="28"/>
        </w:rPr>
        <w:lastRenderedPageBreak/>
        <w:t>I. Shrnutí a vyhodnocení</w:t>
      </w:r>
    </w:p>
    <w:p w14:paraId="38253CA0" w14:textId="205EDE23" w:rsidR="009A4E0C" w:rsidRDefault="007F68A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EBC">
        <w:rPr>
          <w:rFonts w:cstheme="minorHAnsi"/>
          <w:sz w:val="24"/>
          <w:szCs w:val="24"/>
        </w:rPr>
        <w:t xml:space="preserve">Majetkové účasti státu v obchodních společnostech </w:t>
      </w:r>
      <w:r w:rsidR="00234CD1">
        <w:rPr>
          <w:rFonts w:cstheme="minorHAnsi"/>
          <w:sz w:val="24"/>
          <w:szCs w:val="24"/>
        </w:rPr>
        <w:t>tvoří významnou část</w:t>
      </w:r>
      <w:r w:rsidRPr="00686EBC">
        <w:rPr>
          <w:rFonts w:cstheme="minorHAnsi"/>
          <w:sz w:val="24"/>
          <w:szCs w:val="24"/>
        </w:rPr>
        <w:t xml:space="preserve"> majetku státu. Jedná se především o podíly státu na základním kapitálu obchodních společností</w:t>
      </w:r>
      <w:r w:rsidR="001A4359">
        <w:rPr>
          <w:rFonts w:cstheme="minorHAnsi"/>
          <w:sz w:val="24"/>
          <w:szCs w:val="24"/>
        </w:rPr>
        <w:t xml:space="preserve"> ve formě </w:t>
      </w:r>
      <w:r w:rsidRPr="00686EBC">
        <w:rPr>
          <w:rFonts w:cstheme="minorHAnsi"/>
          <w:sz w:val="24"/>
          <w:szCs w:val="24"/>
        </w:rPr>
        <w:t>emitovaný</w:t>
      </w:r>
      <w:r w:rsidR="001A4359">
        <w:rPr>
          <w:rFonts w:cstheme="minorHAnsi"/>
          <w:sz w:val="24"/>
          <w:szCs w:val="24"/>
        </w:rPr>
        <w:t>ch</w:t>
      </w:r>
      <w:r w:rsidRPr="00686EBC">
        <w:rPr>
          <w:rFonts w:cstheme="minorHAnsi"/>
          <w:sz w:val="24"/>
          <w:szCs w:val="24"/>
        </w:rPr>
        <w:t xml:space="preserve"> akci</w:t>
      </w:r>
      <w:r w:rsidR="001A4359">
        <w:rPr>
          <w:rFonts w:cstheme="minorHAnsi"/>
          <w:sz w:val="24"/>
          <w:szCs w:val="24"/>
        </w:rPr>
        <w:t>í</w:t>
      </w:r>
      <w:r w:rsidR="00DB2EED">
        <w:rPr>
          <w:rFonts w:cstheme="minorHAnsi"/>
          <w:sz w:val="24"/>
          <w:szCs w:val="24"/>
        </w:rPr>
        <w:t>.</w:t>
      </w:r>
      <w:r w:rsidR="00415300">
        <w:rPr>
          <w:rFonts w:cstheme="minorHAnsi"/>
          <w:sz w:val="24"/>
          <w:szCs w:val="24"/>
        </w:rPr>
        <w:t xml:space="preserve"> </w:t>
      </w:r>
    </w:p>
    <w:p w14:paraId="07938DD6" w14:textId="77777777" w:rsidR="00B2420F" w:rsidRDefault="00B2420F" w:rsidP="00BC2A72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2B4F7B3" w14:textId="63EBC93D" w:rsidR="00F76D4F" w:rsidRPr="004725B3" w:rsidRDefault="007F68A4" w:rsidP="00F76D4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reakci na kontrolní </w:t>
      </w:r>
      <w:r w:rsidR="0060557C">
        <w:rPr>
          <w:rFonts w:cstheme="minorHAnsi"/>
          <w:sz w:val="24"/>
          <w:szCs w:val="24"/>
        </w:rPr>
        <w:t>závěr</w:t>
      </w:r>
      <w:r w:rsidR="000C6E5D">
        <w:rPr>
          <w:rFonts w:cstheme="minorHAnsi"/>
          <w:sz w:val="24"/>
          <w:szCs w:val="24"/>
        </w:rPr>
        <w:t xml:space="preserve"> NKÚ</w:t>
      </w:r>
      <w:r w:rsidR="0060557C">
        <w:rPr>
          <w:rFonts w:cstheme="minorHAnsi"/>
          <w:sz w:val="24"/>
          <w:szCs w:val="24"/>
        </w:rPr>
        <w:t xml:space="preserve"> </w:t>
      </w:r>
      <w:r w:rsidR="000C6E5D">
        <w:rPr>
          <w:rFonts w:ascii="Calibri" w:hAnsi="Calibri"/>
          <w:color w:val="000000"/>
          <w:sz w:val="24"/>
          <w:szCs w:val="24"/>
        </w:rPr>
        <w:t>z</w:t>
      </w:r>
      <w:r w:rsidR="00874A91">
        <w:rPr>
          <w:rFonts w:ascii="Calibri" w:hAnsi="Calibri"/>
          <w:color w:val="000000"/>
          <w:sz w:val="24"/>
          <w:szCs w:val="24"/>
        </w:rPr>
        <w:t xml:space="preserve"> kontrolní </w:t>
      </w:r>
      <w:r w:rsidR="000C6E5D">
        <w:rPr>
          <w:rFonts w:ascii="Calibri" w:hAnsi="Calibri"/>
          <w:color w:val="000000"/>
          <w:sz w:val="24"/>
          <w:szCs w:val="24"/>
        </w:rPr>
        <w:t>akce</w:t>
      </w:r>
      <w:r w:rsidR="0002358B">
        <w:rPr>
          <w:rFonts w:ascii="Calibri" w:hAnsi="Calibri"/>
          <w:color w:val="000000"/>
          <w:sz w:val="24"/>
          <w:szCs w:val="24"/>
        </w:rPr>
        <w:t xml:space="preserve"> (dále také „KA“)</w:t>
      </w:r>
      <w:r w:rsidR="000C6E5D">
        <w:rPr>
          <w:rFonts w:ascii="Calibri" w:hAnsi="Calibri"/>
          <w:color w:val="000000"/>
          <w:sz w:val="24"/>
          <w:szCs w:val="24"/>
        </w:rPr>
        <w:t xml:space="preserve"> </w:t>
      </w:r>
      <w:r w:rsidR="00401224">
        <w:rPr>
          <w:rFonts w:ascii="Calibri" w:hAnsi="Calibri"/>
          <w:color w:val="000000"/>
          <w:sz w:val="24"/>
          <w:szCs w:val="24"/>
        </w:rPr>
        <w:t xml:space="preserve">č. </w:t>
      </w:r>
      <w:r w:rsidR="000C6E5D">
        <w:rPr>
          <w:rFonts w:ascii="Calibri" w:hAnsi="Calibri"/>
          <w:color w:val="000000"/>
          <w:sz w:val="24"/>
          <w:szCs w:val="24"/>
        </w:rPr>
        <w:t xml:space="preserve">15/05 </w:t>
      </w:r>
      <w:r w:rsidR="0002358B">
        <w:rPr>
          <w:rFonts w:ascii="Calibri" w:hAnsi="Calibri"/>
          <w:color w:val="000000"/>
          <w:sz w:val="24"/>
          <w:szCs w:val="24"/>
        </w:rPr>
        <w:t>–</w:t>
      </w:r>
      <w:r w:rsidR="000C6E5D">
        <w:rPr>
          <w:rFonts w:ascii="Calibri" w:hAnsi="Calibri"/>
          <w:color w:val="000000"/>
          <w:sz w:val="24"/>
          <w:szCs w:val="24"/>
        </w:rPr>
        <w:t xml:space="preserve"> </w:t>
      </w:r>
      <w:r w:rsidR="000C6E5D" w:rsidRPr="00474BD3">
        <w:rPr>
          <w:rFonts w:ascii="Calibri" w:hAnsi="Calibri"/>
          <w:i/>
          <w:iCs/>
          <w:color w:val="000000"/>
          <w:sz w:val="24"/>
          <w:szCs w:val="24"/>
        </w:rPr>
        <w:t>Majetkové účasti státu v obchodních společnostech</w:t>
      </w:r>
      <w:r w:rsidR="000C6E5D">
        <w:rPr>
          <w:rFonts w:ascii="Calibri" w:hAnsi="Calibri"/>
          <w:color w:val="000000"/>
          <w:sz w:val="24"/>
          <w:szCs w:val="24"/>
        </w:rPr>
        <w:t xml:space="preserve"> </w:t>
      </w:r>
      <w:r w:rsidR="0060557C">
        <w:rPr>
          <w:rFonts w:cstheme="minorHAnsi"/>
          <w:sz w:val="24"/>
          <w:szCs w:val="24"/>
        </w:rPr>
        <w:t>vláda v roce 2020 schválila</w:t>
      </w:r>
      <w:r>
        <w:rPr>
          <w:rStyle w:val="Znakapoznpodarou"/>
          <w:sz w:val="24"/>
          <w:szCs w:val="24"/>
        </w:rPr>
        <w:footnoteReference w:id="1"/>
      </w:r>
      <w:r w:rsidR="0060557C">
        <w:rPr>
          <w:rFonts w:cstheme="minorHAnsi"/>
          <w:sz w:val="24"/>
          <w:szCs w:val="24"/>
        </w:rPr>
        <w:t xml:space="preserve"> </w:t>
      </w:r>
      <w:r w:rsidR="009427A2" w:rsidRPr="00C45202">
        <w:rPr>
          <w:rFonts w:cstheme="minorHAnsi"/>
          <w:i/>
          <w:iCs/>
          <w:sz w:val="24"/>
          <w:szCs w:val="24"/>
        </w:rPr>
        <w:t>Strategi</w:t>
      </w:r>
      <w:r w:rsidR="0060557C" w:rsidRPr="00C45202">
        <w:rPr>
          <w:rFonts w:cstheme="minorHAnsi"/>
          <w:i/>
          <w:iCs/>
          <w:sz w:val="24"/>
          <w:szCs w:val="24"/>
        </w:rPr>
        <w:t>i</w:t>
      </w:r>
      <w:r w:rsidR="009427A2" w:rsidRPr="00C45202">
        <w:rPr>
          <w:rFonts w:cstheme="minorHAnsi"/>
          <w:i/>
          <w:iCs/>
          <w:sz w:val="24"/>
          <w:szCs w:val="24"/>
        </w:rPr>
        <w:t xml:space="preserve"> vlastnické politiky státu</w:t>
      </w:r>
      <w:r w:rsidR="009427A2">
        <w:rPr>
          <w:rFonts w:cstheme="minorHAnsi"/>
          <w:sz w:val="24"/>
          <w:szCs w:val="24"/>
        </w:rPr>
        <w:t xml:space="preserve"> </w:t>
      </w:r>
      <w:r w:rsidR="00DF49B9">
        <w:rPr>
          <w:rFonts w:cstheme="minorHAnsi"/>
          <w:sz w:val="24"/>
          <w:szCs w:val="24"/>
        </w:rPr>
        <w:t>(dále také „Strategie“)</w:t>
      </w:r>
      <w:r w:rsidR="0060557C">
        <w:rPr>
          <w:rFonts w:cstheme="minorHAnsi"/>
          <w:sz w:val="24"/>
          <w:szCs w:val="24"/>
        </w:rPr>
        <w:t>.</w:t>
      </w:r>
      <w:r w:rsidR="00DF49B9">
        <w:rPr>
          <w:rFonts w:cstheme="minorHAnsi"/>
          <w:sz w:val="24"/>
          <w:szCs w:val="24"/>
        </w:rPr>
        <w:t xml:space="preserve"> </w:t>
      </w:r>
      <w:r w:rsidR="0060557C">
        <w:rPr>
          <w:rFonts w:cstheme="minorHAnsi"/>
          <w:sz w:val="24"/>
          <w:szCs w:val="24"/>
        </w:rPr>
        <w:t>Ta</w:t>
      </w:r>
      <w:r>
        <w:rPr>
          <w:rFonts w:cstheme="minorHAnsi"/>
          <w:sz w:val="24"/>
          <w:szCs w:val="24"/>
        </w:rPr>
        <w:t xml:space="preserve"> </w:t>
      </w:r>
      <w:r w:rsidR="009427A2">
        <w:rPr>
          <w:rFonts w:cstheme="minorHAnsi"/>
          <w:sz w:val="24"/>
          <w:szCs w:val="24"/>
        </w:rPr>
        <w:t xml:space="preserve">měla </w:t>
      </w:r>
      <w:r w:rsidR="009427A2" w:rsidRPr="009427A2">
        <w:rPr>
          <w:rFonts w:cstheme="minorHAnsi"/>
          <w:sz w:val="24"/>
          <w:szCs w:val="24"/>
        </w:rPr>
        <w:t>zajistit</w:t>
      </w:r>
      <w:r w:rsidR="00234CD1">
        <w:rPr>
          <w:rFonts w:cstheme="minorHAnsi"/>
          <w:sz w:val="24"/>
          <w:szCs w:val="24"/>
        </w:rPr>
        <w:t xml:space="preserve"> transparentní a</w:t>
      </w:r>
      <w:r w:rsidR="0002358B">
        <w:rPr>
          <w:rFonts w:cstheme="minorHAnsi"/>
          <w:sz w:val="24"/>
          <w:szCs w:val="24"/>
        </w:rPr>
        <w:t> </w:t>
      </w:r>
      <w:r w:rsidR="00EC35C9">
        <w:rPr>
          <w:rFonts w:cstheme="minorHAnsi"/>
          <w:sz w:val="24"/>
          <w:szCs w:val="24"/>
        </w:rPr>
        <w:t xml:space="preserve">efektivní </w:t>
      </w:r>
      <w:r w:rsidR="00234CD1">
        <w:rPr>
          <w:rFonts w:cstheme="minorHAnsi"/>
          <w:sz w:val="24"/>
          <w:szCs w:val="24"/>
        </w:rPr>
        <w:t>výkon vlastnických práv státu</w:t>
      </w:r>
      <w:r w:rsidR="002A4721">
        <w:rPr>
          <w:rFonts w:cstheme="minorHAnsi"/>
          <w:sz w:val="24"/>
          <w:szCs w:val="24"/>
        </w:rPr>
        <w:t>.</w:t>
      </w:r>
      <w:r w:rsidR="009427A2" w:rsidRPr="009427A2">
        <w:rPr>
          <w:rFonts w:cstheme="minorHAnsi"/>
          <w:sz w:val="24"/>
          <w:szCs w:val="24"/>
        </w:rPr>
        <w:t xml:space="preserve"> </w:t>
      </w:r>
      <w:r w:rsidR="004725B3">
        <w:rPr>
          <w:rFonts w:cstheme="minorHAnsi"/>
          <w:sz w:val="24"/>
          <w:szCs w:val="24"/>
        </w:rPr>
        <w:t xml:space="preserve">Strategie obsahuje 21 opatření, která měla vést k plnění </w:t>
      </w:r>
      <w:r w:rsidR="0060557C">
        <w:rPr>
          <w:rFonts w:cstheme="minorHAnsi"/>
          <w:sz w:val="24"/>
          <w:szCs w:val="24"/>
        </w:rPr>
        <w:t xml:space="preserve">těchto </w:t>
      </w:r>
      <w:r w:rsidR="004725B3">
        <w:rPr>
          <w:rFonts w:cstheme="minorHAnsi"/>
          <w:sz w:val="24"/>
          <w:szCs w:val="24"/>
        </w:rPr>
        <w:t xml:space="preserve">cílů. </w:t>
      </w:r>
    </w:p>
    <w:p w14:paraId="338F6745" w14:textId="77777777" w:rsidR="007B5105" w:rsidRDefault="007B5105" w:rsidP="005B4E18">
      <w:pPr>
        <w:spacing w:after="0" w:line="240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</w:p>
    <w:p w14:paraId="5FAEBB33" w14:textId="319E6B4B" w:rsidR="0058351B" w:rsidRDefault="0051699C" w:rsidP="00BD78D7">
      <w:pPr>
        <w:spacing w:after="0" w:line="240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NKÚ zjistil, že MF, MPO a </w:t>
      </w:r>
      <w:proofErr w:type="spellStart"/>
      <w:r>
        <w:rPr>
          <w:rFonts w:ascii="Calibri" w:hAnsi="Calibri"/>
          <w:b/>
          <w:bCs/>
          <w:color w:val="000000"/>
          <w:sz w:val="24"/>
          <w:szCs w:val="24"/>
        </w:rPr>
        <w:t>MZe</w:t>
      </w:r>
      <w:proofErr w:type="spellEnd"/>
      <w:r>
        <w:rPr>
          <w:rFonts w:ascii="Calibri" w:hAnsi="Calibri"/>
          <w:b/>
          <w:bCs/>
          <w:color w:val="000000"/>
          <w:sz w:val="24"/>
          <w:szCs w:val="24"/>
        </w:rPr>
        <w:t xml:space="preserve"> nevykonávaly v</w:t>
      </w:r>
      <w:r w:rsidR="00520754">
        <w:rPr>
          <w:rFonts w:ascii="Calibri" w:hAnsi="Calibri"/>
          <w:b/>
          <w:bCs/>
          <w:color w:val="000000"/>
          <w:sz w:val="24"/>
          <w:szCs w:val="24"/>
        </w:rPr>
        <w:t>lastnická práva státu v</w:t>
      </w:r>
      <w:r w:rsidR="000B7344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520754">
        <w:rPr>
          <w:rFonts w:ascii="Calibri" w:hAnsi="Calibri"/>
          <w:b/>
          <w:bCs/>
          <w:color w:val="000000"/>
          <w:sz w:val="24"/>
          <w:szCs w:val="24"/>
        </w:rPr>
        <w:t xml:space="preserve">obchodních společnostech </w:t>
      </w:r>
      <w:r w:rsidR="000B7344">
        <w:rPr>
          <w:rFonts w:ascii="Calibri" w:hAnsi="Calibri"/>
          <w:b/>
          <w:bCs/>
          <w:color w:val="000000"/>
          <w:sz w:val="24"/>
          <w:szCs w:val="24"/>
        </w:rPr>
        <w:t>v souladu s</w:t>
      </w:r>
      <w:r w:rsidR="00761C04">
        <w:rPr>
          <w:rFonts w:ascii="Calibri" w:hAnsi="Calibri"/>
          <w:b/>
          <w:bCs/>
          <w:color w:val="000000"/>
          <w:sz w:val="24"/>
          <w:szCs w:val="24"/>
        </w:rPr>
        <w:t>e</w:t>
      </w:r>
      <w:r w:rsidR="000B7344">
        <w:rPr>
          <w:rFonts w:ascii="Calibri" w:hAnsi="Calibri"/>
          <w:b/>
          <w:bCs/>
          <w:color w:val="000000"/>
          <w:sz w:val="24"/>
          <w:szCs w:val="24"/>
        </w:rPr>
        <w:t xml:space="preserve"> Strategi</w:t>
      </w:r>
      <w:r w:rsidR="00761C04">
        <w:rPr>
          <w:rFonts w:ascii="Calibri" w:hAnsi="Calibri"/>
          <w:b/>
          <w:bCs/>
          <w:color w:val="000000"/>
          <w:sz w:val="24"/>
          <w:szCs w:val="24"/>
        </w:rPr>
        <w:t>í</w:t>
      </w:r>
      <w:r w:rsidR="002E245B">
        <w:rPr>
          <w:rFonts w:ascii="Calibri" w:hAnsi="Calibri"/>
          <w:b/>
          <w:bCs/>
          <w:color w:val="000000"/>
          <w:sz w:val="24"/>
          <w:szCs w:val="24"/>
        </w:rPr>
        <w:t xml:space="preserve">. </w:t>
      </w:r>
      <w:r w:rsidR="00C935DE">
        <w:rPr>
          <w:rFonts w:ascii="Calibri" w:hAnsi="Calibri"/>
          <w:b/>
          <w:bCs/>
          <w:color w:val="000000"/>
          <w:sz w:val="24"/>
          <w:szCs w:val="24"/>
        </w:rPr>
        <w:t>Důvodem bylo jak samotné nastavení Strategie, kdy opatření nebyla propojena s jejími cíli, tak i n</w:t>
      </w:r>
      <w:r w:rsidR="00B55DCB">
        <w:rPr>
          <w:rFonts w:ascii="Calibri" w:hAnsi="Calibri"/>
          <w:b/>
          <w:bCs/>
          <w:color w:val="000000"/>
          <w:sz w:val="24"/>
          <w:szCs w:val="24"/>
        </w:rPr>
        <w:t>e</w:t>
      </w:r>
      <w:r w:rsidR="00C935DE">
        <w:rPr>
          <w:rFonts w:ascii="Calibri" w:hAnsi="Calibri"/>
          <w:b/>
          <w:bCs/>
          <w:color w:val="000000"/>
          <w:sz w:val="24"/>
          <w:szCs w:val="24"/>
        </w:rPr>
        <w:t xml:space="preserve">plnění některých opatření ze strany ministerstev. </w:t>
      </w:r>
      <w:r w:rsidR="000F6726">
        <w:rPr>
          <w:rFonts w:ascii="Calibri" w:hAnsi="Calibri"/>
          <w:b/>
          <w:bCs/>
          <w:color w:val="000000"/>
          <w:sz w:val="24"/>
          <w:szCs w:val="24"/>
        </w:rPr>
        <w:t>Kontrolovaná</w:t>
      </w:r>
      <w:r w:rsidR="00EC35C9">
        <w:rPr>
          <w:rFonts w:ascii="Calibri" w:hAnsi="Calibri"/>
          <w:b/>
          <w:bCs/>
          <w:color w:val="000000"/>
          <w:sz w:val="24"/>
          <w:szCs w:val="24"/>
        </w:rPr>
        <w:t xml:space="preserve"> ministerstva</w:t>
      </w:r>
      <w:r w:rsidR="007F68A4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B7A9F">
        <w:rPr>
          <w:rFonts w:ascii="Calibri" w:hAnsi="Calibri"/>
          <w:b/>
          <w:bCs/>
          <w:color w:val="000000"/>
          <w:sz w:val="24"/>
          <w:szCs w:val="24"/>
        </w:rPr>
        <w:t>ne</w:t>
      </w:r>
      <w:r w:rsidR="0060557C">
        <w:rPr>
          <w:rFonts w:ascii="Calibri" w:hAnsi="Calibri"/>
          <w:b/>
          <w:bCs/>
          <w:color w:val="000000"/>
          <w:sz w:val="24"/>
          <w:szCs w:val="24"/>
        </w:rPr>
        <w:t>s</w:t>
      </w:r>
      <w:r w:rsidR="00DB7A9F">
        <w:rPr>
          <w:rFonts w:ascii="Calibri" w:hAnsi="Calibri"/>
          <w:b/>
          <w:bCs/>
          <w:color w:val="000000"/>
          <w:sz w:val="24"/>
          <w:szCs w:val="24"/>
        </w:rPr>
        <w:t>plnil</w:t>
      </w:r>
      <w:r w:rsidR="00EC35C9">
        <w:rPr>
          <w:rFonts w:ascii="Calibri" w:hAnsi="Calibri"/>
          <w:b/>
          <w:bCs/>
          <w:color w:val="000000"/>
          <w:sz w:val="24"/>
          <w:szCs w:val="24"/>
        </w:rPr>
        <w:t>a celkem</w:t>
      </w:r>
      <w:r w:rsidR="00DB7A9F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C47F2C">
        <w:rPr>
          <w:rFonts w:ascii="Calibri" w:hAnsi="Calibri"/>
          <w:b/>
          <w:bCs/>
          <w:color w:val="000000"/>
          <w:sz w:val="24"/>
          <w:szCs w:val="24"/>
        </w:rPr>
        <w:t>sedm</w:t>
      </w:r>
      <w:r w:rsidR="00DB7A9F">
        <w:rPr>
          <w:rFonts w:ascii="Calibri" w:hAnsi="Calibri"/>
          <w:b/>
          <w:bCs/>
          <w:color w:val="000000"/>
          <w:sz w:val="24"/>
          <w:szCs w:val="24"/>
        </w:rPr>
        <w:t xml:space="preserve"> z 21 opatření</w:t>
      </w:r>
      <w:r w:rsidR="00132D19">
        <w:rPr>
          <w:rFonts w:ascii="Calibri" w:hAnsi="Calibri"/>
          <w:b/>
          <w:bCs/>
          <w:color w:val="000000"/>
          <w:sz w:val="24"/>
          <w:szCs w:val="24"/>
        </w:rPr>
        <w:t xml:space="preserve"> Strategie</w:t>
      </w:r>
      <w:r w:rsidR="00C935DE">
        <w:rPr>
          <w:rFonts w:ascii="Calibri" w:hAnsi="Calibri"/>
          <w:b/>
          <w:bCs/>
          <w:color w:val="000000"/>
          <w:sz w:val="24"/>
          <w:szCs w:val="24"/>
        </w:rPr>
        <w:t>.</w:t>
      </w:r>
    </w:p>
    <w:p w14:paraId="7FFE464F" w14:textId="77777777" w:rsidR="0058351B" w:rsidRDefault="0058351B" w:rsidP="00BD78D7">
      <w:pPr>
        <w:spacing w:after="0" w:line="240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</w:p>
    <w:p w14:paraId="45055033" w14:textId="4B10464D" w:rsidR="007B3B3F" w:rsidRDefault="007048E1" w:rsidP="00BD78D7">
      <w:pPr>
        <w:spacing w:after="0" w:line="240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 w:rsidRPr="008735A7">
        <w:rPr>
          <w:rFonts w:ascii="Calibri" w:hAnsi="Calibri"/>
          <w:b/>
          <w:bCs/>
          <w:color w:val="000000"/>
          <w:sz w:val="24"/>
          <w:szCs w:val="24"/>
        </w:rPr>
        <w:t xml:space="preserve">MF </w:t>
      </w:r>
      <w:r w:rsidR="00761C04">
        <w:rPr>
          <w:rFonts w:ascii="Calibri" w:hAnsi="Calibri"/>
          <w:b/>
          <w:bCs/>
          <w:color w:val="000000"/>
          <w:sz w:val="24"/>
          <w:szCs w:val="24"/>
        </w:rPr>
        <w:t xml:space="preserve">drželo </w:t>
      </w:r>
      <w:r w:rsidR="0060557C">
        <w:rPr>
          <w:rFonts w:ascii="Calibri" w:hAnsi="Calibri"/>
          <w:b/>
          <w:bCs/>
          <w:color w:val="000000"/>
          <w:sz w:val="24"/>
          <w:szCs w:val="24"/>
        </w:rPr>
        <w:t>podíl</w:t>
      </w:r>
      <w:r w:rsidR="00707B12">
        <w:rPr>
          <w:rFonts w:ascii="Calibri" w:hAnsi="Calibri"/>
          <w:b/>
          <w:bCs/>
          <w:color w:val="000000"/>
          <w:sz w:val="24"/>
          <w:szCs w:val="24"/>
        </w:rPr>
        <w:t>y</w:t>
      </w:r>
      <w:r w:rsidR="0060557C">
        <w:rPr>
          <w:rFonts w:ascii="Calibri" w:hAnsi="Calibri"/>
          <w:b/>
          <w:bCs/>
          <w:color w:val="000000"/>
          <w:sz w:val="24"/>
          <w:szCs w:val="24"/>
        </w:rPr>
        <w:t xml:space="preserve"> ve</w:t>
      </w:r>
      <w:r w:rsidRPr="008735A7">
        <w:rPr>
          <w:rFonts w:ascii="Calibri" w:hAnsi="Calibri"/>
          <w:b/>
          <w:bCs/>
          <w:color w:val="000000"/>
          <w:sz w:val="24"/>
          <w:szCs w:val="24"/>
        </w:rPr>
        <w:t xml:space="preserve"> dv</w:t>
      </w:r>
      <w:r w:rsidR="00707B12">
        <w:rPr>
          <w:rFonts w:ascii="Calibri" w:hAnsi="Calibri"/>
          <w:b/>
          <w:bCs/>
          <w:color w:val="000000"/>
          <w:sz w:val="24"/>
          <w:szCs w:val="24"/>
        </w:rPr>
        <w:t xml:space="preserve">ou </w:t>
      </w:r>
      <w:r w:rsidRPr="008735A7">
        <w:rPr>
          <w:rFonts w:ascii="Calibri" w:hAnsi="Calibri"/>
          <w:b/>
          <w:bCs/>
          <w:color w:val="000000"/>
          <w:sz w:val="24"/>
          <w:szCs w:val="24"/>
        </w:rPr>
        <w:t>obchodní</w:t>
      </w:r>
      <w:r w:rsidR="00707B12">
        <w:rPr>
          <w:rFonts w:ascii="Calibri" w:hAnsi="Calibri"/>
          <w:b/>
          <w:bCs/>
          <w:color w:val="000000"/>
          <w:sz w:val="24"/>
          <w:szCs w:val="24"/>
        </w:rPr>
        <w:t>ch</w:t>
      </w:r>
      <w:r w:rsidRPr="008735A7">
        <w:rPr>
          <w:rFonts w:ascii="Calibri" w:hAnsi="Calibri"/>
          <w:b/>
          <w:bCs/>
          <w:color w:val="000000"/>
          <w:sz w:val="24"/>
          <w:szCs w:val="24"/>
        </w:rPr>
        <w:t xml:space="preserve"> společnost</w:t>
      </w:r>
      <w:r w:rsidR="00707B12">
        <w:rPr>
          <w:rFonts w:ascii="Calibri" w:hAnsi="Calibri"/>
          <w:b/>
          <w:bCs/>
          <w:color w:val="000000"/>
          <w:sz w:val="24"/>
          <w:szCs w:val="24"/>
        </w:rPr>
        <w:t>ech</w:t>
      </w:r>
      <w:r w:rsidR="00FA0D1C">
        <w:rPr>
          <w:rFonts w:ascii="Calibri" w:hAnsi="Calibri"/>
          <w:b/>
          <w:bCs/>
          <w:color w:val="000000"/>
          <w:sz w:val="24"/>
          <w:szCs w:val="24"/>
        </w:rPr>
        <w:t>, které zařadilo mezi strategické</w:t>
      </w:r>
      <w:r w:rsidRPr="008735A7">
        <w:rPr>
          <w:rFonts w:ascii="Calibri" w:hAnsi="Calibri"/>
          <w:b/>
          <w:bCs/>
          <w:color w:val="000000"/>
          <w:sz w:val="24"/>
          <w:szCs w:val="24"/>
        </w:rPr>
        <w:t xml:space="preserve">, </w:t>
      </w:r>
      <w:r w:rsidR="00FA0D1C">
        <w:rPr>
          <w:rFonts w:ascii="Calibri" w:hAnsi="Calibri"/>
          <w:b/>
          <w:bCs/>
          <w:color w:val="000000"/>
          <w:sz w:val="24"/>
          <w:szCs w:val="24"/>
        </w:rPr>
        <w:t>přestože je</w:t>
      </w:r>
      <w:r w:rsidRPr="008735A7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7D6633">
        <w:rPr>
          <w:rFonts w:ascii="Calibri" w:hAnsi="Calibri"/>
          <w:b/>
          <w:bCs/>
          <w:color w:val="000000"/>
          <w:sz w:val="24"/>
          <w:szCs w:val="24"/>
        </w:rPr>
        <w:t>stát nepotřeboval</w:t>
      </w:r>
      <w:r w:rsidR="006B659A">
        <w:rPr>
          <w:rFonts w:ascii="Calibri" w:hAnsi="Calibri"/>
          <w:b/>
          <w:bCs/>
          <w:color w:val="000000"/>
          <w:sz w:val="24"/>
          <w:szCs w:val="24"/>
        </w:rPr>
        <w:t xml:space="preserve"> pro plnění </w:t>
      </w:r>
      <w:r w:rsidR="007D6633">
        <w:rPr>
          <w:rFonts w:ascii="Calibri" w:hAnsi="Calibri"/>
          <w:b/>
          <w:bCs/>
          <w:color w:val="000000"/>
          <w:sz w:val="24"/>
          <w:szCs w:val="24"/>
        </w:rPr>
        <w:t>svých funkcí</w:t>
      </w:r>
      <w:r w:rsidR="00FA0D1C">
        <w:rPr>
          <w:rFonts w:ascii="Calibri" w:hAnsi="Calibri"/>
          <w:b/>
          <w:bCs/>
          <w:color w:val="000000"/>
          <w:sz w:val="24"/>
          <w:szCs w:val="24"/>
        </w:rPr>
        <w:t xml:space="preserve"> a stanovených činností</w:t>
      </w:r>
      <w:r w:rsidR="00707B12">
        <w:rPr>
          <w:rFonts w:ascii="Calibri" w:hAnsi="Calibri"/>
          <w:b/>
          <w:bCs/>
          <w:color w:val="000000"/>
          <w:sz w:val="24"/>
          <w:szCs w:val="24"/>
        </w:rPr>
        <w:t xml:space="preserve">. </w:t>
      </w:r>
      <w:r w:rsidR="00FA0D1C">
        <w:rPr>
          <w:rFonts w:ascii="Calibri" w:hAnsi="Calibri"/>
          <w:b/>
          <w:bCs/>
          <w:color w:val="000000"/>
          <w:sz w:val="24"/>
          <w:szCs w:val="24"/>
        </w:rPr>
        <w:t xml:space="preserve">MF v průběhu kontroly </w:t>
      </w:r>
      <w:r w:rsidR="007B3B3F">
        <w:rPr>
          <w:rFonts w:ascii="Calibri" w:hAnsi="Calibri"/>
          <w:b/>
          <w:bCs/>
          <w:color w:val="000000"/>
          <w:sz w:val="24"/>
          <w:szCs w:val="24"/>
        </w:rPr>
        <w:t xml:space="preserve">převedlo </w:t>
      </w:r>
      <w:r w:rsidR="00FA0D1C">
        <w:rPr>
          <w:rFonts w:ascii="Calibri" w:hAnsi="Calibri"/>
          <w:b/>
          <w:bCs/>
          <w:color w:val="000000"/>
          <w:sz w:val="24"/>
          <w:szCs w:val="24"/>
        </w:rPr>
        <w:t xml:space="preserve">svůj podíl </w:t>
      </w:r>
      <w:r w:rsidR="007B3B3F">
        <w:rPr>
          <w:rFonts w:ascii="Calibri" w:hAnsi="Calibri"/>
          <w:b/>
          <w:bCs/>
          <w:color w:val="000000"/>
          <w:sz w:val="24"/>
          <w:szCs w:val="24"/>
        </w:rPr>
        <w:t>v jedné z nich</w:t>
      </w:r>
      <w:r w:rsidR="00FA0D1C">
        <w:rPr>
          <w:rFonts w:ascii="Calibri" w:hAnsi="Calibri"/>
          <w:b/>
          <w:bCs/>
          <w:color w:val="000000"/>
          <w:sz w:val="24"/>
          <w:szCs w:val="24"/>
        </w:rPr>
        <w:t xml:space="preserve"> na druhého akcionáře z důvodu nepotřebnosti</w:t>
      </w:r>
      <w:r w:rsidR="007B3B3F">
        <w:rPr>
          <w:rFonts w:ascii="Calibri" w:hAnsi="Calibri"/>
          <w:b/>
          <w:bCs/>
          <w:color w:val="000000"/>
          <w:sz w:val="24"/>
          <w:szCs w:val="24"/>
        </w:rPr>
        <w:t xml:space="preserve">. </w:t>
      </w:r>
    </w:p>
    <w:p w14:paraId="0CF86527" w14:textId="77777777" w:rsidR="007B3B3F" w:rsidRDefault="007B3B3F" w:rsidP="00BD78D7">
      <w:pPr>
        <w:spacing w:after="0" w:line="240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</w:p>
    <w:p w14:paraId="1F79825B" w14:textId="7D95644E" w:rsidR="005B4E18" w:rsidRDefault="004F43FA" w:rsidP="00BD78D7">
      <w:pPr>
        <w:spacing w:after="0" w:line="240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proofErr w:type="spellStart"/>
      <w:r w:rsidRPr="000C6E5D">
        <w:rPr>
          <w:rFonts w:ascii="Calibri" w:hAnsi="Calibri"/>
          <w:b/>
          <w:bCs/>
          <w:color w:val="000000"/>
          <w:sz w:val="24"/>
          <w:szCs w:val="24"/>
        </w:rPr>
        <w:t>MZe</w:t>
      </w:r>
      <w:proofErr w:type="spellEnd"/>
      <w:r w:rsidRPr="000C6E5D">
        <w:rPr>
          <w:b/>
          <w:sz w:val="24"/>
          <w:szCs w:val="24"/>
          <w:lang w:eastAsia="cs-CZ"/>
        </w:rPr>
        <w:t xml:space="preserve"> </w:t>
      </w:r>
      <w:r w:rsidR="00707B12" w:rsidRPr="005A3EC2">
        <w:rPr>
          <w:rFonts w:ascii="Calibri" w:hAnsi="Calibri"/>
          <w:b/>
          <w:bCs/>
          <w:color w:val="000000"/>
          <w:sz w:val="24"/>
          <w:szCs w:val="24"/>
        </w:rPr>
        <w:t xml:space="preserve">přes </w:t>
      </w:r>
      <w:r w:rsidR="007B3B3F">
        <w:rPr>
          <w:rFonts w:ascii="Calibri" w:hAnsi="Calibri"/>
          <w:b/>
          <w:bCs/>
          <w:color w:val="000000"/>
          <w:sz w:val="24"/>
          <w:szCs w:val="24"/>
        </w:rPr>
        <w:t>opatření uložené na základě kontroly</w:t>
      </w:r>
      <w:r w:rsidR="00707B12" w:rsidRPr="005A3EC2">
        <w:rPr>
          <w:rFonts w:ascii="Calibri" w:hAnsi="Calibri"/>
          <w:b/>
          <w:bCs/>
          <w:color w:val="000000"/>
          <w:sz w:val="24"/>
          <w:szCs w:val="24"/>
        </w:rPr>
        <w:t xml:space="preserve"> NKÚ</w:t>
      </w:r>
      <w:r w:rsidR="007B3B3F">
        <w:rPr>
          <w:rStyle w:val="Znakapoznpodarou"/>
          <w:rFonts w:ascii="Calibri" w:hAnsi="Calibri"/>
          <w:b/>
          <w:bCs/>
          <w:color w:val="000000"/>
          <w:sz w:val="24"/>
          <w:szCs w:val="24"/>
        </w:rPr>
        <w:footnoteReference w:id="2"/>
      </w:r>
      <w:r w:rsidR="00707B12" w:rsidRPr="000C6E5D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3A10E7">
        <w:rPr>
          <w:rFonts w:ascii="Calibri" w:hAnsi="Calibri"/>
          <w:b/>
          <w:bCs/>
          <w:color w:val="000000"/>
          <w:sz w:val="24"/>
          <w:szCs w:val="24"/>
        </w:rPr>
        <w:t>nepřezkoumalo, zda je</w:t>
      </w:r>
      <w:r w:rsidR="003873CB">
        <w:rPr>
          <w:rFonts w:ascii="Calibri" w:hAnsi="Calibri"/>
          <w:b/>
          <w:bCs/>
          <w:color w:val="000000"/>
          <w:sz w:val="24"/>
          <w:szCs w:val="24"/>
        </w:rPr>
        <w:t xml:space="preserve"> právní form</w:t>
      </w:r>
      <w:r w:rsidR="003A10E7">
        <w:rPr>
          <w:rFonts w:ascii="Calibri" w:hAnsi="Calibri"/>
          <w:b/>
          <w:bCs/>
          <w:color w:val="000000"/>
          <w:sz w:val="24"/>
          <w:szCs w:val="24"/>
        </w:rPr>
        <w:t>a</w:t>
      </w:r>
      <w:r w:rsidR="003873CB">
        <w:rPr>
          <w:rFonts w:ascii="Calibri" w:hAnsi="Calibri"/>
          <w:b/>
          <w:bCs/>
          <w:color w:val="000000"/>
          <w:sz w:val="24"/>
          <w:szCs w:val="24"/>
        </w:rPr>
        <w:t xml:space="preserve"> společnosti </w:t>
      </w:r>
      <w:r w:rsidR="00FF35DA">
        <w:rPr>
          <w:rFonts w:ascii="Calibri" w:hAnsi="Calibri"/>
          <w:b/>
          <w:bCs/>
          <w:color w:val="000000"/>
          <w:sz w:val="24"/>
          <w:szCs w:val="24"/>
        </w:rPr>
        <w:t xml:space="preserve">Podpůrný a garanční rolnický a lesnický fond, </w:t>
      </w:r>
      <w:r w:rsidR="00594FD6">
        <w:rPr>
          <w:rFonts w:ascii="Calibri" w:hAnsi="Calibri"/>
          <w:b/>
          <w:bCs/>
          <w:color w:val="000000"/>
          <w:sz w:val="24"/>
          <w:szCs w:val="24"/>
        </w:rPr>
        <w:t>a.s.</w:t>
      </w:r>
      <w:r w:rsidR="0002358B">
        <w:rPr>
          <w:rFonts w:ascii="Calibri" w:hAnsi="Calibri"/>
          <w:b/>
          <w:bCs/>
          <w:color w:val="000000"/>
          <w:sz w:val="24"/>
          <w:szCs w:val="24"/>
        </w:rPr>
        <w:t>,</w:t>
      </w:r>
      <w:r w:rsidR="00C621F1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3A10E7">
        <w:rPr>
          <w:rFonts w:ascii="Calibri" w:hAnsi="Calibri"/>
          <w:b/>
          <w:bCs/>
          <w:color w:val="000000"/>
          <w:sz w:val="24"/>
          <w:szCs w:val="24"/>
        </w:rPr>
        <w:t>vzhledem k její činnosti</w:t>
      </w:r>
      <w:r w:rsidR="00C621F1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1D197B">
        <w:rPr>
          <w:rFonts w:ascii="Calibri" w:hAnsi="Calibri"/>
          <w:b/>
          <w:bCs/>
          <w:color w:val="000000"/>
          <w:sz w:val="24"/>
          <w:szCs w:val="24"/>
        </w:rPr>
        <w:t>vhodná</w:t>
      </w:r>
      <w:r w:rsidR="00465AA7">
        <w:rPr>
          <w:rFonts w:ascii="Calibri" w:hAnsi="Calibri"/>
          <w:b/>
          <w:bCs/>
          <w:color w:val="000000"/>
          <w:sz w:val="24"/>
          <w:szCs w:val="24"/>
        </w:rPr>
        <w:t>.</w:t>
      </w:r>
      <w:r w:rsidR="00570C14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14:paraId="11B87078" w14:textId="77777777" w:rsidR="002E245B" w:rsidRDefault="002E245B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EBB1FC" w14:textId="42CD8AA2" w:rsidR="00EF155B" w:rsidRDefault="002E245B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223F">
        <w:rPr>
          <w:rFonts w:cstheme="minorHAnsi"/>
          <w:b/>
          <w:bCs/>
          <w:sz w:val="24"/>
          <w:szCs w:val="24"/>
        </w:rPr>
        <w:t xml:space="preserve">MF, MPO a </w:t>
      </w:r>
      <w:proofErr w:type="spellStart"/>
      <w:r w:rsidRPr="0077223F">
        <w:rPr>
          <w:rFonts w:cstheme="minorHAnsi"/>
          <w:b/>
          <w:bCs/>
          <w:sz w:val="24"/>
          <w:szCs w:val="24"/>
        </w:rPr>
        <w:t>MZe</w:t>
      </w:r>
      <w:proofErr w:type="spellEnd"/>
      <w:r w:rsidRPr="0077223F">
        <w:rPr>
          <w:rFonts w:cstheme="minorHAnsi"/>
          <w:b/>
          <w:bCs/>
          <w:sz w:val="24"/>
          <w:szCs w:val="24"/>
        </w:rPr>
        <w:t xml:space="preserve"> </w:t>
      </w:r>
      <w:r w:rsidR="00DB318A">
        <w:rPr>
          <w:rFonts w:cstheme="minorHAnsi"/>
          <w:b/>
          <w:bCs/>
          <w:sz w:val="24"/>
          <w:szCs w:val="24"/>
        </w:rPr>
        <w:t>nepostupovaly</w:t>
      </w:r>
      <w:r w:rsidR="00DB318A" w:rsidRPr="00C12BDC">
        <w:rPr>
          <w:rFonts w:cstheme="minorHAnsi"/>
          <w:b/>
          <w:bCs/>
          <w:sz w:val="24"/>
          <w:szCs w:val="24"/>
        </w:rPr>
        <w:t xml:space="preserve"> </w:t>
      </w:r>
      <w:r w:rsidR="00DB318A">
        <w:rPr>
          <w:rFonts w:cstheme="minorHAnsi"/>
          <w:b/>
          <w:bCs/>
          <w:sz w:val="24"/>
          <w:szCs w:val="24"/>
        </w:rPr>
        <w:t xml:space="preserve">při správě obchodních společností s majetkovou účastí státu </w:t>
      </w:r>
      <w:r w:rsidR="00DB318A" w:rsidRPr="00C12BDC">
        <w:rPr>
          <w:rFonts w:cstheme="minorHAnsi"/>
          <w:b/>
          <w:bCs/>
          <w:sz w:val="24"/>
          <w:szCs w:val="24"/>
        </w:rPr>
        <w:t>v souladu s</w:t>
      </w:r>
      <w:r w:rsidR="00DB318A">
        <w:rPr>
          <w:rFonts w:cstheme="minorHAnsi"/>
          <w:b/>
          <w:bCs/>
          <w:sz w:val="24"/>
          <w:szCs w:val="24"/>
        </w:rPr>
        <w:t> kompetenčním zákonem</w:t>
      </w:r>
      <w:r w:rsidR="00DB318A">
        <w:rPr>
          <w:rStyle w:val="Znakapoznpodarou"/>
          <w:rFonts w:cstheme="minorHAnsi"/>
          <w:b/>
          <w:bCs/>
          <w:sz w:val="24"/>
          <w:szCs w:val="24"/>
        </w:rPr>
        <w:footnoteReference w:id="3"/>
      </w:r>
      <w:r w:rsidR="00DB318A">
        <w:rPr>
          <w:rFonts w:cstheme="minorHAnsi"/>
          <w:b/>
          <w:bCs/>
          <w:sz w:val="24"/>
          <w:szCs w:val="24"/>
        </w:rPr>
        <w:t>, protože se n</w:t>
      </w:r>
      <w:r w:rsidRPr="00A2304C">
        <w:rPr>
          <w:rFonts w:cstheme="minorHAnsi"/>
          <w:b/>
          <w:bCs/>
          <w:sz w:val="24"/>
          <w:szCs w:val="24"/>
        </w:rPr>
        <w:t>eřídil</w:t>
      </w:r>
      <w:r>
        <w:rPr>
          <w:rFonts w:cstheme="minorHAnsi"/>
          <w:b/>
          <w:bCs/>
          <w:sz w:val="24"/>
          <w:szCs w:val="24"/>
        </w:rPr>
        <w:t>y</w:t>
      </w:r>
      <w:r w:rsidRPr="00A2304C">
        <w:rPr>
          <w:rFonts w:cstheme="minorHAnsi"/>
          <w:b/>
          <w:bCs/>
          <w:sz w:val="24"/>
          <w:szCs w:val="24"/>
        </w:rPr>
        <w:t xml:space="preserve"> usnesením</w:t>
      </w:r>
      <w:r>
        <w:rPr>
          <w:rFonts w:cstheme="minorHAnsi"/>
          <w:b/>
          <w:bCs/>
          <w:sz w:val="24"/>
          <w:szCs w:val="24"/>
        </w:rPr>
        <w:t>i</w:t>
      </w:r>
      <w:r w:rsidRPr="00A2304C">
        <w:rPr>
          <w:rFonts w:cstheme="minorHAnsi"/>
          <w:b/>
          <w:bCs/>
          <w:sz w:val="24"/>
          <w:szCs w:val="24"/>
        </w:rPr>
        <w:t xml:space="preserve"> vlády</w:t>
      </w:r>
      <w:r w:rsidR="0071278C">
        <w:rPr>
          <w:rStyle w:val="Znakapoznpodarou"/>
          <w:rFonts w:cstheme="minorHAnsi"/>
          <w:b/>
          <w:bCs/>
          <w:sz w:val="24"/>
          <w:szCs w:val="24"/>
        </w:rPr>
        <w:footnoteReference w:id="4"/>
      </w:r>
      <w:r w:rsidRPr="00A2304C">
        <w:rPr>
          <w:rFonts w:cstheme="minorHAnsi"/>
          <w:b/>
          <w:bCs/>
          <w:sz w:val="24"/>
          <w:szCs w:val="24"/>
        </w:rPr>
        <w:t xml:space="preserve">, </w:t>
      </w:r>
      <w:r w:rsidR="00DB318A">
        <w:rPr>
          <w:rFonts w:cstheme="minorHAnsi"/>
          <w:b/>
          <w:bCs/>
          <w:sz w:val="24"/>
          <w:szCs w:val="24"/>
        </w:rPr>
        <w:t>když</w:t>
      </w:r>
      <w:r w:rsidRPr="00A2304C">
        <w:rPr>
          <w:rFonts w:cstheme="minorHAnsi"/>
          <w:b/>
          <w:bCs/>
          <w:sz w:val="24"/>
          <w:szCs w:val="24"/>
        </w:rPr>
        <w:t xml:space="preserve"> </w:t>
      </w:r>
      <w:r w:rsidR="00CC64E3">
        <w:rPr>
          <w:rFonts w:cstheme="minorHAnsi"/>
          <w:b/>
          <w:bCs/>
          <w:sz w:val="24"/>
          <w:szCs w:val="24"/>
        </w:rPr>
        <w:t>MF zpracovalo Strategii v rozporu s</w:t>
      </w:r>
      <w:r w:rsidR="00CC64E3" w:rsidRPr="00A2304C">
        <w:rPr>
          <w:rFonts w:cstheme="minorHAnsi"/>
          <w:b/>
          <w:bCs/>
          <w:sz w:val="24"/>
          <w:szCs w:val="24"/>
        </w:rPr>
        <w:t xml:space="preserve"> </w:t>
      </w:r>
      <w:r w:rsidR="00CC64E3" w:rsidRPr="00C45202">
        <w:rPr>
          <w:rFonts w:cstheme="minorHAnsi"/>
          <w:b/>
          <w:bCs/>
          <w:i/>
          <w:iCs/>
          <w:sz w:val="24"/>
          <w:szCs w:val="24"/>
        </w:rPr>
        <w:t>Metodikou přípravy veřejných strategií</w:t>
      </w:r>
      <w:r w:rsidR="00CC64E3">
        <w:rPr>
          <w:rFonts w:cstheme="minorHAnsi"/>
          <w:b/>
          <w:bCs/>
          <w:sz w:val="24"/>
          <w:szCs w:val="24"/>
        </w:rPr>
        <w:t xml:space="preserve">, ministerstva </w:t>
      </w:r>
      <w:r w:rsidR="009C27D3">
        <w:rPr>
          <w:rFonts w:cstheme="minorHAnsi"/>
          <w:b/>
          <w:bCs/>
          <w:sz w:val="24"/>
          <w:szCs w:val="24"/>
        </w:rPr>
        <w:t>neplnil</w:t>
      </w:r>
      <w:r w:rsidR="00CC64E3">
        <w:rPr>
          <w:rFonts w:cstheme="minorHAnsi"/>
          <w:b/>
          <w:bCs/>
          <w:sz w:val="24"/>
          <w:szCs w:val="24"/>
        </w:rPr>
        <w:t>a</w:t>
      </w:r>
      <w:r w:rsidR="009C27D3">
        <w:rPr>
          <w:rFonts w:cstheme="minorHAnsi"/>
          <w:b/>
          <w:bCs/>
          <w:sz w:val="24"/>
          <w:szCs w:val="24"/>
        </w:rPr>
        <w:t xml:space="preserve"> </w:t>
      </w:r>
      <w:r w:rsidR="00692424">
        <w:rPr>
          <w:rFonts w:cstheme="minorHAnsi"/>
          <w:b/>
          <w:bCs/>
          <w:sz w:val="24"/>
          <w:szCs w:val="24"/>
        </w:rPr>
        <w:t>cíle</w:t>
      </w:r>
      <w:r w:rsidR="009C27D3">
        <w:rPr>
          <w:rFonts w:cstheme="minorHAnsi"/>
          <w:b/>
          <w:bCs/>
          <w:sz w:val="24"/>
          <w:szCs w:val="24"/>
        </w:rPr>
        <w:t xml:space="preserve"> Strategie a MF a MPO</w:t>
      </w:r>
      <w:r>
        <w:rPr>
          <w:rFonts w:cstheme="minorHAnsi"/>
          <w:b/>
          <w:bCs/>
          <w:sz w:val="24"/>
          <w:szCs w:val="24"/>
        </w:rPr>
        <w:t xml:space="preserve"> nepromítl</w:t>
      </w:r>
      <w:r w:rsidR="009C27D3">
        <w:rPr>
          <w:rFonts w:cstheme="minorHAnsi"/>
          <w:b/>
          <w:bCs/>
          <w:sz w:val="24"/>
          <w:szCs w:val="24"/>
        </w:rPr>
        <w:t>y</w:t>
      </w:r>
      <w:r>
        <w:rPr>
          <w:rFonts w:cstheme="minorHAnsi"/>
          <w:b/>
          <w:bCs/>
          <w:sz w:val="24"/>
          <w:szCs w:val="24"/>
        </w:rPr>
        <w:t xml:space="preserve"> do stanov obchodních společností</w:t>
      </w:r>
      <w:r w:rsidR="00692424" w:rsidRPr="00692424">
        <w:rPr>
          <w:rFonts w:cstheme="minorHAnsi"/>
          <w:b/>
          <w:bCs/>
          <w:sz w:val="24"/>
          <w:szCs w:val="24"/>
        </w:rPr>
        <w:t xml:space="preserve"> </w:t>
      </w:r>
      <w:r w:rsidR="00692424">
        <w:rPr>
          <w:rFonts w:cstheme="minorHAnsi"/>
          <w:b/>
          <w:bCs/>
          <w:sz w:val="24"/>
          <w:szCs w:val="24"/>
        </w:rPr>
        <w:t xml:space="preserve">vládou schválené </w:t>
      </w:r>
      <w:r w:rsidR="00F90E79" w:rsidRPr="00C45202">
        <w:rPr>
          <w:rFonts w:cstheme="minorHAnsi"/>
          <w:b/>
          <w:bCs/>
          <w:i/>
          <w:iCs/>
          <w:sz w:val="24"/>
          <w:szCs w:val="24"/>
        </w:rPr>
        <w:t xml:space="preserve">Zásady odměňování vedoucích zaměstnanců a členů orgánů ovládaných obchodních společností s majetkovou účastí státu </w:t>
      </w:r>
      <w:r w:rsidR="00143661">
        <w:rPr>
          <w:rFonts w:cstheme="minorHAnsi"/>
          <w:b/>
          <w:bCs/>
          <w:i/>
          <w:iCs/>
          <w:sz w:val="24"/>
          <w:szCs w:val="24"/>
        </w:rPr>
        <w:t>včetně</w:t>
      </w:r>
      <w:r w:rsidR="00F90E79" w:rsidRPr="00C45202">
        <w:rPr>
          <w:rFonts w:cstheme="minorHAnsi"/>
          <w:b/>
          <w:bCs/>
          <w:i/>
          <w:iCs/>
          <w:sz w:val="24"/>
          <w:szCs w:val="24"/>
        </w:rPr>
        <w:t xml:space="preserve"> státních podniků a jiných státních organizací zřízených zákonem nebo ministerstvem</w:t>
      </w:r>
      <w:r w:rsidR="00F90E79">
        <w:rPr>
          <w:rFonts w:cstheme="minorHAnsi"/>
          <w:b/>
          <w:bCs/>
          <w:sz w:val="24"/>
          <w:szCs w:val="24"/>
        </w:rPr>
        <w:t xml:space="preserve"> (dále také „</w:t>
      </w:r>
      <w:r w:rsidR="00692424">
        <w:rPr>
          <w:rFonts w:cstheme="minorHAnsi"/>
          <w:b/>
          <w:bCs/>
          <w:sz w:val="24"/>
          <w:szCs w:val="24"/>
        </w:rPr>
        <w:t>Zásady odměňování</w:t>
      </w:r>
      <w:r w:rsidR="00F90E79">
        <w:rPr>
          <w:rFonts w:cstheme="minorHAnsi"/>
          <w:b/>
          <w:bCs/>
          <w:sz w:val="24"/>
          <w:szCs w:val="24"/>
        </w:rPr>
        <w:t>“)</w:t>
      </w:r>
      <w:r w:rsidR="0008474C">
        <w:rPr>
          <w:rStyle w:val="Znakapoznpodarou"/>
          <w:rFonts w:cstheme="minorHAnsi"/>
          <w:b/>
          <w:bCs/>
          <w:sz w:val="24"/>
          <w:szCs w:val="24"/>
        </w:rPr>
        <w:footnoteReference w:id="5"/>
      </w:r>
      <w:r w:rsidR="009C27D3">
        <w:rPr>
          <w:rFonts w:cstheme="minorHAnsi"/>
          <w:b/>
          <w:bCs/>
          <w:sz w:val="24"/>
          <w:szCs w:val="24"/>
        </w:rPr>
        <w:t xml:space="preserve">. </w:t>
      </w:r>
    </w:p>
    <w:p w14:paraId="4F44AD10" w14:textId="77777777" w:rsidR="0067444A" w:rsidRPr="00090E20" w:rsidRDefault="0067444A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5DB1B8" w14:textId="0FF14FA0" w:rsidR="0018611F" w:rsidRPr="0067444A" w:rsidRDefault="007F68A4" w:rsidP="00670E4C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BD572F">
        <w:rPr>
          <w:rFonts w:cstheme="minorHAnsi"/>
          <w:sz w:val="24"/>
          <w:szCs w:val="24"/>
        </w:rPr>
        <w:t>Toto celkové vyhodnocení se opírá o následující zjištění:</w:t>
      </w:r>
    </w:p>
    <w:p w14:paraId="5E85BAEB" w14:textId="45BB5FF9" w:rsidR="002111B3" w:rsidRDefault="009943FD" w:rsidP="004F1EFC">
      <w:pPr>
        <w:pStyle w:val="Odstavecseseznamem"/>
        <w:keepNext/>
        <w:numPr>
          <w:ilvl w:val="0"/>
          <w:numId w:val="36"/>
        </w:numPr>
        <w:spacing w:after="120" w:line="240" w:lineRule="auto"/>
        <w:ind w:left="284" w:hanging="284"/>
        <w:contextualSpacing w:val="0"/>
        <w:rPr>
          <w:rFonts w:cstheme="minorHAnsi"/>
          <w:iCs/>
        </w:rPr>
      </w:pPr>
      <w:r w:rsidRPr="003968C0">
        <w:rPr>
          <w:b/>
          <w:sz w:val="24"/>
          <w:szCs w:val="24"/>
          <w:lang w:eastAsia="cs-CZ"/>
        </w:rPr>
        <w:lastRenderedPageBreak/>
        <w:t>MF nastavilo některá opatření Strategie obecně bez vazby na její cíle</w:t>
      </w:r>
    </w:p>
    <w:p w14:paraId="66D24ABF" w14:textId="77777777" w:rsidR="004F1EFC" w:rsidRDefault="007F68A4" w:rsidP="004F1EFC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A84950">
        <w:rPr>
          <w:rFonts w:cstheme="minorHAnsi"/>
          <w:iCs/>
          <w:sz w:val="24"/>
          <w:szCs w:val="24"/>
        </w:rPr>
        <w:t xml:space="preserve">NKÚ zjistil, že </w:t>
      </w:r>
      <w:r w:rsidR="002460C6">
        <w:rPr>
          <w:rFonts w:cstheme="minorHAnsi"/>
          <w:iCs/>
          <w:sz w:val="24"/>
          <w:szCs w:val="24"/>
        </w:rPr>
        <w:t>MF</w:t>
      </w:r>
      <w:r w:rsidR="002460C6" w:rsidRPr="00A84950">
        <w:rPr>
          <w:rFonts w:cstheme="minorHAnsi"/>
          <w:iCs/>
          <w:sz w:val="24"/>
          <w:szCs w:val="24"/>
        </w:rPr>
        <w:t xml:space="preserve"> </w:t>
      </w:r>
      <w:r w:rsidR="002460C6">
        <w:rPr>
          <w:rFonts w:cstheme="minorHAnsi"/>
          <w:iCs/>
          <w:sz w:val="24"/>
          <w:szCs w:val="24"/>
        </w:rPr>
        <w:t xml:space="preserve">formulovalo </w:t>
      </w:r>
      <w:r w:rsidRPr="00A84950">
        <w:rPr>
          <w:rFonts w:cstheme="minorHAnsi"/>
          <w:iCs/>
          <w:sz w:val="24"/>
          <w:szCs w:val="24"/>
        </w:rPr>
        <w:t>opatření v některých případech příliš obecně a nejednoznačně</w:t>
      </w:r>
      <w:r w:rsidR="00E42C75">
        <w:rPr>
          <w:rFonts w:cstheme="minorHAnsi"/>
          <w:iCs/>
          <w:sz w:val="24"/>
          <w:szCs w:val="24"/>
        </w:rPr>
        <w:t>,</w:t>
      </w:r>
      <w:r w:rsidRPr="00A84950">
        <w:rPr>
          <w:rFonts w:cstheme="minorHAnsi"/>
          <w:iCs/>
          <w:sz w:val="24"/>
          <w:szCs w:val="24"/>
        </w:rPr>
        <w:t xml:space="preserve"> </w:t>
      </w:r>
      <w:r w:rsidR="00E42C75">
        <w:rPr>
          <w:rFonts w:cstheme="minorHAnsi"/>
          <w:iCs/>
          <w:sz w:val="24"/>
          <w:szCs w:val="24"/>
        </w:rPr>
        <w:t>t</w:t>
      </w:r>
      <w:r w:rsidRPr="00A84950">
        <w:rPr>
          <w:rFonts w:cstheme="minorHAnsi"/>
          <w:iCs/>
          <w:sz w:val="24"/>
          <w:szCs w:val="24"/>
        </w:rPr>
        <w:t>a</w:t>
      </w:r>
      <w:r w:rsidR="00E42C75">
        <w:rPr>
          <w:rFonts w:cstheme="minorHAnsi"/>
          <w:iCs/>
          <w:sz w:val="24"/>
          <w:szCs w:val="24"/>
        </w:rPr>
        <w:t>kže</w:t>
      </w:r>
      <w:r w:rsidRPr="00A84950">
        <w:rPr>
          <w:rFonts w:cstheme="minorHAnsi"/>
          <w:iCs/>
          <w:sz w:val="24"/>
          <w:szCs w:val="24"/>
        </w:rPr>
        <w:t xml:space="preserve"> nebylo zřejmé, co musí příslušná ministerstva vykonat pro jejich splnění nebo co má být výsledkem aplikace daného opatření. </w:t>
      </w:r>
      <w:r w:rsidR="0080669C" w:rsidRPr="00A84950">
        <w:rPr>
          <w:rFonts w:cstheme="minorHAnsi"/>
          <w:iCs/>
          <w:sz w:val="24"/>
          <w:szCs w:val="24"/>
        </w:rPr>
        <w:t>Z opatření nebylo zřejmé,</w:t>
      </w:r>
      <w:r w:rsidR="0080669C">
        <w:rPr>
          <w:rFonts w:cstheme="minorHAnsi"/>
          <w:iCs/>
          <w:sz w:val="24"/>
          <w:szCs w:val="24"/>
        </w:rPr>
        <w:t xml:space="preserve"> v jaké kvalitě </w:t>
      </w:r>
      <w:r w:rsidR="0080669C" w:rsidRPr="00A84950">
        <w:rPr>
          <w:rFonts w:cstheme="minorHAnsi"/>
          <w:iCs/>
          <w:sz w:val="24"/>
          <w:szCs w:val="24"/>
        </w:rPr>
        <w:t xml:space="preserve">a v jaké frekvenci je mají ministerstva plnit. </w:t>
      </w:r>
      <w:r w:rsidR="003A54A4" w:rsidRPr="00A84950">
        <w:rPr>
          <w:rFonts w:cstheme="minorHAnsi"/>
          <w:bCs/>
          <w:sz w:val="24"/>
          <w:szCs w:val="24"/>
        </w:rPr>
        <w:t>N</w:t>
      </w:r>
      <w:r w:rsidR="00F23C4B" w:rsidRPr="00A84950">
        <w:rPr>
          <w:rFonts w:cstheme="minorHAnsi"/>
          <w:bCs/>
          <w:sz w:val="24"/>
          <w:szCs w:val="24"/>
        </w:rPr>
        <w:t>ěkterá</w:t>
      </w:r>
      <w:r w:rsidR="003A54A4" w:rsidRPr="00A84950">
        <w:rPr>
          <w:rFonts w:cstheme="minorHAnsi"/>
          <w:bCs/>
          <w:sz w:val="24"/>
          <w:szCs w:val="24"/>
        </w:rPr>
        <w:t xml:space="preserve"> </w:t>
      </w:r>
      <w:r w:rsidR="00B268FF" w:rsidRPr="00A84950">
        <w:rPr>
          <w:rFonts w:cstheme="minorHAnsi"/>
          <w:iCs/>
          <w:sz w:val="24"/>
          <w:szCs w:val="24"/>
        </w:rPr>
        <w:t xml:space="preserve">opatření byla </w:t>
      </w:r>
      <w:r w:rsidR="00523B2F">
        <w:rPr>
          <w:rFonts w:cstheme="minorHAnsi"/>
          <w:iCs/>
          <w:sz w:val="24"/>
          <w:szCs w:val="24"/>
        </w:rPr>
        <w:t>nad</w:t>
      </w:r>
      <w:r w:rsidR="006D613A" w:rsidRPr="00A84950">
        <w:rPr>
          <w:rFonts w:cstheme="minorHAnsi"/>
          <w:iCs/>
          <w:sz w:val="24"/>
          <w:szCs w:val="24"/>
        </w:rPr>
        <w:t>byt</w:t>
      </w:r>
      <w:r w:rsidR="002111B3">
        <w:rPr>
          <w:rFonts w:cstheme="minorHAnsi"/>
          <w:iCs/>
          <w:sz w:val="24"/>
          <w:szCs w:val="24"/>
        </w:rPr>
        <w:t>eč</w:t>
      </w:r>
      <w:r w:rsidR="006D613A" w:rsidRPr="00A84950">
        <w:rPr>
          <w:rFonts w:cstheme="minorHAnsi"/>
          <w:iCs/>
          <w:sz w:val="24"/>
          <w:szCs w:val="24"/>
        </w:rPr>
        <w:t>ná, protože ukládala ministerstvům zajistit</w:t>
      </w:r>
      <w:r w:rsidR="00F90E79">
        <w:rPr>
          <w:rFonts w:cstheme="minorHAnsi"/>
          <w:iCs/>
          <w:sz w:val="24"/>
          <w:szCs w:val="24"/>
        </w:rPr>
        <w:t xml:space="preserve"> </w:t>
      </w:r>
      <w:r w:rsidR="006D613A" w:rsidRPr="00A84950">
        <w:rPr>
          <w:rFonts w:cstheme="minorHAnsi"/>
          <w:iCs/>
          <w:sz w:val="24"/>
          <w:szCs w:val="24"/>
        </w:rPr>
        <w:t>plnění povinnost</w:t>
      </w:r>
      <w:r w:rsidR="003A54A4" w:rsidRPr="00A84950">
        <w:rPr>
          <w:rFonts w:cstheme="minorHAnsi"/>
          <w:iCs/>
          <w:sz w:val="24"/>
          <w:szCs w:val="24"/>
        </w:rPr>
        <w:t>í</w:t>
      </w:r>
      <w:r w:rsidR="006D613A" w:rsidRPr="00A84950">
        <w:rPr>
          <w:rFonts w:cstheme="minorHAnsi"/>
          <w:iCs/>
          <w:sz w:val="24"/>
          <w:szCs w:val="24"/>
        </w:rPr>
        <w:t xml:space="preserve"> </w:t>
      </w:r>
      <w:r w:rsidR="002111B3">
        <w:rPr>
          <w:rFonts w:cstheme="minorHAnsi"/>
          <w:iCs/>
          <w:sz w:val="24"/>
          <w:szCs w:val="24"/>
        </w:rPr>
        <w:t>ulože</w:t>
      </w:r>
      <w:r w:rsidR="006D613A" w:rsidRPr="00A84950">
        <w:rPr>
          <w:rFonts w:cstheme="minorHAnsi"/>
          <w:iCs/>
          <w:sz w:val="24"/>
          <w:szCs w:val="24"/>
        </w:rPr>
        <w:t>n</w:t>
      </w:r>
      <w:r w:rsidR="00323391">
        <w:rPr>
          <w:rFonts w:cstheme="minorHAnsi"/>
          <w:iCs/>
          <w:sz w:val="24"/>
          <w:szCs w:val="24"/>
        </w:rPr>
        <w:t>ých</w:t>
      </w:r>
      <w:r w:rsidR="006D613A" w:rsidRPr="00A84950">
        <w:rPr>
          <w:rFonts w:cstheme="minorHAnsi"/>
          <w:iCs/>
          <w:sz w:val="24"/>
          <w:szCs w:val="24"/>
        </w:rPr>
        <w:t xml:space="preserve"> obchodním společnostem zákonem.</w:t>
      </w:r>
      <w:r w:rsidR="002617DD" w:rsidRPr="00A84950">
        <w:rPr>
          <w:rFonts w:cstheme="minorHAnsi"/>
          <w:iCs/>
          <w:sz w:val="24"/>
          <w:szCs w:val="24"/>
        </w:rPr>
        <w:t xml:space="preserve"> </w:t>
      </w:r>
      <w:r w:rsidR="004F4273">
        <w:rPr>
          <w:rFonts w:cstheme="minorHAnsi"/>
          <w:iCs/>
          <w:sz w:val="24"/>
          <w:szCs w:val="24"/>
        </w:rPr>
        <w:t>MF nezpracovalo Strategii v souladu s </w:t>
      </w:r>
      <w:r w:rsidR="004F4273" w:rsidRPr="00C45202">
        <w:rPr>
          <w:rFonts w:cstheme="minorHAnsi"/>
          <w:i/>
          <w:sz w:val="24"/>
          <w:szCs w:val="24"/>
        </w:rPr>
        <w:t xml:space="preserve">Metodikou </w:t>
      </w:r>
      <w:r w:rsidR="007F5A2B" w:rsidRPr="00C45202">
        <w:rPr>
          <w:rFonts w:cstheme="minorHAnsi"/>
          <w:i/>
          <w:sz w:val="24"/>
          <w:szCs w:val="24"/>
        </w:rPr>
        <w:t>přípravy veřejných strategií</w:t>
      </w:r>
      <w:r w:rsidR="007F5A2B">
        <w:rPr>
          <w:rFonts w:cstheme="minorHAnsi"/>
          <w:iCs/>
          <w:sz w:val="24"/>
          <w:szCs w:val="24"/>
        </w:rPr>
        <w:t xml:space="preserve"> </w:t>
      </w:r>
      <w:r w:rsidR="00DD536D">
        <w:rPr>
          <w:rFonts w:cstheme="minorHAnsi"/>
          <w:iCs/>
          <w:sz w:val="24"/>
          <w:szCs w:val="24"/>
        </w:rPr>
        <w:t xml:space="preserve">(dále </w:t>
      </w:r>
      <w:r w:rsidR="00DD7F03">
        <w:rPr>
          <w:rFonts w:cstheme="minorHAnsi"/>
          <w:iCs/>
          <w:sz w:val="24"/>
          <w:szCs w:val="24"/>
        </w:rPr>
        <w:t>také</w:t>
      </w:r>
      <w:r w:rsidR="00DD536D">
        <w:rPr>
          <w:rFonts w:cstheme="minorHAnsi"/>
          <w:iCs/>
          <w:sz w:val="24"/>
          <w:szCs w:val="24"/>
        </w:rPr>
        <w:t xml:space="preserve"> „Metodika“) </w:t>
      </w:r>
      <w:r w:rsidR="004F4273">
        <w:rPr>
          <w:rFonts w:cstheme="minorHAnsi"/>
          <w:iCs/>
          <w:sz w:val="24"/>
          <w:szCs w:val="24"/>
        </w:rPr>
        <w:t>schválenou usnesením vlády č. 71.</w:t>
      </w:r>
    </w:p>
    <w:p w14:paraId="43B3C1AE" w14:textId="77777777" w:rsidR="004F1EFC" w:rsidRDefault="004F1EFC" w:rsidP="004F1EFC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04CBBD1A" w14:textId="5D502618" w:rsidR="00C55CE5" w:rsidRPr="003968C0" w:rsidRDefault="007F68A4" w:rsidP="004F1EFC">
      <w:pPr>
        <w:spacing w:after="0" w:line="240" w:lineRule="auto"/>
        <w:jc w:val="both"/>
        <w:rPr>
          <w:b/>
          <w:bCs/>
          <w:sz w:val="24"/>
          <w:szCs w:val="24"/>
          <w:lang w:eastAsia="cs-CZ"/>
        </w:rPr>
      </w:pPr>
      <w:r w:rsidRPr="003968C0">
        <w:rPr>
          <w:b/>
          <w:sz w:val="24"/>
          <w:szCs w:val="24"/>
          <w:lang w:eastAsia="cs-CZ"/>
        </w:rPr>
        <w:t>S</w:t>
      </w:r>
      <w:r w:rsidRPr="003968C0">
        <w:rPr>
          <w:rFonts w:cstheme="minorHAnsi"/>
          <w:b/>
          <w:bCs/>
          <w:sz w:val="24"/>
          <w:szCs w:val="24"/>
        </w:rPr>
        <w:t>tát</w:t>
      </w:r>
      <w:r w:rsidR="00BC65D9" w:rsidRPr="003968C0">
        <w:rPr>
          <w:rFonts w:cstheme="minorHAnsi"/>
          <w:b/>
          <w:bCs/>
          <w:sz w:val="24"/>
          <w:szCs w:val="24"/>
        </w:rPr>
        <w:t xml:space="preserve"> držel majetkové účasti v obchodních společnostech, které </w:t>
      </w:r>
      <w:r w:rsidR="00F73521">
        <w:rPr>
          <w:rFonts w:cstheme="minorHAnsi"/>
          <w:b/>
          <w:bCs/>
          <w:sz w:val="24"/>
          <w:szCs w:val="24"/>
        </w:rPr>
        <w:t>nepotřeboval pro plnění svých funkcí a stanovených činností</w:t>
      </w:r>
    </w:p>
    <w:p w14:paraId="03E3AC19" w14:textId="77777777" w:rsidR="00727A34" w:rsidRDefault="00727A3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A2E2B9" w14:textId="346C26DD" w:rsidR="00F360C5" w:rsidRDefault="003A12F6" w:rsidP="00BC2A72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 xml:space="preserve">Za účelem jednotného přístupu ministerstev </w:t>
      </w:r>
      <w:r w:rsidR="002460C6" w:rsidRPr="00F61BEF">
        <w:rPr>
          <w:rFonts w:cstheme="minorHAnsi"/>
          <w:sz w:val="24"/>
          <w:szCs w:val="24"/>
        </w:rPr>
        <w:t>MF</w:t>
      </w:r>
      <w:r w:rsidR="002460C6" w:rsidRPr="00F61BEF" w:rsidDel="003A12F6">
        <w:rPr>
          <w:rFonts w:cstheme="minorHAnsi"/>
          <w:sz w:val="24"/>
          <w:szCs w:val="24"/>
        </w:rPr>
        <w:t xml:space="preserve"> </w:t>
      </w:r>
      <w:r w:rsidR="007F68A4" w:rsidRPr="00F61BEF">
        <w:rPr>
          <w:rFonts w:cstheme="minorHAnsi"/>
          <w:sz w:val="24"/>
          <w:szCs w:val="24"/>
        </w:rPr>
        <w:t>upravilo kritéria</w:t>
      </w:r>
      <w:r w:rsidR="00662D2D">
        <w:rPr>
          <w:rFonts w:cstheme="minorHAnsi"/>
          <w:sz w:val="24"/>
          <w:szCs w:val="24"/>
        </w:rPr>
        <w:t xml:space="preserve"> pro zařazení obchodních společností do </w:t>
      </w:r>
      <w:r w:rsidR="00B27A5E">
        <w:rPr>
          <w:rFonts w:cstheme="minorHAnsi"/>
          <w:sz w:val="24"/>
          <w:szCs w:val="24"/>
        </w:rPr>
        <w:t xml:space="preserve">jednotlivých </w:t>
      </w:r>
      <w:r w:rsidR="00662D2D">
        <w:rPr>
          <w:rFonts w:cstheme="minorHAnsi"/>
          <w:sz w:val="24"/>
          <w:szCs w:val="24"/>
        </w:rPr>
        <w:t>kategorií</w:t>
      </w:r>
      <w:r w:rsidR="00B27A5E">
        <w:rPr>
          <w:rStyle w:val="Znakapoznpodarou"/>
          <w:rFonts w:cstheme="minorHAnsi"/>
          <w:sz w:val="24"/>
          <w:szCs w:val="24"/>
        </w:rPr>
        <w:footnoteReference w:id="6"/>
      </w:r>
      <w:r w:rsidR="00B27A5E">
        <w:rPr>
          <w:rFonts w:cstheme="minorHAnsi"/>
          <w:sz w:val="24"/>
          <w:szCs w:val="24"/>
        </w:rPr>
        <w:t>.</w:t>
      </w:r>
      <w:r w:rsidR="00662D2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NKÚ zjistil, že </w:t>
      </w:r>
      <w:r w:rsidR="00B27A5E">
        <w:rPr>
          <w:rFonts w:cstheme="minorHAnsi"/>
          <w:sz w:val="24"/>
          <w:szCs w:val="24"/>
        </w:rPr>
        <w:t xml:space="preserve">MF změnilo </w:t>
      </w:r>
      <w:r>
        <w:rPr>
          <w:rFonts w:cstheme="minorHAnsi"/>
          <w:sz w:val="24"/>
          <w:szCs w:val="24"/>
        </w:rPr>
        <w:t>k</w:t>
      </w:r>
      <w:r w:rsidR="00662D2D">
        <w:rPr>
          <w:rFonts w:cstheme="minorHAnsi"/>
          <w:sz w:val="24"/>
          <w:szCs w:val="24"/>
        </w:rPr>
        <w:t xml:space="preserve">ritéria </w:t>
      </w:r>
      <w:r w:rsidR="00234CD1">
        <w:rPr>
          <w:rFonts w:cstheme="minorHAnsi"/>
          <w:sz w:val="24"/>
          <w:szCs w:val="24"/>
        </w:rPr>
        <w:t xml:space="preserve">v rozporu se Strategií </w:t>
      </w:r>
      <w:r w:rsidR="00662D2D">
        <w:rPr>
          <w:rFonts w:cstheme="minorHAnsi"/>
          <w:sz w:val="24"/>
          <w:szCs w:val="24"/>
        </w:rPr>
        <w:t xml:space="preserve">tak, že </w:t>
      </w:r>
      <w:r w:rsidR="00E42C75">
        <w:rPr>
          <w:rFonts w:cstheme="minorHAnsi"/>
          <w:sz w:val="24"/>
          <w:szCs w:val="24"/>
        </w:rPr>
        <w:t xml:space="preserve">mezi </w:t>
      </w:r>
      <w:r w:rsidR="00662D2D">
        <w:rPr>
          <w:rFonts w:cstheme="minorHAnsi"/>
          <w:sz w:val="24"/>
          <w:szCs w:val="24"/>
        </w:rPr>
        <w:t>strategic</w:t>
      </w:r>
      <w:r w:rsidR="00F360C5">
        <w:rPr>
          <w:rFonts w:cstheme="minorHAnsi"/>
          <w:sz w:val="24"/>
          <w:szCs w:val="24"/>
        </w:rPr>
        <w:t>k</w:t>
      </w:r>
      <w:r w:rsidR="00E42C75">
        <w:rPr>
          <w:rFonts w:cstheme="minorHAnsi"/>
          <w:sz w:val="24"/>
          <w:szCs w:val="24"/>
        </w:rPr>
        <w:t>é</w:t>
      </w:r>
      <w:r w:rsidR="00662D2D">
        <w:rPr>
          <w:rFonts w:cstheme="minorHAnsi"/>
          <w:sz w:val="24"/>
          <w:szCs w:val="24"/>
        </w:rPr>
        <w:t xml:space="preserve"> </w:t>
      </w:r>
      <w:r w:rsidR="00235546">
        <w:rPr>
          <w:rFonts w:cstheme="minorHAnsi"/>
          <w:sz w:val="24"/>
          <w:szCs w:val="24"/>
        </w:rPr>
        <w:t>mohla ministerstva</w:t>
      </w:r>
      <w:r w:rsidR="00662D2D">
        <w:rPr>
          <w:rFonts w:cstheme="minorHAnsi"/>
          <w:sz w:val="24"/>
          <w:szCs w:val="24"/>
        </w:rPr>
        <w:t xml:space="preserve"> </w:t>
      </w:r>
      <w:r w:rsidR="00F360C5">
        <w:rPr>
          <w:rFonts w:cstheme="minorHAnsi"/>
          <w:sz w:val="24"/>
          <w:szCs w:val="24"/>
        </w:rPr>
        <w:t>zařadit</w:t>
      </w:r>
      <w:r w:rsidR="00662D2D">
        <w:rPr>
          <w:rFonts w:cstheme="minorHAnsi"/>
          <w:sz w:val="24"/>
          <w:szCs w:val="24"/>
        </w:rPr>
        <w:t xml:space="preserve"> </w:t>
      </w:r>
      <w:r w:rsidR="00F13910">
        <w:rPr>
          <w:rFonts w:cstheme="minorHAnsi"/>
          <w:sz w:val="24"/>
          <w:szCs w:val="24"/>
        </w:rPr>
        <w:t>i</w:t>
      </w:r>
      <w:r w:rsidR="00662D2D">
        <w:rPr>
          <w:rFonts w:cstheme="minorHAnsi"/>
          <w:sz w:val="24"/>
          <w:szCs w:val="24"/>
        </w:rPr>
        <w:t xml:space="preserve"> obchodní společnost</w:t>
      </w:r>
      <w:r w:rsidR="00F360C5">
        <w:rPr>
          <w:rFonts w:cstheme="minorHAnsi"/>
          <w:sz w:val="24"/>
          <w:szCs w:val="24"/>
        </w:rPr>
        <w:t>i</w:t>
      </w:r>
      <w:r w:rsidR="00F13910">
        <w:rPr>
          <w:rFonts w:cstheme="minorHAnsi"/>
          <w:sz w:val="24"/>
          <w:szCs w:val="24"/>
        </w:rPr>
        <w:t>, kter</w:t>
      </w:r>
      <w:r w:rsidR="00DF56F2">
        <w:rPr>
          <w:rFonts w:cstheme="minorHAnsi"/>
          <w:sz w:val="24"/>
          <w:szCs w:val="24"/>
        </w:rPr>
        <w:t>é</w:t>
      </w:r>
      <w:r w:rsidR="00F13910">
        <w:rPr>
          <w:rFonts w:cstheme="minorHAnsi"/>
          <w:sz w:val="24"/>
          <w:szCs w:val="24"/>
        </w:rPr>
        <w:t xml:space="preserve"> kritériím </w:t>
      </w:r>
      <w:r w:rsidR="00A81B55">
        <w:rPr>
          <w:rFonts w:cstheme="minorHAnsi"/>
          <w:sz w:val="24"/>
          <w:szCs w:val="24"/>
        </w:rPr>
        <w:t xml:space="preserve">schváleným vládou </w:t>
      </w:r>
      <w:r w:rsidR="00F13910">
        <w:rPr>
          <w:rFonts w:cstheme="minorHAnsi"/>
          <w:sz w:val="24"/>
          <w:szCs w:val="24"/>
        </w:rPr>
        <w:t>ne</w:t>
      </w:r>
      <w:r w:rsidR="00A81B55">
        <w:rPr>
          <w:rFonts w:cstheme="minorHAnsi"/>
          <w:sz w:val="24"/>
          <w:szCs w:val="24"/>
        </w:rPr>
        <w:t>odpovídal</w:t>
      </w:r>
      <w:r w:rsidR="00DF56F2">
        <w:rPr>
          <w:rFonts w:cstheme="minorHAnsi"/>
          <w:sz w:val="24"/>
          <w:szCs w:val="24"/>
        </w:rPr>
        <w:t>y</w:t>
      </w:r>
      <w:r w:rsidR="00662D2D">
        <w:rPr>
          <w:rFonts w:cstheme="minorHAnsi"/>
          <w:sz w:val="24"/>
          <w:szCs w:val="24"/>
        </w:rPr>
        <w:t>.</w:t>
      </w:r>
      <w:r w:rsidR="00F360C5">
        <w:rPr>
          <w:rFonts w:cstheme="minorHAnsi"/>
          <w:sz w:val="24"/>
          <w:szCs w:val="24"/>
        </w:rPr>
        <w:t xml:space="preserve"> </w:t>
      </w:r>
      <w:r w:rsidR="004E46D3">
        <w:rPr>
          <w:rFonts w:cstheme="minorHAnsi"/>
          <w:sz w:val="24"/>
          <w:szCs w:val="24"/>
        </w:rPr>
        <w:t>MF</w:t>
      </w:r>
      <w:r w:rsidR="00F73521">
        <w:rPr>
          <w:rFonts w:cstheme="minorHAnsi"/>
          <w:sz w:val="24"/>
          <w:szCs w:val="24"/>
        </w:rPr>
        <w:t xml:space="preserve"> </w:t>
      </w:r>
      <w:r w:rsidR="00E42C75">
        <w:rPr>
          <w:rFonts w:cstheme="minorHAnsi"/>
          <w:sz w:val="24"/>
          <w:szCs w:val="24"/>
        </w:rPr>
        <w:t>tak</w:t>
      </w:r>
      <w:r w:rsidR="00B27A5E">
        <w:rPr>
          <w:rFonts w:cstheme="minorHAnsi"/>
          <w:sz w:val="24"/>
          <w:szCs w:val="24"/>
        </w:rPr>
        <w:t xml:space="preserve"> </w:t>
      </w:r>
      <w:r w:rsidR="004B0783">
        <w:rPr>
          <w:rFonts w:cstheme="minorHAnsi"/>
          <w:sz w:val="24"/>
          <w:szCs w:val="24"/>
        </w:rPr>
        <w:t xml:space="preserve">drželo </w:t>
      </w:r>
      <w:r w:rsidR="004E46D3">
        <w:rPr>
          <w:rFonts w:cstheme="minorHAnsi"/>
          <w:sz w:val="24"/>
          <w:szCs w:val="24"/>
        </w:rPr>
        <w:t>majetkové účasti v</w:t>
      </w:r>
      <w:r w:rsidR="002460C6">
        <w:rPr>
          <w:rFonts w:cstheme="minorHAnsi"/>
          <w:sz w:val="24"/>
          <w:szCs w:val="24"/>
        </w:rPr>
        <w:t> </w:t>
      </w:r>
      <w:r w:rsidR="004E46D3">
        <w:rPr>
          <w:rFonts w:cstheme="minorHAnsi"/>
          <w:sz w:val="24"/>
          <w:szCs w:val="24"/>
        </w:rPr>
        <w:t>obchodní</w:t>
      </w:r>
      <w:r w:rsidR="002460C6">
        <w:rPr>
          <w:rFonts w:cstheme="minorHAnsi"/>
          <w:sz w:val="24"/>
          <w:szCs w:val="24"/>
        </w:rPr>
        <w:t>ch</w:t>
      </w:r>
      <w:r w:rsidR="004E46D3">
        <w:rPr>
          <w:rFonts w:cstheme="minorHAnsi"/>
          <w:sz w:val="24"/>
          <w:szCs w:val="24"/>
        </w:rPr>
        <w:t xml:space="preserve"> společnost</w:t>
      </w:r>
      <w:r w:rsidR="002460C6">
        <w:rPr>
          <w:rFonts w:cstheme="minorHAnsi"/>
          <w:sz w:val="24"/>
          <w:szCs w:val="24"/>
        </w:rPr>
        <w:t>ech</w:t>
      </w:r>
      <w:r w:rsidR="004E46D3">
        <w:rPr>
          <w:rFonts w:cstheme="minorHAnsi"/>
          <w:sz w:val="24"/>
          <w:szCs w:val="24"/>
        </w:rPr>
        <w:t xml:space="preserve"> THER</w:t>
      </w:r>
      <w:r w:rsidR="00F360C5">
        <w:rPr>
          <w:rFonts w:cstheme="minorHAnsi"/>
          <w:sz w:val="24"/>
          <w:szCs w:val="24"/>
        </w:rPr>
        <w:t>MA</w:t>
      </w:r>
      <w:r w:rsidR="004E46D3">
        <w:rPr>
          <w:rFonts w:cstheme="minorHAnsi"/>
          <w:sz w:val="24"/>
          <w:szCs w:val="24"/>
        </w:rPr>
        <w:t xml:space="preserve">L-F, </w:t>
      </w:r>
      <w:r w:rsidR="00594FD6">
        <w:rPr>
          <w:rFonts w:cstheme="minorHAnsi"/>
          <w:sz w:val="24"/>
          <w:szCs w:val="24"/>
        </w:rPr>
        <w:t>a.s.</w:t>
      </w:r>
      <w:r w:rsidR="002532FC">
        <w:rPr>
          <w:rFonts w:cstheme="minorHAnsi"/>
          <w:sz w:val="24"/>
          <w:szCs w:val="24"/>
        </w:rPr>
        <w:t>,</w:t>
      </w:r>
      <w:r w:rsidR="00B27A5E">
        <w:rPr>
          <w:rFonts w:cstheme="minorHAnsi"/>
          <w:sz w:val="24"/>
          <w:szCs w:val="24"/>
        </w:rPr>
        <w:t xml:space="preserve"> </w:t>
      </w:r>
      <w:r w:rsidR="004E46D3">
        <w:rPr>
          <w:rFonts w:cstheme="minorHAnsi"/>
          <w:sz w:val="24"/>
          <w:szCs w:val="24"/>
        </w:rPr>
        <w:t>a</w:t>
      </w:r>
      <w:r w:rsidR="002111B3">
        <w:rPr>
          <w:rFonts w:cstheme="minorHAnsi"/>
          <w:sz w:val="24"/>
          <w:szCs w:val="24"/>
        </w:rPr>
        <w:t> </w:t>
      </w:r>
      <w:r w:rsidR="004E46D3">
        <w:rPr>
          <w:rFonts w:cstheme="minorHAnsi"/>
          <w:sz w:val="24"/>
          <w:szCs w:val="24"/>
        </w:rPr>
        <w:t xml:space="preserve">Kongresové centrum Praha, </w:t>
      </w:r>
      <w:r w:rsidR="00594FD6">
        <w:rPr>
          <w:rFonts w:cstheme="minorHAnsi"/>
          <w:sz w:val="24"/>
          <w:szCs w:val="24"/>
        </w:rPr>
        <w:t>a.s.</w:t>
      </w:r>
      <w:r w:rsidR="00F360C5">
        <w:rPr>
          <w:rFonts w:cstheme="minorHAnsi"/>
          <w:sz w:val="24"/>
          <w:szCs w:val="24"/>
        </w:rPr>
        <w:t xml:space="preserve">, </w:t>
      </w:r>
      <w:r w:rsidR="004B0783">
        <w:rPr>
          <w:rFonts w:cstheme="minorHAnsi"/>
          <w:sz w:val="24"/>
          <w:szCs w:val="24"/>
        </w:rPr>
        <w:t>které stát pro plnění svých funkcí a stanovených činností nepotřeboval</w:t>
      </w:r>
      <w:r w:rsidR="00A01BDE">
        <w:rPr>
          <w:rFonts w:cstheme="minorHAnsi"/>
          <w:sz w:val="24"/>
          <w:szCs w:val="24"/>
        </w:rPr>
        <w:t>.</w:t>
      </w:r>
      <w:r w:rsidR="004B0783">
        <w:rPr>
          <w:rFonts w:cstheme="minorHAnsi"/>
          <w:sz w:val="24"/>
          <w:szCs w:val="24"/>
        </w:rPr>
        <w:t xml:space="preserve"> </w:t>
      </w:r>
      <w:r w:rsidR="004B0783" w:rsidRPr="004B0783">
        <w:rPr>
          <w:rFonts w:cstheme="minorHAnsi"/>
          <w:sz w:val="24"/>
          <w:szCs w:val="24"/>
        </w:rPr>
        <w:t xml:space="preserve">MF </w:t>
      </w:r>
      <w:r w:rsidR="00F73521">
        <w:rPr>
          <w:rFonts w:cstheme="minorHAnsi"/>
          <w:sz w:val="24"/>
          <w:szCs w:val="24"/>
        </w:rPr>
        <w:t>v roce 2025</w:t>
      </w:r>
      <w:r w:rsidR="004B0783" w:rsidRPr="004B0783">
        <w:rPr>
          <w:rFonts w:cstheme="minorHAnsi"/>
          <w:sz w:val="24"/>
          <w:szCs w:val="24"/>
        </w:rPr>
        <w:t xml:space="preserve"> převedlo svůj podíl v jedné z nich na druhého akcionáře z důvodu </w:t>
      </w:r>
      <w:r w:rsidR="00F73521">
        <w:rPr>
          <w:rFonts w:cstheme="minorHAnsi"/>
          <w:sz w:val="24"/>
          <w:szCs w:val="24"/>
        </w:rPr>
        <w:t xml:space="preserve">dlouhodobé </w:t>
      </w:r>
      <w:r w:rsidR="004B0783" w:rsidRPr="004B0783">
        <w:rPr>
          <w:rFonts w:cstheme="minorHAnsi"/>
          <w:sz w:val="24"/>
          <w:szCs w:val="24"/>
        </w:rPr>
        <w:t>nepotřebnosti.</w:t>
      </w:r>
      <w:r w:rsidR="002460C6">
        <w:rPr>
          <w:rFonts w:cstheme="minorHAnsi"/>
          <w:sz w:val="24"/>
          <w:szCs w:val="24"/>
        </w:rPr>
        <w:t xml:space="preserve"> </w:t>
      </w:r>
      <w:r w:rsidR="007F68A4">
        <w:rPr>
          <w:rFonts w:cstheme="minorHAnsi"/>
          <w:sz w:val="24"/>
          <w:szCs w:val="24"/>
        </w:rPr>
        <w:t xml:space="preserve">NKÚ dále zjistil, že </w:t>
      </w:r>
      <w:proofErr w:type="spellStart"/>
      <w:r w:rsidR="007F68A4">
        <w:rPr>
          <w:rFonts w:cstheme="minorHAnsi"/>
          <w:sz w:val="24"/>
          <w:szCs w:val="24"/>
        </w:rPr>
        <w:t>MZe</w:t>
      </w:r>
      <w:proofErr w:type="spellEnd"/>
      <w:r w:rsidR="007F68A4">
        <w:rPr>
          <w:rFonts w:cstheme="minorHAnsi"/>
          <w:sz w:val="24"/>
          <w:szCs w:val="24"/>
        </w:rPr>
        <w:t xml:space="preserve"> zařadilo do strategických</w:t>
      </w:r>
      <w:r w:rsidR="00B94A18">
        <w:rPr>
          <w:rFonts w:cstheme="minorHAnsi"/>
          <w:sz w:val="24"/>
          <w:szCs w:val="24"/>
        </w:rPr>
        <w:t xml:space="preserve"> společností</w:t>
      </w:r>
      <w:r w:rsidR="007F68A4">
        <w:rPr>
          <w:rFonts w:cstheme="minorHAnsi"/>
          <w:sz w:val="24"/>
          <w:szCs w:val="24"/>
        </w:rPr>
        <w:t xml:space="preserve"> obchodní společnost</w:t>
      </w:r>
      <w:r w:rsidR="00015D84">
        <w:rPr>
          <w:rStyle w:val="Znakapoznpodarou"/>
          <w:rFonts w:cstheme="minorHAnsi"/>
          <w:sz w:val="24"/>
          <w:szCs w:val="24"/>
        </w:rPr>
        <w:footnoteReference w:id="7"/>
      </w:r>
      <w:r w:rsidR="007F68A4">
        <w:rPr>
          <w:rFonts w:cstheme="minorHAnsi"/>
          <w:sz w:val="24"/>
          <w:szCs w:val="24"/>
        </w:rPr>
        <w:t xml:space="preserve">, </w:t>
      </w:r>
      <w:r w:rsidR="00F73521">
        <w:rPr>
          <w:rFonts w:cstheme="minorHAnsi"/>
          <w:sz w:val="24"/>
          <w:szCs w:val="24"/>
        </w:rPr>
        <w:t>ve které má marginální podíl, a proto</w:t>
      </w:r>
      <w:r w:rsidR="00415192">
        <w:rPr>
          <w:rFonts w:cstheme="minorHAnsi"/>
          <w:sz w:val="24"/>
          <w:szCs w:val="24"/>
        </w:rPr>
        <w:t xml:space="preserve"> </w:t>
      </w:r>
      <w:r w:rsidR="00F73521">
        <w:rPr>
          <w:rFonts w:cstheme="minorHAnsi"/>
          <w:sz w:val="24"/>
          <w:szCs w:val="24"/>
        </w:rPr>
        <w:t xml:space="preserve">u ní </w:t>
      </w:r>
      <w:r w:rsidR="00415192">
        <w:rPr>
          <w:rFonts w:cstheme="minorHAnsi"/>
          <w:sz w:val="24"/>
          <w:szCs w:val="24"/>
        </w:rPr>
        <w:t>nemohlo aplikovat</w:t>
      </w:r>
      <w:r w:rsidR="002532FC">
        <w:rPr>
          <w:rFonts w:cstheme="minorHAnsi"/>
          <w:sz w:val="24"/>
          <w:szCs w:val="24"/>
        </w:rPr>
        <w:t xml:space="preserve"> </w:t>
      </w:r>
      <w:r w:rsidR="00415192">
        <w:rPr>
          <w:rFonts w:cstheme="minorHAnsi"/>
          <w:sz w:val="24"/>
          <w:szCs w:val="24"/>
        </w:rPr>
        <w:t>opatření Strategie</w:t>
      </w:r>
      <w:r w:rsidR="00874A91">
        <w:rPr>
          <w:rFonts w:cstheme="minorHAnsi"/>
          <w:sz w:val="24"/>
          <w:szCs w:val="24"/>
        </w:rPr>
        <w:t>.</w:t>
      </w:r>
    </w:p>
    <w:p w14:paraId="7FB82E21" w14:textId="77777777" w:rsidR="00A01BDE" w:rsidRPr="00566D50" w:rsidRDefault="00A01BDE" w:rsidP="00BC2A72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</w:p>
    <w:p w14:paraId="5DA4B752" w14:textId="3EB60727" w:rsidR="00A01BDE" w:rsidRPr="003968C0" w:rsidRDefault="007F68A4" w:rsidP="004F1EFC">
      <w:pPr>
        <w:pStyle w:val="Odstavecseseznamem"/>
        <w:keepNext/>
        <w:numPr>
          <w:ilvl w:val="0"/>
          <w:numId w:val="36"/>
        </w:numPr>
        <w:spacing w:after="120" w:line="240" w:lineRule="auto"/>
        <w:ind w:left="284" w:hanging="284"/>
        <w:contextualSpacing w:val="0"/>
        <w:rPr>
          <w:bCs/>
          <w:sz w:val="24"/>
          <w:szCs w:val="24"/>
          <w:lang w:eastAsia="cs-CZ"/>
        </w:rPr>
      </w:pPr>
      <w:r w:rsidRPr="003968C0">
        <w:rPr>
          <w:b/>
          <w:sz w:val="24"/>
          <w:szCs w:val="24"/>
          <w:lang w:eastAsia="cs-CZ"/>
        </w:rPr>
        <w:t xml:space="preserve">MF, MPO a </w:t>
      </w:r>
      <w:proofErr w:type="spellStart"/>
      <w:r w:rsidRPr="003968C0">
        <w:rPr>
          <w:b/>
          <w:sz w:val="24"/>
          <w:szCs w:val="24"/>
          <w:lang w:eastAsia="cs-CZ"/>
        </w:rPr>
        <w:t>MZe</w:t>
      </w:r>
      <w:proofErr w:type="spellEnd"/>
      <w:r w:rsidRPr="003968C0">
        <w:rPr>
          <w:b/>
          <w:sz w:val="24"/>
          <w:szCs w:val="24"/>
          <w:lang w:eastAsia="cs-CZ"/>
        </w:rPr>
        <w:t xml:space="preserve"> neplnily některá opatření</w:t>
      </w:r>
      <w:r w:rsidR="004725B3" w:rsidRPr="003968C0">
        <w:rPr>
          <w:b/>
          <w:sz w:val="24"/>
          <w:szCs w:val="24"/>
          <w:lang w:eastAsia="cs-CZ"/>
        </w:rPr>
        <w:t xml:space="preserve"> Strategie</w:t>
      </w:r>
      <w:r w:rsidR="002F55AB" w:rsidRPr="003968C0">
        <w:rPr>
          <w:b/>
          <w:sz w:val="24"/>
          <w:szCs w:val="24"/>
          <w:lang w:eastAsia="cs-CZ"/>
        </w:rPr>
        <w:t xml:space="preserve"> a </w:t>
      </w:r>
      <w:r w:rsidR="00263AFE">
        <w:rPr>
          <w:b/>
          <w:sz w:val="24"/>
          <w:szCs w:val="24"/>
          <w:lang w:eastAsia="cs-CZ"/>
        </w:rPr>
        <w:t>nepostupovaly</w:t>
      </w:r>
      <w:r w:rsidR="00415192">
        <w:rPr>
          <w:b/>
          <w:sz w:val="24"/>
          <w:szCs w:val="24"/>
          <w:lang w:eastAsia="cs-CZ"/>
        </w:rPr>
        <w:t xml:space="preserve"> v souladu s právními předpisy</w:t>
      </w:r>
    </w:p>
    <w:p w14:paraId="348F4B2E" w14:textId="341BB258" w:rsidR="007F0E48" w:rsidRDefault="007F68A4" w:rsidP="00FF2D44">
      <w:pPr>
        <w:spacing w:after="0" w:line="240" w:lineRule="auto"/>
        <w:jc w:val="both"/>
        <w:rPr>
          <w:sz w:val="24"/>
          <w:szCs w:val="24"/>
        </w:rPr>
      </w:pPr>
      <w:r w:rsidRPr="007E155E">
        <w:rPr>
          <w:bCs/>
          <w:sz w:val="24"/>
          <w:szCs w:val="24"/>
          <w:lang w:eastAsia="cs-CZ"/>
        </w:rPr>
        <w:t xml:space="preserve">NKÚ zjistil, </w:t>
      </w:r>
      <w:r w:rsidR="00FC2E30">
        <w:rPr>
          <w:bCs/>
          <w:sz w:val="24"/>
          <w:szCs w:val="24"/>
          <w:lang w:eastAsia="cs-CZ"/>
        </w:rPr>
        <w:t xml:space="preserve">že </w:t>
      </w:r>
      <w:r w:rsidR="007F0E48">
        <w:rPr>
          <w:bCs/>
          <w:sz w:val="24"/>
          <w:szCs w:val="24"/>
          <w:lang w:eastAsia="cs-CZ"/>
        </w:rPr>
        <w:t xml:space="preserve">MF, MPO a </w:t>
      </w:r>
      <w:proofErr w:type="spellStart"/>
      <w:r w:rsidR="007F0E48">
        <w:rPr>
          <w:bCs/>
          <w:sz w:val="24"/>
          <w:szCs w:val="24"/>
          <w:lang w:eastAsia="cs-CZ"/>
        </w:rPr>
        <w:t>MZe</w:t>
      </w:r>
      <w:proofErr w:type="spellEnd"/>
      <w:r w:rsidR="009D2B75">
        <w:rPr>
          <w:bCs/>
          <w:sz w:val="24"/>
          <w:szCs w:val="24"/>
          <w:lang w:eastAsia="cs-CZ"/>
        </w:rPr>
        <w:t xml:space="preserve"> neplnil</w:t>
      </w:r>
      <w:r w:rsidR="007F0E48">
        <w:rPr>
          <w:bCs/>
          <w:sz w:val="24"/>
          <w:szCs w:val="24"/>
          <w:lang w:eastAsia="cs-CZ"/>
        </w:rPr>
        <w:t>y</w:t>
      </w:r>
      <w:r w:rsidR="009D2B75">
        <w:rPr>
          <w:bCs/>
          <w:sz w:val="24"/>
          <w:szCs w:val="24"/>
          <w:lang w:eastAsia="cs-CZ"/>
        </w:rPr>
        <w:t xml:space="preserve"> celkem </w:t>
      </w:r>
      <w:r w:rsidR="00C47F2C">
        <w:rPr>
          <w:bCs/>
          <w:sz w:val="24"/>
          <w:szCs w:val="24"/>
          <w:lang w:eastAsia="cs-CZ"/>
        </w:rPr>
        <w:t>sedm</w:t>
      </w:r>
      <w:r w:rsidR="003411AD">
        <w:rPr>
          <w:bCs/>
          <w:sz w:val="24"/>
          <w:szCs w:val="24"/>
          <w:lang w:eastAsia="cs-CZ"/>
        </w:rPr>
        <w:t xml:space="preserve"> </w:t>
      </w:r>
      <w:r w:rsidR="008B1FF5">
        <w:rPr>
          <w:bCs/>
          <w:sz w:val="24"/>
          <w:szCs w:val="24"/>
          <w:lang w:eastAsia="cs-CZ"/>
        </w:rPr>
        <w:t>z</w:t>
      </w:r>
      <w:r w:rsidR="009D2B75">
        <w:rPr>
          <w:bCs/>
          <w:sz w:val="24"/>
          <w:szCs w:val="24"/>
          <w:lang w:eastAsia="cs-CZ"/>
        </w:rPr>
        <w:t> </w:t>
      </w:r>
      <w:r w:rsidR="008B1FF5">
        <w:rPr>
          <w:bCs/>
          <w:sz w:val="24"/>
          <w:szCs w:val="24"/>
          <w:lang w:eastAsia="cs-CZ"/>
        </w:rPr>
        <w:t>21</w:t>
      </w:r>
      <w:r w:rsidR="009D2B75">
        <w:rPr>
          <w:bCs/>
          <w:sz w:val="24"/>
          <w:szCs w:val="24"/>
          <w:lang w:eastAsia="cs-CZ"/>
        </w:rPr>
        <w:t xml:space="preserve"> opatření uvedených ve Strategii</w:t>
      </w:r>
      <w:r w:rsidR="007F0E48">
        <w:rPr>
          <w:bCs/>
          <w:sz w:val="24"/>
          <w:szCs w:val="24"/>
          <w:lang w:eastAsia="cs-CZ"/>
        </w:rPr>
        <w:t>.</w:t>
      </w:r>
      <w:r w:rsidR="003411AD">
        <w:rPr>
          <w:bCs/>
          <w:sz w:val="24"/>
          <w:szCs w:val="24"/>
          <w:lang w:eastAsia="cs-CZ"/>
        </w:rPr>
        <w:t xml:space="preserve"> </w:t>
      </w:r>
      <w:r w:rsidR="007F0E48">
        <w:rPr>
          <w:rFonts w:cstheme="minorHAnsi"/>
          <w:sz w:val="24"/>
          <w:szCs w:val="24"/>
        </w:rPr>
        <w:t>Kontrolovaná ministerstva</w:t>
      </w:r>
      <w:r w:rsidR="006A2AC0">
        <w:rPr>
          <w:rFonts w:cstheme="minorHAnsi"/>
          <w:sz w:val="24"/>
          <w:szCs w:val="24"/>
        </w:rPr>
        <w:t xml:space="preserve"> </w:t>
      </w:r>
      <w:r w:rsidR="007F0E48">
        <w:rPr>
          <w:rFonts w:cstheme="minorHAnsi"/>
          <w:sz w:val="24"/>
          <w:szCs w:val="24"/>
        </w:rPr>
        <w:t xml:space="preserve">např. </w:t>
      </w:r>
      <w:r w:rsidR="002F6AE2">
        <w:rPr>
          <w:rFonts w:cstheme="minorHAnsi"/>
          <w:sz w:val="24"/>
          <w:szCs w:val="24"/>
        </w:rPr>
        <w:t xml:space="preserve">nenastavila kvalifikační požadavky na pozice členů dozorčích rad obchodních společností. </w:t>
      </w:r>
      <w:r w:rsidRPr="009A2A81">
        <w:rPr>
          <w:rFonts w:ascii="Calibri" w:hAnsi="Calibri" w:cs="Calibri"/>
          <w:bCs/>
          <w:iCs/>
          <w:sz w:val="24"/>
          <w:szCs w:val="24"/>
        </w:rPr>
        <w:t xml:space="preserve">MF a MPO </w:t>
      </w:r>
      <w:r w:rsidR="00C20FF9" w:rsidRPr="00C20FF9">
        <w:rPr>
          <w:sz w:val="24"/>
          <w:szCs w:val="24"/>
        </w:rPr>
        <w:t>nezajistil</w:t>
      </w:r>
      <w:r w:rsidR="00874A91">
        <w:rPr>
          <w:sz w:val="24"/>
          <w:szCs w:val="24"/>
        </w:rPr>
        <w:t>y</w:t>
      </w:r>
      <w:r w:rsidR="00C20FF9" w:rsidRPr="00C20FF9">
        <w:rPr>
          <w:sz w:val="24"/>
          <w:szCs w:val="24"/>
        </w:rPr>
        <w:t xml:space="preserve">, aby strategické obchodní společnosti </w:t>
      </w:r>
      <w:r w:rsidR="00DD7F03">
        <w:rPr>
          <w:sz w:val="24"/>
          <w:szCs w:val="24"/>
        </w:rPr>
        <w:t xml:space="preserve">v jejich gesci </w:t>
      </w:r>
      <w:r w:rsidR="00C20FF9" w:rsidRPr="00C20FF9">
        <w:rPr>
          <w:sz w:val="24"/>
          <w:szCs w:val="24"/>
        </w:rPr>
        <w:t>zveřejňovaly informace v souladu s</w:t>
      </w:r>
      <w:r w:rsidR="00C20FF9">
        <w:rPr>
          <w:sz w:val="24"/>
          <w:szCs w:val="24"/>
        </w:rPr>
        <w:t> </w:t>
      </w:r>
      <w:r w:rsidR="00C20FF9" w:rsidRPr="00C20FF9">
        <w:rPr>
          <w:sz w:val="24"/>
          <w:szCs w:val="24"/>
        </w:rPr>
        <w:t>p</w:t>
      </w:r>
      <w:r w:rsidR="00C20FF9">
        <w:rPr>
          <w:sz w:val="24"/>
          <w:szCs w:val="24"/>
        </w:rPr>
        <w:t>rávními předpisy.</w:t>
      </w:r>
      <w:r w:rsidR="0090489F">
        <w:rPr>
          <w:sz w:val="24"/>
          <w:szCs w:val="24"/>
        </w:rPr>
        <w:t xml:space="preserve"> </w:t>
      </w:r>
      <w:r w:rsidR="00932FB0">
        <w:rPr>
          <w:sz w:val="24"/>
          <w:szCs w:val="24"/>
        </w:rPr>
        <w:t>P</w:t>
      </w:r>
      <w:r w:rsidR="001E4D34">
        <w:rPr>
          <w:sz w:val="24"/>
          <w:szCs w:val="24"/>
        </w:rPr>
        <w:t xml:space="preserve">ět obchodních společností v některých letech </w:t>
      </w:r>
      <w:r w:rsidR="00C74AA6">
        <w:rPr>
          <w:sz w:val="24"/>
          <w:szCs w:val="24"/>
        </w:rPr>
        <w:t xml:space="preserve">kontrolovaného období </w:t>
      </w:r>
      <w:r w:rsidR="001E4D34">
        <w:rPr>
          <w:sz w:val="24"/>
          <w:szCs w:val="24"/>
        </w:rPr>
        <w:t>nezveřejňoval</w:t>
      </w:r>
      <w:r w:rsidR="00323391">
        <w:rPr>
          <w:sz w:val="24"/>
          <w:szCs w:val="24"/>
        </w:rPr>
        <w:t>o</w:t>
      </w:r>
      <w:r w:rsidR="001E4D34">
        <w:rPr>
          <w:sz w:val="24"/>
          <w:szCs w:val="24"/>
        </w:rPr>
        <w:t xml:space="preserve"> účetní závěrky ve lhůtě stanovené zákonem </w:t>
      </w:r>
      <w:r w:rsidR="00A01BDE" w:rsidRPr="00DF24D5">
        <w:rPr>
          <w:sz w:val="24"/>
          <w:szCs w:val="24"/>
        </w:rPr>
        <w:t>o účetnictví</w:t>
      </w:r>
      <w:r w:rsidR="005000F2">
        <w:rPr>
          <w:rStyle w:val="Znakapoznpodarou"/>
          <w:sz w:val="24"/>
          <w:szCs w:val="24"/>
        </w:rPr>
        <w:footnoteReference w:id="8"/>
      </w:r>
      <w:r w:rsidR="001E4D34">
        <w:rPr>
          <w:sz w:val="24"/>
          <w:szCs w:val="24"/>
        </w:rPr>
        <w:t xml:space="preserve">. </w:t>
      </w:r>
      <w:r w:rsidR="00C3119B" w:rsidRPr="00576F3C">
        <w:rPr>
          <w:bCs/>
          <w:sz w:val="24"/>
          <w:szCs w:val="24"/>
          <w:lang w:eastAsia="cs-CZ"/>
        </w:rPr>
        <w:t xml:space="preserve">MF, MPO a </w:t>
      </w:r>
      <w:proofErr w:type="spellStart"/>
      <w:r w:rsidR="00C3119B" w:rsidRPr="00576F3C">
        <w:rPr>
          <w:bCs/>
          <w:sz w:val="24"/>
          <w:szCs w:val="24"/>
          <w:lang w:eastAsia="cs-CZ"/>
        </w:rPr>
        <w:t>MZe</w:t>
      </w:r>
      <w:proofErr w:type="spellEnd"/>
      <w:r w:rsidR="00C3119B" w:rsidRPr="00576F3C">
        <w:rPr>
          <w:bCs/>
          <w:sz w:val="24"/>
          <w:szCs w:val="24"/>
          <w:lang w:eastAsia="cs-CZ"/>
        </w:rPr>
        <w:t xml:space="preserve"> se neřídily usnesením vlády č. 115, protože nepostupovaly v souladu se Strategií.</w:t>
      </w:r>
    </w:p>
    <w:p w14:paraId="3266BCAB" w14:textId="77777777" w:rsidR="005A5E3A" w:rsidRDefault="005A5E3A" w:rsidP="00FF2D44">
      <w:pPr>
        <w:spacing w:after="0" w:line="240" w:lineRule="auto"/>
        <w:jc w:val="both"/>
        <w:rPr>
          <w:sz w:val="24"/>
          <w:szCs w:val="24"/>
        </w:rPr>
      </w:pPr>
    </w:p>
    <w:p w14:paraId="4D2710CD" w14:textId="54C01877" w:rsidR="004F4273" w:rsidRDefault="007F0E48" w:rsidP="004F4273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  <w:r>
        <w:rPr>
          <w:bCs/>
          <w:sz w:val="24"/>
          <w:szCs w:val="24"/>
          <w:lang w:eastAsia="cs-CZ"/>
        </w:rPr>
        <w:t>Ministerstva každoročně informovala MF, že opatření plní. MF v</w:t>
      </w:r>
      <w:r w:rsidR="00D96461">
        <w:rPr>
          <w:bCs/>
          <w:sz w:val="24"/>
          <w:szCs w:val="24"/>
          <w:lang w:eastAsia="cs-CZ"/>
        </w:rPr>
        <w:t> j</w:t>
      </w:r>
      <w:r>
        <w:rPr>
          <w:bCs/>
          <w:sz w:val="24"/>
          <w:szCs w:val="24"/>
          <w:lang w:eastAsia="cs-CZ"/>
        </w:rPr>
        <w:t>e</w:t>
      </w:r>
      <w:r w:rsidR="00D96461">
        <w:rPr>
          <w:bCs/>
          <w:sz w:val="24"/>
          <w:szCs w:val="24"/>
          <w:lang w:eastAsia="cs-CZ"/>
        </w:rPr>
        <w:t>dnotlivých</w:t>
      </w:r>
      <w:r>
        <w:rPr>
          <w:bCs/>
          <w:sz w:val="24"/>
          <w:szCs w:val="24"/>
          <w:lang w:eastAsia="cs-CZ"/>
        </w:rPr>
        <w:t xml:space="preserve"> </w:t>
      </w:r>
      <w:r w:rsidR="00D96461">
        <w:rPr>
          <w:bCs/>
          <w:sz w:val="24"/>
          <w:szCs w:val="24"/>
          <w:lang w:eastAsia="cs-CZ"/>
        </w:rPr>
        <w:t>z</w:t>
      </w:r>
      <w:r w:rsidRPr="00C45202">
        <w:rPr>
          <w:bCs/>
          <w:sz w:val="24"/>
          <w:szCs w:val="24"/>
          <w:lang w:eastAsia="cs-CZ"/>
        </w:rPr>
        <w:t>právách o</w:t>
      </w:r>
      <w:r w:rsidR="00D96461">
        <w:rPr>
          <w:bCs/>
          <w:sz w:val="24"/>
          <w:szCs w:val="24"/>
          <w:lang w:eastAsia="cs-CZ"/>
        </w:rPr>
        <w:t> </w:t>
      </w:r>
      <w:r w:rsidRPr="00C45202">
        <w:rPr>
          <w:bCs/>
          <w:sz w:val="24"/>
          <w:szCs w:val="24"/>
          <w:lang w:eastAsia="cs-CZ"/>
        </w:rPr>
        <w:t xml:space="preserve">plnění opatření vyplývajících ze </w:t>
      </w:r>
      <w:r w:rsidRPr="00667DE4">
        <w:rPr>
          <w:bCs/>
          <w:i/>
          <w:iCs/>
          <w:sz w:val="24"/>
          <w:szCs w:val="24"/>
          <w:lang w:eastAsia="cs-CZ"/>
        </w:rPr>
        <w:t>Strategie vlastnické politiky státu</w:t>
      </w:r>
      <w:r>
        <w:rPr>
          <w:bCs/>
          <w:sz w:val="24"/>
          <w:szCs w:val="24"/>
          <w:lang w:eastAsia="cs-CZ"/>
        </w:rPr>
        <w:t xml:space="preserve"> (dále také „</w:t>
      </w:r>
      <w:r w:rsidR="00611D03">
        <w:rPr>
          <w:bCs/>
          <w:sz w:val="24"/>
          <w:szCs w:val="24"/>
          <w:lang w:eastAsia="cs-CZ"/>
        </w:rPr>
        <w:t>z</w:t>
      </w:r>
      <w:r>
        <w:rPr>
          <w:bCs/>
          <w:sz w:val="24"/>
          <w:szCs w:val="24"/>
          <w:lang w:eastAsia="cs-CZ"/>
        </w:rPr>
        <w:t>práva o</w:t>
      </w:r>
      <w:r w:rsidR="00611D03">
        <w:rPr>
          <w:bCs/>
          <w:sz w:val="24"/>
          <w:szCs w:val="24"/>
          <w:lang w:eastAsia="cs-CZ"/>
        </w:rPr>
        <w:t> </w:t>
      </w:r>
      <w:r>
        <w:rPr>
          <w:bCs/>
          <w:sz w:val="24"/>
          <w:szCs w:val="24"/>
          <w:lang w:eastAsia="cs-CZ"/>
        </w:rPr>
        <w:t>plnění Strategie“) jejich aplik</w:t>
      </w:r>
      <w:r w:rsidR="00D96461">
        <w:rPr>
          <w:bCs/>
          <w:sz w:val="24"/>
          <w:szCs w:val="24"/>
          <w:lang w:eastAsia="cs-CZ"/>
        </w:rPr>
        <w:t>ování</w:t>
      </w:r>
      <w:r>
        <w:rPr>
          <w:bCs/>
          <w:sz w:val="24"/>
          <w:szCs w:val="24"/>
          <w:lang w:eastAsia="cs-CZ"/>
        </w:rPr>
        <w:t xml:space="preserve"> vládě České republiky potvrdilo, přestože MF, MPO a </w:t>
      </w:r>
      <w:proofErr w:type="spellStart"/>
      <w:r>
        <w:rPr>
          <w:bCs/>
          <w:sz w:val="24"/>
          <w:szCs w:val="24"/>
          <w:lang w:eastAsia="cs-CZ"/>
        </w:rPr>
        <w:t>MZe</w:t>
      </w:r>
      <w:proofErr w:type="spellEnd"/>
      <w:r>
        <w:rPr>
          <w:bCs/>
          <w:sz w:val="24"/>
          <w:szCs w:val="24"/>
          <w:lang w:eastAsia="cs-CZ"/>
        </w:rPr>
        <w:t xml:space="preserve"> některá opatření ve skutečnosti neplnily.</w:t>
      </w:r>
      <w:r w:rsidRPr="00BA2A39">
        <w:rPr>
          <w:bCs/>
          <w:sz w:val="24"/>
          <w:szCs w:val="24"/>
          <w:lang w:eastAsia="cs-CZ"/>
        </w:rPr>
        <w:t xml:space="preserve"> </w:t>
      </w:r>
    </w:p>
    <w:p w14:paraId="7E452298" w14:textId="77777777" w:rsidR="005A5E3A" w:rsidRPr="0034757A" w:rsidRDefault="005A5E3A" w:rsidP="004F4273">
      <w:pPr>
        <w:spacing w:after="0" w:line="240" w:lineRule="auto"/>
        <w:jc w:val="both"/>
        <w:rPr>
          <w:sz w:val="24"/>
          <w:szCs w:val="24"/>
        </w:rPr>
      </w:pPr>
    </w:p>
    <w:p w14:paraId="09627BBE" w14:textId="449D89D2" w:rsidR="005A5E3A" w:rsidRPr="00BC2CF8" w:rsidRDefault="005A5E3A" w:rsidP="005A5E3A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NKÚ také zjistil, že </w:t>
      </w:r>
      <w:r w:rsidRPr="00981E84">
        <w:rPr>
          <w:rFonts w:ascii="Calibri" w:hAnsi="Calibri" w:cs="Calibri"/>
          <w:bCs/>
          <w:iCs/>
          <w:sz w:val="24"/>
          <w:szCs w:val="24"/>
        </w:rPr>
        <w:t xml:space="preserve">MF a MPO </w:t>
      </w:r>
      <w:r>
        <w:rPr>
          <w:rFonts w:ascii="Calibri" w:hAnsi="Calibri" w:cs="Calibri"/>
          <w:bCs/>
          <w:iCs/>
          <w:sz w:val="24"/>
          <w:szCs w:val="24"/>
        </w:rPr>
        <w:t>svěřily některé</w:t>
      </w:r>
      <w:r w:rsidRPr="00981E84">
        <w:rPr>
          <w:rFonts w:ascii="Calibri" w:hAnsi="Calibri" w:cs="Calibri"/>
          <w:bCs/>
          <w:iCs/>
          <w:sz w:val="24"/>
          <w:szCs w:val="24"/>
        </w:rPr>
        <w:t xml:space="preserve"> </w:t>
      </w:r>
      <w:r>
        <w:rPr>
          <w:rFonts w:ascii="Calibri" w:hAnsi="Calibri" w:cs="Calibri"/>
          <w:bCs/>
          <w:iCs/>
          <w:sz w:val="24"/>
          <w:szCs w:val="24"/>
        </w:rPr>
        <w:t xml:space="preserve">významné </w:t>
      </w:r>
      <w:r w:rsidRPr="00981E84">
        <w:rPr>
          <w:rFonts w:ascii="Calibri" w:hAnsi="Calibri" w:cs="Calibri"/>
          <w:bCs/>
          <w:iCs/>
          <w:sz w:val="24"/>
          <w:szCs w:val="24"/>
        </w:rPr>
        <w:t>kompetenc</w:t>
      </w:r>
      <w:r>
        <w:rPr>
          <w:rFonts w:ascii="Calibri" w:hAnsi="Calibri" w:cs="Calibri"/>
          <w:bCs/>
          <w:iCs/>
          <w:sz w:val="24"/>
          <w:szCs w:val="24"/>
        </w:rPr>
        <w:t>e</w:t>
      </w:r>
      <w:r w:rsidRPr="00981E84">
        <w:rPr>
          <w:rFonts w:ascii="Calibri" w:hAnsi="Calibri" w:cs="Calibri"/>
          <w:bCs/>
          <w:iCs/>
          <w:sz w:val="24"/>
          <w:szCs w:val="24"/>
        </w:rPr>
        <w:t xml:space="preserve"> do působnosti dozorčí rady </w:t>
      </w:r>
      <w:r>
        <w:rPr>
          <w:rFonts w:ascii="Calibri" w:hAnsi="Calibri" w:cs="Calibri"/>
          <w:bCs/>
          <w:iCs/>
          <w:sz w:val="24"/>
          <w:szCs w:val="24"/>
        </w:rPr>
        <w:t>obchodních společností. S</w:t>
      </w:r>
      <w:r w:rsidRPr="00981E84">
        <w:rPr>
          <w:rFonts w:ascii="Calibri" w:hAnsi="Calibri" w:cs="Calibri"/>
          <w:bCs/>
          <w:iCs/>
          <w:sz w:val="24"/>
          <w:szCs w:val="24"/>
        </w:rPr>
        <w:t>tát</w:t>
      </w:r>
      <w:r>
        <w:rPr>
          <w:rFonts w:ascii="Calibri" w:hAnsi="Calibri" w:cs="Calibri"/>
          <w:bCs/>
          <w:iCs/>
          <w:sz w:val="24"/>
          <w:szCs w:val="24"/>
        </w:rPr>
        <w:t xml:space="preserve"> v důsledku toho</w:t>
      </w:r>
      <w:r w:rsidRPr="00981E84">
        <w:rPr>
          <w:rFonts w:ascii="Calibri" w:hAnsi="Calibri" w:cs="Calibri"/>
          <w:bCs/>
          <w:iCs/>
          <w:sz w:val="24"/>
          <w:szCs w:val="24"/>
        </w:rPr>
        <w:t xml:space="preserve"> neměl přímý vliv na stanov</w:t>
      </w:r>
      <w:r>
        <w:rPr>
          <w:rFonts w:ascii="Calibri" w:hAnsi="Calibri" w:cs="Calibri"/>
          <w:bCs/>
          <w:iCs/>
          <w:sz w:val="24"/>
          <w:szCs w:val="24"/>
        </w:rPr>
        <w:t>e</w:t>
      </w:r>
      <w:r w:rsidRPr="00981E84">
        <w:rPr>
          <w:rFonts w:ascii="Calibri" w:hAnsi="Calibri" w:cs="Calibri"/>
          <w:bCs/>
          <w:iCs/>
          <w:sz w:val="24"/>
          <w:szCs w:val="24"/>
        </w:rPr>
        <w:t xml:space="preserve">ní a schvalování </w:t>
      </w:r>
      <w:r>
        <w:rPr>
          <w:rFonts w:ascii="Calibri" w:hAnsi="Calibri" w:cs="Calibri"/>
          <w:bCs/>
          <w:iCs/>
          <w:sz w:val="24"/>
          <w:szCs w:val="24"/>
        </w:rPr>
        <w:t xml:space="preserve">jejich </w:t>
      </w:r>
      <w:r w:rsidRPr="00981E84">
        <w:rPr>
          <w:rFonts w:ascii="Calibri" w:hAnsi="Calibri" w:cs="Calibri"/>
          <w:bCs/>
          <w:iCs/>
          <w:sz w:val="24"/>
          <w:szCs w:val="24"/>
        </w:rPr>
        <w:t xml:space="preserve">strategických cílů, na výběr členů představenstev </w:t>
      </w:r>
      <w:r>
        <w:rPr>
          <w:rFonts w:ascii="Calibri" w:hAnsi="Calibri" w:cs="Calibri"/>
          <w:bCs/>
          <w:iCs/>
          <w:sz w:val="24"/>
          <w:szCs w:val="24"/>
        </w:rPr>
        <w:t>nebo</w:t>
      </w:r>
      <w:r w:rsidRPr="00981E84">
        <w:rPr>
          <w:rFonts w:ascii="Calibri" w:hAnsi="Calibri" w:cs="Calibri"/>
          <w:bCs/>
          <w:iCs/>
          <w:sz w:val="24"/>
          <w:szCs w:val="24"/>
        </w:rPr>
        <w:t xml:space="preserve"> na výši jejich odměn.</w:t>
      </w:r>
    </w:p>
    <w:p w14:paraId="14353B90" w14:textId="77777777" w:rsidR="007F0E48" w:rsidRDefault="007F0E48" w:rsidP="007F0E48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</w:p>
    <w:p w14:paraId="2EE5D630" w14:textId="23FE23A7" w:rsidR="005A046E" w:rsidRDefault="007F0E48" w:rsidP="00FF2D44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lastRenderedPageBreak/>
        <w:t>MF u tří výběrových řízení a dvou nominací do funkce členů představenstev nepostupovalo v souladu s nominačním zákonem</w:t>
      </w:r>
      <w:r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9"/>
      </w:r>
      <w:r w:rsidR="004F4273">
        <w:rPr>
          <w:rFonts w:ascii="Calibri" w:hAnsi="Calibri" w:cs="Calibri"/>
          <w:bCs/>
          <w:iCs/>
          <w:sz w:val="24"/>
          <w:szCs w:val="24"/>
        </w:rPr>
        <w:t xml:space="preserve">. NKÚ dále zjistil, že </w:t>
      </w:r>
      <w:r w:rsidR="004F4273" w:rsidRPr="007656DA">
        <w:rPr>
          <w:rFonts w:cstheme="minorHAnsi"/>
          <w:sz w:val="24"/>
          <w:szCs w:val="24"/>
        </w:rPr>
        <w:t>MF a MPO nepromítly do stanov obchodních společností Zásady odměňování</w:t>
      </w:r>
      <w:r w:rsidR="004F4273">
        <w:rPr>
          <w:sz w:val="24"/>
          <w:szCs w:val="24"/>
        </w:rPr>
        <w:t xml:space="preserve"> schválené usnesením vlády č. 835.</w:t>
      </w:r>
    </w:p>
    <w:p w14:paraId="2985FBDD" w14:textId="77777777" w:rsidR="00227FDD" w:rsidRDefault="00227FDD" w:rsidP="00FF2D44">
      <w:pPr>
        <w:spacing w:after="0" w:line="240" w:lineRule="auto"/>
        <w:jc w:val="both"/>
        <w:rPr>
          <w:sz w:val="24"/>
          <w:szCs w:val="24"/>
        </w:rPr>
      </w:pPr>
    </w:p>
    <w:p w14:paraId="47498ED5" w14:textId="68776438" w:rsidR="00A01BDE" w:rsidRPr="003968C0" w:rsidRDefault="00ED7D1D" w:rsidP="004F1EFC">
      <w:pPr>
        <w:pStyle w:val="Odstavecseseznamem"/>
        <w:keepNext/>
        <w:numPr>
          <w:ilvl w:val="0"/>
          <w:numId w:val="36"/>
        </w:numPr>
        <w:spacing w:after="120" w:line="240" w:lineRule="auto"/>
        <w:ind w:left="284" w:hanging="284"/>
        <w:contextualSpacing w:val="0"/>
        <w:rPr>
          <w:bCs/>
          <w:sz w:val="24"/>
          <w:szCs w:val="24"/>
          <w:lang w:eastAsia="cs-CZ"/>
        </w:rPr>
      </w:pPr>
      <w:proofErr w:type="spellStart"/>
      <w:r>
        <w:rPr>
          <w:b/>
          <w:sz w:val="24"/>
          <w:szCs w:val="24"/>
          <w:lang w:eastAsia="cs-CZ"/>
        </w:rPr>
        <w:t>M</w:t>
      </w:r>
      <w:r w:rsidR="00667DE4">
        <w:rPr>
          <w:b/>
          <w:sz w:val="24"/>
          <w:szCs w:val="24"/>
          <w:lang w:eastAsia="cs-CZ"/>
        </w:rPr>
        <w:t>Z</w:t>
      </w:r>
      <w:r>
        <w:rPr>
          <w:b/>
          <w:sz w:val="24"/>
          <w:szCs w:val="24"/>
          <w:lang w:eastAsia="cs-CZ"/>
        </w:rPr>
        <w:t>e</w:t>
      </w:r>
      <w:proofErr w:type="spellEnd"/>
      <w:r>
        <w:rPr>
          <w:b/>
          <w:sz w:val="24"/>
          <w:szCs w:val="24"/>
          <w:lang w:eastAsia="cs-CZ"/>
        </w:rPr>
        <w:t xml:space="preserve"> nepřezkoumalo, zda je prá</w:t>
      </w:r>
      <w:r w:rsidR="00C935DE">
        <w:rPr>
          <w:b/>
          <w:sz w:val="24"/>
          <w:szCs w:val="24"/>
          <w:lang w:eastAsia="cs-CZ"/>
        </w:rPr>
        <w:t>v</w:t>
      </w:r>
      <w:r>
        <w:rPr>
          <w:b/>
          <w:sz w:val="24"/>
          <w:szCs w:val="24"/>
          <w:lang w:eastAsia="cs-CZ"/>
        </w:rPr>
        <w:t>ní forma společnosti Podpůrný a garanční rolnický a</w:t>
      </w:r>
      <w:r w:rsidR="00227FDD">
        <w:rPr>
          <w:b/>
          <w:sz w:val="24"/>
          <w:szCs w:val="24"/>
          <w:lang w:eastAsia="cs-CZ"/>
        </w:rPr>
        <w:t> </w:t>
      </w:r>
      <w:r>
        <w:rPr>
          <w:b/>
          <w:sz w:val="24"/>
          <w:szCs w:val="24"/>
          <w:lang w:eastAsia="cs-CZ"/>
        </w:rPr>
        <w:t>lesnický fond, a.s.</w:t>
      </w:r>
      <w:r w:rsidR="00667DE4">
        <w:rPr>
          <w:b/>
          <w:sz w:val="24"/>
          <w:szCs w:val="24"/>
          <w:lang w:eastAsia="cs-CZ"/>
        </w:rPr>
        <w:t>,</w:t>
      </w:r>
      <w:r>
        <w:rPr>
          <w:b/>
          <w:sz w:val="24"/>
          <w:szCs w:val="24"/>
          <w:lang w:eastAsia="cs-CZ"/>
        </w:rPr>
        <w:t xml:space="preserve"> vzhledem k její činnosti vhodná</w:t>
      </w:r>
    </w:p>
    <w:p w14:paraId="1571C61B" w14:textId="50805742" w:rsidR="00090A7A" w:rsidRPr="00090A7A" w:rsidRDefault="00EB7CCA" w:rsidP="003800C0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  <w:r>
        <w:rPr>
          <w:bCs/>
          <w:sz w:val="24"/>
          <w:szCs w:val="24"/>
          <w:lang w:eastAsia="cs-CZ"/>
        </w:rPr>
        <w:t>NKÚ zjistil, že</w:t>
      </w:r>
      <w:r w:rsidRPr="00090A7A">
        <w:rPr>
          <w:bCs/>
          <w:sz w:val="24"/>
          <w:szCs w:val="24"/>
          <w:lang w:eastAsia="cs-CZ"/>
        </w:rPr>
        <w:t xml:space="preserve"> </w:t>
      </w:r>
      <w:proofErr w:type="spellStart"/>
      <w:r w:rsidRPr="00090A7A">
        <w:rPr>
          <w:bCs/>
          <w:sz w:val="24"/>
          <w:szCs w:val="24"/>
          <w:lang w:eastAsia="cs-CZ"/>
        </w:rPr>
        <w:t>MZe</w:t>
      </w:r>
      <w:proofErr w:type="spellEnd"/>
      <w:r>
        <w:rPr>
          <w:bCs/>
          <w:sz w:val="24"/>
          <w:szCs w:val="24"/>
          <w:lang w:eastAsia="cs-CZ"/>
        </w:rPr>
        <w:t xml:space="preserve"> </w:t>
      </w:r>
      <w:r w:rsidRPr="00090A7A">
        <w:rPr>
          <w:bCs/>
          <w:sz w:val="24"/>
          <w:szCs w:val="24"/>
          <w:lang w:eastAsia="cs-CZ"/>
        </w:rPr>
        <w:t>neprovedlo revizi obchodních společností ve své gesci</w:t>
      </w:r>
      <w:r>
        <w:rPr>
          <w:bCs/>
          <w:sz w:val="24"/>
          <w:szCs w:val="24"/>
          <w:lang w:eastAsia="cs-CZ"/>
        </w:rPr>
        <w:t xml:space="preserve">, jak mu bylo uloženo vládou na základě opatření z KA č. 19/18. </w:t>
      </w:r>
      <w:r w:rsidR="00FD4115">
        <w:rPr>
          <w:bCs/>
          <w:sz w:val="24"/>
          <w:szCs w:val="24"/>
          <w:lang w:eastAsia="cs-CZ"/>
        </w:rPr>
        <w:t>Pr</w:t>
      </w:r>
      <w:r w:rsidR="001B6B3C">
        <w:rPr>
          <w:bCs/>
          <w:sz w:val="24"/>
          <w:szCs w:val="24"/>
          <w:lang w:eastAsia="cs-CZ"/>
        </w:rPr>
        <w:t xml:space="preserve">ávní forma </w:t>
      </w:r>
      <w:r w:rsidR="003800C0" w:rsidRPr="00090A7A">
        <w:rPr>
          <w:sz w:val="24"/>
          <w:szCs w:val="24"/>
        </w:rPr>
        <w:t xml:space="preserve">Podpůrný a garanční rolnický a lesnický fond, </w:t>
      </w:r>
      <w:r w:rsidR="003800C0">
        <w:rPr>
          <w:sz w:val="24"/>
          <w:szCs w:val="24"/>
        </w:rPr>
        <w:t>a.s.</w:t>
      </w:r>
      <w:r w:rsidR="00667DE4">
        <w:rPr>
          <w:sz w:val="24"/>
          <w:szCs w:val="24"/>
        </w:rPr>
        <w:t>,</w:t>
      </w:r>
      <w:r w:rsidR="003800C0">
        <w:rPr>
          <w:sz w:val="24"/>
          <w:szCs w:val="24"/>
        </w:rPr>
        <w:t xml:space="preserve"> (</w:t>
      </w:r>
      <w:r w:rsidR="003800C0" w:rsidRPr="00090A7A">
        <w:rPr>
          <w:sz w:val="24"/>
          <w:szCs w:val="24"/>
          <w:lang w:eastAsia="cs-CZ"/>
        </w:rPr>
        <w:t>dále také</w:t>
      </w:r>
      <w:r w:rsidR="003800C0" w:rsidRPr="00090A7A">
        <w:rPr>
          <w:bCs/>
          <w:sz w:val="24"/>
          <w:szCs w:val="24"/>
          <w:lang w:eastAsia="cs-CZ"/>
        </w:rPr>
        <w:t xml:space="preserve"> „PGRLF, </w:t>
      </w:r>
      <w:r w:rsidR="003800C0">
        <w:rPr>
          <w:bCs/>
          <w:sz w:val="24"/>
          <w:szCs w:val="24"/>
          <w:lang w:eastAsia="cs-CZ"/>
        </w:rPr>
        <w:t>a.s.</w:t>
      </w:r>
      <w:r w:rsidR="003800C0" w:rsidRPr="00090A7A">
        <w:rPr>
          <w:bCs/>
          <w:sz w:val="24"/>
          <w:szCs w:val="24"/>
          <w:lang w:eastAsia="cs-CZ"/>
        </w:rPr>
        <w:t>“)</w:t>
      </w:r>
      <w:r w:rsidR="001B6B3C">
        <w:rPr>
          <w:bCs/>
          <w:sz w:val="24"/>
          <w:szCs w:val="24"/>
          <w:lang w:eastAsia="cs-CZ"/>
        </w:rPr>
        <w:t xml:space="preserve"> neodpovídala požadavkům Strategie</w:t>
      </w:r>
      <w:r w:rsidR="00B1264A">
        <w:rPr>
          <w:bCs/>
          <w:sz w:val="24"/>
          <w:szCs w:val="24"/>
          <w:lang w:eastAsia="cs-CZ"/>
        </w:rPr>
        <w:t xml:space="preserve">, protože </w:t>
      </w:r>
      <w:r w:rsidR="00FD4115">
        <w:rPr>
          <w:bCs/>
          <w:sz w:val="24"/>
          <w:szCs w:val="24"/>
          <w:lang w:eastAsia="cs-CZ"/>
        </w:rPr>
        <w:t xml:space="preserve">tato společnost </w:t>
      </w:r>
      <w:r w:rsidR="00B1264A">
        <w:rPr>
          <w:bCs/>
          <w:sz w:val="24"/>
          <w:szCs w:val="24"/>
          <w:lang w:eastAsia="cs-CZ"/>
        </w:rPr>
        <w:t xml:space="preserve">byla </w:t>
      </w:r>
      <w:r w:rsidR="00FD4115">
        <w:rPr>
          <w:bCs/>
          <w:sz w:val="24"/>
          <w:szCs w:val="24"/>
          <w:lang w:eastAsia="cs-CZ"/>
        </w:rPr>
        <w:t xml:space="preserve">významně </w:t>
      </w:r>
      <w:r w:rsidR="00B1264A">
        <w:rPr>
          <w:bCs/>
          <w:sz w:val="24"/>
          <w:szCs w:val="24"/>
          <w:lang w:eastAsia="cs-CZ"/>
        </w:rPr>
        <w:t>finančně závislá na státu</w:t>
      </w:r>
      <w:r w:rsidR="00FD4115">
        <w:rPr>
          <w:bCs/>
          <w:sz w:val="24"/>
          <w:szCs w:val="24"/>
          <w:lang w:eastAsia="cs-CZ"/>
        </w:rPr>
        <w:t xml:space="preserve"> </w:t>
      </w:r>
      <w:r w:rsidR="00FD4115">
        <w:rPr>
          <w:rFonts w:cstheme="minorHAnsi"/>
          <w:sz w:val="24"/>
          <w:szCs w:val="24"/>
        </w:rPr>
        <w:t xml:space="preserve">jakožto jediném akcionáři. </w:t>
      </w:r>
      <w:r w:rsidR="007F68A4" w:rsidRPr="00090A7A">
        <w:rPr>
          <w:bCs/>
          <w:sz w:val="24"/>
          <w:szCs w:val="24"/>
          <w:lang w:eastAsia="cs-CZ"/>
        </w:rPr>
        <w:t>NKÚ již v předchozích kontrolách</w:t>
      </w:r>
      <w:r w:rsidR="007F68A4">
        <w:rPr>
          <w:rStyle w:val="Znakapoznpodarou"/>
          <w:bCs/>
          <w:sz w:val="24"/>
          <w:szCs w:val="24"/>
          <w:lang w:eastAsia="cs-CZ"/>
        </w:rPr>
        <w:footnoteReference w:id="10"/>
      </w:r>
      <w:r w:rsidR="007F68A4" w:rsidRPr="00090A7A">
        <w:rPr>
          <w:bCs/>
          <w:sz w:val="24"/>
          <w:szCs w:val="24"/>
          <w:lang w:eastAsia="cs-CZ"/>
        </w:rPr>
        <w:t xml:space="preserve"> opakovaně</w:t>
      </w:r>
      <w:r w:rsidR="00FD4115">
        <w:rPr>
          <w:bCs/>
          <w:sz w:val="24"/>
          <w:szCs w:val="24"/>
          <w:lang w:eastAsia="cs-CZ"/>
        </w:rPr>
        <w:t xml:space="preserve"> </w:t>
      </w:r>
      <w:r w:rsidR="00FC5566">
        <w:rPr>
          <w:bCs/>
          <w:sz w:val="24"/>
          <w:szCs w:val="24"/>
          <w:lang w:eastAsia="cs-CZ"/>
        </w:rPr>
        <w:t xml:space="preserve">upozorňoval na problematiku související s právní formou </w:t>
      </w:r>
      <w:r w:rsidR="00A01BDE">
        <w:rPr>
          <w:bCs/>
          <w:sz w:val="24"/>
          <w:szCs w:val="24"/>
          <w:lang w:eastAsia="cs-CZ"/>
        </w:rPr>
        <w:t xml:space="preserve">obchodní </w:t>
      </w:r>
      <w:r w:rsidR="007F68A4" w:rsidRPr="00090A7A">
        <w:rPr>
          <w:bCs/>
          <w:sz w:val="24"/>
          <w:szCs w:val="24"/>
          <w:lang w:eastAsia="cs-CZ"/>
        </w:rPr>
        <w:t>společnosti</w:t>
      </w:r>
      <w:r w:rsidR="00ED2057" w:rsidRPr="00ED2057">
        <w:rPr>
          <w:sz w:val="24"/>
          <w:szCs w:val="24"/>
        </w:rPr>
        <w:t xml:space="preserve"> </w:t>
      </w:r>
      <w:r w:rsidR="003800C0">
        <w:rPr>
          <w:sz w:val="24"/>
          <w:szCs w:val="24"/>
        </w:rPr>
        <w:t>PGRLF, a.s.</w:t>
      </w:r>
    </w:p>
    <w:p w14:paraId="48C9C676" w14:textId="77777777" w:rsidR="00D91A65" w:rsidRDefault="00D91A65" w:rsidP="006C6A9B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</w:p>
    <w:p w14:paraId="7FCF6FBC" w14:textId="0C5F9AE5" w:rsidR="008A2EE6" w:rsidRPr="003968C0" w:rsidRDefault="007F68A4" w:rsidP="004F1EFC">
      <w:pPr>
        <w:pStyle w:val="Odstavecseseznamem"/>
        <w:keepNext/>
        <w:numPr>
          <w:ilvl w:val="0"/>
          <w:numId w:val="36"/>
        </w:numPr>
        <w:spacing w:after="120" w:line="240" w:lineRule="auto"/>
        <w:ind w:left="284" w:hanging="284"/>
        <w:contextualSpacing w:val="0"/>
        <w:jc w:val="both"/>
        <w:rPr>
          <w:b/>
          <w:sz w:val="24"/>
          <w:szCs w:val="24"/>
          <w:lang w:eastAsia="cs-CZ"/>
        </w:rPr>
      </w:pPr>
      <w:r w:rsidRPr="003968C0">
        <w:rPr>
          <w:b/>
          <w:sz w:val="24"/>
          <w:szCs w:val="24"/>
          <w:lang w:eastAsia="cs-CZ"/>
        </w:rPr>
        <w:t xml:space="preserve">MPO nevyhodnotilo </w:t>
      </w:r>
      <w:r w:rsidR="00A86E44" w:rsidRPr="003968C0">
        <w:rPr>
          <w:b/>
          <w:sz w:val="24"/>
          <w:szCs w:val="24"/>
          <w:lang w:eastAsia="cs-CZ"/>
        </w:rPr>
        <w:t xml:space="preserve">všechny </w:t>
      </w:r>
      <w:r w:rsidR="00653737" w:rsidRPr="003968C0">
        <w:rPr>
          <w:b/>
          <w:sz w:val="24"/>
          <w:szCs w:val="24"/>
          <w:lang w:eastAsia="cs-CZ"/>
        </w:rPr>
        <w:t>možnosti právní formy nově zakládané společnosti</w:t>
      </w:r>
    </w:p>
    <w:p w14:paraId="53FE7B74" w14:textId="3626402A" w:rsidR="00671DD6" w:rsidRDefault="007F68A4" w:rsidP="006C6A9B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  <w:r w:rsidRPr="008A2EE6">
        <w:rPr>
          <w:bCs/>
          <w:sz w:val="24"/>
          <w:szCs w:val="24"/>
          <w:lang w:eastAsia="cs-CZ"/>
        </w:rPr>
        <w:t>NKÚ zjistil, že</w:t>
      </w:r>
      <w:r w:rsidR="00384BAA">
        <w:rPr>
          <w:bCs/>
          <w:sz w:val="24"/>
          <w:szCs w:val="24"/>
          <w:lang w:eastAsia="cs-CZ"/>
        </w:rPr>
        <w:t xml:space="preserve"> </w:t>
      </w:r>
      <w:r w:rsidR="007A7CB1">
        <w:rPr>
          <w:bCs/>
          <w:sz w:val="24"/>
          <w:szCs w:val="24"/>
          <w:lang w:eastAsia="cs-CZ"/>
        </w:rPr>
        <w:t>MPO založil</w:t>
      </w:r>
      <w:r w:rsidR="005B493F">
        <w:rPr>
          <w:bCs/>
          <w:sz w:val="24"/>
          <w:szCs w:val="24"/>
          <w:lang w:eastAsia="cs-CZ"/>
        </w:rPr>
        <w:t>o</w:t>
      </w:r>
      <w:r w:rsidR="007A7CB1">
        <w:rPr>
          <w:bCs/>
          <w:sz w:val="24"/>
          <w:szCs w:val="24"/>
          <w:lang w:eastAsia="cs-CZ"/>
        </w:rPr>
        <w:t xml:space="preserve"> </w:t>
      </w:r>
      <w:r w:rsidR="00BE626C">
        <w:rPr>
          <w:bCs/>
          <w:sz w:val="24"/>
          <w:szCs w:val="24"/>
          <w:lang w:eastAsia="cs-CZ"/>
        </w:rPr>
        <w:t xml:space="preserve">v roce 2024 </w:t>
      </w:r>
      <w:r w:rsidR="007A7CB1">
        <w:rPr>
          <w:bCs/>
          <w:sz w:val="24"/>
          <w:szCs w:val="24"/>
          <w:lang w:eastAsia="cs-CZ"/>
        </w:rPr>
        <w:t>akciovou společnost</w:t>
      </w:r>
      <w:r w:rsidR="00255E45">
        <w:rPr>
          <w:rStyle w:val="Znakapoznpodarou"/>
          <w:bCs/>
          <w:sz w:val="24"/>
          <w:szCs w:val="24"/>
          <w:lang w:eastAsia="cs-CZ"/>
        </w:rPr>
        <w:footnoteReference w:id="11"/>
      </w:r>
      <w:r w:rsidR="007A7CB1">
        <w:rPr>
          <w:bCs/>
          <w:sz w:val="24"/>
          <w:szCs w:val="24"/>
          <w:lang w:eastAsia="cs-CZ"/>
        </w:rPr>
        <w:t xml:space="preserve"> pro přípravu podnikatelských parků bez </w:t>
      </w:r>
      <w:r w:rsidR="005D4AC5">
        <w:rPr>
          <w:bCs/>
          <w:sz w:val="24"/>
          <w:szCs w:val="24"/>
          <w:lang w:eastAsia="cs-CZ"/>
        </w:rPr>
        <w:t>vyhodnocen</w:t>
      </w:r>
      <w:r w:rsidR="007A7CB1">
        <w:rPr>
          <w:bCs/>
          <w:sz w:val="24"/>
          <w:szCs w:val="24"/>
          <w:lang w:eastAsia="cs-CZ"/>
        </w:rPr>
        <w:t xml:space="preserve">í </w:t>
      </w:r>
      <w:r w:rsidR="005D4AC5">
        <w:rPr>
          <w:bCs/>
          <w:sz w:val="24"/>
          <w:szCs w:val="24"/>
          <w:lang w:eastAsia="cs-CZ"/>
        </w:rPr>
        <w:t xml:space="preserve">jiných </w:t>
      </w:r>
      <w:r w:rsidR="003940D0">
        <w:rPr>
          <w:bCs/>
          <w:sz w:val="24"/>
          <w:szCs w:val="24"/>
          <w:lang w:eastAsia="cs-CZ"/>
        </w:rPr>
        <w:t>variant</w:t>
      </w:r>
      <w:r w:rsidR="00D31A74">
        <w:rPr>
          <w:bCs/>
          <w:sz w:val="24"/>
          <w:szCs w:val="24"/>
          <w:lang w:eastAsia="cs-CZ"/>
        </w:rPr>
        <w:t xml:space="preserve">, např. </w:t>
      </w:r>
      <w:r w:rsidR="00BE626C">
        <w:rPr>
          <w:bCs/>
          <w:sz w:val="24"/>
          <w:szCs w:val="24"/>
          <w:lang w:eastAsia="cs-CZ"/>
        </w:rPr>
        <w:t xml:space="preserve">založit </w:t>
      </w:r>
      <w:r w:rsidR="00D31A74">
        <w:rPr>
          <w:bCs/>
          <w:sz w:val="24"/>
          <w:szCs w:val="24"/>
          <w:lang w:eastAsia="cs-CZ"/>
        </w:rPr>
        <w:t>státní podnik nebo pověř</w:t>
      </w:r>
      <w:r w:rsidR="00BE626C">
        <w:rPr>
          <w:bCs/>
          <w:sz w:val="24"/>
          <w:szCs w:val="24"/>
          <w:lang w:eastAsia="cs-CZ"/>
        </w:rPr>
        <w:t>it</w:t>
      </w:r>
      <w:r w:rsidR="00D31A74">
        <w:rPr>
          <w:bCs/>
          <w:sz w:val="24"/>
          <w:szCs w:val="24"/>
          <w:lang w:eastAsia="cs-CZ"/>
        </w:rPr>
        <w:t xml:space="preserve"> existující obchodní společnosti ve vlastnictví státu. </w:t>
      </w:r>
      <w:r w:rsidR="003940D0">
        <w:rPr>
          <w:bCs/>
          <w:sz w:val="24"/>
          <w:szCs w:val="24"/>
          <w:lang w:eastAsia="cs-CZ"/>
        </w:rPr>
        <w:t xml:space="preserve">MPO nechalo zpracovat externí analýzu, </w:t>
      </w:r>
      <w:r w:rsidR="00B111B9">
        <w:rPr>
          <w:bCs/>
          <w:sz w:val="24"/>
          <w:szCs w:val="24"/>
          <w:lang w:eastAsia="cs-CZ"/>
        </w:rPr>
        <w:t xml:space="preserve">jejíž zadání ze strany MPO </w:t>
      </w:r>
      <w:r w:rsidR="003940D0">
        <w:rPr>
          <w:bCs/>
          <w:sz w:val="24"/>
          <w:szCs w:val="24"/>
          <w:lang w:eastAsia="cs-CZ"/>
        </w:rPr>
        <w:t>vylučoval</w:t>
      </w:r>
      <w:r w:rsidR="00B111B9">
        <w:rPr>
          <w:bCs/>
          <w:sz w:val="24"/>
          <w:szCs w:val="24"/>
          <w:lang w:eastAsia="cs-CZ"/>
        </w:rPr>
        <w:t>o</w:t>
      </w:r>
      <w:r w:rsidR="003940D0">
        <w:rPr>
          <w:bCs/>
          <w:sz w:val="24"/>
          <w:szCs w:val="24"/>
          <w:lang w:eastAsia="cs-CZ"/>
        </w:rPr>
        <w:t xml:space="preserve"> možnost objektivně zhodnotit stávající stav a navrhnout variantní řešení. </w:t>
      </w:r>
      <w:r w:rsidR="00BE626C">
        <w:rPr>
          <w:bCs/>
          <w:sz w:val="24"/>
          <w:szCs w:val="24"/>
          <w:lang w:eastAsia="cs-CZ"/>
        </w:rPr>
        <w:t xml:space="preserve">Výstupem analýzy byly závěry a informace, kterými MPO již disponovalo. </w:t>
      </w:r>
      <w:r w:rsidR="006C6A9B">
        <w:rPr>
          <w:bCs/>
          <w:sz w:val="24"/>
          <w:szCs w:val="24"/>
          <w:lang w:eastAsia="cs-CZ"/>
        </w:rPr>
        <w:t>V této souvislosti NKÚ vyhodnotil peněžní prostředky ve výši 1,5 mil. Kč na zpracování externí analýzy za nehospodárn</w:t>
      </w:r>
      <w:r w:rsidR="00BE626C">
        <w:rPr>
          <w:bCs/>
          <w:sz w:val="24"/>
          <w:szCs w:val="24"/>
          <w:lang w:eastAsia="cs-CZ"/>
        </w:rPr>
        <w:t>ě</w:t>
      </w:r>
      <w:r w:rsidR="006C6A9B" w:rsidRPr="006C6A9B">
        <w:rPr>
          <w:bCs/>
          <w:sz w:val="24"/>
          <w:szCs w:val="24"/>
          <w:lang w:eastAsia="cs-CZ"/>
        </w:rPr>
        <w:t xml:space="preserve"> </w:t>
      </w:r>
      <w:r w:rsidR="006C6A9B">
        <w:rPr>
          <w:bCs/>
          <w:sz w:val="24"/>
          <w:szCs w:val="24"/>
          <w:lang w:eastAsia="cs-CZ"/>
        </w:rPr>
        <w:t>vynaložené</w:t>
      </w:r>
      <w:r w:rsidR="001D197B">
        <w:rPr>
          <w:bCs/>
          <w:sz w:val="24"/>
          <w:szCs w:val="24"/>
          <w:lang w:eastAsia="cs-CZ"/>
        </w:rPr>
        <w:t xml:space="preserve"> a uvedené skutečnosti dle NKÚ nasvědčují porušení rozpočtové kázně</w:t>
      </w:r>
      <w:r w:rsidR="006C6A9B">
        <w:rPr>
          <w:bCs/>
          <w:sz w:val="24"/>
          <w:szCs w:val="24"/>
          <w:lang w:eastAsia="cs-CZ"/>
        </w:rPr>
        <w:t>.</w:t>
      </w:r>
      <w:r w:rsidR="00581DBB">
        <w:rPr>
          <w:bCs/>
          <w:sz w:val="24"/>
          <w:szCs w:val="24"/>
          <w:lang w:eastAsia="cs-CZ"/>
        </w:rPr>
        <w:t xml:space="preserve"> </w:t>
      </w:r>
    </w:p>
    <w:p w14:paraId="42356756" w14:textId="77777777" w:rsidR="008B5CB3" w:rsidRDefault="008B5CB3" w:rsidP="006C6A9B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</w:p>
    <w:p w14:paraId="321EDBA7" w14:textId="0EA3D26D" w:rsidR="00B62CC8" w:rsidRPr="009E54DF" w:rsidRDefault="008B5CB3" w:rsidP="0039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47"/>
          <w:tab w:val="center" w:pos="4536"/>
        </w:tabs>
        <w:spacing w:after="0" w:line="240" w:lineRule="auto"/>
        <w:jc w:val="both"/>
        <w:rPr>
          <w:b/>
          <w:bCs/>
          <w:noProof/>
          <w:sz w:val="24"/>
          <w:szCs w:val="24"/>
        </w:rPr>
      </w:pPr>
      <w:r w:rsidRPr="009E54DF">
        <w:rPr>
          <w:b/>
          <w:bCs/>
          <w:noProof/>
          <w:sz w:val="24"/>
          <w:szCs w:val="24"/>
        </w:rPr>
        <w:t xml:space="preserve">NKÚ doporučuje </w:t>
      </w:r>
      <w:r w:rsidR="0075644C">
        <w:rPr>
          <w:b/>
          <w:bCs/>
          <w:noProof/>
          <w:sz w:val="24"/>
          <w:szCs w:val="24"/>
        </w:rPr>
        <w:t xml:space="preserve">MF </w:t>
      </w:r>
      <w:r w:rsidRPr="009E54DF">
        <w:rPr>
          <w:b/>
          <w:bCs/>
          <w:noProof/>
          <w:sz w:val="24"/>
          <w:szCs w:val="24"/>
        </w:rPr>
        <w:t xml:space="preserve">provést revizi </w:t>
      </w:r>
      <w:r w:rsidR="00C428E1">
        <w:rPr>
          <w:b/>
          <w:bCs/>
          <w:noProof/>
          <w:sz w:val="24"/>
          <w:szCs w:val="24"/>
        </w:rPr>
        <w:t xml:space="preserve">opatření </w:t>
      </w:r>
      <w:r w:rsidR="00C428E1" w:rsidRPr="00C45202">
        <w:rPr>
          <w:b/>
          <w:bCs/>
          <w:i/>
          <w:iCs/>
          <w:noProof/>
          <w:sz w:val="24"/>
          <w:szCs w:val="24"/>
        </w:rPr>
        <w:t>S</w:t>
      </w:r>
      <w:r w:rsidRPr="00C45202">
        <w:rPr>
          <w:b/>
          <w:bCs/>
          <w:i/>
          <w:iCs/>
          <w:noProof/>
          <w:sz w:val="24"/>
          <w:szCs w:val="24"/>
        </w:rPr>
        <w:t>trategie vlastnické politiky státu</w:t>
      </w:r>
      <w:r w:rsidR="00C428E1">
        <w:rPr>
          <w:b/>
          <w:bCs/>
          <w:noProof/>
          <w:sz w:val="24"/>
          <w:szCs w:val="24"/>
        </w:rPr>
        <w:t xml:space="preserve"> a</w:t>
      </w:r>
      <w:r w:rsidR="0041283C">
        <w:rPr>
          <w:b/>
          <w:bCs/>
          <w:noProof/>
          <w:sz w:val="24"/>
          <w:szCs w:val="24"/>
        </w:rPr>
        <w:t xml:space="preserve"> aktualizac</w:t>
      </w:r>
      <w:r w:rsidR="00C428E1">
        <w:rPr>
          <w:b/>
          <w:bCs/>
          <w:noProof/>
          <w:sz w:val="24"/>
          <w:szCs w:val="24"/>
        </w:rPr>
        <w:t>i</w:t>
      </w:r>
      <w:r w:rsidR="0041283C">
        <w:rPr>
          <w:b/>
          <w:bCs/>
          <w:noProof/>
          <w:sz w:val="24"/>
          <w:szCs w:val="24"/>
        </w:rPr>
        <w:t xml:space="preserve"> kategorií obchodních společností a kritérií pro jejich rozřazení.</w:t>
      </w:r>
      <w:r w:rsidR="00351E25">
        <w:rPr>
          <w:b/>
          <w:bCs/>
          <w:noProof/>
          <w:sz w:val="24"/>
          <w:szCs w:val="24"/>
        </w:rPr>
        <w:t xml:space="preserve"> Dále NKÚ doporučuje MF a</w:t>
      </w:r>
      <w:r w:rsidR="00667DE4">
        <w:rPr>
          <w:b/>
          <w:bCs/>
          <w:noProof/>
          <w:sz w:val="24"/>
          <w:szCs w:val="24"/>
        </w:rPr>
        <w:t> </w:t>
      </w:r>
      <w:r w:rsidR="00351E25">
        <w:rPr>
          <w:b/>
          <w:bCs/>
          <w:noProof/>
          <w:sz w:val="24"/>
          <w:szCs w:val="24"/>
        </w:rPr>
        <w:t>MPO provést revizi kompetencí dozorčích rad obchodních společností v jejich gesci.</w:t>
      </w:r>
    </w:p>
    <w:bookmarkEnd w:id="4"/>
    <w:p w14:paraId="6233D636" w14:textId="77777777" w:rsidR="00667DE4" w:rsidRDefault="00667DE4">
      <w:pPr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>
        <w:rPr>
          <w:sz w:val="28"/>
          <w:szCs w:val="28"/>
        </w:rPr>
        <w:br w:type="page"/>
      </w:r>
    </w:p>
    <w:p w14:paraId="0A70B227" w14:textId="0BF21C49" w:rsidR="00617B05" w:rsidRDefault="007F68A4" w:rsidP="00227FDD">
      <w:pPr>
        <w:pStyle w:val="Nadpis1"/>
        <w:numPr>
          <w:ilvl w:val="0"/>
          <w:numId w:val="0"/>
        </w:numPr>
        <w:spacing w:before="840" w:after="240"/>
        <w:ind w:left="357"/>
        <w:jc w:val="center"/>
        <w:rPr>
          <w:sz w:val="28"/>
          <w:szCs w:val="28"/>
        </w:rPr>
      </w:pPr>
      <w:r w:rsidRPr="00617B05">
        <w:rPr>
          <w:sz w:val="28"/>
          <w:szCs w:val="28"/>
        </w:rPr>
        <w:lastRenderedPageBreak/>
        <w:t>II</w:t>
      </w:r>
      <w:r>
        <w:t>.</w:t>
      </w:r>
      <w:r w:rsidR="00F847D2">
        <w:t xml:space="preserve"> </w:t>
      </w:r>
      <w:r w:rsidR="004B652E" w:rsidRPr="004B652E">
        <w:rPr>
          <w:sz w:val="28"/>
          <w:szCs w:val="28"/>
        </w:rPr>
        <w:t>Informace o kontrolované oblasti</w:t>
      </w:r>
    </w:p>
    <w:p w14:paraId="0DAAEF87" w14:textId="77777777" w:rsidR="000A1100" w:rsidRPr="00CF2142" w:rsidRDefault="000A1100" w:rsidP="000A11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E4B84">
        <w:rPr>
          <w:sz w:val="24"/>
          <w:szCs w:val="24"/>
        </w:rPr>
        <w:t>Ministerstvo financí je ústředním orgánem státní správy</w:t>
      </w:r>
      <w:r>
        <w:rPr>
          <w:sz w:val="24"/>
          <w:szCs w:val="24"/>
        </w:rPr>
        <w:t>,</w:t>
      </w:r>
      <w:r w:rsidRPr="000E4B84">
        <w:rPr>
          <w:sz w:val="24"/>
          <w:szCs w:val="24"/>
        </w:rPr>
        <w:t xml:space="preserve"> který má ve své působnosti</w:t>
      </w:r>
      <w:r>
        <w:rPr>
          <w:sz w:val="24"/>
          <w:szCs w:val="24"/>
        </w:rPr>
        <w:t xml:space="preserve"> mimo jiné </w:t>
      </w:r>
      <w:r w:rsidRPr="000E4B84">
        <w:rPr>
          <w:color w:val="000000"/>
          <w:sz w:val="24"/>
          <w:szCs w:val="24"/>
          <w:shd w:val="clear" w:color="auto" w:fill="FFFFFF"/>
        </w:rPr>
        <w:t>hospodaření s majetkem státu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 w:rsidRPr="000E4B84">
        <w:rPr>
          <w:color w:val="000000"/>
          <w:sz w:val="24"/>
          <w:szCs w:val="24"/>
          <w:shd w:val="clear" w:color="auto" w:fill="FFFFFF"/>
        </w:rPr>
        <w:t>privatizaci majetku státu</w:t>
      </w:r>
      <w:r>
        <w:rPr>
          <w:sz w:val="24"/>
          <w:szCs w:val="24"/>
        </w:rPr>
        <w:t xml:space="preserve"> a vykonává správu státních finančních aktiv, jejichž součástí jsou majetkové účasti státu. </w:t>
      </w:r>
    </w:p>
    <w:p w14:paraId="71B3BB5F" w14:textId="77777777" w:rsidR="000A1100" w:rsidRPr="00B41B81" w:rsidRDefault="000A1100" w:rsidP="000A1100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17282799" w14:textId="77777777" w:rsidR="000A1100" w:rsidRDefault="000A1100" w:rsidP="000A11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Ministerstvo průmyslu a obchodu </w:t>
      </w:r>
      <w:r w:rsidRPr="00B41B81">
        <w:rPr>
          <w:sz w:val="24"/>
          <w:szCs w:val="24"/>
        </w:rPr>
        <w:t>je ústředním orgánem státní správy a má</w:t>
      </w:r>
      <w:r>
        <w:rPr>
          <w:sz w:val="24"/>
          <w:szCs w:val="24"/>
        </w:rPr>
        <w:t xml:space="preserve"> </w:t>
      </w:r>
      <w:r w:rsidRPr="00B41B81">
        <w:rPr>
          <w:sz w:val="24"/>
          <w:szCs w:val="24"/>
        </w:rPr>
        <w:t>ve své působnosti m</w:t>
      </w:r>
      <w:r>
        <w:rPr>
          <w:sz w:val="24"/>
          <w:szCs w:val="24"/>
        </w:rPr>
        <w:t>imo jiné</w:t>
      </w:r>
      <w:r w:rsidRPr="00B41B81">
        <w:rPr>
          <w:sz w:val="24"/>
          <w:szCs w:val="24"/>
        </w:rPr>
        <w:t xml:space="preserve"> státní</w:t>
      </w:r>
      <w:r>
        <w:rPr>
          <w:sz w:val="24"/>
          <w:szCs w:val="24"/>
        </w:rPr>
        <w:t xml:space="preserve"> </w:t>
      </w:r>
      <w:r w:rsidRPr="00B41B81">
        <w:rPr>
          <w:sz w:val="24"/>
          <w:szCs w:val="24"/>
        </w:rPr>
        <w:t>průmyslovou politiku, obchodní politiku, zahraničně ekonomickou politiku, energetiku,</w:t>
      </w:r>
      <w:r>
        <w:rPr>
          <w:sz w:val="24"/>
          <w:szCs w:val="24"/>
        </w:rPr>
        <w:t xml:space="preserve"> </w:t>
      </w:r>
      <w:r w:rsidRPr="00B41B81">
        <w:rPr>
          <w:sz w:val="24"/>
          <w:szCs w:val="24"/>
        </w:rPr>
        <w:t>zahraniční obchod a podporu exportu.</w:t>
      </w:r>
      <w:r>
        <w:rPr>
          <w:sz w:val="24"/>
          <w:szCs w:val="24"/>
        </w:rPr>
        <w:t xml:space="preserve"> </w:t>
      </w:r>
    </w:p>
    <w:p w14:paraId="7A83C443" w14:textId="77777777" w:rsidR="000A1100" w:rsidRDefault="000A1100" w:rsidP="000A1100">
      <w:pPr>
        <w:spacing w:after="0" w:line="240" w:lineRule="auto"/>
        <w:jc w:val="both"/>
        <w:rPr>
          <w:sz w:val="24"/>
          <w:szCs w:val="24"/>
        </w:rPr>
      </w:pPr>
    </w:p>
    <w:p w14:paraId="2A92CD9F" w14:textId="2EF170BC" w:rsidR="00874A91" w:rsidRDefault="000A1100" w:rsidP="000A1100">
      <w:pPr>
        <w:spacing w:after="0" w:line="240" w:lineRule="auto"/>
        <w:jc w:val="both"/>
        <w:rPr>
          <w:sz w:val="24"/>
          <w:szCs w:val="24"/>
        </w:rPr>
      </w:pPr>
      <w:r w:rsidRPr="00D43D9F">
        <w:rPr>
          <w:sz w:val="24"/>
          <w:szCs w:val="24"/>
        </w:rPr>
        <w:t>Ministerstvo zemědělství je ústředním orgánem státní správy a má ve své</w:t>
      </w:r>
      <w:r>
        <w:rPr>
          <w:sz w:val="24"/>
          <w:szCs w:val="24"/>
        </w:rPr>
        <w:t xml:space="preserve"> </w:t>
      </w:r>
      <w:r w:rsidRPr="00D43D9F">
        <w:rPr>
          <w:sz w:val="24"/>
          <w:szCs w:val="24"/>
        </w:rPr>
        <w:t>působnosti</w:t>
      </w:r>
      <w:r>
        <w:rPr>
          <w:sz w:val="24"/>
          <w:szCs w:val="24"/>
        </w:rPr>
        <w:t xml:space="preserve"> </w:t>
      </w:r>
      <w:r w:rsidRPr="00D43D9F">
        <w:rPr>
          <w:sz w:val="24"/>
          <w:szCs w:val="24"/>
        </w:rPr>
        <w:t>m</w:t>
      </w:r>
      <w:r>
        <w:rPr>
          <w:sz w:val="24"/>
          <w:szCs w:val="24"/>
        </w:rPr>
        <w:t>imo jiné</w:t>
      </w:r>
      <w:r w:rsidRPr="00D43D9F">
        <w:rPr>
          <w:sz w:val="24"/>
          <w:szCs w:val="24"/>
        </w:rPr>
        <w:t xml:space="preserve"> zemědělství, veterinární</w:t>
      </w:r>
      <w:r>
        <w:rPr>
          <w:sz w:val="24"/>
          <w:szCs w:val="24"/>
        </w:rPr>
        <w:t xml:space="preserve"> </w:t>
      </w:r>
      <w:r w:rsidRPr="00D43D9F">
        <w:rPr>
          <w:sz w:val="24"/>
          <w:szCs w:val="24"/>
        </w:rPr>
        <w:t xml:space="preserve">péči, rostlinolékařskou péči, péči o potraviny a péči o ochranu zvířat proti týrání. </w:t>
      </w:r>
    </w:p>
    <w:p w14:paraId="773E1575" w14:textId="77777777" w:rsidR="00874A91" w:rsidRDefault="00874A91" w:rsidP="000A1100">
      <w:pPr>
        <w:spacing w:after="0" w:line="240" w:lineRule="auto"/>
        <w:jc w:val="both"/>
        <w:rPr>
          <w:sz w:val="24"/>
          <w:szCs w:val="24"/>
        </w:rPr>
      </w:pPr>
    </w:p>
    <w:p w14:paraId="6C30FCB3" w14:textId="5748E24C" w:rsidR="007A1A88" w:rsidRDefault="007A1A88" w:rsidP="007A1A8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Stát prostřednictvím </w:t>
      </w:r>
      <w:r w:rsidR="00073E6E">
        <w:rPr>
          <w:rFonts w:cstheme="minorHAnsi"/>
          <w:sz w:val="24"/>
          <w:szCs w:val="24"/>
        </w:rPr>
        <w:t xml:space="preserve">jednotlivých </w:t>
      </w:r>
      <w:r>
        <w:rPr>
          <w:rFonts w:cstheme="minorHAnsi"/>
          <w:sz w:val="24"/>
          <w:szCs w:val="24"/>
        </w:rPr>
        <w:t xml:space="preserve">ministerstev </w:t>
      </w:r>
      <w:r w:rsidR="00C86282">
        <w:rPr>
          <w:rFonts w:cstheme="minorHAnsi"/>
          <w:sz w:val="24"/>
          <w:szCs w:val="24"/>
        </w:rPr>
        <w:t xml:space="preserve">vykonává </w:t>
      </w:r>
      <w:r>
        <w:rPr>
          <w:rFonts w:cstheme="minorHAnsi"/>
          <w:sz w:val="24"/>
          <w:szCs w:val="24"/>
        </w:rPr>
        <w:t xml:space="preserve">práva </w:t>
      </w:r>
      <w:r w:rsidR="00C86282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 obchodní</w:t>
      </w:r>
      <w:r w:rsidR="00C86282">
        <w:rPr>
          <w:rFonts w:cstheme="minorHAnsi"/>
          <w:sz w:val="24"/>
          <w:szCs w:val="24"/>
        </w:rPr>
        <w:t>ch</w:t>
      </w:r>
      <w:r>
        <w:rPr>
          <w:rFonts w:cstheme="minorHAnsi"/>
          <w:sz w:val="24"/>
          <w:szCs w:val="24"/>
        </w:rPr>
        <w:t xml:space="preserve"> společnoste</w:t>
      </w:r>
      <w:r w:rsidR="00C86282">
        <w:rPr>
          <w:rFonts w:cstheme="minorHAnsi"/>
          <w:sz w:val="24"/>
          <w:szCs w:val="24"/>
        </w:rPr>
        <w:t>ch plynoucí z jeho majetkové účasti v těchto společnostech</w:t>
      </w:r>
      <w:r>
        <w:rPr>
          <w:rStyle w:val="Znakapoznpodarou"/>
          <w:rFonts w:cstheme="minorHAnsi"/>
          <w:sz w:val="24"/>
          <w:szCs w:val="24"/>
        </w:rPr>
        <w:footnoteReference w:id="12"/>
      </w:r>
      <w:r>
        <w:rPr>
          <w:rFonts w:cstheme="minorHAnsi"/>
          <w:sz w:val="24"/>
          <w:szCs w:val="24"/>
        </w:rPr>
        <w:t xml:space="preserve">. </w:t>
      </w:r>
      <w:r w:rsidRPr="00686EBC">
        <w:rPr>
          <w:rFonts w:cstheme="minorHAnsi"/>
          <w:sz w:val="24"/>
          <w:szCs w:val="24"/>
        </w:rPr>
        <w:t>Stěžejním právním předpisem upravujícím hospodaření s majetkem státu je zákon č. 219/2000 Sb.</w:t>
      </w:r>
      <w:r>
        <w:rPr>
          <w:rFonts w:cstheme="minorHAnsi"/>
          <w:sz w:val="24"/>
          <w:szCs w:val="24"/>
        </w:rPr>
        <w:t>,</w:t>
      </w:r>
      <w:r w:rsidRPr="00686E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majetku České republiky a jejím vystupování v právních vztazích, </w:t>
      </w:r>
      <w:r w:rsidRPr="00686EBC">
        <w:rPr>
          <w:rFonts w:cstheme="minorHAnsi"/>
          <w:sz w:val="24"/>
          <w:szCs w:val="24"/>
        </w:rPr>
        <w:t xml:space="preserve">který kromě jiného upravuje </w:t>
      </w:r>
      <w:r w:rsidRPr="008E2EEE">
        <w:rPr>
          <w:rFonts w:cstheme="minorHAnsi"/>
          <w:sz w:val="24"/>
          <w:szCs w:val="24"/>
        </w:rPr>
        <w:t xml:space="preserve">způsoby nabývání majetkových účastí státem, jejich převody na jiné osoby či jiné způsoby </w:t>
      </w:r>
      <w:r w:rsidRPr="00686EBC">
        <w:rPr>
          <w:rFonts w:cstheme="minorHAnsi"/>
          <w:sz w:val="24"/>
          <w:szCs w:val="24"/>
        </w:rPr>
        <w:t xml:space="preserve">nakládání s tímto majetkem a výkon práv státu jako akcionáře. </w:t>
      </w:r>
      <w:r w:rsidR="00594FD6">
        <w:rPr>
          <w:rFonts w:cstheme="minorHAnsi"/>
          <w:sz w:val="24"/>
          <w:szCs w:val="24"/>
        </w:rPr>
        <w:t>Tuzemské o</w:t>
      </w:r>
      <w:r>
        <w:rPr>
          <w:rFonts w:cstheme="minorHAnsi"/>
          <w:sz w:val="24"/>
          <w:szCs w:val="24"/>
        </w:rPr>
        <w:t>bchodní společnosti s majetkovou účastí státu se řídí stejně jako ostatní obchodní společnosti zákonem o</w:t>
      </w:r>
      <w:r w:rsidR="002C0587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obchodních korporacích</w:t>
      </w:r>
      <w:r>
        <w:rPr>
          <w:rStyle w:val="Znakapoznpodarou"/>
          <w:rFonts w:cstheme="minorHAnsi"/>
          <w:sz w:val="24"/>
          <w:szCs w:val="24"/>
        </w:rPr>
        <w:footnoteReference w:id="13"/>
      </w:r>
      <w:r>
        <w:rPr>
          <w:rFonts w:cstheme="minorHAnsi"/>
          <w:sz w:val="24"/>
          <w:szCs w:val="24"/>
        </w:rPr>
        <w:t xml:space="preserve">. </w:t>
      </w:r>
    </w:p>
    <w:p w14:paraId="4487FC70" w14:textId="77777777" w:rsidR="000A1100" w:rsidRDefault="000A1100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648726" w14:textId="06FC8970" w:rsidR="00745832" w:rsidRPr="00E041A0" w:rsidRDefault="007F68A4" w:rsidP="0074583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Dne 17. 2. 2020 schválila vláda </w:t>
      </w:r>
      <w:r w:rsidRPr="00C45202">
        <w:rPr>
          <w:rFonts w:cstheme="minorHAnsi"/>
          <w:i/>
          <w:iCs/>
          <w:sz w:val="24"/>
          <w:szCs w:val="24"/>
        </w:rPr>
        <w:t>Strategii vlastnické politiky státu</w:t>
      </w:r>
      <w:r w:rsidR="001907A5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Ta měla </w:t>
      </w:r>
      <w:r w:rsidRPr="009427A2">
        <w:rPr>
          <w:rFonts w:cstheme="minorHAnsi"/>
          <w:sz w:val="24"/>
          <w:szCs w:val="24"/>
        </w:rPr>
        <w:t>zajistit</w:t>
      </w:r>
      <w:r>
        <w:rPr>
          <w:rFonts w:cstheme="minorHAnsi"/>
          <w:sz w:val="24"/>
          <w:szCs w:val="24"/>
        </w:rPr>
        <w:t>,</w:t>
      </w:r>
      <w:r w:rsidRPr="009427A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aby stát vykonával svá vlastnická práva transparentně a efektivně. </w:t>
      </w:r>
      <w:r w:rsidRPr="00D01CB5">
        <w:rPr>
          <w:sz w:val="24"/>
          <w:szCs w:val="24"/>
        </w:rPr>
        <w:t xml:space="preserve">Zpracovatelem a </w:t>
      </w:r>
      <w:r w:rsidR="001907A5">
        <w:rPr>
          <w:sz w:val="24"/>
          <w:szCs w:val="24"/>
        </w:rPr>
        <w:t xml:space="preserve">koordinátorem </w:t>
      </w:r>
      <w:r w:rsidR="00E42C75">
        <w:rPr>
          <w:sz w:val="24"/>
          <w:szCs w:val="24"/>
        </w:rPr>
        <w:t xml:space="preserve">plnění </w:t>
      </w:r>
      <w:r w:rsidRPr="000A4457">
        <w:rPr>
          <w:sz w:val="24"/>
          <w:szCs w:val="24"/>
        </w:rPr>
        <w:t>Strategie b</w:t>
      </w:r>
      <w:r w:rsidRPr="00D01CB5">
        <w:rPr>
          <w:sz w:val="24"/>
          <w:szCs w:val="24"/>
        </w:rPr>
        <w:t>ylo MF</w:t>
      </w:r>
      <w:r w:rsidR="001907A5">
        <w:rPr>
          <w:sz w:val="24"/>
          <w:szCs w:val="24"/>
        </w:rPr>
        <w:t>.</w:t>
      </w:r>
      <w:r w:rsidRPr="00D01CB5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Strategie je závazným koncepčním dokumentem, který měl nastavit základní principy výkonu vlastnických práv státu </w:t>
      </w:r>
      <w:r w:rsidR="00C86282">
        <w:rPr>
          <w:rFonts w:cstheme="minorHAnsi"/>
          <w:sz w:val="24"/>
          <w:szCs w:val="24"/>
        </w:rPr>
        <w:t>v návaznosti na kategorizaci obchodních společností s majetkovou účastí státu dle jejich významu pro stát</w:t>
      </w:r>
      <w:r w:rsidR="00874A9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745832" w:rsidRPr="00E041A0">
        <w:rPr>
          <w:rFonts w:cstheme="minorHAnsi"/>
          <w:iCs/>
          <w:sz w:val="24"/>
          <w:szCs w:val="24"/>
        </w:rPr>
        <w:t>S</w:t>
      </w:r>
      <w:r w:rsidR="00745832" w:rsidRPr="0023343A">
        <w:rPr>
          <w:rFonts w:cstheme="minorHAnsi"/>
          <w:iCs/>
          <w:sz w:val="24"/>
          <w:szCs w:val="24"/>
        </w:rPr>
        <w:t>trategické</w:t>
      </w:r>
      <w:r w:rsidR="00745832">
        <w:rPr>
          <w:rFonts w:cstheme="minorHAnsi"/>
          <w:iCs/>
          <w:sz w:val="24"/>
          <w:szCs w:val="24"/>
        </w:rPr>
        <w:t xml:space="preserve"> jsou</w:t>
      </w:r>
      <w:r w:rsidR="00745832" w:rsidRPr="00E041A0">
        <w:rPr>
          <w:rFonts w:cstheme="minorHAnsi"/>
          <w:iCs/>
          <w:sz w:val="24"/>
          <w:szCs w:val="24"/>
        </w:rPr>
        <w:t xml:space="preserve"> </w:t>
      </w:r>
      <w:r w:rsidR="00745832">
        <w:rPr>
          <w:rFonts w:cstheme="minorHAnsi"/>
          <w:sz w:val="24"/>
          <w:szCs w:val="24"/>
        </w:rPr>
        <w:t>obchodní společnosti</w:t>
      </w:r>
      <w:r w:rsidR="00745832" w:rsidRPr="00E041A0">
        <w:rPr>
          <w:rFonts w:cstheme="minorHAnsi"/>
          <w:sz w:val="24"/>
          <w:szCs w:val="24"/>
        </w:rPr>
        <w:t xml:space="preserve"> operující mimo standardní konkurenční prostředí, nutné pro zajištění bezpečnosti státu, vč. těch provozujících prvky kritické infrastruktury či </w:t>
      </w:r>
      <w:r w:rsidR="00745832">
        <w:rPr>
          <w:rFonts w:cstheme="minorHAnsi"/>
          <w:sz w:val="24"/>
          <w:szCs w:val="24"/>
        </w:rPr>
        <w:t>obchodní společnosti</w:t>
      </w:r>
      <w:r w:rsidR="00745832" w:rsidRPr="00E041A0">
        <w:rPr>
          <w:rFonts w:cstheme="minorHAnsi"/>
          <w:sz w:val="24"/>
          <w:szCs w:val="24"/>
        </w:rPr>
        <w:t xml:space="preserve"> potřebné pro naplňování cílů hospodářské politiky státu</w:t>
      </w:r>
      <w:r w:rsidR="00745832">
        <w:rPr>
          <w:rFonts w:cstheme="minorHAnsi"/>
          <w:sz w:val="24"/>
          <w:szCs w:val="24"/>
        </w:rPr>
        <w:t xml:space="preserve">. </w:t>
      </w:r>
      <w:r w:rsidR="00745832" w:rsidRPr="00E041A0">
        <w:rPr>
          <w:rFonts w:cstheme="minorHAnsi"/>
          <w:sz w:val="24"/>
          <w:szCs w:val="24"/>
        </w:rPr>
        <w:t>P</w:t>
      </w:r>
      <w:r w:rsidR="00745832" w:rsidRPr="0023343A">
        <w:rPr>
          <w:rFonts w:cstheme="minorHAnsi"/>
          <w:sz w:val="24"/>
          <w:szCs w:val="24"/>
        </w:rPr>
        <w:t>odpůrné</w:t>
      </w:r>
      <w:r w:rsidR="00745832" w:rsidRPr="00E041A0">
        <w:rPr>
          <w:rFonts w:cstheme="minorHAnsi"/>
          <w:sz w:val="24"/>
          <w:szCs w:val="24"/>
        </w:rPr>
        <w:t xml:space="preserve"> </w:t>
      </w:r>
      <w:r w:rsidR="00745832">
        <w:rPr>
          <w:rFonts w:cstheme="minorHAnsi"/>
          <w:sz w:val="24"/>
          <w:szCs w:val="24"/>
        </w:rPr>
        <w:t>jsou</w:t>
      </w:r>
      <w:r w:rsidR="00745832" w:rsidRPr="00E041A0">
        <w:rPr>
          <w:rFonts w:cstheme="minorHAnsi"/>
          <w:sz w:val="24"/>
          <w:szCs w:val="24"/>
        </w:rPr>
        <w:t xml:space="preserve"> </w:t>
      </w:r>
      <w:r w:rsidR="00745832">
        <w:rPr>
          <w:rFonts w:cstheme="minorHAnsi"/>
          <w:sz w:val="24"/>
          <w:szCs w:val="24"/>
        </w:rPr>
        <w:t>obchodní společnosti</w:t>
      </w:r>
      <w:r w:rsidR="00745832" w:rsidRPr="00E041A0">
        <w:rPr>
          <w:rFonts w:cstheme="minorHAnsi"/>
          <w:sz w:val="24"/>
          <w:szCs w:val="24"/>
        </w:rPr>
        <w:t xml:space="preserve"> nezbytné pro vlastní fungování státu a zajišťující nezbytné služby pro veřejnost</w:t>
      </w:r>
      <w:r w:rsidR="00745832">
        <w:rPr>
          <w:rFonts w:cstheme="minorHAnsi"/>
          <w:sz w:val="24"/>
          <w:szCs w:val="24"/>
        </w:rPr>
        <w:t xml:space="preserve"> a z</w:t>
      </w:r>
      <w:r w:rsidR="00745832" w:rsidRPr="0023343A">
        <w:rPr>
          <w:rFonts w:cstheme="minorHAnsi"/>
          <w:sz w:val="24"/>
          <w:szCs w:val="24"/>
        </w:rPr>
        <w:t>bytné</w:t>
      </w:r>
      <w:r w:rsidR="00745832">
        <w:rPr>
          <w:rFonts w:cstheme="minorHAnsi"/>
          <w:sz w:val="24"/>
          <w:szCs w:val="24"/>
        </w:rPr>
        <w:t xml:space="preserve"> jsou </w:t>
      </w:r>
      <w:r w:rsidR="00745832" w:rsidRPr="00E041A0">
        <w:rPr>
          <w:rFonts w:cstheme="minorHAnsi"/>
          <w:sz w:val="24"/>
          <w:szCs w:val="24"/>
        </w:rPr>
        <w:t xml:space="preserve">všechny ostatní </w:t>
      </w:r>
      <w:r w:rsidR="00745832">
        <w:rPr>
          <w:rFonts w:cstheme="minorHAnsi"/>
          <w:sz w:val="24"/>
          <w:szCs w:val="24"/>
        </w:rPr>
        <w:t xml:space="preserve">obchodní </w:t>
      </w:r>
      <w:r w:rsidR="00745832" w:rsidRPr="00E041A0">
        <w:rPr>
          <w:rFonts w:cstheme="minorHAnsi"/>
          <w:sz w:val="24"/>
          <w:szCs w:val="24"/>
        </w:rPr>
        <w:t>společnosti</w:t>
      </w:r>
      <w:r w:rsidR="00745832">
        <w:rPr>
          <w:rFonts w:cstheme="minorHAnsi"/>
          <w:sz w:val="24"/>
          <w:szCs w:val="24"/>
        </w:rPr>
        <w:t>.</w:t>
      </w:r>
    </w:p>
    <w:p w14:paraId="4D837546" w14:textId="77777777" w:rsidR="00745832" w:rsidRDefault="00745832" w:rsidP="001907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CB680E" w14:textId="13D6AB81" w:rsidR="000509A2" w:rsidRDefault="008A20A3" w:rsidP="001907A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Strategie je rozdělena na tři pilíře (</w:t>
      </w:r>
      <w:r w:rsidR="00D50729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ilíř I: </w:t>
      </w:r>
      <w:r w:rsidRPr="000D5851">
        <w:rPr>
          <w:rFonts w:cstheme="minorHAnsi"/>
          <w:i/>
          <w:iCs/>
          <w:sz w:val="24"/>
          <w:szCs w:val="24"/>
        </w:rPr>
        <w:t>Role státu jako vlastníka</w:t>
      </w:r>
      <w:r>
        <w:rPr>
          <w:rFonts w:cstheme="minorHAnsi"/>
          <w:sz w:val="24"/>
          <w:szCs w:val="24"/>
        </w:rPr>
        <w:t xml:space="preserve">, </w:t>
      </w:r>
      <w:r w:rsidR="00D50729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ilíř II: </w:t>
      </w:r>
      <w:proofErr w:type="spellStart"/>
      <w:r w:rsidRPr="000D5851">
        <w:rPr>
          <w:rFonts w:cstheme="minorHAnsi"/>
          <w:i/>
          <w:iCs/>
          <w:sz w:val="24"/>
          <w:szCs w:val="24"/>
        </w:rPr>
        <w:t>Corporate</w:t>
      </w:r>
      <w:proofErr w:type="spellEnd"/>
      <w:r w:rsidRPr="000D5851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D5851">
        <w:rPr>
          <w:rFonts w:cstheme="minorHAnsi"/>
          <w:i/>
          <w:iCs/>
          <w:sz w:val="24"/>
          <w:szCs w:val="24"/>
        </w:rPr>
        <w:t>governance</w:t>
      </w:r>
      <w:proofErr w:type="spellEnd"/>
      <w:r w:rsidR="007F68A4">
        <w:rPr>
          <w:rStyle w:val="Znakapoznpodarou"/>
          <w:rFonts w:cstheme="minorHAnsi"/>
          <w:sz w:val="24"/>
          <w:szCs w:val="24"/>
        </w:rPr>
        <w:footnoteReference w:id="14"/>
      </w:r>
      <w:r>
        <w:rPr>
          <w:rFonts w:cstheme="minorHAnsi"/>
          <w:sz w:val="24"/>
          <w:szCs w:val="24"/>
        </w:rPr>
        <w:t xml:space="preserve">, </w:t>
      </w:r>
      <w:r w:rsidR="00D50729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ilíř III: </w:t>
      </w:r>
      <w:r w:rsidRPr="000D5851">
        <w:rPr>
          <w:rFonts w:cstheme="minorHAnsi"/>
          <w:i/>
          <w:iCs/>
          <w:sz w:val="24"/>
          <w:szCs w:val="24"/>
        </w:rPr>
        <w:t>Institucionální rámec</w:t>
      </w:r>
      <w:r>
        <w:rPr>
          <w:rFonts w:cstheme="minorHAnsi"/>
          <w:sz w:val="24"/>
          <w:szCs w:val="24"/>
        </w:rPr>
        <w:t>) a</w:t>
      </w:r>
      <w:r w:rsidR="007F68A4">
        <w:rPr>
          <w:rFonts w:cstheme="minorHAnsi"/>
          <w:sz w:val="24"/>
          <w:szCs w:val="24"/>
        </w:rPr>
        <w:t xml:space="preserve"> obsah</w:t>
      </w:r>
      <w:r>
        <w:rPr>
          <w:rFonts w:cstheme="minorHAnsi"/>
          <w:sz w:val="24"/>
          <w:szCs w:val="24"/>
        </w:rPr>
        <w:t>uje</w:t>
      </w:r>
      <w:r w:rsidR="007F68A4">
        <w:rPr>
          <w:rFonts w:cstheme="minorHAnsi"/>
          <w:sz w:val="24"/>
          <w:szCs w:val="24"/>
        </w:rPr>
        <w:t xml:space="preserve"> 21 opatření </w:t>
      </w:r>
      <w:r w:rsidR="00C86282">
        <w:rPr>
          <w:rFonts w:cstheme="minorHAnsi"/>
          <w:sz w:val="24"/>
          <w:szCs w:val="24"/>
        </w:rPr>
        <w:t>(</w:t>
      </w:r>
      <w:r w:rsidR="00D50729">
        <w:rPr>
          <w:rFonts w:cstheme="minorHAnsi"/>
          <w:sz w:val="24"/>
          <w:szCs w:val="24"/>
        </w:rPr>
        <w:t xml:space="preserve">viz </w:t>
      </w:r>
      <w:r w:rsidR="00C86282">
        <w:rPr>
          <w:rFonts w:cstheme="minorHAnsi"/>
          <w:sz w:val="24"/>
          <w:szCs w:val="24"/>
        </w:rPr>
        <w:t>příloha č. 2</w:t>
      </w:r>
      <w:r w:rsidR="00D50729">
        <w:rPr>
          <w:rFonts w:cstheme="minorHAnsi"/>
          <w:sz w:val="24"/>
          <w:szCs w:val="24"/>
        </w:rPr>
        <w:t xml:space="preserve"> tohoto kontrolního závěru</w:t>
      </w:r>
      <w:r w:rsidR="00C86282">
        <w:rPr>
          <w:rFonts w:cstheme="minorHAnsi"/>
          <w:sz w:val="24"/>
          <w:szCs w:val="24"/>
        </w:rPr>
        <w:t>)</w:t>
      </w:r>
      <w:r w:rsidR="00A01BDE">
        <w:rPr>
          <w:rFonts w:cstheme="minorHAnsi"/>
          <w:sz w:val="24"/>
          <w:szCs w:val="24"/>
        </w:rPr>
        <w:t xml:space="preserve"> </w:t>
      </w:r>
      <w:r w:rsidR="007F68A4">
        <w:rPr>
          <w:rFonts w:cstheme="minorHAnsi"/>
          <w:sz w:val="24"/>
          <w:szCs w:val="24"/>
        </w:rPr>
        <w:t xml:space="preserve">k plnění </w:t>
      </w:r>
      <w:r w:rsidR="00C86282">
        <w:rPr>
          <w:rFonts w:cstheme="minorHAnsi"/>
          <w:sz w:val="24"/>
          <w:szCs w:val="24"/>
        </w:rPr>
        <w:t xml:space="preserve">jejích </w:t>
      </w:r>
      <w:r w:rsidR="007F68A4">
        <w:rPr>
          <w:rFonts w:cstheme="minorHAnsi"/>
          <w:sz w:val="24"/>
          <w:szCs w:val="24"/>
        </w:rPr>
        <w:t xml:space="preserve">cílů. Ministerstva, která vykonávala správu majetkových účastí státu, </w:t>
      </w:r>
      <w:r w:rsidR="00C86282">
        <w:rPr>
          <w:rFonts w:cstheme="minorHAnsi"/>
          <w:sz w:val="24"/>
          <w:szCs w:val="24"/>
        </w:rPr>
        <w:t xml:space="preserve">jsou </w:t>
      </w:r>
      <w:r w:rsidR="007F68A4">
        <w:rPr>
          <w:rFonts w:cstheme="minorHAnsi"/>
          <w:sz w:val="24"/>
          <w:szCs w:val="24"/>
        </w:rPr>
        <w:t xml:space="preserve">povinna postupovat v souladu se Strategií a aplikovat opatření, která v ní </w:t>
      </w:r>
      <w:r w:rsidR="004F22FA">
        <w:rPr>
          <w:rFonts w:cstheme="minorHAnsi"/>
          <w:sz w:val="24"/>
          <w:szCs w:val="24"/>
        </w:rPr>
        <w:t xml:space="preserve">jsou </w:t>
      </w:r>
      <w:r w:rsidR="007F68A4">
        <w:rPr>
          <w:rFonts w:cstheme="minorHAnsi"/>
          <w:sz w:val="24"/>
          <w:szCs w:val="24"/>
        </w:rPr>
        <w:t xml:space="preserve">uvedena. </w:t>
      </w:r>
    </w:p>
    <w:p w14:paraId="6F965A4D" w14:textId="77777777" w:rsidR="001907A5" w:rsidRDefault="001907A5" w:rsidP="00005413">
      <w:pPr>
        <w:spacing w:after="0" w:line="240" w:lineRule="auto"/>
        <w:jc w:val="both"/>
        <w:rPr>
          <w:sz w:val="24"/>
          <w:szCs w:val="24"/>
        </w:rPr>
      </w:pPr>
    </w:p>
    <w:p w14:paraId="072F14BA" w14:textId="5A1F7F8C" w:rsidR="00745832" w:rsidRPr="009E2E9E" w:rsidRDefault="007F68A4" w:rsidP="0074583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2E9E">
        <w:rPr>
          <w:rFonts w:cstheme="minorHAnsi"/>
          <w:sz w:val="24"/>
          <w:szCs w:val="24"/>
        </w:rPr>
        <w:t xml:space="preserve">MF, MPO a </w:t>
      </w:r>
      <w:proofErr w:type="spellStart"/>
      <w:r w:rsidRPr="009E2E9E">
        <w:rPr>
          <w:rFonts w:cstheme="minorHAnsi"/>
          <w:sz w:val="24"/>
          <w:szCs w:val="24"/>
        </w:rPr>
        <w:t>MZe</w:t>
      </w:r>
      <w:proofErr w:type="spellEnd"/>
      <w:r w:rsidRPr="009E2E9E">
        <w:rPr>
          <w:rFonts w:cstheme="minorHAnsi"/>
          <w:sz w:val="24"/>
          <w:szCs w:val="24"/>
        </w:rPr>
        <w:t xml:space="preserve"> zajišťovaly správu</w:t>
      </w:r>
      <w:r w:rsidR="00594FD6" w:rsidRPr="009E2E9E">
        <w:rPr>
          <w:rFonts w:cstheme="minorHAnsi"/>
          <w:sz w:val="24"/>
          <w:szCs w:val="24"/>
        </w:rPr>
        <w:t xml:space="preserve"> tuzemských akciových</w:t>
      </w:r>
      <w:r w:rsidRPr="009E2E9E">
        <w:rPr>
          <w:rFonts w:cstheme="minorHAnsi"/>
          <w:sz w:val="24"/>
          <w:szCs w:val="24"/>
        </w:rPr>
        <w:t xml:space="preserve"> společností s majetkovou účastí státu v jejich gesci prostřednictvím valné hromady, není-li stát sám jediným akcionářem, a</w:t>
      </w:r>
      <w:r w:rsidR="00681CF2">
        <w:rPr>
          <w:rFonts w:cstheme="minorHAnsi"/>
          <w:sz w:val="24"/>
          <w:szCs w:val="24"/>
        </w:rPr>
        <w:t> </w:t>
      </w:r>
      <w:r w:rsidRPr="009E2E9E">
        <w:rPr>
          <w:rFonts w:cstheme="minorHAnsi"/>
          <w:sz w:val="24"/>
          <w:szCs w:val="24"/>
        </w:rPr>
        <w:t xml:space="preserve">dozorčí rady, která je kontrolním orgánem obchodní společnosti. </w:t>
      </w:r>
      <w:r w:rsidR="00BE626C" w:rsidRPr="009E2E9E">
        <w:rPr>
          <w:rFonts w:cstheme="minorHAnsi"/>
          <w:sz w:val="24"/>
          <w:szCs w:val="24"/>
        </w:rPr>
        <w:t>Z</w:t>
      </w:r>
      <w:r w:rsidRPr="009E2E9E">
        <w:rPr>
          <w:rFonts w:cstheme="minorHAnsi"/>
          <w:sz w:val="24"/>
          <w:szCs w:val="24"/>
        </w:rPr>
        <w:t xml:space="preserve">a vedení </w:t>
      </w:r>
      <w:r w:rsidR="00BE626C" w:rsidRPr="009E2E9E">
        <w:rPr>
          <w:rFonts w:cstheme="minorHAnsi"/>
          <w:sz w:val="24"/>
          <w:szCs w:val="24"/>
        </w:rPr>
        <w:t xml:space="preserve">akciové </w:t>
      </w:r>
      <w:r w:rsidRPr="009E2E9E">
        <w:rPr>
          <w:rFonts w:cstheme="minorHAnsi"/>
          <w:sz w:val="24"/>
          <w:szCs w:val="24"/>
        </w:rPr>
        <w:lastRenderedPageBreak/>
        <w:t>společnosti</w:t>
      </w:r>
      <w:r w:rsidR="00BE626C" w:rsidRPr="009E2E9E">
        <w:rPr>
          <w:rFonts w:cstheme="minorHAnsi"/>
          <w:sz w:val="24"/>
          <w:szCs w:val="24"/>
        </w:rPr>
        <w:t xml:space="preserve"> je zodpovědné představenstvo</w:t>
      </w:r>
      <w:r w:rsidRPr="009E2E9E">
        <w:rPr>
          <w:rFonts w:cstheme="minorHAnsi"/>
          <w:sz w:val="24"/>
          <w:szCs w:val="24"/>
        </w:rPr>
        <w:t>.</w:t>
      </w:r>
      <w:r w:rsidR="00F16BB8" w:rsidRPr="009E2E9E">
        <w:rPr>
          <w:rFonts w:cstheme="minorHAnsi"/>
          <w:sz w:val="24"/>
          <w:szCs w:val="24"/>
        </w:rPr>
        <w:t xml:space="preserve"> </w:t>
      </w:r>
      <w:r w:rsidR="00745832" w:rsidRPr="009E2E9E">
        <w:rPr>
          <w:bCs/>
          <w:iCs/>
          <w:sz w:val="24"/>
          <w:szCs w:val="24"/>
        </w:rPr>
        <w:t xml:space="preserve">MF vykonávalo k 31. 12. 2024 vlastnická práva státu ve 29 obchodních společnostech, </w:t>
      </w:r>
      <w:r w:rsidR="00745832" w:rsidRPr="009E2E9E">
        <w:rPr>
          <w:sz w:val="24"/>
          <w:szCs w:val="24"/>
        </w:rPr>
        <w:t xml:space="preserve">MPO v pěti obchodních společnostech a </w:t>
      </w:r>
      <w:proofErr w:type="spellStart"/>
      <w:r w:rsidR="00745832" w:rsidRPr="009E2E9E">
        <w:rPr>
          <w:sz w:val="24"/>
          <w:szCs w:val="24"/>
        </w:rPr>
        <w:t>MZe</w:t>
      </w:r>
      <w:proofErr w:type="spellEnd"/>
      <w:r w:rsidR="00745832" w:rsidRPr="009E2E9E">
        <w:rPr>
          <w:sz w:val="24"/>
          <w:szCs w:val="24"/>
        </w:rPr>
        <w:t xml:space="preserve"> také v</w:t>
      </w:r>
      <w:r w:rsidR="00681CF2">
        <w:rPr>
          <w:sz w:val="24"/>
          <w:szCs w:val="24"/>
        </w:rPr>
        <w:t> </w:t>
      </w:r>
      <w:r w:rsidR="00745832" w:rsidRPr="009E2E9E">
        <w:rPr>
          <w:sz w:val="24"/>
          <w:szCs w:val="24"/>
        </w:rPr>
        <w:t>pěti obchodních společnostech v jejich gesci.</w:t>
      </w:r>
    </w:p>
    <w:p w14:paraId="563B52AB" w14:textId="77777777" w:rsidR="003F55BF" w:rsidRPr="003F55BF" w:rsidRDefault="003F55BF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14E028" w14:textId="685BB582" w:rsidR="00855D33" w:rsidRPr="00681CF2" w:rsidRDefault="007F68A4" w:rsidP="00681CF2">
      <w:pPr>
        <w:spacing w:after="40" w:line="240" w:lineRule="auto"/>
        <w:jc w:val="both"/>
        <w:rPr>
          <w:rFonts w:cstheme="minorHAnsi"/>
          <w:b/>
          <w:bCs/>
          <w:sz w:val="24"/>
          <w:szCs w:val="24"/>
        </w:rPr>
      </w:pPr>
      <w:r w:rsidRPr="00681CF2">
        <w:rPr>
          <w:rFonts w:cstheme="minorHAnsi"/>
          <w:b/>
          <w:bCs/>
          <w:sz w:val="24"/>
          <w:szCs w:val="24"/>
        </w:rPr>
        <w:t xml:space="preserve">Tabulka č. </w:t>
      </w:r>
      <w:r w:rsidR="00FF2D44" w:rsidRPr="00681CF2">
        <w:rPr>
          <w:rFonts w:cstheme="minorHAnsi"/>
          <w:b/>
          <w:bCs/>
          <w:sz w:val="24"/>
          <w:szCs w:val="24"/>
        </w:rPr>
        <w:t>1</w:t>
      </w:r>
      <w:r w:rsidRPr="00681CF2">
        <w:rPr>
          <w:rFonts w:cstheme="minorHAnsi"/>
          <w:b/>
          <w:bCs/>
          <w:sz w:val="24"/>
          <w:szCs w:val="24"/>
        </w:rPr>
        <w:t xml:space="preserve">: </w:t>
      </w:r>
      <w:r w:rsidR="00671DD6" w:rsidRPr="00681CF2">
        <w:rPr>
          <w:rFonts w:cstheme="minorHAnsi"/>
          <w:b/>
          <w:bCs/>
          <w:sz w:val="24"/>
          <w:szCs w:val="24"/>
        </w:rPr>
        <w:t>Počet</w:t>
      </w:r>
      <w:r w:rsidR="00B9443A" w:rsidRPr="00681CF2">
        <w:rPr>
          <w:rFonts w:cstheme="minorHAnsi"/>
          <w:b/>
          <w:bCs/>
          <w:sz w:val="24"/>
          <w:szCs w:val="24"/>
        </w:rPr>
        <w:t xml:space="preserve"> obchodních společností </w:t>
      </w:r>
      <w:r w:rsidR="00361C1D" w:rsidRPr="00681CF2">
        <w:rPr>
          <w:rFonts w:cstheme="minorHAnsi"/>
          <w:b/>
          <w:bCs/>
          <w:sz w:val="24"/>
          <w:szCs w:val="24"/>
        </w:rPr>
        <w:t xml:space="preserve">v gesci </w:t>
      </w:r>
      <w:r w:rsidR="00B9443A" w:rsidRPr="00681CF2">
        <w:rPr>
          <w:rFonts w:cstheme="minorHAnsi"/>
          <w:b/>
          <w:bCs/>
          <w:sz w:val="24"/>
          <w:szCs w:val="24"/>
        </w:rPr>
        <w:t xml:space="preserve">MF, MPO a </w:t>
      </w:r>
      <w:proofErr w:type="spellStart"/>
      <w:r w:rsidR="00B9443A" w:rsidRPr="00681CF2">
        <w:rPr>
          <w:rFonts w:cstheme="minorHAnsi"/>
          <w:b/>
          <w:bCs/>
          <w:sz w:val="24"/>
          <w:szCs w:val="24"/>
        </w:rPr>
        <w:t>MZe</w:t>
      </w:r>
      <w:proofErr w:type="spellEnd"/>
      <w:r w:rsidR="00B9443A" w:rsidRPr="00681CF2">
        <w:rPr>
          <w:rFonts w:cstheme="minorHAnsi"/>
          <w:b/>
          <w:bCs/>
          <w:sz w:val="24"/>
          <w:szCs w:val="24"/>
        </w:rPr>
        <w:t xml:space="preserve"> </w:t>
      </w:r>
      <w:r w:rsidRPr="00681CF2">
        <w:rPr>
          <w:rFonts w:cstheme="minorHAnsi"/>
          <w:b/>
          <w:bCs/>
          <w:sz w:val="24"/>
          <w:szCs w:val="24"/>
        </w:rPr>
        <w:t>k 31. 12. 2024</w:t>
      </w:r>
    </w:p>
    <w:tbl>
      <w:tblPr>
        <w:tblW w:w="898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32"/>
        <w:gridCol w:w="1468"/>
        <w:gridCol w:w="691"/>
        <w:gridCol w:w="1509"/>
        <w:gridCol w:w="691"/>
        <w:gridCol w:w="1509"/>
      </w:tblGrid>
      <w:tr w:rsidR="00855D33" w:rsidRPr="00855D33" w14:paraId="67631328" w14:textId="77777777" w:rsidTr="00FA6DD1">
        <w:trPr>
          <w:trHeight w:val="289"/>
        </w:trPr>
        <w:tc>
          <w:tcPr>
            <w:tcW w:w="2380" w:type="dxa"/>
            <w:vMerge w:val="restart"/>
            <w:shd w:val="clear" w:color="000000" w:fill="E6E6E6"/>
            <w:noWrap/>
            <w:vAlign w:val="center"/>
            <w:hideMark/>
          </w:tcPr>
          <w:p w14:paraId="5A98ADA9" w14:textId="77777777" w:rsidR="00855D33" w:rsidRPr="00FA6DD1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5" w:name="RANGE!B4"/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Kategorie / právní forma</w:t>
            </w:r>
            <w:bookmarkEnd w:id="5"/>
          </w:p>
        </w:tc>
        <w:tc>
          <w:tcPr>
            <w:tcW w:w="2200" w:type="dxa"/>
            <w:gridSpan w:val="2"/>
            <w:shd w:val="clear" w:color="000000" w:fill="E6E6E6"/>
            <w:noWrap/>
            <w:vAlign w:val="center"/>
            <w:hideMark/>
          </w:tcPr>
          <w:p w14:paraId="2E4B20FC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MF</w:t>
            </w:r>
          </w:p>
        </w:tc>
        <w:tc>
          <w:tcPr>
            <w:tcW w:w="2200" w:type="dxa"/>
            <w:gridSpan w:val="2"/>
            <w:shd w:val="clear" w:color="000000" w:fill="E6E6E6"/>
            <w:noWrap/>
            <w:vAlign w:val="center"/>
            <w:hideMark/>
          </w:tcPr>
          <w:p w14:paraId="133D2F4D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MPO</w:t>
            </w:r>
          </w:p>
        </w:tc>
        <w:tc>
          <w:tcPr>
            <w:tcW w:w="2200" w:type="dxa"/>
            <w:gridSpan w:val="2"/>
            <w:shd w:val="clear" w:color="000000" w:fill="E6E6E6"/>
            <w:noWrap/>
            <w:vAlign w:val="center"/>
            <w:hideMark/>
          </w:tcPr>
          <w:p w14:paraId="2D4C68F4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MZe</w:t>
            </w:r>
            <w:proofErr w:type="spellEnd"/>
          </w:p>
        </w:tc>
      </w:tr>
      <w:tr w:rsidR="00855D33" w:rsidRPr="00855D33" w14:paraId="50191449" w14:textId="77777777" w:rsidTr="00FA6DD1">
        <w:trPr>
          <w:trHeight w:val="251"/>
        </w:trPr>
        <w:tc>
          <w:tcPr>
            <w:tcW w:w="2380" w:type="dxa"/>
            <w:vMerge/>
            <w:vAlign w:val="center"/>
            <w:hideMark/>
          </w:tcPr>
          <w:p w14:paraId="5EE2E069" w14:textId="77777777" w:rsidR="00855D33" w:rsidRPr="00855D33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2" w:type="dxa"/>
            <w:shd w:val="clear" w:color="000000" w:fill="E6E6E6"/>
            <w:noWrap/>
            <w:vAlign w:val="center"/>
            <w:hideMark/>
          </w:tcPr>
          <w:p w14:paraId="40C81827" w14:textId="7AC4FB64" w:rsidR="00855D33" w:rsidRPr="00855D33" w:rsidRDefault="00594FD6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a.s.</w:t>
            </w:r>
          </w:p>
        </w:tc>
        <w:tc>
          <w:tcPr>
            <w:tcW w:w="1468" w:type="dxa"/>
            <w:shd w:val="clear" w:color="000000" w:fill="E6E6E6"/>
            <w:vAlign w:val="center"/>
            <w:hideMark/>
          </w:tcPr>
          <w:p w14:paraId="57535B3F" w14:textId="77777777" w:rsidR="00855D33" w:rsidRPr="00855D33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jiná</w:t>
            </w:r>
          </w:p>
        </w:tc>
        <w:tc>
          <w:tcPr>
            <w:tcW w:w="691" w:type="dxa"/>
            <w:shd w:val="clear" w:color="000000" w:fill="E6E6E6"/>
            <w:noWrap/>
            <w:vAlign w:val="center"/>
            <w:hideMark/>
          </w:tcPr>
          <w:p w14:paraId="33E059E0" w14:textId="71ED17E6" w:rsidR="00855D33" w:rsidRPr="00855D33" w:rsidRDefault="00594FD6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a.s.</w:t>
            </w:r>
          </w:p>
        </w:tc>
        <w:tc>
          <w:tcPr>
            <w:tcW w:w="1509" w:type="dxa"/>
            <w:shd w:val="clear" w:color="000000" w:fill="E6E6E6"/>
            <w:vAlign w:val="center"/>
            <w:hideMark/>
          </w:tcPr>
          <w:p w14:paraId="40E4C5FC" w14:textId="77777777" w:rsidR="00855D33" w:rsidRPr="00855D33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jiná</w:t>
            </w:r>
          </w:p>
        </w:tc>
        <w:tc>
          <w:tcPr>
            <w:tcW w:w="691" w:type="dxa"/>
            <w:shd w:val="clear" w:color="000000" w:fill="E6E6E6"/>
            <w:noWrap/>
            <w:vAlign w:val="center"/>
            <w:hideMark/>
          </w:tcPr>
          <w:p w14:paraId="238C25B2" w14:textId="2FBAB40A" w:rsidR="00855D33" w:rsidRPr="00855D33" w:rsidRDefault="00594FD6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a.s.</w:t>
            </w:r>
          </w:p>
        </w:tc>
        <w:tc>
          <w:tcPr>
            <w:tcW w:w="1509" w:type="dxa"/>
            <w:shd w:val="clear" w:color="000000" w:fill="E6E6E6"/>
            <w:vAlign w:val="center"/>
            <w:hideMark/>
          </w:tcPr>
          <w:p w14:paraId="528EECA3" w14:textId="77777777" w:rsidR="00855D33" w:rsidRPr="00855D33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jiná</w:t>
            </w:r>
          </w:p>
        </w:tc>
      </w:tr>
      <w:tr w:rsidR="00855D33" w:rsidRPr="00855D33" w14:paraId="561438A3" w14:textId="77777777" w:rsidTr="00FA6DD1">
        <w:trPr>
          <w:trHeight w:val="300"/>
        </w:trPr>
        <w:tc>
          <w:tcPr>
            <w:tcW w:w="2380" w:type="dxa"/>
            <w:noWrap/>
            <w:vAlign w:val="center"/>
            <w:hideMark/>
          </w:tcPr>
          <w:p w14:paraId="6D2C2403" w14:textId="77777777" w:rsidR="00855D33" w:rsidRPr="00855D33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Strategická</w:t>
            </w:r>
          </w:p>
        </w:tc>
        <w:tc>
          <w:tcPr>
            <w:tcW w:w="732" w:type="dxa"/>
            <w:noWrap/>
            <w:vAlign w:val="center"/>
            <w:hideMark/>
          </w:tcPr>
          <w:p w14:paraId="516E6BB8" w14:textId="77777777" w:rsidR="00855D33" w:rsidRPr="00855D33" w:rsidRDefault="00855D33" w:rsidP="00BF4A93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11*</w:t>
            </w:r>
          </w:p>
        </w:tc>
        <w:tc>
          <w:tcPr>
            <w:tcW w:w="1468" w:type="dxa"/>
            <w:vAlign w:val="center"/>
            <w:hideMark/>
          </w:tcPr>
          <w:p w14:paraId="14274996" w14:textId="77777777" w:rsidR="00855D33" w:rsidRPr="00855D33" w:rsidRDefault="00855D33" w:rsidP="00BF4A9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91" w:type="dxa"/>
            <w:noWrap/>
            <w:vAlign w:val="center"/>
            <w:hideMark/>
          </w:tcPr>
          <w:p w14:paraId="423ECDDE" w14:textId="77777777" w:rsidR="00855D33" w:rsidRPr="00855D33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5*</w:t>
            </w:r>
          </w:p>
        </w:tc>
        <w:tc>
          <w:tcPr>
            <w:tcW w:w="1509" w:type="dxa"/>
            <w:vAlign w:val="center"/>
            <w:hideMark/>
          </w:tcPr>
          <w:p w14:paraId="7E6C9756" w14:textId="77777777" w:rsidR="00855D33" w:rsidRPr="00855D33" w:rsidRDefault="00855D33" w:rsidP="00BF4A9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91" w:type="dxa"/>
            <w:noWrap/>
            <w:vAlign w:val="center"/>
            <w:hideMark/>
          </w:tcPr>
          <w:p w14:paraId="26F6A858" w14:textId="77777777" w:rsidR="00855D33" w:rsidRPr="00855D33" w:rsidRDefault="00855D33" w:rsidP="00BF4A93">
            <w:pPr>
              <w:spacing w:after="0" w:line="240" w:lineRule="auto"/>
              <w:ind w:right="198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09" w:type="dxa"/>
            <w:vAlign w:val="center"/>
            <w:hideMark/>
          </w:tcPr>
          <w:p w14:paraId="5FA4F33C" w14:textId="77777777" w:rsidR="00855D33" w:rsidRPr="00855D33" w:rsidRDefault="00855D33" w:rsidP="00BF4A9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855D33" w:rsidRPr="00855D33" w14:paraId="74220CC8" w14:textId="77777777" w:rsidTr="00FA6DD1">
        <w:trPr>
          <w:trHeight w:val="300"/>
        </w:trPr>
        <w:tc>
          <w:tcPr>
            <w:tcW w:w="2380" w:type="dxa"/>
            <w:noWrap/>
            <w:vAlign w:val="center"/>
            <w:hideMark/>
          </w:tcPr>
          <w:p w14:paraId="60CD9802" w14:textId="77777777" w:rsidR="00855D33" w:rsidRPr="00855D33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Podpůrná</w:t>
            </w:r>
          </w:p>
        </w:tc>
        <w:tc>
          <w:tcPr>
            <w:tcW w:w="732" w:type="dxa"/>
            <w:noWrap/>
            <w:vAlign w:val="center"/>
            <w:hideMark/>
          </w:tcPr>
          <w:p w14:paraId="4A4D79EA" w14:textId="77777777" w:rsidR="00855D33" w:rsidRPr="00855D33" w:rsidRDefault="00855D33" w:rsidP="00BF4A93">
            <w:pPr>
              <w:spacing w:after="0" w:line="240" w:lineRule="auto"/>
              <w:ind w:right="198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68" w:type="dxa"/>
            <w:vAlign w:val="center"/>
            <w:hideMark/>
          </w:tcPr>
          <w:p w14:paraId="194AE325" w14:textId="77777777" w:rsidR="00855D33" w:rsidRPr="00855D33" w:rsidRDefault="00855D33" w:rsidP="00BF4A9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91" w:type="dxa"/>
            <w:noWrap/>
            <w:vAlign w:val="center"/>
            <w:hideMark/>
          </w:tcPr>
          <w:p w14:paraId="68F8D3D0" w14:textId="77777777" w:rsidR="00855D33" w:rsidRPr="00855D33" w:rsidRDefault="00855D33" w:rsidP="00BF4A93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509" w:type="dxa"/>
            <w:vAlign w:val="center"/>
            <w:hideMark/>
          </w:tcPr>
          <w:p w14:paraId="2CE2B672" w14:textId="77777777" w:rsidR="00855D33" w:rsidRPr="00855D33" w:rsidRDefault="00855D33" w:rsidP="00BF4A9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91" w:type="dxa"/>
            <w:noWrap/>
            <w:vAlign w:val="center"/>
            <w:hideMark/>
          </w:tcPr>
          <w:p w14:paraId="107DEBC3" w14:textId="77777777" w:rsidR="00855D33" w:rsidRPr="00855D33" w:rsidRDefault="00855D33" w:rsidP="00BF4A93">
            <w:pPr>
              <w:spacing w:after="0" w:line="240" w:lineRule="auto"/>
              <w:ind w:right="198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09" w:type="dxa"/>
            <w:vAlign w:val="center"/>
            <w:hideMark/>
          </w:tcPr>
          <w:p w14:paraId="49CA6218" w14:textId="77777777" w:rsidR="00855D33" w:rsidRPr="00855D33" w:rsidRDefault="00855D33" w:rsidP="00BF4A9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855D33" w:rsidRPr="00855D33" w14:paraId="24EFC3E8" w14:textId="77777777" w:rsidTr="00FA6DD1">
        <w:trPr>
          <w:trHeight w:val="300"/>
        </w:trPr>
        <w:tc>
          <w:tcPr>
            <w:tcW w:w="2380" w:type="dxa"/>
            <w:noWrap/>
            <w:vAlign w:val="center"/>
            <w:hideMark/>
          </w:tcPr>
          <w:p w14:paraId="59513B3B" w14:textId="77777777" w:rsidR="00855D33" w:rsidRPr="00855D33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Zbytná</w:t>
            </w:r>
          </w:p>
        </w:tc>
        <w:tc>
          <w:tcPr>
            <w:tcW w:w="732" w:type="dxa"/>
            <w:noWrap/>
            <w:vAlign w:val="center"/>
            <w:hideMark/>
          </w:tcPr>
          <w:p w14:paraId="1C5A39E7" w14:textId="2899A340" w:rsidR="00855D33" w:rsidRPr="00855D33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F22F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BE03DD"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**</w:t>
            </w:r>
          </w:p>
        </w:tc>
        <w:tc>
          <w:tcPr>
            <w:tcW w:w="1468" w:type="dxa"/>
            <w:vAlign w:val="center"/>
            <w:hideMark/>
          </w:tcPr>
          <w:p w14:paraId="4C6C02DF" w14:textId="291889E5" w:rsidR="00855D33" w:rsidRPr="00855D33" w:rsidRDefault="004F22FA" w:rsidP="00BF4A9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91" w:type="dxa"/>
            <w:noWrap/>
            <w:vAlign w:val="center"/>
            <w:hideMark/>
          </w:tcPr>
          <w:p w14:paraId="66B70871" w14:textId="77777777" w:rsidR="00855D33" w:rsidRPr="00855D33" w:rsidRDefault="00855D33" w:rsidP="00BF4A93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509" w:type="dxa"/>
            <w:vAlign w:val="center"/>
            <w:hideMark/>
          </w:tcPr>
          <w:p w14:paraId="16CBB251" w14:textId="77777777" w:rsidR="00855D33" w:rsidRPr="00855D33" w:rsidRDefault="00855D33" w:rsidP="00BF4A9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91" w:type="dxa"/>
            <w:noWrap/>
            <w:vAlign w:val="center"/>
            <w:hideMark/>
          </w:tcPr>
          <w:p w14:paraId="1F848A0C" w14:textId="2D6EE026" w:rsidR="00855D33" w:rsidRPr="00855D33" w:rsidRDefault="00BE03DD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**</w:t>
            </w:r>
          </w:p>
        </w:tc>
        <w:tc>
          <w:tcPr>
            <w:tcW w:w="1509" w:type="dxa"/>
            <w:vAlign w:val="center"/>
            <w:hideMark/>
          </w:tcPr>
          <w:p w14:paraId="3AB09FD0" w14:textId="77777777" w:rsidR="00855D33" w:rsidRPr="00855D33" w:rsidRDefault="00855D33" w:rsidP="00BF4A93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855D33" w:rsidRPr="00855D33" w14:paraId="0B8E71FA" w14:textId="77777777" w:rsidTr="00FA6DD1">
        <w:trPr>
          <w:trHeight w:val="193"/>
        </w:trPr>
        <w:tc>
          <w:tcPr>
            <w:tcW w:w="2380" w:type="dxa"/>
            <w:shd w:val="clear" w:color="000000" w:fill="E6E6E6"/>
            <w:noWrap/>
            <w:vAlign w:val="center"/>
            <w:hideMark/>
          </w:tcPr>
          <w:p w14:paraId="1D3B70DA" w14:textId="77777777" w:rsidR="00855D33" w:rsidRPr="00FA6DD1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00" w:type="dxa"/>
            <w:gridSpan w:val="2"/>
            <w:shd w:val="clear" w:color="000000" w:fill="E6E6E6"/>
            <w:noWrap/>
            <w:vAlign w:val="center"/>
            <w:hideMark/>
          </w:tcPr>
          <w:p w14:paraId="0C651F4F" w14:textId="1199D000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="001C1584" w:rsidRPr="00FA6D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2200" w:type="dxa"/>
            <w:gridSpan w:val="2"/>
            <w:shd w:val="clear" w:color="000000" w:fill="E6E6E6"/>
            <w:noWrap/>
            <w:vAlign w:val="center"/>
            <w:hideMark/>
          </w:tcPr>
          <w:p w14:paraId="1E6ED173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2200" w:type="dxa"/>
            <w:gridSpan w:val="2"/>
            <w:shd w:val="clear" w:color="000000" w:fill="E6E6E6"/>
            <w:noWrap/>
            <w:vAlign w:val="center"/>
            <w:hideMark/>
          </w:tcPr>
          <w:p w14:paraId="1C65E1A7" w14:textId="22472301" w:rsidR="00855D33" w:rsidRPr="00FA6DD1" w:rsidRDefault="00BE03DD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</w:tr>
    </w:tbl>
    <w:p w14:paraId="6D771928" w14:textId="5B36AC18" w:rsidR="005B77B3" w:rsidRPr="003968C0" w:rsidRDefault="007F68A4" w:rsidP="00681CF2">
      <w:pPr>
        <w:spacing w:before="40" w:after="0" w:line="240" w:lineRule="auto"/>
        <w:jc w:val="both"/>
        <w:rPr>
          <w:i/>
          <w:iCs/>
          <w:sz w:val="20"/>
          <w:szCs w:val="20"/>
        </w:rPr>
      </w:pPr>
      <w:r w:rsidRPr="00681CF2">
        <w:rPr>
          <w:rFonts w:cstheme="minorHAnsi"/>
          <w:b/>
          <w:bCs/>
          <w:sz w:val="20"/>
          <w:szCs w:val="20"/>
        </w:rPr>
        <w:t>Zdroj</w:t>
      </w:r>
      <w:r w:rsidR="002348EC" w:rsidRPr="00681CF2">
        <w:rPr>
          <w:rFonts w:cstheme="minorHAnsi"/>
          <w:b/>
          <w:bCs/>
          <w:sz w:val="20"/>
          <w:szCs w:val="20"/>
        </w:rPr>
        <w:t>:</w:t>
      </w:r>
      <w:r w:rsidR="007C4737" w:rsidRPr="00681CF2">
        <w:rPr>
          <w:rFonts w:cstheme="minorHAnsi"/>
          <w:b/>
          <w:bCs/>
          <w:sz w:val="20"/>
          <w:szCs w:val="20"/>
        </w:rPr>
        <w:t xml:space="preserve"> </w:t>
      </w:r>
      <w:r w:rsidR="00D50729">
        <w:rPr>
          <w:rFonts w:cstheme="minorHAnsi"/>
          <w:sz w:val="20"/>
          <w:szCs w:val="20"/>
        </w:rPr>
        <w:t>z</w:t>
      </w:r>
      <w:r w:rsidR="007C4737" w:rsidRPr="00361C1D">
        <w:rPr>
          <w:rFonts w:cstheme="minorHAnsi"/>
          <w:sz w:val="20"/>
          <w:szCs w:val="20"/>
        </w:rPr>
        <w:t>právy o plnění Strategie 2020</w:t>
      </w:r>
      <w:r w:rsidR="00D50729">
        <w:rPr>
          <w:rFonts w:cstheme="minorHAnsi"/>
          <w:sz w:val="20"/>
          <w:szCs w:val="20"/>
        </w:rPr>
        <w:t>–</w:t>
      </w:r>
      <w:r w:rsidR="007C4737" w:rsidRPr="00361C1D">
        <w:rPr>
          <w:rFonts w:cstheme="minorHAnsi"/>
          <w:sz w:val="20"/>
          <w:szCs w:val="20"/>
        </w:rPr>
        <w:t xml:space="preserve">2024, </w:t>
      </w:r>
      <w:r w:rsidR="00D12E96" w:rsidRPr="003968C0">
        <w:rPr>
          <w:sz w:val="20"/>
          <w:szCs w:val="20"/>
        </w:rPr>
        <w:t xml:space="preserve">údaje poskytnuté MF, MPO a </w:t>
      </w:r>
      <w:proofErr w:type="spellStart"/>
      <w:r w:rsidR="00D12E96" w:rsidRPr="003968C0">
        <w:rPr>
          <w:sz w:val="20"/>
          <w:szCs w:val="20"/>
        </w:rPr>
        <w:t>MZe</w:t>
      </w:r>
      <w:proofErr w:type="spellEnd"/>
      <w:r w:rsidR="00361C1D">
        <w:rPr>
          <w:sz w:val="20"/>
          <w:szCs w:val="20"/>
        </w:rPr>
        <w:t>.</w:t>
      </w:r>
    </w:p>
    <w:p w14:paraId="04AD6D52" w14:textId="5B750E1A" w:rsidR="00EC52ED" w:rsidRPr="00361C1D" w:rsidRDefault="007F68A4" w:rsidP="00681CF2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361C1D">
        <w:rPr>
          <w:rFonts w:cstheme="minorHAnsi"/>
          <w:sz w:val="20"/>
          <w:szCs w:val="20"/>
        </w:rPr>
        <w:t>*</w:t>
      </w:r>
      <w:r w:rsidRPr="00361C1D">
        <w:rPr>
          <w:sz w:val="20"/>
          <w:szCs w:val="20"/>
        </w:rPr>
        <w:t xml:space="preserve"> </w:t>
      </w:r>
      <w:r w:rsidR="00681CF2">
        <w:rPr>
          <w:sz w:val="20"/>
          <w:szCs w:val="20"/>
        </w:rPr>
        <w:tab/>
      </w:r>
      <w:r w:rsidR="00D50729">
        <w:rPr>
          <w:sz w:val="20"/>
          <w:szCs w:val="20"/>
        </w:rPr>
        <w:t>V</w:t>
      </w:r>
      <w:r w:rsidRPr="00361C1D">
        <w:rPr>
          <w:sz w:val="20"/>
          <w:szCs w:val="20"/>
        </w:rPr>
        <w:t xml:space="preserve">četně </w:t>
      </w:r>
      <w:r w:rsidR="00751B5E">
        <w:rPr>
          <w:sz w:val="20"/>
          <w:szCs w:val="20"/>
        </w:rPr>
        <w:t xml:space="preserve">obchodní </w:t>
      </w:r>
      <w:r w:rsidR="00751B5E" w:rsidRPr="003968C0">
        <w:rPr>
          <w:sz w:val="20"/>
          <w:szCs w:val="20"/>
        </w:rPr>
        <w:t>společnosti Národní rozvojová banka, a.s. (dále také „NRB, a.s.“), u které správu majetkových účastí státu provádělo MF</w:t>
      </w:r>
      <w:r w:rsidR="00751B5E" w:rsidRPr="00A86C3F">
        <w:rPr>
          <w:sz w:val="20"/>
          <w:szCs w:val="20"/>
        </w:rPr>
        <w:t xml:space="preserve"> 32,94 %, MPO 33,53 % a Ministerstvo pro místní rozvoj </w:t>
      </w:r>
      <w:r w:rsidR="00751B5E">
        <w:rPr>
          <w:sz w:val="20"/>
          <w:szCs w:val="20"/>
        </w:rPr>
        <w:t xml:space="preserve">(dále také „MMR“) </w:t>
      </w:r>
      <w:r w:rsidR="00751B5E" w:rsidRPr="00A86C3F">
        <w:rPr>
          <w:sz w:val="20"/>
          <w:szCs w:val="20"/>
        </w:rPr>
        <w:t>33,53 %</w:t>
      </w:r>
      <w:r w:rsidR="00751B5E">
        <w:rPr>
          <w:rStyle w:val="Znakapoznpodarou"/>
          <w:sz w:val="20"/>
          <w:szCs w:val="20"/>
        </w:rPr>
        <w:footnoteReference w:id="15"/>
      </w:r>
      <w:r w:rsidR="00751B5E" w:rsidRPr="00A86C3F">
        <w:rPr>
          <w:sz w:val="20"/>
          <w:szCs w:val="20"/>
        </w:rPr>
        <w:t xml:space="preserve">. </w:t>
      </w:r>
    </w:p>
    <w:p w14:paraId="1FAB6CA7" w14:textId="34AADF2D" w:rsidR="00E041A0" w:rsidRDefault="00BE03DD" w:rsidP="00681CF2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3968C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**</w:t>
      </w:r>
      <w:r w:rsidR="00681CF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 w:rsidR="00681CF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ab/>
      </w:r>
      <w:r w:rsidR="00D50729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V</w:t>
      </w:r>
      <w:r w:rsidRPr="003968C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četně </w:t>
      </w:r>
      <w:r w:rsidR="00751B5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obchodní společnosti </w:t>
      </w:r>
      <w:r w:rsidR="001C1584" w:rsidRPr="00361C1D">
        <w:rPr>
          <w:sz w:val="20"/>
          <w:szCs w:val="20"/>
        </w:rPr>
        <w:t xml:space="preserve">SETUZA </w:t>
      </w:r>
      <w:r w:rsidR="00594FD6" w:rsidRPr="00361C1D">
        <w:rPr>
          <w:sz w:val="20"/>
          <w:szCs w:val="20"/>
        </w:rPr>
        <w:t>a.s.</w:t>
      </w:r>
    </w:p>
    <w:p w14:paraId="4B2E79FE" w14:textId="77777777" w:rsidR="00681CF2" w:rsidRDefault="00681CF2" w:rsidP="00681CF2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C39F59C" w14:textId="79ADAF22" w:rsidR="003F55BF" w:rsidRPr="00C83822" w:rsidRDefault="007F68A4" w:rsidP="00BC2A72">
      <w:pPr>
        <w:spacing w:after="0" w:line="240" w:lineRule="auto"/>
        <w:jc w:val="both"/>
        <w:rPr>
          <w:sz w:val="24"/>
          <w:szCs w:val="24"/>
        </w:rPr>
      </w:pPr>
      <w:r w:rsidRPr="00D9036A">
        <w:rPr>
          <w:sz w:val="24"/>
          <w:szCs w:val="24"/>
        </w:rPr>
        <w:t>Seznam obchodních společností, ve kterých vykonáv</w:t>
      </w:r>
      <w:r>
        <w:rPr>
          <w:sz w:val="24"/>
          <w:szCs w:val="24"/>
        </w:rPr>
        <w:t xml:space="preserve">aly </w:t>
      </w:r>
      <w:r w:rsidRPr="00D9036A">
        <w:rPr>
          <w:sz w:val="24"/>
          <w:szCs w:val="24"/>
        </w:rPr>
        <w:t>vlastnická práva</w:t>
      </w:r>
      <w:r>
        <w:rPr>
          <w:sz w:val="24"/>
          <w:szCs w:val="24"/>
        </w:rPr>
        <w:t xml:space="preserve"> státu</w:t>
      </w:r>
      <w:r w:rsidRPr="00D9036A">
        <w:rPr>
          <w:sz w:val="24"/>
          <w:szCs w:val="24"/>
        </w:rPr>
        <w:t xml:space="preserve"> MF, MPO </w:t>
      </w:r>
      <w:r w:rsidR="00745832">
        <w:rPr>
          <w:sz w:val="24"/>
          <w:szCs w:val="24"/>
        </w:rPr>
        <w:t>a</w:t>
      </w:r>
      <w:r w:rsidRPr="00D9036A">
        <w:rPr>
          <w:sz w:val="24"/>
          <w:szCs w:val="24"/>
        </w:rPr>
        <w:t xml:space="preserve"> </w:t>
      </w:r>
      <w:proofErr w:type="spellStart"/>
      <w:r w:rsidRPr="00D9036A">
        <w:rPr>
          <w:sz w:val="24"/>
          <w:szCs w:val="24"/>
        </w:rPr>
        <w:t>MZe</w:t>
      </w:r>
      <w:proofErr w:type="spellEnd"/>
      <w:r w:rsidR="00227DF3">
        <w:rPr>
          <w:sz w:val="24"/>
          <w:szCs w:val="24"/>
        </w:rPr>
        <w:t xml:space="preserve"> </w:t>
      </w:r>
      <w:r w:rsidR="00227DF3">
        <w:rPr>
          <w:rFonts w:cstheme="minorHAnsi"/>
          <w:sz w:val="24"/>
          <w:szCs w:val="24"/>
        </w:rPr>
        <w:t xml:space="preserve">(dále </w:t>
      </w:r>
      <w:r w:rsidR="00DD7F03">
        <w:rPr>
          <w:rFonts w:cstheme="minorHAnsi"/>
          <w:sz w:val="24"/>
          <w:szCs w:val="24"/>
        </w:rPr>
        <w:t xml:space="preserve">také </w:t>
      </w:r>
      <w:r w:rsidR="00227DF3">
        <w:rPr>
          <w:rFonts w:cstheme="minorHAnsi"/>
          <w:sz w:val="24"/>
          <w:szCs w:val="24"/>
        </w:rPr>
        <w:t>„obchodní společnosti“)</w:t>
      </w:r>
      <w:r w:rsidRPr="00D9036A">
        <w:rPr>
          <w:sz w:val="24"/>
          <w:szCs w:val="24"/>
        </w:rPr>
        <w:t xml:space="preserve"> </w:t>
      </w:r>
      <w:r w:rsidR="00227DF3">
        <w:rPr>
          <w:sz w:val="24"/>
          <w:szCs w:val="24"/>
        </w:rPr>
        <w:t>k 31. 12. 2024,</w:t>
      </w:r>
      <w:r w:rsidR="00227DF3" w:rsidRPr="00D9036A">
        <w:rPr>
          <w:sz w:val="24"/>
          <w:szCs w:val="24"/>
        </w:rPr>
        <w:t xml:space="preserve"> </w:t>
      </w:r>
      <w:r w:rsidRPr="00D9036A">
        <w:rPr>
          <w:sz w:val="24"/>
          <w:szCs w:val="24"/>
        </w:rPr>
        <w:t xml:space="preserve">je </w:t>
      </w:r>
      <w:r w:rsidRPr="00BC2A72">
        <w:rPr>
          <w:sz w:val="24"/>
          <w:szCs w:val="24"/>
        </w:rPr>
        <w:t>přílohou č. 1 tohoto</w:t>
      </w:r>
      <w:r>
        <w:rPr>
          <w:sz w:val="24"/>
          <w:szCs w:val="24"/>
        </w:rPr>
        <w:t xml:space="preserve"> kontrolního závěru. </w:t>
      </w:r>
    </w:p>
    <w:p w14:paraId="6690331E" w14:textId="1A40921F" w:rsidR="00F87A24" w:rsidRDefault="007F68A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MF, MPO a </w:t>
      </w:r>
      <w:proofErr w:type="spellStart"/>
      <w:r>
        <w:rPr>
          <w:rFonts w:cstheme="minorHAnsi"/>
          <w:sz w:val="24"/>
          <w:szCs w:val="24"/>
        </w:rPr>
        <w:t>MZe</w:t>
      </w:r>
      <w:proofErr w:type="spellEnd"/>
      <w:r>
        <w:rPr>
          <w:rFonts w:cstheme="minorHAnsi"/>
          <w:sz w:val="24"/>
          <w:szCs w:val="24"/>
        </w:rPr>
        <w:t xml:space="preserve"> vynaložily v letech 2020</w:t>
      </w:r>
      <w:r w:rsidR="00D50729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2024 na správu majetkových účastí státu peněžní prostředky ve výši 165</w:t>
      </w:r>
      <w:r w:rsidR="00874A91">
        <w:rPr>
          <w:rFonts w:cstheme="minorHAnsi"/>
          <w:sz w:val="24"/>
          <w:szCs w:val="24"/>
        </w:rPr>
        <w:t> 463 766</w:t>
      </w:r>
      <w:r>
        <w:rPr>
          <w:rFonts w:cstheme="minorHAnsi"/>
          <w:sz w:val="24"/>
          <w:szCs w:val="24"/>
        </w:rPr>
        <w:t xml:space="preserve"> Kč. Jednalo se především o výdaje na platy zaměstnanců</w:t>
      </w:r>
      <w:r>
        <w:rPr>
          <w:rStyle w:val="Znakapoznpodarou"/>
          <w:rFonts w:cstheme="minorHAnsi"/>
          <w:sz w:val="24"/>
          <w:szCs w:val="24"/>
        </w:rPr>
        <w:footnoteReference w:id="16"/>
      </w:r>
      <w:r>
        <w:rPr>
          <w:rFonts w:cstheme="minorHAnsi"/>
          <w:sz w:val="24"/>
          <w:szCs w:val="24"/>
        </w:rPr>
        <w:t xml:space="preserve"> a</w:t>
      </w:r>
      <w:r w:rsidR="00D43D15">
        <w:rPr>
          <w:rFonts w:cstheme="minorHAnsi"/>
          <w:sz w:val="24"/>
          <w:szCs w:val="24"/>
        </w:rPr>
        <w:t> </w:t>
      </w:r>
      <w:r w:rsidR="00052806">
        <w:rPr>
          <w:rFonts w:cstheme="minorHAnsi"/>
          <w:sz w:val="24"/>
          <w:szCs w:val="24"/>
        </w:rPr>
        <w:t xml:space="preserve">na </w:t>
      </w:r>
      <w:r>
        <w:rPr>
          <w:rFonts w:cstheme="minorHAnsi"/>
          <w:sz w:val="24"/>
          <w:szCs w:val="24"/>
        </w:rPr>
        <w:t>vedení cenných papírů</w:t>
      </w:r>
      <w:r w:rsidR="00052806">
        <w:rPr>
          <w:rFonts w:cstheme="minorHAnsi"/>
          <w:sz w:val="24"/>
          <w:szCs w:val="24"/>
        </w:rPr>
        <w:t xml:space="preserve"> v Centrálním depozitáři cenných papírů</w:t>
      </w:r>
      <w:r>
        <w:rPr>
          <w:rFonts w:cstheme="minorHAnsi"/>
          <w:sz w:val="24"/>
          <w:szCs w:val="24"/>
        </w:rPr>
        <w:t xml:space="preserve">. </w:t>
      </w:r>
    </w:p>
    <w:p w14:paraId="4505F0BF" w14:textId="77777777" w:rsidR="00CF2142" w:rsidRDefault="00CF2142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94A2F9" w14:textId="3A3281C2" w:rsidR="00DA6765" w:rsidRPr="00681CF2" w:rsidRDefault="00855D33" w:rsidP="00681CF2">
      <w:pPr>
        <w:spacing w:after="40"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 w:rsidRPr="00681CF2">
        <w:rPr>
          <w:rFonts w:cstheme="minorHAnsi"/>
          <w:b/>
          <w:bCs/>
          <w:sz w:val="24"/>
          <w:szCs w:val="24"/>
        </w:rPr>
        <w:t xml:space="preserve">Tabulka č. 2: Peněžní prostředky vynaložené na správu majetkových účastí v obchodních společnostech v gesci MF, MPO a </w:t>
      </w:r>
      <w:proofErr w:type="spellStart"/>
      <w:r w:rsidRPr="00681CF2">
        <w:rPr>
          <w:rFonts w:cstheme="minorHAnsi"/>
          <w:b/>
          <w:bCs/>
          <w:sz w:val="24"/>
          <w:szCs w:val="24"/>
        </w:rPr>
        <w:t>MZe</w:t>
      </w:r>
      <w:proofErr w:type="spellEnd"/>
      <w:r w:rsidRPr="00681CF2">
        <w:rPr>
          <w:rFonts w:cstheme="minorHAnsi"/>
          <w:b/>
          <w:bCs/>
          <w:sz w:val="24"/>
          <w:szCs w:val="24"/>
        </w:rPr>
        <w:t xml:space="preserve"> v letech 2020</w:t>
      </w:r>
      <w:r w:rsidR="00D50729">
        <w:rPr>
          <w:rFonts w:cstheme="minorHAnsi"/>
          <w:b/>
          <w:bCs/>
          <w:sz w:val="24"/>
          <w:szCs w:val="24"/>
        </w:rPr>
        <w:t>–</w:t>
      </w:r>
      <w:r w:rsidRPr="00681CF2">
        <w:rPr>
          <w:rFonts w:cstheme="minorHAnsi"/>
          <w:b/>
          <w:bCs/>
          <w:sz w:val="24"/>
          <w:szCs w:val="24"/>
        </w:rPr>
        <w:t xml:space="preserve">2024 </w:t>
      </w:r>
      <w:r w:rsidR="00DA6765" w:rsidRPr="00681CF2">
        <w:rPr>
          <w:rFonts w:cstheme="minorHAnsi"/>
          <w:b/>
          <w:bCs/>
          <w:sz w:val="24"/>
          <w:szCs w:val="24"/>
        </w:rPr>
        <w:t xml:space="preserve">(v Kč) </w:t>
      </w:r>
    </w:p>
    <w:tbl>
      <w:tblPr>
        <w:tblW w:w="9014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17"/>
        <w:gridCol w:w="1191"/>
        <w:gridCol w:w="1559"/>
        <w:gridCol w:w="1304"/>
        <w:gridCol w:w="1559"/>
        <w:gridCol w:w="1134"/>
      </w:tblGrid>
      <w:tr w:rsidR="00FA6DD1" w:rsidRPr="00751B5E" w14:paraId="332CC293" w14:textId="77777777" w:rsidTr="00FA6DD1">
        <w:trPr>
          <w:trHeight w:val="764"/>
          <w:jc w:val="center"/>
        </w:trPr>
        <w:tc>
          <w:tcPr>
            <w:tcW w:w="850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53F5C" w14:textId="77777777" w:rsidR="00DA6765" w:rsidRPr="00227FDD" w:rsidRDefault="00DA6765" w:rsidP="00DA676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27FDD">
              <w:rPr>
                <w:rFonts w:cstheme="minorHAnsi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17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C836B" w14:textId="5DE907AF" w:rsidR="00DA6765" w:rsidRPr="00227FDD" w:rsidRDefault="00DA6765" w:rsidP="002C05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DD">
              <w:rPr>
                <w:rFonts w:cstheme="minorHAnsi"/>
                <w:b/>
                <w:bCs/>
                <w:sz w:val="20"/>
                <w:szCs w:val="20"/>
              </w:rPr>
              <w:t>Vynaložené peněžní prostředky MF</w:t>
            </w:r>
          </w:p>
        </w:tc>
        <w:tc>
          <w:tcPr>
            <w:tcW w:w="119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A4EED" w14:textId="1C5728C1" w:rsidR="00DA6765" w:rsidRPr="00227FDD" w:rsidRDefault="00DA6765" w:rsidP="002C05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DD">
              <w:rPr>
                <w:rFonts w:cstheme="minorHAnsi"/>
                <w:b/>
                <w:bCs/>
                <w:sz w:val="20"/>
                <w:szCs w:val="20"/>
              </w:rPr>
              <w:t>Počet obchodních společností MF</w:t>
            </w:r>
          </w:p>
        </w:tc>
        <w:tc>
          <w:tcPr>
            <w:tcW w:w="1559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2B6A1" w14:textId="1B753B2C" w:rsidR="00DA6765" w:rsidRPr="00227FDD" w:rsidRDefault="00DA6765" w:rsidP="002C05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DD">
              <w:rPr>
                <w:rFonts w:cstheme="minorHAnsi"/>
                <w:b/>
                <w:bCs/>
                <w:sz w:val="20"/>
                <w:szCs w:val="20"/>
              </w:rPr>
              <w:t>Vynaložené peněžní prostředky MPO</w:t>
            </w:r>
          </w:p>
        </w:tc>
        <w:tc>
          <w:tcPr>
            <w:tcW w:w="1304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54B33" w14:textId="13751BA3" w:rsidR="00DA6765" w:rsidRPr="00227FDD" w:rsidRDefault="00DA6765" w:rsidP="002C05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DD">
              <w:rPr>
                <w:rFonts w:cstheme="minorHAnsi"/>
                <w:b/>
                <w:bCs/>
                <w:sz w:val="20"/>
                <w:szCs w:val="20"/>
              </w:rPr>
              <w:t>Počet obchodních společností MPO</w:t>
            </w:r>
          </w:p>
        </w:tc>
        <w:tc>
          <w:tcPr>
            <w:tcW w:w="1559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2E887" w14:textId="73BABD3C" w:rsidR="00DA6765" w:rsidRPr="00227FDD" w:rsidRDefault="00DA6765" w:rsidP="002C05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DD">
              <w:rPr>
                <w:rFonts w:cstheme="minorHAnsi"/>
                <w:b/>
                <w:bCs/>
                <w:sz w:val="20"/>
                <w:szCs w:val="20"/>
              </w:rPr>
              <w:t xml:space="preserve">Vynaložené peněžní prostředky </w:t>
            </w:r>
            <w:proofErr w:type="spellStart"/>
            <w:r w:rsidRPr="00227FDD">
              <w:rPr>
                <w:rFonts w:cstheme="minorHAnsi"/>
                <w:b/>
                <w:bCs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1134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F4667" w14:textId="2B7578D5" w:rsidR="00DA6765" w:rsidRPr="00227FDD" w:rsidRDefault="00DA6765" w:rsidP="002C058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DD">
              <w:rPr>
                <w:rFonts w:cstheme="minorHAnsi"/>
                <w:b/>
                <w:bCs/>
                <w:sz w:val="20"/>
                <w:szCs w:val="20"/>
              </w:rPr>
              <w:t xml:space="preserve">Počet obchodních společností </w:t>
            </w:r>
            <w:proofErr w:type="spellStart"/>
            <w:r w:rsidRPr="00227FDD">
              <w:rPr>
                <w:rFonts w:cstheme="minorHAnsi"/>
                <w:b/>
                <w:bCs/>
                <w:sz w:val="20"/>
                <w:szCs w:val="20"/>
              </w:rPr>
              <w:t>MZe</w:t>
            </w:r>
            <w:proofErr w:type="spellEnd"/>
          </w:p>
        </w:tc>
      </w:tr>
      <w:tr w:rsidR="00FA6DD1" w:rsidRPr="00751B5E" w14:paraId="490CC8DC" w14:textId="77777777" w:rsidTr="00FA6DD1">
        <w:trPr>
          <w:trHeight w:val="300"/>
          <w:jc w:val="center"/>
        </w:trPr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14895" w14:textId="77777777" w:rsidR="00DA6765" w:rsidRPr="003968C0" w:rsidRDefault="00DA6765" w:rsidP="00DA67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A6B66" w14:textId="558A457B" w:rsidR="00DA6765" w:rsidRPr="003968C0" w:rsidRDefault="006448DF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1B5E">
              <w:rPr>
                <w:rFonts w:cstheme="minorHAnsi"/>
                <w:sz w:val="20"/>
                <w:szCs w:val="20"/>
              </w:rPr>
              <w:t>22 516 330</w:t>
            </w:r>
          </w:p>
        </w:tc>
        <w:tc>
          <w:tcPr>
            <w:tcW w:w="11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B6F7C7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C7154" w14:textId="77777777" w:rsidR="00DA6765" w:rsidRPr="003968C0" w:rsidRDefault="00DA6765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2 481 582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44370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BBE1B4" w14:textId="77777777" w:rsidR="00DA6765" w:rsidRPr="003968C0" w:rsidRDefault="00DA6765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1 743 971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E7935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A6DD1" w:rsidRPr="00751B5E" w14:paraId="73F0D9DC" w14:textId="77777777" w:rsidTr="00FA6DD1">
        <w:trPr>
          <w:trHeight w:val="300"/>
          <w:jc w:val="center"/>
        </w:trPr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7B43" w14:textId="77777777" w:rsidR="00DA6765" w:rsidRPr="003968C0" w:rsidRDefault="00DA6765" w:rsidP="00DA67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F7CED" w14:textId="349854A7" w:rsidR="00DA6765" w:rsidRPr="003968C0" w:rsidRDefault="006448DF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1B5E">
              <w:rPr>
                <w:rFonts w:cstheme="minorHAnsi"/>
                <w:sz w:val="20"/>
                <w:szCs w:val="20"/>
              </w:rPr>
              <w:t>24 825 890</w:t>
            </w:r>
          </w:p>
        </w:tc>
        <w:tc>
          <w:tcPr>
            <w:tcW w:w="11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863CB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893877" w14:textId="77777777" w:rsidR="00DA6765" w:rsidRPr="003968C0" w:rsidRDefault="00DA6765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2 577 763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7FF48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91CA9" w14:textId="77777777" w:rsidR="00DA6765" w:rsidRPr="003968C0" w:rsidRDefault="00DA6765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1 738 569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D5F60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A6DD1" w:rsidRPr="00751B5E" w14:paraId="43F50904" w14:textId="77777777" w:rsidTr="00FA6DD1">
        <w:trPr>
          <w:trHeight w:val="300"/>
          <w:jc w:val="center"/>
        </w:trPr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2D404" w14:textId="77777777" w:rsidR="00DA6765" w:rsidRPr="003968C0" w:rsidRDefault="00DA6765" w:rsidP="00DA67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C8A7A" w14:textId="52F463C2" w:rsidR="00DA6765" w:rsidRPr="003968C0" w:rsidRDefault="006448DF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1B5E">
              <w:rPr>
                <w:rFonts w:cstheme="minorHAnsi"/>
                <w:sz w:val="20"/>
                <w:szCs w:val="20"/>
              </w:rPr>
              <w:t>30 397 432</w:t>
            </w:r>
          </w:p>
        </w:tc>
        <w:tc>
          <w:tcPr>
            <w:tcW w:w="11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928E3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259A5" w14:textId="77777777" w:rsidR="00DA6765" w:rsidRPr="003968C0" w:rsidRDefault="00DA6765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3 036 136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5C5DD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48E98" w14:textId="77777777" w:rsidR="00DA6765" w:rsidRPr="003968C0" w:rsidRDefault="00DA6765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2 011 460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F38DA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A6DD1" w:rsidRPr="00751B5E" w14:paraId="27CCA442" w14:textId="77777777" w:rsidTr="00FA6DD1">
        <w:trPr>
          <w:trHeight w:val="300"/>
          <w:jc w:val="center"/>
        </w:trPr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7C82E" w14:textId="77777777" w:rsidR="00DA6765" w:rsidRPr="003968C0" w:rsidRDefault="00DA6765" w:rsidP="00DA67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74B80" w14:textId="04A3E232" w:rsidR="00DA6765" w:rsidRPr="003968C0" w:rsidRDefault="006448DF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1B5E">
              <w:rPr>
                <w:rFonts w:cstheme="minorHAnsi"/>
                <w:sz w:val="20"/>
                <w:szCs w:val="20"/>
              </w:rPr>
              <w:t>31 740 973</w:t>
            </w:r>
          </w:p>
        </w:tc>
        <w:tc>
          <w:tcPr>
            <w:tcW w:w="11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84F94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1D80D" w14:textId="77777777" w:rsidR="00DA6765" w:rsidRPr="003968C0" w:rsidRDefault="00DA6765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4 401 326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A4B28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20E9B" w14:textId="77777777" w:rsidR="00DA6765" w:rsidRPr="003968C0" w:rsidRDefault="00DA6765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1 834 388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71852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A6DD1" w:rsidRPr="00751B5E" w14:paraId="573031F7" w14:textId="77777777" w:rsidTr="00FA6DD1">
        <w:trPr>
          <w:trHeight w:val="300"/>
          <w:jc w:val="center"/>
        </w:trPr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640BB" w14:textId="77777777" w:rsidR="00DA6765" w:rsidRPr="003968C0" w:rsidRDefault="00DA6765" w:rsidP="00DA67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E2E17" w14:textId="1E294E0A" w:rsidR="00DA6765" w:rsidRPr="003968C0" w:rsidRDefault="006448DF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51B5E">
              <w:rPr>
                <w:rFonts w:cstheme="minorHAnsi"/>
                <w:sz w:val="20"/>
                <w:szCs w:val="20"/>
              </w:rPr>
              <w:t>31 565 165</w:t>
            </w:r>
          </w:p>
        </w:tc>
        <w:tc>
          <w:tcPr>
            <w:tcW w:w="11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AC80D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96E32" w14:textId="77777777" w:rsidR="00DA6765" w:rsidRPr="003968C0" w:rsidRDefault="00DA6765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2 734 725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5407B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7756B" w14:textId="77777777" w:rsidR="00DA6765" w:rsidRPr="003968C0" w:rsidRDefault="00DA6765" w:rsidP="003968C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1 858 057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04F54" w14:textId="77777777" w:rsidR="00DA6765" w:rsidRPr="003968C0" w:rsidRDefault="00DA6765" w:rsidP="00396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8C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A6DD1" w:rsidRPr="00751B5E" w14:paraId="7064DA89" w14:textId="77777777" w:rsidTr="00C45202">
        <w:trPr>
          <w:trHeight w:val="300"/>
          <w:jc w:val="center"/>
        </w:trPr>
        <w:tc>
          <w:tcPr>
            <w:tcW w:w="850" w:type="dxa"/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9B2A9" w14:textId="77777777" w:rsidR="00DA6765" w:rsidRPr="00FA6DD1" w:rsidRDefault="00DA6765" w:rsidP="00DA676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A6DD1">
              <w:rPr>
                <w:rFonts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417" w:type="dxa"/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7E6BE" w14:textId="31A3A01D" w:rsidR="00DA6765" w:rsidRPr="00FA6DD1" w:rsidRDefault="006448DF" w:rsidP="003968C0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6DD1">
              <w:rPr>
                <w:rFonts w:cstheme="minorHAnsi"/>
                <w:b/>
                <w:bCs/>
                <w:sz w:val="20"/>
                <w:szCs w:val="20"/>
              </w:rPr>
              <w:t>141 045 789</w:t>
            </w:r>
          </w:p>
        </w:tc>
        <w:tc>
          <w:tcPr>
            <w:tcW w:w="1191" w:type="dxa"/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BEFD8" w14:textId="77777777" w:rsidR="00DA6765" w:rsidRPr="00FA6DD1" w:rsidRDefault="00DA6765" w:rsidP="00C4520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DD1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D362A" w14:textId="77777777" w:rsidR="00DA6765" w:rsidRPr="00FA6DD1" w:rsidRDefault="00DA6765" w:rsidP="003968C0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6DD1">
              <w:rPr>
                <w:rFonts w:cstheme="minorHAnsi"/>
                <w:b/>
                <w:bCs/>
                <w:sz w:val="20"/>
                <w:szCs w:val="20"/>
              </w:rPr>
              <w:t>15 231 532</w:t>
            </w:r>
          </w:p>
        </w:tc>
        <w:tc>
          <w:tcPr>
            <w:tcW w:w="1304" w:type="dxa"/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3DD79" w14:textId="77777777" w:rsidR="00DA6765" w:rsidRPr="00FA6DD1" w:rsidRDefault="00DA6765" w:rsidP="00C4520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DD1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43A3A" w14:textId="77777777" w:rsidR="00DA6765" w:rsidRPr="00FA6DD1" w:rsidRDefault="00DA6765" w:rsidP="003968C0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6DD1">
              <w:rPr>
                <w:rFonts w:cstheme="minorHAnsi"/>
                <w:b/>
                <w:bCs/>
                <w:sz w:val="20"/>
                <w:szCs w:val="20"/>
              </w:rPr>
              <w:t>9 186 445</w:t>
            </w:r>
          </w:p>
        </w:tc>
        <w:tc>
          <w:tcPr>
            <w:tcW w:w="1134" w:type="dxa"/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ACA04" w14:textId="77777777" w:rsidR="00DA6765" w:rsidRPr="00FA6DD1" w:rsidRDefault="00DA6765" w:rsidP="00D5072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DD1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</w:tbl>
    <w:p w14:paraId="4512A673" w14:textId="6C2BDB00" w:rsidR="00AE3104" w:rsidRDefault="00856BF1" w:rsidP="00681CF2">
      <w:pPr>
        <w:spacing w:before="40" w:after="0" w:line="240" w:lineRule="auto"/>
        <w:rPr>
          <w:rFonts w:cstheme="minorHAnsi"/>
          <w:sz w:val="24"/>
          <w:szCs w:val="24"/>
        </w:rPr>
      </w:pPr>
      <w:r w:rsidRPr="00681CF2">
        <w:rPr>
          <w:rFonts w:cstheme="minorHAnsi"/>
          <w:b/>
          <w:bCs/>
          <w:sz w:val="20"/>
          <w:szCs w:val="20"/>
        </w:rPr>
        <w:t>Zdroj:</w:t>
      </w:r>
      <w:r w:rsidRPr="006C0D1E">
        <w:rPr>
          <w:rFonts w:cstheme="minorHAnsi"/>
          <w:sz w:val="20"/>
          <w:szCs w:val="20"/>
        </w:rPr>
        <w:t xml:space="preserve"> vypracoval NKÚ na základě dat poskytnutých MF, MPO a </w:t>
      </w:r>
      <w:proofErr w:type="spellStart"/>
      <w:r w:rsidRPr="006C0D1E">
        <w:rPr>
          <w:rFonts w:cstheme="minorHAnsi"/>
          <w:sz w:val="20"/>
          <w:szCs w:val="20"/>
        </w:rPr>
        <w:t>MZe</w:t>
      </w:r>
      <w:proofErr w:type="spellEnd"/>
      <w:r>
        <w:rPr>
          <w:rFonts w:cstheme="minorHAnsi"/>
          <w:sz w:val="20"/>
          <w:szCs w:val="20"/>
        </w:rPr>
        <w:t xml:space="preserve">, </w:t>
      </w:r>
      <w:r w:rsidR="00D50729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 xml:space="preserve">právy o plnění </w:t>
      </w:r>
      <w:r w:rsidR="00F02CAC">
        <w:rPr>
          <w:rFonts w:cstheme="minorHAnsi"/>
          <w:sz w:val="20"/>
          <w:szCs w:val="20"/>
        </w:rPr>
        <w:t xml:space="preserve">Strategie </w:t>
      </w:r>
      <w:r>
        <w:rPr>
          <w:rFonts w:cstheme="minorHAnsi"/>
          <w:sz w:val="20"/>
          <w:szCs w:val="20"/>
        </w:rPr>
        <w:t>2020</w:t>
      </w:r>
      <w:r w:rsidR="00D50729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>2024</w:t>
      </w:r>
      <w:r w:rsidR="00745832">
        <w:rPr>
          <w:rFonts w:cstheme="minorHAnsi"/>
          <w:sz w:val="20"/>
          <w:szCs w:val="20"/>
        </w:rPr>
        <w:t>.</w:t>
      </w:r>
    </w:p>
    <w:p w14:paraId="45E3FBC3" w14:textId="77777777" w:rsidR="00005413" w:rsidRDefault="00005413" w:rsidP="00BC2A72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63E36E3" w14:textId="697D853C" w:rsidR="00005413" w:rsidRDefault="007F68A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64E20">
        <w:rPr>
          <w:rFonts w:cstheme="minorHAnsi"/>
          <w:sz w:val="24"/>
          <w:szCs w:val="24"/>
        </w:rPr>
        <w:t xml:space="preserve">Obchodním společnostem </w:t>
      </w:r>
      <w:r w:rsidR="00C74AA6">
        <w:rPr>
          <w:rFonts w:cstheme="minorHAnsi"/>
          <w:sz w:val="24"/>
          <w:szCs w:val="24"/>
        </w:rPr>
        <w:t xml:space="preserve">v gesci MF, MPO a </w:t>
      </w:r>
      <w:proofErr w:type="spellStart"/>
      <w:r w:rsidR="00C74AA6">
        <w:rPr>
          <w:rFonts w:cstheme="minorHAnsi"/>
          <w:sz w:val="24"/>
          <w:szCs w:val="24"/>
        </w:rPr>
        <w:t>MZe</w:t>
      </w:r>
      <w:proofErr w:type="spellEnd"/>
      <w:r w:rsidR="00C74AA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byly v letech 2020</w:t>
      </w:r>
      <w:r w:rsidR="00F02CAC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2024 ze státního rozpočtu poskytnuty peněžní prostředky v souvislosti s jejich činnost</w:t>
      </w:r>
      <w:r w:rsidR="00D618E3">
        <w:rPr>
          <w:rFonts w:cstheme="minorHAnsi"/>
          <w:sz w:val="24"/>
          <w:szCs w:val="24"/>
        </w:rPr>
        <w:t>í</w:t>
      </w:r>
      <w:r>
        <w:rPr>
          <w:rFonts w:cstheme="minorHAnsi"/>
          <w:sz w:val="24"/>
          <w:szCs w:val="24"/>
        </w:rPr>
        <w:t xml:space="preserve"> </w:t>
      </w:r>
      <w:r w:rsidR="00E6467B">
        <w:rPr>
          <w:rFonts w:cstheme="minorHAnsi"/>
          <w:sz w:val="24"/>
          <w:szCs w:val="24"/>
        </w:rPr>
        <w:t>ve výši</w:t>
      </w:r>
      <w:r>
        <w:rPr>
          <w:rFonts w:cstheme="minorHAnsi"/>
          <w:sz w:val="24"/>
          <w:szCs w:val="24"/>
        </w:rPr>
        <w:t xml:space="preserve"> 235,6 mld. Kč. Jednalo se především o peněžní prostředky na zvýšení základního kapitálu obchodní společnosti, vklad do fondu na krytí ztrát z poskytovaných záruk, krytí nákladů na ztrát</w:t>
      </w:r>
      <w:r w:rsidR="001E660C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v přenosové soustavě</w:t>
      </w:r>
      <w:r w:rsidR="001E660C">
        <w:rPr>
          <w:rFonts w:cstheme="minorHAnsi"/>
          <w:sz w:val="24"/>
          <w:szCs w:val="24"/>
        </w:rPr>
        <w:t xml:space="preserve"> a v případě obchodních společností OTE, </w:t>
      </w:r>
      <w:r w:rsidR="00594FD6">
        <w:rPr>
          <w:rFonts w:cstheme="minorHAnsi"/>
          <w:sz w:val="24"/>
          <w:szCs w:val="24"/>
        </w:rPr>
        <w:t>a.s.</w:t>
      </w:r>
      <w:r w:rsidR="00EC52ED">
        <w:rPr>
          <w:rFonts w:cstheme="minorHAnsi"/>
          <w:sz w:val="24"/>
          <w:szCs w:val="24"/>
        </w:rPr>
        <w:t xml:space="preserve">, </w:t>
      </w:r>
      <w:r w:rsidR="001E660C">
        <w:rPr>
          <w:rFonts w:cstheme="minorHAnsi"/>
          <w:sz w:val="24"/>
          <w:szCs w:val="24"/>
        </w:rPr>
        <w:t xml:space="preserve">a PGRLF, </w:t>
      </w:r>
      <w:r w:rsidR="00594FD6">
        <w:rPr>
          <w:rFonts w:cstheme="minorHAnsi"/>
          <w:sz w:val="24"/>
          <w:szCs w:val="24"/>
        </w:rPr>
        <w:t>a.s.</w:t>
      </w:r>
      <w:r w:rsidR="00F02CAC">
        <w:rPr>
          <w:rFonts w:cstheme="minorHAnsi"/>
          <w:sz w:val="24"/>
          <w:szCs w:val="24"/>
        </w:rPr>
        <w:t>,</w:t>
      </w:r>
      <w:r w:rsidR="001E660C">
        <w:rPr>
          <w:rFonts w:cstheme="minorHAnsi"/>
          <w:sz w:val="24"/>
          <w:szCs w:val="24"/>
        </w:rPr>
        <w:t xml:space="preserve"> o peněžní </w:t>
      </w:r>
      <w:r w:rsidR="001E660C">
        <w:rPr>
          <w:rFonts w:cstheme="minorHAnsi"/>
          <w:sz w:val="24"/>
          <w:szCs w:val="24"/>
        </w:rPr>
        <w:lastRenderedPageBreak/>
        <w:t>prostředky, které přerozdělují na podporu zdrojů energie a financování podpůrných programů.</w:t>
      </w:r>
    </w:p>
    <w:p w14:paraId="61A4794B" w14:textId="77777777" w:rsidR="00745832" w:rsidRDefault="00745832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6A043C" w14:textId="3D93D374" w:rsidR="000929F9" w:rsidRPr="00681CF2" w:rsidRDefault="007F68A4" w:rsidP="00727A34">
      <w:pPr>
        <w:spacing w:after="40" w:line="240" w:lineRule="auto"/>
        <w:ind w:left="1304" w:hanging="1304"/>
        <w:rPr>
          <w:rFonts w:cstheme="minorHAnsi"/>
          <w:b/>
          <w:bCs/>
          <w:sz w:val="24"/>
          <w:szCs w:val="24"/>
        </w:rPr>
      </w:pPr>
      <w:r w:rsidRPr="00681CF2">
        <w:rPr>
          <w:rFonts w:cstheme="minorHAnsi"/>
          <w:b/>
          <w:bCs/>
          <w:sz w:val="24"/>
          <w:szCs w:val="24"/>
        </w:rPr>
        <w:t xml:space="preserve">Tabulka č. </w:t>
      </w:r>
      <w:r w:rsidR="00855D33" w:rsidRPr="00681CF2">
        <w:rPr>
          <w:rFonts w:cstheme="minorHAnsi"/>
          <w:b/>
          <w:bCs/>
          <w:sz w:val="24"/>
          <w:szCs w:val="24"/>
        </w:rPr>
        <w:t>3</w:t>
      </w:r>
      <w:r w:rsidRPr="00681CF2">
        <w:rPr>
          <w:rFonts w:cstheme="minorHAnsi"/>
          <w:b/>
          <w:bCs/>
          <w:sz w:val="24"/>
          <w:szCs w:val="24"/>
        </w:rPr>
        <w:t>: Peněžní prostředky, které obdržely obchodní společnosti v gesci MF, MPO a</w:t>
      </w:r>
      <w:r w:rsidR="00681CF2">
        <w:rPr>
          <w:rFonts w:cstheme="minorHAnsi"/>
          <w:b/>
          <w:bCs/>
          <w:sz w:val="24"/>
          <w:szCs w:val="24"/>
        </w:rPr>
        <w:t> </w:t>
      </w:r>
      <w:proofErr w:type="spellStart"/>
      <w:r w:rsidRPr="00681CF2">
        <w:rPr>
          <w:rFonts w:cstheme="minorHAnsi"/>
          <w:b/>
          <w:bCs/>
          <w:sz w:val="24"/>
          <w:szCs w:val="24"/>
        </w:rPr>
        <w:t>MZe</w:t>
      </w:r>
      <w:proofErr w:type="spellEnd"/>
      <w:r w:rsidRPr="00681CF2">
        <w:rPr>
          <w:rFonts w:cstheme="minorHAnsi"/>
          <w:b/>
          <w:bCs/>
          <w:sz w:val="24"/>
          <w:szCs w:val="24"/>
        </w:rPr>
        <w:t xml:space="preserve"> </w:t>
      </w:r>
      <w:r w:rsidR="00122C78" w:rsidRPr="00681CF2">
        <w:rPr>
          <w:rFonts w:cstheme="minorHAnsi"/>
          <w:b/>
          <w:bCs/>
          <w:sz w:val="24"/>
          <w:szCs w:val="24"/>
        </w:rPr>
        <w:t xml:space="preserve">ze státního rozpočtu </w:t>
      </w:r>
      <w:r w:rsidR="00913EDD" w:rsidRPr="00681CF2">
        <w:rPr>
          <w:rFonts w:cstheme="minorHAnsi"/>
          <w:b/>
          <w:bCs/>
          <w:sz w:val="24"/>
          <w:szCs w:val="24"/>
        </w:rPr>
        <w:t>(</w:t>
      </w:r>
      <w:r w:rsidRPr="00681CF2">
        <w:rPr>
          <w:rFonts w:cstheme="minorHAnsi"/>
          <w:b/>
          <w:bCs/>
          <w:sz w:val="24"/>
          <w:szCs w:val="24"/>
        </w:rPr>
        <w:t>v mil. Kč)</w:t>
      </w:r>
    </w:p>
    <w:tbl>
      <w:tblPr>
        <w:tblW w:w="914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1181"/>
        <w:gridCol w:w="901"/>
        <w:gridCol w:w="1007"/>
        <w:gridCol w:w="857"/>
        <w:gridCol w:w="850"/>
        <w:gridCol w:w="851"/>
        <w:gridCol w:w="850"/>
        <w:gridCol w:w="1047"/>
      </w:tblGrid>
      <w:tr w:rsidR="00751B5E" w:rsidRPr="00855D33" w14:paraId="06E16718" w14:textId="77777777" w:rsidTr="00FA6DD1">
        <w:trPr>
          <w:trHeight w:val="83"/>
        </w:trPr>
        <w:tc>
          <w:tcPr>
            <w:tcW w:w="1601" w:type="dxa"/>
            <w:vMerge w:val="restart"/>
            <w:shd w:val="clear" w:color="000000" w:fill="E6E6E6"/>
            <w:vAlign w:val="center"/>
            <w:hideMark/>
          </w:tcPr>
          <w:p w14:paraId="36C8F243" w14:textId="633A2041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  <w:r w:rsidR="002F67B2"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obchodní společnosti</w:t>
            </w:r>
          </w:p>
        </w:tc>
        <w:tc>
          <w:tcPr>
            <w:tcW w:w="1181" w:type="dxa"/>
            <w:vMerge w:val="restart"/>
            <w:shd w:val="clear" w:color="000000" w:fill="E6E6E6"/>
            <w:vAlign w:val="center"/>
            <w:hideMark/>
          </w:tcPr>
          <w:p w14:paraId="5602B839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Gesční ministerstvo</w:t>
            </w:r>
          </w:p>
        </w:tc>
        <w:tc>
          <w:tcPr>
            <w:tcW w:w="901" w:type="dxa"/>
            <w:vMerge w:val="restart"/>
            <w:shd w:val="clear" w:color="000000" w:fill="E6E6E6"/>
            <w:vAlign w:val="center"/>
            <w:hideMark/>
          </w:tcPr>
          <w:p w14:paraId="41625247" w14:textId="4BEBD23A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státu </w:t>
            </w:r>
            <w:r w:rsid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 %)</w:t>
            </w:r>
          </w:p>
        </w:tc>
        <w:tc>
          <w:tcPr>
            <w:tcW w:w="5462" w:type="dxa"/>
            <w:gridSpan w:val="6"/>
            <w:shd w:val="clear" w:color="000000" w:fill="E6E6E6"/>
            <w:vAlign w:val="center"/>
            <w:hideMark/>
          </w:tcPr>
          <w:p w14:paraId="73FB3306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Prostředky poskytnuté ze SR</w:t>
            </w:r>
          </w:p>
        </w:tc>
      </w:tr>
      <w:tr w:rsidR="00855D33" w:rsidRPr="00855D33" w14:paraId="01713FF3" w14:textId="77777777" w:rsidTr="00FA6DD1">
        <w:trPr>
          <w:trHeight w:val="243"/>
        </w:trPr>
        <w:tc>
          <w:tcPr>
            <w:tcW w:w="1601" w:type="dxa"/>
            <w:vMerge/>
            <w:vAlign w:val="center"/>
            <w:hideMark/>
          </w:tcPr>
          <w:p w14:paraId="103CA537" w14:textId="77777777" w:rsidR="00855D33" w:rsidRPr="00FA6DD1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1" w:type="dxa"/>
            <w:vMerge/>
            <w:vAlign w:val="center"/>
            <w:hideMark/>
          </w:tcPr>
          <w:p w14:paraId="019AE9E1" w14:textId="77777777" w:rsidR="00855D33" w:rsidRPr="00FA6DD1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2F0B0760" w14:textId="77777777" w:rsidR="00855D33" w:rsidRPr="00FA6DD1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shd w:val="clear" w:color="000000" w:fill="E6E6E6"/>
            <w:vAlign w:val="center"/>
            <w:hideMark/>
          </w:tcPr>
          <w:p w14:paraId="5526AEEA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857" w:type="dxa"/>
            <w:shd w:val="clear" w:color="000000" w:fill="E6E6E6"/>
            <w:vAlign w:val="center"/>
            <w:hideMark/>
          </w:tcPr>
          <w:p w14:paraId="48111F76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850" w:type="dxa"/>
            <w:shd w:val="clear" w:color="000000" w:fill="E6E6E6"/>
            <w:vAlign w:val="center"/>
            <w:hideMark/>
          </w:tcPr>
          <w:p w14:paraId="53F0C8EF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851" w:type="dxa"/>
            <w:shd w:val="clear" w:color="000000" w:fill="E6E6E6"/>
            <w:vAlign w:val="center"/>
            <w:hideMark/>
          </w:tcPr>
          <w:p w14:paraId="57595536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850" w:type="dxa"/>
            <w:shd w:val="clear" w:color="000000" w:fill="E6E6E6"/>
            <w:vAlign w:val="center"/>
            <w:hideMark/>
          </w:tcPr>
          <w:p w14:paraId="1926D109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1047" w:type="dxa"/>
            <w:shd w:val="clear" w:color="000000" w:fill="E6E6E6"/>
            <w:vAlign w:val="center"/>
            <w:hideMark/>
          </w:tcPr>
          <w:p w14:paraId="012E06A3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855D33" w:rsidRPr="00855D33" w14:paraId="37A60C07" w14:textId="77777777" w:rsidTr="00FA6DD1">
        <w:trPr>
          <w:trHeight w:val="473"/>
        </w:trPr>
        <w:tc>
          <w:tcPr>
            <w:tcW w:w="1601" w:type="dxa"/>
            <w:noWrap/>
            <w:vAlign w:val="center"/>
            <w:hideMark/>
          </w:tcPr>
          <w:p w14:paraId="5C1FCC08" w14:textId="007B9DBF" w:rsidR="00855D33" w:rsidRPr="003968C0" w:rsidRDefault="00EC52ED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C5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Exportní garanční a pojišťovací společnost, a.s.</w:t>
            </w:r>
          </w:p>
        </w:tc>
        <w:tc>
          <w:tcPr>
            <w:tcW w:w="1181" w:type="dxa"/>
            <w:vMerge w:val="restart"/>
            <w:noWrap/>
            <w:vAlign w:val="center"/>
            <w:hideMark/>
          </w:tcPr>
          <w:p w14:paraId="4AE342AC" w14:textId="77777777" w:rsidR="00855D33" w:rsidRPr="003968C0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MF</w:t>
            </w:r>
          </w:p>
        </w:tc>
        <w:tc>
          <w:tcPr>
            <w:tcW w:w="901" w:type="dxa"/>
            <w:noWrap/>
            <w:vAlign w:val="center"/>
            <w:hideMark/>
          </w:tcPr>
          <w:p w14:paraId="0B818C51" w14:textId="77777777" w:rsidR="00855D33" w:rsidRPr="003968C0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7" w:type="dxa"/>
            <w:noWrap/>
            <w:vAlign w:val="center"/>
            <w:hideMark/>
          </w:tcPr>
          <w:p w14:paraId="03F0AC03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5 500,0</w:t>
            </w:r>
          </w:p>
        </w:tc>
        <w:tc>
          <w:tcPr>
            <w:tcW w:w="857" w:type="dxa"/>
            <w:noWrap/>
            <w:vAlign w:val="center"/>
            <w:hideMark/>
          </w:tcPr>
          <w:p w14:paraId="4303A57D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7DF0814D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851" w:type="dxa"/>
            <w:noWrap/>
            <w:vAlign w:val="center"/>
            <w:hideMark/>
          </w:tcPr>
          <w:p w14:paraId="0E9D5F76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239,0</w:t>
            </w:r>
          </w:p>
        </w:tc>
        <w:tc>
          <w:tcPr>
            <w:tcW w:w="850" w:type="dxa"/>
            <w:noWrap/>
            <w:vAlign w:val="center"/>
            <w:hideMark/>
          </w:tcPr>
          <w:p w14:paraId="4663E857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  <w:hideMark/>
          </w:tcPr>
          <w:p w14:paraId="01D52D79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6 539,0</w:t>
            </w:r>
          </w:p>
        </w:tc>
      </w:tr>
      <w:tr w:rsidR="00855D33" w:rsidRPr="00855D33" w14:paraId="7FA3C405" w14:textId="77777777" w:rsidTr="00FA6DD1">
        <w:trPr>
          <w:trHeight w:val="53"/>
        </w:trPr>
        <w:tc>
          <w:tcPr>
            <w:tcW w:w="1601" w:type="dxa"/>
            <w:noWrap/>
            <w:vAlign w:val="center"/>
            <w:hideMark/>
          </w:tcPr>
          <w:p w14:paraId="6CC1FE6E" w14:textId="215F5486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ČEPRO, </w:t>
            </w:r>
            <w:r w:rsidR="00594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181" w:type="dxa"/>
            <w:vMerge/>
            <w:vAlign w:val="center"/>
            <w:hideMark/>
          </w:tcPr>
          <w:p w14:paraId="694AB14D" w14:textId="77777777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noWrap/>
            <w:vAlign w:val="center"/>
            <w:hideMark/>
          </w:tcPr>
          <w:p w14:paraId="7180D42D" w14:textId="77777777" w:rsidR="00855D33" w:rsidRPr="003968C0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7" w:type="dxa"/>
            <w:noWrap/>
            <w:vAlign w:val="center"/>
            <w:hideMark/>
          </w:tcPr>
          <w:p w14:paraId="7658B031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7" w:type="dxa"/>
            <w:noWrap/>
            <w:vAlign w:val="center"/>
            <w:hideMark/>
          </w:tcPr>
          <w:p w14:paraId="436C2CBB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27FCCF30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28A52254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6222CBB4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  <w:hideMark/>
          </w:tcPr>
          <w:p w14:paraId="6BED9466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1,0</w:t>
            </w:r>
          </w:p>
        </w:tc>
      </w:tr>
      <w:tr w:rsidR="00855D33" w:rsidRPr="00855D33" w14:paraId="6F364975" w14:textId="77777777" w:rsidTr="00FA6DD1">
        <w:trPr>
          <w:trHeight w:val="53"/>
        </w:trPr>
        <w:tc>
          <w:tcPr>
            <w:tcW w:w="1601" w:type="dxa"/>
            <w:noWrap/>
            <w:vAlign w:val="center"/>
            <w:hideMark/>
          </w:tcPr>
          <w:p w14:paraId="3750EB1A" w14:textId="1474589D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PRISKO </w:t>
            </w:r>
            <w:r w:rsidR="00594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181" w:type="dxa"/>
            <w:vMerge/>
            <w:vAlign w:val="center"/>
            <w:hideMark/>
          </w:tcPr>
          <w:p w14:paraId="36582481" w14:textId="77777777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noWrap/>
            <w:vAlign w:val="center"/>
            <w:hideMark/>
          </w:tcPr>
          <w:p w14:paraId="6E7D3D74" w14:textId="77777777" w:rsidR="00855D33" w:rsidRPr="003968C0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7" w:type="dxa"/>
            <w:noWrap/>
            <w:vAlign w:val="center"/>
            <w:hideMark/>
          </w:tcPr>
          <w:p w14:paraId="55AB8E1D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1 273,0</w:t>
            </w:r>
          </w:p>
        </w:tc>
        <w:tc>
          <w:tcPr>
            <w:tcW w:w="857" w:type="dxa"/>
            <w:noWrap/>
            <w:vAlign w:val="center"/>
            <w:hideMark/>
          </w:tcPr>
          <w:p w14:paraId="3177DBDB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5E3A3AEC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7AF34BD1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62B09A31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  <w:hideMark/>
          </w:tcPr>
          <w:p w14:paraId="2C184103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1 273,0</w:t>
            </w:r>
          </w:p>
        </w:tc>
      </w:tr>
      <w:tr w:rsidR="00855D33" w:rsidRPr="00855D33" w14:paraId="0DD6F17C" w14:textId="77777777" w:rsidTr="00FA6DD1">
        <w:trPr>
          <w:trHeight w:val="53"/>
        </w:trPr>
        <w:tc>
          <w:tcPr>
            <w:tcW w:w="1601" w:type="dxa"/>
            <w:noWrap/>
            <w:vAlign w:val="center"/>
            <w:hideMark/>
          </w:tcPr>
          <w:p w14:paraId="6E46C1C7" w14:textId="4E78373B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THERMAL-F, </w:t>
            </w:r>
            <w:r w:rsidR="00594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181" w:type="dxa"/>
            <w:vMerge/>
            <w:vAlign w:val="center"/>
            <w:hideMark/>
          </w:tcPr>
          <w:p w14:paraId="2B84DD4A" w14:textId="77777777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noWrap/>
            <w:vAlign w:val="center"/>
            <w:hideMark/>
          </w:tcPr>
          <w:p w14:paraId="232A2C3D" w14:textId="77777777" w:rsidR="00855D33" w:rsidRPr="003968C0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7" w:type="dxa"/>
            <w:noWrap/>
            <w:vAlign w:val="center"/>
            <w:hideMark/>
          </w:tcPr>
          <w:p w14:paraId="23EFD729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7" w:type="dxa"/>
            <w:noWrap/>
            <w:vAlign w:val="center"/>
            <w:hideMark/>
          </w:tcPr>
          <w:p w14:paraId="431DFFCF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300,0</w:t>
            </w:r>
          </w:p>
        </w:tc>
        <w:tc>
          <w:tcPr>
            <w:tcW w:w="850" w:type="dxa"/>
            <w:noWrap/>
            <w:vAlign w:val="center"/>
            <w:hideMark/>
          </w:tcPr>
          <w:p w14:paraId="70EB7FB6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158F6F51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3AAE3631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  <w:hideMark/>
          </w:tcPr>
          <w:p w14:paraId="4861BF61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300,0</w:t>
            </w:r>
          </w:p>
        </w:tc>
      </w:tr>
      <w:tr w:rsidR="0094702B" w:rsidRPr="00855D33" w14:paraId="29BF3EB2" w14:textId="77777777" w:rsidTr="00FA6DD1">
        <w:trPr>
          <w:trHeight w:val="53"/>
        </w:trPr>
        <w:tc>
          <w:tcPr>
            <w:tcW w:w="3683" w:type="dxa"/>
            <w:gridSpan w:val="3"/>
            <w:noWrap/>
            <w:vAlign w:val="center"/>
          </w:tcPr>
          <w:p w14:paraId="037C5832" w14:textId="5DC51F65" w:rsidR="0094702B" w:rsidRPr="00331014" w:rsidRDefault="0094702B" w:rsidP="0039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MF</w:t>
            </w:r>
          </w:p>
        </w:tc>
        <w:tc>
          <w:tcPr>
            <w:tcW w:w="1007" w:type="dxa"/>
            <w:noWrap/>
            <w:vAlign w:val="center"/>
          </w:tcPr>
          <w:p w14:paraId="54501CC0" w14:textId="41F3141B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6 773,0</w:t>
            </w:r>
          </w:p>
        </w:tc>
        <w:tc>
          <w:tcPr>
            <w:tcW w:w="857" w:type="dxa"/>
            <w:noWrap/>
            <w:vAlign w:val="center"/>
          </w:tcPr>
          <w:p w14:paraId="206BE07F" w14:textId="3B908672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300,0</w:t>
            </w:r>
          </w:p>
        </w:tc>
        <w:tc>
          <w:tcPr>
            <w:tcW w:w="850" w:type="dxa"/>
            <w:noWrap/>
            <w:vAlign w:val="center"/>
          </w:tcPr>
          <w:p w14:paraId="65902D72" w14:textId="1D4B169B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500,0</w:t>
            </w:r>
          </w:p>
        </w:tc>
        <w:tc>
          <w:tcPr>
            <w:tcW w:w="851" w:type="dxa"/>
            <w:noWrap/>
            <w:vAlign w:val="center"/>
          </w:tcPr>
          <w:p w14:paraId="672C48ED" w14:textId="4EC9145A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239,0</w:t>
            </w:r>
          </w:p>
        </w:tc>
        <w:tc>
          <w:tcPr>
            <w:tcW w:w="850" w:type="dxa"/>
            <w:noWrap/>
            <w:vAlign w:val="center"/>
          </w:tcPr>
          <w:p w14:paraId="28F6961F" w14:textId="20F26236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301,0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</w:tcPr>
          <w:p w14:paraId="16E9FDEE" w14:textId="77217BD5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8 113,0</w:t>
            </w:r>
          </w:p>
        </w:tc>
      </w:tr>
      <w:tr w:rsidR="00855D33" w:rsidRPr="00855D33" w14:paraId="3F835395" w14:textId="77777777" w:rsidTr="00FA6DD1">
        <w:trPr>
          <w:trHeight w:val="53"/>
        </w:trPr>
        <w:tc>
          <w:tcPr>
            <w:tcW w:w="1601" w:type="dxa"/>
            <w:noWrap/>
            <w:vAlign w:val="center"/>
            <w:hideMark/>
          </w:tcPr>
          <w:p w14:paraId="0698E65F" w14:textId="74EBB51C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ČEPS, </w:t>
            </w:r>
            <w:r w:rsidR="00594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181" w:type="dxa"/>
            <w:vMerge w:val="restart"/>
            <w:noWrap/>
            <w:vAlign w:val="center"/>
            <w:hideMark/>
          </w:tcPr>
          <w:p w14:paraId="32CA6DCE" w14:textId="118FFBD8" w:rsidR="00855D33" w:rsidRPr="003968C0" w:rsidRDefault="00331014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MPO</w:t>
            </w:r>
          </w:p>
        </w:tc>
        <w:tc>
          <w:tcPr>
            <w:tcW w:w="901" w:type="dxa"/>
            <w:noWrap/>
            <w:vAlign w:val="center"/>
            <w:hideMark/>
          </w:tcPr>
          <w:p w14:paraId="1AE34085" w14:textId="77777777" w:rsidR="00855D33" w:rsidRPr="003968C0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7" w:type="dxa"/>
            <w:noWrap/>
            <w:vAlign w:val="center"/>
            <w:hideMark/>
          </w:tcPr>
          <w:p w14:paraId="1B2EE923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7" w:type="dxa"/>
            <w:noWrap/>
            <w:vAlign w:val="center"/>
            <w:hideMark/>
          </w:tcPr>
          <w:p w14:paraId="71B2ADBE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6EC03D8B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6005F082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18 655,0</w:t>
            </w:r>
          </w:p>
        </w:tc>
        <w:tc>
          <w:tcPr>
            <w:tcW w:w="850" w:type="dxa"/>
            <w:noWrap/>
            <w:vAlign w:val="center"/>
            <w:hideMark/>
          </w:tcPr>
          <w:p w14:paraId="5EE8A489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1 315,0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  <w:hideMark/>
          </w:tcPr>
          <w:p w14:paraId="1DFCF888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19 970,0</w:t>
            </w:r>
          </w:p>
        </w:tc>
      </w:tr>
      <w:tr w:rsidR="00855D33" w:rsidRPr="00855D33" w14:paraId="5D4F5006" w14:textId="77777777" w:rsidTr="00FA6DD1">
        <w:trPr>
          <w:trHeight w:val="53"/>
        </w:trPr>
        <w:tc>
          <w:tcPr>
            <w:tcW w:w="1601" w:type="dxa"/>
            <w:noWrap/>
            <w:vAlign w:val="center"/>
            <w:hideMark/>
          </w:tcPr>
          <w:p w14:paraId="3AE3B218" w14:textId="5BBD4CEF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OTE, </w:t>
            </w:r>
            <w:r w:rsidR="00594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181" w:type="dxa"/>
            <w:vMerge/>
            <w:vAlign w:val="center"/>
            <w:hideMark/>
          </w:tcPr>
          <w:p w14:paraId="4C341F8E" w14:textId="77777777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noWrap/>
            <w:vAlign w:val="center"/>
            <w:hideMark/>
          </w:tcPr>
          <w:p w14:paraId="06AB6674" w14:textId="77777777" w:rsidR="00855D33" w:rsidRPr="003968C0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7" w:type="dxa"/>
            <w:noWrap/>
            <w:vAlign w:val="center"/>
            <w:hideMark/>
          </w:tcPr>
          <w:p w14:paraId="788617C6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26 565,0</w:t>
            </w:r>
          </w:p>
        </w:tc>
        <w:tc>
          <w:tcPr>
            <w:tcW w:w="857" w:type="dxa"/>
            <w:noWrap/>
            <w:vAlign w:val="center"/>
            <w:hideMark/>
          </w:tcPr>
          <w:p w14:paraId="4B4B0A81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27 101,0</w:t>
            </w:r>
          </w:p>
        </w:tc>
        <w:tc>
          <w:tcPr>
            <w:tcW w:w="850" w:type="dxa"/>
            <w:noWrap/>
            <w:vAlign w:val="center"/>
            <w:hideMark/>
          </w:tcPr>
          <w:p w14:paraId="18DECF35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45 002,0</w:t>
            </w:r>
          </w:p>
        </w:tc>
        <w:tc>
          <w:tcPr>
            <w:tcW w:w="851" w:type="dxa"/>
            <w:noWrap/>
            <w:vAlign w:val="center"/>
            <w:hideMark/>
          </w:tcPr>
          <w:p w14:paraId="36BFDDA6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72 400,0</w:t>
            </w:r>
          </w:p>
        </w:tc>
        <w:tc>
          <w:tcPr>
            <w:tcW w:w="850" w:type="dxa"/>
            <w:noWrap/>
            <w:vAlign w:val="center"/>
            <w:hideMark/>
          </w:tcPr>
          <w:p w14:paraId="79A70863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27 523,0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  <w:hideMark/>
          </w:tcPr>
          <w:p w14:paraId="17F9AB10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198 591,0</w:t>
            </w:r>
          </w:p>
        </w:tc>
      </w:tr>
      <w:tr w:rsidR="00855D33" w:rsidRPr="00855D33" w14:paraId="04E0FA1E" w14:textId="77777777" w:rsidTr="00FA6DD1">
        <w:trPr>
          <w:trHeight w:val="53"/>
        </w:trPr>
        <w:tc>
          <w:tcPr>
            <w:tcW w:w="1601" w:type="dxa"/>
            <w:noWrap/>
            <w:vAlign w:val="center"/>
            <w:hideMark/>
          </w:tcPr>
          <w:p w14:paraId="6B422184" w14:textId="30EF6364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Explosia</w:t>
            </w:r>
            <w:proofErr w:type="spellEnd"/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94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181" w:type="dxa"/>
            <w:vMerge/>
            <w:vAlign w:val="center"/>
            <w:hideMark/>
          </w:tcPr>
          <w:p w14:paraId="630CA6BC" w14:textId="77777777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noWrap/>
            <w:vAlign w:val="center"/>
            <w:hideMark/>
          </w:tcPr>
          <w:p w14:paraId="776555C8" w14:textId="77777777" w:rsidR="00855D33" w:rsidRPr="003968C0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7" w:type="dxa"/>
            <w:noWrap/>
            <w:vAlign w:val="center"/>
            <w:hideMark/>
          </w:tcPr>
          <w:p w14:paraId="0598D18C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7" w:type="dxa"/>
            <w:noWrap/>
            <w:vAlign w:val="center"/>
            <w:hideMark/>
          </w:tcPr>
          <w:p w14:paraId="52AB8CF3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1A4B1CBF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4E9A9664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850" w:type="dxa"/>
            <w:noWrap/>
            <w:vAlign w:val="center"/>
            <w:hideMark/>
          </w:tcPr>
          <w:p w14:paraId="1B884D5A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  <w:hideMark/>
          </w:tcPr>
          <w:p w14:paraId="570C330F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16,0</w:t>
            </w:r>
          </w:p>
        </w:tc>
      </w:tr>
      <w:tr w:rsidR="00855D33" w:rsidRPr="00855D33" w14:paraId="0338BBF9" w14:textId="77777777" w:rsidTr="00FA6DD1">
        <w:trPr>
          <w:trHeight w:val="53"/>
        </w:trPr>
        <w:tc>
          <w:tcPr>
            <w:tcW w:w="1601" w:type="dxa"/>
            <w:noWrap/>
            <w:vAlign w:val="center"/>
            <w:hideMark/>
          </w:tcPr>
          <w:p w14:paraId="18E8F5FE" w14:textId="29FD5E47" w:rsidR="00855D33" w:rsidRPr="003968C0" w:rsidRDefault="006D612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SIRS</w:t>
            </w:r>
            <w:r w:rsidR="00EC52ED" w:rsidRPr="00EC5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C52ED" w:rsidRPr="00EC5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181" w:type="dxa"/>
            <w:vMerge/>
            <w:vAlign w:val="center"/>
            <w:hideMark/>
          </w:tcPr>
          <w:p w14:paraId="3C31C43A" w14:textId="77777777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noWrap/>
            <w:vAlign w:val="center"/>
            <w:hideMark/>
          </w:tcPr>
          <w:p w14:paraId="5C41AC53" w14:textId="77777777" w:rsidR="00855D33" w:rsidRPr="003968C0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7" w:type="dxa"/>
            <w:noWrap/>
            <w:vAlign w:val="center"/>
            <w:hideMark/>
          </w:tcPr>
          <w:p w14:paraId="5E7CE263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7" w:type="dxa"/>
            <w:noWrap/>
            <w:vAlign w:val="center"/>
            <w:hideMark/>
          </w:tcPr>
          <w:p w14:paraId="7805E1ED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14B94BDE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23A04669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56B9FDEA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150,0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  <w:hideMark/>
          </w:tcPr>
          <w:p w14:paraId="384ED6B2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150,0</w:t>
            </w:r>
          </w:p>
        </w:tc>
      </w:tr>
      <w:tr w:rsidR="0094702B" w:rsidRPr="00855D33" w14:paraId="308E27FC" w14:textId="77777777" w:rsidTr="00FA6DD1">
        <w:trPr>
          <w:trHeight w:val="53"/>
        </w:trPr>
        <w:tc>
          <w:tcPr>
            <w:tcW w:w="3683" w:type="dxa"/>
            <w:gridSpan w:val="3"/>
            <w:noWrap/>
            <w:vAlign w:val="center"/>
          </w:tcPr>
          <w:p w14:paraId="36930CF9" w14:textId="246BAF94" w:rsidR="0094702B" w:rsidRPr="00331014" w:rsidRDefault="0094702B" w:rsidP="0039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MPO</w:t>
            </w:r>
          </w:p>
        </w:tc>
        <w:tc>
          <w:tcPr>
            <w:tcW w:w="1007" w:type="dxa"/>
            <w:noWrap/>
            <w:vAlign w:val="center"/>
          </w:tcPr>
          <w:p w14:paraId="4265876C" w14:textId="42BDC251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26 565,0</w:t>
            </w:r>
          </w:p>
        </w:tc>
        <w:tc>
          <w:tcPr>
            <w:tcW w:w="857" w:type="dxa"/>
            <w:noWrap/>
            <w:vAlign w:val="center"/>
          </w:tcPr>
          <w:p w14:paraId="4C090157" w14:textId="0C91C013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27 101,0</w:t>
            </w:r>
          </w:p>
        </w:tc>
        <w:tc>
          <w:tcPr>
            <w:tcW w:w="850" w:type="dxa"/>
            <w:noWrap/>
            <w:vAlign w:val="center"/>
          </w:tcPr>
          <w:p w14:paraId="10854EE9" w14:textId="2F1A2785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45 002,0</w:t>
            </w:r>
          </w:p>
        </w:tc>
        <w:tc>
          <w:tcPr>
            <w:tcW w:w="851" w:type="dxa"/>
            <w:noWrap/>
            <w:vAlign w:val="center"/>
          </w:tcPr>
          <w:p w14:paraId="6530EE20" w14:textId="1167BBD2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91 071,0</w:t>
            </w:r>
          </w:p>
        </w:tc>
        <w:tc>
          <w:tcPr>
            <w:tcW w:w="850" w:type="dxa"/>
            <w:noWrap/>
            <w:vAlign w:val="center"/>
          </w:tcPr>
          <w:p w14:paraId="212C2548" w14:textId="2D382BF6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28 988,0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</w:tcPr>
          <w:p w14:paraId="359F04F6" w14:textId="538FF247" w:rsidR="0094702B" w:rsidRPr="00331014" w:rsidRDefault="0094702B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218 727,0</w:t>
            </w:r>
          </w:p>
        </w:tc>
      </w:tr>
      <w:tr w:rsidR="00855D33" w:rsidRPr="00855D33" w14:paraId="0692DA38" w14:textId="77777777" w:rsidTr="00FA6DD1">
        <w:trPr>
          <w:trHeight w:val="53"/>
        </w:trPr>
        <w:tc>
          <w:tcPr>
            <w:tcW w:w="1601" w:type="dxa"/>
            <w:noWrap/>
            <w:vAlign w:val="center"/>
            <w:hideMark/>
          </w:tcPr>
          <w:p w14:paraId="687ACF19" w14:textId="7816880E" w:rsidR="00855D33" w:rsidRPr="003968C0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PGRLF, </w:t>
            </w:r>
            <w:r w:rsidR="00594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181" w:type="dxa"/>
            <w:noWrap/>
            <w:vAlign w:val="center"/>
            <w:hideMark/>
          </w:tcPr>
          <w:p w14:paraId="4A67CE8B" w14:textId="136E7F1E" w:rsidR="00855D33" w:rsidRPr="003968C0" w:rsidRDefault="00E44B6A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MZe</w:t>
            </w:r>
            <w:proofErr w:type="spellEnd"/>
          </w:p>
        </w:tc>
        <w:tc>
          <w:tcPr>
            <w:tcW w:w="901" w:type="dxa"/>
            <w:shd w:val="clear" w:color="000000" w:fill="FFFFFF"/>
            <w:noWrap/>
            <w:vAlign w:val="center"/>
            <w:hideMark/>
          </w:tcPr>
          <w:p w14:paraId="0B6B89E2" w14:textId="77777777" w:rsidR="00855D33" w:rsidRPr="003968C0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7" w:type="dxa"/>
            <w:noWrap/>
            <w:vAlign w:val="center"/>
            <w:hideMark/>
          </w:tcPr>
          <w:p w14:paraId="37955F58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2 100,0</w:t>
            </w:r>
          </w:p>
        </w:tc>
        <w:tc>
          <w:tcPr>
            <w:tcW w:w="857" w:type="dxa"/>
            <w:noWrap/>
            <w:vAlign w:val="center"/>
            <w:hideMark/>
          </w:tcPr>
          <w:p w14:paraId="78778E4E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1 500,0</w:t>
            </w:r>
          </w:p>
        </w:tc>
        <w:tc>
          <w:tcPr>
            <w:tcW w:w="850" w:type="dxa"/>
            <w:noWrap/>
            <w:vAlign w:val="center"/>
            <w:hideMark/>
          </w:tcPr>
          <w:p w14:paraId="1D9B3049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1 668,4</w:t>
            </w:r>
          </w:p>
        </w:tc>
        <w:tc>
          <w:tcPr>
            <w:tcW w:w="851" w:type="dxa"/>
            <w:noWrap/>
            <w:vAlign w:val="center"/>
            <w:hideMark/>
          </w:tcPr>
          <w:p w14:paraId="6598345D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2 081,6</w:t>
            </w:r>
          </w:p>
        </w:tc>
        <w:tc>
          <w:tcPr>
            <w:tcW w:w="850" w:type="dxa"/>
            <w:noWrap/>
            <w:vAlign w:val="center"/>
            <w:hideMark/>
          </w:tcPr>
          <w:p w14:paraId="1B1DB771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1 450,0</w:t>
            </w:r>
          </w:p>
        </w:tc>
        <w:tc>
          <w:tcPr>
            <w:tcW w:w="1047" w:type="dxa"/>
            <w:shd w:val="clear" w:color="000000" w:fill="FFFFFF"/>
            <w:noWrap/>
            <w:vAlign w:val="center"/>
            <w:hideMark/>
          </w:tcPr>
          <w:p w14:paraId="5E1333DB" w14:textId="77777777" w:rsidR="00855D33" w:rsidRPr="003968C0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68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8 800,0</w:t>
            </w:r>
          </w:p>
        </w:tc>
      </w:tr>
      <w:tr w:rsidR="0094702B" w:rsidRPr="00855D33" w14:paraId="5C27C71C" w14:textId="77777777" w:rsidTr="00FA6DD1">
        <w:trPr>
          <w:trHeight w:val="328"/>
        </w:trPr>
        <w:tc>
          <w:tcPr>
            <w:tcW w:w="3683" w:type="dxa"/>
            <w:gridSpan w:val="3"/>
            <w:noWrap/>
            <w:vAlign w:val="center"/>
          </w:tcPr>
          <w:p w14:paraId="0D2C38A1" w14:textId="01CD531F" w:rsidR="0094702B" w:rsidRPr="00331014" w:rsidRDefault="0094702B" w:rsidP="00947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Celkem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MZe</w:t>
            </w:r>
            <w:proofErr w:type="spellEnd"/>
          </w:p>
        </w:tc>
        <w:tc>
          <w:tcPr>
            <w:tcW w:w="1007" w:type="dxa"/>
            <w:noWrap/>
            <w:vAlign w:val="center"/>
          </w:tcPr>
          <w:p w14:paraId="74853627" w14:textId="58B19C7E" w:rsidR="0094702B" w:rsidRPr="00331014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96C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2 100,0</w:t>
            </w:r>
          </w:p>
        </w:tc>
        <w:tc>
          <w:tcPr>
            <w:tcW w:w="857" w:type="dxa"/>
            <w:noWrap/>
            <w:vAlign w:val="center"/>
          </w:tcPr>
          <w:p w14:paraId="357B62D1" w14:textId="30CD6212" w:rsidR="0094702B" w:rsidRPr="00331014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96C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1 500,0</w:t>
            </w:r>
          </w:p>
        </w:tc>
        <w:tc>
          <w:tcPr>
            <w:tcW w:w="850" w:type="dxa"/>
            <w:noWrap/>
            <w:vAlign w:val="center"/>
          </w:tcPr>
          <w:p w14:paraId="598AAE16" w14:textId="52380D47" w:rsidR="0094702B" w:rsidRPr="00331014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96C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1 668,4</w:t>
            </w:r>
          </w:p>
        </w:tc>
        <w:tc>
          <w:tcPr>
            <w:tcW w:w="851" w:type="dxa"/>
            <w:noWrap/>
            <w:vAlign w:val="center"/>
          </w:tcPr>
          <w:p w14:paraId="38456ABE" w14:textId="4B62343C" w:rsidR="0094702B" w:rsidRPr="00331014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96C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2 081,6</w:t>
            </w:r>
          </w:p>
        </w:tc>
        <w:tc>
          <w:tcPr>
            <w:tcW w:w="850" w:type="dxa"/>
            <w:noWrap/>
            <w:vAlign w:val="center"/>
          </w:tcPr>
          <w:p w14:paraId="5A1CD250" w14:textId="117ABAAA" w:rsidR="0094702B" w:rsidRPr="00331014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96C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1 450,0</w:t>
            </w:r>
          </w:p>
        </w:tc>
        <w:tc>
          <w:tcPr>
            <w:tcW w:w="1047" w:type="dxa"/>
            <w:noWrap/>
            <w:vAlign w:val="center"/>
          </w:tcPr>
          <w:p w14:paraId="1EBD385B" w14:textId="2C57CF92" w:rsidR="0094702B" w:rsidRPr="00331014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6C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8 800,0</w:t>
            </w:r>
          </w:p>
        </w:tc>
      </w:tr>
      <w:tr w:rsidR="00751B5E" w:rsidRPr="00855D33" w14:paraId="31F15539" w14:textId="77777777" w:rsidTr="00FA6DD1">
        <w:trPr>
          <w:trHeight w:val="44"/>
        </w:trPr>
        <w:tc>
          <w:tcPr>
            <w:tcW w:w="3683" w:type="dxa"/>
            <w:gridSpan w:val="3"/>
            <w:shd w:val="clear" w:color="000000" w:fill="E6E6E6"/>
            <w:noWrap/>
            <w:vAlign w:val="center"/>
            <w:hideMark/>
          </w:tcPr>
          <w:p w14:paraId="5853AA49" w14:textId="77777777" w:rsidR="0094702B" w:rsidRPr="00FA6DD1" w:rsidRDefault="0094702B" w:rsidP="009470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07" w:type="dxa"/>
            <w:shd w:val="clear" w:color="000000" w:fill="E6E6E6"/>
            <w:noWrap/>
            <w:vAlign w:val="center"/>
            <w:hideMark/>
          </w:tcPr>
          <w:p w14:paraId="1CB8A3AA" w14:textId="77777777" w:rsidR="0094702B" w:rsidRPr="00FA6DD1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35 438,0</w:t>
            </w:r>
          </w:p>
        </w:tc>
        <w:tc>
          <w:tcPr>
            <w:tcW w:w="857" w:type="dxa"/>
            <w:shd w:val="clear" w:color="000000" w:fill="E6E6E6"/>
            <w:noWrap/>
            <w:vAlign w:val="center"/>
            <w:hideMark/>
          </w:tcPr>
          <w:p w14:paraId="726B6EDF" w14:textId="77777777" w:rsidR="0094702B" w:rsidRPr="00FA6DD1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28 901,0</w:t>
            </w:r>
          </w:p>
        </w:tc>
        <w:tc>
          <w:tcPr>
            <w:tcW w:w="850" w:type="dxa"/>
            <w:shd w:val="clear" w:color="000000" w:fill="E6E6E6"/>
            <w:noWrap/>
            <w:vAlign w:val="center"/>
            <w:hideMark/>
          </w:tcPr>
          <w:p w14:paraId="1E89511B" w14:textId="77777777" w:rsidR="0094702B" w:rsidRPr="00FA6DD1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47 170,4</w:t>
            </w:r>
          </w:p>
        </w:tc>
        <w:tc>
          <w:tcPr>
            <w:tcW w:w="851" w:type="dxa"/>
            <w:shd w:val="clear" w:color="000000" w:fill="E6E6E6"/>
            <w:noWrap/>
            <w:vAlign w:val="center"/>
            <w:hideMark/>
          </w:tcPr>
          <w:p w14:paraId="14F94876" w14:textId="77777777" w:rsidR="0094702B" w:rsidRPr="00FA6DD1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93 391,6</w:t>
            </w:r>
          </w:p>
        </w:tc>
        <w:tc>
          <w:tcPr>
            <w:tcW w:w="850" w:type="dxa"/>
            <w:shd w:val="clear" w:color="000000" w:fill="E6E6E6"/>
            <w:noWrap/>
            <w:vAlign w:val="center"/>
            <w:hideMark/>
          </w:tcPr>
          <w:p w14:paraId="3A5D8D91" w14:textId="77777777" w:rsidR="0094702B" w:rsidRPr="00FA6DD1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30 739,0</w:t>
            </w:r>
          </w:p>
        </w:tc>
        <w:tc>
          <w:tcPr>
            <w:tcW w:w="1047" w:type="dxa"/>
            <w:shd w:val="clear" w:color="000000" w:fill="E6E6E6"/>
            <w:noWrap/>
            <w:vAlign w:val="center"/>
            <w:hideMark/>
          </w:tcPr>
          <w:p w14:paraId="320CBE15" w14:textId="77777777" w:rsidR="0094702B" w:rsidRPr="00FA6DD1" w:rsidRDefault="0094702B" w:rsidP="00947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235 640,0</w:t>
            </w:r>
          </w:p>
        </w:tc>
      </w:tr>
    </w:tbl>
    <w:p w14:paraId="37DBCA9E" w14:textId="379EF457" w:rsidR="00CF2142" w:rsidRPr="003968C0" w:rsidRDefault="007F68A4" w:rsidP="00681CF2">
      <w:pPr>
        <w:spacing w:before="40" w:after="0" w:line="240" w:lineRule="auto"/>
        <w:ind w:left="567" w:hanging="567"/>
        <w:jc w:val="both"/>
        <w:rPr>
          <w:sz w:val="20"/>
          <w:szCs w:val="20"/>
        </w:rPr>
      </w:pPr>
      <w:r w:rsidRPr="00681CF2">
        <w:rPr>
          <w:rFonts w:cstheme="minorHAnsi"/>
          <w:b/>
          <w:bCs/>
          <w:sz w:val="20"/>
          <w:szCs w:val="20"/>
        </w:rPr>
        <w:t>Zdroj:</w:t>
      </w:r>
      <w:r w:rsidRPr="00745832">
        <w:rPr>
          <w:kern w:val="2"/>
          <w:sz w:val="20"/>
          <w:szCs w:val="20"/>
          <w14:ligatures w14:val="standardContextual"/>
        </w:rPr>
        <w:t xml:space="preserve"> </w:t>
      </w:r>
      <w:r w:rsidR="00681CF2">
        <w:rPr>
          <w:kern w:val="2"/>
          <w:sz w:val="20"/>
          <w:szCs w:val="20"/>
          <w14:ligatures w14:val="standardContextual"/>
        </w:rPr>
        <w:tab/>
      </w:r>
      <w:r w:rsidR="00F02CAC">
        <w:rPr>
          <w:rFonts w:ascii="Calibri" w:hAnsi="Calibri" w:cs="Calibri"/>
          <w:bCs/>
          <w:iCs/>
          <w:sz w:val="20"/>
          <w:szCs w:val="20"/>
        </w:rPr>
        <w:t>s</w:t>
      </w:r>
      <w:r w:rsidRPr="00745832">
        <w:rPr>
          <w:rFonts w:ascii="Calibri" w:hAnsi="Calibri" w:cs="Calibri"/>
          <w:bCs/>
          <w:iCs/>
          <w:sz w:val="20"/>
          <w:szCs w:val="20"/>
        </w:rPr>
        <w:t>tátní závěrečn</w:t>
      </w:r>
      <w:r w:rsidR="00F02CAC">
        <w:rPr>
          <w:rFonts w:ascii="Calibri" w:hAnsi="Calibri" w:cs="Calibri"/>
          <w:bCs/>
          <w:iCs/>
          <w:sz w:val="20"/>
          <w:szCs w:val="20"/>
        </w:rPr>
        <w:t>é</w:t>
      </w:r>
      <w:r w:rsidRPr="00745832">
        <w:rPr>
          <w:rFonts w:ascii="Calibri" w:hAnsi="Calibri" w:cs="Calibri"/>
          <w:bCs/>
          <w:iCs/>
          <w:sz w:val="20"/>
          <w:szCs w:val="20"/>
        </w:rPr>
        <w:t xml:space="preserve"> účt</w:t>
      </w:r>
      <w:r w:rsidR="00F02CAC">
        <w:rPr>
          <w:rFonts w:ascii="Calibri" w:hAnsi="Calibri" w:cs="Calibri"/>
          <w:bCs/>
          <w:iCs/>
          <w:sz w:val="20"/>
          <w:szCs w:val="20"/>
        </w:rPr>
        <w:t>y</w:t>
      </w:r>
      <w:r w:rsidRPr="00745832">
        <w:rPr>
          <w:rFonts w:ascii="Calibri" w:hAnsi="Calibri" w:cs="Calibri"/>
          <w:bCs/>
          <w:iCs/>
          <w:sz w:val="20"/>
          <w:szCs w:val="20"/>
        </w:rPr>
        <w:t xml:space="preserve"> České republiky za roky 2020</w:t>
      </w:r>
      <w:r w:rsidR="00F02CAC">
        <w:rPr>
          <w:rFonts w:ascii="Calibri" w:hAnsi="Calibri" w:cs="Calibri"/>
          <w:bCs/>
          <w:iCs/>
          <w:sz w:val="20"/>
          <w:szCs w:val="20"/>
        </w:rPr>
        <w:t>–</w:t>
      </w:r>
      <w:r w:rsidRPr="00745832">
        <w:rPr>
          <w:rFonts w:ascii="Calibri" w:hAnsi="Calibri" w:cs="Calibri"/>
          <w:bCs/>
          <w:iCs/>
          <w:sz w:val="20"/>
          <w:szCs w:val="20"/>
        </w:rPr>
        <w:t xml:space="preserve">2024, </w:t>
      </w:r>
      <w:r w:rsidR="004F4C0B">
        <w:rPr>
          <w:rFonts w:ascii="Calibri" w:hAnsi="Calibri" w:cs="Calibri"/>
          <w:bCs/>
          <w:iCs/>
          <w:sz w:val="20"/>
          <w:szCs w:val="20"/>
        </w:rPr>
        <w:t>z</w:t>
      </w:r>
      <w:r w:rsidR="002E6386" w:rsidRPr="00C45202">
        <w:rPr>
          <w:rFonts w:ascii="Calibri" w:hAnsi="Calibri" w:cs="Calibri"/>
          <w:bCs/>
          <w:iCs/>
          <w:sz w:val="20"/>
          <w:szCs w:val="20"/>
        </w:rPr>
        <w:t>práv</w:t>
      </w:r>
      <w:r w:rsidR="004F4C0B" w:rsidRPr="00C45202">
        <w:rPr>
          <w:rFonts w:ascii="Calibri" w:hAnsi="Calibri" w:cs="Calibri"/>
          <w:bCs/>
          <w:iCs/>
          <w:sz w:val="20"/>
          <w:szCs w:val="20"/>
        </w:rPr>
        <w:t>y</w:t>
      </w:r>
      <w:r w:rsidR="002E6386" w:rsidRPr="00C45202">
        <w:rPr>
          <w:rFonts w:ascii="Calibri" w:hAnsi="Calibri" w:cs="Calibri"/>
          <w:bCs/>
          <w:iCs/>
          <w:sz w:val="20"/>
          <w:szCs w:val="20"/>
        </w:rPr>
        <w:t xml:space="preserve"> o činnosti a výsledcích strategických společností s majetkovou účastí státu, státních podniků a národního podniku</w:t>
      </w:r>
      <w:r w:rsidR="002E6386" w:rsidRPr="004F4C0B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2E6386" w:rsidRPr="00745832">
        <w:rPr>
          <w:rFonts w:ascii="Calibri" w:hAnsi="Calibri" w:cs="Calibri"/>
          <w:bCs/>
          <w:iCs/>
          <w:sz w:val="20"/>
          <w:szCs w:val="20"/>
        </w:rPr>
        <w:t>(</w:t>
      </w:r>
      <w:r w:rsidR="00E6467B" w:rsidRPr="00745832">
        <w:rPr>
          <w:rFonts w:ascii="Calibri" w:hAnsi="Calibri" w:cs="Calibri"/>
          <w:bCs/>
          <w:iCs/>
          <w:sz w:val="20"/>
          <w:szCs w:val="20"/>
        </w:rPr>
        <w:t>dále také</w:t>
      </w:r>
      <w:r w:rsidR="002E6386" w:rsidRPr="00745832">
        <w:rPr>
          <w:rFonts w:ascii="Calibri" w:hAnsi="Calibri" w:cs="Calibri"/>
          <w:bCs/>
          <w:iCs/>
          <w:sz w:val="20"/>
          <w:szCs w:val="20"/>
        </w:rPr>
        <w:t xml:space="preserve"> „</w:t>
      </w:r>
      <w:r w:rsidR="00D15B6F">
        <w:rPr>
          <w:rFonts w:ascii="Calibri" w:hAnsi="Calibri" w:cs="Calibri"/>
          <w:bCs/>
          <w:iCs/>
          <w:sz w:val="20"/>
          <w:szCs w:val="20"/>
        </w:rPr>
        <w:t>z</w:t>
      </w:r>
      <w:r w:rsidR="002E6386" w:rsidRPr="00745832">
        <w:rPr>
          <w:rFonts w:ascii="Calibri" w:hAnsi="Calibri" w:cs="Calibri"/>
          <w:bCs/>
          <w:iCs/>
          <w:sz w:val="20"/>
          <w:szCs w:val="20"/>
        </w:rPr>
        <w:t>práva o</w:t>
      </w:r>
      <w:r w:rsidR="00681CF2">
        <w:rPr>
          <w:rFonts w:ascii="Calibri" w:hAnsi="Calibri" w:cs="Calibri"/>
          <w:bCs/>
          <w:iCs/>
          <w:sz w:val="20"/>
          <w:szCs w:val="20"/>
        </w:rPr>
        <w:t> </w:t>
      </w:r>
      <w:r w:rsidR="002E6386" w:rsidRPr="00745832">
        <w:rPr>
          <w:rFonts w:ascii="Calibri" w:hAnsi="Calibri" w:cs="Calibri"/>
          <w:bCs/>
          <w:iCs/>
          <w:sz w:val="20"/>
          <w:szCs w:val="20"/>
        </w:rPr>
        <w:t>činnosti“)</w:t>
      </w:r>
      <w:r w:rsidRPr="00745832">
        <w:rPr>
          <w:rFonts w:cstheme="minorHAnsi"/>
          <w:sz w:val="20"/>
          <w:szCs w:val="20"/>
        </w:rPr>
        <w:t xml:space="preserve"> 2020</w:t>
      </w:r>
      <w:r w:rsidR="00C1770C">
        <w:rPr>
          <w:rFonts w:cstheme="minorHAnsi"/>
          <w:sz w:val="20"/>
          <w:szCs w:val="20"/>
        </w:rPr>
        <w:t>–</w:t>
      </w:r>
      <w:r w:rsidRPr="00745832">
        <w:rPr>
          <w:rFonts w:cstheme="minorHAnsi"/>
          <w:sz w:val="20"/>
          <w:szCs w:val="20"/>
        </w:rPr>
        <w:t>2023, výroční zprávy obchodních společností</w:t>
      </w:r>
      <w:r w:rsidR="0094702B" w:rsidRPr="00745832">
        <w:rPr>
          <w:rFonts w:cstheme="minorHAnsi"/>
          <w:sz w:val="20"/>
          <w:szCs w:val="20"/>
        </w:rPr>
        <w:t xml:space="preserve">, </w:t>
      </w:r>
      <w:r w:rsidR="0094702B" w:rsidRPr="003968C0">
        <w:rPr>
          <w:sz w:val="20"/>
          <w:szCs w:val="20"/>
        </w:rPr>
        <w:t>údaje poskytnuté MF, MPO a</w:t>
      </w:r>
      <w:r w:rsidR="00C1770C">
        <w:rPr>
          <w:sz w:val="20"/>
          <w:szCs w:val="20"/>
        </w:rPr>
        <w:t> </w:t>
      </w:r>
      <w:proofErr w:type="spellStart"/>
      <w:r w:rsidR="0094702B" w:rsidRPr="003968C0">
        <w:rPr>
          <w:sz w:val="20"/>
          <w:szCs w:val="20"/>
        </w:rPr>
        <w:t>MZe</w:t>
      </w:r>
      <w:proofErr w:type="spellEnd"/>
      <w:r w:rsidR="00745832" w:rsidRPr="003968C0">
        <w:rPr>
          <w:sz w:val="20"/>
          <w:szCs w:val="20"/>
        </w:rPr>
        <w:t>.</w:t>
      </w:r>
    </w:p>
    <w:p w14:paraId="246EE50F" w14:textId="337AB9BF" w:rsidR="0018611F" w:rsidRPr="003D2451" w:rsidRDefault="00E25A36" w:rsidP="00681CF2">
      <w:pPr>
        <w:spacing w:after="0" w:line="240" w:lineRule="auto"/>
        <w:ind w:left="567" w:hanging="567"/>
        <w:jc w:val="both"/>
        <w:rPr>
          <w:sz w:val="20"/>
          <w:szCs w:val="20"/>
        </w:rPr>
      </w:pPr>
      <w:r w:rsidRPr="00681CF2">
        <w:rPr>
          <w:b/>
          <w:bCs/>
          <w:sz w:val="20"/>
          <w:szCs w:val="20"/>
        </w:rPr>
        <w:t>Pozn.:</w:t>
      </w:r>
      <w:r w:rsidRPr="003968C0">
        <w:rPr>
          <w:sz w:val="20"/>
          <w:szCs w:val="20"/>
        </w:rPr>
        <w:t xml:space="preserve"> V tabulce může dojít k drobným odchylkám z důvodu zaokrouhlování</w:t>
      </w:r>
      <w:r w:rsidR="00745832" w:rsidRPr="00745832">
        <w:rPr>
          <w:sz w:val="20"/>
          <w:szCs w:val="20"/>
        </w:rPr>
        <w:t>.</w:t>
      </w:r>
    </w:p>
    <w:p w14:paraId="67480E1A" w14:textId="77777777" w:rsidR="007D3809" w:rsidRDefault="007F68A4" w:rsidP="009651D5">
      <w:pPr>
        <w:pStyle w:val="Nadpis1"/>
        <w:numPr>
          <w:ilvl w:val="0"/>
          <w:numId w:val="0"/>
        </w:numPr>
        <w:spacing w:before="840" w:after="240"/>
        <w:jc w:val="center"/>
        <w:rPr>
          <w:sz w:val="28"/>
          <w:szCs w:val="28"/>
        </w:rPr>
      </w:pPr>
      <w:r w:rsidRPr="007F1D90">
        <w:rPr>
          <w:sz w:val="28"/>
          <w:szCs w:val="28"/>
        </w:rPr>
        <w:t>III. Rozsah kontroly</w:t>
      </w:r>
    </w:p>
    <w:p w14:paraId="28CC1F0E" w14:textId="44CC4764" w:rsidR="002617DD" w:rsidRDefault="007F68A4" w:rsidP="002617DD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884F1B">
        <w:rPr>
          <w:sz w:val="24"/>
          <w:szCs w:val="24"/>
          <w:lang w:eastAsia="cs-CZ"/>
        </w:rPr>
        <w:t xml:space="preserve">Cílem kontrolní akce </w:t>
      </w:r>
      <w:r>
        <w:rPr>
          <w:sz w:val="24"/>
          <w:szCs w:val="24"/>
          <w:lang w:eastAsia="cs-CZ"/>
        </w:rPr>
        <w:t xml:space="preserve">bylo </w:t>
      </w:r>
      <w:r>
        <w:rPr>
          <w:rFonts w:ascii="Calibri" w:hAnsi="Calibri"/>
          <w:color w:val="000000"/>
          <w:sz w:val="24"/>
          <w:szCs w:val="24"/>
        </w:rPr>
        <w:t>p</w:t>
      </w:r>
      <w:r w:rsidRPr="00884F1B">
        <w:rPr>
          <w:rFonts w:ascii="Calibri" w:hAnsi="Calibri"/>
          <w:color w:val="000000"/>
          <w:sz w:val="24"/>
          <w:szCs w:val="24"/>
        </w:rPr>
        <w:t xml:space="preserve">rověřit, zda </w:t>
      </w:r>
      <w:r w:rsidR="00836FFE">
        <w:rPr>
          <w:rFonts w:ascii="Calibri" w:hAnsi="Calibri"/>
          <w:color w:val="000000"/>
          <w:sz w:val="24"/>
          <w:szCs w:val="24"/>
        </w:rPr>
        <w:t>MF, MPO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="00836FFE">
        <w:rPr>
          <w:rFonts w:ascii="Calibri" w:hAnsi="Calibri"/>
          <w:color w:val="000000"/>
          <w:sz w:val="24"/>
          <w:szCs w:val="24"/>
        </w:rPr>
        <w:t>a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AB461F">
        <w:rPr>
          <w:rFonts w:ascii="Calibri" w:hAnsi="Calibri"/>
          <w:color w:val="000000"/>
          <w:sz w:val="24"/>
          <w:szCs w:val="24"/>
        </w:rPr>
        <w:t>MZe</w:t>
      </w:r>
      <w:proofErr w:type="spellEnd"/>
      <w:r w:rsidR="00AB461F">
        <w:rPr>
          <w:rFonts w:ascii="Calibri" w:hAnsi="Calibri"/>
          <w:color w:val="000000"/>
          <w:sz w:val="24"/>
          <w:szCs w:val="24"/>
        </w:rPr>
        <w:t xml:space="preserve"> </w:t>
      </w:r>
      <w:r w:rsidRPr="00884F1B">
        <w:rPr>
          <w:rFonts w:ascii="Calibri" w:hAnsi="Calibri"/>
          <w:color w:val="000000"/>
          <w:sz w:val="24"/>
          <w:szCs w:val="24"/>
        </w:rPr>
        <w:t>vykonáva</w:t>
      </w:r>
      <w:r>
        <w:rPr>
          <w:rFonts w:ascii="Calibri" w:hAnsi="Calibri"/>
          <w:color w:val="000000"/>
          <w:sz w:val="24"/>
          <w:szCs w:val="24"/>
        </w:rPr>
        <w:t>ly</w:t>
      </w:r>
      <w:r w:rsidRPr="00884F1B">
        <w:rPr>
          <w:rFonts w:ascii="Calibri" w:hAnsi="Calibri"/>
          <w:color w:val="000000"/>
          <w:sz w:val="24"/>
          <w:szCs w:val="24"/>
        </w:rPr>
        <w:t xml:space="preserve"> správu majetkových účastí státu v souladu s cíli </w:t>
      </w:r>
      <w:r w:rsidRPr="00884F1B">
        <w:rPr>
          <w:rFonts w:ascii="Calibri" w:hAnsi="Calibri"/>
          <w:i/>
          <w:color w:val="000000"/>
          <w:sz w:val="24"/>
          <w:szCs w:val="24"/>
        </w:rPr>
        <w:t>Strategie vlastnické politiky státu</w:t>
      </w:r>
      <w:r w:rsidRPr="00884F1B">
        <w:rPr>
          <w:rFonts w:ascii="Calibri" w:hAnsi="Calibri"/>
          <w:color w:val="000000"/>
          <w:sz w:val="24"/>
          <w:szCs w:val="24"/>
        </w:rPr>
        <w:t xml:space="preserve"> a zda při správě subjektů s majetkovou účastí státu postupují v souladu s právními předpisy</w:t>
      </w:r>
      <w:r>
        <w:rPr>
          <w:rFonts w:ascii="Calibri" w:hAnsi="Calibri"/>
          <w:color w:val="000000"/>
          <w:sz w:val="24"/>
          <w:szCs w:val="24"/>
        </w:rPr>
        <w:t xml:space="preserve">. NKÚ rovněž ověřoval plnění opatření přijatých k nápravě nedostatků zjištěných v KA </w:t>
      </w:r>
      <w:r w:rsidR="00401224">
        <w:rPr>
          <w:rFonts w:ascii="Calibri" w:hAnsi="Calibri"/>
          <w:color w:val="000000"/>
          <w:sz w:val="24"/>
          <w:szCs w:val="24"/>
        </w:rPr>
        <w:t xml:space="preserve">č. </w:t>
      </w:r>
      <w:r>
        <w:rPr>
          <w:rFonts w:ascii="Calibri" w:hAnsi="Calibri"/>
          <w:color w:val="000000"/>
          <w:sz w:val="24"/>
          <w:szCs w:val="24"/>
        </w:rPr>
        <w:t xml:space="preserve">15/05 a v KA </w:t>
      </w:r>
      <w:r w:rsidR="00401224">
        <w:rPr>
          <w:rFonts w:ascii="Calibri" w:hAnsi="Calibri"/>
          <w:color w:val="000000"/>
          <w:sz w:val="24"/>
          <w:szCs w:val="24"/>
        </w:rPr>
        <w:t xml:space="preserve">č. </w:t>
      </w:r>
      <w:r>
        <w:rPr>
          <w:rFonts w:ascii="Calibri" w:hAnsi="Calibri"/>
          <w:color w:val="000000"/>
          <w:sz w:val="24"/>
          <w:szCs w:val="24"/>
        </w:rPr>
        <w:t>19/18.</w:t>
      </w:r>
    </w:p>
    <w:p w14:paraId="39D024B1" w14:textId="77777777" w:rsidR="002B7B6B" w:rsidRDefault="002B7B6B" w:rsidP="00BC2A72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011C7485" w14:textId="77777777" w:rsidR="002B7B6B" w:rsidRDefault="007F68A4" w:rsidP="00BC2A72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 účelem naplnění cíle a předmětu kontroly NKÚ ověřoval:</w:t>
      </w:r>
    </w:p>
    <w:p w14:paraId="3BAEBA1B" w14:textId="77777777" w:rsidR="002B7B6B" w:rsidRPr="003E66A3" w:rsidRDefault="007F68A4" w:rsidP="00681CF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/>
          <w:color w:val="000000"/>
          <w:sz w:val="24"/>
          <w:szCs w:val="24"/>
        </w:rPr>
      </w:pPr>
      <w:r w:rsidRPr="003E66A3">
        <w:rPr>
          <w:rFonts w:ascii="Calibri" w:hAnsi="Calibri"/>
          <w:color w:val="000000"/>
          <w:sz w:val="24"/>
          <w:szCs w:val="24"/>
        </w:rPr>
        <w:t xml:space="preserve">nastavení </w:t>
      </w:r>
      <w:r w:rsidR="00836FFE" w:rsidRPr="00836FFE">
        <w:rPr>
          <w:rFonts w:ascii="Calibri" w:hAnsi="Calibri"/>
          <w:color w:val="000000"/>
          <w:sz w:val="24"/>
          <w:szCs w:val="24"/>
        </w:rPr>
        <w:t>Strategie</w:t>
      </w:r>
      <w:r w:rsidRPr="003E66A3">
        <w:rPr>
          <w:rFonts w:ascii="Calibri" w:hAnsi="Calibri"/>
          <w:color w:val="000000"/>
          <w:sz w:val="24"/>
          <w:szCs w:val="24"/>
        </w:rPr>
        <w:t>,</w:t>
      </w:r>
    </w:p>
    <w:p w14:paraId="39266298" w14:textId="77777777" w:rsidR="000E4B84" w:rsidRPr="003E66A3" w:rsidRDefault="007F68A4" w:rsidP="00681CF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E66A3">
        <w:rPr>
          <w:rFonts w:cstheme="minorHAnsi"/>
          <w:sz w:val="24"/>
          <w:szCs w:val="24"/>
        </w:rPr>
        <w:t xml:space="preserve">plnění opatření </w:t>
      </w:r>
      <w:r w:rsidR="00836FFE" w:rsidRPr="00836FFE">
        <w:rPr>
          <w:rFonts w:cstheme="minorHAnsi"/>
          <w:sz w:val="24"/>
          <w:szCs w:val="24"/>
        </w:rPr>
        <w:t>Strategie</w:t>
      </w:r>
      <w:r w:rsidRPr="003E66A3">
        <w:rPr>
          <w:rFonts w:cstheme="minorHAnsi"/>
          <w:sz w:val="24"/>
          <w:szCs w:val="24"/>
        </w:rPr>
        <w:t>,</w:t>
      </w:r>
    </w:p>
    <w:p w14:paraId="10A13CC9" w14:textId="77777777" w:rsidR="002B7B6B" w:rsidRPr="003E66A3" w:rsidRDefault="007F68A4" w:rsidP="00681CF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/>
          <w:color w:val="000000"/>
          <w:sz w:val="24"/>
          <w:szCs w:val="24"/>
        </w:rPr>
      </w:pPr>
      <w:r w:rsidRPr="003E66A3">
        <w:rPr>
          <w:rFonts w:ascii="Calibri" w:hAnsi="Calibri"/>
          <w:color w:val="000000"/>
          <w:sz w:val="24"/>
          <w:szCs w:val="24"/>
        </w:rPr>
        <w:t xml:space="preserve">naplňování a vyhodnocování plnění cílů </w:t>
      </w:r>
      <w:r w:rsidR="00AB461F">
        <w:rPr>
          <w:rFonts w:ascii="Calibri" w:hAnsi="Calibri"/>
          <w:color w:val="000000"/>
          <w:sz w:val="24"/>
          <w:szCs w:val="24"/>
        </w:rPr>
        <w:t xml:space="preserve">Strategie, </w:t>
      </w:r>
      <w:r w:rsidRPr="003E66A3">
        <w:rPr>
          <w:rFonts w:ascii="Calibri" w:hAnsi="Calibri"/>
          <w:color w:val="000000"/>
          <w:sz w:val="24"/>
          <w:szCs w:val="24"/>
        </w:rPr>
        <w:t xml:space="preserve"> </w:t>
      </w:r>
    </w:p>
    <w:p w14:paraId="14A59D26" w14:textId="77777777" w:rsidR="003E66A3" w:rsidRPr="003E66A3" w:rsidRDefault="007F68A4" w:rsidP="00681CF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/>
          <w:color w:val="000000"/>
          <w:sz w:val="24"/>
          <w:szCs w:val="24"/>
        </w:rPr>
      </w:pPr>
      <w:r w:rsidRPr="003E66A3">
        <w:rPr>
          <w:rFonts w:ascii="Calibri" w:hAnsi="Calibri"/>
          <w:color w:val="000000"/>
          <w:sz w:val="24"/>
          <w:szCs w:val="24"/>
        </w:rPr>
        <w:t xml:space="preserve">soulad právní formy obchodních společností </w:t>
      </w:r>
      <w:r w:rsidR="00B74AA6">
        <w:rPr>
          <w:rFonts w:ascii="Calibri" w:hAnsi="Calibri"/>
          <w:color w:val="000000"/>
          <w:sz w:val="24"/>
          <w:szCs w:val="24"/>
        </w:rPr>
        <w:t xml:space="preserve">s majetkovou účastí státu </w:t>
      </w:r>
      <w:r w:rsidRPr="003E66A3">
        <w:rPr>
          <w:rFonts w:ascii="Calibri" w:hAnsi="Calibri"/>
          <w:color w:val="000000"/>
          <w:sz w:val="24"/>
          <w:szCs w:val="24"/>
        </w:rPr>
        <w:t xml:space="preserve">s charakterem vykonávaných činností, </w:t>
      </w:r>
    </w:p>
    <w:p w14:paraId="308A8223" w14:textId="5A2F8EB8" w:rsidR="003E66A3" w:rsidRPr="003E66A3" w:rsidRDefault="00544D1E" w:rsidP="00681CF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úplnost a správnost </w:t>
      </w:r>
      <w:r w:rsidR="007F68A4" w:rsidRPr="003E66A3">
        <w:rPr>
          <w:rFonts w:ascii="Calibri" w:hAnsi="Calibri"/>
          <w:color w:val="000000"/>
          <w:sz w:val="24"/>
          <w:szCs w:val="24"/>
        </w:rPr>
        <w:t>údaj</w:t>
      </w:r>
      <w:r>
        <w:rPr>
          <w:rFonts w:ascii="Calibri" w:hAnsi="Calibri"/>
          <w:color w:val="000000"/>
          <w:sz w:val="24"/>
          <w:szCs w:val="24"/>
        </w:rPr>
        <w:t>ů</w:t>
      </w:r>
      <w:r w:rsidR="007F68A4" w:rsidRPr="003E66A3">
        <w:rPr>
          <w:rFonts w:ascii="Calibri" w:hAnsi="Calibri"/>
          <w:color w:val="000000"/>
          <w:sz w:val="24"/>
          <w:szCs w:val="24"/>
        </w:rPr>
        <w:t xml:space="preserve"> </w:t>
      </w:r>
      <w:r w:rsidR="0007513A" w:rsidRPr="003E66A3">
        <w:rPr>
          <w:rFonts w:ascii="Calibri" w:hAnsi="Calibri"/>
          <w:color w:val="000000"/>
          <w:sz w:val="24"/>
          <w:szCs w:val="24"/>
        </w:rPr>
        <w:t>předklád</w:t>
      </w:r>
      <w:r w:rsidR="0007513A">
        <w:rPr>
          <w:rFonts w:ascii="Calibri" w:hAnsi="Calibri"/>
          <w:color w:val="000000"/>
          <w:sz w:val="24"/>
          <w:szCs w:val="24"/>
        </w:rPr>
        <w:t>an</w:t>
      </w:r>
      <w:r>
        <w:rPr>
          <w:rFonts w:ascii="Calibri" w:hAnsi="Calibri"/>
          <w:color w:val="000000"/>
          <w:sz w:val="24"/>
          <w:szCs w:val="24"/>
        </w:rPr>
        <w:t>ých</w:t>
      </w:r>
      <w:r w:rsidR="0007513A" w:rsidRPr="003E66A3">
        <w:rPr>
          <w:rFonts w:ascii="Calibri" w:hAnsi="Calibri"/>
          <w:color w:val="000000"/>
          <w:sz w:val="24"/>
          <w:szCs w:val="24"/>
        </w:rPr>
        <w:t xml:space="preserve"> </w:t>
      </w:r>
      <w:r w:rsidR="007F68A4" w:rsidRPr="003E66A3">
        <w:rPr>
          <w:rFonts w:ascii="Calibri" w:hAnsi="Calibri"/>
          <w:color w:val="000000"/>
          <w:sz w:val="24"/>
          <w:szCs w:val="24"/>
        </w:rPr>
        <w:t>o majetkových účastech státu vládě a</w:t>
      </w:r>
      <w:r w:rsidR="00681CF2">
        <w:rPr>
          <w:rFonts w:ascii="Calibri" w:hAnsi="Calibri"/>
          <w:color w:val="000000"/>
          <w:sz w:val="24"/>
          <w:szCs w:val="24"/>
        </w:rPr>
        <w:t> </w:t>
      </w:r>
      <w:r w:rsidR="007F68A4" w:rsidRPr="003E66A3">
        <w:rPr>
          <w:rFonts w:ascii="Calibri" w:hAnsi="Calibri"/>
          <w:color w:val="000000"/>
          <w:sz w:val="24"/>
          <w:szCs w:val="24"/>
        </w:rPr>
        <w:t>veřejnosti,</w:t>
      </w:r>
    </w:p>
    <w:p w14:paraId="4CAF4F8E" w14:textId="77777777" w:rsidR="003E66A3" w:rsidRDefault="007F68A4" w:rsidP="00681CF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/>
          <w:color w:val="000000"/>
          <w:sz w:val="24"/>
          <w:szCs w:val="24"/>
        </w:rPr>
      </w:pPr>
      <w:r w:rsidRPr="003E66A3">
        <w:rPr>
          <w:rFonts w:ascii="Calibri" w:hAnsi="Calibri"/>
          <w:color w:val="000000"/>
          <w:sz w:val="24"/>
          <w:szCs w:val="24"/>
        </w:rPr>
        <w:t>postup při výběrových řízení</w:t>
      </w:r>
      <w:r w:rsidR="00AB461F">
        <w:rPr>
          <w:rFonts w:ascii="Calibri" w:hAnsi="Calibri"/>
          <w:color w:val="000000"/>
          <w:sz w:val="24"/>
          <w:szCs w:val="24"/>
        </w:rPr>
        <w:t>ch</w:t>
      </w:r>
      <w:r w:rsidRPr="003E66A3">
        <w:rPr>
          <w:rFonts w:ascii="Calibri" w:hAnsi="Calibri"/>
          <w:color w:val="000000"/>
          <w:sz w:val="24"/>
          <w:szCs w:val="24"/>
        </w:rPr>
        <w:t xml:space="preserve"> a nominací</w:t>
      </w:r>
      <w:r w:rsidR="00374624">
        <w:rPr>
          <w:rFonts w:ascii="Calibri" w:hAnsi="Calibri"/>
          <w:color w:val="000000"/>
          <w:sz w:val="24"/>
          <w:szCs w:val="24"/>
        </w:rPr>
        <w:t>ch</w:t>
      </w:r>
      <w:r w:rsidRPr="003E66A3">
        <w:rPr>
          <w:rFonts w:ascii="Calibri" w:hAnsi="Calibri"/>
          <w:color w:val="000000"/>
          <w:sz w:val="24"/>
          <w:szCs w:val="24"/>
        </w:rPr>
        <w:t xml:space="preserve"> do orgánů obchodních společností</w:t>
      </w:r>
      <w:r w:rsidR="00B74AA6">
        <w:rPr>
          <w:rFonts w:ascii="Calibri" w:hAnsi="Calibri"/>
          <w:color w:val="000000"/>
          <w:sz w:val="24"/>
          <w:szCs w:val="24"/>
        </w:rPr>
        <w:t xml:space="preserve"> s majetkovou účastí státu</w:t>
      </w:r>
      <w:r w:rsidRPr="003E66A3">
        <w:rPr>
          <w:rFonts w:ascii="Calibri" w:hAnsi="Calibri"/>
          <w:color w:val="000000"/>
          <w:sz w:val="24"/>
          <w:szCs w:val="24"/>
        </w:rPr>
        <w:t xml:space="preserve">, </w:t>
      </w:r>
    </w:p>
    <w:p w14:paraId="7C8BE86D" w14:textId="77777777" w:rsidR="003E66A3" w:rsidRPr="003E66A3" w:rsidRDefault="007F68A4" w:rsidP="00681CF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peněžní prostředky vynaložené v souvislosti se správou majetkových účastí</w:t>
      </w:r>
      <w:r w:rsidR="00B74AA6">
        <w:rPr>
          <w:rFonts w:ascii="Calibri" w:hAnsi="Calibri"/>
          <w:color w:val="000000"/>
          <w:sz w:val="24"/>
          <w:szCs w:val="24"/>
        </w:rPr>
        <w:t xml:space="preserve"> státu</w:t>
      </w:r>
      <w:r w:rsidR="00AB461F">
        <w:rPr>
          <w:rFonts w:ascii="Calibri" w:hAnsi="Calibri"/>
          <w:color w:val="000000"/>
          <w:sz w:val="24"/>
          <w:szCs w:val="24"/>
        </w:rPr>
        <w:t>.</w:t>
      </w:r>
    </w:p>
    <w:p w14:paraId="1E60A8BE" w14:textId="77777777" w:rsidR="00B9443A" w:rsidRDefault="00B9443A" w:rsidP="00BC2A72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7D364056" w14:textId="77777777" w:rsidR="003E66A3" w:rsidRDefault="007F68A4" w:rsidP="00BC2A72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lastRenderedPageBreak/>
        <w:t xml:space="preserve">Kontrolu postupu </w:t>
      </w:r>
      <w:r w:rsidR="0007513A">
        <w:rPr>
          <w:rFonts w:ascii="Calibri" w:hAnsi="Calibri"/>
          <w:color w:val="000000"/>
          <w:sz w:val="24"/>
          <w:szCs w:val="24"/>
        </w:rPr>
        <w:t xml:space="preserve">MF, MPO a </w:t>
      </w:r>
      <w:proofErr w:type="spellStart"/>
      <w:r w:rsidR="0007513A">
        <w:rPr>
          <w:rFonts w:ascii="Calibri" w:hAnsi="Calibri"/>
          <w:color w:val="000000"/>
          <w:sz w:val="24"/>
          <w:szCs w:val="24"/>
        </w:rPr>
        <w:t>MZe</w:t>
      </w:r>
      <w:proofErr w:type="spellEnd"/>
      <w:r w:rsidR="0007513A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při realizaci výběrových řízení a nominacích do orgánů obchodních společností </w:t>
      </w:r>
      <w:r w:rsidRPr="00B74AA6">
        <w:rPr>
          <w:rFonts w:ascii="Calibri" w:hAnsi="Calibri"/>
          <w:color w:val="000000"/>
          <w:sz w:val="24"/>
          <w:szCs w:val="24"/>
        </w:rPr>
        <w:t xml:space="preserve">provedl NKÚ na vybraných vzorcích, jejichž rozsah a způsob výběru je uveden </w:t>
      </w:r>
      <w:r w:rsidRPr="00A43315">
        <w:rPr>
          <w:rFonts w:ascii="Calibri" w:hAnsi="Calibri"/>
          <w:color w:val="000000"/>
          <w:sz w:val="24"/>
          <w:szCs w:val="24"/>
        </w:rPr>
        <w:t>u příslušné kontrolované oblasti v části IV.</w:t>
      </w:r>
      <w:r w:rsidRPr="00B74AA6">
        <w:rPr>
          <w:rFonts w:ascii="Calibri" w:hAnsi="Calibri"/>
          <w:color w:val="000000"/>
          <w:sz w:val="24"/>
          <w:szCs w:val="24"/>
        </w:rPr>
        <w:t xml:space="preserve"> tohoto kontrolního závěru</w:t>
      </w:r>
      <w:r>
        <w:rPr>
          <w:rFonts w:ascii="Calibri" w:hAnsi="Calibri"/>
          <w:color w:val="000000"/>
          <w:sz w:val="24"/>
          <w:szCs w:val="24"/>
        </w:rPr>
        <w:t>.</w:t>
      </w:r>
    </w:p>
    <w:p w14:paraId="254F0FBE" w14:textId="77777777" w:rsidR="00B74AA6" w:rsidRDefault="00B74AA6" w:rsidP="00BC2A72">
      <w:pPr>
        <w:spacing w:after="0" w:line="240" w:lineRule="auto"/>
        <w:jc w:val="both"/>
        <w:rPr>
          <w:sz w:val="24"/>
          <w:szCs w:val="24"/>
          <w:lang w:eastAsia="cs-CZ"/>
        </w:rPr>
      </w:pPr>
    </w:p>
    <w:p w14:paraId="651BA019" w14:textId="68107E73" w:rsidR="00B74AA6" w:rsidRDefault="007F68A4" w:rsidP="00BC2A72">
      <w:pPr>
        <w:spacing w:after="0" w:line="240" w:lineRule="auto"/>
        <w:jc w:val="both"/>
        <w:rPr>
          <w:sz w:val="24"/>
          <w:szCs w:val="24"/>
          <w:lang w:eastAsia="cs-CZ"/>
        </w:rPr>
      </w:pPr>
      <w:r w:rsidRPr="009349F1">
        <w:rPr>
          <w:sz w:val="24"/>
          <w:szCs w:val="24"/>
          <w:lang w:eastAsia="cs-CZ"/>
        </w:rPr>
        <w:t>Kontrolo</w:t>
      </w:r>
      <w:r>
        <w:rPr>
          <w:sz w:val="24"/>
          <w:szCs w:val="24"/>
          <w:lang w:eastAsia="cs-CZ"/>
        </w:rPr>
        <w:t xml:space="preserve">vaný objem peněžních prostředků v celkové výši </w:t>
      </w:r>
      <w:r w:rsidRPr="00715509">
        <w:rPr>
          <w:rFonts w:cstheme="minorHAnsi"/>
          <w:color w:val="000000"/>
          <w:sz w:val="24"/>
          <w:szCs w:val="24"/>
          <w:lang w:eastAsia="cs-CZ"/>
        </w:rPr>
        <w:t>127</w:t>
      </w:r>
      <w:r>
        <w:rPr>
          <w:rFonts w:cstheme="minorHAnsi"/>
          <w:color w:val="000000"/>
          <w:sz w:val="24"/>
          <w:szCs w:val="24"/>
          <w:lang w:eastAsia="cs-CZ"/>
        </w:rPr>
        <w:t> </w:t>
      </w:r>
      <w:r w:rsidR="000F6726">
        <w:rPr>
          <w:rFonts w:cstheme="minorHAnsi"/>
          <w:color w:val="000000"/>
          <w:sz w:val="24"/>
          <w:szCs w:val="24"/>
          <w:lang w:eastAsia="cs-CZ"/>
        </w:rPr>
        <w:t>195</w:t>
      </w:r>
      <w:r w:rsidR="00365E11">
        <w:rPr>
          <w:rFonts w:cstheme="minorHAnsi"/>
          <w:color w:val="000000"/>
          <w:sz w:val="24"/>
          <w:szCs w:val="24"/>
          <w:lang w:eastAsia="cs-CZ"/>
        </w:rPr>
        <w:t> </w:t>
      </w:r>
      <w:r w:rsidR="000F6726">
        <w:rPr>
          <w:rFonts w:cstheme="minorHAnsi"/>
          <w:color w:val="000000"/>
          <w:sz w:val="24"/>
          <w:szCs w:val="24"/>
          <w:lang w:eastAsia="cs-CZ"/>
        </w:rPr>
        <w:t>987</w:t>
      </w:r>
      <w:r w:rsidR="00365E11">
        <w:rPr>
          <w:rFonts w:cstheme="minorHAnsi"/>
          <w:color w:val="000000"/>
          <w:sz w:val="24"/>
          <w:szCs w:val="24"/>
          <w:lang w:eastAsia="cs-CZ"/>
        </w:rPr>
        <w:t> </w:t>
      </w:r>
      <w:r w:rsidR="00874A91">
        <w:rPr>
          <w:rFonts w:cstheme="minorHAnsi"/>
          <w:color w:val="000000"/>
          <w:sz w:val="24"/>
          <w:szCs w:val="24"/>
          <w:lang w:eastAsia="cs-CZ"/>
        </w:rPr>
        <w:t>530</w:t>
      </w:r>
      <w:r w:rsidR="00365E11">
        <w:rPr>
          <w:rFonts w:cstheme="minorHAnsi"/>
          <w:color w:val="000000"/>
          <w:sz w:val="24"/>
          <w:szCs w:val="24"/>
          <w:lang w:eastAsia="cs-CZ"/>
        </w:rPr>
        <w:t xml:space="preserve"> </w:t>
      </w:r>
      <w:r w:rsidRPr="00715509">
        <w:rPr>
          <w:sz w:val="24"/>
          <w:szCs w:val="24"/>
          <w:lang w:eastAsia="cs-CZ"/>
        </w:rPr>
        <w:t>Kč byl</w:t>
      </w:r>
      <w:r>
        <w:rPr>
          <w:sz w:val="24"/>
          <w:szCs w:val="24"/>
          <w:lang w:eastAsia="cs-CZ"/>
        </w:rPr>
        <w:t xml:space="preserve"> pro účely kontroly stanoven jako součet účetní hodnoty majetkových účastí </w:t>
      </w:r>
      <w:r w:rsidR="00544D1E">
        <w:rPr>
          <w:sz w:val="24"/>
          <w:szCs w:val="24"/>
          <w:lang w:eastAsia="cs-CZ"/>
        </w:rPr>
        <w:t>státu v obchodních společnost</w:t>
      </w:r>
      <w:r w:rsidR="000517E5">
        <w:rPr>
          <w:sz w:val="24"/>
          <w:szCs w:val="24"/>
          <w:lang w:eastAsia="cs-CZ"/>
        </w:rPr>
        <w:t>ech</w:t>
      </w:r>
      <w:r w:rsidR="00544D1E">
        <w:rPr>
          <w:sz w:val="24"/>
          <w:szCs w:val="24"/>
          <w:lang w:eastAsia="cs-CZ"/>
        </w:rPr>
        <w:t xml:space="preserve"> v gesci </w:t>
      </w:r>
      <w:r>
        <w:rPr>
          <w:sz w:val="24"/>
          <w:szCs w:val="24"/>
          <w:lang w:eastAsia="cs-CZ"/>
        </w:rPr>
        <w:t xml:space="preserve">MF, MPO a </w:t>
      </w:r>
      <w:proofErr w:type="spellStart"/>
      <w:r>
        <w:rPr>
          <w:sz w:val="24"/>
          <w:szCs w:val="24"/>
          <w:lang w:eastAsia="cs-CZ"/>
        </w:rPr>
        <w:t>MZe</w:t>
      </w:r>
      <w:proofErr w:type="spellEnd"/>
      <w:r>
        <w:rPr>
          <w:sz w:val="24"/>
          <w:szCs w:val="24"/>
          <w:lang w:eastAsia="cs-CZ"/>
        </w:rPr>
        <w:t xml:space="preserve"> k 31. 12. 2024 a výše peněžních prostředků vynaložených na </w:t>
      </w:r>
      <w:r w:rsidR="00544D1E">
        <w:rPr>
          <w:sz w:val="24"/>
          <w:szCs w:val="24"/>
          <w:lang w:eastAsia="cs-CZ"/>
        </w:rPr>
        <w:t xml:space="preserve">jejich </w:t>
      </w:r>
      <w:r>
        <w:rPr>
          <w:sz w:val="24"/>
          <w:szCs w:val="24"/>
          <w:lang w:eastAsia="cs-CZ"/>
        </w:rPr>
        <w:t>správu v období let 2020</w:t>
      </w:r>
      <w:r w:rsidR="00C1770C">
        <w:rPr>
          <w:sz w:val="24"/>
          <w:szCs w:val="24"/>
          <w:lang w:eastAsia="cs-CZ"/>
        </w:rPr>
        <w:t>–</w:t>
      </w:r>
      <w:r>
        <w:rPr>
          <w:sz w:val="24"/>
          <w:szCs w:val="24"/>
          <w:lang w:eastAsia="cs-CZ"/>
        </w:rPr>
        <w:t>2024.</w:t>
      </w:r>
    </w:p>
    <w:p w14:paraId="6FD9C222" w14:textId="77777777" w:rsidR="00CF2142" w:rsidRDefault="00CF2142" w:rsidP="00BC2A72">
      <w:pPr>
        <w:spacing w:after="0" w:line="240" w:lineRule="auto"/>
        <w:jc w:val="both"/>
        <w:rPr>
          <w:sz w:val="24"/>
          <w:szCs w:val="24"/>
          <w:lang w:eastAsia="cs-CZ"/>
        </w:rPr>
      </w:pPr>
    </w:p>
    <w:p w14:paraId="0FF99781" w14:textId="5BD0019B" w:rsidR="00B74AA6" w:rsidRDefault="007F68A4" w:rsidP="00BC2A72">
      <w:pPr>
        <w:spacing w:after="0" w:line="240" w:lineRule="auto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Kontrolováno bylo období let 2020</w:t>
      </w:r>
      <w:r w:rsidR="00C1770C">
        <w:rPr>
          <w:sz w:val="24"/>
          <w:szCs w:val="24"/>
          <w:lang w:eastAsia="cs-CZ"/>
        </w:rPr>
        <w:t>–</w:t>
      </w:r>
      <w:r>
        <w:rPr>
          <w:sz w:val="24"/>
          <w:szCs w:val="24"/>
          <w:lang w:eastAsia="cs-CZ"/>
        </w:rPr>
        <w:t>2025</w:t>
      </w:r>
      <w:r w:rsidR="00437DBD">
        <w:rPr>
          <w:sz w:val="24"/>
          <w:szCs w:val="24"/>
          <w:lang w:eastAsia="cs-CZ"/>
        </w:rPr>
        <w:t xml:space="preserve"> (do doby ukončení kontroly)</w:t>
      </w:r>
      <w:r>
        <w:rPr>
          <w:sz w:val="24"/>
          <w:szCs w:val="24"/>
          <w:lang w:eastAsia="cs-CZ"/>
        </w:rPr>
        <w:t xml:space="preserve">, v případě věcných souvislostí období předcházející. </w:t>
      </w:r>
    </w:p>
    <w:p w14:paraId="7535DACB" w14:textId="77777777" w:rsidR="009349F1" w:rsidRDefault="009349F1" w:rsidP="00BC2A72">
      <w:pPr>
        <w:spacing w:after="0" w:line="240" w:lineRule="auto"/>
        <w:jc w:val="both"/>
        <w:rPr>
          <w:sz w:val="24"/>
          <w:szCs w:val="24"/>
          <w:lang w:eastAsia="cs-CZ"/>
        </w:rPr>
      </w:pPr>
    </w:p>
    <w:p w14:paraId="6E13523A" w14:textId="77777777" w:rsidR="00681CF2" w:rsidRPr="009349F1" w:rsidRDefault="00681CF2" w:rsidP="00BC2A72">
      <w:pPr>
        <w:spacing w:after="0" w:line="240" w:lineRule="auto"/>
        <w:jc w:val="both"/>
        <w:rPr>
          <w:sz w:val="24"/>
          <w:szCs w:val="24"/>
          <w:lang w:eastAsia="cs-CZ"/>
        </w:rPr>
      </w:pPr>
    </w:p>
    <w:p w14:paraId="2E17A106" w14:textId="77777777" w:rsidR="00C547A7" w:rsidRDefault="007F68A4" w:rsidP="00BC2A72">
      <w:pPr>
        <w:spacing w:after="0" w:line="240" w:lineRule="auto"/>
        <w:jc w:val="both"/>
        <w:rPr>
          <w:sz w:val="20"/>
          <w:szCs w:val="20"/>
          <w:lang w:eastAsia="cs-CZ"/>
        </w:rPr>
      </w:pPr>
      <w:r w:rsidRPr="009349F1">
        <w:rPr>
          <w:b/>
          <w:bCs/>
          <w:sz w:val="20"/>
          <w:szCs w:val="20"/>
          <w:lang w:eastAsia="cs-CZ"/>
        </w:rPr>
        <w:t>Pozn.:</w:t>
      </w:r>
      <w:r w:rsidRPr="009349F1">
        <w:rPr>
          <w:sz w:val="20"/>
          <w:szCs w:val="20"/>
          <w:lang w:eastAsia="cs-CZ"/>
        </w:rPr>
        <w:t xml:space="preserve"> Právní předpisy uvedené v kontrolním závěru jsou aplikovány ve znění účinném pro kontrolované období.</w:t>
      </w:r>
    </w:p>
    <w:p w14:paraId="4A8B01A9" w14:textId="2908344A" w:rsidR="009B546C" w:rsidRDefault="007F68A4" w:rsidP="00681CF2">
      <w:pPr>
        <w:pStyle w:val="Nadpis1"/>
        <w:numPr>
          <w:ilvl w:val="0"/>
          <w:numId w:val="0"/>
        </w:numPr>
        <w:spacing w:before="840" w:after="240"/>
        <w:ind w:left="357"/>
        <w:jc w:val="center"/>
        <w:rPr>
          <w:sz w:val="28"/>
          <w:szCs w:val="28"/>
        </w:rPr>
      </w:pPr>
      <w:r w:rsidRPr="006D68BC">
        <w:rPr>
          <w:sz w:val="28"/>
          <w:szCs w:val="28"/>
        </w:rPr>
        <w:t>IV. Podrobn</w:t>
      </w:r>
      <w:r w:rsidR="00FC4B4C" w:rsidRPr="006D68BC">
        <w:rPr>
          <w:sz w:val="28"/>
          <w:szCs w:val="28"/>
        </w:rPr>
        <w:t>é skutečnosti zjištěné kontrolou</w:t>
      </w:r>
    </w:p>
    <w:p w14:paraId="07C25A23" w14:textId="55DA6C80" w:rsidR="00565FF0" w:rsidRPr="00565FF0" w:rsidRDefault="004C2824" w:rsidP="00565FF0">
      <w:pPr>
        <w:pStyle w:val="Odstavecseseznamem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theme="minorHAnsi"/>
          <w:iCs/>
          <w:sz w:val="24"/>
          <w:szCs w:val="24"/>
        </w:rPr>
      </w:pPr>
      <w:r w:rsidRPr="006C0D1E">
        <w:rPr>
          <w:b/>
          <w:sz w:val="24"/>
          <w:szCs w:val="24"/>
          <w:lang w:eastAsia="cs-CZ"/>
        </w:rPr>
        <w:t>MF nastavilo některá opatření Strategie obecně bez vazby na její cíle</w:t>
      </w:r>
    </w:p>
    <w:p w14:paraId="4608AB4F" w14:textId="77777777" w:rsidR="00565FF0" w:rsidRPr="00A84950" w:rsidRDefault="00565FF0" w:rsidP="00C1770C">
      <w:pPr>
        <w:pStyle w:val="Odstavecseseznamem"/>
        <w:spacing w:after="0" w:line="240" w:lineRule="auto"/>
        <w:ind w:left="0"/>
        <w:jc w:val="both"/>
        <w:rPr>
          <w:rFonts w:cstheme="minorHAnsi"/>
          <w:iCs/>
          <w:sz w:val="24"/>
          <w:szCs w:val="24"/>
        </w:rPr>
      </w:pPr>
    </w:p>
    <w:p w14:paraId="55A0D130" w14:textId="47FCCFFE" w:rsidR="00BD247A" w:rsidRDefault="007F68A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Cílem Strategie bylo zajistit efektivní fungování státu jako vlastníka podnikatelských subjektů, zajistit transparentní výkon vlastnických práv státu k majetkovým účastem v obchodních společnostech a z dlouhodobého hlediska přinést východiska </w:t>
      </w:r>
      <w:r w:rsidR="00250398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 řešení zásadních oblastí této problematiky. </w:t>
      </w:r>
      <w:r w:rsidR="0013268A" w:rsidRPr="009415AD">
        <w:rPr>
          <w:rFonts w:cstheme="minorHAnsi"/>
          <w:sz w:val="24"/>
          <w:szCs w:val="24"/>
        </w:rPr>
        <w:t xml:space="preserve">MF </w:t>
      </w:r>
      <w:r w:rsidR="0042451C">
        <w:rPr>
          <w:rFonts w:cstheme="minorHAnsi"/>
          <w:sz w:val="24"/>
          <w:szCs w:val="24"/>
        </w:rPr>
        <w:t>ve Strategii</w:t>
      </w:r>
      <w:r w:rsidR="0013268A">
        <w:rPr>
          <w:rFonts w:cstheme="minorHAnsi"/>
          <w:sz w:val="24"/>
          <w:szCs w:val="24"/>
        </w:rPr>
        <w:t xml:space="preserve"> stanovilo celkem 21 opatření, </w:t>
      </w:r>
      <w:r w:rsidR="00250398">
        <w:rPr>
          <w:rFonts w:cstheme="minorHAnsi"/>
          <w:sz w:val="24"/>
          <w:szCs w:val="24"/>
        </w:rPr>
        <w:t xml:space="preserve">jejichž </w:t>
      </w:r>
      <w:r w:rsidR="00FD79EA">
        <w:rPr>
          <w:rFonts w:cstheme="minorHAnsi"/>
          <w:sz w:val="24"/>
          <w:szCs w:val="24"/>
        </w:rPr>
        <w:t>prostřednictvím</w:t>
      </w:r>
      <w:r>
        <w:rPr>
          <w:rFonts w:cstheme="minorHAnsi"/>
          <w:sz w:val="24"/>
          <w:szCs w:val="24"/>
        </w:rPr>
        <w:t xml:space="preserve"> </w:t>
      </w:r>
      <w:r w:rsidR="00FD79EA">
        <w:rPr>
          <w:rFonts w:cstheme="minorHAnsi"/>
          <w:sz w:val="24"/>
          <w:szCs w:val="24"/>
        </w:rPr>
        <w:t>mělo být</w:t>
      </w:r>
      <w:r w:rsidR="0013268A">
        <w:rPr>
          <w:rFonts w:cstheme="minorHAnsi"/>
          <w:sz w:val="24"/>
          <w:szCs w:val="24"/>
        </w:rPr>
        <w:t xml:space="preserve"> </w:t>
      </w:r>
      <w:r w:rsidR="00FD79EA">
        <w:rPr>
          <w:rFonts w:cstheme="minorHAnsi"/>
          <w:sz w:val="24"/>
          <w:szCs w:val="24"/>
        </w:rPr>
        <w:t>dosaženo</w:t>
      </w:r>
      <w:r w:rsidR="0013268A">
        <w:rPr>
          <w:rFonts w:cstheme="minorHAnsi"/>
          <w:sz w:val="24"/>
          <w:szCs w:val="24"/>
        </w:rPr>
        <w:t xml:space="preserve"> cílů</w:t>
      </w:r>
      <w:r w:rsidR="00250398">
        <w:rPr>
          <w:rFonts w:cstheme="minorHAnsi"/>
          <w:sz w:val="24"/>
          <w:szCs w:val="24"/>
        </w:rPr>
        <w:t xml:space="preserve"> Strategie</w:t>
      </w:r>
      <w:r w:rsidR="00F743B9">
        <w:rPr>
          <w:rFonts w:cstheme="minorHAnsi"/>
          <w:sz w:val="24"/>
          <w:szCs w:val="24"/>
        </w:rPr>
        <w:t>.</w:t>
      </w:r>
    </w:p>
    <w:p w14:paraId="1585EFF6" w14:textId="77777777" w:rsidR="00F743B9" w:rsidRDefault="00F743B9" w:rsidP="00BC2A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11432AD8" w14:textId="2DC78B5F" w:rsidR="00BE0FEA" w:rsidRPr="00BE0FEA" w:rsidRDefault="007F68A4" w:rsidP="00BE0FEA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NKÚ</w:t>
      </w:r>
      <w:r w:rsidR="002E6386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zjistil, </w:t>
      </w:r>
      <w:r w:rsidR="00596329">
        <w:rPr>
          <w:rFonts w:cstheme="minorHAnsi"/>
          <w:iCs/>
          <w:sz w:val="24"/>
          <w:szCs w:val="24"/>
        </w:rPr>
        <w:t xml:space="preserve">že </w:t>
      </w:r>
      <w:r w:rsidR="009E4F90">
        <w:rPr>
          <w:rFonts w:cstheme="minorHAnsi"/>
          <w:bCs/>
          <w:sz w:val="24"/>
          <w:szCs w:val="24"/>
        </w:rPr>
        <w:t>MF u</w:t>
      </w:r>
      <w:r w:rsidRPr="005A5C4D">
        <w:rPr>
          <w:rFonts w:cstheme="minorHAnsi"/>
          <w:bCs/>
          <w:sz w:val="24"/>
          <w:szCs w:val="24"/>
        </w:rPr>
        <w:t xml:space="preserve"> opatření </w:t>
      </w:r>
      <w:r w:rsidR="006516A0">
        <w:rPr>
          <w:rFonts w:cstheme="minorHAnsi"/>
          <w:bCs/>
          <w:sz w:val="24"/>
          <w:szCs w:val="24"/>
        </w:rPr>
        <w:t>neuvedlo i</w:t>
      </w:r>
      <w:r w:rsidRPr="005A5C4D">
        <w:rPr>
          <w:rFonts w:cstheme="minorHAnsi"/>
          <w:bCs/>
          <w:sz w:val="24"/>
          <w:szCs w:val="24"/>
        </w:rPr>
        <w:t xml:space="preserve">ndikátory, kterými by </w:t>
      </w:r>
      <w:r>
        <w:rPr>
          <w:rFonts w:cstheme="minorHAnsi"/>
          <w:bCs/>
          <w:sz w:val="24"/>
          <w:szCs w:val="24"/>
        </w:rPr>
        <w:t>specifikovalo</w:t>
      </w:r>
      <w:r w:rsidRPr="005A5C4D">
        <w:rPr>
          <w:rFonts w:cstheme="minorHAnsi"/>
          <w:bCs/>
          <w:sz w:val="24"/>
          <w:szCs w:val="24"/>
        </w:rPr>
        <w:t xml:space="preserve"> výstupy pro hodnocení jejich splnění</w:t>
      </w:r>
      <w:r w:rsidR="003E71AE">
        <w:rPr>
          <w:rFonts w:cstheme="minorHAnsi"/>
          <w:bCs/>
          <w:sz w:val="24"/>
          <w:szCs w:val="24"/>
        </w:rPr>
        <w:t xml:space="preserve">. </w:t>
      </w:r>
      <w:r w:rsidR="001235E7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>patření byla formulována</w:t>
      </w:r>
      <w:r w:rsidRPr="00D364C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příliš </w:t>
      </w:r>
      <w:r w:rsidRPr="00D364CD">
        <w:rPr>
          <w:rFonts w:cstheme="minorHAnsi"/>
          <w:bCs/>
          <w:sz w:val="24"/>
          <w:szCs w:val="24"/>
        </w:rPr>
        <w:t>obecn</w:t>
      </w:r>
      <w:r>
        <w:rPr>
          <w:rFonts w:cstheme="minorHAnsi"/>
          <w:bCs/>
          <w:sz w:val="24"/>
          <w:szCs w:val="24"/>
        </w:rPr>
        <w:t>ě</w:t>
      </w:r>
      <w:r w:rsidRPr="00D364CD">
        <w:rPr>
          <w:rFonts w:cstheme="minorHAnsi"/>
          <w:bCs/>
          <w:sz w:val="24"/>
          <w:szCs w:val="24"/>
        </w:rPr>
        <w:t>, takže nebylo zřejmé,</w:t>
      </w:r>
      <w:r w:rsidR="00B110F9">
        <w:rPr>
          <w:rFonts w:cstheme="minorHAnsi"/>
          <w:bCs/>
          <w:sz w:val="24"/>
          <w:szCs w:val="24"/>
        </w:rPr>
        <w:t xml:space="preserve"> jaké konkrétní kroky mají ministerstva pro jejich splnění provést</w:t>
      </w:r>
      <w:r>
        <w:rPr>
          <w:rFonts w:cstheme="minorHAnsi"/>
          <w:bCs/>
          <w:sz w:val="24"/>
          <w:szCs w:val="24"/>
        </w:rPr>
        <w:t>.</w:t>
      </w:r>
      <w:r w:rsidR="00F215A2">
        <w:rPr>
          <w:rFonts w:cstheme="minorHAnsi"/>
          <w:bCs/>
          <w:sz w:val="24"/>
          <w:szCs w:val="24"/>
        </w:rPr>
        <w:t xml:space="preserve"> </w:t>
      </w:r>
      <w:r w:rsidR="006A2AC0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 xml:space="preserve">patření č. 4 </w:t>
      </w:r>
      <w:r w:rsidR="00585E47">
        <w:rPr>
          <w:rFonts w:cstheme="minorHAnsi"/>
          <w:bCs/>
          <w:sz w:val="24"/>
          <w:szCs w:val="24"/>
        </w:rPr>
        <w:t xml:space="preserve">např. </w:t>
      </w:r>
      <w:r>
        <w:rPr>
          <w:rFonts w:cstheme="minorHAnsi"/>
          <w:bCs/>
          <w:sz w:val="24"/>
          <w:szCs w:val="24"/>
        </w:rPr>
        <w:t xml:space="preserve">stanovilo povinnost aplikovat jednotné principy </w:t>
      </w:r>
      <w:proofErr w:type="spellStart"/>
      <w:r>
        <w:rPr>
          <w:rFonts w:cstheme="minorHAnsi"/>
          <w:bCs/>
          <w:sz w:val="24"/>
          <w:szCs w:val="24"/>
        </w:rPr>
        <w:t>corporate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governance</w:t>
      </w:r>
      <w:proofErr w:type="spellEnd"/>
      <w:r>
        <w:rPr>
          <w:rFonts w:cstheme="minorHAnsi"/>
          <w:bCs/>
          <w:sz w:val="24"/>
          <w:szCs w:val="24"/>
        </w:rPr>
        <w:t xml:space="preserve"> ve strategických společnostech bez upřesnění, co má být </w:t>
      </w:r>
      <w:r w:rsidR="00061C6C">
        <w:rPr>
          <w:rFonts w:cstheme="minorHAnsi"/>
          <w:bCs/>
          <w:sz w:val="24"/>
          <w:szCs w:val="24"/>
        </w:rPr>
        <w:t xml:space="preserve">výsledkem </w:t>
      </w:r>
      <w:r>
        <w:rPr>
          <w:rFonts w:cstheme="minorHAnsi"/>
          <w:bCs/>
          <w:sz w:val="24"/>
          <w:szCs w:val="24"/>
        </w:rPr>
        <w:t xml:space="preserve">tohoto opatření. </w:t>
      </w:r>
      <w:r w:rsidR="00BE0FEA">
        <w:rPr>
          <w:rFonts w:cstheme="minorHAnsi"/>
          <w:bCs/>
          <w:sz w:val="24"/>
          <w:szCs w:val="24"/>
        </w:rPr>
        <w:t>O</w:t>
      </w:r>
      <w:r w:rsidR="00BE0FEA" w:rsidRPr="00E171F2">
        <w:rPr>
          <w:rFonts w:cstheme="minorHAnsi"/>
          <w:bCs/>
          <w:iCs/>
          <w:sz w:val="24"/>
          <w:szCs w:val="24"/>
        </w:rPr>
        <w:t>patřením č. 7 stanovilo MF povinnost ministerstvům nastavit jednotný reporting strategický</w:t>
      </w:r>
      <w:r w:rsidR="00B1264A">
        <w:rPr>
          <w:rFonts w:cstheme="minorHAnsi"/>
          <w:bCs/>
          <w:iCs/>
          <w:sz w:val="24"/>
          <w:szCs w:val="24"/>
        </w:rPr>
        <w:t>ch</w:t>
      </w:r>
      <w:r w:rsidR="00BE0FEA" w:rsidRPr="00E171F2">
        <w:rPr>
          <w:rFonts w:cstheme="minorHAnsi"/>
          <w:bCs/>
          <w:iCs/>
          <w:sz w:val="24"/>
          <w:szCs w:val="24"/>
        </w:rPr>
        <w:t xml:space="preserve"> společnos</w:t>
      </w:r>
      <w:r w:rsidR="00B1264A">
        <w:rPr>
          <w:rFonts w:cstheme="minorHAnsi"/>
          <w:bCs/>
          <w:iCs/>
          <w:sz w:val="24"/>
          <w:szCs w:val="24"/>
        </w:rPr>
        <w:t>tí</w:t>
      </w:r>
      <w:r w:rsidR="00BE0FEA" w:rsidRPr="00E171F2">
        <w:rPr>
          <w:rFonts w:cstheme="minorHAnsi"/>
          <w:bCs/>
          <w:iCs/>
          <w:sz w:val="24"/>
          <w:szCs w:val="24"/>
        </w:rPr>
        <w:t xml:space="preserve"> za účelem vyhodnocování jejich výkonnosti. </w:t>
      </w:r>
      <w:r w:rsidR="00BE0FEA" w:rsidRPr="00E171F2">
        <w:rPr>
          <w:rFonts w:cstheme="minorHAnsi"/>
          <w:iCs/>
          <w:sz w:val="24"/>
          <w:szCs w:val="24"/>
        </w:rPr>
        <w:t xml:space="preserve">Opatřením č. 17 pak MF stanovilo povinnost zavést informační povinnost formou pravidelných informačních přehledů a výkazů vůči vlastníkovi. NKÚ zjistil, že </w:t>
      </w:r>
      <w:r w:rsidR="00BE0FEA">
        <w:rPr>
          <w:rFonts w:cstheme="minorHAnsi"/>
          <w:iCs/>
          <w:sz w:val="24"/>
          <w:szCs w:val="24"/>
        </w:rPr>
        <w:t>k</w:t>
      </w:r>
      <w:r w:rsidR="00BE0FEA" w:rsidRPr="00E171F2">
        <w:rPr>
          <w:rFonts w:cstheme="minorHAnsi"/>
          <w:iCs/>
          <w:sz w:val="24"/>
          <w:szCs w:val="24"/>
        </w:rPr>
        <w:t xml:space="preserve"> plnění </w:t>
      </w:r>
      <w:r w:rsidR="00BE0FEA">
        <w:rPr>
          <w:rFonts w:cstheme="minorHAnsi"/>
          <w:iCs/>
          <w:sz w:val="24"/>
          <w:szCs w:val="24"/>
        </w:rPr>
        <w:t xml:space="preserve">těchto opatření </w:t>
      </w:r>
      <w:r w:rsidR="00BE0FEA" w:rsidRPr="00E171F2">
        <w:rPr>
          <w:rFonts w:cstheme="minorHAnsi"/>
          <w:iCs/>
          <w:sz w:val="24"/>
          <w:szCs w:val="24"/>
        </w:rPr>
        <w:t xml:space="preserve">ministerstva </w:t>
      </w:r>
      <w:r w:rsidR="00BE0FEA">
        <w:rPr>
          <w:rFonts w:cstheme="minorHAnsi"/>
          <w:iCs/>
          <w:sz w:val="24"/>
          <w:szCs w:val="24"/>
        </w:rPr>
        <w:t>uváděla</w:t>
      </w:r>
      <w:r w:rsidR="00BE0FEA" w:rsidRPr="00E171F2">
        <w:rPr>
          <w:rFonts w:cstheme="minorHAnsi"/>
          <w:iCs/>
          <w:sz w:val="24"/>
          <w:szCs w:val="24"/>
        </w:rPr>
        <w:t xml:space="preserve"> shodn</w:t>
      </w:r>
      <w:r w:rsidR="00BE0FEA">
        <w:rPr>
          <w:rFonts w:cstheme="minorHAnsi"/>
          <w:iCs/>
          <w:sz w:val="24"/>
          <w:szCs w:val="24"/>
        </w:rPr>
        <w:t>é</w:t>
      </w:r>
      <w:r w:rsidR="00BE0FEA" w:rsidRPr="00E171F2">
        <w:rPr>
          <w:rFonts w:cstheme="minorHAnsi"/>
          <w:iCs/>
          <w:sz w:val="24"/>
          <w:szCs w:val="24"/>
        </w:rPr>
        <w:t xml:space="preserve"> výstupy.</w:t>
      </w:r>
    </w:p>
    <w:p w14:paraId="65DDD970" w14:textId="77777777" w:rsidR="00BE0FEA" w:rsidRDefault="00BE0FEA" w:rsidP="00455226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676A1371" w14:textId="59536797" w:rsidR="00BE0FEA" w:rsidRPr="00455226" w:rsidRDefault="00BE0FEA" w:rsidP="0045522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NKÚ dále zjistil, že </w:t>
      </w:r>
      <w:r w:rsidR="007F68A4" w:rsidRPr="00455226">
        <w:rPr>
          <w:rFonts w:cstheme="minorHAnsi"/>
          <w:bCs/>
          <w:iCs/>
          <w:sz w:val="24"/>
          <w:szCs w:val="24"/>
        </w:rPr>
        <w:t>MF nastavilo opatření č. 4 a opatření č. 8 – č. 10 a č. 12 – č. 17, která se věn</w:t>
      </w:r>
      <w:r w:rsidR="007F68A4">
        <w:rPr>
          <w:rFonts w:cstheme="minorHAnsi"/>
          <w:bCs/>
          <w:iCs/>
          <w:sz w:val="24"/>
          <w:szCs w:val="24"/>
        </w:rPr>
        <w:t xml:space="preserve">ovala </w:t>
      </w:r>
      <w:r w:rsidR="007F68A4" w:rsidRPr="00455226">
        <w:rPr>
          <w:rFonts w:cstheme="minorHAnsi"/>
          <w:bCs/>
          <w:iCs/>
          <w:sz w:val="24"/>
          <w:szCs w:val="24"/>
        </w:rPr>
        <w:t>stejné problematice, pro odlišné kategorie obchodních společností, což z důvodu nejednoznačnosti zadání ztěž</w:t>
      </w:r>
      <w:r w:rsidR="007F68A4">
        <w:rPr>
          <w:rFonts w:cstheme="minorHAnsi"/>
          <w:bCs/>
          <w:iCs/>
          <w:sz w:val="24"/>
          <w:szCs w:val="24"/>
        </w:rPr>
        <w:t>ovalo</w:t>
      </w:r>
      <w:r w:rsidR="007F68A4" w:rsidRPr="00455226">
        <w:rPr>
          <w:rFonts w:cstheme="minorHAnsi"/>
          <w:bCs/>
          <w:iCs/>
          <w:sz w:val="24"/>
          <w:szCs w:val="24"/>
        </w:rPr>
        <w:t xml:space="preserve"> aplikaci těchto opatření i následné vyhodnocení jejich plnění. </w:t>
      </w:r>
    </w:p>
    <w:p w14:paraId="015FA9EE" w14:textId="77777777" w:rsidR="00874A91" w:rsidRDefault="00874A91" w:rsidP="008B1AE9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7430C67A" w14:textId="48C428BA" w:rsidR="008B1AE9" w:rsidRDefault="007F68A4" w:rsidP="008B1AE9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Z formulace některých</w:t>
      </w:r>
      <w:r w:rsidR="00250398">
        <w:rPr>
          <w:rFonts w:cstheme="minorHAnsi"/>
          <w:iCs/>
          <w:sz w:val="24"/>
          <w:szCs w:val="24"/>
        </w:rPr>
        <w:t xml:space="preserve"> </w:t>
      </w:r>
      <w:r w:rsidRPr="003E475E">
        <w:rPr>
          <w:rFonts w:cstheme="minorHAnsi"/>
          <w:iCs/>
          <w:sz w:val="24"/>
          <w:szCs w:val="24"/>
        </w:rPr>
        <w:t>opatření</w:t>
      </w:r>
      <w:r>
        <w:rPr>
          <w:rFonts w:cstheme="minorHAnsi"/>
          <w:iCs/>
          <w:sz w:val="24"/>
          <w:szCs w:val="24"/>
        </w:rPr>
        <w:t xml:space="preserve"> nebylo</w:t>
      </w:r>
      <w:r w:rsidRPr="003E475E">
        <w:rPr>
          <w:rFonts w:cstheme="minorHAnsi"/>
          <w:iCs/>
          <w:sz w:val="24"/>
          <w:szCs w:val="24"/>
        </w:rPr>
        <w:t xml:space="preserve"> zřejmé,</w:t>
      </w:r>
      <w:r w:rsidR="00B110F9">
        <w:rPr>
          <w:rFonts w:cstheme="minorHAnsi"/>
          <w:iCs/>
          <w:sz w:val="24"/>
          <w:szCs w:val="24"/>
        </w:rPr>
        <w:t xml:space="preserve"> v jaké kvalitě a v jaké frekvenci</w:t>
      </w:r>
      <w:r w:rsidRPr="003E475E">
        <w:rPr>
          <w:rFonts w:cstheme="minorHAnsi"/>
          <w:iCs/>
          <w:sz w:val="24"/>
          <w:szCs w:val="24"/>
        </w:rPr>
        <w:t xml:space="preserve"> mají ministerstva opatření plnit.</w:t>
      </w:r>
      <w:r>
        <w:rPr>
          <w:rFonts w:cstheme="minorHAnsi"/>
          <w:iCs/>
          <w:sz w:val="24"/>
          <w:szCs w:val="24"/>
        </w:rPr>
        <w:t xml:space="preserve"> </w:t>
      </w:r>
      <w:r w:rsidR="00EF468F">
        <w:rPr>
          <w:rFonts w:cstheme="minorHAnsi"/>
          <w:iCs/>
          <w:sz w:val="24"/>
          <w:szCs w:val="24"/>
        </w:rPr>
        <w:t>MF např. o</w:t>
      </w:r>
      <w:r>
        <w:rPr>
          <w:rFonts w:cstheme="minorHAnsi"/>
          <w:iCs/>
          <w:sz w:val="24"/>
          <w:szCs w:val="24"/>
        </w:rPr>
        <w:t>patření</w:t>
      </w:r>
      <w:r w:rsidR="00EF468F">
        <w:rPr>
          <w:rFonts w:cstheme="minorHAnsi"/>
          <w:iCs/>
          <w:sz w:val="24"/>
          <w:szCs w:val="24"/>
        </w:rPr>
        <w:t>m</w:t>
      </w:r>
      <w:r>
        <w:rPr>
          <w:rFonts w:cstheme="minorHAnsi"/>
          <w:iCs/>
          <w:sz w:val="24"/>
          <w:szCs w:val="24"/>
        </w:rPr>
        <w:t xml:space="preserve"> č. 10 </w:t>
      </w:r>
      <w:r w:rsidR="000B7EF5">
        <w:rPr>
          <w:rFonts w:cstheme="minorHAnsi"/>
          <w:iCs/>
          <w:sz w:val="24"/>
          <w:szCs w:val="24"/>
        </w:rPr>
        <w:t xml:space="preserve">stanovilo </w:t>
      </w:r>
      <w:r w:rsidR="00B110F9">
        <w:rPr>
          <w:rFonts w:cstheme="minorHAnsi"/>
          <w:iCs/>
          <w:sz w:val="24"/>
          <w:szCs w:val="24"/>
        </w:rPr>
        <w:t xml:space="preserve">povinnost </w:t>
      </w:r>
      <w:r>
        <w:rPr>
          <w:rFonts w:cstheme="minorHAnsi"/>
          <w:iCs/>
          <w:sz w:val="24"/>
          <w:szCs w:val="24"/>
        </w:rPr>
        <w:t>zvyšovat odbornost členů orgánů obchodních společností</w:t>
      </w:r>
      <w:r w:rsidR="000B7EF5">
        <w:rPr>
          <w:rFonts w:cstheme="minorHAnsi"/>
          <w:iCs/>
          <w:sz w:val="24"/>
          <w:szCs w:val="24"/>
        </w:rPr>
        <w:t xml:space="preserve"> bez dalších upřesnění</w:t>
      </w:r>
      <w:r>
        <w:rPr>
          <w:rFonts w:cstheme="minorHAnsi"/>
          <w:iCs/>
          <w:sz w:val="24"/>
          <w:szCs w:val="24"/>
        </w:rPr>
        <w:t>.</w:t>
      </w:r>
    </w:p>
    <w:p w14:paraId="40CEEFCC" w14:textId="77777777" w:rsidR="005618A9" w:rsidRPr="008B1AE9" w:rsidRDefault="005618A9" w:rsidP="008B1AE9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5DD233DC" w14:textId="52DC0498" w:rsidR="00090A7A" w:rsidRDefault="007F68A4" w:rsidP="00090A7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sz w:val="24"/>
          <w:szCs w:val="24"/>
        </w:rPr>
        <w:t>Vláda uložila ministerstvům</w:t>
      </w:r>
      <w:r w:rsidRPr="00663D28">
        <w:rPr>
          <w:sz w:val="24"/>
          <w:szCs w:val="24"/>
        </w:rPr>
        <w:t xml:space="preserve"> vycházet při</w:t>
      </w:r>
      <w:r w:rsidR="00250398">
        <w:rPr>
          <w:sz w:val="24"/>
          <w:szCs w:val="24"/>
        </w:rPr>
        <w:t xml:space="preserve"> </w:t>
      </w:r>
      <w:r w:rsidRPr="00663D28">
        <w:rPr>
          <w:sz w:val="24"/>
          <w:szCs w:val="24"/>
        </w:rPr>
        <w:t>tvorbě a implementaci strategických dokumentů</w:t>
      </w:r>
      <w:r>
        <w:t xml:space="preserve"> </w:t>
      </w:r>
      <w:r w:rsidRPr="00663D28">
        <w:rPr>
          <w:sz w:val="24"/>
          <w:szCs w:val="24"/>
        </w:rPr>
        <w:t>z</w:t>
      </w:r>
      <w:r w:rsidR="009651D5">
        <w:rPr>
          <w:i/>
          <w:iCs/>
          <w:sz w:val="24"/>
          <w:szCs w:val="24"/>
        </w:rPr>
        <w:t> </w:t>
      </w:r>
      <w:r>
        <w:rPr>
          <w:sz w:val="24"/>
          <w:szCs w:val="24"/>
        </w:rPr>
        <w:t>Metodik</w:t>
      </w:r>
      <w:r w:rsidR="00DD536D">
        <w:rPr>
          <w:sz w:val="24"/>
          <w:szCs w:val="24"/>
        </w:rPr>
        <w:t>y</w:t>
      </w:r>
      <w:r w:rsidRPr="00BD0EC1">
        <w:rPr>
          <w:sz w:val="24"/>
          <w:szCs w:val="24"/>
        </w:rPr>
        <w:t>.</w:t>
      </w:r>
      <w:r w:rsidR="00F215A2">
        <w:rPr>
          <w:sz w:val="24"/>
          <w:szCs w:val="24"/>
        </w:rPr>
        <w:t xml:space="preserve"> </w:t>
      </w:r>
      <w:r w:rsidRPr="00A91A5A">
        <w:rPr>
          <w:rFonts w:cstheme="minorHAnsi"/>
          <w:sz w:val="24"/>
          <w:szCs w:val="24"/>
        </w:rPr>
        <w:t xml:space="preserve">NKÚ zjistil, že </w:t>
      </w:r>
      <w:r w:rsidR="008D2310">
        <w:rPr>
          <w:rFonts w:cstheme="minorHAnsi"/>
          <w:sz w:val="24"/>
          <w:szCs w:val="24"/>
        </w:rPr>
        <w:t xml:space="preserve">obsah </w:t>
      </w:r>
      <w:r>
        <w:rPr>
          <w:rFonts w:cstheme="minorHAnsi"/>
          <w:bCs/>
          <w:iCs/>
          <w:sz w:val="24"/>
          <w:szCs w:val="24"/>
        </w:rPr>
        <w:t xml:space="preserve">Strategie </w:t>
      </w:r>
      <w:r w:rsidR="008D2310">
        <w:rPr>
          <w:rFonts w:cstheme="minorHAnsi"/>
          <w:bCs/>
          <w:iCs/>
          <w:sz w:val="24"/>
          <w:szCs w:val="24"/>
        </w:rPr>
        <w:t>neodpovídá požadavkům kladeným</w:t>
      </w:r>
      <w:r w:rsidR="00250398">
        <w:rPr>
          <w:rFonts w:cstheme="minorHAnsi"/>
          <w:bCs/>
          <w:iCs/>
          <w:sz w:val="24"/>
          <w:szCs w:val="24"/>
        </w:rPr>
        <w:t xml:space="preserve"> </w:t>
      </w:r>
      <w:r w:rsidRPr="00BD0EC1">
        <w:rPr>
          <w:rFonts w:cstheme="minorHAnsi"/>
          <w:bCs/>
          <w:iCs/>
          <w:sz w:val="24"/>
          <w:szCs w:val="24"/>
        </w:rPr>
        <w:t>Metodi</w:t>
      </w:r>
      <w:r w:rsidR="008D2310">
        <w:rPr>
          <w:rFonts w:cstheme="minorHAnsi"/>
          <w:bCs/>
          <w:iCs/>
          <w:sz w:val="24"/>
          <w:szCs w:val="24"/>
        </w:rPr>
        <w:t xml:space="preserve">kou, </w:t>
      </w:r>
      <w:r w:rsidR="008D2310">
        <w:rPr>
          <w:rFonts w:cstheme="minorHAnsi"/>
          <w:bCs/>
          <w:iCs/>
          <w:sz w:val="24"/>
          <w:szCs w:val="24"/>
        </w:rPr>
        <w:lastRenderedPageBreak/>
        <w:t>důsledkem</w:t>
      </w:r>
      <w:r>
        <w:rPr>
          <w:rFonts w:cstheme="minorHAnsi"/>
          <w:bCs/>
          <w:iCs/>
          <w:sz w:val="24"/>
          <w:szCs w:val="24"/>
        </w:rPr>
        <w:t xml:space="preserve"> čehož bylo obtížné vyhodnocování plnění cílů</w:t>
      </w:r>
      <w:r w:rsidR="00250398">
        <w:rPr>
          <w:rFonts w:cstheme="minorHAnsi"/>
          <w:bCs/>
          <w:iCs/>
          <w:sz w:val="24"/>
          <w:szCs w:val="24"/>
        </w:rPr>
        <w:t xml:space="preserve"> Strategie</w:t>
      </w:r>
      <w:r>
        <w:rPr>
          <w:rFonts w:cstheme="minorHAnsi"/>
          <w:bCs/>
          <w:iCs/>
          <w:sz w:val="24"/>
          <w:szCs w:val="24"/>
        </w:rPr>
        <w:t>.</w:t>
      </w:r>
      <w:r w:rsidRPr="00A91A5A">
        <w:rPr>
          <w:rFonts w:cstheme="minorHAnsi"/>
          <w:bCs/>
          <w:iCs/>
          <w:sz w:val="24"/>
          <w:szCs w:val="24"/>
        </w:rPr>
        <w:t xml:space="preserve"> </w:t>
      </w:r>
      <w:r w:rsidRPr="003B0C7D">
        <w:rPr>
          <w:bCs/>
          <w:sz w:val="24"/>
          <w:szCs w:val="24"/>
          <w:lang w:eastAsia="cs-CZ"/>
        </w:rPr>
        <w:t xml:space="preserve">MF </w:t>
      </w:r>
      <w:r>
        <w:rPr>
          <w:bCs/>
          <w:sz w:val="24"/>
          <w:szCs w:val="24"/>
          <w:lang w:eastAsia="cs-CZ"/>
        </w:rPr>
        <w:t xml:space="preserve">tak </w:t>
      </w:r>
      <w:r w:rsidRPr="003B0C7D">
        <w:rPr>
          <w:bCs/>
          <w:sz w:val="24"/>
          <w:szCs w:val="24"/>
          <w:lang w:eastAsia="cs-CZ"/>
        </w:rPr>
        <w:t>nepostupovalo v souladu s</w:t>
      </w:r>
      <w:r>
        <w:rPr>
          <w:bCs/>
          <w:sz w:val="24"/>
          <w:szCs w:val="24"/>
          <w:lang w:eastAsia="cs-CZ"/>
        </w:rPr>
        <w:t> ustanovením § 21</w:t>
      </w:r>
      <w:r w:rsidRPr="003B0C7D">
        <w:rPr>
          <w:bCs/>
          <w:sz w:val="24"/>
          <w:szCs w:val="24"/>
          <w:lang w:eastAsia="cs-CZ"/>
        </w:rPr>
        <w:t xml:space="preserve"> </w:t>
      </w:r>
      <w:r w:rsidR="007A6C78">
        <w:rPr>
          <w:bCs/>
          <w:sz w:val="24"/>
          <w:szCs w:val="24"/>
          <w:lang w:eastAsia="cs-CZ"/>
        </w:rPr>
        <w:t xml:space="preserve">kompetenčního </w:t>
      </w:r>
      <w:r w:rsidRPr="003B0C7D">
        <w:rPr>
          <w:bCs/>
          <w:sz w:val="24"/>
          <w:szCs w:val="24"/>
          <w:lang w:eastAsia="cs-CZ"/>
        </w:rPr>
        <w:t>zákon</w:t>
      </w:r>
      <w:r>
        <w:rPr>
          <w:bCs/>
          <w:sz w:val="24"/>
          <w:szCs w:val="24"/>
          <w:lang w:eastAsia="cs-CZ"/>
        </w:rPr>
        <w:t>a</w:t>
      </w:r>
      <w:r>
        <w:rPr>
          <w:sz w:val="24"/>
          <w:szCs w:val="24"/>
        </w:rPr>
        <w:t>, když</w:t>
      </w:r>
      <w:r w:rsidRPr="003B0C7D">
        <w:rPr>
          <w:sz w:val="24"/>
          <w:szCs w:val="24"/>
        </w:rPr>
        <w:t xml:space="preserve"> se neřídilo </w:t>
      </w:r>
      <w:r w:rsidR="001B63AE">
        <w:rPr>
          <w:sz w:val="24"/>
          <w:szCs w:val="24"/>
        </w:rPr>
        <w:t>u</w:t>
      </w:r>
      <w:r w:rsidRPr="003B0C7D">
        <w:rPr>
          <w:sz w:val="24"/>
          <w:szCs w:val="24"/>
        </w:rPr>
        <w:t xml:space="preserve">snesením vlády č. </w:t>
      </w:r>
      <w:r>
        <w:rPr>
          <w:sz w:val="24"/>
          <w:szCs w:val="24"/>
        </w:rPr>
        <w:t>71 a</w:t>
      </w:r>
      <w:r w:rsidRPr="003B0C7D">
        <w:rPr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při zpracování </w:t>
      </w:r>
      <w:r w:rsidRPr="00091B2F">
        <w:rPr>
          <w:rFonts w:cstheme="minorHAnsi"/>
          <w:bCs/>
          <w:iCs/>
          <w:sz w:val="24"/>
          <w:szCs w:val="24"/>
        </w:rPr>
        <w:t>Strategie</w:t>
      </w:r>
      <w:r w:rsidRPr="00A91A5A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nevycházelo</w:t>
      </w:r>
      <w:r w:rsidRPr="00A91A5A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z</w:t>
      </w:r>
      <w:r w:rsidRPr="00A91A5A">
        <w:rPr>
          <w:rFonts w:cstheme="minorHAnsi"/>
          <w:bCs/>
          <w:iCs/>
          <w:sz w:val="24"/>
          <w:szCs w:val="24"/>
        </w:rPr>
        <w:t> </w:t>
      </w:r>
      <w:r w:rsidRPr="00090A7A">
        <w:rPr>
          <w:rFonts w:cstheme="minorHAnsi"/>
          <w:bCs/>
          <w:iCs/>
          <w:sz w:val="24"/>
          <w:szCs w:val="24"/>
        </w:rPr>
        <w:t>Metodiky</w:t>
      </w:r>
      <w:r w:rsidRPr="008030D4">
        <w:rPr>
          <w:rFonts w:ascii="Calibri" w:hAnsi="Calibri" w:cs="Calibri"/>
          <w:sz w:val="24"/>
          <w:szCs w:val="24"/>
        </w:rPr>
        <w:t>.</w:t>
      </w:r>
    </w:p>
    <w:p w14:paraId="6D0C5BB8" w14:textId="77777777" w:rsidR="007430F3" w:rsidRDefault="007430F3" w:rsidP="00BC2A72">
      <w:pPr>
        <w:spacing w:after="0" w:line="240" w:lineRule="auto"/>
        <w:jc w:val="both"/>
        <w:rPr>
          <w:b/>
          <w:sz w:val="24"/>
          <w:szCs w:val="24"/>
          <w:lang w:eastAsia="cs-CZ"/>
        </w:rPr>
      </w:pPr>
    </w:p>
    <w:p w14:paraId="663CE729" w14:textId="5DA92491" w:rsidR="0034762D" w:rsidRPr="00565FF0" w:rsidRDefault="00607E8B" w:rsidP="00565FF0">
      <w:pPr>
        <w:pStyle w:val="Odstavecseseznamem"/>
        <w:numPr>
          <w:ilvl w:val="0"/>
          <w:numId w:val="26"/>
        </w:numPr>
        <w:spacing w:after="0" w:line="240" w:lineRule="auto"/>
        <w:ind w:left="284" w:hanging="284"/>
        <w:jc w:val="both"/>
        <w:rPr>
          <w:b/>
          <w:bCs/>
          <w:sz w:val="24"/>
          <w:szCs w:val="24"/>
          <w:lang w:eastAsia="cs-CZ"/>
        </w:rPr>
      </w:pPr>
      <w:bookmarkStart w:id="6" w:name="_Hlk204595705"/>
      <w:r w:rsidRPr="006C0D1E">
        <w:rPr>
          <w:b/>
          <w:sz w:val="24"/>
          <w:szCs w:val="24"/>
          <w:lang w:eastAsia="cs-CZ"/>
        </w:rPr>
        <w:t>S</w:t>
      </w:r>
      <w:r w:rsidRPr="006C0D1E">
        <w:rPr>
          <w:rFonts w:cstheme="minorHAnsi"/>
          <w:b/>
          <w:bCs/>
          <w:sz w:val="24"/>
          <w:szCs w:val="24"/>
        </w:rPr>
        <w:t xml:space="preserve">tát držel majetkové účasti v obchodních společnostech, které </w:t>
      </w:r>
      <w:r w:rsidR="00A9195F">
        <w:rPr>
          <w:rFonts w:cstheme="minorHAnsi"/>
          <w:b/>
          <w:bCs/>
          <w:sz w:val="24"/>
          <w:szCs w:val="24"/>
        </w:rPr>
        <w:t>nepotřeboval pro plnění svých funkcí a stanovených činností</w:t>
      </w:r>
    </w:p>
    <w:p w14:paraId="1DC6230B" w14:textId="77777777" w:rsidR="003977AD" w:rsidRPr="003968C0" w:rsidRDefault="003977AD" w:rsidP="00681CF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53B3077" w14:textId="297351AA" w:rsidR="003977AD" w:rsidRPr="003977AD" w:rsidRDefault="007F68A4" w:rsidP="006938DA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3977AD">
        <w:rPr>
          <w:rFonts w:cstheme="minorHAnsi"/>
          <w:sz w:val="24"/>
          <w:szCs w:val="24"/>
        </w:rPr>
        <w:t xml:space="preserve">patření č. 1: </w:t>
      </w:r>
      <w:r w:rsidR="00F727E9" w:rsidRPr="003968C0">
        <w:rPr>
          <w:rFonts w:cstheme="minorHAnsi"/>
          <w:bCs/>
          <w:sz w:val="24"/>
          <w:szCs w:val="24"/>
        </w:rPr>
        <w:t>D</w:t>
      </w:r>
      <w:r w:rsidRPr="003968C0">
        <w:rPr>
          <w:rFonts w:cstheme="minorHAnsi"/>
          <w:bCs/>
          <w:sz w:val="24"/>
          <w:szCs w:val="24"/>
        </w:rPr>
        <w:t>efinovat strategické, podpůrné a zbytné společnosti s majetkovou účastí státu a státní podniky a průběžně vyhodnocovat strategický význam a potřebnost jednotlivých majetkových účastí a státních podniků</w:t>
      </w:r>
      <w:r w:rsidR="008608F2">
        <w:rPr>
          <w:rFonts w:cstheme="minorHAnsi"/>
          <w:bCs/>
          <w:sz w:val="24"/>
          <w:szCs w:val="24"/>
        </w:rPr>
        <w:t>.</w:t>
      </w:r>
    </w:p>
    <w:p w14:paraId="5ABF2C68" w14:textId="77777777" w:rsidR="003977AD" w:rsidRDefault="003977AD" w:rsidP="00BC2A7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3177030" w14:textId="09AB4936" w:rsidR="007430F3" w:rsidRDefault="007F68A4" w:rsidP="002D0B7F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Určení</w:t>
      </w:r>
      <w:r w:rsidRPr="00CA13E6">
        <w:rPr>
          <w:rFonts w:cstheme="minorHAnsi"/>
          <w:bCs/>
          <w:sz w:val="24"/>
          <w:szCs w:val="24"/>
        </w:rPr>
        <w:t xml:space="preserve"> obchodních společností, </w:t>
      </w:r>
      <w:r w:rsidRPr="00CA13E6">
        <w:rPr>
          <w:rFonts w:cstheme="minorHAnsi"/>
          <w:sz w:val="24"/>
          <w:szCs w:val="24"/>
        </w:rPr>
        <w:t>které má stát vlastnit</w:t>
      </w:r>
      <w:r>
        <w:rPr>
          <w:rFonts w:cstheme="minorHAnsi"/>
          <w:sz w:val="24"/>
          <w:szCs w:val="24"/>
        </w:rPr>
        <w:t xml:space="preserve"> a které naopak prodat</w:t>
      </w:r>
      <w:r w:rsidR="00764CE6">
        <w:rPr>
          <w:rFonts w:cstheme="minorHAnsi"/>
          <w:sz w:val="24"/>
          <w:szCs w:val="24"/>
        </w:rPr>
        <w:t xml:space="preserve"> nebo zlikvidovat</w:t>
      </w:r>
      <w:r w:rsidR="00250398">
        <w:rPr>
          <w:rFonts w:cstheme="minorHAnsi"/>
          <w:sz w:val="24"/>
          <w:szCs w:val="24"/>
        </w:rPr>
        <w:t>,</w:t>
      </w:r>
      <w:r w:rsidR="00921FA8">
        <w:rPr>
          <w:rFonts w:cstheme="minorHAnsi"/>
          <w:sz w:val="24"/>
          <w:szCs w:val="24"/>
        </w:rPr>
        <w:t xml:space="preserve"> </w:t>
      </w:r>
      <w:r w:rsidR="00921FA8">
        <w:rPr>
          <w:rFonts w:cstheme="minorHAnsi"/>
          <w:bCs/>
          <w:sz w:val="24"/>
          <w:szCs w:val="24"/>
        </w:rPr>
        <w:t xml:space="preserve">bylo </w:t>
      </w:r>
      <w:r w:rsidRPr="00CA13E6">
        <w:rPr>
          <w:rFonts w:cstheme="minorHAnsi"/>
          <w:bCs/>
          <w:sz w:val="24"/>
          <w:szCs w:val="24"/>
        </w:rPr>
        <w:t>klíčov</w:t>
      </w:r>
      <w:bookmarkEnd w:id="6"/>
      <w:r w:rsidR="00792919">
        <w:rPr>
          <w:rFonts w:cstheme="minorHAnsi"/>
          <w:bCs/>
          <w:sz w:val="24"/>
          <w:szCs w:val="24"/>
        </w:rPr>
        <w:t>ým</w:t>
      </w:r>
      <w:r>
        <w:rPr>
          <w:rFonts w:cstheme="minorHAnsi"/>
          <w:bCs/>
          <w:sz w:val="24"/>
          <w:szCs w:val="24"/>
        </w:rPr>
        <w:t xml:space="preserve"> východisk</w:t>
      </w:r>
      <w:r w:rsidR="00792919">
        <w:rPr>
          <w:rFonts w:cstheme="minorHAnsi"/>
          <w:bCs/>
          <w:sz w:val="24"/>
          <w:szCs w:val="24"/>
        </w:rPr>
        <w:t>em</w:t>
      </w:r>
      <w:r w:rsidR="00921FA8">
        <w:rPr>
          <w:rFonts w:cstheme="minorHAnsi"/>
          <w:bCs/>
          <w:sz w:val="24"/>
          <w:szCs w:val="24"/>
        </w:rPr>
        <w:t xml:space="preserve"> pro plnění celé Strategie. </w:t>
      </w:r>
    </w:p>
    <w:p w14:paraId="6537DC8B" w14:textId="77777777" w:rsidR="003977AD" w:rsidRDefault="003977AD" w:rsidP="00BC2A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52F589F2" w14:textId="5EBC0989" w:rsidR="00610AAF" w:rsidRDefault="007F68A4" w:rsidP="003977A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Mezi </w:t>
      </w:r>
      <w:r w:rsidRPr="003977AD">
        <w:rPr>
          <w:rFonts w:cstheme="minorHAnsi"/>
          <w:b/>
          <w:bCs/>
          <w:iCs/>
          <w:sz w:val="24"/>
          <w:szCs w:val="24"/>
        </w:rPr>
        <w:t>strategické</w:t>
      </w:r>
      <w:r>
        <w:rPr>
          <w:rFonts w:cstheme="minorHAnsi"/>
          <w:iCs/>
          <w:sz w:val="24"/>
          <w:szCs w:val="24"/>
        </w:rPr>
        <w:t xml:space="preserve"> měly být zařazeny </w:t>
      </w:r>
      <w:bookmarkStart w:id="7" w:name="_Hlk204595777"/>
      <w:r w:rsidR="00792919">
        <w:rPr>
          <w:rFonts w:cstheme="minorHAnsi"/>
          <w:sz w:val="24"/>
          <w:szCs w:val="24"/>
        </w:rPr>
        <w:t>obchodní společnosti</w:t>
      </w:r>
      <w:r w:rsidR="00792919" w:rsidRPr="001F5311">
        <w:rPr>
          <w:rFonts w:cstheme="minorHAnsi"/>
          <w:sz w:val="24"/>
          <w:szCs w:val="24"/>
        </w:rPr>
        <w:t xml:space="preserve"> </w:t>
      </w:r>
      <w:r w:rsidRPr="001F5311">
        <w:rPr>
          <w:rFonts w:cstheme="minorHAnsi"/>
          <w:sz w:val="24"/>
          <w:szCs w:val="24"/>
        </w:rPr>
        <w:t>operující mimo standardní konkurenční prostředí (případ tržního selhání), nutné pro zajištění bezpečnosti státu</w:t>
      </w:r>
      <w:r w:rsidR="00D70D5A">
        <w:rPr>
          <w:rFonts w:cstheme="minorHAnsi"/>
          <w:sz w:val="24"/>
          <w:szCs w:val="24"/>
        </w:rPr>
        <w:t>,</w:t>
      </w:r>
      <w:r w:rsidRPr="001F5311">
        <w:rPr>
          <w:rFonts w:cstheme="minorHAnsi"/>
          <w:sz w:val="24"/>
          <w:szCs w:val="24"/>
        </w:rPr>
        <w:t xml:space="preserve"> vč. </w:t>
      </w:r>
      <w:r w:rsidR="00792919">
        <w:rPr>
          <w:rFonts w:cstheme="minorHAnsi"/>
          <w:sz w:val="24"/>
          <w:szCs w:val="24"/>
        </w:rPr>
        <w:t xml:space="preserve">obchodních společností </w:t>
      </w:r>
      <w:r w:rsidRPr="001F5311">
        <w:rPr>
          <w:rFonts w:cstheme="minorHAnsi"/>
          <w:sz w:val="24"/>
          <w:szCs w:val="24"/>
        </w:rPr>
        <w:t xml:space="preserve">provozujících prvky kritické infrastruktury </w:t>
      </w:r>
      <w:r w:rsidR="00792919">
        <w:rPr>
          <w:rFonts w:cstheme="minorHAnsi"/>
          <w:sz w:val="24"/>
          <w:szCs w:val="24"/>
        </w:rPr>
        <w:t xml:space="preserve">v konkurenčním prostředí </w:t>
      </w:r>
      <w:r w:rsidRPr="001F5311">
        <w:rPr>
          <w:rFonts w:cstheme="minorHAnsi"/>
          <w:sz w:val="24"/>
          <w:szCs w:val="24"/>
        </w:rPr>
        <w:t xml:space="preserve">či </w:t>
      </w:r>
      <w:r w:rsidR="00792919">
        <w:rPr>
          <w:rFonts w:cstheme="minorHAnsi"/>
          <w:sz w:val="24"/>
          <w:szCs w:val="24"/>
        </w:rPr>
        <w:t>obchodní společnosti</w:t>
      </w:r>
      <w:r w:rsidR="00792919" w:rsidRPr="001F5311">
        <w:rPr>
          <w:rFonts w:cstheme="minorHAnsi"/>
          <w:sz w:val="24"/>
          <w:szCs w:val="24"/>
        </w:rPr>
        <w:t xml:space="preserve"> </w:t>
      </w:r>
      <w:r w:rsidRPr="001F5311">
        <w:rPr>
          <w:rFonts w:cstheme="minorHAnsi"/>
          <w:sz w:val="24"/>
          <w:szCs w:val="24"/>
        </w:rPr>
        <w:t>potřebné pro naplňování cílů hospodářské politiky státu.</w:t>
      </w:r>
    </w:p>
    <w:p w14:paraId="0017CA42" w14:textId="77777777" w:rsidR="009651D5" w:rsidRDefault="009651D5" w:rsidP="003977A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CF9CB3" w14:textId="1A0F79B0" w:rsidR="003977AD" w:rsidRDefault="007F68A4" w:rsidP="003977A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Mezi </w:t>
      </w:r>
      <w:r w:rsidRPr="003977AD">
        <w:rPr>
          <w:rFonts w:cstheme="minorHAnsi"/>
          <w:b/>
          <w:bCs/>
          <w:sz w:val="24"/>
          <w:szCs w:val="24"/>
        </w:rPr>
        <w:t>p</w:t>
      </w:r>
      <w:r w:rsidR="007430F3" w:rsidRPr="003977AD">
        <w:rPr>
          <w:rFonts w:cstheme="minorHAnsi"/>
          <w:b/>
          <w:bCs/>
          <w:sz w:val="24"/>
          <w:szCs w:val="24"/>
        </w:rPr>
        <w:t>odpůrné</w:t>
      </w:r>
      <w:r>
        <w:rPr>
          <w:rFonts w:cstheme="minorHAnsi"/>
          <w:sz w:val="24"/>
          <w:szCs w:val="24"/>
        </w:rPr>
        <w:t xml:space="preserve"> měly být zařazeny </w:t>
      </w:r>
      <w:r w:rsidR="00792919">
        <w:rPr>
          <w:rFonts w:cstheme="minorHAnsi"/>
          <w:sz w:val="24"/>
          <w:szCs w:val="24"/>
        </w:rPr>
        <w:t xml:space="preserve">obchodní společnosti </w:t>
      </w:r>
      <w:r w:rsidR="007430F3" w:rsidRPr="001F5311">
        <w:rPr>
          <w:rFonts w:cstheme="minorHAnsi"/>
          <w:sz w:val="24"/>
          <w:szCs w:val="24"/>
        </w:rPr>
        <w:t>nezbytné pro vlastní fungování státu a zajišťující nezbytné služby pro veřejnost (</w:t>
      </w:r>
      <w:r w:rsidR="00792919">
        <w:rPr>
          <w:rFonts w:cstheme="minorHAnsi"/>
          <w:sz w:val="24"/>
          <w:szCs w:val="24"/>
        </w:rPr>
        <w:t xml:space="preserve">obchodní </w:t>
      </w:r>
      <w:r w:rsidR="007430F3" w:rsidRPr="001F5311">
        <w:rPr>
          <w:rFonts w:cstheme="minorHAnsi"/>
          <w:sz w:val="24"/>
          <w:szCs w:val="24"/>
        </w:rPr>
        <w:t>společnosti poskytující servisní či účelové podpůrné služby organizačním složkám státu či zajišťující základní nezbytné služby pro veřejnost, které stát není schopen efektivně zajistit na soukromém trhu ani vlastními silami).</w:t>
      </w:r>
    </w:p>
    <w:p w14:paraId="4349D9D3" w14:textId="77777777" w:rsidR="008608F2" w:rsidRDefault="008608F2" w:rsidP="003977A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BB5B90" w14:textId="6C336545" w:rsidR="007430F3" w:rsidRPr="001F5311" w:rsidRDefault="007F68A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Mezi </w:t>
      </w:r>
      <w:r w:rsidRPr="003977AD">
        <w:rPr>
          <w:rFonts w:cstheme="minorHAnsi"/>
          <w:b/>
          <w:bCs/>
          <w:sz w:val="24"/>
          <w:szCs w:val="24"/>
        </w:rPr>
        <w:t>zbytné</w:t>
      </w:r>
      <w:r>
        <w:rPr>
          <w:rFonts w:cstheme="minorHAnsi"/>
          <w:sz w:val="24"/>
          <w:szCs w:val="24"/>
        </w:rPr>
        <w:t xml:space="preserve"> měly být zařazeny </w:t>
      </w:r>
      <w:r w:rsidRPr="001F5311">
        <w:rPr>
          <w:rFonts w:cstheme="minorHAnsi"/>
          <w:sz w:val="24"/>
          <w:szCs w:val="24"/>
        </w:rPr>
        <w:t xml:space="preserve">všechny ostatní </w:t>
      </w:r>
      <w:r w:rsidR="00792919">
        <w:rPr>
          <w:rFonts w:cstheme="minorHAnsi"/>
          <w:sz w:val="24"/>
          <w:szCs w:val="24"/>
        </w:rPr>
        <w:t xml:space="preserve">obchodní </w:t>
      </w:r>
      <w:r w:rsidRPr="001F5311">
        <w:rPr>
          <w:rFonts w:cstheme="minorHAnsi"/>
          <w:sz w:val="24"/>
          <w:szCs w:val="24"/>
        </w:rPr>
        <w:t>společnosti</w:t>
      </w:r>
      <w:r w:rsidR="00792919">
        <w:rPr>
          <w:rFonts w:cstheme="minorHAnsi"/>
          <w:sz w:val="24"/>
          <w:szCs w:val="24"/>
        </w:rPr>
        <w:t xml:space="preserve"> </w:t>
      </w:r>
      <w:bookmarkEnd w:id="7"/>
      <w:r w:rsidRPr="001F5311">
        <w:rPr>
          <w:rFonts w:cstheme="minorHAnsi"/>
          <w:iCs/>
          <w:sz w:val="24"/>
          <w:szCs w:val="24"/>
        </w:rPr>
        <w:t>(určené k</w:t>
      </w:r>
      <w:r w:rsidR="00F1524E">
        <w:rPr>
          <w:rFonts w:cstheme="minorHAnsi"/>
          <w:iCs/>
          <w:sz w:val="24"/>
          <w:szCs w:val="24"/>
        </w:rPr>
        <w:t> </w:t>
      </w:r>
      <w:r w:rsidRPr="001F5311">
        <w:rPr>
          <w:rFonts w:cstheme="minorHAnsi"/>
          <w:iCs/>
          <w:sz w:val="24"/>
          <w:szCs w:val="24"/>
        </w:rPr>
        <w:t>prodeji</w:t>
      </w:r>
      <w:r w:rsidR="00F1524E">
        <w:rPr>
          <w:rFonts w:cstheme="minorHAnsi"/>
          <w:iCs/>
          <w:sz w:val="24"/>
          <w:szCs w:val="24"/>
        </w:rPr>
        <w:t xml:space="preserve"> </w:t>
      </w:r>
      <w:r w:rsidR="006D68BC">
        <w:rPr>
          <w:rFonts w:cstheme="minorHAnsi"/>
          <w:iCs/>
          <w:sz w:val="24"/>
          <w:szCs w:val="24"/>
        </w:rPr>
        <w:t>nebo k</w:t>
      </w:r>
      <w:r w:rsidR="00250398">
        <w:rPr>
          <w:rFonts w:cstheme="minorHAnsi"/>
          <w:iCs/>
          <w:sz w:val="24"/>
          <w:szCs w:val="24"/>
        </w:rPr>
        <w:t> </w:t>
      </w:r>
      <w:r w:rsidRPr="001F5311">
        <w:rPr>
          <w:rFonts w:cstheme="minorHAnsi"/>
          <w:iCs/>
          <w:sz w:val="24"/>
          <w:szCs w:val="24"/>
        </w:rPr>
        <w:t>likvidaci)</w:t>
      </w:r>
      <w:r w:rsidR="00792919">
        <w:rPr>
          <w:rFonts w:cstheme="minorHAnsi"/>
          <w:iCs/>
          <w:sz w:val="24"/>
          <w:szCs w:val="24"/>
        </w:rPr>
        <w:t>.</w:t>
      </w:r>
    </w:p>
    <w:p w14:paraId="76B489A9" w14:textId="77777777" w:rsidR="007430F3" w:rsidRDefault="007430F3" w:rsidP="00BC2A72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bookmarkStart w:id="8" w:name="_Hlk204595935"/>
    </w:p>
    <w:bookmarkEnd w:id="8"/>
    <w:p w14:paraId="07121D3F" w14:textId="2D14A278" w:rsidR="00090A7A" w:rsidRDefault="000E64F6" w:rsidP="00090A7A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účelem jednotného přístupu ministerstev </w:t>
      </w:r>
      <w:bookmarkStart w:id="9" w:name="_Hlk204595896"/>
      <w:r w:rsidR="007F68A4">
        <w:rPr>
          <w:rFonts w:cstheme="minorHAnsi"/>
          <w:bCs/>
          <w:iCs/>
          <w:sz w:val="24"/>
          <w:szCs w:val="24"/>
        </w:rPr>
        <w:t>zpracovalo</w:t>
      </w:r>
      <w:r w:rsidR="007F68A4" w:rsidRPr="00CA13E6">
        <w:rPr>
          <w:rFonts w:cstheme="minorHAnsi"/>
          <w:bCs/>
          <w:iCs/>
          <w:sz w:val="24"/>
          <w:szCs w:val="24"/>
        </w:rPr>
        <w:t xml:space="preserve"> </w:t>
      </w:r>
      <w:r w:rsidRPr="00CA13E6">
        <w:rPr>
          <w:rFonts w:cstheme="minorHAnsi"/>
          <w:bCs/>
          <w:iCs/>
          <w:sz w:val="24"/>
          <w:szCs w:val="24"/>
        </w:rPr>
        <w:t>MF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="007F68A4">
        <w:rPr>
          <w:rFonts w:cstheme="minorHAnsi"/>
          <w:bCs/>
          <w:iCs/>
          <w:sz w:val="24"/>
          <w:szCs w:val="24"/>
        </w:rPr>
        <w:t>nad rámec výše uvedených kritérií další kritéria a předložilo je na jednání meziresortní pracovní skupiny</w:t>
      </w:r>
      <w:r w:rsidR="007F68A4">
        <w:rPr>
          <w:rStyle w:val="Znakapoznpodarou"/>
          <w:rFonts w:cstheme="minorHAnsi"/>
          <w:bCs/>
          <w:iCs/>
          <w:sz w:val="24"/>
          <w:szCs w:val="24"/>
        </w:rPr>
        <w:footnoteReference w:id="17"/>
      </w:r>
      <w:r w:rsidR="007F68A4">
        <w:rPr>
          <w:rFonts w:cstheme="minorHAnsi"/>
          <w:bCs/>
          <w:iCs/>
          <w:sz w:val="24"/>
          <w:szCs w:val="24"/>
        </w:rPr>
        <w:t>. Doplň</w:t>
      </w:r>
      <w:r w:rsidR="00D70D5A">
        <w:rPr>
          <w:rFonts w:cstheme="minorHAnsi"/>
          <w:bCs/>
          <w:iCs/>
          <w:sz w:val="24"/>
          <w:szCs w:val="24"/>
        </w:rPr>
        <w:t>ující</w:t>
      </w:r>
      <w:r w:rsidR="007F68A4">
        <w:rPr>
          <w:rFonts w:cstheme="minorHAnsi"/>
          <w:bCs/>
          <w:iCs/>
          <w:sz w:val="24"/>
          <w:szCs w:val="24"/>
        </w:rPr>
        <w:t xml:space="preserve"> kritéria neschválila vláda. </w:t>
      </w:r>
      <w:bookmarkEnd w:id="9"/>
      <w:r w:rsidR="007F68A4" w:rsidRPr="00CA13E6">
        <w:rPr>
          <w:rFonts w:cstheme="minorHAnsi"/>
          <w:bCs/>
          <w:iCs/>
          <w:sz w:val="24"/>
          <w:szCs w:val="24"/>
        </w:rPr>
        <w:t xml:space="preserve">Na základě </w:t>
      </w:r>
      <w:r w:rsidR="00D70D5A">
        <w:rPr>
          <w:rFonts w:cstheme="minorHAnsi"/>
          <w:bCs/>
          <w:iCs/>
          <w:sz w:val="24"/>
          <w:szCs w:val="24"/>
        </w:rPr>
        <w:t>těchto</w:t>
      </w:r>
      <w:r w:rsidR="00D70D5A" w:rsidRPr="00CA13E6">
        <w:rPr>
          <w:rFonts w:cstheme="minorHAnsi"/>
          <w:bCs/>
          <w:iCs/>
          <w:sz w:val="24"/>
          <w:szCs w:val="24"/>
        </w:rPr>
        <w:t xml:space="preserve"> </w:t>
      </w:r>
      <w:r w:rsidR="007F68A4" w:rsidRPr="00CA13E6">
        <w:rPr>
          <w:rFonts w:cstheme="minorHAnsi"/>
          <w:bCs/>
          <w:iCs/>
          <w:sz w:val="24"/>
          <w:szCs w:val="24"/>
        </w:rPr>
        <w:t xml:space="preserve">kritérií </w:t>
      </w:r>
      <w:r w:rsidR="007F68A4">
        <w:rPr>
          <w:rFonts w:cstheme="minorHAnsi"/>
          <w:bCs/>
          <w:iCs/>
          <w:sz w:val="24"/>
          <w:szCs w:val="24"/>
        </w:rPr>
        <w:t>mohla dotčená ministerstva</w:t>
      </w:r>
      <w:r w:rsidR="007F68A4" w:rsidRPr="00CA13E6">
        <w:rPr>
          <w:rFonts w:cstheme="minorHAnsi"/>
          <w:bCs/>
          <w:iCs/>
          <w:sz w:val="24"/>
          <w:szCs w:val="24"/>
        </w:rPr>
        <w:t xml:space="preserve"> do kategorie strategických</w:t>
      </w:r>
      <w:r w:rsidR="007F68A4">
        <w:rPr>
          <w:rFonts w:cstheme="minorHAnsi"/>
          <w:bCs/>
          <w:iCs/>
          <w:sz w:val="24"/>
          <w:szCs w:val="24"/>
        </w:rPr>
        <w:t xml:space="preserve"> </w:t>
      </w:r>
      <w:r w:rsidR="007F68A4" w:rsidRPr="00CA13E6">
        <w:rPr>
          <w:rFonts w:cstheme="minorHAnsi"/>
          <w:bCs/>
          <w:iCs/>
          <w:sz w:val="24"/>
          <w:szCs w:val="24"/>
        </w:rPr>
        <w:t xml:space="preserve">zařadit </w:t>
      </w:r>
      <w:r w:rsidR="007F68A4">
        <w:rPr>
          <w:rFonts w:cstheme="minorHAnsi"/>
          <w:bCs/>
          <w:iCs/>
          <w:sz w:val="24"/>
          <w:szCs w:val="24"/>
        </w:rPr>
        <w:t>také</w:t>
      </w:r>
      <w:r w:rsidR="007F68A4" w:rsidRPr="00CA13E6">
        <w:rPr>
          <w:rFonts w:cstheme="minorHAnsi"/>
          <w:bCs/>
          <w:iCs/>
          <w:sz w:val="24"/>
          <w:szCs w:val="24"/>
        </w:rPr>
        <w:t xml:space="preserve"> obchodní společnost</w:t>
      </w:r>
      <w:r w:rsidR="007F68A4">
        <w:rPr>
          <w:rFonts w:cstheme="minorHAnsi"/>
          <w:bCs/>
          <w:iCs/>
          <w:sz w:val="24"/>
          <w:szCs w:val="24"/>
        </w:rPr>
        <w:t>i</w:t>
      </w:r>
      <w:r w:rsidR="007F68A4" w:rsidRPr="00CA13E6">
        <w:rPr>
          <w:rFonts w:cstheme="minorHAnsi"/>
          <w:bCs/>
          <w:iCs/>
          <w:sz w:val="24"/>
          <w:szCs w:val="24"/>
        </w:rPr>
        <w:t xml:space="preserve">, </w:t>
      </w:r>
      <w:r w:rsidR="007F68A4">
        <w:rPr>
          <w:rFonts w:cstheme="minorHAnsi"/>
          <w:bCs/>
          <w:iCs/>
          <w:sz w:val="24"/>
          <w:szCs w:val="24"/>
        </w:rPr>
        <w:t>které by nemohly být do této kategorie zařazeny dle</w:t>
      </w:r>
      <w:r w:rsidR="007F68A4" w:rsidRPr="00CA13E6">
        <w:rPr>
          <w:rFonts w:cstheme="minorHAnsi"/>
          <w:bCs/>
          <w:iCs/>
          <w:sz w:val="24"/>
          <w:szCs w:val="24"/>
        </w:rPr>
        <w:t xml:space="preserve"> kritérií </w:t>
      </w:r>
      <w:r w:rsidR="007F68A4">
        <w:rPr>
          <w:rFonts w:cstheme="minorHAnsi"/>
          <w:bCs/>
          <w:iCs/>
          <w:sz w:val="24"/>
          <w:szCs w:val="24"/>
        </w:rPr>
        <w:t>uvedených</w:t>
      </w:r>
      <w:r w:rsidR="007F68A4" w:rsidRPr="00CA13E6">
        <w:rPr>
          <w:rFonts w:cstheme="minorHAnsi"/>
          <w:bCs/>
          <w:iCs/>
          <w:sz w:val="24"/>
          <w:szCs w:val="24"/>
        </w:rPr>
        <w:t xml:space="preserve"> ve Strategii</w:t>
      </w:r>
      <w:r w:rsidR="007F68A4">
        <w:rPr>
          <w:rFonts w:cstheme="minorHAnsi"/>
          <w:bCs/>
          <w:iCs/>
          <w:sz w:val="24"/>
          <w:szCs w:val="24"/>
        </w:rPr>
        <w:t xml:space="preserve">. </w:t>
      </w:r>
      <w:r w:rsidR="00EF468F">
        <w:rPr>
          <w:rFonts w:cstheme="minorHAnsi"/>
          <w:bCs/>
          <w:iCs/>
          <w:sz w:val="24"/>
          <w:szCs w:val="24"/>
        </w:rPr>
        <w:t>Jednalo se např.</w:t>
      </w:r>
      <w:r w:rsidR="007F68A4">
        <w:rPr>
          <w:rFonts w:cstheme="minorHAnsi"/>
          <w:bCs/>
          <w:iCs/>
          <w:sz w:val="24"/>
          <w:szCs w:val="24"/>
        </w:rPr>
        <w:t xml:space="preserve"> o obchodní společnosti, které mají velký</w:t>
      </w:r>
      <w:r w:rsidR="007F68A4" w:rsidRPr="00CA13E6">
        <w:rPr>
          <w:rFonts w:cstheme="minorHAnsi"/>
          <w:bCs/>
          <w:i/>
          <w:sz w:val="24"/>
          <w:szCs w:val="24"/>
        </w:rPr>
        <w:t xml:space="preserve"> </w:t>
      </w:r>
      <w:r w:rsidR="007F68A4" w:rsidRPr="00CA13E6">
        <w:rPr>
          <w:rFonts w:cstheme="minorHAnsi"/>
          <w:bCs/>
          <w:iCs/>
          <w:sz w:val="24"/>
          <w:szCs w:val="24"/>
        </w:rPr>
        <w:t>objem aktiv, jejichž činnost je zajišťována částečně nebo zcela ze státního rozpočtu nebo takové, u nichž postač</w:t>
      </w:r>
      <w:r w:rsidR="007F68A4">
        <w:rPr>
          <w:rFonts w:cstheme="minorHAnsi"/>
          <w:bCs/>
          <w:iCs/>
          <w:sz w:val="24"/>
          <w:szCs w:val="24"/>
        </w:rPr>
        <w:t>ovalo</w:t>
      </w:r>
      <w:r w:rsidR="007F68A4" w:rsidRPr="00CA13E6">
        <w:rPr>
          <w:rFonts w:cstheme="minorHAnsi"/>
          <w:bCs/>
          <w:iCs/>
          <w:sz w:val="24"/>
          <w:szCs w:val="24"/>
        </w:rPr>
        <w:t>, že fungují ve strategickém odvětví.</w:t>
      </w:r>
    </w:p>
    <w:p w14:paraId="5CF8AF4F" w14:textId="77777777" w:rsidR="00881203" w:rsidRDefault="00881203" w:rsidP="00BC2A72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4B6A5718" w14:textId="0BA9A9E4" w:rsidR="00881203" w:rsidRDefault="007F68A4" w:rsidP="00BC2A72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CA13E6">
        <w:rPr>
          <w:rFonts w:cstheme="minorHAnsi"/>
          <w:bCs/>
          <w:iCs/>
          <w:sz w:val="24"/>
          <w:szCs w:val="24"/>
        </w:rPr>
        <w:t>Naopak kategori</w:t>
      </w:r>
      <w:r>
        <w:rPr>
          <w:rFonts w:cstheme="minorHAnsi"/>
          <w:bCs/>
          <w:iCs/>
          <w:sz w:val="24"/>
          <w:szCs w:val="24"/>
        </w:rPr>
        <w:t>i</w:t>
      </w:r>
      <w:r w:rsidRPr="00CA13E6">
        <w:rPr>
          <w:rFonts w:cstheme="minorHAnsi"/>
          <w:bCs/>
          <w:iCs/>
          <w:sz w:val="24"/>
          <w:szCs w:val="24"/>
        </w:rPr>
        <w:t xml:space="preserve"> zbytných obchodních společností </w:t>
      </w:r>
      <w:r>
        <w:rPr>
          <w:rFonts w:cstheme="minorHAnsi"/>
          <w:bCs/>
          <w:iCs/>
          <w:sz w:val="24"/>
          <w:szCs w:val="24"/>
        </w:rPr>
        <w:t>MF</w:t>
      </w:r>
      <w:r w:rsidRPr="00CA13E6">
        <w:rPr>
          <w:rFonts w:cstheme="minorHAnsi"/>
          <w:bCs/>
          <w:iCs/>
          <w:sz w:val="24"/>
          <w:szCs w:val="24"/>
        </w:rPr>
        <w:t xml:space="preserve"> na základě doplňujících kritérií zúž</w:t>
      </w:r>
      <w:r>
        <w:rPr>
          <w:rFonts w:cstheme="minorHAnsi"/>
          <w:bCs/>
          <w:iCs/>
          <w:sz w:val="24"/>
          <w:szCs w:val="24"/>
        </w:rPr>
        <w:t>ilo</w:t>
      </w:r>
      <w:r w:rsidRPr="00CA13E6">
        <w:rPr>
          <w:rFonts w:cstheme="minorHAnsi"/>
          <w:bCs/>
          <w:iCs/>
          <w:sz w:val="24"/>
          <w:szCs w:val="24"/>
        </w:rPr>
        <w:t xml:space="preserve"> pouze na ty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="00792919">
        <w:rPr>
          <w:rFonts w:cstheme="minorHAnsi"/>
          <w:bCs/>
          <w:iCs/>
          <w:sz w:val="24"/>
          <w:szCs w:val="24"/>
        </w:rPr>
        <w:t>obchodní společnosti</w:t>
      </w:r>
      <w:r w:rsidRPr="00CA13E6">
        <w:rPr>
          <w:rFonts w:cstheme="minorHAnsi"/>
          <w:bCs/>
          <w:iCs/>
          <w:sz w:val="24"/>
          <w:szCs w:val="24"/>
        </w:rPr>
        <w:t xml:space="preserve">, které jsou v likvidaci, insolvenčním řízení, připravující se na likvidaci a </w:t>
      </w:r>
      <w:r>
        <w:rPr>
          <w:rFonts w:cstheme="minorHAnsi"/>
          <w:bCs/>
          <w:iCs/>
          <w:sz w:val="24"/>
          <w:szCs w:val="24"/>
        </w:rPr>
        <w:t>u kterých má stát</w:t>
      </w:r>
      <w:r w:rsidRPr="00CA13E6">
        <w:rPr>
          <w:rFonts w:cstheme="minorHAnsi"/>
          <w:bCs/>
          <w:iCs/>
          <w:sz w:val="24"/>
          <w:szCs w:val="24"/>
        </w:rPr>
        <w:t xml:space="preserve"> minoritní podíly.</w:t>
      </w:r>
    </w:p>
    <w:p w14:paraId="499C150D" w14:textId="39C89305" w:rsidR="007430F3" w:rsidRDefault="007430F3" w:rsidP="00BC2A72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03E06BB1" w14:textId="2576FAF1" w:rsidR="007F65BC" w:rsidRDefault="007F68A4" w:rsidP="006906E1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NKÚ zjistil, že </w:t>
      </w:r>
      <w:r w:rsidR="00881203">
        <w:rPr>
          <w:rFonts w:cstheme="minorHAnsi"/>
          <w:bCs/>
          <w:iCs/>
          <w:sz w:val="24"/>
          <w:szCs w:val="24"/>
        </w:rPr>
        <w:t xml:space="preserve">MF </w:t>
      </w:r>
      <w:r w:rsidR="00921FA8">
        <w:rPr>
          <w:rFonts w:cstheme="minorHAnsi"/>
          <w:bCs/>
          <w:iCs/>
          <w:sz w:val="24"/>
          <w:szCs w:val="24"/>
        </w:rPr>
        <w:t>na základě upravených</w:t>
      </w:r>
      <w:r w:rsidR="006B4FBB">
        <w:rPr>
          <w:rFonts w:cstheme="minorHAnsi"/>
          <w:bCs/>
          <w:iCs/>
          <w:sz w:val="24"/>
          <w:szCs w:val="24"/>
        </w:rPr>
        <w:t xml:space="preserve"> kritérií </w:t>
      </w:r>
      <w:r w:rsidR="00881203">
        <w:rPr>
          <w:rFonts w:cstheme="minorHAnsi"/>
          <w:bCs/>
          <w:iCs/>
          <w:sz w:val="24"/>
          <w:szCs w:val="24"/>
        </w:rPr>
        <w:t>zařadilo</w:t>
      </w:r>
      <w:r w:rsidR="00921FA8">
        <w:rPr>
          <w:rFonts w:cstheme="minorHAnsi"/>
          <w:bCs/>
          <w:iCs/>
          <w:sz w:val="24"/>
          <w:szCs w:val="24"/>
        </w:rPr>
        <w:t xml:space="preserve"> </w:t>
      </w:r>
      <w:r w:rsidR="00881203">
        <w:rPr>
          <w:rFonts w:cstheme="minorHAnsi"/>
          <w:bCs/>
          <w:iCs/>
          <w:sz w:val="24"/>
          <w:szCs w:val="24"/>
        </w:rPr>
        <w:t>mezi</w:t>
      </w:r>
      <w:r w:rsidR="00921FA8">
        <w:rPr>
          <w:rFonts w:cstheme="minorHAnsi"/>
          <w:bCs/>
          <w:iCs/>
          <w:sz w:val="24"/>
          <w:szCs w:val="24"/>
        </w:rPr>
        <w:t xml:space="preserve"> strategické</w:t>
      </w:r>
      <w:r>
        <w:rPr>
          <w:rFonts w:cstheme="minorHAnsi"/>
          <w:bCs/>
          <w:iCs/>
          <w:sz w:val="24"/>
          <w:szCs w:val="24"/>
        </w:rPr>
        <w:t xml:space="preserve"> obchodní společnost</w:t>
      </w:r>
      <w:r w:rsidR="00921FA8">
        <w:rPr>
          <w:rFonts w:cstheme="minorHAnsi"/>
          <w:bCs/>
          <w:iCs/>
          <w:sz w:val="24"/>
          <w:szCs w:val="24"/>
        </w:rPr>
        <w:t>i</w:t>
      </w:r>
      <w:r>
        <w:rPr>
          <w:rFonts w:cstheme="minorHAnsi"/>
          <w:bCs/>
          <w:iCs/>
          <w:sz w:val="24"/>
          <w:szCs w:val="24"/>
        </w:rPr>
        <w:t xml:space="preserve"> Kongresové centrum Praha, </w:t>
      </w:r>
      <w:r w:rsidR="00594FD6">
        <w:rPr>
          <w:rFonts w:cstheme="minorHAnsi"/>
          <w:bCs/>
          <w:iCs/>
          <w:sz w:val="24"/>
          <w:szCs w:val="24"/>
        </w:rPr>
        <w:t>a.s.</w:t>
      </w:r>
      <w:r w:rsidR="00250398">
        <w:rPr>
          <w:rFonts w:cstheme="minorHAnsi"/>
          <w:bCs/>
          <w:iCs/>
          <w:sz w:val="24"/>
          <w:szCs w:val="24"/>
        </w:rPr>
        <w:t>,</w:t>
      </w:r>
      <w:r>
        <w:rPr>
          <w:rFonts w:cstheme="minorHAnsi"/>
          <w:bCs/>
          <w:iCs/>
          <w:sz w:val="24"/>
          <w:szCs w:val="24"/>
        </w:rPr>
        <w:t xml:space="preserve"> a </w:t>
      </w:r>
      <w:r w:rsidR="002111B3">
        <w:rPr>
          <w:rFonts w:cstheme="minorHAnsi"/>
          <w:bCs/>
          <w:iCs/>
          <w:sz w:val="24"/>
          <w:szCs w:val="24"/>
        </w:rPr>
        <w:t>THERMAL</w:t>
      </w:r>
      <w:r>
        <w:rPr>
          <w:rFonts w:cstheme="minorHAnsi"/>
          <w:bCs/>
          <w:iCs/>
          <w:sz w:val="24"/>
          <w:szCs w:val="24"/>
        </w:rPr>
        <w:t xml:space="preserve">-F, </w:t>
      </w:r>
      <w:r w:rsidR="00594FD6">
        <w:rPr>
          <w:rFonts w:cstheme="minorHAnsi"/>
          <w:bCs/>
          <w:iCs/>
          <w:sz w:val="24"/>
          <w:szCs w:val="24"/>
        </w:rPr>
        <w:t>a.s.</w:t>
      </w:r>
      <w:r w:rsidR="00881203">
        <w:rPr>
          <w:rFonts w:cstheme="minorHAnsi"/>
          <w:bCs/>
          <w:iCs/>
          <w:sz w:val="24"/>
          <w:szCs w:val="24"/>
        </w:rPr>
        <w:t xml:space="preserve"> </w:t>
      </w:r>
      <w:r w:rsidR="00110BB5">
        <w:rPr>
          <w:rFonts w:cstheme="minorHAnsi"/>
          <w:bCs/>
          <w:iCs/>
          <w:sz w:val="24"/>
          <w:szCs w:val="24"/>
        </w:rPr>
        <w:t xml:space="preserve">Účetní hodnota majetkové účasti státu </w:t>
      </w:r>
      <w:r w:rsidR="0034762D">
        <w:rPr>
          <w:rFonts w:cstheme="minorHAnsi"/>
          <w:bCs/>
          <w:iCs/>
          <w:sz w:val="24"/>
          <w:szCs w:val="24"/>
        </w:rPr>
        <w:t xml:space="preserve">k 31. 12. 2024 </w:t>
      </w:r>
      <w:r w:rsidR="009D333E">
        <w:rPr>
          <w:rFonts w:cstheme="minorHAnsi"/>
          <w:bCs/>
          <w:iCs/>
          <w:sz w:val="24"/>
          <w:szCs w:val="24"/>
        </w:rPr>
        <w:t>byla</w:t>
      </w:r>
      <w:r w:rsidR="0034762D">
        <w:rPr>
          <w:rFonts w:cstheme="minorHAnsi"/>
          <w:bCs/>
          <w:iCs/>
          <w:sz w:val="24"/>
          <w:szCs w:val="24"/>
        </w:rPr>
        <w:t xml:space="preserve"> </w:t>
      </w:r>
      <w:r w:rsidR="008B1FF5">
        <w:rPr>
          <w:rFonts w:cstheme="minorHAnsi"/>
          <w:bCs/>
          <w:iCs/>
          <w:sz w:val="24"/>
          <w:szCs w:val="24"/>
        </w:rPr>
        <w:t>2 mld</w:t>
      </w:r>
      <w:r w:rsidR="009D333E">
        <w:rPr>
          <w:rFonts w:cstheme="minorHAnsi"/>
          <w:bCs/>
          <w:iCs/>
          <w:sz w:val="24"/>
          <w:szCs w:val="24"/>
        </w:rPr>
        <w:t>.</w:t>
      </w:r>
      <w:r w:rsidR="009D333E" w:rsidRPr="009D333E">
        <w:rPr>
          <w:rFonts w:cstheme="minorHAnsi"/>
          <w:bCs/>
          <w:iCs/>
          <w:sz w:val="24"/>
          <w:szCs w:val="24"/>
        </w:rPr>
        <w:t xml:space="preserve"> </w:t>
      </w:r>
      <w:r w:rsidR="009D333E">
        <w:rPr>
          <w:rFonts w:cstheme="minorHAnsi"/>
          <w:bCs/>
          <w:iCs/>
          <w:sz w:val="24"/>
          <w:szCs w:val="24"/>
        </w:rPr>
        <w:t xml:space="preserve">Kč v obchodní společnosti Kongresové centrum Praha, </w:t>
      </w:r>
      <w:r w:rsidR="00594FD6">
        <w:rPr>
          <w:rFonts w:cstheme="minorHAnsi"/>
          <w:bCs/>
          <w:iCs/>
          <w:sz w:val="24"/>
          <w:szCs w:val="24"/>
        </w:rPr>
        <w:t>a.s.</w:t>
      </w:r>
      <w:r w:rsidR="00250398">
        <w:rPr>
          <w:rFonts w:cstheme="minorHAnsi"/>
          <w:bCs/>
          <w:iCs/>
          <w:sz w:val="24"/>
          <w:szCs w:val="24"/>
        </w:rPr>
        <w:t>,</w:t>
      </w:r>
      <w:r w:rsidR="003411AD">
        <w:rPr>
          <w:rFonts w:cstheme="minorHAnsi"/>
          <w:bCs/>
          <w:iCs/>
          <w:sz w:val="24"/>
          <w:szCs w:val="24"/>
        </w:rPr>
        <w:t xml:space="preserve"> a </w:t>
      </w:r>
      <w:r w:rsidR="008A0D20">
        <w:rPr>
          <w:rFonts w:cstheme="minorHAnsi"/>
          <w:bCs/>
          <w:iCs/>
          <w:sz w:val="24"/>
          <w:szCs w:val="24"/>
        </w:rPr>
        <w:t>1,0</w:t>
      </w:r>
      <w:r w:rsidR="009D333E">
        <w:rPr>
          <w:rFonts w:cstheme="minorHAnsi"/>
          <w:bCs/>
          <w:iCs/>
          <w:sz w:val="24"/>
          <w:szCs w:val="24"/>
        </w:rPr>
        <w:t xml:space="preserve">99 mld. Kč </w:t>
      </w:r>
      <w:r w:rsidR="003411AD">
        <w:rPr>
          <w:rFonts w:cstheme="minorHAnsi"/>
          <w:bCs/>
          <w:iCs/>
          <w:sz w:val="24"/>
          <w:szCs w:val="24"/>
        </w:rPr>
        <w:t xml:space="preserve">v obchodní společnosti </w:t>
      </w:r>
      <w:r w:rsidR="002111B3">
        <w:rPr>
          <w:rFonts w:cstheme="minorHAnsi"/>
          <w:bCs/>
          <w:iCs/>
          <w:sz w:val="24"/>
          <w:szCs w:val="24"/>
        </w:rPr>
        <w:t>THERMAL</w:t>
      </w:r>
      <w:r w:rsidR="003411AD">
        <w:rPr>
          <w:rFonts w:cstheme="minorHAnsi"/>
          <w:bCs/>
          <w:iCs/>
          <w:sz w:val="24"/>
          <w:szCs w:val="24"/>
        </w:rPr>
        <w:t xml:space="preserve">-F, </w:t>
      </w:r>
      <w:r w:rsidR="00594FD6">
        <w:rPr>
          <w:rFonts w:cstheme="minorHAnsi"/>
          <w:bCs/>
          <w:iCs/>
          <w:sz w:val="24"/>
          <w:szCs w:val="24"/>
        </w:rPr>
        <w:t>a.s.</w:t>
      </w:r>
      <w:r w:rsidR="00110BB5">
        <w:rPr>
          <w:rFonts w:cstheme="minorHAnsi"/>
          <w:bCs/>
          <w:iCs/>
          <w:sz w:val="24"/>
          <w:szCs w:val="24"/>
        </w:rPr>
        <w:t xml:space="preserve"> </w:t>
      </w:r>
      <w:r w:rsidR="00881203">
        <w:rPr>
          <w:rFonts w:cstheme="minorHAnsi"/>
          <w:bCs/>
          <w:iCs/>
          <w:sz w:val="24"/>
          <w:szCs w:val="24"/>
        </w:rPr>
        <w:t xml:space="preserve">Dle kritérií stanovených ve Strategii </w:t>
      </w:r>
      <w:r w:rsidR="00921FA8">
        <w:rPr>
          <w:rFonts w:cstheme="minorHAnsi"/>
          <w:bCs/>
          <w:iCs/>
          <w:sz w:val="24"/>
          <w:szCs w:val="24"/>
        </w:rPr>
        <w:t>však</w:t>
      </w:r>
      <w:r w:rsidR="00F1524E">
        <w:rPr>
          <w:rFonts w:cstheme="minorHAnsi"/>
          <w:bCs/>
          <w:iCs/>
          <w:sz w:val="24"/>
          <w:szCs w:val="24"/>
        </w:rPr>
        <w:t xml:space="preserve"> </w:t>
      </w:r>
      <w:r w:rsidR="000D6331">
        <w:rPr>
          <w:rFonts w:cstheme="minorHAnsi"/>
          <w:bCs/>
          <w:iCs/>
          <w:sz w:val="24"/>
          <w:szCs w:val="24"/>
        </w:rPr>
        <w:t xml:space="preserve">byla </w:t>
      </w:r>
      <w:r w:rsidR="00F1524E">
        <w:rPr>
          <w:rFonts w:cstheme="minorHAnsi"/>
          <w:bCs/>
          <w:iCs/>
          <w:sz w:val="24"/>
          <w:szCs w:val="24"/>
        </w:rPr>
        <w:t xml:space="preserve">obchodní společnost Kongresové centrum Praha, </w:t>
      </w:r>
      <w:r w:rsidR="00594FD6">
        <w:rPr>
          <w:rFonts w:cstheme="minorHAnsi"/>
          <w:bCs/>
          <w:iCs/>
          <w:sz w:val="24"/>
          <w:szCs w:val="24"/>
        </w:rPr>
        <w:t>a.s.</w:t>
      </w:r>
      <w:r w:rsidR="00A4358C">
        <w:rPr>
          <w:rFonts w:cstheme="minorHAnsi"/>
          <w:bCs/>
          <w:iCs/>
          <w:sz w:val="24"/>
          <w:szCs w:val="24"/>
        </w:rPr>
        <w:t>,</w:t>
      </w:r>
      <w:r w:rsidR="00F1524E">
        <w:rPr>
          <w:rFonts w:cstheme="minorHAnsi"/>
          <w:bCs/>
          <w:iCs/>
          <w:sz w:val="24"/>
          <w:szCs w:val="24"/>
        </w:rPr>
        <w:t xml:space="preserve"> pro stát nepotřebná a MF mělo podíl v této obchodní společnosti</w:t>
      </w:r>
      <w:r w:rsidR="004F14C1">
        <w:rPr>
          <w:rFonts w:cstheme="minorHAnsi"/>
          <w:bCs/>
          <w:iCs/>
          <w:sz w:val="24"/>
          <w:szCs w:val="24"/>
        </w:rPr>
        <w:t xml:space="preserve"> </w:t>
      </w:r>
      <w:r w:rsidR="005C5C0D">
        <w:rPr>
          <w:rFonts w:cstheme="minorHAnsi"/>
          <w:bCs/>
          <w:iCs/>
          <w:sz w:val="24"/>
          <w:szCs w:val="24"/>
        </w:rPr>
        <w:t>zcizit</w:t>
      </w:r>
      <w:r w:rsidR="00F1524E">
        <w:rPr>
          <w:rFonts w:cstheme="minorHAnsi"/>
          <w:bCs/>
          <w:iCs/>
          <w:sz w:val="24"/>
          <w:szCs w:val="24"/>
        </w:rPr>
        <w:t xml:space="preserve">. </w:t>
      </w:r>
      <w:r w:rsidR="005C5C0D">
        <w:rPr>
          <w:rFonts w:cstheme="minorHAnsi"/>
          <w:bCs/>
          <w:iCs/>
          <w:sz w:val="24"/>
          <w:szCs w:val="24"/>
        </w:rPr>
        <w:t xml:space="preserve">V roce 2025 </w:t>
      </w:r>
      <w:r w:rsidR="00F1524E">
        <w:rPr>
          <w:rFonts w:cstheme="minorHAnsi"/>
          <w:bCs/>
          <w:iCs/>
          <w:sz w:val="24"/>
          <w:szCs w:val="24"/>
        </w:rPr>
        <w:t xml:space="preserve">MF podíl </w:t>
      </w:r>
      <w:r w:rsidR="000D6331">
        <w:rPr>
          <w:rFonts w:cstheme="minorHAnsi"/>
          <w:bCs/>
          <w:iCs/>
          <w:sz w:val="24"/>
          <w:szCs w:val="24"/>
        </w:rPr>
        <w:t xml:space="preserve">v Kongresovém </w:t>
      </w:r>
      <w:r w:rsidR="000D6331">
        <w:rPr>
          <w:rFonts w:cstheme="minorHAnsi"/>
          <w:bCs/>
          <w:iCs/>
          <w:sz w:val="24"/>
          <w:szCs w:val="24"/>
        </w:rPr>
        <w:lastRenderedPageBreak/>
        <w:t xml:space="preserve">centru Praha, </w:t>
      </w:r>
      <w:r w:rsidR="00594FD6">
        <w:rPr>
          <w:rFonts w:cstheme="minorHAnsi"/>
          <w:bCs/>
          <w:iCs/>
          <w:sz w:val="24"/>
          <w:szCs w:val="24"/>
        </w:rPr>
        <w:t>a.s.</w:t>
      </w:r>
      <w:r w:rsidR="00A4358C">
        <w:rPr>
          <w:rFonts w:cstheme="minorHAnsi"/>
          <w:bCs/>
          <w:iCs/>
          <w:sz w:val="24"/>
          <w:szCs w:val="24"/>
        </w:rPr>
        <w:t>,</w:t>
      </w:r>
      <w:r w:rsidR="00F1524E">
        <w:rPr>
          <w:rFonts w:cstheme="minorHAnsi"/>
          <w:bCs/>
          <w:iCs/>
          <w:sz w:val="24"/>
          <w:szCs w:val="24"/>
        </w:rPr>
        <w:t xml:space="preserve"> z důvodu </w:t>
      </w:r>
      <w:r w:rsidR="0093107E">
        <w:rPr>
          <w:rFonts w:cstheme="minorHAnsi"/>
          <w:bCs/>
          <w:iCs/>
          <w:sz w:val="24"/>
          <w:szCs w:val="24"/>
        </w:rPr>
        <w:t xml:space="preserve">dlouhodobé </w:t>
      </w:r>
      <w:r w:rsidR="00F1524E">
        <w:rPr>
          <w:rFonts w:cstheme="minorHAnsi"/>
          <w:bCs/>
          <w:iCs/>
          <w:sz w:val="24"/>
          <w:szCs w:val="24"/>
        </w:rPr>
        <w:t>nepotřebnosti převedl</w:t>
      </w:r>
      <w:r w:rsidR="005C5C0D">
        <w:rPr>
          <w:rFonts w:cstheme="minorHAnsi"/>
          <w:bCs/>
          <w:iCs/>
          <w:sz w:val="24"/>
          <w:szCs w:val="24"/>
        </w:rPr>
        <w:t>o</w:t>
      </w:r>
      <w:r w:rsidR="00F1524E">
        <w:rPr>
          <w:rFonts w:cstheme="minorHAnsi"/>
          <w:bCs/>
          <w:iCs/>
          <w:sz w:val="24"/>
          <w:szCs w:val="24"/>
        </w:rPr>
        <w:t xml:space="preserve"> na druhého akcionáře Hlavní město Prahu</w:t>
      </w:r>
      <w:r>
        <w:rPr>
          <w:rStyle w:val="Znakapoznpodarou"/>
          <w:rFonts w:cstheme="minorHAnsi"/>
          <w:bCs/>
          <w:iCs/>
          <w:sz w:val="24"/>
          <w:szCs w:val="24"/>
        </w:rPr>
        <w:footnoteReference w:id="18"/>
      </w:r>
      <w:r w:rsidR="00F1524E">
        <w:rPr>
          <w:rFonts w:cstheme="minorHAnsi"/>
          <w:bCs/>
          <w:iCs/>
          <w:sz w:val="24"/>
          <w:szCs w:val="24"/>
        </w:rPr>
        <w:t xml:space="preserve">. </w:t>
      </w:r>
      <w:r w:rsidR="0034762D">
        <w:rPr>
          <w:rFonts w:cstheme="minorHAnsi"/>
          <w:bCs/>
          <w:iCs/>
          <w:sz w:val="24"/>
          <w:szCs w:val="24"/>
        </w:rPr>
        <w:t>MF zařadilo o</w:t>
      </w:r>
      <w:r w:rsidR="00F1524E">
        <w:rPr>
          <w:rFonts w:cstheme="minorHAnsi"/>
          <w:bCs/>
          <w:iCs/>
          <w:sz w:val="24"/>
          <w:szCs w:val="24"/>
        </w:rPr>
        <w:t xml:space="preserve">bchodní společnost </w:t>
      </w:r>
      <w:r w:rsidR="002111B3">
        <w:rPr>
          <w:rFonts w:cstheme="minorHAnsi"/>
          <w:bCs/>
          <w:iCs/>
          <w:sz w:val="24"/>
          <w:szCs w:val="24"/>
        </w:rPr>
        <w:t>THERMAL</w:t>
      </w:r>
      <w:r w:rsidR="00F1524E">
        <w:rPr>
          <w:rFonts w:cstheme="minorHAnsi"/>
          <w:bCs/>
          <w:iCs/>
          <w:sz w:val="24"/>
          <w:szCs w:val="24"/>
        </w:rPr>
        <w:t xml:space="preserve">-F, </w:t>
      </w:r>
      <w:r w:rsidR="00594FD6">
        <w:rPr>
          <w:rFonts w:cstheme="minorHAnsi"/>
          <w:bCs/>
          <w:iCs/>
          <w:sz w:val="24"/>
          <w:szCs w:val="24"/>
        </w:rPr>
        <w:t>a.s.</w:t>
      </w:r>
      <w:r w:rsidR="00A4358C">
        <w:rPr>
          <w:rFonts w:cstheme="minorHAnsi"/>
          <w:bCs/>
          <w:iCs/>
          <w:sz w:val="24"/>
          <w:szCs w:val="24"/>
        </w:rPr>
        <w:t>,</w:t>
      </w:r>
      <w:r w:rsidR="00F1524E">
        <w:rPr>
          <w:rFonts w:cstheme="minorHAnsi"/>
          <w:bCs/>
          <w:iCs/>
          <w:sz w:val="24"/>
          <w:szCs w:val="24"/>
        </w:rPr>
        <w:t xml:space="preserve"> mezi strategické z důvodu konání mezinárodního filmového festivalu v Karlových Varech. Toto odůvodnění </w:t>
      </w:r>
      <w:r w:rsidR="002D0B7F">
        <w:rPr>
          <w:rFonts w:cstheme="minorHAnsi"/>
          <w:bCs/>
          <w:iCs/>
          <w:sz w:val="24"/>
          <w:szCs w:val="24"/>
        </w:rPr>
        <w:t xml:space="preserve">však </w:t>
      </w:r>
      <w:r w:rsidR="00F1524E">
        <w:rPr>
          <w:rFonts w:cstheme="minorHAnsi"/>
          <w:bCs/>
          <w:iCs/>
          <w:sz w:val="24"/>
          <w:szCs w:val="24"/>
        </w:rPr>
        <w:t xml:space="preserve">nekoresponduje s kritérii </w:t>
      </w:r>
      <w:r w:rsidR="002D0B7F">
        <w:rPr>
          <w:rFonts w:cstheme="minorHAnsi"/>
          <w:bCs/>
          <w:iCs/>
          <w:sz w:val="24"/>
          <w:szCs w:val="24"/>
        </w:rPr>
        <w:t>pro</w:t>
      </w:r>
      <w:r w:rsidR="00F1524E">
        <w:rPr>
          <w:rFonts w:cstheme="minorHAnsi"/>
          <w:bCs/>
          <w:iCs/>
          <w:sz w:val="24"/>
          <w:szCs w:val="24"/>
        </w:rPr>
        <w:t xml:space="preserve"> strategické</w:t>
      </w:r>
      <w:r w:rsidR="002D0B7F">
        <w:rPr>
          <w:rFonts w:cstheme="minorHAnsi"/>
          <w:bCs/>
          <w:iCs/>
          <w:sz w:val="24"/>
          <w:szCs w:val="24"/>
        </w:rPr>
        <w:t xml:space="preserve"> společnosti uvedené ve Strategii</w:t>
      </w:r>
      <w:r w:rsidR="00F1524E">
        <w:rPr>
          <w:rFonts w:cstheme="minorHAnsi"/>
          <w:bCs/>
          <w:iCs/>
          <w:sz w:val="24"/>
          <w:szCs w:val="24"/>
        </w:rPr>
        <w:t xml:space="preserve">. </w:t>
      </w:r>
    </w:p>
    <w:p w14:paraId="5F6459E3" w14:textId="77777777" w:rsidR="007E7492" w:rsidRDefault="007E7492" w:rsidP="006906E1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314F9C84" w14:textId="06E75092" w:rsidR="007E7492" w:rsidRPr="007E7492" w:rsidRDefault="007E7492" w:rsidP="006906E1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NKÚ zjistil, že MF nepostupoval</w:t>
      </w:r>
      <w:r w:rsidR="00B1264A">
        <w:rPr>
          <w:rFonts w:cstheme="minorHAnsi"/>
          <w:bCs/>
          <w:iCs/>
          <w:sz w:val="24"/>
          <w:szCs w:val="24"/>
        </w:rPr>
        <w:t>o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Pr="006906E1">
        <w:rPr>
          <w:rFonts w:cstheme="minorHAnsi"/>
          <w:bCs/>
          <w:iCs/>
          <w:sz w:val="24"/>
          <w:szCs w:val="24"/>
        </w:rPr>
        <w:t>v </w:t>
      </w:r>
      <w:r>
        <w:rPr>
          <w:rFonts w:cstheme="minorHAnsi"/>
          <w:bCs/>
          <w:iCs/>
          <w:sz w:val="24"/>
          <w:szCs w:val="24"/>
        </w:rPr>
        <w:t>souladu</w:t>
      </w:r>
      <w:r w:rsidRPr="006906E1">
        <w:rPr>
          <w:rFonts w:cstheme="minorHAnsi"/>
          <w:bCs/>
          <w:iCs/>
          <w:sz w:val="24"/>
          <w:szCs w:val="24"/>
        </w:rPr>
        <w:t xml:space="preserve"> s</w:t>
      </w:r>
      <w:r>
        <w:rPr>
          <w:rFonts w:cstheme="minorHAnsi"/>
          <w:bCs/>
          <w:iCs/>
          <w:sz w:val="24"/>
          <w:szCs w:val="24"/>
        </w:rPr>
        <w:t> ustanovením § 21 kompetenčního zákona, protože se neřídilo</w:t>
      </w:r>
      <w:r w:rsidR="00A4358C">
        <w:rPr>
          <w:rFonts w:ascii="Calibri" w:hAnsi="Calibri" w:cs="Calibr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 xml:space="preserve">při plnění opatření č. 1 </w:t>
      </w:r>
      <w:r w:rsidRPr="00366265">
        <w:rPr>
          <w:rFonts w:ascii="Calibri" w:hAnsi="Calibri" w:cs="Calibri"/>
          <w:bCs/>
          <w:iCs/>
          <w:sz w:val="24"/>
          <w:szCs w:val="24"/>
        </w:rPr>
        <w:t>usnesením vlády</w:t>
      </w:r>
      <w:r w:rsidRPr="00366265">
        <w:t xml:space="preserve"> </w:t>
      </w:r>
      <w:r w:rsidRPr="00366265">
        <w:rPr>
          <w:sz w:val="24"/>
          <w:szCs w:val="24"/>
        </w:rPr>
        <w:t>č.</w:t>
      </w:r>
      <w:r>
        <w:rPr>
          <w:sz w:val="24"/>
          <w:szCs w:val="24"/>
        </w:rPr>
        <w:t> 115.</w:t>
      </w:r>
    </w:p>
    <w:p w14:paraId="53902237" w14:textId="77777777" w:rsidR="00FC31F3" w:rsidRDefault="00FC31F3" w:rsidP="00BC2A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2AF5F1" w14:textId="3EDCDE58" w:rsidR="001478FF" w:rsidRDefault="007F68A4" w:rsidP="001478F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NKÚ dále zjistil</w:t>
      </w:r>
      <w:r w:rsidR="0081352F">
        <w:rPr>
          <w:bCs/>
          <w:sz w:val="24"/>
          <w:szCs w:val="24"/>
          <w:lang w:eastAsia="cs-CZ"/>
        </w:rPr>
        <w:t>, že</w:t>
      </w:r>
      <w:r w:rsidR="00FC31F3" w:rsidRPr="0081352F">
        <w:rPr>
          <w:bCs/>
          <w:sz w:val="24"/>
          <w:szCs w:val="24"/>
          <w:lang w:eastAsia="cs-CZ"/>
        </w:rPr>
        <w:t xml:space="preserve"> </w:t>
      </w:r>
      <w:r w:rsidR="005B69A9" w:rsidRPr="0081352F">
        <w:rPr>
          <w:bCs/>
          <w:sz w:val="24"/>
          <w:szCs w:val="24"/>
          <w:lang w:eastAsia="cs-CZ"/>
        </w:rPr>
        <w:t xml:space="preserve">MF </w:t>
      </w:r>
      <w:r w:rsidR="006D220A" w:rsidRPr="0081352F">
        <w:rPr>
          <w:bCs/>
          <w:sz w:val="24"/>
          <w:szCs w:val="24"/>
          <w:lang w:eastAsia="cs-CZ"/>
        </w:rPr>
        <w:t xml:space="preserve">od roku 2020 </w:t>
      </w:r>
      <w:r w:rsidR="0081352F">
        <w:rPr>
          <w:bCs/>
          <w:sz w:val="24"/>
          <w:szCs w:val="24"/>
          <w:lang w:eastAsia="cs-CZ"/>
        </w:rPr>
        <w:t>zařadilo</w:t>
      </w:r>
      <w:r w:rsidR="0081352F" w:rsidRPr="0081352F">
        <w:rPr>
          <w:bCs/>
          <w:sz w:val="24"/>
          <w:szCs w:val="24"/>
          <w:lang w:eastAsia="cs-CZ"/>
        </w:rPr>
        <w:t xml:space="preserve"> </w:t>
      </w:r>
      <w:r w:rsidR="00FC31F3" w:rsidRPr="0081352F">
        <w:rPr>
          <w:bCs/>
          <w:sz w:val="24"/>
          <w:szCs w:val="24"/>
          <w:lang w:eastAsia="cs-CZ"/>
        </w:rPr>
        <w:t>obchodní společnosti E.ON SE</w:t>
      </w:r>
      <w:r w:rsidR="004F14C1">
        <w:rPr>
          <w:rStyle w:val="Znakapoznpodarou"/>
          <w:bCs/>
          <w:sz w:val="24"/>
          <w:szCs w:val="24"/>
          <w:lang w:eastAsia="cs-CZ"/>
        </w:rPr>
        <w:footnoteReference w:id="19"/>
      </w:r>
      <w:r w:rsidR="00FC31F3" w:rsidRPr="0081352F">
        <w:rPr>
          <w:bCs/>
          <w:sz w:val="24"/>
          <w:szCs w:val="24"/>
          <w:lang w:eastAsia="cs-CZ"/>
        </w:rPr>
        <w:t xml:space="preserve"> a UNIPER SE</w:t>
      </w:r>
      <w:r w:rsidR="00134F95">
        <w:rPr>
          <w:rStyle w:val="Znakapoznpodarou"/>
          <w:bCs/>
          <w:sz w:val="24"/>
          <w:szCs w:val="24"/>
          <w:lang w:eastAsia="cs-CZ"/>
        </w:rPr>
        <w:footnoteReference w:id="20"/>
      </w:r>
      <w:r w:rsidR="00FC31F3" w:rsidRPr="0081352F">
        <w:rPr>
          <w:bCs/>
          <w:sz w:val="24"/>
          <w:szCs w:val="24"/>
          <w:lang w:eastAsia="cs-CZ"/>
        </w:rPr>
        <w:t xml:space="preserve"> </w:t>
      </w:r>
      <w:r w:rsidR="00EC6517">
        <w:rPr>
          <w:bCs/>
          <w:sz w:val="24"/>
          <w:szCs w:val="24"/>
          <w:lang w:eastAsia="cs-CZ"/>
        </w:rPr>
        <w:t xml:space="preserve">v souladu se Strategií </w:t>
      </w:r>
      <w:r w:rsidR="0081352F">
        <w:rPr>
          <w:bCs/>
          <w:sz w:val="24"/>
          <w:szCs w:val="24"/>
          <w:lang w:eastAsia="cs-CZ"/>
        </w:rPr>
        <w:t>do kategorie</w:t>
      </w:r>
      <w:r w:rsidR="00FC31F3" w:rsidRPr="0081352F">
        <w:rPr>
          <w:bCs/>
          <w:sz w:val="24"/>
          <w:szCs w:val="24"/>
          <w:lang w:eastAsia="cs-CZ"/>
        </w:rPr>
        <w:t xml:space="preserve"> zbytn</w:t>
      </w:r>
      <w:r w:rsidR="0081352F">
        <w:rPr>
          <w:bCs/>
          <w:sz w:val="24"/>
          <w:szCs w:val="24"/>
          <w:lang w:eastAsia="cs-CZ"/>
        </w:rPr>
        <w:t>ých společností</w:t>
      </w:r>
      <w:r w:rsidRPr="0081352F">
        <w:rPr>
          <w:bCs/>
          <w:sz w:val="24"/>
          <w:szCs w:val="24"/>
          <w:lang w:eastAsia="cs-CZ"/>
        </w:rPr>
        <w:t>. P</w:t>
      </w:r>
      <w:r w:rsidR="00FC31F3" w:rsidRPr="0081352F">
        <w:rPr>
          <w:bCs/>
          <w:sz w:val="24"/>
          <w:szCs w:val="24"/>
          <w:lang w:eastAsia="cs-CZ"/>
        </w:rPr>
        <w:t>rodej majetkov</w:t>
      </w:r>
      <w:r w:rsidRPr="0081352F">
        <w:rPr>
          <w:bCs/>
          <w:sz w:val="24"/>
          <w:szCs w:val="24"/>
          <w:lang w:eastAsia="cs-CZ"/>
        </w:rPr>
        <w:t>ých</w:t>
      </w:r>
      <w:r w:rsidR="00FC31F3" w:rsidRPr="0081352F">
        <w:rPr>
          <w:bCs/>
          <w:sz w:val="24"/>
          <w:szCs w:val="24"/>
          <w:lang w:eastAsia="cs-CZ"/>
        </w:rPr>
        <w:t xml:space="preserve"> účast</w:t>
      </w:r>
      <w:r w:rsidRPr="0081352F">
        <w:rPr>
          <w:bCs/>
          <w:sz w:val="24"/>
          <w:szCs w:val="24"/>
          <w:lang w:eastAsia="cs-CZ"/>
        </w:rPr>
        <w:t>í</w:t>
      </w:r>
      <w:r w:rsidR="00FC31F3" w:rsidRPr="0081352F">
        <w:rPr>
          <w:bCs/>
          <w:sz w:val="24"/>
          <w:szCs w:val="24"/>
          <w:lang w:eastAsia="cs-CZ"/>
        </w:rPr>
        <w:t xml:space="preserve"> v nich </w:t>
      </w:r>
      <w:r w:rsidRPr="0081352F">
        <w:rPr>
          <w:bCs/>
          <w:sz w:val="24"/>
          <w:szCs w:val="24"/>
          <w:lang w:eastAsia="cs-CZ"/>
        </w:rPr>
        <w:t xml:space="preserve">však </w:t>
      </w:r>
      <w:r w:rsidR="00FC31F3" w:rsidRPr="0081352F">
        <w:rPr>
          <w:bCs/>
          <w:sz w:val="24"/>
          <w:szCs w:val="24"/>
          <w:lang w:eastAsia="cs-CZ"/>
        </w:rPr>
        <w:t>nepředpokládalo</w:t>
      </w:r>
      <w:r w:rsidRPr="0081352F">
        <w:rPr>
          <w:bCs/>
          <w:sz w:val="24"/>
          <w:szCs w:val="24"/>
          <w:lang w:eastAsia="cs-CZ"/>
        </w:rPr>
        <w:t xml:space="preserve">, </w:t>
      </w:r>
      <w:r w:rsidR="0081352F">
        <w:rPr>
          <w:bCs/>
          <w:sz w:val="24"/>
          <w:szCs w:val="24"/>
          <w:lang w:eastAsia="cs-CZ"/>
        </w:rPr>
        <w:t>protože mají</w:t>
      </w:r>
      <w:r w:rsidRPr="0081352F">
        <w:rPr>
          <w:bCs/>
          <w:sz w:val="24"/>
          <w:szCs w:val="24"/>
          <w:lang w:eastAsia="cs-CZ"/>
        </w:rPr>
        <w:t xml:space="preserve"> pro stát ekonomický</w:t>
      </w:r>
      <w:r w:rsidR="0081352F">
        <w:rPr>
          <w:bCs/>
          <w:sz w:val="24"/>
          <w:szCs w:val="24"/>
          <w:lang w:eastAsia="cs-CZ"/>
        </w:rPr>
        <w:t xml:space="preserve"> </w:t>
      </w:r>
      <w:r w:rsidRPr="0081352F">
        <w:rPr>
          <w:bCs/>
          <w:sz w:val="24"/>
          <w:szCs w:val="24"/>
          <w:lang w:eastAsia="cs-CZ"/>
        </w:rPr>
        <w:t>přínos</w:t>
      </w:r>
      <w:r w:rsidR="007F65BC">
        <w:rPr>
          <w:bCs/>
          <w:sz w:val="24"/>
          <w:szCs w:val="24"/>
          <w:lang w:eastAsia="cs-CZ"/>
        </w:rPr>
        <w:t xml:space="preserve"> v podobě dividend</w:t>
      </w:r>
      <w:r w:rsidRPr="0081352F">
        <w:rPr>
          <w:bCs/>
          <w:sz w:val="24"/>
          <w:szCs w:val="24"/>
          <w:lang w:eastAsia="cs-CZ"/>
        </w:rPr>
        <w:t>. Zařaz</w:t>
      </w:r>
      <w:r w:rsidR="0081352F">
        <w:rPr>
          <w:bCs/>
          <w:sz w:val="24"/>
          <w:szCs w:val="24"/>
          <w:lang w:eastAsia="cs-CZ"/>
        </w:rPr>
        <w:t>e</w:t>
      </w:r>
      <w:r w:rsidRPr="0081352F">
        <w:rPr>
          <w:bCs/>
          <w:sz w:val="24"/>
          <w:szCs w:val="24"/>
          <w:lang w:eastAsia="cs-CZ"/>
        </w:rPr>
        <w:t xml:space="preserve">ní </w:t>
      </w:r>
      <w:r w:rsidR="00A55799" w:rsidRPr="0081352F">
        <w:rPr>
          <w:bCs/>
          <w:sz w:val="24"/>
          <w:szCs w:val="24"/>
          <w:lang w:eastAsia="cs-CZ"/>
        </w:rPr>
        <w:t xml:space="preserve">obou </w:t>
      </w:r>
      <w:r w:rsidR="00962556" w:rsidRPr="0081352F">
        <w:rPr>
          <w:bCs/>
          <w:sz w:val="24"/>
          <w:szCs w:val="24"/>
          <w:lang w:eastAsia="cs-CZ"/>
        </w:rPr>
        <w:t xml:space="preserve">obchodních společností </w:t>
      </w:r>
      <w:r w:rsidRPr="0081352F">
        <w:rPr>
          <w:bCs/>
          <w:sz w:val="24"/>
          <w:szCs w:val="24"/>
          <w:lang w:eastAsia="cs-CZ"/>
        </w:rPr>
        <w:t xml:space="preserve">do kategorie zbytných tak byl </w:t>
      </w:r>
      <w:r w:rsidR="00962556" w:rsidRPr="0081352F">
        <w:rPr>
          <w:bCs/>
          <w:sz w:val="24"/>
          <w:szCs w:val="24"/>
          <w:lang w:eastAsia="cs-CZ"/>
        </w:rPr>
        <w:t xml:space="preserve">pouze </w:t>
      </w:r>
      <w:r w:rsidRPr="0081352F">
        <w:rPr>
          <w:bCs/>
          <w:sz w:val="24"/>
          <w:szCs w:val="24"/>
          <w:lang w:eastAsia="cs-CZ"/>
        </w:rPr>
        <w:t>formální</w:t>
      </w:r>
      <w:r w:rsidR="008526AF">
        <w:rPr>
          <w:bCs/>
          <w:sz w:val="24"/>
          <w:szCs w:val="24"/>
          <w:lang w:eastAsia="cs-CZ"/>
        </w:rPr>
        <w:t xml:space="preserve"> úkon</w:t>
      </w:r>
      <w:r w:rsidR="00A55799" w:rsidRPr="0081352F">
        <w:rPr>
          <w:bCs/>
          <w:sz w:val="24"/>
          <w:szCs w:val="24"/>
          <w:lang w:eastAsia="cs-CZ"/>
        </w:rPr>
        <w:t xml:space="preserve"> </w:t>
      </w:r>
      <w:r w:rsidR="00962556" w:rsidRPr="0081352F">
        <w:rPr>
          <w:bCs/>
          <w:sz w:val="24"/>
          <w:szCs w:val="24"/>
          <w:lang w:eastAsia="cs-CZ"/>
        </w:rPr>
        <w:t>bez skutečného dopadu</w:t>
      </w:r>
      <w:r w:rsidR="008526AF">
        <w:rPr>
          <w:bCs/>
          <w:sz w:val="24"/>
          <w:szCs w:val="24"/>
          <w:lang w:eastAsia="cs-CZ"/>
        </w:rPr>
        <w:t>.</w:t>
      </w:r>
    </w:p>
    <w:p w14:paraId="5EA92579" w14:textId="77777777" w:rsidR="001478FF" w:rsidRPr="001478FF" w:rsidRDefault="001478FF" w:rsidP="001478F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EDA908" w14:textId="37368AE1" w:rsidR="006D220A" w:rsidRPr="009651D5" w:rsidRDefault="007F68A4" w:rsidP="009651D5">
      <w:pPr>
        <w:keepNext/>
        <w:spacing w:after="40" w:line="240" w:lineRule="auto"/>
        <w:rPr>
          <w:rFonts w:cstheme="minorHAnsi"/>
          <w:b/>
          <w:bCs/>
          <w:sz w:val="24"/>
          <w:szCs w:val="24"/>
        </w:rPr>
      </w:pPr>
      <w:r w:rsidRPr="009651D5">
        <w:rPr>
          <w:rFonts w:cstheme="minorHAnsi"/>
          <w:b/>
          <w:bCs/>
          <w:sz w:val="24"/>
          <w:szCs w:val="24"/>
        </w:rPr>
        <w:t xml:space="preserve">Tabulka č. </w:t>
      </w:r>
      <w:r w:rsidR="00855D33" w:rsidRPr="009651D5">
        <w:rPr>
          <w:rFonts w:cstheme="minorHAnsi"/>
          <w:b/>
          <w:bCs/>
          <w:sz w:val="24"/>
          <w:szCs w:val="24"/>
        </w:rPr>
        <w:t>4</w:t>
      </w:r>
      <w:r w:rsidRPr="009651D5">
        <w:rPr>
          <w:rFonts w:cstheme="minorHAnsi"/>
          <w:b/>
          <w:bCs/>
          <w:sz w:val="24"/>
          <w:szCs w:val="24"/>
        </w:rPr>
        <w:t>: Obchodní společnosti E.ON SE a UNIPER SE k 31. 12. 2024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42"/>
        <w:gridCol w:w="1064"/>
        <w:gridCol w:w="1417"/>
        <w:gridCol w:w="2553"/>
        <w:gridCol w:w="1952"/>
      </w:tblGrid>
      <w:tr w:rsidR="007E7492" w:rsidRPr="00855D33" w14:paraId="0F757B30" w14:textId="77777777" w:rsidTr="003968C0">
        <w:trPr>
          <w:trHeight w:val="68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F92F1C6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společnost 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3523097" w14:textId="77777777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Kategorie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9D1457F" w14:textId="79535A68" w:rsidR="002B08F4" w:rsidRPr="00FA6DD1" w:rsidRDefault="002B08F4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855D33"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odíl státu</w:t>
            </w:r>
            <w:r w:rsidR="0094702B"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31EEDD7" w14:textId="016FD1D3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 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4973AE8" w14:textId="730AA21D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Základní kapitál </w:t>
            </w:r>
            <w:r w:rsid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(v mil. </w:t>
            </w:r>
            <w:r w:rsidR="00A435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€</w:t>
            </w: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8BB9C0B" w14:textId="0DC047E9" w:rsidR="00855D33" w:rsidRPr="00FA6DD1" w:rsidRDefault="002128A4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cstheme="minorHAnsi"/>
                <w:b/>
                <w:bCs/>
                <w:sz w:val="20"/>
                <w:szCs w:val="20"/>
              </w:rPr>
              <w:t>Účetní hodnota majetkových účastí státu v obchodních společnostech</w:t>
            </w:r>
            <w:r w:rsidR="00585E47" w:rsidRPr="00FA6DD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FA6DD1">
              <w:rPr>
                <w:rFonts w:cstheme="minorHAnsi"/>
                <w:b/>
                <w:bCs/>
                <w:sz w:val="20"/>
                <w:szCs w:val="20"/>
              </w:rPr>
              <w:t xml:space="preserve">(v mil. Kč) 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05E0998" w14:textId="79FA31C3" w:rsidR="00855D33" w:rsidRPr="00FA6DD1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Dividendy celkem za období 2020</w:t>
            </w:r>
            <w:r w:rsidR="00A435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2024</w:t>
            </w:r>
            <w:r w:rsidR="009651D5"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651D5"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FA6D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 mil. Kč)</w:t>
            </w:r>
          </w:p>
        </w:tc>
      </w:tr>
      <w:tr w:rsidR="000509A2" w:rsidRPr="00855D33" w14:paraId="6FB1C31F" w14:textId="77777777" w:rsidTr="003968C0">
        <w:trPr>
          <w:trHeight w:val="23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EDDD" w14:textId="77777777" w:rsidR="00855D33" w:rsidRPr="00855D33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E.ON 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1A1D" w14:textId="77777777" w:rsidR="00855D33" w:rsidRPr="00855D33" w:rsidRDefault="00855D33" w:rsidP="0039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zbytná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BAC8" w14:textId="2E0C467E" w:rsidR="00855D33" w:rsidRPr="00855D33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0,14</w:t>
            </w:r>
            <w:r w:rsidR="002128A4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41E0" w14:textId="77777777" w:rsidR="00855D33" w:rsidRPr="00855D33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2 641,32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298E" w14:textId="24938080" w:rsidR="00855D33" w:rsidRPr="00855D33" w:rsidRDefault="002128A4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1 048,38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51E1A" w14:textId="77777777" w:rsidR="00855D33" w:rsidRPr="00855D33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207,3*</w:t>
            </w:r>
          </w:p>
        </w:tc>
      </w:tr>
      <w:tr w:rsidR="003968C0" w:rsidRPr="00855D33" w14:paraId="3C75DBC1" w14:textId="77777777" w:rsidTr="003968C0">
        <w:trPr>
          <w:trHeight w:val="22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75A6C7" w14:textId="77777777" w:rsidR="00855D33" w:rsidRPr="00855D33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UNIPER 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8BEDB1" w14:textId="77777777" w:rsidR="00855D33" w:rsidRPr="00855D33" w:rsidRDefault="00855D33" w:rsidP="0039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zbytná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2A917E" w14:textId="77777777" w:rsidR="00855D33" w:rsidRPr="00855D33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0,0044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1C61B7" w14:textId="77777777" w:rsidR="00855D33" w:rsidRPr="00855D33" w:rsidRDefault="00855D33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5D33">
              <w:rPr>
                <w:rFonts w:ascii="Calibri" w:eastAsia="Times New Roman" w:hAnsi="Calibri" w:cs="Calibri"/>
                <w:color w:val="000000"/>
                <w:lang w:eastAsia="cs-CZ"/>
              </w:rPr>
              <w:t>416,48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DDAC9B" w14:textId="49B57395" w:rsidR="00855D33" w:rsidRPr="00855D33" w:rsidRDefault="002128A4" w:rsidP="00855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18,12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38B5B" w14:textId="77777777" w:rsidR="00855D33" w:rsidRPr="00855D33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6ECF549" w14:textId="0F2A8250" w:rsidR="00760246" w:rsidRPr="002B08F4" w:rsidRDefault="007F68A4" w:rsidP="009651D5">
      <w:pPr>
        <w:spacing w:before="40" w:after="0" w:line="240" w:lineRule="auto"/>
        <w:rPr>
          <w:bCs/>
          <w:sz w:val="20"/>
          <w:szCs w:val="20"/>
          <w:lang w:eastAsia="cs-CZ"/>
        </w:rPr>
      </w:pPr>
      <w:r w:rsidRPr="009651D5">
        <w:rPr>
          <w:b/>
          <w:sz w:val="20"/>
          <w:szCs w:val="20"/>
          <w:lang w:eastAsia="cs-CZ"/>
        </w:rPr>
        <w:t xml:space="preserve">Zdroj: </w:t>
      </w:r>
      <w:r w:rsidR="00A4358C">
        <w:rPr>
          <w:bCs/>
          <w:sz w:val="20"/>
          <w:szCs w:val="20"/>
          <w:lang w:eastAsia="cs-CZ"/>
        </w:rPr>
        <w:t>s</w:t>
      </w:r>
      <w:r w:rsidRPr="002B08F4">
        <w:rPr>
          <w:bCs/>
          <w:sz w:val="20"/>
          <w:szCs w:val="20"/>
          <w:lang w:eastAsia="cs-CZ"/>
        </w:rPr>
        <w:t>tátní závěrečn</w:t>
      </w:r>
      <w:r w:rsidR="00A4358C">
        <w:rPr>
          <w:bCs/>
          <w:sz w:val="20"/>
          <w:szCs w:val="20"/>
          <w:lang w:eastAsia="cs-CZ"/>
        </w:rPr>
        <w:t>é</w:t>
      </w:r>
      <w:r w:rsidRPr="002B08F4">
        <w:rPr>
          <w:bCs/>
          <w:sz w:val="20"/>
          <w:szCs w:val="20"/>
          <w:lang w:eastAsia="cs-CZ"/>
        </w:rPr>
        <w:t xml:space="preserve"> účt</w:t>
      </w:r>
      <w:r w:rsidR="00A4358C">
        <w:rPr>
          <w:bCs/>
          <w:sz w:val="20"/>
          <w:szCs w:val="20"/>
          <w:lang w:eastAsia="cs-CZ"/>
        </w:rPr>
        <w:t>y</w:t>
      </w:r>
      <w:r w:rsidRPr="002B08F4">
        <w:rPr>
          <w:bCs/>
          <w:sz w:val="20"/>
          <w:szCs w:val="20"/>
          <w:lang w:eastAsia="cs-CZ"/>
        </w:rPr>
        <w:t xml:space="preserve"> ČR 2020–2024 (sešit D)</w:t>
      </w:r>
      <w:r w:rsidR="005B77B3" w:rsidRPr="002B08F4">
        <w:rPr>
          <w:bCs/>
          <w:sz w:val="20"/>
          <w:szCs w:val="20"/>
          <w:lang w:eastAsia="cs-CZ"/>
        </w:rPr>
        <w:t xml:space="preserve">, </w:t>
      </w:r>
      <w:r w:rsidR="00760246" w:rsidRPr="002B08F4">
        <w:rPr>
          <w:bCs/>
          <w:sz w:val="20"/>
          <w:szCs w:val="20"/>
          <w:lang w:eastAsia="cs-CZ"/>
        </w:rPr>
        <w:t>webové stránky MF</w:t>
      </w:r>
      <w:r w:rsidR="00760246" w:rsidRPr="002B08F4">
        <w:rPr>
          <w:rStyle w:val="Znakapoznpodarou"/>
          <w:bCs/>
          <w:sz w:val="20"/>
          <w:szCs w:val="20"/>
          <w:lang w:eastAsia="cs-CZ"/>
        </w:rPr>
        <w:footnoteReference w:id="21"/>
      </w:r>
      <w:r w:rsidR="002B08F4" w:rsidRPr="002B08F4">
        <w:rPr>
          <w:bCs/>
          <w:sz w:val="20"/>
          <w:szCs w:val="20"/>
          <w:lang w:eastAsia="cs-CZ"/>
        </w:rPr>
        <w:t>.</w:t>
      </w:r>
    </w:p>
    <w:p w14:paraId="4D306ACB" w14:textId="27EC92CD" w:rsidR="006D220A" w:rsidRPr="002B08F4" w:rsidRDefault="007F68A4" w:rsidP="0094702B">
      <w:pPr>
        <w:spacing w:after="0" w:line="240" w:lineRule="auto"/>
        <w:rPr>
          <w:bCs/>
          <w:sz w:val="20"/>
          <w:szCs w:val="20"/>
          <w:lang w:eastAsia="cs-CZ"/>
        </w:rPr>
      </w:pPr>
      <w:r w:rsidRPr="002B08F4">
        <w:rPr>
          <w:rFonts w:cstheme="minorHAnsi"/>
          <w:bCs/>
          <w:sz w:val="20"/>
          <w:szCs w:val="20"/>
          <w:lang w:eastAsia="cs-CZ"/>
        </w:rPr>
        <w:t>*</w:t>
      </w:r>
      <w:r w:rsidRPr="002B08F4">
        <w:rPr>
          <w:bCs/>
          <w:sz w:val="20"/>
          <w:szCs w:val="20"/>
          <w:lang w:eastAsia="cs-CZ"/>
        </w:rPr>
        <w:t xml:space="preserve"> V roce 2024 odvedla dividendy do státního rozpočtu pouze obchodní společnost E.ON SE</w:t>
      </w:r>
      <w:r w:rsidR="002B08F4" w:rsidRPr="002B08F4">
        <w:rPr>
          <w:bCs/>
          <w:sz w:val="20"/>
          <w:szCs w:val="20"/>
          <w:lang w:eastAsia="cs-CZ"/>
        </w:rPr>
        <w:t>.</w:t>
      </w:r>
    </w:p>
    <w:p w14:paraId="5070A559" w14:textId="6E85D948" w:rsidR="00B53EEB" w:rsidRPr="003968C0" w:rsidRDefault="00B53EEB" w:rsidP="003968C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651D5">
        <w:rPr>
          <w:b/>
          <w:bCs/>
          <w:sz w:val="20"/>
          <w:szCs w:val="20"/>
        </w:rPr>
        <w:t xml:space="preserve">Pozn.: </w:t>
      </w:r>
      <w:r w:rsidRPr="002B08F4">
        <w:rPr>
          <w:sz w:val="20"/>
          <w:szCs w:val="20"/>
        </w:rPr>
        <w:t>V tabulce může dojít k drobným odchylkám z důvodu zaokrouhlování</w:t>
      </w:r>
      <w:r w:rsidR="002B08F4" w:rsidRPr="002B08F4">
        <w:rPr>
          <w:sz w:val="20"/>
          <w:szCs w:val="20"/>
        </w:rPr>
        <w:t>.</w:t>
      </w:r>
    </w:p>
    <w:p w14:paraId="4C1A3217" w14:textId="77777777" w:rsidR="009651D5" w:rsidRDefault="009651D5" w:rsidP="009651D5">
      <w:pPr>
        <w:spacing w:after="0" w:line="240" w:lineRule="auto"/>
        <w:jc w:val="both"/>
        <w:rPr>
          <w:sz w:val="24"/>
          <w:szCs w:val="24"/>
        </w:rPr>
      </w:pPr>
    </w:p>
    <w:p w14:paraId="55085B0B" w14:textId="6CD5E07F" w:rsidR="006D220A" w:rsidRPr="0081352F" w:rsidRDefault="007F68A4" w:rsidP="0081352F">
      <w:pPr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  <w:lang w:eastAsia="cs-CZ"/>
        </w:rPr>
        <w:t xml:space="preserve">NKÚ dále zjistil, že </w:t>
      </w:r>
      <w:proofErr w:type="spellStart"/>
      <w:r w:rsidR="00CA3B6E" w:rsidRPr="0081352F">
        <w:rPr>
          <w:bCs/>
          <w:sz w:val="24"/>
          <w:szCs w:val="24"/>
          <w:lang w:eastAsia="cs-CZ"/>
        </w:rPr>
        <w:t>MZe</w:t>
      </w:r>
      <w:proofErr w:type="spellEnd"/>
      <w:r w:rsidR="00CA3B6E" w:rsidRPr="0081352F">
        <w:rPr>
          <w:bCs/>
          <w:sz w:val="24"/>
          <w:szCs w:val="24"/>
          <w:lang w:eastAsia="cs-CZ"/>
        </w:rPr>
        <w:t xml:space="preserve"> </w:t>
      </w:r>
      <w:r w:rsidR="002B08F4">
        <w:rPr>
          <w:bCs/>
          <w:sz w:val="24"/>
          <w:szCs w:val="24"/>
          <w:lang w:eastAsia="cs-CZ"/>
        </w:rPr>
        <w:t xml:space="preserve">zařadilo </w:t>
      </w:r>
      <w:r w:rsidR="00CA3B6E" w:rsidRPr="0081352F">
        <w:rPr>
          <w:bCs/>
          <w:sz w:val="24"/>
          <w:szCs w:val="24"/>
          <w:lang w:eastAsia="cs-CZ"/>
        </w:rPr>
        <w:t xml:space="preserve">obchodní společnost </w:t>
      </w:r>
      <w:r w:rsidR="00CA3B6E" w:rsidRPr="0081352F">
        <w:rPr>
          <w:sz w:val="24"/>
          <w:szCs w:val="24"/>
        </w:rPr>
        <w:t xml:space="preserve">ČMSCH, </w:t>
      </w:r>
      <w:r w:rsidR="00594FD6">
        <w:rPr>
          <w:sz w:val="24"/>
          <w:szCs w:val="24"/>
        </w:rPr>
        <w:t>a.s.</w:t>
      </w:r>
      <w:r w:rsidR="00A4358C">
        <w:rPr>
          <w:sz w:val="24"/>
          <w:szCs w:val="24"/>
        </w:rPr>
        <w:t>,</w:t>
      </w:r>
      <w:r w:rsidR="00CA3B6E" w:rsidRPr="0081352F">
        <w:rPr>
          <w:sz w:val="24"/>
          <w:szCs w:val="24"/>
        </w:rPr>
        <w:t xml:space="preserve"> </w:t>
      </w:r>
      <w:r w:rsidR="00B1264A">
        <w:rPr>
          <w:sz w:val="24"/>
          <w:szCs w:val="24"/>
        </w:rPr>
        <w:t>mezi</w:t>
      </w:r>
      <w:r w:rsidR="00CA3B6E" w:rsidRPr="0081352F">
        <w:rPr>
          <w:sz w:val="24"/>
          <w:szCs w:val="24"/>
        </w:rPr>
        <w:t xml:space="preserve"> strategick</w:t>
      </w:r>
      <w:r w:rsidR="00B1264A">
        <w:rPr>
          <w:sz w:val="24"/>
          <w:szCs w:val="24"/>
        </w:rPr>
        <w:t>é</w:t>
      </w:r>
      <w:r w:rsidR="00CE73CD">
        <w:rPr>
          <w:sz w:val="24"/>
          <w:szCs w:val="24"/>
        </w:rPr>
        <w:t>. V</w:t>
      </w:r>
      <w:r w:rsidRPr="0081352F">
        <w:rPr>
          <w:sz w:val="24"/>
          <w:szCs w:val="24"/>
        </w:rPr>
        <w:t xml:space="preserve"> této obchodní společnosti spravuje majetkovou účast pouze ve výši 0,01 %, na její řízení tak má </w:t>
      </w:r>
      <w:r w:rsidR="009E2E1B">
        <w:rPr>
          <w:sz w:val="24"/>
          <w:szCs w:val="24"/>
        </w:rPr>
        <w:t>zanedbatelný</w:t>
      </w:r>
      <w:r w:rsidR="009E2E1B" w:rsidRPr="0081352F">
        <w:rPr>
          <w:sz w:val="24"/>
          <w:szCs w:val="24"/>
        </w:rPr>
        <w:t xml:space="preserve"> </w:t>
      </w:r>
      <w:r w:rsidRPr="0081352F">
        <w:rPr>
          <w:sz w:val="24"/>
          <w:szCs w:val="24"/>
        </w:rPr>
        <w:t>vliv</w:t>
      </w:r>
      <w:r w:rsidR="00A9195F">
        <w:rPr>
          <w:sz w:val="24"/>
          <w:szCs w:val="24"/>
        </w:rPr>
        <w:t>,</w:t>
      </w:r>
      <w:r w:rsidRPr="0081352F">
        <w:rPr>
          <w:sz w:val="24"/>
          <w:szCs w:val="24"/>
        </w:rPr>
        <w:t xml:space="preserve"> a </w:t>
      </w:r>
      <w:r w:rsidR="00B1264A">
        <w:rPr>
          <w:sz w:val="24"/>
          <w:szCs w:val="24"/>
        </w:rPr>
        <w:t xml:space="preserve">proto u ní </w:t>
      </w:r>
      <w:proofErr w:type="spellStart"/>
      <w:r w:rsidRPr="0081352F">
        <w:rPr>
          <w:sz w:val="24"/>
          <w:szCs w:val="24"/>
        </w:rPr>
        <w:t>MZe</w:t>
      </w:r>
      <w:proofErr w:type="spellEnd"/>
      <w:r w:rsidRPr="0081352F">
        <w:rPr>
          <w:sz w:val="24"/>
          <w:szCs w:val="24"/>
        </w:rPr>
        <w:t xml:space="preserve"> </w:t>
      </w:r>
      <w:r w:rsidR="00B1264A">
        <w:rPr>
          <w:sz w:val="24"/>
          <w:szCs w:val="24"/>
        </w:rPr>
        <w:t>ani</w:t>
      </w:r>
      <w:r w:rsidRPr="0081352F">
        <w:rPr>
          <w:sz w:val="24"/>
          <w:szCs w:val="24"/>
        </w:rPr>
        <w:t xml:space="preserve"> nemohlo aplikovat žádné z opatření nastavených ve Strategii.</w:t>
      </w:r>
      <w:r w:rsidR="00585E47" w:rsidRPr="00585E47">
        <w:rPr>
          <w:sz w:val="24"/>
          <w:szCs w:val="24"/>
        </w:rPr>
        <w:t xml:space="preserve"> </w:t>
      </w:r>
      <w:r w:rsidR="00585E47" w:rsidRPr="0081352F">
        <w:rPr>
          <w:sz w:val="24"/>
          <w:szCs w:val="24"/>
        </w:rPr>
        <w:t xml:space="preserve">Povinnost státu vlastnit majetkový podíl v ČMSCH, </w:t>
      </w:r>
      <w:r w:rsidR="00585E47">
        <w:rPr>
          <w:sz w:val="24"/>
          <w:szCs w:val="24"/>
        </w:rPr>
        <w:t>a.s.</w:t>
      </w:r>
      <w:r w:rsidR="00A4358C">
        <w:rPr>
          <w:sz w:val="24"/>
          <w:szCs w:val="24"/>
        </w:rPr>
        <w:t>,</w:t>
      </w:r>
      <w:r w:rsidR="00585E47" w:rsidRPr="0081352F">
        <w:rPr>
          <w:sz w:val="24"/>
          <w:szCs w:val="24"/>
        </w:rPr>
        <w:t xml:space="preserve"> však vyplývá z</w:t>
      </w:r>
      <w:r w:rsidR="00A4358C">
        <w:rPr>
          <w:sz w:val="24"/>
          <w:szCs w:val="24"/>
        </w:rPr>
        <w:t> </w:t>
      </w:r>
      <w:r w:rsidR="00585E47">
        <w:rPr>
          <w:sz w:val="24"/>
          <w:szCs w:val="24"/>
        </w:rPr>
        <w:t>plemenářského</w:t>
      </w:r>
      <w:r w:rsidR="00585E47" w:rsidRPr="0081352F">
        <w:rPr>
          <w:sz w:val="24"/>
          <w:szCs w:val="24"/>
        </w:rPr>
        <w:t xml:space="preserve"> zákona</w:t>
      </w:r>
      <w:r w:rsidR="00585E47">
        <w:rPr>
          <w:rStyle w:val="Znakapoznpodarou"/>
          <w:sz w:val="24"/>
          <w:szCs w:val="24"/>
        </w:rPr>
        <w:footnoteReference w:id="22"/>
      </w:r>
      <w:r w:rsidR="00585E47" w:rsidRPr="0081352F">
        <w:rPr>
          <w:sz w:val="24"/>
          <w:szCs w:val="24"/>
        </w:rPr>
        <w:t xml:space="preserve">. </w:t>
      </w:r>
    </w:p>
    <w:p w14:paraId="3C9996EE" w14:textId="77777777" w:rsidR="006D220A" w:rsidRDefault="006D220A" w:rsidP="006D220A">
      <w:pPr>
        <w:spacing w:after="0" w:line="240" w:lineRule="auto"/>
        <w:jc w:val="both"/>
        <w:rPr>
          <w:sz w:val="24"/>
          <w:szCs w:val="24"/>
        </w:rPr>
      </w:pPr>
    </w:p>
    <w:p w14:paraId="6B3FEB72" w14:textId="0DB9D638" w:rsidR="006D220A" w:rsidRDefault="007F68A4" w:rsidP="00CE73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NKÚ zjistil, že </w:t>
      </w:r>
      <w:r w:rsidRPr="007056CE">
        <w:rPr>
          <w:sz w:val="24"/>
          <w:szCs w:val="24"/>
        </w:rPr>
        <w:t xml:space="preserve">Strategie </w:t>
      </w:r>
      <w:r w:rsidR="000C0CC4" w:rsidRPr="007056CE">
        <w:rPr>
          <w:sz w:val="24"/>
          <w:szCs w:val="24"/>
        </w:rPr>
        <w:t>nepokrývala všechny relevantní potřeby vlastnictví majetkových účastí v obchodních společnostech</w:t>
      </w:r>
      <w:r>
        <w:rPr>
          <w:sz w:val="24"/>
          <w:szCs w:val="24"/>
        </w:rPr>
        <w:t>.</w:t>
      </w:r>
      <w:r w:rsidR="000C0CC4" w:rsidRPr="007056CE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7056CE">
        <w:rPr>
          <w:sz w:val="24"/>
          <w:szCs w:val="24"/>
        </w:rPr>
        <w:t xml:space="preserve">eobsahovala </w:t>
      </w:r>
      <w:r w:rsidR="00BC57BD">
        <w:rPr>
          <w:sz w:val="24"/>
          <w:szCs w:val="24"/>
        </w:rPr>
        <w:t xml:space="preserve">totiž </w:t>
      </w:r>
      <w:r w:rsidRPr="007056CE">
        <w:rPr>
          <w:sz w:val="24"/>
          <w:szCs w:val="24"/>
        </w:rPr>
        <w:t xml:space="preserve">žádnou kategorii ani </w:t>
      </w:r>
      <w:r w:rsidR="000C0CC4" w:rsidRPr="007056CE">
        <w:rPr>
          <w:sz w:val="24"/>
          <w:szCs w:val="24"/>
        </w:rPr>
        <w:t xml:space="preserve">navazující </w:t>
      </w:r>
      <w:r w:rsidRPr="007056CE">
        <w:rPr>
          <w:sz w:val="24"/>
          <w:szCs w:val="24"/>
        </w:rPr>
        <w:t xml:space="preserve">opatření pro majetkové </w:t>
      </w:r>
      <w:r w:rsidR="00CE73CD">
        <w:rPr>
          <w:sz w:val="24"/>
          <w:szCs w:val="24"/>
        </w:rPr>
        <w:t>podíly státu</w:t>
      </w:r>
      <w:r w:rsidRPr="007056CE">
        <w:rPr>
          <w:sz w:val="24"/>
          <w:szCs w:val="24"/>
        </w:rPr>
        <w:t>,</w:t>
      </w:r>
      <w:r w:rsidR="007056CE" w:rsidRPr="007056CE">
        <w:rPr>
          <w:sz w:val="24"/>
          <w:szCs w:val="24"/>
        </w:rPr>
        <w:t xml:space="preserve"> které </w:t>
      </w:r>
      <w:r w:rsidR="00CE73CD">
        <w:rPr>
          <w:sz w:val="24"/>
          <w:szCs w:val="24"/>
        </w:rPr>
        <w:t>vyplývají ze zákona nebo generují ekonomický přínos a stát jejich prodej neplánuje</w:t>
      </w:r>
      <w:r w:rsidR="00B50F36">
        <w:rPr>
          <w:sz w:val="24"/>
          <w:szCs w:val="24"/>
        </w:rPr>
        <w:t>,</w:t>
      </w:r>
      <w:r w:rsidR="00585E47">
        <w:rPr>
          <w:sz w:val="24"/>
          <w:szCs w:val="24"/>
        </w:rPr>
        <w:t xml:space="preserve"> přičemž</w:t>
      </w:r>
      <w:r w:rsidR="00CE73CD">
        <w:rPr>
          <w:sz w:val="24"/>
          <w:szCs w:val="24"/>
        </w:rPr>
        <w:t xml:space="preserve"> </w:t>
      </w:r>
      <w:r w:rsidR="007056CE" w:rsidRPr="007056CE">
        <w:rPr>
          <w:sz w:val="24"/>
          <w:szCs w:val="24"/>
        </w:rPr>
        <w:t>nespadají do kategorie strategických ani podpůrných obchodních společností</w:t>
      </w:r>
      <w:r w:rsidR="00BC57BD">
        <w:rPr>
          <w:sz w:val="24"/>
          <w:szCs w:val="24"/>
        </w:rPr>
        <w:t>.</w:t>
      </w:r>
      <w:r w:rsidR="007056CE" w:rsidRPr="007056CE">
        <w:rPr>
          <w:sz w:val="24"/>
          <w:szCs w:val="24"/>
        </w:rPr>
        <w:t xml:space="preserve"> </w:t>
      </w:r>
    </w:p>
    <w:p w14:paraId="0E385D18" w14:textId="77777777" w:rsidR="0081352F" w:rsidRDefault="0081352F" w:rsidP="006D220A">
      <w:pPr>
        <w:spacing w:after="0" w:line="240" w:lineRule="auto"/>
        <w:jc w:val="both"/>
        <w:rPr>
          <w:sz w:val="24"/>
          <w:szCs w:val="24"/>
        </w:rPr>
      </w:pPr>
    </w:p>
    <w:p w14:paraId="23580BC1" w14:textId="0371E46F" w:rsidR="0081352F" w:rsidRPr="007F65BC" w:rsidRDefault="007F68A4" w:rsidP="006D220A">
      <w:pPr>
        <w:spacing w:after="0" w:line="240" w:lineRule="auto"/>
        <w:jc w:val="both"/>
        <w:rPr>
          <w:b/>
          <w:bCs/>
          <w:sz w:val="24"/>
          <w:szCs w:val="24"/>
        </w:rPr>
      </w:pPr>
      <w:r w:rsidRPr="007F65BC">
        <w:rPr>
          <w:b/>
          <w:bCs/>
          <w:sz w:val="24"/>
          <w:szCs w:val="24"/>
        </w:rPr>
        <w:t xml:space="preserve">NKÚ doporučuje </w:t>
      </w:r>
      <w:r w:rsidR="00520754">
        <w:rPr>
          <w:b/>
          <w:bCs/>
          <w:sz w:val="24"/>
          <w:szCs w:val="24"/>
        </w:rPr>
        <w:t>a</w:t>
      </w:r>
      <w:r w:rsidRPr="007F65BC">
        <w:rPr>
          <w:b/>
          <w:bCs/>
          <w:sz w:val="24"/>
          <w:szCs w:val="24"/>
        </w:rPr>
        <w:t xml:space="preserve">ktualizovat kategorie </w:t>
      </w:r>
      <w:r w:rsidR="005B41C1">
        <w:rPr>
          <w:b/>
          <w:bCs/>
          <w:sz w:val="24"/>
          <w:szCs w:val="24"/>
        </w:rPr>
        <w:t xml:space="preserve">a kritéria </w:t>
      </w:r>
      <w:r w:rsidRPr="007F65BC">
        <w:rPr>
          <w:b/>
          <w:bCs/>
          <w:sz w:val="24"/>
          <w:szCs w:val="24"/>
        </w:rPr>
        <w:t>pro rozřazení obchodních společností</w:t>
      </w:r>
      <w:r w:rsidR="005B41C1">
        <w:rPr>
          <w:b/>
          <w:bCs/>
          <w:sz w:val="24"/>
          <w:szCs w:val="24"/>
        </w:rPr>
        <w:t>.</w:t>
      </w:r>
      <w:r w:rsidRPr="007F65BC">
        <w:rPr>
          <w:b/>
          <w:bCs/>
          <w:sz w:val="24"/>
          <w:szCs w:val="24"/>
        </w:rPr>
        <w:t xml:space="preserve"> </w:t>
      </w:r>
    </w:p>
    <w:p w14:paraId="081B3C08" w14:textId="563C6BBA" w:rsidR="006D0429" w:rsidRPr="004F1EFC" w:rsidRDefault="007F68A4" w:rsidP="004F1EFC">
      <w:pPr>
        <w:pStyle w:val="Odstavecseseznamem"/>
        <w:keepNext/>
        <w:numPr>
          <w:ilvl w:val="0"/>
          <w:numId w:val="26"/>
        </w:numPr>
        <w:spacing w:after="120" w:line="240" w:lineRule="auto"/>
        <w:ind w:left="426" w:hanging="426"/>
        <w:contextualSpacing w:val="0"/>
        <w:rPr>
          <w:b/>
          <w:bCs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lastRenderedPageBreak/>
        <w:t xml:space="preserve">MF, MPO a </w:t>
      </w:r>
      <w:proofErr w:type="spellStart"/>
      <w:r>
        <w:rPr>
          <w:b/>
          <w:sz w:val="24"/>
          <w:szCs w:val="24"/>
          <w:lang w:eastAsia="cs-CZ"/>
        </w:rPr>
        <w:t>MZe</w:t>
      </w:r>
      <w:proofErr w:type="spellEnd"/>
      <w:r>
        <w:rPr>
          <w:b/>
          <w:sz w:val="24"/>
          <w:szCs w:val="24"/>
          <w:lang w:eastAsia="cs-CZ"/>
        </w:rPr>
        <w:t xml:space="preserve"> neplnily některá opatření Strategie a </w:t>
      </w:r>
      <w:r w:rsidR="00A9195F">
        <w:rPr>
          <w:b/>
          <w:sz w:val="24"/>
          <w:szCs w:val="24"/>
          <w:lang w:eastAsia="cs-CZ"/>
        </w:rPr>
        <w:t>nepostupovaly v souladu s právními předpisy</w:t>
      </w:r>
    </w:p>
    <w:p w14:paraId="3D1F5E15" w14:textId="66FD9389" w:rsidR="006D0429" w:rsidRPr="004F1EFC" w:rsidRDefault="007F68A4" w:rsidP="004F1EFC">
      <w:pPr>
        <w:keepNext/>
        <w:spacing w:after="120" w:line="240" w:lineRule="auto"/>
        <w:ind w:left="425" w:hanging="425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3.</w:t>
      </w:r>
      <w:r w:rsidR="005A1EFE">
        <w:rPr>
          <w:rFonts w:ascii="Calibri" w:hAnsi="Calibri" w:cs="Calibri"/>
          <w:b/>
          <w:iCs/>
          <w:sz w:val="24"/>
          <w:szCs w:val="24"/>
        </w:rPr>
        <w:t>1</w:t>
      </w:r>
      <w:r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831588">
        <w:rPr>
          <w:rFonts w:ascii="Calibri" w:hAnsi="Calibri" w:cs="Calibri"/>
          <w:b/>
          <w:iCs/>
          <w:sz w:val="24"/>
          <w:szCs w:val="24"/>
        </w:rPr>
        <w:t xml:space="preserve">MF a MPO </w:t>
      </w:r>
      <w:r w:rsidR="00FB5175">
        <w:rPr>
          <w:rFonts w:ascii="Calibri" w:hAnsi="Calibri" w:cs="Calibri"/>
          <w:b/>
          <w:iCs/>
          <w:sz w:val="24"/>
          <w:szCs w:val="24"/>
        </w:rPr>
        <w:t>nehodnotily</w:t>
      </w:r>
      <w:r w:rsidR="00FB5175" w:rsidRPr="00831588"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831588">
        <w:rPr>
          <w:rFonts w:ascii="Calibri" w:hAnsi="Calibri" w:cs="Calibri"/>
          <w:b/>
          <w:iCs/>
          <w:sz w:val="24"/>
          <w:szCs w:val="24"/>
        </w:rPr>
        <w:t>přínosy majetkových účastí v obchodních společnostech</w:t>
      </w:r>
    </w:p>
    <w:p w14:paraId="776926AA" w14:textId="6D8C0AF0" w:rsidR="006D0429" w:rsidRPr="006D0429" w:rsidRDefault="007F68A4" w:rsidP="006D0429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6D0429">
        <w:rPr>
          <w:sz w:val="24"/>
          <w:szCs w:val="24"/>
        </w:rPr>
        <w:t xml:space="preserve">Opatření č. 2: </w:t>
      </w:r>
      <w:r w:rsidR="00144D7E" w:rsidRPr="003968C0">
        <w:rPr>
          <w:sz w:val="24"/>
          <w:szCs w:val="24"/>
        </w:rPr>
        <w:t>U</w:t>
      </w:r>
      <w:r w:rsidRPr="003968C0">
        <w:rPr>
          <w:sz w:val="24"/>
          <w:szCs w:val="24"/>
        </w:rPr>
        <w:t>rčit, jaké přínosy lze od jednotlivých typů společností s majetkovou účastí státu a státních podniků očekáv</w:t>
      </w:r>
      <w:r w:rsidR="009E2E1B" w:rsidRPr="003968C0">
        <w:rPr>
          <w:sz w:val="24"/>
          <w:szCs w:val="24"/>
        </w:rPr>
        <w:t>at</w:t>
      </w:r>
      <w:r w:rsidRPr="003968C0">
        <w:rPr>
          <w:sz w:val="24"/>
          <w:szCs w:val="24"/>
        </w:rPr>
        <w:t xml:space="preserve"> a související výdaje ze státního rozpočtu</w:t>
      </w:r>
      <w:r w:rsidR="00002E1B">
        <w:rPr>
          <w:sz w:val="24"/>
          <w:szCs w:val="24"/>
        </w:rPr>
        <w:t>.</w:t>
      </w:r>
    </w:p>
    <w:p w14:paraId="17FD3C33" w14:textId="77777777" w:rsidR="006D0429" w:rsidRDefault="006D0429" w:rsidP="006D0429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68FB2E7E" w14:textId="77777777" w:rsidR="006D0429" w:rsidRDefault="007F68A4" w:rsidP="00461D1D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AE24E5">
        <w:rPr>
          <w:sz w:val="24"/>
          <w:szCs w:val="24"/>
          <w:lang w:eastAsia="cs-CZ"/>
        </w:rPr>
        <w:t xml:space="preserve">Strategie určuje povinnost ministerstvům stanovit přínosy jednotlivých typů obchodních společností a související výdaje ze státního rozpočtu. </w:t>
      </w:r>
      <w:bookmarkStart w:id="10" w:name="_Hlk204680110"/>
      <w:r w:rsidRPr="00AE24E5">
        <w:rPr>
          <w:sz w:val="24"/>
          <w:szCs w:val="24"/>
          <w:lang w:eastAsia="cs-CZ"/>
        </w:rPr>
        <w:t xml:space="preserve">Strategie uvádí, že </w:t>
      </w:r>
      <w:r w:rsidRPr="00AE24E5">
        <w:rPr>
          <w:rFonts w:cstheme="minorHAnsi"/>
          <w:iCs/>
          <w:sz w:val="24"/>
          <w:szCs w:val="24"/>
        </w:rPr>
        <w:t xml:space="preserve">stát nevlastní podnikatelská aktiva primárně za účelem dividendových výnosů, jelikož své výdaje financuje prostřednictvím daní. </w:t>
      </w:r>
      <w:bookmarkEnd w:id="10"/>
    </w:p>
    <w:p w14:paraId="5D18C728" w14:textId="77777777" w:rsidR="001478FF" w:rsidRDefault="001478FF" w:rsidP="006D0429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724A6A76" w14:textId="2362A520" w:rsidR="00855D33" w:rsidRPr="006D6FDA" w:rsidRDefault="007F68A4" w:rsidP="009651D5">
      <w:pPr>
        <w:keepNext/>
        <w:spacing w:after="40" w:line="240" w:lineRule="auto"/>
        <w:ind w:left="1418" w:hanging="1418"/>
        <w:rPr>
          <w:rFonts w:ascii="Calibri" w:hAnsi="Calibri" w:cs="Calibri"/>
          <w:b/>
          <w:iCs/>
          <w:sz w:val="24"/>
          <w:szCs w:val="24"/>
        </w:rPr>
      </w:pPr>
      <w:r w:rsidRPr="006D6FDA">
        <w:rPr>
          <w:rFonts w:ascii="Calibri" w:hAnsi="Calibri" w:cs="Calibri"/>
          <w:b/>
          <w:iCs/>
          <w:sz w:val="24"/>
          <w:szCs w:val="24"/>
        </w:rPr>
        <w:t xml:space="preserve">Tabulka č. </w:t>
      </w:r>
      <w:r w:rsidR="00855D33" w:rsidRPr="006D6FDA">
        <w:rPr>
          <w:rFonts w:ascii="Calibri" w:hAnsi="Calibri" w:cs="Calibri"/>
          <w:b/>
          <w:iCs/>
          <w:sz w:val="24"/>
          <w:szCs w:val="24"/>
        </w:rPr>
        <w:t>5</w:t>
      </w:r>
      <w:r w:rsidRPr="006D6FDA">
        <w:rPr>
          <w:rFonts w:ascii="Calibri" w:hAnsi="Calibri" w:cs="Calibri"/>
          <w:b/>
          <w:iCs/>
          <w:sz w:val="24"/>
          <w:szCs w:val="24"/>
        </w:rPr>
        <w:t xml:space="preserve">: </w:t>
      </w:r>
      <w:r w:rsidR="006D6FDA">
        <w:rPr>
          <w:rFonts w:ascii="Calibri" w:hAnsi="Calibri" w:cs="Calibri"/>
          <w:b/>
          <w:iCs/>
          <w:sz w:val="24"/>
          <w:szCs w:val="24"/>
        </w:rPr>
        <w:tab/>
      </w:r>
      <w:r w:rsidRPr="006D6FDA">
        <w:rPr>
          <w:rFonts w:ascii="Calibri" w:hAnsi="Calibri" w:cs="Calibri"/>
          <w:b/>
          <w:iCs/>
          <w:sz w:val="24"/>
          <w:szCs w:val="24"/>
        </w:rPr>
        <w:t>Obchodní společnosti v gesci MF a MPO, které v letech 2020</w:t>
      </w:r>
      <w:r w:rsidR="00897F10">
        <w:rPr>
          <w:rFonts w:ascii="Calibri" w:hAnsi="Calibri" w:cs="Calibri"/>
          <w:b/>
          <w:iCs/>
          <w:sz w:val="24"/>
          <w:szCs w:val="24"/>
        </w:rPr>
        <w:t>–</w:t>
      </w:r>
      <w:r w:rsidRPr="006D6FDA">
        <w:rPr>
          <w:rFonts w:ascii="Calibri" w:hAnsi="Calibri" w:cs="Calibri"/>
          <w:b/>
          <w:iCs/>
          <w:sz w:val="24"/>
          <w:szCs w:val="24"/>
        </w:rPr>
        <w:t xml:space="preserve">2024 odvedly dividendy do státního rozpočtu (v mil. </w:t>
      </w:r>
      <w:proofErr w:type="gramStart"/>
      <w:r w:rsidR="00496914" w:rsidRPr="006D6FDA">
        <w:rPr>
          <w:rFonts w:ascii="Calibri" w:hAnsi="Calibri" w:cs="Calibri"/>
          <w:b/>
          <w:iCs/>
          <w:sz w:val="24"/>
          <w:szCs w:val="24"/>
        </w:rPr>
        <w:t>Kč)*</w:t>
      </w:r>
      <w:proofErr w:type="gramEnd"/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126"/>
        <w:gridCol w:w="1020"/>
        <w:gridCol w:w="1021"/>
        <w:gridCol w:w="1020"/>
        <w:gridCol w:w="1021"/>
        <w:gridCol w:w="1021"/>
        <w:gridCol w:w="1134"/>
      </w:tblGrid>
      <w:tr w:rsidR="00116F68" w:rsidRPr="00977E15" w14:paraId="5F17D2FC" w14:textId="77777777" w:rsidTr="00977E15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bottom"/>
            <w:hideMark/>
          </w:tcPr>
          <w:p w14:paraId="350403D5" w14:textId="77777777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613DF23" w14:textId="77777777" w:rsidR="00855D33" w:rsidRPr="00977E15" w:rsidRDefault="00855D33" w:rsidP="0089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Obchodní společnost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3643CF8" w14:textId="77777777" w:rsidR="00855D33" w:rsidRPr="00977E15" w:rsidRDefault="00855D33" w:rsidP="0089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783EEA7" w14:textId="77777777" w:rsidR="00855D33" w:rsidRPr="00977E15" w:rsidRDefault="00855D33" w:rsidP="0089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B67608C" w14:textId="77777777" w:rsidR="00855D33" w:rsidRPr="00977E15" w:rsidRDefault="00855D33" w:rsidP="0089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7EFB991" w14:textId="77777777" w:rsidR="00855D33" w:rsidRPr="00977E15" w:rsidRDefault="00855D33" w:rsidP="0089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2AEE04C" w14:textId="77777777" w:rsidR="00855D33" w:rsidRPr="00977E15" w:rsidRDefault="00855D33" w:rsidP="0089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noWrap/>
            <w:vAlign w:val="center"/>
            <w:hideMark/>
          </w:tcPr>
          <w:p w14:paraId="29DF7750" w14:textId="77777777" w:rsidR="00855D33" w:rsidRPr="00977E15" w:rsidRDefault="00855D33" w:rsidP="00897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Součet</w:t>
            </w:r>
          </w:p>
        </w:tc>
      </w:tr>
      <w:tr w:rsidR="00116F68" w:rsidRPr="00977E15" w14:paraId="795EF355" w14:textId="77777777" w:rsidTr="00977E1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88D2" w14:textId="77777777" w:rsidR="00855D33" w:rsidRPr="00977E15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AFA3" w14:textId="4C16C3CA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ČEZ, </w:t>
            </w:r>
            <w:r w:rsidR="001945BE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</w:t>
            </w:r>
            <w:r w:rsidR="008872CC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945BE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E7C4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12 764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253E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19 521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899A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18 020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96C4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54 435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8B0F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19 521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379E96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124 261</w:t>
            </w:r>
          </w:p>
        </w:tc>
      </w:tr>
      <w:tr w:rsidR="00116F68" w:rsidRPr="00977E15" w14:paraId="47905AC5" w14:textId="77777777" w:rsidTr="00977E1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7FCA" w14:textId="77777777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5613" w14:textId="6A82EB1E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PRISKO </w:t>
            </w:r>
            <w:r w:rsidR="00594FD6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141B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3DA7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1473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3F04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61FA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7CB8D1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1 826</w:t>
            </w:r>
          </w:p>
        </w:tc>
      </w:tr>
      <w:tr w:rsidR="00116F68" w:rsidRPr="00977E15" w14:paraId="471662F9" w14:textId="77777777" w:rsidTr="00977E1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AC89" w14:textId="77777777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0C676" w14:textId="3B82C3BA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MERO ČR, </w:t>
            </w:r>
            <w:r w:rsidR="00594FD6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434E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F3A6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DD1B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1852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E585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44F017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3 538</w:t>
            </w:r>
          </w:p>
        </w:tc>
      </w:tr>
      <w:tr w:rsidR="00116F68" w:rsidRPr="00977E15" w14:paraId="2190225A" w14:textId="77777777" w:rsidTr="00977E1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883" w14:textId="77777777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70DA" w14:textId="229B8AA4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ČEPRO, </w:t>
            </w:r>
            <w:r w:rsidR="00594FD6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1BB5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1 206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D7A7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06E5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683D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DF54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3253F5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5 100</w:t>
            </w:r>
          </w:p>
        </w:tc>
      </w:tr>
      <w:tr w:rsidR="00116F68" w:rsidRPr="00977E15" w14:paraId="505CC6E9" w14:textId="77777777" w:rsidTr="00977E1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FE37" w14:textId="77777777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2F4A" w14:textId="442287C6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Letiště Praha, </w:t>
            </w:r>
            <w:r w:rsidR="00594FD6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</w:t>
            </w:r>
            <w:r w:rsidR="00151FF6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94FD6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0346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62A7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92C9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F4FF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BB85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B7B1D6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305</w:t>
            </w:r>
          </w:p>
        </w:tc>
      </w:tr>
      <w:tr w:rsidR="00116F68" w:rsidRPr="00977E15" w14:paraId="3EB18E99" w14:textId="77777777" w:rsidTr="00977E1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850A" w14:textId="77777777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8D0FD" w14:textId="77777777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E.ON SE a UNIPER 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3329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56AE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2030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9626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F8F0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54CD75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207</w:t>
            </w:r>
          </w:p>
        </w:tc>
      </w:tr>
      <w:tr w:rsidR="00116F68" w:rsidRPr="00977E15" w14:paraId="2A52B54C" w14:textId="77777777" w:rsidTr="00977E1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769B" w14:textId="77777777" w:rsidR="00855D33" w:rsidRPr="00977E15" w:rsidRDefault="00855D33" w:rsidP="00855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MPO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F61F" w14:textId="7BBF9ABB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OTE, </w:t>
            </w:r>
            <w:r w:rsidR="00594FD6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C6A0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A6EA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4118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E047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E43A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875624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116F68" w:rsidRPr="00977E15" w14:paraId="4C8775F7" w14:textId="77777777" w:rsidTr="00977E1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B19C" w14:textId="77777777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766D" w14:textId="009FF60B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ČEPS, </w:t>
            </w:r>
            <w:r w:rsidR="00594FD6"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a.s.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1BBF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5AA9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CAEE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D584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069E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E090D2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10 000</w:t>
            </w:r>
          </w:p>
        </w:tc>
      </w:tr>
      <w:tr w:rsidR="00855D33" w:rsidRPr="00977E15" w14:paraId="418BDC69" w14:textId="77777777" w:rsidTr="00977E15">
        <w:trPr>
          <w:trHeight w:val="315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8E6DBE8" w14:textId="77777777" w:rsidR="00855D33" w:rsidRPr="00977E15" w:rsidRDefault="00855D33" w:rsidP="00855D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Součet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B8F2B40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17 016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E7AF32C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23 581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DCF85F3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22 305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D528023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56 485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10A95C9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25 853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noWrap/>
            <w:vAlign w:val="center"/>
            <w:hideMark/>
          </w:tcPr>
          <w:p w14:paraId="2E20F60B" w14:textId="77777777" w:rsidR="00855D33" w:rsidRPr="00977E15" w:rsidRDefault="00855D33" w:rsidP="00897F10">
            <w:pPr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7E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145 240</w:t>
            </w:r>
          </w:p>
        </w:tc>
      </w:tr>
    </w:tbl>
    <w:p w14:paraId="196EE22D" w14:textId="5FA87D07" w:rsidR="006D0429" w:rsidRPr="002B08F4" w:rsidRDefault="007F68A4" w:rsidP="006D6FDA">
      <w:pPr>
        <w:spacing w:before="40" w:after="0" w:line="240" w:lineRule="auto"/>
        <w:jc w:val="both"/>
        <w:rPr>
          <w:rFonts w:ascii="Calibri" w:hAnsi="Calibri" w:cs="Calibri"/>
          <w:bCs/>
          <w:iCs/>
          <w:sz w:val="20"/>
          <w:szCs w:val="20"/>
        </w:rPr>
      </w:pPr>
      <w:r w:rsidRPr="009651D5">
        <w:rPr>
          <w:rFonts w:ascii="Calibri" w:hAnsi="Calibri" w:cs="Calibri"/>
          <w:b/>
          <w:iCs/>
          <w:sz w:val="20"/>
          <w:szCs w:val="20"/>
        </w:rPr>
        <w:t>Zdroj:</w:t>
      </w:r>
      <w:r w:rsidRPr="002B08F4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D15B6F">
        <w:rPr>
          <w:rFonts w:ascii="Calibri" w:hAnsi="Calibri" w:cs="Calibri"/>
          <w:bCs/>
          <w:iCs/>
          <w:sz w:val="20"/>
          <w:szCs w:val="20"/>
        </w:rPr>
        <w:t>z</w:t>
      </w:r>
      <w:r w:rsidRPr="003968C0">
        <w:rPr>
          <w:rFonts w:ascii="Calibri" w:hAnsi="Calibri" w:cs="Calibri"/>
          <w:bCs/>
          <w:iCs/>
          <w:sz w:val="20"/>
          <w:szCs w:val="20"/>
        </w:rPr>
        <w:t>práva o činnosti</w:t>
      </w:r>
      <w:r w:rsidRPr="002B08F4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2B08F4">
        <w:rPr>
          <w:rFonts w:ascii="Calibri" w:hAnsi="Calibri" w:cs="Calibri"/>
          <w:bCs/>
          <w:iCs/>
          <w:sz w:val="20"/>
          <w:szCs w:val="20"/>
        </w:rPr>
        <w:t xml:space="preserve">2024, </w:t>
      </w:r>
      <w:r w:rsidR="004F4C0B">
        <w:rPr>
          <w:bCs/>
          <w:sz w:val="20"/>
          <w:szCs w:val="20"/>
          <w:lang w:eastAsia="cs-CZ"/>
        </w:rPr>
        <w:t>s</w:t>
      </w:r>
      <w:r w:rsidR="0094702B" w:rsidRPr="002B08F4">
        <w:rPr>
          <w:bCs/>
          <w:sz w:val="20"/>
          <w:szCs w:val="20"/>
          <w:lang w:eastAsia="cs-CZ"/>
        </w:rPr>
        <w:t>tátní závěrečn</w:t>
      </w:r>
      <w:r w:rsidR="004F4C0B">
        <w:rPr>
          <w:bCs/>
          <w:sz w:val="20"/>
          <w:szCs w:val="20"/>
          <w:lang w:eastAsia="cs-CZ"/>
        </w:rPr>
        <w:t>é</w:t>
      </w:r>
      <w:r w:rsidR="0094702B" w:rsidRPr="002B08F4">
        <w:rPr>
          <w:bCs/>
          <w:sz w:val="20"/>
          <w:szCs w:val="20"/>
          <w:lang w:eastAsia="cs-CZ"/>
        </w:rPr>
        <w:t xml:space="preserve"> účt</w:t>
      </w:r>
      <w:r w:rsidR="004F4C0B">
        <w:rPr>
          <w:bCs/>
          <w:sz w:val="20"/>
          <w:szCs w:val="20"/>
          <w:lang w:eastAsia="cs-CZ"/>
        </w:rPr>
        <w:t>y</w:t>
      </w:r>
      <w:r w:rsidR="0094702B" w:rsidRPr="002B08F4">
        <w:rPr>
          <w:bCs/>
          <w:sz w:val="20"/>
          <w:szCs w:val="20"/>
          <w:lang w:eastAsia="cs-CZ"/>
        </w:rPr>
        <w:t xml:space="preserve"> ČR 2020–2024 (sešit D)</w:t>
      </w:r>
      <w:r w:rsidR="002B08F4">
        <w:rPr>
          <w:bCs/>
          <w:sz w:val="20"/>
          <w:szCs w:val="20"/>
          <w:lang w:eastAsia="cs-CZ"/>
        </w:rPr>
        <w:t>.</w:t>
      </w:r>
    </w:p>
    <w:p w14:paraId="183F81AA" w14:textId="32314AFA" w:rsidR="0010472C" w:rsidRPr="002B08F4" w:rsidRDefault="007F68A4" w:rsidP="002B08F4">
      <w:pPr>
        <w:spacing w:after="0" w:line="240" w:lineRule="auto"/>
        <w:jc w:val="both"/>
        <w:rPr>
          <w:rFonts w:ascii="Calibri" w:hAnsi="Calibri" w:cs="Calibri"/>
          <w:bCs/>
          <w:iCs/>
          <w:sz w:val="20"/>
          <w:szCs w:val="20"/>
        </w:rPr>
      </w:pPr>
      <w:r w:rsidRPr="003968C0">
        <w:rPr>
          <w:rFonts w:ascii="Calibri" w:hAnsi="Calibri" w:cs="Calibri"/>
          <w:bCs/>
          <w:iCs/>
          <w:sz w:val="20"/>
          <w:szCs w:val="20"/>
        </w:rPr>
        <w:t xml:space="preserve">* </w:t>
      </w:r>
      <w:proofErr w:type="spellStart"/>
      <w:r w:rsidRPr="002B08F4">
        <w:rPr>
          <w:rFonts w:ascii="Calibri" w:hAnsi="Calibri" w:cs="Calibri"/>
          <w:bCs/>
          <w:iCs/>
          <w:sz w:val="20"/>
          <w:szCs w:val="20"/>
        </w:rPr>
        <w:t>MZe</w:t>
      </w:r>
      <w:proofErr w:type="spellEnd"/>
      <w:r w:rsidRPr="002B08F4">
        <w:rPr>
          <w:rFonts w:ascii="Calibri" w:hAnsi="Calibri" w:cs="Calibri"/>
          <w:bCs/>
          <w:iCs/>
          <w:sz w:val="20"/>
          <w:szCs w:val="20"/>
        </w:rPr>
        <w:t xml:space="preserve"> nemá v gesci obchodní společnosti, které by odv</w:t>
      </w:r>
      <w:r w:rsidR="009E2E1B" w:rsidRPr="002B08F4">
        <w:rPr>
          <w:rFonts w:ascii="Calibri" w:hAnsi="Calibri" w:cs="Calibri"/>
          <w:bCs/>
          <w:iCs/>
          <w:sz w:val="20"/>
          <w:szCs w:val="20"/>
        </w:rPr>
        <w:t>ed</w:t>
      </w:r>
      <w:r w:rsidRPr="002B08F4">
        <w:rPr>
          <w:rFonts w:ascii="Calibri" w:hAnsi="Calibri" w:cs="Calibri"/>
          <w:bCs/>
          <w:iCs/>
          <w:sz w:val="20"/>
          <w:szCs w:val="20"/>
        </w:rPr>
        <w:t>ly dividendy do státního rozpočtu</w:t>
      </w:r>
      <w:r w:rsidR="002B08F4">
        <w:rPr>
          <w:rFonts w:ascii="Calibri" w:hAnsi="Calibri" w:cs="Calibri"/>
          <w:bCs/>
          <w:iCs/>
          <w:sz w:val="20"/>
          <w:szCs w:val="20"/>
        </w:rPr>
        <w:t>.</w:t>
      </w:r>
    </w:p>
    <w:p w14:paraId="65FEE3FF" w14:textId="2A839C33" w:rsidR="00B53EEB" w:rsidRPr="003968C0" w:rsidRDefault="00B53EEB" w:rsidP="002B08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651D5">
        <w:rPr>
          <w:b/>
          <w:bCs/>
          <w:sz w:val="20"/>
          <w:szCs w:val="20"/>
        </w:rPr>
        <w:t>Pozn.:</w:t>
      </w:r>
      <w:r w:rsidRPr="002B08F4">
        <w:rPr>
          <w:sz w:val="20"/>
          <w:szCs w:val="20"/>
        </w:rPr>
        <w:t xml:space="preserve"> V tabulce může dojít k drobným odchylkám z důvodu zaokrouhlování</w:t>
      </w:r>
      <w:r w:rsidR="002B08F4">
        <w:rPr>
          <w:sz w:val="20"/>
          <w:szCs w:val="20"/>
        </w:rPr>
        <w:t>.</w:t>
      </w:r>
    </w:p>
    <w:p w14:paraId="58E39E76" w14:textId="77777777" w:rsidR="001478FF" w:rsidRDefault="001478FF" w:rsidP="006D0429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2CB901B9" w14:textId="7338CBC8" w:rsidR="006D0429" w:rsidRPr="006D6FDA" w:rsidRDefault="007F68A4" w:rsidP="00605BA0">
      <w:pPr>
        <w:keepNext/>
        <w:spacing w:after="0" w:line="240" w:lineRule="auto"/>
        <w:ind w:left="992" w:hanging="992"/>
        <w:rPr>
          <w:rFonts w:ascii="Calibri" w:hAnsi="Calibri" w:cs="Calibri"/>
          <w:b/>
          <w:iCs/>
          <w:sz w:val="24"/>
          <w:szCs w:val="24"/>
        </w:rPr>
      </w:pPr>
      <w:r w:rsidRPr="006D6FDA">
        <w:rPr>
          <w:rFonts w:ascii="Calibri" w:hAnsi="Calibri" w:cs="Calibri"/>
          <w:b/>
          <w:iCs/>
          <w:sz w:val="24"/>
          <w:szCs w:val="24"/>
        </w:rPr>
        <w:t xml:space="preserve">Graf č. </w:t>
      </w:r>
      <w:r w:rsidR="00855D33" w:rsidRPr="006D6FDA">
        <w:rPr>
          <w:rFonts w:ascii="Calibri" w:hAnsi="Calibri" w:cs="Calibri"/>
          <w:b/>
          <w:iCs/>
          <w:sz w:val="24"/>
          <w:szCs w:val="24"/>
        </w:rPr>
        <w:t>1</w:t>
      </w:r>
      <w:r w:rsidRPr="006D6FDA">
        <w:rPr>
          <w:rFonts w:ascii="Calibri" w:hAnsi="Calibri" w:cs="Calibri"/>
          <w:b/>
          <w:iCs/>
          <w:sz w:val="24"/>
          <w:szCs w:val="24"/>
        </w:rPr>
        <w:t xml:space="preserve">: </w:t>
      </w:r>
      <w:r w:rsidR="006D6FDA">
        <w:rPr>
          <w:rFonts w:ascii="Calibri" w:hAnsi="Calibri" w:cs="Calibri"/>
          <w:b/>
          <w:iCs/>
          <w:sz w:val="24"/>
          <w:szCs w:val="24"/>
        </w:rPr>
        <w:tab/>
      </w:r>
      <w:r w:rsidRPr="006D6FDA">
        <w:rPr>
          <w:rFonts w:ascii="Calibri" w:hAnsi="Calibri" w:cs="Calibri"/>
          <w:b/>
          <w:iCs/>
          <w:sz w:val="24"/>
          <w:szCs w:val="24"/>
        </w:rPr>
        <w:t>Celkov</w:t>
      </w:r>
      <w:r w:rsidR="00897F10">
        <w:rPr>
          <w:rFonts w:ascii="Calibri" w:hAnsi="Calibri" w:cs="Calibri"/>
          <w:b/>
          <w:iCs/>
          <w:sz w:val="24"/>
          <w:szCs w:val="24"/>
        </w:rPr>
        <w:t>ý objem</w:t>
      </w:r>
      <w:r w:rsidRPr="006D6FDA">
        <w:rPr>
          <w:rFonts w:ascii="Calibri" w:hAnsi="Calibri" w:cs="Calibri"/>
          <w:b/>
          <w:iCs/>
          <w:sz w:val="24"/>
          <w:szCs w:val="24"/>
        </w:rPr>
        <w:t xml:space="preserve"> dividend odveden</w:t>
      </w:r>
      <w:r w:rsidR="00897F10">
        <w:rPr>
          <w:rFonts w:ascii="Calibri" w:hAnsi="Calibri" w:cs="Calibri"/>
          <w:b/>
          <w:iCs/>
          <w:sz w:val="24"/>
          <w:szCs w:val="24"/>
        </w:rPr>
        <w:t>ých</w:t>
      </w:r>
      <w:r w:rsidRPr="006D6FDA">
        <w:rPr>
          <w:rFonts w:ascii="Calibri" w:hAnsi="Calibri" w:cs="Calibri"/>
          <w:b/>
          <w:iCs/>
          <w:sz w:val="24"/>
          <w:szCs w:val="24"/>
        </w:rPr>
        <w:t xml:space="preserve"> obchodními společnostmi v gesci MF a</w:t>
      </w:r>
      <w:r w:rsidR="00897F10">
        <w:rPr>
          <w:rFonts w:ascii="Calibri" w:hAnsi="Calibri" w:cs="Calibri"/>
          <w:b/>
          <w:iCs/>
          <w:sz w:val="24"/>
          <w:szCs w:val="24"/>
        </w:rPr>
        <w:t> </w:t>
      </w:r>
      <w:r w:rsidRPr="006D6FDA">
        <w:rPr>
          <w:rFonts w:ascii="Calibri" w:hAnsi="Calibri" w:cs="Calibri"/>
          <w:b/>
          <w:iCs/>
          <w:sz w:val="24"/>
          <w:szCs w:val="24"/>
        </w:rPr>
        <w:t>MPO do státního rozpočtu (v mil. Kč)</w:t>
      </w:r>
    </w:p>
    <w:p w14:paraId="5083ECC0" w14:textId="51A6C874" w:rsidR="006D0429" w:rsidRDefault="00C45202" w:rsidP="006D0429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noProof/>
        </w:rPr>
        <w:drawing>
          <wp:inline distT="0" distB="0" distL="0" distR="0" wp14:anchorId="0A3B8A5B" wp14:editId="252EA785">
            <wp:extent cx="5759450" cy="2700000"/>
            <wp:effectExtent l="0" t="0" r="0" b="5715"/>
            <wp:docPr id="2913072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F7A2F9B-20C5-4DFF-B792-A000CC36EB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01E53B8" w14:textId="7A362640" w:rsidR="006D0429" w:rsidRPr="00271FC0" w:rsidRDefault="007F68A4" w:rsidP="006D0429">
      <w:pPr>
        <w:spacing w:after="0" w:line="240" w:lineRule="auto"/>
        <w:jc w:val="both"/>
        <w:rPr>
          <w:rFonts w:ascii="Calibri" w:hAnsi="Calibri" w:cs="Calibri"/>
          <w:bCs/>
          <w:iCs/>
          <w:sz w:val="20"/>
          <w:szCs w:val="20"/>
        </w:rPr>
      </w:pPr>
      <w:r w:rsidRPr="009651D5">
        <w:rPr>
          <w:rFonts w:ascii="Calibri" w:hAnsi="Calibri" w:cs="Calibri"/>
          <w:b/>
          <w:iCs/>
          <w:sz w:val="20"/>
          <w:szCs w:val="20"/>
        </w:rPr>
        <w:t>Zdroj:</w:t>
      </w:r>
      <w:r w:rsidRPr="007554C6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D15B6F">
        <w:rPr>
          <w:rFonts w:ascii="Calibri" w:hAnsi="Calibri" w:cs="Calibri"/>
          <w:bCs/>
          <w:iCs/>
          <w:sz w:val="20"/>
          <w:szCs w:val="20"/>
        </w:rPr>
        <w:t>z</w:t>
      </w:r>
      <w:r w:rsidRPr="003968C0">
        <w:rPr>
          <w:rFonts w:ascii="Calibri" w:hAnsi="Calibri" w:cs="Calibri"/>
          <w:bCs/>
          <w:iCs/>
          <w:sz w:val="20"/>
          <w:szCs w:val="20"/>
        </w:rPr>
        <w:t>práva o činnosti</w:t>
      </w:r>
      <w:r w:rsidRPr="007554C6">
        <w:rPr>
          <w:rFonts w:ascii="Calibri" w:hAnsi="Calibri" w:cs="Calibri"/>
          <w:bCs/>
          <w:i/>
          <w:sz w:val="20"/>
          <w:szCs w:val="20"/>
        </w:rPr>
        <w:t xml:space="preserve"> </w:t>
      </w:r>
      <w:r>
        <w:rPr>
          <w:rFonts w:ascii="Calibri" w:hAnsi="Calibri" w:cs="Calibri"/>
          <w:bCs/>
          <w:iCs/>
          <w:sz w:val="20"/>
          <w:szCs w:val="20"/>
        </w:rPr>
        <w:t>2024,</w:t>
      </w:r>
      <w:r w:rsidRPr="007554C6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4F4C0B">
        <w:rPr>
          <w:bCs/>
          <w:sz w:val="20"/>
          <w:szCs w:val="20"/>
          <w:lang w:eastAsia="cs-CZ"/>
        </w:rPr>
        <w:t>s</w:t>
      </w:r>
      <w:r w:rsidR="0094702B">
        <w:rPr>
          <w:bCs/>
          <w:sz w:val="20"/>
          <w:szCs w:val="20"/>
          <w:lang w:eastAsia="cs-CZ"/>
        </w:rPr>
        <w:t>tátní závěrečn</w:t>
      </w:r>
      <w:r w:rsidR="004F4C0B">
        <w:rPr>
          <w:bCs/>
          <w:sz w:val="20"/>
          <w:szCs w:val="20"/>
          <w:lang w:eastAsia="cs-CZ"/>
        </w:rPr>
        <w:t>é</w:t>
      </w:r>
      <w:r w:rsidR="0094702B">
        <w:rPr>
          <w:bCs/>
          <w:sz w:val="20"/>
          <w:szCs w:val="20"/>
          <w:lang w:eastAsia="cs-CZ"/>
        </w:rPr>
        <w:t xml:space="preserve"> účt</w:t>
      </w:r>
      <w:r w:rsidR="004F4C0B">
        <w:rPr>
          <w:bCs/>
          <w:sz w:val="20"/>
          <w:szCs w:val="20"/>
          <w:lang w:eastAsia="cs-CZ"/>
        </w:rPr>
        <w:t>y</w:t>
      </w:r>
      <w:r w:rsidR="0094702B">
        <w:rPr>
          <w:bCs/>
          <w:sz w:val="20"/>
          <w:szCs w:val="20"/>
          <w:lang w:eastAsia="cs-CZ"/>
        </w:rPr>
        <w:t xml:space="preserve"> ČR 2020–2024 (sešit D)</w:t>
      </w:r>
      <w:r w:rsidR="004F4C0B">
        <w:rPr>
          <w:bCs/>
          <w:sz w:val="20"/>
          <w:szCs w:val="20"/>
          <w:lang w:eastAsia="cs-CZ"/>
        </w:rPr>
        <w:t>.</w:t>
      </w:r>
    </w:p>
    <w:p w14:paraId="567EAF1B" w14:textId="77777777" w:rsidR="006D0429" w:rsidRDefault="006D0429" w:rsidP="006D0429">
      <w:pPr>
        <w:spacing w:after="0" w:line="240" w:lineRule="auto"/>
        <w:jc w:val="both"/>
        <w:rPr>
          <w:b/>
          <w:bCs/>
          <w:sz w:val="24"/>
          <w:szCs w:val="24"/>
          <w:lang w:eastAsia="cs-CZ"/>
        </w:rPr>
      </w:pPr>
    </w:p>
    <w:p w14:paraId="16E38C17" w14:textId="0A6668D4" w:rsidR="00FB5175" w:rsidRPr="002C4651" w:rsidRDefault="007F68A4" w:rsidP="006D0429">
      <w:pPr>
        <w:spacing w:after="0" w:line="240" w:lineRule="auto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lastRenderedPageBreak/>
        <w:t>MF pro hodnocení tohoto opatření v rámci dotazníkového šetření nastavilo otázk</w:t>
      </w:r>
      <w:r w:rsidR="00F462A0">
        <w:rPr>
          <w:sz w:val="24"/>
          <w:szCs w:val="24"/>
          <w:lang w:eastAsia="cs-CZ"/>
        </w:rPr>
        <w:t xml:space="preserve">u, </w:t>
      </w:r>
      <w:r w:rsidR="00805476">
        <w:rPr>
          <w:sz w:val="24"/>
          <w:szCs w:val="24"/>
          <w:lang w:eastAsia="cs-CZ"/>
        </w:rPr>
        <w:t>zda je nastavena a naplňována dividendová politika obchodních společností a zda byla nastavena dotační politika společností, jejichž činnost je dotována specifickými formami podpor.</w:t>
      </w:r>
      <w:r>
        <w:rPr>
          <w:sz w:val="24"/>
          <w:szCs w:val="24"/>
          <w:lang w:eastAsia="cs-CZ"/>
        </w:rPr>
        <w:t xml:space="preserve"> </w:t>
      </w:r>
      <w:r w:rsidR="00805476">
        <w:rPr>
          <w:sz w:val="24"/>
          <w:szCs w:val="24"/>
          <w:lang w:eastAsia="cs-CZ"/>
        </w:rPr>
        <w:t xml:space="preserve">Tyto skutečnosti měly být sledovány a průběžně vyhodnocovány. </w:t>
      </w:r>
      <w:r w:rsidR="00461D1D">
        <w:rPr>
          <w:sz w:val="24"/>
          <w:szCs w:val="24"/>
          <w:lang w:eastAsia="cs-CZ"/>
        </w:rPr>
        <w:t>NKÚ zjistil</w:t>
      </w:r>
      <w:r w:rsidR="00805476">
        <w:rPr>
          <w:sz w:val="24"/>
          <w:szCs w:val="24"/>
          <w:lang w:eastAsia="cs-CZ"/>
        </w:rPr>
        <w:t xml:space="preserve">, že MF plnění tohoto opatření </w:t>
      </w:r>
      <w:r w:rsidR="009975F8">
        <w:rPr>
          <w:sz w:val="24"/>
          <w:szCs w:val="24"/>
          <w:lang w:eastAsia="cs-CZ"/>
        </w:rPr>
        <w:t xml:space="preserve">vymezilo </w:t>
      </w:r>
      <w:r w:rsidR="00A766E6">
        <w:rPr>
          <w:sz w:val="24"/>
          <w:szCs w:val="24"/>
          <w:lang w:eastAsia="cs-CZ"/>
        </w:rPr>
        <w:t>pouze z finančního hlediska</w:t>
      </w:r>
      <w:r w:rsidR="002C4651" w:rsidRPr="002C4651">
        <w:rPr>
          <w:sz w:val="24"/>
          <w:szCs w:val="24"/>
          <w:lang w:eastAsia="cs-CZ"/>
        </w:rPr>
        <w:t xml:space="preserve">, přestože dividendy </w:t>
      </w:r>
      <w:r w:rsidR="00FB5175" w:rsidRPr="003968C0">
        <w:rPr>
          <w:sz w:val="24"/>
          <w:szCs w:val="24"/>
          <w:lang w:eastAsia="cs-CZ"/>
        </w:rPr>
        <w:t>by pro stát neměly být dle Strategie hlavní</w:t>
      </w:r>
      <w:r w:rsidR="002C4651">
        <w:rPr>
          <w:sz w:val="24"/>
          <w:szCs w:val="24"/>
          <w:lang w:eastAsia="cs-CZ"/>
        </w:rPr>
        <w:t>m, tedy jediným</w:t>
      </w:r>
      <w:r w:rsidR="00FB5175" w:rsidRPr="003968C0">
        <w:rPr>
          <w:sz w:val="24"/>
          <w:szCs w:val="24"/>
          <w:lang w:eastAsia="cs-CZ"/>
        </w:rPr>
        <w:t xml:space="preserve"> přínosem</w:t>
      </w:r>
      <w:r w:rsidR="002C4651" w:rsidRPr="003968C0">
        <w:rPr>
          <w:sz w:val="24"/>
          <w:szCs w:val="24"/>
          <w:lang w:eastAsia="cs-CZ"/>
        </w:rPr>
        <w:t>.</w:t>
      </w:r>
    </w:p>
    <w:p w14:paraId="757DF820" w14:textId="77777777" w:rsidR="00665787" w:rsidRDefault="00665787" w:rsidP="00BC2A72">
      <w:pPr>
        <w:spacing w:after="0" w:line="240" w:lineRule="auto"/>
        <w:jc w:val="both"/>
        <w:rPr>
          <w:b/>
          <w:sz w:val="24"/>
          <w:szCs w:val="24"/>
          <w:lang w:eastAsia="cs-CZ"/>
        </w:rPr>
      </w:pPr>
    </w:p>
    <w:p w14:paraId="7CA4EA1E" w14:textId="4FD51605" w:rsidR="00271FC0" w:rsidRDefault="007F68A4" w:rsidP="006D6FDA">
      <w:pPr>
        <w:spacing w:after="0" w:line="240" w:lineRule="auto"/>
        <w:ind w:left="425" w:hanging="425"/>
        <w:rPr>
          <w:rFonts w:ascii="Calibri" w:hAnsi="Calibri" w:cs="Calibri"/>
          <w:b/>
          <w:iCs/>
          <w:sz w:val="24"/>
          <w:szCs w:val="24"/>
        </w:rPr>
      </w:pPr>
      <w:r>
        <w:rPr>
          <w:b/>
          <w:sz w:val="24"/>
          <w:szCs w:val="24"/>
          <w:lang w:eastAsia="cs-CZ"/>
        </w:rPr>
        <w:t>3.</w:t>
      </w:r>
      <w:r w:rsidR="005A1EFE">
        <w:rPr>
          <w:b/>
          <w:sz w:val="24"/>
          <w:szCs w:val="24"/>
          <w:lang w:eastAsia="cs-CZ"/>
        </w:rPr>
        <w:t>2</w:t>
      </w:r>
      <w:r>
        <w:rPr>
          <w:b/>
          <w:sz w:val="24"/>
          <w:szCs w:val="24"/>
          <w:lang w:eastAsia="cs-CZ"/>
        </w:rPr>
        <w:t xml:space="preserve"> </w:t>
      </w:r>
      <w:r w:rsidR="003C3B87" w:rsidRPr="008B662F">
        <w:rPr>
          <w:b/>
          <w:sz w:val="24"/>
          <w:szCs w:val="24"/>
          <w:lang w:eastAsia="cs-CZ"/>
        </w:rPr>
        <w:t>MF a MPO nezajistily</w:t>
      </w:r>
      <w:r w:rsidR="000531FB">
        <w:rPr>
          <w:b/>
          <w:sz w:val="24"/>
          <w:szCs w:val="24"/>
          <w:lang w:eastAsia="cs-CZ"/>
        </w:rPr>
        <w:t xml:space="preserve"> stanovení strategických cílů u některých obchodních společností ve své gesci</w:t>
      </w:r>
    </w:p>
    <w:p w14:paraId="5DB682E6" w14:textId="77777777" w:rsidR="006D0429" w:rsidRDefault="006D0429" w:rsidP="00634DFF">
      <w:pPr>
        <w:spacing w:after="0" w:line="240" w:lineRule="auto"/>
        <w:ind w:left="425" w:hanging="425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3DC89117" w14:textId="79ADBD68" w:rsidR="00271FC0" w:rsidRPr="009668F1" w:rsidRDefault="007F68A4" w:rsidP="006D0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34D7A">
        <w:rPr>
          <w:sz w:val="24"/>
          <w:szCs w:val="24"/>
        </w:rPr>
        <w:t xml:space="preserve">Opatření č. 6: </w:t>
      </w:r>
      <w:r w:rsidR="00A766E6" w:rsidRPr="003968C0">
        <w:rPr>
          <w:sz w:val="24"/>
          <w:szCs w:val="24"/>
          <w:lang w:eastAsia="cs-CZ"/>
        </w:rPr>
        <w:t>Z</w:t>
      </w:r>
      <w:r w:rsidRPr="003968C0">
        <w:rPr>
          <w:sz w:val="24"/>
          <w:szCs w:val="24"/>
          <w:lang w:eastAsia="cs-CZ"/>
        </w:rPr>
        <w:t>ajistit, že každá strategická společnost s majetkovou účastí státu má stanovené jasné transparentní cíle, a to především dlouhodobé strategické cíle směřující k dlouhodobé udržitelnosti podnikání, zhodnocování majetku společnosti, resp. státu a při respektování jednotlivých schválených politik, včetně kritického posouzení těchto strategií ze strany dotčeného ministerstva (vč. strategických státních podniků)</w:t>
      </w:r>
      <w:r w:rsidR="00002E1B">
        <w:rPr>
          <w:sz w:val="24"/>
          <w:szCs w:val="24"/>
          <w:lang w:eastAsia="cs-CZ"/>
        </w:rPr>
        <w:t>.</w:t>
      </w:r>
    </w:p>
    <w:p w14:paraId="5272E989" w14:textId="77777777" w:rsidR="006D0429" w:rsidRPr="00271FC0" w:rsidRDefault="006D0429" w:rsidP="006D0429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1D75FFDE" w14:textId="15ACA1A7" w:rsidR="00865D6C" w:rsidRDefault="007F68A4" w:rsidP="00BC2A72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bCs/>
          <w:sz w:val="24"/>
          <w:szCs w:val="24"/>
          <w:lang w:eastAsia="cs-CZ"/>
        </w:rPr>
        <w:t>Podle Strategie spočívá z</w:t>
      </w:r>
      <w:r w:rsidR="003C3B87">
        <w:rPr>
          <w:bCs/>
          <w:sz w:val="24"/>
          <w:szCs w:val="24"/>
          <w:lang w:eastAsia="cs-CZ"/>
        </w:rPr>
        <w:t>ákladní působnost vlastníka (státu) ve stanovení strategických cílů obchodních společností</w:t>
      </w:r>
      <w:r w:rsidR="00EC29E6">
        <w:rPr>
          <w:bCs/>
          <w:sz w:val="24"/>
          <w:szCs w:val="24"/>
          <w:lang w:eastAsia="cs-CZ"/>
        </w:rPr>
        <w:t xml:space="preserve"> a</w:t>
      </w:r>
      <w:r w:rsidR="003C3B87">
        <w:rPr>
          <w:bCs/>
          <w:sz w:val="24"/>
          <w:szCs w:val="24"/>
          <w:lang w:eastAsia="cs-CZ"/>
        </w:rPr>
        <w:t xml:space="preserve"> </w:t>
      </w:r>
      <w:r>
        <w:rPr>
          <w:bCs/>
          <w:sz w:val="24"/>
          <w:szCs w:val="24"/>
          <w:lang w:eastAsia="cs-CZ"/>
        </w:rPr>
        <w:t>formulaci jasných</w:t>
      </w:r>
      <w:r w:rsidR="003C3B87">
        <w:rPr>
          <w:bCs/>
          <w:sz w:val="24"/>
          <w:szCs w:val="24"/>
          <w:lang w:eastAsia="cs-CZ"/>
        </w:rPr>
        <w:t xml:space="preserve"> strategick</w:t>
      </w:r>
      <w:r>
        <w:rPr>
          <w:bCs/>
          <w:sz w:val="24"/>
          <w:szCs w:val="24"/>
          <w:lang w:eastAsia="cs-CZ"/>
        </w:rPr>
        <w:t>ých</w:t>
      </w:r>
      <w:r w:rsidR="003C3B87">
        <w:rPr>
          <w:bCs/>
          <w:sz w:val="24"/>
          <w:szCs w:val="24"/>
          <w:lang w:eastAsia="cs-CZ"/>
        </w:rPr>
        <w:t xml:space="preserve"> zadání. </w:t>
      </w:r>
      <w:r>
        <w:rPr>
          <w:bCs/>
          <w:sz w:val="24"/>
          <w:szCs w:val="24"/>
          <w:lang w:eastAsia="cs-CZ"/>
        </w:rPr>
        <w:t xml:space="preserve">K tomu se vztahuje opatření č. 6. </w:t>
      </w:r>
      <w:r w:rsidR="003C3B87" w:rsidRPr="00753A33">
        <w:rPr>
          <w:rFonts w:ascii="Calibri" w:hAnsi="Calibri" w:cs="Calibri"/>
          <w:bCs/>
          <w:iCs/>
          <w:sz w:val="24"/>
          <w:szCs w:val="24"/>
        </w:rPr>
        <w:t xml:space="preserve">NKÚ zjistil, že </w:t>
      </w:r>
      <w:r w:rsidR="00EC29E6">
        <w:rPr>
          <w:rFonts w:ascii="Calibri" w:hAnsi="Calibri" w:cs="Calibri"/>
          <w:bCs/>
          <w:iCs/>
          <w:sz w:val="24"/>
          <w:szCs w:val="24"/>
        </w:rPr>
        <w:t>MF</w:t>
      </w:r>
      <w:r w:rsidR="003C3B87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EC29E6">
        <w:rPr>
          <w:rFonts w:ascii="Calibri" w:hAnsi="Calibri" w:cs="Calibri"/>
          <w:bCs/>
          <w:iCs/>
          <w:sz w:val="24"/>
          <w:szCs w:val="24"/>
        </w:rPr>
        <w:t>od doby schválen</w:t>
      </w:r>
      <w:r w:rsidR="004A6695">
        <w:rPr>
          <w:rFonts w:ascii="Calibri" w:hAnsi="Calibri" w:cs="Calibri"/>
          <w:bCs/>
          <w:iCs/>
          <w:sz w:val="24"/>
          <w:szCs w:val="24"/>
        </w:rPr>
        <w:t>í</w:t>
      </w:r>
      <w:r w:rsidR="00EC29E6">
        <w:rPr>
          <w:rFonts w:ascii="Calibri" w:hAnsi="Calibri" w:cs="Calibri"/>
          <w:bCs/>
          <w:iCs/>
          <w:sz w:val="24"/>
          <w:szCs w:val="24"/>
        </w:rPr>
        <w:t xml:space="preserve"> Strategie </w:t>
      </w:r>
      <w:r w:rsidR="003C3B87">
        <w:rPr>
          <w:rFonts w:cstheme="minorHAnsi"/>
          <w:iCs/>
          <w:sz w:val="24"/>
          <w:szCs w:val="24"/>
        </w:rPr>
        <w:t xml:space="preserve">stanovení strategických cílů </w:t>
      </w:r>
      <w:r w:rsidR="003C3B87" w:rsidRPr="00753A33">
        <w:rPr>
          <w:rFonts w:ascii="Calibri" w:hAnsi="Calibri" w:cs="Calibri"/>
          <w:bCs/>
          <w:iCs/>
          <w:sz w:val="24"/>
          <w:szCs w:val="24"/>
        </w:rPr>
        <w:t xml:space="preserve">u obchodní společnosti </w:t>
      </w:r>
      <w:r w:rsidR="003C3B87" w:rsidRPr="00753A33">
        <w:rPr>
          <w:rFonts w:cstheme="minorHAnsi"/>
          <w:iCs/>
          <w:sz w:val="24"/>
          <w:szCs w:val="24"/>
        </w:rPr>
        <w:t xml:space="preserve">THERMAL-F, </w:t>
      </w:r>
      <w:r w:rsidR="00594FD6">
        <w:rPr>
          <w:rFonts w:cstheme="minorHAnsi"/>
          <w:iCs/>
          <w:sz w:val="24"/>
          <w:szCs w:val="24"/>
        </w:rPr>
        <w:t>a.s.</w:t>
      </w:r>
      <w:r w:rsidR="004644E0">
        <w:rPr>
          <w:rFonts w:cstheme="minorHAnsi"/>
          <w:iCs/>
          <w:sz w:val="24"/>
          <w:szCs w:val="24"/>
        </w:rPr>
        <w:t>,</w:t>
      </w:r>
      <w:r w:rsidR="003C3B87" w:rsidRPr="00753A33">
        <w:rPr>
          <w:rFonts w:cstheme="minorHAnsi"/>
          <w:iCs/>
          <w:sz w:val="24"/>
          <w:szCs w:val="24"/>
        </w:rPr>
        <w:t xml:space="preserve"> </w:t>
      </w:r>
      <w:r w:rsidR="003C3B87">
        <w:rPr>
          <w:rFonts w:cstheme="minorHAnsi"/>
          <w:iCs/>
          <w:sz w:val="24"/>
          <w:szCs w:val="24"/>
        </w:rPr>
        <w:t>nezajistilo.</w:t>
      </w:r>
      <w:r w:rsidR="003C3B87" w:rsidRPr="00753A33">
        <w:rPr>
          <w:rFonts w:ascii="Calibri" w:hAnsi="Calibri" w:cs="Calibri"/>
          <w:bCs/>
          <w:iCs/>
          <w:sz w:val="24"/>
          <w:szCs w:val="24"/>
        </w:rPr>
        <w:t xml:space="preserve"> MPO tuto povinnost nesplnilo </w:t>
      </w:r>
      <w:r w:rsidR="003C3B87" w:rsidRPr="00753A33">
        <w:rPr>
          <w:rFonts w:cstheme="minorHAnsi"/>
          <w:iCs/>
          <w:sz w:val="24"/>
          <w:szCs w:val="24"/>
        </w:rPr>
        <w:t xml:space="preserve">u </w:t>
      </w:r>
      <w:r w:rsidR="003C3B87" w:rsidRPr="00753A33">
        <w:rPr>
          <w:rFonts w:ascii="Calibri" w:hAnsi="Calibri" w:cs="Calibri"/>
          <w:bCs/>
          <w:iCs/>
          <w:sz w:val="24"/>
          <w:szCs w:val="24"/>
        </w:rPr>
        <w:t>obchodní společnosti</w:t>
      </w:r>
      <w:r w:rsidR="003C3B87" w:rsidRPr="00753A33">
        <w:rPr>
          <w:rFonts w:cstheme="minorHAnsi"/>
          <w:iCs/>
          <w:sz w:val="24"/>
          <w:szCs w:val="24"/>
        </w:rPr>
        <w:t xml:space="preserve"> </w:t>
      </w:r>
      <w:proofErr w:type="spellStart"/>
      <w:r w:rsidR="003C3B87" w:rsidRPr="00753A33">
        <w:rPr>
          <w:rFonts w:cstheme="minorHAnsi"/>
          <w:iCs/>
          <w:sz w:val="24"/>
          <w:szCs w:val="24"/>
        </w:rPr>
        <w:t>Explosia</w:t>
      </w:r>
      <w:proofErr w:type="spellEnd"/>
      <w:r w:rsidR="003C3B87" w:rsidRPr="00753A33">
        <w:rPr>
          <w:rFonts w:cstheme="minorHAnsi"/>
          <w:iCs/>
          <w:sz w:val="24"/>
          <w:szCs w:val="24"/>
        </w:rPr>
        <w:t xml:space="preserve"> </w:t>
      </w:r>
      <w:r w:rsidR="00594FD6">
        <w:rPr>
          <w:rFonts w:cstheme="minorHAnsi"/>
          <w:iCs/>
          <w:sz w:val="24"/>
          <w:szCs w:val="24"/>
        </w:rPr>
        <w:t>a.s.</w:t>
      </w:r>
      <w:r w:rsidR="003C3B87" w:rsidRPr="00753A33">
        <w:rPr>
          <w:rFonts w:cstheme="minorHAnsi"/>
          <w:iCs/>
          <w:sz w:val="24"/>
          <w:szCs w:val="24"/>
        </w:rPr>
        <w:t>,</w:t>
      </w:r>
      <w:r w:rsidR="00682BBC">
        <w:rPr>
          <w:rFonts w:cstheme="minorHAnsi"/>
          <w:iCs/>
          <w:sz w:val="24"/>
          <w:szCs w:val="24"/>
        </w:rPr>
        <w:t xml:space="preserve"> </w:t>
      </w:r>
      <w:r w:rsidR="00671839">
        <w:rPr>
          <w:rFonts w:cstheme="minorHAnsi"/>
          <w:iCs/>
          <w:sz w:val="24"/>
          <w:szCs w:val="24"/>
        </w:rPr>
        <w:t xml:space="preserve">u </w:t>
      </w:r>
      <w:r w:rsidR="003C3B87" w:rsidRPr="00753A33">
        <w:rPr>
          <w:rFonts w:cstheme="minorHAnsi"/>
          <w:iCs/>
          <w:sz w:val="24"/>
          <w:szCs w:val="24"/>
        </w:rPr>
        <w:t>kter</w:t>
      </w:r>
      <w:r w:rsidR="00671839">
        <w:rPr>
          <w:rFonts w:cstheme="minorHAnsi"/>
          <w:iCs/>
          <w:sz w:val="24"/>
          <w:szCs w:val="24"/>
        </w:rPr>
        <w:t>é nestanovilo</w:t>
      </w:r>
      <w:r w:rsidR="00256C17">
        <w:rPr>
          <w:rFonts w:cstheme="minorHAnsi"/>
          <w:iCs/>
          <w:sz w:val="24"/>
          <w:szCs w:val="24"/>
        </w:rPr>
        <w:t xml:space="preserve"> strategické cíle </w:t>
      </w:r>
      <w:r w:rsidR="00CE73CD">
        <w:rPr>
          <w:rFonts w:cstheme="minorHAnsi"/>
          <w:iCs/>
          <w:sz w:val="24"/>
          <w:szCs w:val="24"/>
        </w:rPr>
        <w:t>pro období</w:t>
      </w:r>
      <w:r w:rsidR="00461D1D">
        <w:rPr>
          <w:rFonts w:cstheme="minorHAnsi"/>
          <w:iCs/>
          <w:sz w:val="24"/>
          <w:szCs w:val="24"/>
        </w:rPr>
        <w:t xml:space="preserve"> 2024</w:t>
      </w:r>
      <w:r w:rsidR="00CE73CD">
        <w:rPr>
          <w:rFonts w:cstheme="minorHAnsi"/>
          <w:iCs/>
          <w:sz w:val="24"/>
          <w:szCs w:val="24"/>
        </w:rPr>
        <w:t xml:space="preserve"> a následující</w:t>
      </w:r>
      <w:r w:rsidR="000760F9">
        <w:rPr>
          <w:rFonts w:cstheme="minorHAnsi"/>
          <w:iCs/>
          <w:sz w:val="24"/>
          <w:szCs w:val="24"/>
        </w:rPr>
        <w:t xml:space="preserve">. </w:t>
      </w:r>
      <w:r w:rsidR="00075CFB">
        <w:rPr>
          <w:rFonts w:cstheme="minorHAnsi"/>
          <w:iCs/>
          <w:sz w:val="24"/>
          <w:szCs w:val="24"/>
        </w:rPr>
        <w:t>Dle MPO byl</w:t>
      </w:r>
      <w:r w:rsidR="00E660ED">
        <w:rPr>
          <w:rFonts w:cstheme="minorHAnsi"/>
          <w:iCs/>
          <w:sz w:val="24"/>
          <w:szCs w:val="24"/>
        </w:rPr>
        <w:t xml:space="preserve">y </w:t>
      </w:r>
      <w:r w:rsidR="00075CFB">
        <w:rPr>
          <w:rFonts w:cstheme="minorHAnsi"/>
          <w:iCs/>
          <w:sz w:val="24"/>
          <w:szCs w:val="24"/>
        </w:rPr>
        <w:t>strategick</w:t>
      </w:r>
      <w:r w:rsidR="00E660ED">
        <w:rPr>
          <w:rFonts w:cstheme="minorHAnsi"/>
          <w:iCs/>
          <w:sz w:val="24"/>
          <w:szCs w:val="24"/>
        </w:rPr>
        <w:t>é</w:t>
      </w:r>
      <w:r w:rsidR="00075CFB">
        <w:rPr>
          <w:rFonts w:cstheme="minorHAnsi"/>
          <w:iCs/>
          <w:sz w:val="24"/>
          <w:szCs w:val="24"/>
        </w:rPr>
        <w:t xml:space="preserve"> </w:t>
      </w:r>
      <w:r w:rsidR="00E660ED">
        <w:rPr>
          <w:rFonts w:cstheme="minorHAnsi"/>
          <w:iCs/>
          <w:sz w:val="24"/>
          <w:szCs w:val="24"/>
        </w:rPr>
        <w:t xml:space="preserve">cíle </w:t>
      </w:r>
      <w:r w:rsidR="00075CFB">
        <w:rPr>
          <w:rFonts w:cstheme="minorHAnsi"/>
          <w:iCs/>
          <w:sz w:val="24"/>
          <w:szCs w:val="24"/>
        </w:rPr>
        <w:t>komunikován</w:t>
      </w:r>
      <w:r w:rsidR="00E660ED">
        <w:rPr>
          <w:rFonts w:cstheme="minorHAnsi"/>
          <w:iCs/>
          <w:sz w:val="24"/>
          <w:szCs w:val="24"/>
        </w:rPr>
        <w:t>y</w:t>
      </w:r>
      <w:r w:rsidR="00075CFB">
        <w:rPr>
          <w:rFonts w:cstheme="minorHAnsi"/>
          <w:iCs/>
          <w:sz w:val="24"/>
          <w:szCs w:val="24"/>
        </w:rPr>
        <w:t xml:space="preserve"> </w:t>
      </w:r>
      <w:r w:rsidR="00E660ED">
        <w:rPr>
          <w:rFonts w:cstheme="minorHAnsi"/>
          <w:iCs/>
          <w:sz w:val="24"/>
          <w:szCs w:val="24"/>
        </w:rPr>
        <w:t>mezi představenstvem a dozorčí radou</w:t>
      </w:r>
      <w:r w:rsidR="00075CFB">
        <w:rPr>
          <w:rFonts w:cstheme="minorHAnsi"/>
          <w:iCs/>
          <w:sz w:val="24"/>
          <w:szCs w:val="24"/>
        </w:rPr>
        <w:t>, a</w:t>
      </w:r>
      <w:r w:rsidR="00E660ED">
        <w:rPr>
          <w:rFonts w:cstheme="minorHAnsi"/>
          <w:iCs/>
          <w:sz w:val="24"/>
          <w:szCs w:val="24"/>
        </w:rPr>
        <w:t xml:space="preserve">však tyto cíle nebyly předloženy ke schválení </w:t>
      </w:r>
      <w:r w:rsidR="000531FB">
        <w:rPr>
          <w:rFonts w:cstheme="minorHAnsi"/>
          <w:iCs/>
          <w:sz w:val="24"/>
          <w:szCs w:val="24"/>
        </w:rPr>
        <w:t xml:space="preserve">jedinému akcionáři v působnosti </w:t>
      </w:r>
      <w:r w:rsidR="00E660ED">
        <w:rPr>
          <w:rFonts w:cstheme="minorHAnsi"/>
          <w:iCs/>
          <w:sz w:val="24"/>
          <w:szCs w:val="24"/>
        </w:rPr>
        <w:t>valné hromad</w:t>
      </w:r>
      <w:r w:rsidR="000531FB">
        <w:rPr>
          <w:rFonts w:cstheme="minorHAnsi"/>
          <w:iCs/>
          <w:sz w:val="24"/>
          <w:szCs w:val="24"/>
        </w:rPr>
        <w:t>y</w:t>
      </w:r>
      <w:r w:rsidR="00E660ED">
        <w:rPr>
          <w:rFonts w:cstheme="minorHAnsi"/>
          <w:iCs/>
          <w:sz w:val="24"/>
          <w:szCs w:val="24"/>
        </w:rPr>
        <w:t xml:space="preserve">. </w:t>
      </w:r>
      <w:r w:rsidR="00365E11">
        <w:rPr>
          <w:rFonts w:cstheme="minorHAnsi"/>
          <w:iCs/>
          <w:sz w:val="24"/>
          <w:szCs w:val="24"/>
        </w:rPr>
        <w:t xml:space="preserve">MF a MPO tak </w:t>
      </w:r>
      <w:r w:rsidR="00B1264A">
        <w:rPr>
          <w:rFonts w:cstheme="minorHAnsi"/>
          <w:iCs/>
          <w:sz w:val="24"/>
          <w:szCs w:val="24"/>
        </w:rPr>
        <w:t>nezajistily podmínky pro účinné prosazování zájmů státu v</w:t>
      </w:r>
      <w:r w:rsidR="00365E11">
        <w:rPr>
          <w:rFonts w:cstheme="minorHAnsi"/>
          <w:iCs/>
          <w:sz w:val="24"/>
          <w:szCs w:val="24"/>
        </w:rPr>
        <w:t xml:space="preserve"> těchto obchodních společností.</w:t>
      </w:r>
    </w:p>
    <w:p w14:paraId="52E5ABFB" w14:textId="77777777" w:rsidR="00271FC0" w:rsidRDefault="00271FC0" w:rsidP="00BC2A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003AF33" w14:textId="2F0CA962" w:rsidR="00143830" w:rsidRPr="005A1EFE" w:rsidRDefault="007F68A4" w:rsidP="005A1EFE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41C90">
        <w:rPr>
          <w:rFonts w:ascii="Calibri" w:hAnsi="Calibri" w:cs="Calibri"/>
          <w:bCs/>
          <w:iCs/>
          <w:sz w:val="24"/>
          <w:szCs w:val="24"/>
        </w:rPr>
        <w:t xml:space="preserve">NKÚ </w:t>
      </w:r>
      <w:r>
        <w:rPr>
          <w:rFonts w:ascii="Calibri" w:hAnsi="Calibri" w:cs="Calibri"/>
          <w:bCs/>
          <w:iCs/>
          <w:sz w:val="24"/>
          <w:szCs w:val="24"/>
        </w:rPr>
        <w:t xml:space="preserve">dále </w:t>
      </w:r>
      <w:r w:rsidRPr="00741C90">
        <w:rPr>
          <w:rFonts w:ascii="Calibri" w:hAnsi="Calibri" w:cs="Calibri"/>
          <w:bCs/>
          <w:iCs/>
          <w:sz w:val="24"/>
          <w:szCs w:val="24"/>
        </w:rPr>
        <w:t xml:space="preserve">zjistil, že ačkoliv Strategie poukazuje na důležitost </w:t>
      </w:r>
      <w:r>
        <w:rPr>
          <w:rFonts w:ascii="Calibri" w:hAnsi="Calibri" w:cs="Calibri"/>
          <w:bCs/>
          <w:iCs/>
          <w:sz w:val="24"/>
          <w:szCs w:val="24"/>
        </w:rPr>
        <w:t xml:space="preserve">zveřejňování </w:t>
      </w:r>
      <w:r w:rsidRPr="00741C90">
        <w:rPr>
          <w:rFonts w:ascii="Calibri" w:hAnsi="Calibri" w:cs="Calibri"/>
          <w:bCs/>
          <w:iCs/>
          <w:sz w:val="24"/>
          <w:szCs w:val="24"/>
        </w:rPr>
        <w:t>strategických plánů a cílů</w:t>
      </w:r>
      <w:r w:rsidR="00461D1D">
        <w:rPr>
          <w:rFonts w:ascii="Calibri" w:hAnsi="Calibri" w:cs="Calibri"/>
          <w:bCs/>
          <w:iCs/>
          <w:sz w:val="24"/>
          <w:szCs w:val="24"/>
        </w:rPr>
        <w:t>,</w:t>
      </w:r>
      <w:r w:rsidRPr="00741C90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E912A7">
        <w:rPr>
          <w:rFonts w:ascii="Calibri" w:hAnsi="Calibri" w:cs="Calibri"/>
          <w:bCs/>
          <w:iCs/>
          <w:sz w:val="24"/>
          <w:szCs w:val="24"/>
        </w:rPr>
        <w:t xml:space="preserve">MF a </w:t>
      </w:r>
      <w:proofErr w:type="spellStart"/>
      <w:r w:rsidR="00E912A7">
        <w:rPr>
          <w:rFonts w:ascii="Calibri" w:hAnsi="Calibri" w:cs="Calibri"/>
          <w:bCs/>
          <w:iCs/>
          <w:sz w:val="24"/>
          <w:szCs w:val="24"/>
        </w:rPr>
        <w:t>MZe</w:t>
      </w:r>
      <w:proofErr w:type="spellEnd"/>
      <w:r w:rsidR="00E912A7">
        <w:rPr>
          <w:rFonts w:ascii="Calibri" w:hAnsi="Calibri" w:cs="Calibri"/>
          <w:bCs/>
          <w:iCs/>
          <w:sz w:val="24"/>
          <w:szCs w:val="24"/>
        </w:rPr>
        <w:t xml:space="preserve"> nezajistily, aby je </w:t>
      </w:r>
      <w:r w:rsidRPr="00741C90">
        <w:rPr>
          <w:rFonts w:ascii="Calibri" w:hAnsi="Calibri" w:cs="Calibri"/>
          <w:bCs/>
          <w:iCs/>
          <w:sz w:val="24"/>
          <w:szCs w:val="24"/>
        </w:rPr>
        <w:t>obchodní společnost</w:t>
      </w:r>
      <w:r w:rsidR="00E912A7">
        <w:rPr>
          <w:rFonts w:ascii="Calibri" w:hAnsi="Calibri" w:cs="Calibri"/>
          <w:bCs/>
          <w:iCs/>
          <w:sz w:val="24"/>
          <w:szCs w:val="24"/>
        </w:rPr>
        <w:t>i</w:t>
      </w:r>
      <w:r w:rsidRPr="00741C90">
        <w:rPr>
          <w:rFonts w:ascii="Calibri" w:hAnsi="Calibri" w:cs="Calibri"/>
          <w:bCs/>
          <w:iCs/>
          <w:sz w:val="24"/>
          <w:szCs w:val="24"/>
        </w:rPr>
        <w:t xml:space="preserve"> v</w:t>
      </w:r>
      <w:r w:rsidR="00E912A7">
        <w:rPr>
          <w:rFonts w:ascii="Calibri" w:hAnsi="Calibri" w:cs="Calibri"/>
          <w:bCs/>
          <w:iCs/>
          <w:sz w:val="24"/>
          <w:szCs w:val="24"/>
        </w:rPr>
        <w:t xml:space="preserve"> jejich </w:t>
      </w:r>
      <w:r w:rsidRPr="00741C90">
        <w:rPr>
          <w:rFonts w:ascii="Calibri" w:hAnsi="Calibri" w:cs="Calibri"/>
          <w:bCs/>
          <w:iCs/>
          <w:sz w:val="24"/>
          <w:szCs w:val="24"/>
        </w:rPr>
        <w:t xml:space="preserve">gesci </w:t>
      </w:r>
      <w:r w:rsidR="00E912A7">
        <w:rPr>
          <w:rFonts w:ascii="Calibri" w:hAnsi="Calibri" w:cs="Calibri"/>
          <w:bCs/>
          <w:iCs/>
          <w:sz w:val="24"/>
          <w:szCs w:val="24"/>
        </w:rPr>
        <w:t>zveřejnily</w:t>
      </w:r>
      <w:r>
        <w:rPr>
          <w:rFonts w:ascii="Calibri" w:hAnsi="Calibri" w:cs="Calibri"/>
          <w:bCs/>
          <w:iCs/>
          <w:sz w:val="24"/>
          <w:szCs w:val="24"/>
        </w:rPr>
        <w:t xml:space="preserve">. V případě MF </w:t>
      </w:r>
      <w:r w:rsidR="00E912A7">
        <w:rPr>
          <w:rFonts w:ascii="Calibri" w:hAnsi="Calibri" w:cs="Calibri"/>
          <w:bCs/>
          <w:iCs/>
          <w:sz w:val="24"/>
          <w:szCs w:val="24"/>
        </w:rPr>
        <w:t>se jednalo o</w:t>
      </w:r>
      <w:r>
        <w:rPr>
          <w:rFonts w:ascii="Calibri" w:hAnsi="Calibri" w:cs="Calibri"/>
          <w:bCs/>
          <w:iCs/>
          <w:sz w:val="24"/>
          <w:szCs w:val="24"/>
        </w:rPr>
        <w:t xml:space="preserve"> osm </w:t>
      </w:r>
      <w:r w:rsidR="00866F17">
        <w:rPr>
          <w:rFonts w:ascii="Calibri" w:hAnsi="Calibri" w:cs="Calibri"/>
          <w:bCs/>
          <w:iCs/>
          <w:sz w:val="24"/>
          <w:szCs w:val="24"/>
        </w:rPr>
        <w:t xml:space="preserve">strategických </w:t>
      </w:r>
      <w:r>
        <w:rPr>
          <w:rFonts w:ascii="Calibri" w:hAnsi="Calibri" w:cs="Calibri"/>
          <w:bCs/>
          <w:iCs/>
          <w:sz w:val="24"/>
          <w:szCs w:val="24"/>
        </w:rPr>
        <w:t xml:space="preserve">obchodních společností, v případě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MZe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 o </w:t>
      </w:r>
      <w:r w:rsidR="00866F17">
        <w:rPr>
          <w:rFonts w:ascii="Calibri" w:hAnsi="Calibri" w:cs="Calibri"/>
          <w:bCs/>
          <w:iCs/>
          <w:sz w:val="24"/>
          <w:szCs w:val="24"/>
        </w:rPr>
        <w:t xml:space="preserve">dvě </w:t>
      </w:r>
      <w:r w:rsidR="000531FB">
        <w:rPr>
          <w:rFonts w:ascii="Calibri" w:hAnsi="Calibri" w:cs="Calibri"/>
          <w:bCs/>
          <w:iCs/>
          <w:sz w:val="24"/>
          <w:szCs w:val="24"/>
        </w:rPr>
        <w:t xml:space="preserve">strategické </w:t>
      </w:r>
      <w:r>
        <w:rPr>
          <w:rFonts w:ascii="Calibri" w:hAnsi="Calibri" w:cs="Calibri"/>
          <w:bCs/>
          <w:iCs/>
          <w:sz w:val="24"/>
          <w:szCs w:val="24"/>
        </w:rPr>
        <w:t>obchodní společnost</w:t>
      </w:r>
      <w:r w:rsidR="00866F17">
        <w:rPr>
          <w:rFonts w:ascii="Calibri" w:hAnsi="Calibri" w:cs="Calibri"/>
          <w:bCs/>
          <w:iCs/>
          <w:sz w:val="24"/>
          <w:szCs w:val="24"/>
        </w:rPr>
        <w:t>i.</w:t>
      </w:r>
      <w:r w:rsidR="008C38E6">
        <w:rPr>
          <w:rFonts w:ascii="Calibri" w:hAnsi="Calibri" w:cs="Calibri"/>
          <w:bCs/>
          <w:iCs/>
          <w:sz w:val="24"/>
          <w:szCs w:val="24"/>
        </w:rPr>
        <w:t xml:space="preserve"> MF a </w:t>
      </w:r>
      <w:proofErr w:type="spellStart"/>
      <w:r w:rsidR="008C38E6">
        <w:rPr>
          <w:rFonts w:ascii="Calibri" w:hAnsi="Calibri" w:cs="Calibri"/>
          <w:bCs/>
          <w:iCs/>
          <w:sz w:val="24"/>
          <w:szCs w:val="24"/>
        </w:rPr>
        <w:t>MZe</w:t>
      </w:r>
      <w:proofErr w:type="spellEnd"/>
      <w:r w:rsidR="008C38E6">
        <w:rPr>
          <w:rFonts w:ascii="Calibri" w:hAnsi="Calibri" w:cs="Calibri"/>
          <w:bCs/>
          <w:iCs/>
          <w:sz w:val="24"/>
          <w:szCs w:val="24"/>
        </w:rPr>
        <w:t xml:space="preserve"> tak snížily transparentnost výkonu vlastnických práv státu.</w:t>
      </w:r>
    </w:p>
    <w:p w14:paraId="38650A66" w14:textId="77777777" w:rsidR="00746FE6" w:rsidRDefault="00746FE6" w:rsidP="00BC2A72">
      <w:pPr>
        <w:spacing w:after="0" w:line="240" w:lineRule="auto"/>
        <w:ind w:left="567" w:hanging="567"/>
        <w:jc w:val="both"/>
        <w:rPr>
          <w:b/>
          <w:sz w:val="24"/>
          <w:szCs w:val="24"/>
          <w:lang w:eastAsia="cs-CZ"/>
        </w:rPr>
      </w:pPr>
    </w:p>
    <w:p w14:paraId="174CC0DA" w14:textId="77777777" w:rsidR="00DD09A2" w:rsidRPr="008B662F" w:rsidRDefault="007F68A4" w:rsidP="006D6FDA">
      <w:pPr>
        <w:spacing w:after="0" w:line="240" w:lineRule="auto"/>
        <w:ind w:left="425" w:hanging="425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>3.</w:t>
      </w:r>
      <w:r w:rsidR="005A1EFE">
        <w:rPr>
          <w:b/>
          <w:sz w:val="24"/>
          <w:szCs w:val="24"/>
          <w:lang w:eastAsia="cs-CZ"/>
        </w:rPr>
        <w:t>3</w:t>
      </w:r>
      <w:r>
        <w:rPr>
          <w:b/>
          <w:sz w:val="24"/>
          <w:szCs w:val="24"/>
          <w:lang w:eastAsia="cs-CZ"/>
        </w:rPr>
        <w:t xml:space="preserve"> </w:t>
      </w:r>
      <w:r w:rsidR="00075CFB">
        <w:rPr>
          <w:b/>
          <w:sz w:val="24"/>
          <w:szCs w:val="24"/>
          <w:lang w:eastAsia="cs-CZ"/>
        </w:rPr>
        <w:t>MPO nenastavilo jednotný reporting a informační povinnost vůči vlastníkovi obchodních společností</w:t>
      </w:r>
    </w:p>
    <w:p w14:paraId="768F1DD8" w14:textId="77777777" w:rsidR="006D0429" w:rsidRDefault="006D0429" w:rsidP="00BC2A72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</w:p>
    <w:p w14:paraId="6B78DF94" w14:textId="5BCE9618" w:rsidR="006D0429" w:rsidRDefault="007F68A4" w:rsidP="00677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6D0429">
        <w:rPr>
          <w:sz w:val="24"/>
          <w:szCs w:val="24"/>
        </w:rPr>
        <w:t xml:space="preserve">patření č. 7: </w:t>
      </w:r>
      <w:r w:rsidR="00B34014" w:rsidRPr="003968C0">
        <w:rPr>
          <w:sz w:val="24"/>
          <w:szCs w:val="24"/>
        </w:rPr>
        <w:t>N</w:t>
      </w:r>
      <w:r w:rsidRPr="003968C0">
        <w:rPr>
          <w:sz w:val="24"/>
          <w:szCs w:val="24"/>
        </w:rPr>
        <w:t>astavit jednotný reporting všech strategických společností s majetkovou účastí státu a strategických státních podniků za účelem vyhodnocování jejich výkonnosti</w:t>
      </w:r>
      <w:r w:rsidR="008608F2">
        <w:rPr>
          <w:sz w:val="24"/>
          <w:szCs w:val="24"/>
        </w:rPr>
        <w:t>.</w:t>
      </w:r>
    </w:p>
    <w:p w14:paraId="17261133" w14:textId="6E297E9D" w:rsidR="006D0429" w:rsidRPr="003968C0" w:rsidRDefault="007F68A4" w:rsidP="006D0429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668F1">
        <w:rPr>
          <w:sz w:val="24"/>
          <w:szCs w:val="24"/>
        </w:rPr>
        <w:t xml:space="preserve">Opatření č. 17: </w:t>
      </w:r>
      <w:r w:rsidR="00B34014" w:rsidRPr="003968C0">
        <w:rPr>
          <w:sz w:val="24"/>
          <w:szCs w:val="24"/>
        </w:rPr>
        <w:t>Z</w:t>
      </w:r>
      <w:r w:rsidRPr="003968C0">
        <w:rPr>
          <w:sz w:val="24"/>
          <w:szCs w:val="24"/>
        </w:rPr>
        <w:t>avést informační povinnost (např. formou pravidelných informačních přehledů a výkazů) vůči vlastníkovi</w:t>
      </w:r>
      <w:r w:rsidR="008608F2">
        <w:rPr>
          <w:sz w:val="24"/>
          <w:szCs w:val="24"/>
        </w:rPr>
        <w:t>.</w:t>
      </w:r>
    </w:p>
    <w:p w14:paraId="2A6EA2AD" w14:textId="77777777" w:rsidR="006D0429" w:rsidRPr="009668F1" w:rsidRDefault="006D0429" w:rsidP="00BC2A72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</w:p>
    <w:p w14:paraId="716395D2" w14:textId="6A042308" w:rsidR="00857819" w:rsidRDefault="007F68A4" w:rsidP="00BC2A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bCs/>
          <w:sz w:val="24"/>
          <w:szCs w:val="24"/>
          <w:lang w:eastAsia="cs-CZ"/>
        </w:rPr>
        <w:t xml:space="preserve">NKÚ zjistil, že MPO </w:t>
      </w:r>
      <w:r w:rsidR="00075CFB">
        <w:rPr>
          <w:bCs/>
          <w:sz w:val="24"/>
          <w:szCs w:val="24"/>
          <w:lang w:eastAsia="cs-CZ"/>
        </w:rPr>
        <w:t>nenastavilo jednotný</w:t>
      </w:r>
      <w:r>
        <w:rPr>
          <w:bCs/>
          <w:sz w:val="24"/>
          <w:szCs w:val="24"/>
          <w:lang w:eastAsia="cs-CZ"/>
        </w:rPr>
        <w:t xml:space="preserve"> reporting ani informační povinnost obchodním společnostem ve své gesci</w:t>
      </w:r>
      <w:r w:rsidR="00623AD1">
        <w:rPr>
          <w:bCs/>
          <w:sz w:val="24"/>
          <w:szCs w:val="24"/>
          <w:lang w:eastAsia="cs-CZ"/>
        </w:rPr>
        <w:t>.</w:t>
      </w:r>
      <w:r>
        <w:rPr>
          <w:bCs/>
          <w:sz w:val="24"/>
          <w:szCs w:val="24"/>
          <w:lang w:eastAsia="cs-CZ"/>
        </w:rPr>
        <w:t xml:space="preserve"> </w:t>
      </w:r>
      <w:r w:rsidR="00623AD1">
        <w:rPr>
          <w:bCs/>
          <w:sz w:val="24"/>
          <w:szCs w:val="24"/>
          <w:lang w:eastAsia="cs-CZ"/>
        </w:rPr>
        <w:t xml:space="preserve">NKÚ </w:t>
      </w:r>
      <w:r>
        <w:rPr>
          <w:bCs/>
          <w:sz w:val="24"/>
          <w:szCs w:val="24"/>
          <w:lang w:eastAsia="cs-CZ"/>
        </w:rPr>
        <w:t xml:space="preserve">dále zjistil, že </w:t>
      </w:r>
      <w:r>
        <w:rPr>
          <w:rFonts w:ascii="Calibri" w:hAnsi="Calibri" w:cs="Calibri"/>
          <w:sz w:val="24"/>
          <w:szCs w:val="24"/>
        </w:rPr>
        <w:t xml:space="preserve">u </w:t>
      </w:r>
      <w:r w:rsidR="00623AD1">
        <w:rPr>
          <w:rFonts w:ascii="Calibri" w:hAnsi="Calibri" w:cs="Calibri"/>
          <w:sz w:val="24"/>
          <w:szCs w:val="24"/>
        </w:rPr>
        <w:t xml:space="preserve">tří z pěti </w:t>
      </w:r>
      <w:r>
        <w:rPr>
          <w:rFonts w:ascii="Calibri" w:hAnsi="Calibri" w:cs="Calibri"/>
          <w:sz w:val="24"/>
          <w:szCs w:val="24"/>
        </w:rPr>
        <w:t>obchodních společností</w:t>
      </w:r>
      <w:r w:rsidR="00623AD1">
        <w:rPr>
          <w:rFonts w:ascii="Calibri" w:hAnsi="Calibri" w:cs="Calibri"/>
          <w:sz w:val="24"/>
          <w:szCs w:val="24"/>
        </w:rPr>
        <w:t xml:space="preserve"> ve své gesci, a to u obchodní společnosti</w:t>
      </w:r>
      <w:r>
        <w:rPr>
          <w:rFonts w:ascii="Calibri" w:hAnsi="Calibri" w:cs="Calibri"/>
          <w:sz w:val="24"/>
          <w:szCs w:val="24"/>
        </w:rPr>
        <w:t xml:space="preserve"> </w:t>
      </w:r>
      <w:r w:rsidR="00D12FAB">
        <w:rPr>
          <w:rFonts w:ascii="Calibri" w:hAnsi="Calibri" w:cs="Calibri"/>
          <w:sz w:val="24"/>
          <w:szCs w:val="24"/>
        </w:rPr>
        <w:t xml:space="preserve">ČEPS, </w:t>
      </w:r>
      <w:r w:rsidR="00594FD6">
        <w:rPr>
          <w:rFonts w:ascii="Calibri" w:hAnsi="Calibri" w:cs="Calibri"/>
          <w:sz w:val="24"/>
          <w:szCs w:val="24"/>
        </w:rPr>
        <w:t>a.s.</w:t>
      </w:r>
      <w:r w:rsidR="00D12FAB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OTE, </w:t>
      </w:r>
      <w:r w:rsidR="00594FD6">
        <w:rPr>
          <w:rFonts w:ascii="Calibri" w:hAnsi="Calibri" w:cs="Calibri"/>
          <w:sz w:val="24"/>
          <w:szCs w:val="24"/>
        </w:rPr>
        <w:t>a.s.</w:t>
      </w:r>
      <w:r w:rsidR="004644E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</w:t>
      </w:r>
      <w:r w:rsidR="003B24BF">
        <w:rPr>
          <w:rFonts w:ascii="Calibri" w:hAnsi="Calibri" w:cs="Calibri"/>
          <w:sz w:val="24"/>
          <w:szCs w:val="24"/>
        </w:rPr>
        <w:t> </w:t>
      </w:r>
      <w:proofErr w:type="spellStart"/>
      <w:r>
        <w:rPr>
          <w:rFonts w:ascii="Calibri" w:hAnsi="Calibri" w:cs="Calibri"/>
          <w:sz w:val="24"/>
          <w:szCs w:val="24"/>
        </w:rPr>
        <w:t>Explosia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594FD6">
        <w:rPr>
          <w:rFonts w:ascii="Calibri" w:hAnsi="Calibri" w:cs="Calibri"/>
          <w:sz w:val="24"/>
          <w:szCs w:val="24"/>
        </w:rPr>
        <w:t>a.s.</w:t>
      </w:r>
      <w:r w:rsidR="00623AD1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MPO nezahrnulo informační povinnost orgánů obchodních společností vůči akcionáři (státu)</w:t>
      </w:r>
      <w:r w:rsidR="008F29D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 stanov obchodních společností.</w:t>
      </w:r>
      <w:r w:rsidR="00B37E7C" w:rsidRPr="00B37E7C">
        <w:rPr>
          <w:rFonts w:ascii="Calibri" w:hAnsi="Calibri" w:cs="Calibri"/>
          <w:sz w:val="24"/>
          <w:szCs w:val="24"/>
        </w:rPr>
        <w:t xml:space="preserve"> </w:t>
      </w:r>
      <w:r w:rsidRPr="00857819">
        <w:rPr>
          <w:rFonts w:ascii="Calibri" w:hAnsi="Calibri" w:cs="Calibri"/>
          <w:sz w:val="24"/>
          <w:szCs w:val="24"/>
        </w:rPr>
        <w:t xml:space="preserve">MPO </w:t>
      </w:r>
      <w:r w:rsidRPr="00857819">
        <w:rPr>
          <w:bCs/>
          <w:sz w:val="24"/>
          <w:szCs w:val="24"/>
          <w:lang w:eastAsia="cs-CZ"/>
        </w:rPr>
        <w:t>informace o hospodaření a činnosti obchodních společností ve své gesci čerpalo především z výročních zpráv obchodních společností</w:t>
      </w:r>
      <w:r w:rsidRPr="00857819">
        <w:rPr>
          <w:rFonts w:ascii="Calibri" w:hAnsi="Calibri" w:cs="Calibri"/>
          <w:sz w:val="24"/>
          <w:szCs w:val="24"/>
        </w:rPr>
        <w:t xml:space="preserve"> a spoléhalo se na kontrolu a</w:t>
      </w:r>
      <w:r w:rsidR="006D6FDA">
        <w:rPr>
          <w:rFonts w:ascii="Calibri" w:hAnsi="Calibri" w:cs="Calibri"/>
          <w:sz w:val="24"/>
          <w:szCs w:val="24"/>
        </w:rPr>
        <w:t> </w:t>
      </w:r>
      <w:r w:rsidRPr="00857819">
        <w:rPr>
          <w:rFonts w:ascii="Calibri" w:hAnsi="Calibri" w:cs="Calibri"/>
          <w:sz w:val="24"/>
          <w:szCs w:val="24"/>
        </w:rPr>
        <w:t>informace zástupců MPO v dozorčích radách.</w:t>
      </w:r>
      <w:r w:rsidR="008C38E6">
        <w:rPr>
          <w:rFonts w:ascii="Calibri" w:hAnsi="Calibri" w:cs="Calibri"/>
          <w:sz w:val="24"/>
          <w:szCs w:val="24"/>
        </w:rPr>
        <w:t xml:space="preserve"> </w:t>
      </w:r>
    </w:p>
    <w:p w14:paraId="1477845D" w14:textId="77777777" w:rsidR="005744B6" w:rsidRPr="00857819" w:rsidRDefault="005744B6" w:rsidP="00BC2A72">
      <w:pPr>
        <w:spacing w:after="0" w:line="240" w:lineRule="auto"/>
        <w:jc w:val="both"/>
        <w:rPr>
          <w:b/>
          <w:sz w:val="24"/>
          <w:szCs w:val="24"/>
          <w:lang w:eastAsia="cs-CZ"/>
        </w:rPr>
      </w:pPr>
    </w:p>
    <w:p w14:paraId="481DACFD" w14:textId="15D03EFF" w:rsidR="00AF331D" w:rsidRDefault="007F68A4" w:rsidP="00BC2A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bCs/>
          <w:sz w:val="24"/>
          <w:szCs w:val="24"/>
          <w:lang w:eastAsia="cs-CZ"/>
        </w:rPr>
        <w:lastRenderedPageBreak/>
        <w:t xml:space="preserve">NKÚ dále zjistil, že </w:t>
      </w:r>
      <w:r w:rsidR="00623AD1">
        <w:rPr>
          <w:bCs/>
          <w:sz w:val="24"/>
          <w:szCs w:val="24"/>
          <w:lang w:eastAsia="cs-CZ"/>
        </w:rPr>
        <w:t xml:space="preserve">MPO zajišťovalo plnění informační povinnosti uzavíráním </w:t>
      </w:r>
      <w:r w:rsidR="004644E0">
        <w:rPr>
          <w:rFonts w:ascii="Calibri" w:hAnsi="Calibri" w:cs="Calibri"/>
          <w:i/>
          <w:iCs/>
          <w:sz w:val="24"/>
          <w:szCs w:val="24"/>
        </w:rPr>
        <w:t>d</w:t>
      </w:r>
      <w:r w:rsidR="005744B6" w:rsidRPr="00AF331D">
        <w:rPr>
          <w:rFonts w:ascii="Calibri" w:hAnsi="Calibri" w:cs="Calibri"/>
          <w:i/>
          <w:iCs/>
          <w:sz w:val="24"/>
          <w:szCs w:val="24"/>
        </w:rPr>
        <w:t>ohod</w:t>
      </w:r>
      <w:r w:rsidR="005744B6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5744B6" w:rsidRPr="00AF331D">
        <w:rPr>
          <w:rFonts w:ascii="Calibri" w:hAnsi="Calibri" w:cs="Calibri"/>
          <w:i/>
          <w:iCs/>
          <w:sz w:val="24"/>
          <w:szCs w:val="24"/>
        </w:rPr>
        <w:t>o plnění úkolů a informační povinnosti člena kontrolního orgánu</w:t>
      </w:r>
      <w:r w:rsidR="005744B6">
        <w:rPr>
          <w:rFonts w:ascii="Calibri" w:hAnsi="Calibri" w:cs="Calibri"/>
          <w:i/>
          <w:iCs/>
          <w:sz w:val="24"/>
          <w:szCs w:val="24"/>
        </w:rPr>
        <w:t>.</w:t>
      </w:r>
      <w:r w:rsidR="005744B6">
        <w:rPr>
          <w:bCs/>
          <w:sz w:val="24"/>
          <w:szCs w:val="24"/>
          <w:lang w:eastAsia="cs-CZ"/>
        </w:rPr>
        <w:t xml:space="preserve"> </w:t>
      </w:r>
      <w:r w:rsidR="00623AD1">
        <w:rPr>
          <w:bCs/>
          <w:sz w:val="24"/>
          <w:szCs w:val="24"/>
          <w:lang w:eastAsia="cs-CZ"/>
        </w:rPr>
        <w:t>D</w:t>
      </w:r>
      <w:r w:rsidR="005744B6">
        <w:rPr>
          <w:bCs/>
          <w:sz w:val="24"/>
          <w:szCs w:val="24"/>
          <w:lang w:eastAsia="cs-CZ"/>
        </w:rPr>
        <w:t xml:space="preserve">ohodu mělo </w:t>
      </w:r>
      <w:r>
        <w:rPr>
          <w:bCs/>
          <w:sz w:val="24"/>
          <w:szCs w:val="24"/>
          <w:lang w:eastAsia="cs-CZ"/>
        </w:rPr>
        <w:t>MPO na základě opatření ministra povinnost uzavřít se zástupc</w:t>
      </w:r>
      <w:r w:rsidR="005618A9">
        <w:rPr>
          <w:bCs/>
          <w:sz w:val="24"/>
          <w:szCs w:val="24"/>
          <w:lang w:eastAsia="cs-CZ"/>
        </w:rPr>
        <w:t>i</w:t>
      </w:r>
      <w:r>
        <w:rPr>
          <w:bCs/>
          <w:sz w:val="24"/>
          <w:szCs w:val="24"/>
          <w:lang w:eastAsia="cs-CZ"/>
        </w:rPr>
        <w:t xml:space="preserve"> státu, kte</w:t>
      </w:r>
      <w:r w:rsidR="005618A9">
        <w:rPr>
          <w:bCs/>
          <w:sz w:val="24"/>
          <w:szCs w:val="24"/>
          <w:lang w:eastAsia="cs-CZ"/>
        </w:rPr>
        <w:t>ří</w:t>
      </w:r>
      <w:r>
        <w:rPr>
          <w:bCs/>
          <w:sz w:val="24"/>
          <w:szCs w:val="24"/>
          <w:lang w:eastAsia="cs-CZ"/>
        </w:rPr>
        <w:t xml:space="preserve"> vykonáv</w:t>
      </w:r>
      <w:r w:rsidR="00B37E7C">
        <w:rPr>
          <w:bCs/>
          <w:sz w:val="24"/>
          <w:szCs w:val="24"/>
          <w:lang w:eastAsia="cs-CZ"/>
        </w:rPr>
        <w:t>al</w:t>
      </w:r>
      <w:r w:rsidR="005618A9">
        <w:rPr>
          <w:bCs/>
          <w:sz w:val="24"/>
          <w:szCs w:val="24"/>
          <w:lang w:eastAsia="cs-CZ"/>
        </w:rPr>
        <w:t>i</w:t>
      </w:r>
      <w:r>
        <w:rPr>
          <w:bCs/>
          <w:sz w:val="24"/>
          <w:szCs w:val="24"/>
          <w:lang w:eastAsia="cs-CZ"/>
        </w:rPr>
        <w:t xml:space="preserve"> funkci člena dozorčí rady</w:t>
      </w:r>
      <w:r>
        <w:rPr>
          <w:rFonts w:ascii="Calibri" w:hAnsi="Calibri" w:cs="Calibri"/>
          <w:sz w:val="24"/>
          <w:szCs w:val="24"/>
        </w:rPr>
        <w:t xml:space="preserve">. Na jejím základě </w:t>
      </w:r>
      <w:r w:rsidR="00587822">
        <w:rPr>
          <w:rFonts w:ascii="Calibri" w:hAnsi="Calibri" w:cs="Calibri"/>
          <w:sz w:val="24"/>
          <w:szCs w:val="24"/>
        </w:rPr>
        <w:t>mohlo MPO zadávat tomu</w:t>
      </w:r>
      <w:r w:rsidR="009768C8">
        <w:rPr>
          <w:rFonts w:ascii="Calibri" w:hAnsi="Calibri" w:cs="Calibri"/>
          <w:sz w:val="24"/>
          <w:szCs w:val="24"/>
        </w:rPr>
        <w:t>to</w:t>
      </w:r>
      <w:r w:rsidR="00587822">
        <w:rPr>
          <w:rFonts w:ascii="Calibri" w:hAnsi="Calibri" w:cs="Calibri"/>
          <w:sz w:val="24"/>
          <w:szCs w:val="24"/>
        </w:rPr>
        <w:t xml:space="preserve"> zástupci úkoly a požadovat informace zjištěné v rámci jejich plnění</w:t>
      </w:r>
      <w:r w:rsidRPr="00C120EE">
        <w:rPr>
          <w:rFonts w:ascii="Calibri" w:hAnsi="Calibri" w:cs="Calibri"/>
          <w:sz w:val="24"/>
          <w:szCs w:val="24"/>
        </w:rPr>
        <w:t xml:space="preserve">. NKÚ zjistil, že </w:t>
      </w:r>
      <w:r w:rsidR="005618A9">
        <w:rPr>
          <w:rFonts w:ascii="Calibri" w:hAnsi="Calibri" w:cs="Calibri"/>
          <w:sz w:val="24"/>
          <w:szCs w:val="24"/>
        </w:rPr>
        <w:t xml:space="preserve">MPO tuto dohodu neuzavřelo </w:t>
      </w:r>
      <w:r w:rsidR="00B37E7C" w:rsidRPr="00C120EE">
        <w:rPr>
          <w:rFonts w:ascii="Calibri" w:hAnsi="Calibri" w:cs="Calibri"/>
          <w:sz w:val="24"/>
          <w:szCs w:val="24"/>
        </w:rPr>
        <w:t>s</w:t>
      </w:r>
      <w:r w:rsidR="00C120EE" w:rsidRPr="00C120EE">
        <w:rPr>
          <w:rFonts w:ascii="Calibri" w:hAnsi="Calibri" w:cs="Calibri"/>
          <w:sz w:val="24"/>
          <w:szCs w:val="24"/>
        </w:rPr>
        <w:t xml:space="preserve"> osmi </w:t>
      </w:r>
      <w:r w:rsidR="00B37E7C" w:rsidRPr="00C120EE">
        <w:rPr>
          <w:rFonts w:ascii="Calibri" w:hAnsi="Calibri" w:cs="Calibri"/>
          <w:sz w:val="24"/>
          <w:szCs w:val="24"/>
        </w:rPr>
        <w:t>zástupci státu</w:t>
      </w:r>
      <w:r w:rsidR="00C120EE" w:rsidRPr="00C120EE">
        <w:rPr>
          <w:rFonts w:ascii="Calibri" w:hAnsi="Calibri" w:cs="Calibri"/>
          <w:sz w:val="24"/>
          <w:szCs w:val="24"/>
        </w:rPr>
        <w:t xml:space="preserve"> z</w:t>
      </w:r>
      <w:r w:rsidR="005618A9">
        <w:rPr>
          <w:rFonts w:ascii="Calibri" w:hAnsi="Calibri" w:cs="Calibri"/>
          <w:sz w:val="24"/>
          <w:szCs w:val="24"/>
        </w:rPr>
        <w:t xml:space="preserve"> celkových</w:t>
      </w:r>
      <w:r w:rsidR="00C120EE" w:rsidRPr="00C120EE">
        <w:rPr>
          <w:rFonts w:ascii="Calibri" w:hAnsi="Calibri" w:cs="Calibri"/>
          <w:sz w:val="24"/>
          <w:szCs w:val="24"/>
        </w:rPr>
        <w:t xml:space="preserve"> 14</w:t>
      </w:r>
      <w:r w:rsidR="00B37E7C" w:rsidRPr="00C120EE">
        <w:rPr>
          <w:rFonts w:ascii="Calibri" w:hAnsi="Calibri" w:cs="Calibri"/>
          <w:sz w:val="24"/>
          <w:szCs w:val="24"/>
        </w:rPr>
        <w:t>, kteří od roku 2020 vykonával</w:t>
      </w:r>
      <w:r w:rsidR="005744B6">
        <w:rPr>
          <w:rFonts w:ascii="Calibri" w:hAnsi="Calibri" w:cs="Calibri"/>
          <w:sz w:val="24"/>
          <w:szCs w:val="24"/>
        </w:rPr>
        <w:t>i</w:t>
      </w:r>
      <w:r w:rsidR="00B37E7C" w:rsidRPr="00C120EE">
        <w:rPr>
          <w:rFonts w:ascii="Calibri" w:hAnsi="Calibri" w:cs="Calibri"/>
          <w:sz w:val="24"/>
          <w:szCs w:val="24"/>
        </w:rPr>
        <w:t xml:space="preserve"> funkci v dozorčích radách obchodních společností.</w:t>
      </w:r>
      <w:r w:rsidR="00B37E7C">
        <w:rPr>
          <w:rFonts w:ascii="Calibri" w:hAnsi="Calibri" w:cs="Calibri"/>
          <w:sz w:val="24"/>
          <w:szCs w:val="24"/>
        </w:rPr>
        <w:t xml:space="preserve"> </w:t>
      </w:r>
    </w:p>
    <w:p w14:paraId="0BAD69FE" w14:textId="77777777" w:rsidR="00FB71B6" w:rsidRDefault="00FB71B6" w:rsidP="00BC2A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84289A9" w14:textId="0E9E5A61" w:rsidR="00FB71B6" w:rsidRPr="003968C0" w:rsidRDefault="00FB71B6" w:rsidP="00BC2A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MPO tak v důsledku výše uvedených skutečností nezajistilo pravidelné předkládání informací potřebných pro efektivní výkon vlastnických práv státu.</w:t>
      </w:r>
    </w:p>
    <w:p w14:paraId="07D733A0" w14:textId="77777777" w:rsidR="00FB71B6" w:rsidRDefault="00FB71B6" w:rsidP="00BC2A72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</w:p>
    <w:p w14:paraId="637DBBC5" w14:textId="4E2891F2" w:rsidR="005A1EFE" w:rsidRPr="0055790C" w:rsidRDefault="007F68A4" w:rsidP="006D6FDA">
      <w:pPr>
        <w:pStyle w:val="Textpoznpodarou"/>
        <w:ind w:left="425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3.4 </w:t>
      </w:r>
      <w:r w:rsidRPr="00322617">
        <w:rPr>
          <w:rFonts w:ascii="Calibri" w:hAnsi="Calibri" w:cs="Calibri"/>
          <w:b/>
          <w:bCs/>
          <w:sz w:val="24"/>
          <w:szCs w:val="24"/>
        </w:rPr>
        <w:t xml:space="preserve">MF, MPO 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Pr="0032261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322617">
        <w:rPr>
          <w:rFonts w:ascii="Calibri" w:hAnsi="Calibri" w:cs="Calibri"/>
          <w:b/>
          <w:bCs/>
          <w:sz w:val="24"/>
          <w:szCs w:val="24"/>
        </w:rPr>
        <w:t>MZe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nenastavily</w:t>
      </w:r>
      <w:r w:rsidRPr="00322617">
        <w:rPr>
          <w:rFonts w:ascii="Calibri" w:hAnsi="Calibri" w:cs="Calibri"/>
          <w:b/>
          <w:bCs/>
          <w:sz w:val="24"/>
          <w:szCs w:val="24"/>
        </w:rPr>
        <w:t xml:space="preserve"> kvalifikační požadavky</w:t>
      </w:r>
      <w:r w:rsidRPr="008055CE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n</w:t>
      </w:r>
      <w:r w:rsidRPr="00322617">
        <w:rPr>
          <w:rFonts w:ascii="Calibri" w:hAnsi="Calibri" w:cs="Calibri"/>
          <w:b/>
          <w:bCs/>
          <w:sz w:val="24"/>
          <w:szCs w:val="24"/>
        </w:rPr>
        <w:t>a pozice členů dozorčích rad obchodních společností</w:t>
      </w:r>
    </w:p>
    <w:p w14:paraId="699962B5" w14:textId="77777777" w:rsidR="005A1EFE" w:rsidRDefault="005A1EFE" w:rsidP="005A1E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6CBA68" w14:textId="7420832E" w:rsidR="005A1EFE" w:rsidRPr="003968C0" w:rsidRDefault="007F68A4" w:rsidP="005A1EFE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4"/>
          <w:szCs w:val="24"/>
        </w:rPr>
      </w:pPr>
      <w:r w:rsidRPr="006D0429">
        <w:rPr>
          <w:sz w:val="24"/>
          <w:szCs w:val="24"/>
        </w:rPr>
        <w:t xml:space="preserve">Opatření č. 8: </w:t>
      </w:r>
      <w:r w:rsidR="00B34014" w:rsidRPr="00AD0ADC">
        <w:rPr>
          <w:sz w:val="24"/>
          <w:szCs w:val="24"/>
        </w:rPr>
        <w:t>V</w:t>
      </w:r>
      <w:r w:rsidRPr="00AD0ADC">
        <w:rPr>
          <w:sz w:val="24"/>
          <w:szCs w:val="24"/>
        </w:rPr>
        <w:t xml:space="preserve">ytvořit profily na pozice jednotlivých členů orgánů, včetně jejich kvalifikačních požadavků (ve spolupráci se společnostmi, resp. </w:t>
      </w:r>
      <w:r w:rsidR="009668F1" w:rsidRPr="00AD0ADC">
        <w:rPr>
          <w:sz w:val="24"/>
          <w:szCs w:val="24"/>
        </w:rPr>
        <w:t>dozorčími radami</w:t>
      </w:r>
      <w:r w:rsidRPr="00AD0ADC">
        <w:rPr>
          <w:sz w:val="24"/>
          <w:szCs w:val="24"/>
        </w:rPr>
        <w:t xml:space="preserve"> a příslušnými výbory spol.)</w:t>
      </w:r>
      <w:r w:rsidR="00002E1B">
        <w:rPr>
          <w:sz w:val="24"/>
          <w:szCs w:val="24"/>
        </w:rPr>
        <w:t>.</w:t>
      </w:r>
    </w:p>
    <w:p w14:paraId="3237FCE7" w14:textId="77777777" w:rsidR="005A1EFE" w:rsidRDefault="005A1EFE" w:rsidP="005A1EF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EDEA95" w14:textId="77777777" w:rsidR="00B34014" w:rsidRDefault="007F68A4" w:rsidP="00BC2A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D7040">
        <w:rPr>
          <w:rFonts w:ascii="Calibri" w:hAnsi="Calibri" w:cs="Calibri"/>
          <w:sz w:val="24"/>
          <w:szCs w:val="24"/>
        </w:rPr>
        <w:t xml:space="preserve">NKÚ zjistil, že na pozice členů dozorčích rad obchodních společností MF, MPO a </w:t>
      </w:r>
      <w:proofErr w:type="spellStart"/>
      <w:r w:rsidRPr="002D7040">
        <w:rPr>
          <w:rFonts w:ascii="Calibri" w:hAnsi="Calibri" w:cs="Calibri"/>
          <w:sz w:val="24"/>
          <w:szCs w:val="24"/>
        </w:rPr>
        <w:t>MZe</w:t>
      </w:r>
      <w:proofErr w:type="spellEnd"/>
      <w:r w:rsidRPr="002D7040">
        <w:rPr>
          <w:rFonts w:ascii="Calibri" w:hAnsi="Calibri" w:cs="Calibri"/>
          <w:sz w:val="24"/>
          <w:szCs w:val="24"/>
        </w:rPr>
        <w:t xml:space="preserve"> profily s kvalifikačními požadavky nevytvořily. </w:t>
      </w:r>
    </w:p>
    <w:p w14:paraId="4A4D269A" w14:textId="77777777" w:rsidR="00B34014" w:rsidRDefault="00B34014" w:rsidP="00BC2A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CCEBEEF" w14:textId="77777777" w:rsidR="00B34014" w:rsidRDefault="007F68A4" w:rsidP="00BC2A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 </w:t>
      </w:r>
      <w:r w:rsidR="00B20E2E">
        <w:rPr>
          <w:rFonts w:ascii="Calibri" w:hAnsi="Calibri" w:cs="Calibri"/>
          <w:sz w:val="24"/>
          <w:szCs w:val="24"/>
        </w:rPr>
        <w:t xml:space="preserve">vyhodnocení </w:t>
      </w:r>
      <w:r>
        <w:rPr>
          <w:rFonts w:ascii="Calibri" w:hAnsi="Calibri" w:cs="Calibri"/>
          <w:sz w:val="24"/>
          <w:szCs w:val="24"/>
        </w:rPr>
        <w:t xml:space="preserve">tohoto opatření </w:t>
      </w:r>
      <w:r w:rsidR="00B20E2E">
        <w:rPr>
          <w:rFonts w:ascii="Calibri" w:hAnsi="Calibri" w:cs="Calibri"/>
          <w:sz w:val="24"/>
          <w:szCs w:val="24"/>
        </w:rPr>
        <w:t>MF nastavilo požadavky na prevenci střetu zájmů při obsazování představenstev a dozorčích rad obchodních společností, které tuto skutečnost měly pravidelně vyhodnocovat. Nemělo docháze</w:t>
      </w:r>
      <w:r>
        <w:rPr>
          <w:rFonts w:ascii="Calibri" w:hAnsi="Calibri" w:cs="Calibri"/>
          <w:sz w:val="24"/>
          <w:szCs w:val="24"/>
        </w:rPr>
        <w:t>t</w:t>
      </w:r>
      <w:r w:rsidR="00B20E2E">
        <w:rPr>
          <w:rFonts w:ascii="Calibri" w:hAnsi="Calibri" w:cs="Calibri"/>
          <w:sz w:val="24"/>
          <w:szCs w:val="24"/>
        </w:rPr>
        <w:t xml:space="preserve"> ke kumulaci funkcí.</w:t>
      </w:r>
    </w:p>
    <w:p w14:paraId="727F9A42" w14:textId="77777777" w:rsidR="00162870" w:rsidRDefault="00162870" w:rsidP="00BC2A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8387430" w14:textId="537DB40E" w:rsidR="00FB71B6" w:rsidRDefault="007F68A4" w:rsidP="008526A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NKÚ zjistil, že </w:t>
      </w:r>
      <w:r w:rsidRPr="00B34014">
        <w:rPr>
          <w:rFonts w:ascii="Calibri" w:hAnsi="Calibri" w:cs="Calibri"/>
          <w:sz w:val="24"/>
          <w:szCs w:val="24"/>
        </w:rPr>
        <w:t>MF a MPO nominoval</w:t>
      </w:r>
      <w:r>
        <w:rPr>
          <w:rFonts w:ascii="Calibri" w:hAnsi="Calibri" w:cs="Calibri"/>
          <w:sz w:val="24"/>
          <w:szCs w:val="24"/>
        </w:rPr>
        <w:t>y</w:t>
      </w:r>
      <w:r w:rsidRPr="00B34014">
        <w:rPr>
          <w:rFonts w:ascii="Calibri" w:hAnsi="Calibri" w:cs="Calibri"/>
          <w:sz w:val="24"/>
          <w:szCs w:val="24"/>
        </w:rPr>
        <w:t xml:space="preserve"> a následně schválil</w:t>
      </w:r>
      <w:r>
        <w:rPr>
          <w:rFonts w:ascii="Calibri" w:hAnsi="Calibri" w:cs="Calibri"/>
          <w:sz w:val="24"/>
          <w:szCs w:val="24"/>
        </w:rPr>
        <w:t>y</w:t>
      </w:r>
      <w:r w:rsidRPr="00B3401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 letech 2022 a 2023 </w:t>
      </w:r>
      <w:r w:rsidRPr="00B34014">
        <w:rPr>
          <w:rFonts w:ascii="Calibri" w:hAnsi="Calibri" w:cs="Calibri"/>
          <w:sz w:val="24"/>
          <w:szCs w:val="24"/>
        </w:rPr>
        <w:t xml:space="preserve">do funkce člena dozorčí rady obchodních společností ČEZ, </w:t>
      </w:r>
      <w:r w:rsidR="00594FD6">
        <w:rPr>
          <w:rFonts w:ascii="Calibri" w:hAnsi="Calibri" w:cs="Calibri"/>
          <w:sz w:val="24"/>
          <w:szCs w:val="24"/>
        </w:rPr>
        <w:t>a.</w:t>
      </w:r>
      <w:r w:rsidR="008872CC">
        <w:rPr>
          <w:rFonts w:ascii="Calibri" w:hAnsi="Calibri" w:cs="Calibri"/>
          <w:sz w:val="24"/>
          <w:szCs w:val="24"/>
        </w:rPr>
        <w:t xml:space="preserve"> </w:t>
      </w:r>
      <w:r w:rsidR="00594FD6">
        <w:rPr>
          <w:rFonts w:ascii="Calibri" w:hAnsi="Calibri" w:cs="Calibri"/>
          <w:sz w:val="24"/>
          <w:szCs w:val="24"/>
        </w:rPr>
        <w:t>s.</w:t>
      </w:r>
      <w:r w:rsidR="003B24BF">
        <w:rPr>
          <w:rFonts w:ascii="Calibri" w:hAnsi="Calibri" w:cs="Calibri"/>
          <w:sz w:val="24"/>
          <w:szCs w:val="24"/>
        </w:rPr>
        <w:t>,</w:t>
      </w:r>
      <w:r w:rsidRPr="00B34014">
        <w:rPr>
          <w:rFonts w:ascii="Calibri" w:hAnsi="Calibri" w:cs="Calibri"/>
          <w:sz w:val="24"/>
          <w:szCs w:val="24"/>
        </w:rPr>
        <w:t xml:space="preserve"> VZLU AEROSPACE, </w:t>
      </w:r>
      <w:r w:rsidR="00594FD6">
        <w:rPr>
          <w:rFonts w:ascii="Calibri" w:hAnsi="Calibri" w:cs="Calibri"/>
          <w:sz w:val="24"/>
          <w:szCs w:val="24"/>
        </w:rPr>
        <w:t>a.s.</w:t>
      </w:r>
      <w:r w:rsidR="00FA6B54">
        <w:rPr>
          <w:rStyle w:val="Znakapoznpodarou"/>
          <w:rFonts w:ascii="Calibri" w:hAnsi="Calibri" w:cs="Calibri"/>
          <w:sz w:val="24"/>
          <w:szCs w:val="24"/>
        </w:rPr>
        <w:footnoteReference w:id="23"/>
      </w:r>
      <w:r w:rsidR="004644E0">
        <w:rPr>
          <w:rFonts w:ascii="Calibri" w:hAnsi="Calibri" w:cs="Calibri"/>
          <w:sz w:val="24"/>
          <w:szCs w:val="24"/>
        </w:rPr>
        <w:t>,</w:t>
      </w:r>
      <w:r w:rsidR="003B24BF">
        <w:rPr>
          <w:rFonts w:ascii="Calibri" w:hAnsi="Calibri" w:cs="Calibri"/>
          <w:sz w:val="24"/>
          <w:szCs w:val="24"/>
        </w:rPr>
        <w:t xml:space="preserve"> a</w:t>
      </w:r>
      <w:r w:rsidRPr="00B34014">
        <w:rPr>
          <w:rFonts w:ascii="Calibri" w:hAnsi="Calibri" w:cs="Calibri"/>
          <w:sz w:val="24"/>
          <w:szCs w:val="24"/>
        </w:rPr>
        <w:t xml:space="preserve"> NRB, </w:t>
      </w:r>
      <w:r w:rsidR="00594FD6">
        <w:rPr>
          <w:rFonts w:ascii="Calibri" w:hAnsi="Calibri" w:cs="Calibri"/>
          <w:sz w:val="24"/>
          <w:szCs w:val="24"/>
        </w:rPr>
        <w:t>a.s.</w:t>
      </w:r>
      <w:r w:rsidR="004644E0">
        <w:rPr>
          <w:rFonts w:ascii="Calibri" w:hAnsi="Calibri" w:cs="Calibri"/>
          <w:sz w:val="24"/>
          <w:szCs w:val="24"/>
        </w:rPr>
        <w:t>,</w:t>
      </w:r>
      <w:r w:rsidRPr="00B34014">
        <w:rPr>
          <w:rFonts w:ascii="Calibri" w:hAnsi="Calibri" w:cs="Calibri"/>
          <w:sz w:val="24"/>
          <w:szCs w:val="24"/>
        </w:rPr>
        <w:t xml:space="preserve"> náměstky členů vlády, </w:t>
      </w:r>
      <w:r>
        <w:rPr>
          <w:rFonts w:ascii="Calibri" w:hAnsi="Calibri" w:cs="Calibri"/>
          <w:sz w:val="24"/>
          <w:szCs w:val="24"/>
        </w:rPr>
        <w:t xml:space="preserve">ačkoliv </w:t>
      </w:r>
      <w:r w:rsidRPr="00B34014">
        <w:rPr>
          <w:rFonts w:ascii="Calibri" w:hAnsi="Calibri" w:cs="Calibri"/>
          <w:sz w:val="24"/>
          <w:szCs w:val="24"/>
        </w:rPr>
        <w:t>byli veřejnými funkcionáři</w:t>
      </w:r>
      <w:r>
        <w:rPr>
          <w:rFonts w:ascii="Calibri" w:hAnsi="Calibri" w:cs="Calibri"/>
          <w:sz w:val="24"/>
          <w:szCs w:val="24"/>
        </w:rPr>
        <w:t xml:space="preserve"> ve smyslu ustanovení § 2 odst. 1) písm. d) zákona </w:t>
      </w:r>
      <w:r>
        <w:t xml:space="preserve">č. </w:t>
      </w:r>
      <w:r w:rsidRPr="00DF2924">
        <w:rPr>
          <w:rFonts w:ascii="Calibri" w:hAnsi="Calibri" w:cs="Calibri"/>
          <w:sz w:val="24"/>
          <w:szCs w:val="24"/>
        </w:rPr>
        <w:t>159/2006 Sb., o střetu zájmů</w:t>
      </w:r>
      <w:r w:rsidRPr="00B34014">
        <w:rPr>
          <w:rFonts w:ascii="Calibri" w:hAnsi="Calibri" w:cs="Calibri"/>
          <w:sz w:val="24"/>
          <w:szCs w:val="24"/>
        </w:rPr>
        <w:t>. Veřejný funkcionář nesmí být členem dozorčího nebo kontrolního orgánu právnické osoby, která podniká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4"/>
      </w:r>
      <w:r w:rsidR="00EF1AAD">
        <w:rPr>
          <w:rFonts w:ascii="Calibri" w:hAnsi="Calibri" w:cs="Calibri"/>
          <w:sz w:val="24"/>
          <w:szCs w:val="24"/>
        </w:rPr>
        <w:t>.</w:t>
      </w:r>
      <w:r w:rsidRPr="00B34014">
        <w:rPr>
          <w:rFonts w:ascii="Calibri" w:hAnsi="Calibri" w:cs="Calibri"/>
          <w:sz w:val="24"/>
          <w:szCs w:val="24"/>
        </w:rPr>
        <w:t xml:space="preserve"> </w:t>
      </w:r>
      <w:r w:rsidR="00EF1AAD">
        <w:rPr>
          <w:rFonts w:ascii="Calibri" w:hAnsi="Calibri" w:cs="Calibri"/>
          <w:sz w:val="24"/>
          <w:szCs w:val="24"/>
        </w:rPr>
        <w:t>N</w:t>
      </w:r>
      <w:r w:rsidRPr="00B34014">
        <w:rPr>
          <w:rFonts w:ascii="Calibri" w:hAnsi="Calibri" w:cs="Calibri"/>
          <w:sz w:val="24"/>
          <w:szCs w:val="24"/>
        </w:rPr>
        <w:t>áměstci členů vlády se tak dostali do střetu zájmů</w:t>
      </w:r>
      <w:r>
        <w:rPr>
          <w:rFonts w:ascii="Calibri" w:hAnsi="Calibri" w:cs="Calibri"/>
          <w:sz w:val="24"/>
          <w:szCs w:val="24"/>
        </w:rPr>
        <w:t xml:space="preserve"> ve smyslu uvedeného zákona</w:t>
      </w:r>
      <w:r w:rsidRPr="00B34014">
        <w:rPr>
          <w:rFonts w:ascii="Calibri" w:hAnsi="Calibri" w:cs="Calibri"/>
          <w:sz w:val="24"/>
          <w:szCs w:val="24"/>
        </w:rPr>
        <w:t xml:space="preserve">. Dále NKÚ zjistil, že se členové dozorčí rady obchodních společností ČEPS, </w:t>
      </w:r>
      <w:r w:rsidR="00594FD6">
        <w:rPr>
          <w:rFonts w:ascii="Calibri" w:hAnsi="Calibri" w:cs="Calibri"/>
          <w:sz w:val="24"/>
          <w:szCs w:val="24"/>
        </w:rPr>
        <w:t>a.s.</w:t>
      </w:r>
      <w:r w:rsidR="00471989">
        <w:rPr>
          <w:rFonts w:ascii="Calibri" w:hAnsi="Calibri" w:cs="Calibri"/>
          <w:sz w:val="24"/>
          <w:szCs w:val="24"/>
        </w:rPr>
        <w:t>,</w:t>
      </w:r>
      <w:r w:rsidRPr="00B34014">
        <w:rPr>
          <w:rFonts w:ascii="Calibri" w:hAnsi="Calibri" w:cs="Calibri"/>
          <w:sz w:val="24"/>
          <w:szCs w:val="24"/>
        </w:rPr>
        <w:t xml:space="preserve"> a</w:t>
      </w:r>
      <w:r w:rsidR="003B24BF">
        <w:rPr>
          <w:rFonts w:ascii="Calibri" w:hAnsi="Calibri" w:cs="Calibri"/>
          <w:sz w:val="24"/>
          <w:szCs w:val="24"/>
        </w:rPr>
        <w:t xml:space="preserve"> </w:t>
      </w:r>
      <w:r w:rsidRPr="00B34014">
        <w:rPr>
          <w:rFonts w:ascii="Calibri" w:hAnsi="Calibri" w:cs="Calibri"/>
          <w:sz w:val="24"/>
          <w:szCs w:val="24"/>
        </w:rPr>
        <w:t xml:space="preserve">SIRS, </w:t>
      </w:r>
      <w:r w:rsidR="00594FD6">
        <w:rPr>
          <w:rFonts w:ascii="Calibri" w:hAnsi="Calibri" w:cs="Calibri"/>
          <w:sz w:val="24"/>
          <w:szCs w:val="24"/>
        </w:rPr>
        <w:t>a.s.</w:t>
      </w:r>
      <w:r w:rsidR="0047198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v letech 2024 a</w:t>
      </w:r>
      <w:r w:rsidR="006D6FDA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2025</w:t>
      </w:r>
      <w:r w:rsidRPr="00B34014">
        <w:rPr>
          <w:rFonts w:ascii="Calibri" w:hAnsi="Calibri" w:cs="Calibri"/>
          <w:sz w:val="24"/>
          <w:szCs w:val="24"/>
        </w:rPr>
        <w:t xml:space="preserve"> stali náměstky členů vlády a veřejnými funkcionáři</w:t>
      </w:r>
      <w:r w:rsidR="00971E6D">
        <w:rPr>
          <w:rFonts w:ascii="Calibri" w:hAnsi="Calibri" w:cs="Calibri"/>
          <w:sz w:val="24"/>
          <w:szCs w:val="24"/>
        </w:rPr>
        <w:t xml:space="preserve"> a poté, co začali vykonávat svou funkci, výkon funkce v dozorčí radě neukončili</w:t>
      </w:r>
      <w:r w:rsidRPr="00B34014">
        <w:rPr>
          <w:rFonts w:ascii="Calibri" w:hAnsi="Calibri" w:cs="Calibri"/>
          <w:sz w:val="24"/>
          <w:szCs w:val="24"/>
        </w:rPr>
        <w:t>.</w:t>
      </w:r>
      <w:r w:rsidR="00F215A2">
        <w:rPr>
          <w:rFonts w:ascii="Calibri" w:hAnsi="Calibri" w:cs="Calibri"/>
          <w:sz w:val="24"/>
          <w:szCs w:val="24"/>
        </w:rPr>
        <w:t xml:space="preserve"> </w:t>
      </w:r>
      <w:r w:rsidRPr="00B34014">
        <w:rPr>
          <w:rFonts w:ascii="Calibri" w:hAnsi="Calibri" w:cs="Calibri"/>
          <w:sz w:val="24"/>
          <w:szCs w:val="24"/>
        </w:rPr>
        <w:t xml:space="preserve">MF a MPO </w:t>
      </w:r>
      <w:r>
        <w:rPr>
          <w:rFonts w:ascii="Calibri" w:hAnsi="Calibri" w:cs="Calibri"/>
          <w:sz w:val="24"/>
          <w:szCs w:val="24"/>
        </w:rPr>
        <w:t>zjištěný protiprávní stav neodstranily a</w:t>
      </w:r>
      <w:r w:rsidRPr="00B34014">
        <w:rPr>
          <w:rFonts w:ascii="Calibri" w:hAnsi="Calibri" w:cs="Calibri"/>
          <w:sz w:val="24"/>
          <w:szCs w:val="24"/>
        </w:rPr>
        <w:t xml:space="preserve"> náměstky členů vlády ponechaly ve funkcích členů dozorčích rad obchodních společností.</w:t>
      </w:r>
    </w:p>
    <w:p w14:paraId="43AAC89D" w14:textId="77777777" w:rsidR="00B26440" w:rsidRDefault="00B26440" w:rsidP="008526A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3881CB1" w14:textId="57DE1162" w:rsidR="00B26440" w:rsidRPr="003968C0" w:rsidRDefault="00B26440" w:rsidP="006D6FDA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  <w:r w:rsidRPr="003968C0">
        <w:rPr>
          <w:rFonts w:ascii="Calibri" w:hAnsi="Calibri" w:cs="Calibri"/>
          <w:b/>
          <w:iCs/>
          <w:sz w:val="24"/>
          <w:szCs w:val="24"/>
        </w:rPr>
        <w:t>3.5 MPO nezajistilo v obchodní společnosti SIRS, a.s.</w:t>
      </w:r>
      <w:r w:rsidR="00471989">
        <w:rPr>
          <w:rFonts w:ascii="Calibri" w:hAnsi="Calibri" w:cs="Calibri"/>
          <w:b/>
          <w:iCs/>
          <w:sz w:val="24"/>
          <w:szCs w:val="24"/>
        </w:rPr>
        <w:t>,</w:t>
      </w:r>
      <w:r w:rsidRPr="003968C0">
        <w:rPr>
          <w:rFonts w:ascii="Calibri" w:hAnsi="Calibri" w:cs="Calibri"/>
          <w:b/>
          <w:iCs/>
          <w:sz w:val="24"/>
          <w:szCs w:val="24"/>
        </w:rPr>
        <w:t xml:space="preserve"> zavedení </w:t>
      </w:r>
      <w:proofErr w:type="spellStart"/>
      <w:r w:rsidRPr="003968C0">
        <w:rPr>
          <w:rFonts w:ascii="Calibri" w:hAnsi="Calibri" w:cs="Calibri"/>
          <w:b/>
          <w:iCs/>
          <w:sz w:val="24"/>
          <w:szCs w:val="24"/>
        </w:rPr>
        <w:t>compliance</w:t>
      </w:r>
      <w:proofErr w:type="spellEnd"/>
      <w:r w:rsidRPr="003968C0">
        <w:rPr>
          <w:rFonts w:ascii="Calibri" w:hAnsi="Calibri" w:cs="Calibri"/>
          <w:b/>
          <w:iCs/>
          <w:sz w:val="24"/>
          <w:szCs w:val="24"/>
        </w:rPr>
        <w:t xml:space="preserve"> programů</w:t>
      </w:r>
    </w:p>
    <w:p w14:paraId="57C19C79" w14:textId="77777777" w:rsidR="00B26440" w:rsidRDefault="00B26440" w:rsidP="00B26440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399CB68F" w14:textId="1871616B" w:rsidR="00B26440" w:rsidRPr="00EA2E7F" w:rsidRDefault="00B26440" w:rsidP="00B26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3968C0">
        <w:rPr>
          <w:sz w:val="24"/>
          <w:szCs w:val="24"/>
        </w:rPr>
        <w:t xml:space="preserve">Opatření č. 16: Zajistit aplikování a pravidelnou aktualizaci </w:t>
      </w:r>
      <w:proofErr w:type="spellStart"/>
      <w:r w:rsidR="00471989">
        <w:rPr>
          <w:sz w:val="24"/>
          <w:szCs w:val="24"/>
        </w:rPr>
        <w:t>c</w:t>
      </w:r>
      <w:r w:rsidRPr="003968C0">
        <w:rPr>
          <w:sz w:val="24"/>
          <w:szCs w:val="24"/>
        </w:rPr>
        <w:t>ompliance</w:t>
      </w:r>
      <w:proofErr w:type="spellEnd"/>
      <w:r w:rsidRPr="003968C0">
        <w:rPr>
          <w:sz w:val="24"/>
          <w:szCs w:val="24"/>
        </w:rPr>
        <w:t xml:space="preserve"> programů</w:t>
      </w:r>
      <w:r w:rsidR="00002E1B">
        <w:rPr>
          <w:sz w:val="24"/>
          <w:szCs w:val="24"/>
        </w:rPr>
        <w:t>.</w:t>
      </w:r>
    </w:p>
    <w:p w14:paraId="4C14554E" w14:textId="77777777" w:rsidR="00B26440" w:rsidRDefault="00B26440" w:rsidP="00B26440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555C48BB" w14:textId="5E8F10E3" w:rsidR="00CB5113" w:rsidRPr="002463C4" w:rsidRDefault="00B26440" w:rsidP="008526AF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EF30B0">
        <w:rPr>
          <w:rFonts w:ascii="Calibri" w:hAnsi="Calibri" w:cs="Calibri"/>
          <w:bCs/>
          <w:iCs/>
          <w:sz w:val="24"/>
          <w:szCs w:val="24"/>
        </w:rPr>
        <w:t>N</w:t>
      </w:r>
      <w:r>
        <w:rPr>
          <w:rFonts w:ascii="Calibri" w:hAnsi="Calibri" w:cs="Calibri"/>
          <w:bCs/>
          <w:iCs/>
          <w:sz w:val="24"/>
          <w:szCs w:val="24"/>
        </w:rPr>
        <w:t>KÚ zjistil, že n</w:t>
      </w:r>
      <w:r w:rsidRPr="00EF30B0">
        <w:rPr>
          <w:rFonts w:ascii="Calibri" w:hAnsi="Calibri" w:cs="Calibri"/>
          <w:bCs/>
          <w:iCs/>
          <w:sz w:val="24"/>
          <w:szCs w:val="24"/>
        </w:rPr>
        <w:t>a základě opatření č. 16</w:t>
      </w:r>
      <w:r>
        <w:rPr>
          <w:rFonts w:ascii="Calibri" w:hAnsi="Calibri" w:cs="Calibri"/>
          <w:bCs/>
          <w:iCs/>
          <w:sz w:val="24"/>
          <w:szCs w:val="24"/>
        </w:rPr>
        <w:t xml:space="preserve"> měla ministerstva povinnost zajistit, aby obchodní společnosti aplikovaly a aktualizovaly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compliance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 programy. Jedná se o </w:t>
      </w:r>
      <w:r w:rsidRPr="00EF30B0">
        <w:rPr>
          <w:rFonts w:ascii="Calibri" w:hAnsi="Calibri" w:cs="Calibri"/>
          <w:bCs/>
          <w:iCs/>
          <w:sz w:val="24"/>
          <w:szCs w:val="24"/>
        </w:rPr>
        <w:t xml:space="preserve">soubory interních pravidel a postupů </w:t>
      </w:r>
      <w:r>
        <w:rPr>
          <w:rFonts w:ascii="Calibri" w:hAnsi="Calibri" w:cs="Calibri"/>
          <w:bCs/>
          <w:iCs/>
          <w:sz w:val="24"/>
          <w:szCs w:val="24"/>
        </w:rPr>
        <w:t xml:space="preserve">obchodní společnosti </w:t>
      </w:r>
      <w:r w:rsidRPr="00EF30B0">
        <w:rPr>
          <w:rFonts w:ascii="Calibri" w:hAnsi="Calibri" w:cs="Calibri"/>
          <w:bCs/>
          <w:iCs/>
          <w:sz w:val="24"/>
          <w:szCs w:val="24"/>
        </w:rPr>
        <w:t>určených k zajištění dodržování zákonů, předpisů a</w:t>
      </w:r>
      <w:r w:rsidR="006D6FDA">
        <w:rPr>
          <w:rFonts w:ascii="Calibri" w:hAnsi="Calibri" w:cs="Calibri"/>
          <w:bCs/>
          <w:iCs/>
          <w:sz w:val="24"/>
          <w:szCs w:val="24"/>
        </w:rPr>
        <w:t> </w:t>
      </w:r>
      <w:r w:rsidRPr="00EF30B0">
        <w:rPr>
          <w:rFonts w:ascii="Calibri" w:hAnsi="Calibri" w:cs="Calibri"/>
          <w:bCs/>
          <w:iCs/>
          <w:sz w:val="24"/>
          <w:szCs w:val="24"/>
        </w:rPr>
        <w:t xml:space="preserve">etických norem. Jejich účelem je </w:t>
      </w:r>
      <w:r>
        <w:rPr>
          <w:rFonts w:ascii="Calibri" w:hAnsi="Calibri" w:cs="Calibri"/>
          <w:bCs/>
          <w:iCs/>
          <w:sz w:val="24"/>
          <w:szCs w:val="24"/>
        </w:rPr>
        <w:t xml:space="preserve">snížení rizika </w:t>
      </w:r>
      <w:r w:rsidR="002463C4">
        <w:rPr>
          <w:rFonts w:ascii="Calibri" w:hAnsi="Calibri" w:cs="Calibri"/>
          <w:bCs/>
          <w:iCs/>
          <w:sz w:val="24"/>
          <w:szCs w:val="24"/>
        </w:rPr>
        <w:t xml:space="preserve">vzniku trestní odpovědnosti za trestné činy, které by obchodním společnostem podle zákona č. 418/2011 Sb., o trestní odpovědnosti </w:t>
      </w:r>
      <w:r w:rsidR="002463C4">
        <w:rPr>
          <w:rFonts w:ascii="Calibri" w:hAnsi="Calibri" w:cs="Calibri"/>
          <w:bCs/>
          <w:iCs/>
          <w:sz w:val="24"/>
          <w:szCs w:val="24"/>
        </w:rPr>
        <w:lastRenderedPageBreak/>
        <w:t>právnických osob a řízení proti nim, mohly být přičitatelné</w:t>
      </w:r>
      <w:r w:rsidRPr="00EF30B0">
        <w:rPr>
          <w:rFonts w:ascii="Calibri" w:hAnsi="Calibri" w:cs="Calibri"/>
          <w:bCs/>
          <w:iCs/>
          <w:sz w:val="24"/>
          <w:szCs w:val="24"/>
        </w:rPr>
        <w:t xml:space="preserve">. </w:t>
      </w:r>
      <w:r>
        <w:rPr>
          <w:rFonts w:ascii="Calibri" w:hAnsi="Calibri" w:cs="Calibri"/>
          <w:bCs/>
          <w:iCs/>
          <w:sz w:val="24"/>
          <w:szCs w:val="24"/>
        </w:rPr>
        <w:t>NKÚ zjistil, že MPO nezajistilo v obchodní společnosti SIRS, a.s.</w:t>
      </w:r>
      <w:r w:rsidR="00471989">
        <w:rPr>
          <w:rFonts w:ascii="Calibri" w:hAnsi="Calibri" w:cs="Calibri"/>
          <w:bCs/>
          <w:iCs/>
          <w:sz w:val="24"/>
          <w:szCs w:val="24"/>
        </w:rPr>
        <w:t>,</w:t>
      </w:r>
      <w:r>
        <w:rPr>
          <w:rFonts w:ascii="Calibri" w:hAnsi="Calibri" w:cs="Calibri"/>
          <w:bCs/>
          <w:iCs/>
          <w:sz w:val="24"/>
          <w:szCs w:val="24"/>
        </w:rPr>
        <w:t xml:space="preserve"> ani po více než jednom roce od jejího vzniku úplné zavedení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compliance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 programů.</w:t>
      </w:r>
    </w:p>
    <w:p w14:paraId="561C171E" w14:textId="77777777" w:rsidR="00143830" w:rsidRDefault="00143830" w:rsidP="00BC2A72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</w:p>
    <w:p w14:paraId="0EAFB22B" w14:textId="3BDDC32F" w:rsidR="004F027F" w:rsidRDefault="007F68A4" w:rsidP="006D6FDA">
      <w:pPr>
        <w:spacing w:after="0" w:line="240" w:lineRule="auto"/>
        <w:ind w:left="425" w:hanging="425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3.</w:t>
      </w:r>
      <w:r w:rsidR="00B26440">
        <w:rPr>
          <w:rFonts w:ascii="Calibri" w:hAnsi="Calibri" w:cs="Calibri"/>
          <w:b/>
          <w:iCs/>
          <w:sz w:val="24"/>
          <w:szCs w:val="24"/>
        </w:rPr>
        <w:t>6</w:t>
      </w:r>
      <w:r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456943">
        <w:rPr>
          <w:rFonts w:ascii="Calibri" w:hAnsi="Calibri" w:cs="Calibri"/>
          <w:b/>
          <w:iCs/>
          <w:sz w:val="24"/>
          <w:szCs w:val="24"/>
        </w:rPr>
        <w:t>MF a MPO nezajistily, aby obchodní sp</w:t>
      </w:r>
      <w:r>
        <w:rPr>
          <w:rFonts w:ascii="Calibri" w:hAnsi="Calibri" w:cs="Calibri"/>
          <w:b/>
          <w:iCs/>
          <w:sz w:val="24"/>
          <w:szCs w:val="24"/>
        </w:rPr>
        <w:t>olečnosti zveřejňovaly povinné informace</w:t>
      </w:r>
    </w:p>
    <w:p w14:paraId="0552CE0D" w14:textId="77777777" w:rsidR="005A1EFE" w:rsidRDefault="005A1EFE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54B78590" w14:textId="16393FAD" w:rsidR="005A1EFE" w:rsidRPr="009668F1" w:rsidRDefault="007F68A4" w:rsidP="005A1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3968C0">
        <w:rPr>
          <w:sz w:val="24"/>
          <w:szCs w:val="24"/>
        </w:rPr>
        <w:t xml:space="preserve">Opatření č. 18: </w:t>
      </w:r>
      <w:r w:rsidR="00162870" w:rsidRPr="003968C0">
        <w:rPr>
          <w:sz w:val="24"/>
          <w:szCs w:val="24"/>
        </w:rPr>
        <w:t>Z</w:t>
      </w:r>
      <w:r w:rsidRPr="003968C0">
        <w:rPr>
          <w:sz w:val="24"/>
          <w:szCs w:val="24"/>
        </w:rPr>
        <w:t xml:space="preserve">ajistit, aby strategické společnosti s majetkovou účastí státu a </w:t>
      </w:r>
      <w:r w:rsidR="00A316B7" w:rsidRPr="003968C0">
        <w:rPr>
          <w:sz w:val="24"/>
          <w:szCs w:val="24"/>
        </w:rPr>
        <w:t xml:space="preserve">strategické </w:t>
      </w:r>
      <w:r w:rsidRPr="003968C0">
        <w:rPr>
          <w:sz w:val="24"/>
          <w:szCs w:val="24"/>
        </w:rPr>
        <w:t>státní podniky zveřejňovaly vybrané informace v souladu s platnou legislativou</w:t>
      </w:r>
      <w:r w:rsidR="00002E1B">
        <w:rPr>
          <w:sz w:val="24"/>
          <w:szCs w:val="24"/>
        </w:rPr>
        <w:t>.</w:t>
      </w:r>
    </w:p>
    <w:p w14:paraId="1F8BD209" w14:textId="77777777" w:rsidR="005A1EFE" w:rsidRDefault="005A1EFE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52056C40" w14:textId="1BC4DA9E" w:rsidR="004F027F" w:rsidRDefault="007F68A4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4F027F">
        <w:rPr>
          <w:rFonts w:ascii="Calibri" w:hAnsi="Calibri" w:cs="Calibri"/>
          <w:bCs/>
          <w:iCs/>
          <w:sz w:val="24"/>
          <w:szCs w:val="24"/>
        </w:rPr>
        <w:t xml:space="preserve">Na základě opatření č. 18 byla ministerstvům stanovena povinnost zajistit, aby strategické obchodní společnosti zveřejňovaly vybrané </w:t>
      </w:r>
      <w:r>
        <w:rPr>
          <w:rFonts w:ascii="Calibri" w:hAnsi="Calibri" w:cs="Calibri"/>
          <w:bCs/>
          <w:iCs/>
          <w:sz w:val="24"/>
          <w:szCs w:val="24"/>
        </w:rPr>
        <w:t xml:space="preserve">informace dle zákonných požadavků. </w:t>
      </w:r>
    </w:p>
    <w:p w14:paraId="3516A9F1" w14:textId="77777777" w:rsidR="00162870" w:rsidRDefault="00162870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41826276" w14:textId="5895545D" w:rsidR="00FA2FD7" w:rsidRDefault="007F68A4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NKÚ ověř</w:t>
      </w:r>
      <w:r w:rsidR="006B219D">
        <w:rPr>
          <w:rFonts w:ascii="Calibri" w:hAnsi="Calibri" w:cs="Calibri"/>
          <w:bCs/>
          <w:iCs/>
          <w:sz w:val="24"/>
          <w:szCs w:val="24"/>
        </w:rPr>
        <w:t>oval</w:t>
      </w:r>
      <w:r>
        <w:rPr>
          <w:rFonts w:ascii="Calibri" w:hAnsi="Calibri" w:cs="Calibri"/>
          <w:bCs/>
          <w:iCs/>
          <w:sz w:val="24"/>
          <w:szCs w:val="24"/>
        </w:rPr>
        <w:t xml:space="preserve">, zda MF, MPO a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MZe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 zajistil</w:t>
      </w:r>
      <w:r w:rsidR="006B53B8">
        <w:rPr>
          <w:rFonts w:ascii="Calibri" w:hAnsi="Calibri" w:cs="Calibri"/>
          <w:bCs/>
          <w:iCs/>
          <w:sz w:val="24"/>
          <w:szCs w:val="24"/>
        </w:rPr>
        <w:t>y</w:t>
      </w:r>
      <w:r>
        <w:rPr>
          <w:rFonts w:ascii="Calibri" w:hAnsi="Calibri" w:cs="Calibri"/>
          <w:bCs/>
          <w:iCs/>
          <w:sz w:val="24"/>
          <w:szCs w:val="24"/>
        </w:rPr>
        <w:t>, že obchodní společnosti zveřejňovaly informace v souladu se zákonem o svobodném přístupu k informacím</w:t>
      </w:r>
      <w:r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25"/>
      </w:r>
      <w:r>
        <w:rPr>
          <w:rFonts w:ascii="Calibri" w:hAnsi="Calibri" w:cs="Calibri"/>
          <w:bCs/>
          <w:iCs/>
          <w:sz w:val="24"/>
          <w:szCs w:val="24"/>
        </w:rPr>
        <w:t>, se zákonem o účetnictví</w:t>
      </w:r>
      <w:r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26"/>
      </w:r>
      <w:r>
        <w:rPr>
          <w:rFonts w:ascii="Calibri" w:hAnsi="Calibri" w:cs="Calibri"/>
          <w:bCs/>
          <w:iCs/>
          <w:sz w:val="24"/>
          <w:szCs w:val="24"/>
        </w:rPr>
        <w:t xml:space="preserve"> a se zákonem o evidenci skutečných majitelů</w:t>
      </w:r>
      <w:r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27"/>
      </w:r>
      <w:r>
        <w:rPr>
          <w:rFonts w:ascii="Calibri" w:hAnsi="Calibri" w:cs="Calibri"/>
          <w:bCs/>
          <w:iCs/>
          <w:sz w:val="24"/>
          <w:szCs w:val="24"/>
        </w:rPr>
        <w:t>. NKÚ zjistil následující</w:t>
      </w:r>
      <w:r w:rsidR="00471989">
        <w:rPr>
          <w:rFonts w:ascii="Calibri" w:hAnsi="Calibri" w:cs="Calibri"/>
          <w:bCs/>
          <w:iCs/>
          <w:sz w:val="24"/>
          <w:szCs w:val="24"/>
        </w:rPr>
        <w:t xml:space="preserve"> skutečnosti</w:t>
      </w:r>
      <w:r>
        <w:rPr>
          <w:rFonts w:ascii="Calibri" w:hAnsi="Calibri" w:cs="Calibri"/>
          <w:bCs/>
          <w:iCs/>
          <w:sz w:val="24"/>
          <w:szCs w:val="24"/>
        </w:rPr>
        <w:t>:</w:t>
      </w:r>
    </w:p>
    <w:p w14:paraId="42080F86" w14:textId="6B5FF29D" w:rsidR="00FA2FD7" w:rsidRDefault="00471989" w:rsidP="006D6FDA">
      <w:pPr>
        <w:pStyle w:val="Odstavecseseznamem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Š</w:t>
      </w:r>
      <w:r w:rsidR="007F68A4">
        <w:rPr>
          <w:rFonts w:ascii="Calibri" w:hAnsi="Calibri" w:cs="Calibri"/>
          <w:bCs/>
          <w:iCs/>
          <w:sz w:val="24"/>
          <w:szCs w:val="24"/>
        </w:rPr>
        <w:t>est ze sedmi</w:t>
      </w:r>
      <w:r w:rsidR="007F68A4"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28"/>
      </w:r>
      <w:r w:rsidR="007F68A4">
        <w:rPr>
          <w:rFonts w:ascii="Calibri" w:hAnsi="Calibri" w:cs="Calibri"/>
          <w:bCs/>
          <w:iCs/>
          <w:sz w:val="24"/>
          <w:szCs w:val="24"/>
        </w:rPr>
        <w:t xml:space="preserve"> obchodních společností v gesci MF a dvě obchodní společnosti z</w:t>
      </w:r>
      <w:r w:rsidR="00DF785B">
        <w:rPr>
          <w:rFonts w:ascii="Calibri" w:hAnsi="Calibri" w:cs="Calibri"/>
          <w:bCs/>
          <w:iCs/>
          <w:sz w:val="24"/>
          <w:szCs w:val="24"/>
        </w:rPr>
        <w:t xml:space="preserve"> pěti</w:t>
      </w:r>
      <w:r w:rsidR="007F68A4"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29"/>
      </w:r>
      <w:r w:rsidR="007F68A4">
        <w:rPr>
          <w:rFonts w:ascii="Calibri" w:hAnsi="Calibri" w:cs="Calibri"/>
          <w:bCs/>
          <w:iCs/>
          <w:sz w:val="24"/>
          <w:szCs w:val="24"/>
        </w:rPr>
        <w:t xml:space="preserve"> v ges</w:t>
      </w:r>
      <w:r w:rsidR="007A732C">
        <w:rPr>
          <w:rFonts w:ascii="Calibri" w:hAnsi="Calibri" w:cs="Calibri"/>
          <w:bCs/>
          <w:iCs/>
          <w:sz w:val="24"/>
          <w:szCs w:val="24"/>
        </w:rPr>
        <w:t>c</w:t>
      </w:r>
      <w:r w:rsidR="007F68A4">
        <w:rPr>
          <w:rFonts w:ascii="Calibri" w:hAnsi="Calibri" w:cs="Calibri"/>
          <w:bCs/>
          <w:iCs/>
          <w:sz w:val="24"/>
          <w:szCs w:val="24"/>
        </w:rPr>
        <w:t>i MPO neměly ke dni 21. 7. 2025 na svých internetových stránkách za celé kontrolované období zveřejněny informace, které poskytly na základě žádost</w:t>
      </w:r>
      <w:r w:rsidR="001C605C">
        <w:rPr>
          <w:rFonts w:ascii="Calibri" w:hAnsi="Calibri" w:cs="Calibri"/>
          <w:bCs/>
          <w:iCs/>
          <w:sz w:val="24"/>
          <w:szCs w:val="24"/>
        </w:rPr>
        <w:t>í</w:t>
      </w:r>
      <w:r w:rsidR="007F68A4">
        <w:rPr>
          <w:rFonts w:ascii="Calibri" w:hAnsi="Calibri" w:cs="Calibri"/>
          <w:bCs/>
          <w:iCs/>
          <w:sz w:val="24"/>
          <w:szCs w:val="24"/>
        </w:rPr>
        <w:t xml:space="preserve"> podle zákona o svobodném přístupu k informacím</w:t>
      </w:r>
      <w:r w:rsidR="007F68A4"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30"/>
      </w:r>
      <w:r w:rsidR="007F68A4">
        <w:rPr>
          <w:rFonts w:ascii="Calibri" w:hAnsi="Calibri" w:cs="Calibri"/>
          <w:bCs/>
          <w:iCs/>
          <w:sz w:val="24"/>
          <w:szCs w:val="24"/>
        </w:rPr>
        <w:t>. Tři obchodní společnosti</w:t>
      </w:r>
      <w:r w:rsidR="004A4DCD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7F68A4">
        <w:rPr>
          <w:rFonts w:ascii="Calibri" w:hAnsi="Calibri" w:cs="Calibri"/>
          <w:bCs/>
          <w:iCs/>
          <w:sz w:val="24"/>
          <w:szCs w:val="24"/>
        </w:rPr>
        <w:t>ze</w:t>
      </w:r>
      <w:r w:rsidR="004A4DCD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7F68A4">
        <w:rPr>
          <w:rFonts w:ascii="Calibri" w:hAnsi="Calibri" w:cs="Calibri"/>
          <w:bCs/>
          <w:iCs/>
          <w:sz w:val="24"/>
          <w:szCs w:val="24"/>
        </w:rPr>
        <w:t>sedm</w:t>
      </w:r>
      <w:r w:rsidR="004A4DCD">
        <w:rPr>
          <w:rFonts w:ascii="Calibri" w:hAnsi="Calibri" w:cs="Calibri"/>
          <w:bCs/>
          <w:iCs/>
          <w:sz w:val="24"/>
          <w:szCs w:val="24"/>
        </w:rPr>
        <w:t>i</w:t>
      </w:r>
      <w:r w:rsidR="007F68A4">
        <w:rPr>
          <w:rFonts w:ascii="Calibri" w:hAnsi="Calibri" w:cs="Calibri"/>
          <w:bCs/>
          <w:iCs/>
          <w:sz w:val="24"/>
          <w:szCs w:val="24"/>
        </w:rPr>
        <w:t xml:space="preserve"> v gesci MF a dvě obchodní společnosti z</w:t>
      </w:r>
      <w:r w:rsidR="00AA60E9">
        <w:rPr>
          <w:rFonts w:ascii="Calibri" w:hAnsi="Calibri" w:cs="Calibri"/>
          <w:bCs/>
          <w:iCs/>
          <w:sz w:val="24"/>
          <w:szCs w:val="24"/>
        </w:rPr>
        <w:t xml:space="preserve"> pěti</w:t>
      </w:r>
      <w:r w:rsidR="007F68A4">
        <w:rPr>
          <w:rFonts w:ascii="Calibri" w:hAnsi="Calibri" w:cs="Calibri"/>
          <w:bCs/>
          <w:iCs/>
          <w:sz w:val="24"/>
          <w:szCs w:val="24"/>
        </w:rPr>
        <w:t xml:space="preserve"> v gesci MPO nezveřejnily v letech 2020</w:t>
      </w:r>
      <w:r>
        <w:rPr>
          <w:rFonts w:ascii="Calibri" w:hAnsi="Calibri" w:cs="Calibri"/>
          <w:bCs/>
          <w:iCs/>
          <w:sz w:val="24"/>
          <w:szCs w:val="24"/>
        </w:rPr>
        <w:t>–</w:t>
      </w:r>
      <w:r w:rsidR="007F68A4">
        <w:rPr>
          <w:rFonts w:ascii="Calibri" w:hAnsi="Calibri" w:cs="Calibri"/>
          <w:bCs/>
          <w:iCs/>
          <w:sz w:val="24"/>
          <w:szCs w:val="24"/>
        </w:rPr>
        <w:t xml:space="preserve">2024 výroční zprávu </w:t>
      </w:r>
      <w:r w:rsidR="00206FE3">
        <w:rPr>
          <w:rFonts w:ascii="Calibri" w:hAnsi="Calibri" w:cs="Calibri"/>
          <w:bCs/>
          <w:iCs/>
          <w:sz w:val="24"/>
          <w:szCs w:val="24"/>
        </w:rPr>
        <w:t>za předcházející kalendářní rok o své činnosti v oblasti poskytování informací</w:t>
      </w:r>
      <w:r w:rsidR="007F68A4"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31"/>
      </w:r>
      <w:r>
        <w:rPr>
          <w:rFonts w:ascii="Calibri" w:hAnsi="Calibri" w:cs="Calibri"/>
          <w:bCs/>
          <w:iCs/>
          <w:sz w:val="24"/>
          <w:szCs w:val="24"/>
        </w:rPr>
        <w:t>.</w:t>
      </w:r>
    </w:p>
    <w:p w14:paraId="4A486C88" w14:textId="14221165" w:rsidR="00FA2FD7" w:rsidRDefault="00471989" w:rsidP="006D6FDA">
      <w:pPr>
        <w:pStyle w:val="Odstavecseseznamem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T</w:t>
      </w:r>
      <w:r w:rsidR="007F68A4">
        <w:rPr>
          <w:rFonts w:ascii="Calibri" w:hAnsi="Calibri" w:cs="Calibri"/>
          <w:bCs/>
          <w:iCs/>
          <w:sz w:val="24"/>
          <w:szCs w:val="24"/>
        </w:rPr>
        <w:t>ři z deseti</w:t>
      </w:r>
      <w:r w:rsidR="00B26440"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32"/>
      </w:r>
      <w:r w:rsidR="007F68A4">
        <w:rPr>
          <w:rFonts w:ascii="Calibri" w:hAnsi="Calibri" w:cs="Calibri"/>
          <w:bCs/>
          <w:iCs/>
          <w:sz w:val="24"/>
          <w:szCs w:val="24"/>
        </w:rPr>
        <w:t xml:space="preserve"> strategických obchodních společností v gesci MF</w:t>
      </w:r>
      <w:r w:rsidR="00351732">
        <w:rPr>
          <w:rFonts w:ascii="Calibri" w:hAnsi="Calibri" w:cs="Calibri"/>
          <w:bCs/>
          <w:iCs/>
          <w:sz w:val="24"/>
          <w:szCs w:val="24"/>
        </w:rPr>
        <w:t xml:space="preserve">, jedna </w:t>
      </w:r>
      <w:r w:rsidR="00DF785B">
        <w:rPr>
          <w:rFonts w:ascii="Calibri" w:hAnsi="Calibri" w:cs="Calibri"/>
          <w:bCs/>
          <w:iCs/>
          <w:sz w:val="24"/>
          <w:szCs w:val="24"/>
        </w:rPr>
        <w:t>z</w:t>
      </w:r>
      <w:r w:rsidR="00AA60E9">
        <w:rPr>
          <w:rFonts w:ascii="Calibri" w:hAnsi="Calibri" w:cs="Calibri"/>
          <w:bCs/>
          <w:iCs/>
          <w:sz w:val="24"/>
          <w:szCs w:val="24"/>
        </w:rPr>
        <w:t>e čtyř</w:t>
      </w:r>
      <w:r w:rsidR="00B26440"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33"/>
      </w:r>
      <w:r w:rsidR="00351732">
        <w:rPr>
          <w:rFonts w:ascii="Calibri" w:hAnsi="Calibri" w:cs="Calibri"/>
          <w:bCs/>
          <w:iCs/>
          <w:sz w:val="24"/>
          <w:szCs w:val="24"/>
        </w:rPr>
        <w:t xml:space="preserve"> v gesci MPO </w:t>
      </w:r>
      <w:r w:rsidR="00506DBE">
        <w:rPr>
          <w:rFonts w:ascii="Calibri" w:hAnsi="Calibri" w:cs="Calibri"/>
          <w:bCs/>
          <w:iCs/>
          <w:sz w:val="24"/>
          <w:szCs w:val="24"/>
        </w:rPr>
        <w:t xml:space="preserve">a </w:t>
      </w:r>
      <w:r w:rsidR="001B06B2">
        <w:rPr>
          <w:rFonts w:ascii="Calibri" w:hAnsi="Calibri" w:cs="Calibri"/>
          <w:bCs/>
          <w:iCs/>
          <w:sz w:val="24"/>
          <w:szCs w:val="24"/>
        </w:rPr>
        <w:t xml:space="preserve">jedna </w:t>
      </w:r>
      <w:r w:rsidR="00506DBE">
        <w:rPr>
          <w:rFonts w:ascii="Calibri" w:hAnsi="Calibri" w:cs="Calibri"/>
          <w:bCs/>
          <w:iCs/>
          <w:sz w:val="24"/>
          <w:szCs w:val="24"/>
        </w:rPr>
        <w:t xml:space="preserve">v gesci </w:t>
      </w:r>
      <w:proofErr w:type="spellStart"/>
      <w:r w:rsidR="007F68A4">
        <w:rPr>
          <w:rFonts w:ascii="Calibri" w:hAnsi="Calibri" w:cs="Calibri"/>
          <w:bCs/>
          <w:iCs/>
          <w:sz w:val="24"/>
          <w:szCs w:val="24"/>
        </w:rPr>
        <w:t>MZe</w:t>
      </w:r>
      <w:proofErr w:type="spellEnd"/>
      <w:r w:rsidR="007F68A4">
        <w:rPr>
          <w:rFonts w:ascii="Calibri" w:hAnsi="Calibri" w:cs="Calibri"/>
          <w:bCs/>
          <w:iCs/>
          <w:sz w:val="24"/>
          <w:szCs w:val="24"/>
        </w:rPr>
        <w:t xml:space="preserve"> v některých letech nezveřejňovaly účetní závěrky v</w:t>
      </w:r>
      <w:r w:rsidR="001C605C">
        <w:rPr>
          <w:rFonts w:ascii="Calibri" w:hAnsi="Calibri" w:cs="Calibri"/>
          <w:bCs/>
          <w:iCs/>
          <w:sz w:val="24"/>
          <w:szCs w:val="24"/>
        </w:rPr>
        <w:t xml:space="preserve"> zákonem</w:t>
      </w:r>
      <w:r w:rsidR="007F68A4">
        <w:rPr>
          <w:rFonts w:ascii="Calibri" w:hAnsi="Calibri" w:cs="Calibri"/>
          <w:bCs/>
          <w:iCs/>
          <w:sz w:val="24"/>
          <w:szCs w:val="24"/>
        </w:rPr>
        <w:t xml:space="preserve"> stanovené lhůtě</w:t>
      </w:r>
      <w:r w:rsidR="007F68A4"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34"/>
      </w:r>
      <w:r>
        <w:rPr>
          <w:rFonts w:ascii="Calibri" w:hAnsi="Calibri" w:cs="Calibri"/>
          <w:bCs/>
          <w:iCs/>
          <w:sz w:val="24"/>
          <w:szCs w:val="24"/>
        </w:rPr>
        <w:t>.</w:t>
      </w:r>
    </w:p>
    <w:p w14:paraId="577889FA" w14:textId="3B686CF9" w:rsidR="004B6826" w:rsidRDefault="00471989" w:rsidP="006D6FDA">
      <w:pPr>
        <w:pStyle w:val="Odstavecseseznamem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J</w:t>
      </w:r>
      <w:r w:rsidR="007F68A4">
        <w:rPr>
          <w:rFonts w:ascii="Calibri" w:hAnsi="Calibri" w:cs="Calibri"/>
          <w:bCs/>
          <w:iCs/>
          <w:sz w:val="24"/>
          <w:szCs w:val="24"/>
        </w:rPr>
        <w:t xml:space="preserve">edna </w:t>
      </w:r>
      <w:r w:rsidR="00FA2FD7">
        <w:rPr>
          <w:rFonts w:ascii="Calibri" w:hAnsi="Calibri" w:cs="Calibri"/>
          <w:bCs/>
          <w:iCs/>
          <w:sz w:val="24"/>
          <w:szCs w:val="24"/>
        </w:rPr>
        <w:t>obchodní společnost v gesci M</w:t>
      </w:r>
      <w:r w:rsidR="005B4B04">
        <w:rPr>
          <w:rFonts w:ascii="Calibri" w:hAnsi="Calibri" w:cs="Calibri"/>
          <w:bCs/>
          <w:iCs/>
          <w:sz w:val="24"/>
          <w:szCs w:val="24"/>
        </w:rPr>
        <w:t>PO</w:t>
      </w:r>
      <w:r w:rsidR="00FA2FD7">
        <w:rPr>
          <w:rFonts w:ascii="Calibri" w:hAnsi="Calibri" w:cs="Calibri"/>
          <w:bCs/>
          <w:iCs/>
          <w:sz w:val="24"/>
          <w:szCs w:val="24"/>
        </w:rPr>
        <w:t xml:space="preserve"> měl</w:t>
      </w:r>
      <w:r w:rsidR="007F68A4">
        <w:rPr>
          <w:rFonts w:ascii="Calibri" w:hAnsi="Calibri" w:cs="Calibri"/>
          <w:bCs/>
          <w:iCs/>
          <w:sz w:val="24"/>
          <w:szCs w:val="24"/>
        </w:rPr>
        <w:t>a</w:t>
      </w:r>
      <w:r w:rsidR="00FA2FD7">
        <w:rPr>
          <w:rFonts w:ascii="Calibri" w:hAnsi="Calibri" w:cs="Calibri"/>
          <w:bCs/>
          <w:iCs/>
          <w:sz w:val="24"/>
          <w:szCs w:val="24"/>
        </w:rPr>
        <w:t xml:space="preserve"> v </w:t>
      </w:r>
      <w:r>
        <w:rPr>
          <w:rFonts w:ascii="Calibri" w:hAnsi="Calibri" w:cs="Calibri"/>
          <w:bCs/>
          <w:iCs/>
          <w:sz w:val="24"/>
          <w:szCs w:val="24"/>
        </w:rPr>
        <w:t>e</w:t>
      </w:r>
      <w:r w:rsidR="00FA2FD7">
        <w:rPr>
          <w:rFonts w:ascii="Calibri" w:hAnsi="Calibri" w:cs="Calibri"/>
          <w:bCs/>
          <w:iCs/>
          <w:sz w:val="24"/>
          <w:szCs w:val="24"/>
        </w:rPr>
        <w:t xml:space="preserve">videnci skutečných majitelů </w:t>
      </w:r>
      <w:r w:rsidR="006B219D">
        <w:rPr>
          <w:rFonts w:ascii="Calibri" w:hAnsi="Calibri" w:cs="Calibri"/>
          <w:bCs/>
          <w:iCs/>
          <w:sz w:val="24"/>
          <w:szCs w:val="24"/>
        </w:rPr>
        <w:t>chybně</w:t>
      </w:r>
      <w:r w:rsidR="007F68A4"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35"/>
      </w:r>
      <w:r w:rsidR="006B219D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FA2FD7">
        <w:rPr>
          <w:rFonts w:ascii="Calibri" w:hAnsi="Calibri" w:cs="Calibri"/>
          <w:bCs/>
          <w:iCs/>
          <w:sz w:val="24"/>
          <w:szCs w:val="24"/>
        </w:rPr>
        <w:t>uveden</w:t>
      </w:r>
      <w:r w:rsidR="00206FE3">
        <w:rPr>
          <w:rFonts w:ascii="Calibri" w:hAnsi="Calibri" w:cs="Calibri"/>
          <w:bCs/>
          <w:iCs/>
          <w:sz w:val="24"/>
          <w:szCs w:val="24"/>
        </w:rPr>
        <w:t>y</w:t>
      </w:r>
      <w:r w:rsidR="00FA2FD7">
        <w:rPr>
          <w:rFonts w:ascii="Calibri" w:hAnsi="Calibri" w:cs="Calibri"/>
          <w:bCs/>
          <w:iCs/>
          <w:sz w:val="24"/>
          <w:szCs w:val="24"/>
        </w:rPr>
        <w:t xml:space="preserve"> jako </w:t>
      </w:r>
      <w:r w:rsidR="00206FE3">
        <w:rPr>
          <w:rFonts w:ascii="Calibri" w:hAnsi="Calibri" w:cs="Calibri"/>
          <w:bCs/>
          <w:iCs/>
          <w:sz w:val="24"/>
          <w:szCs w:val="24"/>
        </w:rPr>
        <w:t xml:space="preserve">majitele </w:t>
      </w:r>
      <w:r w:rsidR="00FA2FD7">
        <w:rPr>
          <w:rFonts w:ascii="Calibri" w:hAnsi="Calibri" w:cs="Calibri"/>
          <w:bCs/>
          <w:iCs/>
          <w:sz w:val="24"/>
          <w:szCs w:val="24"/>
        </w:rPr>
        <w:t>členy představenstva</w:t>
      </w:r>
      <w:r w:rsidR="00162870">
        <w:rPr>
          <w:rFonts w:ascii="Calibri" w:hAnsi="Calibri" w:cs="Calibri"/>
          <w:bCs/>
          <w:iCs/>
          <w:sz w:val="24"/>
          <w:szCs w:val="24"/>
        </w:rPr>
        <w:t>.</w:t>
      </w:r>
    </w:p>
    <w:p w14:paraId="25A3980E" w14:textId="77777777" w:rsidR="0010472C" w:rsidRDefault="0010472C" w:rsidP="006D6FDA">
      <w:pPr>
        <w:pStyle w:val="Odstavecseseznamem"/>
        <w:spacing w:after="0" w:line="240" w:lineRule="auto"/>
        <w:ind w:left="0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2855E23C" w14:textId="30296373" w:rsidR="008C7630" w:rsidRDefault="008C7630" w:rsidP="008C76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4B27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 hodnocení </w:t>
      </w:r>
      <w:r w:rsidRPr="00D54B27">
        <w:rPr>
          <w:rFonts w:cstheme="minorHAnsi"/>
          <w:sz w:val="24"/>
          <w:szCs w:val="24"/>
        </w:rPr>
        <w:t xml:space="preserve">plnění opatření a stanovených cílů </w:t>
      </w:r>
      <w:r>
        <w:rPr>
          <w:rFonts w:cstheme="minorHAnsi"/>
          <w:sz w:val="24"/>
          <w:szCs w:val="24"/>
        </w:rPr>
        <w:t xml:space="preserve">mělo MF každoročně zpracovat </w:t>
      </w:r>
      <w:r w:rsidR="00611D03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právu o</w:t>
      </w:r>
      <w:r w:rsidR="00DF24D5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plnění Strategie.</w:t>
      </w:r>
      <w:r w:rsidRPr="00D54B27">
        <w:rPr>
          <w:rFonts w:cstheme="minorHAnsi"/>
          <w:sz w:val="24"/>
          <w:szCs w:val="24"/>
        </w:rPr>
        <w:t xml:space="preserve"> </w:t>
      </w:r>
      <w:r>
        <w:rPr>
          <w:bCs/>
          <w:sz w:val="24"/>
          <w:szCs w:val="24"/>
          <w:lang w:eastAsia="cs-CZ"/>
        </w:rPr>
        <w:t xml:space="preserve">NKÚ zjistil, že </w:t>
      </w:r>
      <w:r>
        <w:rPr>
          <w:rFonts w:cstheme="minorHAnsi"/>
          <w:sz w:val="24"/>
          <w:szCs w:val="24"/>
        </w:rPr>
        <w:t xml:space="preserve">MF posuzovalo efektivnost výkonu vlastnických práv státu na základě plnění jednotlivých opatření všemi ministerstvy, ale </w:t>
      </w:r>
      <w:r>
        <w:rPr>
          <w:bCs/>
          <w:sz w:val="24"/>
          <w:szCs w:val="24"/>
          <w:lang w:eastAsia="cs-CZ"/>
        </w:rPr>
        <w:t>nevyhodnocovalo účelnost opatření ani jejich přínos, jak stanovila Strategie.</w:t>
      </w:r>
      <w:r>
        <w:rPr>
          <w:rFonts w:cstheme="minorHAnsi"/>
          <w:sz w:val="24"/>
          <w:szCs w:val="24"/>
        </w:rPr>
        <w:t xml:space="preserve"> </w:t>
      </w:r>
      <w:r w:rsidR="00330523">
        <w:rPr>
          <w:rFonts w:cstheme="minorHAnsi"/>
          <w:sz w:val="24"/>
          <w:szCs w:val="24"/>
        </w:rPr>
        <w:t xml:space="preserve">MF tak nemohlo vyhodnotit, zda </w:t>
      </w:r>
      <w:r w:rsidR="00365E11">
        <w:rPr>
          <w:rFonts w:cstheme="minorHAnsi"/>
          <w:sz w:val="24"/>
          <w:szCs w:val="24"/>
        </w:rPr>
        <w:t xml:space="preserve">aplikace </w:t>
      </w:r>
      <w:r w:rsidR="00330523">
        <w:rPr>
          <w:rFonts w:cstheme="minorHAnsi"/>
          <w:sz w:val="24"/>
          <w:szCs w:val="24"/>
        </w:rPr>
        <w:t>nastaven</w:t>
      </w:r>
      <w:r w:rsidR="00365E11">
        <w:rPr>
          <w:rFonts w:cstheme="minorHAnsi"/>
          <w:sz w:val="24"/>
          <w:szCs w:val="24"/>
        </w:rPr>
        <w:t>ých</w:t>
      </w:r>
      <w:r w:rsidR="00330523">
        <w:rPr>
          <w:rFonts w:cstheme="minorHAnsi"/>
          <w:sz w:val="24"/>
          <w:szCs w:val="24"/>
        </w:rPr>
        <w:t xml:space="preserve"> opatření vedl</w:t>
      </w:r>
      <w:r w:rsidR="00365E11">
        <w:rPr>
          <w:rFonts w:cstheme="minorHAnsi"/>
          <w:sz w:val="24"/>
          <w:szCs w:val="24"/>
        </w:rPr>
        <w:t>a</w:t>
      </w:r>
      <w:r w:rsidR="00330523">
        <w:rPr>
          <w:rFonts w:cstheme="minorHAnsi"/>
          <w:sz w:val="24"/>
          <w:szCs w:val="24"/>
        </w:rPr>
        <w:t xml:space="preserve"> k plnění cílů Strategie.</w:t>
      </w:r>
    </w:p>
    <w:p w14:paraId="01D4D086" w14:textId="77777777" w:rsidR="008C7630" w:rsidRDefault="008C7630" w:rsidP="008C7630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5C50450C" w14:textId="3ED90832" w:rsidR="008C7630" w:rsidRDefault="008C7630" w:rsidP="008C7630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Vyhodnocení</w:t>
      </w:r>
      <w:r w:rsidRPr="005108D2">
        <w:rPr>
          <w:rFonts w:cstheme="minorHAnsi"/>
          <w:sz w:val="24"/>
          <w:szCs w:val="24"/>
          <w:lang w:eastAsia="cs-CZ"/>
        </w:rPr>
        <w:t xml:space="preserve"> naplňování jednotlivých opatření MF </w:t>
      </w:r>
      <w:r>
        <w:rPr>
          <w:rFonts w:cstheme="minorHAnsi"/>
          <w:sz w:val="24"/>
          <w:szCs w:val="24"/>
          <w:lang w:eastAsia="cs-CZ"/>
        </w:rPr>
        <w:t xml:space="preserve">provedlo jednou ročně dotazníkovou metodou. </w:t>
      </w:r>
      <w:r w:rsidRPr="005108D2">
        <w:rPr>
          <w:rFonts w:cstheme="minorHAnsi"/>
          <w:sz w:val="24"/>
          <w:szCs w:val="24"/>
          <w:lang w:eastAsia="cs-CZ"/>
        </w:rPr>
        <w:t xml:space="preserve">Vyplněné dotazníky </w:t>
      </w:r>
      <w:r>
        <w:rPr>
          <w:rFonts w:cstheme="minorHAnsi"/>
          <w:sz w:val="24"/>
          <w:szCs w:val="24"/>
          <w:lang w:eastAsia="cs-CZ"/>
        </w:rPr>
        <w:t xml:space="preserve">zpracované </w:t>
      </w:r>
      <w:r w:rsidRPr="005108D2">
        <w:rPr>
          <w:rFonts w:cstheme="minorHAnsi"/>
          <w:sz w:val="24"/>
          <w:szCs w:val="24"/>
          <w:lang w:eastAsia="cs-CZ"/>
        </w:rPr>
        <w:t>jednotlivý</w:t>
      </w:r>
      <w:r>
        <w:rPr>
          <w:rFonts w:cstheme="minorHAnsi"/>
          <w:sz w:val="24"/>
          <w:szCs w:val="24"/>
          <w:lang w:eastAsia="cs-CZ"/>
        </w:rPr>
        <w:t>mi</w:t>
      </w:r>
      <w:r w:rsidRPr="005108D2">
        <w:rPr>
          <w:rFonts w:cstheme="minorHAnsi"/>
          <w:sz w:val="24"/>
          <w:szCs w:val="24"/>
          <w:lang w:eastAsia="cs-CZ"/>
        </w:rPr>
        <w:t xml:space="preserve"> ministerstv</w:t>
      </w:r>
      <w:r>
        <w:rPr>
          <w:rFonts w:cstheme="minorHAnsi"/>
          <w:sz w:val="24"/>
          <w:szCs w:val="24"/>
          <w:lang w:eastAsia="cs-CZ"/>
        </w:rPr>
        <w:t>y</w:t>
      </w:r>
      <w:r w:rsidRPr="005108D2">
        <w:rPr>
          <w:rFonts w:cstheme="minorHAnsi"/>
          <w:sz w:val="24"/>
          <w:szCs w:val="24"/>
          <w:lang w:eastAsia="cs-CZ"/>
        </w:rPr>
        <w:t xml:space="preserve"> tvořily přílohu </w:t>
      </w:r>
      <w:r w:rsidR="00611D03">
        <w:rPr>
          <w:rFonts w:cstheme="minorHAnsi"/>
          <w:sz w:val="24"/>
          <w:szCs w:val="24"/>
          <w:lang w:eastAsia="cs-CZ"/>
        </w:rPr>
        <w:t>z</w:t>
      </w:r>
      <w:r w:rsidRPr="005108D2">
        <w:rPr>
          <w:rFonts w:cstheme="minorHAnsi"/>
          <w:sz w:val="24"/>
          <w:szCs w:val="24"/>
          <w:lang w:eastAsia="cs-CZ"/>
        </w:rPr>
        <w:t xml:space="preserve">práv </w:t>
      </w:r>
      <w:r w:rsidRPr="005108D2">
        <w:rPr>
          <w:rFonts w:cstheme="minorHAnsi"/>
          <w:sz w:val="24"/>
          <w:szCs w:val="24"/>
          <w:lang w:eastAsia="cs-CZ"/>
        </w:rPr>
        <w:lastRenderedPageBreak/>
        <w:t>o</w:t>
      </w:r>
      <w:r w:rsidR="00DF24D5">
        <w:rPr>
          <w:rFonts w:cstheme="minorHAnsi"/>
          <w:sz w:val="24"/>
          <w:szCs w:val="24"/>
          <w:lang w:eastAsia="cs-CZ"/>
        </w:rPr>
        <w:t> </w:t>
      </w:r>
      <w:r w:rsidRPr="005108D2">
        <w:rPr>
          <w:rFonts w:cstheme="minorHAnsi"/>
          <w:sz w:val="24"/>
          <w:szCs w:val="24"/>
          <w:lang w:eastAsia="cs-CZ"/>
        </w:rPr>
        <w:t>plnění Strategie</w:t>
      </w:r>
      <w:r>
        <w:rPr>
          <w:rFonts w:cstheme="minorHAnsi"/>
          <w:sz w:val="24"/>
          <w:szCs w:val="24"/>
          <w:lang w:eastAsia="cs-CZ"/>
        </w:rPr>
        <w:t>.</w:t>
      </w:r>
      <w:r w:rsidRPr="005108D2">
        <w:rPr>
          <w:rFonts w:cstheme="minorHAnsi"/>
          <w:sz w:val="24"/>
          <w:szCs w:val="24"/>
          <w:lang w:eastAsia="cs-CZ"/>
        </w:rPr>
        <w:t xml:space="preserve"> </w:t>
      </w:r>
      <w:r>
        <w:rPr>
          <w:rFonts w:cstheme="minorHAnsi"/>
          <w:sz w:val="24"/>
          <w:szCs w:val="24"/>
          <w:lang w:eastAsia="cs-CZ"/>
        </w:rPr>
        <w:t>Z</w:t>
      </w:r>
      <w:r w:rsidRPr="005108D2">
        <w:rPr>
          <w:rFonts w:cstheme="minorHAnsi"/>
          <w:sz w:val="24"/>
          <w:szCs w:val="24"/>
          <w:lang w:eastAsia="cs-CZ"/>
        </w:rPr>
        <w:t xml:space="preserve">a správnost informací uvedených v dotaznících odpovídalo příslušné ministerstvo. </w:t>
      </w:r>
    </w:p>
    <w:p w14:paraId="0E75C930" w14:textId="77777777" w:rsidR="008C7630" w:rsidRDefault="008C7630" w:rsidP="008C7630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57B3E92A" w14:textId="0237B362" w:rsidR="008C7630" w:rsidRDefault="008C7630" w:rsidP="008C7630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NKÚ zjistil, že MF, MPO a </w:t>
      </w:r>
      <w:proofErr w:type="spellStart"/>
      <w:r>
        <w:rPr>
          <w:rFonts w:cstheme="minorHAnsi"/>
          <w:sz w:val="24"/>
          <w:szCs w:val="24"/>
          <w:lang w:eastAsia="cs-CZ"/>
        </w:rPr>
        <w:t>MZe</w:t>
      </w:r>
      <w:proofErr w:type="spellEnd"/>
      <w:r>
        <w:rPr>
          <w:rFonts w:cstheme="minorHAnsi"/>
          <w:sz w:val="24"/>
          <w:szCs w:val="24"/>
          <w:lang w:eastAsia="cs-CZ"/>
        </w:rPr>
        <w:t xml:space="preserve"> ve </w:t>
      </w:r>
      <w:r w:rsidR="00611D03">
        <w:rPr>
          <w:rFonts w:cstheme="minorHAnsi"/>
          <w:sz w:val="24"/>
          <w:szCs w:val="24"/>
          <w:lang w:eastAsia="cs-CZ"/>
        </w:rPr>
        <w:t>z</w:t>
      </w:r>
      <w:r>
        <w:rPr>
          <w:rFonts w:cstheme="minorHAnsi"/>
          <w:sz w:val="24"/>
          <w:szCs w:val="24"/>
          <w:lang w:eastAsia="cs-CZ"/>
        </w:rPr>
        <w:t xml:space="preserve">právách o plnění Strategie uváděly, že opatření plní, přestože tato ministerstva některá opatření neplnila. </w:t>
      </w:r>
      <w:r w:rsidR="00EF468F">
        <w:rPr>
          <w:rFonts w:cstheme="minorHAnsi"/>
          <w:sz w:val="24"/>
          <w:szCs w:val="24"/>
          <w:lang w:eastAsia="cs-CZ"/>
        </w:rPr>
        <w:t>Jednalo se např. o op</w:t>
      </w:r>
      <w:r>
        <w:rPr>
          <w:rFonts w:cstheme="minorHAnsi"/>
          <w:sz w:val="24"/>
          <w:szCs w:val="24"/>
          <w:lang w:eastAsia="cs-CZ"/>
        </w:rPr>
        <w:t>atření č. 8</w:t>
      </w:r>
      <w:r w:rsidR="00EF468F">
        <w:rPr>
          <w:rFonts w:cstheme="minorHAnsi"/>
          <w:sz w:val="24"/>
          <w:szCs w:val="24"/>
          <w:lang w:eastAsia="cs-CZ"/>
        </w:rPr>
        <w:t xml:space="preserve"> ukládající</w:t>
      </w:r>
      <w:r w:rsidR="00DF24D5">
        <w:rPr>
          <w:rFonts w:cstheme="minorHAnsi"/>
          <w:sz w:val="24"/>
          <w:szCs w:val="24"/>
          <w:lang w:eastAsia="cs-CZ"/>
        </w:rPr>
        <w:t xml:space="preserve"> </w:t>
      </w:r>
      <w:r>
        <w:rPr>
          <w:rFonts w:cstheme="minorHAnsi"/>
          <w:sz w:val="24"/>
          <w:szCs w:val="24"/>
          <w:lang w:eastAsia="cs-CZ"/>
        </w:rPr>
        <w:t xml:space="preserve">povinnost vytvořit profily na pozice jednotlivých členů orgánů </w:t>
      </w:r>
      <w:r w:rsidR="00792919">
        <w:rPr>
          <w:rFonts w:cstheme="minorHAnsi"/>
          <w:sz w:val="24"/>
          <w:szCs w:val="24"/>
          <w:lang w:eastAsia="cs-CZ"/>
        </w:rPr>
        <w:t xml:space="preserve">obchodních </w:t>
      </w:r>
      <w:r>
        <w:rPr>
          <w:rFonts w:cstheme="minorHAnsi"/>
          <w:sz w:val="24"/>
          <w:szCs w:val="24"/>
          <w:lang w:eastAsia="cs-CZ"/>
        </w:rPr>
        <w:t xml:space="preserve">společností </w:t>
      </w:r>
      <w:r w:rsidR="00792919">
        <w:rPr>
          <w:rFonts w:cstheme="minorHAnsi"/>
          <w:sz w:val="24"/>
          <w:szCs w:val="24"/>
          <w:lang w:eastAsia="cs-CZ"/>
        </w:rPr>
        <w:t xml:space="preserve">včetně jejich kvalifikačních předpokladů </w:t>
      </w:r>
      <w:r>
        <w:rPr>
          <w:rFonts w:cstheme="minorHAnsi"/>
          <w:sz w:val="24"/>
          <w:szCs w:val="24"/>
          <w:lang w:eastAsia="cs-CZ"/>
        </w:rPr>
        <w:t xml:space="preserve">nebo opatření č. 18 týkající se zveřejňování </w:t>
      </w:r>
      <w:r w:rsidR="00792919">
        <w:rPr>
          <w:rFonts w:cstheme="minorHAnsi"/>
          <w:sz w:val="24"/>
          <w:szCs w:val="24"/>
          <w:lang w:eastAsia="cs-CZ"/>
        </w:rPr>
        <w:t>vybraných informací v souladu s právními předpisy strategickými obchodními</w:t>
      </w:r>
      <w:r>
        <w:rPr>
          <w:rFonts w:cstheme="minorHAnsi"/>
          <w:sz w:val="24"/>
          <w:szCs w:val="24"/>
          <w:lang w:eastAsia="cs-CZ"/>
        </w:rPr>
        <w:t xml:space="preserve"> společnostmi. </w:t>
      </w:r>
      <w:r w:rsidRPr="005108D2">
        <w:rPr>
          <w:rFonts w:cstheme="minorHAnsi"/>
          <w:sz w:val="24"/>
          <w:szCs w:val="24"/>
          <w:lang w:eastAsia="cs-CZ"/>
        </w:rPr>
        <w:t>NKÚ zjistil, že zvolený způsob vyhodnoc</w:t>
      </w:r>
      <w:r>
        <w:rPr>
          <w:rFonts w:cstheme="minorHAnsi"/>
          <w:sz w:val="24"/>
          <w:szCs w:val="24"/>
          <w:lang w:eastAsia="cs-CZ"/>
        </w:rPr>
        <w:t xml:space="preserve">ení plnění Strategie </w:t>
      </w:r>
      <w:r w:rsidRPr="005108D2">
        <w:rPr>
          <w:rFonts w:cstheme="minorHAnsi"/>
          <w:sz w:val="24"/>
          <w:szCs w:val="24"/>
          <w:lang w:eastAsia="cs-CZ"/>
        </w:rPr>
        <w:t xml:space="preserve">byl pouze formální. </w:t>
      </w:r>
    </w:p>
    <w:p w14:paraId="1B674994" w14:textId="77777777" w:rsidR="00EA2E7F" w:rsidRPr="003968C0" w:rsidRDefault="00EA2E7F" w:rsidP="00461D1D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1916EC17" w14:textId="2DE96EB9" w:rsidR="00EA2E7F" w:rsidRDefault="00EA2E7F" w:rsidP="00EA2E7F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NKÚ zjistil, že MF, MPO a </w:t>
      </w:r>
      <w:proofErr w:type="spellStart"/>
      <w:r>
        <w:rPr>
          <w:rFonts w:cstheme="minorHAnsi"/>
          <w:bCs/>
          <w:iCs/>
          <w:sz w:val="24"/>
          <w:szCs w:val="24"/>
        </w:rPr>
        <w:t>MZe</w:t>
      </w:r>
      <w:proofErr w:type="spellEnd"/>
      <w:r>
        <w:rPr>
          <w:rFonts w:cstheme="minorHAnsi"/>
          <w:bCs/>
          <w:iCs/>
          <w:sz w:val="24"/>
          <w:szCs w:val="24"/>
        </w:rPr>
        <w:t xml:space="preserve"> </w:t>
      </w:r>
      <w:r w:rsidR="007B7A7C">
        <w:rPr>
          <w:rFonts w:cstheme="minorHAnsi"/>
          <w:bCs/>
          <w:iCs/>
          <w:sz w:val="24"/>
          <w:szCs w:val="24"/>
        </w:rPr>
        <w:t xml:space="preserve">nepostupovaly </w:t>
      </w:r>
      <w:r w:rsidRPr="006906E1">
        <w:rPr>
          <w:rFonts w:cstheme="minorHAnsi"/>
          <w:bCs/>
          <w:iCs/>
          <w:sz w:val="24"/>
          <w:szCs w:val="24"/>
        </w:rPr>
        <w:t>v </w:t>
      </w:r>
      <w:r>
        <w:rPr>
          <w:rFonts w:cstheme="minorHAnsi"/>
          <w:bCs/>
          <w:iCs/>
          <w:sz w:val="24"/>
          <w:szCs w:val="24"/>
        </w:rPr>
        <w:t>souladu</w:t>
      </w:r>
      <w:r w:rsidRPr="006906E1">
        <w:rPr>
          <w:rFonts w:cstheme="minorHAnsi"/>
          <w:bCs/>
          <w:iCs/>
          <w:sz w:val="24"/>
          <w:szCs w:val="24"/>
        </w:rPr>
        <w:t xml:space="preserve"> s</w:t>
      </w:r>
      <w:r>
        <w:rPr>
          <w:rFonts w:cstheme="minorHAnsi"/>
          <w:bCs/>
          <w:iCs/>
          <w:sz w:val="24"/>
          <w:szCs w:val="24"/>
        </w:rPr>
        <w:t> ustanovením § 21 kompetenčního zákona, protože se neřídily</w:t>
      </w:r>
      <w:r w:rsidR="00611D03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7B7A7C">
        <w:rPr>
          <w:rFonts w:cstheme="minorHAnsi"/>
          <w:bCs/>
          <w:iCs/>
          <w:sz w:val="24"/>
          <w:szCs w:val="24"/>
        </w:rPr>
        <w:t xml:space="preserve">při plnění </w:t>
      </w:r>
      <w:r w:rsidR="005B41C1">
        <w:rPr>
          <w:rFonts w:cstheme="minorHAnsi"/>
          <w:bCs/>
          <w:iCs/>
          <w:sz w:val="24"/>
          <w:szCs w:val="24"/>
        </w:rPr>
        <w:t xml:space="preserve">některých </w:t>
      </w:r>
      <w:r w:rsidR="007B7A7C">
        <w:rPr>
          <w:rFonts w:cstheme="minorHAnsi"/>
          <w:bCs/>
          <w:iCs/>
          <w:sz w:val="24"/>
          <w:szCs w:val="24"/>
        </w:rPr>
        <w:t xml:space="preserve">opatření </w:t>
      </w:r>
      <w:r w:rsidRPr="00366265">
        <w:rPr>
          <w:rFonts w:ascii="Calibri" w:hAnsi="Calibri" w:cs="Calibri"/>
          <w:bCs/>
          <w:iCs/>
          <w:sz w:val="24"/>
          <w:szCs w:val="24"/>
        </w:rPr>
        <w:t>usnesením vlády</w:t>
      </w:r>
      <w:r w:rsidRPr="00366265">
        <w:t xml:space="preserve"> </w:t>
      </w:r>
      <w:r w:rsidRPr="00366265">
        <w:rPr>
          <w:sz w:val="24"/>
          <w:szCs w:val="24"/>
        </w:rPr>
        <w:t>č.</w:t>
      </w:r>
      <w:r>
        <w:rPr>
          <w:sz w:val="24"/>
          <w:szCs w:val="24"/>
        </w:rPr>
        <w:t> 115</w:t>
      </w:r>
      <w:r w:rsidR="007B7A7C">
        <w:rPr>
          <w:sz w:val="24"/>
          <w:szCs w:val="24"/>
        </w:rPr>
        <w:t>.</w:t>
      </w:r>
    </w:p>
    <w:p w14:paraId="120BF168" w14:textId="77777777" w:rsidR="007B7A7C" w:rsidRDefault="007B7A7C" w:rsidP="00EA2E7F">
      <w:pPr>
        <w:spacing w:after="0" w:line="240" w:lineRule="auto"/>
        <w:jc w:val="both"/>
        <w:rPr>
          <w:sz w:val="24"/>
          <w:szCs w:val="24"/>
        </w:rPr>
      </w:pPr>
    </w:p>
    <w:p w14:paraId="71788402" w14:textId="4AE82830" w:rsidR="00461D1D" w:rsidRDefault="007F68A4" w:rsidP="00461D1D">
      <w:pPr>
        <w:spacing w:after="0" w:line="240" w:lineRule="auto"/>
        <w:jc w:val="both"/>
        <w:rPr>
          <w:b/>
          <w:bCs/>
          <w:sz w:val="24"/>
          <w:szCs w:val="24"/>
        </w:rPr>
      </w:pPr>
      <w:r w:rsidRPr="007F65BC">
        <w:rPr>
          <w:b/>
          <w:bCs/>
          <w:sz w:val="24"/>
          <w:szCs w:val="24"/>
        </w:rPr>
        <w:t xml:space="preserve">NKÚ doporučuje </w:t>
      </w:r>
      <w:r w:rsidR="002463C4">
        <w:rPr>
          <w:b/>
          <w:bCs/>
          <w:sz w:val="24"/>
          <w:szCs w:val="24"/>
        </w:rPr>
        <w:t xml:space="preserve">v návaznosti na skutečnosti uvedené </w:t>
      </w:r>
      <w:r w:rsidR="00EA2E7F">
        <w:rPr>
          <w:b/>
          <w:bCs/>
          <w:sz w:val="24"/>
          <w:szCs w:val="24"/>
        </w:rPr>
        <w:t xml:space="preserve">v bodech 3.1 až 3.6 </w:t>
      </w:r>
      <w:r w:rsidRPr="007F65BC">
        <w:rPr>
          <w:b/>
          <w:bCs/>
          <w:sz w:val="24"/>
          <w:szCs w:val="24"/>
        </w:rPr>
        <w:t xml:space="preserve">aktualizovat </w:t>
      </w:r>
      <w:r>
        <w:rPr>
          <w:b/>
          <w:bCs/>
          <w:sz w:val="24"/>
          <w:szCs w:val="24"/>
        </w:rPr>
        <w:t>opatření k plnění Strategie</w:t>
      </w:r>
      <w:r w:rsidR="005B41C1">
        <w:rPr>
          <w:b/>
          <w:bCs/>
          <w:sz w:val="24"/>
          <w:szCs w:val="24"/>
        </w:rPr>
        <w:t>.</w:t>
      </w:r>
      <w:r w:rsidR="002463C4">
        <w:rPr>
          <w:b/>
          <w:bCs/>
          <w:sz w:val="24"/>
          <w:szCs w:val="24"/>
        </w:rPr>
        <w:t xml:space="preserve"> </w:t>
      </w:r>
    </w:p>
    <w:p w14:paraId="0201798E" w14:textId="77777777" w:rsidR="00EA2E7F" w:rsidRDefault="00EA2E7F" w:rsidP="00461D1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60A54A6" w14:textId="1491293B" w:rsidR="004F027F" w:rsidRDefault="007F68A4" w:rsidP="00F35D0C">
      <w:pPr>
        <w:spacing w:after="0" w:line="240" w:lineRule="auto"/>
        <w:ind w:left="425" w:hanging="425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3.</w:t>
      </w:r>
      <w:r w:rsidR="00B26440">
        <w:rPr>
          <w:rFonts w:ascii="Calibri" w:hAnsi="Calibri" w:cs="Calibri"/>
          <w:b/>
          <w:iCs/>
          <w:sz w:val="24"/>
          <w:szCs w:val="24"/>
        </w:rPr>
        <w:t>7</w:t>
      </w:r>
      <w:r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7E1C96">
        <w:rPr>
          <w:rFonts w:ascii="Calibri" w:hAnsi="Calibri" w:cs="Calibri"/>
          <w:b/>
          <w:iCs/>
          <w:sz w:val="24"/>
          <w:szCs w:val="24"/>
        </w:rPr>
        <w:t>MF a MPO nezajistil</w:t>
      </w:r>
      <w:r w:rsidR="004D62C7">
        <w:rPr>
          <w:rFonts w:ascii="Calibri" w:hAnsi="Calibri" w:cs="Calibri"/>
          <w:b/>
          <w:iCs/>
          <w:sz w:val="24"/>
          <w:szCs w:val="24"/>
        </w:rPr>
        <w:t>y</w:t>
      </w:r>
      <w:r w:rsidR="007E1C96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DD09A2">
        <w:rPr>
          <w:rFonts w:ascii="Calibri" w:hAnsi="Calibri" w:cs="Calibri"/>
          <w:b/>
          <w:iCs/>
          <w:sz w:val="24"/>
          <w:szCs w:val="24"/>
        </w:rPr>
        <w:t>zapracování</w:t>
      </w:r>
      <w:r w:rsidR="007E1C96">
        <w:rPr>
          <w:rFonts w:ascii="Calibri" w:hAnsi="Calibri" w:cs="Calibri"/>
          <w:b/>
          <w:iCs/>
          <w:sz w:val="24"/>
          <w:szCs w:val="24"/>
        </w:rPr>
        <w:t xml:space="preserve"> Zásad odměňování do stanov obchodních společností</w:t>
      </w:r>
    </w:p>
    <w:p w14:paraId="055E6509" w14:textId="77777777" w:rsidR="006906E1" w:rsidRDefault="006906E1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1156C025" w14:textId="6588302A" w:rsidR="004F027F" w:rsidRDefault="007F68A4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E1C96">
        <w:rPr>
          <w:rFonts w:ascii="Calibri" w:hAnsi="Calibri" w:cs="Calibri"/>
          <w:bCs/>
          <w:iCs/>
          <w:sz w:val="24"/>
          <w:szCs w:val="24"/>
        </w:rPr>
        <w:t>K odmě</w:t>
      </w:r>
      <w:r>
        <w:rPr>
          <w:rFonts w:ascii="Calibri" w:hAnsi="Calibri" w:cs="Calibri"/>
          <w:bCs/>
          <w:iCs/>
          <w:sz w:val="24"/>
          <w:szCs w:val="24"/>
        </w:rPr>
        <w:t>ň</w:t>
      </w:r>
      <w:r w:rsidRPr="007E1C96">
        <w:rPr>
          <w:rFonts w:ascii="Calibri" w:hAnsi="Calibri" w:cs="Calibri"/>
          <w:bCs/>
          <w:iCs/>
          <w:sz w:val="24"/>
          <w:szCs w:val="24"/>
        </w:rPr>
        <w:t>ování členů představenstev a dozorčích rad obchodních společností schválila vláda</w:t>
      </w:r>
      <w:r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36"/>
      </w:r>
      <w:r w:rsidR="004A4DCD">
        <w:rPr>
          <w:rFonts w:ascii="Calibri" w:hAnsi="Calibri" w:cs="Calibri"/>
          <w:bCs/>
          <w:iCs/>
          <w:sz w:val="24"/>
          <w:szCs w:val="24"/>
        </w:rPr>
        <w:t xml:space="preserve"> Zásady odměňování, které měly sloužit k transparentnímu a objektivnímu nastavení pravidel pro vyplácení odměn vedoucím zaměstnancům a členům orgánů obchodních společností s majetkovou účastí státu. MF je povinno jednou ročně předkládat vládě informaci o stavu jejich plnění. </w:t>
      </w:r>
    </w:p>
    <w:p w14:paraId="481615EC" w14:textId="77777777" w:rsidR="004A4DCD" w:rsidRDefault="004A4DCD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1253C758" w14:textId="6F498AEB" w:rsidR="004A4DCD" w:rsidRDefault="007F68A4" w:rsidP="00BB18DF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NKÚ zjistil, že MF </w:t>
      </w:r>
      <w:r w:rsidR="00A17A6F">
        <w:rPr>
          <w:rFonts w:ascii="Calibri" w:hAnsi="Calibri" w:cs="Calibri"/>
          <w:bCs/>
          <w:iCs/>
          <w:sz w:val="24"/>
          <w:szCs w:val="24"/>
        </w:rPr>
        <w:t xml:space="preserve">porušilo Zásady odměňování, jelikož </w:t>
      </w:r>
      <w:r>
        <w:rPr>
          <w:rFonts w:ascii="Calibri" w:hAnsi="Calibri" w:cs="Calibri"/>
          <w:bCs/>
          <w:iCs/>
          <w:sz w:val="24"/>
          <w:szCs w:val="24"/>
        </w:rPr>
        <w:t xml:space="preserve">nezajistilo u obchodních společností Kongresové centrum Praha, </w:t>
      </w:r>
      <w:r w:rsidR="00594FD6">
        <w:rPr>
          <w:rFonts w:ascii="Calibri" w:hAnsi="Calibri" w:cs="Calibri"/>
          <w:bCs/>
          <w:iCs/>
          <w:sz w:val="24"/>
          <w:szCs w:val="24"/>
        </w:rPr>
        <w:t>a.s.</w:t>
      </w:r>
      <w:r>
        <w:rPr>
          <w:rFonts w:ascii="Calibri" w:hAnsi="Calibri" w:cs="Calibri"/>
          <w:bCs/>
          <w:iCs/>
          <w:sz w:val="24"/>
          <w:szCs w:val="24"/>
        </w:rPr>
        <w:t xml:space="preserve">, VZLU AEROSPACE, </w:t>
      </w:r>
      <w:r w:rsidR="00594FD6">
        <w:rPr>
          <w:rFonts w:ascii="Calibri" w:hAnsi="Calibri" w:cs="Calibri"/>
          <w:bCs/>
          <w:iCs/>
          <w:sz w:val="24"/>
          <w:szCs w:val="24"/>
        </w:rPr>
        <w:t>a.s.</w:t>
      </w:r>
      <w:r w:rsidR="00611D03">
        <w:rPr>
          <w:rFonts w:ascii="Calibri" w:hAnsi="Calibri" w:cs="Calibri"/>
          <w:bCs/>
          <w:iCs/>
          <w:sz w:val="24"/>
          <w:szCs w:val="24"/>
        </w:rPr>
        <w:t>,</w:t>
      </w:r>
      <w:r>
        <w:rPr>
          <w:rFonts w:ascii="Calibri" w:hAnsi="Calibri" w:cs="Calibri"/>
          <w:bCs/>
          <w:iCs/>
          <w:sz w:val="24"/>
          <w:szCs w:val="24"/>
        </w:rPr>
        <w:t xml:space="preserve"> a THERMAL-F, </w:t>
      </w:r>
      <w:r w:rsidR="00594FD6">
        <w:rPr>
          <w:rFonts w:ascii="Calibri" w:hAnsi="Calibri" w:cs="Calibri"/>
          <w:bCs/>
          <w:iCs/>
          <w:sz w:val="24"/>
          <w:szCs w:val="24"/>
        </w:rPr>
        <w:t>a.s.</w:t>
      </w:r>
      <w:r w:rsidR="00611D03">
        <w:rPr>
          <w:rFonts w:ascii="Calibri" w:hAnsi="Calibri" w:cs="Calibri"/>
          <w:bCs/>
          <w:iCs/>
          <w:sz w:val="24"/>
          <w:szCs w:val="24"/>
        </w:rPr>
        <w:t>,</w:t>
      </w:r>
      <w:r>
        <w:rPr>
          <w:rFonts w:ascii="Calibri" w:hAnsi="Calibri" w:cs="Calibri"/>
          <w:bCs/>
          <w:iCs/>
          <w:sz w:val="24"/>
          <w:szCs w:val="24"/>
        </w:rPr>
        <w:t xml:space="preserve"> zakotvení povinnosti ročního projednávání odměňování členů říd</w:t>
      </w:r>
      <w:r w:rsidR="00611D03">
        <w:rPr>
          <w:rFonts w:ascii="Calibri" w:hAnsi="Calibri" w:cs="Calibri"/>
          <w:bCs/>
          <w:iCs/>
          <w:sz w:val="24"/>
          <w:szCs w:val="24"/>
        </w:rPr>
        <w:t>i</w:t>
      </w:r>
      <w:r>
        <w:rPr>
          <w:rFonts w:ascii="Calibri" w:hAnsi="Calibri" w:cs="Calibri"/>
          <w:bCs/>
          <w:iCs/>
          <w:sz w:val="24"/>
          <w:szCs w:val="24"/>
        </w:rPr>
        <w:t>cích orgánů a vedoucích zaměstnanců do sta</w:t>
      </w:r>
      <w:r w:rsidR="000716FC">
        <w:rPr>
          <w:rFonts w:ascii="Calibri" w:hAnsi="Calibri" w:cs="Calibri"/>
          <w:bCs/>
          <w:iCs/>
          <w:sz w:val="24"/>
          <w:szCs w:val="24"/>
        </w:rPr>
        <w:t>no</w:t>
      </w:r>
      <w:r>
        <w:rPr>
          <w:rFonts w:ascii="Calibri" w:hAnsi="Calibri" w:cs="Calibri"/>
          <w:bCs/>
          <w:iCs/>
          <w:sz w:val="24"/>
          <w:szCs w:val="24"/>
        </w:rPr>
        <w:t xml:space="preserve">v. </w:t>
      </w:r>
      <w:r w:rsidR="00EF1AAD">
        <w:rPr>
          <w:rFonts w:ascii="Calibri" w:hAnsi="Calibri" w:cs="Calibri"/>
          <w:bCs/>
          <w:iCs/>
          <w:sz w:val="24"/>
          <w:szCs w:val="24"/>
        </w:rPr>
        <w:t>S</w:t>
      </w:r>
      <w:r>
        <w:rPr>
          <w:rFonts w:ascii="Calibri" w:hAnsi="Calibri" w:cs="Calibri"/>
          <w:bCs/>
          <w:iCs/>
          <w:sz w:val="24"/>
          <w:szCs w:val="24"/>
        </w:rPr>
        <w:t>tanov</w:t>
      </w:r>
      <w:r w:rsidR="00EF1AAD">
        <w:rPr>
          <w:rFonts w:ascii="Calibri" w:hAnsi="Calibri" w:cs="Calibri"/>
          <w:bCs/>
          <w:iCs/>
          <w:sz w:val="24"/>
          <w:szCs w:val="24"/>
        </w:rPr>
        <w:t>y</w:t>
      </w:r>
      <w:r>
        <w:rPr>
          <w:rFonts w:ascii="Calibri" w:hAnsi="Calibri" w:cs="Calibri"/>
          <w:bCs/>
          <w:iCs/>
          <w:sz w:val="24"/>
          <w:szCs w:val="24"/>
        </w:rPr>
        <w:t xml:space="preserve"> obchodní společnosti Letiště Praha, </w:t>
      </w:r>
      <w:r w:rsidR="00594FD6">
        <w:rPr>
          <w:rFonts w:ascii="Calibri" w:hAnsi="Calibri" w:cs="Calibri"/>
          <w:bCs/>
          <w:iCs/>
          <w:sz w:val="24"/>
          <w:szCs w:val="24"/>
        </w:rPr>
        <w:t>a.</w:t>
      </w:r>
      <w:r w:rsidR="00151FF6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594FD6">
        <w:rPr>
          <w:rFonts w:ascii="Calibri" w:hAnsi="Calibri" w:cs="Calibri"/>
          <w:bCs/>
          <w:iCs/>
          <w:sz w:val="24"/>
          <w:szCs w:val="24"/>
        </w:rPr>
        <w:t>s.</w:t>
      </w:r>
      <w:r w:rsidR="00611D03">
        <w:rPr>
          <w:rFonts w:ascii="Calibri" w:hAnsi="Calibri" w:cs="Calibri"/>
          <w:bCs/>
          <w:iCs/>
          <w:sz w:val="24"/>
          <w:szCs w:val="24"/>
        </w:rPr>
        <w:t>,</w:t>
      </w:r>
      <w:r w:rsidR="004D62C7">
        <w:rPr>
          <w:rFonts w:ascii="Calibri" w:hAnsi="Calibri" w:cs="Calibri"/>
          <w:bCs/>
          <w:iCs/>
          <w:sz w:val="24"/>
          <w:szCs w:val="24"/>
        </w:rPr>
        <w:t xml:space="preserve"> </w:t>
      </w:r>
      <w:r>
        <w:rPr>
          <w:rFonts w:ascii="Calibri" w:hAnsi="Calibri" w:cs="Calibri"/>
          <w:bCs/>
          <w:iCs/>
          <w:sz w:val="24"/>
          <w:szCs w:val="24"/>
        </w:rPr>
        <w:t>MF sice povinnost informovat dozorčí radu o odměňování zaměstnanců</w:t>
      </w:r>
      <w:r w:rsidR="006E4CB0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EF1AAD">
        <w:rPr>
          <w:rFonts w:ascii="Calibri" w:hAnsi="Calibri" w:cs="Calibri"/>
          <w:bCs/>
          <w:iCs/>
          <w:sz w:val="24"/>
          <w:szCs w:val="24"/>
        </w:rPr>
        <w:t>zakotvilo</w:t>
      </w:r>
      <w:r w:rsidR="006E4CB0">
        <w:rPr>
          <w:rFonts w:ascii="Calibri" w:hAnsi="Calibri" w:cs="Calibri"/>
          <w:bCs/>
          <w:iCs/>
          <w:sz w:val="24"/>
          <w:szCs w:val="24"/>
        </w:rPr>
        <w:t xml:space="preserve">, ale dozorčí rada již neměla povinnost odměňování projednat nebo k němu vydat stanovisko. </w:t>
      </w:r>
    </w:p>
    <w:p w14:paraId="33132ED2" w14:textId="77777777" w:rsidR="002B5D9B" w:rsidRDefault="002B5D9B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01F7FC72" w14:textId="0C34582F" w:rsidR="006E4CB0" w:rsidRDefault="007F68A4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Dále NKÚ zjistil, že MPO nezajistilo ve stanovách obchodních společností ČEPS, </w:t>
      </w:r>
      <w:r w:rsidR="00594FD6">
        <w:rPr>
          <w:rFonts w:ascii="Calibri" w:hAnsi="Calibri" w:cs="Calibri"/>
          <w:bCs/>
          <w:iCs/>
          <w:sz w:val="24"/>
          <w:szCs w:val="24"/>
        </w:rPr>
        <w:t>a.s.</w:t>
      </w:r>
      <w:r>
        <w:rPr>
          <w:rFonts w:ascii="Calibri" w:hAnsi="Calibri" w:cs="Calibri"/>
          <w:bCs/>
          <w:iCs/>
          <w:sz w:val="24"/>
          <w:szCs w:val="24"/>
        </w:rPr>
        <w:t xml:space="preserve">, OTE, </w:t>
      </w:r>
      <w:r w:rsidR="00594FD6">
        <w:rPr>
          <w:rFonts w:ascii="Calibri" w:hAnsi="Calibri" w:cs="Calibri"/>
          <w:bCs/>
          <w:iCs/>
          <w:sz w:val="24"/>
          <w:szCs w:val="24"/>
        </w:rPr>
        <w:t>a.s.</w:t>
      </w:r>
      <w:r w:rsidR="00611D03">
        <w:rPr>
          <w:rFonts w:ascii="Calibri" w:hAnsi="Calibri" w:cs="Calibri"/>
          <w:bCs/>
          <w:iCs/>
          <w:sz w:val="24"/>
          <w:szCs w:val="24"/>
        </w:rPr>
        <w:t>,</w:t>
      </w:r>
      <w:r>
        <w:rPr>
          <w:rFonts w:ascii="Calibri" w:hAnsi="Calibri" w:cs="Calibri"/>
          <w:bCs/>
          <w:iCs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Explosia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594FD6">
        <w:rPr>
          <w:rFonts w:ascii="Calibri" w:hAnsi="Calibri" w:cs="Calibri"/>
          <w:bCs/>
          <w:iCs/>
          <w:sz w:val="24"/>
          <w:szCs w:val="24"/>
        </w:rPr>
        <w:t>a.s.</w:t>
      </w:r>
      <w:r>
        <w:rPr>
          <w:rFonts w:ascii="Calibri" w:hAnsi="Calibri" w:cs="Calibri"/>
          <w:bCs/>
          <w:iCs/>
          <w:sz w:val="24"/>
          <w:szCs w:val="24"/>
        </w:rPr>
        <w:t xml:space="preserve"> zakotvení informační povinnosti vůči ministerstvu týkající se struktury příjmů členů představenstev, členů dozorčích rad</w:t>
      </w:r>
      <w:r w:rsidR="004D62C7">
        <w:rPr>
          <w:rFonts w:ascii="Calibri" w:hAnsi="Calibri" w:cs="Calibri"/>
          <w:bCs/>
          <w:iCs/>
          <w:sz w:val="24"/>
          <w:szCs w:val="24"/>
        </w:rPr>
        <w:t xml:space="preserve"> a</w:t>
      </w:r>
      <w:r>
        <w:rPr>
          <w:rFonts w:ascii="Calibri" w:hAnsi="Calibri" w:cs="Calibri"/>
          <w:bCs/>
          <w:iCs/>
          <w:sz w:val="24"/>
          <w:szCs w:val="24"/>
        </w:rPr>
        <w:t xml:space="preserve"> finančních podmínek spojených s opouštěním těchto funkcí a podmínek určujících výši mezd a odměn.</w:t>
      </w:r>
    </w:p>
    <w:p w14:paraId="219C3FD6" w14:textId="77777777" w:rsidR="00FE1B0C" w:rsidRDefault="00FE1B0C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45BF5117" w14:textId="736356CC" w:rsidR="007B7A7C" w:rsidRDefault="007F68A4" w:rsidP="00612D88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NKÚ zjistil, že MF a MPO </w:t>
      </w:r>
      <w:r w:rsidR="008F29D8">
        <w:rPr>
          <w:rFonts w:cstheme="minorHAnsi"/>
          <w:bCs/>
          <w:iCs/>
          <w:sz w:val="24"/>
          <w:szCs w:val="24"/>
        </w:rPr>
        <w:t>ne</w:t>
      </w:r>
      <w:r w:rsidR="00612D88">
        <w:rPr>
          <w:rFonts w:cstheme="minorHAnsi"/>
          <w:bCs/>
          <w:iCs/>
          <w:sz w:val="24"/>
          <w:szCs w:val="24"/>
        </w:rPr>
        <w:t xml:space="preserve">postupovaly </w:t>
      </w:r>
      <w:r w:rsidR="00612D88" w:rsidRPr="006906E1">
        <w:rPr>
          <w:rFonts w:cstheme="minorHAnsi"/>
          <w:bCs/>
          <w:iCs/>
          <w:sz w:val="24"/>
          <w:szCs w:val="24"/>
        </w:rPr>
        <w:t>v </w:t>
      </w:r>
      <w:r w:rsidR="008F29D8">
        <w:rPr>
          <w:rFonts w:cstheme="minorHAnsi"/>
          <w:bCs/>
          <w:iCs/>
          <w:sz w:val="24"/>
          <w:szCs w:val="24"/>
        </w:rPr>
        <w:t>souladu</w:t>
      </w:r>
      <w:r w:rsidR="008F29D8" w:rsidRPr="006906E1">
        <w:rPr>
          <w:rFonts w:cstheme="minorHAnsi"/>
          <w:bCs/>
          <w:iCs/>
          <w:sz w:val="24"/>
          <w:szCs w:val="24"/>
        </w:rPr>
        <w:t xml:space="preserve"> </w:t>
      </w:r>
      <w:r w:rsidR="00612D88" w:rsidRPr="006906E1">
        <w:rPr>
          <w:rFonts w:cstheme="minorHAnsi"/>
          <w:bCs/>
          <w:iCs/>
          <w:sz w:val="24"/>
          <w:szCs w:val="24"/>
        </w:rPr>
        <w:t>s</w:t>
      </w:r>
      <w:r w:rsidR="00612D88">
        <w:rPr>
          <w:rFonts w:cstheme="minorHAnsi"/>
          <w:bCs/>
          <w:iCs/>
          <w:sz w:val="24"/>
          <w:szCs w:val="24"/>
        </w:rPr>
        <w:t xml:space="preserve"> ustanovením § 21 kompetenčního zákona tím, že </w:t>
      </w:r>
      <w:r>
        <w:rPr>
          <w:rFonts w:cstheme="minorHAnsi"/>
          <w:bCs/>
          <w:iCs/>
          <w:sz w:val="24"/>
          <w:szCs w:val="24"/>
        </w:rPr>
        <w:t>se neřídily</w:t>
      </w:r>
      <w:r w:rsidR="00611D03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366265">
        <w:rPr>
          <w:rFonts w:ascii="Calibri" w:hAnsi="Calibri" w:cs="Calibri"/>
          <w:bCs/>
          <w:iCs/>
          <w:sz w:val="24"/>
          <w:szCs w:val="24"/>
        </w:rPr>
        <w:t>usnesením vlády</w:t>
      </w:r>
      <w:r w:rsidRPr="00366265">
        <w:t xml:space="preserve"> </w:t>
      </w:r>
      <w:r w:rsidRPr="00366265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366265">
        <w:rPr>
          <w:sz w:val="24"/>
          <w:szCs w:val="24"/>
        </w:rPr>
        <w:t>835</w:t>
      </w:r>
      <w:r>
        <w:rPr>
          <w:sz w:val="24"/>
          <w:szCs w:val="24"/>
        </w:rPr>
        <w:t xml:space="preserve">. </w:t>
      </w:r>
    </w:p>
    <w:p w14:paraId="6311639D" w14:textId="77777777" w:rsidR="008E0045" w:rsidRDefault="008E0045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0DF2097B" w14:textId="77777777" w:rsidR="002C0587" w:rsidRDefault="002C0587">
      <w:pPr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br w:type="page"/>
      </w:r>
    </w:p>
    <w:p w14:paraId="2D277360" w14:textId="4743C539" w:rsidR="003D2E33" w:rsidRPr="002463C4" w:rsidRDefault="002463C4" w:rsidP="00F35D0C">
      <w:pPr>
        <w:spacing w:line="240" w:lineRule="auto"/>
        <w:ind w:left="426" w:hanging="426"/>
        <w:rPr>
          <w:bCs/>
        </w:rPr>
      </w:pPr>
      <w:r>
        <w:rPr>
          <w:rFonts w:ascii="Calibri" w:hAnsi="Calibri" w:cs="Calibri"/>
          <w:b/>
          <w:iCs/>
          <w:sz w:val="24"/>
          <w:szCs w:val="24"/>
        </w:rPr>
        <w:lastRenderedPageBreak/>
        <w:t xml:space="preserve">3.8 </w:t>
      </w:r>
      <w:r w:rsidR="00F35D0C">
        <w:rPr>
          <w:rFonts w:ascii="Calibri" w:hAnsi="Calibri" w:cs="Calibri"/>
          <w:b/>
          <w:iCs/>
          <w:sz w:val="24"/>
          <w:szCs w:val="24"/>
        </w:rPr>
        <w:tab/>
      </w:r>
      <w:r w:rsidR="007F68A4" w:rsidRPr="003968C0">
        <w:rPr>
          <w:rFonts w:ascii="Calibri" w:hAnsi="Calibri" w:cs="Calibri"/>
          <w:b/>
          <w:iCs/>
          <w:sz w:val="24"/>
          <w:szCs w:val="24"/>
        </w:rPr>
        <w:t xml:space="preserve">MF a MPO svěřily některé kompetence do působnosti dozorčích rad obchodních společností a omezily tím přímý vliv státu na výkon jeho vlastnických práv </w:t>
      </w:r>
    </w:p>
    <w:p w14:paraId="5D820596" w14:textId="0B7CDA28" w:rsidR="00362FC7" w:rsidRDefault="007F68A4" w:rsidP="00F35D0C">
      <w:pPr>
        <w:keepNext/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EA04A0">
        <w:rPr>
          <w:rFonts w:ascii="Calibri" w:hAnsi="Calibri" w:cs="Calibri"/>
          <w:bCs/>
          <w:iCs/>
          <w:sz w:val="24"/>
          <w:szCs w:val="24"/>
        </w:rPr>
        <w:t>Dozorčí rad</w:t>
      </w:r>
      <w:r w:rsidR="003D2E33" w:rsidRPr="00EA04A0">
        <w:rPr>
          <w:rFonts w:ascii="Calibri" w:hAnsi="Calibri" w:cs="Calibri"/>
          <w:bCs/>
          <w:iCs/>
          <w:sz w:val="24"/>
          <w:szCs w:val="24"/>
        </w:rPr>
        <w:t>a je dle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Strategie orgán, na jehož základě stát kontroluj</w:t>
      </w:r>
      <w:r w:rsidR="0069503F" w:rsidRPr="00EA04A0">
        <w:rPr>
          <w:rFonts w:ascii="Calibri" w:hAnsi="Calibri" w:cs="Calibri"/>
          <w:bCs/>
          <w:iCs/>
          <w:sz w:val="24"/>
          <w:szCs w:val="24"/>
        </w:rPr>
        <w:t>e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fungování obchodní společnosti. V případě, že je stát </w:t>
      </w:r>
      <w:proofErr w:type="gramStart"/>
      <w:r w:rsidRPr="00EA04A0">
        <w:rPr>
          <w:rFonts w:ascii="Calibri" w:hAnsi="Calibri" w:cs="Calibri"/>
          <w:bCs/>
          <w:iCs/>
          <w:sz w:val="24"/>
          <w:szCs w:val="24"/>
        </w:rPr>
        <w:t>100%</w:t>
      </w:r>
      <w:proofErr w:type="gramEnd"/>
      <w:r w:rsidRPr="00EA04A0">
        <w:rPr>
          <w:rFonts w:ascii="Calibri" w:hAnsi="Calibri" w:cs="Calibri"/>
          <w:bCs/>
          <w:iCs/>
          <w:sz w:val="24"/>
          <w:szCs w:val="24"/>
        </w:rPr>
        <w:t xml:space="preserve"> akcionářem obchodní společnosti, je personální obsazení všech členů t</w:t>
      </w:r>
      <w:r w:rsidR="00EC1821" w:rsidRPr="00EA04A0">
        <w:rPr>
          <w:rFonts w:ascii="Calibri" w:hAnsi="Calibri" w:cs="Calibri"/>
          <w:bCs/>
          <w:iCs/>
          <w:sz w:val="24"/>
          <w:szCs w:val="24"/>
        </w:rPr>
        <w:t>ohoto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orgán</w:t>
      </w:r>
      <w:r w:rsidR="00EC1821" w:rsidRPr="00EA04A0">
        <w:rPr>
          <w:rFonts w:ascii="Calibri" w:hAnsi="Calibri" w:cs="Calibri"/>
          <w:bCs/>
          <w:iCs/>
          <w:sz w:val="24"/>
          <w:szCs w:val="24"/>
        </w:rPr>
        <w:t>u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v kompetenci státu, resp. příslušného ministerstva. Dozorčí rada je však zároveň </w:t>
      </w:r>
      <w:r w:rsidR="00C34182">
        <w:rPr>
          <w:rFonts w:ascii="Calibri" w:hAnsi="Calibri" w:cs="Calibri"/>
          <w:bCs/>
          <w:iCs/>
          <w:sz w:val="24"/>
          <w:szCs w:val="24"/>
        </w:rPr>
        <w:t xml:space="preserve">kontrolním </w:t>
      </w:r>
      <w:r w:rsidRPr="00EA04A0">
        <w:rPr>
          <w:rFonts w:ascii="Calibri" w:hAnsi="Calibri" w:cs="Calibri"/>
          <w:bCs/>
          <w:iCs/>
          <w:sz w:val="24"/>
          <w:szCs w:val="24"/>
        </w:rPr>
        <w:t>orgánem akciové společnosti, který je ze své podstaty nezávislý na ministerstvu. Její činnost se řídí zákonem</w:t>
      </w:r>
      <w:r w:rsidR="00C34182">
        <w:rPr>
          <w:rFonts w:ascii="Calibri" w:hAnsi="Calibri" w:cs="Calibri"/>
          <w:bCs/>
          <w:iCs/>
          <w:sz w:val="24"/>
          <w:szCs w:val="24"/>
        </w:rPr>
        <w:t xml:space="preserve"> o obchodních korporacích</w:t>
      </w:r>
      <w:r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37"/>
      </w:r>
      <w:r w:rsidR="00A17A6F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Pr="00EA04A0">
        <w:rPr>
          <w:rFonts w:ascii="Calibri" w:hAnsi="Calibri" w:cs="Calibri"/>
          <w:bCs/>
          <w:iCs/>
          <w:sz w:val="24"/>
          <w:szCs w:val="24"/>
        </w:rPr>
        <w:t>stanovami obchodní společnosti</w:t>
      </w:r>
      <w:r w:rsidR="00A17A6F">
        <w:rPr>
          <w:rFonts w:ascii="Calibri" w:hAnsi="Calibri" w:cs="Calibri"/>
          <w:bCs/>
          <w:iCs/>
          <w:sz w:val="24"/>
          <w:szCs w:val="24"/>
        </w:rPr>
        <w:t xml:space="preserve"> a zásadami schválenými valnou hromadou, nejsou-li v rozporu se zákonem o obchodních korporacích nebo stanovami</w:t>
      </w:r>
      <w:r w:rsidR="00944CD6">
        <w:rPr>
          <w:rFonts w:ascii="Calibri" w:hAnsi="Calibri" w:cs="Calibri"/>
          <w:bCs/>
          <w:iCs/>
          <w:sz w:val="24"/>
          <w:szCs w:val="24"/>
        </w:rPr>
        <w:t>.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1C605C" w:rsidRPr="00EA04A0">
        <w:rPr>
          <w:rFonts w:ascii="Calibri" w:hAnsi="Calibri" w:cs="Calibri"/>
          <w:bCs/>
          <w:iCs/>
          <w:sz w:val="24"/>
          <w:szCs w:val="24"/>
        </w:rPr>
        <w:t xml:space="preserve">Dozorčí rada </w:t>
      </w:r>
      <w:r w:rsidR="00C34182">
        <w:rPr>
          <w:rFonts w:ascii="Calibri" w:hAnsi="Calibri" w:cs="Calibri"/>
          <w:bCs/>
          <w:iCs/>
          <w:sz w:val="24"/>
          <w:szCs w:val="24"/>
        </w:rPr>
        <w:t>není povinna</w:t>
      </w:r>
      <w:r w:rsidR="001C605C" w:rsidRPr="00EA04A0">
        <w:rPr>
          <w:rFonts w:ascii="Calibri" w:hAnsi="Calibri" w:cs="Calibri"/>
          <w:bCs/>
          <w:iCs/>
          <w:sz w:val="24"/>
          <w:szCs w:val="24"/>
        </w:rPr>
        <w:t xml:space="preserve"> řídit se usneseními vlády</w:t>
      </w:r>
      <w:r w:rsidR="00A17A6F">
        <w:rPr>
          <w:rFonts w:ascii="Calibri" w:hAnsi="Calibri" w:cs="Calibri"/>
          <w:bCs/>
          <w:iCs/>
          <w:sz w:val="24"/>
          <w:szCs w:val="24"/>
        </w:rPr>
        <w:t>.</w:t>
      </w:r>
      <w:r w:rsidR="00944CD6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MF a MPO </w:t>
      </w:r>
      <w:r w:rsidR="001C605C" w:rsidRPr="00EA04A0">
        <w:rPr>
          <w:rFonts w:ascii="Calibri" w:hAnsi="Calibri" w:cs="Calibri"/>
          <w:bCs/>
          <w:iCs/>
          <w:sz w:val="24"/>
          <w:szCs w:val="24"/>
        </w:rPr>
        <w:t>přenesly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ve stanovách některý</w:t>
      </w:r>
      <w:r w:rsidR="00EC1821" w:rsidRPr="00EA04A0">
        <w:rPr>
          <w:rFonts w:ascii="Calibri" w:hAnsi="Calibri" w:cs="Calibri"/>
          <w:bCs/>
          <w:iCs/>
          <w:sz w:val="24"/>
          <w:szCs w:val="24"/>
        </w:rPr>
        <w:t>ch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obchodní</w:t>
      </w:r>
      <w:r w:rsidR="00EC1821" w:rsidRPr="00EA04A0">
        <w:rPr>
          <w:rFonts w:ascii="Calibri" w:hAnsi="Calibri" w:cs="Calibri"/>
          <w:bCs/>
          <w:iCs/>
          <w:sz w:val="24"/>
          <w:szCs w:val="24"/>
        </w:rPr>
        <w:t>ch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společnost</w:t>
      </w:r>
      <w:r w:rsidR="00EC1821" w:rsidRPr="00EA04A0">
        <w:rPr>
          <w:rFonts w:ascii="Calibri" w:hAnsi="Calibri" w:cs="Calibri"/>
          <w:bCs/>
          <w:iCs/>
          <w:sz w:val="24"/>
          <w:szCs w:val="24"/>
        </w:rPr>
        <w:t>í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významné kompetence</w:t>
      </w:r>
      <w:r w:rsidR="00674793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1C605C" w:rsidRPr="00EA04A0">
        <w:rPr>
          <w:rFonts w:ascii="Calibri" w:hAnsi="Calibri" w:cs="Calibri"/>
          <w:bCs/>
          <w:iCs/>
          <w:sz w:val="24"/>
          <w:szCs w:val="24"/>
        </w:rPr>
        <w:t xml:space="preserve">valné hromady, tedy státu, 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do působnosti dozorčí rady. </w:t>
      </w:r>
      <w:r>
        <w:rPr>
          <w:rFonts w:ascii="Calibri" w:hAnsi="Calibri" w:cs="Calibri"/>
          <w:bCs/>
          <w:iCs/>
          <w:sz w:val="24"/>
          <w:szCs w:val="24"/>
        </w:rPr>
        <w:t>NKÚ zjistil, že tím: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601D31EB" w14:textId="4DA26F1D" w:rsidR="00362FC7" w:rsidRPr="00362FC7" w:rsidRDefault="007F68A4" w:rsidP="00F35D0C">
      <w:pPr>
        <w:pStyle w:val="Odstavecseseznamem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hAnsi="Calibri" w:cs="Calibri"/>
          <w:bCs/>
          <w:iCs/>
          <w:sz w:val="24"/>
          <w:szCs w:val="24"/>
        </w:rPr>
      </w:pPr>
      <w:r w:rsidRPr="00362FC7">
        <w:rPr>
          <w:rFonts w:ascii="Calibri" w:hAnsi="Calibri" w:cs="Calibri"/>
          <w:bCs/>
          <w:iCs/>
          <w:sz w:val="24"/>
          <w:szCs w:val="24"/>
        </w:rPr>
        <w:t xml:space="preserve">MF nemělo přímý vliv na stanovování a schvalování strategických cílů a koncepcí obchodní společnosti Kongresové centrum Praha, </w:t>
      </w:r>
      <w:r w:rsidR="00594FD6">
        <w:rPr>
          <w:rFonts w:ascii="Calibri" w:hAnsi="Calibri" w:cs="Calibri"/>
          <w:bCs/>
          <w:iCs/>
          <w:sz w:val="24"/>
          <w:szCs w:val="24"/>
        </w:rPr>
        <w:t>a.s.</w:t>
      </w:r>
      <w:r w:rsidR="00D40754">
        <w:rPr>
          <w:rFonts w:ascii="Calibri" w:hAnsi="Calibri" w:cs="Calibri"/>
          <w:bCs/>
          <w:iCs/>
          <w:sz w:val="24"/>
          <w:szCs w:val="24"/>
        </w:rPr>
        <w:t>;</w:t>
      </w:r>
    </w:p>
    <w:p w14:paraId="5B10E9D3" w14:textId="241ACF12" w:rsidR="00362FC7" w:rsidRPr="00B056C9" w:rsidRDefault="007F68A4" w:rsidP="00F35D0C">
      <w:pPr>
        <w:pStyle w:val="Odstavecseseznamem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hAnsi="Calibri" w:cs="Calibri"/>
          <w:bCs/>
          <w:iCs/>
          <w:sz w:val="24"/>
          <w:szCs w:val="24"/>
        </w:rPr>
      </w:pPr>
      <w:r w:rsidRPr="00EA04A0">
        <w:rPr>
          <w:rFonts w:ascii="Calibri" w:hAnsi="Calibri" w:cs="Calibri"/>
          <w:bCs/>
          <w:iCs/>
          <w:sz w:val="24"/>
          <w:szCs w:val="24"/>
        </w:rPr>
        <w:t>MF a MPO neměl</w:t>
      </w:r>
      <w:r w:rsidR="00944CD6">
        <w:rPr>
          <w:rFonts w:ascii="Calibri" w:hAnsi="Calibri" w:cs="Calibri"/>
          <w:bCs/>
          <w:iCs/>
          <w:sz w:val="24"/>
          <w:szCs w:val="24"/>
        </w:rPr>
        <w:t>y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přímý vliv na personální obsazení představenstev některých obchodních společností</w:t>
      </w:r>
      <w:r>
        <w:rPr>
          <w:rFonts w:ascii="Calibri" w:hAnsi="Calibri" w:cs="Calibri"/>
          <w:bCs/>
          <w:iCs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MPO u všech pěti strategických obchodních společností</w:t>
      </w:r>
      <w:r w:rsidRPr="00E326BA">
        <w:rPr>
          <w:rFonts w:ascii="Calibri" w:hAnsi="Calibri" w:cs="Calibri"/>
          <w:sz w:val="24"/>
          <w:szCs w:val="24"/>
        </w:rPr>
        <w:t xml:space="preserve"> </w:t>
      </w:r>
      <w:r w:rsidR="00C367BD">
        <w:rPr>
          <w:rFonts w:ascii="Calibri" w:hAnsi="Calibri" w:cs="Calibri"/>
          <w:sz w:val="24"/>
          <w:szCs w:val="24"/>
        </w:rPr>
        <w:t>ve své</w:t>
      </w:r>
      <w:r>
        <w:rPr>
          <w:rFonts w:ascii="Calibri" w:hAnsi="Calibri" w:cs="Calibri"/>
          <w:sz w:val="24"/>
          <w:szCs w:val="24"/>
        </w:rPr>
        <w:t xml:space="preserve"> gesci svěřilo kompetenci volby členů představenstva dozorčí radě. Na volbu </w:t>
      </w:r>
      <w:r w:rsidRPr="0055790C">
        <w:rPr>
          <w:rFonts w:ascii="Calibri" w:hAnsi="Calibri" w:cs="Calibri"/>
          <w:sz w:val="24"/>
          <w:szCs w:val="24"/>
        </w:rPr>
        <w:t>člen</w:t>
      </w:r>
      <w:r>
        <w:rPr>
          <w:rFonts w:ascii="Calibri" w:hAnsi="Calibri" w:cs="Calibri"/>
          <w:sz w:val="24"/>
          <w:szCs w:val="24"/>
        </w:rPr>
        <w:t>ů představenstev obchodních společností se tak nevztahoval nominační zákon, členové představenstev nemus</w:t>
      </w:r>
      <w:r w:rsidR="000F3A8F">
        <w:rPr>
          <w:rFonts w:ascii="Calibri" w:hAnsi="Calibri" w:cs="Calibri"/>
          <w:sz w:val="24"/>
          <w:szCs w:val="24"/>
        </w:rPr>
        <w:t>el</w:t>
      </w:r>
      <w:r w:rsidR="00C34182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projít </w:t>
      </w:r>
      <w:r w:rsidR="000F3A8F">
        <w:rPr>
          <w:rFonts w:ascii="Calibri" w:hAnsi="Calibri" w:cs="Calibri"/>
          <w:sz w:val="24"/>
          <w:szCs w:val="24"/>
        </w:rPr>
        <w:t>výběrovým řízením</w:t>
      </w:r>
      <w:r>
        <w:rPr>
          <w:rFonts w:ascii="Calibri" w:hAnsi="Calibri" w:cs="Calibri"/>
          <w:sz w:val="24"/>
          <w:szCs w:val="24"/>
        </w:rPr>
        <w:t xml:space="preserve"> </w:t>
      </w:r>
      <w:r w:rsidR="00924A28">
        <w:rPr>
          <w:rFonts w:ascii="Calibri" w:hAnsi="Calibri" w:cs="Calibri"/>
          <w:sz w:val="24"/>
          <w:szCs w:val="24"/>
        </w:rPr>
        <w:t xml:space="preserve">(dále také „VŘ“) </w:t>
      </w:r>
      <w:r>
        <w:rPr>
          <w:rFonts w:ascii="Calibri" w:hAnsi="Calibri" w:cs="Calibri"/>
          <w:sz w:val="24"/>
          <w:szCs w:val="24"/>
        </w:rPr>
        <w:t>a k jejich nominaci se nevyjadř</w:t>
      </w:r>
      <w:r w:rsidR="000F3A8F">
        <w:rPr>
          <w:rFonts w:ascii="Calibri" w:hAnsi="Calibri" w:cs="Calibri"/>
          <w:sz w:val="24"/>
          <w:szCs w:val="24"/>
        </w:rPr>
        <w:t>oval</w:t>
      </w:r>
      <w:r>
        <w:rPr>
          <w:rFonts w:ascii="Calibri" w:hAnsi="Calibri" w:cs="Calibri"/>
          <w:sz w:val="24"/>
          <w:szCs w:val="24"/>
        </w:rPr>
        <w:t xml:space="preserve"> ani </w:t>
      </w:r>
      <w:r w:rsidR="00C367BD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>ýbor</w:t>
      </w:r>
      <w:r w:rsidR="000F3A8F">
        <w:rPr>
          <w:rFonts w:ascii="Calibri" w:hAnsi="Calibri" w:cs="Calibri"/>
          <w:sz w:val="24"/>
          <w:szCs w:val="24"/>
        </w:rPr>
        <w:t xml:space="preserve"> pro personální nominace, který je poradním orgánem vlády</w:t>
      </w:r>
      <w:r>
        <w:rPr>
          <w:rFonts w:ascii="Calibri" w:hAnsi="Calibri" w:cs="Calibri"/>
          <w:sz w:val="24"/>
          <w:szCs w:val="24"/>
        </w:rPr>
        <w:t>. Tímto nastavením se MPO vzdalo také kompetence schvalování smluv o výkonu funkce členů představenstev obchodních společností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38"/>
      </w:r>
      <w:r>
        <w:rPr>
          <w:rFonts w:ascii="Calibri" w:hAnsi="Calibri" w:cs="Calibri"/>
          <w:sz w:val="24"/>
          <w:szCs w:val="24"/>
        </w:rPr>
        <w:t>. Stejnou situaci NKÚ zjistil i u N</w:t>
      </w:r>
      <w:r w:rsidR="00BB18DF">
        <w:rPr>
          <w:rFonts w:ascii="Calibri" w:hAnsi="Calibri" w:cs="Calibri"/>
          <w:sz w:val="24"/>
          <w:szCs w:val="24"/>
        </w:rPr>
        <w:t>RB</w:t>
      </w:r>
      <w:r>
        <w:rPr>
          <w:rFonts w:ascii="Calibri" w:hAnsi="Calibri" w:cs="Calibri"/>
          <w:sz w:val="24"/>
          <w:szCs w:val="24"/>
        </w:rPr>
        <w:t xml:space="preserve">, </w:t>
      </w:r>
      <w:r w:rsidR="00594FD6">
        <w:rPr>
          <w:rFonts w:ascii="Calibri" w:hAnsi="Calibri" w:cs="Calibri"/>
          <w:sz w:val="24"/>
          <w:szCs w:val="24"/>
        </w:rPr>
        <w:t>a.s.</w:t>
      </w:r>
      <w:r>
        <w:rPr>
          <w:rFonts w:ascii="Calibri" w:hAnsi="Calibri" w:cs="Calibri"/>
          <w:sz w:val="24"/>
          <w:szCs w:val="24"/>
        </w:rPr>
        <w:t>, u které vykonával</w:t>
      </w:r>
      <w:r w:rsidR="002C099F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vlastnická práva jak MF, tak MPO</w:t>
      </w:r>
      <w:r w:rsidR="00C56D84">
        <w:rPr>
          <w:rStyle w:val="Znakapoznpodarou"/>
          <w:rFonts w:ascii="Calibri" w:hAnsi="Calibri" w:cs="Calibri"/>
          <w:sz w:val="24"/>
          <w:szCs w:val="24"/>
        </w:rPr>
        <w:footnoteReference w:id="39"/>
      </w:r>
      <w:r w:rsidR="000F3A8F">
        <w:rPr>
          <w:rFonts w:ascii="Calibri" w:hAnsi="Calibri" w:cs="Calibri"/>
          <w:sz w:val="24"/>
          <w:szCs w:val="24"/>
        </w:rPr>
        <w:t>;</w:t>
      </w:r>
    </w:p>
    <w:p w14:paraId="32E71B3F" w14:textId="5CF9D3EC" w:rsidR="000F3A8F" w:rsidRPr="00EA04A0" w:rsidRDefault="007F68A4" w:rsidP="00F35D0C">
      <w:pPr>
        <w:pStyle w:val="Odstavecseseznamem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A04A0">
        <w:rPr>
          <w:rFonts w:ascii="Calibri" w:hAnsi="Calibri" w:cs="Calibri"/>
          <w:sz w:val="24"/>
          <w:szCs w:val="24"/>
        </w:rPr>
        <w:t xml:space="preserve">MF a MPO neměly přímý vliv na výši odměn členů představenstev </w:t>
      </w:r>
      <w:r w:rsidR="00EA04A0">
        <w:rPr>
          <w:rFonts w:ascii="Calibri" w:hAnsi="Calibri" w:cs="Calibri"/>
          <w:sz w:val="24"/>
          <w:szCs w:val="24"/>
        </w:rPr>
        <w:t xml:space="preserve">některých </w:t>
      </w:r>
      <w:r w:rsidRPr="00EA04A0">
        <w:rPr>
          <w:rFonts w:ascii="Calibri" w:hAnsi="Calibri" w:cs="Calibri"/>
          <w:sz w:val="24"/>
          <w:szCs w:val="24"/>
        </w:rPr>
        <w:t>obchodních společností ani na stanovování a vyhodnocování úkolů, za jejichž splnění byly vypláceny</w:t>
      </w:r>
      <w:r w:rsidRPr="00C45202">
        <w:rPr>
          <w:rFonts w:ascii="Calibri" w:hAnsi="Calibri" w:cs="Calibri"/>
          <w:sz w:val="24"/>
          <w:szCs w:val="24"/>
        </w:rPr>
        <w:t xml:space="preserve">. </w:t>
      </w:r>
      <w:r w:rsidRPr="00EA04A0">
        <w:rPr>
          <w:rFonts w:ascii="Calibri" w:hAnsi="Calibri" w:cs="Calibri"/>
          <w:sz w:val="24"/>
          <w:szCs w:val="24"/>
        </w:rPr>
        <w:t xml:space="preserve">Na základě opatření č. 14 měla ministerstva povinnost prostřednictvím tzv. </w:t>
      </w:r>
      <w:r>
        <w:rPr>
          <w:rFonts w:ascii="Calibri" w:hAnsi="Calibri" w:cs="Calibri"/>
          <w:sz w:val="24"/>
          <w:szCs w:val="24"/>
        </w:rPr>
        <w:t>klíčových ukazatelů výkonnosti</w:t>
      </w:r>
      <w:r w:rsidRPr="00EA04A0">
        <w:rPr>
          <w:rFonts w:ascii="Calibri" w:hAnsi="Calibri" w:cs="Calibri"/>
          <w:sz w:val="24"/>
          <w:szCs w:val="24"/>
        </w:rPr>
        <w:t xml:space="preserve"> hodnotit činnost členů orgánů, tj. </w:t>
      </w:r>
      <w:r w:rsidR="00C23019">
        <w:rPr>
          <w:rFonts w:ascii="Calibri" w:hAnsi="Calibri" w:cs="Calibri"/>
          <w:sz w:val="24"/>
          <w:szCs w:val="24"/>
        </w:rPr>
        <w:t xml:space="preserve">i </w:t>
      </w:r>
      <w:r w:rsidRPr="00EA04A0">
        <w:rPr>
          <w:rFonts w:ascii="Calibri" w:hAnsi="Calibri" w:cs="Calibri"/>
          <w:sz w:val="24"/>
          <w:szCs w:val="24"/>
        </w:rPr>
        <w:t>představenstva. Část odměny členů představenstev byla tedy vázána na míru splnění zadaných úkolů. NKÚ zjistil, že MF nemohl</w:t>
      </w:r>
      <w:r>
        <w:rPr>
          <w:rFonts w:ascii="Calibri" w:hAnsi="Calibri" w:cs="Calibri"/>
          <w:sz w:val="24"/>
          <w:szCs w:val="24"/>
        </w:rPr>
        <w:t>o</w:t>
      </w:r>
      <w:r w:rsidRPr="00EA04A0">
        <w:rPr>
          <w:rFonts w:ascii="Calibri" w:hAnsi="Calibri" w:cs="Calibri"/>
          <w:sz w:val="24"/>
          <w:szCs w:val="24"/>
        </w:rPr>
        <w:t xml:space="preserve"> nastav</w:t>
      </w:r>
      <w:r>
        <w:rPr>
          <w:rFonts w:ascii="Calibri" w:hAnsi="Calibri" w:cs="Calibri"/>
          <w:sz w:val="24"/>
          <w:szCs w:val="24"/>
        </w:rPr>
        <w:t>i</w:t>
      </w:r>
      <w:r w:rsidRPr="00EA04A0">
        <w:rPr>
          <w:rFonts w:ascii="Calibri" w:hAnsi="Calibri" w:cs="Calibri"/>
          <w:sz w:val="24"/>
          <w:szCs w:val="24"/>
        </w:rPr>
        <w:t xml:space="preserve">t a hodnotit činnost členů představenstev obchodních společností NRB, </w:t>
      </w:r>
      <w:r w:rsidR="00594FD6">
        <w:rPr>
          <w:rFonts w:ascii="Calibri" w:hAnsi="Calibri" w:cs="Calibri"/>
          <w:sz w:val="24"/>
          <w:szCs w:val="24"/>
        </w:rPr>
        <w:t>a.s.</w:t>
      </w:r>
      <w:r w:rsidRPr="00EA04A0">
        <w:rPr>
          <w:rFonts w:ascii="Calibri" w:hAnsi="Calibri" w:cs="Calibri"/>
          <w:sz w:val="24"/>
          <w:szCs w:val="24"/>
        </w:rPr>
        <w:t xml:space="preserve">, Letiště Praha, </w:t>
      </w:r>
      <w:r w:rsidR="00594FD6">
        <w:rPr>
          <w:rFonts w:ascii="Calibri" w:hAnsi="Calibri" w:cs="Calibri"/>
          <w:sz w:val="24"/>
          <w:szCs w:val="24"/>
        </w:rPr>
        <w:t>a.</w:t>
      </w:r>
      <w:r w:rsidR="00151FF6">
        <w:rPr>
          <w:rFonts w:ascii="Calibri" w:hAnsi="Calibri" w:cs="Calibri"/>
          <w:sz w:val="24"/>
          <w:szCs w:val="24"/>
        </w:rPr>
        <w:t xml:space="preserve"> </w:t>
      </w:r>
      <w:r w:rsidR="00594FD6">
        <w:rPr>
          <w:rFonts w:ascii="Calibri" w:hAnsi="Calibri" w:cs="Calibri"/>
          <w:sz w:val="24"/>
          <w:szCs w:val="24"/>
        </w:rPr>
        <w:t>s.</w:t>
      </w:r>
      <w:r w:rsidR="00435418">
        <w:rPr>
          <w:rFonts w:ascii="Calibri" w:hAnsi="Calibri" w:cs="Calibri"/>
          <w:sz w:val="24"/>
          <w:szCs w:val="24"/>
        </w:rPr>
        <w:t>,</w:t>
      </w:r>
      <w:r w:rsidRPr="00EA04A0">
        <w:rPr>
          <w:rFonts w:ascii="Calibri" w:hAnsi="Calibri" w:cs="Calibri"/>
          <w:sz w:val="24"/>
          <w:szCs w:val="24"/>
        </w:rPr>
        <w:t xml:space="preserve"> a Kongresové centrum Praha, </w:t>
      </w:r>
      <w:r w:rsidR="00594FD6">
        <w:rPr>
          <w:rFonts w:ascii="Calibri" w:hAnsi="Calibri" w:cs="Calibri"/>
          <w:sz w:val="24"/>
          <w:szCs w:val="24"/>
        </w:rPr>
        <w:t>a.s.</w:t>
      </w:r>
      <w:r w:rsidRPr="00EA04A0">
        <w:rPr>
          <w:rFonts w:ascii="Calibri" w:hAnsi="Calibri" w:cs="Calibri"/>
          <w:sz w:val="24"/>
          <w:szCs w:val="24"/>
        </w:rPr>
        <w:t xml:space="preserve">, a </w:t>
      </w:r>
      <w:r>
        <w:rPr>
          <w:rFonts w:ascii="Calibri" w:hAnsi="Calibri" w:cs="Calibri"/>
          <w:sz w:val="24"/>
          <w:szCs w:val="24"/>
        </w:rPr>
        <w:t xml:space="preserve">MPO u </w:t>
      </w:r>
      <w:r w:rsidRPr="00EA04A0">
        <w:rPr>
          <w:rFonts w:ascii="Calibri" w:hAnsi="Calibri" w:cs="Calibri"/>
          <w:sz w:val="24"/>
          <w:szCs w:val="24"/>
        </w:rPr>
        <w:t>všech obchodních společností, jelikož tyto kompetence svěřil</w:t>
      </w:r>
      <w:r w:rsidR="00E42C75">
        <w:rPr>
          <w:rFonts w:ascii="Calibri" w:hAnsi="Calibri" w:cs="Calibri"/>
          <w:sz w:val="24"/>
          <w:szCs w:val="24"/>
        </w:rPr>
        <w:t>a uvedená ministerstva</w:t>
      </w:r>
      <w:r w:rsidRPr="00EA04A0">
        <w:rPr>
          <w:rFonts w:ascii="Calibri" w:hAnsi="Calibri" w:cs="Calibri"/>
          <w:sz w:val="24"/>
          <w:szCs w:val="24"/>
        </w:rPr>
        <w:t xml:space="preserve"> dozorčí</w:t>
      </w:r>
      <w:r w:rsidR="00E42C75">
        <w:rPr>
          <w:rFonts w:ascii="Calibri" w:hAnsi="Calibri" w:cs="Calibri"/>
          <w:sz w:val="24"/>
          <w:szCs w:val="24"/>
        </w:rPr>
        <w:t>m</w:t>
      </w:r>
      <w:r w:rsidRPr="00EA04A0">
        <w:rPr>
          <w:rFonts w:ascii="Calibri" w:hAnsi="Calibri" w:cs="Calibri"/>
          <w:sz w:val="24"/>
          <w:szCs w:val="24"/>
        </w:rPr>
        <w:t xml:space="preserve"> rad</w:t>
      </w:r>
      <w:r w:rsidR="00E42C75">
        <w:rPr>
          <w:rFonts w:ascii="Calibri" w:hAnsi="Calibri" w:cs="Calibri"/>
          <w:sz w:val="24"/>
          <w:szCs w:val="24"/>
        </w:rPr>
        <w:t>ám</w:t>
      </w:r>
      <w:r w:rsidRPr="00EA04A0">
        <w:rPr>
          <w:rFonts w:ascii="Calibri" w:hAnsi="Calibri" w:cs="Calibri"/>
          <w:sz w:val="24"/>
          <w:szCs w:val="24"/>
        </w:rPr>
        <w:t xml:space="preserve">. </w:t>
      </w:r>
      <w:r w:rsidRPr="00EA04A0">
        <w:rPr>
          <w:rFonts w:ascii="Calibri" w:hAnsi="Calibri" w:cs="Calibri"/>
          <w:bCs/>
          <w:iCs/>
          <w:sz w:val="24"/>
          <w:szCs w:val="24"/>
        </w:rPr>
        <w:t>Již v rámci KA</w:t>
      </w:r>
      <w:r w:rsidR="00401224">
        <w:rPr>
          <w:rFonts w:ascii="Calibri" w:hAnsi="Calibri" w:cs="Calibri"/>
          <w:bCs/>
          <w:iCs/>
          <w:sz w:val="24"/>
          <w:szCs w:val="24"/>
        </w:rPr>
        <w:t xml:space="preserve"> č.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15/05 NKÚ konstatoval, že MF a MPO činnost členů představenstva nevyhodnocuje</w:t>
      </w:r>
      <w:r w:rsidR="00944CD6">
        <w:rPr>
          <w:rFonts w:ascii="Calibri" w:hAnsi="Calibri" w:cs="Calibri"/>
          <w:bCs/>
          <w:iCs/>
          <w:sz w:val="24"/>
          <w:szCs w:val="24"/>
        </w:rPr>
        <w:t>.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944CD6">
        <w:rPr>
          <w:rFonts w:ascii="Calibri" w:hAnsi="Calibri" w:cs="Calibri"/>
          <w:bCs/>
          <w:iCs/>
          <w:sz w:val="24"/>
          <w:szCs w:val="24"/>
        </w:rPr>
        <w:t>U</w:t>
      </w:r>
      <w:r w:rsidRPr="00EA04A0">
        <w:rPr>
          <w:rFonts w:ascii="Calibri" w:hAnsi="Calibri" w:cs="Calibri"/>
          <w:bCs/>
          <w:iCs/>
          <w:sz w:val="24"/>
          <w:szCs w:val="24"/>
        </w:rPr>
        <w:t xml:space="preserve"> výše uvedených obchodních společností NKÚ zjistil, že se situace nezměnila.</w:t>
      </w:r>
      <w:r w:rsidRPr="00EA04A0">
        <w:rPr>
          <w:rFonts w:ascii="Calibri" w:hAnsi="Calibri" w:cs="Calibri"/>
          <w:sz w:val="24"/>
          <w:szCs w:val="24"/>
        </w:rPr>
        <w:t xml:space="preserve"> Dále NKÚ zjistil, že </w:t>
      </w:r>
      <w:r w:rsidR="00226FFA" w:rsidRPr="00125846">
        <w:rPr>
          <w:rFonts w:ascii="Calibri" w:hAnsi="Calibri" w:cs="Calibri"/>
          <w:sz w:val="24"/>
          <w:szCs w:val="24"/>
        </w:rPr>
        <w:t xml:space="preserve">MF </w:t>
      </w:r>
      <w:r w:rsidR="00226FFA" w:rsidRPr="0061574D">
        <w:rPr>
          <w:rFonts w:ascii="Calibri" w:hAnsi="Calibri" w:cs="Calibri"/>
          <w:sz w:val="24"/>
          <w:szCs w:val="24"/>
        </w:rPr>
        <w:t>nestanovilo</w:t>
      </w:r>
      <w:r w:rsidR="00226FFA" w:rsidRPr="00226FFA">
        <w:rPr>
          <w:rFonts w:ascii="Calibri" w:hAnsi="Calibri" w:cs="Calibri"/>
          <w:sz w:val="24"/>
          <w:szCs w:val="24"/>
        </w:rPr>
        <w:t xml:space="preserve"> </w:t>
      </w:r>
      <w:r w:rsidR="00226FFA">
        <w:rPr>
          <w:rFonts w:ascii="Calibri" w:hAnsi="Calibri" w:cs="Calibri"/>
          <w:sz w:val="24"/>
          <w:szCs w:val="24"/>
        </w:rPr>
        <w:t>klíčové ukazatele výkonnosti</w:t>
      </w:r>
      <w:r w:rsidR="00226FFA" w:rsidRPr="0029603E">
        <w:rPr>
          <w:rFonts w:ascii="Calibri" w:hAnsi="Calibri" w:cs="Calibri"/>
          <w:sz w:val="24"/>
          <w:szCs w:val="24"/>
        </w:rPr>
        <w:t xml:space="preserve"> </w:t>
      </w:r>
      <w:r w:rsidRPr="00EA04A0">
        <w:rPr>
          <w:rFonts w:ascii="Calibri" w:hAnsi="Calibri" w:cs="Calibri"/>
          <w:sz w:val="24"/>
          <w:szCs w:val="24"/>
        </w:rPr>
        <w:t xml:space="preserve">členům představenstva obchodní společnosti THERMAL-F, </w:t>
      </w:r>
      <w:r w:rsidR="00594FD6">
        <w:rPr>
          <w:rFonts w:ascii="Calibri" w:hAnsi="Calibri" w:cs="Calibri"/>
          <w:sz w:val="24"/>
          <w:szCs w:val="24"/>
        </w:rPr>
        <w:t>a.s.</w:t>
      </w:r>
      <w:r w:rsidR="00435418">
        <w:rPr>
          <w:rFonts w:ascii="Calibri" w:hAnsi="Calibri" w:cs="Calibri"/>
          <w:sz w:val="24"/>
          <w:szCs w:val="24"/>
        </w:rPr>
        <w:t>,</w:t>
      </w:r>
      <w:r w:rsidR="00677B94" w:rsidDel="00677B94">
        <w:rPr>
          <w:rFonts w:ascii="Calibri" w:hAnsi="Calibri" w:cs="Calibri"/>
          <w:sz w:val="24"/>
          <w:szCs w:val="24"/>
        </w:rPr>
        <w:t xml:space="preserve"> </w:t>
      </w:r>
      <w:r w:rsidRPr="00EA04A0">
        <w:rPr>
          <w:rFonts w:ascii="Calibri" w:hAnsi="Calibri" w:cs="Calibri"/>
          <w:sz w:val="24"/>
          <w:szCs w:val="24"/>
        </w:rPr>
        <w:t>v letech 2020</w:t>
      </w:r>
      <w:r w:rsidR="00677B94">
        <w:rPr>
          <w:rFonts w:ascii="Calibri" w:hAnsi="Calibri" w:cs="Calibri"/>
          <w:sz w:val="24"/>
          <w:szCs w:val="24"/>
        </w:rPr>
        <w:t>–</w:t>
      </w:r>
      <w:r w:rsidRPr="00EA04A0">
        <w:rPr>
          <w:rFonts w:ascii="Calibri" w:hAnsi="Calibri" w:cs="Calibri"/>
          <w:sz w:val="24"/>
          <w:szCs w:val="24"/>
        </w:rPr>
        <w:t>2023</w:t>
      </w:r>
      <w:r w:rsidR="00226FFA">
        <w:rPr>
          <w:rFonts w:ascii="Calibri" w:hAnsi="Calibri" w:cs="Calibri"/>
          <w:sz w:val="24"/>
          <w:szCs w:val="24"/>
        </w:rPr>
        <w:t>.</w:t>
      </w:r>
      <w:r w:rsidRPr="00EA04A0">
        <w:rPr>
          <w:rFonts w:ascii="Calibri" w:hAnsi="Calibri" w:cs="Calibri"/>
          <w:sz w:val="24"/>
          <w:szCs w:val="24"/>
        </w:rPr>
        <w:t xml:space="preserve"> </w:t>
      </w:r>
    </w:p>
    <w:p w14:paraId="670D0053" w14:textId="77777777" w:rsidR="00226FFA" w:rsidRPr="00EA04A0" w:rsidRDefault="00226FFA" w:rsidP="00226FFA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64C0152B" w14:textId="4FFEE539" w:rsidR="000B53E0" w:rsidRPr="000B53E0" w:rsidRDefault="007F68A4" w:rsidP="0092581F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NKÚ zjistil, že v důsledku realizace uvedeného postupu ze strany </w:t>
      </w:r>
      <w:r w:rsidRPr="00D03B0B">
        <w:rPr>
          <w:rFonts w:ascii="Calibri" w:hAnsi="Calibri" w:cs="Calibri"/>
          <w:bCs/>
          <w:iCs/>
          <w:sz w:val="24"/>
          <w:szCs w:val="24"/>
        </w:rPr>
        <w:t>MF a MPO nemohl</w:t>
      </w:r>
      <w:r w:rsidR="00963CF2">
        <w:rPr>
          <w:rFonts w:ascii="Calibri" w:hAnsi="Calibri" w:cs="Calibri"/>
          <w:bCs/>
          <w:iCs/>
          <w:sz w:val="24"/>
          <w:szCs w:val="24"/>
        </w:rPr>
        <w:t>a</w:t>
      </w:r>
      <w:r>
        <w:rPr>
          <w:rFonts w:ascii="Calibri" w:hAnsi="Calibri" w:cs="Calibri"/>
          <w:bCs/>
          <w:iCs/>
          <w:sz w:val="24"/>
          <w:szCs w:val="24"/>
        </w:rPr>
        <w:t xml:space="preserve"> uvedená ministerstva</w:t>
      </w:r>
      <w:r w:rsidRPr="00D03B0B">
        <w:rPr>
          <w:rFonts w:ascii="Calibri" w:hAnsi="Calibri" w:cs="Calibri"/>
          <w:bCs/>
          <w:iCs/>
          <w:sz w:val="24"/>
          <w:szCs w:val="24"/>
        </w:rPr>
        <w:t xml:space="preserve"> plnit opatření</w:t>
      </w:r>
      <w:r>
        <w:rPr>
          <w:rFonts w:ascii="Calibri" w:hAnsi="Calibri" w:cs="Calibri"/>
          <w:bCs/>
          <w:iCs/>
          <w:sz w:val="24"/>
          <w:szCs w:val="24"/>
        </w:rPr>
        <w:t xml:space="preserve"> č. 6, 13, 14 a 15</w:t>
      </w:r>
      <w:r w:rsidRPr="00D03B0B">
        <w:rPr>
          <w:rFonts w:ascii="Calibri" w:hAnsi="Calibri" w:cs="Calibri"/>
          <w:bCs/>
          <w:iCs/>
          <w:sz w:val="24"/>
          <w:szCs w:val="24"/>
        </w:rPr>
        <w:t xml:space="preserve"> Strategie</w:t>
      </w:r>
      <w:r w:rsidR="00C34182">
        <w:rPr>
          <w:rFonts w:ascii="Calibri" w:hAnsi="Calibri" w:cs="Calibri"/>
          <w:bCs/>
          <w:iCs/>
          <w:sz w:val="24"/>
          <w:szCs w:val="24"/>
        </w:rPr>
        <w:t>, zaměřená na stanovení strategických cílů a odměňování,</w:t>
      </w:r>
      <w:r w:rsidRPr="00D03B0B">
        <w:rPr>
          <w:rFonts w:ascii="Calibri" w:hAnsi="Calibri" w:cs="Calibri"/>
          <w:bCs/>
          <w:iCs/>
          <w:sz w:val="24"/>
          <w:szCs w:val="24"/>
        </w:rPr>
        <w:t xml:space="preserve"> </w:t>
      </w:r>
      <w:r>
        <w:rPr>
          <w:rFonts w:ascii="Calibri" w:hAnsi="Calibri" w:cs="Calibri"/>
          <w:bCs/>
          <w:iCs/>
          <w:sz w:val="24"/>
          <w:szCs w:val="24"/>
        </w:rPr>
        <w:t>a tím snížil</w:t>
      </w:r>
      <w:r w:rsidR="00963CF2">
        <w:rPr>
          <w:rFonts w:ascii="Calibri" w:hAnsi="Calibri" w:cs="Calibri"/>
          <w:bCs/>
          <w:iCs/>
          <w:sz w:val="24"/>
          <w:szCs w:val="24"/>
        </w:rPr>
        <w:t>a</w:t>
      </w:r>
      <w:r>
        <w:rPr>
          <w:rFonts w:ascii="Calibri" w:hAnsi="Calibri" w:cs="Calibri"/>
          <w:bCs/>
          <w:iCs/>
          <w:sz w:val="24"/>
          <w:szCs w:val="24"/>
        </w:rPr>
        <w:t xml:space="preserve"> míru</w:t>
      </w:r>
      <w:r w:rsidRPr="00D03B0B">
        <w:rPr>
          <w:rFonts w:ascii="Calibri" w:hAnsi="Calibri" w:cs="Calibri"/>
          <w:bCs/>
          <w:iCs/>
          <w:sz w:val="24"/>
          <w:szCs w:val="24"/>
        </w:rPr>
        <w:t xml:space="preserve"> transparentnost</w:t>
      </w:r>
      <w:r>
        <w:rPr>
          <w:rFonts w:ascii="Calibri" w:hAnsi="Calibri" w:cs="Calibri"/>
          <w:bCs/>
          <w:iCs/>
          <w:sz w:val="24"/>
          <w:szCs w:val="24"/>
        </w:rPr>
        <w:t>i</w:t>
      </w:r>
      <w:r w:rsidRPr="00D03B0B">
        <w:rPr>
          <w:rFonts w:ascii="Calibri" w:hAnsi="Calibri" w:cs="Calibri"/>
          <w:bCs/>
          <w:iCs/>
          <w:sz w:val="24"/>
          <w:szCs w:val="24"/>
        </w:rPr>
        <w:t xml:space="preserve"> výkonu vlastnických práv státu</w:t>
      </w:r>
      <w:r>
        <w:rPr>
          <w:rFonts w:ascii="Calibri" w:hAnsi="Calibri" w:cs="Calibri"/>
          <w:bCs/>
          <w:iCs/>
          <w:sz w:val="24"/>
          <w:szCs w:val="24"/>
        </w:rPr>
        <w:t>.</w:t>
      </w:r>
      <w:r w:rsidR="000B53E0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3ECB00C1" w14:textId="77777777" w:rsidR="00F35D0C" w:rsidRDefault="00F35D0C" w:rsidP="003968C0">
      <w:pPr>
        <w:spacing w:after="0" w:line="240" w:lineRule="auto"/>
        <w:jc w:val="both"/>
        <w:rPr>
          <w:sz w:val="24"/>
          <w:szCs w:val="24"/>
        </w:rPr>
      </w:pPr>
    </w:p>
    <w:p w14:paraId="16EF98B3" w14:textId="654A481B" w:rsidR="00447405" w:rsidRPr="003968C0" w:rsidRDefault="007F68A4" w:rsidP="003968C0">
      <w:pPr>
        <w:spacing w:after="0" w:line="240" w:lineRule="auto"/>
        <w:jc w:val="both"/>
        <w:rPr>
          <w:sz w:val="24"/>
          <w:szCs w:val="24"/>
        </w:rPr>
      </w:pPr>
      <w:r w:rsidRPr="003968C0">
        <w:rPr>
          <w:sz w:val="24"/>
          <w:szCs w:val="24"/>
        </w:rPr>
        <w:lastRenderedPageBreak/>
        <w:t>NKÚ podrobil kontrole vybraná VŘ</w:t>
      </w:r>
      <w:r w:rsidRPr="000B53E0">
        <w:rPr>
          <w:rStyle w:val="Znakapoznpodarou"/>
          <w:rFonts w:ascii="Calibri" w:hAnsi="Calibri" w:cs="Calibri"/>
          <w:sz w:val="24"/>
          <w:szCs w:val="24"/>
        </w:rPr>
        <w:footnoteReference w:id="40"/>
      </w:r>
      <w:r w:rsidRPr="003968C0">
        <w:rPr>
          <w:sz w:val="24"/>
          <w:szCs w:val="24"/>
        </w:rPr>
        <w:t xml:space="preserve"> </w:t>
      </w:r>
      <w:r w:rsidR="00435418">
        <w:rPr>
          <w:sz w:val="24"/>
          <w:szCs w:val="24"/>
        </w:rPr>
        <w:t xml:space="preserve">– </w:t>
      </w:r>
      <w:r w:rsidRPr="003968C0">
        <w:rPr>
          <w:sz w:val="24"/>
          <w:szCs w:val="24"/>
        </w:rPr>
        <w:t xml:space="preserve">realizovaná MF, MPO a </w:t>
      </w:r>
      <w:proofErr w:type="spellStart"/>
      <w:r w:rsidRPr="003968C0">
        <w:rPr>
          <w:sz w:val="24"/>
          <w:szCs w:val="24"/>
        </w:rPr>
        <w:t>MZe</w:t>
      </w:r>
      <w:proofErr w:type="spellEnd"/>
      <w:r w:rsidRPr="003968C0">
        <w:rPr>
          <w:sz w:val="24"/>
          <w:szCs w:val="24"/>
        </w:rPr>
        <w:t> </w:t>
      </w:r>
      <w:r w:rsidR="00435418">
        <w:rPr>
          <w:sz w:val="24"/>
          <w:szCs w:val="24"/>
        </w:rPr>
        <w:t xml:space="preserve">– </w:t>
      </w:r>
      <w:r w:rsidRPr="003968C0">
        <w:rPr>
          <w:sz w:val="24"/>
          <w:szCs w:val="24"/>
        </w:rPr>
        <w:t>na funkce členů představenstev obchodních společností a vybrané nominace</w:t>
      </w:r>
      <w:r w:rsidRPr="000B53E0">
        <w:rPr>
          <w:rStyle w:val="Znakapoznpodarou"/>
          <w:rFonts w:ascii="Calibri" w:hAnsi="Calibri" w:cs="Calibri"/>
          <w:sz w:val="24"/>
          <w:szCs w:val="24"/>
        </w:rPr>
        <w:footnoteReference w:id="41"/>
      </w:r>
      <w:r w:rsidRPr="003968C0">
        <w:rPr>
          <w:sz w:val="24"/>
          <w:szCs w:val="24"/>
        </w:rPr>
        <w:t xml:space="preserve"> na funkce členů představenstev a dozorčích rad obchodních společností. NKÚ zjistil:</w:t>
      </w:r>
    </w:p>
    <w:p w14:paraId="00C1D775" w14:textId="77777777" w:rsidR="008E0045" w:rsidRDefault="007F68A4" w:rsidP="00F35D0C">
      <w:pPr>
        <w:pStyle w:val="Textpoznpodarou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MF, MPO a </w:t>
      </w:r>
      <w:proofErr w:type="spellStart"/>
      <w:r>
        <w:rPr>
          <w:rFonts w:ascii="Calibri" w:hAnsi="Calibri" w:cs="Calibri"/>
          <w:sz w:val="24"/>
          <w:szCs w:val="24"/>
        </w:rPr>
        <w:t>MZe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B6329A">
        <w:rPr>
          <w:rFonts w:ascii="Calibri" w:hAnsi="Calibri" w:cs="Calibri"/>
          <w:sz w:val="24"/>
          <w:szCs w:val="24"/>
        </w:rPr>
        <w:t xml:space="preserve">sice </w:t>
      </w:r>
      <w:r>
        <w:rPr>
          <w:rFonts w:ascii="Calibri" w:hAnsi="Calibri" w:cs="Calibri"/>
          <w:sz w:val="24"/>
          <w:szCs w:val="24"/>
        </w:rPr>
        <w:t xml:space="preserve">stanovily kritéria na uchazeče ve zveřejňovaných inzerátech, z průběhu VŘ však již nebylo zřejmé, do jaké míry jednotliví uchazeči zadaná kritéria splnili a proč se ve </w:t>
      </w:r>
      <w:r w:rsidR="00B6329A">
        <w:rPr>
          <w:rFonts w:ascii="Calibri" w:hAnsi="Calibri" w:cs="Calibri"/>
          <w:sz w:val="24"/>
          <w:szCs w:val="24"/>
        </w:rPr>
        <w:t>VŘ</w:t>
      </w:r>
      <w:r>
        <w:rPr>
          <w:rFonts w:ascii="Calibri" w:hAnsi="Calibri" w:cs="Calibri"/>
          <w:sz w:val="24"/>
          <w:szCs w:val="24"/>
        </w:rPr>
        <w:t xml:space="preserve"> umístili </w:t>
      </w:r>
      <w:r w:rsidR="00B6329A">
        <w:rPr>
          <w:rFonts w:ascii="Calibri" w:hAnsi="Calibri" w:cs="Calibri"/>
          <w:sz w:val="24"/>
          <w:szCs w:val="24"/>
        </w:rPr>
        <w:t>na daném</w:t>
      </w:r>
      <w:r>
        <w:rPr>
          <w:rFonts w:ascii="Calibri" w:hAnsi="Calibri" w:cs="Calibri"/>
          <w:sz w:val="24"/>
          <w:szCs w:val="24"/>
        </w:rPr>
        <w:t xml:space="preserve"> pořadí. </w:t>
      </w:r>
      <w:r w:rsidR="00B6329A">
        <w:rPr>
          <w:rFonts w:ascii="Calibri" w:hAnsi="Calibri" w:cs="Calibri"/>
          <w:sz w:val="24"/>
          <w:szCs w:val="24"/>
        </w:rPr>
        <w:t>VŘ</w:t>
      </w:r>
      <w:r>
        <w:rPr>
          <w:rFonts w:ascii="Calibri" w:hAnsi="Calibri" w:cs="Calibri"/>
          <w:sz w:val="24"/>
          <w:szCs w:val="24"/>
        </w:rPr>
        <w:t xml:space="preserve"> tak z hlediska hodnocení jednotlivých uchazečů </w:t>
      </w:r>
      <w:r w:rsidR="00447405">
        <w:rPr>
          <w:rFonts w:ascii="Calibri" w:hAnsi="Calibri" w:cs="Calibri"/>
          <w:sz w:val="24"/>
          <w:szCs w:val="24"/>
        </w:rPr>
        <w:t>ne</w:t>
      </w:r>
      <w:r>
        <w:rPr>
          <w:rFonts w:ascii="Calibri" w:hAnsi="Calibri" w:cs="Calibri"/>
          <w:sz w:val="24"/>
          <w:szCs w:val="24"/>
        </w:rPr>
        <w:t>byla přezkoumatelná</w:t>
      </w:r>
      <w:r w:rsidR="00924A28">
        <w:rPr>
          <w:rFonts w:ascii="Calibri" w:hAnsi="Calibri" w:cs="Calibri"/>
          <w:sz w:val="24"/>
          <w:szCs w:val="24"/>
        </w:rPr>
        <w:t>;</w:t>
      </w:r>
    </w:p>
    <w:p w14:paraId="27736179" w14:textId="77777777" w:rsidR="008E0045" w:rsidRPr="00447405" w:rsidRDefault="007F68A4" w:rsidP="00F35D0C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Pr="00447405">
        <w:rPr>
          <w:rFonts w:ascii="Calibri" w:hAnsi="Calibri" w:cs="Calibri"/>
          <w:sz w:val="24"/>
          <w:szCs w:val="24"/>
        </w:rPr>
        <w:t xml:space="preserve"> tří výběrových řízení MF nepostupovalo podle </w:t>
      </w:r>
      <w:r>
        <w:rPr>
          <w:rFonts w:ascii="Calibri" w:hAnsi="Calibri" w:cs="Calibri"/>
          <w:sz w:val="24"/>
          <w:szCs w:val="24"/>
        </w:rPr>
        <w:t>n</w:t>
      </w:r>
      <w:r w:rsidRPr="00447405">
        <w:rPr>
          <w:rFonts w:ascii="Calibri" w:hAnsi="Calibri" w:cs="Calibri"/>
          <w:sz w:val="24"/>
          <w:szCs w:val="24"/>
        </w:rPr>
        <w:t>ominačního zákona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42"/>
      </w:r>
      <w:r w:rsidRPr="00447405">
        <w:rPr>
          <w:rFonts w:ascii="Calibri" w:hAnsi="Calibri" w:cs="Calibri"/>
          <w:sz w:val="24"/>
          <w:szCs w:val="24"/>
        </w:rPr>
        <w:t xml:space="preserve">, když výběrovou komisi nejmenoval ministr financí ale </w:t>
      </w:r>
      <w:r w:rsidR="00B6329A" w:rsidRPr="00447405">
        <w:rPr>
          <w:rFonts w:ascii="Calibri" w:hAnsi="Calibri" w:cs="Calibri"/>
          <w:sz w:val="24"/>
          <w:szCs w:val="24"/>
        </w:rPr>
        <w:t xml:space="preserve">jeho </w:t>
      </w:r>
      <w:r w:rsidRPr="00447405">
        <w:rPr>
          <w:rFonts w:ascii="Calibri" w:hAnsi="Calibri" w:cs="Calibri"/>
          <w:sz w:val="24"/>
          <w:szCs w:val="24"/>
        </w:rPr>
        <w:t>náměstek</w:t>
      </w:r>
      <w:r>
        <w:rPr>
          <w:rFonts w:ascii="Calibri" w:hAnsi="Calibri" w:cs="Calibri"/>
          <w:sz w:val="24"/>
          <w:szCs w:val="24"/>
        </w:rPr>
        <w:t>;</w:t>
      </w:r>
      <w:r w:rsidRPr="00447405">
        <w:rPr>
          <w:rFonts w:ascii="Calibri" w:hAnsi="Calibri" w:cs="Calibri"/>
          <w:sz w:val="24"/>
          <w:szCs w:val="24"/>
        </w:rPr>
        <w:t xml:space="preserve"> </w:t>
      </w:r>
    </w:p>
    <w:p w14:paraId="106F1AC1" w14:textId="00ACAE47" w:rsidR="008E0045" w:rsidRDefault="007F68A4" w:rsidP="00F35D0C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47405">
        <w:rPr>
          <w:rFonts w:ascii="Calibri" w:hAnsi="Calibri" w:cs="Calibri"/>
          <w:sz w:val="24"/>
          <w:szCs w:val="24"/>
        </w:rPr>
        <w:t xml:space="preserve">MF </w:t>
      </w:r>
      <w:r w:rsidR="00924A28">
        <w:rPr>
          <w:rFonts w:ascii="Calibri" w:hAnsi="Calibri" w:cs="Calibri"/>
          <w:sz w:val="24"/>
          <w:szCs w:val="24"/>
        </w:rPr>
        <w:t xml:space="preserve">u </w:t>
      </w:r>
      <w:r w:rsidRPr="00447405">
        <w:rPr>
          <w:rFonts w:ascii="Calibri" w:hAnsi="Calibri" w:cs="Calibri"/>
          <w:sz w:val="24"/>
          <w:szCs w:val="24"/>
        </w:rPr>
        <w:t>dvou</w:t>
      </w:r>
      <w:r w:rsidR="00944CD6">
        <w:rPr>
          <w:rFonts w:ascii="Calibri" w:hAnsi="Calibri" w:cs="Calibri"/>
          <w:sz w:val="24"/>
          <w:szCs w:val="24"/>
        </w:rPr>
        <w:t xml:space="preserve"> </w:t>
      </w:r>
      <w:r w:rsidRPr="00447405">
        <w:rPr>
          <w:rFonts w:ascii="Calibri" w:hAnsi="Calibri" w:cs="Calibri"/>
          <w:sz w:val="24"/>
          <w:szCs w:val="24"/>
        </w:rPr>
        <w:t xml:space="preserve">nominací nepostupovalo podle </w:t>
      </w:r>
      <w:r w:rsidR="00924A28">
        <w:rPr>
          <w:rFonts w:ascii="Calibri" w:hAnsi="Calibri" w:cs="Calibri"/>
          <w:sz w:val="24"/>
          <w:szCs w:val="24"/>
        </w:rPr>
        <w:t>n</w:t>
      </w:r>
      <w:r w:rsidRPr="00447405">
        <w:rPr>
          <w:rFonts w:ascii="Calibri" w:hAnsi="Calibri" w:cs="Calibri"/>
          <w:sz w:val="24"/>
          <w:szCs w:val="24"/>
        </w:rPr>
        <w:t>ominačního zákona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43"/>
      </w:r>
      <w:r w:rsidRPr="00447405">
        <w:rPr>
          <w:rFonts w:ascii="Calibri" w:hAnsi="Calibri" w:cs="Calibri"/>
          <w:sz w:val="24"/>
          <w:szCs w:val="24"/>
        </w:rPr>
        <w:t xml:space="preserve">, když nezveřejnilo na svých internetových stránkách informaci o </w:t>
      </w:r>
      <w:r w:rsidR="00126408">
        <w:rPr>
          <w:rFonts w:ascii="Calibri" w:hAnsi="Calibri" w:cs="Calibri"/>
          <w:sz w:val="24"/>
          <w:szCs w:val="24"/>
        </w:rPr>
        <w:t>jmenování nominované osoby nebo navržení do funkce a</w:t>
      </w:r>
      <w:r w:rsidR="00944CD6">
        <w:rPr>
          <w:rFonts w:ascii="Calibri" w:hAnsi="Calibri" w:cs="Calibri"/>
          <w:sz w:val="24"/>
          <w:szCs w:val="24"/>
        </w:rPr>
        <w:t xml:space="preserve"> </w:t>
      </w:r>
      <w:r w:rsidRPr="00447405">
        <w:rPr>
          <w:rFonts w:ascii="Calibri" w:hAnsi="Calibri" w:cs="Calibri"/>
          <w:sz w:val="24"/>
          <w:szCs w:val="24"/>
        </w:rPr>
        <w:t xml:space="preserve">nezaslalo tuto informaci </w:t>
      </w:r>
      <w:r w:rsidR="00435418">
        <w:rPr>
          <w:rFonts w:ascii="Calibri" w:hAnsi="Calibri" w:cs="Calibri"/>
          <w:sz w:val="24"/>
          <w:szCs w:val="24"/>
        </w:rPr>
        <w:t>vládnímu v</w:t>
      </w:r>
      <w:r w:rsidRPr="00447405">
        <w:rPr>
          <w:rFonts w:ascii="Calibri" w:hAnsi="Calibri" w:cs="Calibri"/>
          <w:sz w:val="24"/>
          <w:szCs w:val="24"/>
        </w:rPr>
        <w:t>ýboru</w:t>
      </w:r>
      <w:r w:rsidR="00924A28">
        <w:rPr>
          <w:rFonts w:ascii="Calibri" w:hAnsi="Calibri" w:cs="Calibri"/>
          <w:sz w:val="24"/>
          <w:szCs w:val="24"/>
        </w:rPr>
        <w:t xml:space="preserve"> pro personální nominace</w:t>
      </w:r>
      <w:r w:rsidRPr="00447405">
        <w:rPr>
          <w:rFonts w:ascii="Calibri" w:hAnsi="Calibri" w:cs="Calibri"/>
          <w:sz w:val="24"/>
          <w:szCs w:val="24"/>
        </w:rPr>
        <w:t>.</w:t>
      </w:r>
    </w:p>
    <w:p w14:paraId="11621B25" w14:textId="77777777" w:rsidR="00741C90" w:rsidRDefault="00741C90" w:rsidP="00E351E4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7BB81F09" w14:textId="1EE7D020" w:rsidR="00B55EB8" w:rsidRPr="002C099F" w:rsidRDefault="007F68A4" w:rsidP="005B41C1">
      <w:pPr>
        <w:spacing w:after="0" w:line="240" w:lineRule="auto"/>
        <w:jc w:val="both"/>
        <w:rPr>
          <w:b/>
          <w:bCs/>
          <w:sz w:val="24"/>
          <w:szCs w:val="24"/>
        </w:rPr>
      </w:pPr>
      <w:r w:rsidRPr="007F65BC">
        <w:rPr>
          <w:b/>
          <w:bCs/>
          <w:sz w:val="24"/>
          <w:szCs w:val="24"/>
        </w:rPr>
        <w:t xml:space="preserve">NKÚ doporučuje </w:t>
      </w:r>
      <w:r w:rsidR="00351E25">
        <w:rPr>
          <w:b/>
          <w:bCs/>
          <w:sz w:val="24"/>
          <w:szCs w:val="24"/>
        </w:rPr>
        <w:t xml:space="preserve">MF a MPO </w:t>
      </w:r>
      <w:r>
        <w:rPr>
          <w:b/>
          <w:bCs/>
          <w:sz w:val="24"/>
          <w:szCs w:val="24"/>
        </w:rPr>
        <w:t>provést revizi kompetencí dozorčích rad obchodních společností</w:t>
      </w:r>
      <w:r w:rsidR="005B41C1">
        <w:rPr>
          <w:b/>
          <w:bCs/>
          <w:sz w:val="24"/>
          <w:szCs w:val="24"/>
        </w:rPr>
        <w:t>.</w:t>
      </w:r>
      <w:r w:rsidRPr="007F65BC">
        <w:rPr>
          <w:b/>
          <w:bCs/>
          <w:sz w:val="24"/>
          <w:szCs w:val="24"/>
        </w:rPr>
        <w:t xml:space="preserve"> </w:t>
      </w:r>
    </w:p>
    <w:p w14:paraId="618B947E" w14:textId="77777777" w:rsidR="00B55EB8" w:rsidRDefault="00B55EB8" w:rsidP="00E351E4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42CC7D84" w14:textId="7BA682DA" w:rsidR="00741C90" w:rsidRDefault="007F68A4" w:rsidP="009651D5">
      <w:pPr>
        <w:spacing w:after="0" w:line="240" w:lineRule="auto"/>
        <w:ind w:left="425" w:hanging="425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3.</w:t>
      </w:r>
      <w:r w:rsidR="002463C4">
        <w:rPr>
          <w:rFonts w:ascii="Calibri" w:hAnsi="Calibri" w:cs="Calibri"/>
          <w:b/>
          <w:iCs/>
          <w:sz w:val="24"/>
          <w:szCs w:val="24"/>
        </w:rPr>
        <w:t>9</w:t>
      </w:r>
      <w:r w:rsidR="00271FC0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69503F" w:rsidRPr="0069503F">
        <w:rPr>
          <w:rFonts w:ascii="Calibri" w:hAnsi="Calibri" w:cs="Calibri"/>
          <w:b/>
          <w:iCs/>
          <w:sz w:val="24"/>
          <w:szCs w:val="24"/>
        </w:rPr>
        <w:t xml:space="preserve">MF, MPO a </w:t>
      </w:r>
      <w:proofErr w:type="spellStart"/>
      <w:r w:rsidR="0069503F" w:rsidRPr="0069503F">
        <w:rPr>
          <w:rFonts w:ascii="Calibri" w:hAnsi="Calibri" w:cs="Calibri"/>
          <w:b/>
          <w:iCs/>
          <w:sz w:val="24"/>
          <w:szCs w:val="24"/>
        </w:rPr>
        <w:t>M</w:t>
      </w:r>
      <w:r w:rsidR="00E44B6A">
        <w:rPr>
          <w:rFonts w:ascii="Calibri" w:hAnsi="Calibri" w:cs="Calibri"/>
          <w:b/>
          <w:iCs/>
          <w:sz w:val="24"/>
          <w:szCs w:val="24"/>
        </w:rPr>
        <w:t>Z</w:t>
      </w:r>
      <w:r w:rsidR="0069503F" w:rsidRPr="0069503F">
        <w:rPr>
          <w:rFonts w:ascii="Calibri" w:hAnsi="Calibri" w:cs="Calibri"/>
          <w:b/>
          <w:iCs/>
          <w:sz w:val="24"/>
          <w:szCs w:val="24"/>
        </w:rPr>
        <w:t>e</w:t>
      </w:r>
      <w:proofErr w:type="spellEnd"/>
      <w:r w:rsidR="0069503F" w:rsidRPr="0069503F">
        <w:rPr>
          <w:rFonts w:ascii="Calibri" w:hAnsi="Calibri" w:cs="Calibri"/>
          <w:b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iCs/>
          <w:sz w:val="24"/>
          <w:szCs w:val="24"/>
        </w:rPr>
        <w:t>předkládaly vládě</w:t>
      </w:r>
      <w:r w:rsidRPr="0069503F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69503F" w:rsidRPr="0069503F">
        <w:rPr>
          <w:rFonts w:ascii="Calibri" w:hAnsi="Calibri" w:cs="Calibri"/>
          <w:b/>
          <w:iCs/>
          <w:sz w:val="24"/>
          <w:szCs w:val="24"/>
        </w:rPr>
        <w:t xml:space="preserve">ve </w:t>
      </w:r>
      <w:r w:rsidR="00435418">
        <w:rPr>
          <w:rFonts w:ascii="Calibri" w:hAnsi="Calibri" w:cs="Calibri"/>
          <w:b/>
          <w:iCs/>
          <w:sz w:val="24"/>
          <w:szCs w:val="24"/>
        </w:rPr>
        <w:t>z</w:t>
      </w:r>
      <w:r w:rsidR="0069503F" w:rsidRPr="0069503F">
        <w:rPr>
          <w:rFonts w:ascii="Calibri" w:hAnsi="Calibri" w:cs="Calibri"/>
          <w:b/>
          <w:iCs/>
          <w:sz w:val="24"/>
          <w:szCs w:val="24"/>
        </w:rPr>
        <w:t>právách o plnění Strategie nesprávné údaje</w:t>
      </w:r>
    </w:p>
    <w:p w14:paraId="3623F032" w14:textId="77777777" w:rsidR="00290206" w:rsidRPr="00861FC3" w:rsidRDefault="00290206" w:rsidP="00F35D0C">
      <w:pPr>
        <w:spacing w:after="0" w:line="240" w:lineRule="auto"/>
        <w:ind w:left="425" w:hanging="425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39F7FF54" w14:textId="4124F5DD" w:rsidR="00680EF0" w:rsidRDefault="007F68A4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MF jednou ročně předkládá vládě </w:t>
      </w:r>
      <w:r w:rsidR="00435418">
        <w:rPr>
          <w:rFonts w:ascii="Calibri" w:hAnsi="Calibri" w:cs="Calibri"/>
          <w:bCs/>
          <w:iCs/>
          <w:sz w:val="24"/>
          <w:szCs w:val="24"/>
        </w:rPr>
        <w:t>z</w:t>
      </w:r>
      <w:r>
        <w:rPr>
          <w:rFonts w:ascii="Calibri" w:hAnsi="Calibri" w:cs="Calibri"/>
          <w:bCs/>
          <w:iCs/>
          <w:sz w:val="24"/>
          <w:szCs w:val="24"/>
        </w:rPr>
        <w:t>práv</w:t>
      </w:r>
      <w:r w:rsidR="00F9507F">
        <w:rPr>
          <w:rFonts w:ascii="Calibri" w:hAnsi="Calibri" w:cs="Calibri"/>
          <w:bCs/>
          <w:iCs/>
          <w:sz w:val="24"/>
          <w:szCs w:val="24"/>
        </w:rPr>
        <w:t>u</w:t>
      </w:r>
      <w:r>
        <w:rPr>
          <w:rFonts w:ascii="Calibri" w:hAnsi="Calibri" w:cs="Calibri"/>
          <w:bCs/>
          <w:iCs/>
          <w:sz w:val="24"/>
          <w:szCs w:val="24"/>
        </w:rPr>
        <w:t xml:space="preserve"> o plnění Strategie a </w:t>
      </w:r>
      <w:r w:rsidR="00435418">
        <w:rPr>
          <w:rFonts w:ascii="Calibri" w:hAnsi="Calibri" w:cs="Calibri"/>
          <w:bCs/>
          <w:iCs/>
          <w:sz w:val="24"/>
          <w:szCs w:val="24"/>
        </w:rPr>
        <w:t>z</w:t>
      </w:r>
      <w:r>
        <w:rPr>
          <w:rFonts w:ascii="Calibri" w:hAnsi="Calibri" w:cs="Calibri"/>
          <w:bCs/>
          <w:iCs/>
          <w:sz w:val="24"/>
          <w:szCs w:val="24"/>
        </w:rPr>
        <w:t>práv</w:t>
      </w:r>
      <w:r w:rsidR="002E6386">
        <w:rPr>
          <w:rFonts w:ascii="Calibri" w:hAnsi="Calibri" w:cs="Calibri"/>
          <w:bCs/>
          <w:iCs/>
          <w:sz w:val="24"/>
          <w:szCs w:val="24"/>
        </w:rPr>
        <w:t>u</w:t>
      </w:r>
      <w:r>
        <w:rPr>
          <w:rFonts w:ascii="Calibri" w:hAnsi="Calibri" w:cs="Calibri"/>
          <w:bCs/>
          <w:iCs/>
          <w:sz w:val="24"/>
          <w:szCs w:val="24"/>
        </w:rPr>
        <w:t xml:space="preserve"> o činnosti.</w:t>
      </w:r>
      <w:r w:rsidR="0069503F">
        <w:rPr>
          <w:rFonts w:ascii="Calibri" w:hAnsi="Calibri" w:cs="Calibri"/>
          <w:bCs/>
          <w:iCs/>
          <w:sz w:val="24"/>
          <w:szCs w:val="24"/>
        </w:rPr>
        <w:t xml:space="preserve"> Tyto dokumenty m</w:t>
      </w:r>
      <w:r w:rsidR="00126408">
        <w:rPr>
          <w:rFonts w:ascii="Calibri" w:hAnsi="Calibri" w:cs="Calibri"/>
          <w:bCs/>
          <w:iCs/>
          <w:sz w:val="24"/>
          <w:szCs w:val="24"/>
        </w:rPr>
        <w:t>ají</w:t>
      </w:r>
      <w:r w:rsidR="0069503F">
        <w:rPr>
          <w:rFonts w:ascii="Calibri" w:hAnsi="Calibri" w:cs="Calibri"/>
          <w:bCs/>
          <w:iCs/>
          <w:sz w:val="24"/>
          <w:szCs w:val="24"/>
        </w:rPr>
        <w:t xml:space="preserve"> přispět k transparentnosti výkonu vlastnických práv státu.</w:t>
      </w:r>
      <w:r>
        <w:rPr>
          <w:rFonts w:ascii="Calibri" w:hAnsi="Calibri" w:cs="Calibri"/>
          <w:bCs/>
          <w:iCs/>
          <w:sz w:val="24"/>
          <w:szCs w:val="24"/>
        </w:rPr>
        <w:t xml:space="preserve"> Oba obsah</w:t>
      </w:r>
      <w:r w:rsidR="00126408">
        <w:rPr>
          <w:rFonts w:ascii="Calibri" w:hAnsi="Calibri" w:cs="Calibri"/>
          <w:bCs/>
          <w:iCs/>
          <w:sz w:val="24"/>
          <w:szCs w:val="24"/>
        </w:rPr>
        <w:t>ují</w:t>
      </w:r>
      <w:r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69503F">
        <w:rPr>
          <w:rFonts w:ascii="Calibri" w:hAnsi="Calibri" w:cs="Calibri"/>
          <w:bCs/>
          <w:iCs/>
          <w:sz w:val="24"/>
          <w:szCs w:val="24"/>
        </w:rPr>
        <w:t>mj.</w:t>
      </w:r>
      <w:r w:rsidR="00F35D0C">
        <w:rPr>
          <w:rFonts w:ascii="Calibri" w:hAnsi="Calibri" w:cs="Calibri"/>
          <w:bCs/>
          <w:iCs/>
          <w:sz w:val="24"/>
          <w:szCs w:val="24"/>
        </w:rPr>
        <w:t> </w:t>
      </w:r>
      <w:r w:rsidR="0025454D">
        <w:rPr>
          <w:rFonts w:ascii="Calibri" w:hAnsi="Calibri" w:cs="Calibri"/>
          <w:bCs/>
          <w:iCs/>
          <w:sz w:val="24"/>
          <w:szCs w:val="24"/>
        </w:rPr>
        <w:t xml:space="preserve">vybrané </w:t>
      </w:r>
      <w:r>
        <w:rPr>
          <w:rFonts w:ascii="Calibri" w:hAnsi="Calibri" w:cs="Calibri"/>
          <w:bCs/>
          <w:iCs/>
          <w:sz w:val="24"/>
          <w:szCs w:val="24"/>
        </w:rPr>
        <w:t>ekonomické údaje o obchodních společnostech</w:t>
      </w:r>
      <w:r w:rsidR="001B73CA">
        <w:rPr>
          <w:rFonts w:ascii="Calibri" w:hAnsi="Calibri" w:cs="Calibri"/>
          <w:bCs/>
          <w:iCs/>
          <w:sz w:val="24"/>
          <w:szCs w:val="24"/>
        </w:rPr>
        <w:t>.</w:t>
      </w:r>
      <w:r w:rsidR="0069503F">
        <w:rPr>
          <w:rFonts w:ascii="Calibri" w:hAnsi="Calibri" w:cs="Calibri"/>
          <w:bCs/>
          <w:iCs/>
          <w:sz w:val="24"/>
          <w:szCs w:val="24"/>
        </w:rPr>
        <w:t xml:space="preserve"> Zpráv</w:t>
      </w:r>
      <w:r w:rsidR="001B73CA">
        <w:rPr>
          <w:rFonts w:ascii="Calibri" w:hAnsi="Calibri" w:cs="Calibri"/>
          <w:bCs/>
          <w:iCs/>
          <w:sz w:val="24"/>
          <w:szCs w:val="24"/>
        </w:rPr>
        <w:t>y</w:t>
      </w:r>
      <w:r w:rsidR="0069503F">
        <w:rPr>
          <w:rFonts w:ascii="Calibri" w:hAnsi="Calibri" w:cs="Calibri"/>
          <w:bCs/>
          <w:iCs/>
          <w:sz w:val="24"/>
          <w:szCs w:val="24"/>
        </w:rPr>
        <w:t xml:space="preserve"> o plnění Strategie</w:t>
      </w:r>
      <w:r w:rsidR="005B41C1">
        <w:rPr>
          <w:rFonts w:ascii="Calibri" w:hAnsi="Calibri" w:cs="Calibri"/>
          <w:bCs/>
          <w:iCs/>
          <w:sz w:val="24"/>
          <w:szCs w:val="24"/>
        </w:rPr>
        <w:t xml:space="preserve"> za roky 2020 až 2023</w:t>
      </w:r>
      <w:r w:rsidR="0069503F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1B73CA">
        <w:rPr>
          <w:rFonts w:ascii="Calibri" w:hAnsi="Calibri" w:cs="Calibri"/>
          <w:bCs/>
          <w:iCs/>
          <w:sz w:val="24"/>
          <w:szCs w:val="24"/>
        </w:rPr>
        <w:t>obsahovaly</w:t>
      </w:r>
      <w:r w:rsidR="0069503F">
        <w:rPr>
          <w:rFonts w:ascii="Calibri" w:hAnsi="Calibri" w:cs="Calibri"/>
          <w:bCs/>
          <w:iCs/>
          <w:sz w:val="24"/>
          <w:szCs w:val="24"/>
        </w:rPr>
        <w:t xml:space="preserve"> také informace k plnění opatření jednotlivými ministerstvy</w:t>
      </w:r>
      <w:r w:rsidR="0025454D">
        <w:rPr>
          <w:rFonts w:ascii="Calibri" w:hAnsi="Calibri" w:cs="Calibri"/>
          <w:bCs/>
          <w:iCs/>
          <w:sz w:val="24"/>
          <w:szCs w:val="24"/>
        </w:rPr>
        <w:t xml:space="preserve">. </w:t>
      </w:r>
    </w:p>
    <w:p w14:paraId="7A0B1334" w14:textId="77777777" w:rsidR="007702CD" w:rsidRDefault="007702CD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15EC9BFE" w14:textId="77777777" w:rsidR="007702CD" w:rsidRDefault="007F68A4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NKÚ zjistil, že:</w:t>
      </w:r>
    </w:p>
    <w:p w14:paraId="31291A8B" w14:textId="049193CC" w:rsidR="007702CD" w:rsidRPr="003968C0" w:rsidRDefault="007F68A4" w:rsidP="00F35D0C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MF vykázalo některé ekonomické údaje nesprávně u devíti strategických obchodních společností z 10</w:t>
      </w:r>
      <w:r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44"/>
      </w:r>
      <w:r>
        <w:rPr>
          <w:rFonts w:ascii="Calibri" w:hAnsi="Calibri" w:cs="Calibri"/>
          <w:bCs/>
          <w:iCs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MZe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 u dvou ze čtyř obchodních společností. Nejčastěji se jednalo o</w:t>
      </w:r>
      <w:r w:rsidR="00F35D0C">
        <w:rPr>
          <w:rFonts w:ascii="Calibri" w:hAnsi="Calibri" w:cs="Calibri"/>
          <w:bCs/>
          <w:iCs/>
          <w:sz w:val="24"/>
          <w:szCs w:val="24"/>
        </w:rPr>
        <w:t> </w:t>
      </w:r>
      <w:r>
        <w:rPr>
          <w:rFonts w:ascii="Calibri" w:hAnsi="Calibri" w:cs="Calibri"/>
          <w:bCs/>
          <w:iCs/>
          <w:sz w:val="24"/>
          <w:szCs w:val="24"/>
        </w:rPr>
        <w:t xml:space="preserve">údaje ohledně vlastního kapitálu a hodnotě aktiv obchodních společností. </w:t>
      </w:r>
      <w:r w:rsidR="00E42C75">
        <w:rPr>
          <w:rFonts w:ascii="Calibri" w:hAnsi="Calibri" w:cs="Calibri"/>
          <w:bCs/>
          <w:iCs/>
          <w:sz w:val="24"/>
          <w:szCs w:val="24"/>
        </w:rPr>
        <w:t>Nesrovnalosti se vyskytovaly i ve vykazovaných</w:t>
      </w:r>
      <w:r w:rsidR="00D15B6F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E42C75">
        <w:rPr>
          <w:rFonts w:ascii="Calibri" w:hAnsi="Calibri" w:cs="Calibri"/>
          <w:bCs/>
          <w:iCs/>
          <w:sz w:val="24"/>
          <w:szCs w:val="24"/>
        </w:rPr>
        <w:t>počtech zaměstnanců obchodních společností</w:t>
      </w:r>
      <w:r w:rsidR="00D15B6F">
        <w:rPr>
          <w:rFonts w:ascii="Calibri" w:hAnsi="Calibri" w:cs="Calibri"/>
          <w:bCs/>
          <w:iCs/>
          <w:sz w:val="24"/>
          <w:szCs w:val="24"/>
        </w:rPr>
        <w:t>;</w:t>
      </w:r>
    </w:p>
    <w:p w14:paraId="10EC13FA" w14:textId="7743F653" w:rsidR="00861FC3" w:rsidRDefault="007F68A4" w:rsidP="00F35D0C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</w:pPr>
      <w:r w:rsidRPr="003A0774">
        <w:rPr>
          <w:rFonts w:ascii="Calibri" w:hAnsi="Calibri" w:cs="Calibri"/>
          <w:bCs/>
          <w:iCs/>
          <w:sz w:val="24"/>
          <w:szCs w:val="24"/>
        </w:rPr>
        <w:t xml:space="preserve">MPO </w:t>
      </w:r>
      <w:r w:rsidR="007702CD" w:rsidRPr="003A0774">
        <w:rPr>
          <w:rFonts w:ascii="Calibri" w:hAnsi="Calibri" w:cs="Calibri"/>
          <w:bCs/>
          <w:iCs/>
          <w:sz w:val="24"/>
          <w:szCs w:val="24"/>
        </w:rPr>
        <w:t>vyk</w:t>
      </w:r>
      <w:r w:rsidR="007702CD">
        <w:rPr>
          <w:rFonts w:ascii="Calibri" w:hAnsi="Calibri" w:cs="Calibri"/>
          <w:bCs/>
          <w:iCs/>
          <w:sz w:val="24"/>
          <w:szCs w:val="24"/>
        </w:rPr>
        <w:t>ázalo</w:t>
      </w:r>
      <w:r w:rsidR="007702CD" w:rsidRPr="003A0774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3A0774">
        <w:rPr>
          <w:rFonts w:ascii="Calibri" w:hAnsi="Calibri" w:cs="Calibri"/>
          <w:bCs/>
          <w:iCs/>
          <w:sz w:val="24"/>
          <w:szCs w:val="24"/>
        </w:rPr>
        <w:t xml:space="preserve">ekonomické údaje neprávně </w:t>
      </w:r>
      <w:r w:rsidR="004F5DE2" w:rsidRPr="003A0774">
        <w:rPr>
          <w:rFonts w:ascii="Calibri" w:hAnsi="Calibri" w:cs="Calibri"/>
          <w:bCs/>
          <w:iCs/>
          <w:sz w:val="24"/>
          <w:szCs w:val="24"/>
        </w:rPr>
        <w:t>u tří</w:t>
      </w:r>
      <w:r w:rsidRPr="003A0774">
        <w:rPr>
          <w:rFonts w:ascii="Calibri" w:hAnsi="Calibri" w:cs="Calibri"/>
          <w:bCs/>
          <w:iCs/>
          <w:sz w:val="24"/>
          <w:szCs w:val="24"/>
        </w:rPr>
        <w:t xml:space="preserve"> strategických obchodních společností </w:t>
      </w:r>
      <w:r w:rsidR="00D15B6F">
        <w:rPr>
          <w:rFonts w:ascii="Calibri" w:hAnsi="Calibri" w:cs="Calibri"/>
          <w:bCs/>
          <w:iCs/>
          <w:sz w:val="24"/>
          <w:szCs w:val="24"/>
        </w:rPr>
        <w:t>ve své</w:t>
      </w:r>
      <w:r w:rsidRPr="003A0774">
        <w:rPr>
          <w:rFonts w:ascii="Calibri" w:hAnsi="Calibri" w:cs="Calibri"/>
          <w:bCs/>
          <w:iCs/>
          <w:sz w:val="24"/>
          <w:szCs w:val="24"/>
        </w:rPr>
        <w:t xml:space="preserve"> gesci. MPO </w:t>
      </w:r>
      <w:r w:rsidR="007702CD" w:rsidRPr="003A0774">
        <w:rPr>
          <w:rFonts w:ascii="Calibri" w:hAnsi="Calibri" w:cs="Calibri"/>
          <w:bCs/>
          <w:iCs/>
          <w:sz w:val="24"/>
          <w:szCs w:val="24"/>
        </w:rPr>
        <w:t xml:space="preserve">např. </w:t>
      </w:r>
      <w:r w:rsidRPr="003A0774">
        <w:rPr>
          <w:rFonts w:ascii="Calibri" w:hAnsi="Calibri" w:cs="Calibri"/>
          <w:bCs/>
          <w:iCs/>
          <w:sz w:val="24"/>
          <w:szCs w:val="24"/>
        </w:rPr>
        <w:t>uvedlo u jedné strategické obchodní společnosti v roce 2023 o</w:t>
      </w:r>
      <w:r w:rsidR="00F35D0C">
        <w:rPr>
          <w:rFonts w:ascii="Calibri" w:hAnsi="Calibri" w:cs="Calibri"/>
          <w:bCs/>
          <w:iCs/>
          <w:sz w:val="24"/>
          <w:szCs w:val="24"/>
        </w:rPr>
        <w:t> </w:t>
      </w:r>
      <w:r w:rsidRPr="003A0774">
        <w:rPr>
          <w:rFonts w:ascii="Calibri" w:hAnsi="Calibri" w:cs="Calibri"/>
          <w:bCs/>
          <w:iCs/>
          <w:sz w:val="24"/>
          <w:szCs w:val="24"/>
        </w:rPr>
        <w:t>18,7</w:t>
      </w:r>
      <w:r w:rsidR="00F35D0C">
        <w:rPr>
          <w:rFonts w:ascii="Calibri" w:hAnsi="Calibri" w:cs="Calibri"/>
          <w:bCs/>
          <w:iCs/>
          <w:sz w:val="24"/>
          <w:szCs w:val="24"/>
        </w:rPr>
        <w:t> </w:t>
      </w:r>
      <w:r w:rsidRPr="003A0774">
        <w:rPr>
          <w:rFonts w:ascii="Calibri" w:hAnsi="Calibri" w:cs="Calibri"/>
          <w:bCs/>
          <w:iCs/>
          <w:sz w:val="24"/>
          <w:szCs w:val="24"/>
        </w:rPr>
        <w:t>mld.</w:t>
      </w:r>
      <w:r w:rsidR="00F35D0C">
        <w:rPr>
          <w:rFonts w:ascii="Calibri" w:hAnsi="Calibri" w:cs="Calibri"/>
          <w:bCs/>
          <w:iCs/>
          <w:sz w:val="24"/>
          <w:szCs w:val="24"/>
        </w:rPr>
        <w:t> </w:t>
      </w:r>
      <w:r w:rsidRPr="003A0774">
        <w:rPr>
          <w:rFonts w:ascii="Calibri" w:hAnsi="Calibri" w:cs="Calibri"/>
          <w:bCs/>
          <w:iCs/>
          <w:sz w:val="24"/>
          <w:szCs w:val="24"/>
        </w:rPr>
        <w:t>Kč nižší částku dotac</w:t>
      </w:r>
      <w:r w:rsidR="004F5DE2" w:rsidRPr="003A0774">
        <w:rPr>
          <w:rFonts w:ascii="Calibri" w:hAnsi="Calibri" w:cs="Calibri"/>
          <w:bCs/>
          <w:iCs/>
          <w:sz w:val="24"/>
          <w:szCs w:val="24"/>
        </w:rPr>
        <w:t>í</w:t>
      </w:r>
      <w:r w:rsidRPr="003A0774">
        <w:rPr>
          <w:rFonts w:ascii="Calibri" w:hAnsi="Calibri" w:cs="Calibri"/>
          <w:bCs/>
          <w:iCs/>
          <w:sz w:val="24"/>
          <w:szCs w:val="24"/>
        </w:rPr>
        <w:t xml:space="preserve"> ze státního rozpočtu, než kterou skutečně obdržela, u</w:t>
      </w:r>
      <w:r w:rsidR="00F35D0C">
        <w:rPr>
          <w:rFonts w:ascii="Calibri" w:hAnsi="Calibri" w:cs="Calibri"/>
          <w:bCs/>
          <w:iCs/>
          <w:sz w:val="24"/>
          <w:szCs w:val="24"/>
        </w:rPr>
        <w:t> </w:t>
      </w:r>
      <w:r w:rsidRPr="003A0774">
        <w:rPr>
          <w:rFonts w:ascii="Calibri" w:hAnsi="Calibri" w:cs="Calibri"/>
          <w:bCs/>
          <w:iCs/>
          <w:sz w:val="24"/>
          <w:szCs w:val="24"/>
        </w:rPr>
        <w:t xml:space="preserve">druhé obchodní společnosti ve stejném roce zase částku o 27 mld. Kč vyšší. </w:t>
      </w:r>
      <w:r w:rsidR="008E71E9" w:rsidRPr="003A0774">
        <w:rPr>
          <w:rFonts w:ascii="Calibri" w:hAnsi="Calibri" w:cs="Calibri"/>
          <w:bCs/>
          <w:iCs/>
          <w:sz w:val="24"/>
          <w:szCs w:val="24"/>
        </w:rPr>
        <w:t>U</w:t>
      </w:r>
      <w:r w:rsidR="008F4CEF">
        <w:rPr>
          <w:rFonts w:ascii="Calibri" w:hAnsi="Calibri" w:cs="Calibri"/>
          <w:bCs/>
          <w:iCs/>
          <w:sz w:val="24"/>
          <w:szCs w:val="24"/>
        </w:rPr>
        <w:t> </w:t>
      </w:r>
      <w:r w:rsidR="008E71E9" w:rsidRPr="003A0774">
        <w:rPr>
          <w:rFonts w:ascii="Calibri" w:hAnsi="Calibri" w:cs="Calibri"/>
          <w:bCs/>
          <w:iCs/>
          <w:sz w:val="24"/>
          <w:szCs w:val="24"/>
        </w:rPr>
        <w:t>některých obchodních společností</w:t>
      </w:r>
      <w:r w:rsidRPr="003A0774">
        <w:rPr>
          <w:rFonts w:ascii="Calibri" w:hAnsi="Calibri" w:cs="Calibri"/>
          <w:bCs/>
          <w:iCs/>
          <w:sz w:val="24"/>
          <w:szCs w:val="24"/>
        </w:rPr>
        <w:t xml:space="preserve"> MPO </w:t>
      </w:r>
      <w:r w:rsidR="008E71E9" w:rsidRPr="003A0774">
        <w:rPr>
          <w:rFonts w:ascii="Calibri" w:hAnsi="Calibri" w:cs="Calibri"/>
          <w:bCs/>
          <w:iCs/>
          <w:sz w:val="24"/>
          <w:szCs w:val="24"/>
        </w:rPr>
        <w:t>zahrnulo do</w:t>
      </w:r>
      <w:r w:rsidRPr="003A0774">
        <w:rPr>
          <w:rFonts w:ascii="Calibri" w:hAnsi="Calibri" w:cs="Calibri"/>
          <w:bCs/>
          <w:iCs/>
          <w:sz w:val="24"/>
          <w:szCs w:val="24"/>
        </w:rPr>
        <w:t xml:space="preserve"> výš</w:t>
      </w:r>
      <w:r w:rsidR="008E71E9" w:rsidRPr="003A0774">
        <w:rPr>
          <w:rFonts w:ascii="Calibri" w:hAnsi="Calibri" w:cs="Calibri"/>
          <w:bCs/>
          <w:iCs/>
          <w:sz w:val="24"/>
          <w:szCs w:val="24"/>
        </w:rPr>
        <w:t>e</w:t>
      </w:r>
      <w:r w:rsidRPr="003A0774">
        <w:rPr>
          <w:rFonts w:ascii="Calibri" w:hAnsi="Calibri" w:cs="Calibri"/>
          <w:bCs/>
          <w:iCs/>
          <w:sz w:val="24"/>
          <w:szCs w:val="24"/>
        </w:rPr>
        <w:t xml:space="preserve"> obdržený</w:t>
      </w:r>
      <w:r w:rsidR="00456AC0" w:rsidRPr="003A0774">
        <w:rPr>
          <w:rFonts w:ascii="Calibri" w:hAnsi="Calibri" w:cs="Calibri"/>
          <w:bCs/>
          <w:iCs/>
          <w:sz w:val="24"/>
          <w:szCs w:val="24"/>
        </w:rPr>
        <w:t>ch</w:t>
      </w:r>
      <w:r w:rsidR="00B530E4" w:rsidRPr="003A0774">
        <w:rPr>
          <w:rFonts w:ascii="Calibri" w:hAnsi="Calibri" w:cs="Calibri"/>
          <w:bCs/>
          <w:iCs/>
          <w:sz w:val="24"/>
          <w:szCs w:val="24"/>
        </w:rPr>
        <w:t xml:space="preserve"> dotací ze státního rozpočtu </w:t>
      </w:r>
      <w:r w:rsidR="008E71E9" w:rsidRPr="003A0774">
        <w:rPr>
          <w:rFonts w:ascii="Calibri" w:hAnsi="Calibri" w:cs="Calibri"/>
          <w:bCs/>
          <w:iCs/>
          <w:sz w:val="24"/>
          <w:szCs w:val="24"/>
        </w:rPr>
        <w:t>také</w:t>
      </w:r>
      <w:r w:rsidR="00B530E4" w:rsidRPr="003A0774">
        <w:rPr>
          <w:rFonts w:ascii="Calibri" w:hAnsi="Calibri" w:cs="Calibri"/>
          <w:bCs/>
          <w:iCs/>
          <w:sz w:val="24"/>
          <w:szCs w:val="24"/>
        </w:rPr>
        <w:t xml:space="preserve"> programov</w:t>
      </w:r>
      <w:r w:rsidR="008E71E9" w:rsidRPr="003A0774">
        <w:rPr>
          <w:rFonts w:ascii="Calibri" w:hAnsi="Calibri" w:cs="Calibri"/>
          <w:bCs/>
          <w:iCs/>
          <w:sz w:val="24"/>
          <w:szCs w:val="24"/>
        </w:rPr>
        <w:t>é</w:t>
      </w:r>
      <w:r w:rsidR="00B530E4" w:rsidRPr="003A0774">
        <w:rPr>
          <w:rFonts w:ascii="Calibri" w:hAnsi="Calibri" w:cs="Calibri"/>
          <w:bCs/>
          <w:iCs/>
          <w:sz w:val="24"/>
          <w:szCs w:val="24"/>
        </w:rPr>
        <w:t xml:space="preserve"> dotac</w:t>
      </w:r>
      <w:r w:rsidR="008E71E9" w:rsidRPr="003A0774">
        <w:rPr>
          <w:rFonts w:ascii="Calibri" w:hAnsi="Calibri" w:cs="Calibri"/>
          <w:bCs/>
          <w:iCs/>
          <w:sz w:val="24"/>
          <w:szCs w:val="24"/>
        </w:rPr>
        <w:t>e</w:t>
      </w:r>
      <w:r w:rsidR="00B530E4" w:rsidRPr="003A0774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="001B73CA">
        <w:rPr>
          <w:rFonts w:ascii="Calibri" w:hAnsi="Calibri" w:cs="Calibri"/>
          <w:bCs/>
          <w:iCs/>
          <w:sz w:val="24"/>
          <w:szCs w:val="24"/>
        </w:rPr>
        <w:t xml:space="preserve">které jiné </w:t>
      </w:r>
      <w:r w:rsidR="00792919">
        <w:rPr>
          <w:rFonts w:ascii="Calibri" w:hAnsi="Calibri" w:cs="Calibri"/>
          <w:bCs/>
          <w:iCs/>
          <w:sz w:val="24"/>
          <w:szCs w:val="24"/>
        </w:rPr>
        <w:t>obchodní společnosti</w:t>
      </w:r>
      <w:r w:rsidR="001B73CA">
        <w:rPr>
          <w:rFonts w:ascii="Calibri" w:hAnsi="Calibri" w:cs="Calibri"/>
          <w:bCs/>
          <w:iCs/>
          <w:sz w:val="24"/>
          <w:szCs w:val="24"/>
        </w:rPr>
        <w:t xml:space="preserve"> neuváděly.</w:t>
      </w:r>
      <w:r w:rsidR="008E71E9" w:rsidRPr="003A0774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4BC70A41" w14:textId="77777777" w:rsidR="007702CD" w:rsidRDefault="007702CD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09DBDC31" w14:textId="2819AD41" w:rsidR="00FB71B6" w:rsidRDefault="007F68A4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NKÚ zjistil, že MF, MPO a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MZe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2A13C0">
        <w:rPr>
          <w:rFonts w:ascii="Calibri" w:hAnsi="Calibri" w:cs="Calibri"/>
          <w:bCs/>
          <w:iCs/>
          <w:sz w:val="24"/>
          <w:szCs w:val="24"/>
        </w:rPr>
        <w:t>informac</w:t>
      </w:r>
      <w:r>
        <w:rPr>
          <w:rFonts w:ascii="Calibri" w:hAnsi="Calibri" w:cs="Calibri"/>
          <w:bCs/>
          <w:iCs/>
          <w:sz w:val="24"/>
          <w:szCs w:val="24"/>
        </w:rPr>
        <w:t>e</w:t>
      </w:r>
      <w:r w:rsidR="002A13C0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1B73CA">
        <w:rPr>
          <w:rFonts w:ascii="Calibri" w:hAnsi="Calibri" w:cs="Calibri"/>
          <w:bCs/>
          <w:iCs/>
          <w:sz w:val="24"/>
          <w:szCs w:val="24"/>
        </w:rPr>
        <w:t xml:space="preserve">do </w:t>
      </w:r>
      <w:r w:rsidR="00D15B6F">
        <w:rPr>
          <w:rFonts w:ascii="Calibri" w:hAnsi="Calibri" w:cs="Calibri"/>
          <w:bCs/>
          <w:iCs/>
          <w:sz w:val="24"/>
          <w:szCs w:val="24"/>
        </w:rPr>
        <w:t>z</w:t>
      </w:r>
      <w:r w:rsidR="001B73CA">
        <w:rPr>
          <w:rFonts w:ascii="Calibri" w:hAnsi="Calibri" w:cs="Calibri"/>
          <w:bCs/>
          <w:iCs/>
          <w:sz w:val="24"/>
          <w:szCs w:val="24"/>
        </w:rPr>
        <w:t>práv</w:t>
      </w:r>
      <w:r w:rsidR="00D15B6F">
        <w:rPr>
          <w:rFonts w:ascii="Calibri" w:hAnsi="Calibri" w:cs="Calibri"/>
          <w:bCs/>
          <w:iCs/>
          <w:sz w:val="24"/>
          <w:szCs w:val="24"/>
        </w:rPr>
        <w:t xml:space="preserve"> o</w:t>
      </w:r>
      <w:r w:rsidR="008B135B">
        <w:rPr>
          <w:rFonts w:ascii="Calibri" w:hAnsi="Calibri" w:cs="Calibri"/>
          <w:bCs/>
          <w:iCs/>
          <w:sz w:val="24"/>
          <w:szCs w:val="24"/>
        </w:rPr>
        <w:t> plnění Strategie</w:t>
      </w:r>
      <w:r w:rsidR="001B73CA">
        <w:rPr>
          <w:rFonts w:ascii="Calibri" w:hAnsi="Calibri" w:cs="Calibri"/>
          <w:bCs/>
          <w:iCs/>
          <w:sz w:val="24"/>
          <w:szCs w:val="24"/>
        </w:rPr>
        <w:t xml:space="preserve"> získal</w:t>
      </w:r>
      <w:r w:rsidR="007B7A7C">
        <w:rPr>
          <w:rFonts w:ascii="Calibri" w:hAnsi="Calibri" w:cs="Calibri"/>
          <w:bCs/>
          <w:iCs/>
          <w:sz w:val="24"/>
          <w:szCs w:val="24"/>
        </w:rPr>
        <w:t>y</w:t>
      </w:r>
      <w:r w:rsidR="001B73C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2A13C0">
        <w:rPr>
          <w:rFonts w:ascii="Calibri" w:hAnsi="Calibri" w:cs="Calibri"/>
          <w:bCs/>
          <w:iCs/>
          <w:sz w:val="24"/>
          <w:szCs w:val="24"/>
        </w:rPr>
        <w:t>od obchodních společností</w:t>
      </w:r>
      <w:r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1B73CA">
        <w:rPr>
          <w:rFonts w:ascii="Calibri" w:hAnsi="Calibri" w:cs="Calibri"/>
          <w:bCs/>
          <w:iCs/>
          <w:sz w:val="24"/>
          <w:szCs w:val="24"/>
        </w:rPr>
        <w:t>a</w:t>
      </w:r>
      <w:r w:rsidR="00F35D0C">
        <w:rPr>
          <w:rFonts w:ascii="Calibri" w:hAnsi="Calibri" w:cs="Calibri"/>
          <w:bCs/>
          <w:iCs/>
          <w:sz w:val="24"/>
          <w:szCs w:val="24"/>
        </w:rPr>
        <w:t> </w:t>
      </w:r>
      <w:r>
        <w:rPr>
          <w:rFonts w:ascii="Calibri" w:hAnsi="Calibri" w:cs="Calibri"/>
          <w:bCs/>
          <w:iCs/>
          <w:sz w:val="24"/>
          <w:szCs w:val="24"/>
        </w:rPr>
        <w:t>nekontrolovaly</w:t>
      </w:r>
      <w:r w:rsidR="001B73CA">
        <w:rPr>
          <w:rFonts w:ascii="Calibri" w:hAnsi="Calibri" w:cs="Calibri"/>
          <w:bCs/>
          <w:iCs/>
          <w:sz w:val="24"/>
          <w:szCs w:val="24"/>
        </w:rPr>
        <w:t xml:space="preserve"> jejich správnost</w:t>
      </w:r>
      <w:r>
        <w:rPr>
          <w:rFonts w:ascii="Calibri" w:hAnsi="Calibri" w:cs="Calibri"/>
          <w:bCs/>
          <w:iCs/>
          <w:sz w:val="24"/>
          <w:szCs w:val="24"/>
        </w:rPr>
        <w:t>. Dalším důvodem chyb bylo</w:t>
      </w:r>
      <w:r w:rsidR="002A13C0">
        <w:rPr>
          <w:rFonts w:ascii="Calibri" w:hAnsi="Calibri" w:cs="Calibri"/>
          <w:bCs/>
          <w:iCs/>
          <w:sz w:val="24"/>
          <w:szCs w:val="24"/>
        </w:rPr>
        <w:t xml:space="preserve"> </w:t>
      </w:r>
      <w:r>
        <w:rPr>
          <w:rFonts w:ascii="Calibri" w:hAnsi="Calibri" w:cs="Calibri"/>
          <w:bCs/>
          <w:iCs/>
          <w:sz w:val="24"/>
          <w:szCs w:val="24"/>
        </w:rPr>
        <w:t>použití údajů, které nebyly ověřeny auditorem</w:t>
      </w:r>
      <w:r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45"/>
      </w:r>
      <w:r>
        <w:rPr>
          <w:rFonts w:ascii="Calibri" w:hAnsi="Calibri" w:cs="Calibri"/>
          <w:bCs/>
          <w:iCs/>
          <w:sz w:val="24"/>
          <w:szCs w:val="24"/>
        </w:rPr>
        <w:t xml:space="preserve"> a chybějící metodika, ze které by bylo ministerstvům zřejmé, jaký konkrétní údaj MF pro vypracování </w:t>
      </w:r>
      <w:r w:rsidR="008B135B">
        <w:rPr>
          <w:rFonts w:ascii="Calibri" w:hAnsi="Calibri" w:cs="Calibri"/>
          <w:bCs/>
          <w:iCs/>
          <w:sz w:val="24"/>
          <w:szCs w:val="24"/>
        </w:rPr>
        <w:t>z</w:t>
      </w:r>
      <w:r>
        <w:rPr>
          <w:rFonts w:ascii="Calibri" w:hAnsi="Calibri" w:cs="Calibri"/>
          <w:bCs/>
          <w:iCs/>
          <w:sz w:val="24"/>
          <w:szCs w:val="24"/>
        </w:rPr>
        <w:t>právy o plnění Strategie požaduje.</w:t>
      </w:r>
    </w:p>
    <w:p w14:paraId="32BF5BD3" w14:textId="77777777" w:rsidR="00E1734E" w:rsidRDefault="00E1734E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72327F06" w14:textId="7A27EDF3" w:rsidR="00366265" w:rsidRDefault="007F68A4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NKÚ dále zjistil, že MF ve </w:t>
      </w:r>
      <w:r w:rsidR="008B135B">
        <w:rPr>
          <w:rFonts w:ascii="Calibri" w:hAnsi="Calibri" w:cs="Calibri"/>
          <w:bCs/>
          <w:iCs/>
          <w:sz w:val="24"/>
          <w:szCs w:val="24"/>
        </w:rPr>
        <w:t>z</w:t>
      </w:r>
      <w:r>
        <w:rPr>
          <w:rFonts w:ascii="Calibri" w:hAnsi="Calibri" w:cs="Calibri"/>
          <w:bCs/>
          <w:iCs/>
          <w:sz w:val="24"/>
          <w:szCs w:val="24"/>
        </w:rPr>
        <w:t>právách o plnění Strategie za roky 2020</w:t>
      </w:r>
      <w:r w:rsidR="008B135B">
        <w:rPr>
          <w:rFonts w:ascii="Calibri" w:hAnsi="Calibri" w:cs="Calibri"/>
          <w:bCs/>
          <w:iCs/>
          <w:sz w:val="24"/>
          <w:szCs w:val="24"/>
        </w:rPr>
        <w:t>–</w:t>
      </w:r>
      <w:r>
        <w:rPr>
          <w:rFonts w:ascii="Calibri" w:hAnsi="Calibri" w:cs="Calibri"/>
          <w:bCs/>
          <w:iCs/>
          <w:sz w:val="24"/>
          <w:szCs w:val="24"/>
        </w:rPr>
        <w:t xml:space="preserve">2023 </w:t>
      </w:r>
      <w:r w:rsidR="008B135B">
        <w:rPr>
          <w:rFonts w:ascii="Calibri" w:hAnsi="Calibri" w:cs="Calibri"/>
          <w:bCs/>
          <w:iCs/>
          <w:sz w:val="24"/>
          <w:szCs w:val="24"/>
        </w:rPr>
        <w:t xml:space="preserve">neuvádělo </w:t>
      </w:r>
      <w:r>
        <w:rPr>
          <w:rFonts w:ascii="Calibri" w:hAnsi="Calibri" w:cs="Calibri"/>
          <w:bCs/>
          <w:iCs/>
          <w:sz w:val="24"/>
          <w:szCs w:val="24"/>
        </w:rPr>
        <w:t xml:space="preserve">všechny údaje o majetkových účastech státu </w:t>
      </w:r>
      <w:r w:rsidR="008B135B">
        <w:rPr>
          <w:rFonts w:ascii="Calibri" w:hAnsi="Calibri" w:cs="Calibri"/>
          <w:bCs/>
          <w:iCs/>
          <w:sz w:val="24"/>
          <w:szCs w:val="24"/>
        </w:rPr>
        <w:t>ve své</w:t>
      </w:r>
      <w:r>
        <w:rPr>
          <w:rFonts w:ascii="Calibri" w:hAnsi="Calibri" w:cs="Calibri"/>
          <w:bCs/>
          <w:iCs/>
          <w:sz w:val="24"/>
          <w:szCs w:val="24"/>
        </w:rPr>
        <w:t xml:space="preserve"> gesci, ačkoliv jimi disponovalo. Jednalo se především o údaje obchodních společností v likvidaci. MF </w:t>
      </w:r>
      <w:r w:rsidR="007702CD">
        <w:rPr>
          <w:rFonts w:ascii="Calibri" w:hAnsi="Calibri" w:cs="Calibri"/>
          <w:bCs/>
          <w:iCs/>
          <w:sz w:val="24"/>
          <w:szCs w:val="24"/>
        </w:rPr>
        <w:t xml:space="preserve">také </w:t>
      </w:r>
      <w:r>
        <w:rPr>
          <w:rFonts w:ascii="Calibri" w:hAnsi="Calibri" w:cs="Calibri"/>
          <w:bCs/>
          <w:iCs/>
          <w:sz w:val="24"/>
          <w:szCs w:val="24"/>
        </w:rPr>
        <w:t xml:space="preserve">ve </w:t>
      </w:r>
      <w:r w:rsidR="008B135B">
        <w:rPr>
          <w:rFonts w:ascii="Calibri" w:hAnsi="Calibri" w:cs="Calibri"/>
          <w:bCs/>
          <w:iCs/>
          <w:sz w:val="24"/>
          <w:szCs w:val="24"/>
        </w:rPr>
        <w:t>z</w:t>
      </w:r>
      <w:r>
        <w:rPr>
          <w:rFonts w:ascii="Calibri" w:hAnsi="Calibri" w:cs="Calibri"/>
          <w:bCs/>
          <w:iCs/>
          <w:sz w:val="24"/>
          <w:szCs w:val="24"/>
        </w:rPr>
        <w:t>právách o plnění Strategie neuvedlo majetkové účasti v jedné zahraniční obchodní společnosti a v několika zahraničních bankovních institucí</w:t>
      </w:r>
      <w:r w:rsidR="00E67442">
        <w:rPr>
          <w:rFonts w:ascii="Calibri" w:hAnsi="Calibri" w:cs="Calibri"/>
          <w:bCs/>
          <w:iCs/>
          <w:sz w:val="24"/>
          <w:szCs w:val="24"/>
        </w:rPr>
        <w:t>ch</w:t>
      </w:r>
      <w:r>
        <w:rPr>
          <w:rFonts w:ascii="Calibri" w:hAnsi="Calibri" w:cs="Calibri"/>
          <w:bCs/>
          <w:iCs/>
          <w:sz w:val="24"/>
          <w:szCs w:val="24"/>
        </w:rPr>
        <w:t xml:space="preserve"> a asociací</w:t>
      </w:r>
      <w:r w:rsidR="00E67442">
        <w:rPr>
          <w:rFonts w:ascii="Calibri" w:hAnsi="Calibri" w:cs="Calibri"/>
          <w:bCs/>
          <w:iCs/>
          <w:sz w:val="24"/>
          <w:szCs w:val="24"/>
        </w:rPr>
        <w:t>ch</w:t>
      </w:r>
      <w:r>
        <w:rPr>
          <w:rFonts w:ascii="Calibri" w:hAnsi="Calibri" w:cs="Calibri"/>
          <w:bCs/>
          <w:iCs/>
          <w:sz w:val="24"/>
          <w:szCs w:val="24"/>
        </w:rPr>
        <w:t xml:space="preserve">. </w:t>
      </w:r>
    </w:p>
    <w:p w14:paraId="0B761963" w14:textId="77777777" w:rsidR="00FB71B6" w:rsidRDefault="00FB71B6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2CDB2D12" w14:textId="2B101FF8" w:rsidR="00FB71B6" w:rsidRDefault="00FB71B6" w:rsidP="00BC2A72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V důsledku výše uvedených skutečností MF, MPO a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MZe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 xml:space="preserve"> neposkytovaly vládě a veřejnosti</w:t>
      </w:r>
      <w:r w:rsidR="00944CD6">
        <w:rPr>
          <w:rFonts w:ascii="Calibri" w:hAnsi="Calibri" w:cs="Calibri"/>
          <w:bCs/>
          <w:iCs/>
          <w:sz w:val="24"/>
          <w:szCs w:val="24"/>
        </w:rPr>
        <w:t xml:space="preserve"> </w:t>
      </w:r>
      <w:r>
        <w:rPr>
          <w:rFonts w:ascii="Calibri" w:hAnsi="Calibri" w:cs="Calibri"/>
          <w:bCs/>
          <w:iCs/>
          <w:sz w:val="24"/>
          <w:szCs w:val="24"/>
        </w:rPr>
        <w:t>úplné a správné informace a snižovaly transparentnost výkonu vlastnických práv.</w:t>
      </w:r>
    </w:p>
    <w:p w14:paraId="163FED10" w14:textId="77777777" w:rsidR="00AE1483" w:rsidRDefault="00AE1483" w:rsidP="00BC2A72">
      <w:pPr>
        <w:spacing w:after="0" w:line="240" w:lineRule="auto"/>
        <w:jc w:val="both"/>
        <w:rPr>
          <w:b/>
          <w:sz w:val="24"/>
          <w:szCs w:val="24"/>
          <w:lang w:eastAsia="cs-CZ"/>
        </w:rPr>
      </w:pPr>
    </w:p>
    <w:p w14:paraId="56405758" w14:textId="79985969" w:rsidR="007B7A7C" w:rsidRPr="005C1BC7" w:rsidRDefault="0006236D" w:rsidP="006D6FDA">
      <w:pPr>
        <w:pStyle w:val="Odstavecseseznamem"/>
        <w:numPr>
          <w:ilvl w:val="0"/>
          <w:numId w:val="26"/>
        </w:numPr>
        <w:spacing w:after="0" w:line="240" w:lineRule="auto"/>
        <w:ind w:left="284" w:hanging="284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 </w:t>
      </w:r>
      <w:proofErr w:type="spellStart"/>
      <w:r w:rsidR="00C95B65">
        <w:rPr>
          <w:b/>
          <w:sz w:val="24"/>
          <w:szCs w:val="24"/>
          <w:lang w:eastAsia="cs-CZ"/>
        </w:rPr>
        <w:t>MZe</w:t>
      </w:r>
      <w:proofErr w:type="spellEnd"/>
      <w:r w:rsidR="00C95B65">
        <w:rPr>
          <w:b/>
          <w:sz w:val="24"/>
          <w:szCs w:val="24"/>
          <w:lang w:eastAsia="cs-CZ"/>
        </w:rPr>
        <w:t xml:space="preserve"> nepřezkoumalo, zda je právní forma společnosti Podpůrný a garanční rolnický a</w:t>
      </w:r>
      <w:r w:rsidR="00F35D0C">
        <w:rPr>
          <w:b/>
          <w:sz w:val="24"/>
          <w:szCs w:val="24"/>
          <w:lang w:eastAsia="cs-CZ"/>
        </w:rPr>
        <w:t> </w:t>
      </w:r>
      <w:r w:rsidR="00C95B65">
        <w:rPr>
          <w:b/>
          <w:sz w:val="24"/>
          <w:szCs w:val="24"/>
          <w:lang w:eastAsia="cs-CZ"/>
        </w:rPr>
        <w:t>lesnický fond, a.s.</w:t>
      </w:r>
      <w:r w:rsidR="00C1770C">
        <w:rPr>
          <w:b/>
          <w:sz w:val="24"/>
          <w:szCs w:val="24"/>
          <w:lang w:eastAsia="cs-CZ"/>
        </w:rPr>
        <w:t>,</w:t>
      </w:r>
      <w:r w:rsidR="00C95B65">
        <w:rPr>
          <w:b/>
          <w:sz w:val="24"/>
          <w:szCs w:val="24"/>
          <w:lang w:eastAsia="cs-CZ"/>
        </w:rPr>
        <w:t xml:space="preserve"> vzhledem k její činnosti vhodná</w:t>
      </w:r>
    </w:p>
    <w:p w14:paraId="2B31CA05" w14:textId="77777777" w:rsidR="00E351E4" w:rsidRPr="007B7A7C" w:rsidRDefault="00E351E4" w:rsidP="00F35D0C">
      <w:pPr>
        <w:pStyle w:val="Odstavecseseznamem"/>
        <w:spacing w:after="0" w:line="240" w:lineRule="auto"/>
        <w:ind w:left="0"/>
        <w:jc w:val="both"/>
        <w:rPr>
          <w:bCs/>
          <w:sz w:val="24"/>
          <w:szCs w:val="24"/>
          <w:lang w:eastAsia="cs-CZ"/>
        </w:rPr>
      </w:pPr>
    </w:p>
    <w:p w14:paraId="301FF7C3" w14:textId="524EB549" w:rsidR="005C1BC7" w:rsidRDefault="007F68A4" w:rsidP="007702C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7A7EA0">
        <w:rPr>
          <w:rFonts w:cstheme="minorHAnsi"/>
          <w:sz w:val="24"/>
          <w:szCs w:val="24"/>
        </w:rPr>
        <w:t>bchodní společnosti jsou zpravidla zakládán</w:t>
      </w:r>
      <w:r>
        <w:rPr>
          <w:rFonts w:cstheme="minorHAnsi"/>
          <w:sz w:val="24"/>
          <w:szCs w:val="24"/>
        </w:rPr>
        <w:t>y</w:t>
      </w:r>
      <w:r w:rsidRPr="007A7EA0">
        <w:rPr>
          <w:rFonts w:cstheme="minorHAnsi"/>
          <w:sz w:val="24"/>
          <w:szCs w:val="24"/>
        </w:rPr>
        <w:t xml:space="preserve"> za účelem podnikání, přičemž jejich hlavním cílem je generování zisku. </w:t>
      </w:r>
      <w:r w:rsidR="00DF40C7" w:rsidRPr="007A7EA0">
        <w:rPr>
          <w:rFonts w:cstheme="minorHAnsi"/>
          <w:sz w:val="24"/>
          <w:szCs w:val="24"/>
        </w:rPr>
        <w:t>Akciové společnosti by měly fungovat na tržním principu a měly by být finančně v maximální možné míře nezávislé na vlastníkovi.</w:t>
      </w:r>
      <w:r w:rsidR="00DF40C7">
        <w:rPr>
          <w:rFonts w:cstheme="minorHAnsi"/>
          <w:sz w:val="24"/>
          <w:szCs w:val="24"/>
        </w:rPr>
        <w:t xml:space="preserve"> </w:t>
      </w:r>
      <w:r w:rsidR="009A5777">
        <w:rPr>
          <w:rFonts w:cstheme="minorHAnsi"/>
          <w:sz w:val="24"/>
          <w:szCs w:val="24"/>
        </w:rPr>
        <w:t xml:space="preserve">Stát </w:t>
      </w:r>
      <w:r w:rsidR="004D2999">
        <w:rPr>
          <w:rFonts w:cstheme="minorHAnsi"/>
          <w:sz w:val="24"/>
          <w:szCs w:val="24"/>
        </w:rPr>
        <w:t>je vlastník orientovaný na veřejný</w:t>
      </w:r>
      <w:r w:rsidR="00DF40C7">
        <w:rPr>
          <w:rFonts w:cstheme="minorHAnsi"/>
          <w:sz w:val="24"/>
          <w:szCs w:val="24"/>
        </w:rPr>
        <w:t xml:space="preserve"> zájem a podíl na zisku je pro něj vedlejším cílem. </w:t>
      </w:r>
      <w:r>
        <w:rPr>
          <w:rFonts w:cstheme="minorHAnsi"/>
          <w:sz w:val="24"/>
          <w:szCs w:val="24"/>
        </w:rPr>
        <w:t>Dle Strategie má být u</w:t>
      </w:r>
      <w:r w:rsidRPr="007A7EA0">
        <w:rPr>
          <w:rFonts w:cstheme="minorHAnsi"/>
          <w:sz w:val="24"/>
          <w:szCs w:val="24"/>
        </w:rPr>
        <w:t xml:space="preserve"> obchodních společností, které nejsou založeny za účelem zisku, posouzeno, zda zvolená právní forma odpovídá charakteru a účelu dané</w:t>
      </w:r>
      <w:r w:rsidR="00792919">
        <w:rPr>
          <w:rFonts w:cstheme="minorHAnsi"/>
          <w:sz w:val="24"/>
          <w:szCs w:val="24"/>
        </w:rPr>
        <w:t xml:space="preserve"> obchodní společnosti</w:t>
      </w:r>
      <w:r>
        <w:rPr>
          <w:rFonts w:cstheme="minorHAnsi"/>
          <w:sz w:val="24"/>
          <w:szCs w:val="24"/>
        </w:rPr>
        <w:t xml:space="preserve">. Je v ní </w:t>
      </w:r>
      <w:r w:rsidRPr="007A7EA0">
        <w:rPr>
          <w:rFonts w:cstheme="minorHAnsi"/>
          <w:sz w:val="24"/>
          <w:szCs w:val="24"/>
        </w:rPr>
        <w:t>zdůraz</w:t>
      </w:r>
      <w:r>
        <w:rPr>
          <w:rFonts w:cstheme="minorHAnsi"/>
          <w:sz w:val="24"/>
          <w:szCs w:val="24"/>
        </w:rPr>
        <w:t>něna</w:t>
      </w:r>
      <w:r w:rsidRPr="007A7EA0">
        <w:rPr>
          <w:rFonts w:cstheme="minorHAnsi"/>
          <w:sz w:val="24"/>
          <w:szCs w:val="24"/>
        </w:rPr>
        <w:t xml:space="preserve"> i nutnost průběžně analyzovat, zda stávající právní forma obchodní společnosti odpovídá jejímu poslání. </w:t>
      </w:r>
    </w:p>
    <w:p w14:paraId="5570B46D" w14:textId="77777777" w:rsidR="005C1BC7" w:rsidRPr="007A7EA0" w:rsidRDefault="005C1BC7" w:rsidP="005C1B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C6A977" w14:textId="33C9FA51" w:rsidR="005C1BC7" w:rsidRPr="007A7EA0" w:rsidRDefault="007F68A4" w:rsidP="005C1B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7EA0">
        <w:rPr>
          <w:rFonts w:cstheme="minorHAnsi"/>
          <w:sz w:val="24"/>
          <w:szCs w:val="24"/>
        </w:rPr>
        <w:t xml:space="preserve">PGRLF, </w:t>
      </w:r>
      <w:r w:rsidR="00594FD6">
        <w:rPr>
          <w:rFonts w:cstheme="minorHAnsi"/>
          <w:sz w:val="24"/>
          <w:szCs w:val="24"/>
        </w:rPr>
        <w:t>a.s.</w:t>
      </w:r>
      <w:r w:rsidR="008B135B">
        <w:rPr>
          <w:rFonts w:cstheme="minorHAnsi"/>
          <w:sz w:val="24"/>
          <w:szCs w:val="24"/>
        </w:rPr>
        <w:t>,</w:t>
      </w:r>
      <w:r w:rsidRPr="007A7EA0">
        <w:rPr>
          <w:rFonts w:cstheme="minorHAnsi"/>
          <w:sz w:val="24"/>
          <w:szCs w:val="24"/>
        </w:rPr>
        <w:t xml:space="preserve"> je příjemcem dotací ze státního rozpočtu</w:t>
      </w:r>
      <w:r>
        <w:rPr>
          <w:rStyle w:val="Znakapoznpodarou"/>
          <w:rFonts w:cstheme="minorHAnsi"/>
          <w:sz w:val="24"/>
          <w:szCs w:val="24"/>
        </w:rPr>
        <w:footnoteReference w:id="46"/>
      </w:r>
      <w:r w:rsidRPr="007A7EA0">
        <w:rPr>
          <w:rFonts w:cstheme="minorHAnsi"/>
          <w:sz w:val="24"/>
          <w:szCs w:val="24"/>
        </w:rPr>
        <w:t>, které používá k financování podpůrných programů</w:t>
      </w:r>
      <w:r>
        <w:rPr>
          <w:rStyle w:val="Znakapoznpodarou"/>
          <w:rFonts w:cstheme="minorHAnsi"/>
          <w:sz w:val="24"/>
          <w:szCs w:val="24"/>
        </w:rPr>
        <w:footnoteReference w:id="47"/>
      </w:r>
      <w:r w:rsidRPr="007A7EA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</w:t>
      </w:r>
      <w:r w:rsidRPr="007A7EA0">
        <w:rPr>
          <w:rFonts w:cstheme="minorHAnsi"/>
          <w:sz w:val="24"/>
          <w:szCs w:val="24"/>
        </w:rPr>
        <w:t xml:space="preserve">odpůrné programy jsou financovány také </w:t>
      </w:r>
      <w:r>
        <w:rPr>
          <w:rFonts w:cstheme="minorHAnsi"/>
          <w:sz w:val="24"/>
          <w:szCs w:val="24"/>
        </w:rPr>
        <w:t xml:space="preserve">ze zisku </w:t>
      </w:r>
      <w:r w:rsidRPr="007A7EA0">
        <w:rPr>
          <w:rFonts w:cstheme="minorHAnsi"/>
          <w:sz w:val="24"/>
          <w:szCs w:val="24"/>
        </w:rPr>
        <w:t xml:space="preserve">z podnikatelské činnosti PGRLF, </w:t>
      </w:r>
      <w:r w:rsidR="00594FD6">
        <w:rPr>
          <w:rFonts w:cstheme="minorHAnsi"/>
          <w:sz w:val="24"/>
          <w:szCs w:val="24"/>
        </w:rPr>
        <w:t>a.s.</w:t>
      </w:r>
      <w:r>
        <w:rPr>
          <w:rFonts w:cstheme="minorHAnsi"/>
          <w:sz w:val="24"/>
          <w:szCs w:val="24"/>
        </w:rPr>
        <w:t xml:space="preserve">, který </w:t>
      </w:r>
      <w:r w:rsidRPr="007A7EA0">
        <w:rPr>
          <w:rFonts w:cstheme="minorHAnsi"/>
          <w:sz w:val="24"/>
          <w:szCs w:val="24"/>
        </w:rPr>
        <w:t>je tvořen převážně výnosy ze spravovaného finančního majetku a</w:t>
      </w:r>
      <w:r w:rsidR="008F4CEF">
        <w:rPr>
          <w:rFonts w:cstheme="minorHAnsi"/>
          <w:sz w:val="24"/>
          <w:szCs w:val="24"/>
        </w:rPr>
        <w:t> </w:t>
      </w:r>
      <w:r w:rsidRPr="007A7EA0">
        <w:rPr>
          <w:rFonts w:cstheme="minorHAnsi"/>
          <w:sz w:val="24"/>
          <w:szCs w:val="24"/>
        </w:rPr>
        <w:t>úroky z poskytnutých úvěrů.</w:t>
      </w:r>
    </w:p>
    <w:p w14:paraId="63601B56" w14:textId="77777777" w:rsidR="002C099F" w:rsidRDefault="002C099F" w:rsidP="005C1BC7">
      <w:pPr>
        <w:spacing w:after="0" w:line="240" w:lineRule="auto"/>
        <w:rPr>
          <w:sz w:val="24"/>
          <w:szCs w:val="24"/>
        </w:rPr>
      </w:pPr>
    </w:p>
    <w:p w14:paraId="6FB4BAB6" w14:textId="77777777" w:rsidR="002C0587" w:rsidRDefault="002C05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9059BAA" w14:textId="68E06CC6" w:rsidR="005C1BC7" w:rsidRPr="00F35D0C" w:rsidRDefault="007F68A4" w:rsidP="00605BA0">
      <w:pPr>
        <w:keepNext/>
        <w:spacing w:after="0" w:line="240" w:lineRule="auto"/>
        <w:ind w:left="992" w:hanging="992"/>
        <w:rPr>
          <w:b/>
          <w:bCs/>
          <w:sz w:val="24"/>
          <w:szCs w:val="24"/>
        </w:rPr>
      </w:pPr>
      <w:r w:rsidRPr="00F35D0C">
        <w:rPr>
          <w:b/>
          <w:bCs/>
          <w:sz w:val="24"/>
          <w:szCs w:val="24"/>
        </w:rPr>
        <w:lastRenderedPageBreak/>
        <w:t xml:space="preserve">Graf č. </w:t>
      </w:r>
      <w:r w:rsidR="00855D33" w:rsidRPr="00F35D0C">
        <w:rPr>
          <w:b/>
          <w:bCs/>
          <w:sz w:val="24"/>
          <w:szCs w:val="24"/>
        </w:rPr>
        <w:t>2</w:t>
      </w:r>
      <w:r w:rsidRPr="00F35D0C">
        <w:rPr>
          <w:b/>
          <w:bCs/>
          <w:sz w:val="24"/>
          <w:szCs w:val="24"/>
        </w:rPr>
        <w:t xml:space="preserve">: </w:t>
      </w:r>
      <w:r w:rsidR="00F35D0C">
        <w:rPr>
          <w:b/>
          <w:bCs/>
          <w:sz w:val="24"/>
          <w:szCs w:val="24"/>
        </w:rPr>
        <w:tab/>
      </w:r>
      <w:r w:rsidRPr="00F35D0C">
        <w:rPr>
          <w:b/>
          <w:bCs/>
          <w:sz w:val="24"/>
          <w:szCs w:val="24"/>
        </w:rPr>
        <w:t xml:space="preserve">Porovnání dotací ze státního rozpočtu a zisku obchodní společnosti PGRLF, </w:t>
      </w:r>
      <w:r w:rsidR="00594FD6" w:rsidRPr="00F35D0C">
        <w:rPr>
          <w:b/>
          <w:bCs/>
          <w:sz w:val="24"/>
          <w:szCs w:val="24"/>
        </w:rPr>
        <w:t>a.s.</w:t>
      </w:r>
      <w:r w:rsidR="008B135B">
        <w:rPr>
          <w:b/>
          <w:bCs/>
          <w:sz w:val="24"/>
          <w:szCs w:val="24"/>
        </w:rPr>
        <w:t>,</w:t>
      </w:r>
      <w:r w:rsidRPr="00F35D0C">
        <w:rPr>
          <w:b/>
          <w:bCs/>
          <w:sz w:val="24"/>
          <w:szCs w:val="24"/>
        </w:rPr>
        <w:t xml:space="preserve"> v období let 2020</w:t>
      </w:r>
      <w:r w:rsidR="008B135B">
        <w:rPr>
          <w:b/>
          <w:bCs/>
          <w:sz w:val="24"/>
          <w:szCs w:val="24"/>
        </w:rPr>
        <w:t>–</w:t>
      </w:r>
      <w:r w:rsidRPr="00F35D0C">
        <w:rPr>
          <w:b/>
          <w:bCs/>
          <w:sz w:val="24"/>
          <w:szCs w:val="24"/>
        </w:rPr>
        <w:t>2024</w:t>
      </w:r>
      <w:r w:rsidR="000D2E4D" w:rsidRPr="00F35D0C">
        <w:rPr>
          <w:b/>
          <w:bCs/>
          <w:sz w:val="24"/>
          <w:szCs w:val="24"/>
        </w:rPr>
        <w:t xml:space="preserve"> </w:t>
      </w:r>
      <w:r w:rsidR="00DF40C7" w:rsidRPr="00F35D0C">
        <w:rPr>
          <w:b/>
          <w:bCs/>
          <w:sz w:val="24"/>
          <w:szCs w:val="24"/>
        </w:rPr>
        <w:t>(</w:t>
      </w:r>
      <w:r w:rsidR="000D2E4D" w:rsidRPr="00F35D0C">
        <w:rPr>
          <w:b/>
          <w:bCs/>
          <w:sz w:val="24"/>
          <w:szCs w:val="24"/>
        </w:rPr>
        <w:t>v mil. Kč</w:t>
      </w:r>
      <w:r w:rsidR="00DF40C7" w:rsidRPr="00F35D0C">
        <w:rPr>
          <w:b/>
          <w:bCs/>
          <w:sz w:val="24"/>
          <w:szCs w:val="24"/>
        </w:rPr>
        <w:t>)</w:t>
      </w:r>
    </w:p>
    <w:p w14:paraId="6731B866" w14:textId="07A782BD" w:rsidR="005C1BC7" w:rsidRDefault="00855D33" w:rsidP="005C1BC7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4BF6F4DC" wp14:editId="67F9C485">
            <wp:extent cx="5760720" cy="2700000"/>
            <wp:effectExtent l="0" t="0" r="0" b="5715"/>
            <wp:docPr id="197612796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622C9C2-4EDF-446C-AA73-10C9F8E153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97C13C4" w14:textId="699B4293" w:rsidR="005C1BC7" w:rsidRPr="00E632D3" w:rsidRDefault="007F68A4" w:rsidP="005C1BC7">
      <w:pPr>
        <w:spacing w:after="0" w:line="240" w:lineRule="auto"/>
        <w:rPr>
          <w:sz w:val="20"/>
          <w:szCs w:val="20"/>
        </w:rPr>
      </w:pPr>
      <w:r w:rsidRPr="009651D5">
        <w:rPr>
          <w:b/>
          <w:bCs/>
          <w:sz w:val="20"/>
          <w:szCs w:val="20"/>
        </w:rPr>
        <w:t>Zdroj:</w:t>
      </w:r>
      <w:r w:rsidRPr="00E632D3">
        <w:rPr>
          <w:sz w:val="20"/>
          <w:szCs w:val="20"/>
        </w:rPr>
        <w:t xml:space="preserve"> </w:t>
      </w:r>
      <w:r w:rsidR="008B135B">
        <w:rPr>
          <w:sz w:val="20"/>
          <w:szCs w:val="20"/>
        </w:rPr>
        <w:t>v</w:t>
      </w:r>
      <w:r w:rsidRPr="00E632D3">
        <w:rPr>
          <w:sz w:val="20"/>
          <w:szCs w:val="20"/>
        </w:rPr>
        <w:t xml:space="preserve">ýroční zprávy PGRLF, </w:t>
      </w:r>
      <w:r w:rsidR="00594FD6">
        <w:rPr>
          <w:sz w:val="20"/>
          <w:szCs w:val="20"/>
        </w:rPr>
        <w:t>a.s.</w:t>
      </w:r>
      <w:r w:rsidR="008B135B">
        <w:rPr>
          <w:sz w:val="20"/>
          <w:szCs w:val="20"/>
        </w:rPr>
        <w:t>, za roky</w:t>
      </w:r>
      <w:r w:rsidRPr="00E632D3">
        <w:rPr>
          <w:sz w:val="20"/>
          <w:szCs w:val="20"/>
        </w:rPr>
        <w:t xml:space="preserve"> 2020</w:t>
      </w:r>
      <w:r w:rsidR="008B135B">
        <w:rPr>
          <w:sz w:val="20"/>
          <w:szCs w:val="20"/>
        </w:rPr>
        <w:t>–</w:t>
      </w:r>
      <w:r w:rsidRPr="00E632D3">
        <w:rPr>
          <w:sz w:val="20"/>
          <w:szCs w:val="20"/>
        </w:rPr>
        <w:t>2024</w:t>
      </w:r>
      <w:r w:rsidR="008B135B">
        <w:rPr>
          <w:sz w:val="20"/>
          <w:szCs w:val="20"/>
        </w:rPr>
        <w:t>.</w:t>
      </w:r>
      <w:r w:rsidRPr="00E632D3">
        <w:rPr>
          <w:sz w:val="20"/>
          <w:szCs w:val="20"/>
        </w:rPr>
        <w:t xml:space="preserve"> </w:t>
      </w:r>
    </w:p>
    <w:p w14:paraId="280F49EE" w14:textId="77777777" w:rsidR="005C1BC7" w:rsidRPr="00F35D0C" w:rsidRDefault="005C1BC7" w:rsidP="005C1BC7">
      <w:pPr>
        <w:spacing w:after="0" w:line="240" w:lineRule="auto"/>
        <w:rPr>
          <w:sz w:val="24"/>
          <w:szCs w:val="24"/>
        </w:rPr>
      </w:pPr>
    </w:p>
    <w:p w14:paraId="0F9370C1" w14:textId="054DB615" w:rsidR="00D2737C" w:rsidRDefault="007F68A4" w:rsidP="005C1B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7EA0">
        <w:rPr>
          <w:rFonts w:cstheme="minorHAnsi"/>
          <w:sz w:val="24"/>
          <w:szCs w:val="24"/>
        </w:rPr>
        <w:t>Z grafu vyplývá, že fungování PGRLF</w:t>
      </w:r>
      <w:r w:rsidR="007702CD">
        <w:rPr>
          <w:rFonts w:cstheme="minorHAnsi"/>
          <w:sz w:val="24"/>
          <w:szCs w:val="24"/>
        </w:rPr>
        <w:t xml:space="preserve">, </w:t>
      </w:r>
      <w:r w:rsidR="00227DF3">
        <w:rPr>
          <w:rFonts w:cstheme="minorHAnsi"/>
          <w:sz w:val="24"/>
          <w:szCs w:val="24"/>
        </w:rPr>
        <w:t>a.s.</w:t>
      </w:r>
      <w:r w:rsidR="008B135B">
        <w:rPr>
          <w:rFonts w:cstheme="minorHAnsi"/>
          <w:sz w:val="24"/>
          <w:szCs w:val="24"/>
        </w:rPr>
        <w:t>,</w:t>
      </w:r>
      <w:r w:rsidRPr="007A7EA0">
        <w:rPr>
          <w:rFonts w:cstheme="minorHAnsi"/>
          <w:sz w:val="24"/>
          <w:szCs w:val="24"/>
        </w:rPr>
        <w:t xml:space="preserve"> je finančně </w:t>
      </w:r>
      <w:r w:rsidR="007702CD">
        <w:rPr>
          <w:rFonts w:cstheme="minorHAnsi"/>
          <w:sz w:val="24"/>
          <w:szCs w:val="24"/>
        </w:rPr>
        <w:t>významně</w:t>
      </w:r>
      <w:r w:rsidRPr="007A7EA0">
        <w:rPr>
          <w:rFonts w:cstheme="minorHAnsi"/>
          <w:sz w:val="24"/>
          <w:szCs w:val="24"/>
        </w:rPr>
        <w:t xml:space="preserve"> závislé na </w:t>
      </w:r>
      <w:r w:rsidR="00C45965">
        <w:rPr>
          <w:rFonts w:cstheme="minorHAnsi"/>
          <w:sz w:val="24"/>
          <w:szCs w:val="24"/>
        </w:rPr>
        <w:t>financování ze strany státu (</w:t>
      </w:r>
      <w:proofErr w:type="spellStart"/>
      <w:r w:rsidRPr="007A7EA0">
        <w:rPr>
          <w:rFonts w:cstheme="minorHAnsi"/>
          <w:sz w:val="24"/>
          <w:szCs w:val="24"/>
        </w:rPr>
        <w:t>MZe</w:t>
      </w:r>
      <w:proofErr w:type="spellEnd"/>
      <w:r w:rsidR="00C45965">
        <w:rPr>
          <w:rFonts w:cstheme="minorHAnsi"/>
          <w:sz w:val="24"/>
          <w:szCs w:val="24"/>
        </w:rPr>
        <w:t>)</w:t>
      </w:r>
      <w:r w:rsidRPr="007A7EA0">
        <w:rPr>
          <w:rFonts w:cstheme="minorHAnsi"/>
          <w:sz w:val="24"/>
          <w:szCs w:val="24"/>
        </w:rPr>
        <w:t xml:space="preserve"> jakožto jediném akcionáři</w:t>
      </w:r>
      <w:r>
        <w:rPr>
          <w:rFonts w:cstheme="minorHAnsi"/>
          <w:sz w:val="24"/>
          <w:szCs w:val="24"/>
        </w:rPr>
        <w:t>.</w:t>
      </w:r>
      <w:r w:rsidRPr="007A7EA0">
        <w:rPr>
          <w:rFonts w:cstheme="minorHAnsi"/>
          <w:sz w:val="24"/>
          <w:szCs w:val="24"/>
        </w:rPr>
        <w:t xml:space="preserve"> </w:t>
      </w:r>
      <w:proofErr w:type="spellStart"/>
      <w:r w:rsidR="00D2737C" w:rsidRPr="007A7EA0">
        <w:rPr>
          <w:rFonts w:cstheme="minorHAnsi"/>
          <w:sz w:val="24"/>
          <w:szCs w:val="24"/>
        </w:rPr>
        <w:t>MZe</w:t>
      </w:r>
      <w:proofErr w:type="spellEnd"/>
      <w:r w:rsidR="00D2737C" w:rsidRPr="007A7EA0">
        <w:rPr>
          <w:rFonts w:cstheme="minorHAnsi"/>
          <w:sz w:val="24"/>
          <w:szCs w:val="24"/>
        </w:rPr>
        <w:t xml:space="preserve"> má</w:t>
      </w:r>
      <w:r w:rsidR="00D2737C">
        <w:rPr>
          <w:rFonts w:cstheme="minorHAnsi"/>
          <w:sz w:val="24"/>
          <w:szCs w:val="24"/>
        </w:rPr>
        <w:t xml:space="preserve"> přitom v případě takto fungující akciové společnosti k dispozici pouze</w:t>
      </w:r>
      <w:r w:rsidR="00D2737C" w:rsidRPr="007A7EA0">
        <w:rPr>
          <w:rFonts w:cstheme="minorHAnsi"/>
          <w:sz w:val="24"/>
          <w:szCs w:val="24"/>
        </w:rPr>
        <w:t xml:space="preserve"> standardní možnosti kontroly</w:t>
      </w:r>
      <w:r w:rsidR="00D2737C">
        <w:rPr>
          <w:rFonts w:cstheme="minorHAnsi"/>
          <w:sz w:val="24"/>
          <w:szCs w:val="24"/>
        </w:rPr>
        <w:t>. Přímá finanční závislost PGRLF, a.s.</w:t>
      </w:r>
      <w:r w:rsidR="008B135B">
        <w:rPr>
          <w:rFonts w:cstheme="minorHAnsi"/>
          <w:sz w:val="24"/>
          <w:szCs w:val="24"/>
        </w:rPr>
        <w:t>,</w:t>
      </w:r>
      <w:r w:rsidR="00D2737C">
        <w:rPr>
          <w:rFonts w:cstheme="minorHAnsi"/>
          <w:sz w:val="24"/>
          <w:szCs w:val="24"/>
        </w:rPr>
        <w:t xml:space="preserve"> na státu vyžaduje vyšší míru státního dohledu a variabilitu kontrolních mechanismů stejně jako rozsáhlejší zásahové </w:t>
      </w:r>
      <w:proofErr w:type="gramStart"/>
      <w:r w:rsidR="00D2737C">
        <w:rPr>
          <w:rFonts w:cstheme="minorHAnsi"/>
          <w:sz w:val="24"/>
          <w:szCs w:val="24"/>
        </w:rPr>
        <w:t>pravomoc</w:t>
      </w:r>
      <w:r w:rsidR="006349F8">
        <w:rPr>
          <w:rFonts w:cstheme="minorHAnsi"/>
          <w:sz w:val="24"/>
          <w:szCs w:val="24"/>
        </w:rPr>
        <w:t>i</w:t>
      </w:r>
      <w:r w:rsidR="008B135B">
        <w:rPr>
          <w:rFonts w:cstheme="minorHAnsi"/>
          <w:sz w:val="24"/>
          <w:szCs w:val="24"/>
        </w:rPr>
        <w:t>,</w:t>
      </w:r>
      <w:proofErr w:type="gramEnd"/>
      <w:r w:rsidR="00D2737C">
        <w:rPr>
          <w:rFonts w:cstheme="minorHAnsi"/>
          <w:sz w:val="24"/>
          <w:szCs w:val="24"/>
        </w:rPr>
        <w:t xml:space="preserve"> než</w:t>
      </w:r>
      <w:r w:rsidR="006349F8">
        <w:rPr>
          <w:rFonts w:cstheme="minorHAnsi"/>
          <w:sz w:val="24"/>
          <w:szCs w:val="24"/>
        </w:rPr>
        <w:t xml:space="preserve"> </w:t>
      </w:r>
      <w:r w:rsidR="00D2737C">
        <w:rPr>
          <w:rFonts w:cstheme="minorHAnsi"/>
          <w:sz w:val="24"/>
          <w:szCs w:val="24"/>
        </w:rPr>
        <w:t xml:space="preserve">umožňuje </w:t>
      </w:r>
      <w:r w:rsidR="00585E47">
        <w:rPr>
          <w:rFonts w:cstheme="minorHAnsi"/>
          <w:sz w:val="24"/>
          <w:szCs w:val="24"/>
        </w:rPr>
        <w:t>zákon o obchodních korporacích</w:t>
      </w:r>
      <w:r w:rsidR="00D2737C">
        <w:rPr>
          <w:rFonts w:cstheme="minorHAnsi"/>
          <w:sz w:val="24"/>
          <w:szCs w:val="24"/>
        </w:rPr>
        <w:t>.</w:t>
      </w:r>
    </w:p>
    <w:p w14:paraId="5F58CD22" w14:textId="2C894ADF" w:rsidR="005C1BC7" w:rsidRDefault="005C1BC7" w:rsidP="005C1B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FF1049" w14:textId="58084D81" w:rsidR="00290206" w:rsidRDefault="007F68A4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7EA0">
        <w:rPr>
          <w:rFonts w:cstheme="minorHAnsi"/>
          <w:sz w:val="24"/>
          <w:szCs w:val="24"/>
        </w:rPr>
        <w:t xml:space="preserve">NKÚ </w:t>
      </w:r>
      <w:r w:rsidR="007B7A7C">
        <w:rPr>
          <w:rFonts w:cstheme="minorHAnsi"/>
          <w:sz w:val="24"/>
          <w:szCs w:val="24"/>
        </w:rPr>
        <w:t xml:space="preserve">v </w:t>
      </w:r>
      <w:r w:rsidR="00247D2F">
        <w:rPr>
          <w:rFonts w:cstheme="minorHAnsi"/>
          <w:sz w:val="24"/>
          <w:szCs w:val="24"/>
        </w:rPr>
        <w:t xml:space="preserve">KA č. 19/18 </w:t>
      </w:r>
      <w:r w:rsidRPr="007A7EA0">
        <w:rPr>
          <w:rFonts w:cstheme="minorHAnsi"/>
          <w:sz w:val="24"/>
          <w:szCs w:val="24"/>
        </w:rPr>
        <w:t xml:space="preserve">zjistil, že právní forma PGRLF, </w:t>
      </w:r>
      <w:r w:rsidR="00594FD6">
        <w:rPr>
          <w:rFonts w:cstheme="minorHAnsi"/>
          <w:sz w:val="24"/>
          <w:szCs w:val="24"/>
        </w:rPr>
        <w:t>a.s.</w:t>
      </w:r>
      <w:r w:rsidR="008B135B">
        <w:rPr>
          <w:rFonts w:cstheme="minorHAnsi"/>
          <w:sz w:val="24"/>
          <w:szCs w:val="24"/>
        </w:rPr>
        <w:t>,</w:t>
      </w:r>
      <w:r w:rsidRPr="007A7EA0">
        <w:rPr>
          <w:rFonts w:cstheme="minorHAnsi"/>
          <w:sz w:val="24"/>
          <w:szCs w:val="24"/>
        </w:rPr>
        <w:t xml:space="preserve"> neodpovídá požadavkům vyplývajícím ze Strategie</w:t>
      </w:r>
      <w:r w:rsidR="00247D2F">
        <w:rPr>
          <w:rFonts w:cstheme="minorHAnsi"/>
          <w:sz w:val="24"/>
          <w:szCs w:val="24"/>
        </w:rPr>
        <w:t xml:space="preserve"> a vláda</w:t>
      </w:r>
      <w:r w:rsidRPr="007A7EA0">
        <w:rPr>
          <w:rFonts w:cstheme="minorHAnsi"/>
          <w:sz w:val="24"/>
          <w:szCs w:val="24"/>
        </w:rPr>
        <w:t xml:space="preserve"> uložila</w:t>
      </w:r>
      <w:r>
        <w:rPr>
          <w:rStyle w:val="Znakapoznpodarou"/>
          <w:rFonts w:cstheme="minorHAnsi"/>
          <w:sz w:val="24"/>
          <w:szCs w:val="24"/>
        </w:rPr>
        <w:footnoteReference w:id="48"/>
      </w:r>
      <w:r w:rsidRPr="007A7EA0">
        <w:rPr>
          <w:rFonts w:cstheme="minorHAnsi"/>
          <w:sz w:val="24"/>
          <w:szCs w:val="24"/>
        </w:rPr>
        <w:t xml:space="preserve"> </w:t>
      </w:r>
      <w:proofErr w:type="spellStart"/>
      <w:r w:rsidRPr="007A7EA0">
        <w:rPr>
          <w:rFonts w:cstheme="minorHAnsi"/>
          <w:sz w:val="24"/>
          <w:szCs w:val="24"/>
        </w:rPr>
        <w:t>MZe</w:t>
      </w:r>
      <w:proofErr w:type="spellEnd"/>
      <w:r w:rsidRPr="007A7EA0">
        <w:rPr>
          <w:rFonts w:cstheme="minorHAnsi"/>
          <w:sz w:val="24"/>
          <w:szCs w:val="24"/>
        </w:rPr>
        <w:t xml:space="preserve"> provést revizi všech obchodních společností v jeho gesci</w:t>
      </w:r>
      <w:r w:rsidR="00687490">
        <w:rPr>
          <w:rFonts w:cstheme="minorHAnsi"/>
          <w:sz w:val="24"/>
          <w:szCs w:val="24"/>
        </w:rPr>
        <w:t>.</w:t>
      </w:r>
      <w:r w:rsidRPr="007A7EA0">
        <w:rPr>
          <w:rFonts w:cstheme="minorHAnsi"/>
          <w:sz w:val="24"/>
          <w:szCs w:val="24"/>
        </w:rPr>
        <w:t xml:space="preserve"> NKÚ zjistil, že </w:t>
      </w:r>
      <w:proofErr w:type="spellStart"/>
      <w:r w:rsidRPr="007A7EA0">
        <w:rPr>
          <w:rFonts w:cstheme="minorHAnsi"/>
          <w:sz w:val="24"/>
          <w:szCs w:val="24"/>
        </w:rPr>
        <w:t>MZe</w:t>
      </w:r>
      <w:proofErr w:type="spellEnd"/>
      <w:r w:rsidRPr="007A7EA0">
        <w:rPr>
          <w:rFonts w:cstheme="minorHAnsi"/>
          <w:sz w:val="24"/>
          <w:szCs w:val="24"/>
        </w:rPr>
        <w:t xml:space="preserve"> nesplnilo nápravné opatření z</w:t>
      </w:r>
      <w:r w:rsidR="00401224">
        <w:rPr>
          <w:rFonts w:cstheme="minorHAnsi"/>
          <w:sz w:val="24"/>
          <w:szCs w:val="24"/>
        </w:rPr>
        <w:t> </w:t>
      </w:r>
      <w:r w:rsidRPr="007A7EA0">
        <w:rPr>
          <w:rFonts w:cstheme="minorHAnsi"/>
          <w:sz w:val="24"/>
          <w:szCs w:val="24"/>
        </w:rPr>
        <w:t>KA</w:t>
      </w:r>
      <w:r w:rsidR="00401224">
        <w:rPr>
          <w:rFonts w:cstheme="minorHAnsi"/>
          <w:sz w:val="24"/>
          <w:szCs w:val="24"/>
        </w:rPr>
        <w:t xml:space="preserve"> č.</w:t>
      </w:r>
      <w:r w:rsidRPr="007A7EA0">
        <w:rPr>
          <w:rFonts w:cstheme="minorHAnsi"/>
          <w:sz w:val="24"/>
          <w:szCs w:val="24"/>
        </w:rPr>
        <w:t xml:space="preserve"> 19/18 a </w:t>
      </w:r>
      <w:r>
        <w:rPr>
          <w:rFonts w:cstheme="minorHAnsi"/>
          <w:sz w:val="24"/>
          <w:szCs w:val="24"/>
        </w:rPr>
        <w:t xml:space="preserve">tuto </w:t>
      </w:r>
      <w:r w:rsidRPr="007A7EA0">
        <w:rPr>
          <w:rFonts w:cstheme="minorHAnsi"/>
          <w:sz w:val="24"/>
          <w:szCs w:val="24"/>
        </w:rPr>
        <w:t xml:space="preserve">revizi neprovedlo. </w:t>
      </w:r>
      <w:proofErr w:type="spellStart"/>
      <w:r w:rsidRPr="007A7EA0">
        <w:rPr>
          <w:rFonts w:cstheme="minorHAnsi"/>
          <w:sz w:val="24"/>
          <w:szCs w:val="24"/>
        </w:rPr>
        <w:t>MZe</w:t>
      </w:r>
      <w:proofErr w:type="spellEnd"/>
      <w:r w:rsidRPr="007A7EA0">
        <w:rPr>
          <w:rFonts w:cstheme="minorHAnsi"/>
          <w:sz w:val="24"/>
          <w:szCs w:val="24"/>
        </w:rPr>
        <w:t xml:space="preserve"> neprovedlo </w:t>
      </w:r>
      <w:r>
        <w:rPr>
          <w:rFonts w:cstheme="minorHAnsi"/>
          <w:sz w:val="24"/>
          <w:szCs w:val="24"/>
        </w:rPr>
        <w:t xml:space="preserve">ani </w:t>
      </w:r>
      <w:r w:rsidRPr="007A7EA0">
        <w:rPr>
          <w:rFonts w:cstheme="minorHAnsi"/>
          <w:sz w:val="24"/>
          <w:szCs w:val="24"/>
        </w:rPr>
        <w:t>žádnou analýzu nebo zhodnocení, zda je z hlediska činnosti</w:t>
      </w:r>
      <w:r>
        <w:rPr>
          <w:rFonts w:cstheme="minorHAnsi"/>
          <w:sz w:val="24"/>
          <w:szCs w:val="24"/>
        </w:rPr>
        <w:t xml:space="preserve">, </w:t>
      </w:r>
      <w:r w:rsidRPr="007A7EA0">
        <w:rPr>
          <w:rFonts w:cstheme="minorHAnsi"/>
          <w:sz w:val="24"/>
          <w:szCs w:val="24"/>
        </w:rPr>
        <w:t>finanční závislosti na státu</w:t>
      </w:r>
      <w:r>
        <w:rPr>
          <w:rFonts w:cstheme="minorHAnsi"/>
          <w:sz w:val="24"/>
          <w:szCs w:val="24"/>
        </w:rPr>
        <w:t>, možnosti kontroly apod.</w:t>
      </w:r>
      <w:r w:rsidRPr="007A7EA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stávající právní forma </w:t>
      </w:r>
      <w:r w:rsidRPr="007A7EA0">
        <w:rPr>
          <w:rFonts w:cstheme="minorHAnsi"/>
          <w:sz w:val="24"/>
          <w:szCs w:val="24"/>
        </w:rPr>
        <w:t xml:space="preserve">PGRLF, </w:t>
      </w:r>
      <w:r w:rsidR="00594FD6">
        <w:rPr>
          <w:rFonts w:cstheme="minorHAnsi"/>
          <w:sz w:val="24"/>
          <w:szCs w:val="24"/>
        </w:rPr>
        <w:t>a.s.</w:t>
      </w:r>
      <w:r w:rsidR="00803E39">
        <w:rPr>
          <w:rFonts w:cstheme="minorHAnsi"/>
          <w:sz w:val="24"/>
          <w:szCs w:val="24"/>
        </w:rPr>
        <w:t>,</w:t>
      </w:r>
      <w:r w:rsidRPr="007A7EA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vhodná.</w:t>
      </w:r>
      <w:r w:rsidR="006349F8">
        <w:rPr>
          <w:rFonts w:cstheme="minorHAnsi"/>
          <w:sz w:val="24"/>
          <w:szCs w:val="24"/>
        </w:rPr>
        <w:t xml:space="preserve"> </w:t>
      </w:r>
    </w:p>
    <w:p w14:paraId="6B43A567" w14:textId="77777777" w:rsidR="00AC7211" w:rsidRDefault="00AC7211" w:rsidP="00BC2A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794E8F" w14:textId="71073A4F" w:rsidR="00A86E44" w:rsidRPr="003A0774" w:rsidRDefault="007F68A4" w:rsidP="003A0774">
      <w:pPr>
        <w:spacing w:after="0" w:line="240" w:lineRule="auto"/>
        <w:jc w:val="both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5. </w:t>
      </w:r>
      <w:r w:rsidRPr="003A0774">
        <w:rPr>
          <w:b/>
          <w:sz w:val="24"/>
          <w:szCs w:val="24"/>
          <w:lang w:eastAsia="cs-CZ"/>
        </w:rPr>
        <w:t>MPO nevyhodnotilo všechny možnosti právní formy nově zakládané společnosti</w:t>
      </w:r>
    </w:p>
    <w:p w14:paraId="22C795B3" w14:textId="77777777" w:rsidR="006906E1" w:rsidRPr="00F35D0C" w:rsidRDefault="006906E1" w:rsidP="00F35D0C">
      <w:pPr>
        <w:pStyle w:val="Odstavecseseznamem"/>
        <w:spacing w:after="0" w:line="240" w:lineRule="auto"/>
        <w:ind w:left="0"/>
        <w:jc w:val="both"/>
        <w:rPr>
          <w:bCs/>
          <w:sz w:val="24"/>
          <w:szCs w:val="24"/>
          <w:lang w:eastAsia="cs-CZ"/>
        </w:rPr>
      </w:pPr>
    </w:p>
    <w:p w14:paraId="5DC6AE05" w14:textId="1AD15A5A" w:rsidR="00125F37" w:rsidRDefault="007F68A4" w:rsidP="00BC2A72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  <w:r w:rsidRPr="00766383">
        <w:rPr>
          <w:sz w:val="24"/>
          <w:szCs w:val="24"/>
        </w:rPr>
        <w:t xml:space="preserve">Obchodní společnost SIRS, </w:t>
      </w:r>
      <w:r w:rsidR="00594FD6">
        <w:rPr>
          <w:sz w:val="24"/>
          <w:szCs w:val="24"/>
        </w:rPr>
        <w:t>a.s.</w:t>
      </w:r>
      <w:r w:rsidR="00C1770C">
        <w:rPr>
          <w:sz w:val="24"/>
          <w:szCs w:val="24"/>
        </w:rPr>
        <w:t>,</w:t>
      </w:r>
      <w:r w:rsidRPr="00766383">
        <w:rPr>
          <w:sz w:val="24"/>
          <w:szCs w:val="24"/>
        </w:rPr>
        <w:t xml:space="preserve"> byla založena dne 22. 2. 2024 za účelem</w:t>
      </w:r>
      <w:r w:rsidR="00570C14">
        <w:rPr>
          <w:sz w:val="24"/>
          <w:szCs w:val="24"/>
        </w:rPr>
        <w:t xml:space="preserve"> </w:t>
      </w:r>
      <w:r w:rsidR="00C34A29">
        <w:rPr>
          <w:sz w:val="24"/>
          <w:szCs w:val="24"/>
        </w:rPr>
        <w:t>přípravy strategických podnikatelských ploch a revitalizace brownfieldů pro strategické investiční akce</w:t>
      </w:r>
      <w:r w:rsidRPr="00766383">
        <w:rPr>
          <w:sz w:val="24"/>
          <w:szCs w:val="24"/>
        </w:rPr>
        <w:t xml:space="preserve">. </w:t>
      </w:r>
      <w:r w:rsidR="00687490">
        <w:rPr>
          <w:sz w:val="24"/>
          <w:szCs w:val="24"/>
        </w:rPr>
        <w:t xml:space="preserve">Tyto činnosti vykonávala před založením obchodní společnosti SIRS, </w:t>
      </w:r>
      <w:r w:rsidR="00594FD6">
        <w:rPr>
          <w:sz w:val="24"/>
          <w:szCs w:val="24"/>
        </w:rPr>
        <w:t>a.s.</w:t>
      </w:r>
      <w:r w:rsidR="00803E39">
        <w:rPr>
          <w:sz w:val="24"/>
          <w:szCs w:val="24"/>
        </w:rPr>
        <w:t>,</w:t>
      </w:r>
      <w:r w:rsidR="00687490">
        <w:rPr>
          <w:sz w:val="24"/>
          <w:szCs w:val="24"/>
        </w:rPr>
        <w:t xml:space="preserve"> </w:t>
      </w:r>
      <w:r w:rsidR="008F4CEF">
        <w:rPr>
          <w:sz w:val="24"/>
          <w:szCs w:val="24"/>
        </w:rPr>
        <w:t xml:space="preserve">státní </w:t>
      </w:r>
      <w:r w:rsidR="00687490">
        <w:rPr>
          <w:sz w:val="24"/>
          <w:szCs w:val="24"/>
        </w:rPr>
        <w:t xml:space="preserve">příspěvková organizace </w:t>
      </w:r>
      <w:r w:rsidR="00C45965">
        <w:rPr>
          <w:sz w:val="24"/>
          <w:szCs w:val="24"/>
        </w:rPr>
        <w:t xml:space="preserve">Agentura pro podporu podnikání a investic </w:t>
      </w:r>
      <w:r w:rsidR="00687490">
        <w:rPr>
          <w:sz w:val="24"/>
          <w:szCs w:val="24"/>
        </w:rPr>
        <w:t>CzechInvest. J</w:t>
      </w:r>
      <w:r>
        <w:rPr>
          <w:sz w:val="24"/>
          <w:szCs w:val="24"/>
        </w:rPr>
        <w:t xml:space="preserve">ediným akcionářem </w:t>
      </w:r>
      <w:r w:rsidR="00687490">
        <w:rPr>
          <w:sz w:val="24"/>
          <w:szCs w:val="24"/>
        </w:rPr>
        <w:t xml:space="preserve">této společnosti </w:t>
      </w:r>
      <w:r>
        <w:rPr>
          <w:sz w:val="24"/>
          <w:szCs w:val="24"/>
        </w:rPr>
        <w:t xml:space="preserve">je stát, resp. MPO. </w:t>
      </w:r>
      <w:r w:rsidR="00B06133">
        <w:rPr>
          <w:sz w:val="24"/>
          <w:szCs w:val="24"/>
        </w:rPr>
        <w:t xml:space="preserve">Jako důvod </w:t>
      </w:r>
      <w:r w:rsidR="005B493F">
        <w:rPr>
          <w:bCs/>
          <w:sz w:val="24"/>
          <w:szCs w:val="24"/>
          <w:lang w:eastAsia="cs-CZ"/>
        </w:rPr>
        <w:t xml:space="preserve">založení akciové společnosti </w:t>
      </w:r>
      <w:r w:rsidR="00B06133">
        <w:rPr>
          <w:bCs/>
          <w:sz w:val="24"/>
          <w:szCs w:val="24"/>
          <w:lang w:eastAsia="cs-CZ"/>
        </w:rPr>
        <w:t xml:space="preserve">uvedlo MPO </w:t>
      </w:r>
      <w:r w:rsidR="005B493F">
        <w:rPr>
          <w:bCs/>
          <w:sz w:val="24"/>
          <w:szCs w:val="24"/>
          <w:lang w:eastAsia="cs-CZ"/>
        </w:rPr>
        <w:t>mj. vyhn</w:t>
      </w:r>
      <w:r w:rsidR="00570C14">
        <w:rPr>
          <w:bCs/>
          <w:sz w:val="24"/>
          <w:szCs w:val="24"/>
          <w:lang w:eastAsia="cs-CZ"/>
        </w:rPr>
        <w:t>u</w:t>
      </w:r>
      <w:r w:rsidR="00B06133">
        <w:rPr>
          <w:bCs/>
          <w:sz w:val="24"/>
          <w:szCs w:val="24"/>
          <w:lang w:eastAsia="cs-CZ"/>
        </w:rPr>
        <w:t>tí</w:t>
      </w:r>
      <w:r w:rsidR="005B493F">
        <w:rPr>
          <w:bCs/>
          <w:sz w:val="24"/>
          <w:szCs w:val="24"/>
          <w:lang w:eastAsia="cs-CZ"/>
        </w:rPr>
        <w:t xml:space="preserve"> se </w:t>
      </w:r>
      <w:r w:rsidR="005E1DFA">
        <w:rPr>
          <w:bCs/>
          <w:sz w:val="24"/>
          <w:szCs w:val="24"/>
          <w:lang w:eastAsia="cs-CZ"/>
        </w:rPr>
        <w:t>mzdové regulaci</w:t>
      </w:r>
      <w:r w:rsidR="005B493F">
        <w:rPr>
          <w:bCs/>
          <w:sz w:val="24"/>
          <w:szCs w:val="24"/>
          <w:lang w:eastAsia="cs-CZ"/>
        </w:rPr>
        <w:t xml:space="preserve"> a</w:t>
      </w:r>
      <w:r w:rsidR="005E1DFA">
        <w:rPr>
          <w:bCs/>
          <w:sz w:val="24"/>
          <w:szCs w:val="24"/>
          <w:lang w:eastAsia="cs-CZ"/>
        </w:rPr>
        <w:t xml:space="preserve"> kontrole státu při nakládání s</w:t>
      </w:r>
      <w:r w:rsidR="005B493F">
        <w:rPr>
          <w:bCs/>
          <w:sz w:val="24"/>
          <w:szCs w:val="24"/>
          <w:lang w:eastAsia="cs-CZ"/>
        </w:rPr>
        <w:t xml:space="preserve"> nemovitým majetkem</w:t>
      </w:r>
      <w:r w:rsidR="00473D3F">
        <w:rPr>
          <w:bCs/>
          <w:sz w:val="24"/>
          <w:szCs w:val="24"/>
          <w:lang w:eastAsia="cs-CZ"/>
        </w:rPr>
        <w:t xml:space="preserve">, což mělo </w:t>
      </w:r>
      <w:r w:rsidR="003749FB">
        <w:rPr>
          <w:bCs/>
          <w:sz w:val="24"/>
          <w:szCs w:val="24"/>
          <w:lang w:eastAsia="cs-CZ"/>
        </w:rPr>
        <w:t xml:space="preserve">usnadnit a </w:t>
      </w:r>
      <w:r w:rsidR="00473D3F">
        <w:rPr>
          <w:bCs/>
          <w:sz w:val="24"/>
          <w:szCs w:val="24"/>
          <w:lang w:eastAsia="cs-CZ"/>
        </w:rPr>
        <w:t>zrychlit vykonávané činnosti</w:t>
      </w:r>
      <w:r w:rsidR="005B493F">
        <w:rPr>
          <w:bCs/>
          <w:sz w:val="24"/>
          <w:szCs w:val="24"/>
          <w:lang w:eastAsia="cs-CZ"/>
        </w:rPr>
        <w:t>.</w:t>
      </w:r>
    </w:p>
    <w:p w14:paraId="0788EA05" w14:textId="77777777" w:rsidR="008F4CEF" w:rsidRDefault="008F4CEF" w:rsidP="00BC2A72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</w:p>
    <w:p w14:paraId="2A0EE649" w14:textId="3D54D13A" w:rsidR="002F2290" w:rsidRPr="00125F37" w:rsidRDefault="007F68A4" w:rsidP="00BC2A72">
      <w:pPr>
        <w:spacing w:after="0" w:line="240" w:lineRule="auto"/>
        <w:jc w:val="both"/>
        <w:rPr>
          <w:bCs/>
          <w:sz w:val="24"/>
          <w:szCs w:val="24"/>
          <w:lang w:eastAsia="cs-CZ"/>
        </w:rPr>
      </w:pPr>
      <w:r>
        <w:rPr>
          <w:sz w:val="24"/>
          <w:szCs w:val="24"/>
        </w:rPr>
        <w:t>Návrh na vznik nové akciové společnosti se zaměřením na přípravné práce strategického parku Plzeň</w:t>
      </w:r>
      <w:r w:rsidR="00803E39">
        <w:rPr>
          <w:sz w:val="24"/>
          <w:szCs w:val="24"/>
        </w:rPr>
        <w:t>-</w:t>
      </w:r>
      <w:r>
        <w:rPr>
          <w:sz w:val="24"/>
          <w:szCs w:val="24"/>
        </w:rPr>
        <w:t xml:space="preserve">Líně </w:t>
      </w:r>
      <w:r w:rsidR="00027B40">
        <w:rPr>
          <w:sz w:val="24"/>
          <w:szCs w:val="24"/>
        </w:rPr>
        <w:t xml:space="preserve">učinilo </w:t>
      </w:r>
      <w:r>
        <w:rPr>
          <w:sz w:val="24"/>
          <w:szCs w:val="24"/>
        </w:rPr>
        <w:t>MPO v předkládací zprávě</w:t>
      </w:r>
      <w:r>
        <w:rPr>
          <w:rStyle w:val="Znakapoznpodarou"/>
          <w:sz w:val="24"/>
          <w:szCs w:val="24"/>
        </w:rPr>
        <w:footnoteReference w:id="49"/>
      </w:r>
      <w:r>
        <w:rPr>
          <w:sz w:val="24"/>
          <w:szCs w:val="24"/>
        </w:rPr>
        <w:t xml:space="preserve"> vládě již v</w:t>
      </w:r>
      <w:r w:rsidR="001C700D">
        <w:rPr>
          <w:sz w:val="24"/>
          <w:szCs w:val="24"/>
        </w:rPr>
        <w:t xml:space="preserve"> lednu</w:t>
      </w:r>
      <w:r w:rsidR="007734F0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2023.</w:t>
      </w:r>
      <w:r w:rsidR="007734F0">
        <w:rPr>
          <w:sz w:val="24"/>
          <w:szCs w:val="24"/>
        </w:rPr>
        <w:t xml:space="preserve"> </w:t>
      </w:r>
      <w:r w:rsidR="000E2A80">
        <w:rPr>
          <w:sz w:val="24"/>
          <w:szCs w:val="24"/>
        </w:rPr>
        <w:t xml:space="preserve">V červenci </w:t>
      </w:r>
      <w:r w:rsidR="009063D8">
        <w:rPr>
          <w:sz w:val="24"/>
          <w:szCs w:val="24"/>
        </w:rPr>
        <w:t xml:space="preserve">stejného </w:t>
      </w:r>
      <w:r w:rsidR="000E2A80">
        <w:rPr>
          <w:sz w:val="24"/>
          <w:szCs w:val="24"/>
        </w:rPr>
        <w:lastRenderedPageBreak/>
        <w:t>roku</w:t>
      </w:r>
      <w:r w:rsidR="007734F0">
        <w:rPr>
          <w:sz w:val="24"/>
          <w:szCs w:val="24"/>
        </w:rPr>
        <w:t xml:space="preserve"> přijala vláda usnesení</w:t>
      </w:r>
      <w:r>
        <w:rPr>
          <w:rStyle w:val="Znakapoznpodarou"/>
          <w:sz w:val="24"/>
          <w:szCs w:val="24"/>
        </w:rPr>
        <w:footnoteReference w:id="50"/>
      </w:r>
      <w:r w:rsidR="007734F0">
        <w:rPr>
          <w:sz w:val="24"/>
          <w:szCs w:val="24"/>
        </w:rPr>
        <w:t>, ve kterém mj. souhlasila se záměrem založení akciové společnosti</w:t>
      </w:r>
      <w:r w:rsidR="00A86E44">
        <w:rPr>
          <w:sz w:val="24"/>
          <w:szCs w:val="24"/>
        </w:rPr>
        <w:t>.</w:t>
      </w:r>
      <w:r w:rsidR="007734F0">
        <w:rPr>
          <w:sz w:val="24"/>
          <w:szCs w:val="24"/>
        </w:rPr>
        <w:t xml:space="preserve"> </w:t>
      </w:r>
      <w:r>
        <w:rPr>
          <w:sz w:val="24"/>
          <w:szCs w:val="24"/>
        </w:rPr>
        <w:t>V lednu roku 2024 vzala vláda na vědomí</w:t>
      </w:r>
      <w:r>
        <w:rPr>
          <w:rStyle w:val="Znakapoznpodarou"/>
          <w:sz w:val="24"/>
          <w:szCs w:val="24"/>
        </w:rPr>
        <w:footnoteReference w:id="51"/>
      </w:r>
      <w:r>
        <w:rPr>
          <w:sz w:val="24"/>
          <w:szCs w:val="24"/>
        </w:rPr>
        <w:t xml:space="preserve"> informaci MPO ohledně záměru založení obchodní společnosti SIRS, </w:t>
      </w:r>
      <w:r w:rsidR="00594FD6">
        <w:rPr>
          <w:sz w:val="24"/>
          <w:szCs w:val="24"/>
        </w:rPr>
        <w:t>a.s.</w:t>
      </w:r>
      <w:r w:rsidR="00803E39">
        <w:rPr>
          <w:sz w:val="24"/>
          <w:szCs w:val="24"/>
        </w:rPr>
        <w:t>,</w:t>
      </w:r>
      <w:r>
        <w:rPr>
          <w:sz w:val="24"/>
          <w:szCs w:val="24"/>
        </w:rPr>
        <w:t xml:space="preserve"> a s</w:t>
      </w:r>
      <w:r w:rsidR="00027B40">
        <w:rPr>
          <w:sz w:val="24"/>
          <w:szCs w:val="24"/>
        </w:rPr>
        <w:t>e</w:t>
      </w:r>
      <w:r>
        <w:rPr>
          <w:sz w:val="24"/>
          <w:szCs w:val="24"/>
        </w:rPr>
        <w:t xml:space="preserve"> založením souhlasila. </w:t>
      </w:r>
    </w:p>
    <w:p w14:paraId="18A54AA6" w14:textId="77777777" w:rsidR="000D3F7D" w:rsidRDefault="000D3F7D" w:rsidP="00BC2A72">
      <w:pPr>
        <w:spacing w:after="0" w:line="240" w:lineRule="auto"/>
        <w:jc w:val="both"/>
        <w:rPr>
          <w:sz w:val="24"/>
          <w:szCs w:val="24"/>
        </w:rPr>
      </w:pPr>
    </w:p>
    <w:p w14:paraId="498C0719" w14:textId="299E35D3" w:rsidR="00944CD6" w:rsidRDefault="007F68A4" w:rsidP="00BC2A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Měsíc poté, co vláda </w:t>
      </w:r>
      <w:r w:rsidR="00C45965">
        <w:rPr>
          <w:sz w:val="24"/>
          <w:szCs w:val="24"/>
        </w:rPr>
        <w:t>vydala souhlas se záměrem</w:t>
      </w:r>
      <w:r>
        <w:rPr>
          <w:sz w:val="24"/>
          <w:szCs w:val="24"/>
        </w:rPr>
        <w:t xml:space="preserve"> založení akciové společnosti, zadalo MPO poradenské společnosti </w:t>
      </w:r>
      <w:r w:rsidRPr="000E2A80">
        <w:rPr>
          <w:sz w:val="24"/>
          <w:szCs w:val="24"/>
        </w:rPr>
        <w:t xml:space="preserve">Ernst &amp; </w:t>
      </w:r>
      <w:proofErr w:type="spellStart"/>
      <w:r w:rsidRPr="000E2A80">
        <w:rPr>
          <w:sz w:val="24"/>
          <w:szCs w:val="24"/>
        </w:rPr>
        <w:t>Young</w:t>
      </w:r>
      <w:proofErr w:type="spellEnd"/>
      <w:r w:rsidRPr="000E2A80">
        <w:rPr>
          <w:sz w:val="24"/>
          <w:szCs w:val="24"/>
        </w:rPr>
        <w:t>, s.r.o</w:t>
      </w:r>
      <w:r w:rsidR="001C700D">
        <w:rPr>
          <w:sz w:val="24"/>
          <w:szCs w:val="24"/>
        </w:rPr>
        <w:t>.</w:t>
      </w:r>
      <w:r w:rsidR="00803E39">
        <w:rPr>
          <w:sz w:val="24"/>
          <w:szCs w:val="24"/>
        </w:rPr>
        <w:t>,</w:t>
      </w:r>
      <w:r w:rsidRPr="00D82996">
        <w:rPr>
          <w:sz w:val="24"/>
          <w:szCs w:val="24"/>
        </w:rPr>
        <w:t xml:space="preserve"> </w:t>
      </w:r>
      <w:r w:rsidRPr="000E2A80">
        <w:rPr>
          <w:sz w:val="24"/>
          <w:szCs w:val="24"/>
        </w:rPr>
        <w:t xml:space="preserve">zpracovat analýzu korporátní struktury SIRS, </w:t>
      </w:r>
      <w:r w:rsidR="00227DF3">
        <w:rPr>
          <w:sz w:val="24"/>
          <w:szCs w:val="24"/>
        </w:rPr>
        <w:t>a.s.</w:t>
      </w:r>
      <w:r>
        <w:rPr>
          <w:sz w:val="24"/>
          <w:szCs w:val="24"/>
        </w:rPr>
        <w:t xml:space="preserve"> </w:t>
      </w:r>
      <w:r w:rsidR="007576CE">
        <w:rPr>
          <w:sz w:val="24"/>
          <w:szCs w:val="24"/>
        </w:rPr>
        <w:t>Smluvní cena činila</w:t>
      </w:r>
      <w:r>
        <w:rPr>
          <w:sz w:val="24"/>
          <w:szCs w:val="24"/>
        </w:rPr>
        <w:t xml:space="preserve"> 1 512 000 Kč vč. </w:t>
      </w:r>
      <w:r w:rsidR="00A86E44">
        <w:rPr>
          <w:sz w:val="24"/>
          <w:szCs w:val="24"/>
        </w:rPr>
        <w:t>daně z přidané hodnoty</w:t>
      </w:r>
      <w:r>
        <w:rPr>
          <w:sz w:val="24"/>
          <w:szCs w:val="24"/>
        </w:rPr>
        <w:t>. Předmětem díla bylo mj.</w:t>
      </w:r>
      <w:r w:rsidR="00F35D0C">
        <w:rPr>
          <w:sz w:val="24"/>
          <w:szCs w:val="24"/>
        </w:rPr>
        <w:t> </w:t>
      </w:r>
      <w:r>
        <w:rPr>
          <w:sz w:val="24"/>
          <w:szCs w:val="24"/>
        </w:rPr>
        <w:t>zdůvodn</w:t>
      </w:r>
      <w:r w:rsidR="00B8314A">
        <w:rPr>
          <w:sz w:val="24"/>
          <w:szCs w:val="24"/>
        </w:rPr>
        <w:t>ění</w:t>
      </w:r>
      <w:r>
        <w:rPr>
          <w:sz w:val="24"/>
          <w:szCs w:val="24"/>
        </w:rPr>
        <w:t xml:space="preserve"> a potvr</w:t>
      </w:r>
      <w:r w:rsidR="00B8314A">
        <w:rPr>
          <w:sz w:val="24"/>
          <w:szCs w:val="24"/>
        </w:rPr>
        <w:t>zení</w:t>
      </w:r>
      <w:r>
        <w:rPr>
          <w:sz w:val="24"/>
          <w:szCs w:val="24"/>
        </w:rPr>
        <w:t>, že převod činností</w:t>
      </w:r>
      <w:r w:rsidR="00B8314A">
        <w:rPr>
          <w:sz w:val="24"/>
          <w:szCs w:val="24"/>
        </w:rPr>
        <w:t xml:space="preserve"> </w:t>
      </w:r>
      <w:r>
        <w:rPr>
          <w:sz w:val="24"/>
          <w:szCs w:val="24"/>
        </w:rPr>
        <w:t>původně provádě</w:t>
      </w:r>
      <w:r w:rsidR="00B8314A">
        <w:rPr>
          <w:sz w:val="24"/>
          <w:szCs w:val="24"/>
        </w:rPr>
        <w:t>ných</w:t>
      </w:r>
      <w:r w:rsidR="00C45965">
        <w:rPr>
          <w:sz w:val="24"/>
          <w:szCs w:val="24"/>
        </w:rPr>
        <w:t xml:space="preserve"> státní</w:t>
      </w:r>
      <w:r>
        <w:rPr>
          <w:sz w:val="24"/>
          <w:szCs w:val="24"/>
        </w:rPr>
        <w:t xml:space="preserve"> příspěvkov</w:t>
      </w:r>
      <w:r w:rsidR="00B8314A">
        <w:rPr>
          <w:sz w:val="24"/>
          <w:szCs w:val="24"/>
        </w:rPr>
        <w:t>ou</w:t>
      </w:r>
      <w:r>
        <w:rPr>
          <w:sz w:val="24"/>
          <w:szCs w:val="24"/>
        </w:rPr>
        <w:t xml:space="preserve"> organizac</w:t>
      </w:r>
      <w:r w:rsidR="00B8314A">
        <w:rPr>
          <w:sz w:val="24"/>
          <w:szCs w:val="24"/>
        </w:rPr>
        <w:t>í</w:t>
      </w:r>
      <w:r>
        <w:rPr>
          <w:sz w:val="24"/>
          <w:szCs w:val="24"/>
        </w:rPr>
        <w:t xml:space="preserve"> </w:t>
      </w:r>
      <w:r w:rsidR="00C45965">
        <w:rPr>
          <w:sz w:val="24"/>
          <w:szCs w:val="24"/>
        </w:rPr>
        <w:t xml:space="preserve">Agentura pro podporu podnikání a investic </w:t>
      </w:r>
      <w:r w:rsidR="00602CA0">
        <w:rPr>
          <w:sz w:val="24"/>
          <w:szCs w:val="24"/>
        </w:rPr>
        <w:t>CzechInvest na akciovou společnost je nejefektivnější způsob</w:t>
      </w:r>
      <w:r w:rsidR="007576CE">
        <w:rPr>
          <w:sz w:val="24"/>
          <w:szCs w:val="24"/>
        </w:rPr>
        <w:t xml:space="preserve"> zajištění těchto činností</w:t>
      </w:r>
      <w:r w:rsidR="00602CA0">
        <w:rPr>
          <w:sz w:val="24"/>
          <w:szCs w:val="24"/>
        </w:rPr>
        <w:t xml:space="preserve">. Účelem analýzy bylo tedy mj. potvrzení již odsouhlaseného řešení. </w:t>
      </w:r>
      <w:r>
        <w:rPr>
          <w:sz w:val="24"/>
          <w:szCs w:val="24"/>
        </w:rPr>
        <w:t>Smlouva o dílo obsahovala</w:t>
      </w:r>
      <w:r w:rsidR="009E1900">
        <w:rPr>
          <w:sz w:val="24"/>
          <w:szCs w:val="24"/>
        </w:rPr>
        <w:t xml:space="preserve"> výčet </w:t>
      </w:r>
      <w:r>
        <w:rPr>
          <w:sz w:val="24"/>
          <w:szCs w:val="24"/>
        </w:rPr>
        <w:t>údaj</w:t>
      </w:r>
      <w:r w:rsidR="009E1900">
        <w:rPr>
          <w:sz w:val="24"/>
          <w:szCs w:val="24"/>
        </w:rPr>
        <w:t>ů</w:t>
      </w:r>
      <w:r>
        <w:rPr>
          <w:sz w:val="24"/>
          <w:szCs w:val="24"/>
        </w:rPr>
        <w:t>, dat a informac</w:t>
      </w:r>
      <w:r w:rsidR="009E1900">
        <w:rPr>
          <w:sz w:val="24"/>
          <w:szCs w:val="24"/>
        </w:rPr>
        <w:t>í</w:t>
      </w:r>
      <w:r>
        <w:rPr>
          <w:sz w:val="24"/>
          <w:szCs w:val="24"/>
        </w:rPr>
        <w:t xml:space="preserve">, které MPO společnosti </w:t>
      </w:r>
      <w:r w:rsidRPr="000E2A80">
        <w:rPr>
          <w:sz w:val="24"/>
          <w:szCs w:val="24"/>
        </w:rPr>
        <w:t xml:space="preserve">Ernst &amp; </w:t>
      </w:r>
      <w:proofErr w:type="spellStart"/>
      <w:r w:rsidRPr="000E2A80">
        <w:rPr>
          <w:sz w:val="24"/>
          <w:szCs w:val="24"/>
        </w:rPr>
        <w:t>Young</w:t>
      </w:r>
      <w:proofErr w:type="spellEnd"/>
      <w:r w:rsidRPr="000E2A80">
        <w:rPr>
          <w:sz w:val="24"/>
          <w:szCs w:val="24"/>
        </w:rPr>
        <w:t>, s.r.o</w:t>
      </w:r>
      <w:r w:rsidR="00185D6E">
        <w:rPr>
          <w:sz w:val="24"/>
          <w:szCs w:val="24"/>
        </w:rPr>
        <w:t>.</w:t>
      </w:r>
      <w:r w:rsidR="00803E39">
        <w:rPr>
          <w:sz w:val="24"/>
          <w:szCs w:val="24"/>
        </w:rPr>
        <w:t>,</w:t>
      </w:r>
      <w:r>
        <w:rPr>
          <w:sz w:val="24"/>
          <w:szCs w:val="24"/>
        </w:rPr>
        <w:t xml:space="preserve"> pro zpracování analýzy poskytlo.</w:t>
      </w:r>
    </w:p>
    <w:p w14:paraId="62648147" w14:textId="746FFB21" w:rsidR="000D3F7D" w:rsidRPr="008F2967" w:rsidRDefault="000D3F7D" w:rsidP="003968C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4C07E4C" w14:textId="787C65DC" w:rsidR="009D7C99" w:rsidRDefault="007F68A4" w:rsidP="00BC2A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NKÚ zjistil, že ani </w:t>
      </w:r>
      <w:r w:rsidR="007576CE">
        <w:rPr>
          <w:sz w:val="24"/>
          <w:szCs w:val="24"/>
        </w:rPr>
        <w:t>zadání</w:t>
      </w:r>
      <w:r>
        <w:rPr>
          <w:sz w:val="24"/>
          <w:szCs w:val="24"/>
        </w:rPr>
        <w:t xml:space="preserve"> </w:t>
      </w:r>
      <w:r w:rsidR="00451E82">
        <w:rPr>
          <w:sz w:val="24"/>
          <w:szCs w:val="24"/>
        </w:rPr>
        <w:t>MPO</w:t>
      </w:r>
      <w:r w:rsidR="00C459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ani </w:t>
      </w:r>
      <w:r w:rsidR="00DD6409">
        <w:rPr>
          <w:sz w:val="24"/>
          <w:szCs w:val="24"/>
        </w:rPr>
        <w:t xml:space="preserve">na jeho základě zhotovená </w:t>
      </w:r>
      <w:r>
        <w:rPr>
          <w:sz w:val="24"/>
          <w:szCs w:val="24"/>
        </w:rPr>
        <w:t>analýza nezohledň</w:t>
      </w:r>
      <w:r w:rsidR="009E1900">
        <w:rPr>
          <w:sz w:val="24"/>
          <w:szCs w:val="24"/>
        </w:rPr>
        <w:t>ovaly</w:t>
      </w:r>
      <w:r>
        <w:rPr>
          <w:sz w:val="24"/>
          <w:szCs w:val="24"/>
        </w:rPr>
        <w:t xml:space="preserve"> jiné </w:t>
      </w:r>
      <w:r w:rsidR="009063D8">
        <w:rPr>
          <w:sz w:val="24"/>
          <w:szCs w:val="24"/>
        </w:rPr>
        <w:t>v</w:t>
      </w:r>
      <w:r>
        <w:rPr>
          <w:sz w:val="24"/>
          <w:szCs w:val="24"/>
        </w:rPr>
        <w:t xml:space="preserve">arianty právní formy obchodní společnosti, než je akciová společnost, neobsahují </w:t>
      </w:r>
      <w:r w:rsidR="005731CD">
        <w:rPr>
          <w:sz w:val="24"/>
          <w:szCs w:val="24"/>
        </w:rPr>
        <w:t>posouzení</w:t>
      </w:r>
      <w:r>
        <w:rPr>
          <w:sz w:val="24"/>
          <w:szCs w:val="24"/>
        </w:rPr>
        <w:t xml:space="preserve"> možnosti pověřit činnostmi </w:t>
      </w:r>
      <w:r w:rsidR="00473D3F">
        <w:rPr>
          <w:sz w:val="24"/>
          <w:szCs w:val="24"/>
        </w:rPr>
        <w:t xml:space="preserve">např. </w:t>
      </w:r>
      <w:r>
        <w:rPr>
          <w:sz w:val="24"/>
          <w:szCs w:val="24"/>
        </w:rPr>
        <w:t>již existující akciovou společnost</w:t>
      </w:r>
      <w:r w:rsidR="00335FC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51E82" w:rsidRPr="003968C0">
        <w:rPr>
          <w:sz w:val="24"/>
          <w:szCs w:val="24"/>
        </w:rPr>
        <w:t>v níž je stát jediným</w:t>
      </w:r>
      <w:r w:rsidR="00451E82">
        <w:t xml:space="preserve"> </w:t>
      </w:r>
      <w:r w:rsidR="00451E82" w:rsidRPr="003968C0">
        <w:rPr>
          <w:sz w:val="24"/>
          <w:szCs w:val="24"/>
        </w:rPr>
        <w:t>akcionářem</w:t>
      </w:r>
      <w:r w:rsidR="00451E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nebo státní podnik. </w:t>
      </w:r>
      <w:r w:rsidRPr="004F22AB">
        <w:rPr>
          <w:sz w:val="24"/>
          <w:szCs w:val="24"/>
        </w:rPr>
        <w:t xml:space="preserve">Zadání </w:t>
      </w:r>
      <w:r>
        <w:rPr>
          <w:sz w:val="24"/>
          <w:szCs w:val="24"/>
        </w:rPr>
        <w:t>s</w:t>
      </w:r>
      <w:r w:rsidRPr="004F22AB">
        <w:rPr>
          <w:sz w:val="24"/>
          <w:szCs w:val="24"/>
        </w:rPr>
        <w:t xml:space="preserve">mlouvy o dílo </w:t>
      </w:r>
      <w:r>
        <w:rPr>
          <w:sz w:val="24"/>
          <w:szCs w:val="24"/>
        </w:rPr>
        <w:t xml:space="preserve">ze strany MPO </w:t>
      </w:r>
      <w:r w:rsidRPr="004F22AB">
        <w:rPr>
          <w:sz w:val="24"/>
          <w:szCs w:val="24"/>
        </w:rPr>
        <w:t>obsahovalo limitace a</w:t>
      </w:r>
      <w:r w:rsidR="00F35D0C">
        <w:rPr>
          <w:sz w:val="24"/>
          <w:szCs w:val="24"/>
        </w:rPr>
        <w:t> </w:t>
      </w:r>
      <w:r w:rsidRPr="004F22AB">
        <w:rPr>
          <w:sz w:val="24"/>
          <w:szCs w:val="24"/>
        </w:rPr>
        <w:t>předpoklady, které předem vylučovaly možnost</w:t>
      </w:r>
      <w:r w:rsidR="00027B40">
        <w:rPr>
          <w:sz w:val="24"/>
          <w:szCs w:val="24"/>
        </w:rPr>
        <w:t xml:space="preserve"> </w:t>
      </w:r>
      <w:r w:rsidRPr="004F22AB">
        <w:rPr>
          <w:sz w:val="24"/>
          <w:szCs w:val="24"/>
        </w:rPr>
        <w:t>zhodnotit objektivně stávající stav a</w:t>
      </w:r>
      <w:r w:rsidR="00F35D0C">
        <w:rPr>
          <w:sz w:val="24"/>
          <w:szCs w:val="24"/>
        </w:rPr>
        <w:t> </w:t>
      </w:r>
      <w:r w:rsidRPr="004F22AB">
        <w:rPr>
          <w:sz w:val="24"/>
          <w:szCs w:val="24"/>
        </w:rPr>
        <w:t xml:space="preserve">navrhnout do budoucna </w:t>
      </w:r>
      <w:r w:rsidR="009063D8">
        <w:rPr>
          <w:sz w:val="24"/>
          <w:szCs w:val="24"/>
        </w:rPr>
        <w:t>řešení na základě posouzení všech</w:t>
      </w:r>
      <w:r w:rsidRPr="004F22AB">
        <w:rPr>
          <w:sz w:val="24"/>
          <w:szCs w:val="24"/>
        </w:rPr>
        <w:t xml:space="preserve"> možných</w:t>
      </w:r>
      <w:r>
        <w:rPr>
          <w:sz w:val="24"/>
          <w:szCs w:val="24"/>
        </w:rPr>
        <w:t xml:space="preserve"> </w:t>
      </w:r>
      <w:r w:rsidR="00974A01">
        <w:rPr>
          <w:sz w:val="24"/>
          <w:szCs w:val="24"/>
        </w:rPr>
        <w:t>variant</w:t>
      </w:r>
      <w:r w:rsidRPr="004F22AB">
        <w:rPr>
          <w:sz w:val="24"/>
          <w:szCs w:val="24"/>
        </w:rPr>
        <w:t>, které připouští právní úprava.</w:t>
      </w:r>
      <w:r w:rsidR="00EB7287" w:rsidRPr="00EB7287">
        <w:rPr>
          <w:sz w:val="24"/>
          <w:szCs w:val="24"/>
        </w:rPr>
        <w:t xml:space="preserve"> </w:t>
      </w:r>
    </w:p>
    <w:p w14:paraId="27BA0CF7" w14:textId="77777777" w:rsidR="00A86E44" w:rsidRDefault="00A86E44" w:rsidP="00BC2A72">
      <w:pPr>
        <w:spacing w:after="0" w:line="240" w:lineRule="auto"/>
        <w:jc w:val="both"/>
        <w:rPr>
          <w:sz w:val="24"/>
          <w:szCs w:val="24"/>
        </w:rPr>
      </w:pPr>
    </w:p>
    <w:p w14:paraId="022E5467" w14:textId="77777777" w:rsidR="00290206" w:rsidRDefault="007F68A4" w:rsidP="00BC2A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NKÚ provedl </w:t>
      </w:r>
      <w:r w:rsidR="00EB7287">
        <w:rPr>
          <w:sz w:val="24"/>
          <w:szCs w:val="24"/>
        </w:rPr>
        <w:t xml:space="preserve">analýzu </w:t>
      </w:r>
      <w:r>
        <w:rPr>
          <w:sz w:val="24"/>
          <w:szCs w:val="24"/>
        </w:rPr>
        <w:t xml:space="preserve">údajů, dat a informací, které MPO předložilo vládě v předkládací zprávě v červenci roku 2023, tj. v době před </w:t>
      </w:r>
      <w:r w:rsidR="007576CE">
        <w:rPr>
          <w:sz w:val="24"/>
          <w:szCs w:val="24"/>
        </w:rPr>
        <w:t>zadáním</w:t>
      </w:r>
      <w:r w:rsidR="00585E47">
        <w:rPr>
          <w:sz w:val="24"/>
          <w:szCs w:val="24"/>
        </w:rPr>
        <w:t xml:space="preserve"> veřejné</w:t>
      </w:r>
      <w:r w:rsidR="007576CE">
        <w:rPr>
          <w:sz w:val="24"/>
          <w:szCs w:val="24"/>
        </w:rPr>
        <w:t xml:space="preserve"> zakázky</w:t>
      </w:r>
      <w:r>
        <w:rPr>
          <w:sz w:val="24"/>
          <w:szCs w:val="24"/>
        </w:rPr>
        <w:t xml:space="preserve">, a </w:t>
      </w:r>
      <w:r w:rsidR="00973022">
        <w:rPr>
          <w:sz w:val="24"/>
          <w:szCs w:val="24"/>
        </w:rPr>
        <w:t>výstupů</w:t>
      </w:r>
      <w:r>
        <w:rPr>
          <w:sz w:val="24"/>
          <w:szCs w:val="24"/>
        </w:rPr>
        <w:t xml:space="preserve"> </w:t>
      </w:r>
      <w:r w:rsidR="00F068AB">
        <w:rPr>
          <w:sz w:val="24"/>
          <w:szCs w:val="24"/>
        </w:rPr>
        <w:t xml:space="preserve">analýzy. NKÚ zjistil, že </w:t>
      </w:r>
      <w:r w:rsidR="009063D8">
        <w:rPr>
          <w:sz w:val="24"/>
          <w:szCs w:val="24"/>
        </w:rPr>
        <w:t>analýza vycházela téměř zcela z údajů a dat, kterými MPO disponovalo a které pro zpracování analýzy poskytlo</w:t>
      </w:r>
      <w:r w:rsidR="007576CE">
        <w:rPr>
          <w:sz w:val="24"/>
          <w:szCs w:val="24"/>
        </w:rPr>
        <w:t>.</w:t>
      </w:r>
      <w:r w:rsidR="00B56DE9">
        <w:rPr>
          <w:sz w:val="24"/>
          <w:szCs w:val="24"/>
        </w:rPr>
        <w:t xml:space="preserve"> </w:t>
      </w:r>
      <w:r w:rsidR="007576CE">
        <w:rPr>
          <w:sz w:val="24"/>
          <w:szCs w:val="24"/>
        </w:rPr>
        <w:t>V</w:t>
      </w:r>
      <w:r w:rsidR="00F068AB">
        <w:rPr>
          <w:sz w:val="24"/>
          <w:szCs w:val="24"/>
        </w:rPr>
        <w:t xml:space="preserve">ýstupem </w:t>
      </w:r>
      <w:r w:rsidR="00EB7287">
        <w:rPr>
          <w:sz w:val="24"/>
          <w:szCs w:val="24"/>
        </w:rPr>
        <w:t xml:space="preserve">analýzy </w:t>
      </w:r>
      <w:r w:rsidR="009063D8">
        <w:rPr>
          <w:sz w:val="24"/>
          <w:szCs w:val="24"/>
        </w:rPr>
        <w:t>byly</w:t>
      </w:r>
      <w:r w:rsidR="00F068AB">
        <w:rPr>
          <w:sz w:val="24"/>
          <w:szCs w:val="24"/>
        </w:rPr>
        <w:t xml:space="preserve"> obdobné </w:t>
      </w:r>
      <w:r w:rsidR="009063D8">
        <w:rPr>
          <w:sz w:val="24"/>
          <w:szCs w:val="24"/>
        </w:rPr>
        <w:t xml:space="preserve">nebo totožné </w:t>
      </w:r>
      <w:r w:rsidR="00F068AB">
        <w:rPr>
          <w:sz w:val="24"/>
          <w:szCs w:val="24"/>
        </w:rPr>
        <w:t xml:space="preserve">informace, které uvedlo </w:t>
      </w:r>
      <w:r w:rsidR="009063D8">
        <w:rPr>
          <w:sz w:val="24"/>
          <w:szCs w:val="24"/>
        </w:rPr>
        <w:t xml:space="preserve">MPO </w:t>
      </w:r>
      <w:r w:rsidR="00F068AB">
        <w:rPr>
          <w:sz w:val="24"/>
          <w:szCs w:val="24"/>
        </w:rPr>
        <w:t>v předkládací zprávě</w:t>
      </w:r>
      <w:r w:rsidR="009063D8">
        <w:rPr>
          <w:sz w:val="24"/>
          <w:szCs w:val="24"/>
        </w:rPr>
        <w:t xml:space="preserve">. </w:t>
      </w:r>
      <w:r w:rsidR="00290206">
        <w:rPr>
          <w:sz w:val="24"/>
          <w:szCs w:val="24"/>
        </w:rPr>
        <w:t xml:space="preserve"> </w:t>
      </w:r>
    </w:p>
    <w:p w14:paraId="3772D565" w14:textId="77777777" w:rsidR="00290206" w:rsidRDefault="00290206" w:rsidP="00BC2A72">
      <w:pPr>
        <w:spacing w:after="0" w:line="240" w:lineRule="auto"/>
        <w:jc w:val="both"/>
        <w:rPr>
          <w:sz w:val="24"/>
          <w:szCs w:val="24"/>
        </w:rPr>
      </w:pPr>
    </w:p>
    <w:p w14:paraId="38C000C1" w14:textId="79EB6087" w:rsidR="00DD6409" w:rsidRDefault="00DD6409" w:rsidP="00BC2A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Vzhledem k tomu, že MPO si potřebné podklady zpracovalo již předem vlastními zaměstnanci a výstup analýzy poradenské společnosti se vztahoval pouze k již vládou schválenému záměru, NKÚ vyhodnotil, že peněžní prostředky ve výši 1 512 00 Kč na zpracování externí analýzy byly vynaloženy nehospodárně. Jedná se o skutečnosti nasvědčující porušení rozpočtové kázně</w:t>
      </w:r>
      <w:r>
        <w:rPr>
          <w:rStyle w:val="Znakapoznpodarou"/>
          <w:sz w:val="24"/>
          <w:szCs w:val="24"/>
        </w:rPr>
        <w:footnoteReference w:id="52"/>
      </w:r>
      <w:r>
        <w:rPr>
          <w:sz w:val="24"/>
          <w:szCs w:val="24"/>
        </w:rPr>
        <w:t>.</w:t>
      </w:r>
    </w:p>
    <w:p w14:paraId="3C99A325" w14:textId="77777777" w:rsidR="0010472C" w:rsidRDefault="0010472C" w:rsidP="00BC2A72">
      <w:pPr>
        <w:spacing w:after="0" w:line="240" w:lineRule="auto"/>
        <w:jc w:val="both"/>
        <w:rPr>
          <w:sz w:val="24"/>
          <w:szCs w:val="24"/>
        </w:rPr>
      </w:pPr>
    </w:p>
    <w:p w14:paraId="68FBBD0A" w14:textId="77777777" w:rsidR="00857606" w:rsidRDefault="00857606">
      <w:pPr>
        <w:rPr>
          <w:rFonts w:eastAsia="Times New Roman" w:cstheme="minorHAnsi"/>
          <w:b/>
          <w:color w:val="000000"/>
          <w:sz w:val="24"/>
          <w:szCs w:val="20"/>
          <w:lang w:eastAsia="cs-CZ"/>
        </w:rPr>
      </w:pPr>
      <w:r>
        <w:br w:type="page"/>
      </w:r>
    </w:p>
    <w:p w14:paraId="4E25EE99" w14:textId="2A1E56FC" w:rsidR="00834CC7" w:rsidRDefault="007F68A4" w:rsidP="005B781B">
      <w:pPr>
        <w:pStyle w:val="Nadpis1"/>
        <w:numPr>
          <w:ilvl w:val="0"/>
          <w:numId w:val="0"/>
        </w:numPr>
        <w:spacing w:after="120"/>
        <w:ind w:left="357" w:hanging="357"/>
      </w:pPr>
      <w:r>
        <w:lastRenderedPageBreak/>
        <w:t>Seznam zkratek</w:t>
      </w:r>
    </w:p>
    <w:p w14:paraId="0F7F500B" w14:textId="7A7EEC38" w:rsidR="00282C3C" w:rsidRDefault="00282C3C" w:rsidP="00C405DD">
      <w:pPr>
        <w:spacing w:before="80" w:after="80" w:line="240" w:lineRule="auto"/>
        <w:ind w:left="2665" w:hanging="2665"/>
      </w:pPr>
      <w:r>
        <w:rPr>
          <w:rFonts w:cstheme="minorHAnsi"/>
          <w:bCs/>
          <w:iCs/>
          <w:sz w:val="24"/>
          <w:szCs w:val="24"/>
        </w:rPr>
        <w:t>ČEB, a.s.</w:t>
      </w:r>
      <w:r>
        <w:rPr>
          <w:rFonts w:cstheme="minorHAnsi"/>
          <w:bCs/>
          <w:iCs/>
          <w:sz w:val="24"/>
          <w:szCs w:val="24"/>
        </w:rPr>
        <w:tab/>
      </w:r>
      <w:r w:rsidR="00B70A81">
        <w:rPr>
          <w:rFonts w:cstheme="minorHAnsi"/>
          <w:bCs/>
          <w:iCs/>
          <w:sz w:val="24"/>
          <w:szCs w:val="24"/>
        </w:rPr>
        <w:t xml:space="preserve">obchodní </w:t>
      </w:r>
      <w:r>
        <w:rPr>
          <w:rFonts w:cstheme="minorHAnsi"/>
          <w:bCs/>
          <w:iCs/>
          <w:sz w:val="24"/>
          <w:szCs w:val="24"/>
        </w:rPr>
        <w:t>společnost Česká exportní banka, a.s.</w:t>
      </w:r>
    </w:p>
    <w:p w14:paraId="222E72C4" w14:textId="5A67F367" w:rsidR="00282C3C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 w:rsidRPr="003B1FAA">
        <w:rPr>
          <w:rFonts w:cstheme="minorHAnsi"/>
          <w:bCs/>
          <w:iCs/>
          <w:sz w:val="24"/>
          <w:szCs w:val="24"/>
        </w:rPr>
        <w:t xml:space="preserve">ČMSCH, </w:t>
      </w:r>
      <w:r>
        <w:rPr>
          <w:rFonts w:cstheme="minorHAnsi"/>
          <w:bCs/>
          <w:iCs/>
          <w:sz w:val="24"/>
          <w:szCs w:val="24"/>
        </w:rPr>
        <w:t>a.s.</w:t>
      </w:r>
      <w:r w:rsidR="00B70A81"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 xml:space="preserve">obchodní společnost </w:t>
      </w:r>
      <w:r w:rsidRPr="003B1FAA">
        <w:rPr>
          <w:rFonts w:cstheme="minorHAnsi"/>
          <w:bCs/>
          <w:iCs/>
          <w:sz w:val="24"/>
          <w:szCs w:val="24"/>
        </w:rPr>
        <w:t xml:space="preserve">Českomoravská společnost chovatelů, </w:t>
      </w:r>
      <w:r>
        <w:rPr>
          <w:rFonts w:cstheme="minorHAnsi"/>
          <w:bCs/>
          <w:iCs/>
          <w:sz w:val="24"/>
          <w:szCs w:val="24"/>
        </w:rPr>
        <w:t>a.s.</w:t>
      </w:r>
    </w:p>
    <w:p w14:paraId="51AF205E" w14:textId="7A4C7528" w:rsidR="00D96461" w:rsidRDefault="00D96461" w:rsidP="00C405DD">
      <w:pPr>
        <w:spacing w:before="80" w:after="80" w:line="240" w:lineRule="auto"/>
        <w:ind w:left="2665" w:hanging="2665"/>
        <w:rPr>
          <w:bCs/>
          <w:sz w:val="24"/>
          <w:szCs w:val="24"/>
          <w:lang w:eastAsia="cs-CZ"/>
        </w:rPr>
      </w:pPr>
      <w:r>
        <w:rPr>
          <w:bCs/>
          <w:sz w:val="24"/>
          <w:szCs w:val="24"/>
          <w:lang w:eastAsia="cs-CZ"/>
        </w:rPr>
        <w:t xml:space="preserve">KA </w:t>
      </w:r>
      <w:r>
        <w:rPr>
          <w:bCs/>
          <w:sz w:val="24"/>
          <w:szCs w:val="24"/>
          <w:lang w:eastAsia="cs-CZ"/>
        </w:rPr>
        <w:tab/>
        <w:t>kontrolní akce NKÚ</w:t>
      </w:r>
    </w:p>
    <w:p w14:paraId="772DAC2E" w14:textId="000818E1" w:rsidR="00282C3C" w:rsidRPr="003B38FC" w:rsidRDefault="00282C3C" w:rsidP="00C405DD">
      <w:pPr>
        <w:spacing w:before="80" w:after="80" w:line="240" w:lineRule="auto"/>
        <w:ind w:left="2665" w:hanging="2665"/>
        <w:rPr>
          <w:sz w:val="24"/>
          <w:szCs w:val="24"/>
        </w:rPr>
      </w:pPr>
      <w:r>
        <w:rPr>
          <w:bCs/>
          <w:sz w:val="24"/>
          <w:szCs w:val="24"/>
          <w:lang w:eastAsia="cs-CZ"/>
        </w:rPr>
        <w:t>kompetenční zákon</w:t>
      </w:r>
      <w:r w:rsidRPr="003B38FC">
        <w:rPr>
          <w:sz w:val="24"/>
          <w:szCs w:val="24"/>
        </w:rPr>
        <w:tab/>
      </w:r>
      <w:proofErr w:type="spellStart"/>
      <w:r>
        <w:rPr>
          <w:bCs/>
          <w:sz w:val="24"/>
          <w:szCs w:val="24"/>
          <w:lang w:eastAsia="cs-CZ"/>
        </w:rPr>
        <w:t>zákon</w:t>
      </w:r>
      <w:proofErr w:type="spellEnd"/>
      <w:r w:rsidR="00544EC8">
        <w:rPr>
          <w:bCs/>
          <w:sz w:val="24"/>
          <w:szCs w:val="24"/>
          <w:lang w:eastAsia="cs-CZ"/>
        </w:rPr>
        <w:t xml:space="preserve"> </w:t>
      </w:r>
      <w:r>
        <w:rPr>
          <w:bCs/>
          <w:sz w:val="24"/>
          <w:szCs w:val="24"/>
          <w:lang w:eastAsia="cs-CZ"/>
        </w:rPr>
        <w:t xml:space="preserve">České národní rady </w:t>
      </w:r>
      <w:r w:rsidRPr="003B38FC">
        <w:rPr>
          <w:sz w:val="24"/>
          <w:szCs w:val="24"/>
        </w:rPr>
        <w:t>č. 2/1969 Sb., o zřízení ministerstev a</w:t>
      </w:r>
      <w:r>
        <w:rPr>
          <w:sz w:val="24"/>
          <w:szCs w:val="24"/>
        </w:rPr>
        <w:t> </w:t>
      </w:r>
      <w:r w:rsidRPr="003B38FC">
        <w:rPr>
          <w:sz w:val="24"/>
          <w:szCs w:val="24"/>
        </w:rPr>
        <w:t>jiných ústředních orgánů státní správy České republiky</w:t>
      </w:r>
      <w:r>
        <w:rPr>
          <w:sz w:val="24"/>
          <w:szCs w:val="24"/>
        </w:rPr>
        <w:t xml:space="preserve"> </w:t>
      </w:r>
    </w:p>
    <w:p w14:paraId="2E334B1C" w14:textId="1F1C6BC3" w:rsidR="00282C3C" w:rsidRPr="00EF0B79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 w:rsidRPr="00EF0B79">
        <w:rPr>
          <w:rFonts w:cstheme="minorHAnsi"/>
          <w:bCs/>
          <w:iCs/>
          <w:sz w:val="24"/>
          <w:szCs w:val="24"/>
        </w:rPr>
        <w:t>Metodika</w:t>
      </w:r>
      <w:r w:rsidRPr="00EF0B79">
        <w:rPr>
          <w:rFonts w:cstheme="minorHAnsi"/>
          <w:bCs/>
          <w:iCs/>
          <w:sz w:val="24"/>
          <w:szCs w:val="24"/>
        </w:rPr>
        <w:tab/>
      </w:r>
      <w:proofErr w:type="spellStart"/>
      <w:r w:rsidRPr="00C45202">
        <w:rPr>
          <w:rFonts w:cstheme="minorHAnsi"/>
          <w:bCs/>
          <w:i/>
          <w:sz w:val="24"/>
          <w:szCs w:val="24"/>
        </w:rPr>
        <w:t>Metodik</w:t>
      </w:r>
      <w:r w:rsidR="00B70A81" w:rsidRPr="00C45202">
        <w:rPr>
          <w:rFonts w:cstheme="minorHAnsi"/>
          <w:bCs/>
          <w:i/>
          <w:sz w:val="24"/>
          <w:szCs w:val="24"/>
        </w:rPr>
        <w:t>a</w:t>
      </w:r>
      <w:proofErr w:type="spellEnd"/>
      <w:r w:rsidRPr="00C45202">
        <w:rPr>
          <w:rFonts w:cstheme="minorHAnsi"/>
          <w:bCs/>
          <w:i/>
          <w:sz w:val="24"/>
          <w:szCs w:val="24"/>
        </w:rPr>
        <w:t xml:space="preserve"> přípravy veřejných strategií</w:t>
      </w:r>
    </w:p>
    <w:p w14:paraId="00D54851" w14:textId="532161B2" w:rsidR="00282C3C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 w:rsidRPr="003B38FC">
        <w:rPr>
          <w:rFonts w:cstheme="minorHAnsi"/>
          <w:bCs/>
          <w:iCs/>
          <w:sz w:val="24"/>
          <w:szCs w:val="24"/>
        </w:rPr>
        <w:t>MF</w:t>
      </w:r>
      <w:r w:rsidRPr="003B38FC">
        <w:rPr>
          <w:rFonts w:cstheme="minorHAnsi"/>
          <w:bCs/>
          <w:iCs/>
          <w:sz w:val="24"/>
          <w:szCs w:val="24"/>
        </w:rPr>
        <w:tab/>
        <w:t>Ministerstvo financí</w:t>
      </w:r>
    </w:p>
    <w:p w14:paraId="1144086C" w14:textId="61FDE96A" w:rsidR="00282C3C" w:rsidRPr="00EF0B79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MMR</w:t>
      </w:r>
      <w:r>
        <w:rPr>
          <w:rFonts w:cstheme="minorHAnsi"/>
          <w:bCs/>
          <w:iCs/>
          <w:sz w:val="24"/>
          <w:szCs w:val="24"/>
        </w:rPr>
        <w:tab/>
        <w:t>Ministerstvo pro místní rozvoj</w:t>
      </w:r>
    </w:p>
    <w:p w14:paraId="7A03C52A" w14:textId="5A483F80" w:rsidR="00282C3C" w:rsidRPr="00EF0B79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 w:rsidRPr="003B38FC">
        <w:rPr>
          <w:rFonts w:cstheme="minorHAnsi"/>
          <w:bCs/>
          <w:iCs/>
          <w:sz w:val="24"/>
          <w:szCs w:val="24"/>
        </w:rPr>
        <w:t>MPO</w:t>
      </w:r>
      <w:r w:rsidRPr="003B38FC">
        <w:rPr>
          <w:rFonts w:cstheme="minorHAnsi"/>
          <w:bCs/>
          <w:iCs/>
          <w:sz w:val="24"/>
          <w:szCs w:val="24"/>
        </w:rPr>
        <w:tab/>
        <w:t>Ministerstvo průmyslu a obchodu</w:t>
      </w:r>
    </w:p>
    <w:p w14:paraId="7DAFCEDB" w14:textId="4231B83A" w:rsidR="00282C3C" w:rsidRPr="00EF0B79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proofErr w:type="spellStart"/>
      <w:r w:rsidRPr="003B38FC">
        <w:rPr>
          <w:rFonts w:cstheme="minorHAnsi"/>
          <w:bCs/>
          <w:iCs/>
          <w:sz w:val="24"/>
          <w:szCs w:val="24"/>
        </w:rPr>
        <w:t>MZe</w:t>
      </w:r>
      <w:proofErr w:type="spellEnd"/>
      <w:r w:rsidRPr="003B38FC">
        <w:rPr>
          <w:rFonts w:cstheme="minorHAnsi"/>
          <w:bCs/>
          <w:iCs/>
          <w:sz w:val="24"/>
          <w:szCs w:val="24"/>
        </w:rPr>
        <w:tab/>
        <w:t>Ministerstvo zemědělství</w:t>
      </w:r>
    </w:p>
    <w:p w14:paraId="5C9FB40C" w14:textId="6CE08DBE" w:rsidR="00282C3C" w:rsidRPr="00EF0B79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 w:rsidRPr="00EF0B79">
        <w:rPr>
          <w:rFonts w:cstheme="minorHAnsi"/>
          <w:bCs/>
          <w:iCs/>
          <w:sz w:val="24"/>
          <w:szCs w:val="24"/>
        </w:rPr>
        <w:t>NKÚ</w:t>
      </w:r>
      <w:r w:rsidRPr="00EF0B79">
        <w:rPr>
          <w:rFonts w:cstheme="minorHAnsi"/>
          <w:bCs/>
          <w:iCs/>
          <w:sz w:val="24"/>
          <w:szCs w:val="24"/>
        </w:rPr>
        <w:tab/>
        <w:t>Nejvyšší kontrolní úřad</w:t>
      </w:r>
    </w:p>
    <w:p w14:paraId="0CA5F1EC" w14:textId="4D272206" w:rsidR="00282C3C" w:rsidRDefault="00282C3C" w:rsidP="00C405DD">
      <w:pPr>
        <w:spacing w:before="80" w:after="80" w:line="240" w:lineRule="auto"/>
        <w:ind w:left="2665" w:hanging="2665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NRB, a.s.</w:t>
      </w:r>
      <w:r>
        <w:rPr>
          <w:sz w:val="24"/>
          <w:szCs w:val="24"/>
          <w:lang w:eastAsia="cs-CZ"/>
        </w:rPr>
        <w:tab/>
        <w:t xml:space="preserve">obchodní společnost </w:t>
      </w:r>
      <w:r w:rsidRPr="00EC52ED">
        <w:rPr>
          <w:sz w:val="24"/>
          <w:szCs w:val="24"/>
          <w:lang w:eastAsia="cs-CZ"/>
        </w:rPr>
        <w:t>Národní rozvojová banka, a.s.</w:t>
      </w:r>
    </w:p>
    <w:p w14:paraId="0A0509D6" w14:textId="66C74548" w:rsidR="001B5460" w:rsidRDefault="001B5460" w:rsidP="00C405DD">
      <w:pPr>
        <w:spacing w:before="80" w:after="80" w:line="240" w:lineRule="auto"/>
        <w:ind w:left="2665" w:hanging="2665"/>
        <w:rPr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obchodní společnosti</w:t>
      </w:r>
      <w:r>
        <w:rPr>
          <w:rFonts w:cstheme="minorHAnsi"/>
          <w:sz w:val="24"/>
          <w:szCs w:val="24"/>
        </w:rPr>
        <w:tab/>
      </w:r>
      <w:r w:rsidRPr="00D9036A">
        <w:rPr>
          <w:sz w:val="24"/>
          <w:szCs w:val="24"/>
        </w:rPr>
        <w:t>obchodní společnost</w:t>
      </w:r>
      <w:r>
        <w:rPr>
          <w:sz w:val="24"/>
          <w:szCs w:val="24"/>
        </w:rPr>
        <w:t>i</w:t>
      </w:r>
      <w:r w:rsidRPr="00D9036A">
        <w:rPr>
          <w:sz w:val="24"/>
          <w:szCs w:val="24"/>
        </w:rPr>
        <w:t>, ve kterých vykonáv</w:t>
      </w:r>
      <w:r>
        <w:rPr>
          <w:sz w:val="24"/>
          <w:szCs w:val="24"/>
        </w:rPr>
        <w:t xml:space="preserve">aly </w:t>
      </w:r>
      <w:r w:rsidRPr="00D9036A">
        <w:rPr>
          <w:sz w:val="24"/>
          <w:szCs w:val="24"/>
        </w:rPr>
        <w:t>vlastnická práva</w:t>
      </w:r>
      <w:r>
        <w:rPr>
          <w:sz w:val="24"/>
          <w:szCs w:val="24"/>
        </w:rPr>
        <w:t xml:space="preserve"> státu</w:t>
      </w:r>
      <w:r w:rsidRPr="00D9036A">
        <w:rPr>
          <w:sz w:val="24"/>
          <w:szCs w:val="24"/>
        </w:rPr>
        <w:t xml:space="preserve"> MF, MPO a </w:t>
      </w:r>
      <w:proofErr w:type="spellStart"/>
      <w:r w:rsidRPr="00D9036A">
        <w:rPr>
          <w:sz w:val="24"/>
          <w:szCs w:val="24"/>
        </w:rPr>
        <w:t>MZe</w:t>
      </w:r>
      <w:proofErr w:type="spellEnd"/>
    </w:p>
    <w:p w14:paraId="553EA5B4" w14:textId="053DDB28" w:rsidR="00282C3C" w:rsidRDefault="00282C3C" w:rsidP="00C405DD">
      <w:pPr>
        <w:spacing w:before="80" w:after="80" w:line="240" w:lineRule="auto"/>
        <w:ind w:left="2665" w:hanging="2665"/>
        <w:rPr>
          <w:sz w:val="24"/>
          <w:szCs w:val="24"/>
        </w:rPr>
      </w:pPr>
      <w:r w:rsidRPr="00834CC7">
        <w:rPr>
          <w:rFonts w:cstheme="minorHAnsi"/>
          <w:bCs/>
          <w:iCs/>
          <w:sz w:val="24"/>
          <w:szCs w:val="24"/>
        </w:rPr>
        <w:t xml:space="preserve">PGRLF, </w:t>
      </w:r>
      <w:r>
        <w:rPr>
          <w:rFonts w:cstheme="minorHAnsi"/>
          <w:bCs/>
          <w:iCs/>
          <w:sz w:val="24"/>
          <w:szCs w:val="24"/>
        </w:rPr>
        <w:t>a.s.</w:t>
      </w:r>
      <w:r w:rsidR="00B70A81"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 xml:space="preserve">obchodní společnost </w:t>
      </w:r>
      <w:r w:rsidRPr="00834CC7">
        <w:rPr>
          <w:sz w:val="24"/>
          <w:szCs w:val="24"/>
        </w:rPr>
        <w:t>Podpůrný a garanční rolnický a</w:t>
      </w:r>
      <w:r w:rsidR="005B781B">
        <w:rPr>
          <w:sz w:val="24"/>
          <w:szCs w:val="24"/>
        </w:rPr>
        <w:t> </w:t>
      </w:r>
      <w:r w:rsidRPr="00834CC7">
        <w:rPr>
          <w:sz w:val="24"/>
          <w:szCs w:val="24"/>
        </w:rPr>
        <w:t xml:space="preserve">lesnický fond, </w:t>
      </w:r>
      <w:r>
        <w:rPr>
          <w:sz w:val="24"/>
          <w:szCs w:val="24"/>
        </w:rPr>
        <w:t>a.s.</w:t>
      </w:r>
    </w:p>
    <w:p w14:paraId="5F67C25B" w14:textId="283A1DED" w:rsidR="00282C3C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 w:rsidRPr="003B1FAA">
        <w:rPr>
          <w:rFonts w:cstheme="minorHAnsi"/>
          <w:bCs/>
          <w:iCs/>
          <w:sz w:val="24"/>
          <w:szCs w:val="24"/>
        </w:rPr>
        <w:t xml:space="preserve">SIRS, </w:t>
      </w:r>
      <w:r>
        <w:rPr>
          <w:rFonts w:cstheme="minorHAnsi"/>
          <w:bCs/>
          <w:iCs/>
          <w:sz w:val="24"/>
          <w:szCs w:val="24"/>
        </w:rPr>
        <w:t>a.s.</w:t>
      </w:r>
      <w:r w:rsidRPr="003B1FAA"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 xml:space="preserve">obchodní společnost </w:t>
      </w:r>
      <w:r w:rsidRPr="003B1FAA">
        <w:rPr>
          <w:rFonts w:cstheme="minorHAnsi"/>
          <w:bCs/>
          <w:iCs/>
          <w:sz w:val="24"/>
          <w:szCs w:val="24"/>
        </w:rPr>
        <w:t xml:space="preserve">Státní investiční a rozvojová společnost, </w:t>
      </w:r>
      <w:r>
        <w:rPr>
          <w:rFonts w:cstheme="minorHAnsi"/>
          <w:bCs/>
          <w:iCs/>
          <w:sz w:val="24"/>
          <w:szCs w:val="24"/>
        </w:rPr>
        <w:t>a.s.</w:t>
      </w:r>
    </w:p>
    <w:p w14:paraId="2A980057" w14:textId="0013B1AE" w:rsidR="00282C3C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 w:rsidRPr="00EF0B79">
        <w:rPr>
          <w:rFonts w:cstheme="minorHAnsi"/>
          <w:bCs/>
          <w:iCs/>
          <w:sz w:val="24"/>
          <w:szCs w:val="24"/>
        </w:rPr>
        <w:t>Strategie</w:t>
      </w:r>
      <w:r w:rsidRPr="00EF0B79">
        <w:rPr>
          <w:rFonts w:cstheme="minorHAnsi"/>
          <w:bCs/>
          <w:iCs/>
          <w:sz w:val="24"/>
          <w:szCs w:val="24"/>
        </w:rPr>
        <w:tab/>
      </w:r>
      <w:proofErr w:type="spellStart"/>
      <w:r w:rsidRPr="00C45202">
        <w:rPr>
          <w:rFonts w:cstheme="minorHAnsi"/>
          <w:bCs/>
          <w:i/>
          <w:sz w:val="24"/>
          <w:szCs w:val="24"/>
        </w:rPr>
        <w:t>Strategie</w:t>
      </w:r>
      <w:proofErr w:type="spellEnd"/>
      <w:r w:rsidRPr="00C45202">
        <w:rPr>
          <w:rFonts w:cstheme="minorHAnsi"/>
          <w:bCs/>
          <w:i/>
          <w:sz w:val="24"/>
          <w:szCs w:val="24"/>
        </w:rPr>
        <w:t xml:space="preserve"> vlastnické politiky státu</w:t>
      </w:r>
    </w:p>
    <w:p w14:paraId="2451D6EF" w14:textId="26DC58E3" w:rsidR="00282C3C" w:rsidRPr="005B6652" w:rsidRDefault="00282C3C" w:rsidP="00C405DD">
      <w:pPr>
        <w:spacing w:before="80" w:after="80" w:line="240" w:lineRule="auto"/>
        <w:ind w:left="2665" w:hanging="266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usnesení vlády č. 71</w:t>
      </w:r>
      <w:r>
        <w:rPr>
          <w:rFonts w:ascii="Calibri" w:hAnsi="Calibri" w:cs="Calibri"/>
          <w:sz w:val="24"/>
          <w:szCs w:val="24"/>
        </w:rPr>
        <w:tab/>
      </w:r>
      <w:r w:rsidRPr="005B6652">
        <w:rPr>
          <w:rFonts w:cstheme="minorHAnsi"/>
          <w:sz w:val="24"/>
          <w:szCs w:val="24"/>
        </w:rPr>
        <w:t xml:space="preserve">usnesení vlády České republiky ze dne 28. </w:t>
      </w:r>
      <w:r>
        <w:rPr>
          <w:rFonts w:cstheme="minorHAnsi"/>
          <w:sz w:val="24"/>
          <w:szCs w:val="24"/>
        </w:rPr>
        <w:t>ledna</w:t>
      </w:r>
      <w:r w:rsidRPr="005B6652">
        <w:rPr>
          <w:rFonts w:cstheme="minorHAnsi"/>
          <w:sz w:val="24"/>
          <w:szCs w:val="24"/>
        </w:rPr>
        <w:t xml:space="preserve"> 2019 č. 71, </w:t>
      </w:r>
      <w:r w:rsidRPr="00C45202">
        <w:rPr>
          <w:rFonts w:cstheme="minorHAnsi"/>
          <w:i/>
          <w:iCs/>
          <w:sz w:val="24"/>
          <w:szCs w:val="24"/>
        </w:rPr>
        <w:t>o aktualizaci Metodiky přípravy veřejných strategií</w:t>
      </w:r>
    </w:p>
    <w:p w14:paraId="72AF53AE" w14:textId="1FFC04AD" w:rsidR="00282C3C" w:rsidRDefault="00282C3C" w:rsidP="00C405DD">
      <w:pPr>
        <w:spacing w:before="80" w:after="80" w:line="240" w:lineRule="auto"/>
        <w:ind w:left="2665" w:hanging="2665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usnesení vlády č. 115</w:t>
      </w:r>
      <w:r>
        <w:rPr>
          <w:rFonts w:ascii="Calibri" w:hAnsi="Calibri" w:cs="Calibri"/>
          <w:sz w:val="24"/>
          <w:szCs w:val="24"/>
        </w:rPr>
        <w:tab/>
      </w:r>
      <w:r w:rsidRPr="00122C78">
        <w:rPr>
          <w:sz w:val="24"/>
          <w:szCs w:val="24"/>
        </w:rPr>
        <w:t xml:space="preserve">usnesení vlády České republiky ze dne 17. </w:t>
      </w:r>
      <w:r>
        <w:rPr>
          <w:sz w:val="24"/>
          <w:szCs w:val="24"/>
        </w:rPr>
        <w:t>února</w:t>
      </w:r>
      <w:r w:rsidRPr="00122C78">
        <w:rPr>
          <w:sz w:val="24"/>
          <w:szCs w:val="24"/>
        </w:rPr>
        <w:t xml:space="preserve"> 2020 č.</w:t>
      </w:r>
      <w:r w:rsidR="005B781B">
        <w:rPr>
          <w:sz w:val="24"/>
          <w:szCs w:val="24"/>
        </w:rPr>
        <w:t> </w:t>
      </w:r>
      <w:r w:rsidRPr="00122C78">
        <w:rPr>
          <w:sz w:val="24"/>
          <w:szCs w:val="24"/>
        </w:rPr>
        <w:t xml:space="preserve">115, </w:t>
      </w:r>
      <w:r w:rsidRPr="00C45202">
        <w:rPr>
          <w:i/>
          <w:iCs/>
          <w:sz w:val="24"/>
          <w:szCs w:val="24"/>
        </w:rPr>
        <w:t>o Strategii vlastnické politiky státu</w:t>
      </w:r>
    </w:p>
    <w:p w14:paraId="4B2A37A4" w14:textId="70A2FFA9" w:rsidR="00282C3C" w:rsidRPr="00EF0B79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>
        <w:rPr>
          <w:sz w:val="24"/>
          <w:szCs w:val="24"/>
        </w:rPr>
        <w:t>usnesení vlády č. 835</w:t>
      </w:r>
      <w:r>
        <w:rPr>
          <w:sz w:val="24"/>
          <w:szCs w:val="24"/>
        </w:rPr>
        <w:tab/>
      </w:r>
      <w:r w:rsidRPr="00492919">
        <w:rPr>
          <w:sz w:val="24"/>
          <w:szCs w:val="24"/>
        </w:rPr>
        <w:t>usnesení vlády České republiky ze dne 12.</w:t>
      </w:r>
      <w:r w:rsidR="00002E1B">
        <w:rPr>
          <w:sz w:val="24"/>
          <w:szCs w:val="24"/>
        </w:rPr>
        <w:t> </w:t>
      </w:r>
      <w:r>
        <w:rPr>
          <w:sz w:val="24"/>
          <w:szCs w:val="24"/>
        </w:rPr>
        <w:t>prosince</w:t>
      </w:r>
      <w:r w:rsidRPr="00492919">
        <w:rPr>
          <w:sz w:val="24"/>
          <w:szCs w:val="24"/>
        </w:rPr>
        <w:t>. 2018 č.</w:t>
      </w:r>
      <w:r w:rsidR="005B781B">
        <w:rPr>
          <w:sz w:val="24"/>
          <w:szCs w:val="24"/>
        </w:rPr>
        <w:t> </w:t>
      </w:r>
      <w:r w:rsidRPr="00492919">
        <w:rPr>
          <w:sz w:val="24"/>
          <w:szCs w:val="24"/>
        </w:rPr>
        <w:t xml:space="preserve">835, </w:t>
      </w:r>
      <w:r w:rsidRPr="00C45202">
        <w:rPr>
          <w:i/>
          <w:iCs/>
          <w:sz w:val="24"/>
          <w:szCs w:val="24"/>
        </w:rPr>
        <w:t>o Zásadách odměňování vedoucích zaměstnanců a</w:t>
      </w:r>
      <w:r w:rsidR="005B781B" w:rsidRPr="00C45202">
        <w:rPr>
          <w:i/>
          <w:iCs/>
          <w:sz w:val="24"/>
          <w:szCs w:val="24"/>
        </w:rPr>
        <w:t> </w:t>
      </w:r>
      <w:r w:rsidRPr="00C45202">
        <w:rPr>
          <w:i/>
          <w:iCs/>
          <w:sz w:val="24"/>
          <w:szCs w:val="24"/>
        </w:rPr>
        <w:t>členů orgánů ovládaných obchodních společností s</w:t>
      </w:r>
      <w:r w:rsidR="005B781B" w:rsidRPr="00C45202">
        <w:rPr>
          <w:i/>
          <w:iCs/>
          <w:sz w:val="24"/>
          <w:szCs w:val="24"/>
        </w:rPr>
        <w:t> </w:t>
      </w:r>
      <w:r w:rsidRPr="00C45202">
        <w:rPr>
          <w:i/>
          <w:iCs/>
          <w:sz w:val="24"/>
          <w:szCs w:val="24"/>
        </w:rPr>
        <w:t>majetkovou účastí státu a vedoucích zaměstnanců státních podniků a jiných státních organizací zřízených zákonem nebo ministerstvem</w:t>
      </w:r>
    </w:p>
    <w:p w14:paraId="2DA56B1E" w14:textId="3A3CA619" w:rsidR="00282C3C" w:rsidRDefault="00282C3C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 w:rsidRPr="003B38FC">
        <w:rPr>
          <w:rFonts w:cstheme="minorHAnsi"/>
          <w:bCs/>
          <w:iCs/>
          <w:sz w:val="24"/>
          <w:szCs w:val="24"/>
        </w:rPr>
        <w:t>VŘ</w:t>
      </w:r>
      <w:r w:rsidRPr="003B38FC">
        <w:rPr>
          <w:rFonts w:cstheme="minorHAnsi"/>
          <w:bCs/>
          <w:iCs/>
          <w:sz w:val="24"/>
          <w:szCs w:val="24"/>
        </w:rPr>
        <w:tab/>
        <w:t>výběrové řízení</w:t>
      </w:r>
    </w:p>
    <w:p w14:paraId="3E0B1DE3" w14:textId="4FDF663D" w:rsidR="00282C3C" w:rsidRPr="00230071" w:rsidRDefault="00282C3C" w:rsidP="00C405DD">
      <w:pPr>
        <w:pStyle w:val="Textpoznpodarou"/>
        <w:spacing w:before="80" w:after="80"/>
        <w:ind w:left="2665" w:hanging="2665"/>
        <w:rPr>
          <w:sz w:val="24"/>
          <w:szCs w:val="24"/>
        </w:rPr>
      </w:pPr>
      <w:r w:rsidRPr="00230071">
        <w:rPr>
          <w:sz w:val="24"/>
          <w:szCs w:val="24"/>
        </w:rPr>
        <w:t xml:space="preserve">Zásady odměňování </w:t>
      </w:r>
      <w:r w:rsidRPr="00230071">
        <w:rPr>
          <w:sz w:val="24"/>
          <w:szCs w:val="24"/>
        </w:rPr>
        <w:tab/>
      </w:r>
      <w:r w:rsidRPr="00C45202">
        <w:rPr>
          <w:i/>
          <w:iCs/>
          <w:sz w:val="24"/>
          <w:szCs w:val="24"/>
        </w:rPr>
        <w:t xml:space="preserve">Zásady odměňování vedoucích zaměstnanců a členů orgánů ovládaných obchodních společností s majetkovou účastí státu </w:t>
      </w:r>
      <w:r w:rsidR="004C46D7">
        <w:rPr>
          <w:i/>
          <w:iCs/>
          <w:sz w:val="24"/>
          <w:szCs w:val="24"/>
        </w:rPr>
        <w:t>včetně</w:t>
      </w:r>
      <w:r w:rsidRPr="00C45202">
        <w:rPr>
          <w:i/>
          <w:iCs/>
          <w:sz w:val="24"/>
          <w:szCs w:val="24"/>
        </w:rPr>
        <w:t xml:space="preserve"> státních podniků a</w:t>
      </w:r>
      <w:r w:rsidR="005B781B" w:rsidRPr="00C45202">
        <w:rPr>
          <w:i/>
          <w:iCs/>
          <w:sz w:val="24"/>
          <w:szCs w:val="24"/>
        </w:rPr>
        <w:t> </w:t>
      </w:r>
      <w:r w:rsidRPr="00C45202">
        <w:rPr>
          <w:i/>
          <w:iCs/>
          <w:sz w:val="24"/>
          <w:szCs w:val="24"/>
        </w:rPr>
        <w:t>jiných státních organizací zřízených zákonem nebo ministerstvem</w:t>
      </w:r>
      <w:r w:rsidRPr="00230071">
        <w:rPr>
          <w:sz w:val="24"/>
          <w:szCs w:val="24"/>
        </w:rPr>
        <w:t xml:space="preserve"> </w:t>
      </w:r>
      <w:r w:rsidR="004C46D7">
        <w:rPr>
          <w:sz w:val="24"/>
          <w:szCs w:val="24"/>
        </w:rPr>
        <w:t xml:space="preserve">schválené usnesením vlády </w:t>
      </w:r>
      <w:r w:rsidR="00143661">
        <w:rPr>
          <w:sz w:val="24"/>
          <w:szCs w:val="24"/>
        </w:rPr>
        <w:t xml:space="preserve">České republiky </w:t>
      </w:r>
      <w:r w:rsidR="004C46D7">
        <w:rPr>
          <w:sz w:val="24"/>
          <w:szCs w:val="24"/>
        </w:rPr>
        <w:t xml:space="preserve">ze dne </w:t>
      </w:r>
      <w:r w:rsidR="00143661">
        <w:rPr>
          <w:sz w:val="24"/>
          <w:szCs w:val="24"/>
        </w:rPr>
        <w:t>29. července 2015 č. 606</w:t>
      </w:r>
    </w:p>
    <w:p w14:paraId="4B866BF3" w14:textId="768415DF" w:rsidR="00282C3C" w:rsidRPr="003B38FC" w:rsidRDefault="00D15B6F" w:rsidP="00C405DD">
      <w:pPr>
        <w:spacing w:before="80" w:after="80" w:line="240" w:lineRule="auto"/>
        <w:ind w:left="2665" w:hanging="2665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z</w:t>
      </w:r>
      <w:r w:rsidR="00282C3C" w:rsidRPr="003B38FC">
        <w:rPr>
          <w:rFonts w:ascii="Calibri" w:hAnsi="Calibri" w:cs="Calibri"/>
          <w:bCs/>
          <w:iCs/>
          <w:sz w:val="24"/>
          <w:szCs w:val="24"/>
        </w:rPr>
        <w:t>práva o plnění Strategie</w:t>
      </w:r>
      <w:r w:rsidR="00282C3C" w:rsidRPr="003B38FC">
        <w:rPr>
          <w:rFonts w:ascii="Calibri" w:hAnsi="Calibri" w:cs="Calibri"/>
          <w:bCs/>
          <w:i/>
          <w:sz w:val="24"/>
          <w:szCs w:val="24"/>
        </w:rPr>
        <w:t xml:space="preserve"> </w:t>
      </w:r>
      <w:r w:rsidR="00282C3C" w:rsidRPr="003B38FC">
        <w:rPr>
          <w:rFonts w:ascii="Calibri" w:hAnsi="Calibri" w:cs="Calibri"/>
          <w:bCs/>
          <w:i/>
          <w:sz w:val="24"/>
          <w:szCs w:val="24"/>
        </w:rPr>
        <w:tab/>
      </w:r>
      <w:r w:rsidR="00143661">
        <w:rPr>
          <w:rFonts w:ascii="Calibri" w:hAnsi="Calibri" w:cs="Calibri"/>
          <w:bCs/>
          <w:iCs/>
          <w:sz w:val="24"/>
          <w:szCs w:val="24"/>
        </w:rPr>
        <w:t>z</w:t>
      </w:r>
      <w:r w:rsidR="00282C3C" w:rsidRPr="00143661">
        <w:rPr>
          <w:rFonts w:ascii="Calibri" w:hAnsi="Calibri" w:cs="Calibri"/>
          <w:bCs/>
          <w:iCs/>
          <w:sz w:val="24"/>
          <w:szCs w:val="24"/>
        </w:rPr>
        <w:t xml:space="preserve">práva o plnění opatření vyplývajících ze </w:t>
      </w:r>
      <w:r w:rsidR="00282C3C" w:rsidRPr="00C45202">
        <w:rPr>
          <w:rFonts w:ascii="Calibri" w:hAnsi="Calibri" w:cs="Calibri"/>
          <w:bCs/>
          <w:i/>
          <w:sz w:val="24"/>
          <w:szCs w:val="24"/>
        </w:rPr>
        <w:t>Strategie vlastnické politiky státu</w:t>
      </w:r>
    </w:p>
    <w:p w14:paraId="7EE824FC" w14:textId="1C511CFD" w:rsidR="00282C3C" w:rsidRDefault="00D15B6F" w:rsidP="00C405DD">
      <w:pPr>
        <w:spacing w:before="80" w:after="80" w:line="240" w:lineRule="auto"/>
        <w:ind w:left="2665" w:hanging="2665"/>
        <w:rPr>
          <w:rFonts w:cstheme="minorHAns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z</w:t>
      </w:r>
      <w:r w:rsidR="00282C3C" w:rsidRPr="003B38FC">
        <w:rPr>
          <w:rFonts w:ascii="Calibri" w:hAnsi="Calibri" w:cs="Calibri"/>
          <w:bCs/>
          <w:iCs/>
          <w:sz w:val="24"/>
          <w:szCs w:val="24"/>
        </w:rPr>
        <w:t>práva o činnosti</w:t>
      </w:r>
      <w:r w:rsidR="00282C3C" w:rsidRPr="003B38FC">
        <w:rPr>
          <w:rFonts w:ascii="Calibri" w:hAnsi="Calibri" w:cs="Calibri"/>
          <w:bCs/>
          <w:iCs/>
          <w:sz w:val="24"/>
          <w:szCs w:val="24"/>
        </w:rPr>
        <w:tab/>
      </w:r>
      <w:r w:rsidR="00143661">
        <w:rPr>
          <w:rFonts w:ascii="Calibri" w:hAnsi="Calibri" w:cs="Calibri"/>
          <w:bCs/>
          <w:iCs/>
          <w:sz w:val="24"/>
          <w:szCs w:val="24"/>
        </w:rPr>
        <w:t>z</w:t>
      </w:r>
      <w:r w:rsidR="00282C3C" w:rsidRPr="00143661">
        <w:rPr>
          <w:rFonts w:ascii="Calibri" w:hAnsi="Calibri" w:cs="Calibri"/>
          <w:bCs/>
          <w:iCs/>
          <w:sz w:val="24"/>
          <w:szCs w:val="24"/>
        </w:rPr>
        <w:t>práva o činnosti a výsledcích strategických společností s majetkovou účastí státu, státních podniků a národního podniku</w:t>
      </w:r>
    </w:p>
    <w:p w14:paraId="5D035EE2" w14:textId="77777777" w:rsidR="00857606" w:rsidRDefault="00857606" w:rsidP="00C405DD">
      <w:pPr>
        <w:spacing w:after="0" w:line="240" w:lineRule="auto"/>
      </w:pPr>
      <w:r>
        <w:br w:type="page"/>
      </w:r>
    </w:p>
    <w:p w14:paraId="35ED5AF7" w14:textId="1C900B04" w:rsidR="00CC7FF4" w:rsidRPr="00695CE9" w:rsidRDefault="007F68A4" w:rsidP="008B4407">
      <w:pPr>
        <w:jc w:val="right"/>
        <w:rPr>
          <w:b/>
          <w:bCs/>
          <w:sz w:val="24"/>
          <w:szCs w:val="24"/>
        </w:rPr>
      </w:pPr>
      <w:r w:rsidRPr="00695CE9">
        <w:rPr>
          <w:b/>
          <w:bCs/>
          <w:sz w:val="24"/>
          <w:szCs w:val="24"/>
        </w:rPr>
        <w:lastRenderedPageBreak/>
        <w:t>Příloha č. 1</w:t>
      </w:r>
    </w:p>
    <w:p w14:paraId="362B5421" w14:textId="07EDA8EE" w:rsidR="000517E5" w:rsidRPr="003968C0" w:rsidRDefault="007F68A4" w:rsidP="004C0809">
      <w:pPr>
        <w:spacing w:after="40" w:line="264" w:lineRule="auto"/>
        <w:rPr>
          <w:b/>
          <w:bCs/>
          <w:sz w:val="24"/>
          <w:szCs w:val="24"/>
        </w:rPr>
      </w:pPr>
      <w:r w:rsidRPr="003968C0">
        <w:rPr>
          <w:b/>
          <w:bCs/>
          <w:sz w:val="24"/>
          <w:szCs w:val="24"/>
        </w:rPr>
        <w:t xml:space="preserve">Přehled obchodních společností s majetkovou účastí státu v gesci MF, MPO a </w:t>
      </w:r>
      <w:proofErr w:type="spellStart"/>
      <w:r w:rsidRPr="003968C0">
        <w:rPr>
          <w:b/>
          <w:bCs/>
          <w:sz w:val="24"/>
          <w:szCs w:val="24"/>
        </w:rPr>
        <w:t>MZe</w:t>
      </w:r>
      <w:proofErr w:type="spellEnd"/>
      <w:r w:rsidRPr="003968C0">
        <w:rPr>
          <w:b/>
          <w:bCs/>
          <w:sz w:val="24"/>
          <w:szCs w:val="24"/>
        </w:rPr>
        <w:t xml:space="preserve"> k 31.</w:t>
      </w:r>
      <w:r w:rsidR="005B781B">
        <w:rPr>
          <w:b/>
          <w:bCs/>
          <w:sz w:val="24"/>
          <w:szCs w:val="24"/>
        </w:rPr>
        <w:t> </w:t>
      </w:r>
      <w:r w:rsidRPr="003968C0">
        <w:rPr>
          <w:b/>
          <w:bCs/>
          <w:sz w:val="24"/>
          <w:szCs w:val="24"/>
        </w:rPr>
        <w:t>12.</w:t>
      </w:r>
      <w:r w:rsidR="005B781B">
        <w:rPr>
          <w:b/>
          <w:bCs/>
          <w:sz w:val="24"/>
          <w:szCs w:val="24"/>
        </w:rPr>
        <w:t> </w:t>
      </w:r>
      <w:r w:rsidRPr="003968C0">
        <w:rPr>
          <w:b/>
          <w:bCs/>
          <w:sz w:val="24"/>
          <w:szCs w:val="24"/>
        </w:rPr>
        <w:t>2024 (v tis. Kč)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6"/>
        <w:gridCol w:w="1984"/>
        <w:gridCol w:w="1139"/>
        <w:gridCol w:w="851"/>
        <w:gridCol w:w="1275"/>
        <w:gridCol w:w="1701"/>
        <w:gridCol w:w="1276"/>
      </w:tblGrid>
      <w:tr w:rsidR="002952ED" w:rsidRPr="002952ED" w14:paraId="569799C1" w14:textId="77777777" w:rsidTr="00161E16">
        <w:trPr>
          <w:trHeight w:val="599"/>
          <w:tblHeader/>
        </w:trPr>
        <w:tc>
          <w:tcPr>
            <w:tcW w:w="555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7CFB4" w14:textId="77777777" w:rsidR="000517E5" w:rsidRPr="002952ED" w:rsidRDefault="000517E5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8010F" w14:textId="77777777" w:rsidR="000517E5" w:rsidRPr="002952ED" w:rsidRDefault="000517E5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D8007" w14:textId="77777777" w:rsidR="000517E5" w:rsidRPr="000F47AB" w:rsidRDefault="000517E5" w:rsidP="003968C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47AB">
              <w:rPr>
                <w:rFonts w:cstheme="minorHAnsi"/>
                <w:b/>
                <w:bCs/>
                <w:sz w:val="20"/>
                <w:szCs w:val="20"/>
              </w:rPr>
              <w:t>Obchodní společnost</w:t>
            </w:r>
          </w:p>
        </w:tc>
        <w:tc>
          <w:tcPr>
            <w:tcW w:w="1139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4575BD" w14:textId="77777777" w:rsidR="000517E5" w:rsidRPr="000F47AB" w:rsidRDefault="000517E5" w:rsidP="0036016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47AB">
              <w:rPr>
                <w:rFonts w:cstheme="minorHAnsi"/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85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2D4C4" w14:textId="35621372" w:rsidR="000517E5" w:rsidRPr="000F47AB" w:rsidRDefault="000517E5" w:rsidP="008F3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47AB">
              <w:rPr>
                <w:rFonts w:cstheme="minorHAnsi"/>
                <w:b/>
                <w:bCs/>
                <w:sz w:val="20"/>
                <w:szCs w:val="20"/>
              </w:rPr>
              <w:t>Podíl státu </w:t>
            </w:r>
            <w:r w:rsidR="00D27EC2" w:rsidRPr="000F47AB">
              <w:rPr>
                <w:rFonts w:cstheme="minorHAnsi"/>
                <w:b/>
                <w:bCs/>
                <w:sz w:val="20"/>
                <w:szCs w:val="20"/>
              </w:rPr>
              <w:br/>
              <w:t>(</w:t>
            </w:r>
            <w:r w:rsidRPr="000F47AB">
              <w:rPr>
                <w:rFonts w:cstheme="minorHAnsi"/>
                <w:b/>
                <w:bCs/>
                <w:sz w:val="20"/>
                <w:szCs w:val="20"/>
              </w:rPr>
              <w:t>v %)</w:t>
            </w:r>
          </w:p>
        </w:tc>
        <w:tc>
          <w:tcPr>
            <w:tcW w:w="1275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69157B" w14:textId="5D970112" w:rsidR="000517E5" w:rsidRPr="000F47AB" w:rsidRDefault="000517E5" w:rsidP="003968C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47AB">
              <w:rPr>
                <w:rFonts w:cstheme="minorHAnsi"/>
                <w:b/>
                <w:bCs/>
                <w:sz w:val="20"/>
                <w:szCs w:val="20"/>
              </w:rPr>
              <w:t>Základní kapitál</w:t>
            </w:r>
          </w:p>
        </w:tc>
        <w:tc>
          <w:tcPr>
            <w:tcW w:w="170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9E4F4" w14:textId="24A868F0" w:rsidR="000517E5" w:rsidRPr="000F47AB" w:rsidRDefault="000517E5" w:rsidP="003968C0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47AB">
              <w:rPr>
                <w:rFonts w:cstheme="minorHAnsi"/>
                <w:b/>
                <w:bCs/>
                <w:sz w:val="20"/>
                <w:szCs w:val="20"/>
              </w:rPr>
              <w:t>Účetní hodnota majetkových účastí státu v</w:t>
            </w:r>
            <w:r w:rsidR="000F47AB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F47AB">
              <w:rPr>
                <w:rFonts w:cstheme="minorHAnsi"/>
                <w:b/>
                <w:bCs/>
                <w:sz w:val="20"/>
                <w:szCs w:val="20"/>
              </w:rPr>
              <w:t>obchodních společnostech</w:t>
            </w:r>
          </w:p>
        </w:tc>
        <w:tc>
          <w:tcPr>
            <w:tcW w:w="1276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1333D" w14:textId="77777777" w:rsidR="000517E5" w:rsidRPr="000F47AB" w:rsidRDefault="000517E5" w:rsidP="008B440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47AB">
              <w:rPr>
                <w:rFonts w:cstheme="minorHAnsi"/>
                <w:b/>
                <w:bCs/>
                <w:sz w:val="20"/>
                <w:szCs w:val="20"/>
              </w:rPr>
              <w:t>Dividendy</w:t>
            </w:r>
          </w:p>
        </w:tc>
      </w:tr>
      <w:tr w:rsidR="002952ED" w:rsidRPr="002952ED" w14:paraId="30E69C72" w14:textId="77777777" w:rsidTr="00161E16">
        <w:trPr>
          <w:trHeight w:val="43"/>
        </w:trPr>
        <w:tc>
          <w:tcPr>
            <w:tcW w:w="55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25EDA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MF</w:t>
            </w: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D8D97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D9CC5" w14:textId="7451B47F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ČEZ, a. 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3ECEA" w14:textId="6ED1C676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47B18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69,78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2F009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53 798 976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F321A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38 441 307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20F6D" w14:textId="00B791AF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2020</w:t>
            </w:r>
            <w:r w:rsidR="000F47AB">
              <w:rPr>
                <w:rFonts w:cstheme="minorHAnsi"/>
                <w:sz w:val="20"/>
                <w:szCs w:val="20"/>
              </w:rPr>
              <w:t>–</w:t>
            </w:r>
            <w:r w:rsidRPr="002952ED">
              <w:rPr>
                <w:rFonts w:cstheme="minorHAnsi"/>
                <w:sz w:val="20"/>
                <w:szCs w:val="20"/>
              </w:rPr>
              <w:t>2024</w:t>
            </w:r>
          </w:p>
        </w:tc>
      </w:tr>
      <w:tr w:rsidR="002952ED" w:rsidRPr="002952ED" w14:paraId="094E3F56" w14:textId="77777777" w:rsidTr="00161E16">
        <w:trPr>
          <w:trHeight w:val="93"/>
        </w:trPr>
        <w:tc>
          <w:tcPr>
            <w:tcW w:w="555" w:type="dxa"/>
            <w:vMerge/>
            <w:vAlign w:val="center"/>
            <w:hideMark/>
          </w:tcPr>
          <w:p w14:paraId="1A0C7EB5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5AF8E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CD792" w14:textId="337B53D3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Letiště Praha, a. 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6AE9E" w14:textId="1D5CA0F2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5AE2D" w14:textId="44CBF52F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8F37AA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7D8D5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27 031 564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606BF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27 049 198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D9D09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2024</w:t>
            </w:r>
          </w:p>
        </w:tc>
      </w:tr>
      <w:tr w:rsidR="002952ED" w:rsidRPr="002952ED" w14:paraId="5792A339" w14:textId="77777777" w:rsidTr="00161E16">
        <w:trPr>
          <w:trHeight w:val="84"/>
        </w:trPr>
        <w:tc>
          <w:tcPr>
            <w:tcW w:w="555" w:type="dxa"/>
            <w:vMerge/>
            <w:vAlign w:val="center"/>
            <w:hideMark/>
          </w:tcPr>
          <w:p w14:paraId="19E06A49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A3428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FC0DF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MERO ČR,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E6D26E" w14:textId="05972A80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367E8" w14:textId="223CBE52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8F37AA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5ED9F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8 430 921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9E266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8 430 921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F43A3" w14:textId="1346338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2020</w:t>
            </w:r>
            <w:r w:rsidR="000F47AB">
              <w:rPr>
                <w:rFonts w:cstheme="minorHAnsi"/>
                <w:sz w:val="20"/>
                <w:szCs w:val="20"/>
              </w:rPr>
              <w:t>–</w:t>
            </w:r>
            <w:r w:rsidRPr="002952ED">
              <w:rPr>
                <w:rFonts w:cstheme="minorHAnsi"/>
                <w:sz w:val="20"/>
                <w:szCs w:val="20"/>
              </w:rPr>
              <w:t>2022; 2024</w:t>
            </w:r>
          </w:p>
        </w:tc>
      </w:tr>
      <w:tr w:rsidR="002952ED" w:rsidRPr="002952ED" w14:paraId="1F323E85" w14:textId="77777777" w:rsidTr="00161E16">
        <w:trPr>
          <w:trHeight w:val="531"/>
        </w:trPr>
        <w:tc>
          <w:tcPr>
            <w:tcW w:w="555" w:type="dxa"/>
            <w:vMerge/>
            <w:vAlign w:val="center"/>
            <w:hideMark/>
          </w:tcPr>
          <w:p w14:paraId="2F8CA7D6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F8652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0DFDD" w14:textId="1FC4BE45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Exportní garanční a</w:t>
            </w:r>
            <w:r w:rsidR="00B37FB1">
              <w:rPr>
                <w:rFonts w:cstheme="minorHAnsi"/>
                <w:sz w:val="20"/>
                <w:szCs w:val="20"/>
              </w:rPr>
              <w:t> </w:t>
            </w:r>
            <w:r w:rsidRPr="002952ED">
              <w:rPr>
                <w:rFonts w:cstheme="minorHAnsi"/>
                <w:sz w:val="20"/>
                <w:szCs w:val="20"/>
              </w:rPr>
              <w:t>pojišťovací společnost,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90696" w14:textId="073374A9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E9883" w14:textId="7578E8D9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8F37AA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DA258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6 114 000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9F21E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5 814 000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A552B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5A114C85" w14:textId="77777777" w:rsidTr="00161E16">
        <w:trPr>
          <w:trHeight w:val="43"/>
        </w:trPr>
        <w:tc>
          <w:tcPr>
            <w:tcW w:w="555" w:type="dxa"/>
            <w:vMerge/>
            <w:vAlign w:val="center"/>
            <w:hideMark/>
          </w:tcPr>
          <w:p w14:paraId="65953D5F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0432C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DCAC5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ČEPRO,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8D4F6" w14:textId="5C0F3279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EEC2B2" w14:textId="74053119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8F37AA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024FD" w14:textId="7AB10C2B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5 661 000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807B4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5 660 000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C5FBB" w14:textId="4E10418E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2020</w:t>
            </w:r>
            <w:r w:rsidR="00360164">
              <w:rPr>
                <w:rFonts w:cstheme="minorHAnsi"/>
                <w:sz w:val="20"/>
                <w:szCs w:val="20"/>
              </w:rPr>
              <w:t>–</w:t>
            </w:r>
            <w:r w:rsidRPr="002952ED">
              <w:rPr>
                <w:rFonts w:cstheme="minorHAnsi"/>
                <w:sz w:val="20"/>
                <w:szCs w:val="20"/>
              </w:rPr>
              <w:t>2024</w:t>
            </w:r>
          </w:p>
        </w:tc>
      </w:tr>
      <w:tr w:rsidR="002952ED" w:rsidRPr="002952ED" w14:paraId="4A42E629" w14:textId="77777777" w:rsidTr="00161E16">
        <w:trPr>
          <w:trHeight w:val="43"/>
        </w:trPr>
        <w:tc>
          <w:tcPr>
            <w:tcW w:w="555" w:type="dxa"/>
            <w:vMerge/>
            <w:vAlign w:val="center"/>
            <w:hideMark/>
          </w:tcPr>
          <w:p w14:paraId="64B15E02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706ED0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57CD40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NRB,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9BFC1" w14:textId="60AFD4D4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EE2F18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32,95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19FB5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2 631 626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8C37D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1 170 992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058FE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0004EDE2" w14:textId="77777777" w:rsidTr="00161E16">
        <w:trPr>
          <w:trHeight w:val="43"/>
        </w:trPr>
        <w:tc>
          <w:tcPr>
            <w:tcW w:w="555" w:type="dxa"/>
            <w:vMerge/>
            <w:vAlign w:val="center"/>
            <w:hideMark/>
          </w:tcPr>
          <w:p w14:paraId="03847D3A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4D4BE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2391D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ČEB,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F6014D" w14:textId="5484A69A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CB2E1" w14:textId="2DFE883F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84</w:t>
            </w:r>
            <w:r w:rsidR="008F37AA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7154A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5 000 000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89087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4 200 000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D39F2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4C74D596" w14:textId="77777777" w:rsidTr="00161E16">
        <w:trPr>
          <w:trHeight w:val="143"/>
        </w:trPr>
        <w:tc>
          <w:tcPr>
            <w:tcW w:w="555" w:type="dxa"/>
            <w:vMerge/>
            <w:vAlign w:val="center"/>
            <w:hideMark/>
          </w:tcPr>
          <w:p w14:paraId="582698F8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73FD4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898A3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Kongresové centrum Praha,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458EA" w14:textId="7FF836C3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3EF96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54,35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B1A85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3 680 000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52FAB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2 000 000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2744E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69D8CD4F" w14:textId="77777777" w:rsidTr="00161E16">
        <w:trPr>
          <w:trHeight w:val="43"/>
        </w:trPr>
        <w:tc>
          <w:tcPr>
            <w:tcW w:w="555" w:type="dxa"/>
            <w:vMerge/>
            <w:vAlign w:val="center"/>
            <w:hideMark/>
          </w:tcPr>
          <w:p w14:paraId="3932C212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BF990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1FF06" w14:textId="7343875A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PRISKO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170CE" w14:textId="7059C85B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170B1" w14:textId="799A19C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8F37AA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D18AE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2 067 760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8B815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1 273 000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AD48B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2024</w:t>
            </w:r>
          </w:p>
        </w:tc>
      </w:tr>
      <w:tr w:rsidR="002952ED" w:rsidRPr="002952ED" w14:paraId="041A03D2" w14:textId="77777777" w:rsidTr="00161E16">
        <w:trPr>
          <w:trHeight w:val="43"/>
        </w:trPr>
        <w:tc>
          <w:tcPr>
            <w:tcW w:w="555" w:type="dxa"/>
            <w:vMerge/>
            <w:vAlign w:val="center"/>
            <w:hideMark/>
          </w:tcPr>
          <w:p w14:paraId="3D49305B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0F909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EEB046" w14:textId="71EA02DD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VZLU AEROSPACE,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ED5DC0" w14:textId="3F682C17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24CF0" w14:textId="55D39C83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8F37AA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E8A3F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750 968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A84C7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620 491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4A3BC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788150F3" w14:textId="77777777" w:rsidTr="00161E16">
        <w:trPr>
          <w:trHeight w:val="43"/>
        </w:trPr>
        <w:tc>
          <w:tcPr>
            <w:tcW w:w="555" w:type="dxa"/>
            <w:vMerge/>
            <w:vAlign w:val="center"/>
            <w:hideMark/>
          </w:tcPr>
          <w:p w14:paraId="75113C52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40CFE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33688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THERMAL-F,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3FB31B" w14:textId="1A7050E4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6F962" w14:textId="5612E0B6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8F37AA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A17FD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1 099 550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73AA0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1 099 550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0CD4F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6922C05F" w14:textId="77777777" w:rsidTr="00161E16">
        <w:trPr>
          <w:trHeight w:val="43"/>
        </w:trPr>
        <w:tc>
          <w:tcPr>
            <w:tcW w:w="555" w:type="dxa"/>
            <w:vMerge/>
            <w:vAlign w:val="center"/>
            <w:hideMark/>
          </w:tcPr>
          <w:p w14:paraId="140B60DB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F7EAA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AEFB7" w14:textId="00AC89ED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MUFIS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CAFC8B" w14:textId="61DBE8D5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76220" w14:textId="79A96E74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49</w:t>
            </w:r>
            <w:r w:rsidR="008F37AA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C3952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FD481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490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85146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232D9CB5" w14:textId="77777777" w:rsidTr="00161E16">
        <w:trPr>
          <w:trHeight w:val="43"/>
        </w:trPr>
        <w:tc>
          <w:tcPr>
            <w:tcW w:w="555" w:type="dxa"/>
            <w:vMerge/>
            <w:vAlign w:val="center"/>
            <w:hideMark/>
          </w:tcPr>
          <w:p w14:paraId="753AE376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515BC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FAE7A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KORADO,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56ECA" w14:textId="4C802173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80782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34,22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4F50C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840 700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999A3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86 183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7D89B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7376B82A" w14:textId="77777777" w:rsidTr="00161E16">
        <w:trPr>
          <w:trHeight w:val="43"/>
        </w:trPr>
        <w:tc>
          <w:tcPr>
            <w:tcW w:w="555" w:type="dxa"/>
            <w:vMerge/>
            <w:vAlign w:val="center"/>
            <w:hideMark/>
          </w:tcPr>
          <w:p w14:paraId="27E1A2E6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30E8D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1E527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E.ON SE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0F046" w14:textId="6A900C18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E5E82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0,14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C7A17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65 304 000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4AE87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1 048 384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859B7" w14:textId="332CF453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2020</w:t>
            </w:r>
            <w:r w:rsidR="00360164">
              <w:rPr>
                <w:rFonts w:cstheme="minorHAnsi"/>
                <w:sz w:val="20"/>
                <w:szCs w:val="20"/>
              </w:rPr>
              <w:t>–</w:t>
            </w:r>
            <w:r w:rsidRPr="002952ED">
              <w:rPr>
                <w:rFonts w:cstheme="minorHAnsi"/>
                <w:sz w:val="20"/>
                <w:szCs w:val="20"/>
              </w:rPr>
              <w:t>2024</w:t>
            </w:r>
          </w:p>
        </w:tc>
      </w:tr>
      <w:tr w:rsidR="002952ED" w:rsidRPr="002952ED" w14:paraId="1FEACB6A" w14:textId="77777777" w:rsidTr="004C0809">
        <w:trPr>
          <w:trHeight w:val="317"/>
        </w:trPr>
        <w:tc>
          <w:tcPr>
            <w:tcW w:w="555" w:type="dxa"/>
            <w:vMerge/>
            <w:vAlign w:val="center"/>
            <w:hideMark/>
          </w:tcPr>
          <w:p w14:paraId="2C8418AC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B34A3C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3D224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UNIPER SE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16999" w14:textId="5EA5D470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0CE71A" w14:textId="41A28285" w:rsidR="002952ED" w:rsidRPr="002952ED" w:rsidRDefault="00510938" w:rsidP="004C080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2952ED">
              <w:rPr>
                <w:rFonts w:cstheme="minorHAnsi"/>
                <w:sz w:val="20"/>
                <w:szCs w:val="20"/>
              </w:rPr>
              <w:t>éně něž 0,1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AA616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10 299 000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28B6F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18 116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BFB77" w14:textId="1AD3C70C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2020</w:t>
            </w:r>
            <w:r w:rsidR="00360164">
              <w:rPr>
                <w:rFonts w:cstheme="minorHAnsi"/>
                <w:sz w:val="20"/>
                <w:szCs w:val="20"/>
              </w:rPr>
              <w:t>–</w:t>
            </w:r>
            <w:r w:rsidRPr="002952ED">
              <w:rPr>
                <w:rFonts w:cstheme="minorHAnsi"/>
                <w:sz w:val="20"/>
                <w:szCs w:val="20"/>
              </w:rPr>
              <w:t>2022; 2024</w:t>
            </w:r>
          </w:p>
        </w:tc>
      </w:tr>
      <w:tr w:rsidR="002952ED" w:rsidRPr="002952ED" w14:paraId="71239116" w14:textId="77777777" w:rsidTr="004C0809">
        <w:trPr>
          <w:trHeight w:val="198"/>
        </w:trPr>
        <w:tc>
          <w:tcPr>
            <w:tcW w:w="555" w:type="dxa"/>
            <w:vMerge/>
            <w:vAlign w:val="center"/>
            <w:hideMark/>
          </w:tcPr>
          <w:p w14:paraId="0D8A6A6B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1343C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D9F77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SETUZA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B5E84" w14:textId="4987E296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A5AFF6" w14:textId="7D0C7C6A" w:rsidR="002952ED" w:rsidRPr="002952ED" w:rsidRDefault="00161E16" w:rsidP="004C080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2952ED" w:rsidRPr="002952ED">
              <w:rPr>
                <w:rFonts w:cstheme="minorHAnsi"/>
                <w:sz w:val="20"/>
                <w:szCs w:val="20"/>
              </w:rPr>
              <w:t>éně něž 0,1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5C718C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1 152 709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7CC107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61A15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43195900" w14:textId="77777777" w:rsidTr="004C0809">
        <w:trPr>
          <w:trHeight w:val="64"/>
        </w:trPr>
        <w:tc>
          <w:tcPr>
            <w:tcW w:w="555" w:type="dxa"/>
            <w:vMerge/>
            <w:vAlign w:val="center"/>
            <w:hideMark/>
          </w:tcPr>
          <w:p w14:paraId="7C81E3B0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08C9F4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86896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2952ED">
              <w:rPr>
                <w:rFonts w:cstheme="minorHAnsi"/>
                <w:sz w:val="20"/>
                <w:szCs w:val="20"/>
              </w:rPr>
              <w:t>Prefa</w:t>
            </w:r>
            <w:proofErr w:type="spellEnd"/>
            <w:r w:rsidRPr="002952ED">
              <w:rPr>
                <w:rFonts w:cstheme="minorHAnsi"/>
                <w:sz w:val="20"/>
                <w:szCs w:val="20"/>
              </w:rPr>
              <w:t xml:space="preserve"> Pardubice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11F41" w14:textId="630DEC3C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8D583" w14:textId="282CB235" w:rsidR="002952ED" w:rsidRPr="002952ED" w:rsidRDefault="00161E16" w:rsidP="004C080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2952ED" w:rsidRPr="002952ED">
              <w:rPr>
                <w:rFonts w:cstheme="minorHAnsi"/>
                <w:sz w:val="20"/>
                <w:szCs w:val="20"/>
              </w:rPr>
              <w:t>éně něž 0,1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3AE58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332 971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4692B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37E18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422DB45A" w14:textId="77777777" w:rsidTr="004C0809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3E783FA0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DA2CF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BB631" w14:textId="43F0E866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Slovácké vodárny a</w:t>
            </w:r>
            <w:r w:rsidR="00B37FB1">
              <w:rPr>
                <w:rFonts w:cstheme="minorHAnsi"/>
                <w:sz w:val="20"/>
                <w:szCs w:val="20"/>
              </w:rPr>
              <w:t> </w:t>
            </w:r>
            <w:r w:rsidRPr="002952ED">
              <w:rPr>
                <w:rFonts w:cstheme="minorHAnsi"/>
                <w:sz w:val="20"/>
                <w:szCs w:val="20"/>
              </w:rPr>
              <w:t>kanalizace,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94B39" w14:textId="55BD711F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77FE2" w14:textId="5FA9923E" w:rsidR="002952ED" w:rsidRPr="002952ED" w:rsidRDefault="00161E16" w:rsidP="004C080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2952ED" w:rsidRPr="002952ED">
              <w:rPr>
                <w:rFonts w:cstheme="minorHAnsi"/>
                <w:sz w:val="20"/>
                <w:szCs w:val="20"/>
              </w:rPr>
              <w:t>éně něž 0,1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1C117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886 732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96DD7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7ACD2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49C48F67" w14:textId="77777777" w:rsidTr="004C0809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6E6CC625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A7765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34491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VÍTKOVICE,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A5794" w14:textId="075C4884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E87A1" w14:textId="7A56AA52" w:rsidR="002952ED" w:rsidRPr="002952ED" w:rsidRDefault="00161E16" w:rsidP="004C080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2952ED" w:rsidRPr="002952ED">
              <w:rPr>
                <w:rFonts w:cstheme="minorHAnsi"/>
                <w:sz w:val="20"/>
                <w:szCs w:val="20"/>
              </w:rPr>
              <w:t>éně něž 0,1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61489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263 931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EBEEF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FB7A1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4361DE06" w14:textId="77777777" w:rsidTr="004C0809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14BE3C2F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7A1C7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62CCD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Vodovody a kanalizace Zlín,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1A8B0" w14:textId="69D0F8BC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13736" w14:textId="10E32256" w:rsidR="002952ED" w:rsidRPr="002952ED" w:rsidRDefault="00161E16" w:rsidP="004C080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2952ED" w:rsidRPr="002952ED">
              <w:rPr>
                <w:rFonts w:cstheme="minorHAnsi"/>
                <w:sz w:val="20"/>
                <w:szCs w:val="20"/>
              </w:rPr>
              <w:t>éně něž 0,1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FF333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1 030 294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1CA9D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6AFC5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72149A09" w14:textId="77777777" w:rsidTr="00161E16">
        <w:trPr>
          <w:trHeight w:val="434"/>
        </w:trPr>
        <w:tc>
          <w:tcPr>
            <w:tcW w:w="555" w:type="dxa"/>
            <w:vMerge/>
            <w:vAlign w:val="center"/>
            <w:hideMark/>
          </w:tcPr>
          <w:p w14:paraId="1C8F74A2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A2645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B007A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LINETA Severočeská dřevařská společnost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E393D" w14:textId="74A8EF24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6A8BB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0,23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40A63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106 545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F6CEE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2AEB0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59EF1FB2" w14:textId="77777777" w:rsidTr="004C0809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1B662E1A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36566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5DE9C" w14:textId="4AC86FFC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ORLIČAN, a.s., v</w:t>
            </w:r>
            <w:r w:rsidR="00B37FB1">
              <w:rPr>
                <w:rFonts w:cstheme="minorHAnsi"/>
                <w:sz w:val="20"/>
                <w:szCs w:val="20"/>
              </w:rPr>
              <w:t> </w:t>
            </w:r>
            <w:r w:rsidRPr="002952ED">
              <w:rPr>
                <w:rFonts w:cstheme="minorHAnsi"/>
                <w:sz w:val="20"/>
                <w:szCs w:val="20"/>
              </w:rPr>
              <w:t>likvidaci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9D760" w14:textId="0FEB373C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8230B" w14:textId="12760395" w:rsidR="002952ED" w:rsidRPr="002952ED" w:rsidRDefault="00510938" w:rsidP="004C080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2952ED">
              <w:rPr>
                <w:rFonts w:cstheme="minorHAnsi"/>
                <w:sz w:val="20"/>
                <w:szCs w:val="20"/>
              </w:rPr>
              <w:t>éně něž 0,1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51412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48 858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9FBD6B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2ABA1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407E771A" w14:textId="77777777" w:rsidTr="00161E16">
        <w:trPr>
          <w:trHeight w:val="213"/>
        </w:trPr>
        <w:tc>
          <w:tcPr>
            <w:tcW w:w="555" w:type="dxa"/>
            <w:vMerge/>
            <w:vAlign w:val="center"/>
            <w:hideMark/>
          </w:tcPr>
          <w:p w14:paraId="459FD232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F9C89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4FB7A" w14:textId="4D5F2442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HEXA PLUS, a.s. v</w:t>
            </w:r>
            <w:r w:rsidR="00B37FB1">
              <w:rPr>
                <w:rFonts w:cstheme="minorHAnsi"/>
                <w:sz w:val="20"/>
                <w:szCs w:val="20"/>
              </w:rPr>
              <w:t> </w:t>
            </w:r>
            <w:r w:rsidRPr="002952ED">
              <w:rPr>
                <w:rFonts w:cstheme="minorHAnsi"/>
                <w:sz w:val="20"/>
                <w:szCs w:val="20"/>
              </w:rPr>
              <w:t>likvidaci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04AA4" w14:textId="4DB2B5B7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C4ED1" w14:textId="13E1235C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3</w:t>
            </w:r>
            <w:r w:rsidR="00161E16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88E94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70 333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297C3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4DF11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280E8EE6" w14:textId="77777777" w:rsidTr="00161E16">
        <w:trPr>
          <w:trHeight w:val="43"/>
        </w:trPr>
        <w:tc>
          <w:tcPr>
            <w:tcW w:w="555" w:type="dxa"/>
            <w:vMerge/>
            <w:vAlign w:val="center"/>
            <w:hideMark/>
          </w:tcPr>
          <w:p w14:paraId="4EABF7D0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EB876" w14:textId="77777777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74ECD" w14:textId="0559801E" w:rsidR="002952ED" w:rsidRPr="002952ED" w:rsidRDefault="002952ED" w:rsidP="000517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 xml:space="preserve">MCI HOLDING a.s. </w:t>
            </w:r>
            <w:r w:rsidR="00B37FB1">
              <w:rPr>
                <w:rFonts w:cstheme="minorHAnsi"/>
                <w:sz w:val="20"/>
                <w:szCs w:val="20"/>
              </w:rPr>
              <w:t>–</w:t>
            </w:r>
            <w:r w:rsidRPr="002952ED">
              <w:rPr>
                <w:rFonts w:cstheme="minorHAnsi"/>
                <w:sz w:val="20"/>
                <w:szCs w:val="20"/>
              </w:rPr>
              <w:t xml:space="preserve"> v</w:t>
            </w:r>
            <w:r w:rsidR="00B37FB1">
              <w:rPr>
                <w:rFonts w:cstheme="minorHAnsi"/>
                <w:sz w:val="20"/>
                <w:szCs w:val="20"/>
              </w:rPr>
              <w:t> </w:t>
            </w:r>
            <w:r w:rsidRPr="002952ED">
              <w:rPr>
                <w:rFonts w:cstheme="minorHAnsi"/>
                <w:sz w:val="20"/>
                <w:szCs w:val="20"/>
              </w:rPr>
              <w:t>likvidaci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6D057" w14:textId="5BF1FACE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3401E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7,05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CFA6AC" w14:textId="77777777" w:rsidR="002952ED" w:rsidRPr="002952ED" w:rsidRDefault="002952ED" w:rsidP="003968C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993 562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A045A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5D1CE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3FD021A0" w14:textId="77777777" w:rsidTr="00161E16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518CD6D5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A9BF2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D6256" w14:textId="7633F0E2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HOLDING KLADNO a.s. "v likvidaci"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26BC4" w14:textId="6D2F9C0E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CEE9B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96,85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A972F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7 500 000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6CEFA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DF0BB0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04FF66F3" w14:textId="77777777" w:rsidTr="00161E16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2EA6C3EE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73BE8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200D4" w14:textId="05DF494A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GALILEO REAL, k.s.</w:t>
            </w:r>
            <w:r w:rsidR="00B37FB1">
              <w:rPr>
                <w:rFonts w:cstheme="minorHAnsi"/>
                <w:sz w:val="20"/>
                <w:szCs w:val="20"/>
              </w:rPr>
              <w:t>,</w:t>
            </w:r>
            <w:r w:rsidRPr="002952ED">
              <w:rPr>
                <w:rFonts w:cstheme="minorHAnsi"/>
                <w:sz w:val="20"/>
                <w:szCs w:val="20"/>
              </w:rPr>
              <w:t xml:space="preserve"> v</w:t>
            </w:r>
            <w:r w:rsidR="00B37FB1">
              <w:rPr>
                <w:rFonts w:cstheme="minorHAnsi"/>
                <w:sz w:val="20"/>
                <w:szCs w:val="20"/>
              </w:rPr>
              <w:t> </w:t>
            </w:r>
            <w:r w:rsidRPr="002952ED">
              <w:rPr>
                <w:rFonts w:cstheme="minorHAnsi"/>
                <w:sz w:val="20"/>
                <w:szCs w:val="20"/>
              </w:rPr>
              <w:t>likvidaci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6C525" w14:textId="5682C284" w:rsidR="002952ED" w:rsidRPr="002952ED" w:rsidRDefault="00161E16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5E726" w14:textId="18B0A601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161E16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153F4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2 466 010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E857F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76 794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F4020D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4AF2A911" w14:textId="77777777" w:rsidTr="00161E16">
        <w:trPr>
          <w:trHeight w:val="300"/>
        </w:trPr>
        <w:tc>
          <w:tcPr>
            <w:tcW w:w="555" w:type="dxa"/>
            <w:vMerge w:val="restart"/>
            <w:vAlign w:val="center"/>
            <w:hideMark/>
          </w:tcPr>
          <w:p w14:paraId="551D18F2" w14:textId="4221C785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MF</w:t>
            </w: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2DD3F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E91D9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IMOB a.s. v likvidaci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E3B7A" w14:textId="716D1E7D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AC84B9" w14:textId="75337642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161E16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C7909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2 200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C2136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22 897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317BF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7A24533B" w14:textId="77777777" w:rsidTr="00161E16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5A4CD13C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3BF64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23BF1" w14:textId="0AD0919A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ZPS, a.s.</w:t>
            </w:r>
            <w:r w:rsidR="00360164">
              <w:rPr>
                <w:rFonts w:cstheme="minorHAnsi"/>
                <w:sz w:val="20"/>
                <w:szCs w:val="20"/>
              </w:rPr>
              <w:t>,</w:t>
            </w:r>
            <w:r w:rsidRPr="002952ED">
              <w:rPr>
                <w:rFonts w:cstheme="minorHAnsi"/>
                <w:sz w:val="20"/>
                <w:szCs w:val="20"/>
              </w:rPr>
              <w:t xml:space="preserve"> v likvidaci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25382" w14:textId="023787C4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A7C98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5,63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6A88F1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441 558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46874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82159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7614D763" w14:textId="77777777" w:rsidTr="004C0809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5E9A0108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680D2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8EE3A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Harvardský průmyslový holding,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7FD29" w14:textId="77777777" w:rsidR="002952ED" w:rsidRPr="002952ED" w:rsidRDefault="002952ED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802C9" w14:textId="790F6C6A" w:rsidR="002952ED" w:rsidRPr="002952ED" w:rsidRDefault="00510938" w:rsidP="004C080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2952ED">
              <w:rPr>
                <w:rFonts w:cstheme="minorHAnsi"/>
                <w:sz w:val="20"/>
                <w:szCs w:val="20"/>
              </w:rPr>
              <w:t>éně něž 0,1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F9A49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45 339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E9E03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0BB78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67A6B3F6" w14:textId="77777777" w:rsidTr="00161E16">
        <w:trPr>
          <w:trHeight w:val="300"/>
        </w:trPr>
        <w:tc>
          <w:tcPr>
            <w:tcW w:w="981" w:type="dxa"/>
            <w:gridSpan w:val="2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06171" w14:textId="72875F75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Součet MF</w:t>
            </w:r>
          </w:p>
        </w:tc>
        <w:tc>
          <w:tcPr>
            <w:tcW w:w="3974" w:type="dxa"/>
            <w:gridSpan w:val="3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6ECF0" w14:textId="7A525BCC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C9892" w14:textId="730D6B79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</w:t>
            </w:r>
            <w:r w:rsidR="00EF0B7F">
              <w:rPr>
                <w:rFonts w:cstheme="minorHAnsi"/>
                <w:sz w:val="20"/>
                <w:szCs w:val="20"/>
              </w:rPr>
              <w:t>8 05</w:t>
            </w:r>
            <w:r w:rsidR="00D220FE">
              <w:rPr>
                <w:rFonts w:cstheme="minorHAnsi"/>
                <w:sz w:val="20"/>
                <w:szCs w:val="20"/>
              </w:rPr>
              <w:t>3</w:t>
            </w:r>
            <w:r w:rsidR="00EF0B7F">
              <w:rPr>
                <w:rFonts w:cstheme="minorHAnsi"/>
                <w:sz w:val="20"/>
                <w:szCs w:val="20"/>
              </w:rPr>
              <w:t xml:space="preserve"> 107</w:t>
            </w:r>
          </w:p>
        </w:tc>
        <w:tc>
          <w:tcPr>
            <w:tcW w:w="170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5C34D" w14:textId="1AFF070A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97 012 351*</w:t>
            </w:r>
          </w:p>
        </w:tc>
        <w:tc>
          <w:tcPr>
            <w:tcW w:w="1276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22588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7E8E82FA" w14:textId="77777777" w:rsidTr="00161E16">
        <w:trPr>
          <w:trHeight w:val="300"/>
        </w:trPr>
        <w:tc>
          <w:tcPr>
            <w:tcW w:w="55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2D13E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MPO</w:t>
            </w: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1E813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115B7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ČEPS,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AF99B" w14:textId="2760227A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666E7" w14:textId="2029DC5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161E16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6A394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10 534 883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E41C1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13 097 594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D4C8D" w14:textId="2E17659C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2020</w:t>
            </w:r>
            <w:r w:rsidR="00360164">
              <w:rPr>
                <w:rFonts w:cstheme="minorHAnsi"/>
                <w:sz w:val="20"/>
                <w:szCs w:val="20"/>
              </w:rPr>
              <w:t>–</w:t>
            </w:r>
            <w:r w:rsidRPr="002952ED">
              <w:rPr>
                <w:rFonts w:cstheme="minorHAnsi"/>
                <w:sz w:val="20"/>
                <w:szCs w:val="20"/>
              </w:rPr>
              <w:t>2024</w:t>
            </w:r>
          </w:p>
        </w:tc>
      </w:tr>
      <w:tr w:rsidR="002952ED" w:rsidRPr="002952ED" w14:paraId="7DA9102C" w14:textId="77777777" w:rsidTr="00161E16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3C43B525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91DE4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C7851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OTE,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B06FA7" w14:textId="52A1E07F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8244D" w14:textId="23ABB90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161E16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56527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1 000 000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67870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80 000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73068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2024</w:t>
            </w:r>
          </w:p>
        </w:tc>
      </w:tr>
      <w:tr w:rsidR="002952ED" w:rsidRPr="002952ED" w14:paraId="3039141A" w14:textId="77777777" w:rsidTr="00161E16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59DE54B4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46CCF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F1EDC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NRB,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3FB9B6" w14:textId="272E4546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44226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33,53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A8D22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2 631 626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54FAE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875 070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EA97D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127D15F2" w14:textId="77777777" w:rsidTr="00161E16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18C4EE4F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6FD67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434CD" w14:textId="41ACF940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2952ED">
              <w:rPr>
                <w:rFonts w:cstheme="minorHAnsi"/>
                <w:sz w:val="20"/>
                <w:szCs w:val="20"/>
              </w:rPr>
              <w:t>Explosia</w:t>
            </w:r>
            <w:proofErr w:type="spellEnd"/>
            <w:r w:rsidRPr="002952ED">
              <w:rPr>
                <w:rFonts w:cstheme="minorHAnsi"/>
                <w:sz w:val="20"/>
                <w:szCs w:val="20"/>
              </w:rPr>
              <w:t xml:space="preserve">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A9B40" w14:textId="35245FCE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2CCFA" w14:textId="696F5D33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161E16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E6DC9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1 434 000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67F20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737 343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7D6EC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6709F30D" w14:textId="77777777" w:rsidTr="00161E16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63BFA234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E950F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93711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SIRS,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72601D" w14:textId="4F7C1F5A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E29AE" w14:textId="36520279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161E16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1B679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150 000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23DFC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150 000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0DA78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571D55" w:rsidRPr="002952ED" w14:paraId="6970AAAE" w14:textId="77777777" w:rsidTr="00161E16">
        <w:trPr>
          <w:trHeight w:val="300"/>
        </w:trPr>
        <w:tc>
          <w:tcPr>
            <w:tcW w:w="981" w:type="dxa"/>
            <w:gridSpan w:val="2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1D3C4" w14:textId="308EA930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Součet MPO</w:t>
            </w:r>
          </w:p>
        </w:tc>
        <w:tc>
          <w:tcPr>
            <w:tcW w:w="1984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5E19F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D34F4" w14:textId="44988CEE" w:rsidR="002952ED" w:rsidRPr="002952ED" w:rsidRDefault="002952ED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E54437" w14:textId="76967DAC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6DF13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15 750 509</w:t>
            </w:r>
          </w:p>
        </w:tc>
        <w:tc>
          <w:tcPr>
            <w:tcW w:w="170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8C7BA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14 940 007</w:t>
            </w:r>
          </w:p>
        </w:tc>
        <w:tc>
          <w:tcPr>
            <w:tcW w:w="1276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2ECBC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0275E6F7" w14:textId="77777777" w:rsidTr="00161E16">
        <w:trPr>
          <w:trHeight w:val="300"/>
        </w:trPr>
        <w:tc>
          <w:tcPr>
            <w:tcW w:w="55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50D2DE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2952ED">
              <w:rPr>
                <w:rFonts w:cstheme="minorHAnsi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65994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74ED2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PGRLF,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78FC7" w14:textId="67CB9E67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395B2" w14:textId="1B09F05E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161E16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27D51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500 000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E7A59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1 000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86DB7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7F58F6A4" w14:textId="77777777" w:rsidTr="00161E16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002A5146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7C9F1B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0B3E2" w14:textId="23E2E7E4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Státní zkušebna strojů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1B01A" w14:textId="0988C60A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2952ED" w:rsidRPr="002952ED">
              <w:rPr>
                <w:rFonts w:cstheme="minorHAnsi"/>
                <w:sz w:val="20"/>
                <w:szCs w:val="20"/>
              </w:rPr>
              <w:t>odpůrná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DCED4" w14:textId="7BEA4F90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161E16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47EBE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197 500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EF3629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197 500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D9564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181779A4" w14:textId="77777777" w:rsidTr="004C0809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12FADF34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1777A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155E3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Českomoravská společnost chovatelů,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8EC1D" w14:textId="5F222155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952ED" w:rsidRPr="002952ED">
              <w:rPr>
                <w:rFonts w:cstheme="minorHAnsi"/>
                <w:sz w:val="20"/>
                <w:szCs w:val="20"/>
              </w:rPr>
              <w:t>trategická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6D7C0" w14:textId="5FBF1C03" w:rsidR="002952ED" w:rsidRPr="002952ED" w:rsidRDefault="00510938" w:rsidP="004C080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2952ED">
              <w:rPr>
                <w:rFonts w:cstheme="minorHAnsi"/>
                <w:sz w:val="20"/>
                <w:szCs w:val="20"/>
              </w:rPr>
              <w:t>éně něž 0,1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F919B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58 464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1AB44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4463E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05DE96C7" w14:textId="77777777" w:rsidTr="00161E16">
        <w:trPr>
          <w:trHeight w:val="300"/>
        </w:trPr>
        <w:tc>
          <w:tcPr>
            <w:tcW w:w="555" w:type="dxa"/>
            <w:vMerge/>
            <w:vAlign w:val="center"/>
            <w:hideMark/>
          </w:tcPr>
          <w:p w14:paraId="57A23622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3A0FA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35C80" w14:textId="51AE11B6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Jihomoravské pivovary, a.s.</w:t>
            </w:r>
            <w:r w:rsidR="00360164">
              <w:rPr>
                <w:rFonts w:cstheme="minorHAnsi"/>
                <w:sz w:val="20"/>
                <w:szCs w:val="20"/>
              </w:rPr>
              <w:t>,</w:t>
            </w:r>
            <w:r w:rsidRPr="002952ED">
              <w:rPr>
                <w:rFonts w:cstheme="minorHAnsi"/>
                <w:sz w:val="20"/>
                <w:szCs w:val="20"/>
              </w:rPr>
              <w:t xml:space="preserve"> v likvidaci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4097DA" w14:textId="3B65A075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E820D" w14:textId="00746560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100</w:t>
            </w:r>
            <w:r w:rsidR="00161E16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0104E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50 040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E432C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16 680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3C9B9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1203FE67" w14:textId="77777777" w:rsidTr="004C0809">
        <w:trPr>
          <w:trHeight w:val="239"/>
        </w:trPr>
        <w:tc>
          <w:tcPr>
            <w:tcW w:w="5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AF83B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4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1C228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224064" w14:textId="77777777" w:rsidR="002952ED" w:rsidRPr="002952ED" w:rsidRDefault="002952ED" w:rsidP="00295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SETUZA a.s.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CF739" w14:textId="44C97588" w:rsidR="002952ED" w:rsidRPr="002952ED" w:rsidRDefault="00360164" w:rsidP="0036016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2952ED" w:rsidRPr="002952ED">
              <w:rPr>
                <w:rFonts w:cstheme="minorHAnsi"/>
                <w:sz w:val="20"/>
                <w:szCs w:val="20"/>
              </w:rPr>
              <w:t>bytná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516B4" w14:textId="7FAEB1C0" w:rsidR="002952ED" w:rsidRPr="002952ED" w:rsidRDefault="00360164" w:rsidP="004C080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2952ED" w:rsidRPr="002952ED">
              <w:rPr>
                <w:rFonts w:cstheme="minorHAnsi"/>
                <w:sz w:val="20"/>
                <w:szCs w:val="20"/>
              </w:rPr>
              <w:t>éně něž 0,1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4DECA" w14:textId="77777777" w:rsidR="002952ED" w:rsidRPr="002952ED" w:rsidRDefault="002952ED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1 152 709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3DEB2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3417C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571D55" w:rsidRPr="002952ED" w14:paraId="07B11EC4" w14:textId="77777777" w:rsidTr="00161E16">
        <w:trPr>
          <w:trHeight w:val="397"/>
        </w:trPr>
        <w:tc>
          <w:tcPr>
            <w:tcW w:w="981" w:type="dxa"/>
            <w:gridSpan w:val="2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304C9" w14:textId="241ABF68" w:rsidR="002952ED" w:rsidRPr="002952ED" w:rsidRDefault="002952ED" w:rsidP="00161E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 xml:space="preserve">Součet </w:t>
            </w:r>
            <w:proofErr w:type="spellStart"/>
            <w:r w:rsidRPr="002952ED">
              <w:rPr>
                <w:rFonts w:cstheme="minorHAnsi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3974" w:type="dxa"/>
            <w:gridSpan w:val="3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B6A88" w14:textId="77777777" w:rsidR="002952ED" w:rsidRPr="002952ED" w:rsidRDefault="002952ED" w:rsidP="008F37AA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32E99B" w14:textId="36A6EB92" w:rsidR="002952ED" w:rsidRPr="002952ED" w:rsidRDefault="00EF0B7F" w:rsidP="002952ED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216B1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958</w:t>
            </w:r>
            <w:r w:rsidR="002216B1">
              <w:rPr>
                <w:rFonts w:cstheme="minorHAnsi"/>
                <w:sz w:val="20"/>
                <w:szCs w:val="20"/>
              </w:rPr>
              <w:t xml:space="preserve"> 713</w:t>
            </w:r>
          </w:p>
        </w:tc>
        <w:tc>
          <w:tcPr>
            <w:tcW w:w="170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89F12" w14:textId="77777777" w:rsidR="002952ED" w:rsidRPr="002952ED" w:rsidRDefault="002952ED" w:rsidP="008E0099">
            <w:pPr>
              <w:spacing w:after="0"/>
              <w:ind w:right="113"/>
              <w:jc w:val="right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215 184</w:t>
            </w:r>
          </w:p>
        </w:tc>
        <w:tc>
          <w:tcPr>
            <w:tcW w:w="1276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B657C" w14:textId="77777777" w:rsidR="002952ED" w:rsidRPr="002952ED" w:rsidRDefault="002952ED" w:rsidP="008B44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952E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952ED" w:rsidRPr="002952ED" w14:paraId="0AE6960E" w14:textId="77777777" w:rsidTr="00161E16">
        <w:trPr>
          <w:trHeight w:val="535"/>
        </w:trPr>
        <w:tc>
          <w:tcPr>
            <w:tcW w:w="981" w:type="dxa"/>
            <w:gridSpan w:val="2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DF8BE" w14:textId="7F23C5A1" w:rsidR="002952ED" w:rsidRPr="00161E16" w:rsidRDefault="002952ED" w:rsidP="002952ED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161E16">
              <w:rPr>
                <w:rFonts w:cstheme="minorHAnsi"/>
                <w:b/>
                <w:bCs/>
                <w:sz w:val="20"/>
                <w:szCs w:val="20"/>
              </w:rPr>
              <w:t>Součet celkem</w:t>
            </w:r>
          </w:p>
        </w:tc>
        <w:tc>
          <w:tcPr>
            <w:tcW w:w="3974" w:type="dxa"/>
            <w:gridSpan w:val="3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C7FFF" w14:textId="77777777" w:rsidR="002952ED" w:rsidRPr="00161E16" w:rsidRDefault="002952ED" w:rsidP="008F37AA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61E1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70D7C" w14:textId="64E0FC70" w:rsidR="002952ED" w:rsidRPr="00161E16" w:rsidRDefault="002952ED" w:rsidP="002952ED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61E16">
              <w:rPr>
                <w:rFonts w:cstheme="minorHAnsi"/>
                <w:b/>
                <w:bCs/>
                <w:sz w:val="20"/>
                <w:szCs w:val="20"/>
              </w:rPr>
              <w:t>22</w:t>
            </w:r>
            <w:r w:rsidR="002216B1" w:rsidRPr="00161E16">
              <w:rPr>
                <w:rFonts w:cstheme="minorHAnsi"/>
                <w:b/>
                <w:bCs/>
                <w:sz w:val="20"/>
                <w:szCs w:val="20"/>
              </w:rPr>
              <w:t>5 76</w:t>
            </w:r>
            <w:r w:rsidR="00D220FE" w:rsidRPr="00161E1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2216B1" w:rsidRPr="00161E16">
              <w:rPr>
                <w:rFonts w:cstheme="minorHAnsi"/>
                <w:b/>
                <w:bCs/>
                <w:sz w:val="20"/>
                <w:szCs w:val="20"/>
              </w:rPr>
              <w:t xml:space="preserve"> 329</w:t>
            </w:r>
          </w:p>
        </w:tc>
        <w:tc>
          <w:tcPr>
            <w:tcW w:w="170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0D4290" w14:textId="37DCA042" w:rsidR="002952ED" w:rsidRPr="00161E16" w:rsidRDefault="002952ED" w:rsidP="002952ED">
            <w:pPr>
              <w:spacing w:after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61E16">
              <w:rPr>
                <w:rFonts w:cstheme="minorHAnsi"/>
                <w:b/>
                <w:bCs/>
                <w:sz w:val="20"/>
                <w:szCs w:val="20"/>
              </w:rPr>
              <w:t>112 167</w:t>
            </w:r>
            <w:r w:rsidR="002216B1" w:rsidRPr="00161E16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161E16">
              <w:rPr>
                <w:rFonts w:cstheme="minorHAnsi"/>
                <w:b/>
                <w:bCs/>
                <w:sz w:val="20"/>
                <w:szCs w:val="20"/>
              </w:rPr>
              <w:t>543</w:t>
            </w:r>
            <w:r w:rsidR="002216B1" w:rsidRPr="00161E16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F532D" w14:textId="77777777" w:rsidR="002952ED" w:rsidRPr="00161E16" w:rsidRDefault="002952ED" w:rsidP="008B4407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1E1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</w:tbl>
    <w:p w14:paraId="18CF95DA" w14:textId="25DF0443" w:rsidR="005B77B3" w:rsidRPr="002952ED" w:rsidRDefault="007F68A4" w:rsidP="008B4407">
      <w:pPr>
        <w:spacing w:before="40" w:after="0"/>
        <w:ind w:left="567" w:hanging="567"/>
        <w:jc w:val="both"/>
        <w:rPr>
          <w:i/>
          <w:iCs/>
          <w:sz w:val="20"/>
          <w:szCs w:val="20"/>
        </w:rPr>
      </w:pPr>
      <w:r w:rsidRPr="00B37FB1">
        <w:rPr>
          <w:b/>
          <w:bCs/>
          <w:sz w:val="20"/>
          <w:szCs w:val="20"/>
        </w:rPr>
        <w:t xml:space="preserve">Zdroj: </w:t>
      </w:r>
      <w:r w:rsidR="004F4C0B">
        <w:rPr>
          <w:sz w:val="20"/>
          <w:szCs w:val="20"/>
        </w:rPr>
        <w:t>v</w:t>
      </w:r>
      <w:r w:rsidRPr="002952ED">
        <w:rPr>
          <w:sz w:val="20"/>
          <w:szCs w:val="20"/>
        </w:rPr>
        <w:t xml:space="preserve">ýroční zprávy obchodních společností </w:t>
      </w:r>
      <w:r w:rsidR="004F4C0B">
        <w:rPr>
          <w:sz w:val="20"/>
          <w:szCs w:val="20"/>
        </w:rPr>
        <w:t xml:space="preserve">za rok </w:t>
      </w:r>
      <w:r w:rsidRPr="002952ED">
        <w:rPr>
          <w:sz w:val="20"/>
          <w:szCs w:val="20"/>
        </w:rPr>
        <w:t xml:space="preserve">2024, </w:t>
      </w:r>
      <w:r w:rsidR="00D15B6F">
        <w:rPr>
          <w:sz w:val="20"/>
          <w:szCs w:val="20"/>
        </w:rPr>
        <w:t>z</w:t>
      </w:r>
      <w:r w:rsidRPr="002952ED">
        <w:rPr>
          <w:sz w:val="20"/>
          <w:szCs w:val="20"/>
        </w:rPr>
        <w:t xml:space="preserve">práva o činnosti 2024, </w:t>
      </w:r>
      <w:r w:rsidR="00B37FB1">
        <w:rPr>
          <w:sz w:val="20"/>
          <w:szCs w:val="20"/>
        </w:rPr>
        <w:t>z</w:t>
      </w:r>
      <w:r w:rsidRPr="002952ED">
        <w:rPr>
          <w:sz w:val="20"/>
          <w:szCs w:val="20"/>
        </w:rPr>
        <w:t xml:space="preserve">práva o plnění Strategie 2024, </w:t>
      </w:r>
      <w:r w:rsidR="00F95D41" w:rsidRPr="002952ED">
        <w:rPr>
          <w:sz w:val="20"/>
          <w:szCs w:val="20"/>
        </w:rPr>
        <w:t>údaje</w:t>
      </w:r>
      <w:r w:rsidR="00D12E96" w:rsidRPr="002952ED">
        <w:rPr>
          <w:sz w:val="20"/>
          <w:szCs w:val="20"/>
        </w:rPr>
        <w:t xml:space="preserve"> poskytnut</w:t>
      </w:r>
      <w:r w:rsidR="00F95D41" w:rsidRPr="002952ED">
        <w:rPr>
          <w:sz w:val="20"/>
          <w:szCs w:val="20"/>
        </w:rPr>
        <w:t>é</w:t>
      </w:r>
      <w:r w:rsidR="00364C1B" w:rsidRPr="002952ED">
        <w:rPr>
          <w:sz w:val="20"/>
          <w:szCs w:val="20"/>
        </w:rPr>
        <w:t xml:space="preserve"> MF, MPO a </w:t>
      </w:r>
      <w:proofErr w:type="spellStart"/>
      <w:r w:rsidR="00364C1B" w:rsidRPr="002952ED">
        <w:rPr>
          <w:sz w:val="20"/>
          <w:szCs w:val="20"/>
        </w:rPr>
        <w:t>MZe</w:t>
      </w:r>
      <w:proofErr w:type="spellEnd"/>
      <w:r w:rsidR="00B37FB1">
        <w:rPr>
          <w:sz w:val="20"/>
          <w:szCs w:val="20"/>
        </w:rPr>
        <w:t>.</w:t>
      </w:r>
      <w:r w:rsidR="00364C1B" w:rsidRPr="002952ED">
        <w:rPr>
          <w:sz w:val="20"/>
          <w:szCs w:val="20"/>
        </w:rPr>
        <w:t xml:space="preserve">  </w:t>
      </w:r>
    </w:p>
    <w:p w14:paraId="62E6AF2B" w14:textId="0725A235" w:rsidR="008572F7" w:rsidRPr="002952ED" w:rsidRDefault="008572F7" w:rsidP="008B4407">
      <w:pPr>
        <w:spacing w:after="0"/>
        <w:ind w:left="284" w:hanging="284"/>
        <w:jc w:val="both"/>
        <w:rPr>
          <w:sz w:val="20"/>
          <w:szCs w:val="20"/>
        </w:rPr>
      </w:pPr>
      <w:r w:rsidRPr="002952ED">
        <w:rPr>
          <w:sz w:val="20"/>
          <w:szCs w:val="20"/>
        </w:rPr>
        <w:t xml:space="preserve">* </w:t>
      </w:r>
      <w:r w:rsidR="008B4407">
        <w:rPr>
          <w:sz w:val="20"/>
          <w:szCs w:val="20"/>
        </w:rPr>
        <w:tab/>
      </w:r>
      <w:r w:rsidRPr="002952ED">
        <w:rPr>
          <w:sz w:val="20"/>
          <w:szCs w:val="20"/>
        </w:rPr>
        <w:t>Součet neobsahuje účetní hodnotu majetkových účastí státu v</w:t>
      </w:r>
      <w:r w:rsidR="00597480" w:rsidRPr="002952ED">
        <w:rPr>
          <w:sz w:val="20"/>
          <w:szCs w:val="20"/>
        </w:rPr>
        <w:t> sedmi subjektech</w:t>
      </w:r>
      <w:r w:rsidRPr="002952ED">
        <w:rPr>
          <w:sz w:val="20"/>
          <w:szCs w:val="20"/>
        </w:rPr>
        <w:t xml:space="preserve">, které MF nevykazuje ve </w:t>
      </w:r>
      <w:r w:rsidR="00B37FB1">
        <w:rPr>
          <w:sz w:val="20"/>
          <w:szCs w:val="20"/>
        </w:rPr>
        <w:t>z</w:t>
      </w:r>
      <w:r w:rsidRPr="002952ED">
        <w:rPr>
          <w:sz w:val="20"/>
          <w:szCs w:val="20"/>
        </w:rPr>
        <w:t>právách o plnění</w:t>
      </w:r>
      <w:r w:rsidR="00B37FB1">
        <w:rPr>
          <w:sz w:val="20"/>
          <w:szCs w:val="20"/>
        </w:rPr>
        <w:t xml:space="preserve"> Strategie</w:t>
      </w:r>
      <w:r w:rsidR="00330523" w:rsidRPr="002952ED">
        <w:rPr>
          <w:sz w:val="20"/>
          <w:szCs w:val="20"/>
        </w:rPr>
        <w:t>,</w:t>
      </w:r>
      <w:r w:rsidRPr="002952ED">
        <w:rPr>
          <w:sz w:val="20"/>
          <w:szCs w:val="20"/>
        </w:rPr>
        <w:t xml:space="preserve"> v celkové hodnotě 14 862 981 tis. Kč. Jedná se o </w:t>
      </w:r>
      <w:r w:rsidR="00151FF6" w:rsidRPr="002952ED">
        <w:rPr>
          <w:sz w:val="20"/>
          <w:szCs w:val="20"/>
        </w:rPr>
        <w:t>Evropskou banku pro obnovu a</w:t>
      </w:r>
      <w:r w:rsidR="004C0809">
        <w:rPr>
          <w:sz w:val="20"/>
          <w:szCs w:val="20"/>
        </w:rPr>
        <w:t> </w:t>
      </w:r>
      <w:r w:rsidR="00151FF6" w:rsidRPr="002952ED">
        <w:rPr>
          <w:sz w:val="20"/>
          <w:szCs w:val="20"/>
        </w:rPr>
        <w:t>rozvoj, Evropskou investiční banku, Rozvojovou banku Rady Evropy, Mezinárodní banku pro obnovu a</w:t>
      </w:r>
      <w:r w:rsidR="00B37FB1">
        <w:rPr>
          <w:sz w:val="20"/>
          <w:szCs w:val="20"/>
        </w:rPr>
        <w:t> </w:t>
      </w:r>
      <w:r w:rsidR="00151FF6" w:rsidRPr="002952ED">
        <w:rPr>
          <w:sz w:val="20"/>
          <w:szCs w:val="20"/>
        </w:rPr>
        <w:t>rozvoj, Mnohostrannou agenturu pro investiční záruky, Mezinárodní finanční korporace, United</w:t>
      </w:r>
      <w:r w:rsidR="00597480" w:rsidRPr="002952ED">
        <w:rPr>
          <w:sz w:val="20"/>
          <w:szCs w:val="20"/>
        </w:rPr>
        <w:t xml:space="preserve"> </w:t>
      </w:r>
      <w:proofErr w:type="spellStart"/>
      <w:r w:rsidR="00151FF6" w:rsidRPr="002952ED">
        <w:rPr>
          <w:sz w:val="20"/>
          <w:szCs w:val="20"/>
        </w:rPr>
        <w:t>States</w:t>
      </w:r>
      <w:proofErr w:type="spellEnd"/>
      <w:r w:rsidR="00151FF6" w:rsidRPr="002952ED">
        <w:rPr>
          <w:sz w:val="20"/>
          <w:szCs w:val="20"/>
        </w:rPr>
        <w:t xml:space="preserve"> Steel </w:t>
      </w:r>
      <w:proofErr w:type="spellStart"/>
      <w:r w:rsidR="00151FF6" w:rsidRPr="002952ED">
        <w:rPr>
          <w:sz w:val="20"/>
          <w:szCs w:val="20"/>
        </w:rPr>
        <w:t>Corporation</w:t>
      </w:r>
      <w:proofErr w:type="spellEnd"/>
      <w:r w:rsidRPr="002952ED">
        <w:rPr>
          <w:sz w:val="20"/>
          <w:szCs w:val="20"/>
        </w:rPr>
        <w:t>. Jejich hodnota je zahrnuta do kontrolovaného objemu.</w:t>
      </w:r>
    </w:p>
    <w:p w14:paraId="46ABB42D" w14:textId="7FEA84C7" w:rsidR="00B53EEB" w:rsidRPr="002952ED" w:rsidRDefault="00B53EEB" w:rsidP="008B4407">
      <w:p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B37FB1">
        <w:rPr>
          <w:b/>
          <w:bCs/>
          <w:sz w:val="20"/>
          <w:szCs w:val="20"/>
        </w:rPr>
        <w:t>Pozn.:</w:t>
      </w:r>
      <w:r w:rsidRPr="002952ED">
        <w:rPr>
          <w:sz w:val="20"/>
          <w:szCs w:val="20"/>
        </w:rPr>
        <w:t xml:space="preserve"> V tabulce může dojít k drobným odchylkám z důvodu zaokrouhlování</w:t>
      </w:r>
      <w:r w:rsidR="00B37FB1">
        <w:rPr>
          <w:sz w:val="20"/>
          <w:szCs w:val="20"/>
        </w:rPr>
        <w:t>.</w:t>
      </w:r>
    </w:p>
    <w:p w14:paraId="69A91C63" w14:textId="77777777" w:rsidR="00B53EEB" w:rsidRPr="002952ED" w:rsidRDefault="00B53EEB" w:rsidP="005B77B3">
      <w:pPr>
        <w:spacing w:after="0"/>
        <w:jc w:val="both"/>
        <w:rPr>
          <w:sz w:val="20"/>
          <w:szCs w:val="20"/>
        </w:rPr>
      </w:pPr>
    </w:p>
    <w:p w14:paraId="162313A0" w14:textId="77777777" w:rsidR="00CC7FF4" w:rsidRDefault="007F68A4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br w:type="page"/>
      </w:r>
    </w:p>
    <w:p w14:paraId="5AB4A23D" w14:textId="77777777" w:rsidR="00CC7FF4" w:rsidRPr="004C0809" w:rsidRDefault="007F68A4" w:rsidP="004C0809">
      <w:pPr>
        <w:spacing w:before="120" w:after="120" w:line="240" w:lineRule="auto"/>
        <w:jc w:val="right"/>
        <w:rPr>
          <w:b/>
          <w:bCs/>
          <w:sz w:val="24"/>
          <w:szCs w:val="24"/>
        </w:rPr>
      </w:pPr>
      <w:r w:rsidRPr="004C0809">
        <w:rPr>
          <w:b/>
          <w:bCs/>
          <w:sz w:val="24"/>
          <w:szCs w:val="24"/>
        </w:rPr>
        <w:lastRenderedPageBreak/>
        <w:t>Příloha č. 2</w:t>
      </w:r>
    </w:p>
    <w:p w14:paraId="5EC0D214" w14:textId="77777777" w:rsidR="00CC7FF4" w:rsidRPr="004C0809" w:rsidRDefault="007F68A4" w:rsidP="004C0809">
      <w:pPr>
        <w:spacing w:before="120" w:after="240" w:line="240" w:lineRule="auto"/>
        <w:rPr>
          <w:b/>
          <w:bCs/>
          <w:sz w:val="24"/>
          <w:szCs w:val="24"/>
        </w:rPr>
      </w:pPr>
      <w:r w:rsidRPr="004C0809">
        <w:rPr>
          <w:b/>
          <w:bCs/>
          <w:sz w:val="24"/>
          <w:szCs w:val="24"/>
        </w:rPr>
        <w:t xml:space="preserve">Opatření nastavená </w:t>
      </w:r>
      <w:r w:rsidRPr="004C0809">
        <w:rPr>
          <w:b/>
          <w:bCs/>
          <w:i/>
          <w:iCs/>
          <w:sz w:val="24"/>
          <w:szCs w:val="24"/>
        </w:rPr>
        <w:t>Strategií vlastnické politiky státu</w:t>
      </w:r>
    </w:p>
    <w:p w14:paraId="264833E4" w14:textId="4655CA2F" w:rsidR="00CC7FF4" w:rsidRPr="004C0809" w:rsidRDefault="007F68A4" w:rsidP="004C0809">
      <w:pPr>
        <w:spacing w:after="0" w:line="264" w:lineRule="auto"/>
        <w:rPr>
          <w:rFonts w:cstheme="minorHAnsi"/>
          <w:sz w:val="24"/>
          <w:szCs w:val="24"/>
        </w:rPr>
      </w:pPr>
      <w:r w:rsidRPr="004C0809">
        <w:rPr>
          <w:rFonts w:cstheme="minorHAnsi"/>
          <w:sz w:val="24"/>
          <w:szCs w:val="24"/>
        </w:rPr>
        <w:t xml:space="preserve">Pilíř I: Role státu jako vlastníka </w:t>
      </w:r>
    </w:p>
    <w:p w14:paraId="3AFB7783" w14:textId="11A84D23" w:rsidR="00CC7FF4" w:rsidRPr="004C0809" w:rsidRDefault="007F68A4" w:rsidP="004C0809">
      <w:pPr>
        <w:pStyle w:val="Odstavecseseznamem"/>
        <w:numPr>
          <w:ilvl w:val="0"/>
          <w:numId w:val="31"/>
        </w:numPr>
        <w:spacing w:after="0" w:line="264" w:lineRule="auto"/>
        <w:jc w:val="both"/>
        <w:rPr>
          <w:rFonts w:cstheme="minorHAnsi"/>
          <w:bCs/>
          <w:sz w:val="24"/>
          <w:szCs w:val="24"/>
        </w:rPr>
      </w:pPr>
      <w:bookmarkStart w:id="11" w:name="_Hlk194566202"/>
      <w:r w:rsidRPr="004C0809">
        <w:rPr>
          <w:rFonts w:cstheme="minorHAnsi"/>
          <w:bCs/>
          <w:sz w:val="24"/>
          <w:szCs w:val="24"/>
          <w:u w:val="single"/>
        </w:rPr>
        <w:t>Opatření č. 1</w:t>
      </w:r>
      <w:r w:rsidR="00B37FB1" w:rsidRPr="004C0809">
        <w:rPr>
          <w:rFonts w:cstheme="minorHAnsi"/>
          <w:bCs/>
          <w:sz w:val="24"/>
          <w:szCs w:val="24"/>
          <w:u w:val="single"/>
        </w:rPr>
        <w:t>:</w:t>
      </w:r>
      <w:r w:rsidRPr="004C0809">
        <w:rPr>
          <w:rFonts w:cstheme="minorHAnsi"/>
          <w:bCs/>
          <w:sz w:val="24"/>
          <w:szCs w:val="24"/>
        </w:rPr>
        <w:t xml:space="preserve"> „</w:t>
      </w:r>
      <w:r w:rsidRPr="004C0809">
        <w:rPr>
          <w:rFonts w:cstheme="minorHAnsi"/>
          <w:bCs/>
          <w:i/>
          <w:iCs/>
          <w:sz w:val="24"/>
          <w:szCs w:val="24"/>
        </w:rPr>
        <w:t>Definovat strategické, podpůrné a zbytné společnosti s majetkovou účastí státu a státní podniky a průběžně vyhodnocovat strategický význam a</w:t>
      </w:r>
      <w:r w:rsidR="004C0809">
        <w:rPr>
          <w:rFonts w:cstheme="minorHAnsi"/>
          <w:bCs/>
          <w:i/>
          <w:iCs/>
          <w:sz w:val="24"/>
          <w:szCs w:val="24"/>
        </w:rPr>
        <w:t> </w:t>
      </w:r>
      <w:r w:rsidRPr="004C0809">
        <w:rPr>
          <w:rFonts w:cstheme="minorHAnsi"/>
          <w:bCs/>
          <w:i/>
          <w:iCs/>
          <w:sz w:val="24"/>
          <w:szCs w:val="24"/>
        </w:rPr>
        <w:t>potřebnost jednotlivých majetkových účastí a státních podniků.</w:t>
      </w:r>
      <w:r w:rsidRPr="004C0809">
        <w:rPr>
          <w:rFonts w:cstheme="minorHAnsi"/>
          <w:bCs/>
          <w:sz w:val="24"/>
          <w:szCs w:val="24"/>
        </w:rPr>
        <w:t xml:space="preserve">“ </w:t>
      </w:r>
    </w:p>
    <w:p w14:paraId="5C24B395" w14:textId="4A8BC9C5" w:rsidR="00CC7FF4" w:rsidRPr="004C0809" w:rsidRDefault="007F68A4" w:rsidP="004C0809">
      <w:pPr>
        <w:pStyle w:val="Odstavecseseznamem"/>
        <w:numPr>
          <w:ilvl w:val="0"/>
          <w:numId w:val="31"/>
        </w:numPr>
        <w:spacing w:after="0" w:line="264" w:lineRule="auto"/>
        <w:jc w:val="both"/>
        <w:rPr>
          <w:rFonts w:cstheme="minorHAnsi"/>
          <w:bCs/>
          <w:sz w:val="24"/>
          <w:szCs w:val="24"/>
        </w:rPr>
      </w:pPr>
      <w:r w:rsidRPr="004C0809">
        <w:rPr>
          <w:rFonts w:cstheme="minorHAnsi"/>
          <w:bCs/>
          <w:sz w:val="24"/>
          <w:szCs w:val="24"/>
          <w:u w:val="single"/>
        </w:rPr>
        <w:t>Opatření č. 2</w:t>
      </w:r>
      <w:r w:rsidR="00B37FB1" w:rsidRPr="004C0809">
        <w:rPr>
          <w:rFonts w:cstheme="minorHAnsi"/>
          <w:bCs/>
          <w:sz w:val="24"/>
          <w:szCs w:val="24"/>
          <w:u w:val="single"/>
        </w:rPr>
        <w:t>:</w:t>
      </w:r>
      <w:r w:rsidRPr="004C0809">
        <w:rPr>
          <w:rFonts w:cstheme="minorHAnsi"/>
          <w:bCs/>
          <w:sz w:val="24"/>
          <w:szCs w:val="24"/>
        </w:rPr>
        <w:t xml:space="preserve"> „</w:t>
      </w:r>
      <w:r w:rsidRPr="004C0809">
        <w:rPr>
          <w:rFonts w:cstheme="minorHAnsi"/>
          <w:bCs/>
          <w:i/>
          <w:iCs/>
          <w:sz w:val="24"/>
          <w:szCs w:val="24"/>
        </w:rPr>
        <w:t>Určit, jaké přínosy lze od jednotlivých typů společností s majetkovou účastí státu a státních podniků očekávat a související výdaje ze státního rozpočtu</w:t>
      </w:r>
      <w:r w:rsidRPr="004C0809">
        <w:rPr>
          <w:rFonts w:cstheme="minorHAnsi"/>
          <w:bCs/>
          <w:sz w:val="24"/>
          <w:szCs w:val="24"/>
        </w:rPr>
        <w:t>.“</w:t>
      </w:r>
    </w:p>
    <w:p w14:paraId="070A308D" w14:textId="55013A5D" w:rsidR="00CC7FF4" w:rsidRPr="004C0809" w:rsidRDefault="007F68A4" w:rsidP="004C0809">
      <w:pPr>
        <w:pStyle w:val="Odstavecseseznamem"/>
        <w:numPr>
          <w:ilvl w:val="0"/>
          <w:numId w:val="31"/>
        </w:numPr>
        <w:spacing w:after="0" w:line="264" w:lineRule="auto"/>
        <w:jc w:val="both"/>
        <w:rPr>
          <w:rFonts w:cstheme="minorHAnsi"/>
          <w:bCs/>
          <w:sz w:val="24"/>
          <w:szCs w:val="24"/>
        </w:rPr>
      </w:pPr>
      <w:r w:rsidRPr="004C0809">
        <w:rPr>
          <w:rFonts w:cstheme="minorHAnsi"/>
          <w:bCs/>
          <w:sz w:val="24"/>
          <w:szCs w:val="24"/>
          <w:u w:val="single"/>
        </w:rPr>
        <w:t>Opatření č. 3</w:t>
      </w:r>
      <w:r w:rsidR="00B37FB1" w:rsidRPr="004C0809">
        <w:rPr>
          <w:rFonts w:cstheme="minorHAnsi"/>
          <w:bCs/>
          <w:sz w:val="24"/>
          <w:szCs w:val="24"/>
          <w:u w:val="single"/>
        </w:rPr>
        <w:t>:</w:t>
      </w:r>
      <w:r w:rsidRPr="004C0809">
        <w:rPr>
          <w:rFonts w:cstheme="minorHAnsi"/>
          <w:bCs/>
          <w:sz w:val="24"/>
          <w:szCs w:val="24"/>
        </w:rPr>
        <w:t xml:space="preserve"> „</w:t>
      </w:r>
      <w:r w:rsidRPr="004C0809">
        <w:rPr>
          <w:rFonts w:cstheme="minorHAnsi"/>
          <w:bCs/>
          <w:i/>
          <w:iCs/>
          <w:sz w:val="24"/>
          <w:szCs w:val="24"/>
        </w:rPr>
        <w:t>Prověřit u všech podpůrných společností, podniků a organizací jejich nezbytnost, včetně prověření efektivity hospodaření.</w:t>
      </w:r>
      <w:r w:rsidRPr="004C0809">
        <w:rPr>
          <w:rFonts w:cstheme="minorHAnsi"/>
          <w:bCs/>
          <w:sz w:val="24"/>
          <w:szCs w:val="24"/>
        </w:rPr>
        <w:t>“</w:t>
      </w:r>
    </w:p>
    <w:p w14:paraId="2CF54766" w14:textId="63AE1765" w:rsidR="00CC7FF4" w:rsidRPr="004C0809" w:rsidRDefault="007F68A4" w:rsidP="004C0809">
      <w:pPr>
        <w:pStyle w:val="Odstavecseseznamem"/>
        <w:numPr>
          <w:ilvl w:val="0"/>
          <w:numId w:val="31"/>
        </w:numPr>
        <w:spacing w:after="0" w:line="264" w:lineRule="auto"/>
        <w:jc w:val="both"/>
        <w:rPr>
          <w:rFonts w:cstheme="minorHAnsi"/>
          <w:bCs/>
          <w:sz w:val="24"/>
          <w:szCs w:val="24"/>
        </w:rPr>
      </w:pPr>
      <w:r w:rsidRPr="004C0809">
        <w:rPr>
          <w:rFonts w:cstheme="minorHAnsi"/>
          <w:bCs/>
          <w:sz w:val="24"/>
          <w:szCs w:val="24"/>
          <w:u w:val="single"/>
        </w:rPr>
        <w:t>Opatření č. 4</w:t>
      </w:r>
      <w:r w:rsidR="00B37FB1" w:rsidRPr="004C0809">
        <w:rPr>
          <w:rFonts w:cstheme="minorHAnsi"/>
          <w:bCs/>
          <w:sz w:val="24"/>
          <w:szCs w:val="24"/>
          <w:u w:val="single"/>
        </w:rPr>
        <w:t>:</w:t>
      </w:r>
      <w:r w:rsidRPr="004C0809">
        <w:rPr>
          <w:rFonts w:cstheme="minorHAnsi"/>
          <w:bCs/>
          <w:sz w:val="24"/>
          <w:szCs w:val="24"/>
        </w:rPr>
        <w:t xml:space="preserve"> „</w:t>
      </w:r>
      <w:r w:rsidRPr="004C0809">
        <w:rPr>
          <w:rFonts w:cstheme="minorHAnsi"/>
          <w:bCs/>
          <w:i/>
          <w:iCs/>
          <w:sz w:val="24"/>
          <w:szCs w:val="24"/>
        </w:rPr>
        <w:t xml:space="preserve">Aplikovat jednotné principy </w:t>
      </w:r>
      <w:proofErr w:type="spellStart"/>
      <w:r w:rsidRPr="004C0809">
        <w:rPr>
          <w:rFonts w:cstheme="minorHAnsi"/>
          <w:bCs/>
          <w:i/>
          <w:iCs/>
          <w:sz w:val="24"/>
          <w:szCs w:val="24"/>
        </w:rPr>
        <w:t>corporate</w:t>
      </w:r>
      <w:proofErr w:type="spellEnd"/>
      <w:r w:rsidRPr="004C0809">
        <w:rPr>
          <w:rFonts w:cstheme="minorHAnsi"/>
          <w:bCs/>
          <w:i/>
          <w:iCs/>
          <w:sz w:val="24"/>
          <w:szCs w:val="24"/>
        </w:rPr>
        <w:t xml:space="preserve"> </w:t>
      </w:r>
      <w:proofErr w:type="spellStart"/>
      <w:r w:rsidRPr="004C0809">
        <w:rPr>
          <w:rFonts w:cstheme="minorHAnsi"/>
          <w:bCs/>
          <w:i/>
          <w:iCs/>
          <w:sz w:val="24"/>
          <w:szCs w:val="24"/>
        </w:rPr>
        <w:t>governance</w:t>
      </w:r>
      <w:proofErr w:type="spellEnd"/>
      <w:r w:rsidRPr="004C0809">
        <w:rPr>
          <w:rFonts w:cstheme="minorHAnsi"/>
          <w:bCs/>
          <w:i/>
          <w:iCs/>
          <w:sz w:val="24"/>
          <w:szCs w:val="24"/>
        </w:rPr>
        <w:t xml:space="preserve"> ve strategických společnostech s majetkovou účastí státu a strategických </w:t>
      </w:r>
      <w:r w:rsidR="00A33709" w:rsidRPr="004C0809">
        <w:rPr>
          <w:rFonts w:cstheme="minorHAnsi"/>
          <w:bCs/>
          <w:i/>
          <w:iCs/>
          <w:sz w:val="24"/>
          <w:szCs w:val="24"/>
        </w:rPr>
        <w:t xml:space="preserve">státních </w:t>
      </w:r>
      <w:r w:rsidRPr="004C0809">
        <w:rPr>
          <w:rFonts w:cstheme="minorHAnsi"/>
          <w:bCs/>
          <w:i/>
          <w:iCs/>
          <w:sz w:val="24"/>
          <w:szCs w:val="24"/>
        </w:rPr>
        <w:t>podnicích</w:t>
      </w:r>
      <w:r w:rsidRPr="004C0809">
        <w:rPr>
          <w:rFonts w:cstheme="minorHAnsi"/>
          <w:bCs/>
          <w:sz w:val="24"/>
          <w:szCs w:val="24"/>
        </w:rPr>
        <w:t>.“</w:t>
      </w:r>
      <w:bookmarkEnd w:id="11"/>
    </w:p>
    <w:p w14:paraId="58C0D40B" w14:textId="0D6DBF6F" w:rsidR="00CC7FF4" w:rsidRPr="004C0809" w:rsidRDefault="007F68A4" w:rsidP="004C0809">
      <w:pPr>
        <w:spacing w:before="120" w:after="0" w:line="264" w:lineRule="auto"/>
        <w:rPr>
          <w:rFonts w:cstheme="minorHAnsi"/>
          <w:sz w:val="24"/>
          <w:szCs w:val="24"/>
        </w:rPr>
      </w:pPr>
      <w:r w:rsidRPr="004C0809">
        <w:rPr>
          <w:rFonts w:cstheme="minorHAnsi"/>
          <w:sz w:val="24"/>
          <w:szCs w:val="24"/>
        </w:rPr>
        <w:t xml:space="preserve">Pilíř II: </w:t>
      </w:r>
      <w:proofErr w:type="spellStart"/>
      <w:r w:rsidRPr="004C0809">
        <w:rPr>
          <w:rFonts w:cstheme="minorHAnsi"/>
          <w:sz w:val="24"/>
          <w:szCs w:val="24"/>
        </w:rPr>
        <w:t>Corporate</w:t>
      </w:r>
      <w:proofErr w:type="spellEnd"/>
      <w:r w:rsidRPr="004C0809">
        <w:rPr>
          <w:rFonts w:cstheme="minorHAnsi"/>
          <w:sz w:val="24"/>
          <w:szCs w:val="24"/>
        </w:rPr>
        <w:t xml:space="preserve"> </w:t>
      </w:r>
      <w:proofErr w:type="spellStart"/>
      <w:r w:rsidRPr="004C0809">
        <w:rPr>
          <w:rFonts w:cstheme="minorHAnsi"/>
          <w:sz w:val="24"/>
          <w:szCs w:val="24"/>
        </w:rPr>
        <w:t>governance</w:t>
      </w:r>
      <w:proofErr w:type="spellEnd"/>
    </w:p>
    <w:p w14:paraId="7893887A" w14:textId="24E377AA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iCs/>
          <w:sz w:val="24"/>
          <w:szCs w:val="24"/>
        </w:rPr>
      </w:pPr>
      <w:bookmarkStart w:id="12" w:name="_Hlk194566772"/>
      <w:r w:rsidRPr="004C0809">
        <w:rPr>
          <w:rFonts w:cstheme="minorHAnsi"/>
          <w:iCs/>
          <w:sz w:val="24"/>
          <w:szCs w:val="24"/>
          <w:u w:val="single"/>
        </w:rPr>
        <w:t>Opatření č. 5</w:t>
      </w:r>
      <w:r w:rsidR="00B37FB1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Cs/>
          <w:sz w:val="24"/>
          <w:szCs w:val="24"/>
        </w:rPr>
        <w:t xml:space="preserve"> „</w:t>
      </w:r>
      <w:r w:rsidRPr="004C0809">
        <w:rPr>
          <w:rFonts w:cstheme="minorHAnsi"/>
          <w:i/>
          <w:sz w:val="24"/>
          <w:szCs w:val="24"/>
        </w:rPr>
        <w:t>Zajistit jednoznačné, racionální a efektivní vymezení pravomocí a odpovědnosti jednotlivých orgánů strategických společností s majetkovou účastí státu a jednotlivých orgánů v zakladatelských dokumentech a statutu strategických státních podniků</w:t>
      </w:r>
      <w:r w:rsidRPr="004C0809">
        <w:rPr>
          <w:rFonts w:cstheme="minorHAnsi"/>
          <w:iCs/>
          <w:sz w:val="24"/>
          <w:szCs w:val="24"/>
        </w:rPr>
        <w:t>.“</w:t>
      </w:r>
    </w:p>
    <w:p w14:paraId="4EE7B265" w14:textId="1E8AC853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6</w:t>
      </w:r>
      <w:r w:rsidR="00B37FB1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„Zajistit, že každá strategická společnost s majetkovou účastí státu má stanovené jasné transparentní cíle, a to především dlouhodobé strategické cíle směřující k dlouhodobé udržitelnosti podnikání, zhodnocování majetku společnosti, resp. státu a při respektování jednotlivých schválených politik, včetně kritického posouzení těchto strategií ze strany dotčeného ministerstva (vč. strategických státních podniků).“</w:t>
      </w:r>
    </w:p>
    <w:p w14:paraId="29B3B31F" w14:textId="23DB3B3B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i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7</w:t>
      </w:r>
      <w:r w:rsidR="00B37FB1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„Nastavit jednotný reporting všech strategických společností s majetkovou účastí státu a strategických státních podniků za účelem vyhodnocování jejich výkonnosti.“</w:t>
      </w:r>
    </w:p>
    <w:p w14:paraId="6DEB6B59" w14:textId="0F69BBCB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bCs/>
          <w:i/>
          <w:sz w:val="24"/>
          <w:szCs w:val="24"/>
        </w:rPr>
      </w:pPr>
      <w:bookmarkStart w:id="13" w:name="_Hlk194567353"/>
      <w:r w:rsidRPr="004C0809">
        <w:rPr>
          <w:rFonts w:cstheme="minorHAnsi"/>
          <w:iCs/>
          <w:sz w:val="24"/>
          <w:szCs w:val="24"/>
          <w:u w:val="single"/>
        </w:rPr>
        <w:t>Opatření č. 8</w:t>
      </w:r>
      <w:r w:rsidR="00B37FB1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„</w:t>
      </w:r>
      <w:r w:rsidRPr="004C0809">
        <w:rPr>
          <w:rFonts w:cstheme="minorHAnsi"/>
          <w:bCs/>
          <w:i/>
          <w:sz w:val="24"/>
          <w:szCs w:val="24"/>
        </w:rPr>
        <w:t>Vytvořit profily na pozice jednotlivých členů orgánů, včetně jejich kvalifikačních požadavků (ve spolupráci se společnostmi, resp. dozorčí radou a</w:t>
      </w:r>
      <w:r w:rsidR="004C0809">
        <w:rPr>
          <w:rFonts w:cstheme="minorHAnsi"/>
          <w:bCs/>
          <w:i/>
          <w:sz w:val="24"/>
          <w:szCs w:val="24"/>
        </w:rPr>
        <w:t> </w:t>
      </w:r>
      <w:r w:rsidRPr="004C0809">
        <w:rPr>
          <w:rFonts w:cstheme="minorHAnsi"/>
          <w:bCs/>
          <w:i/>
          <w:sz w:val="24"/>
          <w:szCs w:val="24"/>
        </w:rPr>
        <w:t>příslušnými výbory spol.).“</w:t>
      </w:r>
    </w:p>
    <w:p w14:paraId="7B823348" w14:textId="40701AEC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bCs/>
          <w:i/>
          <w:sz w:val="24"/>
          <w:szCs w:val="24"/>
        </w:rPr>
      </w:pPr>
      <w:bookmarkStart w:id="14" w:name="_Hlk193291059"/>
      <w:r w:rsidRPr="004C0809">
        <w:rPr>
          <w:rFonts w:cstheme="minorHAnsi"/>
          <w:iCs/>
          <w:sz w:val="24"/>
          <w:szCs w:val="24"/>
          <w:u w:val="single"/>
        </w:rPr>
        <w:t>Opatření č. 9</w:t>
      </w:r>
      <w:r w:rsidR="00B37FB1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„</w:t>
      </w:r>
      <w:r w:rsidRPr="004C0809">
        <w:rPr>
          <w:rFonts w:cstheme="minorHAnsi"/>
          <w:bCs/>
          <w:i/>
          <w:sz w:val="24"/>
          <w:szCs w:val="24"/>
        </w:rPr>
        <w:t>Optimalizovat počet členů orgánů a omezit počet jednočlenných orgánů</w:t>
      </w:r>
      <w:bookmarkEnd w:id="14"/>
      <w:r w:rsidRPr="004C0809">
        <w:rPr>
          <w:rFonts w:cstheme="minorHAnsi"/>
          <w:bCs/>
          <w:i/>
          <w:sz w:val="24"/>
          <w:szCs w:val="24"/>
        </w:rPr>
        <w:t xml:space="preserve">.“ </w:t>
      </w:r>
    </w:p>
    <w:p w14:paraId="4CF65E65" w14:textId="0D0EC1E4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bCs/>
          <w:i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10</w:t>
      </w:r>
      <w:r w:rsidR="00B37FB1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„</w:t>
      </w:r>
      <w:r w:rsidRPr="004C0809">
        <w:rPr>
          <w:rFonts w:cstheme="minorHAnsi"/>
          <w:bCs/>
          <w:i/>
          <w:sz w:val="24"/>
          <w:szCs w:val="24"/>
        </w:rPr>
        <w:t>Zvyšovat odbornost členů orgánů.“</w:t>
      </w:r>
    </w:p>
    <w:p w14:paraId="229031AB" w14:textId="3E0B0518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bCs/>
          <w:iCs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11</w:t>
      </w:r>
      <w:r w:rsidR="00B37FB1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„</w:t>
      </w:r>
      <w:r w:rsidRPr="004C0809">
        <w:rPr>
          <w:rFonts w:cstheme="minorHAnsi"/>
          <w:bCs/>
          <w:i/>
          <w:sz w:val="24"/>
          <w:szCs w:val="24"/>
        </w:rPr>
        <w:t>Zvyšovat odbornost státních zaměstnanců, kteří se věnují vlastnické politice státu.</w:t>
      </w:r>
      <w:r w:rsidRPr="004C0809">
        <w:rPr>
          <w:rFonts w:cstheme="minorHAnsi"/>
          <w:bCs/>
          <w:iCs/>
          <w:sz w:val="24"/>
          <w:szCs w:val="24"/>
        </w:rPr>
        <w:t>“</w:t>
      </w:r>
    </w:p>
    <w:p w14:paraId="10CE32F5" w14:textId="69D14833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bCs/>
          <w:iCs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12</w:t>
      </w:r>
      <w:r w:rsidR="00020EC4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Cs/>
          <w:sz w:val="24"/>
          <w:szCs w:val="24"/>
        </w:rPr>
        <w:t xml:space="preserve"> „</w:t>
      </w:r>
      <w:r w:rsidRPr="004C0809">
        <w:rPr>
          <w:rFonts w:cstheme="minorHAnsi"/>
          <w:bCs/>
          <w:i/>
          <w:sz w:val="24"/>
          <w:szCs w:val="24"/>
        </w:rPr>
        <w:t>Podporovat přijetí a realizaci politiky diverzity (ve vztahu k pohlaví, věku apod.).</w:t>
      </w:r>
      <w:r w:rsidRPr="004C0809">
        <w:rPr>
          <w:rFonts w:cstheme="minorHAnsi"/>
          <w:bCs/>
          <w:iCs/>
          <w:sz w:val="24"/>
          <w:szCs w:val="24"/>
        </w:rPr>
        <w:t>“</w:t>
      </w:r>
    </w:p>
    <w:p w14:paraId="51859F91" w14:textId="12AA12BE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iCs/>
          <w:sz w:val="24"/>
          <w:szCs w:val="24"/>
        </w:rPr>
      </w:pPr>
      <w:bookmarkStart w:id="15" w:name="_Hlk194568759"/>
      <w:bookmarkEnd w:id="13"/>
      <w:r w:rsidRPr="004C0809">
        <w:rPr>
          <w:rFonts w:cstheme="minorHAnsi"/>
          <w:iCs/>
          <w:sz w:val="24"/>
          <w:szCs w:val="24"/>
          <w:u w:val="single"/>
        </w:rPr>
        <w:t>Opatření č. 13</w:t>
      </w:r>
      <w:r w:rsidR="004414E6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Cs/>
          <w:sz w:val="24"/>
          <w:szCs w:val="24"/>
        </w:rPr>
        <w:t xml:space="preserve"> „</w:t>
      </w:r>
      <w:r w:rsidRPr="004C0809">
        <w:rPr>
          <w:rFonts w:cstheme="minorHAnsi"/>
          <w:i/>
          <w:sz w:val="24"/>
          <w:szCs w:val="24"/>
        </w:rPr>
        <w:t>Pravidelně přezkoumávat soulad smluv o výkonu funkce s platnými Zásadami</w:t>
      </w:r>
      <w:r w:rsidR="00606CC4" w:rsidRPr="004C0809">
        <w:rPr>
          <w:rFonts w:cstheme="minorHAnsi"/>
          <w:i/>
          <w:sz w:val="24"/>
          <w:szCs w:val="24"/>
        </w:rPr>
        <w:t xml:space="preserve"> odměňování</w:t>
      </w:r>
      <w:r w:rsidRPr="004C0809">
        <w:rPr>
          <w:rFonts w:cstheme="minorHAnsi"/>
          <w:iCs/>
          <w:sz w:val="24"/>
          <w:szCs w:val="24"/>
        </w:rPr>
        <w:t>.“</w:t>
      </w:r>
    </w:p>
    <w:p w14:paraId="0E477138" w14:textId="778CEDE3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iCs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14</w:t>
      </w:r>
      <w:r w:rsidR="004414E6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</w:t>
      </w:r>
      <w:r w:rsidRPr="004C0809">
        <w:rPr>
          <w:rFonts w:cstheme="minorHAnsi"/>
          <w:iCs/>
          <w:sz w:val="24"/>
          <w:szCs w:val="24"/>
        </w:rPr>
        <w:t>„</w:t>
      </w:r>
      <w:r w:rsidRPr="004C0809">
        <w:rPr>
          <w:rFonts w:cstheme="minorHAnsi"/>
          <w:i/>
          <w:sz w:val="24"/>
          <w:szCs w:val="24"/>
        </w:rPr>
        <w:t xml:space="preserve">Pravidelně hodnotit činnost členů orgánů (povinně nastavení motivačních </w:t>
      </w:r>
      <w:proofErr w:type="spellStart"/>
      <w:r w:rsidRPr="004C0809">
        <w:rPr>
          <w:rFonts w:cstheme="minorHAnsi"/>
          <w:i/>
          <w:sz w:val="24"/>
          <w:szCs w:val="24"/>
        </w:rPr>
        <w:t>KPI´s</w:t>
      </w:r>
      <w:proofErr w:type="spellEnd"/>
      <w:r w:rsidRPr="004C0809">
        <w:rPr>
          <w:rFonts w:cstheme="minorHAnsi"/>
          <w:i/>
          <w:sz w:val="24"/>
          <w:szCs w:val="24"/>
        </w:rPr>
        <w:t xml:space="preserve"> u řídících orgánů strategických společností, obdobně nastavení měřitelných kritérií i u</w:t>
      </w:r>
      <w:r w:rsidR="00606CC4" w:rsidRPr="004C0809">
        <w:rPr>
          <w:rFonts w:cstheme="minorHAnsi"/>
          <w:i/>
          <w:sz w:val="24"/>
          <w:szCs w:val="24"/>
        </w:rPr>
        <w:t> </w:t>
      </w:r>
      <w:r w:rsidRPr="004C0809">
        <w:rPr>
          <w:rFonts w:cstheme="minorHAnsi"/>
          <w:i/>
          <w:sz w:val="24"/>
          <w:szCs w:val="24"/>
        </w:rPr>
        <w:t>strategických státních podniků).</w:t>
      </w:r>
      <w:r w:rsidRPr="004C0809">
        <w:rPr>
          <w:rFonts w:cstheme="minorHAnsi"/>
          <w:iCs/>
          <w:sz w:val="24"/>
          <w:szCs w:val="24"/>
        </w:rPr>
        <w:t>“</w:t>
      </w:r>
    </w:p>
    <w:p w14:paraId="65CF2844" w14:textId="3C7FE800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iCs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lastRenderedPageBreak/>
        <w:t>Opatření č. 15</w:t>
      </w:r>
      <w:r w:rsidR="004414E6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</w:t>
      </w:r>
      <w:r w:rsidRPr="004C0809">
        <w:rPr>
          <w:rFonts w:cstheme="minorHAnsi"/>
          <w:iCs/>
          <w:sz w:val="24"/>
          <w:szCs w:val="24"/>
        </w:rPr>
        <w:t>„</w:t>
      </w:r>
      <w:r w:rsidRPr="004C0809">
        <w:rPr>
          <w:rFonts w:cstheme="minorHAnsi"/>
          <w:i/>
          <w:sz w:val="24"/>
          <w:szCs w:val="24"/>
        </w:rPr>
        <w:t>Zajistit spravedlivé odměňování pro všechny členy orgánů, důsledně uplatňovat zákaz diskriminace</w:t>
      </w:r>
      <w:r w:rsidRPr="004C0809">
        <w:rPr>
          <w:rFonts w:cstheme="minorHAnsi"/>
          <w:iCs/>
          <w:sz w:val="24"/>
          <w:szCs w:val="24"/>
        </w:rPr>
        <w:t>.“</w:t>
      </w:r>
    </w:p>
    <w:p w14:paraId="57489803" w14:textId="748F0AB5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i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16</w:t>
      </w:r>
      <w:r w:rsidR="004414E6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„Zajistit aplikování a pravidelnou aktualizaci </w:t>
      </w:r>
      <w:proofErr w:type="spellStart"/>
      <w:r w:rsidR="00471989" w:rsidRPr="004C0809">
        <w:rPr>
          <w:rFonts w:cstheme="minorHAnsi"/>
          <w:i/>
          <w:sz w:val="24"/>
          <w:szCs w:val="24"/>
        </w:rPr>
        <w:t>c</w:t>
      </w:r>
      <w:r w:rsidRPr="004C0809">
        <w:rPr>
          <w:rFonts w:cstheme="minorHAnsi"/>
          <w:i/>
          <w:sz w:val="24"/>
          <w:szCs w:val="24"/>
        </w:rPr>
        <w:t>ompliance</w:t>
      </w:r>
      <w:proofErr w:type="spellEnd"/>
      <w:r w:rsidRPr="004C0809">
        <w:rPr>
          <w:rFonts w:cstheme="minorHAnsi"/>
          <w:i/>
          <w:sz w:val="24"/>
          <w:szCs w:val="24"/>
        </w:rPr>
        <w:t xml:space="preserve"> programů.“</w:t>
      </w:r>
    </w:p>
    <w:p w14:paraId="16FC86BB" w14:textId="31609C83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iCs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17</w:t>
      </w:r>
      <w:r w:rsidR="00020EC4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</w:t>
      </w:r>
      <w:r w:rsidRPr="004C0809">
        <w:rPr>
          <w:rFonts w:cstheme="minorHAnsi"/>
          <w:iCs/>
          <w:sz w:val="24"/>
          <w:szCs w:val="24"/>
        </w:rPr>
        <w:t>„</w:t>
      </w:r>
      <w:r w:rsidRPr="004C0809">
        <w:rPr>
          <w:rFonts w:cstheme="minorHAnsi"/>
          <w:i/>
          <w:sz w:val="24"/>
          <w:szCs w:val="24"/>
        </w:rPr>
        <w:t>Zavést informační povinnost (např. formou pravidelných informačních přehledů a výkazů) vůči vlastníkovi.</w:t>
      </w:r>
      <w:r w:rsidRPr="004C0809">
        <w:rPr>
          <w:rFonts w:cstheme="minorHAnsi"/>
          <w:iCs/>
          <w:sz w:val="24"/>
          <w:szCs w:val="24"/>
        </w:rPr>
        <w:t>“</w:t>
      </w:r>
    </w:p>
    <w:p w14:paraId="70C96D07" w14:textId="1CCCB035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iCs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18</w:t>
      </w:r>
      <w:r w:rsidR="004414E6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Cs/>
          <w:sz w:val="24"/>
          <w:szCs w:val="24"/>
        </w:rPr>
        <w:t xml:space="preserve"> „</w:t>
      </w:r>
      <w:r w:rsidRPr="004C0809">
        <w:rPr>
          <w:rFonts w:cstheme="minorHAnsi"/>
          <w:i/>
          <w:sz w:val="24"/>
          <w:szCs w:val="24"/>
        </w:rPr>
        <w:t>Zajistit, aby strategické společnosti s majetkovou účastí státu a</w:t>
      </w:r>
      <w:r w:rsidR="004C0809">
        <w:rPr>
          <w:rFonts w:cstheme="minorHAnsi"/>
          <w:i/>
          <w:sz w:val="24"/>
          <w:szCs w:val="24"/>
        </w:rPr>
        <w:t> </w:t>
      </w:r>
      <w:r w:rsidRPr="004C0809">
        <w:rPr>
          <w:rFonts w:cstheme="minorHAnsi"/>
          <w:i/>
          <w:sz w:val="24"/>
          <w:szCs w:val="24"/>
        </w:rPr>
        <w:t>strategické státní podniky zveřejňovaly vybrané informace v souladu s platnou legislativou.</w:t>
      </w:r>
      <w:r w:rsidRPr="004C0809">
        <w:rPr>
          <w:rFonts w:cstheme="minorHAnsi"/>
          <w:iCs/>
          <w:sz w:val="24"/>
          <w:szCs w:val="24"/>
        </w:rPr>
        <w:t>“</w:t>
      </w:r>
    </w:p>
    <w:p w14:paraId="7A688F1D" w14:textId="2ED099B0" w:rsidR="00CC7FF4" w:rsidRPr="004C0809" w:rsidRDefault="007F68A4" w:rsidP="004C0809">
      <w:pPr>
        <w:pStyle w:val="Odstavecseseznamem"/>
        <w:numPr>
          <w:ilvl w:val="0"/>
          <w:numId w:val="32"/>
        </w:numPr>
        <w:spacing w:after="0" w:line="264" w:lineRule="auto"/>
        <w:jc w:val="both"/>
        <w:rPr>
          <w:rFonts w:cstheme="minorHAnsi"/>
          <w:i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19</w:t>
      </w:r>
      <w:r w:rsidR="004414E6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</w:t>
      </w:r>
      <w:r w:rsidRPr="004C0809">
        <w:rPr>
          <w:rFonts w:cstheme="minorHAnsi"/>
          <w:iCs/>
          <w:sz w:val="24"/>
          <w:szCs w:val="24"/>
        </w:rPr>
        <w:t>„</w:t>
      </w:r>
      <w:r w:rsidRPr="004C0809">
        <w:rPr>
          <w:rFonts w:cstheme="minorHAnsi"/>
          <w:i/>
          <w:sz w:val="24"/>
          <w:szCs w:val="24"/>
        </w:rPr>
        <w:t>Každoročně zpracovat souhrnnou zprávu o činnosti a výsledcích strategických společností s majetkovou účastí státu, strategických státních podniků a následně po schválení vládou zveřejnit.</w:t>
      </w:r>
      <w:bookmarkEnd w:id="15"/>
      <w:r w:rsidRPr="004C0809">
        <w:rPr>
          <w:rFonts w:cstheme="minorHAnsi"/>
          <w:iCs/>
          <w:sz w:val="24"/>
          <w:szCs w:val="24"/>
        </w:rPr>
        <w:t>“</w:t>
      </w:r>
      <w:bookmarkEnd w:id="12"/>
    </w:p>
    <w:p w14:paraId="18474931" w14:textId="77777777" w:rsidR="00CC7FF4" w:rsidRPr="004C0809" w:rsidRDefault="007F68A4" w:rsidP="004C0809">
      <w:pPr>
        <w:spacing w:before="120" w:after="0" w:line="264" w:lineRule="auto"/>
        <w:rPr>
          <w:rFonts w:cstheme="minorHAnsi"/>
          <w:sz w:val="24"/>
          <w:szCs w:val="24"/>
        </w:rPr>
      </w:pPr>
      <w:r w:rsidRPr="004C0809">
        <w:rPr>
          <w:rFonts w:cstheme="minorHAnsi"/>
          <w:sz w:val="24"/>
          <w:szCs w:val="24"/>
        </w:rPr>
        <w:t>Pilíř III: Institucionální rámec</w:t>
      </w:r>
    </w:p>
    <w:p w14:paraId="01CFA7CF" w14:textId="1FDBECFC" w:rsidR="00CC7FF4" w:rsidRPr="004C0809" w:rsidRDefault="007F68A4" w:rsidP="004C0809">
      <w:pPr>
        <w:pStyle w:val="Odstavecseseznamem"/>
        <w:numPr>
          <w:ilvl w:val="0"/>
          <w:numId w:val="33"/>
        </w:numPr>
        <w:spacing w:after="0" w:line="264" w:lineRule="auto"/>
        <w:jc w:val="both"/>
        <w:rPr>
          <w:rFonts w:cstheme="minorHAnsi"/>
          <w:i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20</w:t>
      </w:r>
      <w:r w:rsidR="004414E6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/>
          <w:sz w:val="24"/>
          <w:szCs w:val="24"/>
        </w:rPr>
        <w:t xml:space="preserve"> </w:t>
      </w:r>
      <w:r w:rsidRPr="004C0809">
        <w:rPr>
          <w:rFonts w:cstheme="minorHAnsi"/>
          <w:iCs/>
          <w:sz w:val="24"/>
          <w:szCs w:val="24"/>
        </w:rPr>
        <w:t>„</w:t>
      </w:r>
      <w:r w:rsidRPr="004C0809">
        <w:rPr>
          <w:rFonts w:cstheme="minorHAnsi"/>
          <w:i/>
          <w:sz w:val="24"/>
          <w:szCs w:val="24"/>
        </w:rPr>
        <w:t>Vyhodnocovat a navrhovat racionalizaci portfolia společností s majetkovou účastí státu a státních podniků v držení jednotlivých ministerstev</w:t>
      </w:r>
      <w:r w:rsidR="00020EC4" w:rsidRPr="004C0809">
        <w:rPr>
          <w:rFonts w:cstheme="minorHAnsi"/>
          <w:i/>
          <w:sz w:val="24"/>
          <w:szCs w:val="24"/>
        </w:rPr>
        <w:t>.</w:t>
      </w:r>
      <w:r w:rsidR="00020EC4" w:rsidRPr="004C0809">
        <w:rPr>
          <w:rFonts w:cstheme="minorHAnsi"/>
          <w:iCs/>
          <w:sz w:val="24"/>
          <w:szCs w:val="24"/>
        </w:rPr>
        <w:t>“</w:t>
      </w:r>
    </w:p>
    <w:p w14:paraId="16655CDC" w14:textId="3941BE09" w:rsidR="00834CC7" w:rsidRPr="004C0809" w:rsidRDefault="007F68A4" w:rsidP="004C0809">
      <w:pPr>
        <w:pStyle w:val="Odstavecseseznamem"/>
        <w:numPr>
          <w:ilvl w:val="0"/>
          <w:numId w:val="33"/>
        </w:numPr>
        <w:spacing w:after="0" w:line="264" w:lineRule="auto"/>
        <w:jc w:val="both"/>
        <w:rPr>
          <w:rFonts w:cstheme="minorHAnsi"/>
          <w:iCs/>
          <w:sz w:val="24"/>
          <w:szCs w:val="24"/>
        </w:rPr>
      </w:pPr>
      <w:r w:rsidRPr="004C0809">
        <w:rPr>
          <w:rFonts w:cstheme="minorHAnsi"/>
          <w:iCs/>
          <w:sz w:val="24"/>
          <w:szCs w:val="24"/>
          <w:u w:val="single"/>
        </w:rPr>
        <w:t>Opatření č. 21</w:t>
      </w:r>
      <w:r w:rsidR="004414E6" w:rsidRPr="004C0809">
        <w:rPr>
          <w:rFonts w:cstheme="minorHAnsi"/>
          <w:iCs/>
          <w:sz w:val="24"/>
          <w:szCs w:val="24"/>
          <w:u w:val="single"/>
        </w:rPr>
        <w:t>:</w:t>
      </w:r>
      <w:r w:rsidRPr="004C0809">
        <w:rPr>
          <w:rFonts w:cstheme="minorHAnsi"/>
          <w:iCs/>
          <w:sz w:val="24"/>
          <w:szCs w:val="24"/>
        </w:rPr>
        <w:t xml:space="preserve"> „</w:t>
      </w:r>
      <w:r w:rsidRPr="004C0809">
        <w:rPr>
          <w:rFonts w:cstheme="minorHAnsi"/>
          <w:i/>
          <w:sz w:val="24"/>
          <w:szCs w:val="24"/>
        </w:rPr>
        <w:t>Vytvoření meziresortní pracovní skupiny k navázání věcné debaty, sdílení zkušeností a k řešení problematiky na pracovní úrovni mezi ministerstvy.</w:t>
      </w:r>
      <w:r w:rsidRPr="004C0809">
        <w:rPr>
          <w:rFonts w:cstheme="minorHAnsi"/>
          <w:iCs/>
          <w:sz w:val="24"/>
          <w:szCs w:val="24"/>
        </w:rPr>
        <w:t>“</w:t>
      </w:r>
    </w:p>
    <w:sectPr w:rsidR="00834CC7" w:rsidRPr="004C0809" w:rsidSect="008576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8CDB" w14:textId="77777777" w:rsidR="00112616" w:rsidRDefault="00112616">
      <w:pPr>
        <w:spacing w:after="0" w:line="240" w:lineRule="auto"/>
      </w:pPr>
      <w:r>
        <w:separator/>
      </w:r>
    </w:p>
  </w:endnote>
  <w:endnote w:type="continuationSeparator" w:id="0">
    <w:p w14:paraId="3472B6BE" w14:textId="77777777" w:rsidR="00112616" w:rsidRDefault="0011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FD3C" w14:textId="359FCAC3" w:rsidR="00B738EE" w:rsidRDefault="00E41C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325A3B" wp14:editId="23EDA9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927622577" name="Textové pole 1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09C16" w14:textId="0F80DB6D" w:rsidR="00E41C77" w:rsidRPr="00E41C77" w:rsidRDefault="00E41C77" w:rsidP="00E41C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</w:pPr>
                          <w:r w:rsidRPr="00E41C77"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25A3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alt="TLP:CLEAR" style="position:absolute;margin-left:0;margin-top:0;width:77.4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0509C16" w14:textId="0F80DB6D" w:rsidR="00E41C77" w:rsidRPr="00E41C77" w:rsidRDefault="00E41C77" w:rsidP="00E41C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</w:pPr>
                    <w:r w:rsidRPr="00E41C77"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1AB5" w14:textId="4B9A5981" w:rsidR="00771804" w:rsidRDefault="00E41C77" w:rsidP="003826F0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687E9B" wp14:editId="016B7B7E">
              <wp:simplePos x="904973" y="10067827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220296187" name="Textové pole 1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7B8C9" w14:textId="0338E026" w:rsidR="00E41C77" w:rsidRPr="00E41C77" w:rsidRDefault="00E41C77" w:rsidP="00E41C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</w:pPr>
                          <w:r w:rsidRPr="00E41C77"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87E9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7" type="#_x0000_t202" alt="TLP:CLEAR" style="position:absolute;left:0;text-align:left;margin-left:0;margin-top:0;width:77.4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0B7B8C9" w14:textId="0338E026" w:rsidR="00E41C77" w:rsidRPr="00E41C77" w:rsidRDefault="00E41C77" w:rsidP="00E41C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</w:pPr>
                    <w:r w:rsidRPr="00E41C77"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18240908"/>
        <w:docPartObj>
          <w:docPartGallery w:val="Page Numbers (Bottom of Page)"/>
          <w:docPartUnique/>
        </w:docPartObj>
      </w:sdtPr>
      <w:sdtEndPr/>
      <w:sdtContent>
        <w:r w:rsidR="007F68A4">
          <w:fldChar w:fldCharType="begin"/>
        </w:r>
        <w:r w:rsidR="007F68A4">
          <w:instrText>PAGE   \* MERGEFORMAT</w:instrText>
        </w:r>
        <w:r w:rsidR="007F68A4">
          <w:fldChar w:fldCharType="separate"/>
        </w:r>
        <w:r w:rsidR="004317B2">
          <w:rPr>
            <w:noProof/>
          </w:rPr>
          <w:t>23</w:t>
        </w:r>
        <w:r w:rsidR="007F68A4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E439" w14:textId="77B108C0" w:rsidR="00B738EE" w:rsidRDefault="00E41C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A9AA34" wp14:editId="052C1AD9">
              <wp:simplePos x="904973" y="10077254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861916634" name="Textové pole 11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976CB" w14:textId="53DF011E" w:rsidR="00E41C77" w:rsidRPr="00E41C77" w:rsidRDefault="00E41C77" w:rsidP="00E41C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</w:pPr>
                          <w:r w:rsidRPr="00E41C77">
                            <w:rPr>
                              <w:rFonts w:ascii="Aptos" w:eastAsia="Aptos" w:hAnsi="Aptos" w:cs="Aptos"/>
                              <w:noProof/>
                              <w:color w:val="828282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9AA3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CLEAR" style="position:absolute;margin-left:0;margin-top:0;width:77.4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kJFA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Kzoept9CfcSlHJz49pavWmy9Zj48M4cE4x4o&#10;2vCEh1TQVRTOFiUNuF/v+WM+4o5RSjoUTEUNKpoS9cMgH+PJ1zyPAks3NNxgbJNRzPJJjJu9vgfU&#10;YoHPwvJkxuSgBlM60K+o6WXshiFmOPas6HYw78NJvvgmuFguUxJqybKwNhvLY+mIWQT0pX9lzp5R&#10;D0jXIwySYuUb8E+58U9vl/uAFCRmIr4nNM+wow4TYec3E4X+5z1lXV/24jc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CwJmkJ&#10;FAIAACEEAAAOAAAAAAAAAAAAAAAAAC4CAABkcnMvZTJvRG9jLnhtbFBLAQItABQABgAIAAAAIQBf&#10;hQOz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8C976CB" w14:textId="53DF011E" w:rsidR="00E41C77" w:rsidRPr="00E41C77" w:rsidRDefault="00E41C77" w:rsidP="00E41C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</w:pPr>
                    <w:r w:rsidRPr="00E41C77">
                      <w:rPr>
                        <w:rFonts w:ascii="Aptos" w:eastAsia="Aptos" w:hAnsi="Aptos" w:cs="Aptos"/>
                        <w:noProof/>
                        <w:color w:val="828282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4BE4" w14:textId="77777777" w:rsidR="00112616" w:rsidRDefault="00112616" w:rsidP="001E1138">
      <w:pPr>
        <w:spacing w:after="0" w:line="240" w:lineRule="auto"/>
      </w:pPr>
      <w:r>
        <w:separator/>
      </w:r>
    </w:p>
  </w:footnote>
  <w:footnote w:type="continuationSeparator" w:id="0">
    <w:p w14:paraId="4BEE9A2E" w14:textId="77777777" w:rsidR="00112616" w:rsidRDefault="00112616" w:rsidP="001E1138">
      <w:pPr>
        <w:spacing w:after="0" w:line="240" w:lineRule="auto"/>
      </w:pPr>
      <w:r>
        <w:continuationSeparator/>
      </w:r>
    </w:p>
  </w:footnote>
  <w:footnote w:id="1">
    <w:p w14:paraId="0FCC938E" w14:textId="5239BBB3" w:rsidR="0060557C" w:rsidRDefault="007F68A4" w:rsidP="00FA6DD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A6DD1">
        <w:tab/>
      </w:r>
      <w:r w:rsidR="00473D3F">
        <w:t>U</w:t>
      </w:r>
      <w:r>
        <w:t xml:space="preserve">snesení vlády České republiky ze dne 17. </w:t>
      </w:r>
      <w:r w:rsidR="00234CD1">
        <w:t>února</w:t>
      </w:r>
      <w:r>
        <w:t xml:space="preserve"> 2020 č. </w:t>
      </w:r>
      <w:r w:rsidRPr="003E6CE3">
        <w:t>115</w:t>
      </w:r>
      <w:r>
        <w:t>,</w:t>
      </w:r>
      <w:r w:rsidRPr="003E6CE3">
        <w:t xml:space="preserve"> </w:t>
      </w:r>
      <w:r w:rsidR="00234CD1" w:rsidRPr="00C45202">
        <w:rPr>
          <w:i/>
          <w:iCs/>
        </w:rPr>
        <w:t xml:space="preserve">o </w:t>
      </w:r>
      <w:r w:rsidRPr="00C45202">
        <w:rPr>
          <w:i/>
          <w:iCs/>
        </w:rPr>
        <w:t>Strategi</w:t>
      </w:r>
      <w:r w:rsidR="00234CD1" w:rsidRPr="00C45202">
        <w:rPr>
          <w:i/>
          <w:iCs/>
        </w:rPr>
        <w:t>i</w:t>
      </w:r>
      <w:r w:rsidRPr="00C45202">
        <w:rPr>
          <w:i/>
          <w:iCs/>
        </w:rPr>
        <w:t xml:space="preserve"> vlastnické politiky státu</w:t>
      </w:r>
      <w:r>
        <w:t xml:space="preserve"> (dále také „</w:t>
      </w:r>
      <w:r w:rsidR="00372401">
        <w:t>u</w:t>
      </w:r>
      <w:r>
        <w:t>snesení vlády č. 115“)</w:t>
      </w:r>
      <w:r w:rsidR="00473D3F">
        <w:t>.</w:t>
      </w:r>
    </w:p>
  </w:footnote>
  <w:footnote w:id="2">
    <w:p w14:paraId="61AF210B" w14:textId="114EF4B6" w:rsidR="007B3B3F" w:rsidRDefault="007B3B3F" w:rsidP="00FA6DD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A6DD1">
        <w:tab/>
      </w:r>
      <w:r w:rsidR="003A10E7">
        <w:rPr>
          <w:rFonts w:ascii="Calibri" w:hAnsi="Calibri"/>
          <w:color w:val="000000"/>
        </w:rPr>
        <w:t>K</w:t>
      </w:r>
      <w:r w:rsidR="003A10E7" w:rsidRPr="005A046E">
        <w:rPr>
          <w:rFonts w:ascii="Calibri" w:hAnsi="Calibri"/>
          <w:color w:val="000000"/>
        </w:rPr>
        <w:t xml:space="preserve">ontrolní akce </w:t>
      </w:r>
      <w:r w:rsidR="003A10E7">
        <w:rPr>
          <w:rFonts w:ascii="Calibri" w:hAnsi="Calibri"/>
          <w:color w:val="000000"/>
        </w:rPr>
        <w:t xml:space="preserve">č. </w:t>
      </w:r>
      <w:r w:rsidR="003A10E7" w:rsidRPr="005A046E">
        <w:rPr>
          <w:rFonts w:ascii="Calibri" w:hAnsi="Calibri"/>
          <w:color w:val="000000"/>
        </w:rPr>
        <w:t xml:space="preserve">19/18 </w:t>
      </w:r>
      <w:r w:rsidR="00D96461">
        <w:rPr>
          <w:rFonts w:ascii="Calibri" w:hAnsi="Calibri"/>
          <w:color w:val="000000"/>
        </w:rPr>
        <w:t>–</w:t>
      </w:r>
      <w:r w:rsidR="003A10E7" w:rsidRPr="005A046E">
        <w:rPr>
          <w:rFonts w:ascii="Calibri" w:hAnsi="Calibri"/>
          <w:color w:val="000000"/>
        </w:rPr>
        <w:t xml:space="preserve"> </w:t>
      </w:r>
      <w:r w:rsidR="003A10E7" w:rsidRPr="005A046E">
        <w:rPr>
          <w:rFonts w:ascii="Calibri" w:hAnsi="Calibri"/>
          <w:i/>
          <w:iCs/>
          <w:color w:val="000000"/>
        </w:rPr>
        <w:t xml:space="preserve">Podpory poskytované Podpůrným a garančním rolnickým a lesnickým fondem, </w:t>
      </w:r>
      <w:r w:rsidR="003A10E7">
        <w:rPr>
          <w:rFonts w:ascii="Calibri" w:hAnsi="Calibri"/>
          <w:i/>
          <w:iCs/>
          <w:color w:val="000000"/>
        </w:rPr>
        <w:t>a.s.</w:t>
      </w:r>
    </w:p>
  </w:footnote>
  <w:footnote w:id="3">
    <w:p w14:paraId="08A2CBFC" w14:textId="0E4353AE" w:rsidR="00DB318A" w:rsidRDefault="00DB318A" w:rsidP="00FA6DD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A6DD1">
        <w:tab/>
      </w:r>
      <w:r>
        <w:t xml:space="preserve">Ustanovení </w:t>
      </w:r>
      <w:r>
        <w:rPr>
          <w:rFonts w:cstheme="minorHAnsi"/>
        </w:rPr>
        <w:t>§</w:t>
      </w:r>
      <w:r>
        <w:t xml:space="preserve"> 21 zákona České národní rady č. 2/1969 Sb., </w:t>
      </w:r>
      <w:r w:rsidRPr="002111B3">
        <w:t>o zřízení ministerstev a jiných ústředních orgánů státní správy České republiky</w:t>
      </w:r>
      <w:r>
        <w:t xml:space="preserve"> (dále také „kompetenční zákon“).</w:t>
      </w:r>
    </w:p>
  </w:footnote>
  <w:footnote w:id="4">
    <w:p w14:paraId="6EC574E3" w14:textId="5EF7BEA8" w:rsidR="0071278C" w:rsidRDefault="0071278C" w:rsidP="00FA6DD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A6DD1">
        <w:tab/>
      </w:r>
      <w:r>
        <w:t xml:space="preserve">Usnesení vlády č. 115; </w:t>
      </w:r>
      <w:r w:rsidR="00D96461">
        <w:rPr>
          <w:rFonts w:cstheme="minorHAnsi"/>
        </w:rPr>
        <w:t>u</w:t>
      </w:r>
      <w:r w:rsidRPr="00091B2F">
        <w:rPr>
          <w:rFonts w:cstheme="minorHAnsi"/>
        </w:rPr>
        <w:t>snesení vlády</w:t>
      </w:r>
      <w:r>
        <w:rPr>
          <w:rFonts w:cstheme="minorHAnsi"/>
        </w:rPr>
        <w:t xml:space="preserve"> České republiky</w:t>
      </w:r>
      <w:r w:rsidRPr="00091B2F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091B2F">
        <w:rPr>
          <w:rFonts w:cstheme="minorHAnsi"/>
        </w:rPr>
        <w:t xml:space="preserve">e dne 28. </w:t>
      </w:r>
      <w:r w:rsidR="005B6EF1">
        <w:rPr>
          <w:rFonts w:cstheme="minorHAnsi"/>
        </w:rPr>
        <w:t>ledna</w:t>
      </w:r>
      <w:r w:rsidRPr="00091B2F">
        <w:rPr>
          <w:rFonts w:cstheme="minorHAnsi"/>
        </w:rPr>
        <w:t xml:space="preserve"> 2019 č. 71</w:t>
      </w:r>
      <w:r>
        <w:rPr>
          <w:rFonts w:cstheme="minorHAnsi"/>
        </w:rPr>
        <w:t>,</w:t>
      </w:r>
      <w:r w:rsidR="005B6EF1">
        <w:rPr>
          <w:rFonts w:cstheme="minorHAnsi"/>
        </w:rPr>
        <w:t xml:space="preserve"> </w:t>
      </w:r>
      <w:r w:rsidR="005B6EF1" w:rsidRPr="00C45202">
        <w:rPr>
          <w:rFonts w:cstheme="minorHAnsi"/>
          <w:i/>
          <w:iCs/>
        </w:rPr>
        <w:t>o</w:t>
      </w:r>
      <w:r w:rsidRPr="00C45202">
        <w:rPr>
          <w:rFonts w:cstheme="minorHAnsi"/>
          <w:i/>
          <w:iCs/>
        </w:rPr>
        <w:t xml:space="preserve"> Aktualizac</w:t>
      </w:r>
      <w:r w:rsidR="005B6EF1" w:rsidRPr="00C45202">
        <w:rPr>
          <w:rFonts w:cstheme="minorHAnsi"/>
          <w:i/>
          <w:iCs/>
        </w:rPr>
        <w:t>i</w:t>
      </w:r>
      <w:r w:rsidRPr="00C45202">
        <w:rPr>
          <w:rFonts w:cstheme="minorHAnsi"/>
          <w:i/>
          <w:iCs/>
        </w:rPr>
        <w:t xml:space="preserve"> Metodiky přípravy veřejných strategií</w:t>
      </w:r>
      <w:r>
        <w:rPr>
          <w:rFonts w:cstheme="minorHAnsi"/>
        </w:rPr>
        <w:t xml:space="preserve"> (dále </w:t>
      </w:r>
      <w:r w:rsidR="00DD7F03">
        <w:rPr>
          <w:rFonts w:cstheme="minorHAnsi"/>
        </w:rPr>
        <w:t>také</w:t>
      </w:r>
      <w:r>
        <w:rPr>
          <w:rFonts w:cstheme="minorHAnsi"/>
        </w:rPr>
        <w:t xml:space="preserve"> „usnesení vlády č. 71“); </w:t>
      </w:r>
      <w:r w:rsidR="00D96461">
        <w:t>u</w:t>
      </w:r>
      <w:r>
        <w:t>snesení vlády České republiky ze dne 12.</w:t>
      </w:r>
      <w:r w:rsidR="00FA6DD1">
        <w:t> </w:t>
      </w:r>
      <w:r>
        <w:t xml:space="preserve">prosince 2018 č. 835, </w:t>
      </w:r>
      <w:r w:rsidRPr="00C45202">
        <w:rPr>
          <w:i/>
          <w:iCs/>
        </w:rPr>
        <w:t xml:space="preserve">o Zásadách odměňování vedoucích zaměstnanců a členů orgánů ovládaných obchodních společností s majetkovou účastí státu a vedoucích zaměstnanců státních podniků a jiných státních organizací zřízených zákonem nebo ministerstvem </w:t>
      </w:r>
      <w:r>
        <w:t>(dále také „usnesení vlády č. 835“)</w:t>
      </w:r>
      <w:r>
        <w:rPr>
          <w:rFonts w:cstheme="minorHAnsi"/>
        </w:rPr>
        <w:t>.</w:t>
      </w:r>
    </w:p>
  </w:footnote>
  <w:footnote w:id="5">
    <w:p w14:paraId="4A7E01D8" w14:textId="4F73AD8A" w:rsidR="0008474C" w:rsidRDefault="0008474C" w:rsidP="00670E4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A6DD1">
        <w:tab/>
      </w:r>
      <w:r w:rsidR="00F90E79">
        <w:rPr>
          <w:rFonts w:cstheme="minorHAnsi"/>
        </w:rPr>
        <w:t xml:space="preserve">Schválené usnesením vlády </w:t>
      </w:r>
      <w:r w:rsidR="00F90E79" w:rsidRPr="00F90E79">
        <w:rPr>
          <w:rFonts w:cstheme="minorHAnsi"/>
        </w:rPr>
        <w:t>ze dne 29. července 2015</w:t>
      </w:r>
      <w:r w:rsidR="00670E4C">
        <w:rPr>
          <w:rFonts w:cstheme="minorHAnsi"/>
        </w:rPr>
        <w:t xml:space="preserve"> č. 606, </w:t>
      </w:r>
      <w:r w:rsidR="00670E4C" w:rsidRPr="00C45202">
        <w:rPr>
          <w:rFonts w:cstheme="minorHAnsi"/>
          <w:i/>
          <w:iCs/>
        </w:rPr>
        <w:t>o</w:t>
      </w:r>
      <w:r w:rsidR="00D96461">
        <w:rPr>
          <w:rFonts w:cstheme="minorHAnsi"/>
          <w:i/>
          <w:iCs/>
        </w:rPr>
        <w:t> </w:t>
      </w:r>
      <w:r w:rsidR="00670E4C" w:rsidRPr="00C45202">
        <w:rPr>
          <w:rFonts w:cstheme="minorHAnsi"/>
          <w:i/>
          <w:iCs/>
        </w:rPr>
        <w:t>aktualizaci Zásad odměňování vedoucích zaměstnanců a členů orgánů ovládaných obchodních společností s</w:t>
      </w:r>
      <w:r w:rsidR="00D96461">
        <w:rPr>
          <w:rFonts w:cstheme="minorHAnsi"/>
          <w:i/>
          <w:iCs/>
        </w:rPr>
        <w:t> </w:t>
      </w:r>
      <w:r w:rsidR="00670E4C" w:rsidRPr="00C45202">
        <w:rPr>
          <w:rFonts w:cstheme="minorHAnsi"/>
          <w:i/>
          <w:iCs/>
        </w:rPr>
        <w:t>majetkovou účastí státu včetně státních podniků a jiných státních organizací zřízených zákonem nebo ministerstvem</w:t>
      </w:r>
      <w:r w:rsidR="001E5CCB">
        <w:rPr>
          <w:rFonts w:cstheme="minorHAnsi"/>
        </w:rPr>
        <w:t>.</w:t>
      </w:r>
    </w:p>
  </w:footnote>
  <w:footnote w:id="6">
    <w:p w14:paraId="460AB25C" w14:textId="441C8F92" w:rsidR="00B27A5E" w:rsidRPr="00B27A5E" w:rsidRDefault="00B27A5E" w:rsidP="00727A3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727A34">
        <w:tab/>
      </w:r>
      <w:r>
        <w:t xml:space="preserve">MF ve Strategii nastavilo tři kategorie obchodních společností: </w:t>
      </w:r>
      <w:r w:rsidRPr="003968C0">
        <w:rPr>
          <w:rFonts w:cstheme="minorHAnsi"/>
        </w:rPr>
        <w:t>strategické, podpůrné a zbytné</w:t>
      </w:r>
      <w:r>
        <w:rPr>
          <w:rFonts w:cstheme="minorHAnsi"/>
        </w:rPr>
        <w:t>.</w:t>
      </w:r>
    </w:p>
  </w:footnote>
  <w:footnote w:id="7">
    <w:p w14:paraId="5DBF27D8" w14:textId="16BCB6B9" w:rsidR="00015D84" w:rsidRDefault="00015D84" w:rsidP="00727A3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727A34">
        <w:tab/>
      </w:r>
      <w:r>
        <w:t>Českomoravská společnost chovatelů, a.s. (dále také „ČMSCH, a.s.“)</w:t>
      </w:r>
      <w:r w:rsidR="005000F2">
        <w:t>.</w:t>
      </w:r>
    </w:p>
  </w:footnote>
  <w:footnote w:id="8">
    <w:p w14:paraId="62FDF326" w14:textId="23D5768E" w:rsidR="005000F2" w:rsidRDefault="005000F2" w:rsidP="00727A3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727A34">
        <w:tab/>
      </w:r>
      <w:r>
        <w:t>Zákon č. 563/1991 Sb., o účetnictví.</w:t>
      </w:r>
    </w:p>
  </w:footnote>
  <w:footnote w:id="9">
    <w:p w14:paraId="077B4EEE" w14:textId="0C2FE2DD" w:rsidR="007F0E48" w:rsidRDefault="007F0E48" w:rsidP="00227FD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227FDD">
        <w:tab/>
      </w:r>
      <w:r>
        <w:t>Zákon č. 353/2019 Sb., o výběru osob do řídících a dozorčích orgánů právnických osob s majetkovou účastí státu (nominační zákon).</w:t>
      </w:r>
    </w:p>
  </w:footnote>
  <w:footnote w:id="10">
    <w:p w14:paraId="36457266" w14:textId="1D0E9C9F" w:rsidR="00090A7A" w:rsidRPr="009668F1" w:rsidRDefault="007F68A4" w:rsidP="00227FDD">
      <w:pPr>
        <w:spacing w:after="0" w:line="240" w:lineRule="auto"/>
        <w:ind w:left="284" w:hanging="284"/>
        <w:jc w:val="both"/>
        <w:rPr>
          <w:rFonts w:ascii="Calibri" w:hAnsi="Calibri"/>
          <w:color w:val="000000"/>
          <w:sz w:val="24"/>
          <w:szCs w:val="24"/>
        </w:rPr>
      </w:pPr>
      <w:r>
        <w:rPr>
          <w:rStyle w:val="Znakapoznpodarou"/>
        </w:rPr>
        <w:footnoteRef/>
      </w:r>
      <w:r w:rsidR="000114EF">
        <w:t xml:space="preserve"> </w:t>
      </w:r>
      <w:r w:rsidR="00227FDD">
        <w:tab/>
      </w:r>
      <w:r w:rsidR="000114EF">
        <w:rPr>
          <w:rFonts w:ascii="Calibri" w:hAnsi="Calibri"/>
          <w:color w:val="000000"/>
          <w:sz w:val="20"/>
          <w:szCs w:val="20"/>
        </w:rPr>
        <w:t>K</w:t>
      </w:r>
      <w:r>
        <w:rPr>
          <w:rFonts w:ascii="Calibri" w:hAnsi="Calibri"/>
          <w:color w:val="000000"/>
          <w:sz w:val="20"/>
          <w:szCs w:val="20"/>
        </w:rPr>
        <w:t xml:space="preserve">ontrolní akce </w:t>
      </w:r>
      <w:r w:rsidR="00401224">
        <w:rPr>
          <w:rFonts w:ascii="Calibri" w:hAnsi="Calibri"/>
          <w:color w:val="000000"/>
          <w:sz w:val="20"/>
          <w:szCs w:val="20"/>
        </w:rPr>
        <w:t xml:space="preserve">č. </w:t>
      </w:r>
      <w:r>
        <w:rPr>
          <w:rFonts w:ascii="Calibri" w:hAnsi="Calibri"/>
          <w:color w:val="000000"/>
          <w:sz w:val="20"/>
          <w:szCs w:val="20"/>
        </w:rPr>
        <w:t xml:space="preserve">05/10 – </w:t>
      </w:r>
      <w:r w:rsidRPr="005A046E">
        <w:rPr>
          <w:rFonts w:ascii="Calibri" w:hAnsi="Calibri"/>
          <w:i/>
          <w:iCs/>
          <w:color w:val="000000"/>
          <w:sz w:val="20"/>
          <w:szCs w:val="20"/>
        </w:rPr>
        <w:t xml:space="preserve">Podpora zemědělství a lesního hospodářství poskytovaná prostřednictvím Podpůrného a garanční rolnického a lesnického fondu, </w:t>
      </w:r>
      <w:r w:rsidR="00594FD6">
        <w:rPr>
          <w:rFonts w:ascii="Calibri" w:hAnsi="Calibri"/>
          <w:i/>
          <w:iCs/>
          <w:color w:val="000000"/>
          <w:sz w:val="20"/>
          <w:szCs w:val="20"/>
        </w:rPr>
        <w:t>a.s.</w:t>
      </w:r>
      <w:r w:rsidR="009A2C22" w:rsidRPr="009668F1">
        <w:rPr>
          <w:rFonts w:ascii="Calibri" w:hAnsi="Calibri"/>
          <w:color w:val="000000"/>
          <w:sz w:val="20"/>
          <w:szCs w:val="20"/>
        </w:rPr>
        <w:t>,</w:t>
      </w:r>
      <w:r w:rsidR="009A2C22">
        <w:rPr>
          <w:rFonts w:ascii="Calibri" w:hAnsi="Calibri"/>
          <w:color w:val="000000"/>
          <w:sz w:val="20"/>
          <w:szCs w:val="20"/>
        </w:rPr>
        <w:t xml:space="preserve"> kontrolní akce č. 99/05</w:t>
      </w:r>
      <w:r w:rsidR="00227FDD">
        <w:rPr>
          <w:rFonts w:ascii="Calibri" w:hAnsi="Calibri"/>
          <w:color w:val="000000"/>
          <w:sz w:val="20"/>
          <w:szCs w:val="20"/>
        </w:rPr>
        <w:t> </w:t>
      </w:r>
      <w:r w:rsidR="009A2C22">
        <w:rPr>
          <w:rFonts w:ascii="Calibri" w:hAnsi="Calibri"/>
          <w:color w:val="000000"/>
          <w:sz w:val="20"/>
          <w:szCs w:val="20"/>
        </w:rPr>
        <w:t xml:space="preserve">– </w:t>
      </w:r>
      <w:r w:rsidR="009A2C22" w:rsidRPr="003968C0">
        <w:rPr>
          <w:rFonts w:ascii="Calibri" w:hAnsi="Calibri"/>
          <w:i/>
          <w:iCs/>
          <w:color w:val="000000"/>
          <w:sz w:val="20"/>
          <w:szCs w:val="20"/>
        </w:rPr>
        <w:t>Hospodaření s prostředky státního rozpočtu poskytnutými prostřednictvím Podpůrného a garančního rolnického a lesnického fondu, a.s.</w:t>
      </w:r>
    </w:p>
  </w:footnote>
  <w:footnote w:id="11">
    <w:p w14:paraId="0C3C03BC" w14:textId="4B68B336" w:rsidR="00255E45" w:rsidRDefault="00255E45" w:rsidP="00227FD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227FDD">
        <w:tab/>
      </w:r>
      <w:r w:rsidRPr="003968C0">
        <w:rPr>
          <w:rFonts w:ascii="Calibri" w:hAnsi="Calibri"/>
          <w:color w:val="000000"/>
        </w:rPr>
        <w:t>Státní investiční a rozvojová společnost, a.s. (dále také „SIRS, a.s.“)</w:t>
      </w:r>
      <w:r>
        <w:rPr>
          <w:rFonts w:ascii="Calibri" w:hAnsi="Calibri"/>
          <w:color w:val="000000"/>
        </w:rPr>
        <w:t>.</w:t>
      </w:r>
    </w:p>
  </w:footnote>
  <w:footnote w:id="12">
    <w:p w14:paraId="01BD53A2" w14:textId="43EDC003" w:rsidR="007A1A88" w:rsidRPr="00CC44EE" w:rsidRDefault="007A1A88" w:rsidP="00681CF2">
      <w:pPr>
        <w:pStyle w:val="Textpoznpodarou"/>
        <w:ind w:left="284" w:hanging="284"/>
        <w:jc w:val="both"/>
        <w:rPr>
          <w:rFonts w:cstheme="minorHAnsi"/>
        </w:rPr>
      </w:pPr>
      <w:r>
        <w:rPr>
          <w:rStyle w:val="Znakapoznpodarou"/>
        </w:rPr>
        <w:footnoteRef/>
      </w:r>
      <w:r>
        <w:t xml:space="preserve"> </w:t>
      </w:r>
      <w:r w:rsidR="00681CF2">
        <w:tab/>
      </w:r>
      <w:r w:rsidR="00401224">
        <w:t>S</w:t>
      </w:r>
      <w:r>
        <w:t xml:space="preserve">tát dále </w:t>
      </w:r>
      <w:r w:rsidRPr="000D2935">
        <w:t>vykonává</w:t>
      </w:r>
      <w:r w:rsidRPr="000D2935">
        <w:rPr>
          <w:rFonts w:cstheme="minorHAnsi"/>
        </w:rPr>
        <w:t xml:space="preserve"> zakladatelská práva ve státních podnicích a národním podniku</w:t>
      </w:r>
      <w:r>
        <w:rPr>
          <w:rFonts w:cstheme="minorHAnsi"/>
        </w:rPr>
        <w:t xml:space="preserve">, ty však nebyly předmětem kontrolní akce. </w:t>
      </w:r>
    </w:p>
  </w:footnote>
  <w:footnote w:id="13">
    <w:p w14:paraId="573E0D2C" w14:textId="00591E58" w:rsidR="007A1A88" w:rsidRPr="00A86C3F" w:rsidRDefault="007A1A88" w:rsidP="00681CF2">
      <w:pPr>
        <w:pStyle w:val="Textpoznpodarou"/>
        <w:ind w:left="284" w:hanging="284"/>
        <w:jc w:val="both"/>
      </w:pPr>
      <w:r w:rsidRPr="00A86C3F">
        <w:rPr>
          <w:rStyle w:val="Znakapoznpodarou"/>
        </w:rPr>
        <w:footnoteRef/>
      </w:r>
      <w:r w:rsidRPr="00A86C3F">
        <w:t xml:space="preserve"> </w:t>
      </w:r>
      <w:r w:rsidR="00681CF2">
        <w:tab/>
      </w:r>
      <w:r w:rsidRPr="00A86C3F">
        <w:t>Zákon č. 90/2012 Sb., o obchodních společnostech a družstvech (zákon o obchodních korporacích).</w:t>
      </w:r>
    </w:p>
  </w:footnote>
  <w:footnote w:id="14">
    <w:p w14:paraId="48653434" w14:textId="04B5F844" w:rsidR="008A20A3" w:rsidRPr="00A86C3F" w:rsidRDefault="007F68A4" w:rsidP="00681CF2">
      <w:pPr>
        <w:pStyle w:val="Textpoznpodarou"/>
        <w:ind w:left="284" w:hanging="284"/>
        <w:jc w:val="both"/>
      </w:pPr>
      <w:r w:rsidRPr="00A86C3F">
        <w:rPr>
          <w:rStyle w:val="Znakapoznpodarou"/>
        </w:rPr>
        <w:footnoteRef/>
      </w:r>
      <w:r w:rsidRPr="00A86C3F">
        <w:t xml:space="preserve"> </w:t>
      </w:r>
      <w:r w:rsidR="00681CF2">
        <w:tab/>
      </w:r>
      <w:r w:rsidR="00473D3F" w:rsidRPr="00A86C3F">
        <w:t>S</w:t>
      </w:r>
      <w:r w:rsidRPr="00A86C3F">
        <w:t>oubor mechanismů, procesů a vztahů, podle kterých jsou obchodní společnosti řízeny a kontrolovány</w:t>
      </w:r>
      <w:r w:rsidR="00473D3F" w:rsidRPr="00A86C3F">
        <w:t>.</w:t>
      </w:r>
    </w:p>
  </w:footnote>
  <w:footnote w:id="15">
    <w:p w14:paraId="12193E6F" w14:textId="2BBA72D2" w:rsidR="00751B5E" w:rsidRDefault="00751B5E" w:rsidP="00681CF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81CF2">
        <w:tab/>
      </w:r>
      <w:r w:rsidRPr="00A86C3F">
        <w:t xml:space="preserve">Na základě usnesení vlády České republiky ze dne 23. </w:t>
      </w:r>
      <w:r>
        <w:t>července</w:t>
      </w:r>
      <w:r w:rsidRPr="00A86C3F">
        <w:t xml:space="preserve"> 2025 č. 555, </w:t>
      </w:r>
      <w:r w:rsidRPr="00C45202">
        <w:rPr>
          <w:i/>
          <w:iCs/>
        </w:rPr>
        <w:t>o změně příslušnosti hospodařit s majetkovou účastí státu ve společnosti NRB, a.s., z Ministerstva průmyslu a obchodu a z Ministerstva pro místní rozvoj na Ministerstvo financí</w:t>
      </w:r>
      <w:r w:rsidRPr="00A86C3F">
        <w:t xml:space="preserve">, přešla příslušnost hospodařit s akciemi NRB, </w:t>
      </w:r>
      <w:r>
        <w:t>a.s.</w:t>
      </w:r>
      <w:r w:rsidR="00BF4A93">
        <w:t>,</w:t>
      </w:r>
      <w:r w:rsidRPr="00A86C3F">
        <w:t xml:space="preserve"> na MF.</w:t>
      </w:r>
    </w:p>
  </w:footnote>
  <w:footnote w:id="16">
    <w:p w14:paraId="2883D3D9" w14:textId="75EDB36A" w:rsidR="003D2D41" w:rsidRDefault="007F68A4" w:rsidP="00681CF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81CF2">
        <w:tab/>
      </w:r>
      <w:r w:rsidR="00473D3F">
        <w:t>B</w:t>
      </w:r>
      <w:r w:rsidR="00917111">
        <w:t>ez odměn</w:t>
      </w:r>
      <w:r w:rsidRPr="003D2D41">
        <w:t xml:space="preserve"> zaměstnanců ministerstev</w:t>
      </w:r>
      <w:r>
        <w:t xml:space="preserve"> za výkon funkce </w:t>
      </w:r>
      <w:r w:rsidRPr="003D2D41">
        <w:t xml:space="preserve">členů </w:t>
      </w:r>
      <w:r>
        <w:t>dozorčích rad</w:t>
      </w:r>
      <w:r w:rsidR="00F02CAC">
        <w:t>;</w:t>
      </w:r>
      <w:r w:rsidR="00917111">
        <w:t xml:space="preserve"> t</w:t>
      </w:r>
      <w:r>
        <w:t xml:space="preserve">yto odměny jsou </w:t>
      </w:r>
      <w:r w:rsidR="00917111">
        <w:t>vypláceny</w:t>
      </w:r>
      <w:r>
        <w:t xml:space="preserve"> </w:t>
      </w:r>
      <w:r w:rsidR="004E1416">
        <w:t>obchodními</w:t>
      </w:r>
      <w:r>
        <w:t xml:space="preserve"> společnost</w:t>
      </w:r>
      <w:r w:rsidR="004E1416">
        <w:t>mi</w:t>
      </w:r>
      <w:r w:rsidR="00473D3F">
        <w:t>.</w:t>
      </w:r>
    </w:p>
  </w:footnote>
  <w:footnote w:id="17">
    <w:p w14:paraId="42B5AD7F" w14:textId="3B08D21C" w:rsidR="00090A7A" w:rsidRPr="001B684A" w:rsidRDefault="007F68A4" w:rsidP="009651D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9651D5">
        <w:tab/>
      </w:r>
      <w:r>
        <w:t>Mezire</w:t>
      </w:r>
      <w:r w:rsidR="00A4358C">
        <w:t>s</w:t>
      </w:r>
      <w:r>
        <w:t xml:space="preserve">ortní pracovní skupina byla vytvořena na základě opatření č. 21 </w:t>
      </w:r>
      <w:r w:rsidRPr="001207BC">
        <w:t>Strategie</w:t>
      </w:r>
      <w:r w:rsidRPr="001B684A">
        <w:rPr>
          <w:i/>
          <w:iCs/>
        </w:rPr>
        <w:t xml:space="preserve"> </w:t>
      </w:r>
      <w:r>
        <w:t xml:space="preserve">a členy byli zástupci ministerstev, která vykonávala správu majetkových účastí státu v obchodních. </w:t>
      </w:r>
    </w:p>
  </w:footnote>
  <w:footnote w:id="18">
    <w:p w14:paraId="4ECDC1A5" w14:textId="68771870" w:rsidR="00F1524E" w:rsidRDefault="007F68A4" w:rsidP="009651D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9651D5">
        <w:tab/>
      </w:r>
      <w:r w:rsidR="005C5C0D">
        <w:t>Souhlas vlády ČR byl vydán u</w:t>
      </w:r>
      <w:r>
        <w:t>snesení</w:t>
      </w:r>
      <w:r w:rsidR="005C5C0D">
        <w:t>m</w:t>
      </w:r>
      <w:r>
        <w:t xml:space="preserve"> vlády České republiky ze dne 28. </w:t>
      </w:r>
      <w:r w:rsidR="005C5C0D">
        <w:t>května</w:t>
      </w:r>
      <w:r>
        <w:t xml:space="preserve"> 2025 č. 374, </w:t>
      </w:r>
      <w:r w:rsidR="005C5C0D" w:rsidRPr="00C45202">
        <w:rPr>
          <w:i/>
          <w:iCs/>
        </w:rPr>
        <w:t>k žádosti o</w:t>
      </w:r>
      <w:r w:rsidR="00134F95" w:rsidRPr="00C45202">
        <w:rPr>
          <w:i/>
          <w:iCs/>
        </w:rPr>
        <w:t> </w:t>
      </w:r>
      <w:r w:rsidR="005C5C0D" w:rsidRPr="00C45202">
        <w:rPr>
          <w:i/>
          <w:iCs/>
        </w:rPr>
        <w:t xml:space="preserve">předchozí souhlas vlády podle </w:t>
      </w:r>
      <w:r w:rsidRPr="00C45202">
        <w:rPr>
          <w:i/>
          <w:iCs/>
        </w:rPr>
        <w:t>§ 28 odst. 3 zákona č. 219/2000 Sb.,</w:t>
      </w:r>
      <w:r w:rsidRPr="00A4358C">
        <w:rPr>
          <w:i/>
          <w:iCs/>
        </w:rPr>
        <w:t xml:space="preserve"> </w:t>
      </w:r>
      <w:r w:rsidRPr="00C45202">
        <w:rPr>
          <w:i/>
          <w:iCs/>
        </w:rPr>
        <w:t>o majetku České republiky a jejím vystupování v právních vztazích, ve znění pozdějších předpisů</w:t>
      </w:r>
      <w:r w:rsidR="002D0B7F">
        <w:t>.</w:t>
      </w:r>
    </w:p>
  </w:footnote>
  <w:footnote w:id="19">
    <w:p w14:paraId="549C16F1" w14:textId="3BF16A56" w:rsidR="004F14C1" w:rsidRDefault="004F14C1" w:rsidP="009651D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9651D5">
        <w:tab/>
      </w:r>
      <w:r>
        <w:t xml:space="preserve">Evropská společnost E.ON SE je zapsána </w:t>
      </w:r>
      <w:r w:rsidR="00134F95">
        <w:t xml:space="preserve">ve Spolkové republice Německo </w:t>
      </w:r>
      <w:r>
        <w:t>v obchodním rejstříku</w:t>
      </w:r>
      <w:r w:rsidR="00134F95">
        <w:t xml:space="preserve"> Obvodního soudu ve městě Essen pod registračním číslem </w:t>
      </w:r>
      <w:r w:rsidR="00134F95" w:rsidRPr="00134F95">
        <w:t>HRB 28196</w:t>
      </w:r>
      <w:r w:rsidR="00134F95">
        <w:t xml:space="preserve"> (dále také „E.ON SE“).</w:t>
      </w:r>
    </w:p>
  </w:footnote>
  <w:footnote w:id="20">
    <w:p w14:paraId="15CDE20E" w14:textId="3789436E" w:rsidR="00134F95" w:rsidRDefault="00134F95" w:rsidP="009651D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9651D5">
        <w:tab/>
      </w:r>
      <w:r>
        <w:t>Evropská společnost UNIPER SE je zapsána</w:t>
      </w:r>
      <w:r w:rsidRPr="00134F95">
        <w:t xml:space="preserve"> </w:t>
      </w:r>
      <w:r>
        <w:t xml:space="preserve">ve Spolkové republice Německo v obchodním rejstříku Obvodního soudu ve městě Düsseldorf pod registračním číslem </w:t>
      </w:r>
      <w:r w:rsidRPr="00134F95">
        <w:t>HRB 77425</w:t>
      </w:r>
      <w:r>
        <w:t xml:space="preserve"> (dále také „UNIPER SE“).</w:t>
      </w:r>
    </w:p>
  </w:footnote>
  <w:footnote w:id="21">
    <w:p w14:paraId="12C8B21E" w14:textId="69222AD6" w:rsidR="00760246" w:rsidRDefault="00760246" w:rsidP="009651D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9651D5">
        <w:tab/>
      </w:r>
      <w:r w:rsidRPr="00760246">
        <w:rPr>
          <w:i/>
          <w:iCs/>
        </w:rPr>
        <w:t>Ministerstvo financí. Majetkové účasti Ministerstva financí ke dni 31.12.2024</w:t>
      </w:r>
      <w:r w:rsidRPr="00760246">
        <w:t xml:space="preserve"> </w:t>
      </w:r>
      <w:r w:rsidRPr="000D5851">
        <w:t>[online]</w:t>
      </w:r>
      <w:r w:rsidRPr="00760246">
        <w:t xml:space="preserve">. MF </w:t>
      </w:r>
      <w:r w:rsidRPr="000D5851">
        <w:t>[Cit. 1.</w:t>
      </w:r>
      <w:r w:rsidR="00A4358C" w:rsidRPr="000D5851">
        <w:t> </w:t>
      </w:r>
      <w:r w:rsidRPr="000D5851">
        <w:t>9.</w:t>
      </w:r>
      <w:r w:rsidR="00A4358C" w:rsidRPr="000D5851">
        <w:t> </w:t>
      </w:r>
      <w:r w:rsidRPr="000D5851">
        <w:t>2025].</w:t>
      </w:r>
      <w:r w:rsidRPr="00760246">
        <w:rPr>
          <w:i/>
          <w:iCs/>
        </w:rPr>
        <w:t xml:space="preserve"> Dostupné z:</w:t>
      </w:r>
      <w:r w:rsidR="00845D80">
        <w:rPr>
          <w:i/>
          <w:iCs/>
        </w:rPr>
        <w:t xml:space="preserve"> </w:t>
      </w:r>
      <w:hyperlink r:id="rId1" w:history="1">
        <w:r w:rsidR="00BB2B8B" w:rsidRPr="00677B94">
          <w:rPr>
            <w:rStyle w:val="Hypertextovodkaz"/>
            <w:color w:val="0070C0"/>
          </w:rPr>
          <w:t>https://mf.gov.cz/cs/kontrola-a-regulace/majetek-statu/majetkove-ucasti/2024/majetkove-ucasti-ministerstva-financi-ke-dni-31-12-58350</w:t>
        </w:r>
      </w:hyperlink>
      <w:r w:rsidR="0036704A">
        <w:t>.</w:t>
      </w:r>
    </w:p>
  </w:footnote>
  <w:footnote w:id="22">
    <w:p w14:paraId="1EE33623" w14:textId="79C3AB2C" w:rsidR="00585E47" w:rsidRPr="00D32050" w:rsidRDefault="00585E47" w:rsidP="009651D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9651D5">
        <w:tab/>
      </w:r>
      <w:r>
        <w:t xml:space="preserve">Ustanovení § 23c odst. 1 písm. b) zákona č. 154/2000 Sb., </w:t>
      </w:r>
      <w:r w:rsidRPr="00D32050">
        <w:t>o šlechtění, plemenitbě a evidenci hospodářských zvířat a o změně některých souvisejících zákonů (plemenářský zákon)</w:t>
      </w:r>
      <w:r>
        <w:t>.</w:t>
      </w:r>
    </w:p>
  </w:footnote>
  <w:footnote w:id="23">
    <w:p w14:paraId="5FCD6B4E" w14:textId="63E8355F" w:rsidR="00FA6B54" w:rsidRDefault="00FA6B54" w:rsidP="006D6FD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>
        <w:t>Do 31. 12. 2024 Výzkumný a zkušební letecký ústav, a.s.</w:t>
      </w:r>
    </w:p>
  </w:footnote>
  <w:footnote w:id="24">
    <w:p w14:paraId="5167BD6E" w14:textId="5E546C54" w:rsidR="008526AF" w:rsidRDefault="007F68A4" w:rsidP="006D6FDA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>
        <w:t xml:space="preserve">Ustanovení </w:t>
      </w:r>
      <w:r>
        <w:rPr>
          <w:rFonts w:cstheme="minorHAnsi"/>
        </w:rPr>
        <w:t>§</w:t>
      </w:r>
      <w:r>
        <w:t xml:space="preserve"> 4 odst. 1 písm. b zákona o střetu zájmů.</w:t>
      </w:r>
    </w:p>
  </w:footnote>
  <w:footnote w:id="25">
    <w:p w14:paraId="13DB1488" w14:textId="5C3880DE" w:rsidR="004F027F" w:rsidRDefault="007F68A4" w:rsidP="006D6FDA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 w:rsidR="008526AF">
        <w:t xml:space="preserve">Ustanovení § 5 odst. 3 a ustanovení § 18 zákona </w:t>
      </w:r>
      <w:r>
        <w:t>č. 106/1999 Sb., o svobodném přístupu k</w:t>
      </w:r>
      <w:r w:rsidR="00336A0B">
        <w:t> </w:t>
      </w:r>
      <w:r>
        <w:t>informacím</w:t>
      </w:r>
      <w:r w:rsidR="00336A0B">
        <w:t>.</w:t>
      </w:r>
    </w:p>
  </w:footnote>
  <w:footnote w:id="26">
    <w:p w14:paraId="56AF6AA4" w14:textId="07B59597" w:rsidR="004F027F" w:rsidRDefault="007F68A4" w:rsidP="006D6FDA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 w:rsidR="00A316B7">
        <w:t>Ustanovení § 21a odst. 2 z</w:t>
      </w:r>
      <w:r>
        <w:t>ákon</w:t>
      </w:r>
      <w:r w:rsidR="00A316B7">
        <w:t>a</w:t>
      </w:r>
      <w:r>
        <w:t xml:space="preserve"> </w:t>
      </w:r>
      <w:r w:rsidR="00DF24D5">
        <w:t>o účetnictví</w:t>
      </w:r>
      <w:r w:rsidR="006A200D">
        <w:t>.</w:t>
      </w:r>
    </w:p>
  </w:footnote>
  <w:footnote w:id="27">
    <w:p w14:paraId="229AE920" w14:textId="3785164F" w:rsidR="00FA2FD7" w:rsidRDefault="007F68A4" w:rsidP="006D6FDA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 w:rsidR="00206FE3">
        <w:t>Ustanovení § 7 odst. 1 a odst. 2 písm. f z</w:t>
      </w:r>
      <w:r>
        <w:t>ákon</w:t>
      </w:r>
      <w:r w:rsidR="00206FE3">
        <w:t>a</w:t>
      </w:r>
      <w:r>
        <w:t xml:space="preserve"> č. 37/2021 Sb., o evidenci skutečných majitelů</w:t>
      </w:r>
      <w:r w:rsidR="00336A0B">
        <w:t>.</w:t>
      </w:r>
    </w:p>
  </w:footnote>
  <w:footnote w:id="28">
    <w:p w14:paraId="2BEE3868" w14:textId="540AA5BD" w:rsidR="00FA2FD7" w:rsidRDefault="007F68A4" w:rsidP="006D6FDA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 w:rsidR="006D6FDA">
        <w:t xml:space="preserve"> </w:t>
      </w:r>
      <w:r w:rsidR="006D6FDA">
        <w:tab/>
      </w:r>
      <w:r w:rsidR="00366C28">
        <w:t>Počet strategických obchodních společností v gesci M</w:t>
      </w:r>
      <w:r w:rsidR="00C31C8A">
        <w:t>F</w:t>
      </w:r>
      <w:r w:rsidR="00366C28">
        <w:t xml:space="preserve">, </w:t>
      </w:r>
      <w:r w:rsidR="00366C28" w:rsidRPr="003968C0">
        <w:rPr>
          <w:rFonts w:ascii="Calibri" w:hAnsi="Calibri" w:cs="Calibri"/>
          <w:bCs/>
          <w:iCs/>
        </w:rPr>
        <w:t xml:space="preserve">které byly </w:t>
      </w:r>
      <w:r w:rsidR="00C31C8A">
        <w:rPr>
          <w:rFonts w:ascii="Calibri" w:hAnsi="Calibri" w:cs="Calibri"/>
          <w:bCs/>
          <w:iCs/>
        </w:rPr>
        <w:t xml:space="preserve">dle MF </w:t>
      </w:r>
      <w:r w:rsidR="00366C28" w:rsidRPr="003968C0">
        <w:rPr>
          <w:rFonts w:ascii="Calibri" w:hAnsi="Calibri" w:cs="Calibri"/>
          <w:bCs/>
          <w:iCs/>
        </w:rPr>
        <w:t>povinnými subjekty ve smyslu zákona o svobodném přístupu k informacím</w:t>
      </w:r>
      <w:r w:rsidR="00594FD6">
        <w:t>.</w:t>
      </w:r>
    </w:p>
  </w:footnote>
  <w:footnote w:id="29">
    <w:p w14:paraId="6CF6C811" w14:textId="3719EC8E" w:rsidR="004A4DCD" w:rsidRDefault="007F68A4" w:rsidP="006D6FD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 w:rsidR="00336A0B">
        <w:t>V</w:t>
      </w:r>
      <w:r>
        <w:t xml:space="preserve">četně NRB, </w:t>
      </w:r>
      <w:r w:rsidR="00594FD6">
        <w:t>a.s.</w:t>
      </w:r>
    </w:p>
  </w:footnote>
  <w:footnote w:id="30">
    <w:p w14:paraId="52662FA8" w14:textId="27851240" w:rsidR="00FA2FD7" w:rsidRDefault="007F68A4" w:rsidP="006D6FDA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 w:rsidR="00336A0B">
        <w:t>U</w:t>
      </w:r>
      <w:r>
        <w:t xml:space="preserve">stanovení </w:t>
      </w:r>
      <w:r w:rsidRPr="00796554">
        <w:t>§</w:t>
      </w:r>
      <w:r>
        <w:t xml:space="preserve"> 5 odst. 3 zákona č. 106/1999 Sb</w:t>
      </w:r>
      <w:r w:rsidR="00336A0B">
        <w:t>.</w:t>
      </w:r>
    </w:p>
  </w:footnote>
  <w:footnote w:id="31">
    <w:p w14:paraId="353F270F" w14:textId="2A1CA224" w:rsidR="00FA2FD7" w:rsidRDefault="007F68A4" w:rsidP="006D6FDA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 w:rsidR="00336A0B">
        <w:t>U</w:t>
      </w:r>
      <w:r>
        <w:t xml:space="preserve">stanovení </w:t>
      </w:r>
      <w:r w:rsidRPr="00796554">
        <w:t>§</w:t>
      </w:r>
      <w:r>
        <w:t xml:space="preserve"> 18 odst. 1 zákona č. 106/1999 Sb</w:t>
      </w:r>
      <w:r w:rsidR="00336A0B">
        <w:t>.</w:t>
      </w:r>
    </w:p>
  </w:footnote>
  <w:footnote w:id="32">
    <w:p w14:paraId="2E8B00D8" w14:textId="4BF8FD5C" w:rsidR="00B26440" w:rsidRDefault="00B26440" w:rsidP="006D6FD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>
        <w:t>Bez NRB, a.s.</w:t>
      </w:r>
    </w:p>
  </w:footnote>
  <w:footnote w:id="33">
    <w:p w14:paraId="3157379B" w14:textId="7D8F3094" w:rsidR="00B26440" w:rsidRDefault="00B26440" w:rsidP="006D6FD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>
        <w:t>Obchodní společnost SIRS, a. s.</w:t>
      </w:r>
      <w:r w:rsidR="00677B94">
        <w:t>,</w:t>
      </w:r>
      <w:r>
        <w:t xml:space="preserve"> neměla povinnost k 31. 12. 2024 </w:t>
      </w:r>
      <w:r w:rsidR="005B41C1">
        <w:t xml:space="preserve">sestavit </w:t>
      </w:r>
      <w:r>
        <w:t>řádnou účetní závěrku.</w:t>
      </w:r>
    </w:p>
  </w:footnote>
  <w:footnote w:id="34">
    <w:p w14:paraId="52CA3AEC" w14:textId="76A00CBA" w:rsidR="00FA2FD7" w:rsidRDefault="007F68A4" w:rsidP="006D6FDA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 w:rsidR="00336A0B">
        <w:t>U</w:t>
      </w:r>
      <w:r>
        <w:t xml:space="preserve">stanovení </w:t>
      </w:r>
      <w:r w:rsidRPr="00796554">
        <w:t>§</w:t>
      </w:r>
      <w:r>
        <w:t xml:space="preserve"> 21a odst. 2 zákona </w:t>
      </w:r>
      <w:r w:rsidR="00DF24D5">
        <w:t>o účetnictví</w:t>
      </w:r>
      <w:r>
        <w:t xml:space="preserve"> </w:t>
      </w:r>
    </w:p>
  </w:footnote>
  <w:footnote w:id="35">
    <w:p w14:paraId="33434CB9" w14:textId="2E8D1D0B" w:rsidR="006B219D" w:rsidRDefault="007F68A4" w:rsidP="006D6FD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 w:rsidR="00336A0B">
        <w:t>U</w:t>
      </w:r>
      <w:r>
        <w:t xml:space="preserve">stanovení </w:t>
      </w:r>
      <w:r w:rsidRPr="00796554">
        <w:t>§</w:t>
      </w:r>
      <w:r>
        <w:t>7 odst. 1 a odst. 2 písm. f) zákona č. 37/2021 Sb</w:t>
      </w:r>
      <w:r w:rsidR="00336A0B">
        <w:t>.</w:t>
      </w:r>
    </w:p>
  </w:footnote>
  <w:footnote w:id="36">
    <w:p w14:paraId="37E318A5" w14:textId="5845A32F" w:rsidR="007E1C96" w:rsidRDefault="007F68A4" w:rsidP="006D6FDA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 w:rsidR="00336A0B">
        <w:t>U</w:t>
      </w:r>
      <w:r>
        <w:t xml:space="preserve">snesení vlády </w:t>
      </w:r>
      <w:r w:rsidR="00492919">
        <w:t>č. 835</w:t>
      </w:r>
      <w:r w:rsidR="001531E8">
        <w:t>.</w:t>
      </w:r>
      <w:r>
        <w:t xml:space="preserve"> Výjimku ze Zásad odměňování mají </w:t>
      </w:r>
      <w:r w:rsidR="00F9570D">
        <w:t>obchodní společnosti Česká exportní banka, a. s. (dále také „ČEB, a.s.“)</w:t>
      </w:r>
      <w:r w:rsidR="00611D03">
        <w:t>,</w:t>
      </w:r>
      <w:r w:rsidR="00F9570D">
        <w:t xml:space="preserve"> a Národní rozvojová banka, a.s., a to </w:t>
      </w:r>
      <w:r>
        <w:t>na základě usnesení vlády</w:t>
      </w:r>
      <w:r w:rsidR="009C69A0">
        <w:t xml:space="preserve"> České republiky</w:t>
      </w:r>
      <w:r>
        <w:t xml:space="preserve"> ze dne 11. </w:t>
      </w:r>
      <w:r w:rsidR="00BB18DF">
        <w:t>prosince</w:t>
      </w:r>
      <w:r>
        <w:t xml:space="preserve"> 2013 č. 950</w:t>
      </w:r>
      <w:r w:rsidR="009C69A0">
        <w:t xml:space="preserve">, </w:t>
      </w:r>
      <w:r w:rsidR="008F4CEF" w:rsidRPr="00C45202">
        <w:rPr>
          <w:i/>
          <w:iCs/>
        </w:rPr>
        <w:t>o v</w:t>
      </w:r>
      <w:r w:rsidR="009C69A0" w:rsidRPr="00C45202">
        <w:rPr>
          <w:i/>
          <w:iCs/>
        </w:rPr>
        <w:t>ýjim</w:t>
      </w:r>
      <w:r w:rsidR="008F4CEF" w:rsidRPr="00C45202">
        <w:rPr>
          <w:i/>
          <w:iCs/>
        </w:rPr>
        <w:t>ce</w:t>
      </w:r>
      <w:r w:rsidR="009C69A0" w:rsidRPr="00C45202">
        <w:rPr>
          <w:i/>
          <w:iCs/>
        </w:rPr>
        <w:t xml:space="preserve"> ze Zásad odměňování vedoucích zaměstnanců a členů orgánů obchodních společností s majetkovou účastí státu nad 33</w:t>
      </w:r>
      <w:r w:rsidR="00BB18DF" w:rsidRPr="00C45202">
        <w:rPr>
          <w:i/>
          <w:iCs/>
        </w:rPr>
        <w:t> </w:t>
      </w:r>
      <w:r w:rsidR="009C69A0" w:rsidRPr="00C45202">
        <w:rPr>
          <w:i/>
          <w:iCs/>
        </w:rPr>
        <w:t>%, včetně státních podniků a jiných státních organizací zřízených zákonem nebo ministerstvem</w:t>
      </w:r>
      <w:r w:rsidR="00611D03">
        <w:t>.</w:t>
      </w:r>
    </w:p>
  </w:footnote>
  <w:footnote w:id="37">
    <w:p w14:paraId="1E3537B4" w14:textId="40FAE3A4" w:rsidR="008E0045" w:rsidRDefault="007F68A4" w:rsidP="006D6FDA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D6FDA">
        <w:tab/>
      </w:r>
      <w:r w:rsidR="00336A0B">
        <w:t>Z</w:t>
      </w:r>
      <w:r>
        <w:t xml:space="preserve">ákon </w:t>
      </w:r>
      <w:r w:rsidR="00B70A81">
        <w:t>o obchodních korporacích</w:t>
      </w:r>
      <w:r w:rsidR="00336A0B">
        <w:t>.</w:t>
      </w:r>
    </w:p>
  </w:footnote>
  <w:footnote w:id="38">
    <w:p w14:paraId="6720DA35" w14:textId="2C2E38D1" w:rsidR="00D40754" w:rsidRPr="00796554" w:rsidRDefault="007F68A4" w:rsidP="00F35D0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35D0C">
        <w:tab/>
      </w:r>
      <w:r w:rsidR="00336A0B">
        <w:t>U</w:t>
      </w:r>
      <w:r>
        <w:t xml:space="preserve">stanovení </w:t>
      </w:r>
      <w:r w:rsidRPr="00796554">
        <w:t xml:space="preserve">§ 438 odst. 2 </w:t>
      </w:r>
      <w:r>
        <w:t xml:space="preserve">zákona </w:t>
      </w:r>
      <w:r w:rsidR="00585E47">
        <w:t>o obchodních korporacích</w:t>
      </w:r>
      <w:r>
        <w:t>.</w:t>
      </w:r>
    </w:p>
  </w:footnote>
  <w:footnote w:id="39">
    <w:p w14:paraId="5827A53C" w14:textId="03ECF301" w:rsidR="00C56D84" w:rsidRDefault="00C56D84" w:rsidP="00F35D0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35D0C">
        <w:tab/>
      </w:r>
      <w:r>
        <w:t>Vlastnická práva u NRB, a.s.</w:t>
      </w:r>
      <w:r w:rsidR="00435418">
        <w:t>,</w:t>
      </w:r>
      <w:r>
        <w:t xml:space="preserve"> vykonávalo též </w:t>
      </w:r>
      <w:r w:rsidR="00C23019">
        <w:t>MMR, které nebylo kontrolovanou osobou</w:t>
      </w:r>
      <w:r>
        <w:t>.</w:t>
      </w:r>
    </w:p>
  </w:footnote>
  <w:footnote w:id="40">
    <w:p w14:paraId="7260003D" w14:textId="5C7153E9" w:rsidR="002112EF" w:rsidRPr="003A0774" w:rsidRDefault="007F68A4" w:rsidP="00F35D0C">
      <w:pPr>
        <w:pStyle w:val="Textpoznpodarou"/>
        <w:ind w:left="284" w:hanging="284"/>
        <w:jc w:val="both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 w:rsidR="00F35D0C">
        <w:tab/>
      </w:r>
      <w:r w:rsidRPr="003A0774">
        <w:t xml:space="preserve">NKÚ provedl u MF kontrolu na vzorku 23 VŘ, který byl vybrán tak, aby obsahoval VŘ </w:t>
      </w:r>
      <w:r w:rsidR="00126408">
        <w:t xml:space="preserve">do představenstev </w:t>
      </w:r>
      <w:r w:rsidRPr="003A0774">
        <w:t xml:space="preserve">všech strategických obchodních společností v gesci MF napříč kontrolovaným obdobím. U </w:t>
      </w:r>
      <w:proofErr w:type="spellStart"/>
      <w:r w:rsidRPr="003A0774">
        <w:t>MZe</w:t>
      </w:r>
      <w:proofErr w:type="spellEnd"/>
      <w:r w:rsidRPr="003A0774">
        <w:t xml:space="preserve"> provedl NKÚ kontrolu na vzorku 11 </w:t>
      </w:r>
      <w:r w:rsidR="00E42C75">
        <w:t>VŘ</w:t>
      </w:r>
      <w:r w:rsidRPr="003A0774">
        <w:t>, kter</w:t>
      </w:r>
      <w:r w:rsidR="00944CD6">
        <w:t>ý</w:t>
      </w:r>
      <w:r w:rsidRPr="003A0774">
        <w:t xml:space="preserve"> byl vybrán tak, aby obsahoval VŘ všech obchodních společností v gesci </w:t>
      </w:r>
      <w:proofErr w:type="spellStart"/>
      <w:r w:rsidR="00944CD6">
        <w:t>MZe</w:t>
      </w:r>
      <w:proofErr w:type="spellEnd"/>
      <w:r w:rsidR="00944CD6" w:rsidRPr="003A0774">
        <w:t xml:space="preserve"> </w:t>
      </w:r>
      <w:r w:rsidRPr="003A0774">
        <w:t>se 100% podílem státu napříč kontrolovaným obdobím.</w:t>
      </w:r>
      <w:r w:rsidRPr="003A0774">
        <w:rPr>
          <w:rFonts w:ascii="Calibri" w:hAnsi="Calibri" w:cs="Calibri"/>
        </w:rPr>
        <w:t xml:space="preserve"> U MPO provedl </w:t>
      </w:r>
      <w:r w:rsidR="00537E42" w:rsidRPr="003A0774">
        <w:rPr>
          <w:rFonts w:ascii="Calibri" w:hAnsi="Calibri" w:cs="Calibri"/>
        </w:rPr>
        <w:t xml:space="preserve">NKÚ </w:t>
      </w:r>
      <w:r w:rsidRPr="003A0774">
        <w:rPr>
          <w:rFonts w:ascii="Calibri" w:hAnsi="Calibri" w:cs="Calibri"/>
        </w:rPr>
        <w:t xml:space="preserve">kontrolu VŘ u obchodní společnosti SIRS, </w:t>
      </w:r>
      <w:r w:rsidR="00227DF3">
        <w:rPr>
          <w:rFonts w:ascii="Calibri" w:hAnsi="Calibri" w:cs="Calibri"/>
        </w:rPr>
        <w:t>a.s.</w:t>
      </w:r>
      <w:r w:rsidRPr="003A0774">
        <w:rPr>
          <w:rFonts w:ascii="Calibri" w:hAnsi="Calibri" w:cs="Calibri"/>
        </w:rPr>
        <w:t>, která vznikla v roce 2024 a při jejím zakládání nebyl</w:t>
      </w:r>
      <w:r w:rsidR="00537E42" w:rsidRPr="003A0774">
        <w:rPr>
          <w:rFonts w:ascii="Calibri" w:hAnsi="Calibri" w:cs="Calibri"/>
        </w:rPr>
        <w:t>a</w:t>
      </w:r>
      <w:r w:rsidRPr="003A0774">
        <w:rPr>
          <w:rFonts w:ascii="Calibri" w:hAnsi="Calibri" w:cs="Calibri"/>
        </w:rPr>
        <w:t xml:space="preserve"> ještě </w:t>
      </w:r>
      <w:r w:rsidR="00537E42" w:rsidRPr="003A0774">
        <w:rPr>
          <w:rFonts w:ascii="Calibri" w:hAnsi="Calibri" w:cs="Calibri"/>
        </w:rPr>
        <w:t>vytvořena</w:t>
      </w:r>
      <w:r w:rsidRPr="003A0774">
        <w:rPr>
          <w:rFonts w:ascii="Calibri" w:hAnsi="Calibri" w:cs="Calibri"/>
        </w:rPr>
        <w:t xml:space="preserve"> dozorčí rad</w:t>
      </w:r>
      <w:r w:rsidR="00537E42" w:rsidRPr="003A0774">
        <w:rPr>
          <w:rFonts w:ascii="Calibri" w:hAnsi="Calibri" w:cs="Calibri"/>
        </w:rPr>
        <w:t>a</w:t>
      </w:r>
      <w:r w:rsidRPr="003A0774">
        <w:rPr>
          <w:rFonts w:ascii="Calibri" w:hAnsi="Calibri" w:cs="Calibri"/>
        </w:rPr>
        <w:t xml:space="preserve">. Z toho důvodu MPO provedlo </w:t>
      </w:r>
      <w:r w:rsidR="00126408">
        <w:rPr>
          <w:rFonts w:ascii="Calibri" w:hAnsi="Calibri" w:cs="Calibri"/>
        </w:rPr>
        <w:t>výběr členů</w:t>
      </w:r>
      <w:r w:rsidR="00944CD6">
        <w:rPr>
          <w:rFonts w:ascii="Calibri" w:hAnsi="Calibri" w:cs="Calibri"/>
        </w:rPr>
        <w:t xml:space="preserve"> </w:t>
      </w:r>
      <w:r w:rsidRPr="003A0774">
        <w:rPr>
          <w:rFonts w:ascii="Calibri" w:hAnsi="Calibri" w:cs="Calibri"/>
        </w:rPr>
        <w:t>představenstva obchodní společnosti v souladu s </w:t>
      </w:r>
      <w:r w:rsidR="001D197B">
        <w:rPr>
          <w:rFonts w:ascii="Calibri" w:hAnsi="Calibri" w:cs="Calibri"/>
        </w:rPr>
        <w:t>n</w:t>
      </w:r>
      <w:r w:rsidRPr="003A0774">
        <w:rPr>
          <w:rFonts w:ascii="Calibri" w:hAnsi="Calibri" w:cs="Calibri"/>
        </w:rPr>
        <w:t>ominačním zákonem</w:t>
      </w:r>
      <w:r w:rsidR="00537E42" w:rsidRPr="003A0774">
        <w:rPr>
          <w:rFonts w:ascii="Calibri" w:hAnsi="Calibri" w:cs="Calibri"/>
        </w:rPr>
        <w:t xml:space="preserve">. </w:t>
      </w:r>
      <w:r w:rsidRPr="003A0774">
        <w:rPr>
          <w:rFonts w:ascii="Calibri" w:hAnsi="Calibri" w:cs="Calibri"/>
        </w:rPr>
        <w:t xml:space="preserve">Jiná VŘ u obchodních společností v gesci </w:t>
      </w:r>
      <w:r w:rsidR="00126408">
        <w:rPr>
          <w:rFonts w:ascii="Calibri" w:hAnsi="Calibri" w:cs="Calibri"/>
        </w:rPr>
        <w:t>MPO</w:t>
      </w:r>
      <w:r w:rsidRPr="003A0774">
        <w:rPr>
          <w:rFonts w:ascii="Calibri" w:hAnsi="Calibri" w:cs="Calibri"/>
        </w:rPr>
        <w:t xml:space="preserve"> neproběhl</w:t>
      </w:r>
      <w:r w:rsidR="00335FCD">
        <w:rPr>
          <w:rFonts w:ascii="Calibri" w:hAnsi="Calibri" w:cs="Calibri"/>
        </w:rPr>
        <w:t>a</w:t>
      </w:r>
      <w:r w:rsidRPr="003A0774">
        <w:rPr>
          <w:rFonts w:ascii="Calibri" w:hAnsi="Calibri" w:cs="Calibri"/>
        </w:rPr>
        <w:t>.</w:t>
      </w:r>
    </w:p>
  </w:footnote>
  <w:footnote w:id="41">
    <w:p w14:paraId="67F60DF5" w14:textId="02AD0663" w:rsidR="00217507" w:rsidRPr="003A0774" w:rsidRDefault="007F68A4" w:rsidP="00F35D0C">
      <w:pPr>
        <w:pStyle w:val="Textpoznpodarou"/>
        <w:ind w:left="284" w:hanging="284"/>
        <w:jc w:val="both"/>
      </w:pPr>
      <w:r w:rsidRPr="003A0774">
        <w:rPr>
          <w:rStyle w:val="Znakapoznpodarou"/>
        </w:rPr>
        <w:footnoteRef/>
      </w:r>
      <w:r w:rsidRPr="003A0774">
        <w:t xml:space="preserve"> </w:t>
      </w:r>
      <w:r w:rsidR="00F35D0C">
        <w:tab/>
      </w:r>
      <w:r w:rsidRPr="003A0774">
        <w:t>NKÚ provedl u MF kontrolu na vzorku 27 nominací, který byl vybrán tak</w:t>
      </w:r>
      <w:r w:rsidR="00126408">
        <w:t>,</w:t>
      </w:r>
      <w:r w:rsidRPr="003A0774">
        <w:t xml:space="preserve"> aby obsahoval nominace </w:t>
      </w:r>
      <w:r w:rsidR="00EA04A0" w:rsidRPr="003A0774">
        <w:t>do</w:t>
      </w:r>
      <w:r w:rsidR="00336A0B">
        <w:t xml:space="preserve"> </w:t>
      </w:r>
      <w:r w:rsidR="00EA04A0" w:rsidRPr="003A0774">
        <w:t xml:space="preserve">dozorčích rad všech strategických obchodních společností v gesci MF napříč kontrolovaným obdobím. U </w:t>
      </w:r>
      <w:proofErr w:type="spellStart"/>
      <w:r w:rsidR="00EA04A0" w:rsidRPr="003A0774">
        <w:t>MZe</w:t>
      </w:r>
      <w:proofErr w:type="spellEnd"/>
      <w:r w:rsidR="00EA04A0" w:rsidRPr="003A0774">
        <w:t xml:space="preserve"> provedl NKÚ kontrolu na vzorku 11 nominací, který byl vybrán tak, aby obsahoval nominace všech obchodních společností v gesci </w:t>
      </w:r>
      <w:proofErr w:type="spellStart"/>
      <w:r w:rsidR="00EA04A0" w:rsidRPr="003A0774">
        <w:t>MZe</w:t>
      </w:r>
      <w:proofErr w:type="spellEnd"/>
      <w:r w:rsidR="00EA04A0" w:rsidRPr="003A0774">
        <w:t xml:space="preserve"> se 100% podílem státu napříč kontrolovaným obdobím. U MPO provedl NKÚ kontrolu 34 nominací</w:t>
      </w:r>
      <w:r w:rsidR="007E0B07">
        <w:t xml:space="preserve">, </w:t>
      </w:r>
      <w:r w:rsidR="00EA04A0" w:rsidRPr="003A0774">
        <w:t>způsob výběru vzorku byl</w:t>
      </w:r>
      <w:r w:rsidR="003A0774" w:rsidRPr="003A0774">
        <w:t xml:space="preserve"> stejný jako u MF.</w:t>
      </w:r>
    </w:p>
  </w:footnote>
  <w:footnote w:id="42">
    <w:p w14:paraId="65825C20" w14:textId="107341E9" w:rsidR="00924A28" w:rsidRPr="003A0774" w:rsidRDefault="007F68A4" w:rsidP="00F35D0C">
      <w:pPr>
        <w:pStyle w:val="Textpoznpodarou"/>
        <w:ind w:left="284" w:hanging="284"/>
        <w:jc w:val="both"/>
      </w:pPr>
      <w:r w:rsidRPr="003A0774">
        <w:rPr>
          <w:rStyle w:val="Znakapoznpodarou"/>
        </w:rPr>
        <w:footnoteRef/>
      </w:r>
      <w:r w:rsidRPr="003A0774">
        <w:t xml:space="preserve"> </w:t>
      </w:r>
      <w:r w:rsidR="00F35D0C">
        <w:tab/>
      </w:r>
      <w:r w:rsidRPr="003A0774">
        <w:t>Ustanovení §</w:t>
      </w:r>
      <w:r w:rsidR="00F23483">
        <w:t xml:space="preserve"> </w:t>
      </w:r>
      <w:r w:rsidRPr="003A0774">
        <w:t xml:space="preserve">12 </w:t>
      </w:r>
      <w:r w:rsidR="00E4732C">
        <w:t xml:space="preserve">odst. 1 </w:t>
      </w:r>
      <w:r w:rsidRPr="003A0774">
        <w:t>nominačního zákona.</w:t>
      </w:r>
    </w:p>
  </w:footnote>
  <w:footnote w:id="43">
    <w:p w14:paraId="24E9ECCB" w14:textId="7A6F072D" w:rsidR="00924A28" w:rsidRDefault="007F68A4" w:rsidP="00F35D0C">
      <w:pPr>
        <w:pStyle w:val="Textpoznpodarou"/>
        <w:ind w:left="284" w:hanging="284"/>
        <w:jc w:val="both"/>
      </w:pPr>
      <w:r w:rsidRPr="003A0774">
        <w:rPr>
          <w:rStyle w:val="Znakapoznpodarou"/>
        </w:rPr>
        <w:footnoteRef/>
      </w:r>
      <w:r w:rsidRPr="003A0774">
        <w:t xml:space="preserve"> </w:t>
      </w:r>
      <w:r w:rsidR="00F35D0C">
        <w:tab/>
      </w:r>
      <w:r w:rsidRPr="003A0774">
        <w:t>Ustanovení § 16 nominačního zákona.</w:t>
      </w:r>
    </w:p>
  </w:footnote>
  <w:footnote w:id="44">
    <w:p w14:paraId="3D2DDE4B" w14:textId="6B8C24DC" w:rsidR="00D60E07" w:rsidRDefault="007F68A4" w:rsidP="00F35D0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35D0C">
        <w:tab/>
      </w:r>
      <w:r w:rsidR="00A9195F">
        <w:t>B</w:t>
      </w:r>
      <w:r>
        <w:t xml:space="preserve">ez NRB, </w:t>
      </w:r>
      <w:r w:rsidR="00594FD6">
        <w:t>a.s.</w:t>
      </w:r>
    </w:p>
  </w:footnote>
  <w:footnote w:id="45">
    <w:p w14:paraId="23B5C614" w14:textId="24148422" w:rsidR="00634CAB" w:rsidRDefault="007F68A4" w:rsidP="00F35D0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35D0C">
        <w:tab/>
      </w:r>
      <w:r>
        <w:t xml:space="preserve">V některých případech údaje </w:t>
      </w:r>
      <w:r w:rsidR="002C767D">
        <w:t xml:space="preserve">ověřené auditorem </w:t>
      </w:r>
      <w:r>
        <w:t>nemělo MPO</w:t>
      </w:r>
      <w:r w:rsidR="002C767D">
        <w:t xml:space="preserve"> </w:t>
      </w:r>
      <w:r w:rsidR="008B135B">
        <w:t xml:space="preserve">k dispozici </w:t>
      </w:r>
      <w:r w:rsidR="002C767D">
        <w:t>v době, kdy MF požadovalo jejich zaslání.</w:t>
      </w:r>
      <w:r>
        <w:t xml:space="preserve"> </w:t>
      </w:r>
      <w:r w:rsidR="002C767D">
        <w:t>I</w:t>
      </w:r>
      <w:r>
        <w:t>nformace o tom, že</w:t>
      </w:r>
      <w:r w:rsidR="002C767D">
        <w:t xml:space="preserve"> se jedná o neověřené údaje, však </w:t>
      </w:r>
      <w:r w:rsidR="008B135B">
        <w:t>z</w:t>
      </w:r>
      <w:r w:rsidR="002C767D">
        <w:t>práva o plnění Strategie neobsahovala a</w:t>
      </w:r>
      <w:r w:rsidR="00F35D0C">
        <w:t> </w:t>
      </w:r>
      <w:r w:rsidR="002C767D">
        <w:t xml:space="preserve">MPO tyto neověřené údaje následně použilo do </w:t>
      </w:r>
      <w:r w:rsidR="00D15B6F">
        <w:t>z</w:t>
      </w:r>
      <w:r w:rsidR="002C767D">
        <w:t xml:space="preserve">právy o činnosti, </w:t>
      </w:r>
      <w:r w:rsidR="009637BD">
        <w:t>ačkoliv</w:t>
      </w:r>
      <w:r w:rsidR="002C767D">
        <w:t xml:space="preserve"> údaje </w:t>
      </w:r>
      <w:r w:rsidR="000B24EC">
        <w:t xml:space="preserve">ověřené auditorem k dispozici </w:t>
      </w:r>
      <w:r w:rsidR="002C767D">
        <w:t>mělo.</w:t>
      </w:r>
    </w:p>
  </w:footnote>
  <w:footnote w:id="46">
    <w:p w14:paraId="0F7CB726" w14:textId="2BD7A7BD" w:rsidR="005C1BC7" w:rsidRDefault="007F68A4" w:rsidP="00F35D0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35D0C">
        <w:tab/>
      </w:r>
      <w:r w:rsidR="003D6E8B">
        <w:rPr>
          <w:rFonts w:cstheme="minorHAnsi"/>
        </w:rPr>
        <w:t>U</w:t>
      </w:r>
      <w:r>
        <w:rPr>
          <w:rFonts w:cstheme="minorHAnsi"/>
        </w:rPr>
        <w:t xml:space="preserve">stanovení § 7 odst. 1 písm. w) zákona č. 218/2000 Sb., </w:t>
      </w:r>
      <w:r w:rsidRPr="00D32050">
        <w:rPr>
          <w:rFonts w:cstheme="minorHAnsi"/>
        </w:rPr>
        <w:t>o rozpočtových pravidlech a o změně některých souvisejících zákonů (rozpočtová pravidla)</w:t>
      </w:r>
      <w:r w:rsidR="003D6E8B">
        <w:rPr>
          <w:rFonts w:cstheme="minorHAnsi"/>
        </w:rPr>
        <w:t>.</w:t>
      </w:r>
    </w:p>
  </w:footnote>
  <w:footnote w:id="47">
    <w:p w14:paraId="715AB55C" w14:textId="0B4AD8ED" w:rsidR="003D6E8B" w:rsidRDefault="007F68A4" w:rsidP="00F35D0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35D0C">
        <w:tab/>
      </w:r>
      <w:r>
        <w:rPr>
          <w:rFonts w:cstheme="minorHAnsi"/>
        </w:rPr>
        <w:t>Ustanovení § 2da odst. 4 zákona č. 252/1997 Sb., o zemědělství.</w:t>
      </w:r>
    </w:p>
  </w:footnote>
  <w:footnote w:id="48">
    <w:p w14:paraId="6E5B8738" w14:textId="4824A617" w:rsidR="005C1BC7" w:rsidRDefault="007F68A4" w:rsidP="005B781B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5B781B">
        <w:tab/>
      </w:r>
      <w:r w:rsidR="00125F37">
        <w:t>U</w:t>
      </w:r>
      <w:r>
        <w:t>snesení vlády</w:t>
      </w:r>
      <w:r w:rsidRPr="006709E0">
        <w:t xml:space="preserve"> </w:t>
      </w:r>
      <w:r>
        <w:t xml:space="preserve">České republiky </w:t>
      </w:r>
      <w:r w:rsidRPr="006709E0">
        <w:t xml:space="preserve">ze dne 8. </w:t>
      </w:r>
      <w:r w:rsidR="00C45965">
        <w:t>března</w:t>
      </w:r>
      <w:r w:rsidRPr="006709E0">
        <w:t xml:space="preserve"> 2021</w:t>
      </w:r>
      <w:r w:rsidRPr="000137A0">
        <w:t xml:space="preserve"> </w:t>
      </w:r>
      <w:r w:rsidRPr="006709E0">
        <w:t>č. 253</w:t>
      </w:r>
      <w:r>
        <w:t xml:space="preserve">, </w:t>
      </w:r>
      <w:r w:rsidRPr="00C45202">
        <w:rPr>
          <w:i/>
          <w:iCs/>
        </w:rPr>
        <w:t xml:space="preserve">ke Kontrolnímu závěru Nejvyššího kontrolního úřadu z kontrolní akce č. 19/18 Podpory poskytované Podpůrným a garančním rolnickým a lesnickým fondem, </w:t>
      </w:r>
      <w:r w:rsidR="00227DF3" w:rsidRPr="00C45202">
        <w:rPr>
          <w:i/>
          <w:iCs/>
        </w:rPr>
        <w:t>a.s.</w:t>
      </w:r>
    </w:p>
  </w:footnote>
  <w:footnote w:id="49">
    <w:p w14:paraId="485F51CD" w14:textId="4104A8CE" w:rsidR="00766383" w:rsidRPr="009C69A0" w:rsidRDefault="007F68A4" w:rsidP="005B781B">
      <w:p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="005B781B">
        <w:tab/>
      </w:r>
      <w:r w:rsidR="007E0B07">
        <w:rPr>
          <w:sz w:val="20"/>
          <w:szCs w:val="20"/>
        </w:rPr>
        <w:t>P</w:t>
      </w:r>
      <w:r w:rsidRPr="000E2A80">
        <w:rPr>
          <w:sz w:val="20"/>
          <w:szCs w:val="20"/>
        </w:rPr>
        <w:t>ředkládací zpráva k usnesení vlády</w:t>
      </w:r>
      <w:r w:rsidR="009C69A0">
        <w:rPr>
          <w:sz w:val="20"/>
          <w:szCs w:val="20"/>
        </w:rPr>
        <w:t xml:space="preserve"> České republiky</w:t>
      </w:r>
      <w:r w:rsidRPr="000E2A80">
        <w:rPr>
          <w:sz w:val="20"/>
          <w:szCs w:val="20"/>
        </w:rPr>
        <w:t xml:space="preserve"> ze dne 1. </w:t>
      </w:r>
      <w:r w:rsidR="001C700D">
        <w:rPr>
          <w:sz w:val="20"/>
          <w:szCs w:val="20"/>
        </w:rPr>
        <w:t>února</w:t>
      </w:r>
      <w:r w:rsidRPr="000E2A80">
        <w:rPr>
          <w:sz w:val="20"/>
          <w:szCs w:val="20"/>
        </w:rPr>
        <w:t xml:space="preserve"> 2023 č. 95</w:t>
      </w:r>
      <w:r w:rsidR="009C69A0">
        <w:rPr>
          <w:sz w:val="20"/>
          <w:szCs w:val="20"/>
        </w:rPr>
        <w:t>,</w:t>
      </w:r>
      <w:r w:rsidRPr="000E2A80">
        <w:rPr>
          <w:sz w:val="20"/>
          <w:szCs w:val="20"/>
        </w:rPr>
        <w:t xml:space="preserve"> </w:t>
      </w:r>
      <w:r w:rsidR="001C700D" w:rsidRPr="00C45202">
        <w:rPr>
          <w:i/>
          <w:iCs/>
          <w:sz w:val="20"/>
          <w:szCs w:val="20"/>
        </w:rPr>
        <w:t>o P</w:t>
      </w:r>
      <w:r w:rsidRPr="00C45202">
        <w:rPr>
          <w:i/>
          <w:iCs/>
          <w:sz w:val="20"/>
          <w:szCs w:val="20"/>
        </w:rPr>
        <w:t>okrok</w:t>
      </w:r>
      <w:r w:rsidR="001C700D" w:rsidRPr="00C45202">
        <w:rPr>
          <w:i/>
          <w:iCs/>
          <w:sz w:val="20"/>
          <w:szCs w:val="20"/>
        </w:rPr>
        <w:t>u</w:t>
      </w:r>
      <w:r w:rsidRPr="00C45202">
        <w:rPr>
          <w:i/>
          <w:iCs/>
          <w:sz w:val="20"/>
          <w:szCs w:val="20"/>
        </w:rPr>
        <w:t xml:space="preserve"> v revitalizaci brownfieldu a přípravě a výstavbě strategického podnikatelského parku Plzeň – Líně</w:t>
      </w:r>
      <w:r w:rsidR="007E0B07">
        <w:rPr>
          <w:sz w:val="20"/>
          <w:szCs w:val="20"/>
        </w:rPr>
        <w:t>.</w:t>
      </w:r>
    </w:p>
  </w:footnote>
  <w:footnote w:id="50">
    <w:p w14:paraId="0BD1F307" w14:textId="6ACCC89D" w:rsidR="007734F0" w:rsidRPr="009C69A0" w:rsidRDefault="007F68A4" w:rsidP="005B781B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E2A80">
        <w:rPr>
          <w:rStyle w:val="Znakapoznpodarou"/>
          <w:sz w:val="20"/>
          <w:szCs w:val="20"/>
        </w:rPr>
        <w:footnoteRef/>
      </w:r>
      <w:r w:rsidRPr="000E2A80">
        <w:rPr>
          <w:sz w:val="20"/>
          <w:szCs w:val="20"/>
        </w:rPr>
        <w:t xml:space="preserve"> </w:t>
      </w:r>
      <w:r w:rsidR="005B781B">
        <w:rPr>
          <w:sz w:val="20"/>
          <w:szCs w:val="20"/>
        </w:rPr>
        <w:tab/>
      </w:r>
      <w:r w:rsidR="007E0B07">
        <w:rPr>
          <w:sz w:val="20"/>
          <w:szCs w:val="20"/>
        </w:rPr>
        <w:t>U</w:t>
      </w:r>
      <w:r w:rsidRPr="000E2A80">
        <w:rPr>
          <w:sz w:val="20"/>
          <w:szCs w:val="20"/>
        </w:rPr>
        <w:t>snesení vlády</w:t>
      </w:r>
      <w:r w:rsidR="009C69A0">
        <w:rPr>
          <w:sz w:val="20"/>
          <w:szCs w:val="20"/>
        </w:rPr>
        <w:t xml:space="preserve"> České republiky</w:t>
      </w:r>
      <w:r w:rsidRPr="000E2A80">
        <w:rPr>
          <w:sz w:val="20"/>
          <w:szCs w:val="20"/>
        </w:rPr>
        <w:t xml:space="preserve"> ze dne 12. </w:t>
      </w:r>
      <w:r w:rsidR="00C45965">
        <w:rPr>
          <w:sz w:val="20"/>
          <w:szCs w:val="20"/>
        </w:rPr>
        <w:t>července</w:t>
      </w:r>
      <w:r w:rsidRPr="000E2A80">
        <w:rPr>
          <w:sz w:val="20"/>
          <w:szCs w:val="20"/>
        </w:rPr>
        <w:t xml:space="preserve"> 2023 č. 527</w:t>
      </w:r>
      <w:r w:rsidR="009C69A0">
        <w:rPr>
          <w:sz w:val="20"/>
          <w:szCs w:val="20"/>
        </w:rPr>
        <w:t>,</w:t>
      </w:r>
      <w:r w:rsidRPr="000E2A80">
        <w:rPr>
          <w:sz w:val="20"/>
          <w:szCs w:val="20"/>
        </w:rPr>
        <w:t xml:space="preserve"> </w:t>
      </w:r>
      <w:r w:rsidRPr="00C45202">
        <w:rPr>
          <w:rFonts w:cstheme="minorHAnsi"/>
          <w:i/>
          <w:iCs/>
          <w:sz w:val="20"/>
          <w:szCs w:val="20"/>
        </w:rPr>
        <w:t>k aktuálnímu stavu přípravy projektu revitalizace brownfieldu na SPP Plzeň – Líně</w:t>
      </w:r>
      <w:r w:rsidR="007E0B07">
        <w:rPr>
          <w:rFonts w:cstheme="minorHAnsi"/>
          <w:sz w:val="20"/>
          <w:szCs w:val="20"/>
        </w:rPr>
        <w:t>.</w:t>
      </w:r>
    </w:p>
  </w:footnote>
  <w:footnote w:id="51">
    <w:p w14:paraId="106506F2" w14:textId="4D3930CF" w:rsidR="002F2290" w:rsidRDefault="007F68A4" w:rsidP="005B781B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5B781B">
        <w:tab/>
      </w:r>
      <w:r w:rsidR="007E0B07">
        <w:t>U</w:t>
      </w:r>
      <w:r>
        <w:t xml:space="preserve">snesení vlády </w:t>
      </w:r>
      <w:r w:rsidR="009C69A0">
        <w:t xml:space="preserve">České republiky </w:t>
      </w:r>
      <w:r>
        <w:t xml:space="preserve">ze dne 24. </w:t>
      </w:r>
      <w:r w:rsidR="00C45965">
        <w:t>ledna</w:t>
      </w:r>
      <w:r>
        <w:t xml:space="preserve"> 2024 č. 64</w:t>
      </w:r>
      <w:r w:rsidR="009C69A0">
        <w:t xml:space="preserve">, </w:t>
      </w:r>
      <w:r w:rsidR="009C69A0" w:rsidRPr="00C45202">
        <w:rPr>
          <w:i/>
          <w:iCs/>
        </w:rPr>
        <w:t xml:space="preserve">o souhlasu vlády se založením akciové společnosti Státní investiční a rozvojová společnost </w:t>
      </w:r>
      <w:r w:rsidR="00594FD6" w:rsidRPr="00C45202">
        <w:rPr>
          <w:i/>
          <w:iCs/>
        </w:rPr>
        <w:t>a.s.</w:t>
      </w:r>
      <w:r w:rsidR="009C69A0" w:rsidRPr="00C45202">
        <w:rPr>
          <w:i/>
          <w:iCs/>
        </w:rPr>
        <w:t xml:space="preserve"> a pověření výkonem práv jediného akcionáře</w:t>
      </w:r>
      <w:r w:rsidR="007E0B07">
        <w:t>.</w:t>
      </w:r>
    </w:p>
  </w:footnote>
  <w:footnote w:id="52">
    <w:p w14:paraId="4FCEC191" w14:textId="47484AD9" w:rsidR="00DD6409" w:rsidRPr="00D32050" w:rsidRDefault="00DD6409" w:rsidP="005B781B">
      <w:pPr>
        <w:spacing w:after="0" w:line="240" w:lineRule="auto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5B781B">
        <w:tab/>
      </w:r>
      <w:r>
        <w:rPr>
          <w:sz w:val="20"/>
          <w:szCs w:val="20"/>
        </w:rPr>
        <w:t>V</w:t>
      </w:r>
      <w:r w:rsidRPr="009D7C99">
        <w:rPr>
          <w:sz w:val="20"/>
          <w:szCs w:val="20"/>
        </w:rPr>
        <w:t>e smyslu ustanovení § 44 odst. 1 písm. f)</w:t>
      </w:r>
      <w:r>
        <w:rPr>
          <w:sz w:val="20"/>
          <w:szCs w:val="20"/>
        </w:rPr>
        <w:t xml:space="preserve"> </w:t>
      </w:r>
      <w:r w:rsidRPr="009D7C99">
        <w:rPr>
          <w:sz w:val="20"/>
          <w:szCs w:val="20"/>
        </w:rPr>
        <w:t>ve spojení s ustanovením § 45 odst. 2 zákona č. 218/2000 Sb</w:t>
      </w:r>
      <w:r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6BF"/>
    <w:multiLevelType w:val="hybridMultilevel"/>
    <w:tmpl w:val="6F64A906"/>
    <w:lvl w:ilvl="0" w:tplc="7338B0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D0A2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CC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2C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87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02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E7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40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40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58C1"/>
    <w:multiLevelType w:val="multilevel"/>
    <w:tmpl w:val="480A1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475E9E"/>
    <w:multiLevelType w:val="hybridMultilevel"/>
    <w:tmpl w:val="1F14BE72"/>
    <w:lvl w:ilvl="0" w:tplc="5C8496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EC4A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0E7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61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A9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0C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E5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87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A9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B2642"/>
    <w:multiLevelType w:val="hybridMultilevel"/>
    <w:tmpl w:val="57246110"/>
    <w:lvl w:ilvl="0" w:tplc="FAECF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CD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C3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03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0D3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42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87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45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0D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5075"/>
    <w:multiLevelType w:val="hybridMultilevel"/>
    <w:tmpl w:val="9DA0AD32"/>
    <w:lvl w:ilvl="0" w:tplc="E43C6668">
      <w:start w:val="1"/>
      <w:numFmt w:val="decimal"/>
      <w:lvlText w:val="%1."/>
      <w:lvlJc w:val="left"/>
      <w:pPr>
        <w:ind w:left="1020" w:hanging="360"/>
      </w:pPr>
    </w:lvl>
    <w:lvl w:ilvl="1" w:tplc="0688D82C">
      <w:start w:val="1"/>
      <w:numFmt w:val="decimal"/>
      <w:lvlText w:val="%2."/>
      <w:lvlJc w:val="left"/>
      <w:pPr>
        <w:ind w:left="1020" w:hanging="360"/>
      </w:pPr>
    </w:lvl>
    <w:lvl w:ilvl="2" w:tplc="C31A675C">
      <w:start w:val="1"/>
      <w:numFmt w:val="decimal"/>
      <w:lvlText w:val="%3."/>
      <w:lvlJc w:val="left"/>
      <w:pPr>
        <w:ind w:left="1020" w:hanging="360"/>
      </w:pPr>
    </w:lvl>
    <w:lvl w:ilvl="3" w:tplc="B33CA5EC">
      <w:start w:val="1"/>
      <w:numFmt w:val="decimal"/>
      <w:lvlText w:val="%4."/>
      <w:lvlJc w:val="left"/>
      <w:pPr>
        <w:ind w:left="1020" w:hanging="360"/>
      </w:pPr>
    </w:lvl>
    <w:lvl w:ilvl="4" w:tplc="F746FEA4">
      <w:start w:val="1"/>
      <w:numFmt w:val="decimal"/>
      <w:lvlText w:val="%5."/>
      <w:lvlJc w:val="left"/>
      <w:pPr>
        <w:ind w:left="1020" w:hanging="360"/>
      </w:pPr>
    </w:lvl>
    <w:lvl w:ilvl="5" w:tplc="9EE061D0">
      <w:start w:val="1"/>
      <w:numFmt w:val="decimal"/>
      <w:lvlText w:val="%6."/>
      <w:lvlJc w:val="left"/>
      <w:pPr>
        <w:ind w:left="1020" w:hanging="360"/>
      </w:pPr>
    </w:lvl>
    <w:lvl w:ilvl="6" w:tplc="F83CA486">
      <w:start w:val="1"/>
      <w:numFmt w:val="decimal"/>
      <w:lvlText w:val="%7."/>
      <w:lvlJc w:val="left"/>
      <w:pPr>
        <w:ind w:left="1020" w:hanging="360"/>
      </w:pPr>
    </w:lvl>
    <w:lvl w:ilvl="7" w:tplc="151645AA">
      <w:start w:val="1"/>
      <w:numFmt w:val="decimal"/>
      <w:lvlText w:val="%8."/>
      <w:lvlJc w:val="left"/>
      <w:pPr>
        <w:ind w:left="1020" w:hanging="360"/>
      </w:pPr>
    </w:lvl>
    <w:lvl w:ilvl="8" w:tplc="F5EACF8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0496E31"/>
    <w:multiLevelType w:val="hybridMultilevel"/>
    <w:tmpl w:val="146A8638"/>
    <w:lvl w:ilvl="0" w:tplc="2A3C9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ED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80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4E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C1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8D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28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23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584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71064"/>
    <w:multiLevelType w:val="hybridMultilevel"/>
    <w:tmpl w:val="226E522A"/>
    <w:lvl w:ilvl="0" w:tplc="98266EE0">
      <w:start w:val="1"/>
      <w:numFmt w:val="decimal"/>
      <w:lvlText w:val="%1."/>
      <w:lvlJc w:val="left"/>
      <w:pPr>
        <w:ind w:left="1020" w:hanging="360"/>
      </w:pPr>
    </w:lvl>
    <w:lvl w:ilvl="1" w:tplc="15F6DBB8">
      <w:start w:val="1"/>
      <w:numFmt w:val="decimal"/>
      <w:lvlText w:val="%2."/>
      <w:lvlJc w:val="left"/>
      <w:pPr>
        <w:ind w:left="1020" w:hanging="360"/>
      </w:pPr>
    </w:lvl>
    <w:lvl w:ilvl="2" w:tplc="A3441242">
      <w:start w:val="1"/>
      <w:numFmt w:val="decimal"/>
      <w:lvlText w:val="%3."/>
      <w:lvlJc w:val="left"/>
      <w:pPr>
        <w:ind w:left="1020" w:hanging="360"/>
      </w:pPr>
    </w:lvl>
    <w:lvl w:ilvl="3" w:tplc="BAEEB890">
      <w:start w:val="1"/>
      <w:numFmt w:val="decimal"/>
      <w:lvlText w:val="%4."/>
      <w:lvlJc w:val="left"/>
      <w:pPr>
        <w:ind w:left="1020" w:hanging="360"/>
      </w:pPr>
    </w:lvl>
    <w:lvl w:ilvl="4" w:tplc="1F38E7F8">
      <w:start w:val="1"/>
      <w:numFmt w:val="decimal"/>
      <w:lvlText w:val="%5."/>
      <w:lvlJc w:val="left"/>
      <w:pPr>
        <w:ind w:left="1020" w:hanging="360"/>
      </w:pPr>
    </w:lvl>
    <w:lvl w:ilvl="5" w:tplc="BC6ABCD8">
      <w:start w:val="1"/>
      <w:numFmt w:val="decimal"/>
      <w:lvlText w:val="%6."/>
      <w:lvlJc w:val="left"/>
      <w:pPr>
        <w:ind w:left="1020" w:hanging="360"/>
      </w:pPr>
    </w:lvl>
    <w:lvl w:ilvl="6" w:tplc="373683FE">
      <w:start w:val="1"/>
      <w:numFmt w:val="decimal"/>
      <w:lvlText w:val="%7."/>
      <w:lvlJc w:val="left"/>
      <w:pPr>
        <w:ind w:left="1020" w:hanging="360"/>
      </w:pPr>
    </w:lvl>
    <w:lvl w:ilvl="7" w:tplc="330494AE">
      <w:start w:val="1"/>
      <w:numFmt w:val="decimal"/>
      <w:lvlText w:val="%8."/>
      <w:lvlJc w:val="left"/>
      <w:pPr>
        <w:ind w:left="1020" w:hanging="360"/>
      </w:pPr>
    </w:lvl>
    <w:lvl w:ilvl="8" w:tplc="4548704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2311F4A"/>
    <w:multiLevelType w:val="hybridMultilevel"/>
    <w:tmpl w:val="0BCCE20C"/>
    <w:lvl w:ilvl="0" w:tplc="1BB0B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6A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6D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6B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C1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CAA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6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AC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B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B445F"/>
    <w:multiLevelType w:val="multilevel"/>
    <w:tmpl w:val="AAB08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A105E5"/>
    <w:multiLevelType w:val="hybridMultilevel"/>
    <w:tmpl w:val="9050D2BA"/>
    <w:lvl w:ilvl="0" w:tplc="B1F81F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DF6DC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A7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00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87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CA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2A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C9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CD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6BE7"/>
    <w:multiLevelType w:val="multilevel"/>
    <w:tmpl w:val="0F06C224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Calibri" w:hAnsi="Calibri" w:cs="Calibr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1" w15:restartNumberingAfterBreak="0">
    <w:nsid w:val="241B62BB"/>
    <w:multiLevelType w:val="multilevel"/>
    <w:tmpl w:val="890052F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  <w:sz w:val="24"/>
        <w:szCs w:val="24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Calibri" w:hint="default"/>
      </w:rPr>
    </w:lvl>
  </w:abstractNum>
  <w:abstractNum w:abstractNumId="12" w15:restartNumberingAfterBreak="0">
    <w:nsid w:val="242E22E4"/>
    <w:multiLevelType w:val="hybridMultilevel"/>
    <w:tmpl w:val="7A660BC0"/>
    <w:lvl w:ilvl="0" w:tplc="3EFC9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BE5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0E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25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FCF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5C4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49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DCB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CC2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B03A9F"/>
    <w:multiLevelType w:val="multilevel"/>
    <w:tmpl w:val="4A5AD6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815AB7"/>
    <w:multiLevelType w:val="hybridMultilevel"/>
    <w:tmpl w:val="7B362F56"/>
    <w:lvl w:ilvl="0" w:tplc="F5AA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04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8E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4A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4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18B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A7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D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CC1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D4507"/>
    <w:multiLevelType w:val="multilevel"/>
    <w:tmpl w:val="C112715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b/>
      </w:rPr>
    </w:lvl>
  </w:abstractNum>
  <w:abstractNum w:abstractNumId="16" w15:restartNumberingAfterBreak="0">
    <w:nsid w:val="30BB34BF"/>
    <w:multiLevelType w:val="multilevel"/>
    <w:tmpl w:val="6D524B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2817C4"/>
    <w:multiLevelType w:val="hybridMultilevel"/>
    <w:tmpl w:val="48BA9750"/>
    <w:lvl w:ilvl="0" w:tplc="C8A87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096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B24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8E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9C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23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C1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C1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A0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11155"/>
    <w:multiLevelType w:val="multilevel"/>
    <w:tmpl w:val="2D742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526689"/>
    <w:multiLevelType w:val="hybridMultilevel"/>
    <w:tmpl w:val="AC3CECBA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40F59"/>
    <w:multiLevelType w:val="hybridMultilevel"/>
    <w:tmpl w:val="198C7ECC"/>
    <w:lvl w:ilvl="0" w:tplc="0102F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D5C0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EE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0A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6C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E1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23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AF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67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A3B99"/>
    <w:multiLevelType w:val="multilevel"/>
    <w:tmpl w:val="39BEB81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2"/>
      <w:numFmt w:val="decimal"/>
      <w:isLgl/>
      <w:lvlText w:val="%1.%2"/>
      <w:lvlJc w:val="left"/>
      <w:pPr>
        <w:ind w:left="112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1800"/>
      </w:pPr>
      <w:rPr>
        <w:rFonts w:hint="default"/>
      </w:rPr>
    </w:lvl>
  </w:abstractNum>
  <w:abstractNum w:abstractNumId="22" w15:restartNumberingAfterBreak="0">
    <w:nsid w:val="45A624A2"/>
    <w:multiLevelType w:val="hybridMultilevel"/>
    <w:tmpl w:val="B930EBE6"/>
    <w:lvl w:ilvl="0" w:tplc="22C8D8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8110E66C">
      <w:start w:val="1"/>
      <w:numFmt w:val="lowerLetter"/>
      <w:lvlText w:val="%2."/>
      <w:lvlJc w:val="left"/>
      <w:pPr>
        <w:ind w:left="1440" w:hanging="360"/>
      </w:pPr>
    </w:lvl>
    <w:lvl w:ilvl="2" w:tplc="55308C72">
      <w:start w:val="1"/>
      <w:numFmt w:val="lowerRoman"/>
      <w:lvlText w:val="%3."/>
      <w:lvlJc w:val="right"/>
      <w:pPr>
        <w:ind w:left="2160" w:hanging="180"/>
      </w:pPr>
    </w:lvl>
    <w:lvl w:ilvl="3" w:tplc="90860622" w:tentative="1">
      <w:start w:val="1"/>
      <w:numFmt w:val="decimal"/>
      <w:lvlText w:val="%4."/>
      <w:lvlJc w:val="left"/>
      <w:pPr>
        <w:ind w:left="2880" w:hanging="360"/>
      </w:pPr>
    </w:lvl>
    <w:lvl w:ilvl="4" w:tplc="8D52E584" w:tentative="1">
      <w:start w:val="1"/>
      <w:numFmt w:val="lowerLetter"/>
      <w:lvlText w:val="%5."/>
      <w:lvlJc w:val="left"/>
      <w:pPr>
        <w:ind w:left="3600" w:hanging="360"/>
      </w:pPr>
    </w:lvl>
    <w:lvl w:ilvl="5" w:tplc="806064C6" w:tentative="1">
      <w:start w:val="1"/>
      <w:numFmt w:val="lowerRoman"/>
      <w:lvlText w:val="%6."/>
      <w:lvlJc w:val="right"/>
      <w:pPr>
        <w:ind w:left="4320" w:hanging="180"/>
      </w:pPr>
    </w:lvl>
    <w:lvl w:ilvl="6" w:tplc="97AA0288" w:tentative="1">
      <w:start w:val="1"/>
      <w:numFmt w:val="decimal"/>
      <w:lvlText w:val="%7."/>
      <w:lvlJc w:val="left"/>
      <w:pPr>
        <w:ind w:left="5040" w:hanging="360"/>
      </w:pPr>
    </w:lvl>
    <w:lvl w:ilvl="7" w:tplc="7A56D698" w:tentative="1">
      <w:start w:val="1"/>
      <w:numFmt w:val="lowerLetter"/>
      <w:lvlText w:val="%8."/>
      <w:lvlJc w:val="left"/>
      <w:pPr>
        <w:ind w:left="5760" w:hanging="360"/>
      </w:pPr>
    </w:lvl>
    <w:lvl w:ilvl="8" w:tplc="1D080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60064"/>
    <w:multiLevelType w:val="hybridMultilevel"/>
    <w:tmpl w:val="5010FC04"/>
    <w:lvl w:ilvl="0" w:tplc="1FC2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0D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269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20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26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325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E0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08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FAB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84574"/>
    <w:multiLevelType w:val="hybridMultilevel"/>
    <w:tmpl w:val="007C049C"/>
    <w:lvl w:ilvl="0" w:tplc="E0FA6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DEA900E" w:tentative="1">
      <w:start w:val="1"/>
      <w:numFmt w:val="lowerLetter"/>
      <w:lvlText w:val="%2."/>
      <w:lvlJc w:val="left"/>
      <w:pPr>
        <w:ind w:left="1440" w:hanging="360"/>
      </w:pPr>
    </w:lvl>
    <w:lvl w:ilvl="2" w:tplc="CAEC4132" w:tentative="1">
      <w:start w:val="1"/>
      <w:numFmt w:val="lowerRoman"/>
      <w:lvlText w:val="%3."/>
      <w:lvlJc w:val="right"/>
      <w:pPr>
        <w:ind w:left="2160" w:hanging="180"/>
      </w:pPr>
    </w:lvl>
    <w:lvl w:ilvl="3" w:tplc="7B225178" w:tentative="1">
      <w:start w:val="1"/>
      <w:numFmt w:val="decimal"/>
      <w:lvlText w:val="%4."/>
      <w:lvlJc w:val="left"/>
      <w:pPr>
        <w:ind w:left="2880" w:hanging="360"/>
      </w:pPr>
    </w:lvl>
    <w:lvl w:ilvl="4" w:tplc="CDCA5A1C" w:tentative="1">
      <w:start w:val="1"/>
      <w:numFmt w:val="lowerLetter"/>
      <w:lvlText w:val="%5."/>
      <w:lvlJc w:val="left"/>
      <w:pPr>
        <w:ind w:left="3600" w:hanging="360"/>
      </w:pPr>
    </w:lvl>
    <w:lvl w:ilvl="5" w:tplc="7C3C691A" w:tentative="1">
      <w:start w:val="1"/>
      <w:numFmt w:val="lowerRoman"/>
      <w:lvlText w:val="%6."/>
      <w:lvlJc w:val="right"/>
      <w:pPr>
        <w:ind w:left="4320" w:hanging="180"/>
      </w:pPr>
    </w:lvl>
    <w:lvl w:ilvl="6" w:tplc="61961B42" w:tentative="1">
      <w:start w:val="1"/>
      <w:numFmt w:val="decimal"/>
      <w:lvlText w:val="%7."/>
      <w:lvlJc w:val="left"/>
      <w:pPr>
        <w:ind w:left="5040" w:hanging="360"/>
      </w:pPr>
    </w:lvl>
    <w:lvl w:ilvl="7" w:tplc="3D927194" w:tentative="1">
      <w:start w:val="1"/>
      <w:numFmt w:val="lowerLetter"/>
      <w:lvlText w:val="%8."/>
      <w:lvlJc w:val="left"/>
      <w:pPr>
        <w:ind w:left="5760" w:hanging="360"/>
      </w:pPr>
    </w:lvl>
    <w:lvl w:ilvl="8" w:tplc="D94CD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027DB"/>
    <w:multiLevelType w:val="hybridMultilevel"/>
    <w:tmpl w:val="CBA069E4"/>
    <w:lvl w:ilvl="0" w:tplc="7034FE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6F4E86BA" w:tentative="1">
      <w:start w:val="1"/>
      <w:numFmt w:val="lowerLetter"/>
      <w:lvlText w:val="%2."/>
      <w:lvlJc w:val="left"/>
      <w:pPr>
        <w:ind w:left="1440" w:hanging="360"/>
      </w:pPr>
    </w:lvl>
    <w:lvl w:ilvl="2" w:tplc="F0B28BD8" w:tentative="1">
      <w:start w:val="1"/>
      <w:numFmt w:val="lowerRoman"/>
      <w:lvlText w:val="%3."/>
      <w:lvlJc w:val="right"/>
      <w:pPr>
        <w:ind w:left="2160" w:hanging="180"/>
      </w:pPr>
    </w:lvl>
    <w:lvl w:ilvl="3" w:tplc="5504E39A" w:tentative="1">
      <w:start w:val="1"/>
      <w:numFmt w:val="decimal"/>
      <w:lvlText w:val="%4."/>
      <w:lvlJc w:val="left"/>
      <w:pPr>
        <w:ind w:left="2880" w:hanging="360"/>
      </w:pPr>
    </w:lvl>
    <w:lvl w:ilvl="4" w:tplc="24E84EAC" w:tentative="1">
      <w:start w:val="1"/>
      <w:numFmt w:val="lowerLetter"/>
      <w:lvlText w:val="%5."/>
      <w:lvlJc w:val="left"/>
      <w:pPr>
        <w:ind w:left="3600" w:hanging="360"/>
      </w:pPr>
    </w:lvl>
    <w:lvl w:ilvl="5" w:tplc="8BB88A14" w:tentative="1">
      <w:start w:val="1"/>
      <w:numFmt w:val="lowerRoman"/>
      <w:lvlText w:val="%6."/>
      <w:lvlJc w:val="right"/>
      <w:pPr>
        <w:ind w:left="4320" w:hanging="180"/>
      </w:pPr>
    </w:lvl>
    <w:lvl w:ilvl="6" w:tplc="BAD05956" w:tentative="1">
      <w:start w:val="1"/>
      <w:numFmt w:val="decimal"/>
      <w:lvlText w:val="%7."/>
      <w:lvlJc w:val="left"/>
      <w:pPr>
        <w:ind w:left="5040" w:hanging="360"/>
      </w:pPr>
    </w:lvl>
    <w:lvl w:ilvl="7" w:tplc="CEB6CC56" w:tentative="1">
      <w:start w:val="1"/>
      <w:numFmt w:val="lowerLetter"/>
      <w:lvlText w:val="%8."/>
      <w:lvlJc w:val="left"/>
      <w:pPr>
        <w:ind w:left="5760" w:hanging="360"/>
      </w:pPr>
    </w:lvl>
    <w:lvl w:ilvl="8" w:tplc="AF34D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07D14"/>
    <w:multiLevelType w:val="multilevel"/>
    <w:tmpl w:val="70E22C1A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27" w15:restartNumberingAfterBreak="0">
    <w:nsid w:val="59B71CD6"/>
    <w:multiLevelType w:val="multilevel"/>
    <w:tmpl w:val="0FCA00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B3E1758"/>
    <w:multiLevelType w:val="hybridMultilevel"/>
    <w:tmpl w:val="F95CC64A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829E1"/>
    <w:multiLevelType w:val="hybridMultilevel"/>
    <w:tmpl w:val="C7269856"/>
    <w:lvl w:ilvl="0" w:tplc="6AFE12A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DF94E516">
      <w:start w:val="1"/>
      <w:numFmt w:val="lowerLetter"/>
      <w:lvlText w:val="%2."/>
      <w:lvlJc w:val="left"/>
      <w:pPr>
        <w:ind w:left="1440" w:hanging="360"/>
      </w:pPr>
    </w:lvl>
    <w:lvl w:ilvl="2" w:tplc="3FEED7DC">
      <w:start w:val="1"/>
      <w:numFmt w:val="lowerRoman"/>
      <w:lvlText w:val="%3."/>
      <w:lvlJc w:val="right"/>
      <w:pPr>
        <w:ind w:left="2160" w:hanging="180"/>
      </w:pPr>
    </w:lvl>
    <w:lvl w:ilvl="3" w:tplc="A064C664" w:tentative="1">
      <w:start w:val="1"/>
      <w:numFmt w:val="decimal"/>
      <w:lvlText w:val="%4."/>
      <w:lvlJc w:val="left"/>
      <w:pPr>
        <w:ind w:left="2880" w:hanging="360"/>
      </w:pPr>
    </w:lvl>
    <w:lvl w:ilvl="4" w:tplc="5FA81F0E" w:tentative="1">
      <w:start w:val="1"/>
      <w:numFmt w:val="lowerLetter"/>
      <w:lvlText w:val="%5."/>
      <w:lvlJc w:val="left"/>
      <w:pPr>
        <w:ind w:left="3600" w:hanging="360"/>
      </w:pPr>
    </w:lvl>
    <w:lvl w:ilvl="5" w:tplc="DD26A9B4" w:tentative="1">
      <w:start w:val="1"/>
      <w:numFmt w:val="lowerRoman"/>
      <w:lvlText w:val="%6."/>
      <w:lvlJc w:val="right"/>
      <w:pPr>
        <w:ind w:left="4320" w:hanging="180"/>
      </w:pPr>
    </w:lvl>
    <w:lvl w:ilvl="6" w:tplc="D5560592" w:tentative="1">
      <w:start w:val="1"/>
      <w:numFmt w:val="decimal"/>
      <w:lvlText w:val="%7."/>
      <w:lvlJc w:val="left"/>
      <w:pPr>
        <w:ind w:left="5040" w:hanging="360"/>
      </w:pPr>
    </w:lvl>
    <w:lvl w:ilvl="7" w:tplc="F8FEC97A" w:tentative="1">
      <w:start w:val="1"/>
      <w:numFmt w:val="lowerLetter"/>
      <w:lvlText w:val="%8."/>
      <w:lvlJc w:val="left"/>
      <w:pPr>
        <w:ind w:left="5760" w:hanging="360"/>
      </w:pPr>
    </w:lvl>
    <w:lvl w:ilvl="8" w:tplc="F5149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C1454"/>
    <w:multiLevelType w:val="hybridMultilevel"/>
    <w:tmpl w:val="2766FFBE"/>
    <w:lvl w:ilvl="0" w:tplc="CA86F9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83DAA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A1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03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20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3EF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AE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0C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DCB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A1DA3"/>
    <w:multiLevelType w:val="hybridMultilevel"/>
    <w:tmpl w:val="7702091C"/>
    <w:lvl w:ilvl="0" w:tplc="69E889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50C2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E7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C2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EC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2A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02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C1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60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831B9"/>
    <w:multiLevelType w:val="multilevel"/>
    <w:tmpl w:val="62CE1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Bidi" w:hint="default"/>
        <w:b/>
      </w:rPr>
    </w:lvl>
  </w:abstractNum>
  <w:abstractNum w:abstractNumId="33" w15:restartNumberingAfterBreak="0">
    <w:nsid w:val="6E267324"/>
    <w:multiLevelType w:val="hybridMultilevel"/>
    <w:tmpl w:val="FA426998"/>
    <w:lvl w:ilvl="0" w:tplc="17B0FD8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29CD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83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C9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89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C1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A6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D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8F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A204A"/>
    <w:multiLevelType w:val="multilevel"/>
    <w:tmpl w:val="F28ED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A1C5CB1"/>
    <w:multiLevelType w:val="hybridMultilevel"/>
    <w:tmpl w:val="F0441BFE"/>
    <w:lvl w:ilvl="0" w:tplc="24D0AB6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56E1A"/>
    <w:multiLevelType w:val="hybridMultilevel"/>
    <w:tmpl w:val="6EC4E6FA"/>
    <w:lvl w:ilvl="0" w:tplc="F9F83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FDE94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47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49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48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63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09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AD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867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046ED"/>
    <w:multiLevelType w:val="hybridMultilevel"/>
    <w:tmpl w:val="51B2835A"/>
    <w:lvl w:ilvl="0" w:tplc="348E815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BFEAF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7C3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65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2C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A3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EB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8B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8CA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54106">
    <w:abstractNumId w:val="27"/>
  </w:num>
  <w:num w:numId="2" w16cid:durableId="1591500419">
    <w:abstractNumId w:val="37"/>
  </w:num>
  <w:num w:numId="3" w16cid:durableId="2095467484">
    <w:abstractNumId w:val="33"/>
  </w:num>
  <w:num w:numId="4" w16cid:durableId="1653867938">
    <w:abstractNumId w:val="36"/>
  </w:num>
  <w:num w:numId="5" w16cid:durableId="1530528578">
    <w:abstractNumId w:val="21"/>
  </w:num>
  <w:num w:numId="6" w16cid:durableId="1994530152">
    <w:abstractNumId w:val="34"/>
  </w:num>
  <w:num w:numId="7" w16cid:durableId="1648050991">
    <w:abstractNumId w:val="8"/>
  </w:num>
  <w:num w:numId="8" w16cid:durableId="1655527663">
    <w:abstractNumId w:val="16"/>
  </w:num>
  <w:num w:numId="9" w16cid:durableId="1073115404">
    <w:abstractNumId w:val="32"/>
  </w:num>
  <w:num w:numId="10" w16cid:durableId="432939701">
    <w:abstractNumId w:val="17"/>
  </w:num>
  <w:num w:numId="11" w16cid:durableId="745341403">
    <w:abstractNumId w:val="5"/>
  </w:num>
  <w:num w:numId="12" w16cid:durableId="1518344077">
    <w:abstractNumId w:val="18"/>
  </w:num>
  <w:num w:numId="13" w16cid:durableId="1608079088">
    <w:abstractNumId w:val="20"/>
  </w:num>
  <w:num w:numId="14" w16cid:durableId="872424532">
    <w:abstractNumId w:val="24"/>
  </w:num>
  <w:num w:numId="15" w16cid:durableId="248464247">
    <w:abstractNumId w:val="12"/>
  </w:num>
  <w:num w:numId="16" w16cid:durableId="1132091940">
    <w:abstractNumId w:val="0"/>
  </w:num>
  <w:num w:numId="17" w16cid:durableId="539779661">
    <w:abstractNumId w:val="29"/>
  </w:num>
  <w:num w:numId="18" w16cid:durableId="1513646782">
    <w:abstractNumId w:val="31"/>
  </w:num>
  <w:num w:numId="19" w16cid:durableId="796949850">
    <w:abstractNumId w:val="22"/>
  </w:num>
  <w:num w:numId="20" w16cid:durableId="66266785">
    <w:abstractNumId w:val="13"/>
  </w:num>
  <w:num w:numId="21" w16cid:durableId="559098644">
    <w:abstractNumId w:val="26"/>
  </w:num>
  <w:num w:numId="22" w16cid:durableId="1047100909">
    <w:abstractNumId w:val="10"/>
  </w:num>
  <w:num w:numId="23" w16cid:durableId="1271015216">
    <w:abstractNumId w:val="1"/>
  </w:num>
  <w:num w:numId="24" w16cid:durableId="1886288944">
    <w:abstractNumId w:val="15"/>
  </w:num>
  <w:num w:numId="25" w16cid:durableId="630945503">
    <w:abstractNumId w:val="25"/>
  </w:num>
  <w:num w:numId="26" w16cid:durableId="1094202779">
    <w:abstractNumId w:val="11"/>
  </w:num>
  <w:num w:numId="27" w16cid:durableId="542864806">
    <w:abstractNumId w:val="7"/>
  </w:num>
  <w:num w:numId="28" w16cid:durableId="365836972">
    <w:abstractNumId w:val="23"/>
  </w:num>
  <w:num w:numId="29" w16cid:durableId="1007489446">
    <w:abstractNumId w:val="14"/>
  </w:num>
  <w:num w:numId="30" w16cid:durableId="127600867">
    <w:abstractNumId w:val="3"/>
  </w:num>
  <w:num w:numId="31" w16cid:durableId="1544752269">
    <w:abstractNumId w:val="2"/>
  </w:num>
  <w:num w:numId="32" w16cid:durableId="814251738">
    <w:abstractNumId w:val="9"/>
  </w:num>
  <w:num w:numId="33" w16cid:durableId="1195382851">
    <w:abstractNumId w:val="30"/>
  </w:num>
  <w:num w:numId="34" w16cid:durableId="1950039831">
    <w:abstractNumId w:val="6"/>
  </w:num>
  <w:num w:numId="35" w16cid:durableId="625547249">
    <w:abstractNumId w:val="4"/>
  </w:num>
  <w:num w:numId="36" w16cid:durableId="1916745574">
    <w:abstractNumId w:val="35"/>
  </w:num>
  <w:num w:numId="37" w16cid:durableId="885720867">
    <w:abstractNumId w:val="28"/>
  </w:num>
  <w:num w:numId="38" w16cid:durableId="138945593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38"/>
    <w:rsid w:val="00000386"/>
    <w:rsid w:val="00000BDF"/>
    <w:rsid w:val="0000161F"/>
    <w:rsid w:val="00002A70"/>
    <w:rsid w:val="00002B07"/>
    <w:rsid w:val="00002E1B"/>
    <w:rsid w:val="000038BB"/>
    <w:rsid w:val="00005393"/>
    <w:rsid w:val="00005413"/>
    <w:rsid w:val="00005D7E"/>
    <w:rsid w:val="00006832"/>
    <w:rsid w:val="00006A2B"/>
    <w:rsid w:val="00007A29"/>
    <w:rsid w:val="0001060B"/>
    <w:rsid w:val="0001125B"/>
    <w:rsid w:val="000114EF"/>
    <w:rsid w:val="0001156F"/>
    <w:rsid w:val="000137A0"/>
    <w:rsid w:val="000139F8"/>
    <w:rsid w:val="0001496D"/>
    <w:rsid w:val="00014E24"/>
    <w:rsid w:val="00015D84"/>
    <w:rsid w:val="00016945"/>
    <w:rsid w:val="00020EC4"/>
    <w:rsid w:val="00021DAE"/>
    <w:rsid w:val="0002358B"/>
    <w:rsid w:val="000236D5"/>
    <w:rsid w:val="000257A5"/>
    <w:rsid w:val="00026BA9"/>
    <w:rsid w:val="00027A6D"/>
    <w:rsid w:val="00027B40"/>
    <w:rsid w:val="000300D1"/>
    <w:rsid w:val="00031492"/>
    <w:rsid w:val="00031A3F"/>
    <w:rsid w:val="000336A6"/>
    <w:rsid w:val="0003419E"/>
    <w:rsid w:val="00034D7A"/>
    <w:rsid w:val="0003607D"/>
    <w:rsid w:val="00037886"/>
    <w:rsid w:val="00037A8E"/>
    <w:rsid w:val="000413A8"/>
    <w:rsid w:val="000419DF"/>
    <w:rsid w:val="0004274E"/>
    <w:rsid w:val="00042809"/>
    <w:rsid w:val="000457EE"/>
    <w:rsid w:val="00045F16"/>
    <w:rsid w:val="00050276"/>
    <w:rsid w:val="000509A2"/>
    <w:rsid w:val="000517E5"/>
    <w:rsid w:val="00052680"/>
    <w:rsid w:val="00052806"/>
    <w:rsid w:val="000531FB"/>
    <w:rsid w:val="00053455"/>
    <w:rsid w:val="00053E02"/>
    <w:rsid w:val="000547BD"/>
    <w:rsid w:val="000553E2"/>
    <w:rsid w:val="00056987"/>
    <w:rsid w:val="00056B78"/>
    <w:rsid w:val="00056EAD"/>
    <w:rsid w:val="00061C6C"/>
    <w:rsid w:val="000620BF"/>
    <w:rsid w:val="0006236D"/>
    <w:rsid w:val="00063ACA"/>
    <w:rsid w:val="000646E7"/>
    <w:rsid w:val="00064EAC"/>
    <w:rsid w:val="00065574"/>
    <w:rsid w:val="00065EA4"/>
    <w:rsid w:val="000661C3"/>
    <w:rsid w:val="00066D91"/>
    <w:rsid w:val="00067131"/>
    <w:rsid w:val="000716FC"/>
    <w:rsid w:val="00072160"/>
    <w:rsid w:val="00073039"/>
    <w:rsid w:val="000730B6"/>
    <w:rsid w:val="00073291"/>
    <w:rsid w:val="00073E6E"/>
    <w:rsid w:val="000747ED"/>
    <w:rsid w:val="00074B30"/>
    <w:rsid w:val="00074E5F"/>
    <w:rsid w:val="0007513A"/>
    <w:rsid w:val="00075ADD"/>
    <w:rsid w:val="00075CFB"/>
    <w:rsid w:val="00075E51"/>
    <w:rsid w:val="000760C8"/>
    <w:rsid w:val="000760F9"/>
    <w:rsid w:val="00076EE6"/>
    <w:rsid w:val="0007752C"/>
    <w:rsid w:val="000776B8"/>
    <w:rsid w:val="00077A2A"/>
    <w:rsid w:val="0008050D"/>
    <w:rsid w:val="000807CD"/>
    <w:rsid w:val="0008182F"/>
    <w:rsid w:val="00081A63"/>
    <w:rsid w:val="00081C7D"/>
    <w:rsid w:val="000828BB"/>
    <w:rsid w:val="000828E6"/>
    <w:rsid w:val="00082DEE"/>
    <w:rsid w:val="0008474C"/>
    <w:rsid w:val="00085E9E"/>
    <w:rsid w:val="000874A8"/>
    <w:rsid w:val="00090326"/>
    <w:rsid w:val="0009053D"/>
    <w:rsid w:val="00090A7A"/>
    <w:rsid w:val="00090E20"/>
    <w:rsid w:val="00091846"/>
    <w:rsid w:val="00091B2F"/>
    <w:rsid w:val="000929F9"/>
    <w:rsid w:val="00092C47"/>
    <w:rsid w:val="000933DA"/>
    <w:rsid w:val="00095E1E"/>
    <w:rsid w:val="00096A0B"/>
    <w:rsid w:val="00096D56"/>
    <w:rsid w:val="000978EE"/>
    <w:rsid w:val="000A1100"/>
    <w:rsid w:val="000A402B"/>
    <w:rsid w:val="000A4457"/>
    <w:rsid w:val="000A473E"/>
    <w:rsid w:val="000A6174"/>
    <w:rsid w:val="000B12C5"/>
    <w:rsid w:val="000B1628"/>
    <w:rsid w:val="000B1645"/>
    <w:rsid w:val="000B168F"/>
    <w:rsid w:val="000B17F9"/>
    <w:rsid w:val="000B2389"/>
    <w:rsid w:val="000B24EC"/>
    <w:rsid w:val="000B32B7"/>
    <w:rsid w:val="000B5134"/>
    <w:rsid w:val="000B53E0"/>
    <w:rsid w:val="000B5663"/>
    <w:rsid w:val="000B6120"/>
    <w:rsid w:val="000B6920"/>
    <w:rsid w:val="000B7344"/>
    <w:rsid w:val="000B7EF5"/>
    <w:rsid w:val="000C0CC4"/>
    <w:rsid w:val="000C2470"/>
    <w:rsid w:val="000C291C"/>
    <w:rsid w:val="000C3BE9"/>
    <w:rsid w:val="000C673B"/>
    <w:rsid w:val="000C6E5D"/>
    <w:rsid w:val="000C7054"/>
    <w:rsid w:val="000C7369"/>
    <w:rsid w:val="000C75AA"/>
    <w:rsid w:val="000C7EBD"/>
    <w:rsid w:val="000D03A2"/>
    <w:rsid w:val="000D1E37"/>
    <w:rsid w:val="000D1F10"/>
    <w:rsid w:val="000D2935"/>
    <w:rsid w:val="000D2E4D"/>
    <w:rsid w:val="000D2F44"/>
    <w:rsid w:val="000D32FB"/>
    <w:rsid w:val="000D3771"/>
    <w:rsid w:val="000D3F7D"/>
    <w:rsid w:val="000D4324"/>
    <w:rsid w:val="000D4375"/>
    <w:rsid w:val="000D4F58"/>
    <w:rsid w:val="000D578D"/>
    <w:rsid w:val="000D5851"/>
    <w:rsid w:val="000D6331"/>
    <w:rsid w:val="000D7002"/>
    <w:rsid w:val="000D73B5"/>
    <w:rsid w:val="000D7A3F"/>
    <w:rsid w:val="000D7D5C"/>
    <w:rsid w:val="000D7F8D"/>
    <w:rsid w:val="000E05E2"/>
    <w:rsid w:val="000E13AC"/>
    <w:rsid w:val="000E1D9D"/>
    <w:rsid w:val="000E272E"/>
    <w:rsid w:val="000E2809"/>
    <w:rsid w:val="000E2A80"/>
    <w:rsid w:val="000E3414"/>
    <w:rsid w:val="000E426E"/>
    <w:rsid w:val="000E4603"/>
    <w:rsid w:val="000E4B84"/>
    <w:rsid w:val="000E5C5E"/>
    <w:rsid w:val="000E64F6"/>
    <w:rsid w:val="000E6681"/>
    <w:rsid w:val="000E71BD"/>
    <w:rsid w:val="000F0AA3"/>
    <w:rsid w:val="000F160F"/>
    <w:rsid w:val="000F2983"/>
    <w:rsid w:val="000F3838"/>
    <w:rsid w:val="000F3A8F"/>
    <w:rsid w:val="000F47AB"/>
    <w:rsid w:val="000F6726"/>
    <w:rsid w:val="000F6788"/>
    <w:rsid w:val="001000FF"/>
    <w:rsid w:val="0010032B"/>
    <w:rsid w:val="00101379"/>
    <w:rsid w:val="00103F7C"/>
    <w:rsid w:val="0010472C"/>
    <w:rsid w:val="0010508C"/>
    <w:rsid w:val="00106589"/>
    <w:rsid w:val="00107271"/>
    <w:rsid w:val="001101C6"/>
    <w:rsid w:val="00110253"/>
    <w:rsid w:val="00110869"/>
    <w:rsid w:val="00110BB5"/>
    <w:rsid w:val="00111622"/>
    <w:rsid w:val="00112616"/>
    <w:rsid w:val="00112821"/>
    <w:rsid w:val="00113E3E"/>
    <w:rsid w:val="0011403D"/>
    <w:rsid w:val="00116F68"/>
    <w:rsid w:val="0011719A"/>
    <w:rsid w:val="00120554"/>
    <w:rsid w:val="001207BC"/>
    <w:rsid w:val="00122AE5"/>
    <w:rsid w:val="00122BEF"/>
    <w:rsid w:val="00122C78"/>
    <w:rsid w:val="00122D15"/>
    <w:rsid w:val="001235E7"/>
    <w:rsid w:val="00123FD7"/>
    <w:rsid w:val="00124B61"/>
    <w:rsid w:val="00125846"/>
    <w:rsid w:val="00125F37"/>
    <w:rsid w:val="00126408"/>
    <w:rsid w:val="00127035"/>
    <w:rsid w:val="00130B2E"/>
    <w:rsid w:val="00130ED2"/>
    <w:rsid w:val="0013172B"/>
    <w:rsid w:val="00131D28"/>
    <w:rsid w:val="001325DB"/>
    <w:rsid w:val="0013268A"/>
    <w:rsid w:val="00132D19"/>
    <w:rsid w:val="001338E8"/>
    <w:rsid w:val="00133F0E"/>
    <w:rsid w:val="00134E77"/>
    <w:rsid w:val="00134F95"/>
    <w:rsid w:val="00137CE7"/>
    <w:rsid w:val="0014295F"/>
    <w:rsid w:val="00142C85"/>
    <w:rsid w:val="00143661"/>
    <w:rsid w:val="00143830"/>
    <w:rsid w:val="00143FC6"/>
    <w:rsid w:val="001443D6"/>
    <w:rsid w:val="001444F0"/>
    <w:rsid w:val="00144D7E"/>
    <w:rsid w:val="00145118"/>
    <w:rsid w:val="00145FDB"/>
    <w:rsid w:val="00146177"/>
    <w:rsid w:val="001478FF"/>
    <w:rsid w:val="00147BBD"/>
    <w:rsid w:val="0015065E"/>
    <w:rsid w:val="00151B8F"/>
    <w:rsid w:val="00151FF6"/>
    <w:rsid w:val="001522AC"/>
    <w:rsid w:val="00152B29"/>
    <w:rsid w:val="001531E8"/>
    <w:rsid w:val="00154920"/>
    <w:rsid w:val="00154E48"/>
    <w:rsid w:val="00155098"/>
    <w:rsid w:val="001550CD"/>
    <w:rsid w:val="00155450"/>
    <w:rsid w:val="001560FD"/>
    <w:rsid w:val="001562E3"/>
    <w:rsid w:val="00156778"/>
    <w:rsid w:val="00156C16"/>
    <w:rsid w:val="001611D4"/>
    <w:rsid w:val="00161E16"/>
    <w:rsid w:val="0016200D"/>
    <w:rsid w:val="0016213B"/>
    <w:rsid w:val="00162870"/>
    <w:rsid w:val="00164EBE"/>
    <w:rsid w:val="00165FB9"/>
    <w:rsid w:val="00166654"/>
    <w:rsid w:val="00166D0C"/>
    <w:rsid w:val="00167C00"/>
    <w:rsid w:val="00170664"/>
    <w:rsid w:val="00170C9D"/>
    <w:rsid w:val="0017205D"/>
    <w:rsid w:val="001724FD"/>
    <w:rsid w:val="001743CE"/>
    <w:rsid w:val="00175DAA"/>
    <w:rsid w:val="00176490"/>
    <w:rsid w:val="00176E3C"/>
    <w:rsid w:val="0017724A"/>
    <w:rsid w:val="00180F33"/>
    <w:rsid w:val="00181C13"/>
    <w:rsid w:val="00183688"/>
    <w:rsid w:val="0018495D"/>
    <w:rsid w:val="00184D52"/>
    <w:rsid w:val="00184F30"/>
    <w:rsid w:val="00185378"/>
    <w:rsid w:val="00185D6E"/>
    <w:rsid w:val="0018611F"/>
    <w:rsid w:val="0018626E"/>
    <w:rsid w:val="0018664A"/>
    <w:rsid w:val="00186C73"/>
    <w:rsid w:val="00186CA0"/>
    <w:rsid w:val="001907A5"/>
    <w:rsid w:val="0019105A"/>
    <w:rsid w:val="00191417"/>
    <w:rsid w:val="0019294A"/>
    <w:rsid w:val="001935DA"/>
    <w:rsid w:val="001945BE"/>
    <w:rsid w:val="00195851"/>
    <w:rsid w:val="00195981"/>
    <w:rsid w:val="00196189"/>
    <w:rsid w:val="001972CC"/>
    <w:rsid w:val="001972CD"/>
    <w:rsid w:val="001A0AD7"/>
    <w:rsid w:val="001A2010"/>
    <w:rsid w:val="001A31E0"/>
    <w:rsid w:val="001A374A"/>
    <w:rsid w:val="001A3B2C"/>
    <w:rsid w:val="001A4359"/>
    <w:rsid w:val="001A4FEA"/>
    <w:rsid w:val="001A6BA6"/>
    <w:rsid w:val="001A71EA"/>
    <w:rsid w:val="001B0164"/>
    <w:rsid w:val="001B06B2"/>
    <w:rsid w:val="001B0731"/>
    <w:rsid w:val="001B09C0"/>
    <w:rsid w:val="001B1758"/>
    <w:rsid w:val="001B17D5"/>
    <w:rsid w:val="001B20F1"/>
    <w:rsid w:val="001B30A9"/>
    <w:rsid w:val="001B36FB"/>
    <w:rsid w:val="001B37E3"/>
    <w:rsid w:val="001B4A69"/>
    <w:rsid w:val="001B5460"/>
    <w:rsid w:val="001B557C"/>
    <w:rsid w:val="001B63AE"/>
    <w:rsid w:val="001B65DF"/>
    <w:rsid w:val="001B684A"/>
    <w:rsid w:val="001B6B3C"/>
    <w:rsid w:val="001B701F"/>
    <w:rsid w:val="001B73CA"/>
    <w:rsid w:val="001C1584"/>
    <w:rsid w:val="001C29FB"/>
    <w:rsid w:val="001C3B7C"/>
    <w:rsid w:val="001C3BED"/>
    <w:rsid w:val="001C4C04"/>
    <w:rsid w:val="001C4C71"/>
    <w:rsid w:val="001C514A"/>
    <w:rsid w:val="001C6023"/>
    <w:rsid w:val="001C605C"/>
    <w:rsid w:val="001C664A"/>
    <w:rsid w:val="001C700D"/>
    <w:rsid w:val="001C7FA2"/>
    <w:rsid w:val="001D05F8"/>
    <w:rsid w:val="001D197B"/>
    <w:rsid w:val="001D19E2"/>
    <w:rsid w:val="001D1FC5"/>
    <w:rsid w:val="001D3CA9"/>
    <w:rsid w:val="001D4E1E"/>
    <w:rsid w:val="001D5414"/>
    <w:rsid w:val="001D71BF"/>
    <w:rsid w:val="001D7862"/>
    <w:rsid w:val="001E0011"/>
    <w:rsid w:val="001E04C6"/>
    <w:rsid w:val="001E08CB"/>
    <w:rsid w:val="001E1138"/>
    <w:rsid w:val="001E19F4"/>
    <w:rsid w:val="001E3B97"/>
    <w:rsid w:val="001E3EDA"/>
    <w:rsid w:val="001E4165"/>
    <w:rsid w:val="001E4CEE"/>
    <w:rsid w:val="001E4D34"/>
    <w:rsid w:val="001E5018"/>
    <w:rsid w:val="001E5875"/>
    <w:rsid w:val="001E5C15"/>
    <w:rsid w:val="001E5CCB"/>
    <w:rsid w:val="001E61D0"/>
    <w:rsid w:val="001E660C"/>
    <w:rsid w:val="001E69F9"/>
    <w:rsid w:val="001F00F6"/>
    <w:rsid w:val="001F0208"/>
    <w:rsid w:val="001F03F9"/>
    <w:rsid w:val="001F0785"/>
    <w:rsid w:val="001F0E43"/>
    <w:rsid w:val="001F112D"/>
    <w:rsid w:val="001F15EB"/>
    <w:rsid w:val="001F1E71"/>
    <w:rsid w:val="001F1EB9"/>
    <w:rsid w:val="001F29FA"/>
    <w:rsid w:val="001F2CC5"/>
    <w:rsid w:val="001F35DA"/>
    <w:rsid w:val="001F399A"/>
    <w:rsid w:val="001F448D"/>
    <w:rsid w:val="001F465A"/>
    <w:rsid w:val="001F5311"/>
    <w:rsid w:val="001F5FFB"/>
    <w:rsid w:val="001F6B71"/>
    <w:rsid w:val="001F6F5C"/>
    <w:rsid w:val="001F74DD"/>
    <w:rsid w:val="002013F2"/>
    <w:rsid w:val="0020153A"/>
    <w:rsid w:val="002036BA"/>
    <w:rsid w:val="00204EEF"/>
    <w:rsid w:val="00206FE3"/>
    <w:rsid w:val="002103AD"/>
    <w:rsid w:val="002111B3"/>
    <w:rsid w:val="002112EF"/>
    <w:rsid w:val="00211986"/>
    <w:rsid w:val="002128A4"/>
    <w:rsid w:val="00212FD5"/>
    <w:rsid w:val="00217507"/>
    <w:rsid w:val="00217DEB"/>
    <w:rsid w:val="00220A1F"/>
    <w:rsid w:val="002216B1"/>
    <w:rsid w:val="00222B8B"/>
    <w:rsid w:val="002231FA"/>
    <w:rsid w:val="00223915"/>
    <w:rsid w:val="002243EF"/>
    <w:rsid w:val="002246C2"/>
    <w:rsid w:val="00224AB2"/>
    <w:rsid w:val="00224EB9"/>
    <w:rsid w:val="00225968"/>
    <w:rsid w:val="002260ED"/>
    <w:rsid w:val="002261B9"/>
    <w:rsid w:val="002267A4"/>
    <w:rsid w:val="00226FFA"/>
    <w:rsid w:val="002273CF"/>
    <w:rsid w:val="00227420"/>
    <w:rsid w:val="00227B4C"/>
    <w:rsid w:val="00227DF3"/>
    <w:rsid w:val="00227FDD"/>
    <w:rsid w:val="00230071"/>
    <w:rsid w:val="00230900"/>
    <w:rsid w:val="00230A43"/>
    <w:rsid w:val="002318EE"/>
    <w:rsid w:val="002332AB"/>
    <w:rsid w:val="002348EC"/>
    <w:rsid w:val="00234CD1"/>
    <w:rsid w:val="00235546"/>
    <w:rsid w:val="002355E1"/>
    <w:rsid w:val="0023722C"/>
    <w:rsid w:val="002402E6"/>
    <w:rsid w:val="0024180B"/>
    <w:rsid w:val="002427F8"/>
    <w:rsid w:val="0024361A"/>
    <w:rsid w:val="00245053"/>
    <w:rsid w:val="002460C6"/>
    <w:rsid w:val="002463C4"/>
    <w:rsid w:val="0024660E"/>
    <w:rsid w:val="00246E44"/>
    <w:rsid w:val="0024741C"/>
    <w:rsid w:val="0024789C"/>
    <w:rsid w:val="00247BDF"/>
    <w:rsid w:val="00247D2F"/>
    <w:rsid w:val="00247E4A"/>
    <w:rsid w:val="00250398"/>
    <w:rsid w:val="00250462"/>
    <w:rsid w:val="00250C65"/>
    <w:rsid w:val="00250D51"/>
    <w:rsid w:val="002512E4"/>
    <w:rsid w:val="00252432"/>
    <w:rsid w:val="002528D0"/>
    <w:rsid w:val="00252C43"/>
    <w:rsid w:val="002532FC"/>
    <w:rsid w:val="002538C1"/>
    <w:rsid w:val="00253DB8"/>
    <w:rsid w:val="002540D2"/>
    <w:rsid w:val="0025454D"/>
    <w:rsid w:val="002549E1"/>
    <w:rsid w:val="0025560A"/>
    <w:rsid w:val="00255E45"/>
    <w:rsid w:val="00255ECA"/>
    <w:rsid w:val="00256A33"/>
    <w:rsid w:val="00256C17"/>
    <w:rsid w:val="00257FDE"/>
    <w:rsid w:val="00257FE6"/>
    <w:rsid w:val="0026066F"/>
    <w:rsid w:val="0026163B"/>
    <w:rsid w:val="002617DD"/>
    <w:rsid w:val="0026185B"/>
    <w:rsid w:val="00262D7C"/>
    <w:rsid w:val="00263180"/>
    <w:rsid w:val="00263AFE"/>
    <w:rsid w:val="00263D76"/>
    <w:rsid w:val="0026522A"/>
    <w:rsid w:val="00266681"/>
    <w:rsid w:val="00266960"/>
    <w:rsid w:val="00266A52"/>
    <w:rsid w:val="00266D1A"/>
    <w:rsid w:val="00267296"/>
    <w:rsid w:val="00271FC0"/>
    <w:rsid w:val="00272340"/>
    <w:rsid w:val="0027453D"/>
    <w:rsid w:val="00274D9D"/>
    <w:rsid w:val="00274FE6"/>
    <w:rsid w:val="002755BE"/>
    <w:rsid w:val="0027615A"/>
    <w:rsid w:val="00277757"/>
    <w:rsid w:val="00277773"/>
    <w:rsid w:val="002801C7"/>
    <w:rsid w:val="002808B7"/>
    <w:rsid w:val="00280CE4"/>
    <w:rsid w:val="00280F0A"/>
    <w:rsid w:val="00281A35"/>
    <w:rsid w:val="0028232E"/>
    <w:rsid w:val="00282C3C"/>
    <w:rsid w:val="00282CDB"/>
    <w:rsid w:val="00284173"/>
    <w:rsid w:val="00285185"/>
    <w:rsid w:val="002861F0"/>
    <w:rsid w:val="00286760"/>
    <w:rsid w:val="00286FFC"/>
    <w:rsid w:val="00287973"/>
    <w:rsid w:val="00290206"/>
    <w:rsid w:val="00290983"/>
    <w:rsid w:val="00290F3B"/>
    <w:rsid w:val="00291BA7"/>
    <w:rsid w:val="00293DC0"/>
    <w:rsid w:val="002952ED"/>
    <w:rsid w:val="00295E9E"/>
    <w:rsid w:val="0029603E"/>
    <w:rsid w:val="0029605F"/>
    <w:rsid w:val="0029644E"/>
    <w:rsid w:val="0029663D"/>
    <w:rsid w:val="002969A0"/>
    <w:rsid w:val="002A01D6"/>
    <w:rsid w:val="002A03DB"/>
    <w:rsid w:val="002A13C0"/>
    <w:rsid w:val="002A2972"/>
    <w:rsid w:val="002A3FDB"/>
    <w:rsid w:val="002A4721"/>
    <w:rsid w:val="002A5249"/>
    <w:rsid w:val="002A6378"/>
    <w:rsid w:val="002A66C3"/>
    <w:rsid w:val="002A7FFE"/>
    <w:rsid w:val="002B0325"/>
    <w:rsid w:val="002B08F4"/>
    <w:rsid w:val="002B0A10"/>
    <w:rsid w:val="002B123D"/>
    <w:rsid w:val="002B3108"/>
    <w:rsid w:val="002B4782"/>
    <w:rsid w:val="002B5CDF"/>
    <w:rsid w:val="002B5D9B"/>
    <w:rsid w:val="002B60D2"/>
    <w:rsid w:val="002B6215"/>
    <w:rsid w:val="002B6BD5"/>
    <w:rsid w:val="002B77E5"/>
    <w:rsid w:val="002B7B6B"/>
    <w:rsid w:val="002C0462"/>
    <w:rsid w:val="002C0587"/>
    <w:rsid w:val="002C099F"/>
    <w:rsid w:val="002C09F3"/>
    <w:rsid w:val="002C0B67"/>
    <w:rsid w:val="002C11AC"/>
    <w:rsid w:val="002C136A"/>
    <w:rsid w:val="002C26DD"/>
    <w:rsid w:val="002C4651"/>
    <w:rsid w:val="002C56BA"/>
    <w:rsid w:val="002C6A7D"/>
    <w:rsid w:val="002C70DD"/>
    <w:rsid w:val="002C7247"/>
    <w:rsid w:val="002C767D"/>
    <w:rsid w:val="002D00AC"/>
    <w:rsid w:val="002D06F5"/>
    <w:rsid w:val="002D088E"/>
    <w:rsid w:val="002D0B7F"/>
    <w:rsid w:val="002D1328"/>
    <w:rsid w:val="002D193B"/>
    <w:rsid w:val="002D357D"/>
    <w:rsid w:val="002D42C5"/>
    <w:rsid w:val="002D444B"/>
    <w:rsid w:val="002D7040"/>
    <w:rsid w:val="002D7249"/>
    <w:rsid w:val="002D781B"/>
    <w:rsid w:val="002E07D2"/>
    <w:rsid w:val="002E0A6F"/>
    <w:rsid w:val="002E0D93"/>
    <w:rsid w:val="002E15EC"/>
    <w:rsid w:val="002E245B"/>
    <w:rsid w:val="002E2B9D"/>
    <w:rsid w:val="002E4276"/>
    <w:rsid w:val="002E4359"/>
    <w:rsid w:val="002E4D3A"/>
    <w:rsid w:val="002E540A"/>
    <w:rsid w:val="002E6386"/>
    <w:rsid w:val="002E7D86"/>
    <w:rsid w:val="002F122F"/>
    <w:rsid w:val="002F2290"/>
    <w:rsid w:val="002F2EEC"/>
    <w:rsid w:val="002F4334"/>
    <w:rsid w:val="002F5483"/>
    <w:rsid w:val="002F55AB"/>
    <w:rsid w:val="002F5C56"/>
    <w:rsid w:val="002F67B2"/>
    <w:rsid w:val="002F6AE2"/>
    <w:rsid w:val="002F7CE2"/>
    <w:rsid w:val="00301E86"/>
    <w:rsid w:val="003040D0"/>
    <w:rsid w:val="003055C8"/>
    <w:rsid w:val="003063F6"/>
    <w:rsid w:val="00307E0E"/>
    <w:rsid w:val="003103F3"/>
    <w:rsid w:val="00310C59"/>
    <w:rsid w:val="00310FBE"/>
    <w:rsid w:val="00311115"/>
    <w:rsid w:val="00311DBB"/>
    <w:rsid w:val="00312171"/>
    <w:rsid w:val="00314571"/>
    <w:rsid w:val="00314600"/>
    <w:rsid w:val="00315B36"/>
    <w:rsid w:val="003174BE"/>
    <w:rsid w:val="00322617"/>
    <w:rsid w:val="00323391"/>
    <w:rsid w:val="0032458B"/>
    <w:rsid w:val="003246C3"/>
    <w:rsid w:val="0032588A"/>
    <w:rsid w:val="003259AA"/>
    <w:rsid w:val="003261A6"/>
    <w:rsid w:val="00326FC5"/>
    <w:rsid w:val="00327CBB"/>
    <w:rsid w:val="00330523"/>
    <w:rsid w:val="00331014"/>
    <w:rsid w:val="00331E5D"/>
    <w:rsid w:val="00332B08"/>
    <w:rsid w:val="003331BC"/>
    <w:rsid w:val="0033384C"/>
    <w:rsid w:val="0033477A"/>
    <w:rsid w:val="00335125"/>
    <w:rsid w:val="00335349"/>
    <w:rsid w:val="00335FCD"/>
    <w:rsid w:val="00336A0B"/>
    <w:rsid w:val="003401E1"/>
    <w:rsid w:val="00340FEE"/>
    <w:rsid w:val="003411AD"/>
    <w:rsid w:val="003427DC"/>
    <w:rsid w:val="00343248"/>
    <w:rsid w:val="003447EE"/>
    <w:rsid w:val="00345CB9"/>
    <w:rsid w:val="003460D1"/>
    <w:rsid w:val="00346DF0"/>
    <w:rsid w:val="00346E5D"/>
    <w:rsid w:val="003475A3"/>
    <w:rsid w:val="0034762D"/>
    <w:rsid w:val="00347873"/>
    <w:rsid w:val="00350195"/>
    <w:rsid w:val="00350303"/>
    <w:rsid w:val="00350C5D"/>
    <w:rsid w:val="003513AF"/>
    <w:rsid w:val="00351621"/>
    <w:rsid w:val="00351732"/>
    <w:rsid w:val="00351B81"/>
    <w:rsid w:val="00351E25"/>
    <w:rsid w:val="0035245E"/>
    <w:rsid w:val="003526A1"/>
    <w:rsid w:val="003534C9"/>
    <w:rsid w:val="00354547"/>
    <w:rsid w:val="00355519"/>
    <w:rsid w:val="003566F5"/>
    <w:rsid w:val="0035697D"/>
    <w:rsid w:val="00356D34"/>
    <w:rsid w:val="0035727B"/>
    <w:rsid w:val="003577CC"/>
    <w:rsid w:val="00357F91"/>
    <w:rsid w:val="00360164"/>
    <w:rsid w:val="00361250"/>
    <w:rsid w:val="00361C1D"/>
    <w:rsid w:val="00362FC7"/>
    <w:rsid w:val="00363004"/>
    <w:rsid w:val="003639AD"/>
    <w:rsid w:val="003647B8"/>
    <w:rsid w:val="00364C1B"/>
    <w:rsid w:val="00365AF7"/>
    <w:rsid w:val="00365E11"/>
    <w:rsid w:val="0036619B"/>
    <w:rsid w:val="00366265"/>
    <w:rsid w:val="00366C28"/>
    <w:rsid w:val="00366F16"/>
    <w:rsid w:val="0036704A"/>
    <w:rsid w:val="00370E27"/>
    <w:rsid w:val="00370E9E"/>
    <w:rsid w:val="00371098"/>
    <w:rsid w:val="003716F2"/>
    <w:rsid w:val="003718A5"/>
    <w:rsid w:val="00371EAD"/>
    <w:rsid w:val="00371EBF"/>
    <w:rsid w:val="00372401"/>
    <w:rsid w:val="0037388A"/>
    <w:rsid w:val="00374624"/>
    <w:rsid w:val="0037463C"/>
    <w:rsid w:val="003749FB"/>
    <w:rsid w:val="00375A1F"/>
    <w:rsid w:val="00375FC2"/>
    <w:rsid w:val="00377F57"/>
    <w:rsid w:val="003800C0"/>
    <w:rsid w:val="0038104B"/>
    <w:rsid w:val="003826F0"/>
    <w:rsid w:val="00383931"/>
    <w:rsid w:val="00384026"/>
    <w:rsid w:val="003845F0"/>
    <w:rsid w:val="00384BAA"/>
    <w:rsid w:val="003870D6"/>
    <w:rsid w:val="00387358"/>
    <w:rsid w:val="003873CB"/>
    <w:rsid w:val="003875BE"/>
    <w:rsid w:val="00387674"/>
    <w:rsid w:val="00387A75"/>
    <w:rsid w:val="00387B82"/>
    <w:rsid w:val="00387FDD"/>
    <w:rsid w:val="00390685"/>
    <w:rsid w:val="0039290F"/>
    <w:rsid w:val="003931AF"/>
    <w:rsid w:val="0039385D"/>
    <w:rsid w:val="00393C64"/>
    <w:rsid w:val="003940D0"/>
    <w:rsid w:val="00394742"/>
    <w:rsid w:val="003965AD"/>
    <w:rsid w:val="003968C0"/>
    <w:rsid w:val="00397533"/>
    <w:rsid w:val="003977AD"/>
    <w:rsid w:val="00397A0B"/>
    <w:rsid w:val="003A0732"/>
    <w:rsid w:val="003A0774"/>
    <w:rsid w:val="003A0BB2"/>
    <w:rsid w:val="003A10E7"/>
    <w:rsid w:val="003A12F6"/>
    <w:rsid w:val="003A1A24"/>
    <w:rsid w:val="003A224D"/>
    <w:rsid w:val="003A2E72"/>
    <w:rsid w:val="003A326A"/>
    <w:rsid w:val="003A4C7C"/>
    <w:rsid w:val="003A4F17"/>
    <w:rsid w:val="003A51C0"/>
    <w:rsid w:val="003A54A4"/>
    <w:rsid w:val="003A57FB"/>
    <w:rsid w:val="003A634E"/>
    <w:rsid w:val="003A6DEE"/>
    <w:rsid w:val="003A7C66"/>
    <w:rsid w:val="003B0084"/>
    <w:rsid w:val="003B0C7D"/>
    <w:rsid w:val="003B1190"/>
    <w:rsid w:val="003B16CA"/>
    <w:rsid w:val="003B1FAA"/>
    <w:rsid w:val="003B22F5"/>
    <w:rsid w:val="003B24BF"/>
    <w:rsid w:val="003B38FC"/>
    <w:rsid w:val="003B3DEC"/>
    <w:rsid w:val="003B424F"/>
    <w:rsid w:val="003B5ED1"/>
    <w:rsid w:val="003B651A"/>
    <w:rsid w:val="003B669F"/>
    <w:rsid w:val="003B66E4"/>
    <w:rsid w:val="003B6A0E"/>
    <w:rsid w:val="003B7416"/>
    <w:rsid w:val="003B75D3"/>
    <w:rsid w:val="003C0B2D"/>
    <w:rsid w:val="003C20A4"/>
    <w:rsid w:val="003C2FD6"/>
    <w:rsid w:val="003C3249"/>
    <w:rsid w:val="003C3B87"/>
    <w:rsid w:val="003C3D91"/>
    <w:rsid w:val="003C42C5"/>
    <w:rsid w:val="003C469C"/>
    <w:rsid w:val="003C4A83"/>
    <w:rsid w:val="003C5004"/>
    <w:rsid w:val="003C5217"/>
    <w:rsid w:val="003C622E"/>
    <w:rsid w:val="003C6A10"/>
    <w:rsid w:val="003C715C"/>
    <w:rsid w:val="003C7E8B"/>
    <w:rsid w:val="003D0C45"/>
    <w:rsid w:val="003D1A13"/>
    <w:rsid w:val="003D2451"/>
    <w:rsid w:val="003D2B90"/>
    <w:rsid w:val="003D2D41"/>
    <w:rsid w:val="003D2E33"/>
    <w:rsid w:val="003D349E"/>
    <w:rsid w:val="003D3FE6"/>
    <w:rsid w:val="003D4268"/>
    <w:rsid w:val="003D48A0"/>
    <w:rsid w:val="003D6DB0"/>
    <w:rsid w:val="003D6E8B"/>
    <w:rsid w:val="003D7102"/>
    <w:rsid w:val="003E00F1"/>
    <w:rsid w:val="003E0A2A"/>
    <w:rsid w:val="003E0C30"/>
    <w:rsid w:val="003E0DF0"/>
    <w:rsid w:val="003E1DD3"/>
    <w:rsid w:val="003E1E45"/>
    <w:rsid w:val="003E3D70"/>
    <w:rsid w:val="003E475E"/>
    <w:rsid w:val="003E5B53"/>
    <w:rsid w:val="003E5FC6"/>
    <w:rsid w:val="003E66A3"/>
    <w:rsid w:val="003E6CE3"/>
    <w:rsid w:val="003E71AE"/>
    <w:rsid w:val="003E7AE2"/>
    <w:rsid w:val="003F55BF"/>
    <w:rsid w:val="003F6E09"/>
    <w:rsid w:val="00400909"/>
    <w:rsid w:val="004010E0"/>
    <w:rsid w:val="00401224"/>
    <w:rsid w:val="004015E0"/>
    <w:rsid w:val="00401E0F"/>
    <w:rsid w:val="00402036"/>
    <w:rsid w:val="0040314A"/>
    <w:rsid w:val="00403209"/>
    <w:rsid w:val="00403FBB"/>
    <w:rsid w:val="00404192"/>
    <w:rsid w:val="00404332"/>
    <w:rsid w:val="00404775"/>
    <w:rsid w:val="00405042"/>
    <w:rsid w:val="00406EE0"/>
    <w:rsid w:val="00410C36"/>
    <w:rsid w:val="00410E03"/>
    <w:rsid w:val="0041283C"/>
    <w:rsid w:val="00412A0B"/>
    <w:rsid w:val="00413957"/>
    <w:rsid w:val="004140D0"/>
    <w:rsid w:val="00414580"/>
    <w:rsid w:val="004146C8"/>
    <w:rsid w:val="00414FD2"/>
    <w:rsid w:val="00415192"/>
    <w:rsid w:val="00415300"/>
    <w:rsid w:val="00415DB7"/>
    <w:rsid w:val="00415F38"/>
    <w:rsid w:val="004160EC"/>
    <w:rsid w:val="00416FE7"/>
    <w:rsid w:val="00417387"/>
    <w:rsid w:val="00420588"/>
    <w:rsid w:val="00420791"/>
    <w:rsid w:val="00422AA0"/>
    <w:rsid w:val="00422C1D"/>
    <w:rsid w:val="004234A9"/>
    <w:rsid w:val="0042451C"/>
    <w:rsid w:val="00424F67"/>
    <w:rsid w:val="0042659C"/>
    <w:rsid w:val="00427AC2"/>
    <w:rsid w:val="00427BA8"/>
    <w:rsid w:val="00430117"/>
    <w:rsid w:val="00430AB3"/>
    <w:rsid w:val="0043131C"/>
    <w:rsid w:val="004317B2"/>
    <w:rsid w:val="00433253"/>
    <w:rsid w:val="0043402D"/>
    <w:rsid w:val="00435198"/>
    <w:rsid w:val="00435418"/>
    <w:rsid w:val="00436077"/>
    <w:rsid w:val="004367DF"/>
    <w:rsid w:val="0043751F"/>
    <w:rsid w:val="00437C16"/>
    <w:rsid w:val="00437DBD"/>
    <w:rsid w:val="004402A1"/>
    <w:rsid w:val="00440673"/>
    <w:rsid w:val="00440775"/>
    <w:rsid w:val="00440955"/>
    <w:rsid w:val="00440F65"/>
    <w:rsid w:val="004414E6"/>
    <w:rsid w:val="00441734"/>
    <w:rsid w:val="00441CBB"/>
    <w:rsid w:val="004423C0"/>
    <w:rsid w:val="00442D0A"/>
    <w:rsid w:val="0044396D"/>
    <w:rsid w:val="00443F92"/>
    <w:rsid w:val="004458A4"/>
    <w:rsid w:val="004460F5"/>
    <w:rsid w:val="0044729D"/>
    <w:rsid w:val="00447405"/>
    <w:rsid w:val="00447492"/>
    <w:rsid w:val="00447D63"/>
    <w:rsid w:val="004508A7"/>
    <w:rsid w:val="0045093F"/>
    <w:rsid w:val="00451E82"/>
    <w:rsid w:val="00452446"/>
    <w:rsid w:val="00453258"/>
    <w:rsid w:val="00453DF7"/>
    <w:rsid w:val="00453F86"/>
    <w:rsid w:val="00455226"/>
    <w:rsid w:val="004558D5"/>
    <w:rsid w:val="00456943"/>
    <w:rsid w:val="00456AC0"/>
    <w:rsid w:val="00457F41"/>
    <w:rsid w:val="00460D94"/>
    <w:rsid w:val="004610BC"/>
    <w:rsid w:val="004615E8"/>
    <w:rsid w:val="0046193B"/>
    <w:rsid w:val="00461CE3"/>
    <w:rsid w:val="00461D1D"/>
    <w:rsid w:val="0046275B"/>
    <w:rsid w:val="00462A53"/>
    <w:rsid w:val="00462A97"/>
    <w:rsid w:val="004632E7"/>
    <w:rsid w:val="0046363D"/>
    <w:rsid w:val="0046415F"/>
    <w:rsid w:val="004644E0"/>
    <w:rsid w:val="004648A0"/>
    <w:rsid w:val="00465836"/>
    <w:rsid w:val="00465AA7"/>
    <w:rsid w:val="00466169"/>
    <w:rsid w:val="00466618"/>
    <w:rsid w:val="004669D2"/>
    <w:rsid w:val="004672DE"/>
    <w:rsid w:val="00467D19"/>
    <w:rsid w:val="0047070E"/>
    <w:rsid w:val="00471989"/>
    <w:rsid w:val="00471E13"/>
    <w:rsid w:val="004725B3"/>
    <w:rsid w:val="00472A10"/>
    <w:rsid w:val="004734EC"/>
    <w:rsid w:val="00473D3F"/>
    <w:rsid w:val="004744D8"/>
    <w:rsid w:val="00474894"/>
    <w:rsid w:val="00474BD3"/>
    <w:rsid w:val="00476806"/>
    <w:rsid w:val="00476C24"/>
    <w:rsid w:val="00477F32"/>
    <w:rsid w:val="004812DA"/>
    <w:rsid w:val="00482426"/>
    <w:rsid w:val="00484B30"/>
    <w:rsid w:val="00487036"/>
    <w:rsid w:val="00487D1F"/>
    <w:rsid w:val="00487E87"/>
    <w:rsid w:val="00490140"/>
    <w:rsid w:val="00491AB2"/>
    <w:rsid w:val="00491CBE"/>
    <w:rsid w:val="00492919"/>
    <w:rsid w:val="00492F10"/>
    <w:rsid w:val="00493EB6"/>
    <w:rsid w:val="00494CDA"/>
    <w:rsid w:val="00495319"/>
    <w:rsid w:val="0049547D"/>
    <w:rsid w:val="00496914"/>
    <w:rsid w:val="00497906"/>
    <w:rsid w:val="00497D50"/>
    <w:rsid w:val="00497DEE"/>
    <w:rsid w:val="00497F64"/>
    <w:rsid w:val="004A010B"/>
    <w:rsid w:val="004A0DCD"/>
    <w:rsid w:val="004A28F6"/>
    <w:rsid w:val="004A2C22"/>
    <w:rsid w:val="004A3735"/>
    <w:rsid w:val="004A39D7"/>
    <w:rsid w:val="004A3D65"/>
    <w:rsid w:val="004A4985"/>
    <w:rsid w:val="004A4DCD"/>
    <w:rsid w:val="004A55D7"/>
    <w:rsid w:val="004A5A8C"/>
    <w:rsid w:val="004A64CA"/>
    <w:rsid w:val="004A6695"/>
    <w:rsid w:val="004A770B"/>
    <w:rsid w:val="004B0783"/>
    <w:rsid w:val="004B10CE"/>
    <w:rsid w:val="004B17D4"/>
    <w:rsid w:val="004B3A40"/>
    <w:rsid w:val="004B4D70"/>
    <w:rsid w:val="004B500D"/>
    <w:rsid w:val="004B52A7"/>
    <w:rsid w:val="004B5540"/>
    <w:rsid w:val="004B5CFC"/>
    <w:rsid w:val="004B652E"/>
    <w:rsid w:val="004B6826"/>
    <w:rsid w:val="004B6B47"/>
    <w:rsid w:val="004C0809"/>
    <w:rsid w:val="004C0904"/>
    <w:rsid w:val="004C1E1B"/>
    <w:rsid w:val="004C1F46"/>
    <w:rsid w:val="004C2824"/>
    <w:rsid w:val="004C297B"/>
    <w:rsid w:val="004C2ACA"/>
    <w:rsid w:val="004C46D7"/>
    <w:rsid w:val="004C5790"/>
    <w:rsid w:val="004D1542"/>
    <w:rsid w:val="004D1748"/>
    <w:rsid w:val="004D2700"/>
    <w:rsid w:val="004D2999"/>
    <w:rsid w:val="004D2C89"/>
    <w:rsid w:val="004D3645"/>
    <w:rsid w:val="004D3BE6"/>
    <w:rsid w:val="004D4627"/>
    <w:rsid w:val="004D4D12"/>
    <w:rsid w:val="004D62C7"/>
    <w:rsid w:val="004D78B0"/>
    <w:rsid w:val="004E1416"/>
    <w:rsid w:val="004E2913"/>
    <w:rsid w:val="004E2A60"/>
    <w:rsid w:val="004E2CEB"/>
    <w:rsid w:val="004E317C"/>
    <w:rsid w:val="004E3221"/>
    <w:rsid w:val="004E3FA8"/>
    <w:rsid w:val="004E46D3"/>
    <w:rsid w:val="004E4C7E"/>
    <w:rsid w:val="004E4F89"/>
    <w:rsid w:val="004E67CB"/>
    <w:rsid w:val="004F027F"/>
    <w:rsid w:val="004F0482"/>
    <w:rsid w:val="004F0C4C"/>
    <w:rsid w:val="004F115B"/>
    <w:rsid w:val="004F14C1"/>
    <w:rsid w:val="004F17C3"/>
    <w:rsid w:val="004F1EFC"/>
    <w:rsid w:val="004F22AB"/>
    <w:rsid w:val="004F22FA"/>
    <w:rsid w:val="004F306A"/>
    <w:rsid w:val="004F3E45"/>
    <w:rsid w:val="004F4273"/>
    <w:rsid w:val="004F43FA"/>
    <w:rsid w:val="004F4404"/>
    <w:rsid w:val="004F4C0B"/>
    <w:rsid w:val="004F4D30"/>
    <w:rsid w:val="004F5851"/>
    <w:rsid w:val="004F5DDD"/>
    <w:rsid w:val="004F5DE2"/>
    <w:rsid w:val="004F600F"/>
    <w:rsid w:val="004F751E"/>
    <w:rsid w:val="005000F2"/>
    <w:rsid w:val="00500A61"/>
    <w:rsid w:val="0050294A"/>
    <w:rsid w:val="0050299A"/>
    <w:rsid w:val="00502FB4"/>
    <w:rsid w:val="0050328F"/>
    <w:rsid w:val="00504272"/>
    <w:rsid w:val="00504D35"/>
    <w:rsid w:val="00504DD4"/>
    <w:rsid w:val="00505BF1"/>
    <w:rsid w:val="00506CA0"/>
    <w:rsid w:val="00506DBE"/>
    <w:rsid w:val="00507102"/>
    <w:rsid w:val="0051079B"/>
    <w:rsid w:val="005108D2"/>
    <w:rsid w:val="00510938"/>
    <w:rsid w:val="00514E54"/>
    <w:rsid w:val="00514EFC"/>
    <w:rsid w:val="00515A63"/>
    <w:rsid w:val="005165E9"/>
    <w:rsid w:val="0051699C"/>
    <w:rsid w:val="00516CF1"/>
    <w:rsid w:val="00517EFD"/>
    <w:rsid w:val="005205F4"/>
    <w:rsid w:val="00520754"/>
    <w:rsid w:val="00520C1A"/>
    <w:rsid w:val="005226C0"/>
    <w:rsid w:val="00522DFE"/>
    <w:rsid w:val="005230CA"/>
    <w:rsid w:val="005231E1"/>
    <w:rsid w:val="00523AAC"/>
    <w:rsid w:val="00523B2F"/>
    <w:rsid w:val="00524BA8"/>
    <w:rsid w:val="00524CFE"/>
    <w:rsid w:val="005253D3"/>
    <w:rsid w:val="00526466"/>
    <w:rsid w:val="005279A2"/>
    <w:rsid w:val="00531204"/>
    <w:rsid w:val="005313C8"/>
    <w:rsid w:val="005316CF"/>
    <w:rsid w:val="00531884"/>
    <w:rsid w:val="0053330F"/>
    <w:rsid w:val="00533E83"/>
    <w:rsid w:val="00534AE6"/>
    <w:rsid w:val="00536CCD"/>
    <w:rsid w:val="00537E42"/>
    <w:rsid w:val="005402FC"/>
    <w:rsid w:val="00541003"/>
    <w:rsid w:val="0054268E"/>
    <w:rsid w:val="005433AE"/>
    <w:rsid w:val="00544D1E"/>
    <w:rsid w:val="00544EC8"/>
    <w:rsid w:val="00545201"/>
    <w:rsid w:val="00546258"/>
    <w:rsid w:val="005462FF"/>
    <w:rsid w:val="005463FB"/>
    <w:rsid w:val="0054692C"/>
    <w:rsid w:val="00546BC6"/>
    <w:rsid w:val="0054743B"/>
    <w:rsid w:val="0054752F"/>
    <w:rsid w:val="00547C25"/>
    <w:rsid w:val="005513EC"/>
    <w:rsid w:val="005513F1"/>
    <w:rsid w:val="00552253"/>
    <w:rsid w:val="005530EB"/>
    <w:rsid w:val="00553135"/>
    <w:rsid w:val="00553CF9"/>
    <w:rsid w:val="0055493F"/>
    <w:rsid w:val="00554D81"/>
    <w:rsid w:val="00554FF4"/>
    <w:rsid w:val="005552F0"/>
    <w:rsid w:val="00555A20"/>
    <w:rsid w:val="00555A6E"/>
    <w:rsid w:val="00555CCD"/>
    <w:rsid w:val="00555FF2"/>
    <w:rsid w:val="005560C8"/>
    <w:rsid w:val="00557042"/>
    <w:rsid w:val="0055790C"/>
    <w:rsid w:val="00560D04"/>
    <w:rsid w:val="0056102F"/>
    <w:rsid w:val="00561409"/>
    <w:rsid w:val="005618A9"/>
    <w:rsid w:val="00562493"/>
    <w:rsid w:val="005624FC"/>
    <w:rsid w:val="005639B8"/>
    <w:rsid w:val="005640F5"/>
    <w:rsid w:val="00564582"/>
    <w:rsid w:val="00564791"/>
    <w:rsid w:val="00564FD5"/>
    <w:rsid w:val="00565BB8"/>
    <w:rsid w:val="00565FF0"/>
    <w:rsid w:val="00566040"/>
    <w:rsid w:val="0056617C"/>
    <w:rsid w:val="00566D50"/>
    <w:rsid w:val="00566E9A"/>
    <w:rsid w:val="00570102"/>
    <w:rsid w:val="00570230"/>
    <w:rsid w:val="0057025F"/>
    <w:rsid w:val="00570C14"/>
    <w:rsid w:val="00570D8F"/>
    <w:rsid w:val="00571462"/>
    <w:rsid w:val="00571A35"/>
    <w:rsid w:val="00571D55"/>
    <w:rsid w:val="00572ADD"/>
    <w:rsid w:val="00572C01"/>
    <w:rsid w:val="0057316D"/>
    <w:rsid w:val="005731A1"/>
    <w:rsid w:val="005731CD"/>
    <w:rsid w:val="005744B6"/>
    <w:rsid w:val="0057455C"/>
    <w:rsid w:val="005747C2"/>
    <w:rsid w:val="00574B11"/>
    <w:rsid w:val="00575982"/>
    <w:rsid w:val="00575A32"/>
    <w:rsid w:val="00575C64"/>
    <w:rsid w:val="00576681"/>
    <w:rsid w:val="00576D5B"/>
    <w:rsid w:val="00576F3C"/>
    <w:rsid w:val="005774D4"/>
    <w:rsid w:val="00577CB2"/>
    <w:rsid w:val="00577F0E"/>
    <w:rsid w:val="005803D9"/>
    <w:rsid w:val="00580752"/>
    <w:rsid w:val="005811B5"/>
    <w:rsid w:val="00581DBB"/>
    <w:rsid w:val="0058351B"/>
    <w:rsid w:val="00583AEE"/>
    <w:rsid w:val="00583F64"/>
    <w:rsid w:val="005851FE"/>
    <w:rsid w:val="0058558E"/>
    <w:rsid w:val="00585A37"/>
    <w:rsid w:val="00585C87"/>
    <w:rsid w:val="00585E47"/>
    <w:rsid w:val="00587822"/>
    <w:rsid w:val="00590138"/>
    <w:rsid w:val="0059034F"/>
    <w:rsid w:val="0059060D"/>
    <w:rsid w:val="00591607"/>
    <w:rsid w:val="00591E7F"/>
    <w:rsid w:val="00593FC5"/>
    <w:rsid w:val="00594490"/>
    <w:rsid w:val="00594FD6"/>
    <w:rsid w:val="00595616"/>
    <w:rsid w:val="00596329"/>
    <w:rsid w:val="00596418"/>
    <w:rsid w:val="00596C95"/>
    <w:rsid w:val="00597443"/>
    <w:rsid w:val="00597480"/>
    <w:rsid w:val="00597A29"/>
    <w:rsid w:val="005A046E"/>
    <w:rsid w:val="005A13E8"/>
    <w:rsid w:val="005A1EFE"/>
    <w:rsid w:val="005A26B6"/>
    <w:rsid w:val="005A3554"/>
    <w:rsid w:val="005A3EC2"/>
    <w:rsid w:val="005A5C4D"/>
    <w:rsid w:val="005A5E3A"/>
    <w:rsid w:val="005A7578"/>
    <w:rsid w:val="005A7791"/>
    <w:rsid w:val="005A7C27"/>
    <w:rsid w:val="005A7CC8"/>
    <w:rsid w:val="005B0D94"/>
    <w:rsid w:val="005B0FCE"/>
    <w:rsid w:val="005B1875"/>
    <w:rsid w:val="005B257A"/>
    <w:rsid w:val="005B41C1"/>
    <w:rsid w:val="005B447D"/>
    <w:rsid w:val="005B493F"/>
    <w:rsid w:val="005B4B04"/>
    <w:rsid w:val="005B4E18"/>
    <w:rsid w:val="005B5CAB"/>
    <w:rsid w:val="005B5FE0"/>
    <w:rsid w:val="005B63D0"/>
    <w:rsid w:val="005B64F9"/>
    <w:rsid w:val="005B6652"/>
    <w:rsid w:val="005B69A9"/>
    <w:rsid w:val="005B6EF1"/>
    <w:rsid w:val="005B77B3"/>
    <w:rsid w:val="005B781B"/>
    <w:rsid w:val="005C0652"/>
    <w:rsid w:val="005C08D1"/>
    <w:rsid w:val="005C0FB2"/>
    <w:rsid w:val="005C1374"/>
    <w:rsid w:val="005C154B"/>
    <w:rsid w:val="005C17D2"/>
    <w:rsid w:val="005C1BC7"/>
    <w:rsid w:val="005C2524"/>
    <w:rsid w:val="005C3D4D"/>
    <w:rsid w:val="005C485D"/>
    <w:rsid w:val="005C4B0D"/>
    <w:rsid w:val="005C56D9"/>
    <w:rsid w:val="005C5A87"/>
    <w:rsid w:val="005C5C0D"/>
    <w:rsid w:val="005C5FA1"/>
    <w:rsid w:val="005C6992"/>
    <w:rsid w:val="005C6C5D"/>
    <w:rsid w:val="005C7A47"/>
    <w:rsid w:val="005C7CA4"/>
    <w:rsid w:val="005D02FA"/>
    <w:rsid w:val="005D081C"/>
    <w:rsid w:val="005D12B3"/>
    <w:rsid w:val="005D220A"/>
    <w:rsid w:val="005D282C"/>
    <w:rsid w:val="005D31CC"/>
    <w:rsid w:val="005D342D"/>
    <w:rsid w:val="005D34BA"/>
    <w:rsid w:val="005D3750"/>
    <w:rsid w:val="005D42F0"/>
    <w:rsid w:val="005D4992"/>
    <w:rsid w:val="005D4AC5"/>
    <w:rsid w:val="005D5D32"/>
    <w:rsid w:val="005D6012"/>
    <w:rsid w:val="005D646D"/>
    <w:rsid w:val="005E051D"/>
    <w:rsid w:val="005E0853"/>
    <w:rsid w:val="005E14DB"/>
    <w:rsid w:val="005E17CD"/>
    <w:rsid w:val="005E1D41"/>
    <w:rsid w:val="005E1DFA"/>
    <w:rsid w:val="005E2FC6"/>
    <w:rsid w:val="005E557B"/>
    <w:rsid w:val="005E697E"/>
    <w:rsid w:val="005E69BC"/>
    <w:rsid w:val="005E7465"/>
    <w:rsid w:val="005E7CDF"/>
    <w:rsid w:val="005F16FE"/>
    <w:rsid w:val="005F2969"/>
    <w:rsid w:val="005F376F"/>
    <w:rsid w:val="005F4260"/>
    <w:rsid w:val="005F6D35"/>
    <w:rsid w:val="005F6E6F"/>
    <w:rsid w:val="005F7F76"/>
    <w:rsid w:val="006000A5"/>
    <w:rsid w:val="00601798"/>
    <w:rsid w:val="00601D56"/>
    <w:rsid w:val="00602392"/>
    <w:rsid w:val="0060293F"/>
    <w:rsid w:val="00602CA0"/>
    <w:rsid w:val="0060557C"/>
    <w:rsid w:val="00605BA0"/>
    <w:rsid w:val="00606CC4"/>
    <w:rsid w:val="00607C06"/>
    <w:rsid w:val="00607CCB"/>
    <w:rsid w:val="00607E8B"/>
    <w:rsid w:val="0061038E"/>
    <w:rsid w:val="00610AAF"/>
    <w:rsid w:val="00611B73"/>
    <w:rsid w:val="00611D03"/>
    <w:rsid w:val="00612D88"/>
    <w:rsid w:val="00612F02"/>
    <w:rsid w:val="00613157"/>
    <w:rsid w:val="006144B7"/>
    <w:rsid w:val="00614B31"/>
    <w:rsid w:val="00614E6B"/>
    <w:rsid w:val="0061574D"/>
    <w:rsid w:val="0061760A"/>
    <w:rsid w:val="00617B05"/>
    <w:rsid w:val="00620064"/>
    <w:rsid w:val="00620C8E"/>
    <w:rsid w:val="00621682"/>
    <w:rsid w:val="0062177C"/>
    <w:rsid w:val="00621ECE"/>
    <w:rsid w:val="0062239D"/>
    <w:rsid w:val="00622F80"/>
    <w:rsid w:val="006235AA"/>
    <w:rsid w:val="00623AD1"/>
    <w:rsid w:val="00624215"/>
    <w:rsid w:val="00624350"/>
    <w:rsid w:val="00624C0D"/>
    <w:rsid w:val="00625A09"/>
    <w:rsid w:val="00626499"/>
    <w:rsid w:val="0062666C"/>
    <w:rsid w:val="00627A0C"/>
    <w:rsid w:val="006338E3"/>
    <w:rsid w:val="006349F8"/>
    <w:rsid w:val="00634CAB"/>
    <w:rsid w:val="00634DFF"/>
    <w:rsid w:val="00634EE2"/>
    <w:rsid w:val="006416FB"/>
    <w:rsid w:val="00643D00"/>
    <w:rsid w:val="006448DF"/>
    <w:rsid w:val="00644C5D"/>
    <w:rsid w:val="00645B3A"/>
    <w:rsid w:val="00646243"/>
    <w:rsid w:val="00646D85"/>
    <w:rsid w:val="0064763A"/>
    <w:rsid w:val="00650AD4"/>
    <w:rsid w:val="00650CD2"/>
    <w:rsid w:val="006516A0"/>
    <w:rsid w:val="00653737"/>
    <w:rsid w:val="006544EA"/>
    <w:rsid w:val="006549C1"/>
    <w:rsid w:val="00654C43"/>
    <w:rsid w:val="00655432"/>
    <w:rsid w:val="00655800"/>
    <w:rsid w:val="00655A73"/>
    <w:rsid w:val="00656587"/>
    <w:rsid w:val="006571D1"/>
    <w:rsid w:val="00657AA1"/>
    <w:rsid w:val="00660F96"/>
    <w:rsid w:val="00662565"/>
    <w:rsid w:val="00662D2D"/>
    <w:rsid w:val="006637C9"/>
    <w:rsid w:val="00663D28"/>
    <w:rsid w:val="00664151"/>
    <w:rsid w:val="0066454C"/>
    <w:rsid w:val="00665414"/>
    <w:rsid w:val="00665787"/>
    <w:rsid w:val="00666BA0"/>
    <w:rsid w:val="00667DE4"/>
    <w:rsid w:val="00667E67"/>
    <w:rsid w:val="00667EE3"/>
    <w:rsid w:val="006709E0"/>
    <w:rsid w:val="00670E4C"/>
    <w:rsid w:val="0067133A"/>
    <w:rsid w:val="00671839"/>
    <w:rsid w:val="00671DD6"/>
    <w:rsid w:val="00672DDD"/>
    <w:rsid w:val="0067444A"/>
    <w:rsid w:val="00674793"/>
    <w:rsid w:val="006763E8"/>
    <w:rsid w:val="00677B94"/>
    <w:rsid w:val="00680EF0"/>
    <w:rsid w:val="00681201"/>
    <w:rsid w:val="00681344"/>
    <w:rsid w:val="00681A6F"/>
    <w:rsid w:val="00681BCD"/>
    <w:rsid w:val="00681CF2"/>
    <w:rsid w:val="00682BBC"/>
    <w:rsid w:val="00685506"/>
    <w:rsid w:val="00685879"/>
    <w:rsid w:val="006859E0"/>
    <w:rsid w:val="00685CB3"/>
    <w:rsid w:val="00686889"/>
    <w:rsid w:val="00686EBC"/>
    <w:rsid w:val="00687490"/>
    <w:rsid w:val="0068777D"/>
    <w:rsid w:val="0069034A"/>
    <w:rsid w:val="006906E1"/>
    <w:rsid w:val="0069151C"/>
    <w:rsid w:val="00692424"/>
    <w:rsid w:val="006930ED"/>
    <w:rsid w:val="006930F7"/>
    <w:rsid w:val="006937F3"/>
    <w:rsid w:val="006938DA"/>
    <w:rsid w:val="00694411"/>
    <w:rsid w:val="00694D42"/>
    <w:rsid w:val="0069503F"/>
    <w:rsid w:val="00695A2C"/>
    <w:rsid w:val="00695CE9"/>
    <w:rsid w:val="006979CF"/>
    <w:rsid w:val="00697BBA"/>
    <w:rsid w:val="006A00C3"/>
    <w:rsid w:val="006A0AB6"/>
    <w:rsid w:val="006A11E9"/>
    <w:rsid w:val="006A120F"/>
    <w:rsid w:val="006A200D"/>
    <w:rsid w:val="006A2714"/>
    <w:rsid w:val="006A2AC0"/>
    <w:rsid w:val="006A3DD8"/>
    <w:rsid w:val="006A42F0"/>
    <w:rsid w:val="006A4C88"/>
    <w:rsid w:val="006A6674"/>
    <w:rsid w:val="006A6986"/>
    <w:rsid w:val="006A7314"/>
    <w:rsid w:val="006A765B"/>
    <w:rsid w:val="006A77CD"/>
    <w:rsid w:val="006B0643"/>
    <w:rsid w:val="006B1763"/>
    <w:rsid w:val="006B17B4"/>
    <w:rsid w:val="006B1CB3"/>
    <w:rsid w:val="006B219D"/>
    <w:rsid w:val="006B2A11"/>
    <w:rsid w:val="006B406E"/>
    <w:rsid w:val="006B4FBB"/>
    <w:rsid w:val="006B53B8"/>
    <w:rsid w:val="006B659A"/>
    <w:rsid w:val="006B6ACC"/>
    <w:rsid w:val="006B7272"/>
    <w:rsid w:val="006B7287"/>
    <w:rsid w:val="006B72C1"/>
    <w:rsid w:val="006B7C7A"/>
    <w:rsid w:val="006C04EF"/>
    <w:rsid w:val="006C2552"/>
    <w:rsid w:val="006C32A7"/>
    <w:rsid w:val="006C3FBA"/>
    <w:rsid w:val="006C48DE"/>
    <w:rsid w:val="006C5A1A"/>
    <w:rsid w:val="006C5F62"/>
    <w:rsid w:val="006C6162"/>
    <w:rsid w:val="006C6649"/>
    <w:rsid w:val="006C6870"/>
    <w:rsid w:val="006C6A9B"/>
    <w:rsid w:val="006C7B2A"/>
    <w:rsid w:val="006D0429"/>
    <w:rsid w:val="006D0507"/>
    <w:rsid w:val="006D057A"/>
    <w:rsid w:val="006D124B"/>
    <w:rsid w:val="006D1CB2"/>
    <w:rsid w:val="006D1FDF"/>
    <w:rsid w:val="006D2172"/>
    <w:rsid w:val="006D220A"/>
    <w:rsid w:val="006D22A3"/>
    <w:rsid w:val="006D5242"/>
    <w:rsid w:val="006D6123"/>
    <w:rsid w:val="006D613A"/>
    <w:rsid w:val="006D68BC"/>
    <w:rsid w:val="006D6D42"/>
    <w:rsid w:val="006D6EA5"/>
    <w:rsid w:val="006D6FDA"/>
    <w:rsid w:val="006D71CE"/>
    <w:rsid w:val="006D78D4"/>
    <w:rsid w:val="006E036B"/>
    <w:rsid w:val="006E0E96"/>
    <w:rsid w:val="006E1DA3"/>
    <w:rsid w:val="006E20F6"/>
    <w:rsid w:val="006E449B"/>
    <w:rsid w:val="006E4569"/>
    <w:rsid w:val="006E4CB0"/>
    <w:rsid w:val="006E53E4"/>
    <w:rsid w:val="006F0B5D"/>
    <w:rsid w:val="006F0E43"/>
    <w:rsid w:val="006F2403"/>
    <w:rsid w:val="006F2725"/>
    <w:rsid w:val="006F2BF2"/>
    <w:rsid w:val="006F4AE4"/>
    <w:rsid w:val="006F513D"/>
    <w:rsid w:val="006F5AD3"/>
    <w:rsid w:val="0070036E"/>
    <w:rsid w:val="00700B02"/>
    <w:rsid w:val="00702809"/>
    <w:rsid w:val="007031A1"/>
    <w:rsid w:val="0070367B"/>
    <w:rsid w:val="007038FD"/>
    <w:rsid w:val="007048E1"/>
    <w:rsid w:val="00704A44"/>
    <w:rsid w:val="007056CE"/>
    <w:rsid w:val="00705744"/>
    <w:rsid w:val="0070699B"/>
    <w:rsid w:val="00707B12"/>
    <w:rsid w:val="007103BF"/>
    <w:rsid w:val="007107F9"/>
    <w:rsid w:val="00710DF5"/>
    <w:rsid w:val="007119CB"/>
    <w:rsid w:val="007121FE"/>
    <w:rsid w:val="0071278C"/>
    <w:rsid w:val="007131B9"/>
    <w:rsid w:val="007132EB"/>
    <w:rsid w:val="00713CB0"/>
    <w:rsid w:val="00713F49"/>
    <w:rsid w:val="0071523F"/>
    <w:rsid w:val="00715509"/>
    <w:rsid w:val="007155A2"/>
    <w:rsid w:val="00716269"/>
    <w:rsid w:val="00717212"/>
    <w:rsid w:val="007175A7"/>
    <w:rsid w:val="00717FEE"/>
    <w:rsid w:val="00723944"/>
    <w:rsid w:val="00723D75"/>
    <w:rsid w:val="00724C33"/>
    <w:rsid w:val="00724C90"/>
    <w:rsid w:val="007255C8"/>
    <w:rsid w:val="00725621"/>
    <w:rsid w:val="00727A34"/>
    <w:rsid w:val="0073031A"/>
    <w:rsid w:val="00730C93"/>
    <w:rsid w:val="0073103F"/>
    <w:rsid w:val="007310AC"/>
    <w:rsid w:val="00731BB0"/>
    <w:rsid w:val="00732B42"/>
    <w:rsid w:val="00733D12"/>
    <w:rsid w:val="00734CC7"/>
    <w:rsid w:val="007350FD"/>
    <w:rsid w:val="00736D50"/>
    <w:rsid w:val="00737529"/>
    <w:rsid w:val="00740C90"/>
    <w:rsid w:val="00740D34"/>
    <w:rsid w:val="00741957"/>
    <w:rsid w:val="00741C90"/>
    <w:rsid w:val="00742AFC"/>
    <w:rsid w:val="007430F3"/>
    <w:rsid w:val="00743A39"/>
    <w:rsid w:val="00743D9A"/>
    <w:rsid w:val="00744376"/>
    <w:rsid w:val="0074530B"/>
    <w:rsid w:val="007453CA"/>
    <w:rsid w:val="00745832"/>
    <w:rsid w:val="007458C3"/>
    <w:rsid w:val="00745ACE"/>
    <w:rsid w:val="007462C7"/>
    <w:rsid w:val="00746FE6"/>
    <w:rsid w:val="00747843"/>
    <w:rsid w:val="007509AA"/>
    <w:rsid w:val="007519E7"/>
    <w:rsid w:val="00751B5E"/>
    <w:rsid w:val="00751CEC"/>
    <w:rsid w:val="00753A33"/>
    <w:rsid w:val="00753D47"/>
    <w:rsid w:val="007543CE"/>
    <w:rsid w:val="00754C72"/>
    <w:rsid w:val="007554C6"/>
    <w:rsid w:val="00755A0E"/>
    <w:rsid w:val="00755C96"/>
    <w:rsid w:val="00755D3B"/>
    <w:rsid w:val="0075644C"/>
    <w:rsid w:val="007566C5"/>
    <w:rsid w:val="00756C43"/>
    <w:rsid w:val="00757199"/>
    <w:rsid w:val="0075755B"/>
    <w:rsid w:val="007576CE"/>
    <w:rsid w:val="00757C5A"/>
    <w:rsid w:val="00760246"/>
    <w:rsid w:val="007602FF"/>
    <w:rsid w:val="00761C04"/>
    <w:rsid w:val="00762C1D"/>
    <w:rsid w:val="00763DD1"/>
    <w:rsid w:val="00764B23"/>
    <w:rsid w:val="00764CE6"/>
    <w:rsid w:val="0076549A"/>
    <w:rsid w:val="00766383"/>
    <w:rsid w:val="00770097"/>
    <w:rsid w:val="007702C5"/>
    <w:rsid w:val="007702CD"/>
    <w:rsid w:val="00770B89"/>
    <w:rsid w:val="00771009"/>
    <w:rsid w:val="00771804"/>
    <w:rsid w:val="00772188"/>
    <w:rsid w:val="007731A0"/>
    <w:rsid w:val="007734F0"/>
    <w:rsid w:val="00773CDE"/>
    <w:rsid w:val="00773EB1"/>
    <w:rsid w:val="00775D4F"/>
    <w:rsid w:val="00776F3F"/>
    <w:rsid w:val="0077781A"/>
    <w:rsid w:val="00777AE3"/>
    <w:rsid w:val="0078152B"/>
    <w:rsid w:val="007818AA"/>
    <w:rsid w:val="00781FEB"/>
    <w:rsid w:val="0078215C"/>
    <w:rsid w:val="00782B43"/>
    <w:rsid w:val="00783DBE"/>
    <w:rsid w:val="007849AA"/>
    <w:rsid w:val="00785744"/>
    <w:rsid w:val="0078596E"/>
    <w:rsid w:val="00785A9D"/>
    <w:rsid w:val="00787963"/>
    <w:rsid w:val="00791BEA"/>
    <w:rsid w:val="00792919"/>
    <w:rsid w:val="0079458E"/>
    <w:rsid w:val="0079498F"/>
    <w:rsid w:val="00794F47"/>
    <w:rsid w:val="007955E6"/>
    <w:rsid w:val="00796554"/>
    <w:rsid w:val="007A09F0"/>
    <w:rsid w:val="007A0D45"/>
    <w:rsid w:val="007A0F1D"/>
    <w:rsid w:val="007A1A88"/>
    <w:rsid w:val="007A32DD"/>
    <w:rsid w:val="007A3DE8"/>
    <w:rsid w:val="007A617C"/>
    <w:rsid w:val="007A6973"/>
    <w:rsid w:val="007A6C78"/>
    <w:rsid w:val="007A7317"/>
    <w:rsid w:val="007A732C"/>
    <w:rsid w:val="007A7401"/>
    <w:rsid w:val="007A7CB1"/>
    <w:rsid w:val="007A7EA0"/>
    <w:rsid w:val="007B04D0"/>
    <w:rsid w:val="007B0670"/>
    <w:rsid w:val="007B2118"/>
    <w:rsid w:val="007B362F"/>
    <w:rsid w:val="007B3A70"/>
    <w:rsid w:val="007B3B3F"/>
    <w:rsid w:val="007B406C"/>
    <w:rsid w:val="007B5105"/>
    <w:rsid w:val="007B5630"/>
    <w:rsid w:val="007B64A5"/>
    <w:rsid w:val="007B6AB3"/>
    <w:rsid w:val="007B6B62"/>
    <w:rsid w:val="007B71A5"/>
    <w:rsid w:val="007B7A7C"/>
    <w:rsid w:val="007C106E"/>
    <w:rsid w:val="007C178B"/>
    <w:rsid w:val="007C284B"/>
    <w:rsid w:val="007C33B2"/>
    <w:rsid w:val="007C4142"/>
    <w:rsid w:val="007C417C"/>
    <w:rsid w:val="007C41C8"/>
    <w:rsid w:val="007C4737"/>
    <w:rsid w:val="007C47C3"/>
    <w:rsid w:val="007C4927"/>
    <w:rsid w:val="007C4E6B"/>
    <w:rsid w:val="007C727C"/>
    <w:rsid w:val="007D0937"/>
    <w:rsid w:val="007D093D"/>
    <w:rsid w:val="007D1E6B"/>
    <w:rsid w:val="007D2556"/>
    <w:rsid w:val="007D3809"/>
    <w:rsid w:val="007D6633"/>
    <w:rsid w:val="007D704E"/>
    <w:rsid w:val="007D797A"/>
    <w:rsid w:val="007E0B07"/>
    <w:rsid w:val="007E0C76"/>
    <w:rsid w:val="007E0F7C"/>
    <w:rsid w:val="007E155E"/>
    <w:rsid w:val="007E1C96"/>
    <w:rsid w:val="007E2147"/>
    <w:rsid w:val="007E3880"/>
    <w:rsid w:val="007E4F6A"/>
    <w:rsid w:val="007E506E"/>
    <w:rsid w:val="007E5F94"/>
    <w:rsid w:val="007E5FA6"/>
    <w:rsid w:val="007E5FCC"/>
    <w:rsid w:val="007E7492"/>
    <w:rsid w:val="007F09F3"/>
    <w:rsid w:val="007F0AEB"/>
    <w:rsid w:val="007F0E48"/>
    <w:rsid w:val="007F1D90"/>
    <w:rsid w:val="007F1F6E"/>
    <w:rsid w:val="007F39D4"/>
    <w:rsid w:val="007F3AE4"/>
    <w:rsid w:val="007F51E2"/>
    <w:rsid w:val="007F523C"/>
    <w:rsid w:val="007F5A2B"/>
    <w:rsid w:val="007F5CA2"/>
    <w:rsid w:val="007F65BC"/>
    <w:rsid w:val="007F68A4"/>
    <w:rsid w:val="007F7196"/>
    <w:rsid w:val="007F7A36"/>
    <w:rsid w:val="00800095"/>
    <w:rsid w:val="008000F4"/>
    <w:rsid w:val="0080090C"/>
    <w:rsid w:val="00800DC4"/>
    <w:rsid w:val="008015E3"/>
    <w:rsid w:val="00802041"/>
    <w:rsid w:val="008030D4"/>
    <w:rsid w:val="0080311D"/>
    <w:rsid w:val="00803E39"/>
    <w:rsid w:val="00803F57"/>
    <w:rsid w:val="00805476"/>
    <w:rsid w:val="008055CE"/>
    <w:rsid w:val="0080669C"/>
    <w:rsid w:val="00806CDE"/>
    <w:rsid w:val="0080791E"/>
    <w:rsid w:val="0081031B"/>
    <w:rsid w:val="008116E0"/>
    <w:rsid w:val="00811BE3"/>
    <w:rsid w:val="00811D9A"/>
    <w:rsid w:val="00812461"/>
    <w:rsid w:val="0081352F"/>
    <w:rsid w:val="00814BEE"/>
    <w:rsid w:val="00815C36"/>
    <w:rsid w:val="00815FAF"/>
    <w:rsid w:val="00816C16"/>
    <w:rsid w:val="00817A0F"/>
    <w:rsid w:val="00820D78"/>
    <w:rsid w:val="00821203"/>
    <w:rsid w:val="00821826"/>
    <w:rsid w:val="00821FCD"/>
    <w:rsid w:val="008220A8"/>
    <w:rsid w:val="008234F6"/>
    <w:rsid w:val="00823617"/>
    <w:rsid w:val="00824891"/>
    <w:rsid w:val="008253B4"/>
    <w:rsid w:val="008253E1"/>
    <w:rsid w:val="00825E2F"/>
    <w:rsid w:val="00827773"/>
    <w:rsid w:val="00827FBE"/>
    <w:rsid w:val="00830888"/>
    <w:rsid w:val="00830C19"/>
    <w:rsid w:val="00830C28"/>
    <w:rsid w:val="00830DD4"/>
    <w:rsid w:val="008313BE"/>
    <w:rsid w:val="00831588"/>
    <w:rsid w:val="00831ECE"/>
    <w:rsid w:val="00832119"/>
    <w:rsid w:val="00832BE8"/>
    <w:rsid w:val="0083303D"/>
    <w:rsid w:val="00833575"/>
    <w:rsid w:val="008339E2"/>
    <w:rsid w:val="00833EB5"/>
    <w:rsid w:val="00833F1C"/>
    <w:rsid w:val="00834CC7"/>
    <w:rsid w:val="00835CC5"/>
    <w:rsid w:val="00836FFE"/>
    <w:rsid w:val="00837BC1"/>
    <w:rsid w:val="00837E3F"/>
    <w:rsid w:val="00840D27"/>
    <w:rsid w:val="00840F93"/>
    <w:rsid w:val="00843410"/>
    <w:rsid w:val="00843975"/>
    <w:rsid w:val="00844EBC"/>
    <w:rsid w:val="008454AE"/>
    <w:rsid w:val="00845D80"/>
    <w:rsid w:val="00846172"/>
    <w:rsid w:val="008469F5"/>
    <w:rsid w:val="0085109B"/>
    <w:rsid w:val="0085118F"/>
    <w:rsid w:val="00851A7B"/>
    <w:rsid w:val="008526AF"/>
    <w:rsid w:val="00855D33"/>
    <w:rsid w:val="00856424"/>
    <w:rsid w:val="00856BF1"/>
    <w:rsid w:val="008572F7"/>
    <w:rsid w:val="00857606"/>
    <w:rsid w:val="00857819"/>
    <w:rsid w:val="008608F2"/>
    <w:rsid w:val="00860A5A"/>
    <w:rsid w:val="00861FC3"/>
    <w:rsid w:val="008626B3"/>
    <w:rsid w:val="00864281"/>
    <w:rsid w:val="00864C74"/>
    <w:rsid w:val="0086511E"/>
    <w:rsid w:val="00865189"/>
    <w:rsid w:val="0086580E"/>
    <w:rsid w:val="00865D6C"/>
    <w:rsid w:val="00866129"/>
    <w:rsid w:val="0086627C"/>
    <w:rsid w:val="008662F9"/>
    <w:rsid w:val="008668D9"/>
    <w:rsid w:val="00866F17"/>
    <w:rsid w:val="008676EE"/>
    <w:rsid w:val="00867930"/>
    <w:rsid w:val="00870769"/>
    <w:rsid w:val="008716C6"/>
    <w:rsid w:val="00871C5A"/>
    <w:rsid w:val="00872E04"/>
    <w:rsid w:val="008735A7"/>
    <w:rsid w:val="008744C8"/>
    <w:rsid w:val="00874A91"/>
    <w:rsid w:val="00874C24"/>
    <w:rsid w:val="008753E9"/>
    <w:rsid w:val="00875728"/>
    <w:rsid w:val="00876F2B"/>
    <w:rsid w:val="008771A3"/>
    <w:rsid w:val="00880868"/>
    <w:rsid w:val="00881203"/>
    <w:rsid w:val="00881E26"/>
    <w:rsid w:val="0088229D"/>
    <w:rsid w:val="00882B66"/>
    <w:rsid w:val="008833C7"/>
    <w:rsid w:val="00883474"/>
    <w:rsid w:val="00884F1B"/>
    <w:rsid w:val="008872CC"/>
    <w:rsid w:val="00890766"/>
    <w:rsid w:val="00890B1C"/>
    <w:rsid w:val="008917D8"/>
    <w:rsid w:val="00891F3A"/>
    <w:rsid w:val="0089393F"/>
    <w:rsid w:val="00895924"/>
    <w:rsid w:val="0089645F"/>
    <w:rsid w:val="00897EAA"/>
    <w:rsid w:val="00897F10"/>
    <w:rsid w:val="008A0D20"/>
    <w:rsid w:val="008A1C17"/>
    <w:rsid w:val="008A1E0D"/>
    <w:rsid w:val="008A1F80"/>
    <w:rsid w:val="008A20A3"/>
    <w:rsid w:val="008A2EE6"/>
    <w:rsid w:val="008A48D0"/>
    <w:rsid w:val="008A49E8"/>
    <w:rsid w:val="008A51A4"/>
    <w:rsid w:val="008A54A1"/>
    <w:rsid w:val="008A71DE"/>
    <w:rsid w:val="008B01BF"/>
    <w:rsid w:val="008B135B"/>
    <w:rsid w:val="008B17B0"/>
    <w:rsid w:val="008B1AE9"/>
    <w:rsid w:val="008B1FF5"/>
    <w:rsid w:val="008B22A3"/>
    <w:rsid w:val="008B3479"/>
    <w:rsid w:val="008B36A7"/>
    <w:rsid w:val="008B3711"/>
    <w:rsid w:val="008B37B3"/>
    <w:rsid w:val="008B3D40"/>
    <w:rsid w:val="008B3F23"/>
    <w:rsid w:val="008B4407"/>
    <w:rsid w:val="008B52D8"/>
    <w:rsid w:val="008B5CB3"/>
    <w:rsid w:val="008B662F"/>
    <w:rsid w:val="008B7A15"/>
    <w:rsid w:val="008B7C7B"/>
    <w:rsid w:val="008B7E95"/>
    <w:rsid w:val="008C04E2"/>
    <w:rsid w:val="008C0838"/>
    <w:rsid w:val="008C1226"/>
    <w:rsid w:val="008C25BA"/>
    <w:rsid w:val="008C274F"/>
    <w:rsid w:val="008C367A"/>
    <w:rsid w:val="008C38E6"/>
    <w:rsid w:val="008C432C"/>
    <w:rsid w:val="008C5E33"/>
    <w:rsid w:val="008C604E"/>
    <w:rsid w:val="008C65A4"/>
    <w:rsid w:val="008C7574"/>
    <w:rsid w:val="008C7630"/>
    <w:rsid w:val="008D02A4"/>
    <w:rsid w:val="008D1DB1"/>
    <w:rsid w:val="008D2310"/>
    <w:rsid w:val="008D56E0"/>
    <w:rsid w:val="008D6D1E"/>
    <w:rsid w:val="008D6D82"/>
    <w:rsid w:val="008D7113"/>
    <w:rsid w:val="008D78A1"/>
    <w:rsid w:val="008D78E5"/>
    <w:rsid w:val="008E0045"/>
    <w:rsid w:val="008E0099"/>
    <w:rsid w:val="008E298B"/>
    <w:rsid w:val="008E2EEE"/>
    <w:rsid w:val="008E38BA"/>
    <w:rsid w:val="008E4912"/>
    <w:rsid w:val="008E4DFE"/>
    <w:rsid w:val="008E6062"/>
    <w:rsid w:val="008E6470"/>
    <w:rsid w:val="008E6616"/>
    <w:rsid w:val="008E6A64"/>
    <w:rsid w:val="008E6FA6"/>
    <w:rsid w:val="008E71E9"/>
    <w:rsid w:val="008F00B9"/>
    <w:rsid w:val="008F03EC"/>
    <w:rsid w:val="008F2573"/>
    <w:rsid w:val="008F257A"/>
    <w:rsid w:val="008F2967"/>
    <w:rsid w:val="008F29D8"/>
    <w:rsid w:val="008F3667"/>
    <w:rsid w:val="008F37AA"/>
    <w:rsid w:val="008F4CEF"/>
    <w:rsid w:val="008F4DC5"/>
    <w:rsid w:val="008F513B"/>
    <w:rsid w:val="008F54C2"/>
    <w:rsid w:val="008F5A85"/>
    <w:rsid w:val="008F5D58"/>
    <w:rsid w:val="008F715D"/>
    <w:rsid w:val="008F76E9"/>
    <w:rsid w:val="00900C20"/>
    <w:rsid w:val="00901092"/>
    <w:rsid w:val="00901772"/>
    <w:rsid w:val="00901B9B"/>
    <w:rsid w:val="0090367D"/>
    <w:rsid w:val="00903B52"/>
    <w:rsid w:val="009043FF"/>
    <w:rsid w:val="0090454E"/>
    <w:rsid w:val="0090489F"/>
    <w:rsid w:val="00904CD4"/>
    <w:rsid w:val="00904D24"/>
    <w:rsid w:val="009063D8"/>
    <w:rsid w:val="00907217"/>
    <w:rsid w:val="009074DE"/>
    <w:rsid w:val="00911D4E"/>
    <w:rsid w:val="00913EDD"/>
    <w:rsid w:val="00914235"/>
    <w:rsid w:val="009170EB"/>
    <w:rsid w:val="00917111"/>
    <w:rsid w:val="00917D74"/>
    <w:rsid w:val="009200FF"/>
    <w:rsid w:val="00920CA5"/>
    <w:rsid w:val="00921E7C"/>
    <w:rsid w:val="00921FA8"/>
    <w:rsid w:val="00922162"/>
    <w:rsid w:val="009236F2"/>
    <w:rsid w:val="00924761"/>
    <w:rsid w:val="00924A28"/>
    <w:rsid w:val="00925078"/>
    <w:rsid w:val="0092581F"/>
    <w:rsid w:val="009273A4"/>
    <w:rsid w:val="009309AC"/>
    <w:rsid w:val="00930C07"/>
    <w:rsid w:val="0093107E"/>
    <w:rsid w:val="00931303"/>
    <w:rsid w:val="00932FB0"/>
    <w:rsid w:val="00933A08"/>
    <w:rsid w:val="009341F7"/>
    <w:rsid w:val="009349F1"/>
    <w:rsid w:val="00935D48"/>
    <w:rsid w:val="00937E92"/>
    <w:rsid w:val="00940295"/>
    <w:rsid w:val="00940648"/>
    <w:rsid w:val="00940A77"/>
    <w:rsid w:val="00941526"/>
    <w:rsid w:val="009415AD"/>
    <w:rsid w:val="009418BB"/>
    <w:rsid w:val="00941E0B"/>
    <w:rsid w:val="009427A2"/>
    <w:rsid w:val="00942BA7"/>
    <w:rsid w:val="00942D69"/>
    <w:rsid w:val="00943EA3"/>
    <w:rsid w:val="009448CD"/>
    <w:rsid w:val="00944CD6"/>
    <w:rsid w:val="009455EF"/>
    <w:rsid w:val="009455F6"/>
    <w:rsid w:val="0094580B"/>
    <w:rsid w:val="00946176"/>
    <w:rsid w:val="00946D33"/>
    <w:rsid w:val="0094702B"/>
    <w:rsid w:val="00950D11"/>
    <w:rsid w:val="00950DC4"/>
    <w:rsid w:val="00951FCF"/>
    <w:rsid w:val="00952BF7"/>
    <w:rsid w:val="00952E95"/>
    <w:rsid w:val="00953D65"/>
    <w:rsid w:val="00954574"/>
    <w:rsid w:val="00954AF8"/>
    <w:rsid w:val="00955315"/>
    <w:rsid w:val="009575F2"/>
    <w:rsid w:val="0096075A"/>
    <w:rsid w:val="00962556"/>
    <w:rsid w:val="0096257B"/>
    <w:rsid w:val="009637BD"/>
    <w:rsid w:val="00963C3E"/>
    <w:rsid w:val="00963CF2"/>
    <w:rsid w:val="00964680"/>
    <w:rsid w:val="009650C8"/>
    <w:rsid w:val="009651D5"/>
    <w:rsid w:val="00965DB2"/>
    <w:rsid w:val="00965DC7"/>
    <w:rsid w:val="00966076"/>
    <w:rsid w:val="00966082"/>
    <w:rsid w:val="009668F1"/>
    <w:rsid w:val="00967ECF"/>
    <w:rsid w:val="00971407"/>
    <w:rsid w:val="00971D5C"/>
    <w:rsid w:val="00971E6D"/>
    <w:rsid w:val="00971ED2"/>
    <w:rsid w:val="00972082"/>
    <w:rsid w:val="00972727"/>
    <w:rsid w:val="0097283A"/>
    <w:rsid w:val="00973022"/>
    <w:rsid w:val="009748C2"/>
    <w:rsid w:val="00974A01"/>
    <w:rsid w:val="009750A3"/>
    <w:rsid w:val="00975BFE"/>
    <w:rsid w:val="009767D1"/>
    <w:rsid w:val="009767D5"/>
    <w:rsid w:val="009768C8"/>
    <w:rsid w:val="00976EA9"/>
    <w:rsid w:val="00977E15"/>
    <w:rsid w:val="00980475"/>
    <w:rsid w:val="00981E84"/>
    <w:rsid w:val="00984AB9"/>
    <w:rsid w:val="009854FB"/>
    <w:rsid w:val="00986916"/>
    <w:rsid w:val="00990E6F"/>
    <w:rsid w:val="009913CF"/>
    <w:rsid w:val="00991E5E"/>
    <w:rsid w:val="00991FE9"/>
    <w:rsid w:val="00993655"/>
    <w:rsid w:val="009939DC"/>
    <w:rsid w:val="009941B4"/>
    <w:rsid w:val="009943FD"/>
    <w:rsid w:val="00994B59"/>
    <w:rsid w:val="009952E4"/>
    <w:rsid w:val="0099589F"/>
    <w:rsid w:val="009961DC"/>
    <w:rsid w:val="0099641A"/>
    <w:rsid w:val="009975F8"/>
    <w:rsid w:val="00997971"/>
    <w:rsid w:val="009A0492"/>
    <w:rsid w:val="009A0664"/>
    <w:rsid w:val="009A08A6"/>
    <w:rsid w:val="009A213C"/>
    <w:rsid w:val="009A2A81"/>
    <w:rsid w:val="009A2C22"/>
    <w:rsid w:val="009A3D5B"/>
    <w:rsid w:val="009A419F"/>
    <w:rsid w:val="009A43D6"/>
    <w:rsid w:val="009A4866"/>
    <w:rsid w:val="009A4E0C"/>
    <w:rsid w:val="009A5777"/>
    <w:rsid w:val="009A5F91"/>
    <w:rsid w:val="009A67C7"/>
    <w:rsid w:val="009B03F1"/>
    <w:rsid w:val="009B1EF8"/>
    <w:rsid w:val="009B25BF"/>
    <w:rsid w:val="009B2671"/>
    <w:rsid w:val="009B4354"/>
    <w:rsid w:val="009B4560"/>
    <w:rsid w:val="009B4676"/>
    <w:rsid w:val="009B4A21"/>
    <w:rsid w:val="009B546C"/>
    <w:rsid w:val="009B5A87"/>
    <w:rsid w:val="009B5F88"/>
    <w:rsid w:val="009B643E"/>
    <w:rsid w:val="009B6653"/>
    <w:rsid w:val="009B6AEC"/>
    <w:rsid w:val="009B7364"/>
    <w:rsid w:val="009B7612"/>
    <w:rsid w:val="009C08D2"/>
    <w:rsid w:val="009C19A9"/>
    <w:rsid w:val="009C27D3"/>
    <w:rsid w:val="009C2E3C"/>
    <w:rsid w:val="009C3950"/>
    <w:rsid w:val="009C4C91"/>
    <w:rsid w:val="009C5400"/>
    <w:rsid w:val="009C55BB"/>
    <w:rsid w:val="009C61E3"/>
    <w:rsid w:val="009C69A0"/>
    <w:rsid w:val="009D0077"/>
    <w:rsid w:val="009D0909"/>
    <w:rsid w:val="009D0B9F"/>
    <w:rsid w:val="009D225A"/>
    <w:rsid w:val="009D2B75"/>
    <w:rsid w:val="009D3338"/>
    <w:rsid w:val="009D333E"/>
    <w:rsid w:val="009D5135"/>
    <w:rsid w:val="009D52E3"/>
    <w:rsid w:val="009D5D25"/>
    <w:rsid w:val="009D6053"/>
    <w:rsid w:val="009D666A"/>
    <w:rsid w:val="009D6B8E"/>
    <w:rsid w:val="009D7C99"/>
    <w:rsid w:val="009E1132"/>
    <w:rsid w:val="009E1900"/>
    <w:rsid w:val="009E2124"/>
    <w:rsid w:val="009E2A6D"/>
    <w:rsid w:val="009E2E1B"/>
    <w:rsid w:val="009E2E9E"/>
    <w:rsid w:val="009E308F"/>
    <w:rsid w:val="009E4F90"/>
    <w:rsid w:val="009E51F6"/>
    <w:rsid w:val="009E54DF"/>
    <w:rsid w:val="009E6C55"/>
    <w:rsid w:val="009E71F8"/>
    <w:rsid w:val="009E771E"/>
    <w:rsid w:val="009F2600"/>
    <w:rsid w:val="009F3FF3"/>
    <w:rsid w:val="009F45CF"/>
    <w:rsid w:val="009F5BA6"/>
    <w:rsid w:val="00A00939"/>
    <w:rsid w:val="00A00CCF"/>
    <w:rsid w:val="00A01BDE"/>
    <w:rsid w:val="00A02A13"/>
    <w:rsid w:val="00A03199"/>
    <w:rsid w:val="00A0419A"/>
    <w:rsid w:val="00A0544C"/>
    <w:rsid w:val="00A0561E"/>
    <w:rsid w:val="00A063D5"/>
    <w:rsid w:val="00A0688A"/>
    <w:rsid w:val="00A07785"/>
    <w:rsid w:val="00A0781C"/>
    <w:rsid w:val="00A07F74"/>
    <w:rsid w:val="00A109C6"/>
    <w:rsid w:val="00A10D60"/>
    <w:rsid w:val="00A130AF"/>
    <w:rsid w:val="00A132FD"/>
    <w:rsid w:val="00A13DCC"/>
    <w:rsid w:val="00A13DD2"/>
    <w:rsid w:val="00A150A0"/>
    <w:rsid w:val="00A1647A"/>
    <w:rsid w:val="00A17A6F"/>
    <w:rsid w:val="00A20998"/>
    <w:rsid w:val="00A2108A"/>
    <w:rsid w:val="00A218E7"/>
    <w:rsid w:val="00A22AB9"/>
    <w:rsid w:val="00A2304C"/>
    <w:rsid w:val="00A23180"/>
    <w:rsid w:val="00A235B8"/>
    <w:rsid w:val="00A236C1"/>
    <w:rsid w:val="00A245F3"/>
    <w:rsid w:val="00A251F9"/>
    <w:rsid w:val="00A257E1"/>
    <w:rsid w:val="00A27560"/>
    <w:rsid w:val="00A316B7"/>
    <w:rsid w:val="00A32FA0"/>
    <w:rsid w:val="00A33709"/>
    <w:rsid w:val="00A345B9"/>
    <w:rsid w:val="00A36688"/>
    <w:rsid w:val="00A3672F"/>
    <w:rsid w:val="00A36EAE"/>
    <w:rsid w:val="00A40431"/>
    <w:rsid w:val="00A40C4D"/>
    <w:rsid w:val="00A422B0"/>
    <w:rsid w:val="00A43315"/>
    <w:rsid w:val="00A4358C"/>
    <w:rsid w:val="00A43BAF"/>
    <w:rsid w:val="00A43BB8"/>
    <w:rsid w:val="00A47EA9"/>
    <w:rsid w:val="00A5329B"/>
    <w:rsid w:val="00A53517"/>
    <w:rsid w:val="00A536D2"/>
    <w:rsid w:val="00A53E0B"/>
    <w:rsid w:val="00A543B0"/>
    <w:rsid w:val="00A54F26"/>
    <w:rsid w:val="00A54F8F"/>
    <w:rsid w:val="00A55153"/>
    <w:rsid w:val="00A55510"/>
    <w:rsid w:val="00A55799"/>
    <w:rsid w:val="00A55D91"/>
    <w:rsid w:val="00A56EAC"/>
    <w:rsid w:val="00A6090F"/>
    <w:rsid w:val="00A613E8"/>
    <w:rsid w:val="00A63E2C"/>
    <w:rsid w:val="00A64D57"/>
    <w:rsid w:val="00A64E20"/>
    <w:rsid w:val="00A668F8"/>
    <w:rsid w:val="00A67405"/>
    <w:rsid w:val="00A70F79"/>
    <w:rsid w:val="00A71233"/>
    <w:rsid w:val="00A717F8"/>
    <w:rsid w:val="00A71A40"/>
    <w:rsid w:val="00A729AA"/>
    <w:rsid w:val="00A7351A"/>
    <w:rsid w:val="00A74DB7"/>
    <w:rsid w:val="00A75F69"/>
    <w:rsid w:val="00A76389"/>
    <w:rsid w:val="00A766E6"/>
    <w:rsid w:val="00A77CD5"/>
    <w:rsid w:val="00A80441"/>
    <w:rsid w:val="00A81B55"/>
    <w:rsid w:val="00A82039"/>
    <w:rsid w:val="00A8378E"/>
    <w:rsid w:val="00A83DBE"/>
    <w:rsid w:val="00A84950"/>
    <w:rsid w:val="00A85053"/>
    <w:rsid w:val="00A86A67"/>
    <w:rsid w:val="00A86C3F"/>
    <w:rsid w:val="00A86E44"/>
    <w:rsid w:val="00A87FF6"/>
    <w:rsid w:val="00A910A6"/>
    <w:rsid w:val="00A91125"/>
    <w:rsid w:val="00A91283"/>
    <w:rsid w:val="00A91488"/>
    <w:rsid w:val="00A9195F"/>
    <w:rsid w:val="00A91A5A"/>
    <w:rsid w:val="00A91DBE"/>
    <w:rsid w:val="00A91F1F"/>
    <w:rsid w:val="00A9255C"/>
    <w:rsid w:val="00A929CA"/>
    <w:rsid w:val="00A92CB2"/>
    <w:rsid w:val="00A92F70"/>
    <w:rsid w:val="00A94AC5"/>
    <w:rsid w:val="00A94ED0"/>
    <w:rsid w:val="00A94FBE"/>
    <w:rsid w:val="00A95AE6"/>
    <w:rsid w:val="00A95B6C"/>
    <w:rsid w:val="00A95C2E"/>
    <w:rsid w:val="00A96590"/>
    <w:rsid w:val="00A96AB1"/>
    <w:rsid w:val="00A973E6"/>
    <w:rsid w:val="00AA23B3"/>
    <w:rsid w:val="00AA24B5"/>
    <w:rsid w:val="00AA3B40"/>
    <w:rsid w:val="00AA3E2E"/>
    <w:rsid w:val="00AA497D"/>
    <w:rsid w:val="00AA60E9"/>
    <w:rsid w:val="00AA6406"/>
    <w:rsid w:val="00AA7ED7"/>
    <w:rsid w:val="00AB0974"/>
    <w:rsid w:val="00AB2751"/>
    <w:rsid w:val="00AB2780"/>
    <w:rsid w:val="00AB32EC"/>
    <w:rsid w:val="00AB461F"/>
    <w:rsid w:val="00AB4A6C"/>
    <w:rsid w:val="00AB5534"/>
    <w:rsid w:val="00AB5A00"/>
    <w:rsid w:val="00AB6031"/>
    <w:rsid w:val="00AB7AA2"/>
    <w:rsid w:val="00AC02A8"/>
    <w:rsid w:val="00AC1F7C"/>
    <w:rsid w:val="00AC22BE"/>
    <w:rsid w:val="00AC26A8"/>
    <w:rsid w:val="00AC47F5"/>
    <w:rsid w:val="00AC536B"/>
    <w:rsid w:val="00AC583D"/>
    <w:rsid w:val="00AC5B0A"/>
    <w:rsid w:val="00AC7211"/>
    <w:rsid w:val="00AC7A1F"/>
    <w:rsid w:val="00AC7A80"/>
    <w:rsid w:val="00AD0ADC"/>
    <w:rsid w:val="00AD1A90"/>
    <w:rsid w:val="00AD1BE4"/>
    <w:rsid w:val="00AD2430"/>
    <w:rsid w:val="00AD330D"/>
    <w:rsid w:val="00AD3AA1"/>
    <w:rsid w:val="00AD60CF"/>
    <w:rsid w:val="00AD612D"/>
    <w:rsid w:val="00AD63B8"/>
    <w:rsid w:val="00AE02D8"/>
    <w:rsid w:val="00AE049D"/>
    <w:rsid w:val="00AE0AA8"/>
    <w:rsid w:val="00AE1483"/>
    <w:rsid w:val="00AE24E5"/>
    <w:rsid w:val="00AE2CA6"/>
    <w:rsid w:val="00AE2EB2"/>
    <w:rsid w:val="00AE3104"/>
    <w:rsid w:val="00AE37EB"/>
    <w:rsid w:val="00AE43D6"/>
    <w:rsid w:val="00AE43EF"/>
    <w:rsid w:val="00AE4B4E"/>
    <w:rsid w:val="00AE4E5E"/>
    <w:rsid w:val="00AE5270"/>
    <w:rsid w:val="00AE53D1"/>
    <w:rsid w:val="00AE54A1"/>
    <w:rsid w:val="00AE71E5"/>
    <w:rsid w:val="00AE7566"/>
    <w:rsid w:val="00AF00FD"/>
    <w:rsid w:val="00AF01F9"/>
    <w:rsid w:val="00AF0630"/>
    <w:rsid w:val="00AF1A45"/>
    <w:rsid w:val="00AF1F4C"/>
    <w:rsid w:val="00AF277B"/>
    <w:rsid w:val="00AF2C6E"/>
    <w:rsid w:val="00AF2E1C"/>
    <w:rsid w:val="00AF320A"/>
    <w:rsid w:val="00AF331D"/>
    <w:rsid w:val="00AF33E5"/>
    <w:rsid w:val="00AF6971"/>
    <w:rsid w:val="00B009CA"/>
    <w:rsid w:val="00B01AE6"/>
    <w:rsid w:val="00B028E6"/>
    <w:rsid w:val="00B0402F"/>
    <w:rsid w:val="00B056C9"/>
    <w:rsid w:val="00B059B6"/>
    <w:rsid w:val="00B06133"/>
    <w:rsid w:val="00B06C36"/>
    <w:rsid w:val="00B06D64"/>
    <w:rsid w:val="00B07157"/>
    <w:rsid w:val="00B07588"/>
    <w:rsid w:val="00B10604"/>
    <w:rsid w:val="00B1101E"/>
    <w:rsid w:val="00B110F9"/>
    <w:rsid w:val="00B111B9"/>
    <w:rsid w:val="00B1264A"/>
    <w:rsid w:val="00B1308A"/>
    <w:rsid w:val="00B1427C"/>
    <w:rsid w:val="00B14A1D"/>
    <w:rsid w:val="00B14C10"/>
    <w:rsid w:val="00B15325"/>
    <w:rsid w:val="00B15D86"/>
    <w:rsid w:val="00B16496"/>
    <w:rsid w:val="00B16548"/>
    <w:rsid w:val="00B175F2"/>
    <w:rsid w:val="00B17AD6"/>
    <w:rsid w:val="00B20250"/>
    <w:rsid w:val="00B20E2C"/>
    <w:rsid w:val="00B20E2E"/>
    <w:rsid w:val="00B21272"/>
    <w:rsid w:val="00B21F79"/>
    <w:rsid w:val="00B237FB"/>
    <w:rsid w:val="00B23978"/>
    <w:rsid w:val="00B23CCF"/>
    <w:rsid w:val="00B23EA7"/>
    <w:rsid w:val="00B2420F"/>
    <w:rsid w:val="00B252A0"/>
    <w:rsid w:val="00B25812"/>
    <w:rsid w:val="00B25A81"/>
    <w:rsid w:val="00B26440"/>
    <w:rsid w:val="00B268FF"/>
    <w:rsid w:val="00B2698D"/>
    <w:rsid w:val="00B26E2F"/>
    <w:rsid w:val="00B274C9"/>
    <w:rsid w:val="00B27A5E"/>
    <w:rsid w:val="00B27CD6"/>
    <w:rsid w:val="00B302EC"/>
    <w:rsid w:val="00B306E0"/>
    <w:rsid w:val="00B312D0"/>
    <w:rsid w:val="00B31BA9"/>
    <w:rsid w:val="00B32744"/>
    <w:rsid w:val="00B33D4A"/>
    <w:rsid w:val="00B34014"/>
    <w:rsid w:val="00B34153"/>
    <w:rsid w:val="00B341B1"/>
    <w:rsid w:val="00B34C33"/>
    <w:rsid w:val="00B35DC7"/>
    <w:rsid w:val="00B36152"/>
    <w:rsid w:val="00B37224"/>
    <w:rsid w:val="00B375C8"/>
    <w:rsid w:val="00B37D82"/>
    <w:rsid w:val="00B37E7C"/>
    <w:rsid w:val="00B37FB1"/>
    <w:rsid w:val="00B41B81"/>
    <w:rsid w:val="00B42219"/>
    <w:rsid w:val="00B457AE"/>
    <w:rsid w:val="00B467DC"/>
    <w:rsid w:val="00B46FE6"/>
    <w:rsid w:val="00B500C2"/>
    <w:rsid w:val="00B5043F"/>
    <w:rsid w:val="00B50F36"/>
    <w:rsid w:val="00B50FFE"/>
    <w:rsid w:val="00B512FF"/>
    <w:rsid w:val="00B517A3"/>
    <w:rsid w:val="00B530E4"/>
    <w:rsid w:val="00B53122"/>
    <w:rsid w:val="00B53EEB"/>
    <w:rsid w:val="00B5536E"/>
    <w:rsid w:val="00B55DCB"/>
    <w:rsid w:val="00B55EB8"/>
    <w:rsid w:val="00B5695A"/>
    <w:rsid w:val="00B56DE9"/>
    <w:rsid w:val="00B570B6"/>
    <w:rsid w:val="00B57426"/>
    <w:rsid w:val="00B61B43"/>
    <w:rsid w:val="00B61D96"/>
    <w:rsid w:val="00B623ED"/>
    <w:rsid w:val="00B62CC8"/>
    <w:rsid w:val="00B6329A"/>
    <w:rsid w:val="00B6357B"/>
    <w:rsid w:val="00B63C02"/>
    <w:rsid w:val="00B642B6"/>
    <w:rsid w:val="00B64697"/>
    <w:rsid w:val="00B64750"/>
    <w:rsid w:val="00B65753"/>
    <w:rsid w:val="00B66FEE"/>
    <w:rsid w:val="00B67170"/>
    <w:rsid w:val="00B700A7"/>
    <w:rsid w:val="00B7055A"/>
    <w:rsid w:val="00B70A81"/>
    <w:rsid w:val="00B70EC2"/>
    <w:rsid w:val="00B72972"/>
    <w:rsid w:val="00B73715"/>
    <w:rsid w:val="00B738EE"/>
    <w:rsid w:val="00B74012"/>
    <w:rsid w:val="00B74AA6"/>
    <w:rsid w:val="00B74D74"/>
    <w:rsid w:val="00B75325"/>
    <w:rsid w:val="00B771B6"/>
    <w:rsid w:val="00B77234"/>
    <w:rsid w:val="00B80EC7"/>
    <w:rsid w:val="00B812D2"/>
    <w:rsid w:val="00B8314A"/>
    <w:rsid w:val="00B83789"/>
    <w:rsid w:val="00B83939"/>
    <w:rsid w:val="00B843C7"/>
    <w:rsid w:val="00B90B61"/>
    <w:rsid w:val="00B926C8"/>
    <w:rsid w:val="00B935A6"/>
    <w:rsid w:val="00B9443A"/>
    <w:rsid w:val="00B949D5"/>
    <w:rsid w:val="00B94A18"/>
    <w:rsid w:val="00B958A1"/>
    <w:rsid w:val="00B960F1"/>
    <w:rsid w:val="00B96521"/>
    <w:rsid w:val="00B967B4"/>
    <w:rsid w:val="00B969EE"/>
    <w:rsid w:val="00B9779F"/>
    <w:rsid w:val="00B97B4C"/>
    <w:rsid w:val="00B97BF5"/>
    <w:rsid w:val="00BA0800"/>
    <w:rsid w:val="00BA08CD"/>
    <w:rsid w:val="00BA1224"/>
    <w:rsid w:val="00BA14B9"/>
    <w:rsid w:val="00BA28B1"/>
    <w:rsid w:val="00BA2A39"/>
    <w:rsid w:val="00BA31CB"/>
    <w:rsid w:val="00BA5042"/>
    <w:rsid w:val="00BA54C0"/>
    <w:rsid w:val="00BA5C37"/>
    <w:rsid w:val="00BA5FE0"/>
    <w:rsid w:val="00BB1157"/>
    <w:rsid w:val="00BB1471"/>
    <w:rsid w:val="00BB1562"/>
    <w:rsid w:val="00BB18DF"/>
    <w:rsid w:val="00BB2B8B"/>
    <w:rsid w:val="00BB2FCB"/>
    <w:rsid w:val="00BB3524"/>
    <w:rsid w:val="00BB4345"/>
    <w:rsid w:val="00BB52AE"/>
    <w:rsid w:val="00BB56B5"/>
    <w:rsid w:val="00BB5A45"/>
    <w:rsid w:val="00BC04E5"/>
    <w:rsid w:val="00BC0A41"/>
    <w:rsid w:val="00BC1DEE"/>
    <w:rsid w:val="00BC28EA"/>
    <w:rsid w:val="00BC2A72"/>
    <w:rsid w:val="00BC2BAF"/>
    <w:rsid w:val="00BC2C05"/>
    <w:rsid w:val="00BC2DA6"/>
    <w:rsid w:val="00BC3A96"/>
    <w:rsid w:val="00BC4D23"/>
    <w:rsid w:val="00BC57BD"/>
    <w:rsid w:val="00BC5C70"/>
    <w:rsid w:val="00BC65D9"/>
    <w:rsid w:val="00BC6864"/>
    <w:rsid w:val="00BC6F83"/>
    <w:rsid w:val="00BD03F1"/>
    <w:rsid w:val="00BD0EC1"/>
    <w:rsid w:val="00BD1551"/>
    <w:rsid w:val="00BD247A"/>
    <w:rsid w:val="00BD2668"/>
    <w:rsid w:val="00BD296F"/>
    <w:rsid w:val="00BD2A6A"/>
    <w:rsid w:val="00BD3B44"/>
    <w:rsid w:val="00BD3F62"/>
    <w:rsid w:val="00BD41EE"/>
    <w:rsid w:val="00BD4252"/>
    <w:rsid w:val="00BD572F"/>
    <w:rsid w:val="00BD58F3"/>
    <w:rsid w:val="00BD605F"/>
    <w:rsid w:val="00BD63AB"/>
    <w:rsid w:val="00BD7339"/>
    <w:rsid w:val="00BD78D7"/>
    <w:rsid w:val="00BE03DD"/>
    <w:rsid w:val="00BE0FEA"/>
    <w:rsid w:val="00BE1D79"/>
    <w:rsid w:val="00BE2DEF"/>
    <w:rsid w:val="00BE3361"/>
    <w:rsid w:val="00BE365F"/>
    <w:rsid w:val="00BE38C9"/>
    <w:rsid w:val="00BE4C73"/>
    <w:rsid w:val="00BE4D15"/>
    <w:rsid w:val="00BE626C"/>
    <w:rsid w:val="00BF0B74"/>
    <w:rsid w:val="00BF22FF"/>
    <w:rsid w:val="00BF4A93"/>
    <w:rsid w:val="00BF7F83"/>
    <w:rsid w:val="00C0004E"/>
    <w:rsid w:val="00C0097B"/>
    <w:rsid w:val="00C00DF2"/>
    <w:rsid w:val="00C00E05"/>
    <w:rsid w:val="00C017BC"/>
    <w:rsid w:val="00C01C26"/>
    <w:rsid w:val="00C03D0D"/>
    <w:rsid w:val="00C03D12"/>
    <w:rsid w:val="00C04917"/>
    <w:rsid w:val="00C077C4"/>
    <w:rsid w:val="00C07851"/>
    <w:rsid w:val="00C120EE"/>
    <w:rsid w:val="00C141C7"/>
    <w:rsid w:val="00C16DB1"/>
    <w:rsid w:val="00C17188"/>
    <w:rsid w:val="00C1770C"/>
    <w:rsid w:val="00C20FF9"/>
    <w:rsid w:val="00C216B8"/>
    <w:rsid w:val="00C21928"/>
    <w:rsid w:val="00C21BC6"/>
    <w:rsid w:val="00C22478"/>
    <w:rsid w:val="00C23019"/>
    <w:rsid w:val="00C24CBE"/>
    <w:rsid w:val="00C24D9D"/>
    <w:rsid w:val="00C25226"/>
    <w:rsid w:val="00C26873"/>
    <w:rsid w:val="00C278E9"/>
    <w:rsid w:val="00C279CE"/>
    <w:rsid w:val="00C3119B"/>
    <w:rsid w:val="00C31C8A"/>
    <w:rsid w:val="00C31E2A"/>
    <w:rsid w:val="00C3228B"/>
    <w:rsid w:val="00C3279A"/>
    <w:rsid w:val="00C33369"/>
    <w:rsid w:val="00C34182"/>
    <w:rsid w:val="00C34564"/>
    <w:rsid w:val="00C347BC"/>
    <w:rsid w:val="00C34A29"/>
    <w:rsid w:val="00C367BD"/>
    <w:rsid w:val="00C3684E"/>
    <w:rsid w:val="00C37035"/>
    <w:rsid w:val="00C40224"/>
    <w:rsid w:val="00C4055F"/>
    <w:rsid w:val="00C405DD"/>
    <w:rsid w:val="00C40DA8"/>
    <w:rsid w:val="00C42281"/>
    <w:rsid w:val="00C428E1"/>
    <w:rsid w:val="00C42FC5"/>
    <w:rsid w:val="00C44558"/>
    <w:rsid w:val="00C445AD"/>
    <w:rsid w:val="00C45202"/>
    <w:rsid w:val="00C45726"/>
    <w:rsid w:val="00C45965"/>
    <w:rsid w:val="00C465A0"/>
    <w:rsid w:val="00C46CFC"/>
    <w:rsid w:val="00C47F2C"/>
    <w:rsid w:val="00C50D5A"/>
    <w:rsid w:val="00C51DB9"/>
    <w:rsid w:val="00C526C5"/>
    <w:rsid w:val="00C52E2B"/>
    <w:rsid w:val="00C536DD"/>
    <w:rsid w:val="00C547A7"/>
    <w:rsid w:val="00C55347"/>
    <w:rsid w:val="00C55C2B"/>
    <w:rsid w:val="00C55CE5"/>
    <w:rsid w:val="00C56D20"/>
    <w:rsid w:val="00C56D84"/>
    <w:rsid w:val="00C60BA3"/>
    <w:rsid w:val="00C60E1A"/>
    <w:rsid w:val="00C61148"/>
    <w:rsid w:val="00C611C9"/>
    <w:rsid w:val="00C61968"/>
    <w:rsid w:val="00C621F1"/>
    <w:rsid w:val="00C623EE"/>
    <w:rsid w:val="00C628C2"/>
    <w:rsid w:val="00C66A96"/>
    <w:rsid w:val="00C67712"/>
    <w:rsid w:val="00C67A92"/>
    <w:rsid w:val="00C67B98"/>
    <w:rsid w:val="00C70BC9"/>
    <w:rsid w:val="00C717D8"/>
    <w:rsid w:val="00C718C5"/>
    <w:rsid w:val="00C71CF6"/>
    <w:rsid w:val="00C727F9"/>
    <w:rsid w:val="00C729CC"/>
    <w:rsid w:val="00C72A9F"/>
    <w:rsid w:val="00C72F09"/>
    <w:rsid w:val="00C74AA6"/>
    <w:rsid w:val="00C74BDF"/>
    <w:rsid w:val="00C80118"/>
    <w:rsid w:val="00C804F3"/>
    <w:rsid w:val="00C81972"/>
    <w:rsid w:val="00C820A8"/>
    <w:rsid w:val="00C82D5F"/>
    <w:rsid w:val="00C83822"/>
    <w:rsid w:val="00C83A89"/>
    <w:rsid w:val="00C86282"/>
    <w:rsid w:val="00C86D53"/>
    <w:rsid w:val="00C90BEA"/>
    <w:rsid w:val="00C919BA"/>
    <w:rsid w:val="00C91F98"/>
    <w:rsid w:val="00C922CE"/>
    <w:rsid w:val="00C935DE"/>
    <w:rsid w:val="00C93ED3"/>
    <w:rsid w:val="00C948BA"/>
    <w:rsid w:val="00C94A14"/>
    <w:rsid w:val="00C955D9"/>
    <w:rsid w:val="00C95B65"/>
    <w:rsid w:val="00C95EE7"/>
    <w:rsid w:val="00C971A0"/>
    <w:rsid w:val="00C97B0B"/>
    <w:rsid w:val="00CA0C99"/>
    <w:rsid w:val="00CA11B8"/>
    <w:rsid w:val="00CA13E6"/>
    <w:rsid w:val="00CA16E5"/>
    <w:rsid w:val="00CA1E0C"/>
    <w:rsid w:val="00CA26B2"/>
    <w:rsid w:val="00CA2A82"/>
    <w:rsid w:val="00CA37C6"/>
    <w:rsid w:val="00CA3B3D"/>
    <w:rsid w:val="00CA3B6E"/>
    <w:rsid w:val="00CA404D"/>
    <w:rsid w:val="00CA62FB"/>
    <w:rsid w:val="00CA64FE"/>
    <w:rsid w:val="00CA7992"/>
    <w:rsid w:val="00CA7B71"/>
    <w:rsid w:val="00CB06A3"/>
    <w:rsid w:val="00CB10DB"/>
    <w:rsid w:val="00CB1B3F"/>
    <w:rsid w:val="00CB3B8B"/>
    <w:rsid w:val="00CB3D4C"/>
    <w:rsid w:val="00CB5113"/>
    <w:rsid w:val="00CB5608"/>
    <w:rsid w:val="00CB6EFC"/>
    <w:rsid w:val="00CC0154"/>
    <w:rsid w:val="00CC02AF"/>
    <w:rsid w:val="00CC1A0A"/>
    <w:rsid w:val="00CC28D1"/>
    <w:rsid w:val="00CC2A47"/>
    <w:rsid w:val="00CC38B8"/>
    <w:rsid w:val="00CC3AA0"/>
    <w:rsid w:val="00CC44EE"/>
    <w:rsid w:val="00CC4A61"/>
    <w:rsid w:val="00CC5DFD"/>
    <w:rsid w:val="00CC64E3"/>
    <w:rsid w:val="00CC7FF4"/>
    <w:rsid w:val="00CD0907"/>
    <w:rsid w:val="00CD1B60"/>
    <w:rsid w:val="00CD28B4"/>
    <w:rsid w:val="00CD3C4C"/>
    <w:rsid w:val="00CD4EFB"/>
    <w:rsid w:val="00CD59DC"/>
    <w:rsid w:val="00CD59F6"/>
    <w:rsid w:val="00CD63A4"/>
    <w:rsid w:val="00CD7E8E"/>
    <w:rsid w:val="00CE1120"/>
    <w:rsid w:val="00CE193C"/>
    <w:rsid w:val="00CE1BEC"/>
    <w:rsid w:val="00CE3146"/>
    <w:rsid w:val="00CE346F"/>
    <w:rsid w:val="00CE4798"/>
    <w:rsid w:val="00CE70A0"/>
    <w:rsid w:val="00CE73CD"/>
    <w:rsid w:val="00CE7C00"/>
    <w:rsid w:val="00CE7F74"/>
    <w:rsid w:val="00CF0163"/>
    <w:rsid w:val="00CF2142"/>
    <w:rsid w:val="00CF2266"/>
    <w:rsid w:val="00CF53CC"/>
    <w:rsid w:val="00CF5D16"/>
    <w:rsid w:val="00CF6090"/>
    <w:rsid w:val="00CF7590"/>
    <w:rsid w:val="00CF7FE3"/>
    <w:rsid w:val="00D00AAD"/>
    <w:rsid w:val="00D01CB5"/>
    <w:rsid w:val="00D03B0B"/>
    <w:rsid w:val="00D04B99"/>
    <w:rsid w:val="00D05A1A"/>
    <w:rsid w:val="00D06EF1"/>
    <w:rsid w:val="00D0725E"/>
    <w:rsid w:val="00D073D1"/>
    <w:rsid w:val="00D07E40"/>
    <w:rsid w:val="00D1036F"/>
    <w:rsid w:val="00D10D23"/>
    <w:rsid w:val="00D1121F"/>
    <w:rsid w:val="00D12E96"/>
    <w:rsid w:val="00D12FAB"/>
    <w:rsid w:val="00D13730"/>
    <w:rsid w:val="00D13AF0"/>
    <w:rsid w:val="00D15B6F"/>
    <w:rsid w:val="00D17687"/>
    <w:rsid w:val="00D202B3"/>
    <w:rsid w:val="00D220FE"/>
    <w:rsid w:val="00D234D0"/>
    <w:rsid w:val="00D2373D"/>
    <w:rsid w:val="00D23F3F"/>
    <w:rsid w:val="00D2482A"/>
    <w:rsid w:val="00D252B4"/>
    <w:rsid w:val="00D26216"/>
    <w:rsid w:val="00D26855"/>
    <w:rsid w:val="00D26ACF"/>
    <w:rsid w:val="00D26BFE"/>
    <w:rsid w:val="00D2737C"/>
    <w:rsid w:val="00D273AB"/>
    <w:rsid w:val="00D27A80"/>
    <w:rsid w:val="00D27EC2"/>
    <w:rsid w:val="00D31796"/>
    <w:rsid w:val="00D317B4"/>
    <w:rsid w:val="00D31A74"/>
    <w:rsid w:val="00D32050"/>
    <w:rsid w:val="00D34DA6"/>
    <w:rsid w:val="00D364CD"/>
    <w:rsid w:val="00D37EFF"/>
    <w:rsid w:val="00D40754"/>
    <w:rsid w:val="00D40CAB"/>
    <w:rsid w:val="00D40DF4"/>
    <w:rsid w:val="00D41DFC"/>
    <w:rsid w:val="00D42087"/>
    <w:rsid w:val="00D42D03"/>
    <w:rsid w:val="00D43D15"/>
    <w:rsid w:val="00D43D9F"/>
    <w:rsid w:val="00D44512"/>
    <w:rsid w:val="00D4553C"/>
    <w:rsid w:val="00D46F94"/>
    <w:rsid w:val="00D47093"/>
    <w:rsid w:val="00D471BE"/>
    <w:rsid w:val="00D473D3"/>
    <w:rsid w:val="00D50556"/>
    <w:rsid w:val="00D50729"/>
    <w:rsid w:val="00D509ED"/>
    <w:rsid w:val="00D52097"/>
    <w:rsid w:val="00D524C8"/>
    <w:rsid w:val="00D53224"/>
    <w:rsid w:val="00D536D4"/>
    <w:rsid w:val="00D53CE5"/>
    <w:rsid w:val="00D548E2"/>
    <w:rsid w:val="00D54B27"/>
    <w:rsid w:val="00D54BFC"/>
    <w:rsid w:val="00D55A66"/>
    <w:rsid w:val="00D55DC3"/>
    <w:rsid w:val="00D5689B"/>
    <w:rsid w:val="00D56F68"/>
    <w:rsid w:val="00D60E07"/>
    <w:rsid w:val="00D618E3"/>
    <w:rsid w:val="00D622C1"/>
    <w:rsid w:val="00D62D47"/>
    <w:rsid w:val="00D63F4E"/>
    <w:rsid w:val="00D66FFC"/>
    <w:rsid w:val="00D70D5A"/>
    <w:rsid w:val="00D71E3E"/>
    <w:rsid w:val="00D7478B"/>
    <w:rsid w:val="00D75D1E"/>
    <w:rsid w:val="00D75F8D"/>
    <w:rsid w:val="00D7630D"/>
    <w:rsid w:val="00D81945"/>
    <w:rsid w:val="00D82996"/>
    <w:rsid w:val="00D82BB4"/>
    <w:rsid w:val="00D83301"/>
    <w:rsid w:val="00D847BF"/>
    <w:rsid w:val="00D86364"/>
    <w:rsid w:val="00D865A6"/>
    <w:rsid w:val="00D870ED"/>
    <w:rsid w:val="00D874DB"/>
    <w:rsid w:val="00D9036A"/>
    <w:rsid w:val="00D91581"/>
    <w:rsid w:val="00D916B4"/>
    <w:rsid w:val="00D91A65"/>
    <w:rsid w:val="00D9312D"/>
    <w:rsid w:val="00D93660"/>
    <w:rsid w:val="00D942D7"/>
    <w:rsid w:val="00D94551"/>
    <w:rsid w:val="00D96461"/>
    <w:rsid w:val="00D964FD"/>
    <w:rsid w:val="00D97247"/>
    <w:rsid w:val="00D973DD"/>
    <w:rsid w:val="00DA1656"/>
    <w:rsid w:val="00DA265B"/>
    <w:rsid w:val="00DA2CF7"/>
    <w:rsid w:val="00DA321E"/>
    <w:rsid w:val="00DA3677"/>
    <w:rsid w:val="00DA49FA"/>
    <w:rsid w:val="00DA5608"/>
    <w:rsid w:val="00DA6765"/>
    <w:rsid w:val="00DA71A2"/>
    <w:rsid w:val="00DB0434"/>
    <w:rsid w:val="00DB1E04"/>
    <w:rsid w:val="00DB2C45"/>
    <w:rsid w:val="00DB2EED"/>
    <w:rsid w:val="00DB318A"/>
    <w:rsid w:val="00DB3272"/>
    <w:rsid w:val="00DB37ED"/>
    <w:rsid w:val="00DB3E36"/>
    <w:rsid w:val="00DB40C3"/>
    <w:rsid w:val="00DB6646"/>
    <w:rsid w:val="00DB6E3B"/>
    <w:rsid w:val="00DB7A9F"/>
    <w:rsid w:val="00DC0EB5"/>
    <w:rsid w:val="00DC1541"/>
    <w:rsid w:val="00DC215D"/>
    <w:rsid w:val="00DC281A"/>
    <w:rsid w:val="00DC28C5"/>
    <w:rsid w:val="00DC295D"/>
    <w:rsid w:val="00DC3001"/>
    <w:rsid w:val="00DC352F"/>
    <w:rsid w:val="00DC394D"/>
    <w:rsid w:val="00DC4CDB"/>
    <w:rsid w:val="00DC5549"/>
    <w:rsid w:val="00DC5FFB"/>
    <w:rsid w:val="00DC605F"/>
    <w:rsid w:val="00DC719D"/>
    <w:rsid w:val="00DD09A2"/>
    <w:rsid w:val="00DD120C"/>
    <w:rsid w:val="00DD262D"/>
    <w:rsid w:val="00DD333C"/>
    <w:rsid w:val="00DD48AF"/>
    <w:rsid w:val="00DD536D"/>
    <w:rsid w:val="00DD57BD"/>
    <w:rsid w:val="00DD6075"/>
    <w:rsid w:val="00DD61D9"/>
    <w:rsid w:val="00DD6409"/>
    <w:rsid w:val="00DD65D1"/>
    <w:rsid w:val="00DD6E95"/>
    <w:rsid w:val="00DD7C09"/>
    <w:rsid w:val="00DD7F03"/>
    <w:rsid w:val="00DE1515"/>
    <w:rsid w:val="00DE19EC"/>
    <w:rsid w:val="00DE34C4"/>
    <w:rsid w:val="00DE43BD"/>
    <w:rsid w:val="00DE4807"/>
    <w:rsid w:val="00DE5564"/>
    <w:rsid w:val="00DE624D"/>
    <w:rsid w:val="00DE634B"/>
    <w:rsid w:val="00DE76BF"/>
    <w:rsid w:val="00DE78C1"/>
    <w:rsid w:val="00DF0CD2"/>
    <w:rsid w:val="00DF0F58"/>
    <w:rsid w:val="00DF167C"/>
    <w:rsid w:val="00DF1868"/>
    <w:rsid w:val="00DF202C"/>
    <w:rsid w:val="00DF2396"/>
    <w:rsid w:val="00DF24D5"/>
    <w:rsid w:val="00DF26C0"/>
    <w:rsid w:val="00DF2924"/>
    <w:rsid w:val="00DF3C95"/>
    <w:rsid w:val="00DF3F32"/>
    <w:rsid w:val="00DF40C7"/>
    <w:rsid w:val="00DF49B9"/>
    <w:rsid w:val="00DF4B9A"/>
    <w:rsid w:val="00DF56F2"/>
    <w:rsid w:val="00DF58F6"/>
    <w:rsid w:val="00DF65A7"/>
    <w:rsid w:val="00DF709F"/>
    <w:rsid w:val="00DF785B"/>
    <w:rsid w:val="00E00792"/>
    <w:rsid w:val="00E011D2"/>
    <w:rsid w:val="00E012C0"/>
    <w:rsid w:val="00E01BB7"/>
    <w:rsid w:val="00E01E20"/>
    <w:rsid w:val="00E041A0"/>
    <w:rsid w:val="00E05826"/>
    <w:rsid w:val="00E06586"/>
    <w:rsid w:val="00E10181"/>
    <w:rsid w:val="00E14424"/>
    <w:rsid w:val="00E155AF"/>
    <w:rsid w:val="00E1655A"/>
    <w:rsid w:val="00E1692F"/>
    <w:rsid w:val="00E171F2"/>
    <w:rsid w:val="00E1734E"/>
    <w:rsid w:val="00E176A6"/>
    <w:rsid w:val="00E17EC8"/>
    <w:rsid w:val="00E17EDE"/>
    <w:rsid w:val="00E22B09"/>
    <w:rsid w:val="00E25A36"/>
    <w:rsid w:val="00E25E62"/>
    <w:rsid w:val="00E27959"/>
    <w:rsid w:val="00E307E2"/>
    <w:rsid w:val="00E3119F"/>
    <w:rsid w:val="00E32221"/>
    <w:rsid w:val="00E326BA"/>
    <w:rsid w:val="00E33D79"/>
    <w:rsid w:val="00E346B1"/>
    <w:rsid w:val="00E351E4"/>
    <w:rsid w:val="00E35EEF"/>
    <w:rsid w:val="00E36517"/>
    <w:rsid w:val="00E36594"/>
    <w:rsid w:val="00E367AA"/>
    <w:rsid w:val="00E374B1"/>
    <w:rsid w:val="00E415CC"/>
    <w:rsid w:val="00E41767"/>
    <w:rsid w:val="00E41C77"/>
    <w:rsid w:val="00E41D4A"/>
    <w:rsid w:val="00E42C75"/>
    <w:rsid w:val="00E4312C"/>
    <w:rsid w:val="00E44711"/>
    <w:rsid w:val="00E44B6A"/>
    <w:rsid w:val="00E45075"/>
    <w:rsid w:val="00E45D08"/>
    <w:rsid w:val="00E4732C"/>
    <w:rsid w:val="00E51705"/>
    <w:rsid w:val="00E51B3B"/>
    <w:rsid w:val="00E530BF"/>
    <w:rsid w:val="00E53AFA"/>
    <w:rsid w:val="00E54E86"/>
    <w:rsid w:val="00E561E5"/>
    <w:rsid w:val="00E56B78"/>
    <w:rsid w:val="00E60B26"/>
    <w:rsid w:val="00E61893"/>
    <w:rsid w:val="00E6307E"/>
    <w:rsid w:val="00E6326C"/>
    <w:rsid w:val="00E632D3"/>
    <w:rsid w:val="00E6372A"/>
    <w:rsid w:val="00E63CC1"/>
    <w:rsid w:val="00E644BF"/>
    <w:rsid w:val="00E6467B"/>
    <w:rsid w:val="00E655C9"/>
    <w:rsid w:val="00E656C9"/>
    <w:rsid w:val="00E660ED"/>
    <w:rsid w:val="00E669B2"/>
    <w:rsid w:val="00E67442"/>
    <w:rsid w:val="00E67638"/>
    <w:rsid w:val="00E709E2"/>
    <w:rsid w:val="00E720C6"/>
    <w:rsid w:val="00E72F8E"/>
    <w:rsid w:val="00E73C64"/>
    <w:rsid w:val="00E74F1B"/>
    <w:rsid w:val="00E77491"/>
    <w:rsid w:val="00E77902"/>
    <w:rsid w:val="00E77F1E"/>
    <w:rsid w:val="00E8166C"/>
    <w:rsid w:val="00E82439"/>
    <w:rsid w:val="00E83D70"/>
    <w:rsid w:val="00E83F16"/>
    <w:rsid w:val="00E86053"/>
    <w:rsid w:val="00E86227"/>
    <w:rsid w:val="00E8738B"/>
    <w:rsid w:val="00E873A7"/>
    <w:rsid w:val="00E90F51"/>
    <w:rsid w:val="00E91069"/>
    <w:rsid w:val="00E912A7"/>
    <w:rsid w:val="00E9196A"/>
    <w:rsid w:val="00E929A2"/>
    <w:rsid w:val="00E92C4D"/>
    <w:rsid w:val="00E943E0"/>
    <w:rsid w:val="00E9629D"/>
    <w:rsid w:val="00E97BAA"/>
    <w:rsid w:val="00EA0331"/>
    <w:rsid w:val="00EA04A0"/>
    <w:rsid w:val="00EA25C2"/>
    <w:rsid w:val="00EA2A1E"/>
    <w:rsid w:val="00EA2E7F"/>
    <w:rsid w:val="00EA35BE"/>
    <w:rsid w:val="00EA3C47"/>
    <w:rsid w:val="00EA3CBA"/>
    <w:rsid w:val="00EA47AD"/>
    <w:rsid w:val="00EA48FA"/>
    <w:rsid w:val="00EB17DA"/>
    <w:rsid w:val="00EB1860"/>
    <w:rsid w:val="00EB3790"/>
    <w:rsid w:val="00EB3F82"/>
    <w:rsid w:val="00EB65A4"/>
    <w:rsid w:val="00EB6972"/>
    <w:rsid w:val="00EB6B7F"/>
    <w:rsid w:val="00EB7287"/>
    <w:rsid w:val="00EB7CCA"/>
    <w:rsid w:val="00EC177B"/>
    <w:rsid w:val="00EC1821"/>
    <w:rsid w:val="00EC276C"/>
    <w:rsid w:val="00EC29E6"/>
    <w:rsid w:val="00EC35C9"/>
    <w:rsid w:val="00EC36CA"/>
    <w:rsid w:val="00EC4967"/>
    <w:rsid w:val="00EC52ED"/>
    <w:rsid w:val="00EC6517"/>
    <w:rsid w:val="00EC6E5C"/>
    <w:rsid w:val="00ED0121"/>
    <w:rsid w:val="00ED0CD5"/>
    <w:rsid w:val="00ED2057"/>
    <w:rsid w:val="00ED3C70"/>
    <w:rsid w:val="00ED3FD7"/>
    <w:rsid w:val="00ED4433"/>
    <w:rsid w:val="00ED4666"/>
    <w:rsid w:val="00ED610C"/>
    <w:rsid w:val="00ED6358"/>
    <w:rsid w:val="00ED7D1D"/>
    <w:rsid w:val="00EE0997"/>
    <w:rsid w:val="00EE17DE"/>
    <w:rsid w:val="00EE2073"/>
    <w:rsid w:val="00EE236E"/>
    <w:rsid w:val="00EE29EA"/>
    <w:rsid w:val="00EE33E1"/>
    <w:rsid w:val="00EE376E"/>
    <w:rsid w:val="00EE6526"/>
    <w:rsid w:val="00EE7B03"/>
    <w:rsid w:val="00EE7EE5"/>
    <w:rsid w:val="00EF0985"/>
    <w:rsid w:val="00EF0B79"/>
    <w:rsid w:val="00EF0B7F"/>
    <w:rsid w:val="00EF0E07"/>
    <w:rsid w:val="00EF12EF"/>
    <w:rsid w:val="00EF155B"/>
    <w:rsid w:val="00EF1AAD"/>
    <w:rsid w:val="00EF30B0"/>
    <w:rsid w:val="00EF4289"/>
    <w:rsid w:val="00EF468F"/>
    <w:rsid w:val="00EF5472"/>
    <w:rsid w:val="00EF55E4"/>
    <w:rsid w:val="00EF57AD"/>
    <w:rsid w:val="00EF5F91"/>
    <w:rsid w:val="00EF6659"/>
    <w:rsid w:val="00EF7255"/>
    <w:rsid w:val="00EF79BB"/>
    <w:rsid w:val="00F00B1E"/>
    <w:rsid w:val="00F00F5A"/>
    <w:rsid w:val="00F012DD"/>
    <w:rsid w:val="00F023D5"/>
    <w:rsid w:val="00F02CAC"/>
    <w:rsid w:val="00F03732"/>
    <w:rsid w:val="00F04EFF"/>
    <w:rsid w:val="00F0565C"/>
    <w:rsid w:val="00F0624A"/>
    <w:rsid w:val="00F068AB"/>
    <w:rsid w:val="00F07B4F"/>
    <w:rsid w:val="00F1062E"/>
    <w:rsid w:val="00F10E43"/>
    <w:rsid w:val="00F115F6"/>
    <w:rsid w:val="00F124D6"/>
    <w:rsid w:val="00F12B11"/>
    <w:rsid w:val="00F1328B"/>
    <w:rsid w:val="00F13910"/>
    <w:rsid w:val="00F1524E"/>
    <w:rsid w:val="00F15527"/>
    <w:rsid w:val="00F16330"/>
    <w:rsid w:val="00F16BB8"/>
    <w:rsid w:val="00F1739A"/>
    <w:rsid w:val="00F200E6"/>
    <w:rsid w:val="00F20F55"/>
    <w:rsid w:val="00F21381"/>
    <w:rsid w:val="00F215A2"/>
    <w:rsid w:val="00F21D55"/>
    <w:rsid w:val="00F22472"/>
    <w:rsid w:val="00F22624"/>
    <w:rsid w:val="00F2288C"/>
    <w:rsid w:val="00F229F5"/>
    <w:rsid w:val="00F22A77"/>
    <w:rsid w:val="00F22EB8"/>
    <w:rsid w:val="00F2331A"/>
    <w:rsid w:val="00F23483"/>
    <w:rsid w:val="00F23C4B"/>
    <w:rsid w:val="00F23DEE"/>
    <w:rsid w:val="00F2445E"/>
    <w:rsid w:val="00F24851"/>
    <w:rsid w:val="00F25091"/>
    <w:rsid w:val="00F2540B"/>
    <w:rsid w:val="00F257DC"/>
    <w:rsid w:val="00F25AA5"/>
    <w:rsid w:val="00F26CCD"/>
    <w:rsid w:val="00F26CF9"/>
    <w:rsid w:val="00F31135"/>
    <w:rsid w:val="00F31A83"/>
    <w:rsid w:val="00F3271F"/>
    <w:rsid w:val="00F33A20"/>
    <w:rsid w:val="00F33A2E"/>
    <w:rsid w:val="00F35619"/>
    <w:rsid w:val="00F35B6F"/>
    <w:rsid w:val="00F35D0C"/>
    <w:rsid w:val="00F35D9F"/>
    <w:rsid w:val="00F360C5"/>
    <w:rsid w:val="00F360CC"/>
    <w:rsid w:val="00F373D3"/>
    <w:rsid w:val="00F4065E"/>
    <w:rsid w:val="00F40EE3"/>
    <w:rsid w:val="00F4140C"/>
    <w:rsid w:val="00F41A57"/>
    <w:rsid w:val="00F42079"/>
    <w:rsid w:val="00F42BB6"/>
    <w:rsid w:val="00F43850"/>
    <w:rsid w:val="00F43F35"/>
    <w:rsid w:val="00F462A0"/>
    <w:rsid w:val="00F465DC"/>
    <w:rsid w:val="00F46ADA"/>
    <w:rsid w:val="00F479EA"/>
    <w:rsid w:val="00F50814"/>
    <w:rsid w:val="00F50A2C"/>
    <w:rsid w:val="00F50D39"/>
    <w:rsid w:val="00F51219"/>
    <w:rsid w:val="00F5137E"/>
    <w:rsid w:val="00F54427"/>
    <w:rsid w:val="00F54AD9"/>
    <w:rsid w:val="00F54B1A"/>
    <w:rsid w:val="00F567F4"/>
    <w:rsid w:val="00F576EC"/>
    <w:rsid w:val="00F602C9"/>
    <w:rsid w:val="00F610EE"/>
    <w:rsid w:val="00F6183D"/>
    <w:rsid w:val="00F61BEF"/>
    <w:rsid w:val="00F6340E"/>
    <w:rsid w:val="00F6402D"/>
    <w:rsid w:val="00F642AC"/>
    <w:rsid w:val="00F64B61"/>
    <w:rsid w:val="00F67922"/>
    <w:rsid w:val="00F70280"/>
    <w:rsid w:val="00F7080A"/>
    <w:rsid w:val="00F709EC"/>
    <w:rsid w:val="00F70CDE"/>
    <w:rsid w:val="00F71057"/>
    <w:rsid w:val="00F71158"/>
    <w:rsid w:val="00F724DB"/>
    <w:rsid w:val="00F727E9"/>
    <w:rsid w:val="00F73521"/>
    <w:rsid w:val="00F743B9"/>
    <w:rsid w:val="00F75AEA"/>
    <w:rsid w:val="00F75D54"/>
    <w:rsid w:val="00F7609E"/>
    <w:rsid w:val="00F76D4F"/>
    <w:rsid w:val="00F77A00"/>
    <w:rsid w:val="00F81033"/>
    <w:rsid w:val="00F8196D"/>
    <w:rsid w:val="00F83482"/>
    <w:rsid w:val="00F838EB"/>
    <w:rsid w:val="00F839D0"/>
    <w:rsid w:val="00F847D2"/>
    <w:rsid w:val="00F84C76"/>
    <w:rsid w:val="00F85649"/>
    <w:rsid w:val="00F85B09"/>
    <w:rsid w:val="00F85E7A"/>
    <w:rsid w:val="00F8627D"/>
    <w:rsid w:val="00F87A24"/>
    <w:rsid w:val="00F906C8"/>
    <w:rsid w:val="00F90E79"/>
    <w:rsid w:val="00F90FFE"/>
    <w:rsid w:val="00F915CE"/>
    <w:rsid w:val="00F915F6"/>
    <w:rsid w:val="00F91625"/>
    <w:rsid w:val="00F921B2"/>
    <w:rsid w:val="00F92EEB"/>
    <w:rsid w:val="00F9455A"/>
    <w:rsid w:val="00F9482E"/>
    <w:rsid w:val="00F9507F"/>
    <w:rsid w:val="00F955A2"/>
    <w:rsid w:val="00F9570D"/>
    <w:rsid w:val="00F95D41"/>
    <w:rsid w:val="00F967AA"/>
    <w:rsid w:val="00F97176"/>
    <w:rsid w:val="00FA0D1C"/>
    <w:rsid w:val="00FA143F"/>
    <w:rsid w:val="00FA18FE"/>
    <w:rsid w:val="00FA2E01"/>
    <w:rsid w:val="00FA2FD7"/>
    <w:rsid w:val="00FA31FC"/>
    <w:rsid w:val="00FA3E99"/>
    <w:rsid w:val="00FA3F08"/>
    <w:rsid w:val="00FA6159"/>
    <w:rsid w:val="00FA6623"/>
    <w:rsid w:val="00FA67A7"/>
    <w:rsid w:val="00FA6B54"/>
    <w:rsid w:val="00FA6DD1"/>
    <w:rsid w:val="00FA714F"/>
    <w:rsid w:val="00FA73C6"/>
    <w:rsid w:val="00FA7793"/>
    <w:rsid w:val="00FB0363"/>
    <w:rsid w:val="00FB1B36"/>
    <w:rsid w:val="00FB22C8"/>
    <w:rsid w:val="00FB2C62"/>
    <w:rsid w:val="00FB3888"/>
    <w:rsid w:val="00FB3DD6"/>
    <w:rsid w:val="00FB43E7"/>
    <w:rsid w:val="00FB5175"/>
    <w:rsid w:val="00FB5873"/>
    <w:rsid w:val="00FB5A3A"/>
    <w:rsid w:val="00FB6B6E"/>
    <w:rsid w:val="00FB71B6"/>
    <w:rsid w:val="00FB7978"/>
    <w:rsid w:val="00FC2E30"/>
    <w:rsid w:val="00FC31F3"/>
    <w:rsid w:val="00FC31F7"/>
    <w:rsid w:val="00FC3F66"/>
    <w:rsid w:val="00FC3F81"/>
    <w:rsid w:val="00FC4B4C"/>
    <w:rsid w:val="00FC5566"/>
    <w:rsid w:val="00FC700A"/>
    <w:rsid w:val="00FD1175"/>
    <w:rsid w:val="00FD1D9B"/>
    <w:rsid w:val="00FD2F5D"/>
    <w:rsid w:val="00FD32C3"/>
    <w:rsid w:val="00FD3D41"/>
    <w:rsid w:val="00FD4111"/>
    <w:rsid w:val="00FD4115"/>
    <w:rsid w:val="00FD57C5"/>
    <w:rsid w:val="00FD7930"/>
    <w:rsid w:val="00FD79EA"/>
    <w:rsid w:val="00FE0177"/>
    <w:rsid w:val="00FE029C"/>
    <w:rsid w:val="00FE176E"/>
    <w:rsid w:val="00FE1B0C"/>
    <w:rsid w:val="00FE28BC"/>
    <w:rsid w:val="00FE2A50"/>
    <w:rsid w:val="00FE2D87"/>
    <w:rsid w:val="00FE36A0"/>
    <w:rsid w:val="00FE3831"/>
    <w:rsid w:val="00FE577D"/>
    <w:rsid w:val="00FE75ED"/>
    <w:rsid w:val="00FE7FFD"/>
    <w:rsid w:val="00FF000C"/>
    <w:rsid w:val="00FF0146"/>
    <w:rsid w:val="00FF064E"/>
    <w:rsid w:val="00FF21EB"/>
    <w:rsid w:val="00FF2B8F"/>
    <w:rsid w:val="00FF2CEF"/>
    <w:rsid w:val="00FF2D44"/>
    <w:rsid w:val="00FF2E7C"/>
    <w:rsid w:val="00FF35DA"/>
    <w:rsid w:val="00FF3AF6"/>
    <w:rsid w:val="00FF447A"/>
    <w:rsid w:val="00FF5281"/>
    <w:rsid w:val="00FF533A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4EB0A"/>
  <w15:chartTrackingRefBased/>
  <w15:docId w15:val="{F74EB260-9D4F-499A-9457-E41F0367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E7F"/>
  </w:style>
  <w:style w:type="paragraph" w:styleId="Nadpis1">
    <w:name w:val="heading 1"/>
    <w:basedOn w:val="Normln"/>
    <w:next w:val="Normln"/>
    <w:link w:val="Nadpis1Char"/>
    <w:uiPriority w:val="9"/>
    <w:qFormat/>
    <w:rsid w:val="00B06C36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ind w:left="357" w:hanging="357"/>
      <w:jc w:val="both"/>
      <w:textAlignment w:val="baseline"/>
      <w:outlineLvl w:val="0"/>
    </w:pPr>
    <w:rPr>
      <w:rFonts w:eastAsia="Times New Roman" w:cstheme="minorHAnsi"/>
      <w:b/>
      <w:color w:val="00000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1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1138"/>
    <w:pPr>
      <w:keepNext/>
      <w:keepLines/>
      <w:numPr>
        <w:ilvl w:val="2"/>
        <w:numId w:val="1"/>
      </w:numPr>
      <w:spacing w:before="40" w:after="120" w:line="240" w:lineRule="auto"/>
      <w:jc w:val="both"/>
      <w:outlineLvl w:val="2"/>
    </w:pPr>
    <w:rPr>
      <w:rFonts w:eastAsiaTheme="majorEastAsia" w:cstheme="majorBidi"/>
      <w:bCs/>
      <w:color w:val="000000"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1138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138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138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138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138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138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C36"/>
    <w:rPr>
      <w:rFonts w:eastAsia="Times New Roman" w:cstheme="minorHAnsi"/>
      <w:b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1138"/>
    <w:rPr>
      <w:rFonts w:eastAsiaTheme="majorEastAsia" w:cstheme="majorBidi"/>
      <w:bCs/>
      <w:color w:val="000000"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1E1138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13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1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1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1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aliases w:val="Boston 10,Char,Char Char Char Char,Font: Geneva 9,Footnote Text Char1,Fußnotentextf,Geneva 9,Podrozdzia3,Podrozdział,Schriftart: 10 pt,Schriftart: 8 pt,Schriftart: 9 pt,Text poznámky pod čiarou 007,f,fn,pozn. pod čarou"/>
    <w:basedOn w:val="Normln"/>
    <w:link w:val="TextpoznpodarouChar"/>
    <w:uiPriority w:val="99"/>
    <w:unhideWhenUsed/>
    <w:qFormat/>
    <w:rsid w:val="001E11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 Char,Char Char Char Char Char,Font: Geneva 9 Char,Footnote Text Char1 Char,Fußnotentextf Char,Geneva 9 Char,Podrozdzia3 Char,Podrozdział Char,Schriftart: 10 pt Char,Schriftart: 8 pt Char,f Char,fn Char"/>
    <w:basedOn w:val="Standardnpsmoodstavce"/>
    <w:link w:val="Textpoznpodarou"/>
    <w:uiPriority w:val="99"/>
    <w:rsid w:val="001E1138"/>
    <w:rPr>
      <w:sz w:val="20"/>
      <w:szCs w:val="20"/>
    </w:rPr>
  </w:style>
  <w:style w:type="character" w:styleId="Znakapoznpodarou">
    <w:name w:val="footnote reference"/>
    <w:aliases w:val="12 b.,4_,Appel note de bas de p,Appel note de bas de page,BVI fnr,Footnote,Footnote Reference Number,Footnote Reference Superscript,Footnote call,Footnote symbol,PGI Fußnote Ziffer,PGI Fußnote Ziffer + Times New Roman,Zúžené o ..."/>
    <w:basedOn w:val="Standardnpsmoodstavce"/>
    <w:uiPriority w:val="99"/>
    <w:unhideWhenUsed/>
    <w:rsid w:val="001E1138"/>
    <w:rPr>
      <w:vertAlign w:val="superscript"/>
    </w:rPr>
  </w:style>
  <w:style w:type="paragraph" w:styleId="Odstavecseseznamem">
    <w:name w:val="List Paragraph"/>
    <w:aliases w:val="List Paragraph1,List Paragraph2,List Paragraph_0,List Paragraph_0_0,List Paragraph_1,Nad,Nad1,Nad2,Nadpis pro KZ,Odstavec se seznamem1,Odstavec se seznamem2,Odstavec_muj,Odstavec_muj1,Odstavec_muj2,Odstavec_muj3,Odstavec_muj4"/>
    <w:basedOn w:val="Normln"/>
    <w:link w:val="OdstavecseseznamemChar"/>
    <w:uiPriority w:val="34"/>
    <w:qFormat/>
    <w:rsid w:val="001E1138"/>
    <w:pPr>
      <w:ind w:left="720"/>
      <w:contextualSpacing/>
    </w:pPr>
  </w:style>
  <w:style w:type="character" w:customStyle="1" w:styleId="OdstavecseseznamemChar">
    <w:name w:val="Odstavec se seznamem Char"/>
    <w:aliases w:val="List Paragraph1 Char,List Paragraph2 Char,List Paragraph_0 Char,List Paragraph_0_0 Char,List Paragraph_1 Char,Nad Char,Nad1 Char,Nad2 Char,Nadpis pro KZ Char,Odstavec se seznamem1 Char,Odstavec se seznamem2 Char"/>
    <w:basedOn w:val="Standardnpsmoodstavce"/>
    <w:link w:val="Odstavecseseznamem"/>
    <w:uiPriority w:val="34"/>
    <w:qFormat/>
    <w:rsid w:val="001E1138"/>
  </w:style>
  <w:style w:type="paragraph" w:customStyle="1" w:styleId="KPnormln">
    <w:name w:val="KP normální"/>
    <w:basedOn w:val="Normln"/>
    <w:link w:val="KPnormlnChar"/>
    <w:qFormat/>
    <w:rsid w:val="001E1138"/>
    <w:pPr>
      <w:spacing w:before="120" w:after="120" w:line="240" w:lineRule="auto"/>
      <w:ind w:firstLine="720"/>
      <w:jc w:val="both"/>
    </w:pPr>
    <w:rPr>
      <w:rFonts w:eastAsia="Times New Roman" w:cstheme="minorHAnsi"/>
      <w:color w:val="000000"/>
      <w:sz w:val="24"/>
    </w:rPr>
  </w:style>
  <w:style w:type="character" w:customStyle="1" w:styleId="KPnormlnChar">
    <w:name w:val="KP normální Char"/>
    <w:basedOn w:val="Standardnpsmoodstavce"/>
    <w:link w:val="KPnormln"/>
    <w:rsid w:val="001E1138"/>
    <w:rPr>
      <w:rFonts w:eastAsia="Times New Roman" w:cstheme="minorHAnsi"/>
      <w:color w:val="000000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1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13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138"/>
    <w:rPr>
      <w:vertAlign w:val="superscript"/>
    </w:rPr>
  </w:style>
  <w:style w:type="paragraph" w:styleId="Nzev">
    <w:name w:val="Title"/>
    <w:basedOn w:val="Normln"/>
    <w:link w:val="NzevChar"/>
    <w:qFormat/>
    <w:rsid w:val="008E6616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E6616"/>
    <w:rPr>
      <w:rFonts w:ascii="Arial" w:eastAsia="Times New Roman" w:hAnsi="Arial" w:cs="Times New Roman"/>
      <w:b/>
      <w:szCs w:val="20"/>
      <w:lang w:eastAsia="cs-CZ"/>
    </w:rPr>
  </w:style>
  <w:style w:type="paragraph" w:customStyle="1" w:styleId="NormlnKZ">
    <w:name w:val="Normální KZ"/>
    <w:basedOn w:val="Normln"/>
    <w:rsid w:val="008E6616"/>
    <w:pPr>
      <w:spacing w:after="120" w:line="240" w:lineRule="auto"/>
      <w:ind w:firstLine="425"/>
      <w:jc w:val="both"/>
    </w:pPr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D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-normlntext">
    <w:name w:val="KP-normální text"/>
    <w:basedOn w:val="Normln"/>
    <w:link w:val="KP-normlntextChar"/>
    <w:qFormat/>
    <w:rsid w:val="00650CD2"/>
    <w:pPr>
      <w:spacing w:after="120" w:line="240" w:lineRule="auto"/>
      <w:jc w:val="both"/>
    </w:pPr>
    <w:rPr>
      <w:rFonts w:ascii="Calibri" w:eastAsia="Times New Roman" w:hAnsi="Calibri" w:cs="Arial"/>
      <w:color w:val="000000"/>
      <w:sz w:val="24"/>
      <w:szCs w:val="24"/>
    </w:rPr>
  </w:style>
  <w:style w:type="character" w:customStyle="1" w:styleId="KP-normlntextChar">
    <w:name w:val="KP-normální text Char"/>
    <w:link w:val="KP-normlntext"/>
    <w:rsid w:val="00650CD2"/>
    <w:rPr>
      <w:rFonts w:ascii="Calibri" w:eastAsia="Times New Roman" w:hAnsi="Calibri" w:cs="Arial"/>
      <w:color w:val="000000"/>
      <w:sz w:val="24"/>
      <w:szCs w:val="24"/>
    </w:rPr>
  </w:style>
  <w:style w:type="paragraph" w:customStyle="1" w:styleId="Poznmkapodarou">
    <w:name w:val="Poznámka pod čarou"/>
    <w:basedOn w:val="Textpoznpodarou"/>
    <w:qFormat/>
    <w:rsid w:val="00650CD2"/>
    <w:pPr>
      <w:tabs>
        <w:tab w:val="left" w:pos="284"/>
      </w:tabs>
      <w:ind w:left="284" w:hanging="284"/>
      <w:jc w:val="both"/>
    </w:pPr>
    <w:rPr>
      <w:rFonts w:eastAsia="Times New Roman" w:cs="Times New Roman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650CD2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B8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51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1B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1B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B8F"/>
    <w:rPr>
      <w:b/>
      <w:bCs/>
      <w:sz w:val="20"/>
      <w:szCs w:val="20"/>
    </w:rPr>
  </w:style>
  <w:style w:type="paragraph" w:customStyle="1" w:styleId="Default">
    <w:name w:val="Default"/>
    <w:rsid w:val="00FD79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0A4"/>
  </w:style>
  <w:style w:type="paragraph" w:styleId="Zpat">
    <w:name w:val="footer"/>
    <w:basedOn w:val="Normln"/>
    <w:link w:val="ZpatChar"/>
    <w:uiPriority w:val="99"/>
    <w:unhideWhenUsed/>
    <w:rsid w:val="003C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0A4"/>
  </w:style>
  <w:style w:type="paragraph" w:styleId="Normlnweb">
    <w:name w:val="Normal (Web)"/>
    <w:basedOn w:val="Normln"/>
    <w:uiPriority w:val="99"/>
    <w:semiHidden/>
    <w:unhideWhenUsed/>
    <w:rsid w:val="008F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E60B2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ntext">
    <w:name w:val="Standardní text"/>
    <w:basedOn w:val="Normln"/>
    <w:link w:val="StandardntextChar"/>
    <w:qFormat/>
    <w:rsid w:val="00AB5A0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AB5A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6C6162"/>
    <w:pPr>
      <w:spacing w:after="0" w:line="240" w:lineRule="auto"/>
    </w:pPr>
  </w:style>
  <w:style w:type="character" w:customStyle="1" w:styleId="h1a">
    <w:name w:val="h1a"/>
    <w:basedOn w:val="Standardnpsmoodstavce"/>
    <w:rsid w:val="00155098"/>
  </w:style>
  <w:style w:type="paragraph" w:styleId="Titulek">
    <w:name w:val="caption"/>
    <w:basedOn w:val="Normln"/>
    <w:next w:val="Normln"/>
    <w:uiPriority w:val="35"/>
    <w:unhideWhenUsed/>
    <w:qFormat/>
    <w:rsid w:val="00BC6F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9589F"/>
    <w:rPr>
      <w:strike w:val="0"/>
      <w:dstrike w:val="0"/>
      <w:color w:val="F26538"/>
      <w:u w:val="none"/>
      <w:effect w:val="none"/>
    </w:rPr>
  </w:style>
  <w:style w:type="paragraph" w:styleId="slovanseznam">
    <w:name w:val="List Number"/>
    <w:basedOn w:val="Normln"/>
    <w:uiPriority w:val="98"/>
    <w:qFormat/>
    <w:rsid w:val="00CA16E5"/>
    <w:pPr>
      <w:spacing w:before="120" w:after="120" w:line="240" w:lineRule="auto"/>
      <w:jc w:val="both"/>
    </w:pPr>
    <w:rPr>
      <w:rFonts w:ascii="Calibri" w:eastAsia="Times New Roman" w:hAnsi="Calibri" w:cstheme="minorHAnsi"/>
      <w:color w:val="000000" w:themeColor="text1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51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9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2EB3A1"/>
      </w:tcPr>
    </w:tblStylePr>
  </w:style>
  <w:style w:type="paragraph" w:customStyle="1" w:styleId="Pa18">
    <w:name w:val="Pa18"/>
    <w:basedOn w:val="Normln"/>
    <w:next w:val="Normln"/>
    <w:uiPriority w:val="99"/>
    <w:rsid w:val="000C7054"/>
    <w:pPr>
      <w:autoSpaceDE w:val="0"/>
      <w:autoSpaceDN w:val="0"/>
      <w:adjustRightInd w:val="0"/>
      <w:spacing w:after="0" w:line="211" w:lineRule="atLeast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Pa19">
    <w:name w:val="Pa19"/>
    <w:basedOn w:val="Normln"/>
    <w:next w:val="Normln"/>
    <w:uiPriority w:val="99"/>
    <w:rsid w:val="000C7054"/>
    <w:pPr>
      <w:autoSpaceDE w:val="0"/>
      <w:autoSpaceDN w:val="0"/>
      <w:adjustRightInd w:val="0"/>
      <w:spacing w:after="0" w:line="211" w:lineRule="atLeast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A14">
    <w:name w:val="A14"/>
    <w:uiPriority w:val="99"/>
    <w:rsid w:val="000C7054"/>
    <w:rPr>
      <w:b/>
      <w:bCs w:val="0"/>
      <w:color w:val="000000"/>
      <w:sz w:val="54"/>
    </w:rPr>
  </w:style>
  <w:style w:type="character" w:styleId="Nevyeenzmnka">
    <w:name w:val="Unresolved Mention"/>
    <w:basedOn w:val="Standardnpsmoodstavce"/>
    <w:uiPriority w:val="99"/>
    <w:rsid w:val="008F4CE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58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f.gov.cz/cs/kontrola-a-regulace/majetek-statu/majetkove-ucasti/2024/majetkove-ucasti-ministerstva-financi-ke-dni-31-12-5835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ONICEK\KZ%20tabulky%20a%20grafy%2025_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cal_GRAF\INetCache\Content.Outlook\Y13XLR48\KZ%20tabulky%20a%20graf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506445927996598E-2"/>
          <c:y val="5.1752528816749001E-2"/>
          <c:w val="0.88823776575888325"/>
          <c:h val="0.7108985935685350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'Graf č. 1'!$T$6</c:f>
              <c:strCache>
                <c:ptCount val="1"/>
                <c:pt idx="0">
                  <c:v>Dividendy odvedené obchodní společností ČEZ, a. s.</c:v>
                </c:pt>
              </c:strCache>
            </c:strRef>
          </c:tx>
          <c:spPr>
            <a:solidFill>
              <a:srgbClr val="FDC300"/>
            </a:solidFill>
            <a:ln>
              <a:noFill/>
            </a:ln>
            <a:effectLst/>
          </c:spPr>
          <c:invertIfNegative val="0"/>
          <c:cat>
            <c:numRef>
              <c:f>'Graf č. 1'!$U$4:$Y$4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'Graf č. 1'!$U$6:$Y$6</c:f>
              <c:numCache>
                <c:formatCode>#,##0.00</c:formatCode>
                <c:ptCount val="5"/>
                <c:pt idx="0">
                  <c:v>12764</c:v>
                </c:pt>
                <c:pt idx="1">
                  <c:v>19521.37</c:v>
                </c:pt>
                <c:pt idx="2">
                  <c:v>18019.72</c:v>
                </c:pt>
                <c:pt idx="3">
                  <c:v>54434.58</c:v>
                </c:pt>
                <c:pt idx="4">
                  <c:v>19521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8C-42B0-861E-CC36EC906A95}"/>
            </c:ext>
          </c:extLst>
        </c:ser>
        <c:ser>
          <c:idx val="1"/>
          <c:order val="1"/>
          <c:tx>
            <c:strRef>
              <c:f>'Graf č. 1'!$T$7</c:f>
              <c:strCache>
                <c:ptCount val="1"/>
                <c:pt idx="0">
                  <c:v>Dividendy odvedené ostatními obchodními společnostmi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cat>
            <c:numRef>
              <c:f>'Graf č. 1'!$U$4:$Y$4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'Graf č. 1'!$U$7:$Y$7</c:f>
              <c:numCache>
                <c:formatCode>#,##0.00</c:formatCode>
                <c:ptCount val="5"/>
                <c:pt idx="0">
                  <c:v>4251.7999999999993</c:v>
                </c:pt>
                <c:pt idx="1">
                  <c:v>4060</c:v>
                </c:pt>
                <c:pt idx="2">
                  <c:v>4285.2000000000007</c:v>
                </c:pt>
                <c:pt idx="3">
                  <c:v>2050.6999999999971</c:v>
                </c:pt>
                <c:pt idx="4">
                  <c:v>6331.5999999999985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8C-42B0-861E-CC36EC906A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04226735"/>
        <c:axId val="2104238255"/>
      </c:barChart>
      <c:catAx>
        <c:axId val="2104226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104238255"/>
        <c:crosses val="autoZero"/>
        <c:auto val="1"/>
        <c:lblAlgn val="ctr"/>
        <c:lblOffset val="100"/>
        <c:noMultiLvlLbl val="0"/>
      </c:catAx>
      <c:valAx>
        <c:axId val="2104238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104226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9845644983461964E-2"/>
          <c:y val="0.85767943438968508"/>
          <c:w val="0.98015435501653803"/>
          <c:h val="0.114091913528451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434244330569793E-2"/>
          <c:y val="4.793028322440087E-2"/>
          <c:w val="0.89831531475232262"/>
          <c:h val="0.770321017565112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č. 3'!$T$5</c:f>
              <c:strCache>
                <c:ptCount val="1"/>
                <c:pt idx="0">
                  <c:v>Dotace ze státního rozpočtu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cat>
            <c:numRef>
              <c:f>'Graf č. 3'!$U$4:$Y$4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'Graf č. 3'!$U$5:$Y$5</c:f>
              <c:numCache>
                <c:formatCode>#,##0</c:formatCode>
                <c:ptCount val="5"/>
                <c:pt idx="0">
                  <c:v>2100000000</c:v>
                </c:pt>
                <c:pt idx="1">
                  <c:v>1500000000</c:v>
                </c:pt>
                <c:pt idx="2">
                  <c:v>1668411000</c:v>
                </c:pt>
                <c:pt idx="3">
                  <c:v>2081589000</c:v>
                </c:pt>
                <c:pt idx="4">
                  <c:v>1450000000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B-4863-8056-64B87D81C214}"/>
            </c:ext>
          </c:extLst>
        </c:ser>
        <c:ser>
          <c:idx val="1"/>
          <c:order val="1"/>
          <c:tx>
            <c:strRef>
              <c:f>'Graf č. 3'!$T$6</c:f>
              <c:strCache>
                <c:ptCount val="1"/>
                <c:pt idx="0">
                  <c:v>Zisk PGRLF, a. s.</c:v>
                </c:pt>
              </c:strCache>
            </c:strRef>
          </c:tx>
          <c:spPr>
            <a:solidFill>
              <a:srgbClr val="FDC300"/>
            </a:solidFill>
            <a:ln>
              <a:noFill/>
            </a:ln>
            <a:effectLst/>
          </c:spPr>
          <c:invertIfNegative val="0"/>
          <c:cat>
            <c:numRef>
              <c:f>'Graf č. 3'!$U$4:$Y$4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'Graf č. 3'!$U$6:$Y$6</c:f>
              <c:numCache>
                <c:formatCode>#,##0</c:formatCode>
                <c:ptCount val="5"/>
                <c:pt idx="0">
                  <c:v>72366000</c:v>
                </c:pt>
                <c:pt idx="1">
                  <c:v>227770000</c:v>
                </c:pt>
                <c:pt idx="2">
                  <c:v>78259000</c:v>
                </c:pt>
                <c:pt idx="3">
                  <c:v>331296000</c:v>
                </c:pt>
                <c:pt idx="4">
                  <c:v>230088000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CB-4863-8056-64B87D81C2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2127759"/>
        <c:axId val="1472129199"/>
      </c:barChart>
      <c:catAx>
        <c:axId val="1472127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472129199"/>
        <c:crosses val="autoZero"/>
        <c:auto val="1"/>
        <c:lblAlgn val="ctr"/>
        <c:lblOffset val="100"/>
        <c:noMultiLvlLbl val="0"/>
      </c:catAx>
      <c:valAx>
        <c:axId val="14721291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472127759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719736421836159"/>
          <c:y val="0.90294604141313672"/>
          <c:w val="0.48560527156327682"/>
          <c:h val="7.3529926406258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latin typeface="Calibri" panose="020F0502020204030204" pitchFamily="34" charset="0"/>
          <a:ea typeface="Calibri" panose="020F0502020204030204" pitchFamily="34" charset="0"/>
          <a:cs typeface="Calibri" panose="020F050202020403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39341177ECD40960239F48D1405B4" ma:contentTypeVersion="0" ma:contentTypeDescription="Vytvoří nový dokument" ma:contentTypeScope="" ma:versionID="89659d04b825b4252822e82e7acaab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bb0b85cf6ec3df31f7bbb0953499e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2DF46-9909-4FD3-9718-8E6251527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6570C-656D-4B73-BDE2-6BB6E844B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0C07E5-5D7F-4C79-9434-4D2BFB3BF3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20E46C-1E80-402A-A2A8-E663701728A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a5ca00b-f9dd-452b-9d75-e1b2c69cf7c5}" enabled="1" method="Privileged" siteId="{e6d36204-fa0a-4bdb-9b60-80f84bb090c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8326</Words>
  <Characters>49207</Characters>
  <Application>Microsoft Office Word</Application>
  <DocSecurity>0</DocSecurity>
  <Lines>1069</Lines>
  <Paragraphs>456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25/03 - Správa majetkových účastí státu</vt:lpstr>
    </vt:vector>
  </TitlesOfParts>
  <Company>NKU</Company>
  <LinksUpToDate>false</LinksUpToDate>
  <CharactersWithSpaces>57077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25/03 - Správa majetkových účastí státu</dc:title>
  <dc:subject>Kontrolní závěr z kontrolní akce NKÚ č. 25/03 - Správa majetkových účastí státu</dc:subject>
  <dc:creator>Nejvyšší kontrolní úřad</dc:creator>
  <cp:keywords>kontrolní závěr; majetkové účasti státu; majetek</cp:keywords>
  <cp:lastModifiedBy>KOKRDA Daniel</cp:lastModifiedBy>
  <cp:revision>3</cp:revision>
  <cp:lastPrinted>2026-02-13T08:12:00Z</cp:lastPrinted>
  <dcterms:created xsi:type="dcterms:W3CDTF">2026-02-13T08:10:00Z</dcterms:created>
  <dcterms:modified xsi:type="dcterms:W3CDTF">2026-02-13T08:12:00Z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135/25-NKU200/662/25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200/2/25</vt:lpwstr>
  </property>
  <property fmtid="{D5CDD505-2E9C-101B-9397-08002B2CF9AE}" pid="7" name="ClassificationContentMarkingFooterFontProps">
    <vt:lpwstr>#828282,12,Aptos</vt:lpwstr>
  </property>
  <property fmtid="{D5CDD505-2E9C-101B-9397-08002B2CF9AE}" pid="8" name="ClassificationContentMarkingFooterShapeIds">
    <vt:lpwstr>6efa97da,374a65b1,d2173fb</vt:lpwstr>
  </property>
  <property fmtid="{D5CDD505-2E9C-101B-9397-08002B2CF9AE}" pid="9" name="ClassificationContentMarkingFooterText">
    <vt:lpwstr>TLP:CLEAR</vt:lpwstr>
  </property>
  <property fmtid="{D5CDD505-2E9C-101B-9397-08002B2CF9AE}" pid="10" name="Contact_PostaOdes">
    <vt:lpwstr>{NameAddress_Contact_PostaOdes}
{FullAddress_Contact_PostaOdes}</vt:lpwstr>
  </property>
  <property fmtid="{D5CDD505-2E9C-101B-9397-08002B2CF9AE}" pid="11" name="Contact_PostaOdes_All">
    <vt:lpwstr>ROZDĚLOVNÍK...</vt:lpwstr>
  </property>
  <property fmtid="{D5CDD505-2E9C-101B-9397-08002B2CF9AE}" pid="12" name="ContentTypeId">
    <vt:lpwstr>0x010100CD539341177ECD40960239F48D1405B4</vt:lpwstr>
  </property>
  <property fmtid="{D5CDD505-2E9C-101B-9397-08002B2CF9AE}" pid="13" name="DatumNaroz">
    <vt:lpwstr/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DatumPoriz_Pisemnost">
    <vt:lpwstr>16.12.2025</vt:lpwstr>
  </property>
  <property fmtid="{D5CDD505-2E9C-101B-9397-08002B2CF9AE}" pid="16" name="DisplayName_CisloObalky_PostaOdes">
    <vt:lpwstr>ČÍSLO OBÁLKY</vt:lpwstr>
  </property>
  <property fmtid="{D5CDD505-2E9C-101B-9397-08002B2CF9AE}" pid="17" name="DisplayName_CJCol">
    <vt:lpwstr>&lt;TABLE&gt;&lt;TR&gt;&lt;TD&gt;Č.j.:&lt;/TD&gt;&lt;TD&gt;135/25-NKU200/662/25&lt;/TD&gt;&lt;/TR&gt;&lt;TR&gt;&lt;TD&gt;&lt;/TD&gt;&lt;TD&gt;&lt;/TD&gt;&lt;/TR&gt;&lt;/TABLE&gt;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Sekce kontrolní</vt:lpwstr>
  </property>
  <property fmtid="{D5CDD505-2E9C-101B-9397-08002B2CF9AE}" pid="20" name="DisplayName_UserPoriz_Pisemnost">
    <vt:lpwstr>Ivana Růžičková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25-16492/NKU</vt:lpwstr>
  </property>
  <property fmtid="{D5CDD505-2E9C-101B-9397-08002B2CF9AE}" pid="23" name="Key_BarCode_Pisemnost">
    <vt:lpwstr>*B000513202*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MSIP_Label_2a5ca00b-f9dd-452b-9d75-e1b2c69cf7c5_ActionId">
    <vt:lpwstr>34a2b079-aea0-4dad-8166-b9effaa14f90</vt:lpwstr>
  </property>
  <property fmtid="{D5CDD505-2E9C-101B-9397-08002B2CF9AE}" pid="27" name="MSIP_Label_2a5ca00b-f9dd-452b-9d75-e1b2c69cf7c5_ContentBits">
    <vt:lpwstr>2</vt:lpwstr>
  </property>
  <property fmtid="{D5CDD505-2E9C-101B-9397-08002B2CF9AE}" pid="28" name="MSIP_Label_2a5ca00b-f9dd-452b-9d75-e1b2c69cf7c5_Enabled">
    <vt:lpwstr>true</vt:lpwstr>
  </property>
  <property fmtid="{D5CDD505-2E9C-101B-9397-08002B2CF9AE}" pid="29" name="MSIP_Label_2a5ca00b-f9dd-452b-9d75-e1b2c69cf7c5_Method">
    <vt:lpwstr>Privileged</vt:lpwstr>
  </property>
  <property fmtid="{D5CDD505-2E9C-101B-9397-08002B2CF9AE}" pid="30" name="MSIP_Label_2a5ca00b-f9dd-452b-9d75-e1b2c69cf7c5_Name">
    <vt:lpwstr>Nízká</vt:lpwstr>
  </property>
  <property fmtid="{D5CDD505-2E9C-101B-9397-08002B2CF9AE}" pid="31" name="MSIP_Label_2a5ca00b-f9dd-452b-9d75-e1b2c69cf7c5_SetDate">
    <vt:lpwstr>2025-10-06T08:44:13Z</vt:lpwstr>
  </property>
  <property fmtid="{D5CDD505-2E9C-101B-9397-08002B2CF9AE}" pid="32" name="MSIP_Label_2a5ca00b-f9dd-452b-9d75-e1b2c69cf7c5_SiteId">
    <vt:lpwstr>e6d36204-fa0a-4bdb-9b60-80f84bb090cf</vt:lpwstr>
  </property>
  <property fmtid="{D5CDD505-2E9C-101B-9397-08002B2CF9AE}" pid="33" name="MSIP_Label_2a5ca00b-f9dd-452b-9d75-e1b2c69cf7c5_Tag">
    <vt:lpwstr>10, 0, 1, 1</vt:lpwstr>
  </property>
  <property fmtid="{D5CDD505-2E9C-101B-9397-08002B2CF9AE}" pid="34" name="NameAddress_Contact_SpisovyUzel_PoziceZodpo_Pisemnost">
    <vt:lpwstr>ADRESÁT SU...</vt:lpwstr>
  </property>
  <property fmtid="{D5CDD505-2E9C-101B-9397-08002B2CF9AE}" pid="35" name="NamePostalAddress_Contact_PostaOdes">
    <vt:lpwstr>{NameAddress_Contact_PostaOdes}
{PostalAddress_Contact_PostaOdes}</vt:lpwstr>
  </property>
  <property fmtid="{D5CDD505-2E9C-101B-9397-08002B2CF9AE}" pid="36" name="Odkaz">
    <vt:lpwstr>ODKAZ</vt:lpwstr>
  </property>
  <property fmtid="{D5CDD505-2E9C-101B-9397-08002B2CF9AE}" pid="37" name="Password_PisemnostTypZpristupneniInformaciZOSZ_Pisemnost">
    <vt:lpwstr>ZOSZ_Password</vt:lpwstr>
  </property>
  <property fmtid="{D5CDD505-2E9C-101B-9397-08002B2CF9AE}" pid="38" name="PocetListuDokumentu_Pisemnost">
    <vt:lpwstr>1</vt:lpwstr>
  </property>
  <property fmtid="{D5CDD505-2E9C-101B-9397-08002B2CF9AE}" pid="39" name="PocetListu_Pisemnost">
    <vt:lpwstr>1</vt:lpwstr>
  </property>
  <property fmtid="{D5CDD505-2E9C-101B-9397-08002B2CF9AE}" pid="40" name="PocetPriloh_Pisemnost">
    <vt:lpwstr>POČET PŘÍLOH</vt:lpwstr>
  </property>
  <property fmtid="{D5CDD505-2E9C-101B-9397-08002B2CF9AE}" pid="41" name="Podpis">
    <vt:lpwstr/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ADRESA SU...</vt:lpwstr>
  </property>
  <property fmtid="{D5CDD505-2E9C-101B-9397-08002B2CF9AE}" pid="44" name="QREC_Pisemnost">
    <vt:lpwstr>25-16492/NKU</vt:lpwstr>
  </property>
  <property fmtid="{D5CDD505-2E9C-101B-9397-08002B2CF9AE}" pid="45" name="RC">
    <vt:lpwstr/>
  </property>
  <property fmtid="{D5CDD505-2E9C-101B-9397-08002B2CF9AE}" pid="46" name="SkartacniZnakLhuta_PisemnostZnak">
    <vt:lpwstr>?/?</vt:lpwstr>
  </property>
  <property fmtid="{D5CDD505-2E9C-101B-9397-08002B2CF9AE}" pid="47" name="SmlouvaCislo">
    <vt:lpwstr>ČÍSLO SMLOUVY</vt:lpwstr>
  </property>
  <property fmtid="{D5CDD505-2E9C-101B-9397-08002B2CF9AE}" pid="48" name="SZ_Spis_Pisemnost">
    <vt:lpwstr>135/25</vt:lpwstr>
  </property>
  <property fmtid="{D5CDD505-2E9C-101B-9397-08002B2CF9AE}" pid="49" name="TEST">
    <vt:lpwstr>testovací pole</vt:lpwstr>
  </property>
  <property fmtid="{D5CDD505-2E9C-101B-9397-08002B2CF9AE}" pid="50" name="TypPrilohy_Pisemnost">
    <vt:lpwstr>TYP PŘÍLOHY</vt:lpwstr>
  </property>
  <property fmtid="{D5CDD505-2E9C-101B-9397-08002B2CF9AE}" pid="51" name="UserName_PisemnostTypZpristupneniInformaciZOSZ_Pisemnost">
    <vt:lpwstr>ZOSZ_UserName</vt:lpwstr>
  </property>
  <property fmtid="{D5CDD505-2E9C-101B-9397-08002B2CF9AE}" pid="52" name="Vec_Pisemnost">
    <vt:lpwstr>KZ 25/03 - připomínkové řízení</vt:lpwstr>
  </property>
  <property fmtid="{D5CDD505-2E9C-101B-9397-08002B2CF9AE}" pid="53" name="Zkratka_SpisovyUzel_PoziceZodpo_Pisemnost">
    <vt:lpwstr>200</vt:lpwstr>
  </property>
</Properties>
</file>