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4DD3A" w14:textId="37BEC281" w:rsidR="00654793" w:rsidRPr="00EC2DF9" w:rsidRDefault="00EC2DF9" w:rsidP="00EC2DF9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bookmarkStart w:id="0" w:name="_Hlk208562499"/>
      <w:r>
        <w:rPr>
          <w:b/>
          <w:bCs/>
          <w:noProof/>
          <w:sz w:val="28"/>
          <w:szCs w:val="28"/>
        </w:rPr>
        <w:drawing>
          <wp:inline distT="0" distB="0" distL="0" distR="0" wp14:anchorId="729FEE10" wp14:editId="5D58B8CA">
            <wp:extent cx="720000" cy="620760"/>
            <wp:effectExtent l="0" t="0" r="4445" b="8255"/>
            <wp:docPr id="202096002" name="Obrázek 12" descr="Obsah obrázku logo, Grafika, Písmo, symbol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096002" name="Obrázek 12" descr="Obsah obrázku logo, Grafika, Písmo, symbol&#10;&#10;Obsah generovaný pomocí AI může být nesprávný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620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9674CB" w14:textId="77777777" w:rsidR="00654793" w:rsidRDefault="00654793" w:rsidP="00EC2DF9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</w:p>
    <w:p w14:paraId="29A8DD71" w14:textId="77777777" w:rsidR="00EC2DF9" w:rsidRPr="00EC2DF9" w:rsidRDefault="00EC2DF9" w:rsidP="00EC2DF9">
      <w:pPr>
        <w:spacing w:after="0" w:line="240" w:lineRule="auto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</w:p>
    <w:p w14:paraId="78626FF9" w14:textId="77777777" w:rsidR="00654793" w:rsidRPr="00EC2DF9" w:rsidRDefault="00654793" w:rsidP="00EC2DF9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EC2DF9">
        <w:rPr>
          <w:rFonts w:asciiTheme="majorHAnsi" w:hAnsiTheme="majorHAnsi" w:cstheme="majorHAnsi"/>
          <w:b/>
          <w:sz w:val="28"/>
          <w:szCs w:val="28"/>
        </w:rPr>
        <w:t>Kontrolní závěr z kontrolní akce</w:t>
      </w:r>
    </w:p>
    <w:p w14:paraId="736EA049" w14:textId="77777777" w:rsidR="00654793" w:rsidRPr="00EC2DF9" w:rsidRDefault="00654793" w:rsidP="00EC2DF9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76080208" w14:textId="5BCC4A36" w:rsidR="00654793" w:rsidRPr="00EC2DF9" w:rsidRDefault="00654793" w:rsidP="00EC2DF9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EC2DF9">
        <w:rPr>
          <w:rFonts w:asciiTheme="majorHAnsi" w:hAnsiTheme="majorHAnsi" w:cstheme="majorHAnsi"/>
          <w:b/>
          <w:sz w:val="28"/>
          <w:szCs w:val="28"/>
        </w:rPr>
        <w:t>25/01</w:t>
      </w:r>
    </w:p>
    <w:p w14:paraId="2C42F44E" w14:textId="77777777" w:rsidR="00654793" w:rsidRPr="00EC2DF9" w:rsidRDefault="00654793" w:rsidP="00EC2DF9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  <w:highlight w:val="yellow"/>
        </w:rPr>
      </w:pPr>
    </w:p>
    <w:p w14:paraId="1FA31081" w14:textId="77777777" w:rsidR="00654793" w:rsidRPr="00EC2DF9" w:rsidRDefault="00654793" w:rsidP="00EC2DF9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EC2DF9">
        <w:rPr>
          <w:rFonts w:asciiTheme="majorHAnsi" w:hAnsiTheme="majorHAnsi" w:cstheme="majorHAnsi"/>
          <w:b/>
          <w:sz w:val="28"/>
          <w:szCs w:val="28"/>
        </w:rPr>
        <w:t>Správa daně z přidané hodnoty se zaměřením na oblast přeshraničního elektronického obchodování</w:t>
      </w:r>
    </w:p>
    <w:p w14:paraId="4DBCF93B" w14:textId="77777777" w:rsidR="00654793" w:rsidRDefault="00654793" w:rsidP="00EC2DF9">
      <w:pPr>
        <w:spacing w:after="0" w:line="240" w:lineRule="auto"/>
        <w:jc w:val="both"/>
        <w:rPr>
          <w:rFonts w:asciiTheme="majorHAnsi" w:hAnsiTheme="majorHAnsi" w:cstheme="majorHAnsi"/>
          <w:sz w:val="28"/>
          <w:szCs w:val="28"/>
          <w:highlight w:val="yellow"/>
        </w:rPr>
      </w:pPr>
    </w:p>
    <w:p w14:paraId="28AF04D2" w14:textId="77777777" w:rsidR="00EC2DF9" w:rsidRDefault="00EC2DF9" w:rsidP="00EC2DF9">
      <w:pPr>
        <w:spacing w:after="0" w:line="240" w:lineRule="auto"/>
        <w:jc w:val="both"/>
        <w:rPr>
          <w:rFonts w:asciiTheme="majorHAnsi" w:hAnsiTheme="majorHAnsi" w:cstheme="majorHAnsi"/>
          <w:sz w:val="28"/>
          <w:szCs w:val="28"/>
          <w:highlight w:val="yellow"/>
        </w:rPr>
      </w:pPr>
    </w:p>
    <w:p w14:paraId="65B23A80" w14:textId="77777777" w:rsidR="00654793" w:rsidRPr="00C47E97" w:rsidRDefault="00654793" w:rsidP="00654793">
      <w:pPr>
        <w:spacing w:after="240" w:line="240" w:lineRule="auto"/>
        <w:jc w:val="both"/>
        <w:rPr>
          <w:rFonts w:cstheme="minorHAnsi"/>
        </w:rPr>
      </w:pPr>
      <w:r w:rsidRPr="00C47E97">
        <w:rPr>
          <w:rFonts w:cstheme="minorHAnsi"/>
        </w:rPr>
        <w:t>Kontrolní akce byla zařazena do plánu kontrolní činnosti Nejvyššího kontrolního úřadu (dále také „NKÚ“) na rok 202</w:t>
      </w:r>
      <w:r>
        <w:rPr>
          <w:rFonts w:cstheme="minorHAnsi"/>
        </w:rPr>
        <w:t>5</w:t>
      </w:r>
      <w:r w:rsidRPr="00C47E97">
        <w:rPr>
          <w:rFonts w:cstheme="minorHAnsi"/>
        </w:rPr>
        <w:t xml:space="preserve"> pod číslem 2</w:t>
      </w:r>
      <w:r>
        <w:rPr>
          <w:rFonts w:cstheme="minorHAnsi"/>
        </w:rPr>
        <w:t>5</w:t>
      </w:r>
      <w:r w:rsidRPr="00C47E97">
        <w:rPr>
          <w:rFonts w:cstheme="minorHAnsi"/>
        </w:rPr>
        <w:t>/</w:t>
      </w:r>
      <w:r>
        <w:rPr>
          <w:rFonts w:cstheme="minorHAnsi"/>
        </w:rPr>
        <w:t>01</w:t>
      </w:r>
      <w:r w:rsidRPr="00C47E97">
        <w:rPr>
          <w:rFonts w:cstheme="minorHAnsi"/>
        </w:rPr>
        <w:t>. Kontrolní akci řídil a kontrolní závěr vypracoval člen NKÚ Ing. Josef Kubíček.</w:t>
      </w:r>
    </w:p>
    <w:p w14:paraId="017B3A30" w14:textId="1952DA12" w:rsidR="00654793" w:rsidRPr="00C47E97" w:rsidRDefault="00654793" w:rsidP="00654793">
      <w:pPr>
        <w:spacing w:after="240" w:line="240" w:lineRule="auto"/>
        <w:jc w:val="both"/>
        <w:rPr>
          <w:rFonts w:cstheme="minorHAnsi"/>
        </w:rPr>
      </w:pPr>
      <w:r w:rsidRPr="00C47E97">
        <w:rPr>
          <w:rFonts w:cstheme="minorHAnsi"/>
        </w:rPr>
        <w:t xml:space="preserve">Cílem kontroly bylo </w:t>
      </w:r>
      <w:r>
        <w:rPr>
          <w:rFonts w:cstheme="minorHAnsi"/>
        </w:rPr>
        <w:t>p</w:t>
      </w:r>
      <w:r w:rsidRPr="00CF7D4A">
        <w:rPr>
          <w:rFonts w:cstheme="minorHAnsi"/>
        </w:rPr>
        <w:t xml:space="preserve">rověřit, zda </w:t>
      </w:r>
      <w:r>
        <w:rPr>
          <w:rFonts w:cstheme="minorHAnsi"/>
        </w:rPr>
        <w:t>Ministerstvo financí, Generální finanční ředitelství a</w:t>
      </w:r>
      <w:r w:rsidR="009C41CA">
        <w:rPr>
          <w:rFonts w:cstheme="minorHAnsi"/>
        </w:rPr>
        <w:t> </w:t>
      </w:r>
      <w:r>
        <w:rPr>
          <w:rFonts w:cstheme="minorHAnsi"/>
        </w:rPr>
        <w:t>Generální ředitelství cel nastavily účelný systém správy DPH se zaměřením na oblast přeshraničního elektronického obchodování, tzv. e-</w:t>
      </w:r>
      <w:proofErr w:type="spellStart"/>
      <w:r>
        <w:rPr>
          <w:rFonts w:cstheme="minorHAnsi"/>
        </w:rPr>
        <w:t>commerce</w:t>
      </w:r>
      <w:proofErr w:type="spellEnd"/>
      <w:r>
        <w:rPr>
          <w:rFonts w:cstheme="minorHAnsi"/>
        </w:rPr>
        <w:t>, a zda je postup finančních a</w:t>
      </w:r>
      <w:r w:rsidR="009C41CA">
        <w:rPr>
          <w:rFonts w:cstheme="minorHAnsi"/>
        </w:rPr>
        <w:t> </w:t>
      </w:r>
      <w:r>
        <w:rPr>
          <w:rFonts w:cstheme="minorHAnsi"/>
        </w:rPr>
        <w:t>celních orgánů při správě daně z přidané hodnoty v souladu s právními předpisy.</w:t>
      </w:r>
    </w:p>
    <w:p w14:paraId="6F73F650" w14:textId="1A85B9E4" w:rsidR="00654793" w:rsidRPr="00C47E97" w:rsidRDefault="00654793" w:rsidP="00654793">
      <w:pPr>
        <w:spacing w:after="240" w:line="240" w:lineRule="auto"/>
        <w:jc w:val="both"/>
        <w:rPr>
          <w:rFonts w:cstheme="minorHAnsi"/>
        </w:rPr>
      </w:pPr>
      <w:r w:rsidRPr="00C47E97">
        <w:rPr>
          <w:rFonts w:cstheme="minorHAnsi"/>
        </w:rPr>
        <w:t>Kontrolováno bylo období let 20</w:t>
      </w:r>
      <w:r>
        <w:rPr>
          <w:rFonts w:cstheme="minorHAnsi"/>
        </w:rPr>
        <w:t>21</w:t>
      </w:r>
      <w:r w:rsidR="003B22A6">
        <w:rPr>
          <w:rFonts w:cstheme="minorHAnsi"/>
        </w:rPr>
        <w:t xml:space="preserve"> až </w:t>
      </w:r>
      <w:r w:rsidRPr="00C47E97">
        <w:rPr>
          <w:rFonts w:cstheme="minorHAnsi"/>
        </w:rPr>
        <w:t>202</w:t>
      </w:r>
      <w:r>
        <w:rPr>
          <w:rFonts w:cstheme="minorHAnsi"/>
        </w:rPr>
        <w:t>5</w:t>
      </w:r>
      <w:r w:rsidRPr="00C47E97">
        <w:rPr>
          <w:rFonts w:cstheme="minorHAnsi"/>
        </w:rPr>
        <w:t xml:space="preserve"> a v případě věcných souvislostí i období předcházející.</w:t>
      </w:r>
    </w:p>
    <w:p w14:paraId="4EBD41B7" w14:textId="77777777" w:rsidR="00654793" w:rsidRPr="00C47E97" w:rsidRDefault="00654793" w:rsidP="00654793">
      <w:pPr>
        <w:spacing w:before="240" w:after="240" w:line="240" w:lineRule="auto"/>
        <w:jc w:val="both"/>
        <w:rPr>
          <w:rFonts w:cstheme="minorHAnsi"/>
        </w:rPr>
      </w:pPr>
      <w:r w:rsidRPr="00C47E97">
        <w:rPr>
          <w:rFonts w:cstheme="minorHAnsi"/>
        </w:rPr>
        <w:t xml:space="preserve">Kontrola byla u kontrolovaných osob prováděna v období od </w:t>
      </w:r>
      <w:r>
        <w:rPr>
          <w:rFonts w:cstheme="minorHAnsi"/>
        </w:rPr>
        <w:t>ledna</w:t>
      </w:r>
      <w:r w:rsidRPr="00C47E97">
        <w:rPr>
          <w:rFonts w:cstheme="minorHAnsi"/>
        </w:rPr>
        <w:t xml:space="preserve"> do </w:t>
      </w:r>
      <w:r>
        <w:rPr>
          <w:rFonts w:cstheme="minorHAnsi"/>
        </w:rPr>
        <w:t>srpna</w:t>
      </w:r>
      <w:r w:rsidRPr="00C47E97">
        <w:rPr>
          <w:rFonts w:cstheme="minorHAnsi"/>
        </w:rPr>
        <w:t xml:space="preserve"> 202</w:t>
      </w:r>
      <w:r>
        <w:rPr>
          <w:rFonts w:cstheme="minorHAnsi"/>
        </w:rPr>
        <w:t>5</w:t>
      </w:r>
      <w:r w:rsidRPr="00C47E97">
        <w:rPr>
          <w:rFonts w:cstheme="minorHAnsi"/>
        </w:rPr>
        <w:t>.</w:t>
      </w:r>
    </w:p>
    <w:p w14:paraId="4D8EE903" w14:textId="77777777" w:rsidR="00654793" w:rsidRPr="00C47E97" w:rsidRDefault="00654793" w:rsidP="00654793">
      <w:pPr>
        <w:spacing w:after="240" w:line="240" w:lineRule="auto"/>
        <w:jc w:val="both"/>
        <w:rPr>
          <w:rFonts w:cstheme="minorHAnsi"/>
          <w:highlight w:val="yellow"/>
        </w:rPr>
      </w:pPr>
    </w:p>
    <w:p w14:paraId="7E8E08A1" w14:textId="77777777" w:rsidR="00654793" w:rsidRPr="00C47E97" w:rsidRDefault="00654793" w:rsidP="00654793">
      <w:pPr>
        <w:spacing w:after="120" w:line="240" w:lineRule="auto"/>
        <w:jc w:val="both"/>
        <w:rPr>
          <w:rFonts w:cstheme="minorHAnsi"/>
          <w:b/>
        </w:rPr>
      </w:pPr>
      <w:r w:rsidRPr="00C47E97">
        <w:rPr>
          <w:rFonts w:cstheme="minorHAnsi"/>
          <w:b/>
        </w:rPr>
        <w:t>Kontrolované osoby:</w:t>
      </w:r>
    </w:p>
    <w:p w14:paraId="29EE01F3" w14:textId="1A84995E" w:rsidR="00654793" w:rsidRDefault="00654793" w:rsidP="00654793">
      <w:pPr>
        <w:spacing w:after="0" w:line="240" w:lineRule="auto"/>
        <w:jc w:val="both"/>
        <w:rPr>
          <w:rFonts w:cstheme="minorHAnsi"/>
          <w:color w:val="000000"/>
        </w:rPr>
      </w:pPr>
      <w:r w:rsidRPr="00C47E97">
        <w:rPr>
          <w:rFonts w:cstheme="minorHAnsi"/>
          <w:color w:val="000000"/>
        </w:rPr>
        <w:t>Ministerstvo financí (dále také „MF“)</w:t>
      </w:r>
      <w:r w:rsidR="009810E4">
        <w:rPr>
          <w:rFonts w:cstheme="minorHAnsi"/>
          <w:color w:val="000000"/>
        </w:rPr>
        <w:t>;</w:t>
      </w:r>
    </w:p>
    <w:p w14:paraId="2ACD8BB0" w14:textId="6BFC60CB" w:rsidR="00654793" w:rsidRPr="00C47E97" w:rsidRDefault="00654793" w:rsidP="00654793">
      <w:pPr>
        <w:spacing w:after="0" w:line="240" w:lineRule="auto"/>
        <w:jc w:val="both"/>
        <w:rPr>
          <w:rFonts w:cstheme="minorHAnsi"/>
          <w:color w:val="000000"/>
        </w:rPr>
      </w:pPr>
      <w:r w:rsidRPr="00C47E97">
        <w:rPr>
          <w:rFonts w:cstheme="minorHAnsi"/>
          <w:color w:val="000000"/>
        </w:rPr>
        <w:t>Generální finanční ředitelství</w:t>
      </w:r>
      <w:r>
        <w:rPr>
          <w:rFonts w:cstheme="minorHAnsi"/>
          <w:color w:val="000000"/>
        </w:rPr>
        <w:t>, Praha</w:t>
      </w:r>
      <w:r w:rsidRPr="00C47E97">
        <w:rPr>
          <w:rFonts w:cstheme="minorHAnsi"/>
          <w:color w:val="000000"/>
        </w:rPr>
        <w:t xml:space="preserve"> (dále také „GFŘ“)</w:t>
      </w:r>
      <w:r w:rsidR="009810E4">
        <w:rPr>
          <w:rFonts w:cstheme="minorHAnsi"/>
          <w:color w:val="000000"/>
        </w:rPr>
        <w:t>;</w:t>
      </w:r>
    </w:p>
    <w:p w14:paraId="2A74B28F" w14:textId="4C1A4E0C" w:rsidR="00654793" w:rsidRDefault="00654793" w:rsidP="00654793">
      <w:pPr>
        <w:spacing w:after="0" w:line="240" w:lineRule="auto"/>
        <w:jc w:val="both"/>
        <w:rPr>
          <w:rFonts w:cstheme="minorHAnsi"/>
          <w:color w:val="000000"/>
        </w:rPr>
      </w:pPr>
      <w:r w:rsidRPr="00C47E97">
        <w:rPr>
          <w:rFonts w:cstheme="minorHAnsi"/>
          <w:color w:val="000000"/>
        </w:rPr>
        <w:t>Generální ředitelství cel</w:t>
      </w:r>
      <w:r>
        <w:rPr>
          <w:rFonts w:cstheme="minorHAnsi"/>
          <w:color w:val="000000"/>
        </w:rPr>
        <w:t>, Praha</w:t>
      </w:r>
      <w:r w:rsidRPr="00C47E97">
        <w:rPr>
          <w:rFonts w:cstheme="minorHAnsi"/>
          <w:color w:val="000000"/>
        </w:rPr>
        <w:t xml:space="preserve"> (dále také „GŘC“)</w:t>
      </w:r>
      <w:r w:rsidR="009810E4">
        <w:rPr>
          <w:rFonts w:cstheme="minorHAnsi"/>
          <w:color w:val="000000"/>
        </w:rPr>
        <w:t>;</w:t>
      </w:r>
    </w:p>
    <w:p w14:paraId="56893732" w14:textId="2830F768" w:rsidR="00654793" w:rsidRDefault="00654793" w:rsidP="00654793">
      <w:pPr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Finanční úřad pro Jihomoravský kraj, Brno (dále také „FÚ JMK“)</w:t>
      </w:r>
      <w:r w:rsidR="009810E4">
        <w:rPr>
          <w:rFonts w:cstheme="minorHAnsi"/>
          <w:color w:val="000000"/>
        </w:rPr>
        <w:t>;</w:t>
      </w:r>
    </w:p>
    <w:p w14:paraId="69174EA8" w14:textId="79900A79" w:rsidR="00654793" w:rsidRDefault="00654793" w:rsidP="00654793">
      <w:pPr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Finanční úřad pro Moravskoslezský kraj, Ostrava (dále také „FÚ MSK“)</w:t>
      </w:r>
      <w:r w:rsidR="009810E4">
        <w:rPr>
          <w:rFonts w:cstheme="minorHAnsi"/>
          <w:color w:val="000000"/>
        </w:rPr>
        <w:t>;</w:t>
      </w:r>
    </w:p>
    <w:p w14:paraId="4268D260" w14:textId="210B5E6D" w:rsidR="00495033" w:rsidRDefault="00495033" w:rsidP="00495033">
      <w:pPr>
        <w:spacing w:after="0" w:line="240" w:lineRule="auto"/>
        <w:jc w:val="both"/>
        <w:rPr>
          <w:rFonts w:cstheme="minorHAnsi"/>
          <w:color w:val="000000"/>
        </w:rPr>
      </w:pPr>
      <w:r w:rsidRPr="00553791">
        <w:rPr>
          <w:rFonts w:cstheme="minorHAnsi"/>
          <w:color w:val="000000"/>
        </w:rPr>
        <w:t>Celní úřad pro Středočeský kraj, Praha (dále také „CÚ SČK“)</w:t>
      </w:r>
      <w:r>
        <w:rPr>
          <w:rFonts w:cstheme="minorHAnsi"/>
          <w:color w:val="000000"/>
        </w:rPr>
        <w:t>.</w:t>
      </w:r>
    </w:p>
    <w:p w14:paraId="3E316689" w14:textId="77777777" w:rsidR="00654793" w:rsidRPr="00553791" w:rsidRDefault="00654793" w:rsidP="00654793">
      <w:pPr>
        <w:spacing w:after="0" w:line="240" w:lineRule="auto"/>
        <w:jc w:val="both"/>
        <w:rPr>
          <w:rFonts w:cstheme="minorHAnsi"/>
          <w:color w:val="000000"/>
        </w:rPr>
      </w:pPr>
    </w:p>
    <w:p w14:paraId="08377801" w14:textId="77777777" w:rsidR="00654793" w:rsidRPr="00553791" w:rsidRDefault="00654793" w:rsidP="00654793">
      <w:pPr>
        <w:spacing w:after="0" w:line="240" w:lineRule="auto"/>
        <w:jc w:val="both"/>
        <w:rPr>
          <w:rFonts w:cstheme="minorHAnsi"/>
          <w:color w:val="000000"/>
        </w:rPr>
      </w:pPr>
    </w:p>
    <w:p w14:paraId="530376DC" w14:textId="1258610E" w:rsidR="00654793" w:rsidRPr="00C47E97" w:rsidRDefault="00654793" w:rsidP="00654793">
      <w:pPr>
        <w:spacing w:after="120" w:line="240" w:lineRule="auto"/>
        <w:jc w:val="both"/>
        <w:rPr>
          <w:rFonts w:cstheme="minorHAnsi"/>
          <w:color w:val="000000"/>
        </w:rPr>
      </w:pPr>
      <w:r w:rsidRPr="00C47E97">
        <w:rPr>
          <w:rFonts w:cstheme="minorHAnsi"/>
          <w:b/>
          <w:i/>
          <w:color w:val="000000"/>
          <w:spacing w:val="40"/>
        </w:rPr>
        <w:t>Kolegium</w:t>
      </w:r>
      <w:r w:rsidRPr="00C47E97">
        <w:rPr>
          <w:rFonts w:cstheme="minorHAnsi"/>
          <w:b/>
          <w:i/>
          <w:color w:val="000000"/>
        </w:rPr>
        <w:t xml:space="preserve">   </w:t>
      </w:r>
      <w:r w:rsidRPr="008B0D0B">
        <w:rPr>
          <w:rFonts w:cstheme="minorHAnsi"/>
          <w:b/>
          <w:i/>
          <w:color w:val="000000"/>
          <w:spacing w:val="40"/>
        </w:rPr>
        <w:t>NKÚ</w:t>
      </w:r>
      <w:r w:rsidRPr="008B0D0B">
        <w:rPr>
          <w:rFonts w:cstheme="minorHAnsi"/>
          <w:b/>
          <w:i/>
          <w:color w:val="000000"/>
        </w:rPr>
        <w:t xml:space="preserve">   </w:t>
      </w:r>
      <w:r w:rsidRPr="008B0D0B">
        <w:t xml:space="preserve">na svém </w:t>
      </w:r>
      <w:r w:rsidR="00564829">
        <w:t xml:space="preserve">XVII. </w:t>
      </w:r>
      <w:r w:rsidRPr="008B0D0B">
        <w:t>jednání, které se konalo dne</w:t>
      </w:r>
      <w:r w:rsidR="00564829">
        <w:t xml:space="preserve"> 10. listopadu 2025</w:t>
      </w:r>
      <w:r w:rsidRPr="008B0D0B">
        <w:t>,</w:t>
      </w:r>
    </w:p>
    <w:p w14:paraId="46F3AE1D" w14:textId="18F65281" w:rsidR="00654793" w:rsidRPr="006632CD" w:rsidRDefault="00654793" w:rsidP="00654793">
      <w:pPr>
        <w:spacing w:after="120" w:line="240" w:lineRule="auto"/>
        <w:jc w:val="both"/>
        <w:rPr>
          <w:rFonts w:cstheme="minorHAnsi"/>
          <w:color w:val="000000"/>
        </w:rPr>
      </w:pPr>
      <w:r w:rsidRPr="00C47E97">
        <w:rPr>
          <w:rFonts w:cstheme="minorHAnsi"/>
          <w:b/>
          <w:i/>
          <w:color w:val="000000"/>
          <w:spacing w:val="40"/>
        </w:rPr>
        <w:t>schválilo</w:t>
      </w:r>
      <w:r w:rsidRPr="00C47E97">
        <w:rPr>
          <w:rFonts w:cstheme="minorHAnsi"/>
          <w:b/>
          <w:i/>
          <w:color w:val="000000"/>
        </w:rPr>
        <w:t xml:space="preserve">   </w:t>
      </w:r>
      <w:r w:rsidRPr="00C47E97">
        <w:rPr>
          <w:rFonts w:cstheme="minorHAnsi"/>
          <w:color w:val="000000"/>
        </w:rPr>
        <w:t xml:space="preserve">usnesením č. </w:t>
      </w:r>
      <w:r w:rsidR="000C2B75">
        <w:rPr>
          <w:rFonts w:cstheme="minorHAnsi"/>
          <w:color w:val="000000"/>
        </w:rPr>
        <w:t>12</w:t>
      </w:r>
      <w:r>
        <w:rPr>
          <w:rFonts w:cstheme="minorHAnsi"/>
          <w:color w:val="000000"/>
        </w:rPr>
        <w:t>/</w:t>
      </w:r>
      <w:r w:rsidR="00564829">
        <w:rPr>
          <w:rFonts w:cstheme="minorHAnsi"/>
          <w:color w:val="000000"/>
        </w:rPr>
        <w:t>XVII</w:t>
      </w:r>
      <w:r>
        <w:rPr>
          <w:rFonts w:cstheme="minorHAnsi"/>
          <w:color w:val="000000"/>
        </w:rPr>
        <w:t>/</w:t>
      </w:r>
      <w:r w:rsidR="00564829">
        <w:rPr>
          <w:rFonts w:cstheme="minorHAnsi"/>
          <w:color w:val="000000"/>
        </w:rPr>
        <w:t>2025</w:t>
      </w:r>
    </w:p>
    <w:p w14:paraId="0D6B605C" w14:textId="77777777" w:rsidR="00654793" w:rsidRPr="00C47E97" w:rsidRDefault="00654793" w:rsidP="00654793">
      <w:pPr>
        <w:spacing w:after="120" w:line="240" w:lineRule="auto"/>
        <w:jc w:val="both"/>
        <w:rPr>
          <w:rFonts w:cstheme="minorHAnsi"/>
          <w:color w:val="000000"/>
        </w:rPr>
      </w:pPr>
      <w:r w:rsidRPr="00C47E97">
        <w:rPr>
          <w:rFonts w:cstheme="minorHAnsi"/>
          <w:b/>
          <w:i/>
          <w:color w:val="000000"/>
          <w:spacing w:val="40"/>
        </w:rPr>
        <w:t>kontrolní</w:t>
      </w:r>
      <w:r w:rsidRPr="00C47E97">
        <w:rPr>
          <w:rFonts w:cstheme="minorHAnsi"/>
          <w:b/>
          <w:i/>
          <w:color w:val="000000"/>
        </w:rPr>
        <w:t xml:space="preserve">   </w:t>
      </w:r>
      <w:r w:rsidRPr="00C47E97">
        <w:rPr>
          <w:rFonts w:cstheme="minorHAnsi"/>
          <w:b/>
          <w:i/>
          <w:color w:val="000000"/>
          <w:spacing w:val="40"/>
        </w:rPr>
        <w:t>závěr</w:t>
      </w:r>
      <w:r w:rsidRPr="00C47E97">
        <w:rPr>
          <w:rFonts w:cstheme="minorHAnsi"/>
          <w:b/>
          <w:i/>
          <w:color w:val="000000"/>
        </w:rPr>
        <w:t xml:space="preserve">   </w:t>
      </w:r>
      <w:r w:rsidRPr="00C47E97">
        <w:rPr>
          <w:rFonts w:cstheme="minorHAnsi"/>
          <w:color w:val="000000"/>
        </w:rPr>
        <w:t>v tomto znění:</w:t>
      </w:r>
    </w:p>
    <w:p w14:paraId="139AEAE4" w14:textId="0EF85BEC" w:rsidR="00395C05" w:rsidRDefault="00395C05">
      <w:pPr>
        <w:rPr>
          <w:rFonts w:cstheme="minorHAnsi"/>
          <w:b/>
          <w:bCs/>
        </w:rPr>
      </w:pPr>
    </w:p>
    <w:p w14:paraId="07818D5D" w14:textId="77777777" w:rsidR="00395C05" w:rsidRDefault="00395C05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43D857A9" w14:textId="77777777" w:rsidR="0020556B" w:rsidRPr="00313E6C" w:rsidRDefault="0020556B" w:rsidP="0020556B">
      <w:pPr>
        <w:tabs>
          <w:tab w:val="left" w:pos="1115"/>
        </w:tabs>
        <w:spacing w:after="120"/>
        <w:jc w:val="center"/>
        <w:rPr>
          <w:rFonts w:cstheme="minorHAnsi"/>
          <w:b/>
          <w:bCs/>
          <w:sz w:val="32"/>
          <w:szCs w:val="32"/>
        </w:rPr>
      </w:pPr>
      <w:r w:rsidRPr="00313E6C">
        <w:rPr>
          <w:rFonts w:cstheme="minorHAnsi"/>
          <w:b/>
          <w:bCs/>
          <w:sz w:val="32"/>
          <w:szCs w:val="32"/>
        </w:rPr>
        <w:lastRenderedPageBreak/>
        <w:t>Správa daně z přidané hodnoty se zaměřením na oblast přeshraničního elektronického obchodování</w:t>
      </w:r>
    </w:p>
    <w:p w14:paraId="5DA7BAD2" w14:textId="14A700A3" w:rsidR="0020556B" w:rsidRDefault="0020556B" w:rsidP="0020556B">
      <w:pPr>
        <w:tabs>
          <w:tab w:val="left" w:pos="1115"/>
        </w:tabs>
        <w:ind w:left="1416" w:hanging="1416"/>
        <w:jc w:val="center"/>
        <w:rPr>
          <w:caps/>
        </w:rPr>
      </w:pPr>
      <w:r w:rsidRPr="005C154B">
        <w:rPr>
          <w:b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1F31643" wp14:editId="4C42D52B">
                <wp:simplePos x="0" y="0"/>
                <wp:positionH relativeFrom="margin">
                  <wp:posOffset>3696335</wp:posOffset>
                </wp:positionH>
                <wp:positionV relativeFrom="paragraph">
                  <wp:posOffset>104981</wp:posOffset>
                </wp:positionV>
                <wp:extent cx="2043430" cy="0"/>
                <wp:effectExtent l="0" t="0" r="0" b="0"/>
                <wp:wrapNone/>
                <wp:docPr id="431396756" name="Přímá spojnice 4313967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434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F70093" id="Přímá spojnice 431396756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1.05pt,8.25pt" to="451.9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" strokecolor="black [3213]" strokeweight="1pt">
                <v:stroke joinstyle="miter"/>
                <w10:wrap anchorx="margin"/>
              </v:line>
            </w:pict>
          </mc:Fallback>
        </mc:AlternateContent>
      </w:r>
      <w:r w:rsidRPr="005C154B">
        <w:rPr>
          <w:b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516E531" wp14:editId="00516C23">
                <wp:simplePos x="0" y="0"/>
                <wp:positionH relativeFrom="column">
                  <wp:posOffset>-33655</wp:posOffset>
                </wp:positionH>
                <wp:positionV relativeFrom="paragraph">
                  <wp:posOffset>99266</wp:posOffset>
                </wp:positionV>
                <wp:extent cx="2109216" cy="0"/>
                <wp:effectExtent l="0" t="0" r="0" b="0"/>
                <wp:wrapNone/>
                <wp:docPr id="5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21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5AAD8E" id="Přímá spojnice 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65pt,7.8pt" to="163.4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" strokecolor="black [3213]" strokeweight="1pt">
                <v:stroke joinstyle="miter"/>
              </v:line>
            </w:pict>
          </mc:Fallback>
        </mc:AlternateContent>
      </w:r>
      <w:r w:rsidRPr="005C154B">
        <w:rPr>
          <w:caps/>
        </w:rPr>
        <w:t>ZÁKLADNÍ INFORMACE</w:t>
      </w:r>
    </w:p>
    <w:tbl>
      <w:tblPr>
        <w:tblW w:w="9072" w:type="dxa"/>
        <w:jc w:val="center"/>
        <w:shd w:val="clear" w:color="auto" w:fill="FFFFFF" w:themeFill="background1"/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20556B" w:rsidRPr="000E5A36" w14:paraId="3AE854A2" w14:textId="77777777" w:rsidTr="00D12B24">
        <w:trPr>
          <w:trHeight w:val="475"/>
          <w:jc w:val="center"/>
        </w:trPr>
        <w:tc>
          <w:tcPr>
            <w:tcW w:w="3024" w:type="dxa"/>
            <w:shd w:val="clear" w:color="auto" w:fill="FFFFFF" w:themeFill="background1"/>
            <w:vAlign w:val="center"/>
          </w:tcPr>
          <w:p w14:paraId="06B6EE9F" w14:textId="25EEBEEB" w:rsidR="0020556B" w:rsidRPr="00A55117" w:rsidRDefault="0020556B" w:rsidP="00D12B24">
            <w:pPr>
              <w:pStyle w:val="Pa18"/>
              <w:spacing w:line="240" w:lineRule="auto"/>
              <w:jc w:val="center"/>
              <w:rPr>
                <w:rFonts w:cs="Calibri"/>
                <w:b/>
                <w:sz w:val="32"/>
                <w:szCs w:val="32"/>
              </w:rPr>
            </w:pPr>
            <w:bookmarkStart w:id="1" w:name="_Hlk145416707"/>
            <w:r w:rsidRPr="00A55117">
              <w:rPr>
                <w:rFonts w:cs="Calibri"/>
                <w:b/>
                <w:bCs/>
                <w:sz w:val="32"/>
                <w:szCs w:val="36"/>
              </w:rPr>
              <w:t>1,2</w:t>
            </w:r>
            <w:r>
              <w:rPr>
                <w:rFonts w:cs="Calibri"/>
                <w:b/>
                <w:bCs/>
                <w:sz w:val="32"/>
                <w:szCs w:val="36"/>
              </w:rPr>
              <w:t>80</w:t>
            </w:r>
            <w:r w:rsidRPr="00A55117">
              <w:rPr>
                <w:rFonts w:cs="Calibri"/>
                <w:b/>
                <w:bCs/>
                <w:sz w:val="32"/>
                <w:szCs w:val="36"/>
              </w:rPr>
              <w:t xml:space="preserve"> mld. </w:t>
            </w:r>
            <w:r w:rsidR="00A30CD0">
              <w:rPr>
                <w:rFonts w:cs="Calibri"/>
                <w:b/>
                <w:bCs/>
                <w:sz w:val="32"/>
                <w:szCs w:val="36"/>
              </w:rPr>
              <w:t>€</w:t>
            </w:r>
          </w:p>
        </w:tc>
        <w:tc>
          <w:tcPr>
            <w:tcW w:w="3024" w:type="dxa"/>
            <w:shd w:val="clear" w:color="auto" w:fill="FFFFFF" w:themeFill="background1"/>
            <w:vAlign w:val="center"/>
          </w:tcPr>
          <w:p w14:paraId="32ED058E" w14:textId="77777777" w:rsidR="0020556B" w:rsidRPr="008C632F" w:rsidRDefault="0020556B" w:rsidP="00D12B24">
            <w:pPr>
              <w:pStyle w:val="Pa18"/>
              <w:spacing w:line="240" w:lineRule="auto"/>
              <w:jc w:val="center"/>
              <w:rPr>
                <w:szCs w:val="36"/>
              </w:rPr>
            </w:pPr>
            <w:r w:rsidRPr="00381DEE">
              <w:rPr>
                <w:rFonts w:cs="Calibri"/>
                <w:b/>
                <w:bCs/>
                <w:sz w:val="32"/>
                <w:szCs w:val="36"/>
              </w:rPr>
              <w:t>10,761 mil.</w:t>
            </w:r>
          </w:p>
        </w:tc>
        <w:tc>
          <w:tcPr>
            <w:tcW w:w="3024" w:type="dxa"/>
            <w:shd w:val="clear" w:color="auto" w:fill="FFFFFF" w:themeFill="background1"/>
            <w:vAlign w:val="center"/>
          </w:tcPr>
          <w:p w14:paraId="49FAF07A" w14:textId="227CF44F" w:rsidR="0020556B" w:rsidRPr="00381DEE" w:rsidRDefault="00553A3D" w:rsidP="00D12B24">
            <w:pPr>
              <w:pStyle w:val="Pa18"/>
              <w:spacing w:line="240" w:lineRule="auto"/>
              <w:jc w:val="center"/>
              <w:rPr>
                <w:rFonts w:cs="Calibri"/>
                <w:b/>
                <w:bCs/>
                <w:sz w:val="32"/>
                <w:szCs w:val="32"/>
              </w:rPr>
            </w:pPr>
            <w:r>
              <w:rPr>
                <w:rFonts w:cs="Calibri"/>
                <w:b/>
                <w:bCs/>
                <w:sz w:val="32"/>
                <w:szCs w:val="36"/>
              </w:rPr>
              <w:t>8</w:t>
            </w:r>
            <w:r w:rsidR="0020556B">
              <w:rPr>
                <w:rFonts w:cs="Calibri"/>
                <w:b/>
                <w:bCs/>
                <w:sz w:val="32"/>
                <w:szCs w:val="36"/>
              </w:rPr>
              <w:t>,</w:t>
            </w:r>
            <w:r>
              <w:rPr>
                <w:rFonts w:cs="Calibri"/>
                <w:b/>
                <w:bCs/>
                <w:sz w:val="32"/>
                <w:szCs w:val="36"/>
              </w:rPr>
              <w:t>286</w:t>
            </w:r>
            <w:r w:rsidR="0020556B">
              <w:rPr>
                <w:rFonts w:cs="Calibri"/>
                <w:b/>
                <w:bCs/>
                <w:sz w:val="32"/>
                <w:szCs w:val="36"/>
              </w:rPr>
              <w:t xml:space="preserve"> mld</w:t>
            </w:r>
            <w:r w:rsidR="0020556B" w:rsidRPr="00381DEE">
              <w:rPr>
                <w:rFonts w:cs="Calibri"/>
                <w:b/>
                <w:bCs/>
                <w:sz w:val="32"/>
                <w:szCs w:val="36"/>
              </w:rPr>
              <w:t>.</w:t>
            </w:r>
          </w:p>
        </w:tc>
      </w:tr>
      <w:tr w:rsidR="0020556B" w:rsidRPr="000E5A36" w14:paraId="3D6F642A" w14:textId="77777777" w:rsidTr="00D12B24">
        <w:trPr>
          <w:trHeight w:val="745"/>
          <w:jc w:val="center"/>
        </w:trPr>
        <w:tc>
          <w:tcPr>
            <w:tcW w:w="3024" w:type="dxa"/>
            <w:shd w:val="clear" w:color="auto" w:fill="FFFFFF" w:themeFill="background1"/>
          </w:tcPr>
          <w:p w14:paraId="7E039C4C" w14:textId="3E4A9419" w:rsidR="0020556B" w:rsidRPr="00A55117" w:rsidRDefault="0020556B" w:rsidP="00D12B24">
            <w:pPr>
              <w:pStyle w:val="Pa19"/>
              <w:spacing w:line="240" w:lineRule="auto"/>
              <w:jc w:val="center"/>
              <w:rPr>
                <w:rFonts w:cs="Calibri"/>
                <w:sz w:val="22"/>
                <w:szCs w:val="22"/>
              </w:rPr>
            </w:pPr>
            <w:r w:rsidRPr="00A55117">
              <w:rPr>
                <w:sz w:val="22"/>
              </w:rPr>
              <w:t>Př</w:t>
            </w:r>
            <w:r>
              <w:rPr>
                <w:sz w:val="22"/>
              </w:rPr>
              <w:t>íjem</w:t>
            </w:r>
            <w:r w:rsidR="00FA31C3">
              <w:rPr>
                <w:sz w:val="22"/>
              </w:rPr>
              <w:t xml:space="preserve"> ČR </w:t>
            </w:r>
            <w:r w:rsidR="00E30506">
              <w:rPr>
                <w:sz w:val="22"/>
              </w:rPr>
              <w:t>z</w:t>
            </w:r>
            <w:r w:rsidR="001B7B3C">
              <w:rPr>
                <w:sz w:val="22"/>
              </w:rPr>
              <w:t xml:space="preserve"> </w:t>
            </w:r>
            <w:r w:rsidRPr="00A55117">
              <w:rPr>
                <w:sz w:val="22"/>
              </w:rPr>
              <w:t>DPH z</w:t>
            </w:r>
            <w:r>
              <w:rPr>
                <w:sz w:val="22"/>
              </w:rPr>
              <w:t>e států</w:t>
            </w:r>
            <w:r w:rsidRPr="00A55117">
              <w:rPr>
                <w:sz w:val="22"/>
              </w:rPr>
              <w:t> </w:t>
            </w:r>
            <w:r>
              <w:rPr>
                <w:sz w:val="22"/>
              </w:rPr>
              <w:t>EU</w:t>
            </w:r>
            <w:r w:rsidRPr="00A55117">
              <w:rPr>
                <w:sz w:val="22"/>
              </w:rPr>
              <w:t xml:space="preserve"> v</w:t>
            </w:r>
            <w:r w:rsidR="009810E4">
              <w:rPr>
                <w:sz w:val="22"/>
              </w:rPr>
              <w:t> </w:t>
            </w:r>
            <w:r w:rsidR="00EE48C6">
              <w:rPr>
                <w:sz w:val="22"/>
              </w:rPr>
              <w:t>rámci</w:t>
            </w:r>
            <w:r w:rsidRPr="00A55117">
              <w:rPr>
                <w:sz w:val="22"/>
              </w:rPr>
              <w:t xml:space="preserve"> </w:t>
            </w:r>
            <w:r w:rsidR="005E161D">
              <w:rPr>
                <w:sz w:val="22"/>
              </w:rPr>
              <w:t>zvláštní</w:t>
            </w:r>
            <w:r w:rsidR="00EE48C6">
              <w:rPr>
                <w:sz w:val="22"/>
              </w:rPr>
              <w:t>ho</w:t>
            </w:r>
            <w:r w:rsidR="005E161D">
              <w:rPr>
                <w:sz w:val="22"/>
              </w:rPr>
              <w:t xml:space="preserve"> </w:t>
            </w:r>
            <w:r w:rsidRPr="00A55117">
              <w:rPr>
                <w:sz w:val="22"/>
              </w:rPr>
              <w:t>režimu</w:t>
            </w:r>
            <w:r w:rsidR="007E5C47">
              <w:rPr>
                <w:rStyle w:val="Znakapoznpodarou"/>
                <w:sz w:val="22"/>
              </w:rPr>
              <w:footnoteReference w:id="1"/>
            </w:r>
            <w:r w:rsidRPr="00A55117">
              <w:rPr>
                <w:sz w:val="22"/>
              </w:rPr>
              <w:t xml:space="preserve"> </w:t>
            </w:r>
            <w:r w:rsidR="00E30506">
              <w:rPr>
                <w:sz w:val="22"/>
              </w:rPr>
              <w:t>v</w:t>
            </w:r>
            <w:r w:rsidR="009810E4">
              <w:rPr>
                <w:sz w:val="22"/>
              </w:rPr>
              <w:t> </w:t>
            </w:r>
            <w:r w:rsidR="00E30506">
              <w:rPr>
                <w:sz w:val="22"/>
              </w:rPr>
              <w:t>letech</w:t>
            </w:r>
            <w:r w:rsidRPr="00A55117">
              <w:rPr>
                <w:sz w:val="22"/>
              </w:rPr>
              <w:t xml:space="preserve"> 202</w:t>
            </w:r>
            <w:r>
              <w:rPr>
                <w:sz w:val="22"/>
              </w:rPr>
              <w:t>1</w:t>
            </w:r>
            <w:r w:rsidR="00E30506">
              <w:rPr>
                <w:rStyle w:val="Znakapoznpodarou"/>
                <w:sz w:val="22"/>
              </w:rPr>
              <w:footnoteReference w:id="2"/>
            </w:r>
            <w:r w:rsidRPr="00A55117">
              <w:rPr>
                <w:sz w:val="22"/>
              </w:rPr>
              <w:t xml:space="preserve"> až 2024</w:t>
            </w:r>
          </w:p>
        </w:tc>
        <w:tc>
          <w:tcPr>
            <w:tcW w:w="3024" w:type="dxa"/>
            <w:shd w:val="clear" w:color="auto" w:fill="FFFFFF" w:themeFill="background1"/>
          </w:tcPr>
          <w:p w14:paraId="6B8FFA74" w14:textId="4E205F8B" w:rsidR="0020556B" w:rsidRPr="008C632F" w:rsidRDefault="0020556B" w:rsidP="00D12B24">
            <w:pPr>
              <w:pStyle w:val="Pa18"/>
              <w:spacing w:line="240" w:lineRule="auto"/>
              <w:jc w:val="center"/>
              <w:rPr>
                <w:rFonts w:cs="Calibri"/>
                <w:sz w:val="22"/>
                <w:szCs w:val="22"/>
              </w:rPr>
            </w:pPr>
            <w:r w:rsidRPr="008C632F">
              <w:rPr>
                <w:rFonts w:cs="Calibri"/>
                <w:sz w:val="22"/>
                <w:szCs w:val="22"/>
              </w:rPr>
              <w:t>Počet zásilek</w:t>
            </w:r>
            <w:r w:rsidR="00FA31C3">
              <w:rPr>
                <w:rFonts w:cs="Calibri"/>
                <w:sz w:val="22"/>
                <w:szCs w:val="22"/>
              </w:rPr>
              <w:t xml:space="preserve"> proclených v ČR</w:t>
            </w:r>
            <w:r w:rsidRPr="008C632F">
              <w:rPr>
                <w:rFonts w:cs="Calibri"/>
                <w:sz w:val="22"/>
                <w:szCs w:val="22"/>
              </w:rPr>
              <w:t xml:space="preserve"> v</w:t>
            </w:r>
            <w:r w:rsidR="00C01D1B">
              <w:rPr>
                <w:rFonts w:cs="Calibri"/>
                <w:sz w:val="22"/>
                <w:szCs w:val="22"/>
              </w:rPr>
              <w:t xml:space="preserve"> dovozním </w:t>
            </w:r>
            <w:r w:rsidRPr="008C632F">
              <w:rPr>
                <w:rFonts w:cs="Calibri"/>
                <w:sz w:val="22"/>
                <w:szCs w:val="22"/>
              </w:rPr>
              <w:t>režimu</w:t>
            </w:r>
            <w:r w:rsidR="007E5C47">
              <w:rPr>
                <w:rStyle w:val="Znakapoznpodarou"/>
                <w:rFonts w:cs="Calibri"/>
                <w:sz w:val="22"/>
                <w:szCs w:val="22"/>
              </w:rPr>
              <w:footnoteReference w:id="3"/>
            </w:r>
            <w:r w:rsidRPr="008C632F">
              <w:rPr>
                <w:rFonts w:cs="Calibri"/>
                <w:sz w:val="22"/>
                <w:szCs w:val="22"/>
              </w:rPr>
              <w:t xml:space="preserve"> </w:t>
            </w:r>
            <w:r w:rsidRPr="008C632F">
              <w:rPr>
                <w:rFonts w:cs="Calibri"/>
                <w:sz w:val="22"/>
                <w:szCs w:val="22"/>
              </w:rPr>
              <w:br/>
              <w:t>v letech 2021</w:t>
            </w:r>
            <w:r w:rsidRPr="001A7941">
              <w:rPr>
                <w:rFonts w:cs="Calibri"/>
                <w:sz w:val="22"/>
                <w:szCs w:val="22"/>
                <w:vertAlign w:val="superscript"/>
              </w:rPr>
              <w:footnoteReference w:id="4"/>
            </w:r>
            <w:r w:rsidRPr="008C632F">
              <w:rPr>
                <w:rFonts w:cs="Calibri"/>
                <w:sz w:val="22"/>
                <w:szCs w:val="22"/>
              </w:rPr>
              <w:t xml:space="preserve"> až 2024</w:t>
            </w:r>
          </w:p>
        </w:tc>
        <w:tc>
          <w:tcPr>
            <w:tcW w:w="3024" w:type="dxa"/>
            <w:shd w:val="clear" w:color="auto" w:fill="FFFFFF" w:themeFill="background1"/>
          </w:tcPr>
          <w:p w14:paraId="0D88353F" w14:textId="158C3859" w:rsidR="0020556B" w:rsidRPr="006139DF" w:rsidRDefault="0020556B" w:rsidP="00D12B24">
            <w:pPr>
              <w:pStyle w:val="Pa19"/>
              <w:spacing w:line="240" w:lineRule="auto"/>
              <w:jc w:val="center"/>
              <w:rPr>
                <w:rFonts w:cs="Calibri"/>
                <w:sz w:val="22"/>
                <w:szCs w:val="22"/>
              </w:rPr>
            </w:pPr>
            <w:r>
              <w:rPr>
                <w:sz w:val="22"/>
              </w:rPr>
              <w:t>Počet</w:t>
            </w:r>
            <w:r w:rsidRPr="006139DF">
              <w:rPr>
                <w:sz w:val="22"/>
              </w:rPr>
              <w:t xml:space="preserve"> zásilek </w:t>
            </w:r>
            <w:r w:rsidR="00553A3D">
              <w:rPr>
                <w:sz w:val="22"/>
              </w:rPr>
              <w:t xml:space="preserve">proclených v EU </w:t>
            </w:r>
            <w:r>
              <w:rPr>
                <w:sz w:val="22"/>
              </w:rPr>
              <w:t>v</w:t>
            </w:r>
            <w:r w:rsidR="009810E4">
              <w:rPr>
                <w:sz w:val="22"/>
              </w:rPr>
              <w:t> </w:t>
            </w:r>
            <w:r w:rsidR="00BA7466">
              <w:rPr>
                <w:sz w:val="22"/>
              </w:rPr>
              <w:t>dovozním</w:t>
            </w:r>
            <w:r>
              <w:rPr>
                <w:sz w:val="22"/>
              </w:rPr>
              <w:t> režimu</w:t>
            </w:r>
            <w:r w:rsidRPr="006139DF">
              <w:rPr>
                <w:sz w:val="22"/>
              </w:rPr>
              <w:t xml:space="preserve"> </w:t>
            </w:r>
            <w:r w:rsidRPr="006139DF">
              <w:rPr>
                <w:sz w:val="22"/>
              </w:rPr>
              <w:br/>
            </w:r>
            <w:r>
              <w:rPr>
                <w:sz w:val="22"/>
              </w:rPr>
              <w:t xml:space="preserve">v </w:t>
            </w:r>
            <w:r w:rsidR="00553A3D">
              <w:rPr>
                <w:sz w:val="22"/>
              </w:rPr>
              <w:t>letech 2022 až</w:t>
            </w:r>
            <w:r w:rsidR="00553A3D" w:rsidRPr="006139DF">
              <w:rPr>
                <w:sz w:val="22"/>
              </w:rPr>
              <w:t xml:space="preserve"> </w:t>
            </w:r>
            <w:r w:rsidRPr="006139DF">
              <w:rPr>
                <w:sz w:val="22"/>
              </w:rPr>
              <w:t>2024</w:t>
            </w:r>
            <w:r>
              <w:rPr>
                <w:sz w:val="22"/>
              </w:rPr>
              <w:t xml:space="preserve"> ze třetích zemí</w:t>
            </w:r>
            <w:r w:rsidR="001B7B3C" w:rsidRPr="005B4B7A">
              <w:rPr>
                <w:rStyle w:val="Znakapoznpodarou"/>
                <w:rFonts w:cstheme="minorHAnsi"/>
              </w:rPr>
              <w:footnoteReference w:id="5"/>
            </w:r>
          </w:p>
        </w:tc>
      </w:tr>
      <w:tr w:rsidR="0020556B" w:rsidRPr="000E5A36" w14:paraId="4560CC0F" w14:textId="77777777" w:rsidTr="00D12B24">
        <w:trPr>
          <w:trHeight w:val="454"/>
          <w:jc w:val="center"/>
        </w:trPr>
        <w:tc>
          <w:tcPr>
            <w:tcW w:w="3024" w:type="dxa"/>
            <w:shd w:val="clear" w:color="auto" w:fill="FFFFFF" w:themeFill="background1"/>
            <w:vAlign w:val="center"/>
          </w:tcPr>
          <w:p w14:paraId="75627486" w14:textId="6619D517" w:rsidR="0020556B" w:rsidRPr="00A30CD0" w:rsidRDefault="0020556B" w:rsidP="00D12B24">
            <w:pPr>
              <w:pStyle w:val="Pa19"/>
              <w:spacing w:line="240" w:lineRule="auto"/>
              <w:jc w:val="center"/>
              <w:rPr>
                <w:rFonts w:cs="Calibri"/>
                <w:b/>
                <w:bCs/>
                <w:sz w:val="32"/>
                <w:szCs w:val="36"/>
              </w:rPr>
            </w:pPr>
          </w:p>
          <w:p w14:paraId="5D1D2DA4" w14:textId="3F5A634F" w:rsidR="0020556B" w:rsidRPr="00F16B71" w:rsidRDefault="0020556B" w:rsidP="00D12B24">
            <w:pPr>
              <w:pStyle w:val="Pa19"/>
              <w:spacing w:line="240" w:lineRule="auto"/>
              <w:jc w:val="center"/>
              <w:rPr>
                <w:sz w:val="32"/>
                <w:szCs w:val="32"/>
              </w:rPr>
            </w:pPr>
            <w:r w:rsidRPr="00A30CD0">
              <w:rPr>
                <w:rFonts w:cs="Calibri"/>
                <w:b/>
                <w:bCs/>
                <w:sz w:val="32"/>
                <w:szCs w:val="36"/>
              </w:rPr>
              <w:t xml:space="preserve">1,062 mld. </w:t>
            </w:r>
            <w:r w:rsidR="00A30CD0">
              <w:rPr>
                <w:rFonts w:cs="Calibri"/>
                <w:b/>
                <w:bCs/>
                <w:sz w:val="32"/>
                <w:szCs w:val="36"/>
              </w:rPr>
              <w:t>€</w:t>
            </w:r>
          </w:p>
        </w:tc>
        <w:tc>
          <w:tcPr>
            <w:tcW w:w="3024" w:type="dxa"/>
            <w:shd w:val="clear" w:color="auto" w:fill="FFFFFF" w:themeFill="background1"/>
          </w:tcPr>
          <w:p w14:paraId="436CDB3F" w14:textId="0810BB23" w:rsidR="0020556B" w:rsidRDefault="0020556B" w:rsidP="00D12B24">
            <w:pPr>
              <w:spacing w:after="0" w:line="240" w:lineRule="auto"/>
              <w:jc w:val="center"/>
              <w:rPr>
                <w:rFonts w:cs="Calibri"/>
                <w:b/>
                <w:bCs/>
                <w:sz w:val="32"/>
                <w:szCs w:val="36"/>
              </w:rPr>
            </w:pPr>
          </w:p>
          <w:p w14:paraId="4223E497" w14:textId="77777777" w:rsidR="0020556B" w:rsidRPr="003F0FBE" w:rsidRDefault="0020556B" w:rsidP="00D12B24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cs="Calibri"/>
                <w:b/>
                <w:bCs/>
                <w:sz w:val="32"/>
                <w:szCs w:val="36"/>
              </w:rPr>
              <w:t>5,671 mld. Kč</w:t>
            </w:r>
          </w:p>
        </w:tc>
        <w:tc>
          <w:tcPr>
            <w:tcW w:w="3024" w:type="dxa"/>
            <w:shd w:val="clear" w:color="auto" w:fill="FFFFFF" w:themeFill="background1"/>
            <w:vAlign w:val="bottom"/>
          </w:tcPr>
          <w:p w14:paraId="7605537D" w14:textId="09A0914A" w:rsidR="0020556B" w:rsidRPr="00F16B71" w:rsidRDefault="0020556B" w:rsidP="00D12B24">
            <w:pPr>
              <w:spacing w:after="0" w:line="240" w:lineRule="auto"/>
              <w:jc w:val="center"/>
              <w:rPr>
                <w:b/>
                <w:bCs/>
                <w:sz w:val="32"/>
                <w:szCs w:val="36"/>
                <w:vertAlign w:val="superscript"/>
              </w:rPr>
            </w:pPr>
            <w:r w:rsidRPr="00A30CD0">
              <w:rPr>
                <w:b/>
                <w:bCs/>
                <w:sz w:val="32"/>
                <w:szCs w:val="36"/>
              </w:rPr>
              <w:t xml:space="preserve">10 mld. </w:t>
            </w:r>
            <w:r w:rsidR="00A30CD0">
              <w:rPr>
                <w:b/>
                <w:bCs/>
                <w:sz w:val="32"/>
                <w:szCs w:val="36"/>
              </w:rPr>
              <w:t>€</w:t>
            </w:r>
          </w:p>
        </w:tc>
      </w:tr>
      <w:tr w:rsidR="0020556B" w:rsidRPr="000E5A36" w14:paraId="5535E236" w14:textId="77777777" w:rsidTr="00D12B24">
        <w:trPr>
          <w:trHeight w:val="454"/>
          <w:jc w:val="center"/>
        </w:trPr>
        <w:tc>
          <w:tcPr>
            <w:tcW w:w="3024" w:type="dxa"/>
            <w:shd w:val="clear" w:color="auto" w:fill="FFFFFF" w:themeFill="background1"/>
          </w:tcPr>
          <w:p w14:paraId="2D8139C9" w14:textId="6FF27136" w:rsidR="0020556B" w:rsidRPr="00F16B71" w:rsidRDefault="0020556B" w:rsidP="00D12B24">
            <w:pPr>
              <w:pStyle w:val="Pa19"/>
              <w:spacing w:line="240" w:lineRule="auto"/>
              <w:jc w:val="center"/>
              <w:rPr>
                <w:rFonts w:cs="Calibri"/>
                <w:b/>
                <w:bCs/>
                <w:sz w:val="22"/>
                <w:szCs w:val="22"/>
              </w:rPr>
            </w:pPr>
            <w:r w:rsidRPr="00A30CD0">
              <w:rPr>
                <w:sz w:val="22"/>
              </w:rPr>
              <w:t>Vybraná DPH v ČR pro státy EU v</w:t>
            </w:r>
            <w:r w:rsidR="00EE48C6" w:rsidRPr="00A30CD0">
              <w:rPr>
                <w:sz w:val="22"/>
              </w:rPr>
              <w:t> rámci</w:t>
            </w:r>
            <w:r w:rsidR="00BA7466" w:rsidRPr="00A30CD0">
              <w:rPr>
                <w:sz w:val="22"/>
              </w:rPr>
              <w:t xml:space="preserve"> zvláštní</w:t>
            </w:r>
            <w:r w:rsidR="00EE48C6" w:rsidRPr="00A30CD0">
              <w:rPr>
                <w:sz w:val="22"/>
              </w:rPr>
              <w:t>ho</w:t>
            </w:r>
            <w:r w:rsidRPr="00A30CD0">
              <w:rPr>
                <w:sz w:val="22"/>
              </w:rPr>
              <w:t xml:space="preserve"> režimu </w:t>
            </w:r>
            <w:r w:rsidR="00E30506" w:rsidRPr="00A30CD0">
              <w:rPr>
                <w:sz w:val="22"/>
              </w:rPr>
              <w:t>v</w:t>
            </w:r>
            <w:r w:rsidR="009810E4" w:rsidRPr="00A30CD0">
              <w:rPr>
                <w:sz w:val="22"/>
              </w:rPr>
              <w:t> </w:t>
            </w:r>
            <w:r w:rsidR="00E30506" w:rsidRPr="00A30CD0">
              <w:rPr>
                <w:sz w:val="22"/>
              </w:rPr>
              <w:t>letech</w:t>
            </w:r>
            <w:r w:rsidRPr="00A30CD0">
              <w:rPr>
                <w:sz w:val="22"/>
              </w:rPr>
              <w:t xml:space="preserve"> 2021</w:t>
            </w:r>
            <w:r w:rsidR="00BE194F" w:rsidRPr="00A30CD0">
              <w:rPr>
                <w:sz w:val="22"/>
                <w:vertAlign w:val="superscript"/>
              </w:rPr>
              <w:t>2</w:t>
            </w:r>
            <w:r w:rsidRPr="00A30CD0">
              <w:rPr>
                <w:sz w:val="22"/>
              </w:rPr>
              <w:t xml:space="preserve"> až 2024</w:t>
            </w:r>
          </w:p>
        </w:tc>
        <w:tc>
          <w:tcPr>
            <w:tcW w:w="3024" w:type="dxa"/>
            <w:shd w:val="clear" w:color="auto" w:fill="FFFFFF" w:themeFill="background1"/>
          </w:tcPr>
          <w:p w14:paraId="5192A1CB" w14:textId="42EE20B3" w:rsidR="0020556B" w:rsidRPr="008C3E8E" w:rsidRDefault="0020556B" w:rsidP="00D12B24">
            <w:pPr>
              <w:spacing w:after="0" w:line="240" w:lineRule="auto"/>
              <w:jc w:val="center"/>
              <w:rPr>
                <w:rFonts w:ascii="Calibri" w:hAnsi="Calibri"/>
                <w:strike/>
              </w:rPr>
            </w:pPr>
            <w:r>
              <w:rPr>
                <w:sz w:val="22"/>
              </w:rPr>
              <w:t>Hodnota</w:t>
            </w:r>
            <w:r w:rsidRPr="006139DF">
              <w:rPr>
                <w:sz w:val="22"/>
              </w:rPr>
              <w:t xml:space="preserve"> zásilek</w:t>
            </w:r>
            <w:r w:rsidR="00B87CBD">
              <w:rPr>
                <w:sz w:val="22"/>
              </w:rPr>
              <w:t xml:space="preserve"> proclených v</w:t>
            </w:r>
            <w:r w:rsidR="009810E4">
              <w:rPr>
                <w:sz w:val="22"/>
              </w:rPr>
              <w:t> </w:t>
            </w:r>
            <w:r w:rsidR="00B87CBD">
              <w:rPr>
                <w:sz w:val="22"/>
              </w:rPr>
              <w:t>ČR</w:t>
            </w:r>
            <w:r w:rsidRPr="006139DF">
              <w:rPr>
                <w:sz w:val="22"/>
              </w:rPr>
              <w:t xml:space="preserve"> </w:t>
            </w:r>
            <w:r>
              <w:rPr>
                <w:sz w:val="22"/>
              </w:rPr>
              <w:t>v</w:t>
            </w:r>
            <w:r w:rsidR="00BA7466">
              <w:rPr>
                <w:sz w:val="22"/>
              </w:rPr>
              <w:t xml:space="preserve"> dovozním </w:t>
            </w:r>
            <w:r>
              <w:rPr>
                <w:sz w:val="22"/>
              </w:rPr>
              <w:t>režimu</w:t>
            </w:r>
            <w:r w:rsidRPr="006139DF">
              <w:rPr>
                <w:sz w:val="22"/>
              </w:rPr>
              <w:t xml:space="preserve"> </w:t>
            </w:r>
            <w:r w:rsidRPr="006139DF">
              <w:rPr>
                <w:sz w:val="22"/>
              </w:rPr>
              <w:br/>
            </w:r>
            <w:r>
              <w:rPr>
                <w:sz w:val="22"/>
              </w:rPr>
              <w:t>v letech 2021</w:t>
            </w:r>
            <w:r w:rsidR="00F22F07" w:rsidRPr="00313E6C">
              <w:rPr>
                <w:sz w:val="22"/>
                <w:vertAlign w:val="superscript"/>
              </w:rPr>
              <w:t>4</w:t>
            </w:r>
            <w:r w:rsidRPr="006139DF">
              <w:rPr>
                <w:sz w:val="22"/>
              </w:rPr>
              <w:t xml:space="preserve"> až 2024</w:t>
            </w:r>
          </w:p>
        </w:tc>
        <w:tc>
          <w:tcPr>
            <w:tcW w:w="3024" w:type="dxa"/>
            <w:shd w:val="clear" w:color="auto" w:fill="FFFFFF" w:themeFill="background1"/>
          </w:tcPr>
          <w:p w14:paraId="0155D76B" w14:textId="18F3C3F9" w:rsidR="0020556B" w:rsidRPr="00F16B71" w:rsidRDefault="0020556B" w:rsidP="00D12B2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30CD0">
              <w:rPr>
                <w:sz w:val="22"/>
                <w:szCs w:val="22"/>
              </w:rPr>
              <w:t>Odhad</w:t>
            </w:r>
            <w:r w:rsidR="00E17175" w:rsidRPr="00A30CD0">
              <w:rPr>
                <w:sz w:val="22"/>
                <w:szCs w:val="22"/>
              </w:rPr>
              <w:t xml:space="preserve"> </w:t>
            </w:r>
            <w:r w:rsidR="0075564F" w:rsidRPr="00A30CD0">
              <w:rPr>
                <w:sz w:val="22"/>
                <w:szCs w:val="22"/>
              </w:rPr>
              <w:t xml:space="preserve">daňových </w:t>
            </w:r>
            <w:r w:rsidRPr="00A30CD0">
              <w:rPr>
                <w:sz w:val="22"/>
                <w:szCs w:val="22"/>
              </w:rPr>
              <w:t xml:space="preserve">úniků </w:t>
            </w:r>
            <w:r w:rsidR="0074497E" w:rsidRPr="00A30CD0">
              <w:rPr>
                <w:sz w:val="22"/>
                <w:szCs w:val="22"/>
              </w:rPr>
              <w:t>v oblasti e-</w:t>
            </w:r>
            <w:proofErr w:type="spellStart"/>
            <w:r w:rsidR="0074497E" w:rsidRPr="00A30CD0">
              <w:rPr>
                <w:sz w:val="22"/>
                <w:szCs w:val="22"/>
              </w:rPr>
              <w:t>commerce</w:t>
            </w:r>
            <w:proofErr w:type="spellEnd"/>
            <w:r w:rsidR="0074497E" w:rsidRPr="00A30CD0">
              <w:rPr>
                <w:sz w:val="22"/>
                <w:szCs w:val="22"/>
              </w:rPr>
              <w:t xml:space="preserve"> </w:t>
            </w:r>
            <w:r w:rsidR="00A30CD0">
              <w:rPr>
                <w:sz w:val="22"/>
                <w:szCs w:val="22"/>
              </w:rPr>
              <w:br/>
            </w:r>
            <w:r w:rsidRPr="00A30CD0">
              <w:rPr>
                <w:sz w:val="22"/>
                <w:szCs w:val="22"/>
              </w:rPr>
              <w:t>na úrovni EU</w:t>
            </w:r>
          </w:p>
        </w:tc>
      </w:tr>
      <w:bookmarkEnd w:id="1"/>
    </w:tbl>
    <w:p w14:paraId="0F341042" w14:textId="77777777" w:rsidR="0020556B" w:rsidRDefault="0020556B" w:rsidP="0020556B">
      <w:pPr>
        <w:tabs>
          <w:tab w:val="left" w:pos="1115"/>
        </w:tabs>
        <w:ind w:left="1416" w:hanging="1416"/>
        <w:jc w:val="center"/>
        <w:rPr>
          <w:caps/>
        </w:rPr>
      </w:pPr>
    </w:p>
    <w:p w14:paraId="5B605C5D" w14:textId="7C781579" w:rsidR="0020556B" w:rsidRPr="00394BF0" w:rsidRDefault="001A7FAC" w:rsidP="0020556B">
      <w:pPr>
        <w:tabs>
          <w:tab w:val="left" w:pos="1747"/>
          <w:tab w:val="center" w:pos="4536"/>
        </w:tabs>
        <w:rPr>
          <w:caps/>
        </w:rPr>
        <w:sectPr w:rsidR="0020556B" w:rsidRPr="00394BF0" w:rsidSect="00F16B71"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5C154B">
        <w:rPr>
          <w:b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4E6D18C" wp14:editId="0F03173C">
                <wp:simplePos x="0" y="0"/>
                <wp:positionH relativeFrom="margin">
                  <wp:posOffset>0</wp:posOffset>
                </wp:positionH>
                <wp:positionV relativeFrom="paragraph">
                  <wp:posOffset>97057</wp:posOffset>
                </wp:positionV>
                <wp:extent cx="2052000" cy="0"/>
                <wp:effectExtent l="0" t="0" r="0" b="0"/>
                <wp:wrapNone/>
                <wp:docPr id="212253972" name="Přímá spojnice 2122539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2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85177D" id="Přímá spojnice 212253972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7.65pt" to="161.5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" strokecolor="black [3213]" strokeweight="1pt">
                <v:stroke joinstyle="miter"/>
                <w10:wrap anchorx="margin"/>
              </v:line>
            </w:pict>
          </mc:Fallback>
        </mc:AlternateContent>
      </w:r>
      <w:r w:rsidRPr="005C154B">
        <w:rPr>
          <w:b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E6D055C" wp14:editId="64A6F996">
                <wp:simplePos x="0" y="0"/>
                <wp:positionH relativeFrom="margin">
                  <wp:posOffset>3699608</wp:posOffset>
                </wp:positionH>
                <wp:positionV relativeFrom="paragraph">
                  <wp:posOffset>94615</wp:posOffset>
                </wp:positionV>
                <wp:extent cx="2052000" cy="0"/>
                <wp:effectExtent l="0" t="0" r="0" b="0"/>
                <wp:wrapNone/>
                <wp:docPr id="971205164" name="Přímá spojnice 971205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2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8CCA60" id="Přímá spojnice 971205164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1.3pt,7.45pt" to="452.8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" strokecolor="black [3213]" strokeweight="1pt">
                <v:stroke joinstyle="miter"/>
                <w10:wrap anchorx="margin"/>
              </v:line>
            </w:pict>
          </mc:Fallback>
        </mc:AlternateContent>
      </w:r>
      <w:r w:rsidR="0020556B" w:rsidRPr="00E06AAB">
        <w:rPr>
          <w:caps/>
        </w:rPr>
        <w:tab/>
      </w:r>
      <w:r w:rsidR="0020556B" w:rsidRPr="00E06AAB">
        <w:rPr>
          <w:caps/>
        </w:rPr>
        <w:tab/>
      </w:r>
      <w:r w:rsidR="0020556B">
        <w:rPr>
          <w:caps/>
        </w:rPr>
        <w:t>Zjištěné skutečnosti</w:t>
      </w:r>
    </w:p>
    <w:tbl>
      <w:tblPr>
        <w:tblStyle w:val="Mkatabulky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0556B" w:rsidRPr="003C66A2" w14:paraId="73904BB6" w14:textId="77777777" w:rsidTr="00D12B24">
        <w:tc>
          <w:tcPr>
            <w:tcW w:w="4531" w:type="dxa"/>
          </w:tcPr>
          <w:p w14:paraId="73BD3322" w14:textId="158BBFC6" w:rsidR="0020556B" w:rsidRPr="00313E6C" w:rsidRDefault="00775BEF" w:rsidP="00313E6C">
            <w:pPr>
              <w:ind w:right="709"/>
              <w:jc w:val="both"/>
              <w:rPr>
                <w:rFonts w:ascii="Calibri" w:eastAsia="Calibri" w:hAnsi="Calibri" w:cs="Arial"/>
                <w:b/>
                <w:bCs/>
              </w:rPr>
            </w:pPr>
            <w:bookmarkStart w:id="2" w:name="_Hlk210902030"/>
            <w:r w:rsidRPr="00313E6C">
              <w:rPr>
                <w:rFonts w:ascii="Calibri" w:eastAsia="Calibri" w:hAnsi="Calibri" w:cs="Arial"/>
                <w:b/>
                <w:bCs/>
              </w:rPr>
              <w:t xml:space="preserve">Párování </w:t>
            </w:r>
            <w:r w:rsidR="00880230" w:rsidRPr="00313E6C">
              <w:rPr>
                <w:rFonts w:ascii="Calibri" w:eastAsia="Calibri" w:hAnsi="Calibri" w:cs="Arial"/>
                <w:b/>
                <w:bCs/>
              </w:rPr>
              <w:t xml:space="preserve">plateb DPH </w:t>
            </w:r>
            <w:r w:rsidRPr="00313E6C">
              <w:rPr>
                <w:rFonts w:ascii="Calibri" w:eastAsia="Calibri" w:hAnsi="Calibri" w:cs="Arial"/>
                <w:b/>
                <w:bCs/>
              </w:rPr>
              <w:t xml:space="preserve">obdržených </w:t>
            </w:r>
            <w:r w:rsidR="009810E4">
              <w:rPr>
                <w:rFonts w:ascii="Calibri" w:eastAsia="Calibri" w:hAnsi="Calibri" w:cs="Arial"/>
                <w:b/>
                <w:bCs/>
              </w:rPr>
              <w:br/>
            </w:r>
            <w:r w:rsidRPr="00313E6C">
              <w:rPr>
                <w:rFonts w:ascii="Calibri" w:eastAsia="Calibri" w:hAnsi="Calibri" w:cs="Arial"/>
                <w:b/>
                <w:bCs/>
              </w:rPr>
              <w:t>z</w:t>
            </w:r>
            <w:r w:rsidR="009810E4">
              <w:rPr>
                <w:rFonts w:ascii="Calibri" w:eastAsia="Calibri" w:hAnsi="Calibri" w:cs="Arial"/>
                <w:b/>
                <w:bCs/>
              </w:rPr>
              <w:t xml:space="preserve"> </w:t>
            </w:r>
            <w:r w:rsidR="005A17CE" w:rsidRPr="00313E6C">
              <w:rPr>
                <w:rFonts w:ascii="Calibri" w:eastAsia="Calibri" w:hAnsi="Calibri" w:cs="Arial"/>
                <w:b/>
                <w:bCs/>
              </w:rPr>
              <w:t>jiných členských států EU</w:t>
            </w:r>
            <w:r w:rsidR="00880230" w:rsidRPr="00313E6C">
              <w:rPr>
                <w:rFonts w:ascii="Calibri" w:eastAsia="Calibri" w:hAnsi="Calibri" w:cs="Arial"/>
                <w:b/>
                <w:bCs/>
              </w:rPr>
              <w:t xml:space="preserve"> s</w:t>
            </w:r>
            <w:r w:rsidR="009810E4">
              <w:rPr>
                <w:rFonts w:ascii="Calibri" w:eastAsia="Calibri" w:hAnsi="Calibri" w:cs="Arial"/>
                <w:b/>
                <w:bCs/>
              </w:rPr>
              <w:t xml:space="preserve"> </w:t>
            </w:r>
            <w:r w:rsidR="00880230" w:rsidRPr="00313E6C">
              <w:rPr>
                <w:rFonts w:ascii="Calibri" w:eastAsia="Calibri" w:hAnsi="Calibri" w:cs="Arial"/>
                <w:b/>
                <w:bCs/>
              </w:rPr>
              <w:t>údaji z daňových přiznání</w:t>
            </w:r>
            <w:r w:rsidR="008E2FFC" w:rsidRPr="00313E6C">
              <w:rPr>
                <w:rFonts w:ascii="Calibri" w:eastAsia="Calibri" w:hAnsi="Calibri" w:cs="Arial"/>
                <w:b/>
                <w:bCs/>
              </w:rPr>
              <w:t xml:space="preserve"> ve zvláštním režimu</w:t>
            </w:r>
            <w:r w:rsidR="005A17CE" w:rsidRPr="00313E6C">
              <w:rPr>
                <w:rFonts w:ascii="Calibri" w:eastAsia="Calibri" w:hAnsi="Calibri" w:cs="Arial"/>
                <w:b/>
                <w:bCs/>
              </w:rPr>
              <w:t xml:space="preserve"> </w:t>
            </w:r>
            <w:r w:rsidR="00F91514" w:rsidRPr="00313E6C">
              <w:rPr>
                <w:rFonts w:ascii="Calibri" w:eastAsia="Calibri" w:hAnsi="Calibri" w:cs="Arial"/>
                <w:b/>
                <w:bCs/>
              </w:rPr>
              <w:t>bylo</w:t>
            </w:r>
            <w:r w:rsidRPr="00313E6C">
              <w:rPr>
                <w:rFonts w:ascii="Calibri" w:eastAsia="Calibri" w:hAnsi="Calibri" w:cs="Arial"/>
                <w:b/>
                <w:bCs/>
              </w:rPr>
              <w:t xml:space="preserve"> problematické. </w:t>
            </w:r>
          </w:p>
          <w:p w14:paraId="3D74F2E1" w14:textId="77777777" w:rsidR="00352250" w:rsidRDefault="00352250" w:rsidP="00313E6C">
            <w:pPr>
              <w:jc w:val="both"/>
              <w:rPr>
                <w:rFonts w:ascii="Calibri" w:eastAsia="Calibri" w:hAnsi="Calibri" w:cs="Arial"/>
                <w:b/>
                <w:bCs/>
              </w:rPr>
            </w:pPr>
          </w:p>
          <w:p w14:paraId="3C5F82DB" w14:textId="5C4296D9" w:rsidR="00621F0F" w:rsidRPr="00173E66" w:rsidRDefault="0075696D" w:rsidP="00313E6C">
            <w:pPr>
              <w:ind w:right="709"/>
              <w:jc w:val="both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  <w:b/>
                <w:bCs/>
              </w:rPr>
              <w:t>Počet</w:t>
            </w:r>
            <w:r w:rsidR="00352250">
              <w:rPr>
                <w:rFonts w:ascii="Calibri" w:eastAsia="Calibri" w:hAnsi="Calibri" w:cs="Arial"/>
                <w:b/>
                <w:bCs/>
              </w:rPr>
              <w:t xml:space="preserve"> a</w:t>
            </w:r>
            <w:r w:rsidR="00CD04C0">
              <w:rPr>
                <w:rFonts w:ascii="Calibri" w:eastAsia="Calibri" w:hAnsi="Calibri" w:cs="Arial"/>
                <w:b/>
                <w:bCs/>
              </w:rPr>
              <w:t xml:space="preserve"> celková</w:t>
            </w:r>
            <w:r w:rsidR="00352250">
              <w:rPr>
                <w:rFonts w:ascii="Calibri" w:eastAsia="Calibri" w:hAnsi="Calibri" w:cs="Arial"/>
                <w:b/>
                <w:bCs/>
              </w:rPr>
              <w:t xml:space="preserve"> hodnota</w:t>
            </w:r>
            <w:r>
              <w:rPr>
                <w:rFonts w:ascii="Calibri" w:eastAsia="Calibri" w:hAnsi="Calibri" w:cs="Arial"/>
                <w:b/>
                <w:bCs/>
              </w:rPr>
              <w:t xml:space="preserve"> zásilek nízké hodnoty ze třetích zemí proclených v ČR významně vzrostl</w:t>
            </w:r>
            <w:r w:rsidR="00352250">
              <w:rPr>
                <w:rFonts w:ascii="Calibri" w:eastAsia="Calibri" w:hAnsi="Calibri" w:cs="Arial"/>
                <w:b/>
                <w:bCs/>
              </w:rPr>
              <w:t>y</w:t>
            </w:r>
            <w:r>
              <w:rPr>
                <w:rFonts w:ascii="Calibri" w:eastAsia="Calibri" w:hAnsi="Calibri" w:cs="Arial"/>
                <w:b/>
                <w:bCs/>
              </w:rPr>
              <w:t>. V</w:t>
            </w:r>
            <w:r w:rsidRPr="00462D0C">
              <w:rPr>
                <w:rFonts w:ascii="Calibri" w:eastAsia="Calibri" w:hAnsi="Calibri" w:cs="Arial"/>
                <w:b/>
                <w:bCs/>
              </w:rPr>
              <w:t xml:space="preserve"> roce 2024 bylo do ČR dovezeno téměř </w:t>
            </w:r>
            <w:r w:rsidR="00E437C6">
              <w:rPr>
                <w:rFonts w:ascii="Calibri" w:eastAsia="Calibri" w:hAnsi="Calibri" w:cs="Arial"/>
                <w:b/>
                <w:bCs/>
              </w:rPr>
              <w:t xml:space="preserve">dvakrát </w:t>
            </w:r>
            <w:r w:rsidRPr="00462D0C">
              <w:rPr>
                <w:rFonts w:ascii="Calibri" w:eastAsia="Calibri" w:hAnsi="Calibri" w:cs="Arial"/>
                <w:b/>
                <w:bCs/>
              </w:rPr>
              <w:t>více zásilek než v roce 2022</w:t>
            </w:r>
            <w:r>
              <w:rPr>
                <w:rFonts w:ascii="Calibri" w:eastAsia="Calibri" w:hAnsi="Calibri" w:cs="Arial"/>
                <w:b/>
                <w:bCs/>
              </w:rPr>
              <w:t>.</w:t>
            </w:r>
          </w:p>
        </w:tc>
        <w:tc>
          <w:tcPr>
            <w:tcW w:w="4531" w:type="dxa"/>
          </w:tcPr>
          <w:p w14:paraId="0A0A5CAE" w14:textId="01A1E392" w:rsidR="0020556B" w:rsidRPr="00313E6C" w:rsidRDefault="00FB270F" w:rsidP="0025425E">
            <w:pPr>
              <w:ind w:right="-117"/>
              <w:jc w:val="both"/>
              <w:rPr>
                <w:rFonts w:ascii="Calibri" w:eastAsia="Calibri" w:hAnsi="Calibri" w:cs="Arial"/>
              </w:rPr>
            </w:pPr>
            <w:r w:rsidRPr="00313E6C">
              <w:rPr>
                <w:rFonts w:ascii="Calibri" w:eastAsia="Calibri" w:hAnsi="Calibri" w:cs="Arial"/>
              </w:rPr>
              <w:t xml:space="preserve">FÚ JMK evidoval </w:t>
            </w:r>
            <w:r w:rsidR="008E2FFC" w:rsidRPr="00313E6C">
              <w:rPr>
                <w:rFonts w:ascii="Calibri" w:eastAsia="Calibri" w:hAnsi="Calibri" w:cs="Arial"/>
              </w:rPr>
              <w:t>v</w:t>
            </w:r>
            <w:r w:rsidR="00E437C6">
              <w:rPr>
                <w:rFonts w:ascii="Calibri" w:eastAsia="Calibri" w:hAnsi="Calibri" w:cs="Arial"/>
              </w:rPr>
              <w:t xml:space="preserve"> </w:t>
            </w:r>
            <w:r w:rsidR="008E2FFC" w:rsidRPr="00313E6C">
              <w:rPr>
                <w:rFonts w:ascii="Calibri" w:eastAsia="Calibri" w:hAnsi="Calibri" w:cs="Arial"/>
              </w:rPr>
              <w:t>dubnu 2025 nespárované</w:t>
            </w:r>
            <w:r w:rsidRPr="00313E6C">
              <w:rPr>
                <w:rFonts w:ascii="Calibri" w:eastAsia="Calibri" w:hAnsi="Calibri" w:cs="Arial"/>
              </w:rPr>
              <w:t xml:space="preserve"> plat</w:t>
            </w:r>
            <w:r w:rsidR="008E2FFC" w:rsidRPr="00313E6C">
              <w:rPr>
                <w:rFonts w:ascii="Calibri" w:eastAsia="Calibri" w:hAnsi="Calibri" w:cs="Arial"/>
              </w:rPr>
              <w:t>by</w:t>
            </w:r>
            <w:r w:rsidRPr="00313E6C">
              <w:rPr>
                <w:rFonts w:ascii="Calibri" w:eastAsia="Calibri" w:hAnsi="Calibri" w:cs="Arial"/>
              </w:rPr>
              <w:t xml:space="preserve"> v celkové výši 461 </w:t>
            </w:r>
            <w:r w:rsidR="0074497E">
              <w:rPr>
                <w:rFonts w:ascii="Calibri" w:eastAsia="Calibri" w:hAnsi="Calibri" w:cs="Arial"/>
              </w:rPr>
              <w:t>tis.</w:t>
            </w:r>
            <w:r w:rsidRPr="00313E6C">
              <w:rPr>
                <w:rFonts w:ascii="Calibri" w:eastAsia="Calibri" w:hAnsi="Calibri" w:cs="Arial"/>
              </w:rPr>
              <w:t xml:space="preserve"> eur, přičemž</w:t>
            </w:r>
            <w:r w:rsidR="008E2FFC" w:rsidRPr="00313E6C">
              <w:rPr>
                <w:rFonts w:ascii="Calibri" w:eastAsia="Calibri" w:hAnsi="Calibri" w:cs="Arial"/>
              </w:rPr>
              <w:t xml:space="preserve"> např.</w:t>
            </w:r>
            <w:r w:rsidRPr="00313E6C">
              <w:rPr>
                <w:rFonts w:ascii="Calibri" w:eastAsia="Calibri" w:hAnsi="Calibri" w:cs="Arial"/>
              </w:rPr>
              <w:t xml:space="preserve"> hodnota </w:t>
            </w:r>
            <w:r w:rsidR="008E2FFC" w:rsidRPr="00313E6C">
              <w:rPr>
                <w:rFonts w:ascii="Calibri" w:eastAsia="Calibri" w:hAnsi="Calibri" w:cs="Arial"/>
              </w:rPr>
              <w:t>nespárovaných</w:t>
            </w:r>
            <w:r w:rsidRPr="00313E6C">
              <w:rPr>
                <w:rFonts w:ascii="Calibri" w:eastAsia="Calibri" w:hAnsi="Calibri" w:cs="Arial"/>
              </w:rPr>
              <w:t xml:space="preserve"> plateb DPH </w:t>
            </w:r>
            <w:r w:rsidR="008E2FFC" w:rsidRPr="00313E6C">
              <w:rPr>
                <w:rFonts w:ascii="Calibri" w:eastAsia="Calibri" w:hAnsi="Calibri" w:cs="Arial"/>
              </w:rPr>
              <w:t>činila</w:t>
            </w:r>
            <w:r w:rsidRPr="00313E6C">
              <w:rPr>
                <w:rFonts w:ascii="Calibri" w:eastAsia="Calibri" w:hAnsi="Calibri" w:cs="Arial"/>
              </w:rPr>
              <w:t xml:space="preserve"> </w:t>
            </w:r>
            <w:r w:rsidR="008E2FFC" w:rsidRPr="00313E6C">
              <w:rPr>
                <w:rFonts w:ascii="Calibri" w:eastAsia="Calibri" w:hAnsi="Calibri" w:cs="Arial"/>
              </w:rPr>
              <w:t>v listopadu 2022 více než 98</w:t>
            </w:r>
            <w:r w:rsidRPr="00313E6C">
              <w:rPr>
                <w:rFonts w:ascii="Calibri" w:eastAsia="Calibri" w:hAnsi="Calibri" w:cs="Arial"/>
              </w:rPr>
              <w:t xml:space="preserve"> </w:t>
            </w:r>
            <w:r w:rsidR="0074497E">
              <w:rPr>
                <w:rFonts w:ascii="Calibri" w:eastAsia="Calibri" w:hAnsi="Calibri" w:cs="Arial"/>
              </w:rPr>
              <w:t>mil.</w:t>
            </w:r>
            <w:r w:rsidRPr="00313E6C">
              <w:rPr>
                <w:rFonts w:ascii="Calibri" w:eastAsia="Calibri" w:hAnsi="Calibri" w:cs="Arial"/>
              </w:rPr>
              <w:t xml:space="preserve"> eur.</w:t>
            </w:r>
          </w:p>
          <w:p w14:paraId="6A4FA6CE" w14:textId="77777777" w:rsidR="00FB270F" w:rsidRDefault="00FB270F" w:rsidP="0025425E">
            <w:pPr>
              <w:ind w:right="-117"/>
              <w:jc w:val="both"/>
              <w:rPr>
                <w:rFonts w:ascii="Calibri" w:eastAsia="Calibri" w:hAnsi="Calibri" w:cs="Arial"/>
              </w:rPr>
            </w:pPr>
          </w:p>
          <w:p w14:paraId="2B4E3D3E" w14:textId="411337E6" w:rsidR="0075696D" w:rsidRPr="0075696D" w:rsidRDefault="0045615B" w:rsidP="00313E6C">
            <w:pPr>
              <w:jc w:val="both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 xml:space="preserve">CS ČR v roce </w:t>
            </w:r>
            <w:r w:rsidR="0075696D" w:rsidRPr="0075696D">
              <w:rPr>
                <w:rFonts w:ascii="Calibri" w:eastAsia="Calibri" w:hAnsi="Calibri" w:cs="Arial"/>
              </w:rPr>
              <w:t xml:space="preserve">2024 </w:t>
            </w:r>
            <w:r>
              <w:rPr>
                <w:rFonts w:ascii="Calibri" w:eastAsia="Calibri" w:hAnsi="Calibri" w:cs="Arial"/>
              </w:rPr>
              <w:t xml:space="preserve">proclila zásilky nízké hodnoty ve výši 3,7 mld. Kč, což </w:t>
            </w:r>
            <w:r w:rsidR="00AE77D9">
              <w:rPr>
                <w:rFonts w:ascii="Calibri" w:eastAsia="Calibri" w:hAnsi="Calibri" w:cs="Arial"/>
              </w:rPr>
              <w:t xml:space="preserve">je </w:t>
            </w:r>
            <w:r w:rsidR="00B80599">
              <w:rPr>
                <w:rFonts w:ascii="Calibri" w:eastAsia="Calibri" w:hAnsi="Calibri" w:cs="Arial"/>
              </w:rPr>
              <w:t xml:space="preserve">více než čtyřnásobek </w:t>
            </w:r>
            <w:r w:rsidR="00E437C6">
              <w:rPr>
                <w:rFonts w:ascii="Calibri" w:eastAsia="Calibri" w:hAnsi="Calibri" w:cs="Arial"/>
              </w:rPr>
              <w:t xml:space="preserve">hodnoty </w:t>
            </w:r>
            <w:r w:rsidR="00B80599">
              <w:rPr>
                <w:rFonts w:ascii="Calibri" w:eastAsia="Calibri" w:hAnsi="Calibri" w:cs="Arial"/>
              </w:rPr>
              <w:t xml:space="preserve">proclené </w:t>
            </w:r>
            <w:r w:rsidR="009C41CA">
              <w:rPr>
                <w:rFonts w:ascii="Calibri" w:eastAsia="Calibri" w:hAnsi="Calibri" w:cs="Arial"/>
              </w:rPr>
              <w:t>během</w:t>
            </w:r>
            <w:r w:rsidR="00B80599">
              <w:rPr>
                <w:rFonts w:ascii="Calibri" w:eastAsia="Calibri" w:hAnsi="Calibri" w:cs="Arial"/>
              </w:rPr>
              <w:t xml:space="preserve"> roku 2022</w:t>
            </w:r>
            <w:r>
              <w:rPr>
                <w:rFonts w:ascii="Calibri" w:eastAsia="Calibri" w:hAnsi="Calibri" w:cs="Arial"/>
              </w:rPr>
              <w:t>. V</w:t>
            </w:r>
            <w:r w:rsidR="0075696D" w:rsidRPr="0075696D">
              <w:rPr>
                <w:rFonts w:ascii="Calibri" w:eastAsia="Calibri" w:hAnsi="Calibri" w:cs="Arial"/>
              </w:rPr>
              <w:t xml:space="preserve"> roce 2024 bylo v ČR deklarováno 6</w:t>
            </w:r>
            <w:r w:rsidR="00352250">
              <w:rPr>
                <w:rFonts w:ascii="Calibri" w:eastAsia="Calibri" w:hAnsi="Calibri" w:cs="Arial"/>
              </w:rPr>
              <w:t>8</w:t>
            </w:r>
            <w:r w:rsidR="0075696D" w:rsidRPr="0075696D">
              <w:rPr>
                <w:rFonts w:ascii="Calibri" w:eastAsia="Calibri" w:hAnsi="Calibri" w:cs="Arial"/>
              </w:rPr>
              <w:t xml:space="preserve"> % z hodnoty zboží </w:t>
            </w:r>
            <w:r w:rsidR="00E437C6" w:rsidRPr="0075696D">
              <w:rPr>
                <w:rFonts w:ascii="Calibri" w:eastAsia="Calibri" w:hAnsi="Calibri" w:cs="Arial"/>
              </w:rPr>
              <w:t>deklarované celkov</w:t>
            </w:r>
            <w:r w:rsidR="00E437C6">
              <w:rPr>
                <w:rFonts w:ascii="Calibri" w:eastAsia="Calibri" w:hAnsi="Calibri" w:cs="Arial"/>
              </w:rPr>
              <w:t>ě</w:t>
            </w:r>
            <w:r w:rsidR="00E437C6" w:rsidRPr="0075696D">
              <w:rPr>
                <w:rFonts w:ascii="Calibri" w:eastAsia="Calibri" w:hAnsi="Calibri" w:cs="Arial"/>
              </w:rPr>
              <w:t xml:space="preserve"> </w:t>
            </w:r>
            <w:r w:rsidR="00E437C6">
              <w:rPr>
                <w:rFonts w:ascii="Calibri" w:eastAsia="Calibri" w:hAnsi="Calibri" w:cs="Arial"/>
              </w:rPr>
              <w:t>za roky</w:t>
            </w:r>
            <w:r w:rsidR="0075696D" w:rsidRPr="0075696D">
              <w:rPr>
                <w:rFonts w:ascii="Calibri" w:eastAsia="Calibri" w:hAnsi="Calibri" w:cs="Arial"/>
              </w:rPr>
              <w:t xml:space="preserve"> 202</w:t>
            </w:r>
            <w:r>
              <w:rPr>
                <w:rFonts w:ascii="Calibri" w:eastAsia="Calibri" w:hAnsi="Calibri" w:cs="Arial"/>
              </w:rPr>
              <w:t>2</w:t>
            </w:r>
            <w:r w:rsidR="009810E4">
              <w:rPr>
                <w:rFonts w:ascii="Calibri" w:eastAsia="Calibri" w:hAnsi="Calibri" w:cs="Arial"/>
              </w:rPr>
              <w:t>–</w:t>
            </w:r>
            <w:r w:rsidR="0075696D" w:rsidRPr="0075696D">
              <w:rPr>
                <w:rFonts w:ascii="Calibri" w:eastAsia="Calibri" w:hAnsi="Calibri" w:cs="Arial"/>
              </w:rPr>
              <w:t>2024.</w:t>
            </w:r>
          </w:p>
        </w:tc>
      </w:tr>
      <w:tr w:rsidR="00621F0F" w:rsidRPr="003C66A2" w14:paraId="6C4CA5A2" w14:textId="77777777" w:rsidTr="00D12B24">
        <w:tc>
          <w:tcPr>
            <w:tcW w:w="4531" w:type="dxa"/>
          </w:tcPr>
          <w:p w14:paraId="0CD74253" w14:textId="08E75DA7" w:rsidR="00621F0F" w:rsidRPr="00313E6C" w:rsidRDefault="00621F0F" w:rsidP="0025425E">
            <w:pPr>
              <w:ind w:right="709"/>
              <w:jc w:val="both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4531" w:type="dxa"/>
          </w:tcPr>
          <w:p w14:paraId="3918178F" w14:textId="2793BE6D" w:rsidR="005A17CE" w:rsidRPr="00313E6C" w:rsidRDefault="005A17CE" w:rsidP="0025425E">
            <w:pPr>
              <w:ind w:right="24"/>
              <w:jc w:val="both"/>
              <w:rPr>
                <w:rFonts w:ascii="Calibri" w:eastAsia="Calibri" w:hAnsi="Calibri" w:cs="Arial"/>
              </w:rPr>
            </w:pPr>
          </w:p>
        </w:tc>
      </w:tr>
      <w:tr w:rsidR="00621F0F" w:rsidRPr="003C66A2" w14:paraId="4FA29875" w14:textId="77777777" w:rsidTr="00D12B24">
        <w:tc>
          <w:tcPr>
            <w:tcW w:w="4531" w:type="dxa"/>
          </w:tcPr>
          <w:p w14:paraId="726CCA13" w14:textId="19543EAF" w:rsidR="00173E66" w:rsidRPr="00313E6C" w:rsidRDefault="00173E66" w:rsidP="00313E6C">
            <w:pPr>
              <w:ind w:right="709"/>
              <w:jc w:val="both"/>
              <w:rPr>
                <w:rFonts w:ascii="Calibri" w:eastAsia="Calibri" w:hAnsi="Calibri" w:cs="Arial"/>
                <w:b/>
                <w:bCs/>
              </w:rPr>
            </w:pPr>
            <w:r w:rsidRPr="00313E6C">
              <w:rPr>
                <w:rFonts w:ascii="Calibri" w:eastAsia="Calibri" w:hAnsi="Calibri" w:cs="Arial"/>
                <w:b/>
                <w:bCs/>
              </w:rPr>
              <w:t>Při dovozu zboží nízké hodnoty ze třetích zemí d</w:t>
            </w:r>
            <w:r w:rsidR="00635FA3" w:rsidRPr="00313E6C">
              <w:rPr>
                <w:rFonts w:ascii="Calibri" w:eastAsia="Calibri" w:hAnsi="Calibri" w:cs="Arial"/>
                <w:b/>
                <w:bCs/>
              </w:rPr>
              <w:t>ocház</w:t>
            </w:r>
            <w:r w:rsidRPr="00313E6C">
              <w:rPr>
                <w:rFonts w:ascii="Calibri" w:eastAsia="Calibri" w:hAnsi="Calibri" w:cs="Arial"/>
                <w:b/>
                <w:bCs/>
              </w:rPr>
              <w:t>elo</w:t>
            </w:r>
            <w:r w:rsidR="00635FA3" w:rsidRPr="00313E6C">
              <w:rPr>
                <w:rFonts w:ascii="Calibri" w:eastAsia="Calibri" w:hAnsi="Calibri" w:cs="Arial"/>
                <w:b/>
                <w:bCs/>
              </w:rPr>
              <w:t xml:space="preserve"> k</w:t>
            </w:r>
            <w:r w:rsidR="0000294D">
              <w:rPr>
                <w:rFonts w:ascii="Calibri" w:eastAsia="Calibri" w:hAnsi="Calibri" w:cs="Arial"/>
                <w:b/>
                <w:bCs/>
              </w:rPr>
              <w:t>e krácení</w:t>
            </w:r>
            <w:r w:rsidR="00635FA3" w:rsidRPr="00313E6C">
              <w:rPr>
                <w:rFonts w:ascii="Calibri" w:eastAsia="Calibri" w:hAnsi="Calibri" w:cs="Arial"/>
                <w:b/>
                <w:bCs/>
              </w:rPr>
              <w:t xml:space="preserve"> DPH </w:t>
            </w:r>
            <w:r w:rsidR="00CD04C0">
              <w:rPr>
                <w:rFonts w:ascii="Calibri" w:eastAsia="Calibri" w:hAnsi="Calibri" w:cs="Arial"/>
                <w:b/>
                <w:bCs/>
              </w:rPr>
              <w:t>v</w:t>
            </w:r>
            <w:r w:rsidR="009810E4">
              <w:rPr>
                <w:rFonts w:ascii="Calibri" w:eastAsia="Calibri" w:hAnsi="Calibri" w:cs="Arial"/>
                <w:b/>
                <w:bCs/>
              </w:rPr>
              <w:t> </w:t>
            </w:r>
            <w:r w:rsidR="00CD04C0">
              <w:rPr>
                <w:rFonts w:ascii="Calibri" w:eastAsia="Calibri" w:hAnsi="Calibri" w:cs="Arial"/>
                <w:b/>
                <w:bCs/>
              </w:rPr>
              <w:t>důsledku podhodnocení zásilek</w:t>
            </w:r>
            <w:r w:rsidRPr="00313E6C">
              <w:rPr>
                <w:rFonts w:ascii="Calibri" w:eastAsia="Calibri" w:hAnsi="Calibri" w:cs="Arial"/>
                <w:b/>
                <w:bCs/>
              </w:rPr>
              <w:t>.</w:t>
            </w:r>
            <w:r w:rsidR="00635FA3" w:rsidRPr="00313E6C" w:rsidDel="00A16FAB">
              <w:rPr>
                <w:rFonts w:ascii="Calibri" w:eastAsia="Calibri" w:hAnsi="Calibri" w:cs="Arial"/>
                <w:b/>
                <w:bCs/>
              </w:rPr>
              <w:t xml:space="preserve"> </w:t>
            </w:r>
          </w:p>
          <w:p w14:paraId="2A94DA4D" w14:textId="77777777" w:rsidR="00621F0F" w:rsidRPr="00313E6C" w:rsidRDefault="00621F0F" w:rsidP="00313E6C">
            <w:pPr>
              <w:ind w:right="709"/>
              <w:jc w:val="both"/>
              <w:rPr>
                <w:rFonts w:ascii="Calibri" w:eastAsia="Calibri" w:hAnsi="Calibri" w:cs="Arial"/>
                <w:b/>
                <w:bCs/>
              </w:rPr>
            </w:pPr>
          </w:p>
        </w:tc>
        <w:tc>
          <w:tcPr>
            <w:tcW w:w="4531" w:type="dxa"/>
          </w:tcPr>
          <w:p w14:paraId="7A1EED9F" w14:textId="4FF58807" w:rsidR="00173E66" w:rsidRPr="00313E6C" w:rsidRDefault="00635FA3" w:rsidP="0025425E">
            <w:pPr>
              <w:spacing w:after="120"/>
              <w:jc w:val="both"/>
              <w:rPr>
                <w:rFonts w:ascii="Calibri" w:eastAsia="Calibri" w:hAnsi="Calibri" w:cs="Arial"/>
              </w:rPr>
            </w:pPr>
            <w:r w:rsidRPr="00635FA3">
              <w:rPr>
                <w:rFonts w:ascii="Calibri" w:eastAsia="Calibri" w:hAnsi="Calibri" w:cs="Arial"/>
              </w:rPr>
              <w:t xml:space="preserve">CS ČR </w:t>
            </w:r>
            <w:r w:rsidR="00CD04C0">
              <w:rPr>
                <w:rFonts w:ascii="Calibri" w:eastAsia="Calibri" w:hAnsi="Calibri" w:cs="Arial"/>
              </w:rPr>
              <w:t>provedla kontrolu</w:t>
            </w:r>
            <w:r w:rsidR="00CD04C0" w:rsidRPr="00635FA3">
              <w:rPr>
                <w:rFonts w:ascii="Calibri" w:eastAsia="Calibri" w:hAnsi="Calibri" w:cs="Arial"/>
              </w:rPr>
              <w:t xml:space="preserve"> </w:t>
            </w:r>
            <w:r w:rsidRPr="00635FA3">
              <w:rPr>
                <w:rFonts w:ascii="Calibri" w:eastAsia="Calibri" w:hAnsi="Calibri" w:cs="Arial"/>
              </w:rPr>
              <w:t xml:space="preserve">861 zásilek </w:t>
            </w:r>
            <w:r w:rsidR="00CD04C0">
              <w:rPr>
                <w:rFonts w:ascii="Calibri" w:eastAsia="Calibri" w:hAnsi="Calibri" w:cs="Arial"/>
              </w:rPr>
              <w:t>z</w:t>
            </w:r>
            <w:r w:rsidR="009C41CA">
              <w:rPr>
                <w:rFonts w:ascii="Calibri" w:eastAsia="Calibri" w:hAnsi="Calibri" w:cs="Arial"/>
              </w:rPr>
              <w:t xml:space="preserve"> </w:t>
            </w:r>
            <w:r w:rsidR="00CD04C0">
              <w:rPr>
                <w:rFonts w:ascii="Calibri" w:eastAsia="Calibri" w:hAnsi="Calibri" w:cs="Arial"/>
              </w:rPr>
              <w:t>hlediska</w:t>
            </w:r>
            <w:r w:rsidR="00CD04C0" w:rsidRPr="00635FA3">
              <w:rPr>
                <w:rFonts w:ascii="Calibri" w:eastAsia="Calibri" w:hAnsi="Calibri" w:cs="Arial"/>
              </w:rPr>
              <w:t xml:space="preserve"> </w:t>
            </w:r>
            <w:r w:rsidRPr="00635FA3">
              <w:rPr>
                <w:rFonts w:ascii="Calibri" w:eastAsia="Calibri" w:hAnsi="Calibri" w:cs="Arial"/>
              </w:rPr>
              <w:t xml:space="preserve">podhodnocení zboží nízké hodnoty a u 61 % </w:t>
            </w:r>
            <w:r w:rsidR="00173E66">
              <w:rPr>
                <w:rFonts w:ascii="Calibri" w:eastAsia="Calibri" w:hAnsi="Calibri" w:cs="Arial"/>
              </w:rPr>
              <w:t>z nich</w:t>
            </w:r>
            <w:r w:rsidRPr="00635FA3">
              <w:rPr>
                <w:rFonts w:ascii="Calibri" w:eastAsia="Calibri" w:hAnsi="Calibri" w:cs="Arial"/>
              </w:rPr>
              <w:t xml:space="preserve"> zjistila nesrovnalosti v hodnotě zboží.</w:t>
            </w:r>
          </w:p>
          <w:p w14:paraId="08917783" w14:textId="77777777" w:rsidR="00621F0F" w:rsidRPr="0074497E" w:rsidRDefault="00621F0F" w:rsidP="00313E6C">
            <w:pPr>
              <w:jc w:val="both"/>
              <w:rPr>
                <w:rFonts w:ascii="Calibri" w:eastAsia="Calibri" w:hAnsi="Calibri" w:cs="Arial"/>
              </w:rPr>
            </w:pPr>
          </w:p>
        </w:tc>
      </w:tr>
      <w:bookmarkEnd w:id="2"/>
    </w:tbl>
    <w:p w14:paraId="212BDA58" w14:textId="499BA2AE" w:rsidR="004D25FA" w:rsidRDefault="004D25FA" w:rsidP="000A0198">
      <w:pPr>
        <w:jc w:val="center"/>
        <w:rPr>
          <w:b/>
          <w:bCs/>
          <w:sz w:val="28"/>
          <w:szCs w:val="28"/>
        </w:rPr>
      </w:pPr>
    </w:p>
    <w:p w14:paraId="2AA8006E" w14:textId="77777777" w:rsidR="003432C9" w:rsidRDefault="003432C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44A54597" w14:textId="7EB2C121" w:rsidR="000A0198" w:rsidRDefault="000A0198" w:rsidP="000A0198">
      <w:pPr>
        <w:jc w:val="center"/>
        <w:rPr>
          <w:b/>
          <w:bCs/>
          <w:sz w:val="28"/>
          <w:szCs w:val="28"/>
        </w:rPr>
      </w:pPr>
      <w:r w:rsidRPr="005D4EF9">
        <w:rPr>
          <w:b/>
          <w:bCs/>
          <w:sz w:val="28"/>
          <w:szCs w:val="28"/>
        </w:rPr>
        <w:lastRenderedPageBreak/>
        <w:t>I. Shrnutí a vyhodnocení</w:t>
      </w:r>
    </w:p>
    <w:p w14:paraId="6308CAAA" w14:textId="3012B997" w:rsidR="005D6852" w:rsidRPr="008E3D4C" w:rsidRDefault="00CE70BF" w:rsidP="00833EAF">
      <w:pPr>
        <w:spacing w:after="0" w:line="240" w:lineRule="auto"/>
        <w:jc w:val="both"/>
      </w:pPr>
      <w:r>
        <w:t>Přeshraničním elektronickým obchodováním (</w:t>
      </w:r>
      <w:r w:rsidR="00972FD4">
        <w:t>tzv.</w:t>
      </w:r>
      <w:r>
        <w:t xml:space="preserve"> e-</w:t>
      </w:r>
      <w:proofErr w:type="spellStart"/>
      <w:r>
        <w:t>commerc</w:t>
      </w:r>
      <w:r w:rsidR="001C4B43">
        <w:t>í</w:t>
      </w:r>
      <w:proofErr w:type="spellEnd"/>
      <w:r>
        <w:t>) se rozumí přeshraniční prodej zboží nebo poskytnutí služeb uskutečněné prostřednictvím internetu nebo jiných on</w:t>
      </w:r>
      <w:r w:rsidR="006A2FF6">
        <w:t>-</w:t>
      </w:r>
      <w:r>
        <w:t>lin</w:t>
      </w:r>
      <w:r w:rsidR="006A2FF6">
        <w:t>e</w:t>
      </w:r>
      <w:r>
        <w:t xml:space="preserve"> komunikačních sítí mezi osobou povinnou k</w:t>
      </w:r>
      <w:r w:rsidR="00C7603E">
        <w:t xml:space="preserve"> </w:t>
      </w:r>
      <w:r>
        <w:t>dani z</w:t>
      </w:r>
      <w:r w:rsidR="00C7603E">
        <w:t xml:space="preserve"> </w:t>
      </w:r>
      <w:r>
        <w:t xml:space="preserve">přidané hodnoty </w:t>
      </w:r>
      <w:r w:rsidR="003134CC">
        <w:t xml:space="preserve">(obchodníkem) </w:t>
      </w:r>
      <w:r>
        <w:t>a</w:t>
      </w:r>
      <w:r w:rsidR="009810E4">
        <w:t> </w:t>
      </w:r>
      <w:r>
        <w:t xml:space="preserve">konečným spotřebitelem, </w:t>
      </w:r>
      <w:r w:rsidR="00972FD4">
        <w:t xml:space="preserve">jedná se </w:t>
      </w:r>
      <w:r w:rsidR="00E34171">
        <w:t xml:space="preserve">o </w:t>
      </w:r>
      <w:r>
        <w:t>tzv. business-to-</w:t>
      </w:r>
      <w:proofErr w:type="spellStart"/>
      <w:r>
        <w:t>consumer</w:t>
      </w:r>
      <w:proofErr w:type="spellEnd"/>
      <w:r>
        <w:t xml:space="preserve"> </w:t>
      </w:r>
      <w:r w:rsidR="00F323D2">
        <w:t xml:space="preserve">(dále také „B2C“) </w:t>
      </w:r>
      <w:r w:rsidR="00972FD4">
        <w:t>transakce</w:t>
      </w:r>
      <w:r>
        <w:t xml:space="preserve">. </w:t>
      </w:r>
      <w:r w:rsidR="0003765D">
        <w:t>Daň z přidané hodnoty (dále také „DPH“)</w:t>
      </w:r>
      <w:r w:rsidR="000A0198" w:rsidRPr="005D4EF9">
        <w:t xml:space="preserve"> je harmonizovanou daní v rámci Evropské unie</w:t>
      </w:r>
      <w:r w:rsidR="0003765D">
        <w:t xml:space="preserve"> (dále také „EU“)</w:t>
      </w:r>
      <w:r w:rsidR="000A0198" w:rsidRPr="005D4EF9">
        <w:t>, její základní pravidla jsou stanoven</w:t>
      </w:r>
      <w:r w:rsidR="001C4B43">
        <w:t>a s</w:t>
      </w:r>
      <w:r w:rsidR="000A0198" w:rsidRPr="005D4EF9">
        <w:t xml:space="preserve">měrnicí </w:t>
      </w:r>
      <w:r w:rsidR="001B5A7E">
        <w:t xml:space="preserve">o </w:t>
      </w:r>
      <w:r w:rsidR="000A0198">
        <w:t>DPH</w:t>
      </w:r>
      <w:r w:rsidR="000A0198">
        <w:rPr>
          <w:rStyle w:val="Znakapoznpodarou"/>
        </w:rPr>
        <w:footnoteReference w:id="6"/>
      </w:r>
      <w:r w:rsidR="000A0198">
        <w:t xml:space="preserve">. </w:t>
      </w:r>
      <w:r w:rsidR="00956C4D">
        <w:t>S</w:t>
      </w:r>
      <w:r w:rsidR="000A0198" w:rsidRPr="005D4EF9">
        <w:t xml:space="preserve">měrnice </w:t>
      </w:r>
      <w:r w:rsidR="001B5A7E">
        <w:t xml:space="preserve">o </w:t>
      </w:r>
      <w:r w:rsidR="0003765D">
        <w:t xml:space="preserve">DPH </w:t>
      </w:r>
      <w:r w:rsidR="000A0198" w:rsidRPr="005D4EF9">
        <w:t>byla novelizována tzv.</w:t>
      </w:r>
      <w:r w:rsidR="001C4B43">
        <w:t xml:space="preserve"> </w:t>
      </w:r>
      <w:r w:rsidR="003E34D0">
        <w:t xml:space="preserve">balíčkem </w:t>
      </w:r>
      <w:r w:rsidR="000A0198" w:rsidRPr="005D4EF9">
        <w:t>e-</w:t>
      </w:r>
      <w:proofErr w:type="spellStart"/>
      <w:r w:rsidR="000A0198" w:rsidRPr="005D4EF9">
        <w:t>commerce</w:t>
      </w:r>
      <w:proofErr w:type="spellEnd"/>
      <w:r w:rsidR="000A0198">
        <w:rPr>
          <w:rStyle w:val="Znakapoznpodarou"/>
        </w:rPr>
        <w:footnoteReference w:id="7"/>
      </w:r>
      <w:r w:rsidR="000A0198">
        <w:t>,</w:t>
      </w:r>
      <w:r w:rsidR="001C4B43">
        <w:t xml:space="preserve"> </w:t>
      </w:r>
      <w:r w:rsidR="000A0198" w:rsidRPr="005D4EF9">
        <w:t xml:space="preserve">který vstoupil v účinnost 1. července 2021 a </w:t>
      </w:r>
      <w:r>
        <w:t>nastavil nová p</w:t>
      </w:r>
      <w:r w:rsidR="000A0198" w:rsidRPr="005D4EF9">
        <w:t>ravidla pro přeshraniční prodeje zboží koncovým spotřebitelům.</w:t>
      </w:r>
      <w:r w:rsidR="001B5A7E">
        <w:t xml:space="preserve"> </w:t>
      </w:r>
      <w:r w:rsidR="00956C4D">
        <w:rPr>
          <w:rFonts w:ascii="Calibri" w:eastAsia="Times New Roman" w:hAnsi="Calibri" w:cs="Calibri"/>
          <w:kern w:val="0"/>
          <w:lang w:eastAsia="cs-CZ"/>
          <w14:ligatures w14:val="none"/>
        </w:rPr>
        <w:t>U</w:t>
      </w:r>
      <w:r w:rsidR="00956C4D" w:rsidRPr="00956C4D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vedené změny byly do zákona </w:t>
      </w:r>
      <w:r w:rsidR="00956C4D">
        <w:rPr>
          <w:rFonts w:ascii="Calibri" w:eastAsia="Times New Roman" w:hAnsi="Calibri" w:cs="Calibri"/>
          <w:kern w:val="0"/>
          <w:lang w:eastAsia="cs-CZ"/>
          <w14:ligatures w14:val="none"/>
        </w:rPr>
        <w:t>o DPH</w:t>
      </w:r>
      <w:r w:rsidR="00956C4D">
        <w:rPr>
          <w:rStyle w:val="Znakapoznpodarou"/>
          <w:rFonts w:ascii="Calibri" w:eastAsia="Times New Roman" w:hAnsi="Calibri" w:cs="Calibri"/>
          <w:kern w:val="0"/>
          <w:lang w:eastAsia="cs-CZ"/>
          <w14:ligatures w14:val="none"/>
        </w:rPr>
        <w:footnoteReference w:id="8"/>
      </w:r>
      <w:r w:rsidR="00956C4D" w:rsidRPr="00956C4D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transponovány zákonem č. 355/2021 Sb.</w:t>
      </w:r>
      <w:r w:rsidR="00956C4D" w:rsidRPr="00313E6C">
        <w:rPr>
          <w:rStyle w:val="Znakapoznpodarou"/>
          <w:rFonts w:eastAsia="Times New Roman" w:cstheme="minorHAnsi"/>
          <w:kern w:val="0"/>
          <w:lang w:eastAsia="cs-CZ"/>
          <w14:ligatures w14:val="none"/>
        </w:rPr>
        <w:footnoteReference w:id="9"/>
      </w:r>
      <w:r w:rsidR="00956C4D" w:rsidRPr="00956C4D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r w:rsidR="005D6852">
        <w:t>DPH přijatá</w:t>
      </w:r>
      <w:r w:rsidR="001B5A7E">
        <w:t xml:space="preserve"> v ČR</w:t>
      </w:r>
      <w:r w:rsidR="005D6852">
        <w:t xml:space="preserve"> z jiných členských států v rámci </w:t>
      </w:r>
      <w:r w:rsidR="008545AA">
        <w:t xml:space="preserve">zvláštního </w:t>
      </w:r>
      <w:r w:rsidR="009A097E">
        <w:t>režimu za</w:t>
      </w:r>
      <w:r w:rsidR="005D6852">
        <w:t xml:space="preserve"> roky </w:t>
      </w:r>
      <w:r w:rsidR="00663E5E">
        <w:t>2021</w:t>
      </w:r>
      <w:r w:rsidR="005D6852">
        <w:t xml:space="preserve"> až 2024 činila cca 1,2</w:t>
      </w:r>
      <w:r w:rsidR="001C0E8B">
        <w:t>80</w:t>
      </w:r>
      <w:r w:rsidR="005D6852">
        <w:t xml:space="preserve"> mld. </w:t>
      </w:r>
      <w:r w:rsidR="00B27116">
        <w:t>eur</w:t>
      </w:r>
      <w:r w:rsidR="005D6852">
        <w:t xml:space="preserve">. </w:t>
      </w:r>
    </w:p>
    <w:p w14:paraId="4217210A" w14:textId="1CB9FD13" w:rsidR="00972FD4" w:rsidRPr="004F4695" w:rsidRDefault="00972FD4" w:rsidP="004F4695">
      <w:pPr>
        <w:spacing w:after="0" w:line="240" w:lineRule="auto"/>
        <w:jc w:val="both"/>
      </w:pPr>
    </w:p>
    <w:p w14:paraId="7AF551D8" w14:textId="206C90B5" w:rsidR="001D54B0" w:rsidRDefault="009517A1" w:rsidP="00833EAF">
      <w:pPr>
        <w:spacing w:after="0" w:line="240" w:lineRule="auto"/>
        <w:jc w:val="both"/>
        <w:rPr>
          <w:b/>
          <w:bCs/>
        </w:rPr>
      </w:pPr>
      <w:bookmarkStart w:id="3" w:name="_Hlk212715964"/>
      <w:bookmarkStart w:id="4" w:name="_Hlk212716301"/>
      <w:r>
        <w:rPr>
          <w:b/>
          <w:bCs/>
        </w:rPr>
        <w:t>EU v</w:t>
      </w:r>
      <w:r w:rsidR="000813C3">
        <w:rPr>
          <w:b/>
          <w:bCs/>
        </w:rPr>
        <w:t xml:space="preserve"> </w:t>
      </w:r>
      <w:r>
        <w:rPr>
          <w:b/>
          <w:bCs/>
        </w:rPr>
        <w:t xml:space="preserve">roce 2021 zavedla </w:t>
      </w:r>
      <w:r w:rsidR="00FD6BFA">
        <w:rPr>
          <w:b/>
          <w:bCs/>
        </w:rPr>
        <w:t xml:space="preserve">nový </w:t>
      </w:r>
      <w:r>
        <w:rPr>
          <w:b/>
          <w:bCs/>
        </w:rPr>
        <w:t xml:space="preserve">systém správy DPH </w:t>
      </w:r>
      <w:r w:rsidR="00FD6BFA">
        <w:rPr>
          <w:b/>
          <w:bCs/>
        </w:rPr>
        <w:t xml:space="preserve">u </w:t>
      </w:r>
      <w:r>
        <w:rPr>
          <w:b/>
          <w:bCs/>
        </w:rPr>
        <w:t xml:space="preserve">přeshraničního </w:t>
      </w:r>
      <w:r w:rsidR="008F1B3F">
        <w:rPr>
          <w:b/>
          <w:bCs/>
        </w:rPr>
        <w:t xml:space="preserve">elektronického </w:t>
      </w:r>
      <w:r>
        <w:rPr>
          <w:b/>
          <w:bCs/>
        </w:rPr>
        <w:t>obchodování</w:t>
      </w:r>
      <w:r w:rsidR="00FD6BFA">
        <w:rPr>
          <w:b/>
          <w:bCs/>
        </w:rPr>
        <w:t xml:space="preserve"> s cílem jednodušší a transparentnější správy DPH. </w:t>
      </w:r>
      <w:r w:rsidR="00E75135">
        <w:rPr>
          <w:b/>
          <w:bCs/>
        </w:rPr>
        <w:t xml:space="preserve">NKÚ zjistil, že Finanční správa </w:t>
      </w:r>
      <w:r w:rsidR="00D00171">
        <w:rPr>
          <w:b/>
          <w:bCs/>
        </w:rPr>
        <w:t xml:space="preserve">ČR </w:t>
      </w:r>
      <w:r w:rsidR="001B5A7E">
        <w:rPr>
          <w:b/>
          <w:bCs/>
        </w:rPr>
        <w:t xml:space="preserve">neměla </w:t>
      </w:r>
      <w:r w:rsidR="00E75135">
        <w:rPr>
          <w:b/>
          <w:bCs/>
        </w:rPr>
        <w:t>spolehlivé informace</w:t>
      </w:r>
      <w:r w:rsidR="007200C0">
        <w:rPr>
          <w:b/>
          <w:bCs/>
        </w:rPr>
        <w:t>,</w:t>
      </w:r>
      <w:r w:rsidR="00212046">
        <w:rPr>
          <w:b/>
          <w:bCs/>
        </w:rPr>
        <w:t xml:space="preserve"> aby mohla zjistit a ověřit,</w:t>
      </w:r>
      <w:r w:rsidR="009E6533">
        <w:rPr>
          <w:b/>
          <w:bCs/>
        </w:rPr>
        <w:t xml:space="preserve"> že subjekty</w:t>
      </w:r>
      <w:r w:rsidR="00AD55E8">
        <w:rPr>
          <w:b/>
          <w:bCs/>
        </w:rPr>
        <w:t xml:space="preserve"> </w:t>
      </w:r>
      <w:r w:rsidR="00663E5E">
        <w:rPr>
          <w:b/>
          <w:bCs/>
        </w:rPr>
        <w:t>registrované v</w:t>
      </w:r>
      <w:r w:rsidR="0089740E">
        <w:rPr>
          <w:b/>
          <w:bCs/>
        </w:rPr>
        <w:t>e</w:t>
      </w:r>
      <w:r w:rsidR="00212046">
        <w:rPr>
          <w:b/>
          <w:bCs/>
        </w:rPr>
        <w:t xml:space="preserve"> </w:t>
      </w:r>
      <w:r w:rsidR="0089740E">
        <w:rPr>
          <w:b/>
          <w:bCs/>
        </w:rPr>
        <w:t>zvláštním</w:t>
      </w:r>
      <w:r w:rsidR="0017692F">
        <w:rPr>
          <w:b/>
          <w:bCs/>
        </w:rPr>
        <w:t xml:space="preserve"> </w:t>
      </w:r>
      <w:r w:rsidR="00663E5E">
        <w:rPr>
          <w:b/>
          <w:bCs/>
        </w:rPr>
        <w:t>režimu</w:t>
      </w:r>
      <w:r w:rsidR="007200C0">
        <w:rPr>
          <w:b/>
          <w:bCs/>
        </w:rPr>
        <w:t xml:space="preserve"> </w:t>
      </w:r>
      <w:r w:rsidR="00AD55E8">
        <w:rPr>
          <w:b/>
          <w:bCs/>
        </w:rPr>
        <w:t>přiznaly</w:t>
      </w:r>
      <w:r w:rsidR="007200C0">
        <w:rPr>
          <w:b/>
          <w:bCs/>
        </w:rPr>
        <w:t xml:space="preserve"> a odvedly</w:t>
      </w:r>
      <w:r w:rsidR="007200C0" w:rsidRPr="007200C0">
        <w:rPr>
          <w:b/>
          <w:bCs/>
        </w:rPr>
        <w:t xml:space="preserve"> </w:t>
      </w:r>
      <w:r w:rsidR="007200C0">
        <w:rPr>
          <w:b/>
          <w:bCs/>
        </w:rPr>
        <w:t>DPH ve správné výši</w:t>
      </w:r>
      <w:r w:rsidR="009405B1">
        <w:rPr>
          <w:b/>
          <w:bCs/>
        </w:rPr>
        <w:t xml:space="preserve">. </w:t>
      </w:r>
      <w:r w:rsidR="00D50BFC">
        <w:rPr>
          <w:b/>
          <w:bCs/>
        </w:rPr>
        <w:t>C</w:t>
      </w:r>
      <w:r w:rsidR="00B10765">
        <w:rPr>
          <w:b/>
          <w:bCs/>
        </w:rPr>
        <w:t>elní správ</w:t>
      </w:r>
      <w:r w:rsidR="007200C0">
        <w:rPr>
          <w:b/>
          <w:bCs/>
        </w:rPr>
        <w:t>ě</w:t>
      </w:r>
      <w:r w:rsidR="00D50BFC">
        <w:rPr>
          <w:b/>
          <w:bCs/>
        </w:rPr>
        <w:t xml:space="preserve"> ČR</w:t>
      </w:r>
      <w:r w:rsidR="007200C0">
        <w:rPr>
          <w:b/>
          <w:bCs/>
        </w:rPr>
        <w:t xml:space="preserve"> chyběl</w:t>
      </w:r>
      <w:r w:rsidR="002B5EAB">
        <w:rPr>
          <w:b/>
          <w:bCs/>
        </w:rPr>
        <w:t>y</w:t>
      </w:r>
      <w:r w:rsidR="007200C0">
        <w:rPr>
          <w:b/>
          <w:bCs/>
        </w:rPr>
        <w:t xml:space="preserve"> někter</w:t>
      </w:r>
      <w:r w:rsidR="002B5EAB">
        <w:rPr>
          <w:b/>
          <w:bCs/>
        </w:rPr>
        <w:t>é</w:t>
      </w:r>
      <w:r w:rsidR="007200C0">
        <w:rPr>
          <w:b/>
          <w:bCs/>
        </w:rPr>
        <w:t xml:space="preserve"> </w:t>
      </w:r>
      <w:r w:rsidR="002B5EAB">
        <w:rPr>
          <w:b/>
          <w:bCs/>
        </w:rPr>
        <w:t>údaje</w:t>
      </w:r>
      <w:r w:rsidR="007200C0">
        <w:rPr>
          <w:b/>
          <w:bCs/>
        </w:rPr>
        <w:t>, aby mohla</w:t>
      </w:r>
      <w:r w:rsidR="00D50BFC">
        <w:rPr>
          <w:b/>
          <w:bCs/>
        </w:rPr>
        <w:t xml:space="preserve"> ověřit </w:t>
      </w:r>
      <w:r w:rsidR="007200C0">
        <w:rPr>
          <w:b/>
          <w:bCs/>
        </w:rPr>
        <w:t xml:space="preserve">oprávněnost použití </w:t>
      </w:r>
      <w:r w:rsidR="003F038B">
        <w:rPr>
          <w:b/>
          <w:bCs/>
        </w:rPr>
        <w:t xml:space="preserve">dovozního </w:t>
      </w:r>
      <w:r w:rsidR="00D50BFC">
        <w:rPr>
          <w:b/>
          <w:bCs/>
        </w:rPr>
        <w:t>režimu</w:t>
      </w:r>
      <w:r w:rsidR="003E51A8" w:rsidRPr="00313E6C">
        <w:rPr>
          <w:b/>
          <w:bCs/>
        </w:rPr>
        <w:t xml:space="preserve"> </w:t>
      </w:r>
      <w:r w:rsidR="007200C0" w:rsidRPr="00313E6C">
        <w:rPr>
          <w:b/>
          <w:bCs/>
        </w:rPr>
        <w:t>subjekty</w:t>
      </w:r>
      <w:r w:rsidR="008D251A" w:rsidRPr="00313E6C">
        <w:rPr>
          <w:b/>
          <w:bCs/>
        </w:rPr>
        <w:t>, které</w:t>
      </w:r>
      <w:r w:rsidR="007200C0" w:rsidRPr="00313E6C">
        <w:rPr>
          <w:b/>
          <w:bCs/>
        </w:rPr>
        <w:t xml:space="preserve"> </w:t>
      </w:r>
      <w:r w:rsidR="008D251A" w:rsidRPr="00313E6C">
        <w:rPr>
          <w:b/>
          <w:bCs/>
        </w:rPr>
        <w:t>deklarovaly</w:t>
      </w:r>
      <w:r w:rsidR="007200C0" w:rsidRPr="00313E6C">
        <w:rPr>
          <w:b/>
          <w:bCs/>
        </w:rPr>
        <w:t xml:space="preserve"> zboží nízké hodnoty</w:t>
      </w:r>
      <w:r w:rsidR="008D251A" w:rsidRPr="00313E6C">
        <w:rPr>
          <w:b/>
          <w:bCs/>
        </w:rPr>
        <w:t>.</w:t>
      </w:r>
      <w:r w:rsidR="00641442">
        <w:rPr>
          <w:b/>
          <w:bCs/>
        </w:rPr>
        <w:t xml:space="preserve"> </w:t>
      </w:r>
      <w:r w:rsidR="002B5357">
        <w:rPr>
          <w:b/>
          <w:bCs/>
        </w:rPr>
        <w:t>Docházelo k</w:t>
      </w:r>
      <w:r w:rsidR="005A20D7">
        <w:rPr>
          <w:b/>
          <w:bCs/>
        </w:rPr>
        <w:t xml:space="preserve"> </w:t>
      </w:r>
      <w:r w:rsidR="00B41F8A">
        <w:rPr>
          <w:b/>
          <w:bCs/>
        </w:rPr>
        <w:t xml:space="preserve">podhodnocení </w:t>
      </w:r>
      <w:r w:rsidR="009D3BF3">
        <w:rPr>
          <w:b/>
          <w:bCs/>
        </w:rPr>
        <w:t>zboží</w:t>
      </w:r>
      <w:r w:rsidR="002B5357" w:rsidRPr="002B5357">
        <w:rPr>
          <w:b/>
          <w:bCs/>
        </w:rPr>
        <w:t xml:space="preserve"> </w:t>
      </w:r>
      <w:r w:rsidR="002B5357">
        <w:rPr>
          <w:b/>
          <w:bCs/>
        </w:rPr>
        <w:t xml:space="preserve">nízké hodnoty v dovozním režimu, Celní správa ČR odhalila </w:t>
      </w:r>
      <w:r w:rsidR="003E34D0">
        <w:rPr>
          <w:b/>
          <w:bCs/>
        </w:rPr>
        <w:t xml:space="preserve">nesrovnalosti v hodnotě zboží </w:t>
      </w:r>
      <w:r w:rsidR="009943C0">
        <w:rPr>
          <w:b/>
          <w:bCs/>
        </w:rPr>
        <w:t>u 61 % zkontrolovaných zásilek</w:t>
      </w:r>
      <w:r w:rsidR="00E857E1">
        <w:rPr>
          <w:b/>
          <w:bCs/>
        </w:rPr>
        <w:t>.</w:t>
      </w:r>
      <w:r w:rsidR="009D3BF3">
        <w:rPr>
          <w:b/>
          <w:bCs/>
        </w:rPr>
        <w:t xml:space="preserve"> </w:t>
      </w:r>
      <w:r w:rsidR="00AC40A8">
        <w:rPr>
          <w:b/>
          <w:bCs/>
        </w:rPr>
        <w:t>S</w:t>
      </w:r>
      <w:r w:rsidR="00E75135">
        <w:rPr>
          <w:b/>
          <w:bCs/>
        </w:rPr>
        <w:t>ystém</w:t>
      </w:r>
      <w:r w:rsidR="00373645">
        <w:rPr>
          <w:b/>
          <w:bCs/>
        </w:rPr>
        <w:t xml:space="preserve"> </w:t>
      </w:r>
      <w:r w:rsidR="00E75135">
        <w:rPr>
          <w:b/>
          <w:bCs/>
        </w:rPr>
        <w:t>zavedený na úrovni EU vykazuje řadu nedostatků a chybných údajů</w:t>
      </w:r>
      <w:r w:rsidR="00AC40A8">
        <w:rPr>
          <w:b/>
          <w:bCs/>
        </w:rPr>
        <w:t xml:space="preserve">. V důsledku toho </w:t>
      </w:r>
      <w:r w:rsidR="001D54B0">
        <w:rPr>
          <w:b/>
          <w:bCs/>
        </w:rPr>
        <w:t>byly peněžní prostředky na některé činnosti při správě DPH v</w:t>
      </w:r>
      <w:r w:rsidR="006B4E44">
        <w:rPr>
          <w:b/>
          <w:bCs/>
        </w:rPr>
        <w:t xml:space="preserve"> </w:t>
      </w:r>
      <w:r w:rsidR="001D54B0">
        <w:rPr>
          <w:b/>
          <w:bCs/>
        </w:rPr>
        <w:t xml:space="preserve">oblasti přeshraničního elektronického obchodování vynaloženy se sníženou účelností. </w:t>
      </w:r>
      <w:bookmarkEnd w:id="3"/>
    </w:p>
    <w:bookmarkEnd w:id="4"/>
    <w:p w14:paraId="3B1B26FE" w14:textId="77777777" w:rsidR="00D50BFC" w:rsidRDefault="00D50BFC" w:rsidP="00D50BFC">
      <w:pPr>
        <w:spacing w:after="0" w:line="240" w:lineRule="auto"/>
        <w:jc w:val="both"/>
      </w:pPr>
    </w:p>
    <w:p w14:paraId="45C7BB30" w14:textId="13D0FC22" w:rsidR="00972FD4" w:rsidRPr="004F4695" w:rsidRDefault="000813C3" w:rsidP="004F4695">
      <w:pPr>
        <w:spacing w:after="0" w:line="240" w:lineRule="auto"/>
        <w:jc w:val="both"/>
      </w:pPr>
      <w:r>
        <w:rPr>
          <w:b/>
          <w:bCs/>
        </w:rPr>
        <w:t>K</w:t>
      </w:r>
      <w:r w:rsidR="00373645">
        <w:rPr>
          <w:b/>
          <w:bCs/>
        </w:rPr>
        <w:t>ontrol</w:t>
      </w:r>
      <w:r>
        <w:rPr>
          <w:b/>
          <w:bCs/>
        </w:rPr>
        <w:t>ou</w:t>
      </w:r>
      <w:r w:rsidR="00373645">
        <w:rPr>
          <w:b/>
          <w:bCs/>
        </w:rPr>
        <w:t xml:space="preserve"> dodržování právních předpisů při správě DPH v oblasti přeshraničního elektronického obchodování </w:t>
      </w:r>
      <w:r>
        <w:rPr>
          <w:b/>
          <w:bCs/>
        </w:rPr>
        <w:t xml:space="preserve">nezjistil </w:t>
      </w:r>
      <w:r w:rsidR="00373645">
        <w:rPr>
          <w:b/>
          <w:bCs/>
        </w:rPr>
        <w:t xml:space="preserve">NKÚ závažné nedostatky. </w:t>
      </w:r>
    </w:p>
    <w:p w14:paraId="1A65072B" w14:textId="77777777" w:rsidR="00972FD4" w:rsidRPr="0093236E" w:rsidRDefault="00972FD4" w:rsidP="00972FD4">
      <w:pPr>
        <w:spacing w:after="0" w:line="240" w:lineRule="auto"/>
        <w:jc w:val="both"/>
        <w:rPr>
          <w:b/>
          <w:bCs/>
        </w:rPr>
      </w:pPr>
    </w:p>
    <w:p w14:paraId="30D0B139" w14:textId="77777777" w:rsidR="00972FD4" w:rsidRDefault="00972FD4" w:rsidP="00972FD4">
      <w:pPr>
        <w:spacing w:after="0" w:line="240" w:lineRule="auto"/>
        <w:jc w:val="both"/>
      </w:pPr>
      <w:r w:rsidRPr="0093236E">
        <w:t>Toto celkové hodnocení se opírá o následující zjištění:</w:t>
      </w:r>
    </w:p>
    <w:p w14:paraId="512B9ED0" w14:textId="77777777" w:rsidR="00972FD4" w:rsidRDefault="00972FD4" w:rsidP="00972FD4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14:ligatures w14:val="none"/>
        </w:rPr>
      </w:pPr>
    </w:p>
    <w:p w14:paraId="42A8C4B6" w14:textId="2E270CAD" w:rsidR="00112305" w:rsidRPr="002C077D" w:rsidRDefault="00D52CE7" w:rsidP="003432C9">
      <w:pPr>
        <w:pStyle w:val="Odstavecseseznamem"/>
        <w:numPr>
          <w:ilvl w:val="0"/>
          <w:numId w:val="7"/>
        </w:numPr>
        <w:spacing w:line="240" w:lineRule="auto"/>
        <w:jc w:val="both"/>
        <w:rPr>
          <w:b/>
          <w:bCs/>
        </w:rPr>
      </w:pPr>
      <w:r>
        <w:rPr>
          <w:b/>
          <w:bCs/>
        </w:rPr>
        <w:t>FÚ JMK</w:t>
      </w:r>
      <w:r w:rsidR="00F83CAB">
        <w:rPr>
          <w:b/>
          <w:bCs/>
        </w:rPr>
        <w:t xml:space="preserve"> </w:t>
      </w:r>
      <w:r w:rsidR="00C07229">
        <w:rPr>
          <w:b/>
          <w:bCs/>
        </w:rPr>
        <w:t>nemohl párovat</w:t>
      </w:r>
      <w:r w:rsidR="00F83CAB">
        <w:rPr>
          <w:b/>
          <w:bCs/>
        </w:rPr>
        <w:t xml:space="preserve"> platby DPH </w:t>
      </w:r>
      <w:r w:rsidR="00372B82">
        <w:rPr>
          <w:b/>
          <w:bCs/>
        </w:rPr>
        <w:t xml:space="preserve">přijaté </w:t>
      </w:r>
      <w:r w:rsidR="00F83CAB">
        <w:rPr>
          <w:b/>
          <w:bCs/>
        </w:rPr>
        <w:t>z</w:t>
      </w:r>
      <w:r w:rsidR="003A33F0">
        <w:rPr>
          <w:b/>
          <w:bCs/>
        </w:rPr>
        <w:t> jiných členských států</w:t>
      </w:r>
      <w:r w:rsidR="00EB6C59">
        <w:rPr>
          <w:b/>
          <w:bCs/>
        </w:rPr>
        <w:t xml:space="preserve"> EU</w:t>
      </w:r>
      <w:r w:rsidR="00F83CAB">
        <w:rPr>
          <w:b/>
          <w:bCs/>
        </w:rPr>
        <w:t xml:space="preserve"> v případech, kdy neobdržel kompletní informace k jednotlivým platbám </w:t>
      </w:r>
    </w:p>
    <w:p w14:paraId="21508CE7" w14:textId="7FF84060" w:rsidR="006E5928" w:rsidRDefault="00017F41" w:rsidP="006E5928">
      <w:pPr>
        <w:pStyle w:val="Odstavecseseznamem"/>
        <w:spacing w:line="240" w:lineRule="auto"/>
        <w:ind w:left="360"/>
        <w:jc w:val="both"/>
        <w:rPr>
          <w:rFonts w:cstheme="minorHAnsi"/>
        </w:rPr>
      </w:pPr>
      <w:r>
        <w:rPr>
          <w:rFonts w:cstheme="minorHAnsi"/>
        </w:rPr>
        <w:t xml:space="preserve">NKÚ zjistil, že </w:t>
      </w:r>
      <w:r w:rsidRPr="00112305">
        <w:rPr>
          <w:rFonts w:cstheme="minorHAnsi"/>
        </w:rPr>
        <w:t xml:space="preserve">FÚ JMK </w:t>
      </w:r>
      <w:r>
        <w:rPr>
          <w:rFonts w:cstheme="minorHAnsi"/>
        </w:rPr>
        <w:t xml:space="preserve">nemohl automatizovaně zpracovávat platby DPH z jiných členských států </w:t>
      </w:r>
      <w:r w:rsidR="00B10765">
        <w:rPr>
          <w:rFonts w:cstheme="minorHAnsi"/>
        </w:rPr>
        <w:t xml:space="preserve">(dále také „JČS“) </w:t>
      </w:r>
      <w:r>
        <w:rPr>
          <w:rFonts w:cstheme="minorHAnsi"/>
        </w:rPr>
        <w:t xml:space="preserve">v případech, </w:t>
      </w:r>
      <w:r w:rsidR="008C640F">
        <w:rPr>
          <w:rFonts w:cstheme="minorHAnsi"/>
        </w:rPr>
        <w:t>kdy</w:t>
      </w:r>
      <w:r>
        <w:rPr>
          <w:rFonts w:cstheme="minorHAnsi"/>
        </w:rPr>
        <w:t xml:space="preserve"> </w:t>
      </w:r>
      <w:r>
        <w:rPr>
          <w:color w:val="000000" w:themeColor="text1"/>
        </w:rPr>
        <w:t>neobdržel</w:t>
      </w:r>
      <w:r w:rsidR="00D52CE7">
        <w:rPr>
          <w:color w:val="000000" w:themeColor="text1"/>
        </w:rPr>
        <w:t xml:space="preserve"> od JČS</w:t>
      </w:r>
      <w:r>
        <w:rPr>
          <w:color w:val="000000" w:themeColor="text1"/>
        </w:rPr>
        <w:t xml:space="preserve"> </w:t>
      </w:r>
      <w:r w:rsidRPr="00E269EC">
        <w:rPr>
          <w:color w:val="000000" w:themeColor="text1"/>
        </w:rPr>
        <w:t>informac</w:t>
      </w:r>
      <w:r>
        <w:rPr>
          <w:color w:val="000000" w:themeColor="text1"/>
        </w:rPr>
        <w:t>e</w:t>
      </w:r>
      <w:r w:rsidRPr="00E269EC">
        <w:rPr>
          <w:color w:val="000000" w:themeColor="text1"/>
        </w:rPr>
        <w:t xml:space="preserve"> o tom, která daňová přiznání </w:t>
      </w:r>
      <w:r w:rsidR="004B7073">
        <w:rPr>
          <w:color w:val="000000" w:themeColor="text1"/>
        </w:rPr>
        <w:t xml:space="preserve">(dále také „DAP“) </w:t>
      </w:r>
      <w:r w:rsidR="00B10765">
        <w:rPr>
          <w:color w:val="000000" w:themeColor="text1"/>
        </w:rPr>
        <w:t>v</w:t>
      </w:r>
      <w:r w:rsidR="00E420C3">
        <w:rPr>
          <w:color w:val="000000" w:themeColor="text1"/>
        </w:rPr>
        <w:t>e zvláštním</w:t>
      </w:r>
      <w:r w:rsidR="008C640F">
        <w:rPr>
          <w:color w:val="000000" w:themeColor="text1"/>
        </w:rPr>
        <w:t xml:space="preserve"> </w:t>
      </w:r>
      <w:r w:rsidR="00B10765">
        <w:rPr>
          <w:color w:val="000000" w:themeColor="text1"/>
        </w:rPr>
        <w:t xml:space="preserve">režimu </w:t>
      </w:r>
      <w:r w:rsidRPr="00E269EC">
        <w:rPr>
          <w:color w:val="000000" w:themeColor="text1"/>
        </w:rPr>
        <w:t>mají být obdrženou platbou hrazena</w:t>
      </w:r>
      <w:r w:rsidR="008C640F">
        <w:rPr>
          <w:color w:val="000000" w:themeColor="text1"/>
        </w:rPr>
        <w:t>,</w:t>
      </w:r>
      <w:r>
        <w:rPr>
          <w:color w:val="000000" w:themeColor="text1"/>
        </w:rPr>
        <w:t xml:space="preserve"> nebo </w:t>
      </w:r>
      <w:r w:rsidR="00A77072">
        <w:rPr>
          <w:color w:val="000000" w:themeColor="text1"/>
        </w:rPr>
        <w:t xml:space="preserve">když </w:t>
      </w:r>
      <w:r>
        <w:rPr>
          <w:rFonts w:cstheme="minorHAnsi"/>
        </w:rPr>
        <w:t xml:space="preserve">zaslané informace obsahovaly chyby. </w:t>
      </w:r>
      <w:r w:rsidR="00951F91" w:rsidRPr="00BA144D">
        <w:rPr>
          <w:rFonts w:cstheme="minorHAnsi"/>
        </w:rPr>
        <w:t>V důsledku toho</w:t>
      </w:r>
      <w:r w:rsidR="00951F91">
        <w:rPr>
          <w:rFonts w:cstheme="minorHAnsi"/>
        </w:rPr>
        <w:t xml:space="preserve"> zůstávala část plateb </w:t>
      </w:r>
      <w:r w:rsidR="00C768D5">
        <w:rPr>
          <w:rFonts w:cstheme="minorHAnsi"/>
        </w:rPr>
        <w:t>DPH nepřevedena na příjmové účty státního rozpočtu</w:t>
      </w:r>
      <w:r w:rsidR="00951F91" w:rsidRPr="00BA144D">
        <w:rPr>
          <w:rFonts w:cstheme="minorHAnsi"/>
        </w:rPr>
        <w:t xml:space="preserve">. Ke dni 24. dubna 2025 evidoval FÚ JMK nevyjasněné rozpisy plateb v celkové výši 461 </w:t>
      </w:r>
      <w:r w:rsidR="00C07229">
        <w:rPr>
          <w:rFonts w:cstheme="minorHAnsi"/>
        </w:rPr>
        <w:t>tis.</w:t>
      </w:r>
      <w:r w:rsidR="00C07229" w:rsidRPr="00BA144D">
        <w:rPr>
          <w:rFonts w:cstheme="minorHAnsi"/>
        </w:rPr>
        <w:t xml:space="preserve"> </w:t>
      </w:r>
      <w:r w:rsidR="00951F91" w:rsidRPr="00BA144D">
        <w:rPr>
          <w:rFonts w:cstheme="minorHAnsi"/>
        </w:rPr>
        <w:t>eur</w:t>
      </w:r>
      <w:r w:rsidR="00716D62">
        <w:rPr>
          <w:rFonts w:cstheme="minorHAnsi"/>
        </w:rPr>
        <w:t>;</w:t>
      </w:r>
      <w:r w:rsidR="00951F91" w:rsidRPr="00BA144D">
        <w:rPr>
          <w:rFonts w:cstheme="minorHAnsi"/>
        </w:rPr>
        <w:t xml:space="preserve"> </w:t>
      </w:r>
      <w:bookmarkStart w:id="5" w:name="_Hlk213765334"/>
      <w:r w:rsidR="00716D62">
        <w:rPr>
          <w:rFonts w:ascii="Calibri" w:eastAsia="Calibri" w:hAnsi="Calibri" w:cs="Arial"/>
        </w:rPr>
        <w:t>v listopadu 2022 evidoval</w:t>
      </w:r>
      <w:r w:rsidR="00951F91" w:rsidRPr="00BA144D">
        <w:rPr>
          <w:rFonts w:cstheme="minorHAnsi"/>
        </w:rPr>
        <w:t xml:space="preserve"> </w:t>
      </w:r>
      <w:r w:rsidR="00944EDD">
        <w:rPr>
          <w:rFonts w:cstheme="minorHAnsi"/>
        </w:rPr>
        <w:t>hodnot</w:t>
      </w:r>
      <w:r w:rsidR="00716D62">
        <w:rPr>
          <w:rFonts w:cstheme="minorHAnsi"/>
        </w:rPr>
        <w:t>u</w:t>
      </w:r>
      <w:r w:rsidR="00944EDD">
        <w:rPr>
          <w:rFonts w:cstheme="minorHAnsi"/>
        </w:rPr>
        <w:t xml:space="preserve"> </w:t>
      </w:r>
      <w:r w:rsidR="00AB3F6E">
        <w:rPr>
          <w:rFonts w:cstheme="minorHAnsi"/>
        </w:rPr>
        <w:t xml:space="preserve">plateb DPH </w:t>
      </w:r>
      <w:r w:rsidR="00944EDD">
        <w:rPr>
          <w:rFonts w:cstheme="minorHAnsi"/>
        </w:rPr>
        <w:t>nepřiřazených k</w:t>
      </w:r>
      <w:r w:rsidR="00381D78">
        <w:rPr>
          <w:rFonts w:cstheme="minorHAnsi"/>
        </w:rPr>
        <w:t> </w:t>
      </w:r>
      <w:r w:rsidR="00B10765">
        <w:rPr>
          <w:rFonts w:cstheme="minorHAnsi"/>
        </w:rPr>
        <w:t>DAP</w:t>
      </w:r>
      <w:r w:rsidR="00381D78">
        <w:rPr>
          <w:rFonts w:cstheme="minorHAnsi"/>
        </w:rPr>
        <w:t xml:space="preserve"> </w:t>
      </w:r>
      <w:r w:rsidR="003B2C31">
        <w:rPr>
          <w:rFonts w:cstheme="minorHAnsi"/>
        </w:rPr>
        <w:t xml:space="preserve">ve </w:t>
      </w:r>
      <w:r w:rsidR="00C2649A">
        <w:rPr>
          <w:rFonts w:cstheme="minorHAnsi"/>
        </w:rPr>
        <w:t xml:space="preserve">zvláštním </w:t>
      </w:r>
      <w:r w:rsidR="00C2649A" w:rsidRPr="00C07229">
        <w:rPr>
          <w:rFonts w:cstheme="minorHAnsi"/>
        </w:rPr>
        <w:t>režimu</w:t>
      </w:r>
      <w:r w:rsidR="00951F91" w:rsidRPr="00C07229">
        <w:rPr>
          <w:rFonts w:cstheme="minorHAnsi"/>
        </w:rPr>
        <w:t xml:space="preserve"> </w:t>
      </w:r>
      <w:r w:rsidR="00716D62">
        <w:rPr>
          <w:rFonts w:cstheme="minorHAnsi"/>
        </w:rPr>
        <w:t>v částce přesahující</w:t>
      </w:r>
      <w:r w:rsidR="007B7A98">
        <w:rPr>
          <w:rFonts w:cstheme="minorHAnsi"/>
        </w:rPr>
        <w:t xml:space="preserve"> </w:t>
      </w:r>
      <w:r w:rsidR="00B87CBD">
        <w:rPr>
          <w:rFonts w:cstheme="minorHAnsi"/>
        </w:rPr>
        <w:t>98 mil.</w:t>
      </w:r>
      <w:r w:rsidR="00C07229">
        <w:rPr>
          <w:rFonts w:cstheme="minorHAnsi"/>
        </w:rPr>
        <w:t xml:space="preserve"> </w:t>
      </w:r>
      <w:r w:rsidR="00C42828">
        <w:rPr>
          <w:rFonts w:cstheme="minorHAnsi"/>
        </w:rPr>
        <w:t>eur</w:t>
      </w:r>
      <w:r w:rsidR="00951F91" w:rsidRPr="00BA144D">
        <w:rPr>
          <w:rFonts w:cstheme="minorHAnsi"/>
        </w:rPr>
        <w:t>.</w:t>
      </w:r>
      <w:bookmarkEnd w:id="5"/>
      <w:r w:rsidR="00951F91" w:rsidRPr="00BA144D">
        <w:rPr>
          <w:rFonts w:cstheme="minorHAnsi"/>
        </w:rPr>
        <w:t xml:space="preserve"> </w:t>
      </w:r>
    </w:p>
    <w:p w14:paraId="5D8BB1F1" w14:textId="77777777" w:rsidR="006E5928" w:rsidRDefault="006E5928" w:rsidP="006E5928">
      <w:pPr>
        <w:pStyle w:val="Odstavecseseznamem"/>
        <w:spacing w:line="240" w:lineRule="auto"/>
        <w:ind w:left="360"/>
        <w:jc w:val="both"/>
        <w:rPr>
          <w:rFonts w:cstheme="minorHAnsi"/>
        </w:rPr>
      </w:pPr>
    </w:p>
    <w:p w14:paraId="613F5EB1" w14:textId="5C0B1E88" w:rsidR="006E5928" w:rsidRPr="00F21D61" w:rsidRDefault="006E5928" w:rsidP="00313E6C">
      <w:pPr>
        <w:pStyle w:val="Odstavecseseznamem"/>
        <w:spacing w:line="240" w:lineRule="auto"/>
        <w:ind w:left="360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Skutečnost, že nedošlo ke spárování plateb DPH obdržených z JČS, </w:t>
      </w:r>
      <w:r w:rsidR="009F003F">
        <w:rPr>
          <w:rFonts w:cstheme="minorHAnsi"/>
        </w:rPr>
        <w:t>měla vliv na</w:t>
      </w:r>
      <w:r>
        <w:rPr>
          <w:rFonts w:cstheme="minorHAnsi"/>
        </w:rPr>
        <w:t xml:space="preserve"> oblast vymáhání nedoplatků DPH, neboť FÚ JMK </w:t>
      </w:r>
      <w:r w:rsidR="003A33F0">
        <w:rPr>
          <w:rFonts w:cstheme="minorHAnsi"/>
        </w:rPr>
        <w:t>nedisponoval údaji</w:t>
      </w:r>
      <w:r w:rsidR="009F003F">
        <w:rPr>
          <w:rFonts w:cstheme="minorHAnsi"/>
        </w:rPr>
        <w:t xml:space="preserve"> o tom</w:t>
      </w:r>
      <w:r>
        <w:rPr>
          <w:rFonts w:cstheme="minorHAnsi"/>
        </w:rPr>
        <w:t xml:space="preserve">, která DAP ve zvláštním režimu nebyla skutečně uhrazena. Nespárované platby byly zahrnuty do </w:t>
      </w:r>
      <w:r w:rsidR="009F003F">
        <w:rPr>
          <w:rFonts w:cstheme="minorHAnsi"/>
        </w:rPr>
        <w:t>celkového objemu</w:t>
      </w:r>
      <w:r>
        <w:rPr>
          <w:rFonts w:cstheme="minorHAnsi"/>
        </w:rPr>
        <w:t xml:space="preserve"> nedoplatků DPH, kter</w:t>
      </w:r>
      <w:r w:rsidR="009F003F">
        <w:rPr>
          <w:rFonts w:cstheme="minorHAnsi"/>
        </w:rPr>
        <w:t>ý</w:t>
      </w:r>
      <w:r>
        <w:rPr>
          <w:rFonts w:cstheme="minorHAnsi"/>
        </w:rPr>
        <w:t xml:space="preserve"> ke konci roku 2024 činil téměř 55 mil. </w:t>
      </w:r>
      <w:r w:rsidR="00AC3DA7">
        <w:rPr>
          <w:rFonts w:cstheme="minorHAnsi"/>
        </w:rPr>
        <w:t>eur</w:t>
      </w:r>
      <w:r>
        <w:rPr>
          <w:rFonts w:cstheme="minorHAnsi"/>
        </w:rPr>
        <w:t>.</w:t>
      </w:r>
    </w:p>
    <w:p w14:paraId="16D48DE0" w14:textId="77777777" w:rsidR="00767D08" w:rsidRDefault="00767D08" w:rsidP="00767D08">
      <w:pPr>
        <w:pStyle w:val="Odstavecseseznamem"/>
        <w:spacing w:line="240" w:lineRule="auto"/>
        <w:ind w:left="360"/>
        <w:jc w:val="both"/>
        <w:rPr>
          <w:rFonts w:cstheme="minorHAnsi"/>
        </w:rPr>
      </w:pPr>
    </w:p>
    <w:p w14:paraId="1AAA90E8" w14:textId="5FA9A11F" w:rsidR="002C077D" w:rsidRPr="00FD0EF3" w:rsidRDefault="009F7877" w:rsidP="009F7877">
      <w:pPr>
        <w:pStyle w:val="Odstavecseseznamem"/>
        <w:spacing w:line="240" w:lineRule="auto"/>
        <w:ind w:left="360"/>
        <w:jc w:val="both"/>
      </w:pPr>
      <w:r>
        <w:t xml:space="preserve">NKÚ dále zjistil, že </w:t>
      </w:r>
      <w:r w:rsidR="003A33F0">
        <w:t>pokud</w:t>
      </w:r>
      <w:r>
        <w:t xml:space="preserve"> </w:t>
      </w:r>
      <w:r w:rsidR="00FD0EF3">
        <w:t>subjekt</w:t>
      </w:r>
      <w:r w:rsidR="00CA2CB7">
        <w:t xml:space="preserve"> v </w:t>
      </w:r>
      <w:r w:rsidR="00D52CE7">
        <w:t>JČS</w:t>
      </w:r>
      <w:r w:rsidR="00FD0EF3">
        <w:t xml:space="preserve"> nepodal </w:t>
      </w:r>
      <w:r w:rsidR="00381D78">
        <w:t xml:space="preserve">DAP </w:t>
      </w:r>
      <w:r w:rsidR="00C2649A">
        <w:t>ve zvláštním režimu</w:t>
      </w:r>
      <w:r>
        <w:t>,</w:t>
      </w:r>
      <w:r w:rsidR="00FD0EF3">
        <w:t xml:space="preserve"> </w:t>
      </w:r>
      <w:r w:rsidR="00C42828">
        <w:t xml:space="preserve">FÚ JMK nemohl </w:t>
      </w:r>
      <w:r w:rsidR="00CA2CB7">
        <w:t>zjistit</w:t>
      </w:r>
      <w:r>
        <w:rPr>
          <w:rFonts w:cstheme="minorHAnsi"/>
        </w:rPr>
        <w:t>, zda</w:t>
      </w:r>
      <w:r w:rsidR="00CA2CB7">
        <w:rPr>
          <w:rFonts w:cstheme="minorHAnsi"/>
        </w:rPr>
        <w:t xml:space="preserve"> </w:t>
      </w:r>
      <w:r w:rsidR="003A33F0">
        <w:rPr>
          <w:rFonts w:cstheme="minorHAnsi"/>
        </w:rPr>
        <w:t xml:space="preserve">a </w:t>
      </w:r>
      <w:r>
        <w:rPr>
          <w:rFonts w:cstheme="minorHAnsi"/>
        </w:rPr>
        <w:t>v</w:t>
      </w:r>
      <w:r w:rsidR="009F003F">
        <w:rPr>
          <w:rFonts w:cstheme="minorHAnsi"/>
        </w:rPr>
        <w:t xml:space="preserve"> </w:t>
      </w:r>
      <w:r w:rsidR="00CA2CB7">
        <w:rPr>
          <w:rFonts w:cstheme="minorHAnsi"/>
        </w:rPr>
        <w:t xml:space="preserve">jaké výši </w:t>
      </w:r>
      <w:r w:rsidR="00D52CE7">
        <w:rPr>
          <w:rFonts w:cstheme="minorHAnsi"/>
        </w:rPr>
        <w:t>subjektu</w:t>
      </w:r>
      <w:r w:rsidR="00CA2CB7">
        <w:rPr>
          <w:rFonts w:cstheme="minorHAnsi"/>
        </w:rPr>
        <w:t xml:space="preserve"> vznikla vůči</w:t>
      </w:r>
      <w:r w:rsidR="009F003F">
        <w:rPr>
          <w:rFonts w:cstheme="minorHAnsi"/>
        </w:rPr>
        <w:t xml:space="preserve"> </w:t>
      </w:r>
      <w:r w:rsidR="00CA2CB7">
        <w:rPr>
          <w:rFonts w:cstheme="minorHAnsi"/>
        </w:rPr>
        <w:t xml:space="preserve">ČR jako státu spotřeby </w:t>
      </w:r>
      <w:r>
        <w:rPr>
          <w:rFonts w:cstheme="minorHAnsi"/>
        </w:rPr>
        <w:t>povinnost přiznat</w:t>
      </w:r>
      <w:r w:rsidR="00CA2CB7">
        <w:rPr>
          <w:rFonts w:cstheme="minorHAnsi"/>
        </w:rPr>
        <w:t xml:space="preserve"> a</w:t>
      </w:r>
      <w:r w:rsidR="009F003F">
        <w:rPr>
          <w:rFonts w:cstheme="minorHAnsi"/>
        </w:rPr>
        <w:t> </w:t>
      </w:r>
      <w:r w:rsidR="00CA2CB7">
        <w:rPr>
          <w:rFonts w:cstheme="minorHAnsi"/>
        </w:rPr>
        <w:t>odvést</w:t>
      </w:r>
      <w:r>
        <w:rPr>
          <w:rFonts w:cstheme="minorHAnsi"/>
        </w:rPr>
        <w:t xml:space="preserve"> DPH.</w:t>
      </w:r>
    </w:p>
    <w:p w14:paraId="1AB259BB" w14:textId="77777777" w:rsidR="00767D08" w:rsidRPr="00767D08" w:rsidRDefault="00767D08" w:rsidP="00767D08">
      <w:pPr>
        <w:pStyle w:val="Odstavecseseznamem"/>
        <w:spacing w:line="240" w:lineRule="auto"/>
        <w:ind w:left="360"/>
        <w:jc w:val="both"/>
        <w:rPr>
          <w:rFonts w:cstheme="minorHAnsi"/>
        </w:rPr>
      </w:pPr>
    </w:p>
    <w:p w14:paraId="270AFF6F" w14:textId="51BA24FE" w:rsidR="00944EDD" w:rsidRDefault="00677354" w:rsidP="003432C9">
      <w:pPr>
        <w:pStyle w:val="Odstavecseseznamem"/>
        <w:numPr>
          <w:ilvl w:val="0"/>
          <w:numId w:val="7"/>
        </w:numPr>
        <w:spacing w:line="240" w:lineRule="auto"/>
        <w:jc w:val="both"/>
        <w:rPr>
          <w:b/>
          <w:bCs/>
        </w:rPr>
      </w:pPr>
      <w:r>
        <w:rPr>
          <w:b/>
          <w:bCs/>
        </w:rPr>
        <w:t xml:space="preserve">GFŘ </w:t>
      </w:r>
      <w:r w:rsidR="00C961BD">
        <w:rPr>
          <w:b/>
          <w:bCs/>
        </w:rPr>
        <w:t>nemohlo plně využívat</w:t>
      </w:r>
      <w:r w:rsidR="009E6533">
        <w:rPr>
          <w:b/>
          <w:bCs/>
        </w:rPr>
        <w:t xml:space="preserve"> elektronické nástroje </w:t>
      </w:r>
      <w:r w:rsidR="00944EDD">
        <w:rPr>
          <w:b/>
          <w:bCs/>
        </w:rPr>
        <w:t>EU pro kontrolu</w:t>
      </w:r>
      <w:r w:rsidR="00944EDD" w:rsidRPr="00746790">
        <w:rPr>
          <w:b/>
          <w:bCs/>
        </w:rPr>
        <w:t xml:space="preserve"> DPH </w:t>
      </w:r>
      <w:r w:rsidR="00944EDD">
        <w:rPr>
          <w:b/>
          <w:bCs/>
        </w:rPr>
        <w:t>v</w:t>
      </w:r>
      <w:r w:rsidR="00C7603E">
        <w:rPr>
          <w:b/>
          <w:bCs/>
        </w:rPr>
        <w:t xml:space="preserve"> </w:t>
      </w:r>
      <w:r w:rsidR="00944EDD">
        <w:rPr>
          <w:b/>
          <w:bCs/>
        </w:rPr>
        <w:t>oblasti přeshraničního elektronického obchodování</w:t>
      </w:r>
      <w:r w:rsidR="008E3A14">
        <w:rPr>
          <w:b/>
          <w:bCs/>
        </w:rPr>
        <w:t>, protože data nebyla</w:t>
      </w:r>
      <w:r w:rsidR="00F40D6A">
        <w:rPr>
          <w:b/>
          <w:bCs/>
        </w:rPr>
        <w:t xml:space="preserve"> úplná a</w:t>
      </w:r>
      <w:r w:rsidR="00944EDD">
        <w:rPr>
          <w:b/>
          <w:bCs/>
        </w:rPr>
        <w:t xml:space="preserve"> </w:t>
      </w:r>
      <w:r w:rsidR="007B7A98">
        <w:rPr>
          <w:b/>
          <w:bCs/>
        </w:rPr>
        <w:t>spolehlivá</w:t>
      </w:r>
    </w:p>
    <w:p w14:paraId="70C5E09D" w14:textId="0997003A" w:rsidR="00677354" w:rsidRDefault="00930DDB" w:rsidP="00944EDD">
      <w:pPr>
        <w:pStyle w:val="Odstavecseseznamem"/>
        <w:spacing w:line="240" w:lineRule="auto"/>
        <w:ind w:left="360"/>
        <w:jc w:val="both"/>
        <w:rPr>
          <w:lang w:bidi="cs-CZ"/>
        </w:rPr>
      </w:pPr>
      <w:r>
        <w:rPr>
          <w:rFonts w:ascii="Calibri" w:hAnsi="Calibri" w:cs="Calibri"/>
        </w:rPr>
        <w:t xml:space="preserve">NKÚ zjistil, že </w:t>
      </w:r>
      <w:r w:rsidR="00677354">
        <w:rPr>
          <w:rFonts w:ascii="Calibri" w:hAnsi="Calibri" w:cs="Calibri"/>
        </w:rPr>
        <w:t>GFŘ</w:t>
      </w:r>
      <w:r w:rsidR="00677354" w:rsidRPr="00DA1467">
        <w:rPr>
          <w:rFonts w:ascii="Calibri" w:hAnsi="Calibri" w:cs="Calibri"/>
        </w:rPr>
        <w:t xml:space="preserve"> </w:t>
      </w:r>
      <w:r w:rsidR="00F752BD">
        <w:rPr>
          <w:rFonts w:ascii="Calibri" w:hAnsi="Calibri" w:cs="Calibri"/>
        </w:rPr>
        <w:t>nemohlo</w:t>
      </w:r>
      <w:r w:rsidR="00C961BD">
        <w:rPr>
          <w:rFonts w:ascii="Calibri" w:hAnsi="Calibri" w:cs="Calibri"/>
        </w:rPr>
        <w:t xml:space="preserve"> plnohodnotně využívat</w:t>
      </w:r>
      <w:r w:rsidR="00677354" w:rsidRPr="00DA1467">
        <w:rPr>
          <w:rFonts w:ascii="Calibri" w:hAnsi="Calibri" w:cs="Calibri"/>
        </w:rPr>
        <w:t xml:space="preserve"> </w:t>
      </w:r>
      <w:r w:rsidR="00677354">
        <w:rPr>
          <w:rFonts w:ascii="Calibri" w:hAnsi="Calibri" w:cs="Calibri"/>
        </w:rPr>
        <w:t xml:space="preserve">elektronické </w:t>
      </w:r>
      <w:r w:rsidR="00677354" w:rsidRPr="00DA1467">
        <w:rPr>
          <w:rFonts w:ascii="Calibri" w:hAnsi="Calibri" w:cs="Calibri"/>
        </w:rPr>
        <w:t xml:space="preserve">nástroje zavedené Evropskou komisí, konkrétně systém </w:t>
      </w:r>
      <w:proofErr w:type="spellStart"/>
      <w:r w:rsidR="00677354" w:rsidRPr="00F16B71">
        <w:rPr>
          <w:rFonts w:ascii="Calibri" w:hAnsi="Calibri" w:cs="Calibri"/>
          <w:i/>
          <w:iCs/>
        </w:rPr>
        <w:t>Surveillance</w:t>
      </w:r>
      <w:proofErr w:type="spellEnd"/>
      <w:r w:rsidR="00677354">
        <w:rPr>
          <w:rStyle w:val="Znakapoznpodarou"/>
          <w:lang w:bidi="cs-CZ"/>
        </w:rPr>
        <w:footnoteReference w:id="10"/>
      </w:r>
      <w:r w:rsidR="00677354" w:rsidRPr="00DA1467">
        <w:rPr>
          <w:rFonts w:ascii="Calibri" w:hAnsi="Calibri" w:cs="Calibri"/>
        </w:rPr>
        <w:t xml:space="preserve"> a </w:t>
      </w:r>
      <w:r w:rsidR="00677354" w:rsidRPr="00F16B71">
        <w:rPr>
          <w:rFonts w:ascii="Calibri" w:hAnsi="Calibri" w:cs="Calibri"/>
          <w:i/>
          <w:iCs/>
        </w:rPr>
        <w:t>Centrální elektronický systém platebních informací</w:t>
      </w:r>
      <w:r w:rsidR="00677354" w:rsidRPr="00DA1467">
        <w:rPr>
          <w:rFonts w:ascii="Calibri" w:hAnsi="Calibri" w:cs="Calibri"/>
        </w:rPr>
        <w:t xml:space="preserve"> </w:t>
      </w:r>
      <w:r w:rsidR="00677354">
        <w:rPr>
          <w:rFonts w:ascii="Calibri" w:eastAsia="Aptos" w:hAnsi="Calibri" w:cs="Calibri"/>
        </w:rPr>
        <w:t>(dále také „</w:t>
      </w:r>
      <w:r w:rsidR="00677354">
        <w:rPr>
          <w:lang w:bidi="cs-CZ"/>
        </w:rPr>
        <w:t>CESOP“)</w:t>
      </w:r>
      <w:r w:rsidR="00677354" w:rsidRPr="00677354">
        <w:rPr>
          <w:b/>
          <w:bCs/>
        </w:rPr>
        <w:t xml:space="preserve"> </w:t>
      </w:r>
      <w:r w:rsidR="00677354" w:rsidRPr="00313E6C">
        <w:t>pro kontrolu DPH v oblasti přeshraničního elektronického obchodován</w:t>
      </w:r>
      <w:r w:rsidR="00F752BD">
        <w:t>í</w:t>
      </w:r>
      <w:r w:rsidR="00677354" w:rsidRPr="00DA1467">
        <w:rPr>
          <w:rFonts w:ascii="Calibri" w:hAnsi="Calibri" w:cs="Calibri"/>
        </w:rPr>
        <w:t xml:space="preserve">. Tyto systémy </w:t>
      </w:r>
      <w:r w:rsidR="00551353">
        <w:rPr>
          <w:rFonts w:ascii="Calibri" w:hAnsi="Calibri" w:cs="Calibri"/>
        </w:rPr>
        <w:t>byly zavedeny</w:t>
      </w:r>
      <w:r w:rsidR="00677354" w:rsidRPr="00DA1467">
        <w:rPr>
          <w:rFonts w:ascii="Calibri" w:hAnsi="Calibri" w:cs="Calibri"/>
        </w:rPr>
        <w:t xml:space="preserve"> jako zdroje dat pro kontrolní a</w:t>
      </w:r>
      <w:r w:rsidR="00E402B9">
        <w:rPr>
          <w:rFonts w:ascii="Calibri" w:hAnsi="Calibri" w:cs="Calibri"/>
        </w:rPr>
        <w:t> </w:t>
      </w:r>
      <w:r w:rsidR="00677354" w:rsidRPr="00DA1467">
        <w:rPr>
          <w:rFonts w:ascii="Calibri" w:hAnsi="Calibri" w:cs="Calibri"/>
        </w:rPr>
        <w:t>vyhledávací činnost finančních správ jednotlivých členských států EU v oblasti přeshraničního elektronického obchodování. Data v těchto systémech</w:t>
      </w:r>
      <w:r>
        <w:rPr>
          <w:rFonts w:ascii="Calibri" w:hAnsi="Calibri" w:cs="Calibri"/>
        </w:rPr>
        <w:t>, které spravuje Evropská komise</w:t>
      </w:r>
      <w:r w:rsidR="00DB5544">
        <w:rPr>
          <w:rFonts w:ascii="Calibri" w:hAnsi="Calibri" w:cs="Calibri"/>
        </w:rPr>
        <w:t>,</w:t>
      </w:r>
      <w:r w:rsidR="00677354" w:rsidRPr="00DA1467">
        <w:rPr>
          <w:rFonts w:ascii="Calibri" w:hAnsi="Calibri" w:cs="Calibri"/>
        </w:rPr>
        <w:t xml:space="preserve"> však nebyla úplná nebo obsahovala chyby</w:t>
      </w:r>
      <w:r w:rsidR="00DB5544">
        <w:rPr>
          <w:rFonts w:ascii="Calibri" w:hAnsi="Calibri" w:cs="Calibri"/>
        </w:rPr>
        <w:t>, což omezilo GFŘ při kontrole DPH.</w:t>
      </w:r>
    </w:p>
    <w:p w14:paraId="748F854D" w14:textId="4132514E" w:rsidR="00915049" w:rsidRDefault="00915049" w:rsidP="00F16B71">
      <w:pPr>
        <w:pStyle w:val="Odstavecseseznamem"/>
        <w:ind w:left="357"/>
        <w:jc w:val="both"/>
        <w:rPr>
          <w:b/>
          <w:bCs/>
        </w:rPr>
      </w:pPr>
    </w:p>
    <w:p w14:paraId="134A1FB8" w14:textId="25957B16" w:rsidR="00915049" w:rsidRPr="00313E6C" w:rsidRDefault="00915049" w:rsidP="00313E6C">
      <w:pPr>
        <w:pStyle w:val="Odstavecseseznamem"/>
        <w:numPr>
          <w:ilvl w:val="0"/>
          <w:numId w:val="7"/>
        </w:numPr>
        <w:jc w:val="both"/>
        <w:rPr>
          <w:b/>
          <w:bCs/>
        </w:rPr>
      </w:pPr>
      <w:r w:rsidRPr="00313E6C">
        <w:rPr>
          <w:b/>
          <w:bCs/>
        </w:rPr>
        <w:t xml:space="preserve">Vyhledávání neusazených osob k registraci </w:t>
      </w:r>
      <w:r w:rsidR="00825D49">
        <w:rPr>
          <w:b/>
          <w:bCs/>
        </w:rPr>
        <w:t>bylo administrativně náročné</w:t>
      </w:r>
    </w:p>
    <w:p w14:paraId="592D01FB" w14:textId="22A40D14" w:rsidR="00CE2A94" w:rsidRDefault="00F21D61">
      <w:pPr>
        <w:pStyle w:val="Odstavecseseznamem"/>
        <w:spacing w:line="240" w:lineRule="auto"/>
        <w:ind w:left="360"/>
        <w:jc w:val="both"/>
      </w:pPr>
      <w:r w:rsidRPr="00F21D61">
        <w:t>Problémem správy DPH u neusazených osob</w:t>
      </w:r>
      <w:r w:rsidR="00852EC5">
        <w:rPr>
          <w:rStyle w:val="Znakapoznpodarou"/>
          <w:rFonts w:ascii="Calibri" w:hAnsi="Calibri" w:cs="Calibri"/>
          <w:bCs/>
        </w:rPr>
        <w:footnoteReference w:id="11"/>
      </w:r>
      <w:r w:rsidRPr="00F21D61">
        <w:t xml:space="preserve"> bylo vyhledávání těchto osob, kterým vznikla povinnost registrace k</w:t>
      </w:r>
      <w:r w:rsidR="001075B0">
        <w:t> </w:t>
      </w:r>
      <w:r w:rsidRPr="00F21D61">
        <w:t>DPH</w:t>
      </w:r>
      <w:r w:rsidR="001075B0">
        <w:t>,</w:t>
      </w:r>
      <w:r w:rsidRPr="00F21D61">
        <w:t xml:space="preserve"> a</w:t>
      </w:r>
      <w:r w:rsidR="001075B0">
        <w:t>le</w:t>
      </w:r>
      <w:r w:rsidRPr="00F21D61">
        <w:t xml:space="preserve"> tuto povinnost včetně odvodu DPH nesplnily. </w:t>
      </w:r>
      <w:r w:rsidR="001075B0">
        <w:t>Uvedenou</w:t>
      </w:r>
      <w:r w:rsidR="00C961BD">
        <w:t xml:space="preserve"> skutečnost NKÚ ověřil kontrolou u věcně příslušného FÚ MSK. </w:t>
      </w:r>
      <w:r w:rsidR="00852EC5">
        <w:t xml:space="preserve">Na vyhledávání </w:t>
      </w:r>
      <w:r w:rsidR="00C961BD">
        <w:t>neusazených osob</w:t>
      </w:r>
      <w:r w:rsidR="00852EC5">
        <w:t xml:space="preserve"> se prvotně podílelo GFŘ</w:t>
      </w:r>
      <w:r w:rsidR="00CE2A94">
        <w:t>, které zaslalo FÚ MSK</w:t>
      </w:r>
      <w:r w:rsidR="00852EC5">
        <w:t xml:space="preserve"> </w:t>
      </w:r>
      <w:r w:rsidR="00CE2A94">
        <w:t xml:space="preserve">sestavu zrušených registrací subjektů ve zvláštním režimu. </w:t>
      </w:r>
      <w:r w:rsidR="00852EC5">
        <w:t xml:space="preserve">NKÚ zjistil, že vyhledávání těchto subjektů nebylo automatizované a vyžadovalo individuální analytický přístup. Automatické generování sestav zrušených registrací </w:t>
      </w:r>
      <w:r w:rsidR="001075B0">
        <w:t>k</w:t>
      </w:r>
      <w:r w:rsidR="00852EC5">
        <w:t>e zvláštním</w:t>
      </w:r>
      <w:r w:rsidR="001075B0">
        <w:t>u</w:t>
      </w:r>
      <w:r w:rsidR="00852EC5">
        <w:t xml:space="preserve"> režimu komplikoval mj. problém nejednotné identifikace subjektů v rámci EU a náročnost zpracování dat. NKÚ zjistil, že FÚ MSK</w:t>
      </w:r>
      <w:r w:rsidR="00CE2A94">
        <w:t xml:space="preserve"> pěti subjektům, které zaregistroval k DPH po zrušení registrace ke zvláštnímu režimu, doměřil DPH ve výši 27,4</w:t>
      </w:r>
      <w:r w:rsidR="001075B0">
        <w:t> </w:t>
      </w:r>
      <w:r w:rsidR="00CE2A94">
        <w:t>mil.</w:t>
      </w:r>
      <w:r w:rsidR="001075B0">
        <w:t> </w:t>
      </w:r>
      <w:r w:rsidR="00CE2A94">
        <w:t>Kč.</w:t>
      </w:r>
    </w:p>
    <w:p w14:paraId="0EA3B0AE" w14:textId="77777777" w:rsidR="00852EC5" w:rsidRDefault="00852EC5">
      <w:pPr>
        <w:pStyle w:val="Odstavecseseznamem"/>
        <w:spacing w:line="240" w:lineRule="auto"/>
        <w:ind w:left="360"/>
        <w:jc w:val="both"/>
      </w:pPr>
    </w:p>
    <w:p w14:paraId="579A8A01" w14:textId="4CBF1F6F" w:rsidR="007E18CD" w:rsidRDefault="00825D49" w:rsidP="00AB50A0">
      <w:pPr>
        <w:pStyle w:val="Odstavecseseznamem"/>
        <w:spacing w:line="240" w:lineRule="auto"/>
        <w:ind w:left="360"/>
        <w:jc w:val="both"/>
      </w:pPr>
      <w:r>
        <w:t>N</w:t>
      </w:r>
      <w:r w:rsidRPr="00F21D61">
        <w:t>astavený systém správy DPH bez plně funkčních a spolehlivých nástrojů nezajišť</w:t>
      </w:r>
      <w:r>
        <w:t>oval</w:t>
      </w:r>
      <w:r w:rsidRPr="00F21D61">
        <w:t xml:space="preserve"> výběr DPH ve správné výši. </w:t>
      </w:r>
      <w:r w:rsidR="00CE2A94">
        <w:t>Vyhledávání osob, které neplnily povinnosti registrace k</w:t>
      </w:r>
      <w:r w:rsidR="001075B0">
        <w:t> </w:t>
      </w:r>
      <w:r w:rsidR="00CE2A94">
        <w:t>DPH</w:t>
      </w:r>
      <w:r w:rsidR="001075B0">
        <w:t>,</w:t>
      </w:r>
      <w:r w:rsidR="00CE2A94">
        <w:t xml:space="preserve"> by zlepšilo plné zprovoznění systému kontroly elektronických plateb CESOP</w:t>
      </w:r>
      <w:r>
        <w:t>.</w:t>
      </w:r>
    </w:p>
    <w:p w14:paraId="7D6AD742" w14:textId="77777777" w:rsidR="00AB50A0" w:rsidRPr="007E18CD" w:rsidRDefault="00AB50A0" w:rsidP="00AB50A0">
      <w:pPr>
        <w:pStyle w:val="Odstavecseseznamem"/>
        <w:spacing w:line="240" w:lineRule="auto"/>
        <w:ind w:left="360"/>
        <w:jc w:val="both"/>
      </w:pPr>
    </w:p>
    <w:p w14:paraId="416C34DF" w14:textId="6D9E3508" w:rsidR="00E72879" w:rsidRDefault="00FB65D9" w:rsidP="00BA5DC4">
      <w:pPr>
        <w:pStyle w:val="Odstavecseseznamem"/>
        <w:numPr>
          <w:ilvl w:val="0"/>
          <w:numId w:val="7"/>
        </w:numPr>
        <w:spacing w:line="240" w:lineRule="auto"/>
        <w:jc w:val="both"/>
        <w:rPr>
          <w:b/>
          <w:bCs/>
        </w:rPr>
      </w:pPr>
      <w:r>
        <w:rPr>
          <w:b/>
          <w:bCs/>
        </w:rPr>
        <w:t xml:space="preserve">U </w:t>
      </w:r>
      <w:r w:rsidR="00C21860" w:rsidRPr="00C21860">
        <w:rPr>
          <w:b/>
          <w:bCs/>
        </w:rPr>
        <w:t>dovozu zásilek nízké hodnoty</w:t>
      </w:r>
      <w:r w:rsidR="00D26092">
        <w:rPr>
          <w:b/>
          <w:bCs/>
        </w:rPr>
        <w:t xml:space="preserve"> </w:t>
      </w:r>
      <w:r>
        <w:rPr>
          <w:b/>
          <w:bCs/>
        </w:rPr>
        <w:t>docházelo k podhodnocování zboží a zneužívání</w:t>
      </w:r>
      <w:r w:rsidR="00B67DAE">
        <w:rPr>
          <w:b/>
          <w:bCs/>
        </w:rPr>
        <w:t xml:space="preserve"> dovozního</w:t>
      </w:r>
      <w:r>
        <w:rPr>
          <w:b/>
          <w:bCs/>
        </w:rPr>
        <w:t xml:space="preserve"> režimu </w:t>
      </w:r>
    </w:p>
    <w:p w14:paraId="1B7B5238" w14:textId="5B25C2CC" w:rsidR="00AB50A0" w:rsidRDefault="00800DD3" w:rsidP="00B67DAE">
      <w:pPr>
        <w:pStyle w:val="Odstavecseseznamem"/>
        <w:spacing w:line="240" w:lineRule="auto"/>
        <w:ind w:left="360"/>
        <w:jc w:val="both"/>
        <w:rPr>
          <w:rFonts w:cstheme="minorHAnsi"/>
        </w:rPr>
      </w:pPr>
      <w:r>
        <w:t>P</w:t>
      </w:r>
      <w:r w:rsidR="008E7071" w:rsidRPr="00E72879">
        <w:rPr>
          <w:rFonts w:cstheme="minorHAnsi"/>
        </w:rPr>
        <w:t xml:space="preserve">řestože byl </w:t>
      </w:r>
      <w:r w:rsidR="00B67DAE">
        <w:rPr>
          <w:rFonts w:cstheme="minorHAnsi"/>
        </w:rPr>
        <w:t xml:space="preserve">dovozní </w:t>
      </w:r>
      <w:r w:rsidR="008E7071" w:rsidRPr="00E72879">
        <w:rPr>
          <w:rFonts w:cstheme="minorHAnsi"/>
        </w:rPr>
        <w:t>režim</w:t>
      </w:r>
      <w:r w:rsidR="00B67DAE">
        <w:rPr>
          <w:rFonts w:cstheme="minorHAnsi"/>
        </w:rPr>
        <w:t xml:space="preserve"> </w:t>
      </w:r>
      <w:r w:rsidR="008E7071" w:rsidRPr="00E72879">
        <w:rPr>
          <w:rFonts w:cstheme="minorHAnsi"/>
        </w:rPr>
        <w:t xml:space="preserve">zaveden s cílem zjednodušit </w:t>
      </w:r>
      <w:r w:rsidR="008E7071">
        <w:rPr>
          <w:rFonts w:cstheme="minorHAnsi"/>
        </w:rPr>
        <w:t xml:space="preserve">celní řízení </w:t>
      </w:r>
      <w:r w:rsidR="008E7071" w:rsidRPr="00E72879">
        <w:rPr>
          <w:rFonts w:cstheme="minorHAnsi"/>
        </w:rPr>
        <w:t>a učinit výběr DPH transparentnější, každá třetí zásilka v</w:t>
      </w:r>
      <w:r w:rsidR="00C55C76">
        <w:rPr>
          <w:rFonts w:cstheme="minorHAnsi"/>
        </w:rPr>
        <w:t xml:space="preserve"> dovozním </w:t>
      </w:r>
      <w:r w:rsidR="009A097E" w:rsidRPr="00E72879">
        <w:rPr>
          <w:rFonts w:cstheme="minorHAnsi"/>
        </w:rPr>
        <w:t>režimu,</w:t>
      </w:r>
      <w:r w:rsidR="008E7071">
        <w:rPr>
          <w:rFonts w:cstheme="minorHAnsi"/>
        </w:rPr>
        <w:t xml:space="preserve"> kterou C</w:t>
      </w:r>
      <w:r w:rsidR="00B67DAE">
        <w:rPr>
          <w:rFonts w:cstheme="minorHAnsi"/>
        </w:rPr>
        <w:t>elní správa</w:t>
      </w:r>
      <w:r w:rsidR="008E7071">
        <w:rPr>
          <w:rFonts w:cstheme="minorHAnsi"/>
        </w:rPr>
        <w:t xml:space="preserve"> ČR </w:t>
      </w:r>
      <w:r w:rsidR="00B67DAE">
        <w:rPr>
          <w:rFonts w:cstheme="minorHAnsi"/>
        </w:rPr>
        <w:t xml:space="preserve">(dále také „CS ČR“) </w:t>
      </w:r>
      <w:r w:rsidR="008E7071">
        <w:rPr>
          <w:rFonts w:cstheme="minorHAnsi"/>
        </w:rPr>
        <w:t>zkontrolovala,</w:t>
      </w:r>
      <w:r w:rsidR="008E7071" w:rsidRPr="00E72879">
        <w:rPr>
          <w:rFonts w:cstheme="minorHAnsi"/>
        </w:rPr>
        <w:t xml:space="preserve"> byla</w:t>
      </w:r>
      <w:r>
        <w:rPr>
          <w:rFonts w:cstheme="minorHAnsi"/>
        </w:rPr>
        <w:t xml:space="preserve"> ze strany </w:t>
      </w:r>
      <w:r>
        <w:t>dovozce nebo zprostředkovatele</w:t>
      </w:r>
      <w:r>
        <w:rPr>
          <w:rFonts w:cstheme="minorHAnsi"/>
        </w:rPr>
        <w:t>, kteří podali</w:t>
      </w:r>
      <w:r w:rsidR="004D22F1">
        <w:rPr>
          <w:rFonts w:cstheme="minorHAnsi"/>
        </w:rPr>
        <w:t xml:space="preserve"> dovozní</w:t>
      </w:r>
      <w:r>
        <w:rPr>
          <w:rFonts w:cstheme="minorHAnsi"/>
        </w:rPr>
        <w:t xml:space="preserve"> </w:t>
      </w:r>
      <w:r>
        <w:rPr>
          <w:rFonts w:cstheme="minorHAnsi"/>
        </w:rPr>
        <w:lastRenderedPageBreak/>
        <w:t>celní prohlášení</w:t>
      </w:r>
      <w:r w:rsidR="009C2DE0">
        <w:rPr>
          <w:rFonts w:cstheme="minorHAnsi"/>
        </w:rPr>
        <w:t>,</w:t>
      </w:r>
      <w:r w:rsidR="008E7071" w:rsidRPr="00E72879">
        <w:rPr>
          <w:rFonts w:cstheme="minorHAnsi"/>
        </w:rPr>
        <w:t xml:space="preserve"> deklarována chybně</w:t>
      </w:r>
      <w:r w:rsidR="008E7071">
        <w:rPr>
          <w:rFonts w:cstheme="minorHAnsi"/>
        </w:rPr>
        <w:t xml:space="preserve">. </w:t>
      </w:r>
      <w:r w:rsidR="00147F38">
        <w:t>C</w:t>
      </w:r>
      <w:r w:rsidR="00707CD7">
        <w:t>elní úřady</w:t>
      </w:r>
      <w:r w:rsidR="00FB65D9">
        <w:t xml:space="preserve"> </w:t>
      </w:r>
      <w:r w:rsidR="00C21860">
        <w:t>v </w:t>
      </w:r>
      <w:r w:rsidR="00147F38">
        <w:t xml:space="preserve">letech </w:t>
      </w:r>
      <w:r w:rsidR="00C21860">
        <w:t xml:space="preserve">2021–2024 </w:t>
      </w:r>
      <w:r w:rsidR="00147F38">
        <w:t>provedly</w:t>
      </w:r>
      <w:r w:rsidR="008E7071">
        <w:t xml:space="preserve"> 861 kontrol zaměřen</w:t>
      </w:r>
      <w:r w:rsidR="00147F38">
        <w:t>ých</w:t>
      </w:r>
      <w:r w:rsidR="008E7071">
        <w:t xml:space="preserve"> na podhodnocování zboží</w:t>
      </w:r>
      <w:r w:rsidR="00147F38">
        <w:t xml:space="preserve"> a</w:t>
      </w:r>
      <w:r w:rsidR="008E7071">
        <w:t xml:space="preserve"> </w:t>
      </w:r>
      <w:r w:rsidR="00FB65D9">
        <w:t xml:space="preserve">zjistily </w:t>
      </w:r>
      <w:r w:rsidR="008E7071">
        <w:t>u 61 % zásilek nízké hodnoty nesrovnalost v deklarované ceně</w:t>
      </w:r>
      <w:r w:rsidR="000B5519">
        <w:t>, kdy</w:t>
      </w:r>
      <w:r w:rsidR="00C21860">
        <w:t xml:space="preserve"> cílem dovozce nebo zprostředkovatele </w:t>
      </w:r>
      <w:r w:rsidR="000B5519">
        <w:t xml:space="preserve">bylo </w:t>
      </w:r>
      <w:r w:rsidR="00C21860">
        <w:t>neoprávněně snížit základ pro vyměření cla a DP</w:t>
      </w:r>
      <w:r w:rsidR="00E72879">
        <w:t>H.</w:t>
      </w:r>
      <w:r w:rsidR="00E72879" w:rsidRPr="00E72879">
        <w:rPr>
          <w:rFonts w:cstheme="minorHAnsi"/>
        </w:rPr>
        <w:t xml:space="preserve"> </w:t>
      </w:r>
    </w:p>
    <w:p w14:paraId="4A8D4BF7" w14:textId="77777777" w:rsidR="00AB50A0" w:rsidRDefault="00AB50A0" w:rsidP="00B67DAE">
      <w:pPr>
        <w:pStyle w:val="Odstavecseseznamem"/>
        <w:spacing w:line="240" w:lineRule="auto"/>
        <w:ind w:left="360"/>
        <w:jc w:val="both"/>
        <w:rPr>
          <w:rFonts w:cstheme="minorHAnsi"/>
        </w:rPr>
      </w:pPr>
    </w:p>
    <w:p w14:paraId="557DD2A4" w14:textId="1B45469D" w:rsidR="00726FBA" w:rsidRPr="00AB50A0" w:rsidRDefault="00E32D0E" w:rsidP="00AB50A0">
      <w:pPr>
        <w:pStyle w:val="Odstavecseseznamem"/>
        <w:spacing w:line="240" w:lineRule="auto"/>
        <w:ind w:left="360"/>
        <w:jc w:val="both"/>
        <w:rPr>
          <w:rFonts w:cstheme="minorHAnsi"/>
        </w:rPr>
      </w:pPr>
      <w:r>
        <w:rPr>
          <w:rFonts w:cstheme="minorHAnsi"/>
        </w:rPr>
        <w:t xml:space="preserve">NKÚ dále zjistil, že </w:t>
      </w:r>
      <w:r w:rsidR="00304C0E" w:rsidRPr="00C2778D">
        <w:rPr>
          <w:rFonts w:cstheme="minorHAnsi"/>
        </w:rPr>
        <w:t>CS ČR nem</w:t>
      </w:r>
      <w:r w:rsidR="00304C0E">
        <w:rPr>
          <w:rFonts w:cstheme="minorHAnsi"/>
        </w:rPr>
        <w:t>ěla</w:t>
      </w:r>
      <w:r w:rsidR="00304C0E" w:rsidRPr="00C2778D">
        <w:rPr>
          <w:rFonts w:cstheme="minorHAnsi"/>
        </w:rPr>
        <w:t xml:space="preserve"> přístup k databázi držitelů </w:t>
      </w:r>
      <w:r w:rsidR="00304C0E">
        <w:rPr>
          <w:rFonts w:cstheme="minorHAnsi"/>
        </w:rPr>
        <w:t>dovozních</w:t>
      </w:r>
      <w:r w:rsidR="00304C0E" w:rsidRPr="00C2778D">
        <w:rPr>
          <w:rFonts w:cstheme="minorHAnsi"/>
        </w:rPr>
        <w:t xml:space="preserve"> čísel, která je spravována Evropskou komisí</w:t>
      </w:r>
      <w:r w:rsidR="009C2DE0">
        <w:rPr>
          <w:rFonts w:cstheme="minorHAnsi"/>
        </w:rPr>
        <w:t xml:space="preserve">, proto nemohla ověřovat, </w:t>
      </w:r>
      <w:r w:rsidR="00187220">
        <w:rPr>
          <w:rFonts w:cstheme="minorHAnsi"/>
        </w:rPr>
        <w:t>zda</w:t>
      </w:r>
      <w:r w:rsidR="00304C0E">
        <w:rPr>
          <w:rFonts w:cstheme="minorHAnsi"/>
        </w:rPr>
        <w:t xml:space="preserve"> osoba, která </w:t>
      </w:r>
      <w:r w:rsidR="00BB3248">
        <w:rPr>
          <w:rFonts w:cstheme="minorHAnsi"/>
        </w:rPr>
        <w:t>je uveden</w:t>
      </w:r>
      <w:r w:rsidR="00187220">
        <w:rPr>
          <w:rFonts w:cstheme="minorHAnsi"/>
        </w:rPr>
        <w:t>a</w:t>
      </w:r>
      <w:r w:rsidR="00BB3248">
        <w:rPr>
          <w:rFonts w:cstheme="minorHAnsi"/>
        </w:rPr>
        <w:t xml:space="preserve"> </w:t>
      </w:r>
      <w:r w:rsidR="00304C0E">
        <w:rPr>
          <w:rFonts w:cstheme="minorHAnsi"/>
        </w:rPr>
        <w:t>v celním prohlášení</w:t>
      </w:r>
      <w:r w:rsidR="00187220">
        <w:rPr>
          <w:rFonts w:cstheme="minorHAnsi"/>
        </w:rPr>
        <w:t>,</w:t>
      </w:r>
      <w:r w:rsidR="00BB3248">
        <w:rPr>
          <w:rFonts w:cstheme="minorHAnsi"/>
        </w:rPr>
        <w:t xml:space="preserve"> je</w:t>
      </w:r>
      <w:r w:rsidR="00304C0E">
        <w:rPr>
          <w:rFonts w:cstheme="minorHAnsi"/>
        </w:rPr>
        <w:t xml:space="preserve"> totožná s osobou, které toto číslo bylo přiděleno</w:t>
      </w:r>
      <w:r w:rsidR="00BB3248">
        <w:rPr>
          <w:rFonts w:cstheme="minorHAnsi"/>
        </w:rPr>
        <w:t>.</w:t>
      </w:r>
    </w:p>
    <w:p w14:paraId="4738DA18" w14:textId="77777777" w:rsidR="00AB50A0" w:rsidRPr="00D54C38" w:rsidRDefault="00AB50A0" w:rsidP="00D54C38">
      <w:pPr>
        <w:pStyle w:val="Odstavecseseznamem"/>
        <w:spacing w:line="240" w:lineRule="auto"/>
        <w:ind w:left="360"/>
        <w:jc w:val="both"/>
      </w:pPr>
    </w:p>
    <w:p w14:paraId="22001700" w14:textId="01F8F0A2" w:rsidR="00CE08CB" w:rsidRPr="00313E6C" w:rsidRDefault="00CE08CB" w:rsidP="003432C9">
      <w:pPr>
        <w:pStyle w:val="Odstavecseseznamem"/>
        <w:numPr>
          <w:ilvl w:val="0"/>
          <w:numId w:val="7"/>
        </w:numPr>
        <w:spacing w:line="240" w:lineRule="auto"/>
        <w:jc w:val="both"/>
        <w:rPr>
          <w:b/>
          <w:bCs/>
        </w:rPr>
      </w:pPr>
      <w:r w:rsidRPr="00313E6C">
        <w:rPr>
          <w:b/>
          <w:bCs/>
        </w:rPr>
        <w:t xml:space="preserve">Výdaje </w:t>
      </w:r>
      <w:r w:rsidR="00D54C38">
        <w:rPr>
          <w:b/>
          <w:bCs/>
        </w:rPr>
        <w:t xml:space="preserve">CS ČR </w:t>
      </w:r>
      <w:r w:rsidRPr="00313E6C">
        <w:rPr>
          <w:b/>
          <w:bCs/>
        </w:rPr>
        <w:t xml:space="preserve">na </w:t>
      </w:r>
      <w:r w:rsidR="00D54C38">
        <w:rPr>
          <w:b/>
          <w:bCs/>
        </w:rPr>
        <w:t>správu DPH</w:t>
      </w:r>
      <w:r w:rsidR="00C650CF">
        <w:rPr>
          <w:b/>
          <w:bCs/>
        </w:rPr>
        <w:t xml:space="preserve"> </w:t>
      </w:r>
      <w:r w:rsidR="00D54C38">
        <w:rPr>
          <w:b/>
          <w:bCs/>
        </w:rPr>
        <w:t xml:space="preserve">při dovozu zásilek nízké hodnoty byly vynaloženy se sníženou účelností </w:t>
      </w:r>
    </w:p>
    <w:p w14:paraId="602E5742" w14:textId="2F69230D" w:rsidR="009C2DE0" w:rsidRDefault="00C650CF">
      <w:pPr>
        <w:pStyle w:val="Odstavecseseznamem"/>
        <w:spacing w:line="240" w:lineRule="auto"/>
        <w:ind w:left="360"/>
        <w:jc w:val="both"/>
      </w:pPr>
      <w:r>
        <w:t>NKÚ zjistil, že CS ČR vynaložila peněžní prostředky ve výši 55,8 mil. Kč na kontrolní činnost v oblasti zásilek nízké hodnoty a IT systémy se sníženou účelností, protože systém u zásilek nízké hodnoty nastavený v souladu s evropskou a národní legislativou neumožňoval správné zjištění a stanovení DPH a zabezpeč</w:t>
      </w:r>
      <w:r w:rsidR="009C3D7F">
        <w:t>ení</w:t>
      </w:r>
      <w:r>
        <w:t xml:space="preserve"> její úhrad</w:t>
      </w:r>
      <w:r w:rsidR="009C3D7F">
        <w:t>y</w:t>
      </w:r>
      <w:r>
        <w:t>. Důvodem byly tímto systémem nastavené mechanismy pro kontrolu hodnoty těchto zásilek a systém ověřování dovozního čísla</w:t>
      </w:r>
      <w:r w:rsidR="005F4419">
        <w:rPr>
          <w:rStyle w:val="Znakapoznpodarou"/>
        </w:rPr>
        <w:footnoteReference w:id="12"/>
      </w:r>
      <w:r>
        <w:t xml:space="preserve">. </w:t>
      </w:r>
    </w:p>
    <w:p w14:paraId="53B2DEEA" w14:textId="77777777" w:rsidR="009C2DE0" w:rsidRDefault="009C2DE0">
      <w:pPr>
        <w:pStyle w:val="Odstavecseseznamem"/>
        <w:spacing w:line="240" w:lineRule="auto"/>
        <w:ind w:left="360"/>
        <w:jc w:val="both"/>
      </w:pPr>
    </w:p>
    <w:p w14:paraId="68632890" w14:textId="77777777" w:rsidR="00D17DE9" w:rsidRPr="00EE6FA7" w:rsidRDefault="00D17DE9" w:rsidP="007B2BFE">
      <w:pPr>
        <w:spacing w:after="0" w:line="240" w:lineRule="auto"/>
        <w:jc w:val="both"/>
      </w:pPr>
    </w:p>
    <w:bookmarkEnd w:id="0"/>
    <w:p w14:paraId="68F3B82D" w14:textId="77777777" w:rsidR="003D62C7" w:rsidRPr="003D62C7" w:rsidRDefault="003D62C7" w:rsidP="003D62C7">
      <w:pPr>
        <w:pStyle w:val="Odstavecseseznamem"/>
        <w:numPr>
          <w:ilvl w:val="0"/>
          <w:numId w:val="24"/>
        </w:numPr>
        <w:spacing w:line="259" w:lineRule="auto"/>
        <w:ind w:left="284" w:hanging="142"/>
        <w:jc w:val="center"/>
        <w:rPr>
          <w:rFonts w:ascii="Calibri" w:hAnsi="Calibri" w:cs="Calibri"/>
          <w:b/>
          <w:bCs/>
          <w:sz w:val="28"/>
          <w:szCs w:val="28"/>
        </w:rPr>
      </w:pPr>
      <w:r w:rsidRPr="003D62C7">
        <w:rPr>
          <w:rFonts w:ascii="Calibri" w:hAnsi="Calibri" w:cs="Calibri"/>
          <w:b/>
          <w:bCs/>
          <w:sz w:val="28"/>
          <w:szCs w:val="28"/>
        </w:rPr>
        <w:t>Informace o kontrolované oblasti</w:t>
      </w:r>
    </w:p>
    <w:p w14:paraId="277A575F" w14:textId="00D81B43" w:rsidR="00046C6B" w:rsidRDefault="00AA4C8D" w:rsidP="00046C6B">
      <w:pPr>
        <w:spacing w:after="0" w:line="240" w:lineRule="auto"/>
        <w:jc w:val="both"/>
      </w:pPr>
      <w:r>
        <w:rPr>
          <w:rFonts w:ascii="Calibri" w:eastAsia="Times New Roman" w:hAnsi="Calibri" w:cs="Calibri"/>
          <w:kern w:val="0"/>
          <w:lang w:eastAsia="cs-CZ"/>
          <w14:ligatures w14:val="none"/>
        </w:rPr>
        <w:t>NKÚ p</w:t>
      </w:r>
      <w:r w:rsidR="00E32D0E">
        <w:rPr>
          <w:rFonts w:ascii="Calibri" w:eastAsia="Times New Roman" w:hAnsi="Calibri" w:cs="Calibri"/>
          <w:kern w:val="0"/>
          <w:lang w:eastAsia="cs-CZ"/>
          <w14:ligatures w14:val="none"/>
        </w:rPr>
        <w:t>ři kontrole posuzoval</w:t>
      </w:r>
      <w:r w:rsidR="003D62C7" w:rsidRPr="007E2EDE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činnosti vykonávané kontrolovanými osobami při správě DPH nebo v</w:t>
      </w:r>
      <w:r w:rsidR="00C7603E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r w:rsidR="003D62C7" w:rsidRPr="007E2EDE">
        <w:rPr>
          <w:rFonts w:ascii="Calibri" w:eastAsia="Times New Roman" w:hAnsi="Calibri" w:cs="Calibri"/>
          <w:kern w:val="0"/>
          <w:lang w:eastAsia="cs-CZ"/>
          <w14:ligatures w14:val="none"/>
        </w:rPr>
        <w:t>souvislosti s ní, a to u osob povinných k dani</w:t>
      </w:r>
      <w:r w:rsidR="004220F5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r w:rsidR="003D62C7" w:rsidRPr="007E2EDE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registrovaných i neregistrovaných </w:t>
      </w:r>
      <w:r w:rsidR="00972FD4" w:rsidRPr="007E2EDE">
        <w:rPr>
          <w:rFonts w:ascii="Calibri" w:eastAsia="Times New Roman" w:hAnsi="Calibri" w:cs="Calibri"/>
          <w:kern w:val="0"/>
          <w:lang w:eastAsia="cs-CZ"/>
          <w14:ligatures w14:val="none"/>
        </w:rPr>
        <w:t>v</w:t>
      </w:r>
      <w:r w:rsidR="00873675">
        <w:rPr>
          <w:rFonts w:ascii="Calibri" w:eastAsia="Times New Roman" w:hAnsi="Calibri" w:cs="Calibri"/>
          <w:kern w:val="0"/>
          <w:lang w:eastAsia="cs-CZ"/>
          <w14:ligatures w14:val="none"/>
        </w:rPr>
        <w:t>e zvláštním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r w:rsidR="00972FD4" w:rsidRPr="007E2EDE">
        <w:rPr>
          <w:rFonts w:ascii="Calibri" w:eastAsia="Times New Roman" w:hAnsi="Calibri" w:cs="Calibri"/>
          <w:kern w:val="0"/>
          <w:lang w:eastAsia="cs-CZ"/>
          <w14:ligatures w14:val="none"/>
        </w:rPr>
        <w:t>režimu</w:t>
      </w:r>
      <w:r w:rsidR="003D62C7" w:rsidRPr="007E2EDE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a </w:t>
      </w:r>
      <w:r w:rsidR="003D62C7" w:rsidRPr="007E2EDE">
        <w:rPr>
          <w:rFonts w:ascii="Calibri" w:eastAsia="Times New Roman" w:hAnsi="Calibri" w:cs="Calibri"/>
          <w:kern w:val="0"/>
          <w:lang w:eastAsia="cs-CZ"/>
          <w14:ligatures w14:val="none"/>
        </w:rPr>
        <w:t>uskutečňujících vybraná plnění</w:t>
      </w:r>
      <w:r w:rsidR="003D62C7" w:rsidRPr="007E2EDE">
        <w:rPr>
          <w:rStyle w:val="Znakapoznpodarou"/>
          <w:rFonts w:ascii="Calibri" w:eastAsia="Times New Roman" w:hAnsi="Calibri" w:cs="Calibri"/>
          <w:kern w:val="0"/>
          <w:lang w:eastAsia="cs-CZ"/>
          <w14:ligatures w14:val="none"/>
        </w:rPr>
        <w:footnoteReference w:id="13"/>
      </w:r>
      <w:r w:rsidR="003D62C7" w:rsidRPr="007E2EDE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prostřednictvím přeshraničního elektronického obchodování pro osoby nepovinné k dani.</w:t>
      </w:r>
      <w:r w:rsidR="00046C6B" w:rsidRPr="00046C6B">
        <w:t xml:space="preserve"> </w:t>
      </w:r>
    </w:p>
    <w:p w14:paraId="64CABF43" w14:textId="77777777" w:rsidR="00046C6B" w:rsidRDefault="00046C6B" w:rsidP="00046C6B">
      <w:pPr>
        <w:spacing w:after="0" w:line="240" w:lineRule="auto"/>
        <w:jc w:val="both"/>
      </w:pPr>
    </w:p>
    <w:p w14:paraId="377F4C79" w14:textId="2AB6B8AB" w:rsidR="00046C6B" w:rsidRDefault="00046C6B" w:rsidP="00046C6B">
      <w:pPr>
        <w:spacing w:after="0" w:line="240" w:lineRule="auto"/>
        <w:jc w:val="both"/>
      </w:pPr>
      <w:r w:rsidRPr="00F65829">
        <w:t>Pojem přeshraniční elektronické obchodování není definován zákonem, pro účely kontroly se tímto pojmem rozumí přeshraniční prodej zboží nebo poskytnutí služeb prostřednictvím internetu nebo jiných on</w:t>
      </w:r>
      <w:r>
        <w:t>-</w:t>
      </w:r>
      <w:r w:rsidRPr="00F65829">
        <w:t>lin</w:t>
      </w:r>
      <w:r>
        <w:t>e</w:t>
      </w:r>
      <w:r w:rsidRPr="00F65829">
        <w:t xml:space="preserve"> komunikačních sítí ve vazbě na obchodní vztah mezi osobou povinnou k dani a osobou nepovinnou k dani (konečným spotřebitelem), tzv</w:t>
      </w:r>
      <w:r>
        <w:t>. B2C</w:t>
      </w:r>
      <w:r w:rsidRPr="00F65829">
        <w:t xml:space="preserve"> transakce</w:t>
      </w:r>
      <w:r>
        <w:t>.</w:t>
      </w:r>
    </w:p>
    <w:p w14:paraId="09BC3571" w14:textId="29A57D33" w:rsidR="00CC5950" w:rsidRDefault="00CC5950" w:rsidP="00313E6C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1D8044CC" w14:textId="38D2930C" w:rsidR="00081F58" w:rsidRDefault="00525AC7" w:rsidP="00B56C7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541E48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Vlivem jednotného trhu, globalizace a technologických změn došlo k prudkému růstu elektronického obchodování a současně i </w:t>
      </w:r>
      <w:r w:rsidR="007A7AA2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k prodeji na dálku</w:t>
      </w:r>
      <w:r w:rsidRPr="00541E48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u zboží dod</w:t>
      </w:r>
      <w:r w:rsidR="00E32D0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áva</w:t>
      </w:r>
      <w:r w:rsidRPr="00541E48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ného jak z jednoho členského státu do druhého, tak ze třetích zemí do EU. </w:t>
      </w:r>
      <w:r w:rsidRPr="005B4B7A">
        <w:rPr>
          <w:rFonts w:cstheme="minorHAnsi"/>
          <w:kern w:val="0"/>
        </w:rPr>
        <w:t>Podle údajů Evropské komise</w:t>
      </w:r>
      <w:r w:rsidR="00C1641C">
        <w:rPr>
          <w:rFonts w:cstheme="minorHAnsi"/>
          <w:kern w:val="0"/>
          <w:vertAlign w:val="superscript"/>
        </w:rPr>
        <w:t>5</w:t>
      </w:r>
      <w:r w:rsidRPr="005B4B7A">
        <w:rPr>
          <w:rFonts w:cstheme="minorHAnsi"/>
          <w:kern w:val="0"/>
        </w:rPr>
        <w:t xml:space="preserve"> bylo v roce 2024 do EU dovezeno 4,6 miliardy zásilek nízké hodnoty (do 150 </w:t>
      </w:r>
      <w:r w:rsidR="00222DB6">
        <w:rPr>
          <w:rFonts w:cstheme="minorHAnsi"/>
          <w:kern w:val="0"/>
        </w:rPr>
        <w:t>eur</w:t>
      </w:r>
      <w:r w:rsidRPr="005B4B7A">
        <w:rPr>
          <w:rFonts w:cstheme="minorHAnsi"/>
          <w:kern w:val="0"/>
        </w:rPr>
        <w:t xml:space="preserve">), což je téměř dvojnásobek </w:t>
      </w:r>
      <w:r w:rsidR="00AA4C8D">
        <w:rPr>
          <w:rFonts w:cstheme="minorHAnsi"/>
          <w:kern w:val="0"/>
        </w:rPr>
        <w:t>oproti roku 2023</w:t>
      </w:r>
      <w:r w:rsidRPr="005B4B7A">
        <w:rPr>
          <w:rFonts w:cstheme="minorHAnsi"/>
          <w:kern w:val="0"/>
        </w:rPr>
        <w:t xml:space="preserve"> (2,4 miliardy)</w:t>
      </w:r>
      <w:r w:rsidR="00AA4C8D">
        <w:rPr>
          <w:rFonts w:cstheme="minorHAnsi"/>
          <w:kern w:val="0"/>
        </w:rPr>
        <w:t>;</w:t>
      </w:r>
      <w:r w:rsidRPr="005B4B7A">
        <w:rPr>
          <w:rFonts w:cstheme="minorHAnsi"/>
          <w:kern w:val="0"/>
        </w:rPr>
        <w:t xml:space="preserve"> od roku 2022 </w:t>
      </w:r>
      <w:r w:rsidR="00AA4C8D" w:rsidRPr="005B4B7A">
        <w:rPr>
          <w:rFonts w:cstheme="minorHAnsi"/>
          <w:kern w:val="0"/>
        </w:rPr>
        <w:t>(1,4 miliardy)</w:t>
      </w:r>
      <w:r w:rsidR="00AA4C8D">
        <w:rPr>
          <w:rFonts w:cstheme="minorHAnsi"/>
          <w:kern w:val="0"/>
        </w:rPr>
        <w:t xml:space="preserve"> </w:t>
      </w:r>
      <w:r w:rsidRPr="005B4B7A">
        <w:rPr>
          <w:rFonts w:cstheme="minorHAnsi"/>
          <w:kern w:val="0"/>
        </w:rPr>
        <w:t>se počet těchto zásilek více než ztrojnásobil. V</w:t>
      </w:r>
      <w:r w:rsidR="00A25C29">
        <w:rPr>
          <w:rFonts w:cstheme="minorHAnsi"/>
          <w:kern w:val="0"/>
        </w:rPr>
        <w:t xml:space="preserve"> </w:t>
      </w:r>
      <w:r w:rsidRPr="005B4B7A">
        <w:rPr>
          <w:rFonts w:cstheme="minorHAnsi"/>
          <w:kern w:val="0"/>
        </w:rPr>
        <w:t xml:space="preserve">roce 2024 pocházelo 91 % zásilek </w:t>
      </w:r>
      <w:r w:rsidR="00FF6909">
        <w:rPr>
          <w:rFonts w:cstheme="minorHAnsi"/>
          <w:kern w:val="0"/>
        </w:rPr>
        <w:t xml:space="preserve">v rámci </w:t>
      </w:r>
      <w:r w:rsidRPr="005B4B7A">
        <w:rPr>
          <w:rFonts w:cstheme="minorHAnsi"/>
          <w:kern w:val="0"/>
        </w:rPr>
        <w:t>elektronického obchodu z Číny.</w:t>
      </w:r>
      <w:r w:rsidR="0075564F">
        <w:rPr>
          <w:rFonts w:cstheme="minorHAnsi"/>
          <w:kern w:val="0"/>
        </w:rPr>
        <w:t xml:space="preserve"> GFŘ </w:t>
      </w:r>
      <w:r w:rsidR="00AA4C8D">
        <w:rPr>
          <w:rFonts w:cstheme="minorHAnsi"/>
          <w:kern w:val="0"/>
        </w:rPr>
        <w:t xml:space="preserve">se </w:t>
      </w:r>
      <w:r w:rsidR="0075564F">
        <w:rPr>
          <w:rFonts w:cstheme="minorHAnsi"/>
          <w:kern w:val="0"/>
        </w:rPr>
        <w:t>v</w:t>
      </w:r>
      <w:r w:rsidR="00A25C29">
        <w:rPr>
          <w:rFonts w:cstheme="minorHAnsi"/>
          <w:kern w:val="0"/>
        </w:rPr>
        <w:t xml:space="preserve"> </w:t>
      </w:r>
      <w:r w:rsidR="0075564F">
        <w:rPr>
          <w:rFonts w:cstheme="minorHAnsi"/>
          <w:kern w:val="0"/>
        </w:rPr>
        <w:t>mezioborové pracovní skupin</w:t>
      </w:r>
      <w:r w:rsidR="00A25C29">
        <w:rPr>
          <w:rFonts w:cstheme="minorHAnsi"/>
          <w:kern w:val="0"/>
        </w:rPr>
        <w:t>ě</w:t>
      </w:r>
      <w:r w:rsidR="0075564F">
        <w:rPr>
          <w:rFonts w:cstheme="minorHAnsi"/>
          <w:kern w:val="0"/>
        </w:rPr>
        <w:t xml:space="preserve"> pro e-</w:t>
      </w:r>
      <w:proofErr w:type="spellStart"/>
      <w:r w:rsidR="0075564F">
        <w:rPr>
          <w:rFonts w:cstheme="minorHAnsi"/>
          <w:kern w:val="0"/>
        </w:rPr>
        <w:t>commerc</w:t>
      </w:r>
      <w:r w:rsidR="00AA4C8D">
        <w:rPr>
          <w:rFonts w:cstheme="minorHAnsi"/>
          <w:kern w:val="0"/>
        </w:rPr>
        <w:t>i</w:t>
      </w:r>
      <w:proofErr w:type="spellEnd"/>
      <w:r w:rsidR="0075564F">
        <w:rPr>
          <w:rFonts w:cstheme="minorHAnsi"/>
          <w:kern w:val="0"/>
        </w:rPr>
        <w:t xml:space="preserve"> </w:t>
      </w:r>
      <w:r w:rsidR="00AA4C8D">
        <w:rPr>
          <w:rFonts w:cstheme="minorHAnsi"/>
          <w:kern w:val="0"/>
        </w:rPr>
        <w:t>zabývalo</w:t>
      </w:r>
      <w:r w:rsidR="0075564F">
        <w:rPr>
          <w:rFonts w:cstheme="minorHAnsi"/>
          <w:kern w:val="0"/>
        </w:rPr>
        <w:t xml:space="preserve"> také problematik</w:t>
      </w:r>
      <w:r w:rsidR="00AA4C8D">
        <w:rPr>
          <w:rFonts w:cstheme="minorHAnsi"/>
          <w:kern w:val="0"/>
        </w:rPr>
        <w:t>o</w:t>
      </w:r>
      <w:r w:rsidR="0075564F">
        <w:rPr>
          <w:rFonts w:cstheme="minorHAnsi"/>
          <w:kern w:val="0"/>
        </w:rPr>
        <w:t xml:space="preserve">u daňových úniků v této oblasti a konstatovalo, že </w:t>
      </w:r>
      <w:r w:rsidR="00AA4C8D">
        <w:rPr>
          <w:rFonts w:cstheme="minorHAnsi"/>
          <w:kern w:val="0"/>
        </w:rPr>
        <w:t>za celou</w:t>
      </w:r>
      <w:r w:rsidR="0075564F">
        <w:rPr>
          <w:rFonts w:cstheme="minorHAnsi"/>
          <w:kern w:val="0"/>
        </w:rPr>
        <w:t xml:space="preserve"> EU se daňov</w:t>
      </w:r>
      <w:r w:rsidR="00AA4C8D">
        <w:rPr>
          <w:rFonts w:cstheme="minorHAnsi"/>
          <w:kern w:val="0"/>
        </w:rPr>
        <w:t>é</w:t>
      </w:r>
      <w:r w:rsidR="0075564F">
        <w:rPr>
          <w:rFonts w:cstheme="minorHAnsi"/>
          <w:kern w:val="0"/>
        </w:rPr>
        <w:t xml:space="preserve"> únik</w:t>
      </w:r>
      <w:r w:rsidR="00AA4C8D">
        <w:rPr>
          <w:rFonts w:cstheme="minorHAnsi"/>
          <w:kern w:val="0"/>
        </w:rPr>
        <w:t>y</w:t>
      </w:r>
      <w:r w:rsidR="0075564F">
        <w:rPr>
          <w:rFonts w:cstheme="minorHAnsi"/>
          <w:kern w:val="0"/>
        </w:rPr>
        <w:t xml:space="preserve"> v oblasti e-</w:t>
      </w:r>
      <w:proofErr w:type="spellStart"/>
      <w:r w:rsidR="0075564F">
        <w:rPr>
          <w:rFonts w:cstheme="minorHAnsi"/>
          <w:kern w:val="0"/>
        </w:rPr>
        <w:t>commerce</w:t>
      </w:r>
      <w:proofErr w:type="spellEnd"/>
      <w:r w:rsidR="0075564F">
        <w:rPr>
          <w:rFonts w:cstheme="minorHAnsi"/>
          <w:kern w:val="0"/>
        </w:rPr>
        <w:t xml:space="preserve"> </w:t>
      </w:r>
      <w:r w:rsidR="00AA4C8D">
        <w:rPr>
          <w:rFonts w:cstheme="minorHAnsi"/>
          <w:kern w:val="0"/>
        </w:rPr>
        <w:t xml:space="preserve">odhadují </w:t>
      </w:r>
      <w:r w:rsidR="0075564F">
        <w:rPr>
          <w:rFonts w:cstheme="minorHAnsi"/>
          <w:kern w:val="0"/>
        </w:rPr>
        <w:t>na 10 mld. eur.</w:t>
      </w:r>
    </w:p>
    <w:p w14:paraId="71F17BA8" w14:textId="77777777" w:rsidR="00A25C29" w:rsidRPr="00B56C7F" w:rsidRDefault="00A25C29" w:rsidP="00B56C7F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</w:p>
    <w:p w14:paraId="236D5BC9" w14:textId="3B2E8304" w:rsidR="00094860" w:rsidRDefault="00522DB3" w:rsidP="0009486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C1B2E">
        <w:rPr>
          <w:rFonts w:ascii="Calibri" w:hAnsi="Calibri" w:cs="Calibri"/>
          <w:kern w:val="0"/>
        </w:rPr>
        <w:lastRenderedPageBreak/>
        <w:t xml:space="preserve">Základním právním předpisem </w:t>
      </w:r>
      <w:r w:rsidRPr="00541E48">
        <w:rPr>
          <w:rFonts w:ascii="Calibri" w:eastAsia="Times New Roman" w:hAnsi="Calibri" w:cs="Calibri"/>
          <w:bCs/>
          <w:color w:val="000000"/>
          <w:kern w:val="0"/>
          <w:lang w:eastAsia="cs-CZ"/>
          <w14:ligatures w14:val="none"/>
        </w:rPr>
        <w:t>harmonizující</w:t>
      </w:r>
      <w:r w:rsidR="00F779D2">
        <w:rPr>
          <w:rFonts w:ascii="Calibri" w:eastAsia="Times New Roman" w:hAnsi="Calibri" w:cs="Calibri"/>
          <w:bCs/>
          <w:color w:val="000000"/>
          <w:kern w:val="0"/>
          <w:lang w:eastAsia="cs-CZ"/>
          <w14:ligatures w14:val="none"/>
        </w:rPr>
        <w:t>m</w:t>
      </w:r>
      <w:r w:rsidRPr="00541E48">
        <w:rPr>
          <w:rFonts w:ascii="Calibri" w:eastAsia="Times New Roman" w:hAnsi="Calibri" w:cs="Calibri"/>
          <w:bCs/>
          <w:color w:val="000000"/>
          <w:kern w:val="0"/>
          <w:lang w:eastAsia="cs-CZ"/>
          <w14:ligatures w14:val="none"/>
        </w:rPr>
        <w:t xml:space="preserve"> pravidla DPH v členských státech</w:t>
      </w:r>
      <w:r w:rsidRPr="007C1B2E">
        <w:rPr>
          <w:rFonts w:ascii="Calibri" w:hAnsi="Calibri" w:cs="Calibri"/>
          <w:kern w:val="0"/>
        </w:rPr>
        <w:t xml:space="preserve"> je </w:t>
      </w:r>
      <w:r w:rsidR="00A25C29">
        <w:rPr>
          <w:rFonts w:ascii="Calibri" w:eastAsia="Times New Roman" w:hAnsi="Calibri" w:cs="Calibri"/>
          <w:bCs/>
          <w:color w:val="000000"/>
          <w:kern w:val="0"/>
          <w:lang w:eastAsia="cs-CZ"/>
          <w14:ligatures w14:val="none"/>
        </w:rPr>
        <w:t>s</w:t>
      </w:r>
      <w:r w:rsidRPr="00541E48">
        <w:rPr>
          <w:rFonts w:ascii="Calibri" w:eastAsia="Times New Roman" w:hAnsi="Calibri" w:cs="Calibri"/>
          <w:bCs/>
          <w:color w:val="000000"/>
          <w:kern w:val="0"/>
          <w:lang w:eastAsia="cs-CZ"/>
          <w14:ligatures w14:val="none"/>
        </w:rPr>
        <w:t xml:space="preserve">měrnice </w:t>
      </w:r>
      <w:r w:rsidR="00B56C7F">
        <w:rPr>
          <w:rFonts w:ascii="Calibri" w:eastAsia="Times New Roman" w:hAnsi="Calibri" w:cs="Calibri"/>
          <w:bCs/>
          <w:color w:val="000000"/>
          <w:kern w:val="0"/>
          <w:lang w:eastAsia="cs-CZ"/>
          <w14:ligatures w14:val="none"/>
        </w:rPr>
        <w:t>o</w:t>
      </w:r>
      <w:r w:rsidR="00A25C29">
        <w:rPr>
          <w:rFonts w:ascii="Calibri" w:eastAsia="Times New Roman" w:hAnsi="Calibri" w:cs="Calibri"/>
          <w:bCs/>
          <w:color w:val="000000"/>
          <w:kern w:val="0"/>
          <w:lang w:eastAsia="cs-CZ"/>
          <w14:ligatures w14:val="none"/>
        </w:rPr>
        <w:t> </w:t>
      </w:r>
      <w:r w:rsidR="00B56C7F">
        <w:rPr>
          <w:rFonts w:ascii="Calibri" w:eastAsia="Times New Roman" w:hAnsi="Calibri" w:cs="Calibri"/>
          <w:bCs/>
          <w:color w:val="000000"/>
          <w:kern w:val="0"/>
          <w:lang w:eastAsia="cs-CZ"/>
          <w14:ligatures w14:val="none"/>
        </w:rPr>
        <w:t>DPH</w:t>
      </w:r>
      <w:r w:rsidR="00A25C29" w:rsidRPr="00F16B71">
        <w:rPr>
          <w:rFonts w:ascii="Calibri" w:eastAsia="Times New Roman" w:hAnsi="Calibri" w:cs="Calibri"/>
          <w:bCs/>
          <w:color w:val="000000"/>
          <w:kern w:val="0"/>
          <w:vertAlign w:val="superscript"/>
          <w:lang w:eastAsia="cs-CZ"/>
          <w14:ligatures w14:val="none"/>
        </w:rPr>
        <w:t>6</w:t>
      </w:r>
      <w:r>
        <w:rPr>
          <w:rFonts w:ascii="Calibri" w:eastAsia="Times New Roman" w:hAnsi="Calibri" w:cs="Calibri"/>
          <w:bCs/>
          <w:color w:val="000000"/>
          <w:kern w:val="0"/>
          <w:lang w:eastAsia="cs-CZ"/>
          <w14:ligatures w14:val="none"/>
        </w:rPr>
        <w:t>.</w:t>
      </w:r>
      <w:r w:rsidRPr="00541E48">
        <w:rPr>
          <w:rFonts w:ascii="Calibri" w:eastAsia="Times New Roman" w:hAnsi="Calibri" w:cs="Calibri"/>
          <w:bCs/>
          <w:color w:val="000000"/>
          <w:kern w:val="0"/>
          <w:lang w:eastAsia="cs-CZ"/>
          <w14:ligatures w14:val="none"/>
        </w:rPr>
        <w:t xml:space="preserve"> </w:t>
      </w:r>
      <w:r w:rsidRPr="007C1B2E">
        <w:rPr>
          <w:rFonts w:ascii="Calibri" w:hAnsi="Calibri" w:cs="Calibri"/>
        </w:rPr>
        <w:t>Doplňují ji dvě nařízení Rady: jedno je zaměřeno na jednotné uplatňování směrnice o</w:t>
      </w:r>
      <w:r w:rsidR="00A25C29">
        <w:rPr>
          <w:rFonts w:ascii="Calibri" w:hAnsi="Calibri" w:cs="Calibri"/>
        </w:rPr>
        <w:t> </w:t>
      </w:r>
      <w:r w:rsidRPr="007C1B2E">
        <w:rPr>
          <w:rFonts w:ascii="Calibri" w:hAnsi="Calibri" w:cs="Calibri"/>
        </w:rPr>
        <w:t>DPH</w:t>
      </w:r>
      <w:r w:rsidRPr="007C1B2E">
        <w:rPr>
          <w:rStyle w:val="Znakapoznpodarou"/>
          <w:rFonts w:ascii="Calibri" w:hAnsi="Calibri" w:cs="Calibri"/>
        </w:rPr>
        <w:footnoteReference w:id="14"/>
      </w:r>
      <w:r w:rsidRPr="007C1B2E">
        <w:rPr>
          <w:rFonts w:ascii="Calibri" w:hAnsi="Calibri" w:cs="Calibri"/>
        </w:rPr>
        <w:t xml:space="preserve"> a druhé se týká správní spolupráce v boji proti podvodům v oblasti DPH</w:t>
      </w:r>
      <w:r w:rsidRPr="007C1B2E">
        <w:rPr>
          <w:rStyle w:val="Znakapoznpodarou"/>
          <w:rFonts w:ascii="Calibri" w:hAnsi="Calibri" w:cs="Calibri"/>
        </w:rPr>
        <w:footnoteReference w:id="15"/>
      </w:r>
      <w:r w:rsidRPr="007C1B2E">
        <w:rPr>
          <w:rFonts w:ascii="Calibri" w:hAnsi="Calibri" w:cs="Calibri"/>
        </w:rPr>
        <w:t>.</w:t>
      </w:r>
      <w:r>
        <w:rPr>
          <w:rFonts w:ascii="Calibri" w:hAnsi="Calibri" w:cs="Calibri"/>
          <w:kern w:val="0"/>
        </w:rPr>
        <w:t xml:space="preserve"> </w:t>
      </w:r>
      <w:r w:rsidRPr="007C1B2E">
        <w:rPr>
          <w:rFonts w:ascii="Calibri" w:hAnsi="Calibri" w:cs="Calibri"/>
          <w:kern w:val="0"/>
        </w:rPr>
        <w:t xml:space="preserve">Hlavním cílem </w:t>
      </w:r>
      <w:r w:rsidR="00A25C29">
        <w:rPr>
          <w:rFonts w:ascii="Calibri" w:hAnsi="Calibri" w:cs="Calibri"/>
          <w:kern w:val="0"/>
        </w:rPr>
        <w:t>s</w:t>
      </w:r>
      <w:r w:rsidRPr="007C1B2E">
        <w:rPr>
          <w:rFonts w:ascii="Calibri" w:hAnsi="Calibri" w:cs="Calibri"/>
          <w:kern w:val="0"/>
        </w:rPr>
        <w:t xml:space="preserve">měrnice </w:t>
      </w:r>
      <w:r w:rsidR="00F27CD9">
        <w:rPr>
          <w:rFonts w:ascii="Calibri" w:hAnsi="Calibri" w:cs="Calibri"/>
          <w:kern w:val="0"/>
        </w:rPr>
        <w:t>o DPH</w:t>
      </w:r>
      <w:r w:rsidRPr="007C1B2E">
        <w:rPr>
          <w:rFonts w:ascii="Calibri" w:hAnsi="Calibri" w:cs="Calibri"/>
          <w:kern w:val="0"/>
        </w:rPr>
        <w:t xml:space="preserve"> je zajištění spravedlivého a efektivního fungování vnitřního trhu EU tím, že pro uplatňování DPH zavádí společný systém, ke kterému stanovuje jednotná pravidla.</w:t>
      </w:r>
    </w:p>
    <w:p w14:paraId="0BB60FB3" w14:textId="77777777" w:rsidR="00094860" w:rsidRDefault="00094860" w:rsidP="0009486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</w:pPr>
    </w:p>
    <w:p w14:paraId="78999558" w14:textId="047BFB89" w:rsidR="00081F58" w:rsidRDefault="005B4B7A" w:rsidP="00094860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O</w:t>
      </w:r>
      <w:r w:rsidR="00522DB3" w:rsidRPr="00541E48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d 1. 7. 2021 </w:t>
      </w:r>
      <w:r w:rsidR="00FF6909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došlo </w:t>
      </w:r>
      <w:r w:rsidR="00522DB3" w:rsidRPr="00541E48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v oblasti </w:t>
      </w:r>
      <w:r w:rsidR="009F5B63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přeshraničního </w:t>
      </w:r>
      <w:r w:rsidR="00522DB3" w:rsidRPr="00541E48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elektronického obchodování v rámci unijní úpravy systému DPH k</w:t>
      </w:r>
      <w:r w:rsidR="00522DB3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e</w:t>
      </w:r>
      <w:r w:rsidR="00522DB3" w:rsidRPr="00541E48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změnám, které byly provedeny prostřednictvím </w:t>
      </w:r>
      <w:r w:rsidR="007841EC">
        <w:rPr>
          <w:rFonts w:cstheme="minorHAnsi"/>
        </w:rPr>
        <w:t>s</w:t>
      </w:r>
      <w:r w:rsidR="00525AC7" w:rsidRPr="004A5F48">
        <w:rPr>
          <w:rFonts w:cstheme="minorHAnsi"/>
        </w:rPr>
        <w:t>měrnic</w:t>
      </w:r>
      <w:r w:rsidR="00525AC7">
        <w:rPr>
          <w:rFonts w:cstheme="minorHAnsi"/>
        </w:rPr>
        <w:t>e</w:t>
      </w:r>
      <w:r w:rsidR="00525AC7" w:rsidRPr="004A5F48">
        <w:rPr>
          <w:rFonts w:cstheme="minorHAnsi"/>
        </w:rPr>
        <w:t xml:space="preserve"> Rady (EU) 2017/2455</w:t>
      </w:r>
      <w:r w:rsidR="00094860">
        <w:rPr>
          <w:rFonts w:cstheme="minorHAnsi"/>
          <w:vertAlign w:val="superscript"/>
        </w:rPr>
        <w:t>7</w:t>
      </w:r>
      <w:r w:rsidR="00525AC7" w:rsidRPr="004A5F48">
        <w:rPr>
          <w:rFonts w:cstheme="minorHAnsi"/>
        </w:rPr>
        <w:t xml:space="preserve"> </w:t>
      </w:r>
      <w: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(</w:t>
      </w:r>
      <w:r w:rsidR="004D22F1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t</w:t>
      </w:r>
      <w:r w:rsidR="00E32D0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zv</w:t>
      </w:r>
      <w:r w:rsidR="004D22F1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. </w:t>
      </w:r>
      <w:r w:rsidR="00B56C7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balíč</w:t>
      </w:r>
      <w:r w:rsidR="00E11C74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e</w:t>
      </w:r>
      <w:r w:rsidR="00B56C7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k e-</w:t>
      </w:r>
      <w:proofErr w:type="spellStart"/>
      <w:r w:rsidR="00B56C7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commerce</w:t>
      </w:r>
      <w:proofErr w:type="spellEnd"/>
      <w:r w:rsidR="004D22F1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)</w:t>
      </w:r>
      <w:r w:rsidR="00E11C74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, která byla</w:t>
      </w:r>
      <w:r w:rsidR="007E2EDE" w:rsidRPr="007E2EDE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do zákona </w:t>
      </w:r>
      <w:r w:rsidR="00B56C7F">
        <w:rPr>
          <w:rFonts w:ascii="Calibri" w:eastAsia="Times New Roman" w:hAnsi="Calibri" w:cs="Calibri"/>
          <w:kern w:val="0"/>
          <w:lang w:eastAsia="cs-CZ"/>
          <w14:ligatures w14:val="none"/>
        </w:rPr>
        <w:t>o DPH</w:t>
      </w:r>
      <w:r w:rsidR="007E2EDE" w:rsidRPr="007E2EDE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transponován</w:t>
      </w:r>
      <w:r w:rsidR="00E11C74">
        <w:rPr>
          <w:rFonts w:ascii="Calibri" w:eastAsia="Times New Roman" w:hAnsi="Calibri" w:cs="Calibri"/>
          <w:kern w:val="0"/>
          <w:lang w:eastAsia="cs-CZ"/>
          <w14:ligatures w14:val="none"/>
        </w:rPr>
        <w:t>a</w:t>
      </w:r>
      <w:r w:rsidR="007E2EDE" w:rsidRPr="007E2EDE">
        <w:rPr>
          <w:rFonts w:ascii="Calibri" w:eastAsia="Times New Roman" w:hAnsi="Calibri" w:cs="Calibri"/>
          <w:kern w:val="0"/>
          <w:lang w:eastAsia="cs-CZ"/>
          <w14:ligatures w14:val="none"/>
        </w:rPr>
        <w:t xml:space="preserve"> zákonem č. 355/2021 Sb.</w:t>
      </w:r>
    </w:p>
    <w:p w14:paraId="339330C3" w14:textId="77777777" w:rsidR="00094860" w:rsidRDefault="00094860" w:rsidP="00094860">
      <w:pPr>
        <w:spacing w:after="0" w:line="240" w:lineRule="auto"/>
        <w:jc w:val="both"/>
        <w:rPr>
          <w:rFonts w:ascii="Calibri" w:eastAsia="Times New Roman" w:hAnsi="Calibri" w:cs="Calibri"/>
          <w:kern w:val="0"/>
          <w:lang w:eastAsia="cs-CZ"/>
          <w14:ligatures w14:val="none"/>
        </w:rPr>
      </w:pPr>
    </w:p>
    <w:p w14:paraId="07CB4706" w14:textId="43D9C037" w:rsidR="00094860" w:rsidRDefault="00C623FA" w:rsidP="00094860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t>Vlivem</w:t>
      </w:r>
      <w:r w:rsidR="00522DB3">
        <w:rPr>
          <w:rFonts w:ascii="Calibri" w:eastAsia="Times New Roman" w:hAnsi="Calibri" w:cs="Calibri"/>
          <w:bCs/>
          <w:kern w:val="0"/>
          <w14:ligatures w14:val="none"/>
        </w:rPr>
        <w:t xml:space="preserve"> nových pravidel došlo v oblasti prodeje zboží na dálku konečným spotřebitelům ke změně pravidla </w:t>
      </w:r>
      <w:r w:rsidR="00522DB3" w:rsidRPr="00D277A4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pro stanovení místa plnění, tj. v jakém členském státě dochází ke zdanění. </w:t>
      </w:r>
      <w:r w:rsidR="004A6933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Balíček e-</w:t>
      </w:r>
      <w:proofErr w:type="spellStart"/>
      <w:r w:rsidR="004A6933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commerce</w:t>
      </w:r>
      <w:proofErr w:type="spellEnd"/>
      <w:r w:rsidR="00522DB3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</w:t>
      </w:r>
      <w:r w:rsidR="005B4B7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zavedl</w:t>
      </w:r>
      <w:r w:rsidR="00522DB3" w:rsidRPr="00D277A4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od 1. </w:t>
      </w:r>
      <w: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července</w:t>
      </w:r>
      <w:r w:rsidR="00522DB3" w:rsidRPr="00D277A4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2021 jednu společnou prahovou hodnotu ve výši 10 000 </w:t>
      </w:r>
      <w:r w:rsidR="004A6933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eur</w:t>
      </w:r>
      <w:r w:rsidR="00522DB3" w:rsidRPr="00D277A4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pro prodej zboží</w:t>
      </w:r>
      <w:r w:rsidR="00A706B5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a služeb</w:t>
      </w:r>
      <w:r w:rsidR="00522DB3" w:rsidRPr="00D277A4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na dálku. </w:t>
      </w:r>
      <w:r w:rsidR="00522DB3" w:rsidRPr="006D2C6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Pod touto hranicí m</w:t>
      </w:r>
      <w:r w:rsidR="005F4419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ůže</w:t>
      </w:r>
      <w:r w:rsidR="00522DB3" w:rsidRPr="006D2C6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poskytování služeb </w:t>
      </w:r>
      <w:r w:rsidR="005B4B7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v oblasti </w:t>
      </w:r>
      <w:r w:rsidR="00522DB3" w:rsidRPr="006D2C6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telekomunikac</w:t>
      </w:r>
      <w:r w:rsidR="005B4B7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í</w:t>
      </w:r>
      <w:r w:rsidR="00522DB3" w:rsidRPr="006D2C6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, vysílání a elektronick</w:t>
      </w:r>
      <w:r w:rsidR="005B4B7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ých služeb</w:t>
      </w:r>
      <w:r w:rsidR="00522DB3" w:rsidRPr="006D2C6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a</w:t>
      </w:r>
      <w:r w:rsidR="005B4B7A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</w:t>
      </w:r>
      <w:r w:rsidR="00522DB3" w:rsidRPr="006D2C6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prodej zboží na dálku v rámci EU nadále podléhat DPH v členském státě, kde je osoba povinná k dani usazena</w:t>
      </w:r>
      <w:r w:rsidR="00522DB3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. </w:t>
      </w:r>
      <w:r w:rsidR="00522DB3">
        <w:rPr>
          <w:rFonts w:ascii="Calibri" w:eastAsia="Times New Roman" w:hAnsi="Calibri" w:cs="Calibri"/>
          <w:bCs/>
          <w:kern w:val="0"/>
          <w14:ligatures w14:val="none"/>
        </w:rPr>
        <w:t>Při překročení této prahové hodnoty vzniká povinnost odvádět DPH v</w:t>
      </w:r>
      <w:r>
        <w:rPr>
          <w:rFonts w:ascii="Calibri" w:eastAsia="Times New Roman" w:hAnsi="Calibri" w:cs="Calibri"/>
          <w:bCs/>
          <w:kern w:val="0"/>
          <w14:ligatures w14:val="none"/>
        </w:rPr>
        <w:t xml:space="preserve"> </w:t>
      </w:r>
      <w:r w:rsidR="00522DB3">
        <w:rPr>
          <w:rFonts w:ascii="Calibri" w:eastAsia="Times New Roman" w:hAnsi="Calibri" w:cs="Calibri"/>
          <w:bCs/>
          <w:kern w:val="0"/>
          <w14:ligatures w14:val="none"/>
        </w:rPr>
        <w:t>zemi konečného spotřebitele, tj.</w:t>
      </w:r>
      <w:r>
        <w:rPr>
          <w:rFonts w:ascii="Calibri" w:eastAsia="Times New Roman" w:hAnsi="Calibri" w:cs="Calibri"/>
          <w:bCs/>
          <w:kern w:val="0"/>
          <w14:ligatures w14:val="none"/>
        </w:rPr>
        <w:t> </w:t>
      </w:r>
      <w:r w:rsidR="00522DB3">
        <w:rPr>
          <w:rFonts w:ascii="Calibri" w:eastAsia="Times New Roman" w:hAnsi="Calibri" w:cs="Calibri"/>
          <w:bCs/>
          <w:kern w:val="0"/>
          <w14:ligatures w14:val="none"/>
        </w:rPr>
        <w:t>v</w:t>
      </w:r>
      <w:r>
        <w:rPr>
          <w:rFonts w:ascii="Calibri" w:eastAsia="Times New Roman" w:hAnsi="Calibri" w:cs="Calibri"/>
          <w:bCs/>
          <w:kern w:val="0"/>
          <w14:ligatures w14:val="none"/>
        </w:rPr>
        <w:t> </w:t>
      </w:r>
      <w:r w:rsidR="00522DB3">
        <w:rPr>
          <w:rFonts w:ascii="Calibri" w:eastAsia="Times New Roman" w:hAnsi="Calibri" w:cs="Calibri"/>
          <w:bCs/>
          <w:kern w:val="0"/>
          <w14:ligatures w14:val="none"/>
        </w:rPr>
        <w:t>každém členském státě, kam je dodáno zboží nebo poskytnuta služba.</w:t>
      </w:r>
    </w:p>
    <w:p w14:paraId="2DC9452A" w14:textId="77777777" w:rsidR="00094860" w:rsidRDefault="00094860" w:rsidP="00094860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14:ligatures w14:val="none"/>
        </w:rPr>
      </w:pPr>
    </w:p>
    <w:p w14:paraId="4ED548A3" w14:textId="5DA6918F" w:rsidR="00E67F19" w:rsidRDefault="00522DB3" w:rsidP="00094860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14:ligatures w14:val="none"/>
        </w:rPr>
      </w:pPr>
      <w:r w:rsidRPr="005B4B7A">
        <w:rPr>
          <w:rFonts w:ascii="Calibri" w:eastAsia="Times New Roman" w:hAnsi="Calibri" w:cs="Calibri"/>
          <w:bCs/>
          <w:kern w:val="0"/>
          <w14:ligatures w14:val="none"/>
        </w:rPr>
        <w:t xml:space="preserve">Další změnou bylo </w:t>
      </w:r>
      <w:r>
        <w:rPr>
          <w:rFonts w:ascii="Calibri" w:eastAsia="Times New Roman" w:hAnsi="Calibri" w:cs="Calibri"/>
          <w:bCs/>
          <w:kern w:val="0"/>
          <w14:ligatures w14:val="none"/>
        </w:rPr>
        <w:t xml:space="preserve">zrušení osvobození od DPH u dovozu zboží </w:t>
      </w:r>
      <w:r w:rsidR="009F5B63">
        <w:rPr>
          <w:rFonts w:ascii="Calibri" w:eastAsia="Times New Roman" w:hAnsi="Calibri" w:cs="Calibri"/>
          <w:bCs/>
          <w:kern w:val="0"/>
          <w14:ligatures w14:val="none"/>
        </w:rPr>
        <w:t xml:space="preserve">ze třetích zemí nebo třetích území </w:t>
      </w:r>
      <w:r>
        <w:rPr>
          <w:rFonts w:ascii="Calibri" w:eastAsia="Times New Roman" w:hAnsi="Calibri" w:cs="Calibri"/>
          <w:bCs/>
          <w:kern w:val="0"/>
          <w14:ligatures w14:val="none"/>
        </w:rPr>
        <w:t xml:space="preserve">s hodnotou do 22 </w:t>
      </w:r>
      <w:r w:rsidR="004A6933">
        <w:rPr>
          <w:rFonts w:ascii="Calibri" w:eastAsia="Times New Roman" w:hAnsi="Calibri" w:cs="Calibri"/>
          <w:bCs/>
          <w:kern w:val="0"/>
          <w14:ligatures w14:val="none"/>
        </w:rPr>
        <w:t>eur</w:t>
      </w:r>
      <w:r>
        <w:rPr>
          <w:rFonts w:ascii="Calibri" w:eastAsia="Times New Roman" w:hAnsi="Calibri" w:cs="Calibri"/>
          <w:bCs/>
          <w:kern w:val="0"/>
          <w14:ligatures w14:val="none"/>
        </w:rPr>
        <w:t xml:space="preserve"> a rozšíření </w:t>
      </w:r>
      <w:r w:rsidR="00573B8A">
        <w:rPr>
          <w:rFonts w:ascii="Calibri" w:eastAsia="Times New Roman" w:hAnsi="Calibri" w:cs="Calibri"/>
          <w:bCs/>
          <w:kern w:val="0"/>
          <w14:ligatures w14:val="none"/>
        </w:rPr>
        <w:t xml:space="preserve">zjednodušeného </w:t>
      </w:r>
      <w:r>
        <w:rPr>
          <w:rFonts w:ascii="Calibri" w:eastAsia="Times New Roman" w:hAnsi="Calibri" w:cs="Calibri"/>
          <w:bCs/>
          <w:kern w:val="0"/>
          <w14:ligatures w14:val="none"/>
        </w:rPr>
        <w:t>zvláštního režimu jednoho správního místa</w:t>
      </w:r>
      <w:r w:rsidR="00573B8A">
        <w:rPr>
          <w:rFonts w:ascii="Calibri" w:eastAsia="Times New Roman" w:hAnsi="Calibri" w:cs="Calibri"/>
          <w:bCs/>
          <w:kern w:val="0"/>
          <w14:ligatures w14:val="none"/>
        </w:rPr>
        <w:t xml:space="preserve"> (dále také „</w:t>
      </w:r>
      <w:r w:rsidR="00685EC7">
        <w:rPr>
          <w:rFonts w:ascii="Calibri" w:eastAsia="Times New Roman" w:hAnsi="Calibri" w:cs="Calibri"/>
          <w:bCs/>
          <w:kern w:val="0"/>
          <w14:ligatures w14:val="none"/>
        </w:rPr>
        <w:t xml:space="preserve">režim </w:t>
      </w:r>
      <w:r w:rsidR="00573B8A">
        <w:rPr>
          <w:rFonts w:ascii="Calibri" w:eastAsia="Times New Roman" w:hAnsi="Calibri" w:cs="Calibri"/>
          <w:bCs/>
          <w:kern w:val="0"/>
          <w14:ligatures w14:val="none"/>
        </w:rPr>
        <w:t>MOSS“) na</w:t>
      </w:r>
      <w:r w:rsidR="002A15DC">
        <w:t xml:space="preserve"> poskytování služeb a prodej zboží na dálku u přeshraničního elektronického obchodování, tj.</w:t>
      </w:r>
      <w:r w:rsidR="00573B8A">
        <w:rPr>
          <w:rFonts w:ascii="Calibri" w:eastAsia="Times New Roman" w:hAnsi="Calibri" w:cs="Calibri"/>
          <w:bCs/>
          <w:kern w:val="0"/>
          <w14:ligatures w14:val="none"/>
        </w:rPr>
        <w:t xml:space="preserve"> </w:t>
      </w:r>
      <w:r w:rsidR="00DF5453">
        <w:rPr>
          <w:rFonts w:ascii="Calibri" w:eastAsia="Times New Roman" w:hAnsi="Calibri" w:cs="Calibri"/>
          <w:bCs/>
          <w:kern w:val="0"/>
          <w14:ligatures w14:val="none"/>
        </w:rPr>
        <w:t xml:space="preserve">zvláštní </w:t>
      </w:r>
      <w:r w:rsidR="00573B8A">
        <w:rPr>
          <w:rFonts w:ascii="Calibri" w:eastAsia="Times New Roman" w:hAnsi="Calibri" w:cs="Calibri"/>
          <w:bCs/>
          <w:kern w:val="0"/>
          <w14:ligatures w14:val="none"/>
        </w:rPr>
        <w:t>režim.</w:t>
      </w:r>
      <w:r>
        <w:rPr>
          <w:rFonts w:ascii="Calibri" w:eastAsia="Times New Roman" w:hAnsi="Calibri" w:cs="Calibri"/>
          <w:bCs/>
          <w:kern w:val="0"/>
          <w14:ligatures w14:val="none"/>
        </w:rPr>
        <w:t xml:space="preserve"> </w:t>
      </w:r>
      <w:r w:rsidR="00573B8A">
        <w:rPr>
          <w:rFonts w:ascii="Calibri" w:eastAsia="Times New Roman" w:hAnsi="Calibri" w:cs="Calibri"/>
          <w:bCs/>
          <w:kern w:val="0"/>
          <w14:ligatures w14:val="none"/>
        </w:rPr>
        <w:t>Tento režim</w:t>
      </w:r>
      <w:r>
        <w:rPr>
          <w:rFonts w:ascii="Calibri" w:eastAsia="Times New Roman" w:hAnsi="Calibri" w:cs="Calibri"/>
          <w:bCs/>
          <w:kern w:val="0"/>
          <w14:ligatures w14:val="none"/>
        </w:rPr>
        <w:t xml:space="preserve"> umožňuje prodejcům přiznávat a</w:t>
      </w:r>
      <w:r w:rsidR="00C623FA">
        <w:rPr>
          <w:rFonts w:ascii="Calibri" w:eastAsia="Times New Roman" w:hAnsi="Calibri" w:cs="Calibri"/>
          <w:bCs/>
          <w:kern w:val="0"/>
          <w14:ligatures w14:val="none"/>
        </w:rPr>
        <w:t> </w:t>
      </w:r>
      <w:r>
        <w:rPr>
          <w:rFonts w:ascii="Calibri" w:eastAsia="Times New Roman" w:hAnsi="Calibri" w:cs="Calibri"/>
          <w:bCs/>
          <w:kern w:val="0"/>
          <w14:ligatures w14:val="none"/>
        </w:rPr>
        <w:t xml:space="preserve">odvádět DPH z přeshraničního prodeje zboží či poskytnutí služby konečným spotřebitelům v jiných členských státech EU na jednom místě </w:t>
      </w:r>
      <w:r w:rsidR="00A748A0" w:rsidRPr="00A5680D">
        <w:rPr>
          <w:rFonts w:ascii="Calibri" w:hAnsi="Calibri" w:cs="Calibri"/>
          <w:bCs/>
        </w:rPr>
        <w:t>a prostřednictvím tohoto jednoho státu odvádět DPH do všech ostatních členských států EU</w:t>
      </w:r>
      <w:r w:rsidR="005F4419">
        <w:rPr>
          <w:rFonts w:ascii="Calibri" w:hAnsi="Calibri" w:cs="Calibri"/>
          <w:bCs/>
        </w:rPr>
        <w:t>,</w:t>
      </w:r>
      <w:r w:rsidR="00A748A0" w:rsidRPr="00A5680D">
        <w:rPr>
          <w:rFonts w:ascii="Calibri" w:hAnsi="Calibri" w:cs="Calibri"/>
          <w:bCs/>
        </w:rPr>
        <w:t xml:space="preserve"> kde má </w:t>
      </w:r>
      <w:r w:rsidR="00A706B5">
        <w:rPr>
          <w:rFonts w:ascii="Calibri" w:hAnsi="Calibri" w:cs="Calibri"/>
          <w:bCs/>
        </w:rPr>
        <w:t xml:space="preserve">prodejce </w:t>
      </w:r>
      <w:r w:rsidR="00A748A0" w:rsidRPr="00A5680D">
        <w:rPr>
          <w:rFonts w:ascii="Calibri" w:hAnsi="Calibri" w:cs="Calibri"/>
          <w:bCs/>
        </w:rPr>
        <w:t xml:space="preserve">zákazníky. Registrace do </w:t>
      </w:r>
      <w:r w:rsidR="00DD7AD9">
        <w:rPr>
          <w:rFonts w:ascii="Calibri" w:hAnsi="Calibri" w:cs="Calibri"/>
          <w:bCs/>
        </w:rPr>
        <w:t xml:space="preserve">zvláštního </w:t>
      </w:r>
      <w:r w:rsidR="009A097E" w:rsidRPr="00A5680D">
        <w:rPr>
          <w:rFonts w:ascii="Calibri" w:hAnsi="Calibri" w:cs="Calibri"/>
          <w:bCs/>
        </w:rPr>
        <w:t>režimu je</w:t>
      </w:r>
      <w:r w:rsidR="00A748A0" w:rsidRPr="00A5680D">
        <w:rPr>
          <w:rFonts w:ascii="Calibri" w:hAnsi="Calibri" w:cs="Calibri"/>
          <w:bCs/>
        </w:rPr>
        <w:t xml:space="preserve"> dobrovolná.</w:t>
      </w:r>
      <w:r w:rsidR="00A748A0">
        <w:rPr>
          <w:rFonts w:ascii="Calibri" w:hAnsi="Calibri" w:cs="Calibri"/>
          <w:bCs/>
        </w:rPr>
        <w:t xml:space="preserve"> </w:t>
      </w:r>
      <w:r>
        <w:rPr>
          <w:rFonts w:ascii="Calibri" w:eastAsia="Times New Roman" w:hAnsi="Calibri" w:cs="Calibri"/>
          <w:bCs/>
          <w:kern w:val="0"/>
          <w14:ligatures w14:val="none"/>
        </w:rPr>
        <w:t>V oblasti obchodování se zbožím za použití elektronického rozhraní (digitální platform</w:t>
      </w:r>
      <w:r w:rsidR="002403E3">
        <w:rPr>
          <w:rFonts w:ascii="Calibri" w:eastAsia="Times New Roman" w:hAnsi="Calibri" w:cs="Calibri"/>
          <w:bCs/>
          <w:kern w:val="0"/>
          <w14:ligatures w14:val="none"/>
        </w:rPr>
        <w:t>y</w:t>
      </w:r>
      <w:r>
        <w:rPr>
          <w:rFonts w:ascii="Calibri" w:eastAsia="Times New Roman" w:hAnsi="Calibri" w:cs="Calibri"/>
          <w:bCs/>
          <w:kern w:val="0"/>
          <w14:ligatures w14:val="none"/>
        </w:rPr>
        <w:t>) došlo ke změně pro provozovatele elektronických rozhraní, kteří se za určitých podmínek stávají tzv. domnělými dodavateli, tedy osobami odpovědnými za odvod DPH.</w:t>
      </w:r>
    </w:p>
    <w:p w14:paraId="4D3EFCFB" w14:textId="77777777" w:rsidR="00094860" w:rsidRDefault="00094860" w:rsidP="00094860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14:ligatures w14:val="none"/>
        </w:rPr>
      </w:pPr>
    </w:p>
    <w:p w14:paraId="6823D1C7" w14:textId="5A2B165B" w:rsidR="000E0CB6" w:rsidRDefault="000E0CB6" w:rsidP="000E0CB6">
      <w:pPr>
        <w:spacing w:after="0" w:line="240" w:lineRule="auto"/>
        <w:jc w:val="both"/>
      </w:pPr>
      <w:r>
        <w:t>Členský stát identifikace (dále také „ČSI“) je členský stát EU, ve kterém je subjekt uskutečňující vybraná plnění nebo zprostředkovatel registrován k používání zvláštního režimu a přiznává a</w:t>
      </w:r>
      <w:r w:rsidR="0042318A">
        <w:t> </w:t>
      </w:r>
      <w:r>
        <w:t>odvádí v něm daň splatnou v členských státech spotřeby.</w:t>
      </w:r>
    </w:p>
    <w:p w14:paraId="41339D2E" w14:textId="77777777" w:rsidR="000E0CB6" w:rsidRDefault="000E0CB6" w:rsidP="000E0CB6">
      <w:pPr>
        <w:spacing w:after="0" w:line="240" w:lineRule="auto"/>
        <w:jc w:val="both"/>
      </w:pPr>
    </w:p>
    <w:p w14:paraId="7421B809" w14:textId="284C2E63" w:rsidR="000E0CB6" w:rsidRDefault="000E0CB6" w:rsidP="000E0CB6">
      <w:pPr>
        <w:spacing w:after="0" w:line="240" w:lineRule="auto"/>
        <w:jc w:val="both"/>
      </w:pPr>
      <w:r>
        <w:t xml:space="preserve">Členský stát spotřeby (dále také „ČSS“) je členský stát EU, ve kterém </w:t>
      </w:r>
      <w:r w:rsidR="00C623FA">
        <w:t>se uskutečňuje</w:t>
      </w:r>
      <w:r>
        <w:t xml:space="preserve"> vybrané plnění ve zvláštním</w:t>
      </w:r>
      <w:r w:rsidR="00C623FA">
        <w:t xml:space="preserve"> </w:t>
      </w:r>
      <w:r>
        <w:t>režimu pro osoby nepovinné k dani (spotřebitele).</w:t>
      </w:r>
    </w:p>
    <w:p w14:paraId="3DADC96F" w14:textId="77777777" w:rsidR="000E0CB6" w:rsidRDefault="000E0CB6" w:rsidP="009E1286">
      <w:pPr>
        <w:shd w:val="clear" w:color="auto" w:fill="FFFFFF"/>
        <w:spacing w:after="120" w:line="240" w:lineRule="auto"/>
        <w:jc w:val="both"/>
        <w:rPr>
          <w:rFonts w:ascii="Calibri" w:eastAsia="Times New Roman" w:hAnsi="Calibri" w:cs="Calibri"/>
          <w:bCs/>
          <w:kern w:val="0"/>
          <w14:ligatures w14:val="none"/>
        </w:rPr>
      </w:pPr>
    </w:p>
    <w:p w14:paraId="4730423F" w14:textId="77777777" w:rsidR="00864C80" w:rsidRPr="009E1286" w:rsidRDefault="00864C80" w:rsidP="009E1286">
      <w:pPr>
        <w:shd w:val="clear" w:color="auto" w:fill="FFFFFF"/>
        <w:spacing w:after="120" w:line="240" w:lineRule="auto"/>
        <w:jc w:val="both"/>
        <w:rPr>
          <w:rFonts w:ascii="Calibri" w:eastAsia="Times New Roman" w:hAnsi="Calibri" w:cs="Calibri"/>
          <w:bCs/>
          <w:kern w:val="0"/>
          <w14:ligatures w14:val="none"/>
        </w:rPr>
      </w:pPr>
    </w:p>
    <w:p w14:paraId="63C79BC6" w14:textId="78A9C2DE" w:rsidR="00CC5950" w:rsidRPr="00F16B71" w:rsidRDefault="00691861" w:rsidP="00F16B71">
      <w:pPr>
        <w:keepNext/>
        <w:keepLines/>
        <w:spacing w:after="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>S</w:t>
      </w:r>
      <w:r w:rsidRPr="00CC5950">
        <w:rPr>
          <w:rFonts w:ascii="Calibri" w:hAnsi="Calibri" w:cs="Calibri"/>
          <w:b/>
          <w:bCs/>
        </w:rPr>
        <w:t>chéma č. 1</w:t>
      </w:r>
      <w:r>
        <w:rPr>
          <w:rFonts w:ascii="Calibri" w:hAnsi="Calibri" w:cs="Calibri"/>
          <w:b/>
          <w:bCs/>
        </w:rPr>
        <w:t xml:space="preserve">: </w:t>
      </w:r>
      <w:r w:rsidR="00CC5950" w:rsidRPr="00CC5950">
        <w:rPr>
          <w:rFonts w:ascii="Calibri" w:hAnsi="Calibri" w:cs="Calibri"/>
          <w:b/>
          <w:bCs/>
        </w:rPr>
        <w:t>Systém správy DPH v</w:t>
      </w:r>
      <w:r w:rsidR="00DF5453">
        <w:rPr>
          <w:rFonts w:ascii="Calibri" w:hAnsi="Calibri" w:cs="Calibri"/>
          <w:b/>
          <w:bCs/>
        </w:rPr>
        <w:t>e zvláštním</w:t>
      </w:r>
      <w:r w:rsidR="00CC5950" w:rsidRPr="00CC5950">
        <w:rPr>
          <w:rFonts w:ascii="Calibri" w:hAnsi="Calibri" w:cs="Calibri"/>
          <w:b/>
          <w:bCs/>
        </w:rPr>
        <w:t xml:space="preserve"> režimu </w:t>
      </w:r>
    </w:p>
    <w:p w14:paraId="41D41161" w14:textId="719A814D" w:rsidR="002E3E81" w:rsidRPr="00F16B71" w:rsidRDefault="004C591E" w:rsidP="00E64490">
      <w:pPr>
        <w:keepNext/>
        <w:keepLines/>
        <w:spacing w:after="0" w:line="240" w:lineRule="auto"/>
        <w:rPr>
          <w:rFonts w:ascii="Calibri" w:hAnsi="Calibri" w:cs="Calibri"/>
        </w:rPr>
      </w:pPr>
      <w:r w:rsidRPr="002941CA">
        <w:rPr>
          <w:noProof/>
        </w:rPr>
        <w:drawing>
          <wp:inline distT="0" distB="0" distL="0" distR="0" wp14:anchorId="4F5F5903" wp14:editId="36EC1D1E">
            <wp:extent cx="3789680" cy="2232660"/>
            <wp:effectExtent l="0" t="0" r="1270" b="0"/>
            <wp:docPr id="1849756846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4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9680" cy="223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E90CB76" w14:textId="77777777" w:rsidR="00CC5950" w:rsidRDefault="00CC5950" w:rsidP="00E64490">
      <w:pPr>
        <w:pStyle w:val="Textkomente"/>
        <w:keepLines/>
        <w:spacing w:before="120"/>
      </w:pPr>
      <w:r w:rsidRPr="00F16B71">
        <w:rPr>
          <w:b/>
        </w:rPr>
        <w:t>Zdroj:</w:t>
      </w:r>
      <w:r>
        <w:t xml:space="preserve"> právní předpisy EU; graficky zpracoval NKÚ.</w:t>
      </w:r>
    </w:p>
    <w:p w14:paraId="512EDEA3" w14:textId="2C480764" w:rsidR="00632415" w:rsidRPr="007F1AE4" w:rsidRDefault="00014F93" w:rsidP="007F1AE4">
      <w:pPr>
        <w:spacing w:before="120" w:after="120" w:line="240" w:lineRule="auto"/>
        <w:jc w:val="both"/>
        <w:rPr>
          <w:rFonts w:ascii="Calibri" w:eastAsia="Times New Roman" w:hAnsi="Calibri" w:cs="Calibri"/>
          <w:bCs/>
          <w:color w:val="000000"/>
          <w:kern w:val="0"/>
          <w:sz w:val="20"/>
          <w:szCs w:val="23"/>
          <w:lang w:eastAsia="cs-CZ"/>
          <w14:ligatures w14:val="none"/>
        </w:rPr>
      </w:pPr>
      <w:r>
        <w:rPr>
          <w:rFonts w:ascii="Calibri" w:eastAsia="Times New Roman" w:hAnsi="Calibri" w:cs="Calibri"/>
          <w:bCs/>
          <w:color w:val="000000"/>
          <w:kern w:val="0"/>
          <w:lang w:eastAsia="cs-CZ"/>
          <w14:ligatures w14:val="none"/>
        </w:rPr>
        <w:t>Z</w:t>
      </w:r>
      <w:r w:rsidR="00522DB3" w:rsidRPr="00BC6755">
        <w:rPr>
          <w:rFonts w:ascii="Calibri" w:eastAsia="Times New Roman" w:hAnsi="Calibri" w:cs="Calibri"/>
          <w:bCs/>
          <w:color w:val="000000"/>
          <w:kern w:val="0"/>
          <w:lang w:eastAsia="cs-CZ"/>
          <w14:ligatures w14:val="none"/>
        </w:rPr>
        <w:t xml:space="preserve">vláštní režim </w:t>
      </w:r>
      <w:r>
        <w:rPr>
          <w:rFonts w:ascii="Calibri" w:eastAsia="Times New Roman" w:hAnsi="Calibri" w:cs="Calibri"/>
          <w:bCs/>
          <w:color w:val="000000"/>
          <w:kern w:val="0"/>
          <w:lang w:eastAsia="cs-CZ"/>
          <w14:ligatures w14:val="none"/>
        </w:rPr>
        <w:t>je tvořen</w:t>
      </w:r>
      <w:r w:rsidR="00522DB3" w:rsidRPr="00BC6755">
        <w:rPr>
          <w:rFonts w:ascii="Calibri" w:eastAsia="Times New Roman" w:hAnsi="Calibri" w:cs="Calibri"/>
          <w:bCs/>
          <w:color w:val="000000"/>
          <w:kern w:val="0"/>
          <w:lang w:eastAsia="cs-CZ"/>
          <w14:ligatures w14:val="none"/>
        </w:rPr>
        <w:t xml:space="preserve"> tř</w:t>
      </w:r>
      <w:r>
        <w:rPr>
          <w:rFonts w:ascii="Calibri" w:eastAsia="Times New Roman" w:hAnsi="Calibri" w:cs="Calibri"/>
          <w:bCs/>
          <w:color w:val="000000"/>
          <w:kern w:val="0"/>
          <w:lang w:eastAsia="cs-CZ"/>
          <w14:ligatures w14:val="none"/>
        </w:rPr>
        <w:t>em</w:t>
      </w:r>
      <w:r w:rsidR="00522DB3" w:rsidRPr="00BC6755">
        <w:rPr>
          <w:rFonts w:ascii="Calibri" w:eastAsia="Times New Roman" w:hAnsi="Calibri" w:cs="Calibri"/>
          <w:bCs/>
          <w:color w:val="000000"/>
          <w:kern w:val="0"/>
          <w:lang w:eastAsia="cs-CZ"/>
          <w14:ligatures w14:val="none"/>
        </w:rPr>
        <w:t>i režimy, a to režim</w:t>
      </w:r>
      <w:r>
        <w:rPr>
          <w:rFonts w:ascii="Calibri" w:eastAsia="Times New Roman" w:hAnsi="Calibri" w:cs="Calibri"/>
          <w:bCs/>
          <w:color w:val="000000"/>
          <w:kern w:val="0"/>
          <w:lang w:eastAsia="cs-CZ"/>
          <w14:ligatures w14:val="none"/>
        </w:rPr>
        <w:t>em</w:t>
      </w:r>
      <w:r w:rsidR="00522DB3" w:rsidRPr="00BC6755">
        <w:rPr>
          <w:rFonts w:ascii="Calibri" w:eastAsia="Times New Roman" w:hAnsi="Calibri" w:cs="Calibri"/>
          <w:bCs/>
          <w:color w:val="000000"/>
          <w:kern w:val="0"/>
          <w:lang w:eastAsia="cs-CZ"/>
          <w14:ligatures w14:val="none"/>
        </w:rPr>
        <w:t xml:space="preserve"> EU a režim</w:t>
      </w:r>
      <w:r>
        <w:rPr>
          <w:rFonts w:ascii="Calibri" w:eastAsia="Times New Roman" w:hAnsi="Calibri" w:cs="Calibri"/>
          <w:bCs/>
          <w:color w:val="000000"/>
          <w:kern w:val="0"/>
          <w:lang w:eastAsia="cs-CZ"/>
          <w14:ligatures w14:val="none"/>
        </w:rPr>
        <w:t>em</w:t>
      </w:r>
      <w:r w:rsidR="00522DB3" w:rsidRPr="00BC6755">
        <w:rPr>
          <w:rFonts w:ascii="Calibri" w:eastAsia="Times New Roman" w:hAnsi="Calibri" w:cs="Calibri"/>
          <w:bCs/>
          <w:color w:val="000000"/>
          <w:kern w:val="0"/>
          <w:lang w:eastAsia="cs-CZ"/>
          <w14:ligatures w14:val="none"/>
        </w:rPr>
        <w:t xml:space="preserve"> mimo EU, které byly </w:t>
      </w:r>
      <w:r w:rsidR="007E2EDE">
        <w:rPr>
          <w:rFonts w:ascii="Calibri" w:eastAsia="Times New Roman" w:hAnsi="Calibri" w:cs="Calibri"/>
          <w:bCs/>
          <w:color w:val="000000"/>
          <w:kern w:val="0"/>
          <w:lang w:eastAsia="cs-CZ"/>
          <w14:ligatures w14:val="none"/>
        </w:rPr>
        <w:t xml:space="preserve">v roce 2015 </w:t>
      </w:r>
      <w:r w:rsidR="00522DB3" w:rsidRPr="00BC6755">
        <w:rPr>
          <w:rFonts w:ascii="Calibri" w:eastAsia="Times New Roman" w:hAnsi="Calibri" w:cs="Calibri"/>
          <w:bCs/>
          <w:color w:val="000000"/>
          <w:kern w:val="0"/>
          <w:lang w:eastAsia="cs-CZ"/>
          <w14:ligatures w14:val="none"/>
        </w:rPr>
        <w:t xml:space="preserve">zavedeny v rámci </w:t>
      </w:r>
      <w:r w:rsidR="002403E3">
        <w:rPr>
          <w:rFonts w:ascii="Calibri" w:eastAsia="Times New Roman" w:hAnsi="Calibri" w:cs="Calibri"/>
          <w:bCs/>
          <w:color w:val="000000"/>
          <w:kern w:val="0"/>
          <w:lang w:eastAsia="cs-CZ"/>
          <w14:ligatures w14:val="none"/>
        </w:rPr>
        <w:t>režimu MOSS</w:t>
      </w:r>
      <w:r>
        <w:rPr>
          <w:rFonts w:ascii="Calibri" w:eastAsia="Times New Roman" w:hAnsi="Calibri" w:cs="Calibri"/>
          <w:bCs/>
          <w:color w:val="000000"/>
          <w:kern w:val="0"/>
          <w:lang w:eastAsia="cs-CZ"/>
          <w14:ligatures w14:val="none"/>
        </w:rPr>
        <w:t>,</w:t>
      </w:r>
      <w:r w:rsidR="00522DB3" w:rsidRPr="00BC6755">
        <w:rPr>
          <w:rFonts w:ascii="Calibri" w:eastAsia="Times New Roman" w:hAnsi="Calibri" w:cs="Calibri"/>
          <w:bCs/>
          <w:color w:val="000000"/>
          <w:kern w:val="0"/>
          <w:lang w:eastAsia="cs-CZ"/>
          <w14:ligatures w14:val="none"/>
        </w:rPr>
        <w:t xml:space="preserve"> a </w:t>
      </w:r>
      <w:r>
        <w:rPr>
          <w:rFonts w:ascii="Calibri" w:eastAsia="Times New Roman" w:hAnsi="Calibri" w:cs="Calibri"/>
          <w:bCs/>
          <w:color w:val="000000"/>
          <w:kern w:val="0"/>
          <w:lang w:eastAsia="cs-CZ"/>
          <w14:ligatures w14:val="none"/>
        </w:rPr>
        <w:t xml:space="preserve">dále </w:t>
      </w:r>
      <w:r w:rsidR="00522DB3" w:rsidRPr="00BC6755">
        <w:rPr>
          <w:rFonts w:ascii="Calibri" w:eastAsia="Times New Roman" w:hAnsi="Calibri" w:cs="Calibri"/>
          <w:bCs/>
          <w:color w:val="000000"/>
          <w:kern w:val="0"/>
          <w:lang w:eastAsia="cs-CZ"/>
          <w14:ligatures w14:val="none"/>
        </w:rPr>
        <w:t>nově zavedený</w:t>
      </w:r>
      <w:r>
        <w:rPr>
          <w:rFonts w:ascii="Calibri" w:eastAsia="Times New Roman" w:hAnsi="Calibri" w:cs="Calibri"/>
          <w:bCs/>
          <w:color w:val="000000"/>
          <w:kern w:val="0"/>
          <w:lang w:eastAsia="cs-CZ"/>
          <w14:ligatures w14:val="none"/>
        </w:rPr>
        <w:t>m</w:t>
      </w:r>
      <w:r w:rsidR="00522DB3" w:rsidRPr="00BC6755">
        <w:rPr>
          <w:rFonts w:ascii="Calibri" w:eastAsia="Times New Roman" w:hAnsi="Calibri" w:cs="Calibri"/>
          <w:bCs/>
          <w:color w:val="000000"/>
          <w:kern w:val="0"/>
          <w:lang w:eastAsia="cs-CZ"/>
          <w14:ligatures w14:val="none"/>
        </w:rPr>
        <w:t xml:space="preserve"> </w:t>
      </w:r>
      <w:r w:rsidR="00FC6630">
        <w:rPr>
          <w:rFonts w:ascii="Calibri" w:eastAsia="Times New Roman" w:hAnsi="Calibri" w:cs="Calibri"/>
          <w:bCs/>
          <w:color w:val="000000"/>
          <w:kern w:val="0"/>
          <w:lang w:eastAsia="cs-CZ"/>
          <w14:ligatures w14:val="none"/>
        </w:rPr>
        <w:t>dovozní</w:t>
      </w:r>
      <w:r>
        <w:rPr>
          <w:rFonts w:ascii="Calibri" w:eastAsia="Times New Roman" w:hAnsi="Calibri" w:cs="Calibri"/>
          <w:bCs/>
          <w:color w:val="000000"/>
          <w:kern w:val="0"/>
          <w:lang w:eastAsia="cs-CZ"/>
          <w14:ligatures w14:val="none"/>
        </w:rPr>
        <w:t>m</w:t>
      </w:r>
      <w:r w:rsidR="00FC6630">
        <w:rPr>
          <w:rFonts w:ascii="Calibri" w:eastAsia="Times New Roman" w:hAnsi="Calibri" w:cs="Calibri"/>
          <w:bCs/>
          <w:color w:val="000000"/>
          <w:kern w:val="0"/>
          <w:lang w:eastAsia="cs-CZ"/>
          <w14:ligatures w14:val="none"/>
        </w:rPr>
        <w:t xml:space="preserve"> </w:t>
      </w:r>
      <w:r w:rsidR="00FE1295">
        <w:rPr>
          <w:rFonts w:ascii="Calibri" w:eastAsia="Times New Roman" w:hAnsi="Calibri" w:cs="Calibri"/>
          <w:bCs/>
          <w:color w:val="000000"/>
          <w:kern w:val="0"/>
          <w:lang w:eastAsia="cs-CZ"/>
          <w14:ligatures w14:val="none"/>
        </w:rPr>
        <w:t>režim</w:t>
      </w:r>
      <w:r>
        <w:rPr>
          <w:rFonts w:ascii="Calibri" w:eastAsia="Times New Roman" w:hAnsi="Calibri" w:cs="Calibri"/>
          <w:bCs/>
          <w:color w:val="000000"/>
          <w:kern w:val="0"/>
          <w:lang w:eastAsia="cs-CZ"/>
          <w14:ligatures w14:val="none"/>
        </w:rPr>
        <w:t>em</w:t>
      </w:r>
      <w:r w:rsidR="00FE1295">
        <w:rPr>
          <w:rFonts w:ascii="Calibri" w:eastAsia="Times New Roman" w:hAnsi="Calibri" w:cs="Calibri"/>
          <w:bCs/>
          <w:color w:val="000000"/>
          <w:kern w:val="0"/>
          <w:lang w:eastAsia="cs-CZ"/>
          <w14:ligatures w14:val="none"/>
        </w:rPr>
        <w:t>.</w:t>
      </w:r>
      <w:r w:rsidR="00522DB3" w:rsidRPr="00BC6755">
        <w:rPr>
          <w:rFonts w:ascii="Calibri" w:eastAsia="Times New Roman" w:hAnsi="Calibri" w:cs="Calibri"/>
          <w:bCs/>
          <w:color w:val="000000"/>
          <w:kern w:val="0"/>
          <w:lang w:eastAsia="cs-CZ"/>
          <w14:ligatures w14:val="none"/>
        </w:rPr>
        <w:t xml:space="preserve"> </w:t>
      </w:r>
      <w:r w:rsidR="00522DB3" w:rsidRPr="00BC6755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Osoba povinná k dani</w:t>
      </w:r>
      <w:r w:rsidR="00F34066">
        <w:rPr>
          <w:rStyle w:val="Znakapoznpodarou"/>
          <w:rFonts w:ascii="Calibri" w:eastAsia="Times New Roman" w:hAnsi="Calibri" w:cs="Calibri"/>
          <w:color w:val="000000"/>
          <w:kern w:val="0"/>
          <w:lang w:eastAsia="cs-CZ"/>
          <w14:ligatures w14:val="none"/>
        </w:rPr>
        <w:footnoteReference w:id="16"/>
      </w:r>
      <w:r w:rsidR="00522DB3" w:rsidRPr="00BC6755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</w:t>
      </w:r>
      <w:r w:rsidR="007E2ED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se </w:t>
      </w:r>
      <w:r w:rsidR="00522DB3" w:rsidRPr="00BC6755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může </w:t>
      </w:r>
      <w:r w:rsidR="007E2ED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registrovat pouze v jednom členském státě </w:t>
      </w:r>
      <w:r w:rsidR="00522DB3" w:rsidRPr="00BC6755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pro každý režim, přičemž se může zaregistrovat k používání více než jednoho </w:t>
      </w:r>
      <w: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z těchto </w:t>
      </w:r>
      <w:r w:rsidR="00FC6630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tří</w:t>
      </w:r>
      <w:r w:rsidR="00CB44CE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režimů</w:t>
      </w:r>
      <w:r w:rsidR="00522DB3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.</w:t>
      </w:r>
      <w:r w:rsidR="00946B34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 </w:t>
      </w:r>
      <w:r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Při</w:t>
      </w:r>
      <w:r w:rsidR="00946B34">
        <w:t xml:space="preserve"> registrac</w:t>
      </w:r>
      <w:r>
        <w:t>i</w:t>
      </w:r>
      <w:r w:rsidR="00946B34">
        <w:t xml:space="preserve"> je </w:t>
      </w:r>
      <w:r w:rsidR="007F1AE4">
        <w:t>osobě povinné k dani</w:t>
      </w:r>
      <w:r w:rsidR="00946B34">
        <w:t xml:space="preserve"> přiděleno identifikační číslo, a to </w:t>
      </w:r>
      <w:r>
        <w:t xml:space="preserve">zvlášť </w:t>
      </w:r>
      <w:r w:rsidR="00946B34">
        <w:t>pro každý režim, do kterého se registrovala.</w:t>
      </w:r>
      <w:r w:rsidR="007F1AE4">
        <w:t xml:space="preserve"> V</w:t>
      </w:r>
      <w:r w:rsidR="00CB44CE">
        <w:t xml:space="preserve"> dovozním </w:t>
      </w:r>
      <w:r w:rsidR="007F1AE4">
        <w:t xml:space="preserve">režimu přidělí FÚ JMK </w:t>
      </w:r>
      <w:r w:rsidR="005F4419">
        <w:t>dovozní číslo.</w:t>
      </w:r>
    </w:p>
    <w:p w14:paraId="3A30DE53" w14:textId="3FCD71F9" w:rsidR="004A17CC" w:rsidRPr="00F02932" w:rsidRDefault="004A17CC" w:rsidP="00F02932">
      <w:pPr>
        <w:autoSpaceDE w:val="0"/>
        <w:autoSpaceDN w:val="0"/>
        <w:adjustRightInd w:val="0"/>
        <w:spacing w:after="0"/>
        <w:jc w:val="both"/>
        <w:rPr>
          <w:rFonts w:cstheme="minorHAnsi"/>
          <w:b/>
        </w:rPr>
      </w:pPr>
      <w:r w:rsidRPr="00F02932">
        <w:rPr>
          <w:rFonts w:cstheme="minorHAnsi"/>
          <w:b/>
        </w:rPr>
        <w:t xml:space="preserve">Tabulka č. </w:t>
      </w:r>
      <w:r w:rsidR="00F02932" w:rsidRPr="00F02932">
        <w:rPr>
          <w:rFonts w:cstheme="minorHAnsi"/>
          <w:b/>
        </w:rPr>
        <w:t>1</w:t>
      </w:r>
      <w:r w:rsidRPr="00F02932">
        <w:rPr>
          <w:rFonts w:cstheme="minorHAnsi"/>
          <w:b/>
        </w:rPr>
        <w:t>: Přehled druhů dodání zboží</w:t>
      </w:r>
      <w:r w:rsidR="00014F93">
        <w:rPr>
          <w:rFonts w:cstheme="minorHAnsi"/>
          <w:b/>
        </w:rPr>
        <w:t xml:space="preserve"> </w:t>
      </w:r>
      <w:r w:rsidRPr="00F02932">
        <w:rPr>
          <w:rFonts w:cstheme="minorHAnsi"/>
          <w:b/>
        </w:rPr>
        <w:t>/</w:t>
      </w:r>
      <w:r w:rsidR="00014F93">
        <w:rPr>
          <w:rFonts w:cstheme="minorHAnsi"/>
          <w:b/>
        </w:rPr>
        <w:t xml:space="preserve"> </w:t>
      </w:r>
      <w:r w:rsidRPr="00F02932">
        <w:rPr>
          <w:rFonts w:cstheme="minorHAnsi"/>
          <w:b/>
        </w:rPr>
        <w:t xml:space="preserve">poskytnutí služeb </w:t>
      </w:r>
      <w:r w:rsidR="00186EA1">
        <w:rPr>
          <w:rFonts w:cstheme="minorHAnsi"/>
          <w:b/>
        </w:rPr>
        <w:t>ve zvláštním režimu</w:t>
      </w:r>
    </w:p>
    <w:tbl>
      <w:tblPr>
        <w:tblStyle w:val="Mkatabulky"/>
        <w:tblW w:w="90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84"/>
        <w:gridCol w:w="7098"/>
      </w:tblGrid>
      <w:tr w:rsidR="004A17CC" w14:paraId="2976EA06" w14:textId="77777777" w:rsidTr="00F16B71">
        <w:trPr>
          <w:trHeight w:val="394"/>
        </w:trPr>
        <w:tc>
          <w:tcPr>
            <w:tcW w:w="1984" w:type="dxa"/>
            <w:shd w:val="clear" w:color="auto" w:fill="E6E6E6"/>
            <w:vAlign w:val="center"/>
            <w:hideMark/>
          </w:tcPr>
          <w:p w14:paraId="7FCDF23C" w14:textId="77777777" w:rsidR="004A17CC" w:rsidRPr="002D7F74" w:rsidRDefault="004A17CC" w:rsidP="00F16B71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2D7F74">
              <w:rPr>
                <w:rFonts w:cstheme="minorHAnsi"/>
                <w:b/>
                <w:bCs/>
              </w:rPr>
              <w:t>Režim mimo EU</w:t>
            </w:r>
          </w:p>
        </w:tc>
        <w:tc>
          <w:tcPr>
            <w:tcW w:w="7098" w:type="dxa"/>
            <w:vAlign w:val="center"/>
            <w:hideMark/>
          </w:tcPr>
          <w:p w14:paraId="1AD2F111" w14:textId="62504CA3" w:rsidR="004A17CC" w:rsidRPr="002D7F74" w:rsidRDefault="004A17CC" w:rsidP="00B66C08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r w:rsidRPr="002D7F74">
              <w:rPr>
                <w:rFonts w:cstheme="minorHAnsi"/>
                <w:bCs/>
              </w:rPr>
              <w:t xml:space="preserve">Poskytování </w:t>
            </w:r>
            <w:r w:rsidRPr="002D7F74">
              <w:rPr>
                <w:rFonts w:cstheme="minorHAnsi"/>
                <w:b/>
                <w:bCs/>
              </w:rPr>
              <w:t>služeb</w:t>
            </w:r>
            <w:r w:rsidR="008866CB">
              <w:rPr>
                <w:rFonts w:cstheme="minorHAnsi"/>
                <w:b/>
                <w:bCs/>
              </w:rPr>
              <w:t xml:space="preserve"> </w:t>
            </w:r>
            <w:r w:rsidR="008866CB" w:rsidRPr="00A82A29">
              <w:t xml:space="preserve">poskytovatelem mimo EU </w:t>
            </w:r>
            <w:r w:rsidR="00CA47F1">
              <w:t>osobě nepovinné k dani (</w:t>
            </w:r>
            <w:r w:rsidR="008866CB" w:rsidRPr="00A82A29">
              <w:t>koncovému spotřebiteli</w:t>
            </w:r>
            <w:r w:rsidR="00CA47F1">
              <w:t>)</w:t>
            </w:r>
            <w:r w:rsidR="008866CB" w:rsidRPr="00A82A29">
              <w:t xml:space="preserve"> v</w:t>
            </w:r>
            <w:r w:rsidR="00014F93">
              <w:t> </w:t>
            </w:r>
            <w:r w:rsidR="008866CB" w:rsidRPr="00A82A29">
              <w:t>EU</w:t>
            </w:r>
            <w:r w:rsidR="00014F93">
              <w:t>.</w:t>
            </w:r>
          </w:p>
        </w:tc>
      </w:tr>
      <w:tr w:rsidR="004A17CC" w14:paraId="6C5D09B3" w14:textId="77777777" w:rsidTr="00F16B71">
        <w:trPr>
          <w:trHeight w:val="394"/>
        </w:trPr>
        <w:tc>
          <w:tcPr>
            <w:tcW w:w="1984" w:type="dxa"/>
            <w:shd w:val="clear" w:color="auto" w:fill="E6E6E6"/>
            <w:vAlign w:val="center"/>
            <w:hideMark/>
          </w:tcPr>
          <w:p w14:paraId="51FCC1A5" w14:textId="77777777" w:rsidR="004A17CC" w:rsidRPr="002D7F74" w:rsidRDefault="004A17CC" w:rsidP="00F16B71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2D7F74">
              <w:rPr>
                <w:rFonts w:cstheme="minorHAnsi"/>
                <w:b/>
                <w:bCs/>
              </w:rPr>
              <w:t>Režim EU</w:t>
            </w:r>
          </w:p>
        </w:tc>
        <w:tc>
          <w:tcPr>
            <w:tcW w:w="7098" w:type="dxa"/>
            <w:vAlign w:val="center"/>
            <w:hideMark/>
          </w:tcPr>
          <w:p w14:paraId="689DAC22" w14:textId="5E73E1AF" w:rsidR="004A17CC" w:rsidRPr="002D7F74" w:rsidRDefault="004A17CC" w:rsidP="00B66C08">
            <w:pPr>
              <w:pStyle w:val="Odstavecseseznamem"/>
              <w:autoSpaceDE w:val="0"/>
              <w:autoSpaceDN w:val="0"/>
              <w:adjustRightInd w:val="0"/>
              <w:ind w:left="0"/>
              <w:rPr>
                <w:rFonts w:cstheme="minorHAnsi"/>
                <w:bCs/>
              </w:rPr>
            </w:pPr>
            <w:r w:rsidRPr="002D7F74">
              <w:rPr>
                <w:rFonts w:cstheme="minorHAnsi"/>
                <w:bCs/>
              </w:rPr>
              <w:t xml:space="preserve">Dodání </w:t>
            </w:r>
            <w:r w:rsidRPr="002D7F74">
              <w:rPr>
                <w:rFonts w:cstheme="minorHAnsi"/>
                <w:b/>
                <w:bCs/>
              </w:rPr>
              <w:t>zboží</w:t>
            </w:r>
            <w:r w:rsidRPr="002D7F74">
              <w:rPr>
                <w:rFonts w:cstheme="minorHAnsi"/>
                <w:bCs/>
              </w:rPr>
              <w:t xml:space="preserve"> (včetně zboží podléhajícího spotřební dani)</w:t>
            </w:r>
            <w:r w:rsidR="00014F93">
              <w:rPr>
                <w:rFonts w:cstheme="minorHAnsi"/>
                <w:bCs/>
              </w:rPr>
              <w:t>:</w:t>
            </w:r>
          </w:p>
          <w:p w14:paraId="03E1825A" w14:textId="3D98E3BB" w:rsidR="004A17CC" w:rsidRPr="002D7F74" w:rsidRDefault="004A17CC" w:rsidP="006776F4">
            <w:pPr>
              <w:pStyle w:val="Odstavecseseznamem"/>
              <w:numPr>
                <w:ilvl w:val="0"/>
                <w:numId w:val="39"/>
              </w:numPr>
              <w:autoSpaceDE w:val="0"/>
              <w:autoSpaceDN w:val="0"/>
              <w:adjustRightInd w:val="0"/>
              <w:contextualSpacing w:val="0"/>
              <w:rPr>
                <w:rFonts w:cstheme="minorHAnsi"/>
                <w:bCs/>
              </w:rPr>
            </w:pPr>
            <w:r w:rsidRPr="002D7F74">
              <w:rPr>
                <w:rFonts w:cstheme="minorHAnsi"/>
                <w:bCs/>
              </w:rPr>
              <w:t>dodání zboží uvnitř EU</w:t>
            </w:r>
            <w:r w:rsidR="00014F93">
              <w:rPr>
                <w:rFonts w:cstheme="minorHAnsi"/>
                <w:bCs/>
              </w:rPr>
              <w:t>,</w:t>
            </w:r>
          </w:p>
          <w:p w14:paraId="7D525CAE" w14:textId="2432BAFA" w:rsidR="004A17CC" w:rsidRPr="002D7F74" w:rsidRDefault="004A17CC" w:rsidP="006776F4">
            <w:pPr>
              <w:pStyle w:val="Odstavecseseznamem"/>
              <w:numPr>
                <w:ilvl w:val="0"/>
                <w:numId w:val="39"/>
              </w:numPr>
              <w:autoSpaceDE w:val="0"/>
              <w:autoSpaceDN w:val="0"/>
              <w:adjustRightInd w:val="0"/>
              <w:contextualSpacing w:val="0"/>
              <w:rPr>
                <w:rFonts w:cstheme="minorHAnsi"/>
                <w:bCs/>
              </w:rPr>
            </w:pPr>
            <w:r w:rsidRPr="002D7F74">
              <w:rPr>
                <w:rFonts w:cstheme="minorHAnsi"/>
                <w:bCs/>
              </w:rPr>
              <w:t>domácí dodání zboží domnělými dodavateli</w:t>
            </w:r>
            <w:r w:rsidR="00014F93">
              <w:rPr>
                <w:rFonts w:cstheme="minorHAnsi"/>
                <w:bCs/>
              </w:rPr>
              <w:t>,</w:t>
            </w:r>
            <w:r w:rsidRPr="002D7F74">
              <w:rPr>
                <w:rFonts w:cstheme="minorHAnsi"/>
                <w:bCs/>
              </w:rPr>
              <w:t xml:space="preserve"> </w:t>
            </w:r>
          </w:p>
          <w:p w14:paraId="5BBA82EF" w14:textId="2D654098" w:rsidR="004A17CC" w:rsidRPr="002D7F74" w:rsidRDefault="004A17CC" w:rsidP="00B66C08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r w:rsidRPr="002D7F74">
              <w:rPr>
                <w:rFonts w:cstheme="minorHAnsi"/>
                <w:bCs/>
              </w:rPr>
              <w:t xml:space="preserve">poskytování </w:t>
            </w:r>
            <w:r w:rsidRPr="002D7F74">
              <w:rPr>
                <w:rFonts w:cstheme="minorHAnsi"/>
                <w:b/>
                <w:bCs/>
              </w:rPr>
              <w:t>služeb</w:t>
            </w:r>
            <w:r w:rsidRPr="00F16B71">
              <w:rPr>
                <w:rFonts w:cstheme="minorHAnsi"/>
                <w:b/>
              </w:rPr>
              <w:t>:</w:t>
            </w:r>
            <w:r w:rsidRPr="002D7F74">
              <w:rPr>
                <w:rFonts w:cstheme="minorHAnsi"/>
                <w:bCs/>
              </w:rPr>
              <w:t xml:space="preserve"> </w:t>
            </w:r>
          </w:p>
          <w:p w14:paraId="1D3DF141" w14:textId="04FE68A8" w:rsidR="004A17CC" w:rsidRPr="002D7F74" w:rsidRDefault="004A17CC" w:rsidP="006776F4">
            <w:pPr>
              <w:pStyle w:val="Odstavecseseznamem"/>
              <w:numPr>
                <w:ilvl w:val="0"/>
                <w:numId w:val="39"/>
              </w:numPr>
              <w:autoSpaceDE w:val="0"/>
              <w:autoSpaceDN w:val="0"/>
              <w:adjustRightInd w:val="0"/>
              <w:contextualSpacing w:val="0"/>
              <w:rPr>
                <w:rFonts w:cstheme="minorHAnsi"/>
                <w:bCs/>
              </w:rPr>
            </w:pPr>
            <w:r w:rsidRPr="002D7F74">
              <w:rPr>
                <w:rFonts w:cstheme="minorHAnsi"/>
                <w:bCs/>
              </w:rPr>
              <w:t>poskytování služeb v členském státě, ve kterém poskytovatel není usazen</w:t>
            </w:r>
            <w:r w:rsidR="00014F93">
              <w:rPr>
                <w:rFonts w:cstheme="minorHAnsi"/>
                <w:bCs/>
              </w:rPr>
              <w:t>.</w:t>
            </w:r>
          </w:p>
        </w:tc>
      </w:tr>
      <w:tr w:rsidR="004A17CC" w14:paraId="5DE4E6FF" w14:textId="77777777" w:rsidTr="00F16B71">
        <w:trPr>
          <w:trHeight w:val="394"/>
        </w:trPr>
        <w:tc>
          <w:tcPr>
            <w:tcW w:w="1984" w:type="dxa"/>
            <w:shd w:val="clear" w:color="auto" w:fill="E6E6E6"/>
            <w:vAlign w:val="center"/>
            <w:hideMark/>
          </w:tcPr>
          <w:p w14:paraId="484A15FB" w14:textId="24976082" w:rsidR="004A17CC" w:rsidRPr="002D7F74" w:rsidRDefault="004A17CC" w:rsidP="00F16B71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2D7F74">
              <w:rPr>
                <w:rFonts w:cstheme="minorHAnsi"/>
                <w:b/>
                <w:bCs/>
              </w:rPr>
              <w:t>Dovozní režim</w:t>
            </w:r>
            <w:r w:rsidR="008866CB" w:rsidRPr="004A17CC">
              <w:rPr>
                <w:rFonts w:cstheme="minorHAnsi"/>
                <w:b/>
                <w:bCs/>
              </w:rPr>
              <w:t>*</w:t>
            </w:r>
          </w:p>
        </w:tc>
        <w:tc>
          <w:tcPr>
            <w:tcW w:w="7098" w:type="dxa"/>
            <w:vAlign w:val="center"/>
            <w:hideMark/>
          </w:tcPr>
          <w:p w14:paraId="5D3A250F" w14:textId="322FDEED" w:rsidR="004A17CC" w:rsidRPr="002D7F74" w:rsidRDefault="004A17CC" w:rsidP="00B66C08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r w:rsidRPr="002D7F74">
              <w:rPr>
                <w:rFonts w:cstheme="minorHAnsi"/>
                <w:bCs/>
              </w:rPr>
              <w:t xml:space="preserve">Dodání </w:t>
            </w:r>
            <w:r w:rsidRPr="002D7F74">
              <w:rPr>
                <w:rFonts w:cstheme="minorHAnsi"/>
                <w:b/>
                <w:bCs/>
              </w:rPr>
              <w:t>zboží</w:t>
            </w:r>
            <w:r w:rsidRPr="002D7F74">
              <w:rPr>
                <w:rFonts w:cstheme="minorHAnsi"/>
                <w:bCs/>
              </w:rPr>
              <w:t xml:space="preserve"> (s výjimkou zboží podléhajícího spotřební dani)</w:t>
            </w:r>
            <w:r w:rsidR="00014F93">
              <w:rPr>
                <w:rFonts w:cstheme="minorHAnsi"/>
                <w:bCs/>
              </w:rPr>
              <w:t>:</w:t>
            </w:r>
            <w:r w:rsidRPr="002D7F74">
              <w:rPr>
                <w:rFonts w:cstheme="minorHAnsi"/>
                <w:bCs/>
              </w:rPr>
              <w:t xml:space="preserve"> </w:t>
            </w:r>
          </w:p>
          <w:p w14:paraId="1AAC995A" w14:textId="37D0F074" w:rsidR="004A17CC" w:rsidRPr="002D7F74" w:rsidRDefault="004A17CC" w:rsidP="006776F4">
            <w:pPr>
              <w:pStyle w:val="Odstavecseseznamem"/>
              <w:numPr>
                <w:ilvl w:val="0"/>
                <w:numId w:val="39"/>
              </w:numPr>
              <w:autoSpaceDE w:val="0"/>
              <w:autoSpaceDN w:val="0"/>
              <w:adjustRightInd w:val="0"/>
              <w:contextualSpacing w:val="0"/>
              <w:rPr>
                <w:rFonts w:cstheme="minorHAnsi"/>
                <w:bCs/>
              </w:rPr>
            </w:pPr>
            <w:r w:rsidRPr="002D7F74">
              <w:rPr>
                <w:rFonts w:cstheme="minorHAnsi"/>
                <w:b/>
                <w:bCs/>
              </w:rPr>
              <w:t>dovezeného</w:t>
            </w:r>
            <w:r w:rsidRPr="002D7F74">
              <w:rPr>
                <w:rFonts w:cstheme="minorHAnsi"/>
                <w:bCs/>
              </w:rPr>
              <w:t xml:space="preserve"> ze třetího území</w:t>
            </w:r>
            <w:r w:rsidR="00014F93">
              <w:rPr>
                <w:rFonts w:cstheme="minorHAnsi"/>
                <w:bCs/>
              </w:rPr>
              <w:t xml:space="preserve"> </w:t>
            </w:r>
            <w:r w:rsidRPr="002D7F74">
              <w:rPr>
                <w:rFonts w:cstheme="minorHAnsi"/>
                <w:bCs/>
              </w:rPr>
              <w:t>/</w:t>
            </w:r>
            <w:r w:rsidR="00014F93">
              <w:rPr>
                <w:rFonts w:cstheme="minorHAnsi"/>
                <w:bCs/>
              </w:rPr>
              <w:t xml:space="preserve"> </w:t>
            </w:r>
            <w:r w:rsidRPr="002D7F74">
              <w:rPr>
                <w:rFonts w:cstheme="minorHAnsi"/>
                <w:bCs/>
              </w:rPr>
              <w:t xml:space="preserve">třetí země, </w:t>
            </w:r>
          </w:p>
          <w:p w14:paraId="6A83D08F" w14:textId="1DC0EB8C" w:rsidR="004A17CC" w:rsidRPr="002D7F74" w:rsidRDefault="004A17CC" w:rsidP="006776F4">
            <w:pPr>
              <w:pStyle w:val="Odstavecseseznamem"/>
              <w:numPr>
                <w:ilvl w:val="0"/>
                <w:numId w:val="39"/>
              </w:numPr>
              <w:autoSpaceDE w:val="0"/>
              <w:autoSpaceDN w:val="0"/>
              <w:adjustRightInd w:val="0"/>
              <w:contextualSpacing w:val="0"/>
              <w:rPr>
                <w:rFonts w:cstheme="minorHAnsi"/>
                <w:bCs/>
              </w:rPr>
            </w:pPr>
            <w:r w:rsidRPr="002D7F74">
              <w:rPr>
                <w:rFonts w:cstheme="minorHAnsi"/>
                <w:b/>
                <w:bCs/>
              </w:rPr>
              <w:t xml:space="preserve">v zásilkách s hodnotou do 150 </w:t>
            </w:r>
            <w:r w:rsidR="007F1AE4">
              <w:rPr>
                <w:rFonts w:cstheme="minorHAnsi"/>
                <w:b/>
                <w:bCs/>
              </w:rPr>
              <w:t>eur</w:t>
            </w:r>
            <w:r w:rsidR="00014F93">
              <w:rPr>
                <w:rFonts w:cstheme="minorHAnsi"/>
                <w:b/>
                <w:bCs/>
              </w:rPr>
              <w:t>.</w:t>
            </w:r>
            <w:r w:rsidRPr="002D7F74">
              <w:rPr>
                <w:rFonts w:cstheme="minorHAnsi"/>
                <w:bCs/>
              </w:rPr>
              <w:t xml:space="preserve"> </w:t>
            </w:r>
          </w:p>
        </w:tc>
      </w:tr>
    </w:tbl>
    <w:p w14:paraId="52D791DC" w14:textId="206BE1E2" w:rsidR="007B2BFE" w:rsidRDefault="004A17CC" w:rsidP="00313E6C">
      <w:pPr>
        <w:spacing w:after="0"/>
        <w:jc w:val="both"/>
        <w:rPr>
          <w:rFonts w:cstheme="minorHAnsi"/>
          <w:bCs/>
          <w:iCs/>
          <w:sz w:val="20"/>
          <w:szCs w:val="23"/>
        </w:rPr>
      </w:pPr>
      <w:r w:rsidRPr="00F16B71">
        <w:rPr>
          <w:rFonts w:cstheme="minorHAnsi"/>
          <w:b/>
          <w:iCs/>
          <w:sz w:val="20"/>
          <w:szCs w:val="23"/>
        </w:rPr>
        <w:t>Zdroj:</w:t>
      </w:r>
      <w:r w:rsidRPr="00DB6BCE">
        <w:rPr>
          <w:rFonts w:cstheme="minorHAnsi"/>
          <w:bCs/>
          <w:iCs/>
          <w:sz w:val="20"/>
          <w:szCs w:val="23"/>
        </w:rPr>
        <w:t xml:space="preserve"> </w:t>
      </w:r>
      <w:r w:rsidR="00014F93">
        <w:rPr>
          <w:rFonts w:cstheme="minorHAnsi"/>
          <w:bCs/>
          <w:iCs/>
          <w:sz w:val="20"/>
          <w:szCs w:val="23"/>
        </w:rPr>
        <w:t>v</w:t>
      </w:r>
      <w:r>
        <w:rPr>
          <w:rFonts w:cstheme="minorHAnsi"/>
          <w:bCs/>
          <w:iCs/>
          <w:sz w:val="20"/>
          <w:szCs w:val="23"/>
        </w:rPr>
        <w:t>lastní zpracování NKÚ</w:t>
      </w:r>
      <w:r w:rsidR="00F02932">
        <w:rPr>
          <w:rFonts w:cstheme="minorHAnsi"/>
          <w:bCs/>
          <w:iCs/>
          <w:sz w:val="20"/>
          <w:szCs w:val="23"/>
        </w:rPr>
        <w:t>.</w:t>
      </w:r>
      <w:r>
        <w:rPr>
          <w:rFonts w:cstheme="minorHAnsi"/>
          <w:bCs/>
          <w:iCs/>
          <w:sz w:val="20"/>
          <w:szCs w:val="23"/>
        </w:rPr>
        <w:t xml:space="preserve"> </w:t>
      </w:r>
    </w:p>
    <w:p w14:paraId="72533FE3" w14:textId="65C56CB2" w:rsidR="00722C30" w:rsidRPr="005F4419" w:rsidRDefault="00D85E00" w:rsidP="00F16B71">
      <w:pPr>
        <w:ind w:left="284" w:hanging="284"/>
        <w:jc w:val="both"/>
        <w:rPr>
          <w:rFonts w:cstheme="minorHAnsi"/>
          <w:bCs/>
          <w:iCs/>
          <w:sz w:val="20"/>
          <w:szCs w:val="23"/>
        </w:rPr>
      </w:pPr>
      <w:r w:rsidRPr="00F16B71">
        <w:rPr>
          <w:rFonts w:cstheme="minorHAnsi"/>
          <w:bCs/>
          <w:iCs/>
          <w:sz w:val="20"/>
          <w:szCs w:val="23"/>
        </w:rPr>
        <w:t>*</w:t>
      </w:r>
      <w:r w:rsidR="008866CB">
        <w:rPr>
          <w:rFonts w:cstheme="minorHAnsi"/>
          <w:bCs/>
          <w:iCs/>
          <w:sz w:val="20"/>
          <w:szCs w:val="23"/>
        </w:rPr>
        <w:t xml:space="preserve"> </w:t>
      </w:r>
      <w:r>
        <w:rPr>
          <w:rFonts w:cstheme="minorHAnsi"/>
          <w:bCs/>
          <w:iCs/>
          <w:sz w:val="20"/>
          <w:szCs w:val="23"/>
        </w:rPr>
        <w:tab/>
      </w:r>
      <w:r w:rsidR="008866CB">
        <w:rPr>
          <w:rFonts w:cstheme="minorHAnsi"/>
          <w:bCs/>
          <w:iCs/>
          <w:sz w:val="20"/>
          <w:szCs w:val="23"/>
        </w:rPr>
        <w:t xml:space="preserve">Dovozní režim </w:t>
      </w:r>
      <w:r>
        <w:rPr>
          <w:rFonts w:cstheme="minorHAnsi"/>
          <w:bCs/>
          <w:iCs/>
          <w:sz w:val="20"/>
          <w:szCs w:val="23"/>
        </w:rPr>
        <w:t xml:space="preserve">byl </w:t>
      </w:r>
      <w:r w:rsidR="00685E36">
        <w:rPr>
          <w:rFonts w:cstheme="minorHAnsi"/>
          <w:bCs/>
          <w:iCs/>
          <w:sz w:val="20"/>
          <w:szCs w:val="23"/>
        </w:rPr>
        <w:t>zaveden</w:t>
      </w:r>
      <w:r w:rsidR="008866CB">
        <w:rPr>
          <w:rFonts w:cstheme="minorHAnsi"/>
          <w:bCs/>
          <w:iCs/>
          <w:sz w:val="20"/>
          <w:szCs w:val="23"/>
        </w:rPr>
        <w:t xml:space="preserve"> od 1. 7. 2021</w:t>
      </w:r>
      <w:r w:rsidR="00685E36">
        <w:rPr>
          <w:rFonts w:cstheme="minorHAnsi"/>
          <w:bCs/>
          <w:iCs/>
          <w:sz w:val="20"/>
          <w:szCs w:val="23"/>
        </w:rPr>
        <w:t>; v ČR od 1. 10. 2021 z důvodu pozdní implementace směrnice o DPH</w:t>
      </w:r>
      <w:r>
        <w:rPr>
          <w:rFonts w:cstheme="minorHAnsi"/>
          <w:bCs/>
          <w:iCs/>
          <w:sz w:val="20"/>
          <w:szCs w:val="23"/>
        </w:rPr>
        <w:t>.</w:t>
      </w:r>
    </w:p>
    <w:p w14:paraId="02F42EDF" w14:textId="2D296C27" w:rsidR="001535EE" w:rsidRPr="00A111A2" w:rsidRDefault="001535EE" w:rsidP="001535EE">
      <w:pPr>
        <w:spacing w:after="0"/>
        <w:jc w:val="both"/>
        <w:rPr>
          <w:rFonts w:cstheme="minorHAnsi"/>
          <w:b/>
        </w:rPr>
      </w:pPr>
      <w:r w:rsidRPr="00A111A2">
        <w:rPr>
          <w:rFonts w:cstheme="minorHAnsi"/>
          <w:b/>
        </w:rPr>
        <w:t>Tabulka č. 2: Počty subjektů registrovaných v ČR v</w:t>
      </w:r>
      <w:r w:rsidR="00A05D86">
        <w:rPr>
          <w:rFonts w:cstheme="minorHAnsi"/>
          <w:b/>
        </w:rPr>
        <w:t>e zvláštním</w:t>
      </w:r>
      <w:r>
        <w:rPr>
          <w:rFonts w:cstheme="minorHAnsi"/>
          <w:b/>
        </w:rPr>
        <w:t> režimu</w:t>
      </w:r>
      <w:r w:rsidRPr="00A111A2">
        <w:rPr>
          <w:rFonts w:cstheme="minorHAnsi"/>
          <w:b/>
        </w:rPr>
        <w:t xml:space="preserve"> </w:t>
      </w:r>
      <w:r w:rsidR="00D85E00">
        <w:rPr>
          <w:rFonts w:cstheme="minorHAnsi"/>
          <w:b/>
        </w:rPr>
        <w:t>(stav k 31. 12.)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10"/>
        <w:gridCol w:w="1619"/>
        <w:gridCol w:w="1621"/>
        <w:gridCol w:w="1387"/>
        <w:gridCol w:w="1619"/>
      </w:tblGrid>
      <w:tr w:rsidR="00094860" w:rsidRPr="00270A37" w14:paraId="76195172" w14:textId="77777777" w:rsidTr="00F16B71">
        <w:trPr>
          <w:jc w:val="center"/>
        </w:trPr>
        <w:tc>
          <w:tcPr>
            <w:tcW w:w="1551" w:type="pct"/>
            <w:shd w:val="clear" w:color="auto" w:fill="E6E6E6"/>
            <w:vAlign w:val="center"/>
            <w:hideMark/>
          </w:tcPr>
          <w:p w14:paraId="6CB6CDF7" w14:textId="61E7E172" w:rsidR="00094860" w:rsidRPr="004A17CC" w:rsidRDefault="00094860" w:rsidP="00286A1C">
            <w:pPr>
              <w:pStyle w:val="Other10"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94" w:type="pct"/>
            <w:shd w:val="clear" w:color="auto" w:fill="E6E6E6"/>
            <w:vAlign w:val="center"/>
            <w:hideMark/>
          </w:tcPr>
          <w:p w14:paraId="3C087C56" w14:textId="77777777" w:rsidR="00094860" w:rsidRPr="004A17CC" w:rsidRDefault="00094860" w:rsidP="00286A1C">
            <w:pPr>
              <w:pStyle w:val="Other1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A17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2021</w:t>
            </w:r>
          </w:p>
        </w:tc>
        <w:tc>
          <w:tcPr>
            <w:tcW w:w="895" w:type="pct"/>
            <w:shd w:val="clear" w:color="auto" w:fill="E6E6E6"/>
            <w:vAlign w:val="center"/>
            <w:hideMark/>
          </w:tcPr>
          <w:p w14:paraId="2C96C689" w14:textId="77777777" w:rsidR="00094860" w:rsidRPr="004A17CC" w:rsidRDefault="00094860" w:rsidP="00286A1C">
            <w:pPr>
              <w:pStyle w:val="Other10"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17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2022</w:t>
            </w:r>
          </w:p>
        </w:tc>
        <w:tc>
          <w:tcPr>
            <w:tcW w:w="766" w:type="pct"/>
            <w:shd w:val="clear" w:color="auto" w:fill="E6E6E6"/>
            <w:vAlign w:val="center"/>
            <w:hideMark/>
          </w:tcPr>
          <w:p w14:paraId="2F4B40B3" w14:textId="77777777" w:rsidR="00094860" w:rsidRPr="004A17CC" w:rsidRDefault="00094860" w:rsidP="00286A1C">
            <w:pPr>
              <w:pStyle w:val="Other10"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17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2023</w:t>
            </w:r>
          </w:p>
        </w:tc>
        <w:tc>
          <w:tcPr>
            <w:tcW w:w="894" w:type="pct"/>
            <w:shd w:val="clear" w:color="auto" w:fill="E6E6E6"/>
            <w:vAlign w:val="center"/>
            <w:hideMark/>
          </w:tcPr>
          <w:p w14:paraId="74FDDF14" w14:textId="77777777" w:rsidR="00094860" w:rsidRPr="004A17CC" w:rsidRDefault="00094860" w:rsidP="00286A1C">
            <w:pPr>
              <w:pStyle w:val="Other10"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A17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2024</w:t>
            </w:r>
          </w:p>
        </w:tc>
      </w:tr>
      <w:tr w:rsidR="00094860" w:rsidRPr="00270A37" w14:paraId="37E19C81" w14:textId="77777777" w:rsidTr="00F16B71">
        <w:trPr>
          <w:jc w:val="center"/>
        </w:trPr>
        <w:tc>
          <w:tcPr>
            <w:tcW w:w="1551" w:type="pct"/>
            <w:shd w:val="clear" w:color="auto" w:fill="FFFFFF"/>
            <w:vAlign w:val="center"/>
            <w:hideMark/>
          </w:tcPr>
          <w:p w14:paraId="4456665E" w14:textId="78D4016F" w:rsidR="00094860" w:rsidRPr="004A17CC" w:rsidRDefault="00094860" w:rsidP="00F16B71">
            <w:pPr>
              <w:pStyle w:val="Other10"/>
              <w:spacing w:after="0" w:line="240" w:lineRule="auto"/>
              <w:ind w:left="11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Režim </w:t>
            </w:r>
            <w:r w:rsidRPr="004A17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EU</w:t>
            </w:r>
          </w:p>
        </w:tc>
        <w:tc>
          <w:tcPr>
            <w:tcW w:w="894" w:type="pct"/>
            <w:shd w:val="clear" w:color="auto" w:fill="FFFFFF"/>
            <w:vAlign w:val="center"/>
          </w:tcPr>
          <w:p w14:paraId="41A209FA" w14:textId="77777777" w:rsidR="00094860" w:rsidRPr="004A17CC" w:rsidRDefault="00094860" w:rsidP="00F16B71">
            <w:pPr>
              <w:pStyle w:val="Other10"/>
              <w:spacing w:after="0" w:line="240" w:lineRule="auto"/>
              <w:ind w:right="113" w:firstLine="16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A17CC">
              <w:rPr>
                <w:rFonts w:asciiTheme="minorHAnsi" w:hAnsiTheme="minorHAnsi" w:cstheme="minorHAnsi"/>
                <w:sz w:val="22"/>
                <w:szCs w:val="22"/>
              </w:rPr>
              <w:t>2 806</w:t>
            </w:r>
          </w:p>
        </w:tc>
        <w:tc>
          <w:tcPr>
            <w:tcW w:w="895" w:type="pct"/>
            <w:shd w:val="clear" w:color="auto" w:fill="FFFFFF"/>
            <w:vAlign w:val="center"/>
          </w:tcPr>
          <w:p w14:paraId="00658FE5" w14:textId="77777777" w:rsidR="00094860" w:rsidRPr="004A17CC" w:rsidRDefault="00094860" w:rsidP="00F16B71">
            <w:pPr>
              <w:pStyle w:val="Other10"/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A17CC">
              <w:rPr>
                <w:rFonts w:asciiTheme="minorHAnsi" w:hAnsiTheme="minorHAnsi" w:cstheme="minorHAnsi"/>
                <w:sz w:val="22"/>
                <w:szCs w:val="22"/>
              </w:rPr>
              <w:t>3 666</w:t>
            </w:r>
          </w:p>
        </w:tc>
        <w:tc>
          <w:tcPr>
            <w:tcW w:w="766" w:type="pct"/>
            <w:shd w:val="clear" w:color="auto" w:fill="FFFFFF"/>
            <w:vAlign w:val="center"/>
          </w:tcPr>
          <w:p w14:paraId="534DF006" w14:textId="77777777" w:rsidR="00094860" w:rsidRPr="004A17CC" w:rsidRDefault="00094860" w:rsidP="00F16B71">
            <w:pPr>
              <w:pStyle w:val="Other10"/>
              <w:spacing w:after="0" w:line="240" w:lineRule="auto"/>
              <w:ind w:right="113" w:firstLine="16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A17CC">
              <w:rPr>
                <w:rFonts w:asciiTheme="minorHAnsi" w:hAnsiTheme="minorHAnsi" w:cstheme="minorHAnsi"/>
                <w:sz w:val="22"/>
                <w:szCs w:val="22"/>
              </w:rPr>
              <w:t>4 324</w:t>
            </w:r>
          </w:p>
        </w:tc>
        <w:tc>
          <w:tcPr>
            <w:tcW w:w="894" w:type="pct"/>
            <w:shd w:val="clear" w:color="auto" w:fill="FFFFFF"/>
            <w:vAlign w:val="center"/>
          </w:tcPr>
          <w:p w14:paraId="6FFDF9FC" w14:textId="77777777" w:rsidR="00094860" w:rsidRPr="004A17CC" w:rsidRDefault="00094860" w:rsidP="00F16B71">
            <w:pPr>
              <w:pStyle w:val="Other10"/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A17CC">
              <w:rPr>
                <w:rFonts w:asciiTheme="minorHAnsi" w:hAnsiTheme="minorHAnsi" w:cstheme="minorHAnsi"/>
                <w:sz w:val="22"/>
                <w:szCs w:val="22"/>
              </w:rPr>
              <w:t>4 912</w:t>
            </w:r>
          </w:p>
        </w:tc>
      </w:tr>
      <w:tr w:rsidR="00094860" w:rsidRPr="00270A37" w14:paraId="4198809C" w14:textId="77777777" w:rsidTr="00F16B71">
        <w:trPr>
          <w:jc w:val="center"/>
        </w:trPr>
        <w:tc>
          <w:tcPr>
            <w:tcW w:w="1551" w:type="pct"/>
            <w:shd w:val="clear" w:color="auto" w:fill="FFFFFF"/>
            <w:vAlign w:val="center"/>
          </w:tcPr>
          <w:p w14:paraId="653DC99E" w14:textId="4DD3DD95" w:rsidR="00094860" w:rsidRPr="004A17CC" w:rsidRDefault="00094860" w:rsidP="00F16B71">
            <w:pPr>
              <w:pStyle w:val="Other10"/>
              <w:spacing w:after="0" w:line="240" w:lineRule="auto"/>
              <w:ind w:left="11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Režim m</w:t>
            </w:r>
            <w:r w:rsidRPr="004A17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imo EU</w:t>
            </w:r>
          </w:p>
        </w:tc>
        <w:tc>
          <w:tcPr>
            <w:tcW w:w="894" w:type="pct"/>
            <w:shd w:val="clear" w:color="auto" w:fill="FFFFFF"/>
            <w:vAlign w:val="center"/>
          </w:tcPr>
          <w:p w14:paraId="0E6C9A8D" w14:textId="77777777" w:rsidR="00094860" w:rsidRPr="004A17CC" w:rsidRDefault="00094860" w:rsidP="00F16B71">
            <w:pPr>
              <w:pStyle w:val="Other10"/>
              <w:spacing w:after="0" w:line="240" w:lineRule="auto"/>
              <w:ind w:right="113" w:firstLine="16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A17CC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895" w:type="pct"/>
            <w:shd w:val="clear" w:color="auto" w:fill="FFFFFF"/>
            <w:vAlign w:val="center"/>
          </w:tcPr>
          <w:p w14:paraId="7771D921" w14:textId="77777777" w:rsidR="00094860" w:rsidRPr="004A17CC" w:rsidRDefault="00094860" w:rsidP="00F16B71">
            <w:pPr>
              <w:pStyle w:val="Other10"/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A17CC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766" w:type="pct"/>
            <w:shd w:val="clear" w:color="auto" w:fill="FFFFFF"/>
            <w:vAlign w:val="center"/>
          </w:tcPr>
          <w:p w14:paraId="65A3B2E2" w14:textId="77777777" w:rsidR="00094860" w:rsidRPr="004A17CC" w:rsidRDefault="00094860" w:rsidP="00F16B71">
            <w:pPr>
              <w:pStyle w:val="Other10"/>
              <w:spacing w:after="0" w:line="240" w:lineRule="auto"/>
              <w:ind w:right="113" w:firstLine="16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A17CC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894" w:type="pct"/>
            <w:shd w:val="clear" w:color="auto" w:fill="FFFFFF"/>
            <w:vAlign w:val="center"/>
          </w:tcPr>
          <w:p w14:paraId="54127785" w14:textId="77777777" w:rsidR="00094860" w:rsidRPr="004A17CC" w:rsidRDefault="00094860" w:rsidP="00F16B71">
            <w:pPr>
              <w:pStyle w:val="Other10"/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A17CC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</w:tr>
      <w:tr w:rsidR="00094860" w:rsidRPr="00270A37" w14:paraId="5638E8C0" w14:textId="77777777" w:rsidTr="00F16B71">
        <w:trPr>
          <w:jc w:val="center"/>
        </w:trPr>
        <w:tc>
          <w:tcPr>
            <w:tcW w:w="1551" w:type="pct"/>
            <w:shd w:val="clear" w:color="auto" w:fill="FFFFFF"/>
            <w:vAlign w:val="center"/>
          </w:tcPr>
          <w:p w14:paraId="128AA7B5" w14:textId="53E880C8" w:rsidR="00094860" w:rsidRPr="004A17CC" w:rsidRDefault="00094860" w:rsidP="00F16B71">
            <w:pPr>
              <w:pStyle w:val="Other10"/>
              <w:spacing w:after="0" w:line="240" w:lineRule="auto"/>
              <w:ind w:left="11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A17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Dovozní režim* </w:t>
            </w:r>
          </w:p>
        </w:tc>
        <w:tc>
          <w:tcPr>
            <w:tcW w:w="894" w:type="pct"/>
            <w:shd w:val="clear" w:color="auto" w:fill="FFFFFF"/>
            <w:vAlign w:val="center"/>
          </w:tcPr>
          <w:p w14:paraId="6C5085B8" w14:textId="77777777" w:rsidR="00094860" w:rsidRPr="004A17CC" w:rsidRDefault="00094860" w:rsidP="00F16B71">
            <w:pPr>
              <w:pStyle w:val="Other10"/>
              <w:spacing w:after="0" w:line="240" w:lineRule="auto"/>
              <w:ind w:right="113" w:firstLine="16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A17CC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895" w:type="pct"/>
            <w:shd w:val="clear" w:color="auto" w:fill="FFFFFF"/>
            <w:vAlign w:val="center"/>
          </w:tcPr>
          <w:p w14:paraId="6826E22C" w14:textId="77777777" w:rsidR="00094860" w:rsidRPr="004A17CC" w:rsidRDefault="00094860" w:rsidP="00F16B71">
            <w:pPr>
              <w:pStyle w:val="Other10"/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A17CC">
              <w:rPr>
                <w:rFonts w:asciiTheme="minorHAnsi" w:hAnsiTheme="minorHAnsi" w:cstheme="minorHAnsi"/>
                <w:sz w:val="22"/>
                <w:szCs w:val="22"/>
              </w:rPr>
              <w:t>31</w:t>
            </w:r>
          </w:p>
        </w:tc>
        <w:tc>
          <w:tcPr>
            <w:tcW w:w="766" w:type="pct"/>
            <w:shd w:val="clear" w:color="auto" w:fill="FFFFFF"/>
            <w:vAlign w:val="center"/>
          </w:tcPr>
          <w:p w14:paraId="36BF956A" w14:textId="77777777" w:rsidR="00094860" w:rsidRPr="004A17CC" w:rsidRDefault="00094860" w:rsidP="00F16B71">
            <w:pPr>
              <w:pStyle w:val="Other10"/>
              <w:spacing w:after="0" w:line="240" w:lineRule="auto"/>
              <w:ind w:right="113" w:firstLine="16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A17CC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894" w:type="pct"/>
            <w:shd w:val="clear" w:color="auto" w:fill="FFFFFF"/>
            <w:vAlign w:val="center"/>
          </w:tcPr>
          <w:p w14:paraId="6ED3DEC5" w14:textId="77777777" w:rsidR="00094860" w:rsidRPr="004A17CC" w:rsidRDefault="00094860" w:rsidP="00F16B71">
            <w:pPr>
              <w:pStyle w:val="Other10"/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A17CC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</w:tr>
      <w:tr w:rsidR="00094860" w:rsidRPr="00270A37" w14:paraId="56D02562" w14:textId="77777777" w:rsidTr="00F16B71">
        <w:trPr>
          <w:jc w:val="center"/>
        </w:trPr>
        <w:tc>
          <w:tcPr>
            <w:tcW w:w="1551" w:type="pct"/>
            <w:shd w:val="clear" w:color="auto" w:fill="EDD4D9"/>
            <w:vAlign w:val="center"/>
          </w:tcPr>
          <w:p w14:paraId="6045EA0F" w14:textId="77777777" w:rsidR="00094860" w:rsidRPr="004A17CC" w:rsidRDefault="00094860" w:rsidP="00F16B71">
            <w:pPr>
              <w:pStyle w:val="Other10"/>
              <w:spacing w:after="0" w:line="240" w:lineRule="auto"/>
              <w:ind w:left="113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A17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894" w:type="pct"/>
            <w:shd w:val="clear" w:color="auto" w:fill="EDD4D9"/>
            <w:vAlign w:val="center"/>
          </w:tcPr>
          <w:p w14:paraId="75313942" w14:textId="77777777" w:rsidR="00094860" w:rsidRPr="004A17CC" w:rsidRDefault="00094860" w:rsidP="00F16B71">
            <w:pPr>
              <w:pStyle w:val="Other10"/>
              <w:spacing w:after="0" w:line="240" w:lineRule="auto"/>
              <w:ind w:right="113" w:firstLine="160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A17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2 843</w:t>
            </w:r>
          </w:p>
        </w:tc>
        <w:tc>
          <w:tcPr>
            <w:tcW w:w="895" w:type="pct"/>
            <w:shd w:val="clear" w:color="auto" w:fill="EDD4D9"/>
            <w:vAlign w:val="center"/>
          </w:tcPr>
          <w:p w14:paraId="7C6E83D2" w14:textId="77777777" w:rsidR="00094860" w:rsidRPr="004A17CC" w:rsidRDefault="00094860" w:rsidP="00F16B71">
            <w:pPr>
              <w:pStyle w:val="Other10"/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A17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3 706</w:t>
            </w:r>
          </w:p>
        </w:tc>
        <w:tc>
          <w:tcPr>
            <w:tcW w:w="766" w:type="pct"/>
            <w:shd w:val="clear" w:color="auto" w:fill="EDD4D9"/>
            <w:vAlign w:val="center"/>
          </w:tcPr>
          <w:p w14:paraId="36C41064" w14:textId="77777777" w:rsidR="00094860" w:rsidRPr="004A17CC" w:rsidRDefault="00094860" w:rsidP="00F16B71">
            <w:pPr>
              <w:pStyle w:val="Other10"/>
              <w:spacing w:after="0" w:line="240" w:lineRule="auto"/>
              <w:ind w:right="113" w:firstLine="160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A17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4 356</w:t>
            </w:r>
          </w:p>
        </w:tc>
        <w:tc>
          <w:tcPr>
            <w:tcW w:w="894" w:type="pct"/>
            <w:shd w:val="clear" w:color="auto" w:fill="EDD4D9"/>
            <w:vAlign w:val="center"/>
          </w:tcPr>
          <w:p w14:paraId="1AB5A4F9" w14:textId="77777777" w:rsidR="00094860" w:rsidRPr="004A17CC" w:rsidRDefault="00094860" w:rsidP="00F16B71">
            <w:pPr>
              <w:pStyle w:val="Other10"/>
              <w:spacing w:after="0" w:line="240" w:lineRule="auto"/>
              <w:ind w:right="113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A17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4 939</w:t>
            </w:r>
          </w:p>
        </w:tc>
      </w:tr>
    </w:tbl>
    <w:p w14:paraId="0A370F33" w14:textId="19A168D4" w:rsidR="001535EE" w:rsidRPr="00F02932" w:rsidRDefault="001535EE" w:rsidP="001535EE">
      <w:pPr>
        <w:spacing w:after="0"/>
        <w:jc w:val="both"/>
        <w:rPr>
          <w:rFonts w:cstheme="minorHAnsi"/>
          <w:bCs/>
          <w:sz w:val="20"/>
          <w:szCs w:val="20"/>
        </w:rPr>
      </w:pPr>
      <w:r w:rsidRPr="00F16B71">
        <w:rPr>
          <w:rFonts w:cstheme="minorHAnsi"/>
          <w:b/>
          <w:sz w:val="20"/>
          <w:szCs w:val="20"/>
        </w:rPr>
        <w:t>Zdroj:</w:t>
      </w:r>
      <w:r w:rsidRPr="00F02932">
        <w:rPr>
          <w:rFonts w:cstheme="minorHAnsi"/>
          <w:bCs/>
          <w:sz w:val="20"/>
          <w:szCs w:val="20"/>
        </w:rPr>
        <w:t xml:space="preserve"> FÚ JMK.</w:t>
      </w:r>
    </w:p>
    <w:p w14:paraId="483E8E3B" w14:textId="5A3D5600" w:rsidR="00D85E00" w:rsidRDefault="001535EE" w:rsidP="00F16B71">
      <w:pPr>
        <w:pStyle w:val="Zkladntext1"/>
        <w:spacing w:after="0"/>
        <w:ind w:left="284" w:hanging="284"/>
        <w:rPr>
          <w:rFonts w:asciiTheme="minorHAnsi" w:hAnsiTheme="minorHAnsi" w:cstheme="minorHAnsi"/>
          <w:bCs/>
          <w:sz w:val="20"/>
          <w:szCs w:val="20"/>
        </w:rPr>
      </w:pPr>
      <w:r w:rsidRPr="00F02932">
        <w:rPr>
          <w:rFonts w:asciiTheme="minorHAnsi" w:hAnsiTheme="minorHAnsi" w:cstheme="minorHAnsi"/>
          <w:bCs/>
          <w:sz w:val="20"/>
          <w:szCs w:val="20"/>
        </w:rPr>
        <w:t>*</w:t>
      </w:r>
      <w:r w:rsidR="001C4B43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1C4B43">
        <w:rPr>
          <w:rFonts w:asciiTheme="minorHAnsi" w:hAnsiTheme="minorHAnsi" w:cstheme="minorHAnsi"/>
          <w:bCs/>
          <w:sz w:val="20"/>
          <w:szCs w:val="20"/>
        </w:rPr>
        <w:tab/>
        <w:t>D</w:t>
      </w:r>
      <w:r w:rsidRPr="00F02932">
        <w:rPr>
          <w:rFonts w:asciiTheme="minorHAnsi" w:hAnsiTheme="minorHAnsi" w:cstheme="minorHAnsi"/>
          <w:bCs/>
          <w:sz w:val="20"/>
          <w:szCs w:val="20"/>
        </w:rPr>
        <w:t xml:space="preserve">ovozní režim zahrnuje osoby povinné k dani bez zprostředkovatele </w:t>
      </w:r>
      <w:r w:rsidR="00D85E00">
        <w:rPr>
          <w:rFonts w:asciiTheme="minorHAnsi" w:hAnsiTheme="minorHAnsi" w:cstheme="minorHAnsi"/>
          <w:bCs/>
          <w:sz w:val="20"/>
          <w:szCs w:val="20"/>
        </w:rPr>
        <w:t>i</w:t>
      </w:r>
      <w:r w:rsidRPr="00F02932">
        <w:rPr>
          <w:rFonts w:asciiTheme="minorHAnsi" w:hAnsiTheme="minorHAnsi" w:cstheme="minorHAnsi"/>
          <w:bCs/>
          <w:sz w:val="20"/>
          <w:szCs w:val="20"/>
        </w:rPr>
        <w:t xml:space="preserve"> se zprostředkovatelem</w:t>
      </w:r>
      <w:r w:rsidR="005F4419">
        <w:rPr>
          <w:rFonts w:asciiTheme="minorHAnsi" w:hAnsiTheme="minorHAnsi" w:cstheme="minorHAnsi"/>
          <w:bCs/>
          <w:sz w:val="20"/>
          <w:szCs w:val="20"/>
        </w:rPr>
        <w:t>.</w:t>
      </w:r>
    </w:p>
    <w:p w14:paraId="131248EA" w14:textId="39F90E51" w:rsidR="00CC5950" w:rsidRDefault="00691861" w:rsidP="004D2316">
      <w:pPr>
        <w:spacing w:before="240" w:after="24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>S</w:t>
      </w:r>
      <w:r w:rsidRPr="00CC5950">
        <w:rPr>
          <w:rFonts w:ascii="Calibri" w:hAnsi="Calibri" w:cs="Calibri"/>
          <w:b/>
          <w:bCs/>
        </w:rPr>
        <w:t xml:space="preserve">chéma č. </w:t>
      </w:r>
      <w:r>
        <w:rPr>
          <w:rFonts w:ascii="Calibri" w:hAnsi="Calibri" w:cs="Calibri"/>
          <w:b/>
          <w:bCs/>
        </w:rPr>
        <w:t xml:space="preserve">2: </w:t>
      </w:r>
      <w:r w:rsidR="00E64490">
        <w:rPr>
          <w:rFonts w:ascii="Calibri" w:hAnsi="Calibri" w:cs="Calibri"/>
          <w:b/>
          <w:bCs/>
        </w:rPr>
        <w:t>S</w:t>
      </w:r>
      <w:r w:rsidR="00CC5950" w:rsidRPr="00CC5950">
        <w:rPr>
          <w:rFonts w:ascii="Calibri" w:hAnsi="Calibri" w:cs="Calibri"/>
          <w:b/>
          <w:bCs/>
        </w:rPr>
        <w:t>ystém správy DPH v</w:t>
      </w:r>
      <w:r w:rsidR="005B473E">
        <w:rPr>
          <w:rFonts w:ascii="Calibri" w:hAnsi="Calibri" w:cs="Calibri"/>
          <w:b/>
          <w:bCs/>
        </w:rPr>
        <w:t xml:space="preserve"> dovozním </w:t>
      </w:r>
      <w:r w:rsidR="00CC5950" w:rsidRPr="00CC5950">
        <w:rPr>
          <w:rFonts w:ascii="Calibri" w:hAnsi="Calibri" w:cs="Calibri"/>
          <w:b/>
          <w:bCs/>
        </w:rPr>
        <w:t xml:space="preserve">režimu </w:t>
      </w:r>
    </w:p>
    <w:p w14:paraId="0E0A50FE" w14:textId="6373A5F1" w:rsidR="00B307F4" w:rsidRDefault="004C591E" w:rsidP="00F02932">
      <w:pPr>
        <w:pStyle w:val="Odstavecsmalmodsazenm"/>
        <w:spacing w:after="0"/>
        <w:rPr>
          <w:rFonts w:ascii="Calibri" w:hAnsi="Calibri" w:cs="Calibri"/>
          <w:bCs/>
        </w:rPr>
      </w:pPr>
      <w:r w:rsidRPr="002941CA">
        <w:rPr>
          <w:noProof/>
        </w:rPr>
        <w:drawing>
          <wp:inline distT="0" distB="0" distL="0" distR="0" wp14:anchorId="66B208AF" wp14:editId="5703FE42">
            <wp:extent cx="4559935" cy="3590290"/>
            <wp:effectExtent l="0" t="0" r="0" b="0"/>
            <wp:docPr id="785668604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9935" cy="3590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AB20B0" w14:textId="77777777" w:rsidR="00CC5950" w:rsidRDefault="00CC5950" w:rsidP="00CC5950">
      <w:pPr>
        <w:pStyle w:val="Textkomente"/>
        <w:spacing w:before="120"/>
      </w:pPr>
      <w:r w:rsidRPr="00F16B71">
        <w:rPr>
          <w:b/>
        </w:rPr>
        <w:t>Zdroj:</w:t>
      </w:r>
      <w:r>
        <w:t xml:space="preserve"> právní předpisy EU; graficky zpracoval NKÚ.</w:t>
      </w:r>
    </w:p>
    <w:p w14:paraId="23247536" w14:textId="046FB1B5" w:rsidR="0097077F" w:rsidRDefault="0097077F" w:rsidP="0097077F">
      <w:pPr>
        <w:spacing w:after="0" w:line="240" w:lineRule="auto"/>
        <w:rPr>
          <w:rFonts w:ascii="Calibri" w:hAnsi="Calibri" w:cs="Calibri"/>
          <w:b/>
          <w:bCs/>
        </w:rPr>
      </w:pPr>
      <w:r w:rsidRPr="00861669">
        <w:rPr>
          <w:rFonts w:ascii="Calibri" w:hAnsi="Calibri" w:cs="Calibri"/>
          <w:b/>
          <w:bCs/>
        </w:rPr>
        <w:t xml:space="preserve">Působnosti kontrolovaných osob v oblasti přeshraničního </w:t>
      </w:r>
      <w:r>
        <w:rPr>
          <w:rFonts w:ascii="Calibri" w:hAnsi="Calibri" w:cs="Calibri"/>
          <w:b/>
          <w:bCs/>
        </w:rPr>
        <w:t xml:space="preserve">elektronického </w:t>
      </w:r>
      <w:r w:rsidRPr="00861669">
        <w:rPr>
          <w:rFonts w:ascii="Calibri" w:hAnsi="Calibri" w:cs="Calibri"/>
          <w:b/>
          <w:bCs/>
        </w:rPr>
        <w:t>obchodování:</w:t>
      </w:r>
    </w:p>
    <w:p w14:paraId="48B162F2" w14:textId="7399400D" w:rsidR="0097077F" w:rsidRPr="00861669" w:rsidRDefault="0097077F" w:rsidP="0097077F">
      <w:pPr>
        <w:spacing w:after="0" w:line="240" w:lineRule="auto"/>
        <w:rPr>
          <w:rFonts w:ascii="Calibri" w:hAnsi="Calibri" w:cs="Calibri"/>
          <w:b/>
          <w:bCs/>
        </w:rPr>
      </w:pPr>
    </w:p>
    <w:p w14:paraId="582DBEF2" w14:textId="77777777" w:rsidR="0097077F" w:rsidRPr="00861669" w:rsidRDefault="0097077F" w:rsidP="0097077F">
      <w:pPr>
        <w:spacing w:after="0" w:line="240" w:lineRule="auto"/>
        <w:rPr>
          <w:rFonts w:ascii="Calibri" w:hAnsi="Calibri" w:cs="Calibri"/>
          <w:b/>
          <w:bCs/>
        </w:rPr>
      </w:pPr>
      <w:r w:rsidRPr="00861669">
        <w:rPr>
          <w:rFonts w:ascii="Calibri" w:hAnsi="Calibri" w:cs="Calibri"/>
          <w:b/>
          <w:bCs/>
        </w:rPr>
        <w:t>Ministerstvo financí</w:t>
      </w:r>
    </w:p>
    <w:p w14:paraId="6E032C5E" w14:textId="77777777" w:rsidR="0097077F" w:rsidRPr="00861669" w:rsidRDefault="0097077F" w:rsidP="0097077F">
      <w:pPr>
        <w:pStyle w:val="Odstavecseseznamem"/>
        <w:numPr>
          <w:ilvl w:val="0"/>
          <w:numId w:val="25"/>
        </w:numPr>
        <w:spacing w:after="0" w:line="240" w:lineRule="auto"/>
        <w:ind w:left="284" w:hanging="295"/>
        <w:contextualSpacing w:val="0"/>
        <w:rPr>
          <w:rFonts w:ascii="Calibri" w:hAnsi="Calibri" w:cs="Calibri"/>
        </w:rPr>
      </w:pPr>
      <w:r w:rsidRPr="00861669">
        <w:rPr>
          <w:rFonts w:ascii="Calibri" w:hAnsi="Calibri" w:cs="Calibri"/>
        </w:rPr>
        <w:t>je ústředním orgánem státní správy pro daně,</w:t>
      </w:r>
    </w:p>
    <w:p w14:paraId="0ACA05EB" w14:textId="77777777" w:rsidR="0097077F" w:rsidRPr="009B606F" w:rsidRDefault="0097077F" w:rsidP="0097077F">
      <w:pPr>
        <w:pStyle w:val="Odstavecseseznamem"/>
        <w:numPr>
          <w:ilvl w:val="0"/>
          <w:numId w:val="25"/>
        </w:numPr>
        <w:spacing w:after="0" w:line="240" w:lineRule="auto"/>
        <w:ind w:left="284" w:hanging="295"/>
        <w:contextualSpacing w:val="0"/>
        <w:rPr>
          <w:rFonts w:ascii="Calibri" w:hAnsi="Calibri" w:cs="Calibri"/>
        </w:rPr>
      </w:pPr>
      <w:r w:rsidRPr="009B606F">
        <w:rPr>
          <w:rFonts w:ascii="Calibri" w:hAnsi="Calibri" w:cs="Calibri"/>
        </w:rPr>
        <w:t>navrhuje právní předpisy a jejich změny v oblasti daní,</w:t>
      </w:r>
    </w:p>
    <w:p w14:paraId="0351ADEA" w14:textId="77777777" w:rsidR="0097077F" w:rsidRPr="00861669" w:rsidRDefault="0097077F" w:rsidP="0097077F">
      <w:pPr>
        <w:pStyle w:val="Odstavecseseznamem"/>
        <w:numPr>
          <w:ilvl w:val="0"/>
          <w:numId w:val="25"/>
        </w:numPr>
        <w:spacing w:after="0" w:line="240" w:lineRule="auto"/>
        <w:ind w:left="284" w:hanging="295"/>
        <w:contextualSpacing w:val="0"/>
        <w:rPr>
          <w:rFonts w:ascii="Calibri" w:hAnsi="Calibri" w:cs="Calibri"/>
        </w:rPr>
      </w:pPr>
      <w:r w:rsidRPr="00861669">
        <w:rPr>
          <w:rFonts w:ascii="Calibri" w:hAnsi="Calibri" w:cs="Calibri"/>
        </w:rPr>
        <w:t>řídí GFŘ a GŘC</w:t>
      </w:r>
      <w:r>
        <w:rPr>
          <w:rFonts w:ascii="Calibri" w:hAnsi="Calibri" w:cs="Calibri"/>
        </w:rPr>
        <w:t>.</w:t>
      </w:r>
    </w:p>
    <w:p w14:paraId="6F899D8E" w14:textId="593B2BCE" w:rsidR="0097077F" w:rsidRPr="00861669" w:rsidRDefault="0097077F" w:rsidP="0097077F">
      <w:pPr>
        <w:pStyle w:val="Odstavecseseznamem"/>
        <w:spacing w:after="0" w:line="240" w:lineRule="auto"/>
        <w:ind w:left="284"/>
        <w:contextualSpacing w:val="0"/>
        <w:rPr>
          <w:rFonts w:ascii="Calibri" w:hAnsi="Calibri" w:cs="Calibri"/>
        </w:rPr>
      </w:pPr>
    </w:p>
    <w:p w14:paraId="0D6E4F98" w14:textId="77777777" w:rsidR="0097077F" w:rsidRPr="00861669" w:rsidRDefault="0097077F" w:rsidP="0097077F">
      <w:pPr>
        <w:spacing w:after="0" w:line="240" w:lineRule="auto"/>
        <w:rPr>
          <w:rFonts w:ascii="Calibri" w:hAnsi="Calibri" w:cs="Calibri"/>
          <w:b/>
          <w:bCs/>
        </w:rPr>
      </w:pPr>
      <w:r w:rsidRPr="00861669">
        <w:rPr>
          <w:rFonts w:ascii="Calibri" w:hAnsi="Calibri" w:cs="Calibri"/>
          <w:b/>
          <w:bCs/>
        </w:rPr>
        <w:t>Generální finanční ředitelství</w:t>
      </w:r>
    </w:p>
    <w:p w14:paraId="5BF04020" w14:textId="77777777" w:rsidR="0097077F" w:rsidRPr="00861669" w:rsidRDefault="0097077F" w:rsidP="0097077F">
      <w:pPr>
        <w:pStyle w:val="Odstavecseseznamem"/>
        <w:numPr>
          <w:ilvl w:val="0"/>
          <w:numId w:val="25"/>
        </w:numPr>
        <w:spacing w:after="0" w:line="240" w:lineRule="auto"/>
        <w:ind w:left="284" w:hanging="295"/>
        <w:contextualSpacing w:val="0"/>
        <w:rPr>
          <w:rFonts w:ascii="Calibri" w:hAnsi="Calibri" w:cs="Calibri"/>
        </w:rPr>
      </w:pPr>
      <w:r w:rsidRPr="00861669">
        <w:rPr>
          <w:rFonts w:ascii="Calibri" w:hAnsi="Calibri" w:cs="Calibri"/>
        </w:rPr>
        <w:t>řídí a kontroluje Odvolací finanční ředitelství a finanční úřady,</w:t>
      </w:r>
    </w:p>
    <w:p w14:paraId="2AD8F786" w14:textId="77777777" w:rsidR="0097077F" w:rsidRPr="00861669" w:rsidRDefault="0097077F" w:rsidP="0097077F">
      <w:pPr>
        <w:pStyle w:val="Odstavecseseznamem"/>
        <w:numPr>
          <w:ilvl w:val="0"/>
          <w:numId w:val="25"/>
        </w:numPr>
        <w:spacing w:after="0" w:line="240" w:lineRule="auto"/>
        <w:ind w:left="284" w:hanging="295"/>
        <w:contextualSpacing w:val="0"/>
        <w:rPr>
          <w:rFonts w:ascii="Calibri" w:hAnsi="Calibri" w:cs="Calibri"/>
        </w:rPr>
      </w:pPr>
      <w:r w:rsidRPr="00861669">
        <w:rPr>
          <w:rFonts w:ascii="Calibri" w:hAnsi="Calibri" w:cs="Calibri"/>
        </w:rPr>
        <w:t>odpovídá za metodické řízení výkonu správy DPH,</w:t>
      </w:r>
    </w:p>
    <w:p w14:paraId="609C98BC" w14:textId="77777777" w:rsidR="0097077F" w:rsidRPr="00861669" w:rsidRDefault="0097077F" w:rsidP="0097077F">
      <w:pPr>
        <w:pStyle w:val="Odstavecseseznamem"/>
        <w:numPr>
          <w:ilvl w:val="0"/>
          <w:numId w:val="25"/>
        </w:numPr>
        <w:spacing w:after="0" w:line="240" w:lineRule="auto"/>
        <w:ind w:left="284" w:hanging="295"/>
        <w:contextualSpacing w:val="0"/>
        <w:rPr>
          <w:rFonts w:ascii="Calibri" w:hAnsi="Calibri" w:cs="Calibri"/>
        </w:rPr>
      </w:pPr>
      <w:r w:rsidRPr="00861669">
        <w:rPr>
          <w:rFonts w:ascii="Calibri" w:hAnsi="Calibri" w:cs="Calibri"/>
        </w:rPr>
        <w:t>připravuje podklady pro návrhy právních předpisů,</w:t>
      </w:r>
    </w:p>
    <w:p w14:paraId="729C41F4" w14:textId="77777777" w:rsidR="0097077F" w:rsidRPr="00861669" w:rsidRDefault="0097077F" w:rsidP="0097077F">
      <w:pPr>
        <w:pStyle w:val="Odstavecseseznamem"/>
        <w:numPr>
          <w:ilvl w:val="0"/>
          <w:numId w:val="25"/>
        </w:numPr>
        <w:spacing w:after="0" w:line="240" w:lineRule="auto"/>
        <w:ind w:left="284" w:hanging="295"/>
        <w:contextualSpacing w:val="0"/>
        <w:rPr>
          <w:rFonts w:ascii="Calibri" w:hAnsi="Calibri" w:cs="Calibri"/>
        </w:rPr>
      </w:pPr>
      <w:r w:rsidRPr="00861669">
        <w:rPr>
          <w:rFonts w:ascii="Calibri" w:hAnsi="Calibri" w:cs="Calibri"/>
        </w:rPr>
        <w:t>podílí se na zpracování analýz dopadů přijatých legislativních změn na inkaso DPH</w:t>
      </w:r>
      <w:r>
        <w:rPr>
          <w:rFonts w:ascii="Calibri" w:hAnsi="Calibri" w:cs="Calibri"/>
        </w:rPr>
        <w:t>,</w:t>
      </w:r>
    </w:p>
    <w:p w14:paraId="6F9B2FCA" w14:textId="77777777" w:rsidR="0097077F" w:rsidRPr="00861669" w:rsidRDefault="0097077F" w:rsidP="0097077F">
      <w:pPr>
        <w:pStyle w:val="Odstavecseseznamem"/>
        <w:numPr>
          <w:ilvl w:val="0"/>
          <w:numId w:val="25"/>
        </w:numPr>
        <w:spacing w:after="0" w:line="240" w:lineRule="auto"/>
        <w:ind w:left="284" w:hanging="295"/>
        <w:contextualSpacing w:val="0"/>
        <w:jc w:val="both"/>
        <w:rPr>
          <w:rFonts w:ascii="Calibri" w:hAnsi="Calibri" w:cs="Calibri"/>
        </w:rPr>
      </w:pPr>
      <w:r w:rsidRPr="00861669">
        <w:rPr>
          <w:rFonts w:ascii="Calibri" w:hAnsi="Calibri" w:cs="Calibri"/>
        </w:rPr>
        <w:t>vykonává působnost ústředního kontaktního orgánu pro vzájemnou administrativní spolupráci se státními orgány jiných států a mezinárodními organizacemi</w:t>
      </w:r>
      <w:r>
        <w:rPr>
          <w:rFonts w:ascii="Calibri" w:hAnsi="Calibri" w:cs="Calibri"/>
        </w:rPr>
        <w:t>.</w:t>
      </w:r>
    </w:p>
    <w:p w14:paraId="2F8545DB" w14:textId="4E0C6C0E" w:rsidR="0097077F" w:rsidRDefault="0097077F" w:rsidP="0097077F">
      <w:pPr>
        <w:spacing w:after="0" w:line="240" w:lineRule="auto"/>
        <w:rPr>
          <w:rFonts w:ascii="Calibri" w:hAnsi="Calibri" w:cs="Calibri"/>
          <w:b/>
          <w:bCs/>
        </w:rPr>
      </w:pPr>
    </w:p>
    <w:p w14:paraId="26D5A493" w14:textId="77777777" w:rsidR="0097077F" w:rsidRPr="00861669" w:rsidRDefault="0097077F" w:rsidP="0097077F">
      <w:pPr>
        <w:spacing w:after="0" w:line="240" w:lineRule="auto"/>
        <w:rPr>
          <w:rFonts w:ascii="Calibri" w:hAnsi="Calibri" w:cs="Calibri"/>
          <w:b/>
          <w:bCs/>
        </w:rPr>
      </w:pPr>
      <w:r w:rsidRPr="00861669">
        <w:rPr>
          <w:rFonts w:ascii="Calibri" w:hAnsi="Calibri" w:cs="Calibri"/>
          <w:b/>
          <w:bCs/>
        </w:rPr>
        <w:t>Finanční úřad pro Jihomoravský kraj</w:t>
      </w:r>
    </w:p>
    <w:p w14:paraId="6D174FDA" w14:textId="5D73CA10" w:rsidR="0097077F" w:rsidRPr="00861669" w:rsidRDefault="0097077F" w:rsidP="0097077F">
      <w:pPr>
        <w:pStyle w:val="Odstavecseseznamem"/>
        <w:numPr>
          <w:ilvl w:val="0"/>
          <w:numId w:val="25"/>
        </w:numPr>
        <w:spacing w:after="0" w:line="240" w:lineRule="auto"/>
        <w:ind w:left="284" w:hanging="295"/>
        <w:contextualSpacing w:val="0"/>
        <w:rPr>
          <w:rFonts w:ascii="Calibri" w:hAnsi="Calibri" w:cs="Calibri"/>
        </w:rPr>
      </w:pPr>
      <w:r w:rsidRPr="00861669">
        <w:rPr>
          <w:rFonts w:ascii="Calibri" w:hAnsi="Calibri" w:cs="Calibri"/>
        </w:rPr>
        <w:t xml:space="preserve">místně příslušný správce </w:t>
      </w:r>
      <w:r w:rsidR="00A54E9A">
        <w:rPr>
          <w:rFonts w:ascii="Calibri" w:hAnsi="Calibri" w:cs="Calibri"/>
        </w:rPr>
        <w:t>DPH</w:t>
      </w:r>
      <w:r w:rsidRPr="00861669">
        <w:rPr>
          <w:rFonts w:ascii="Calibri" w:hAnsi="Calibri" w:cs="Calibri"/>
        </w:rPr>
        <w:t xml:space="preserve"> </w:t>
      </w:r>
      <w:r w:rsidR="00A914BA">
        <w:rPr>
          <w:rFonts w:ascii="Calibri" w:hAnsi="Calibri" w:cs="Calibri"/>
        </w:rPr>
        <w:t>ve zvláštním</w:t>
      </w:r>
      <w:r w:rsidR="00722C30">
        <w:rPr>
          <w:rFonts w:ascii="Calibri" w:hAnsi="Calibri" w:cs="Calibri"/>
        </w:rPr>
        <w:t xml:space="preserve"> </w:t>
      </w:r>
      <w:r w:rsidR="00A54E9A">
        <w:rPr>
          <w:rFonts w:ascii="Calibri" w:hAnsi="Calibri" w:cs="Calibri"/>
        </w:rPr>
        <w:t>režim</w:t>
      </w:r>
      <w:r w:rsidR="00A914BA">
        <w:rPr>
          <w:rFonts w:ascii="Calibri" w:hAnsi="Calibri" w:cs="Calibri"/>
        </w:rPr>
        <w:t>u</w:t>
      </w:r>
      <w:r>
        <w:rPr>
          <w:rFonts w:ascii="Calibri" w:hAnsi="Calibri" w:cs="Calibri"/>
        </w:rPr>
        <w:t>,</w:t>
      </w:r>
    </w:p>
    <w:p w14:paraId="325F3DBB" w14:textId="16D6BCEB" w:rsidR="0097077F" w:rsidRPr="00861669" w:rsidRDefault="0097077F" w:rsidP="0097077F">
      <w:pPr>
        <w:pStyle w:val="Odstavecseseznamem"/>
        <w:numPr>
          <w:ilvl w:val="0"/>
          <w:numId w:val="25"/>
        </w:numPr>
        <w:spacing w:after="0" w:line="240" w:lineRule="auto"/>
        <w:ind w:left="284" w:hanging="295"/>
        <w:contextualSpacing w:val="0"/>
        <w:rPr>
          <w:rFonts w:ascii="Calibri" w:hAnsi="Calibri" w:cs="Calibri"/>
        </w:rPr>
      </w:pPr>
      <w:r w:rsidRPr="00861669">
        <w:rPr>
          <w:rFonts w:ascii="Calibri" w:hAnsi="Calibri" w:cs="Calibri"/>
        </w:rPr>
        <w:t>vykonává správu DPH v</w:t>
      </w:r>
      <w:r w:rsidR="00A914BA">
        <w:rPr>
          <w:rFonts w:ascii="Calibri" w:hAnsi="Calibri" w:cs="Calibri"/>
        </w:rPr>
        <w:t>e zvláštním</w:t>
      </w:r>
      <w:r w:rsidR="00A54E9A">
        <w:rPr>
          <w:rFonts w:ascii="Calibri" w:hAnsi="Calibri" w:cs="Calibri"/>
        </w:rPr>
        <w:t> režimu</w:t>
      </w:r>
      <w:r w:rsidR="00567090">
        <w:rPr>
          <w:rFonts w:ascii="Calibri" w:hAnsi="Calibri" w:cs="Calibri"/>
        </w:rPr>
        <w:t xml:space="preserve"> včetně vyhledávací a kontrolní činnosti DPH v</w:t>
      </w:r>
      <w:r w:rsidR="00A914BA">
        <w:rPr>
          <w:rFonts w:ascii="Calibri" w:hAnsi="Calibri" w:cs="Calibri"/>
        </w:rPr>
        <w:t xml:space="preserve"> tomto </w:t>
      </w:r>
      <w:r w:rsidR="00567090">
        <w:rPr>
          <w:rFonts w:ascii="Calibri" w:hAnsi="Calibri" w:cs="Calibri"/>
        </w:rPr>
        <w:t>režimu.</w:t>
      </w:r>
    </w:p>
    <w:p w14:paraId="1061211F" w14:textId="77777777" w:rsidR="00567090" w:rsidRDefault="00567090" w:rsidP="0097077F">
      <w:pPr>
        <w:spacing w:after="0" w:line="240" w:lineRule="auto"/>
        <w:rPr>
          <w:rFonts w:ascii="Calibri" w:hAnsi="Calibri" w:cs="Calibri"/>
          <w:b/>
          <w:bCs/>
        </w:rPr>
      </w:pPr>
    </w:p>
    <w:p w14:paraId="3A299514" w14:textId="1D7443FE" w:rsidR="0097077F" w:rsidRPr="00861669" w:rsidRDefault="0097077F" w:rsidP="00F16B71">
      <w:pPr>
        <w:keepNext/>
        <w:spacing w:after="0" w:line="240" w:lineRule="auto"/>
        <w:rPr>
          <w:rFonts w:ascii="Calibri" w:hAnsi="Calibri" w:cs="Calibri"/>
          <w:b/>
          <w:bCs/>
        </w:rPr>
      </w:pPr>
      <w:r w:rsidRPr="00861669">
        <w:rPr>
          <w:rFonts w:ascii="Calibri" w:hAnsi="Calibri" w:cs="Calibri"/>
          <w:b/>
          <w:bCs/>
        </w:rPr>
        <w:t>Finanční úřad pro Moravskoslezský kraj</w:t>
      </w:r>
    </w:p>
    <w:p w14:paraId="6848ED4A" w14:textId="2428255E" w:rsidR="0097077F" w:rsidRPr="00861669" w:rsidRDefault="0097077F" w:rsidP="00F16B71">
      <w:pPr>
        <w:pStyle w:val="Odstavecseseznamem"/>
        <w:keepNext/>
        <w:numPr>
          <w:ilvl w:val="0"/>
          <w:numId w:val="25"/>
        </w:numPr>
        <w:spacing w:after="0" w:line="240" w:lineRule="auto"/>
        <w:ind w:left="284" w:hanging="295"/>
        <w:contextualSpacing w:val="0"/>
        <w:rPr>
          <w:rFonts w:ascii="Calibri" w:hAnsi="Calibri" w:cs="Calibri"/>
        </w:rPr>
      </w:pPr>
      <w:r w:rsidRPr="00861669">
        <w:rPr>
          <w:rFonts w:ascii="Calibri" w:hAnsi="Calibri" w:cs="Calibri"/>
        </w:rPr>
        <w:t xml:space="preserve">místně příslušný správce DPH </w:t>
      </w:r>
      <w:r w:rsidR="0042318A">
        <w:rPr>
          <w:rFonts w:ascii="Calibri" w:hAnsi="Calibri" w:cs="Calibri"/>
        </w:rPr>
        <w:t xml:space="preserve">od </w:t>
      </w:r>
      <w:r w:rsidR="0042318A" w:rsidRPr="00861669">
        <w:rPr>
          <w:rFonts w:ascii="Calibri" w:hAnsi="Calibri" w:cs="Calibri"/>
        </w:rPr>
        <w:t>osob</w:t>
      </w:r>
      <w:r w:rsidR="0042318A">
        <w:rPr>
          <w:rFonts w:ascii="Calibri" w:hAnsi="Calibri" w:cs="Calibri"/>
        </w:rPr>
        <w:t xml:space="preserve"> </w:t>
      </w:r>
      <w:r w:rsidRPr="00861669">
        <w:rPr>
          <w:rFonts w:ascii="Calibri" w:hAnsi="Calibri" w:cs="Calibri"/>
        </w:rPr>
        <w:t xml:space="preserve">neusazených </w:t>
      </w:r>
      <w:r>
        <w:rPr>
          <w:rFonts w:ascii="Calibri" w:hAnsi="Calibri" w:cs="Calibri"/>
        </w:rPr>
        <w:t>v ČR,</w:t>
      </w:r>
    </w:p>
    <w:p w14:paraId="7A3FE38A" w14:textId="6477899B" w:rsidR="00567090" w:rsidRPr="00861669" w:rsidRDefault="0097077F" w:rsidP="004D2316">
      <w:pPr>
        <w:pStyle w:val="Odstavecseseznamem"/>
        <w:numPr>
          <w:ilvl w:val="0"/>
          <w:numId w:val="25"/>
        </w:numPr>
        <w:spacing w:after="240" w:line="240" w:lineRule="auto"/>
        <w:ind w:left="284" w:hanging="295"/>
        <w:contextualSpacing w:val="0"/>
        <w:rPr>
          <w:rFonts w:ascii="Calibri" w:hAnsi="Calibri" w:cs="Calibri"/>
        </w:rPr>
      </w:pPr>
      <w:r w:rsidRPr="00567090">
        <w:rPr>
          <w:rFonts w:ascii="Calibri" w:hAnsi="Calibri" w:cs="Calibri"/>
        </w:rPr>
        <w:t>vykonává správu DPH v oblasti neusazených o</w:t>
      </w:r>
      <w:r w:rsidR="00A54E9A" w:rsidRPr="00567090">
        <w:rPr>
          <w:rFonts w:ascii="Calibri" w:hAnsi="Calibri" w:cs="Calibri"/>
        </w:rPr>
        <w:t>sob</w:t>
      </w:r>
      <w:r w:rsidRPr="00567090">
        <w:rPr>
          <w:rFonts w:ascii="Calibri" w:hAnsi="Calibri" w:cs="Calibri"/>
        </w:rPr>
        <w:t xml:space="preserve"> </w:t>
      </w:r>
      <w:r w:rsidR="00567090">
        <w:rPr>
          <w:rFonts w:ascii="Calibri" w:hAnsi="Calibri" w:cs="Calibri"/>
        </w:rPr>
        <w:t>včetně vyhledávací a kontrolní činnosti DPH u neusazených osob v ČR.</w:t>
      </w:r>
    </w:p>
    <w:p w14:paraId="0BF97FA5" w14:textId="77777777" w:rsidR="0097077F" w:rsidRPr="00861669" w:rsidRDefault="0097077F" w:rsidP="0097077F">
      <w:pPr>
        <w:spacing w:after="0" w:line="240" w:lineRule="auto"/>
        <w:rPr>
          <w:rFonts w:ascii="Calibri" w:hAnsi="Calibri" w:cs="Calibri"/>
          <w:b/>
          <w:bCs/>
        </w:rPr>
      </w:pPr>
      <w:r w:rsidRPr="00861669">
        <w:rPr>
          <w:rFonts w:ascii="Calibri" w:hAnsi="Calibri" w:cs="Calibri"/>
          <w:b/>
          <w:bCs/>
        </w:rPr>
        <w:lastRenderedPageBreak/>
        <w:t>Generální ředitelství cel</w:t>
      </w:r>
    </w:p>
    <w:p w14:paraId="7DA2A2FF" w14:textId="77777777" w:rsidR="0097077F" w:rsidRPr="00861669" w:rsidRDefault="0097077F" w:rsidP="0097077F">
      <w:pPr>
        <w:pStyle w:val="Odstavecseseznamem"/>
        <w:numPr>
          <w:ilvl w:val="0"/>
          <w:numId w:val="25"/>
        </w:numPr>
        <w:spacing w:after="0" w:line="240" w:lineRule="auto"/>
        <w:ind w:left="284" w:hanging="295"/>
        <w:contextualSpacing w:val="0"/>
        <w:rPr>
          <w:rFonts w:ascii="Calibri" w:hAnsi="Calibri" w:cs="Calibri"/>
        </w:rPr>
      </w:pPr>
      <w:r w:rsidRPr="00861669">
        <w:rPr>
          <w:rFonts w:ascii="Calibri" w:hAnsi="Calibri" w:cs="Calibri"/>
        </w:rPr>
        <w:t>řídí a kontroluje celní úřady,</w:t>
      </w:r>
    </w:p>
    <w:p w14:paraId="63540A78" w14:textId="77777777" w:rsidR="0097077F" w:rsidRPr="00861669" w:rsidRDefault="0097077F" w:rsidP="0097077F">
      <w:pPr>
        <w:pStyle w:val="Odstavecseseznamem"/>
        <w:numPr>
          <w:ilvl w:val="0"/>
          <w:numId w:val="25"/>
        </w:numPr>
        <w:spacing w:after="0" w:line="240" w:lineRule="auto"/>
        <w:ind w:left="284" w:hanging="295"/>
        <w:contextualSpacing w:val="0"/>
        <w:jc w:val="both"/>
        <w:rPr>
          <w:rFonts w:ascii="Calibri" w:hAnsi="Calibri" w:cs="Calibri"/>
        </w:rPr>
      </w:pPr>
      <w:r w:rsidRPr="00861669">
        <w:rPr>
          <w:rFonts w:ascii="Calibri" w:hAnsi="Calibri" w:cs="Calibri"/>
        </w:rPr>
        <w:t>podílí se na přípravě návrhů právních předpisů a zabezpečování analytických a koncepčních úkolů</w:t>
      </w:r>
      <w:r>
        <w:rPr>
          <w:rFonts w:ascii="Calibri" w:hAnsi="Calibri" w:cs="Calibri"/>
        </w:rPr>
        <w:t>,</w:t>
      </w:r>
    </w:p>
    <w:p w14:paraId="2A2284EC" w14:textId="77777777" w:rsidR="0097077F" w:rsidRPr="00861669" w:rsidRDefault="0097077F" w:rsidP="0097077F">
      <w:pPr>
        <w:pStyle w:val="Odstavecseseznamem"/>
        <w:numPr>
          <w:ilvl w:val="0"/>
          <w:numId w:val="25"/>
        </w:numPr>
        <w:spacing w:after="0" w:line="240" w:lineRule="auto"/>
        <w:ind w:left="284" w:hanging="295"/>
        <w:contextualSpacing w:val="0"/>
        <w:rPr>
          <w:rFonts w:ascii="Calibri" w:hAnsi="Calibri" w:cs="Calibri"/>
        </w:rPr>
      </w:pPr>
      <w:r w:rsidRPr="00861669">
        <w:rPr>
          <w:rFonts w:ascii="Calibri" w:hAnsi="Calibri" w:cs="Calibri"/>
        </w:rPr>
        <w:t>zabezpečuje sběr a zpracování informací o zboží, které bylo propuštěno do celního režimu,</w:t>
      </w:r>
    </w:p>
    <w:p w14:paraId="095217B9" w14:textId="77777777" w:rsidR="0097077F" w:rsidRPr="00861669" w:rsidRDefault="0097077F" w:rsidP="0097077F">
      <w:pPr>
        <w:pStyle w:val="Odstavecseseznamem"/>
        <w:numPr>
          <w:ilvl w:val="0"/>
          <w:numId w:val="25"/>
        </w:numPr>
        <w:spacing w:after="0" w:line="240" w:lineRule="auto"/>
        <w:ind w:left="284" w:hanging="295"/>
        <w:contextualSpacing w:val="0"/>
        <w:rPr>
          <w:rFonts w:ascii="Calibri" w:hAnsi="Calibri" w:cs="Calibri"/>
        </w:rPr>
      </w:pPr>
      <w:r w:rsidRPr="00861669">
        <w:rPr>
          <w:rFonts w:ascii="Calibri" w:hAnsi="Calibri" w:cs="Calibri"/>
        </w:rPr>
        <w:t>plní funkci centrální analytické jednotky pro účely analýzy rizik</w:t>
      </w:r>
      <w:r>
        <w:rPr>
          <w:rFonts w:ascii="Calibri" w:hAnsi="Calibri" w:cs="Calibri"/>
        </w:rPr>
        <w:t>.</w:t>
      </w:r>
    </w:p>
    <w:p w14:paraId="2D64BA59" w14:textId="61965121" w:rsidR="0097077F" w:rsidRDefault="0097077F" w:rsidP="0097077F">
      <w:pPr>
        <w:spacing w:after="0" w:line="240" w:lineRule="auto"/>
        <w:rPr>
          <w:rFonts w:ascii="Calibri" w:hAnsi="Calibri" w:cs="Calibri"/>
        </w:rPr>
      </w:pPr>
    </w:p>
    <w:p w14:paraId="0C4DAD45" w14:textId="77777777" w:rsidR="0097077F" w:rsidRPr="00AD6655" w:rsidRDefault="0097077F" w:rsidP="0097077F">
      <w:pPr>
        <w:spacing w:after="0" w:line="240" w:lineRule="auto"/>
        <w:rPr>
          <w:rFonts w:ascii="Calibri" w:hAnsi="Calibri" w:cs="Calibri"/>
          <w:b/>
          <w:bCs/>
        </w:rPr>
      </w:pPr>
      <w:r w:rsidRPr="00AD6655">
        <w:rPr>
          <w:rFonts w:ascii="Calibri" w:hAnsi="Calibri" w:cs="Calibri"/>
          <w:b/>
          <w:bCs/>
        </w:rPr>
        <w:t>Celní úřad pro Středočeský kraj</w:t>
      </w:r>
    </w:p>
    <w:p w14:paraId="1AFCE7BE" w14:textId="6E32BD4F" w:rsidR="0097077F" w:rsidRPr="00360857" w:rsidRDefault="0097077F" w:rsidP="00567090">
      <w:pPr>
        <w:pStyle w:val="Odstavecseseznamem"/>
        <w:numPr>
          <w:ilvl w:val="0"/>
          <w:numId w:val="25"/>
        </w:numPr>
        <w:spacing w:after="0" w:line="240" w:lineRule="auto"/>
        <w:ind w:left="284" w:hanging="295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je správcem zvláštního režimu při dovozu zboží nízké hodnoty</w:t>
      </w:r>
      <w:r w:rsidR="00567090">
        <w:rPr>
          <w:rFonts w:ascii="Calibri" w:hAnsi="Calibri" w:cs="Calibri"/>
        </w:rPr>
        <w:t>,</w:t>
      </w:r>
    </w:p>
    <w:p w14:paraId="735315EC" w14:textId="60E85020" w:rsidR="0097077F" w:rsidRDefault="0097077F" w:rsidP="0097077F">
      <w:pPr>
        <w:pStyle w:val="Odstavecseseznamem"/>
        <w:numPr>
          <w:ilvl w:val="0"/>
          <w:numId w:val="25"/>
        </w:numPr>
        <w:spacing w:after="0" w:line="240" w:lineRule="auto"/>
        <w:ind w:left="284" w:hanging="295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vykonává správu DPH při dovozu zboží</w:t>
      </w:r>
      <w:r w:rsidR="00495033">
        <w:rPr>
          <w:rFonts w:ascii="Calibri" w:hAnsi="Calibri" w:cs="Calibri"/>
        </w:rPr>
        <w:t xml:space="preserve"> nízké hodnoty mimo dovozní režim</w:t>
      </w:r>
      <w:r>
        <w:rPr>
          <w:rFonts w:ascii="Calibri" w:hAnsi="Calibri" w:cs="Calibri"/>
        </w:rPr>
        <w:t>.</w:t>
      </w:r>
    </w:p>
    <w:p w14:paraId="79801A52" w14:textId="77777777" w:rsidR="00EB6E30" w:rsidRDefault="00EB6E30" w:rsidP="00471CC1">
      <w:pPr>
        <w:pStyle w:val="Odstavecsmalmodsazenm"/>
        <w:spacing w:after="0"/>
        <w:jc w:val="left"/>
        <w:rPr>
          <w:b/>
          <w:bCs/>
          <w:lang w:eastAsia="en-US"/>
        </w:rPr>
      </w:pPr>
    </w:p>
    <w:p w14:paraId="3C73B5BC" w14:textId="332E53E0" w:rsidR="00471CC1" w:rsidRDefault="00471CC1" w:rsidP="00471CC1">
      <w:pPr>
        <w:pStyle w:val="Odstavecsmalmodsazenm"/>
        <w:spacing w:after="0"/>
        <w:jc w:val="left"/>
        <w:rPr>
          <w:lang w:eastAsia="en-US"/>
        </w:rPr>
      </w:pPr>
      <w:r w:rsidRPr="004C4FC6">
        <w:rPr>
          <w:b/>
          <w:bCs/>
          <w:lang w:eastAsia="en-US"/>
        </w:rPr>
        <w:t xml:space="preserve">Graf č. 1: Přehled plateb </w:t>
      </w:r>
      <w:r>
        <w:rPr>
          <w:b/>
          <w:bCs/>
          <w:lang w:eastAsia="en-US"/>
        </w:rPr>
        <w:t xml:space="preserve">DPH </w:t>
      </w:r>
      <w:r w:rsidRPr="004C4FC6">
        <w:rPr>
          <w:b/>
          <w:bCs/>
          <w:lang w:eastAsia="en-US"/>
        </w:rPr>
        <w:t>v</w:t>
      </w:r>
      <w:r w:rsidR="00F76A49">
        <w:rPr>
          <w:b/>
          <w:bCs/>
          <w:lang w:eastAsia="en-US"/>
        </w:rPr>
        <w:t>e zvláštním</w:t>
      </w:r>
      <w:r w:rsidRPr="004C4FC6">
        <w:rPr>
          <w:b/>
          <w:bCs/>
          <w:lang w:eastAsia="en-US"/>
        </w:rPr>
        <w:t xml:space="preserve"> </w:t>
      </w:r>
      <w:r>
        <w:rPr>
          <w:b/>
          <w:bCs/>
          <w:lang w:eastAsia="en-US"/>
        </w:rPr>
        <w:t>režimu</w:t>
      </w:r>
      <w:r w:rsidRPr="004C4FC6">
        <w:rPr>
          <w:b/>
          <w:bCs/>
          <w:lang w:eastAsia="en-US"/>
        </w:rPr>
        <w:t xml:space="preserve"> v letech 2021 až 2024</w:t>
      </w:r>
      <w:r>
        <w:rPr>
          <w:b/>
          <w:bCs/>
          <w:lang w:eastAsia="en-US"/>
        </w:rPr>
        <w:t xml:space="preserve"> (v mil. </w:t>
      </w:r>
      <w:r w:rsidR="0042318A">
        <w:rPr>
          <w:b/>
          <w:bCs/>
          <w:lang w:eastAsia="en-US"/>
        </w:rPr>
        <w:t>€</w:t>
      </w:r>
      <w:r>
        <w:rPr>
          <w:b/>
          <w:bCs/>
          <w:lang w:eastAsia="en-US"/>
        </w:rPr>
        <w:t>)</w:t>
      </w:r>
      <w:r>
        <w:rPr>
          <w:lang w:eastAsia="en-US"/>
        </w:rPr>
        <w:t xml:space="preserve"> </w:t>
      </w:r>
    </w:p>
    <w:p w14:paraId="3E0FBBAC" w14:textId="77777777" w:rsidR="00471CC1" w:rsidRDefault="00471CC1" w:rsidP="00471CC1">
      <w:pPr>
        <w:pStyle w:val="Odstavecsmalmodsazenm"/>
        <w:spacing w:after="0"/>
        <w:jc w:val="left"/>
        <w:rPr>
          <w:lang w:eastAsia="en-US"/>
        </w:rPr>
      </w:pPr>
    </w:p>
    <w:p w14:paraId="7C9F8F2C" w14:textId="77777777" w:rsidR="00471CC1" w:rsidRPr="005E1C24" w:rsidRDefault="00471CC1" w:rsidP="00471CC1">
      <w:pPr>
        <w:pStyle w:val="Odstavecsmalmodsazenm"/>
        <w:spacing w:after="0"/>
        <w:jc w:val="left"/>
        <w:rPr>
          <w:rFonts w:ascii="Times New Roman" w:hAnsi="Times New Roman"/>
        </w:rPr>
      </w:pPr>
      <w:r>
        <w:rPr>
          <w:noProof/>
        </w:rPr>
        <w:drawing>
          <wp:inline distT="0" distB="0" distL="0" distR="0" wp14:anchorId="2D4C8843" wp14:editId="6C143FD0">
            <wp:extent cx="5760720" cy="2317750"/>
            <wp:effectExtent l="0" t="0" r="0" b="6350"/>
            <wp:docPr id="1550245830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D2984B1F-CC9C-2A00-4750-249E5C2E337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10447516" w14:textId="13549238" w:rsidR="00471CC1" w:rsidRPr="008E3D0D" w:rsidRDefault="00471CC1" w:rsidP="00471CC1">
      <w:pPr>
        <w:spacing w:after="0"/>
        <w:rPr>
          <w:rFonts w:cstheme="minorHAnsi"/>
          <w:sz w:val="20"/>
          <w:szCs w:val="20"/>
          <w:lang w:eastAsia="cs-CZ"/>
        </w:rPr>
      </w:pPr>
      <w:r w:rsidRPr="00F16B71">
        <w:rPr>
          <w:rFonts w:cstheme="minorHAnsi"/>
          <w:b/>
          <w:bCs/>
          <w:sz w:val="20"/>
          <w:szCs w:val="20"/>
          <w:lang w:eastAsia="cs-CZ"/>
        </w:rPr>
        <w:t>Zdroj:</w:t>
      </w:r>
      <w:r>
        <w:rPr>
          <w:rFonts w:cstheme="minorHAnsi"/>
          <w:sz w:val="20"/>
          <w:szCs w:val="20"/>
          <w:lang w:eastAsia="cs-CZ"/>
        </w:rPr>
        <w:t xml:space="preserve"> </w:t>
      </w:r>
      <w:r w:rsidR="0042318A">
        <w:rPr>
          <w:rFonts w:cstheme="minorHAnsi"/>
          <w:sz w:val="20"/>
          <w:szCs w:val="20"/>
          <w:lang w:eastAsia="cs-CZ"/>
        </w:rPr>
        <w:t>v</w:t>
      </w:r>
      <w:r>
        <w:rPr>
          <w:rFonts w:cstheme="minorHAnsi"/>
          <w:sz w:val="20"/>
          <w:szCs w:val="20"/>
          <w:lang w:eastAsia="cs-CZ"/>
        </w:rPr>
        <w:t>lastní zpracování NKÚ</w:t>
      </w:r>
      <w:r w:rsidR="00F76A49">
        <w:rPr>
          <w:rFonts w:cstheme="minorHAnsi"/>
          <w:sz w:val="20"/>
          <w:szCs w:val="20"/>
          <w:lang w:eastAsia="cs-CZ"/>
        </w:rPr>
        <w:t>.</w:t>
      </w:r>
    </w:p>
    <w:p w14:paraId="7440DD65" w14:textId="77777777" w:rsidR="004307E5" w:rsidRDefault="004307E5" w:rsidP="00094860">
      <w:pPr>
        <w:spacing w:after="0"/>
      </w:pPr>
    </w:p>
    <w:p w14:paraId="3B54BA16" w14:textId="527C808C" w:rsidR="00471CC1" w:rsidRDefault="004307E5" w:rsidP="004D2316">
      <w:pPr>
        <w:spacing w:after="0" w:line="240" w:lineRule="auto"/>
        <w:jc w:val="both"/>
      </w:pPr>
      <w:r>
        <w:t xml:space="preserve">V období od 1. </w:t>
      </w:r>
      <w:r w:rsidR="005F4419">
        <w:t>7</w:t>
      </w:r>
      <w:r>
        <w:t>. 2021 do 31. 12. 2024 byla v rámci zvláštního režimu z ČR do jiných členských států převedena daň v celkové výši 1</w:t>
      </w:r>
      <w:r w:rsidR="005F4419">
        <w:t> 062 239 040</w:t>
      </w:r>
      <w:r>
        <w:t xml:space="preserve"> eur</w:t>
      </w:r>
      <w:r w:rsidRPr="00E06D5C">
        <w:t xml:space="preserve">. ČR od jiných členských států za shodné období obdržela daň </w:t>
      </w:r>
      <w:r w:rsidR="0042318A">
        <w:t xml:space="preserve">z přidané hodnoty </w:t>
      </w:r>
      <w:r w:rsidRPr="00E06D5C">
        <w:t>v celkové výši 1</w:t>
      </w:r>
      <w:r w:rsidR="005F4419">
        <w:t> 279 839 739</w:t>
      </w:r>
      <w:r w:rsidRPr="00E06D5C">
        <w:t xml:space="preserve"> </w:t>
      </w:r>
      <w:r>
        <w:t>eur</w:t>
      </w:r>
      <w:r w:rsidRPr="00E06D5C">
        <w:t>.</w:t>
      </w:r>
    </w:p>
    <w:p w14:paraId="5A2F002B" w14:textId="77777777" w:rsidR="004D2316" w:rsidRPr="00471CC1" w:rsidRDefault="004D2316" w:rsidP="004D2316">
      <w:pPr>
        <w:spacing w:after="0" w:line="240" w:lineRule="auto"/>
        <w:jc w:val="both"/>
        <w:rPr>
          <w:rFonts w:ascii="Calibri" w:hAnsi="Calibri" w:cs="Calibri"/>
          <w:b/>
          <w:bCs/>
        </w:rPr>
      </w:pPr>
    </w:p>
    <w:p w14:paraId="3F112780" w14:textId="2E7A19A7" w:rsidR="00722C30" w:rsidRPr="008F7A56" w:rsidRDefault="005F4419" w:rsidP="008F7A56">
      <w:pPr>
        <w:spacing w:line="240" w:lineRule="auto"/>
        <w:jc w:val="both"/>
        <w:rPr>
          <w:rFonts w:ascii="Calibri" w:hAnsi="Calibri" w:cs="Calibri"/>
          <w:b/>
          <w:bCs/>
        </w:rPr>
      </w:pPr>
      <w:r>
        <w:t xml:space="preserve">Kontrolou daně z přidané hodnoty při dovozu zboží se zabýval </w:t>
      </w:r>
      <w:r w:rsidR="00AB50A0" w:rsidRPr="00313E6C">
        <w:t>Evropsk</w:t>
      </w:r>
      <w:r w:rsidR="00AB50A0">
        <w:t>ý</w:t>
      </w:r>
      <w:r w:rsidR="00AB50A0" w:rsidRPr="00313E6C">
        <w:t xml:space="preserve"> účetní d</w:t>
      </w:r>
      <w:r w:rsidR="00AB50A0">
        <w:t>vůr</w:t>
      </w:r>
      <w:r w:rsidR="00AB50A0" w:rsidRPr="00313E6C">
        <w:t xml:space="preserve"> ve </w:t>
      </w:r>
      <w:r w:rsidR="0042318A">
        <w:t>z</w:t>
      </w:r>
      <w:r w:rsidR="00AB50A0" w:rsidRPr="00313E6C">
        <w:t>vláštní zprávě č. 08/2025</w:t>
      </w:r>
      <w:r w:rsidR="00AB50A0">
        <w:rPr>
          <w:rStyle w:val="Znakapoznpodarou"/>
          <w:rFonts w:cstheme="minorHAnsi"/>
        </w:rPr>
        <w:footnoteReference w:id="17"/>
      </w:r>
      <w:r>
        <w:t xml:space="preserve">. </w:t>
      </w:r>
      <w:r w:rsidR="007764C5">
        <w:t xml:space="preserve">Evropský účetní dvůr mj. konstatoval, že spolupráce mezi členskými státy EU a nástroje pro kontrolu dovozního režimu vykazovaly nedostatky, které neumožňovaly členským státům zajistit výběr DPH v dovozním režimu ve správné výši. </w:t>
      </w:r>
    </w:p>
    <w:p w14:paraId="22BCBAC2" w14:textId="77777777" w:rsidR="00722C30" w:rsidRPr="00832A6B" w:rsidRDefault="00722C30" w:rsidP="00F16B71">
      <w:pPr>
        <w:pStyle w:val="Odstavecseseznamem"/>
        <w:ind w:left="0"/>
        <w:rPr>
          <w:rFonts w:ascii="Calibri" w:hAnsi="Calibri" w:cs="Calibri"/>
          <w:b/>
          <w:bCs/>
        </w:rPr>
      </w:pPr>
    </w:p>
    <w:p w14:paraId="458D29FC" w14:textId="77777777" w:rsidR="004E6D35" w:rsidRDefault="004E6D35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br w:type="page"/>
      </w:r>
    </w:p>
    <w:p w14:paraId="07263879" w14:textId="68314767" w:rsidR="003D62C7" w:rsidRPr="003D62C7" w:rsidRDefault="003D62C7" w:rsidP="003D62C7">
      <w:pPr>
        <w:pStyle w:val="Odstavecseseznamem"/>
        <w:numPr>
          <w:ilvl w:val="0"/>
          <w:numId w:val="24"/>
        </w:numPr>
        <w:spacing w:line="259" w:lineRule="auto"/>
        <w:ind w:left="426" w:hanging="142"/>
        <w:jc w:val="center"/>
        <w:rPr>
          <w:rFonts w:ascii="Calibri" w:hAnsi="Calibri" w:cs="Calibri"/>
          <w:b/>
          <w:bCs/>
          <w:sz w:val="28"/>
          <w:szCs w:val="28"/>
        </w:rPr>
      </w:pPr>
      <w:r w:rsidRPr="003D62C7">
        <w:rPr>
          <w:rFonts w:ascii="Calibri" w:hAnsi="Calibri" w:cs="Calibri"/>
          <w:b/>
          <w:bCs/>
          <w:sz w:val="28"/>
          <w:szCs w:val="28"/>
        </w:rPr>
        <w:lastRenderedPageBreak/>
        <w:t>Rozsah kontroly</w:t>
      </w:r>
    </w:p>
    <w:p w14:paraId="1B1D7C5F" w14:textId="1D7B45E5" w:rsidR="007B2BFE" w:rsidRPr="0027406C" w:rsidRDefault="003D62C7" w:rsidP="0027406C">
      <w:pPr>
        <w:spacing w:after="0" w:line="240" w:lineRule="auto"/>
        <w:jc w:val="both"/>
        <w:rPr>
          <w:rFonts w:ascii="Calibri" w:hAnsi="Calibri" w:cs="Calibri"/>
        </w:rPr>
      </w:pPr>
      <w:r w:rsidRPr="00ED207C">
        <w:rPr>
          <w:rFonts w:ascii="Calibri" w:hAnsi="Calibri" w:cs="Calibri"/>
        </w:rPr>
        <w:t>Cílem kontroly NKÚ bylo prověřit, zda</w:t>
      </w:r>
      <w:r>
        <w:rPr>
          <w:rFonts w:ascii="Calibri" w:hAnsi="Calibri" w:cs="Calibri"/>
        </w:rPr>
        <w:t xml:space="preserve"> </w:t>
      </w:r>
      <w:r w:rsidR="00C027FB">
        <w:rPr>
          <w:rFonts w:ascii="Calibri" w:hAnsi="Calibri" w:cs="Calibri"/>
        </w:rPr>
        <w:t>MF</w:t>
      </w:r>
      <w:r w:rsidRPr="00ED207C">
        <w:rPr>
          <w:rFonts w:ascii="Calibri" w:hAnsi="Calibri" w:cs="Calibri"/>
        </w:rPr>
        <w:t xml:space="preserve">, </w:t>
      </w:r>
      <w:r w:rsidR="00C027FB">
        <w:rPr>
          <w:rFonts w:ascii="Calibri" w:hAnsi="Calibri" w:cs="Calibri"/>
        </w:rPr>
        <w:t>GFŘ</w:t>
      </w:r>
      <w:r w:rsidRPr="00ED207C">
        <w:rPr>
          <w:rFonts w:ascii="Calibri" w:hAnsi="Calibri" w:cs="Calibri"/>
        </w:rPr>
        <w:t xml:space="preserve"> a </w:t>
      </w:r>
      <w:r w:rsidR="00C027FB">
        <w:rPr>
          <w:rFonts w:ascii="Calibri" w:hAnsi="Calibri" w:cs="Calibri"/>
        </w:rPr>
        <w:t>GŘC</w:t>
      </w:r>
      <w:r w:rsidRPr="00ED207C">
        <w:rPr>
          <w:rFonts w:ascii="Calibri" w:hAnsi="Calibri" w:cs="Calibri"/>
        </w:rPr>
        <w:t xml:space="preserve"> nastavily účelný systém správy DPH se zaměřením na oblast </w:t>
      </w:r>
      <w:r>
        <w:rPr>
          <w:rFonts w:ascii="Calibri" w:hAnsi="Calibri" w:cs="Calibri"/>
        </w:rPr>
        <w:t>p</w:t>
      </w:r>
      <w:r w:rsidRPr="00ED207C">
        <w:rPr>
          <w:rFonts w:ascii="Calibri" w:hAnsi="Calibri" w:cs="Calibri"/>
        </w:rPr>
        <w:t>řeshraničního elektronického obchodování, tzv. e-</w:t>
      </w:r>
      <w:proofErr w:type="spellStart"/>
      <w:r w:rsidRPr="00ED207C">
        <w:rPr>
          <w:rFonts w:ascii="Calibri" w:hAnsi="Calibri" w:cs="Calibri"/>
        </w:rPr>
        <w:t>commerce</w:t>
      </w:r>
      <w:proofErr w:type="spellEnd"/>
      <w:r w:rsidRPr="00ED207C">
        <w:rPr>
          <w:rFonts w:ascii="Calibri" w:hAnsi="Calibri" w:cs="Calibri"/>
        </w:rPr>
        <w:t xml:space="preserve">, a zda </w:t>
      </w:r>
      <w:r>
        <w:rPr>
          <w:rFonts w:ascii="Calibri" w:hAnsi="Calibri" w:cs="Calibri"/>
        </w:rPr>
        <w:t>byl</w:t>
      </w:r>
      <w:r w:rsidRPr="00ED207C">
        <w:rPr>
          <w:rFonts w:ascii="Calibri" w:hAnsi="Calibri" w:cs="Calibri"/>
        </w:rPr>
        <w:t xml:space="preserve"> postup finančních a celních orgánů při správě </w:t>
      </w:r>
      <w:r>
        <w:rPr>
          <w:rFonts w:ascii="Calibri" w:hAnsi="Calibri" w:cs="Calibri"/>
        </w:rPr>
        <w:t>DPH</w:t>
      </w:r>
      <w:r w:rsidRPr="00ED207C">
        <w:rPr>
          <w:rFonts w:ascii="Calibri" w:hAnsi="Calibri" w:cs="Calibri"/>
        </w:rPr>
        <w:t xml:space="preserve"> v souladu s právními předpisy.</w:t>
      </w:r>
    </w:p>
    <w:p w14:paraId="07783B74" w14:textId="77777777" w:rsidR="007B2BFE" w:rsidRDefault="007B2BFE" w:rsidP="00A90477">
      <w:pPr>
        <w:pStyle w:val="Bezmezer"/>
        <w:jc w:val="both"/>
        <w:rPr>
          <w:bCs/>
        </w:rPr>
      </w:pPr>
    </w:p>
    <w:p w14:paraId="1CD3DC8A" w14:textId="60640EAC" w:rsidR="00A90477" w:rsidRDefault="0042318A" w:rsidP="00A90477">
      <w:pPr>
        <w:pStyle w:val="Bezmezer"/>
        <w:jc w:val="both"/>
        <w:rPr>
          <w:bCs/>
        </w:rPr>
      </w:pPr>
      <w:r>
        <w:rPr>
          <w:bCs/>
        </w:rPr>
        <w:t>NKÚ z</w:t>
      </w:r>
      <w:r w:rsidR="00A90477">
        <w:rPr>
          <w:bCs/>
        </w:rPr>
        <w:t>a účelem naplnění cíle a předmětu kontroly ověřoval:</w:t>
      </w:r>
    </w:p>
    <w:p w14:paraId="0CBA7A41" w14:textId="7993CE99" w:rsidR="00A90477" w:rsidRPr="00A90477" w:rsidRDefault="00A90477" w:rsidP="00A90477">
      <w:pPr>
        <w:pStyle w:val="Bezmezer"/>
        <w:numPr>
          <w:ilvl w:val="0"/>
          <w:numId w:val="40"/>
        </w:numPr>
        <w:jc w:val="both"/>
      </w:pPr>
      <w:r>
        <w:rPr>
          <w:bCs/>
        </w:rPr>
        <w:t>s</w:t>
      </w:r>
      <w:r w:rsidRPr="000E597D">
        <w:rPr>
          <w:bCs/>
        </w:rPr>
        <w:t>práv</w:t>
      </w:r>
      <w:r>
        <w:rPr>
          <w:bCs/>
        </w:rPr>
        <w:t>u</w:t>
      </w:r>
      <w:r w:rsidRPr="000E597D">
        <w:rPr>
          <w:bCs/>
        </w:rPr>
        <w:t xml:space="preserve"> daně z přidané hodnoty </w:t>
      </w:r>
      <w:r w:rsidR="0042318A">
        <w:rPr>
          <w:bCs/>
        </w:rPr>
        <w:t>v</w:t>
      </w:r>
      <w:r w:rsidRPr="000E597D">
        <w:rPr>
          <w:bCs/>
        </w:rPr>
        <w:t xml:space="preserve"> oblast</w:t>
      </w:r>
      <w:r w:rsidR="0042318A">
        <w:rPr>
          <w:bCs/>
        </w:rPr>
        <w:t>i</w:t>
      </w:r>
      <w:r w:rsidRPr="000E597D">
        <w:rPr>
          <w:bCs/>
        </w:rPr>
        <w:t xml:space="preserve"> přeshraničního elektronického obchodování, zejména po zavedení nových pravidel pro </w:t>
      </w:r>
      <w:r w:rsidR="00F76A49">
        <w:rPr>
          <w:bCs/>
        </w:rPr>
        <w:t>DPH</w:t>
      </w:r>
      <w:r w:rsidRPr="000E597D">
        <w:rPr>
          <w:bCs/>
        </w:rPr>
        <w:t xml:space="preserve"> účinných od 1. 10. 2021 použitelných na přeshraniční elektronické obchodování</w:t>
      </w:r>
      <w:r>
        <w:rPr>
          <w:bCs/>
        </w:rPr>
        <w:t xml:space="preserve">; </w:t>
      </w:r>
    </w:p>
    <w:p w14:paraId="76F7CC58" w14:textId="2D903E69" w:rsidR="00A90477" w:rsidRPr="00A90477" w:rsidRDefault="00A90477" w:rsidP="00A90477">
      <w:pPr>
        <w:pStyle w:val="Bezmezer"/>
        <w:numPr>
          <w:ilvl w:val="0"/>
          <w:numId w:val="40"/>
        </w:numPr>
        <w:jc w:val="both"/>
      </w:pPr>
      <w:r>
        <w:rPr>
          <w:bCs/>
        </w:rPr>
        <w:t xml:space="preserve">nastavení </w:t>
      </w:r>
      <w:r w:rsidR="00C027FB">
        <w:rPr>
          <w:bCs/>
        </w:rPr>
        <w:t xml:space="preserve">a využívání </w:t>
      </w:r>
      <w:r>
        <w:rPr>
          <w:bCs/>
        </w:rPr>
        <w:t xml:space="preserve">kontrolních mechanismů při správě </w:t>
      </w:r>
      <w:r w:rsidR="00D239BE">
        <w:rPr>
          <w:bCs/>
        </w:rPr>
        <w:t>DPH</w:t>
      </w:r>
      <w:r>
        <w:rPr>
          <w:bCs/>
        </w:rPr>
        <w:t xml:space="preserve"> v oblasti přeshraničního elektronického obchodování; </w:t>
      </w:r>
    </w:p>
    <w:p w14:paraId="660FD813" w14:textId="11B71CD0" w:rsidR="00A90477" w:rsidRPr="00A90477" w:rsidRDefault="00A90477" w:rsidP="00A90477">
      <w:pPr>
        <w:pStyle w:val="Bezmezer"/>
        <w:numPr>
          <w:ilvl w:val="0"/>
          <w:numId w:val="40"/>
        </w:numPr>
        <w:jc w:val="both"/>
      </w:pPr>
      <w:r>
        <w:rPr>
          <w:bCs/>
        </w:rPr>
        <w:t xml:space="preserve">organizační a technické zabezpečení správy </w:t>
      </w:r>
      <w:r w:rsidR="00D239BE">
        <w:rPr>
          <w:bCs/>
        </w:rPr>
        <w:t>DPH</w:t>
      </w:r>
      <w:r>
        <w:rPr>
          <w:bCs/>
        </w:rPr>
        <w:t xml:space="preserve">; </w:t>
      </w:r>
    </w:p>
    <w:p w14:paraId="3A7AF659" w14:textId="38D902CC" w:rsidR="00A90477" w:rsidRPr="000E597D" w:rsidRDefault="00A90477" w:rsidP="00A90477">
      <w:pPr>
        <w:pStyle w:val="Bezmezer"/>
        <w:numPr>
          <w:ilvl w:val="0"/>
          <w:numId w:val="40"/>
        </w:numPr>
        <w:jc w:val="both"/>
      </w:pPr>
      <w:r>
        <w:rPr>
          <w:bCs/>
        </w:rPr>
        <w:t xml:space="preserve">využívání správní spolupráce při správě </w:t>
      </w:r>
      <w:r w:rsidR="00D239BE">
        <w:rPr>
          <w:bCs/>
        </w:rPr>
        <w:t>DPH</w:t>
      </w:r>
      <w:r>
        <w:rPr>
          <w:bCs/>
        </w:rPr>
        <w:t xml:space="preserve"> se zaměřením na oblast přeshraničního elektronického obchodování.</w:t>
      </w:r>
    </w:p>
    <w:p w14:paraId="17F8AFBF" w14:textId="77777777" w:rsidR="00A90477" w:rsidRDefault="00A90477" w:rsidP="00736E07">
      <w:pPr>
        <w:spacing w:after="0" w:line="240" w:lineRule="auto"/>
        <w:jc w:val="both"/>
      </w:pPr>
    </w:p>
    <w:p w14:paraId="727AEA8C" w14:textId="4C44F4CC" w:rsidR="003D62C7" w:rsidRDefault="00046C6B" w:rsidP="00F724EE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</w:t>
      </w:r>
      <w:r w:rsidR="003D62C7" w:rsidRPr="00DB6A34">
        <w:rPr>
          <w:rFonts w:ascii="Calibri" w:hAnsi="Calibri" w:cs="Calibri"/>
        </w:rPr>
        <w:t xml:space="preserve">ystém správy DPH v oblasti přeshraničního elektronického obchodování v ČR </w:t>
      </w:r>
      <w:r>
        <w:rPr>
          <w:rFonts w:ascii="Calibri" w:hAnsi="Calibri" w:cs="Calibri"/>
        </w:rPr>
        <w:t xml:space="preserve">byl </w:t>
      </w:r>
      <w:r w:rsidR="000D18CD">
        <w:rPr>
          <w:rFonts w:ascii="Calibri" w:hAnsi="Calibri" w:cs="Calibri"/>
        </w:rPr>
        <w:t xml:space="preserve">pro </w:t>
      </w:r>
      <w:r w:rsidR="005D4FA4">
        <w:rPr>
          <w:rFonts w:ascii="Calibri" w:hAnsi="Calibri" w:cs="Calibri"/>
        </w:rPr>
        <w:t>potřeby</w:t>
      </w:r>
      <w:r w:rsidR="000D18CD">
        <w:rPr>
          <w:rFonts w:ascii="Calibri" w:hAnsi="Calibri" w:cs="Calibri"/>
        </w:rPr>
        <w:t xml:space="preserve"> kontroly </w:t>
      </w:r>
      <w:r w:rsidR="005D4FA4">
        <w:rPr>
          <w:rFonts w:ascii="Calibri" w:hAnsi="Calibri" w:cs="Calibri"/>
        </w:rPr>
        <w:t xml:space="preserve">považován za </w:t>
      </w:r>
      <w:r w:rsidR="00D677FD">
        <w:rPr>
          <w:rFonts w:ascii="Calibri" w:hAnsi="Calibri" w:cs="Calibri"/>
        </w:rPr>
        <w:t>účelný</w:t>
      </w:r>
      <w:r>
        <w:rPr>
          <w:rFonts w:ascii="Calibri" w:hAnsi="Calibri" w:cs="Calibri"/>
        </w:rPr>
        <w:t xml:space="preserve">, </w:t>
      </w:r>
      <w:r w:rsidR="00D677FD">
        <w:rPr>
          <w:rFonts w:ascii="Calibri" w:hAnsi="Calibri" w:cs="Calibri"/>
        </w:rPr>
        <w:t>pokud peněžní prostředky vynaložené v</w:t>
      </w:r>
      <w:r w:rsidR="005D4FA4">
        <w:rPr>
          <w:rFonts w:ascii="Calibri" w:hAnsi="Calibri" w:cs="Calibri"/>
        </w:rPr>
        <w:t xml:space="preserve"> </w:t>
      </w:r>
      <w:r w:rsidR="00D677FD">
        <w:rPr>
          <w:rFonts w:ascii="Calibri" w:hAnsi="Calibri" w:cs="Calibri"/>
        </w:rPr>
        <w:t>souvislosti s</w:t>
      </w:r>
      <w:r w:rsidR="005D4FA4">
        <w:rPr>
          <w:rFonts w:ascii="Calibri" w:hAnsi="Calibri" w:cs="Calibri"/>
        </w:rPr>
        <w:t xml:space="preserve"> </w:t>
      </w:r>
      <w:r w:rsidR="00D677FD">
        <w:rPr>
          <w:rFonts w:ascii="Calibri" w:hAnsi="Calibri" w:cs="Calibri"/>
        </w:rPr>
        <w:t xml:space="preserve">touto správou vedly </w:t>
      </w:r>
      <w:r w:rsidR="003D62C7" w:rsidRPr="00DB6A34">
        <w:rPr>
          <w:rFonts w:ascii="Calibri" w:hAnsi="Calibri" w:cs="Calibri"/>
        </w:rPr>
        <w:t>k</w:t>
      </w:r>
      <w:r w:rsidR="00D677FD">
        <w:rPr>
          <w:rFonts w:ascii="Calibri" w:hAnsi="Calibri" w:cs="Calibri"/>
        </w:rPr>
        <w:t xml:space="preserve"> naplnění cíle správy</w:t>
      </w:r>
      <w:r w:rsidR="003D62C7" w:rsidRPr="00DB6A34">
        <w:rPr>
          <w:rFonts w:ascii="Calibri" w:hAnsi="Calibri" w:cs="Calibri"/>
        </w:rPr>
        <w:t xml:space="preserve"> DPH</w:t>
      </w:r>
      <w:r w:rsidR="00D677FD">
        <w:rPr>
          <w:rFonts w:ascii="Calibri" w:hAnsi="Calibri" w:cs="Calibri"/>
        </w:rPr>
        <w:t xml:space="preserve"> </w:t>
      </w:r>
      <w:r w:rsidR="000D18CD">
        <w:rPr>
          <w:rFonts w:ascii="Calibri" w:hAnsi="Calibri" w:cs="Calibri"/>
        </w:rPr>
        <w:t xml:space="preserve">a předpokládaných dopadů </w:t>
      </w:r>
      <w:r w:rsidR="00D677FD">
        <w:rPr>
          <w:rFonts w:ascii="Calibri" w:hAnsi="Calibri" w:cs="Calibri"/>
        </w:rPr>
        <w:t xml:space="preserve">nových opatření </w:t>
      </w:r>
      <w:r w:rsidR="0042318A">
        <w:rPr>
          <w:rFonts w:ascii="Calibri" w:hAnsi="Calibri" w:cs="Calibri"/>
        </w:rPr>
        <w:t xml:space="preserve">zavedených </w:t>
      </w:r>
      <w:r w:rsidR="00D677FD">
        <w:rPr>
          <w:rFonts w:ascii="Calibri" w:hAnsi="Calibri" w:cs="Calibri"/>
        </w:rPr>
        <w:t>v této oblasti</w:t>
      </w:r>
      <w:r w:rsidR="00D677FD" w:rsidRPr="00D677FD">
        <w:rPr>
          <w:rFonts w:ascii="Calibri" w:hAnsi="Calibri" w:cs="Calibri"/>
        </w:rPr>
        <w:t xml:space="preserve"> </w:t>
      </w:r>
      <w:r w:rsidR="00D677FD">
        <w:rPr>
          <w:rFonts w:ascii="Calibri" w:hAnsi="Calibri" w:cs="Calibri"/>
        </w:rPr>
        <w:t>balíčkem e-</w:t>
      </w:r>
      <w:proofErr w:type="spellStart"/>
      <w:r w:rsidR="00D677FD">
        <w:rPr>
          <w:rFonts w:ascii="Calibri" w:hAnsi="Calibri" w:cs="Calibri"/>
        </w:rPr>
        <w:t>commerce</w:t>
      </w:r>
      <w:proofErr w:type="spellEnd"/>
      <w:r w:rsidR="00D677FD">
        <w:rPr>
          <w:rFonts w:ascii="Calibri" w:hAnsi="Calibri" w:cs="Calibri"/>
        </w:rPr>
        <w:t>.</w:t>
      </w:r>
      <w:r w:rsidR="003D62C7" w:rsidRPr="00DB6A34">
        <w:rPr>
          <w:rFonts w:ascii="Calibri" w:hAnsi="Calibri" w:cs="Calibri"/>
        </w:rPr>
        <w:t xml:space="preserve"> </w:t>
      </w:r>
    </w:p>
    <w:p w14:paraId="5F0B8CB8" w14:textId="77777777" w:rsidR="00F56A2B" w:rsidRDefault="00F56A2B" w:rsidP="00F724EE">
      <w:pPr>
        <w:spacing w:after="0" w:line="240" w:lineRule="auto"/>
        <w:jc w:val="both"/>
        <w:rPr>
          <w:rFonts w:ascii="Calibri" w:hAnsi="Calibri" w:cs="Calibri"/>
        </w:rPr>
      </w:pPr>
    </w:p>
    <w:p w14:paraId="60E670CA" w14:textId="400A0701" w:rsidR="00FD2D51" w:rsidRDefault="00FD2D51" w:rsidP="00FD2D51">
      <w:pPr>
        <w:spacing w:after="0" w:line="240" w:lineRule="auto"/>
        <w:jc w:val="both"/>
      </w:pPr>
      <w:r>
        <w:t>Orgány Finanční správy ČR (dále také „FS ČR“) a CS ČR v </w:t>
      </w:r>
      <w:r w:rsidRPr="00FF359B">
        <w:t>souvislosti s</w:t>
      </w:r>
      <w:r>
        <w:t> novými p</w:t>
      </w:r>
      <w:r w:rsidRPr="005D4EF9">
        <w:t>ravidl</w:t>
      </w:r>
      <w:r>
        <w:t>y</w:t>
      </w:r>
      <w:r w:rsidRPr="005D4EF9">
        <w:t xml:space="preserve"> pro přeshraniční prodej zboží koncovým spotřebitelům</w:t>
      </w:r>
      <w:r>
        <w:t xml:space="preserve"> vynaložily v letech 2021 až 2024 peněžní prostředky v minimální výši 394 799 538 Kč. Tyto peněžní prostředky zahrnovaly výdaje na rozvoj a úpravu informačních systémů využívaných orgány FS ČR a CS ČR a výdaje </w:t>
      </w:r>
      <w:r w:rsidR="00E44AD8">
        <w:t xml:space="preserve">na platy </w:t>
      </w:r>
      <w:r>
        <w:t xml:space="preserve">související se zabezpečením výkonu správy DPH. </w:t>
      </w:r>
    </w:p>
    <w:p w14:paraId="7084E6CE" w14:textId="77777777" w:rsidR="003D62C7" w:rsidRPr="005715C0" w:rsidRDefault="003D62C7" w:rsidP="003D62C7">
      <w:pPr>
        <w:spacing w:after="0" w:line="240" w:lineRule="auto"/>
        <w:jc w:val="both"/>
        <w:rPr>
          <w:rFonts w:ascii="Calibri" w:hAnsi="Calibri" w:cs="Calibri"/>
        </w:rPr>
      </w:pPr>
    </w:p>
    <w:p w14:paraId="0C58F4BB" w14:textId="77777777" w:rsidR="003D62C7" w:rsidRPr="00360857" w:rsidRDefault="003D62C7" w:rsidP="003D62C7">
      <w:pPr>
        <w:spacing w:after="0" w:line="240" w:lineRule="auto"/>
        <w:jc w:val="both"/>
        <w:rPr>
          <w:rFonts w:ascii="Calibri" w:hAnsi="Calibri" w:cs="Calibri"/>
        </w:rPr>
      </w:pPr>
      <w:r w:rsidRPr="00C05394">
        <w:rPr>
          <w:rFonts w:ascii="Calibri" w:hAnsi="Calibri" w:cs="Calibri"/>
        </w:rPr>
        <w:t>Kontrolováno bylo období let 2021 až 2025 a v případě věcných souvislostí i období předcházející.</w:t>
      </w:r>
    </w:p>
    <w:p w14:paraId="235CA51C" w14:textId="77777777" w:rsidR="003D62C7" w:rsidRDefault="003D62C7" w:rsidP="00D835EB">
      <w:pPr>
        <w:spacing w:after="0" w:line="240" w:lineRule="auto"/>
        <w:jc w:val="both"/>
        <w:rPr>
          <w:b/>
          <w:bCs/>
        </w:rPr>
      </w:pPr>
    </w:p>
    <w:p w14:paraId="081D030B" w14:textId="6637C05E" w:rsidR="00DA367A" w:rsidRDefault="00DA367A" w:rsidP="00DA367A">
      <w:pPr>
        <w:spacing w:after="120" w:line="264" w:lineRule="auto"/>
        <w:ind w:left="567" w:hanging="567"/>
        <w:jc w:val="both"/>
        <w:rPr>
          <w:rFonts w:cstheme="minorHAnsi"/>
          <w:bCs/>
          <w:sz w:val="20"/>
        </w:rPr>
      </w:pPr>
      <w:r w:rsidRPr="00C47E97">
        <w:rPr>
          <w:rFonts w:cstheme="minorHAnsi"/>
          <w:b/>
          <w:bCs/>
          <w:sz w:val="20"/>
        </w:rPr>
        <w:t>Pozn.:</w:t>
      </w:r>
      <w:r w:rsidRPr="00C47E97">
        <w:rPr>
          <w:rFonts w:cstheme="minorHAnsi"/>
          <w:bCs/>
          <w:sz w:val="20"/>
        </w:rPr>
        <w:t xml:space="preserve"> </w:t>
      </w:r>
      <w:r w:rsidRPr="00C47E97">
        <w:rPr>
          <w:rFonts w:cstheme="minorHAnsi"/>
          <w:bCs/>
          <w:sz w:val="20"/>
        </w:rPr>
        <w:tab/>
        <w:t>Právní předpisy uvedené v tomto kontrolním závěru jsou aplikovány ve znění účinném pro kontrolované období.</w:t>
      </w:r>
      <w:r w:rsidR="000572D2">
        <w:rPr>
          <w:rFonts w:cstheme="minorHAnsi"/>
          <w:bCs/>
          <w:sz w:val="20"/>
        </w:rPr>
        <w:t xml:space="preserve"> </w:t>
      </w:r>
    </w:p>
    <w:p w14:paraId="1F9A9398" w14:textId="33719A80" w:rsidR="00094860" w:rsidRDefault="00094860">
      <w:pPr>
        <w:rPr>
          <w:b/>
          <w:bCs/>
        </w:rPr>
      </w:pPr>
    </w:p>
    <w:p w14:paraId="7D9861E0" w14:textId="69B639BB" w:rsidR="003C54A0" w:rsidRDefault="003C54A0" w:rsidP="00D835EB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5D4EF9">
        <w:rPr>
          <w:b/>
          <w:bCs/>
          <w:sz w:val="28"/>
          <w:szCs w:val="28"/>
        </w:rPr>
        <w:t>IV. Podrobné skutečnosti zjištěné kontrolou</w:t>
      </w:r>
    </w:p>
    <w:p w14:paraId="12F952FA" w14:textId="77777777" w:rsidR="00D835EB" w:rsidRPr="00BA144D" w:rsidRDefault="00D835EB" w:rsidP="00BA144D">
      <w:pPr>
        <w:spacing w:after="0" w:line="240" w:lineRule="auto"/>
        <w:jc w:val="both"/>
      </w:pPr>
    </w:p>
    <w:p w14:paraId="52FE9FB0" w14:textId="53110521" w:rsidR="00D179BD" w:rsidRPr="002C077D" w:rsidRDefault="00D179BD" w:rsidP="00313E6C">
      <w:pPr>
        <w:pStyle w:val="Odstavecseseznamem"/>
        <w:numPr>
          <w:ilvl w:val="0"/>
          <w:numId w:val="54"/>
        </w:numPr>
        <w:spacing w:line="240" w:lineRule="auto"/>
        <w:jc w:val="both"/>
        <w:rPr>
          <w:b/>
          <w:bCs/>
        </w:rPr>
      </w:pPr>
      <w:r>
        <w:rPr>
          <w:b/>
          <w:bCs/>
        </w:rPr>
        <w:t xml:space="preserve">FÚ JMK nemohl párovat platby DPH </w:t>
      </w:r>
      <w:r w:rsidR="000572D2">
        <w:rPr>
          <w:b/>
          <w:bCs/>
        </w:rPr>
        <w:t xml:space="preserve">přijaté </w:t>
      </w:r>
      <w:r>
        <w:rPr>
          <w:b/>
          <w:bCs/>
        </w:rPr>
        <w:t>z </w:t>
      </w:r>
      <w:r w:rsidR="00285D86">
        <w:rPr>
          <w:b/>
          <w:bCs/>
        </w:rPr>
        <w:t xml:space="preserve">jiných členských států EU </w:t>
      </w:r>
      <w:r>
        <w:rPr>
          <w:b/>
          <w:bCs/>
        </w:rPr>
        <w:t xml:space="preserve">v případech, kdy neobdržel kompletní informace k jednotlivým platbám </w:t>
      </w:r>
    </w:p>
    <w:p w14:paraId="4A76D67E" w14:textId="44AA1DA2" w:rsidR="00D362C4" w:rsidRDefault="00576999" w:rsidP="003627B6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Zvláštní r</w:t>
      </w:r>
      <w:r w:rsidR="00B700C2">
        <w:rPr>
          <w:rFonts w:cstheme="minorHAnsi"/>
        </w:rPr>
        <w:t xml:space="preserve">ežim </w:t>
      </w:r>
      <w:r w:rsidR="005D4FA4">
        <w:rPr>
          <w:rFonts w:cstheme="minorHAnsi"/>
        </w:rPr>
        <w:t xml:space="preserve">je </w:t>
      </w:r>
      <w:r w:rsidR="00B700C2">
        <w:rPr>
          <w:rFonts w:cstheme="minorHAnsi"/>
        </w:rPr>
        <w:t>uprav</w:t>
      </w:r>
      <w:r w:rsidR="005D4FA4">
        <w:rPr>
          <w:rFonts w:cstheme="minorHAnsi"/>
        </w:rPr>
        <w:t>en</w:t>
      </w:r>
      <w:r w:rsidR="00B700C2">
        <w:rPr>
          <w:rFonts w:cstheme="minorHAnsi"/>
        </w:rPr>
        <w:t xml:space="preserve"> zákon</w:t>
      </w:r>
      <w:r w:rsidR="005D4FA4">
        <w:rPr>
          <w:rFonts w:cstheme="minorHAnsi"/>
        </w:rPr>
        <w:t>em</w:t>
      </w:r>
      <w:r w:rsidR="00B700C2">
        <w:rPr>
          <w:rFonts w:cstheme="minorHAnsi"/>
        </w:rPr>
        <w:t xml:space="preserve"> o DPH</w:t>
      </w:r>
      <w:r w:rsidR="005D4FA4">
        <w:rPr>
          <w:rFonts w:cstheme="minorHAnsi"/>
        </w:rPr>
        <w:t>.</w:t>
      </w:r>
      <w:r w:rsidR="00B700C2">
        <w:rPr>
          <w:rStyle w:val="Znakapoznpodarou"/>
          <w:rFonts w:cstheme="minorHAnsi"/>
        </w:rPr>
        <w:footnoteReference w:id="18"/>
      </w:r>
      <w:r w:rsidR="00B700C2">
        <w:rPr>
          <w:rFonts w:cstheme="minorHAnsi"/>
        </w:rPr>
        <w:t xml:space="preserve"> </w:t>
      </w:r>
      <w:r w:rsidR="00897027">
        <w:rPr>
          <w:rFonts w:cstheme="minorHAnsi"/>
        </w:rPr>
        <w:t xml:space="preserve">Registrace do všech tří režimů </w:t>
      </w:r>
      <w:r>
        <w:rPr>
          <w:rFonts w:cstheme="minorHAnsi"/>
        </w:rPr>
        <w:t>zvláštního režimu</w:t>
      </w:r>
      <w:r w:rsidR="00897027">
        <w:rPr>
          <w:rFonts w:cstheme="minorHAnsi"/>
        </w:rPr>
        <w:t xml:space="preserve"> je možná pouze elektronicky na daňovém portále </w:t>
      </w:r>
      <w:r w:rsidR="006C3C71">
        <w:rPr>
          <w:rFonts w:cstheme="minorHAnsi"/>
        </w:rPr>
        <w:t>FS ČR</w:t>
      </w:r>
      <w:r w:rsidR="00897027">
        <w:rPr>
          <w:rFonts w:cstheme="minorHAnsi"/>
        </w:rPr>
        <w:t xml:space="preserve"> prostřednictvím formuláře. </w:t>
      </w:r>
    </w:p>
    <w:p w14:paraId="6B92A215" w14:textId="77777777" w:rsidR="003627B6" w:rsidRDefault="003627B6" w:rsidP="003627B6">
      <w:pPr>
        <w:spacing w:after="0" w:line="240" w:lineRule="auto"/>
        <w:jc w:val="both"/>
        <w:rPr>
          <w:rFonts w:cstheme="minorHAnsi"/>
        </w:rPr>
      </w:pPr>
    </w:p>
    <w:p w14:paraId="5BDA903F" w14:textId="12F5DE01" w:rsidR="008D076C" w:rsidRDefault="008D076C" w:rsidP="003627B6">
      <w:pPr>
        <w:pStyle w:val="Zkladntext1"/>
        <w:shd w:val="clear" w:color="auto" w:fill="auto"/>
        <w:spacing w:after="0"/>
        <w:rPr>
          <w:rFonts w:asciiTheme="minorHAnsi" w:hAnsiTheme="minorHAnsi" w:cstheme="minorHAnsi"/>
          <w:sz w:val="24"/>
          <w:szCs w:val="24"/>
        </w:rPr>
      </w:pPr>
      <w:r w:rsidRPr="0070148B">
        <w:rPr>
          <w:rFonts w:asciiTheme="minorHAnsi" w:hAnsiTheme="minorHAnsi" w:cstheme="minorHAnsi"/>
          <w:sz w:val="24"/>
          <w:szCs w:val="24"/>
        </w:rPr>
        <w:t>Pro účely správy DPH v</w:t>
      </w:r>
      <w:r w:rsidR="008C01AA">
        <w:rPr>
          <w:rFonts w:asciiTheme="minorHAnsi" w:hAnsiTheme="minorHAnsi" w:cstheme="minorHAnsi"/>
          <w:sz w:val="24"/>
          <w:szCs w:val="24"/>
        </w:rPr>
        <w:t>e zvláštním</w:t>
      </w:r>
      <w:r w:rsidRPr="0070148B">
        <w:rPr>
          <w:rFonts w:asciiTheme="minorHAnsi" w:hAnsiTheme="minorHAnsi" w:cstheme="minorHAnsi"/>
          <w:sz w:val="24"/>
          <w:szCs w:val="24"/>
        </w:rPr>
        <w:t xml:space="preserve"> režimu byl </w:t>
      </w:r>
      <w:r w:rsidR="005D4FA4">
        <w:rPr>
          <w:rFonts w:asciiTheme="minorHAnsi" w:hAnsiTheme="minorHAnsi" w:cstheme="minorHAnsi"/>
          <w:sz w:val="24"/>
          <w:szCs w:val="24"/>
        </w:rPr>
        <w:t>n</w:t>
      </w:r>
      <w:r w:rsidR="0070148B" w:rsidRPr="0070148B">
        <w:rPr>
          <w:rFonts w:asciiTheme="minorHAnsi" w:hAnsiTheme="minorHAnsi" w:cstheme="minorHAnsi"/>
          <w:sz w:val="24"/>
          <w:szCs w:val="24"/>
        </w:rPr>
        <w:t xml:space="preserve">ařízením Rady (EU) č. 904/2010 </w:t>
      </w:r>
      <w:r w:rsidRPr="0070148B">
        <w:rPr>
          <w:rFonts w:asciiTheme="minorHAnsi" w:hAnsiTheme="minorHAnsi" w:cstheme="minorHAnsi"/>
          <w:color w:val="000000" w:themeColor="text1"/>
          <w:sz w:val="24"/>
          <w:szCs w:val="24"/>
        </w:rPr>
        <w:t>zaveden jednotný</w:t>
      </w:r>
      <w:r w:rsidRPr="00B30F7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systém elektronické výměny informací mezi členskými státy EU. Tento systém je nastaven tak, </w:t>
      </w:r>
      <w:r w:rsidRPr="00B30F7A">
        <w:rPr>
          <w:rFonts w:asciiTheme="minorHAnsi" w:hAnsiTheme="minorHAnsi" w:cstheme="minorHAnsi"/>
          <w:sz w:val="24"/>
          <w:szCs w:val="24"/>
        </w:rPr>
        <w:t xml:space="preserve">že členské státy si předávají prostřednictvím zabezpečeného systému zprávy, </w:t>
      </w:r>
      <w:r w:rsidRPr="00B30F7A">
        <w:rPr>
          <w:rFonts w:asciiTheme="minorHAnsi" w:hAnsiTheme="minorHAnsi" w:cstheme="minorHAnsi"/>
          <w:sz w:val="24"/>
          <w:szCs w:val="24"/>
        </w:rPr>
        <w:lastRenderedPageBreak/>
        <w:t xml:space="preserve">které obsahují např. </w:t>
      </w:r>
      <w:r w:rsidR="0013030E" w:rsidRPr="00B30F7A">
        <w:rPr>
          <w:rFonts w:asciiTheme="minorHAnsi" w:hAnsiTheme="minorHAnsi" w:cstheme="minorHAnsi"/>
          <w:sz w:val="24"/>
          <w:szCs w:val="24"/>
        </w:rPr>
        <w:t xml:space="preserve">informace </w:t>
      </w:r>
      <w:r w:rsidRPr="00B30F7A">
        <w:rPr>
          <w:rFonts w:asciiTheme="minorHAnsi" w:hAnsiTheme="minorHAnsi" w:cstheme="minorHAnsi"/>
          <w:sz w:val="24"/>
          <w:szCs w:val="24"/>
        </w:rPr>
        <w:t xml:space="preserve">o registraci daňových subjektů do jednotlivých režimů </w:t>
      </w:r>
      <w:r w:rsidR="00603C6F">
        <w:rPr>
          <w:rFonts w:asciiTheme="minorHAnsi" w:hAnsiTheme="minorHAnsi" w:cstheme="minorHAnsi"/>
          <w:sz w:val="24"/>
          <w:szCs w:val="24"/>
        </w:rPr>
        <w:t>zvláštního režimu</w:t>
      </w:r>
      <w:r w:rsidRPr="00B30F7A">
        <w:rPr>
          <w:rFonts w:asciiTheme="minorHAnsi" w:hAnsiTheme="minorHAnsi" w:cstheme="minorHAnsi"/>
          <w:sz w:val="24"/>
          <w:szCs w:val="24"/>
        </w:rPr>
        <w:t>, údaj</w:t>
      </w:r>
      <w:r w:rsidR="0013030E">
        <w:rPr>
          <w:rFonts w:asciiTheme="minorHAnsi" w:hAnsiTheme="minorHAnsi" w:cstheme="minorHAnsi"/>
          <w:sz w:val="24"/>
          <w:szCs w:val="24"/>
        </w:rPr>
        <w:t>e</w:t>
      </w:r>
      <w:r w:rsidRPr="00B30F7A">
        <w:rPr>
          <w:rFonts w:asciiTheme="minorHAnsi" w:hAnsiTheme="minorHAnsi" w:cstheme="minorHAnsi"/>
          <w:sz w:val="24"/>
          <w:szCs w:val="24"/>
        </w:rPr>
        <w:t xml:space="preserve"> z DAP </w:t>
      </w:r>
      <w:r w:rsidR="00603C6F">
        <w:rPr>
          <w:rFonts w:asciiTheme="minorHAnsi" w:hAnsiTheme="minorHAnsi" w:cstheme="minorHAnsi"/>
          <w:sz w:val="24"/>
          <w:szCs w:val="24"/>
        </w:rPr>
        <w:t>ve zvláštním režimu</w:t>
      </w:r>
      <w:r w:rsidRPr="00B30F7A">
        <w:rPr>
          <w:rFonts w:asciiTheme="minorHAnsi" w:hAnsiTheme="minorHAnsi" w:cstheme="minorHAnsi"/>
          <w:sz w:val="24"/>
          <w:szCs w:val="24"/>
        </w:rPr>
        <w:t xml:space="preserve">, </w:t>
      </w:r>
      <w:r w:rsidR="0013030E">
        <w:rPr>
          <w:rFonts w:asciiTheme="minorHAnsi" w:hAnsiTheme="minorHAnsi" w:cstheme="minorHAnsi"/>
          <w:sz w:val="24"/>
          <w:szCs w:val="24"/>
        </w:rPr>
        <w:t xml:space="preserve">údaje </w:t>
      </w:r>
      <w:r w:rsidRPr="00B30F7A">
        <w:rPr>
          <w:rFonts w:asciiTheme="minorHAnsi" w:hAnsiTheme="minorHAnsi" w:cstheme="minorHAnsi"/>
          <w:sz w:val="24"/>
          <w:szCs w:val="24"/>
        </w:rPr>
        <w:t xml:space="preserve">o platbách </w:t>
      </w:r>
      <w:r w:rsidR="0070148B">
        <w:rPr>
          <w:rFonts w:asciiTheme="minorHAnsi" w:hAnsiTheme="minorHAnsi" w:cstheme="minorHAnsi"/>
          <w:sz w:val="24"/>
          <w:szCs w:val="24"/>
        </w:rPr>
        <w:t>DPH</w:t>
      </w:r>
      <w:r w:rsidRPr="00B30F7A">
        <w:rPr>
          <w:rFonts w:asciiTheme="minorHAnsi" w:hAnsiTheme="minorHAnsi" w:cstheme="minorHAnsi"/>
          <w:sz w:val="24"/>
          <w:szCs w:val="24"/>
        </w:rPr>
        <w:t xml:space="preserve"> a další informace potřebné pro správu daně v</w:t>
      </w:r>
      <w:r w:rsidR="00603C6F">
        <w:rPr>
          <w:rFonts w:asciiTheme="minorHAnsi" w:hAnsiTheme="minorHAnsi" w:cstheme="minorHAnsi"/>
          <w:sz w:val="24"/>
          <w:szCs w:val="24"/>
        </w:rPr>
        <w:t xml:space="preserve"> tomto </w:t>
      </w:r>
      <w:r w:rsidRPr="00B30F7A">
        <w:rPr>
          <w:rFonts w:asciiTheme="minorHAnsi" w:hAnsiTheme="minorHAnsi" w:cstheme="minorHAnsi"/>
          <w:sz w:val="24"/>
          <w:szCs w:val="24"/>
        </w:rPr>
        <w:t xml:space="preserve">režimu. </w:t>
      </w:r>
    </w:p>
    <w:p w14:paraId="56B964C2" w14:textId="77777777" w:rsidR="003627B6" w:rsidRPr="008D076C" w:rsidRDefault="003627B6" w:rsidP="003627B6">
      <w:pPr>
        <w:pStyle w:val="Zkladntext1"/>
        <w:shd w:val="clear" w:color="auto" w:fill="auto"/>
        <w:spacing w:after="0"/>
        <w:rPr>
          <w:rFonts w:asciiTheme="minorHAnsi" w:hAnsiTheme="minorHAnsi" w:cstheme="minorHAnsi"/>
          <w:sz w:val="24"/>
          <w:szCs w:val="24"/>
        </w:rPr>
      </w:pPr>
    </w:p>
    <w:p w14:paraId="7B0B7DDF" w14:textId="7D5295A4" w:rsidR="00B700C2" w:rsidRDefault="00D634CA" w:rsidP="003627B6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S</w:t>
      </w:r>
      <w:r w:rsidR="007504C1">
        <w:rPr>
          <w:rFonts w:cs="Calibri"/>
        </w:rPr>
        <w:t>ubjekt</w:t>
      </w:r>
      <w:r w:rsidR="005B50C5" w:rsidRPr="005B50C5">
        <w:rPr>
          <w:rFonts w:cs="Calibri"/>
        </w:rPr>
        <w:t xml:space="preserve"> používající </w:t>
      </w:r>
      <w:r w:rsidR="00603C6F">
        <w:rPr>
          <w:rFonts w:cs="Calibri"/>
        </w:rPr>
        <w:t xml:space="preserve">zvláštní </w:t>
      </w:r>
      <w:r w:rsidR="005B50C5">
        <w:rPr>
          <w:rFonts w:cs="Calibri"/>
        </w:rPr>
        <w:t>režim</w:t>
      </w:r>
      <w:r w:rsidR="005B50C5" w:rsidRPr="005B50C5">
        <w:rPr>
          <w:rFonts w:cs="Calibri"/>
        </w:rPr>
        <w:t xml:space="preserve"> nebo zprostředkovatel, který zastupuje </w:t>
      </w:r>
      <w:r w:rsidR="007504C1">
        <w:rPr>
          <w:rFonts w:cs="Calibri"/>
        </w:rPr>
        <w:t>subjekt</w:t>
      </w:r>
      <w:r w:rsidR="005B50C5" w:rsidRPr="005B50C5">
        <w:rPr>
          <w:rFonts w:cs="Calibri"/>
        </w:rPr>
        <w:t xml:space="preserve"> používající dovozní režim, má povinnost podat elektronickými prostředky </w:t>
      </w:r>
      <w:r w:rsidR="0070148B">
        <w:rPr>
          <w:rFonts w:cs="Calibri"/>
        </w:rPr>
        <w:t xml:space="preserve">DAP </w:t>
      </w:r>
      <w:r w:rsidR="008548EC">
        <w:rPr>
          <w:rFonts w:cs="Calibri"/>
        </w:rPr>
        <w:t>ve zvláštním režimu</w:t>
      </w:r>
      <w:r w:rsidR="008548EC" w:rsidRPr="005B50C5">
        <w:rPr>
          <w:rFonts w:cs="Calibri"/>
        </w:rPr>
        <w:t xml:space="preserve"> </w:t>
      </w:r>
      <w:r w:rsidR="005B50C5" w:rsidRPr="005B50C5">
        <w:rPr>
          <w:rFonts w:cs="Calibri"/>
        </w:rPr>
        <w:t>za každé zdaňovací období</w:t>
      </w:r>
      <w:r w:rsidR="00062B08">
        <w:rPr>
          <w:rFonts w:cs="Calibri"/>
        </w:rPr>
        <w:t>.</w:t>
      </w:r>
      <w:r w:rsidR="004D22F1">
        <w:rPr>
          <w:rFonts w:cs="Calibri"/>
        </w:rPr>
        <w:t xml:space="preserve"> </w:t>
      </w:r>
      <w:r w:rsidR="005B50C5" w:rsidRPr="005B50C5">
        <w:rPr>
          <w:rFonts w:cs="Calibri"/>
        </w:rPr>
        <w:t>Pokud za to</w:t>
      </w:r>
      <w:r w:rsidR="0070148B">
        <w:rPr>
          <w:rFonts w:cs="Calibri"/>
        </w:rPr>
        <w:t>t</w:t>
      </w:r>
      <w:r w:rsidR="005B50C5" w:rsidRPr="005B50C5">
        <w:rPr>
          <w:rFonts w:cs="Calibri"/>
        </w:rPr>
        <w:t xml:space="preserve">o období nebyla provedena žádná dodání v EU, podává </w:t>
      </w:r>
      <w:r w:rsidR="007504C1">
        <w:rPr>
          <w:rFonts w:cs="Calibri"/>
        </w:rPr>
        <w:t xml:space="preserve">subjekt </w:t>
      </w:r>
      <w:r w:rsidR="00062B08">
        <w:rPr>
          <w:rFonts w:cs="Calibri"/>
        </w:rPr>
        <w:t>DAP ve zvláštním režimu</w:t>
      </w:r>
      <w:r w:rsidR="00062B08" w:rsidRPr="005B50C5">
        <w:rPr>
          <w:rFonts w:cs="Calibri"/>
        </w:rPr>
        <w:t xml:space="preserve"> </w:t>
      </w:r>
      <w:r w:rsidR="005B50C5" w:rsidRPr="005B50C5">
        <w:rPr>
          <w:rFonts w:cs="Calibri"/>
        </w:rPr>
        <w:t>s nulovou výší daně</w:t>
      </w:r>
      <w:r w:rsidR="0013030E">
        <w:rPr>
          <w:rFonts w:cs="Calibri"/>
        </w:rPr>
        <w:t>.</w:t>
      </w:r>
      <w:r w:rsidR="00D5102B">
        <w:rPr>
          <w:rStyle w:val="Znakapoznpodarou"/>
          <w:rFonts w:cs="Calibri"/>
        </w:rPr>
        <w:footnoteReference w:id="19"/>
      </w:r>
    </w:p>
    <w:p w14:paraId="68CAD24C" w14:textId="77777777" w:rsidR="003627B6" w:rsidRPr="00D362C4" w:rsidRDefault="003627B6" w:rsidP="003627B6">
      <w:pPr>
        <w:spacing w:after="0" w:line="240" w:lineRule="auto"/>
        <w:jc w:val="both"/>
        <w:rPr>
          <w:rFonts w:cs="Calibri"/>
        </w:rPr>
      </w:pPr>
    </w:p>
    <w:p w14:paraId="0C7F0B18" w14:textId="26D04F06" w:rsidR="002E7ECD" w:rsidRPr="00F16B71" w:rsidRDefault="00595BE0" w:rsidP="00F16B71">
      <w:pPr>
        <w:spacing w:after="120"/>
        <w:jc w:val="both"/>
        <w:rPr>
          <w:b/>
          <w:bCs/>
        </w:rPr>
      </w:pPr>
      <w:r>
        <w:rPr>
          <w:b/>
          <w:bCs/>
        </w:rPr>
        <w:t xml:space="preserve">1.1 </w:t>
      </w:r>
      <w:r w:rsidR="002E7ECD" w:rsidRPr="00F16B71">
        <w:rPr>
          <w:b/>
          <w:bCs/>
        </w:rPr>
        <w:t>ČR jako stát identifikace</w:t>
      </w:r>
    </w:p>
    <w:p w14:paraId="4C37ACE6" w14:textId="6EA0BDAC" w:rsidR="002E7ECD" w:rsidRDefault="002E7ECD" w:rsidP="003627B6">
      <w:pPr>
        <w:pStyle w:val="Zkladntext1"/>
        <w:shd w:val="clear" w:color="auto" w:fill="auto"/>
        <w:spacing w:after="0"/>
        <w:rPr>
          <w:rFonts w:asciiTheme="minorHAnsi" w:hAnsiTheme="minorHAnsi" w:cstheme="minorHAnsi"/>
          <w:color w:val="000000"/>
          <w:sz w:val="24"/>
          <w:szCs w:val="24"/>
          <w:lang w:bidi="cs-CZ"/>
        </w:rPr>
      </w:pPr>
      <w:r w:rsidRPr="00493443">
        <w:rPr>
          <w:rFonts w:asciiTheme="minorHAnsi" w:hAnsiTheme="minorHAnsi" w:cstheme="minorHAnsi"/>
          <w:color w:val="000000"/>
          <w:sz w:val="24"/>
          <w:szCs w:val="24"/>
          <w:lang w:bidi="cs-CZ"/>
        </w:rPr>
        <w:t xml:space="preserve">FÚ JMK z pozice ČSI </w:t>
      </w:r>
      <w:r w:rsidR="00A706B5" w:rsidRPr="00493443">
        <w:rPr>
          <w:rFonts w:asciiTheme="minorHAnsi" w:hAnsiTheme="minorHAnsi" w:cstheme="minorHAnsi"/>
          <w:color w:val="000000"/>
          <w:sz w:val="24"/>
          <w:szCs w:val="24"/>
          <w:lang w:bidi="cs-CZ"/>
        </w:rPr>
        <w:t xml:space="preserve">nevede </w:t>
      </w:r>
      <w:r w:rsidRPr="00493443">
        <w:rPr>
          <w:rFonts w:asciiTheme="minorHAnsi" w:hAnsiTheme="minorHAnsi" w:cstheme="minorHAnsi"/>
          <w:color w:val="000000"/>
          <w:sz w:val="24"/>
          <w:szCs w:val="24"/>
          <w:lang w:bidi="cs-CZ"/>
        </w:rPr>
        <w:t xml:space="preserve">daňové řízení s cílem vyměření a stanovení daně a pro účely správy </w:t>
      </w:r>
      <w:r w:rsidRPr="00E040A3">
        <w:rPr>
          <w:rFonts w:asciiTheme="minorHAnsi" w:hAnsiTheme="minorHAnsi" w:cstheme="minorHAnsi"/>
          <w:color w:val="000000"/>
          <w:sz w:val="24"/>
          <w:szCs w:val="24"/>
          <w:lang w:bidi="cs-CZ"/>
        </w:rPr>
        <w:t>daně v</w:t>
      </w:r>
      <w:r>
        <w:rPr>
          <w:rFonts w:asciiTheme="minorHAnsi" w:hAnsiTheme="minorHAnsi" w:cstheme="minorHAnsi"/>
          <w:color w:val="000000"/>
          <w:sz w:val="24"/>
          <w:szCs w:val="24"/>
          <w:lang w:bidi="cs-CZ"/>
        </w:rPr>
        <w:t>e zvláštním</w:t>
      </w:r>
      <w:r w:rsidR="00736225">
        <w:rPr>
          <w:rFonts w:asciiTheme="minorHAnsi" w:hAnsiTheme="minorHAnsi" w:cstheme="minorHAnsi"/>
          <w:color w:val="000000"/>
          <w:sz w:val="24"/>
          <w:szCs w:val="24"/>
          <w:lang w:bidi="cs-CZ"/>
        </w:rPr>
        <w:t xml:space="preserve"> </w:t>
      </w:r>
      <w:r>
        <w:rPr>
          <w:rFonts w:asciiTheme="minorHAnsi" w:hAnsiTheme="minorHAnsi" w:cstheme="minorHAnsi"/>
          <w:color w:val="000000"/>
          <w:sz w:val="24"/>
          <w:szCs w:val="24"/>
          <w:lang w:bidi="cs-CZ"/>
        </w:rPr>
        <w:t xml:space="preserve">režimu </w:t>
      </w:r>
      <w:r w:rsidRPr="00E040A3">
        <w:rPr>
          <w:rFonts w:asciiTheme="minorHAnsi" w:hAnsiTheme="minorHAnsi" w:cstheme="minorHAnsi"/>
          <w:color w:val="000000"/>
          <w:sz w:val="24"/>
          <w:szCs w:val="24"/>
          <w:lang w:bidi="cs-CZ"/>
        </w:rPr>
        <w:t xml:space="preserve">zajišťuje pouze administrativní přijetí </w:t>
      </w:r>
      <w:r>
        <w:rPr>
          <w:rFonts w:asciiTheme="minorHAnsi" w:hAnsiTheme="minorHAnsi" w:cstheme="minorHAnsi"/>
          <w:color w:val="000000"/>
          <w:sz w:val="24"/>
          <w:szCs w:val="24"/>
          <w:lang w:bidi="cs-CZ"/>
        </w:rPr>
        <w:t>DAP</w:t>
      </w:r>
      <w:r w:rsidR="00A5587D">
        <w:rPr>
          <w:rFonts w:asciiTheme="minorHAnsi" w:hAnsiTheme="minorHAnsi" w:cstheme="minorHAnsi"/>
          <w:color w:val="000000"/>
          <w:sz w:val="24"/>
          <w:szCs w:val="24"/>
          <w:lang w:bidi="cs-CZ"/>
        </w:rPr>
        <w:t xml:space="preserve"> </w:t>
      </w:r>
      <w:r w:rsidR="000572D2">
        <w:rPr>
          <w:rFonts w:asciiTheme="minorHAnsi" w:hAnsiTheme="minorHAnsi" w:cstheme="minorHAnsi"/>
          <w:color w:val="000000"/>
          <w:sz w:val="24"/>
          <w:szCs w:val="24"/>
          <w:lang w:bidi="cs-CZ"/>
        </w:rPr>
        <w:t>ve zvláštním režimu</w:t>
      </w:r>
      <w:r w:rsidR="00595BE0">
        <w:rPr>
          <w:rFonts w:asciiTheme="minorHAnsi" w:hAnsiTheme="minorHAnsi" w:cstheme="minorHAnsi"/>
          <w:color w:val="000000"/>
          <w:sz w:val="24"/>
          <w:szCs w:val="24"/>
          <w:lang w:bidi="cs-CZ"/>
        </w:rPr>
        <w:t>,</w:t>
      </w:r>
      <w:r w:rsidR="000572D2">
        <w:rPr>
          <w:rFonts w:asciiTheme="minorHAnsi" w:hAnsiTheme="minorHAnsi" w:cstheme="minorHAnsi"/>
          <w:color w:val="000000"/>
          <w:sz w:val="24"/>
          <w:szCs w:val="24"/>
          <w:lang w:bidi="cs-CZ"/>
        </w:rPr>
        <w:t xml:space="preserve"> </w:t>
      </w:r>
      <w:r w:rsidR="00A5587D">
        <w:rPr>
          <w:rFonts w:asciiTheme="minorHAnsi" w:hAnsiTheme="minorHAnsi" w:cstheme="minorHAnsi"/>
          <w:color w:val="000000"/>
          <w:sz w:val="24"/>
          <w:szCs w:val="24"/>
          <w:lang w:bidi="cs-CZ"/>
        </w:rPr>
        <w:t>výběr DPH</w:t>
      </w:r>
      <w:r w:rsidRPr="00E040A3">
        <w:rPr>
          <w:rFonts w:asciiTheme="minorHAnsi" w:hAnsiTheme="minorHAnsi" w:cstheme="minorHAnsi"/>
          <w:color w:val="000000"/>
          <w:sz w:val="24"/>
          <w:szCs w:val="24"/>
          <w:lang w:bidi="cs-CZ"/>
        </w:rPr>
        <w:t xml:space="preserve"> a </w:t>
      </w:r>
      <w:r w:rsidR="00A5587D">
        <w:rPr>
          <w:rFonts w:asciiTheme="minorHAnsi" w:hAnsiTheme="minorHAnsi" w:cstheme="minorHAnsi"/>
          <w:color w:val="000000"/>
          <w:sz w:val="24"/>
          <w:szCs w:val="24"/>
          <w:lang w:bidi="cs-CZ"/>
        </w:rPr>
        <w:t>odeslání</w:t>
      </w:r>
      <w:r w:rsidRPr="00E040A3">
        <w:rPr>
          <w:rFonts w:asciiTheme="minorHAnsi" w:hAnsiTheme="minorHAnsi" w:cstheme="minorHAnsi"/>
          <w:color w:val="000000"/>
          <w:sz w:val="24"/>
          <w:szCs w:val="24"/>
          <w:lang w:bidi="cs-CZ"/>
        </w:rPr>
        <w:t xml:space="preserve"> </w:t>
      </w:r>
      <w:r w:rsidR="00C56D3F">
        <w:rPr>
          <w:rFonts w:asciiTheme="minorHAnsi" w:hAnsiTheme="minorHAnsi" w:cstheme="minorHAnsi"/>
          <w:color w:val="000000"/>
          <w:sz w:val="24"/>
          <w:szCs w:val="24"/>
          <w:lang w:bidi="cs-CZ"/>
        </w:rPr>
        <w:t xml:space="preserve">DPH a informací z </w:t>
      </w:r>
      <w:r w:rsidR="002C7282">
        <w:rPr>
          <w:rFonts w:asciiTheme="minorHAnsi" w:hAnsiTheme="minorHAnsi" w:cstheme="minorHAnsi"/>
          <w:color w:val="000000"/>
          <w:sz w:val="24"/>
          <w:szCs w:val="24"/>
          <w:lang w:bidi="cs-CZ"/>
        </w:rPr>
        <w:t xml:space="preserve">DAP </w:t>
      </w:r>
      <w:r w:rsidR="00A5587D">
        <w:rPr>
          <w:rFonts w:asciiTheme="minorHAnsi" w:hAnsiTheme="minorHAnsi" w:cstheme="minorHAnsi"/>
          <w:color w:val="000000"/>
          <w:sz w:val="24"/>
          <w:szCs w:val="24"/>
          <w:lang w:bidi="cs-CZ"/>
        </w:rPr>
        <w:t xml:space="preserve">jednotlivým </w:t>
      </w:r>
      <w:r w:rsidRPr="00E040A3">
        <w:rPr>
          <w:rFonts w:asciiTheme="minorHAnsi" w:hAnsiTheme="minorHAnsi" w:cstheme="minorHAnsi"/>
          <w:color w:val="000000"/>
          <w:sz w:val="24"/>
          <w:szCs w:val="24"/>
          <w:lang w:bidi="cs-CZ"/>
        </w:rPr>
        <w:t xml:space="preserve">ČSS. </w:t>
      </w:r>
    </w:p>
    <w:p w14:paraId="661E3AA5" w14:textId="77777777" w:rsidR="003627B6" w:rsidRDefault="003627B6" w:rsidP="003627B6">
      <w:pPr>
        <w:pStyle w:val="Zkladntext1"/>
        <w:shd w:val="clear" w:color="auto" w:fill="auto"/>
        <w:spacing w:after="0"/>
        <w:rPr>
          <w:rFonts w:asciiTheme="minorHAnsi" w:hAnsiTheme="minorHAnsi" w:cstheme="minorHAnsi"/>
          <w:color w:val="000000"/>
          <w:sz w:val="24"/>
          <w:szCs w:val="24"/>
          <w:lang w:bidi="cs-CZ"/>
        </w:rPr>
      </w:pPr>
    </w:p>
    <w:p w14:paraId="11A4861E" w14:textId="2799687F" w:rsidR="00684DF5" w:rsidRPr="006C55E6" w:rsidRDefault="00684DF5" w:rsidP="00684DF5">
      <w:pPr>
        <w:spacing w:after="0"/>
        <w:jc w:val="both"/>
        <w:rPr>
          <w:rFonts w:cstheme="minorHAnsi"/>
          <w:b/>
        </w:rPr>
      </w:pPr>
      <w:r w:rsidRPr="006C55E6">
        <w:rPr>
          <w:rFonts w:cstheme="minorHAnsi"/>
          <w:b/>
        </w:rPr>
        <w:t xml:space="preserve">Tabulka č. </w:t>
      </w:r>
      <w:r w:rsidR="00BF25E5">
        <w:rPr>
          <w:rFonts w:cstheme="minorHAnsi"/>
          <w:b/>
        </w:rPr>
        <w:t>3</w:t>
      </w:r>
      <w:r w:rsidRPr="006C55E6">
        <w:rPr>
          <w:rFonts w:cstheme="minorHAnsi"/>
          <w:b/>
        </w:rPr>
        <w:t xml:space="preserve">: </w:t>
      </w:r>
      <w:r w:rsidR="00B30F7A">
        <w:rPr>
          <w:rFonts w:cstheme="minorHAnsi"/>
          <w:b/>
        </w:rPr>
        <w:t xml:space="preserve">Počet </w:t>
      </w:r>
      <w:r w:rsidR="00553BAF">
        <w:rPr>
          <w:rFonts w:cstheme="minorHAnsi"/>
          <w:b/>
        </w:rPr>
        <w:t>DAP</w:t>
      </w:r>
      <w:r w:rsidRPr="006C55E6">
        <w:rPr>
          <w:rFonts w:cstheme="minorHAnsi"/>
          <w:b/>
        </w:rPr>
        <w:t xml:space="preserve"> v</w:t>
      </w:r>
      <w:r w:rsidR="00553BAF">
        <w:rPr>
          <w:rFonts w:cstheme="minorHAnsi"/>
          <w:b/>
        </w:rPr>
        <w:t>e zvláštním</w:t>
      </w:r>
      <w:r w:rsidRPr="006C55E6">
        <w:rPr>
          <w:rFonts w:cstheme="minorHAnsi"/>
          <w:b/>
        </w:rPr>
        <w:t xml:space="preserve"> režimu </w:t>
      </w:r>
      <w:r w:rsidR="00595BE0">
        <w:rPr>
          <w:rFonts w:cstheme="minorHAnsi"/>
          <w:b/>
        </w:rPr>
        <w:t xml:space="preserve">– </w:t>
      </w:r>
      <w:r w:rsidRPr="006C55E6">
        <w:rPr>
          <w:rFonts w:cstheme="minorHAnsi"/>
          <w:b/>
        </w:rPr>
        <w:t>ČR jako stát identifikace</w:t>
      </w:r>
    </w:p>
    <w:tbl>
      <w:tblPr>
        <w:tblStyle w:val="Mkatabulky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77"/>
        <w:gridCol w:w="1842"/>
        <w:gridCol w:w="1614"/>
        <w:gridCol w:w="1154"/>
        <w:gridCol w:w="1319"/>
        <w:gridCol w:w="1150"/>
      </w:tblGrid>
      <w:tr w:rsidR="00595BE0" w:rsidRPr="00872402" w14:paraId="4911B9E1" w14:textId="77777777" w:rsidTr="00F16B71">
        <w:tc>
          <w:tcPr>
            <w:tcW w:w="1092" w:type="pct"/>
            <w:shd w:val="clear" w:color="auto" w:fill="E6E6E6"/>
            <w:vAlign w:val="center"/>
          </w:tcPr>
          <w:p w14:paraId="6FB9F953" w14:textId="7B264076" w:rsidR="00E44AD8" w:rsidRPr="0027406C" w:rsidRDefault="00E44AD8" w:rsidP="00313E6C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17" w:type="pct"/>
            <w:shd w:val="clear" w:color="auto" w:fill="E6E6E6"/>
            <w:vAlign w:val="center"/>
          </w:tcPr>
          <w:p w14:paraId="4C9EC97B" w14:textId="4E56F256" w:rsidR="00E44AD8" w:rsidRPr="0027406C" w:rsidRDefault="00E44AD8" w:rsidP="00FD22E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DAP ve zvláštním režimu</w:t>
            </w:r>
            <w:r w:rsidRPr="0027406C">
              <w:rPr>
                <w:rFonts w:cstheme="minorHAnsi"/>
                <w:b/>
              </w:rPr>
              <w:t>*</w:t>
            </w:r>
          </w:p>
        </w:tc>
        <w:tc>
          <w:tcPr>
            <w:tcW w:w="891" w:type="pct"/>
            <w:shd w:val="clear" w:color="auto" w:fill="E6E6E6"/>
            <w:vAlign w:val="center"/>
          </w:tcPr>
          <w:p w14:paraId="02A455EB" w14:textId="0583DA2B" w:rsidR="00E44AD8" w:rsidRPr="0027406C" w:rsidRDefault="00E44AD8" w:rsidP="00FD22E7">
            <w:pPr>
              <w:jc w:val="center"/>
              <w:rPr>
                <w:rFonts w:cstheme="minorHAnsi"/>
                <w:b/>
              </w:rPr>
            </w:pPr>
            <w:r w:rsidRPr="0027406C">
              <w:rPr>
                <w:rFonts w:cstheme="minorHAnsi"/>
                <w:b/>
              </w:rPr>
              <w:t>Od 1.</w:t>
            </w:r>
            <w:r w:rsidR="00595BE0">
              <w:rPr>
                <w:rFonts w:cstheme="minorHAnsi"/>
                <w:b/>
              </w:rPr>
              <w:t> července</w:t>
            </w:r>
          </w:p>
          <w:p w14:paraId="7580D0DD" w14:textId="77777777" w:rsidR="00E44AD8" w:rsidRPr="0027406C" w:rsidRDefault="00E44AD8" w:rsidP="00FD22E7">
            <w:pPr>
              <w:jc w:val="center"/>
              <w:rPr>
                <w:rFonts w:cstheme="minorHAnsi"/>
                <w:b/>
              </w:rPr>
            </w:pPr>
            <w:r w:rsidRPr="0027406C">
              <w:rPr>
                <w:rFonts w:cstheme="minorHAnsi"/>
                <w:b/>
              </w:rPr>
              <w:t>2021</w:t>
            </w:r>
          </w:p>
        </w:tc>
        <w:tc>
          <w:tcPr>
            <w:tcW w:w="637" w:type="pct"/>
            <w:shd w:val="clear" w:color="auto" w:fill="E6E6E6"/>
            <w:vAlign w:val="center"/>
          </w:tcPr>
          <w:p w14:paraId="69D9ACD7" w14:textId="77777777" w:rsidR="00E44AD8" w:rsidRPr="0027406C" w:rsidRDefault="00E44AD8" w:rsidP="00FD22E7">
            <w:pPr>
              <w:jc w:val="center"/>
              <w:rPr>
                <w:rFonts w:cstheme="minorHAnsi"/>
                <w:b/>
              </w:rPr>
            </w:pPr>
            <w:r w:rsidRPr="0027406C">
              <w:rPr>
                <w:rFonts w:cstheme="minorHAnsi"/>
                <w:b/>
              </w:rPr>
              <w:t>2022</w:t>
            </w:r>
          </w:p>
        </w:tc>
        <w:tc>
          <w:tcPr>
            <w:tcW w:w="728" w:type="pct"/>
            <w:shd w:val="clear" w:color="auto" w:fill="E6E6E6"/>
            <w:vAlign w:val="center"/>
          </w:tcPr>
          <w:p w14:paraId="5EC89CEE" w14:textId="77777777" w:rsidR="00E44AD8" w:rsidRPr="0027406C" w:rsidRDefault="00E44AD8" w:rsidP="00FD22E7">
            <w:pPr>
              <w:jc w:val="center"/>
              <w:rPr>
                <w:rFonts w:cstheme="minorHAnsi"/>
                <w:b/>
              </w:rPr>
            </w:pPr>
            <w:r w:rsidRPr="0027406C">
              <w:rPr>
                <w:rFonts w:cstheme="minorHAnsi"/>
                <w:b/>
              </w:rPr>
              <w:t>2023</w:t>
            </w:r>
          </w:p>
        </w:tc>
        <w:tc>
          <w:tcPr>
            <w:tcW w:w="635" w:type="pct"/>
            <w:shd w:val="clear" w:color="auto" w:fill="E6E6E6"/>
            <w:vAlign w:val="center"/>
          </w:tcPr>
          <w:p w14:paraId="513934B8" w14:textId="77777777" w:rsidR="00E44AD8" w:rsidRPr="0027406C" w:rsidRDefault="00E44AD8" w:rsidP="00FD22E7">
            <w:pPr>
              <w:jc w:val="center"/>
              <w:rPr>
                <w:rFonts w:cstheme="minorHAnsi"/>
                <w:b/>
              </w:rPr>
            </w:pPr>
            <w:r w:rsidRPr="0027406C">
              <w:rPr>
                <w:rFonts w:cstheme="minorHAnsi"/>
                <w:b/>
              </w:rPr>
              <w:t>2024</w:t>
            </w:r>
          </w:p>
        </w:tc>
      </w:tr>
      <w:tr w:rsidR="00E44AD8" w:rsidRPr="00872402" w14:paraId="37847499" w14:textId="77777777" w:rsidTr="00F16B71">
        <w:tc>
          <w:tcPr>
            <w:tcW w:w="1092" w:type="pct"/>
            <w:vAlign w:val="center"/>
          </w:tcPr>
          <w:p w14:paraId="4814D111" w14:textId="77777777" w:rsidR="00E44AD8" w:rsidRPr="0027406C" w:rsidRDefault="00E44AD8" w:rsidP="00F16B71">
            <w:pPr>
              <w:rPr>
                <w:rFonts w:cstheme="minorHAnsi"/>
                <w:b/>
              </w:rPr>
            </w:pPr>
            <w:r w:rsidRPr="0027406C">
              <w:rPr>
                <w:rFonts w:cstheme="minorHAnsi"/>
                <w:b/>
              </w:rPr>
              <w:t>Režim EU</w:t>
            </w:r>
          </w:p>
        </w:tc>
        <w:tc>
          <w:tcPr>
            <w:tcW w:w="1017" w:type="pct"/>
            <w:vAlign w:val="center"/>
          </w:tcPr>
          <w:p w14:paraId="61A55B55" w14:textId="77777777" w:rsidR="00E44AD8" w:rsidRPr="0027406C" w:rsidRDefault="00E44AD8" w:rsidP="00FD22E7">
            <w:pPr>
              <w:rPr>
                <w:rFonts w:cstheme="minorHAnsi"/>
                <w:bCs/>
              </w:rPr>
            </w:pPr>
            <w:r w:rsidRPr="0027406C">
              <w:rPr>
                <w:rFonts w:cstheme="minorHAnsi"/>
                <w:bCs/>
              </w:rPr>
              <w:t>Řádná podání</w:t>
            </w:r>
          </w:p>
        </w:tc>
        <w:tc>
          <w:tcPr>
            <w:tcW w:w="891" w:type="pct"/>
            <w:vAlign w:val="center"/>
          </w:tcPr>
          <w:p w14:paraId="1FADA3C6" w14:textId="77777777" w:rsidR="00E44AD8" w:rsidRPr="0027406C" w:rsidRDefault="00E44AD8" w:rsidP="00F16B71">
            <w:pPr>
              <w:jc w:val="right"/>
              <w:rPr>
                <w:rFonts w:cstheme="minorHAnsi"/>
                <w:bCs/>
              </w:rPr>
            </w:pPr>
            <w:r w:rsidRPr="0027406C">
              <w:rPr>
                <w:rFonts w:cstheme="minorHAnsi"/>
                <w:bCs/>
              </w:rPr>
              <w:t>4 987</w:t>
            </w:r>
          </w:p>
        </w:tc>
        <w:tc>
          <w:tcPr>
            <w:tcW w:w="637" w:type="pct"/>
            <w:vAlign w:val="center"/>
          </w:tcPr>
          <w:p w14:paraId="637098E0" w14:textId="77777777" w:rsidR="00E44AD8" w:rsidRPr="0027406C" w:rsidRDefault="00E44AD8" w:rsidP="00F16B71">
            <w:pPr>
              <w:jc w:val="right"/>
              <w:rPr>
                <w:rFonts w:cstheme="minorHAnsi"/>
                <w:bCs/>
              </w:rPr>
            </w:pPr>
            <w:r w:rsidRPr="0027406C">
              <w:rPr>
                <w:rFonts w:cstheme="minorHAnsi"/>
                <w:bCs/>
              </w:rPr>
              <w:t>13 426</w:t>
            </w:r>
          </w:p>
        </w:tc>
        <w:tc>
          <w:tcPr>
            <w:tcW w:w="728" w:type="pct"/>
            <w:vAlign w:val="center"/>
          </w:tcPr>
          <w:p w14:paraId="71A5C12F" w14:textId="77777777" w:rsidR="00E44AD8" w:rsidRPr="0027406C" w:rsidRDefault="00E44AD8" w:rsidP="00F16B71">
            <w:pPr>
              <w:jc w:val="right"/>
              <w:rPr>
                <w:rFonts w:cstheme="minorHAnsi"/>
                <w:bCs/>
              </w:rPr>
            </w:pPr>
            <w:r w:rsidRPr="0027406C">
              <w:rPr>
                <w:rFonts w:cstheme="minorHAnsi"/>
                <w:bCs/>
              </w:rPr>
              <w:t>16 144</w:t>
            </w:r>
          </w:p>
        </w:tc>
        <w:tc>
          <w:tcPr>
            <w:tcW w:w="635" w:type="pct"/>
            <w:vAlign w:val="center"/>
          </w:tcPr>
          <w:p w14:paraId="7EF112EB" w14:textId="77777777" w:rsidR="00E44AD8" w:rsidRPr="0070148B" w:rsidRDefault="00E44AD8" w:rsidP="00F16B71">
            <w:pPr>
              <w:jc w:val="right"/>
              <w:rPr>
                <w:rFonts w:cstheme="minorHAnsi"/>
                <w:bCs/>
              </w:rPr>
            </w:pPr>
            <w:r w:rsidRPr="0070148B">
              <w:rPr>
                <w:rFonts w:cstheme="minorHAnsi"/>
                <w:bCs/>
              </w:rPr>
              <w:t>18 458</w:t>
            </w:r>
          </w:p>
        </w:tc>
      </w:tr>
      <w:tr w:rsidR="00E44AD8" w:rsidRPr="00872402" w14:paraId="4C54644A" w14:textId="77777777" w:rsidTr="00F16B71">
        <w:tc>
          <w:tcPr>
            <w:tcW w:w="1092" w:type="pct"/>
            <w:vAlign w:val="center"/>
          </w:tcPr>
          <w:p w14:paraId="6F79E6D9" w14:textId="77777777" w:rsidR="00E44AD8" w:rsidRPr="0027406C" w:rsidRDefault="00E44AD8" w:rsidP="00F16B71">
            <w:pPr>
              <w:rPr>
                <w:rFonts w:cstheme="minorHAnsi"/>
                <w:b/>
              </w:rPr>
            </w:pPr>
            <w:r w:rsidRPr="0027406C">
              <w:rPr>
                <w:rFonts w:cstheme="minorHAnsi"/>
                <w:b/>
              </w:rPr>
              <w:t>Režim mimo EU</w:t>
            </w:r>
          </w:p>
        </w:tc>
        <w:tc>
          <w:tcPr>
            <w:tcW w:w="1017" w:type="pct"/>
            <w:vAlign w:val="center"/>
          </w:tcPr>
          <w:p w14:paraId="329A1343" w14:textId="77777777" w:rsidR="00E44AD8" w:rsidRPr="0027406C" w:rsidRDefault="00E44AD8" w:rsidP="00FD22E7">
            <w:pPr>
              <w:rPr>
                <w:rFonts w:cstheme="minorHAnsi"/>
                <w:bCs/>
              </w:rPr>
            </w:pPr>
            <w:r w:rsidRPr="0027406C">
              <w:rPr>
                <w:rFonts w:cstheme="minorHAnsi"/>
                <w:bCs/>
              </w:rPr>
              <w:t xml:space="preserve">Řádná podání </w:t>
            </w:r>
          </w:p>
        </w:tc>
        <w:tc>
          <w:tcPr>
            <w:tcW w:w="891" w:type="pct"/>
            <w:vAlign w:val="center"/>
          </w:tcPr>
          <w:p w14:paraId="5BE1B1B4" w14:textId="77777777" w:rsidR="00E44AD8" w:rsidRPr="0027406C" w:rsidRDefault="00E44AD8" w:rsidP="00F16B71">
            <w:pPr>
              <w:jc w:val="right"/>
              <w:rPr>
                <w:rFonts w:cstheme="minorHAnsi"/>
                <w:bCs/>
              </w:rPr>
            </w:pPr>
            <w:r w:rsidRPr="0027406C">
              <w:rPr>
                <w:rFonts w:cstheme="minorHAnsi"/>
                <w:bCs/>
              </w:rPr>
              <w:t>13</w:t>
            </w:r>
          </w:p>
        </w:tc>
        <w:tc>
          <w:tcPr>
            <w:tcW w:w="637" w:type="pct"/>
            <w:vAlign w:val="center"/>
          </w:tcPr>
          <w:p w14:paraId="7C6B215A" w14:textId="77777777" w:rsidR="00E44AD8" w:rsidRPr="0027406C" w:rsidRDefault="00E44AD8" w:rsidP="00F16B71">
            <w:pPr>
              <w:jc w:val="right"/>
              <w:rPr>
                <w:rFonts w:cstheme="minorHAnsi"/>
                <w:bCs/>
              </w:rPr>
            </w:pPr>
            <w:r w:rsidRPr="0027406C">
              <w:rPr>
                <w:rFonts w:cstheme="minorHAnsi"/>
                <w:bCs/>
              </w:rPr>
              <w:t>30</w:t>
            </w:r>
          </w:p>
        </w:tc>
        <w:tc>
          <w:tcPr>
            <w:tcW w:w="728" w:type="pct"/>
            <w:vAlign w:val="center"/>
          </w:tcPr>
          <w:p w14:paraId="34EB672B" w14:textId="77777777" w:rsidR="00E44AD8" w:rsidRPr="0027406C" w:rsidRDefault="00E44AD8" w:rsidP="00F16B71">
            <w:pPr>
              <w:jc w:val="right"/>
              <w:rPr>
                <w:rFonts w:cstheme="minorHAnsi"/>
                <w:bCs/>
              </w:rPr>
            </w:pPr>
            <w:r w:rsidRPr="0027406C">
              <w:rPr>
                <w:rFonts w:cstheme="minorHAnsi"/>
                <w:bCs/>
              </w:rPr>
              <w:t>29</w:t>
            </w:r>
          </w:p>
        </w:tc>
        <w:tc>
          <w:tcPr>
            <w:tcW w:w="635" w:type="pct"/>
            <w:vAlign w:val="center"/>
          </w:tcPr>
          <w:p w14:paraId="45E19EA2" w14:textId="77777777" w:rsidR="00E44AD8" w:rsidRPr="0070148B" w:rsidRDefault="00E44AD8" w:rsidP="00F16B71">
            <w:pPr>
              <w:jc w:val="right"/>
              <w:rPr>
                <w:rFonts w:cstheme="minorHAnsi"/>
                <w:bCs/>
              </w:rPr>
            </w:pPr>
            <w:r w:rsidRPr="0070148B">
              <w:rPr>
                <w:rFonts w:cstheme="minorHAnsi"/>
                <w:bCs/>
              </w:rPr>
              <w:t>29</w:t>
            </w:r>
          </w:p>
        </w:tc>
      </w:tr>
      <w:tr w:rsidR="00E44AD8" w:rsidRPr="00872402" w14:paraId="0FC04035" w14:textId="77777777" w:rsidTr="00F16B71">
        <w:tc>
          <w:tcPr>
            <w:tcW w:w="1092" w:type="pct"/>
            <w:vAlign w:val="center"/>
          </w:tcPr>
          <w:p w14:paraId="5C985B80" w14:textId="789BAA86" w:rsidR="00E44AD8" w:rsidRPr="0027406C" w:rsidRDefault="00E44AD8" w:rsidP="00F16B71">
            <w:pPr>
              <w:rPr>
                <w:rFonts w:cstheme="minorHAnsi"/>
                <w:b/>
              </w:rPr>
            </w:pPr>
            <w:r w:rsidRPr="0027406C">
              <w:rPr>
                <w:rFonts w:cstheme="minorHAnsi"/>
                <w:b/>
              </w:rPr>
              <w:t>Dovozní režim</w:t>
            </w:r>
          </w:p>
        </w:tc>
        <w:tc>
          <w:tcPr>
            <w:tcW w:w="1017" w:type="pct"/>
            <w:vAlign w:val="center"/>
          </w:tcPr>
          <w:p w14:paraId="5BFB1790" w14:textId="77777777" w:rsidR="00E44AD8" w:rsidRPr="0027406C" w:rsidRDefault="00E44AD8" w:rsidP="00FD22E7">
            <w:pPr>
              <w:rPr>
                <w:rFonts w:cstheme="minorHAnsi"/>
                <w:bCs/>
              </w:rPr>
            </w:pPr>
            <w:r w:rsidRPr="0027406C">
              <w:rPr>
                <w:rFonts w:cstheme="minorHAnsi"/>
                <w:bCs/>
              </w:rPr>
              <w:t>Řádná podání</w:t>
            </w:r>
          </w:p>
        </w:tc>
        <w:tc>
          <w:tcPr>
            <w:tcW w:w="891" w:type="pct"/>
            <w:vAlign w:val="center"/>
          </w:tcPr>
          <w:p w14:paraId="4AC3D5E4" w14:textId="77777777" w:rsidR="00E44AD8" w:rsidRPr="0027406C" w:rsidRDefault="00E44AD8" w:rsidP="00F16B71">
            <w:pPr>
              <w:jc w:val="right"/>
              <w:rPr>
                <w:rFonts w:cstheme="minorHAnsi"/>
                <w:bCs/>
              </w:rPr>
            </w:pPr>
            <w:r w:rsidRPr="0027406C">
              <w:rPr>
                <w:rFonts w:cstheme="minorHAnsi"/>
                <w:bCs/>
              </w:rPr>
              <w:t>163</w:t>
            </w:r>
          </w:p>
        </w:tc>
        <w:tc>
          <w:tcPr>
            <w:tcW w:w="637" w:type="pct"/>
            <w:vAlign w:val="center"/>
          </w:tcPr>
          <w:p w14:paraId="55F158DA" w14:textId="77777777" w:rsidR="00E44AD8" w:rsidRPr="0027406C" w:rsidRDefault="00E44AD8" w:rsidP="00F16B71">
            <w:pPr>
              <w:jc w:val="right"/>
              <w:rPr>
                <w:rFonts w:cstheme="minorHAnsi"/>
                <w:bCs/>
              </w:rPr>
            </w:pPr>
            <w:r w:rsidRPr="0027406C">
              <w:rPr>
                <w:rFonts w:cstheme="minorHAnsi"/>
                <w:bCs/>
              </w:rPr>
              <w:t>348</w:t>
            </w:r>
          </w:p>
        </w:tc>
        <w:tc>
          <w:tcPr>
            <w:tcW w:w="728" w:type="pct"/>
            <w:vAlign w:val="center"/>
          </w:tcPr>
          <w:p w14:paraId="26EA98E9" w14:textId="77777777" w:rsidR="00E44AD8" w:rsidRPr="0027406C" w:rsidRDefault="00E44AD8" w:rsidP="00F16B71">
            <w:pPr>
              <w:jc w:val="right"/>
              <w:rPr>
                <w:rFonts w:cstheme="minorHAnsi"/>
                <w:bCs/>
              </w:rPr>
            </w:pPr>
            <w:r w:rsidRPr="0027406C">
              <w:rPr>
                <w:rFonts w:cstheme="minorHAnsi"/>
                <w:bCs/>
              </w:rPr>
              <w:t>294</w:t>
            </w:r>
          </w:p>
        </w:tc>
        <w:tc>
          <w:tcPr>
            <w:tcW w:w="635" w:type="pct"/>
            <w:vAlign w:val="center"/>
          </w:tcPr>
          <w:p w14:paraId="10F8E3D6" w14:textId="77777777" w:rsidR="00E44AD8" w:rsidRPr="0070148B" w:rsidRDefault="00E44AD8" w:rsidP="00F16B71">
            <w:pPr>
              <w:jc w:val="right"/>
              <w:rPr>
                <w:rFonts w:cstheme="minorHAnsi"/>
                <w:bCs/>
              </w:rPr>
            </w:pPr>
            <w:r w:rsidRPr="0070148B">
              <w:rPr>
                <w:rFonts w:cstheme="minorHAnsi"/>
                <w:bCs/>
              </w:rPr>
              <w:t>184</w:t>
            </w:r>
          </w:p>
        </w:tc>
      </w:tr>
    </w:tbl>
    <w:p w14:paraId="5D6BF74F" w14:textId="06E9DC5B" w:rsidR="00684DF5" w:rsidRPr="00543514" w:rsidRDefault="00684DF5" w:rsidP="00684DF5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F16B71">
        <w:rPr>
          <w:rFonts w:cstheme="minorHAnsi"/>
          <w:b/>
          <w:sz w:val="20"/>
          <w:szCs w:val="20"/>
        </w:rPr>
        <w:t>Zdroj:</w:t>
      </w:r>
      <w:r w:rsidRPr="00543514">
        <w:rPr>
          <w:rFonts w:cstheme="minorHAnsi"/>
          <w:bCs/>
          <w:sz w:val="20"/>
          <w:szCs w:val="20"/>
        </w:rPr>
        <w:t xml:space="preserve"> </w:t>
      </w:r>
      <w:r>
        <w:rPr>
          <w:rFonts w:cstheme="minorHAnsi"/>
          <w:bCs/>
          <w:sz w:val="20"/>
          <w:szCs w:val="20"/>
        </w:rPr>
        <w:t>FÚ JMK.</w:t>
      </w:r>
    </w:p>
    <w:p w14:paraId="69FAC254" w14:textId="3636E7D4" w:rsidR="00EA3D55" w:rsidRDefault="00684DF5" w:rsidP="00F16B71">
      <w:pPr>
        <w:spacing w:after="0" w:line="240" w:lineRule="auto"/>
        <w:ind w:left="284" w:hanging="284"/>
        <w:jc w:val="both"/>
        <w:rPr>
          <w:rFonts w:cstheme="minorHAnsi"/>
          <w:bCs/>
          <w:sz w:val="20"/>
          <w:szCs w:val="20"/>
        </w:rPr>
      </w:pPr>
      <w:r w:rsidRPr="00E93A65">
        <w:rPr>
          <w:rFonts w:cstheme="minorHAnsi"/>
          <w:bCs/>
          <w:sz w:val="20"/>
          <w:szCs w:val="20"/>
        </w:rPr>
        <w:t xml:space="preserve">* </w:t>
      </w:r>
      <w:r w:rsidR="000006D8">
        <w:rPr>
          <w:rFonts w:cstheme="minorHAnsi"/>
          <w:bCs/>
          <w:sz w:val="20"/>
          <w:szCs w:val="20"/>
        </w:rPr>
        <w:tab/>
      </w:r>
      <w:r w:rsidRPr="00E93A65">
        <w:rPr>
          <w:rFonts w:cstheme="minorHAnsi"/>
          <w:bCs/>
          <w:sz w:val="20"/>
          <w:szCs w:val="20"/>
        </w:rPr>
        <w:t>Všechny údaje k</w:t>
      </w:r>
      <w:r w:rsidR="0070148B">
        <w:rPr>
          <w:rFonts w:cstheme="minorHAnsi"/>
          <w:bCs/>
          <w:sz w:val="20"/>
          <w:szCs w:val="20"/>
        </w:rPr>
        <w:t xml:space="preserve"> DAP </w:t>
      </w:r>
      <w:r w:rsidR="00553BAF">
        <w:rPr>
          <w:rFonts w:cstheme="minorHAnsi"/>
          <w:bCs/>
          <w:sz w:val="20"/>
          <w:szCs w:val="20"/>
        </w:rPr>
        <w:t>ve zvláštním režimu</w:t>
      </w:r>
      <w:r w:rsidRPr="00E93A65">
        <w:rPr>
          <w:rFonts w:cstheme="minorHAnsi"/>
          <w:bCs/>
          <w:sz w:val="20"/>
          <w:szCs w:val="20"/>
        </w:rPr>
        <w:t xml:space="preserve"> jsou bez rozlišení na řádná a dodatečná přiznání</w:t>
      </w:r>
      <w:r w:rsidR="0070148B">
        <w:rPr>
          <w:rFonts w:cstheme="minorHAnsi"/>
          <w:bCs/>
          <w:sz w:val="20"/>
          <w:szCs w:val="20"/>
        </w:rPr>
        <w:t>.</w:t>
      </w:r>
      <w:r w:rsidRPr="00E93A65">
        <w:rPr>
          <w:rFonts w:cstheme="minorHAnsi"/>
          <w:bCs/>
          <w:sz w:val="20"/>
          <w:szCs w:val="20"/>
        </w:rPr>
        <w:t xml:space="preserve"> Důvodem je to, že v</w:t>
      </w:r>
      <w:r w:rsidR="00595BE0">
        <w:rPr>
          <w:rFonts w:cstheme="minorHAnsi"/>
          <w:bCs/>
          <w:sz w:val="20"/>
          <w:szCs w:val="20"/>
        </w:rPr>
        <w:t> </w:t>
      </w:r>
      <w:r w:rsidRPr="00E93A65">
        <w:rPr>
          <w:rFonts w:cstheme="minorHAnsi"/>
          <w:bCs/>
          <w:sz w:val="20"/>
          <w:szCs w:val="20"/>
        </w:rPr>
        <w:t xml:space="preserve">rámci </w:t>
      </w:r>
      <w:r w:rsidR="00F506CD">
        <w:rPr>
          <w:rFonts w:cstheme="minorHAnsi"/>
          <w:bCs/>
          <w:sz w:val="20"/>
          <w:szCs w:val="20"/>
        </w:rPr>
        <w:t>zvláštního režimu</w:t>
      </w:r>
      <w:r w:rsidRPr="00E93A65">
        <w:rPr>
          <w:rFonts w:cstheme="minorHAnsi"/>
          <w:bCs/>
          <w:sz w:val="20"/>
          <w:szCs w:val="20"/>
        </w:rPr>
        <w:t xml:space="preserve"> nelze podat opravu samostatně, </w:t>
      </w:r>
      <w:r w:rsidR="00595BE0">
        <w:rPr>
          <w:rFonts w:cstheme="minorHAnsi"/>
          <w:bCs/>
          <w:sz w:val="20"/>
          <w:szCs w:val="20"/>
        </w:rPr>
        <w:t xml:space="preserve">dodatečné přiznání </w:t>
      </w:r>
      <w:r w:rsidRPr="00E93A65">
        <w:rPr>
          <w:rFonts w:cstheme="minorHAnsi"/>
          <w:bCs/>
          <w:sz w:val="20"/>
          <w:szCs w:val="20"/>
        </w:rPr>
        <w:t xml:space="preserve">musí být </w:t>
      </w:r>
      <w:r w:rsidR="00595BE0" w:rsidRPr="00E93A65">
        <w:rPr>
          <w:rFonts w:cstheme="minorHAnsi"/>
          <w:bCs/>
          <w:sz w:val="20"/>
          <w:szCs w:val="20"/>
        </w:rPr>
        <w:t xml:space="preserve">vždy </w:t>
      </w:r>
      <w:r w:rsidRPr="00E93A65">
        <w:rPr>
          <w:rFonts w:cstheme="minorHAnsi"/>
          <w:bCs/>
          <w:sz w:val="20"/>
          <w:szCs w:val="20"/>
        </w:rPr>
        <w:t xml:space="preserve">podáno společně </w:t>
      </w:r>
      <w:r w:rsidR="00595BE0">
        <w:rPr>
          <w:rFonts w:cstheme="minorHAnsi"/>
          <w:bCs/>
          <w:sz w:val="20"/>
          <w:szCs w:val="20"/>
        </w:rPr>
        <w:t xml:space="preserve">s řádným DAP, </w:t>
      </w:r>
      <w:r w:rsidRPr="00E93A65">
        <w:rPr>
          <w:rFonts w:cstheme="minorHAnsi"/>
          <w:bCs/>
          <w:sz w:val="20"/>
          <w:szCs w:val="20"/>
        </w:rPr>
        <w:t xml:space="preserve">resp. jako </w:t>
      </w:r>
      <w:r w:rsidR="00595BE0">
        <w:rPr>
          <w:rFonts w:cstheme="minorHAnsi"/>
          <w:bCs/>
          <w:sz w:val="20"/>
          <w:szCs w:val="20"/>
        </w:rPr>
        <w:t xml:space="preserve">jeho </w:t>
      </w:r>
      <w:r w:rsidRPr="00E93A65">
        <w:rPr>
          <w:rFonts w:cstheme="minorHAnsi"/>
          <w:bCs/>
          <w:sz w:val="20"/>
          <w:szCs w:val="20"/>
        </w:rPr>
        <w:t xml:space="preserve">součást. </w:t>
      </w:r>
      <w:r w:rsidR="00595BE0">
        <w:rPr>
          <w:rFonts w:cstheme="minorHAnsi"/>
          <w:bCs/>
          <w:sz w:val="20"/>
          <w:szCs w:val="20"/>
        </w:rPr>
        <w:t>S</w:t>
      </w:r>
      <w:r w:rsidR="00595BE0" w:rsidRPr="00E93A65">
        <w:rPr>
          <w:rFonts w:cstheme="minorHAnsi"/>
          <w:bCs/>
          <w:sz w:val="20"/>
          <w:szCs w:val="20"/>
        </w:rPr>
        <w:t xml:space="preserve">ubjekty </w:t>
      </w:r>
      <w:r w:rsidR="00595BE0">
        <w:rPr>
          <w:rFonts w:cstheme="minorHAnsi"/>
          <w:bCs/>
          <w:sz w:val="20"/>
          <w:szCs w:val="20"/>
        </w:rPr>
        <w:t>podávají t</w:t>
      </w:r>
      <w:r w:rsidRPr="00E93A65">
        <w:rPr>
          <w:rFonts w:cstheme="minorHAnsi"/>
          <w:bCs/>
          <w:sz w:val="20"/>
          <w:szCs w:val="20"/>
        </w:rPr>
        <w:t xml:space="preserve">ato </w:t>
      </w:r>
      <w:r w:rsidR="00595BE0">
        <w:rPr>
          <w:rFonts w:cstheme="minorHAnsi"/>
          <w:bCs/>
          <w:sz w:val="20"/>
          <w:szCs w:val="20"/>
        </w:rPr>
        <w:t xml:space="preserve">daňová </w:t>
      </w:r>
      <w:r w:rsidRPr="00E93A65">
        <w:rPr>
          <w:rFonts w:cstheme="minorHAnsi"/>
          <w:bCs/>
          <w:sz w:val="20"/>
          <w:szCs w:val="20"/>
        </w:rPr>
        <w:t xml:space="preserve">tvrzení v jednom souboru. FÚ JMK na jejich základě daň nevyměřuje, údaje jsou předávány do JČS. </w:t>
      </w:r>
    </w:p>
    <w:p w14:paraId="2860DCE4" w14:textId="77777777" w:rsidR="00EA3D55" w:rsidRPr="003627B6" w:rsidRDefault="00EA3D55" w:rsidP="00EA3D55">
      <w:pPr>
        <w:spacing w:after="0" w:line="240" w:lineRule="auto"/>
        <w:jc w:val="both"/>
        <w:rPr>
          <w:rFonts w:cstheme="minorHAnsi"/>
          <w:bCs/>
        </w:rPr>
      </w:pPr>
    </w:p>
    <w:p w14:paraId="753FE9A2" w14:textId="3021D9C0" w:rsidR="00330F8F" w:rsidRDefault="00330F8F" w:rsidP="003627B6">
      <w:pPr>
        <w:pStyle w:val="Zkladntext1"/>
        <w:shd w:val="clear" w:color="auto" w:fill="auto"/>
        <w:spacing w:after="0"/>
        <w:rPr>
          <w:rFonts w:asciiTheme="minorHAnsi" w:hAnsiTheme="minorHAnsi" w:cstheme="minorHAnsi"/>
          <w:color w:val="000000"/>
          <w:sz w:val="24"/>
          <w:szCs w:val="24"/>
          <w:lang w:bidi="cs-CZ"/>
        </w:rPr>
      </w:pPr>
      <w:r w:rsidRPr="00330F8F">
        <w:rPr>
          <w:rFonts w:asciiTheme="minorHAnsi" w:hAnsiTheme="minorHAnsi" w:cstheme="minorHAnsi"/>
          <w:color w:val="000000"/>
          <w:sz w:val="24"/>
          <w:szCs w:val="24"/>
          <w:lang w:bidi="cs-CZ"/>
        </w:rPr>
        <w:t xml:space="preserve">Nepodá-li </w:t>
      </w:r>
      <w:r>
        <w:rPr>
          <w:rFonts w:asciiTheme="minorHAnsi" w:hAnsiTheme="minorHAnsi" w:cstheme="minorHAnsi"/>
          <w:color w:val="000000"/>
          <w:sz w:val="24"/>
          <w:szCs w:val="24"/>
          <w:lang w:bidi="cs-CZ"/>
        </w:rPr>
        <w:t>subjekt</w:t>
      </w:r>
      <w:r w:rsidRPr="00330F8F">
        <w:rPr>
          <w:rFonts w:asciiTheme="minorHAnsi" w:hAnsiTheme="minorHAnsi" w:cstheme="minorHAnsi"/>
          <w:color w:val="000000"/>
          <w:sz w:val="24"/>
          <w:szCs w:val="24"/>
          <w:lang w:bidi="cs-CZ"/>
        </w:rPr>
        <w:t xml:space="preserve"> </w:t>
      </w:r>
      <w:r w:rsidR="00A21FF3">
        <w:rPr>
          <w:rFonts w:asciiTheme="minorHAnsi" w:hAnsiTheme="minorHAnsi" w:cstheme="minorHAnsi"/>
          <w:color w:val="000000"/>
          <w:sz w:val="24"/>
          <w:szCs w:val="24"/>
          <w:lang w:bidi="cs-CZ"/>
        </w:rPr>
        <w:t>DAP</w:t>
      </w:r>
      <w:r w:rsidRPr="00330F8F">
        <w:rPr>
          <w:rFonts w:asciiTheme="minorHAnsi" w:hAnsiTheme="minorHAnsi" w:cstheme="minorHAnsi"/>
          <w:color w:val="000000"/>
          <w:sz w:val="24"/>
          <w:szCs w:val="24"/>
          <w:lang w:bidi="cs-CZ"/>
        </w:rPr>
        <w:t xml:space="preserve"> </w:t>
      </w:r>
      <w:r w:rsidR="00567E78">
        <w:rPr>
          <w:rFonts w:asciiTheme="minorHAnsi" w:hAnsiTheme="minorHAnsi" w:cstheme="minorHAnsi"/>
          <w:color w:val="000000"/>
          <w:sz w:val="24"/>
          <w:szCs w:val="24"/>
          <w:lang w:bidi="cs-CZ"/>
        </w:rPr>
        <w:t xml:space="preserve">ve zvláštním režimu </w:t>
      </w:r>
      <w:r w:rsidRPr="00330F8F">
        <w:rPr>
          <w:rFonts w:asciiTheme="minorHAnsi" w:hAnsiTheme="minorHAnsi" w:cstheme="minorHAnsi"/>
          <w:color w:val="000000"/>
          <w:sz w:val="24"/>
          <w:szCs w:val="24"/>
          <w:lang w:bidi="cs-CZ"/>
        </w:rPr>
        <w:t>včas (tj. do konce měsíce následujícího po zdaňovacím období), vydá FÚ JMK jako stát identifikace elektronickými prostředky upomínku</w:t>
      </w:r>
      <w:r w:rsidR="00E7798B">
        <w:rPr>
          <w:rStyle w:val="Znakapoznpodarou"/>
          <w:rFonts w:asciiTheme="minorHAnsi" w:hAnsiTheme="minorHAnsi" w:cstheme="minorHAnsi"/>
          <w:color w:val="000000"/>
          <w:sz w:val="24"/>
          <w:szCs w:val="24"/>
          <w:lang w:bidi="cs-CZ"/>
        </w:rPr>
        <w:footnoteReference w:id="20"/>
      </w:r>
      <w:r w:rsidRPr="00330F8F">
        <w:rPr>
          <w:rFonts w:asciiTheme="minorHAnsi" w:hAnsiTheme="minorHAnsi" w:cstheme="minorHAnsi"/>
          <w:color w:val="000000"/>
          <w:sz w:val="24"/>
          <w:szCs w:val="24"/>
          <w:lang w:bidi="cs-CZ"/>
        </w:rPr>
        <w:t xml:space="preserve"> týkající se povinnosti podat </w:t>
      </w:r>
      <w:r w:rsidR="009751E3">
        <w:rPr>
          <w:rFonts w:asciiTheme="minorHAnsi" w:hAnsiTheme="minorHAnsi" w:cstheme="minorHAnsi"/>
          <w:color w:val="000000"/>
          <w:sz w:val="24"/>
          <w:szCs w:val="24"/>
          <w:lang w:bidi="cs-CZ"/>
        </w:rPr>
        <w:t>DAP</w:t>
      </w:r>
      <w:r w:rsidRPr="00330F8F">
        <w:rPr>
          <w:rFonts w:asciiTheme="minorHAnsi" w:hAnsiTheme="minorHAnsi" w:cstheme="minorHAnsi"/>
          <w:color w:val="000000"/>
          <w:sz w:val="24"/>
          <w:szCs w:val="24"/>
          <w:lang w:bidi="cs-CZ"/>
        </w:rPr>
        <w:t xml:space="preserve"> </w:t>
      </w:r>
      <w:r w:rsidR="00567E78">
        <w:rPr>
          <w:rFonts w:asciiTheme="minorHAnsi" w:hAnsiTheme="minorHAnsi" w:cstheme="minorHAnsi"/>
          <w:color w:val="000000"/>
          <w:sz w:val="24"/>
          <w:szCs w:val="24"/>
          <w:lang w:bidi="cs-CZ"/>
        </w:rPr>
        <w:t xml:space="preserve">ve zvláštním režimu </w:t>
      </w:r>
      <w:r w:rsidRPr="00330F8F">
        <w:rPr>
          <w:rFonts w:asciiTheme="minorHAnsi" w:hAnsiTheme="minorHAnsi" w:cstheme="minorHAnsi"/>
          <w:color w:val="000000"/>
          <w:sz w:val="24"/>
          <w:szCs w:val="24"/>
          <w:lang w:bidi="cs-CZ"/>
        </w:rPr>
        <w:t>a o této skutečnosti informuje</w:t>
      </w:r>
      <w:r w:rsidR="00567E78">
        <w:rPr>
          <w:rFonts w:asciiTheme="minorHAnsi" w:hAnsiTheme="minorHAnsi" w:cstheme="minorHAnsi"/>
          <w:color w:val="000000"/>
          <w:sz w:val="24"/>
          <w:szCs w:val="24"/>
          <w:lang w:bidi="cs-CZ"/>
        </w:rPr>
        <w:t xml:space="preserve"> všechny </w:t>
      </w:r>
      <w:r w:rsidRPr="00330F8F">
        <w:rPr>
          <w:rFonts w:asciiTheme="minorHAnsi" w:hAnsiTheme="minorHAnsi" w:cstheme="minorHAnsi"/>
          <w:color w:val="000000"/>
          <w:sz w:val="24"/>
          <w:szCs w:val="24"/>
          <w:lang w:bidi="cs-CZ"/>
        </w:rPr>
        <w:t xml:space="preserve">ostatní </w:t>
      </w:r>
      <w:r w:rsidR="00567E78">
        <w:rPr>
          <w:rFonts w:asciiTheme="minorHAnsi" w:hAnsiTheme="minorHAnsi" w:cstheme="minorHAnsi"/>
          <w:color w:val="000000"/>
          <w:sz w:val="24"/>
          <w:szCs w:val="24"/>
          <w:lang w:bidi="cs-CZ"/>
        </w:rPr>
        <w:t>členské státy</w:t>
      </w:r>
      <w:r>
        <w:rPr>
          <w:rFonts w:asciiTheme="minorHAnsi" w:hAnsiTheme="minorHAnsi" w:cstheme="minorHAnsi"/>
          <w:color w:val="000000"/>
          <w:sz w:val="24"/>
          <w:szCs w:val="24"/>
          <w:lang w:bidi="cs-CZ"/>
        </w:rPr>
        <w:t xml:space="preserve">. FÚ JMK zaslal v období 2021–2024 celkem 2 310 upomínek na nepodaná </w:t>
      </w:r>
      <w:r w:rsidR="00015D4F">
        <w:rPr>
          <w:rFonts w:asciiTheme="minorHAnsi" w:hAnsiTheme="minorHAnsi" w:cstheme="minorHAnsi"/>
          <w:color w:val="000000"/>
          <w:sz w:val="24"/>
          <w:szCs w:val="24"/>
          <w:lang w:bidi="cs-CZ"/>
        </w:rPr>
        <w:t>DAP</w:t>
      </w:r>
      <w:r>
        <w:rPr>
          <w:rFonts w:asciiTheme="minorHAnsi" w:hAnsiTheme="minorHAnsi" w:cstheme="minorHAnsi"/>
          <w:color w:val="000000"/>
          <w:sz w:val="24"/>
          <w:szCs w:val="24"/>
          <w:lang w:bidi="cs-CZ"/>
        </w:rPr>
        <w:t xml:space="preserve"> </w:t>
      </w:r>
      <w:r w:rsidR="009751E3">
        <w:rPr>
          <w:rFonts w:asciiTheme="minorHAnsi" w:hAnsiTheme="minorHAnsi" w:cstheme="minorHAnsi"/>
          <w:color w:val="000000"/>
          <w:sz w:val="24"/>
          <w:szCs w:val="24"/>
          <w:lang w:bidi="cs-CZ"/>
        </w:rPr>
        <w:t>ve zvláštním režimu</w:t>
      </w:r>
      <w:r>
        <w:rPr>
          <w:rFonts w:asciiTheme="minorHAnsi" w:hAnsiTheme="minorHAnsi" w:cstheme="minorHAnsi"/>
          <w:color w:val="000000"/>
          <w:sz w:val="24"/>
          <w:szCs w:val="24"/>
          <w:lang w:bidi="cs-CZ"/>
        </w:rPr>
        <w:t xml:space="preserve">. NKÚ zjistil, že téměř 74 % subjektů reagovalo v zákonné lhůtě deseti dnů na obdrženou upomínku. </w:t>
      </w:r>
    </w:p>
    <w:p w14:paraId="411CBD04" w14:textId="77777777" w:rsidR="003627B6" w:rsidRDefault="003627B6" w:rsidP="003627B6">
      <w:pPr>
        <w:pStyle w:val="Zkladntext1"/>
        <w:shd w:val="clear" w:color="auto" w:fill="auto"/>
        <w:spacing w:after="0"/>
        <w:rPr>
          <w:rFonts w:asciiTheme="minorHAnsi" w:hAnsiTheme="minorHAnsi" w:cstheme="minorHAnsi"/>
          <w:color w:val="000000"/>
          <w:sz w:val="24"/>
          <w:szCs w:val="24"/>
          <w:lang w:bidi="cs-CZ"/>
        </w:rPr>
      </w:pPr>
    </w:p>
    <w:p w14:paraId="09D28F94" w14:textId="0867174F" w:rsidR="00B30F7A" w:rsidRDefault="00B30F7A" w:rsidP="003627B6">
      <w:pPr>
        <w:pStyle w:val="Zkladntext1"/>
        <w:shd w:val="clear" w:color="auto" w:fill="auto"/>
        <w:spacing w:after="0"/>
        <w:rPr>
          <w:rFonts w:asciiTheme="minorHAnsi" w:hAnsiTheme="minorHAnsi" w:cstheme="minorHAnsi"/>
          <w:sz w:val="24"/>
          <w:szCs w:val="24"/>
        </w:rPr>
      </w:pPr>
      <w:r w:rsidRPr="00E040A3">
        <w:rPr>
          <w:rFonts w:asciiTheme="minorHAnsi" w:hAnsiTheme="minorHAnsi" w:cstheme="minorHAnsi"/>
          <w:sz w:val="24"/>
          <w:szCs w:val="24"/>
        </w:rPr>
        <w:t xml:space="preserve">FÚ JMK v roli </w:t>
      </w:r>
      <w:r w:rsidR="00015D4F">
        <w:rPr>
          <w:rFonts w:asciiTheme="minorHAnsi" w:hAnsiTheme="minorHAnsi" w:cstheme="minorHAnsi"/>
          <w:sz w:val="24"/>
          <w:szCs w:val="24"/>
        </w:rPr>
        <w:t>ČSI</w:t>
      </w:r>
      <w:r w:rsidRPr="00E040A3">
        <w:rPr>
          <w:rFonts w:asciiTheme="minorHAnsi" w:hAnsiTheme="minorHAnsi" w:cstheme="minorHAnsi"/>
          <w:sz w:val="24"/>
          <w:szCs w:val="24"/>
        </w:rPr>
        <w:t xml:space="preserve"> rozdělí </w:t>
      </w:r>
      <w:r>
        <w:rPr>
          <w:rFonts w:asciiTheme="minorHAnsi" w:hAnsiTheme="minorHAnsi" w:cstheme="minorHAnsi"/>
          <w:sz w:val="24"/>
          <w:szCs w:val="24"/>
        </w:rPr>
        <w:t xml:space="preserve">údaje z </w:t>
      </w:r>
      <w:r w:rsidR="00B11AA3">
        <w:rPr>
          <w:rFonts w:asciiTheme="minorHAnsi" w:hAnsiTheme="minorHAnsi" w:cstheme="minorHAnsi"/>
          <w:sz w:val="24"/>
          <w:szCs w:val="24"/>
        </w:rPr>
        <w:t>DAP</w:t>
      </w:r>
      <w:r w:rsidRPr="00E040A3">
        <w:rPr>
          <w:rFonts w:asciiTheme="minorHAnsi" w:hAnsiTheme="minorHAnsi" w:cstheme="minorHAnsi"/>
          <w:sz w:val="24"/>
          <w:szCs w:val="24"/>
        </w:rPr>
        <w:t xml:space="preserve"> v</w:t>
      </w:r>
      <w:r w:rsidR="00B11AA3">
        <w:rPr>
          <w:rFonts w:asciiTheme="minorHAnsi" w:hAnsiTheme="minorHAnsi" w:cstheme="minorHAnsi"/>
          <w:sz w:val="24"/>
          <w:szCs w:val="24"/>
        </w:rPr>
        <w:t>e zvláštním</w:t>
      </w:r>
      <w:r w:rsidRPr="00E040A3">
        <w:rPr>
          <w:rFonts w:asciiTheme="minorHAnsi" w:hAnsiTheme="minorHAnsi" w:cstheme="minorHAnsi"/>
          <w:sz w:val="24"/>
          <w:szCs w:val="24"/>
        </w:rPr>
        <w:t xml:space="preserve"> </w:t>
      </w:r>
      <w:r w:rsidR="00015D4F">
        <w:rPr>
          <w:rFonts w:asciiTheme="minorHAnsi" w:hAnsiTheme="minorHAnsi" w:cstheme="minorHAnsi"/>
          <w:sz w:val="24"/>
          <w:szCs w:val="24"/>
        </w:rPr>
        <w:t>režimu</w:t>
      </w:r>
      <w:r w:rsidRPr="00E040A3">
        <w:rPr>
          <w:rFonts w:asciiTheme="minorHAnsi" w:hAnsiTheme="minorHAnsi" w:cstheme="minorHAnsi"/>
          <w:sz w:val="24"/>
          <w:szCs w:val="24"/>
        </w:rPr>
        <w:t xml:space="preserve"> podle členských států spotřeby </w:t>
      </w:r>
      <w:r w:rsidR="00595BE0">
        <w:rPr>
          <w:rFonts w:asciiTheme="minorHAnsi" w:hAnsiTheme="minorHAnsi" w:cstheme="minorHAnsi"/>
          <w:sz w:val="24"/>
          <w:szCs w:val="24"/>
        </w:rPr>
        <w:br/>
      </w:r>
      <w:r w:rsidRPr="00E040A3">
        <w:rPr>
          <w:rFonts w:asciiTheme="minorHAnsi" w:hAnsiTheme="minorHAnsi" w:cstheme="minorHAnsi"/>
          <w:sz w:val="24"/>
          <w:szCs w:val="24"/>
        </w:rPr>
        <w:t xml:space="preserve">a těmto jednotlivým </w:t>
      </w:r>
      <w:r w:rsidR="00015D4F">
        <w:rPr>
          <w:rFonts w:asciiTheme="minorHAnsi" w:hAnsiTheme="minorHAnsi" w:cstheme="minorHAnsi"/>
          <w:sz w:val="24"/>
          <w:szCs w:val="24"/>
        </w:rPr>
        <w:t>ČSS</w:t>
      </w:r>
      <w:r w:rsidRPr="00E040A3">
        <w:rPr>
          <w:rFonts w:asciiTheme="minorHAnsi" w:hAnsiTheme="minorHAnsi" w:cstheme="minorHAnsi"/>
          <w:sz w:val="24"/>
          <w:szCs w:val="24"/>
        </w:rPr>
        <w:t xml:space="preserve"> zašle příslušné údaje</w:t>
      </w:r>
      <w:r w:rsidR="00400A70">
        <w:rPr>
          <w:rFonts w:asciiTheme="minorHAnsi" w:hAnsiTheme="minorHAnsi" w:cstheme="minorHAnsi"/>
          <w:sz w:val="24"/>
          <w:szCs w:val="24"/>
        </w:rPr>
        <w:t xml:space="preserve"> včetně příslušné vybrané DPH</w:t>
      </w:r>
      <w:r w:rsidRPr="00E040A3">
        <w:rPr>
          <w:rFonts w:asciiTheme="minorHAnsi" w:hAnsiTheme="minorHAnsi" w:cstheme="minorHAnsi"/>
          <w:sz w:val="24"/>
          <w:szCs w:val="24"/>
        </w:rPr>
        <w:t xml:space="preserve">. </w:t>
      </w:r>
      <w:r>
        <w:rPr>
          <w:rFonts w:asciiTheme="minorHAnsi" w:hAnsiTheme="minorHAnsi" w:cstheme="minorHAnsi"/>
          <w:sz w:val="24"/>
          <w:szCs w:val="24"/>
        </w:rPr>
        <w:t>Stejným způsobem postupují ostatní členské státy, které zasílají údaje z</w:t>
      </w:r>
      <w:r w:rsidR="00595BE0">
        <w:rPr>
          <w:rFonts w:asciiTheme="minorHAnsi" w:hAnsiTheme="minorHAnsi" w:cstheme="minorHAnsi"/>
          <w:sz w:val="24"/>
          <w:szCs w:val="24"/>
        </w:rPr>
        <w:t> </w:t>
      </w:r>
      <w:r>
        <w:rPr>
          <w:rFonts w:asciiTheme="minorHAnsi" w:hAnsiTheme="minorHAnsi" w:cstheme="minorHAnsi"/>
          <w:sz w:val="24"/>
          <w:szCs w:val="24"/>
        </w:rPr>
        <w:t>DAP</w:t>
      </w:r>
      <w:r w:rsidR="00595BE0">
        <w:rPr>
          <w:rFonts w:asciiTheme="minorHAnsi" w:hAnsiTheme="minorHAnsi" w:cstheme="minorHAnsi"/>
          <w:sz w:val="24"/>
          <w:szCs w:val="24"/>
        </w:rPr>
        <w:t xml:space="preserve"> </w:t>
      </w:r>
      <w:r w:rsidR="00B11AA3">
        <w:rPr>
          <w:rFonts w:asciiTheme="minorHAnsi" w:hAnsiTheme="minorHAnsi" w:cstheme="minorHAnsi"/>
          <w:sz w:val="24"/>
          <w:szCs w:val="24"/>
        </w:rPr>
        <w:t xml:space="preserve">ve zvláštním režimu </w:t>
      </w:r>
      <w:r>
        <w:rPr>
          <w:rFonts w:asciiTheme="minorHAnsi" w:hAnsiTheme="minorHAnsi" w:cstheme="minorHAnsi"/>
          <w:sz w:val="24"/>
          <w:szCs w:val="24"/>
        </w:rPr>
        <w:t xml:space="preserve">do ČR jako </w:t>
      </w:r>
      <w:r w:rsidR="00015D4F">
        <w:rPr>
          <w:rFonts w:asciiTheme="minorHAnsi" w:hAnsiTheme="minorHAnsi" w:cstheme="minorHAnsi"/>
          <w:sz w:val="24"/>
          <w:szCs w:val="24"/>
        </w:rPr>
        <w:t>ČSS</w:t>
      </w:r>
      <w:r>
        <w:rPr>
          <w:rFonts w:asciiTheme="minorHAnsi" w:hAnsiTheme="minorHAnsi" w:cstheme="minorHAnsi"/>
          <w:sz w:val="24"/>
          <w:szCs w:val="24"/>
        </w:rPr>
        <w:t>.</w:t>
      </w:r>
      <w:r w:rsidR="00C701A6">
        <w:rPr>
          <w:rFonts w:asciiTheme="minorHAnsi" w:hAnsiTheme="minorHAnsi" w:cstheme="minorHAnsi"/>
          <w:sz w:val="24"/>
          <w:szCs w:val="24"/>
        </w:rPr>
        <w:t xml:space="preserve"> </w:t>
      </w:r>
      <w:r w:rsidR="00C701A6" w:rsidRPr="009013B6">
        <w:rPr>
          <w:rFonts w:asciiTheme="minorHAnsi" w:hAnsiTheme="minorHAnsi" w:cstheme="minorHAnsi"/>
          <w:sz w:val="24"/>
          <w:szCs w:val="24"/>
        </w:rPr>
        <w:t>Nulové přiznání k dani se jednotlivým ČSS nezasílá.</w:t>
      </w:r>
    </w:p>
    <w:p w14:paraId="32FEA8A6" w14:textId="77777777" w:rsidR="003627B6" w:rsidRDefault="003627B6" w:rsidP="003627B6">
      <w:pPr>
        <w:pStyle w:val="Zkladntext1"/>
        <w:shd w:val="clear" w:color="auto" w:fill="auto"/>
        <w:spacing w:after="0"/>
        <w:rPr>
          <w:rFonts w:asciiTheme="minorHAnsi" w:hAnsiTheme="minorHAnsi" w:cstheme="minorHAnsi"/>
          <w:sz w:val="24"/>
          <w:szCs w:val="24"/>
        </w:rPr>
      </w:pPr>
    </w:p>
    <w:p w14:paraId="466FCFD5" w14:textId="11F5B74F" w:rsidR="0071354A" w:rsidRDefault="0071354A" w:rsidP="003627B6">
      <w:pPr>
        <w:pStyle w:val="Odstavecsmalmodsazenm"/>
        <w:spacing w:after="0"/>
        <w:rPr>
          <w:lang w:eastAsia="en-US"/>
        </w:rPr>
      </w:pPr>
      <w:r>
        <w:rPr>
          <w:lang w:eastAsia="en-US"/>
        </w:rPr>
        <w:t>Subjekt</w:t>
      </w:r>
      <w:r w:rsidRPr="00AA36CD">
        <w:rPr>
          <w:lang w:eastAsia="en-US"/>
        </w:rPr>
        <w:t xml:space="preserve"> má povinnost podat </w:t>
      </w:r>
      <w:r>
        <w:rPr>
          <w:lang w:eastAsia="en-US"/>
        </w:rPr>
        <w:t>DAP ve zvláštním režimu</w:t>
      </w:r>
      <w:r w:rsidRPr="00AA36CD">
        <w:rPr>
          <w:lang w:eastAsia="en-US"/>
        </w:rPr>
        <w:t xml:space="preserve"> do konce měsíce následujícího po zdaňovacím období, jehož se přiznání k dani týká, a nejpozději do tohoto dne je rovněž povin</w:t>
      </w:r>
      <w:r w:rsidR="00E44AD8">
        <w:rPr>
          <w:lang w:eastAsia="en-US"/>
        </w:rPr>
        <w:t>en</w:t>
      </w:r>
      <w:r w:rsidRPr="00AA36CD">
        <w:rPr>
          <w:lang w:eastAsia="en-US"/>
        </w:rPr>
        <w:t xml:space="preserve"> odvést daň ve výši odpovídající daňovému přiznání na účet členského státu identifikace. </w:t>
      </w:r>
    </w:p>
    <w:p w14:paraId="4C9A93F6" w14:textId="77777777" w:rsidR="003627B6" w:rsidRDefault="003627B6" w:rsidP="003627B6">
      <w:pPr>
        <w:pStyle w:val="Odstavecsmalmodsazenm"/>
        <w:spacing w:after="0"/>
        <w:rPr>
          <w:lang w:eastAsia="en-US"/>
        </w:rPr>
      </w:pPr>
    </w:p>
    <w:p w14:paraId="5BE6D879" w14:textId="75F5E8C5" w:rsidR="00E44AD8" w:rsidRDefault="00400A70" w:rsidP="003627B6">
      <w:pPr>
        <w:pStyle w:val="Odstavecsmalmodsazenm"/>
        <w:spacing w:after="0"/>
        <w:rPr>
          <w:lang w:eastAsia="en-US"/>
        </w:rPr>
      </w:pPr>
      <w:r>
        <w:rPr>
          <w:lang w:eastAsia="en-US"/>
        </w:rPr>
        <w:t>NKÚ zjistil</w:t>
      </w:r>
      <w:r w:rsidRPr="00CF6ED5">
        <w:rPr>
          <w:lang w:eastAsia="en-US"/>
        </w:rPr>
        <w:t xml:space="preserve">, že u plateb do JČS </w:t>
      </w:r>
      <w:r>
        <w:rPr>
          <w:lang w:eastAsia="en-US"/>
        </w:rPr>
        <w:t>z</w:t>
      </w:r>
      <w:r w:rsidR="00745FC2">
        <w:rPr>
          <w:lang w:eastAsia="en-US"/>
        </w:rPr>
        <w:t xml:space="preserve"> </w:t>
      </w:r>
      <w:r>
        <w:rPr>
          <w:lang w:eastAsia="en-US"/>
        </w:rPr>
        <w:t>pozice ČR jako ČSI převládaly platby do okolních zemí (Slovensko, Polsko, Německo).</w:t>
      </w:r>
    </w:p>
    <w:p w14:paraId="63151AC0" w14:textId="75EFBACF" w:rsidR="003D7833" w:rsidRDefault="003D7833" w:rsidP="00313E6C">
      <w:pPr>
        <w:pStyle w:val="Odstavecsmalmodsazenm"/>
        <w:spacing w:after="0"/>
      </w:pPr>
      <w:r w:rsidRPr="0030650C">
        <w:rPr>
          <w:rFonts w:ascii="Calibri" w:hAnsi="Calibri" w:cs="Calibri"/>
          <w:b/>
        </w:rPr>
        <w:lastRenderedPageBreak/>
        <w:t xml:space="preserve">Tabulka č. </w:t>
      </w:r>
      <w:r>
        <w:rPr>
          <w:rFonts w:ascii="Calibri" w:hAnsi="Calibri" w:cs="Calibri"/>
          <w:b/>
        </w:rPr>
        <w:t>4</w:t>
      </w:r>
      <w:r w:rsidRPr="0030650C">
        <w:rPr>
          <w:rFonts w:ascii="Calibri" w:hAnsi="Calibri" w:cs="Calibri"/>
          <w:b/>
        </w:rPr>
        <w:t>: Přehled</w:t>
      </w:r>
      <w:r>
        <w:rPr>
          <w:rFonts w:ascii="Calibri" w:hAnsi="Calibri" w:cs="Calibri"/>
          <w:b/>
        </w:rPr>
        <w:t xml:space="preserve"> odeslaných</w:t>
      </w:r>
      <w:r w:rsidRPr="0030650C">
        <w:rPr>
          <w:rFonts w:ascii="Calibri" w:hAnsi="Calibri" w:cs="Calibri"/>
          <w:b/>
        </w:rPr>
        <w:t xml:space="preserve"> plateb DPH v</w:t>
      </w:r>
      <w:r>
        <w:rPr>
          <w:rFonts w:ascii="Calibri" w:hAnsi="Calibri" w:cs="Calibri"/>
          <w:b/>
        </w:rPr>
        <w:t>e zvláštním</w:t>
      </w:r>
      <w:r w:rsidRPr="0030650C">
        <w:rPr>
          <w:rFonts w:ascii="Calibri" w:hAnsi="Calibri" w:cs="Calibri"/>
          <w:b/>
        </w:rPr>
        <w:t xml:space="preserve"> režimu v letech 2021</w:t>
      </w:r>
      <w:r w:rsidR="00313FD3">
        <w:rPr>
          <w:rFonts w:ascii="Calibri" w:hAnsi="Calibri" w:cs="Calibri"/>
          <w:b/>
        </w:rPr>
        <w:t>–</w:t>
      </w:r>
      <w:r w:rsidRPr="0030650C">
        <w:rPr>
          <w:rFonts w:ascii="Calibri" w:hAnsi="Calibri" w:cs="Calibri"/>
          <w:b/>
        </w:rPr>
        <w:t>2024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"/>
        <w:gridCol w:w="1604"/>
        <w:gridCol w:w="1605"/>
        <w:gridCol w:w="1605"/>
        <w:gridCol w:w="1607"/>
        <w:gridCol w:w="1601"/>
      </w:tblGrid>
      <w:tr w:rsidR="00E13C7F" w:rsidRPr="004A020B" w14:paraId="1989BBE2" w14:textId="77777777" w:rsidTr="00F16B71">
        <w:trPr>
          <w:trHeight w:val="454"/>
        </w:trPr>
        <w:tc>
          <w:tcPr>
            <w:tcW w:w="571" w:type="pct"/>
            <w:vMerge w:val="restart"/>
            <w:shd w:val="clear" w:color="auto" w:fill="E6E6E6"/>
            <w:vAlign w:val="center"/>
            <w:hideMark/>
          </w:tcPr>
          <w:p w14:paraId="469ABE1B" w14:textId="77777777" w:rsidR="00E13C7F" w:rsidRPr="000C7FCC" w:rsidRDefault="00E13C7F" w:rsidP="00D014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886" w:type="pct"/>
            <w:vMerge w:val="restart"/>
            <w:shd w:val="clear" w:color="auto" w:fill="E6E6E6"/>
            <w:vAlign w:val="center"/>
            <w:hideMark/>
          </w:tcPr>
          <w:p w14:paraId="397BE428" w14:textId="77777777" w:rsidR="00E13C7F" w:rsidRPr="000C7FCC" w:rsidRDefault="00E13C7F" w:rsidP="00D45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0C7FC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Zvláštní režim </w:t>
            </w:r>
          </w:p>
        </w:tc>
        <w:tc>
          <w:tcPr>
            <w:tcW w:w="886" w:type="pct"/>
            <w:shd w:val="clear" w:color="auto" w:fill="E6E6E6"/>
            <w:vAlign w:val="center"/>
            <w:hideMark/>
          </w:tcPr>
          <w:p w14:paraId="60EC9DE8" w14:textId="77777777" w:rsidR="00E13C7F" w:rsidRPr="000C7FCC" w:rsidRDefault="00E13C7F" w:rsidP="00D45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0C7FC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2021</w:t>
            </w:r>
          </w:p>
        </w:tc>
        <w:tc>
          <w:tcPr>
            <w:tcW w:w="886" w:type="pct"/>
            <w:shd w:val="clear" w:color="auto" w:fill="E6E6E6"/>
            <w:vAlign w:val="center"/>
            <w:hideMark/>
          </w:tcPr>
          <w:p w14:paraId="7072C324" w14:textId="77777777" w:rsidR="00E13C7F" w:rsidRPr="000C7FCC" w:rsidRDefault="00E13C7F" w:rsidP="00D45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0C7FC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2022</w:t>
            </w:r>
          </w:p>
        </w:tc>
        <w:tc>
          <w:tcPr>
            <w:tcW w:w="887" w:type="pct"/>
            <w:shd w:val="clear" w:color="auto" w:fill="E6E6E6"/>
            <w:vAlign w:val="center"/>
            <w:hideMark/>
          </w:tcPr>
          <w:p w14:paraId="7DB53190" w14:textId="77777777" w:rsidR="00E13C7F" w:rsidRPr="000C7FCC" w:rsidRDefault="00E13C7F" w:rsidP="00D45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0C7FC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2023</w:t>
            </w:r>
          </w:p>
        </w:tc>
        <w:tc>
          <w:tcPr>
            <w:tcW w:w="884" w:type="pct"/>
            <w:shd w:val="clear" w:color="auto" w:fill="E6E6E6"/>
            <w:vAlign w:val="center"/>
            <w:hideMark/>
          </w:tcPr>
          <w:p w14:paraId="1F04E31E" w14:textId="35677759" w:rsidR="00E13C7F" w:rsidRPr="000C7FCC" w:rsidRDefault="00E13C7F" w:rsidP="00D457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0C7FC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2024</w:t>
            </w:r>
          </w:p>
        </w:tc>
      </w:tr>
      <w:tr w:rsidR="00E13C7F" w:rsidRPr="004A020B" w14:paraId="14997C49" w14:textId="77777777" w:rsidTr="00F16B71">
        <w:trPr>
          <w:trHeight w:val="283"/>
        </w:trPr>
        <w:tc>
          <w:tcPr>
            <w:tcW w:w="571" w:type="pct"/>
            <w:vMerge/>
            <w:shd w:val="clear" w:color="auto" w:fill="E6E6E6"/>
            <w:vAlign w:val="center"/>
          </w:tcPr>
          <w:p w14:paraId="2013B008" w14:textId="77777777" w:rsidR="00E13C7F" w:rsidRPr="000C7FCC" w:rsidRDefault="00E13C7F" w:rsidP="00D014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886" w:type="pct"/>
            <w:vMerge/>
            <w:shd w:val="clear" w:color="auto" w:fill="E6E6E6"/>
            <w:vAlign w:val="center"/>
          </w:tcPr>
          <w:p w14:paraId="2E54EAC4" w14:textId="77777777" w:rsidR="00E13C7F" w:rsidRPr="000C7FCC" w:rsidRDefault="00E13C7F" w:rsidP="00D457B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3543" w:type="pct"/>
            <w:gridSpan w:val="4"/>
            <w:shd w:val="clear" w:color="auto" w:fill="E6E6E6"/>
            <w:vAlign w:val="center"/>
          </w:tcPr>
          <w:p w14:paraId="4DFD9712" w14:textId="290535C0" w:rsidR="00E13C7F" w:rsidRPr="00F16B71" w:rsidRDefault="00E13C7F" w:rsidP="00F16B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16B7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Částka v eurech</w:t>
            </w:r>
          </w:p>
        </w:tc>
      </w:tr>
      <w:tr w:rsidR="006776F4" w:rsidRPr="004A020B" w14:paraId="016B490B" w14:textId="77777777" w:rsidTr="00F16B71">
        <w:trPr>
          <w:trHeight w:val="204"/>
        </w:trPr>
        <w:tc>
          <w:tcPr>
            <w:tcW w:w="571" w:type="pct"/>
            <w:vMerge w:val="restart"/>
            <w:shd w:val="clear" w:color="auto" w:fill="E6E6E6"/>
            <w:vAlign w:val="center"/>
            <w:hideMark/>
          </w:tcPr>
          <w:p w14:paraId="056AC3BC" w14:textId="6C2198CC" w:rsidR="000C7FCC" w:rsidRPr="00B9666F" w:rsidRDefault="00313FD3" w:rsidP="00D01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966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DPH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</w:t>
            </w:r>
            <w:r w:rsidR="000C7FCC" w:rsidRPr="00B966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ybraná v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  <w:r w:rsidR="000C7FCC" w:rsidRPr="00B966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ČR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a </w:t>
            </w:r>
            <w:r w:rsidR="000C7FCC" w:rsidRPr="00B966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odeslaná do JČS (ČR jako ČSI)</w:t>
            </w:r>
          </w:p>
        </w:tc>
        <w:tc>
          <w:tcPr>
            <w:tcW w:w="886" w:type="pct"/>
            <w:vAlign w:val="center"/>
            <w:hideMark/>
          </w:tcPr>
          <w:p w14:paraId="6BE3A397" w14:textId="77777777" w:rsidR="000C7FCC" w:rsidRPr="000C7FCC" w:rsidRDefault="000C7FCC" w:rsidP="00F16B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0C7F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Režim EU</w:t>
            </w:r>
          </w:p>
        </w:tc>
        <w:tc>
          <w:tcPr>
            <w:tcW w:w="886" w:type="pct"/>
            <w:shd w:val="clear" w:color="000000" w:fill="FFFFFF"/>
            <w:vAlign w:val="center"/>
            <w:hideMark/>
          </w:tcPr>
          <w:p w14:paraId="1707BCB6" w14:textId="77777777" w:rsidR="000C7FCC" w:rsidRPr="000C7FCC" w:rsidRDefault="000C7FCC" w:rsidP="00D457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0C7F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29 995 976,28</w:t>
            </w:r>
          </w:p>
        </w:tc>
        <w:tc>
          <w:tcPr>
            <w:tcW w:w="886" w:type="pct"/>
            <w:shd w:val="clear" w:color="000000" w:fill="FFFFFF"/>
            <w:vAlign w:val="center"/>
            <w:hideMark/>
          </w:tcPr>
          <w:p w14:paraId="1EDF587A" w14:textId="77777777" w:rsidR="000C7FCC" w:rsidRPr="000C7FCC" w:rsidRDefault="000C7FCC" w:rsidP="00D457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0C7F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211 601 294,10</w:t>
            </w:r>
          </w:p>
        </w:tc>
        <w:tc>
          <w:tcPr>
            <w:tcW w:w="887" w:type="pct"/>
            <w:shd w:val="clear" w:color="000000" w:fill="FFFFFF"/>
            <w:vAlign w:val="center"/>
            <w:hideMark/>
          </w:tcPr>
          <w:p w14:paraId="7952094C" w14:textId="77777777" w:rsidR="000C7FCC" w:rsidRPr="000C7FCC" w:rsidRDefault="000C7FCC" w:rsidP="00D457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0C7F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337 608 728,20</w:t>
            </w:r>
          </w:p>
        </w:tc>
        <w:tc>
          <w:tcPr>
            <w:tcW w:w="884" w:type="pct"/>
            <w:shd w:val="clear" w:color="000000" w:fill="FFFFFF"/>
            <w:vAlign w:val="center"/>
            <w:hideMark/>
          </w:tcPr>
          <w:p w14:paraId="1A4F4ABE" w14:textId="21686AC7" w:rsidR="000C7FCC" w:rsidRPr="000C7FCC" w:rsidRDefault="000C7FCC" w:rsidP="00D457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0C7F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463 435 837,60</w:t>
            </w:r>
          </w:p>
        </w:tc>
      </w:tr>
      <w:tr w:rsidR="006776F4" w:rsidRPr="004A020B" w14:paraId="0826273A" w14:textId="77777777" w:rsidTr="00F16B71">
        <w:trPr>
          <w:trHeight w:val="204"/>
        </w:trPr>
        <w:tc>
          <w:tcPr>
            <w:tcW w:w="571" w:type="pct"/>
            <w:vMerge/>
            <w:shd w:val="clear" w:color="auto" w:fill="E6E6E6"/>
            <w:vAlign w:val="center"/>
            <w:hideMark/>
          </w:tcPr>
          <w:p w14:paraId="0BDDCB4B" w14:textId="77777777" w:rsidR="000C7FCC" w:rsidRPr="000C7FCC" w:rsidRDefault="000C7FCC" w:rsidP="00D014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886" w:type="pct"/>
            <w:vAlign w:val="center"/>
            <w:hideMark/>
          </w:tcPr>
          <w:p w14:paraId="56CCBABD" w14:textId="77777777" w:rsidR="000C7FCC" w:rsidRPr="000C7FCC" w:rsidRDefault="000C7FCC" w:rsidP="00F16B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0C7F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Režim mimo EU</w:t>
            </w:r>
          </w:p>
        </w:tc>
        <w:tc>
          <w:tcPr>
            <w:tcW w:w="886" w:type="pct"/>
            <w:shd w:val="clear" w:color="000000" w:fill="FFFFFF"/>
            <w:vAlign w:val="center"/>
            <w:hideMark/>
          </w:tcPr>
          <w:p w14:paraId="0724B660" w14:textId="77777777" w:rsidR="000C7FCC" w:rsidRPr="000C7FCC" w:rsidRDefault="000C7FCC" w:rsidP="00D457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0C7F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1 368 520,29</w:t>
            </w:r>
          </w:p>
        </w:tc>
        <w:tc>
          <w:tcPr>
            <w:tcW w:w="886" w:type="pct"/>
            <w:shd w:val="clear" w:color="000000" w:fill="FFFFFF"/>
            <w:vAlign w:val="center"/>
            <w:hideMark/>
          </w:tcPr>
          <w:p w14:paraId="2675243E" w14:textId="77777777" w:rsidR="000C7FCC" w:rsidRPr="000C7FCC" w:rsidRDefault="000C7FCC" w:rsidP="00D457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0C7F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2 311 693,31</w:t>
            </w:r>
          </w:p>
        </w:tc>
        <w:tc>
          <w:tcPr>
            <w:tcW w:w="887" w:type="pct"/>
            <w:shd w:val="clear" w:color="000000" w:fill="FFFFFF"/>
            <w:vAlign w:val="center"/>
            <w:hideMark/>
          </w:tcPr>
          <w:p w14:paraId="76FC2E2B" w14:textId="77777777" w:rsidR="000C7FCC" w:rsidRPr="000C7FCC" w:rsidRDefault="000C7FCC" w:rsidP="00D457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0C7F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2 755 010,59</w:t>
            </w:r>
          </w:p>
        </w:tc>
        <w:tc>
          <w:tcPr>
            <w:tcW w:w="884" w:type="pct"/>
            <w:shd w:val="clear" w:color="000000" w:fill="FFFFFF"/>
            <w:vAlign w:val="center"/>
            <w:hideMark/>
          </w:tcPr>
          <w:p w14:paraId="407435EA" w14:textId="52A7FD23" w:rsidR="000C7FCC" w:rsidRPr="000C7FCC" w:rsidRDefault="000C7FCC" w:rsidP="00D457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0C7F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2 806 985,55</w:t>
            </w:r>
          </w:p>
        </w:tc>
      </w:tr>
      <w:tr w:rsidR="006776F4" w:rsidRPr="004A020B" w14:paraId="0A4509E5" w14:textId="77777777" w:rsidTr="00F16B71">
        <w:trPr>
          <w:trHeight w:val="204"/>
        </w:trPr>
        <w:tc>
          <w:tcPr>
            <w:tcW w:w="571" w:type="pct"/>
            <w:vMerge/>
            <w:shd w:val="clear" w:color="auto" w:fill="E6E6E6"/>
            <w:vAlign w:val="center"/>
            <w:hideMark/>
          </w:tcPr>
          <w:p w14:paraId="3ABB843C" w14:textId="77777777" w:rsidR="000C7FCC" w:rsidRPr="000C7FCC" w:rsidRDefault="000C7FCC" w:rsidP="00D014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886" w:type="pct"/>
            <w:vAlign w:val="center"/>
            <w:hideMark/>
          </w:tcPr>
          <w:p w14:paraId="46CCB30F" w14:textId="77777777" w:rsidR="000C7FCC" w:rsidRPr="000C7FCC" w:rsidRDefault="000C7FCC" w:rsidP="00F16B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0C7F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Dovozní režim</w:t>
            </w:r>
          </w:p>
        </w:tc>
        <w:tc>
          <w:tcPr>
            <w:tcW w:w="886" w:type="pct"/>
            <w:shd w:val="clear" w:color="000000" w:fill="FFFFFF"/>
            <w:vAlign w:val="center"/>
            <w:hideMark/>
          </w:tcPr>
          <w:p w14:paraId="35FE284E" w14:textId="77777777" w:rsidR="000C7FCC" w:rsidRPr="000C7FCC" w:rsidRDefault="000C7FCC" w:rsidP="00D457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0C7F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1 036 434,78</w:t>
            </w:r>
          </w:p>
        </w:tc>
        <w:tc>
          <w:tcPr>
            <w:tcW w:w="886" w:type="pct"/>
            <w:shd w:val="clear" w:color="000000" w:fill="FFFFFF"/>
            <w:vAlign w:val="center"/>
            <w:hideMark/>
          </w:tcPr>
          <w:p w14:paraId="725D1AB7" w14:textId="77777777" w:rsidR="000C7FCC" w:rsidRPr="000C7FCC" w:rsidRDefault="000C7FCC" w:rsidP="00D457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0C7F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3 816 986,83</w:t>
            </w:r>
          </w:p>
        </w:tc>
        <w:tc>
          <w:tcPr>
            <w:tcW w:w="887" w:type="pct"/>
            <w:shd w:val="clear" w:color="000000" w:fill="FFFFFF"/>
            <w:vAlign w:val="center"/>
            <w:hideMark/>
          </w:tcPr>
          <w:p w14:paraId="78D6CB46" w14:textId="77777777" w:rsidR="000C7FCC" w:rsidRPr="000C7FCC" w:rsidRDefault="000C7FCC" w:rsidP="00D457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0C7F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2 934 438,30</w:t>
            </w:r>
          </w:p>
        </w:tc>
        <w:tc>
          <w:tcPr>
            <w:tcW w:w="884" w:type="pct"/>
            <w:shd w:val="clear" w:color="000000" w:fill="FFFFFF"/>
            <w:vAlign w:val="center"/>
            <w:hideMark/>
          </w:tcPr>
          <w:p w14:paraId="574475AB" w14:textId="7F5DAEE3" w:rsidR="000C7FCC" w:rsidRPr="000C7FCC" w:rsidRDefault="000C7FCC" w:rsidP="00D457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0C7FCC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2 567 133,35</w:t>
            </w:r>
          </w:p>
        </w:tc>
      </w:tr>
      <w:tr w:rsidR="006776F4" w:rsidRPr="004A020B" w14:paraId="0ECABD82" w14:textId="77777777" w:rsidTr="00F16B71">
        <w:trPr>
          <w:trHeight w:val="204"/>
        </w:trPr>
        <w:tc>
          <w:tcPr>
            <w:tcW w:w="571" w:type="pct"/>
            <w:vMerge/>
            <w:shd w:val="clear" w:color="auto" w:fill="E6E6E6"/>
            <w:vAlign w:val="center"/>
            <w:hideMark/>
          </w:tcPr>
          <w:p w14:paraId="15994087" w14:textId="77777777" w:rsidR="000C7FCC" w:rsidRPr="000C7FCC" w:rsidRDefault="000C7FCC" w:rsidP="00D014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886" w:type="pct"/>
            <w:shd w:val="clear" w:color="auto" w:fill="EDD4D9"/>
            <w:vAlign w:val="center"/>
            <w:hideMark/>
          </w:tcPr>
          <w:p w14:paraId="334D4692" w14:textId="77777777" w:rsidR="000C7FCC" w:rsidRPr="000C7FCC" w:rsidRDefault="000C7FCC" w:rsidP="00F16B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0C7FC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Celkem</w:t>
            </w:r>
          </w:p>
        </w:tc>
        <w:tc>
          <w:tcPr>
            <w:tcW w:w="886" w:type="pct"/>
            <w:shd w:val="clear" w:color="auto" w:fill="EDD4D9"/>
            <w:vAlign w:val="center"/>
            <w:hideMark/>
          </w:tcPr>
          <w:p w14:paraId="36992C7A" w14:textId="77777777" w:rsidR="000C7FCC" w:rsidRPr="000C7FCC" w:rsidRDefault="000C7FCC" w:rsidP="00D457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0C7FC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32 400 931,35</w:t>
            </w:r>
          </w:p>
        </w:tc>
        <w:tc>
          <w:tcPr>
            <w:tcW w:w="886" w:type="pct"/>
            <w:shd w:val="clear" w:color="auto" w:fill="EDD4D9"/>
            <w:vAlign w:val="center"/>
            <w:hideMark/>
          </w:tcPr>
          <w:p w14:paraId="2D4C0B34" w14:textId="77777777" w:rsidR="000C7FCC" w:rsidRPr="000C7FCC" w:rsidRDefault="000C7FCC" w:rsidP="00D457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0C7FC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217 729 974,76</w:t>
            </w:r>
          </w:p>
        </w:tc>
        <w:tc>
          <w:tcPr>
            <w:tcW w:w="887" w:type="pct"/>
            <w:shd w:val="clear" w:color="auto" w:fill="EDD4D9"/>
            <w:vAlign w:val="center"/>
            <w:hideMark/>
          </w:tcPr>
          <w:p w14:paraId="59569D49" w14:textId="77777777" w:rsidR="000C7FCC" w:rsidRPr="000C7FCC" w:rsidRDefault="000C7FCC" w:rsidP="00D457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0C7FC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343 298 177,09</w:t>
            </w:r>
          </w:p>
        </w:tc>
        <w:tc>
          <w:tcPr>
            <w:tcW w:w="884" w:type="pct"/>
            <w:shd w:val="clear" w:color="auto" w:fill="EDD4D9"/>
            <w:vAlign w:val="center"/>
            <w:hideMark/>
          </w:tcPr>
          <w:p w14:paraId="3599971A" w14:textId="5FA4438E" w:rsidR="000C7FCC" w:rsidRPr="000C7FCC" w:rsidRDefault="000C7FCC" w:rsidP="00D457B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0C7FC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468 809 956,50</w:t>
            </w:r>
          </w:p>
        </w:tc>
      </w:tr>
    </w:tbl>
    <w:p w14:paraId="25F8F45B" w14:textId="77777777" w:rsidR="003D7833" w:rsidRPr="0030650C" w:rsidRDefault="003D7833" w:rsidP="003D7833">
      <w:pPr>
        <w:pStyle w:val="Odstavecsmalmodsazenm"/>
        <w:spacing w:after="0"/>
        <w:rPr>
          <w:rFonts w:ascii="Calibri" w:hAnsi="Calibri" w:cs="Calibri"/>
          <w:bCs/>
          <w:sz w:val="20"/>
          <w:szCs w:val="20"/>
        </w:rPr>
      </w:pPr>
      <w:r w:rsidRPr="00F16B71">
        <w:rPr>
          <w:rFonts w:ascii="Calibri" w:hAnsi="Calibri" w:cs="Calibri"/>
          <w:b/>
          <w:sz w:val="20"/>
          <w:szCs w:val="20"/>
        </w:rPr>
        <w:t>Zdroj:</w:t>
      </w:r>
      <w:r w:rsidRPr="0030650C">
        <w:rPr>
          <w:rFonts w:ascii="Calibri" w:hAnsi="Calibri" w:cs="Calibri"/>
          <w:bCs/>
          <w:sz w:val="20"/>
          <w:szCs w:val="20"/>
        </w:rPr>
        <w:t xml:space="preserve"> </w:t>
      </w:r>
      <w:r>
        <w:rPr>
          <w:rFonts w:ascii="Calibri" w:hAnsi="Calibri" w:cs="Calibri"/>
          <w:bCs/>
          <w:sz w:val="20"/>
          <w:szCs w:val="20"/>
        </w:rPr>
        <w:t>FÚ JMK.</w:t>
      </w:r>
    </w:p>
    <w:p w14:paraId="430D3CA7" w14:textId="77777777" w:rsidR="003D7833" w:rsidRDefault="003D7833" w:rsidP="00313E6C">
      <w:pPr>
        <w:pStyle w:val="Zkladntext1"/>
        <w:shd w:val="clear" w:color="auto" w:fill="auto"/>
        <w:spacing w:after="0"/>
      </w:pPr>
    </w:p>
    <w:p w14:paraId="21CD7DAB" w14:textId="67AECF0A" w:rsidR="002E7ECD" w:rsidRPr="00F16B71" w:rsidRDefault="00313FD3" w:rsidP="00F16B71">
      <w:pPr>
        <w:spacing w:after="120"/>
        <w:jc w:val="both"/>
        <w:rPr>
          <w:b/>
          <w:bCs/>
        </w:rPr>
      </w:pPr>
      <w:r>
        <w:rPr>
          <w:b/>
          <w:bCs/>
        </w:rPr>
        <w:t xml:space="preserve">1.2 </w:t>
      </w:r>
      <w:r w:rsidR="002E7ECD" w:rsidRPr="00F16B71">
        <w:rPr>
          <w:b/>
          <w:bCs/>
        </w:rPr>
        <w:t>ČR jako stát spotřeby</w:t>
      </w:r>
    </w:p>
    <w:p w14:paraId="0E0B2B6A" w14:textId="5EB58675" w:rsidR="002E7ECD" w:rsidRDefault="00CF0D2B" w:rsidP="003627B6">
      <w:pPr>
        <w:pStyle w:val="Odstavecsmalmodsazenm"/>
        <w:spacing w:after="0"/>
        <w:rPr>
          <w:lang w:eastAsia="en-US"/>
        </w:rPr>
      </w:pPr>
      <w:r w:rsidRPr="00B85B25">
        <w:t>Členské státy identifikace mají povinnost pravidelně po</w:t>
      </w:r>
      <w:r>
        <w:t>sílat</w:t>
      </w:r>
      <w:r w:rsidRPr="00B85B25">
        <w:t xml:space="preserve"> členským státům spotřeby informac</w:t>
      </w:r>
      <w:r w:rsidR="00E13C7F">
        <w:t>e o tom</w:t>
      </w:r>
      <w:r w:rsidRPr="00B85B25">
        <w:t>, které subjekty podaly DAP</w:t>
      </w:r>
      <w:r>
        <w:t xml:space="preserve"> ve zvláštním režimu </w:t>
      </w:r>
      <w:r w:rsidRPr="00B85B25">
        <w:t xml:space="preserve">a kolik je tvrzená daň. </w:t>
      </w:r>
      <w:r w:rsidR="002E7ECD" w:rsidRPr="00773982">
        <w:rPr>
          <w:lang w:eastAsia="en-US"/>
        </w:rPr>
        <w:t>V letech 2021 až 2024 došlo k výraznému nár</w:t>
      </w:r>
      <w:r w:rsidR="002E7ECD">
        <w:rPr>
          <w:lang w:eastAsia="en-US"/>
        </w:rPr>
        <w:t>ů</w:t>
      </w:r>
      <w:r w:rsidR="002E7ECD" w:rsidRPr="00773982">
        <w:rPr>
          <w:lang w:eastAsia="en-US"/>
        </w:rPr>
        <w:t xml:space="preserve">stu </w:t>
      </w:r>
      <w:r w:rsidR="00E13C7F">
        <w:rPr>
          <w:lang w:eastAsia="en-US"/>
        </w:rPr>
        <w:t>počtu</w:t>
      </w:r>
      <w:r w:rsidR="002E7ECD" w:rsidRPr="00773982">
        <w:rPr>
          <w:lang w:eastAsia="en-US"/>
        </w:rPr>
        <w:t xml:space="preserve"> </w:t>
      </w:r>
      <w:r w:rsidR="002E7ECD">
        <w:rPr>
          <w:lang w:eastAsia="en-US"/>
        </w:rPr>
        <w:t>DAP</w:t>
      </w:r>
      <w:r>
        <w:rPr>
          <w:lang w:eastAsia="en-US"/>
        </w:rPr>
        <w:t xml:space="preserve"> </w:t>
      </w:r>
      <w:r w:rsidR="002E7ECD">
        <w:rPr>
          <w:lang w:eastAsia="en-US"/>
        </w:rPr>
        <w:t>ve zvláštním režimu</w:t>
      </w:r>
      <w:r w:rsidR="002E7ECD" w:rsidRPr="00773982">
        <w:rPr>
          <w:lang w:eastAsia="en-US"/>
        </w:rPr>
        <w:t xml:space="preserve"> </w:t>
      </w:r>
      <w:r w:rsidR="00E13C7F">
        <w:rPr>
          <w:lang w:eastAsia="en-US"/>
        </w:rPr>
        <w:t xml:space="preserve">odeslaných </w:t>
      </w:r>
      <w:r>
        <w:rPr>
          <w:lang w:eastAsia="en-US"/>
        </w:rPr>
        <w:t>z</w:t>
      </w:r>
      <w:r w:rsidR="00E13C7F">
        <w:rPr>
          <w:lang w:eastAsia="en-US"/>
        </w:rPr>
        <w:t> </w:t>
      </w:r>
      <w:r>
        <w:rPr>
          <w:lang w:eastAsia="en-US"/>
        </w:rPr>
        <w:t xml:space="preserve">JČS </w:t>
      </w:r>
      <w:r w:rsidR="002E7ECD" w:rsidRPr="00773982">
        <w:rPr>
          <w:lang w:eastAsia="en-US"/>
        </w:rPr>
        <w:t>do ČR jako státu spotřeby.</w:t>
      </w:r>
    </w:p>
    <w:p w14:paraId="18564978" w14:textId="77777777" w:rsidR="003627B6" w:rsidRDefault="003627B6" w:rsidP="003627B6">
      <w:pPr>
        <w:pStyle w:val="Odstavecsmalmodsazenm"/>
        <w:spacing w:after="0"/>
        <w:rPr>
          <w:lang w:eastAsia="en-US"/>
        </w:rPr>
      </w:pPr>
    </w:p>
    <w:p w14:paraId="756EC19F" w14:textId="26FABCE1" w:rsidR="00DE71C2" w:rsidRPr="00DE71C2" w:rsidRDefault="00DE71C2" w:rsidP="00DE71C2">
      <w:pPr>
        <w:spacing w:after="0"/>
        <w:jc w:val="both"/>
        <w:rPr>
          <w:rFonts w:cstheme="minorHAnsi"/>
          <w:b/>
        </w:rPr>
      </w:pPr>
      <w:r w:rsidRPr="00DE71C2">
        <w:rPr>
          <w:rFonts w:cstheme="minorHAnsi"/>
          <w:b/>
        </w:rPr>
        <w:t xml:space="preserve">Tabulka č. </w:t>
      </w:r>
      <w:r w:rsidR="003D7833">
        <w:rPr>
          <w:rFonts w:cstheme="minorHAnsi"/>
          <w:b/>
        </w:rPr>
        <w:t>5</w:t>
      </w:r>
      <w:r w:rsidRPr="00DE71C2">
        <w:rPr>
          <w:rFonts w:cstheme="minorHAnsi"/>
          <w:b/>
        </w:rPr>
        <w:t xml:space="preserve">: </w:t>
      </w:r>
      <w:r w:rsidR="00B30F7A">
        <w:rPr>
          <w:rFonts w:cstheme="minorHAnsi"/>
          <w:b/>
        </w:rPr>
        <w:t xml:space="preserve">Počet </w:t>
      </w:r>
      <w:r w:rsidR="00015D4F">
        <w:rPr>
          <w:rFonts w:cstheme="minorHAnsi"/>
          <w:b/>
        </w:rPr>
        <w:t>DAP</w:t>
      </w:r>
      <w:r w:rsidR="00B30F7A">
        <w:rPr>
          <w:rFonts w:cstheme="minorHAnsi"/>
          <w:b/>
        </w:rPr>
        <w:t xml:space="preserve"> </w:t>
      </w:r>
      <w:r w:rsidR="002256D9">
        <w:rPr>
          <w:rFonts w:cstheme="minorHAnsi"/>
          <w:b/>
        </w:rPr>
        <w:t>ve zvláštním režimu</w:t>
      </w:r>
      <w:r w:rsidRPr="00DE71C2">
        <w:rPr>
          <w:rFonts w:cstheme="minorHAnsi"/>
          <w:b/>
        </w:rPr>
        <w:t xml:space="preserve">, ČR jako stát spotřeby </w:t>
      </w:r>
    </w:p>
    <w:tbl>
      <w:tblPr>
        <w:tblStyle w:val="Mkatabulky"/>
        <w:tblW w:w="5006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01"/>
        <w:gridCol w:w="1376"/>
        <w:gridCol w:w="1585"/>
        <w:gridCol w:w="1471"/>
        <w:gridCol w:w="1471"/>
        <w:gridCol w:w="1463"/>
      </w:tblGrid>
      <w:tr w:rsidR="00E13C7F" w:rsidRPr="00872402" w14:paraId="48073611" w14:textId="77777777" w:rsidTr="00F16B71">
        <w:tc>
          <w:tcPr>
            <w:tcW w:w="938" w:type="pct"/>
            <w:shd w:val="clear" w:color="auto" w:fill="E6E6E6"/>
            <w:vAlign w:val="center"/>
          </w:tcPr>
          <w:p w14:paraId="3506F5FC" w14:textId="54A7B4AC" w:rsidR="00E44AD8" w:rsidRPr="00007DDD" w:rsidRDefault="00435D38" w:rsidP="00313E6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</w:t>
            </w:r>
            <w:r w:rsidR="00E44AD8">
              <w:rPr>
                <w:rFonts w:cstheme="minorHAnsi"/>
                <w:b/>
              </w:rPr>
              <w:t xml:space="preserve">vláštní </w:t>
            </w:r>
            <w:r w:rsidR="00E44AD8" w:rsidRPr="00007DDD">
              <w:rPr>
                <w:rFonts w:cstheme="minorHAnsi"/>
                <w:b/>
              </w:rPr>
              <w:t>režim</w:t>
            </w:r>
          </w:p>
        </w:tc>
        <w:tc>
          <w:tcPr>
            <w:tcW w:w="759" w:type="pct"/>
            <w:shd w:val="clear" w:color="auto" w:fill="E6E6E6"/>
            <w:vAlign w:val="center"/>
          </w:tcPr>
          <w:p w14:paraId="67179CE3" w14:textId="5E93DB93" w:rsidR="00E44AD8" w:rsidRPr="00007DDD" w:rsidRDefault="00E44AD8" w:rsidP="00FD22E7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DAP ve zvláštním režimu</w:t>
            </w:r>
          </w:p>
        </w:tc>
        <w:tc>
          <w:tcPr>
            <w:tcW w:w="874" w:type="pct"/>
            <w:shd w:val="clear" w:color="auto" w:fill="E6E6E6"/>
            <w:vAlign w:val="center"/>
          </w:tcPr>
          <w:p w14:paraId="0FEA903A" w14:textId="40CB01A0" w:rsidR="00E44AD8" w:rsidRPr="00007DDD" w:rsidRDefault="00E44AD8" w:rsidP="00FD22E7">
            <w:pPr>
              <w:jc w:val="center"/>
              <w:rPr>
                <w:rFonts w:cstheme="minorHAnsi"/>
                <w:b/>
              </w:rPr>
            </w:pPr>
            <w:r w:rsidRPr="00007DDD">
              <w:rPr>
                <w:rFonts w:cstheme="minorHAnsi"/>
                <w:b/>
              </w:rPr>
              <w:t>Od 1.</w:t>
            </w:r>
            <w:r w:rsidR="00E13C7F">
              <w:rPr>
                <w:rFonts w:cstheme="minorHAnsi"/>
                <w:b/>
              </w:rPr>
              <w:t xml:space="preserve"> července</w:t>
            </w:r>
          </w:p>
          <w:p w14:paraId="34ABB9CB" w14:textId="77777777" w:rsidR="00E44AD8" w:rsidRPr="00007DDD" w:rsidRDefault="00E44AD8" w:rsidP="00FD22E7">
            <w:pPr>
              <w:jc w:val="center"/>
              <w:rPr>
                <w:rFonts w:cstheme="minorHAnsi"/>
                <w:b/>
              </w:rPr>
            </w:pPr>
            <w:r w:rsidRPr="00007DDD">
              <w:rPr>
                <w:rFonts w:cstheme="minorHAnsi"/>
                <w:b/>
              </w:rPr>
              <w:t>2021</w:t>
            </w:r>
          </w:p>
        </w:tc>
        <w:tc>
          <w:tcPr>
            <w:tcW w:w="811" w:type="pct"/>
            <w:shd w:val="clear" w:color="auto" w:fill="E6E6E6"/>
            <w:vAlign w:val="center"/>
          </w:tcPr>
          <w:p w14:paraId="3B03677B" w14:textId="77777777" w:rsidR="00E44AD8" w:rsidRPr="00007DDD" w:rsidRDefault="00E44AD8" w:rsidP="00FD22E7">
            <w:pPr>
              <w:jc w:val="center"/>
              <w:rPr>
                <w:rFonts w:cstheme="minorHAnsi"/>
                <w:b/>
              </w:rPr>
            </w:pPr>
            <w:r w:rsidRPr="00007DDD">
              <w:rPr>
                <w:rFonts w:cstheme="minorHAnsi"/>
                <w:b/>
              </w:rPr>
              <w:t>2022</w:t>
            </w:r>
          </w:p>
        </w:tc>
        <w:tc>
          <w:tcPr>
            <w:tcW w:w="811" w:type="pct"/>
            <w:shd w:val="clear" w:color="auto" w:fill="E6E6E6"/>
            <w:vAlign w:val="center"/>
          </w:tcPr>
          <w:p w14:paraId="0CA59F25" w14:textId="77777777" w:rsidR="00E44AD8" w:rsidRPr="00007DDD" w:rsidRDefault="00E44AD8" w:rsidP="00FD22E7">
            <w:pPr>
              <w:jc w:val="center"/>
              <w:rPr>
                <w:rFonts w:cstheme="minorHAnsi"/>
                <w:b/>
              </w:rPr>
            </w:pPr>
            <w:r w:rsidRPr="00007DDD">
              <w:rPr>
                <w:rFonts w:cstheme="minorHAnsi"/>
                <w:b/>
              </w:rPr>
              <w:t>2023</w:t>
            </w:r>
          </w:p>
        </w:tc>
        <w:tc>
          <w:tcPr>
            <w:tcW w:w="807" w:type="pct"/>
            <w:shd w:val="clear" w:color="auto" w:fill="E6E6E6"/>
            <w:vAlign w:val="center"/>
          </w:tcPr>
          <w:p w14:paraId="48D71087" w14:textId="77777777" w:rsidR="00E44AD8" w:rsidRPr="00007DDD" w:rsidRDefault="00E44AD8" w:rsidP="00FD22E7">
            <w:pPr>
              <w:jc w:val="center"/>
              <w:rPr>
                <w:rFonts w:cstheme="minorHAnsi"/>
                <w:b/>
              </w:rPr>
            </w:pPr>
            <w:r w:rsidRPr="00007DDD">
              <w:rPr>
                <w:rFonts w:cstheme="minorHAnsi"/>
                <w:b/>
              </w:rPr>
              <w:t>2024</w:t>
            </w:r>
          </w:p>
        </w:tc>
      </w:tr>
      <w:tr w:rsidR="00321EF1" w:rsidRPr="00872402" w14:paraId="3E933B2F" w14:textId="77777777" w:rsidTr="00321EF1">
        <w:tc>
          <w:tcPr>
            <w:tcW w:w="938" w:type="pct"/>
            <w:vMerge w:val="restart"/>
            <w:vAlign w:val="center"/>
          </w:tcPr>
          <w:p w14:paraId="57B1F4BA" w14:textId="77777777" w:rsidR="00E44AD8" w:rsidRPr="00007DDD" w:rsidRDefault="00E44AD8" w:rsidP="00F16B71">
            <w:pPr>
              <w:rPr>
                <w:rFonts w:cstheme="minorHAnsi"/>
                <w:b/>
              </w:rPr>
            </w:pPr>
            <w:r w:rsidRPr="00007DDD">
              <w:rPr>
                <w:rFonts w:cstheme="minorHAnsi"/>
                <w:b/>
              </w:rPr>
              <w:t>Režim EU</w:t>
            </w:r>
          </w:p>
        </w:tc>
        <w:tc>
          <w:tcPr>
            <w:tcW w:w="759" w:type="pct"/>
            <w:vAlign w:val="center"/>
          </w:tcPr>
          <w:p w14:paraId="61067981" w14:textId="77777777" w:rsidR="00E44AD8" w:rsidRPr="00007DDD" w:rsidRDefault="00E44AD8" w:rsidP="00FD22E7">
            <w:pPr>
              <w:rPr>
                <w:rFonts w:cstheme="minorHAnsi"/>
                <w:bCs/>
              </w:rPr>
            </w:pPr>
            <w:r w:rsidRPr="00007DDD">
              <w:rPr>
                <w:rFonts w:cstheme="minorHAnsi"/>
                <w:bCs/>
              </w:rPr>
              <w:t xml:space="preserve">Řádná </w:t>
            </w:r>
          </w:p>
        </w:tc>
        <w:tc>
          <w:tcPr>
            <w:tcW w:w="874" w:type="pct"/>
            <w:vAlign w:val="center"/>
          </w:tcPr>
          <w:p w14:paraId="50704652" w14:textId="77777777" w:rsidR="00E44AD8" w:rsidRPr="00007DDD" w:rsidRDefault="00E44AD8" w:rsidP="00F16B71">
            <w:pPr>
              <w:jc w:val="right"/>
              <w:rPr>
                <w:rFonts w:cstheme="minorHAnsi"/>
                <w:bCs/>
              </w:rPr>
            </w:pPr>
            <w:r w:rsidRPr="00007DDD">
              <w:rPr>
                <w:rFonts w:cstheme="minorHAnsi"/>
                <w:bCs/>
              </w:rPr>
              <w:t>40 663</w:t>
            </w:r>
          </w:p>
        </w:tc>
        <w:tc>
          <w:tcPr>
            <w:tcW w:w="811" w:type="pct"/>
            <w:vAlign w:val="center"/>
          </w:tcPr>
          <w:p w14:paraId="7E46864F" w14:textId="77777777" w:rsidR="00E44AD8" w:rsidRPr="00007DDD" w:rsidRDefault="00E44AD8" w:rsidP="00F16B71">
            <w:pPr>
              <w:jc w:val="right"/>
              <w:rPr>
                <w:rFonts w:cstheme="minorHAnsi"/>
                <w:bCs/>
              </w:rPr>
            </w:pPr>
            <w:r w:rsidRPr="00007DDD">
              <w:rPr>
                <w:rFonts w:cstheme="minorHAnsi"/>
                <w:bCs/>
              </w:rPr>
              <w:t>101 667</w:t>
            </w:r>
          </w:p>
        </w:tc>
        <w:tc>
          <w:tcPr>
            <w:tcW w:w="811" w:type="pct"/>
            <w:vAlign w:val="center"/>
          </w:tcPr>
          <w:p w14:paraId="729B92B0" w14:textId="77777777" w:rsidR="00E44AD8" w:rsidRPr="00007DDD" w:rsidRDefault="00E44AD8" w:rsidP="00F16B71">
            <w:pPr>
              <w:jc w:val="right"/>
              <w:rPr>
                <w:rFonts w:cstheme="minorHAnsi"/>
                <w:bCs/>
              </w:rPr>
            </w:pPr>
            <w:r w:rsidRPr="00007DDD">
              <w:rPr>
                <w:rFonts w:cstheme="minorHAnsi"/>
                <w:bCs/>
              </w:rPr>
              <w:t xml:space="preserve">118 880 </w:t>
            </w:r>
          </w:p>
        </w:tc>
        <w:tc>
          <w:tcPr>
            <w:tcW w:w="807" w:type="pct"/>
            <w:vAlign w:val="center"/>
          </w:tcPr>
          <w:p w14:paraId="55574BDE" w14:textId="77777777" w:rsidR="00E44AD8" w:rsidRPr="00007DDD" w:rsidRDefault="00E44AD8" w:rsidP="00F16B71">
            <w:pPr>
              <w:jc w:val="right"/>
              <w:rPr>
                <w:rFonts w:cstheme="minorHAnsi"/>
                <w:bCs/>
              </w:rPr>
            </w:pPr>
            <w:r w:rsidRPr="00007DDD">
              <w:rPr>
                <w:rFonts w:cstheme="minorHAnsi"/>
                <w:bCs/>
              </w:rPr>
              <w:t xml:space="preserve">133 785 </w:t>
            </w:r>
          </w:p>
        </w:tc>
      </w:tr>
      <w:tr w:rsidR="00321EF1" w:rsidRPr="00872402" w14:paraId="5F7155AB" w14:textId="77777777" w:rsidTr="00321EF1">
        <w:tc>
          <w:tcPr>
            <w:tcW w:w="938" w:type="pct"/>
            <w:vMerge/>
            <w:vAlign w:val="center"/>
          </w:tcPr>
          <w:p w14:paraId="31524647" w14:textId="77777777" w:rsidR="00E44AD8" w:rsidRPr="00007DDD" w:rsidRDefault="00E44AD8" w:rsidP="00F16B71">
            <w:pPr>
              <w:rPr>
                <w:rFonts w:cstheme="minorHAnsi"/>
                <w:b/>
              </w:rPr>
            </w:pPr>
          </w:p>
        </w:tc>
        <w:tc>
          <w:tcPr>
            <w:tcW w:w="759" w:type="pct"/>
            <w:vAlign w:val="center"/>
          </w:tcPr>
          <w:p w14:paraId="3C5EE138" w14:textId="77777777" w:rsidR="00E44AD8" w:rsidRPr="00007DDD" w:rsidRDefault="00E44AD8" w:rsidP="00FD22E7">
            <w:pPr>
              <w:rPr>
                <w:rFonts w:cstheme="minorHAnsi"/>
                <w:bCs/>
              </w:rPr>
            </w:pPr>
            <w:r w:rsidRPr="00007DDD">
              <w:rPr>
                <w:rFonts w:cstheme="minorHAnsi"/>
                <w:bCs/>
              </w:rPr>
              <w:t>Dodatečná</w:t>
            </w:r>
          </w:p>
        </w:tc>
        <w:tc>
          <w:tcPr>
            <w:tcW w:w="874" w:type="pct"/>
            <w:vAlign w:val="center"/>
          </w:tcPr>
          <w:p w14:paraId="1EF2E981" w14:textId="77777777" w:rsidR="00E44AD8" w:rsidRPr="00007DDD" w:rsidRDefault="00E44AD8" w:rsidP="00F16B71">
            <w:pPr>
              <w:jc w:val="right"/>
              <w:rPr>
                <w:rFonts w:cstheme="minorHAnsi"/>
                <w:bCs/>
              </w:rPr>
            </w:pPr>
            <w:r w:rsidRPr="00007DDD">
              <w:rPr>
                <w:rFonts w:cstheme="minorHAnsi"/>
                <w:bCs/>
              </w:rPr>
              <w:t>2 379</w:t>
            </w:r>
          </w:p>
        </w:tc>
        <w:tc>
          <w:tcPr>
            <w:tcW w:w="811" w:type="pct"/>
            <w:vAlign w:val="center"/>
          </w:tcPr>
          <w:p w14:paraId="67F4AA44" w14:textId="77777777" w:rsidR="00E44AD8" w:rsidRPr="00007DDD" w:rsidRDefault="00E44AD8" w:rsidP="00F16B71">
            <w:pPr>
              <w:jc w:val="right"/>
              <w:rPr>
                <w:rFonts w:cstheme="minorHAnsi"/>
                <w:bCs/>
              </w:rPr>
            </w:pPr>
            <w:r w:rsidRPr="00007DDD">
              <w:rPr>
                <w:rFonts w:cstheme="minorHAnsi"/>
                <w:bCs/>
              </w:rPr>
              <w:t>5 097</w:t>
            </w:r>
          </w:p>
        </w:tc>
        <w:tc>
          <w:tcPr>
            <w:tcW w:w="811" w:type="pct"/>
            <w:vAlign w:val="center"/>
          </w:tcPr>
          <w:p w14:paraId="3034D995" w14:textId="77777777" w:rsidR="00E44AD8" w:rsidRPr="00007DDD" w:rsidRDefault="00E44AD8" w:rsidP="00F16B71">
            <w:pPr>
              <w:jc w:val="right"/>
              <w:rPr>
                <w:rFonts w:cstheme="minorHAnsi"/>
                <w:bCs/>
              </w:rPr>
            </w:pPr>
            <w:r w:rsidRPr="00007DDD">
              <w:rPr>
                <w:rFonts w:cstheme="minorHAnsi"/>
                <w:bCs/>
              </w:rPr>
              <w:t>5 760</w:t>
            </w:r>
          </w:p>
        </w:tc>
        <w:tc>
          <w:tcPr>
            <w:tcW w:w="807" w:type="pct"/>
            <w:vAlign w:val="center"/>
          </w:tcPr>
          <w:p w14:paraId="768BEBAA" w14:textId="77777777" w:rsidR="00E44AD8" w:rsidRPr="00007DDD" w:rsidRDefault="00E44AD8" w:rsidP="00F16B71">
            <w:pPr>
              <w:jc w:val="right"/>
              <w:rPr>
                <w:rFonts w:cstheme="minorHAnsi"/>
                <w:bCs/>
              </w:rPr>
            </w:pPr>
            <w:r w:rsidRPr="00007DDD">
              <w:rPr>
                <w:rFonts w:cstheme="minorHAnsi"/>
                <w:bCs/>
              </w:rPr>
              <w:t>2 816</w:t>
            </w:r>
          </w:p>
        </w:tc>
      </w:tr>
      <w:tr w:rsidR="00E13C7F" w:rsidRPr="00872402" w14:paraId="322D5C5E" w14:textId="77777777" w:rsidTr="00F16B71">
        <w:tc>
          <w:tcPr>
            <w:tcW w:w="938" w:type="pct"/>
            <w:vMerge/>
            <w:vAlign w:val="center"/>
          </w:tcPr>
          <w:p w14:paraId="19F07B55" w14:textId="77777777" w:rsidR="00E44AD8" w:rsidRPr="00007DDD" w:rsidRDefault="00E44AD8" w:rsidP="00F16B71">
            <w:pPr>
              <w:rPr>
                <w:rFonts w:cstheme="minorHAnsi"/>
                <w:b/>
              </w:rPr>
            </w:pPr>
          </w:p>
        </w:tc>
        <w:tc>
          <w:tcPr>
            <w:tcW w:w="759" w:type="pct"/>
            <w:shd w:val="clear" w:color="auto" w:fill="EDD4D9"/>
            <w:vAlign w:val="center"/>
          </w:tcPr>
          <w:p w14:paraId="39B8292C" w14:textId="77777777" w:rsidR="00E44AD8" w:rsidRPr="00007DDD" w:rsidRDefault="00E44AD8" w:rsidP="00FD22E7">
            <w:pPr>
              <w:rPr>
                <w:rFonts w:cstheme="minorHAnsi"/>
                <w:b/>
              </w:rPr>
            </w:pPr>
            <w:r w:rsidRPr="00007DDD">
              <w:rPr>
                <w:rFonts w:cstheme="minorHAnsi"/>
                <w:b/>
              </w:rPr>
              <w:t>Celkem</w:t>
            </w:r>
          </w:p>
        </w:tc>
        <w:tc>
          <w:tcPr>
            <w:tcW w:w="874" w:type="pct"/>
            <w:shd w:val="clear" w:color="auto" w:fill="EDD4D9"/>
            <w:vAlign w:val="center"/>
          </w:tcPr>
          <w:p w14:paraId="691046C9" w14:textId="77777777" w:rsidR="00E44AD8" w:rsidRPr="00007DDD" w:rsidRDefault="00E44AD8" w:rsidP="00F16B71">
            <w:pPr>
              <w:jc w:val="right"/>
              <w:rPr>
                <w:rFonts w:cstheme="minorHAnsi"/>
                <w:b/>
              </w:rPr>
            </w:pPr>
            <w:r w:rsidRPr="00007DDD">
              <w:rPr>
                <w:rFonts w:cstheme="minorHAnsi"/>
                <w:b/>
              </w:rPr>
              <w:t>43 042</w:t>
            </w:r>
          </w:p>
        </w:tc>
        <w:tc>
          <w:tcPr>
            <w:tcW w:w="811" w:type="pct"/>
            <w:shd w:val="clear" w:color="auto" w:fill="EDD4D9"/>
            <w:vAlign w:val="center"/>
          </w:tcPr>
          <w:p w14:paraId="30788A00" w14:textId="77777777" w:rsidR="00E44AD8" w:rsidRPr="00007DDD" w:rsidRDefault="00E44AD8" w:rsidP="00F16B71">
            <w:pPr>
              <w:jc w:val="right"/>
              <w:rPr>
                <w:rFonts w:cstheme="minorHAnsi"/>
                <w:b/>
              </w:rPr>
            </w:pPr>
            <w:r w:rsidRPr="00007DDD">
              <w:rPr>
                <w:rFonts w:cstheme="minorHAnsi"/>
                <w:b/>
              </w:rPr>
              <w:t>106 764</w:t>
            </w:r>
          </w:p>
        </w:tc>
        <w:tc>
          <w:tcPr>
            <w:tcW w:w="811" w:type="pct"/>
            <w:shd w:val="clear" w:color="auto" w:fill="EDD4D9"/>
            <w:vAlign w:val="center"/>
          </w:tcPr>
          <w:p w14:paraId="1B52FAF1" w14:textId="77777777" w:rsidR="00E44AD8" w:rsidRPr="00007DDD" w:rsidRDefault="00E44AD8" w:rsidP="00F16B71">
            <w:pPr>
              <w:jc w:val="right"/>
              <w:rPr>
                <w:rFonts w:cstheme="minorHAnsi"/>
                <w:b/>
              </w:rPr>
            </w:pPr>
            <w:r w:rsidRPr="00007DDD">
              <w:rPr>
                <w:rFonts w:cstheme="minorHAnsi"/>
                <w:b/>
              </w:rPr>
              <w:t>124 640</w:t>
            </w:r>
          </w:p>
        </w:tc>
        <w:tc>
          <w:tcPr>
            <w:tcW w:w="807" w:type="pct"/>
            <w:shd w:val="clear" w:color="auto" w:fill="EDD4D9"/>
            <w:vAlign w:val="center"/>
          </w:tcPr>
          <w:p w14:paraId="5971BA54" w14:textId="77777777" w:rsidR="00E44AD8" w:rsidRPr="00007DDD" w:rsidRDefault="00E44AD8" w:rsidP="00F16B71">
            <w:pPr>
              <w:jc w:val="right"/>
              <w:rPr>
                <w:rFonts w:cstheme="minorHAnsi"/>
                <w:b/>
              </w:rPr>
            </w:pPr>
            <w:r w:rsidRPr="00007DDD">
              <w:rPr>
                <w:rFonts w:cstheme="minorHAnsi"/>
                <w:b/>
              </w:rPr>
              <w:t>136 601</w:t>
            </w:r>
          </w:p>
        </w:tc>
      </w:tr>
      <w:tr w:rsidR="00321EF1" w:rsidRPr="00872402" w14:paraId="5D28C5FC" w14:textId="77777777" w:rsidTr="00321EF1">
        <w:tc>
          <w:tcPr>
            <w:tcW w:w="938" w:type="pct"/>
            <w:vMerge w:val="restart"/>
            <w:vAlign w:val="center"/>
          </w:tcPr>
          <w:p w14:paraId="113D51CD" w14:textId="77777777" w:rsidR="00E44AD8" w:rsidRPr="00007DDD" w:rsidRDefault="00E44AD8" w:rsidP="00F16B71">
            <w:pPr>
              <w:rPr>
                <w:rFonts w:cstheme="minorHAnsi"/>
                <w:b/>
              </w:rPr>
            </w:pPr>
            <w:r w:rsidRPr="00007DDD">
              <w:rPr>
                <w:rFonts w:cstheme="minorHAnsi"/>
                <w:b/>
              </w:rPr>
              <w:t>Režim mimo EU</w:t>
            </w:r>
          </w:p>
        </w:tc>
        <w:tc>
          <w:tcPr>
            <w:tcW w:w="759" w:type="pct"/>
            <w:vAlign w:val="center"/>
          </w:tcPr>
          <w:p w14:paraId="7877DC2B" w14:textId="77777777" w:rsidR="00E44AD8" w:rsidRPr="00007DDD" w:rsidRDefault="00E44AD8" w:rsidP="00FD22E7">
            <w:pPr>
              <w:rPr>
                <w:rFonts w:cstheme="minorHAnsi"/>
                <w:bCs/>
              </w:rPr>
            </w:pPr>
            <w:r w:rsidRPr="00007DDD">
              <w:rPr>
                <w:rFonts w:cstheme="minorHAnsi"/>
                <w:bCs/>
              </w:rPr>
              <w:t xml:space="preserve">Řádná </w:t>
            </w:r>
          </w:p>
        </w:tc>
        <w:tc>
          <w:tcPr>
            <w:tcW w:w="874" w:type="pct"/>
            <w:vAlign w:val="center"/>
          </w:tcPr>
          <w:p w14:paraId="29464E64" w14:textId="77777777" w:rsidR="00E44AD8" w:rsidRPr="00007DDD" w:rsidRDefault="00E44AD8" w:rsidP="00F16B71">
            <w:pPr>
              <w:jc w:val="right"/>
              <w:rPr>
                <w:rFonts w:cstheme="minorHAnsi"/>
                <w:bCs/>
              </w:rPr>
            </w:pPr>
            <w:r w:rsidRPr="00007DDD">
              <w:rPr>
                <w:rFonts w:cstheme="minorHAnsi"/>
                <w:bCs/>
              </w:rPr>
              <w:t>3 108</w:t>
            </w:r>
          </w:p>
        </w:tc>
        <w:tc>
          <w:tcPr>
            <w:tcW w:w="811" w:type="pct"/>
            <w:vAlign w:val="center"/>
          </w:tcPr>
          <w:p w14:paraId="093A140B" w14:textId="77777777" w:rsidR="00E44AD8" w:rsidRPr="00007DDD" w:rsidRDefault="00E44AD8" w:rsidP="00F16B71">
            <w:pPr>
              <w:jc w:val="right"/>
              <w:rPr>
                <w:rFonts w:cstheme="minorHAnsi"/>
                <w:bCs/>
              </w:rPr>
            </w:pPr>
            <w:r w:rsidRPr="00007DDD">
              <w:rPr>
                <w:rFonts w:cstheme="minorHAnsi"/>
                <w:bCs/>
              </w:rPr>
              <w:t>6 386</w:t>
            </w:r>
          </w:p>
        </w:tc>
        <w:tc>
          <w:tcPr>
            <w:tcW w:w="811" w:type="pct"/>
            <w:vAlign w:val="center"/>
          </w:tcPr>
          <w:p w14:paraId="141FA8F0" w14:textId="77777777" w:rsidR="00E44AD8" w:rsidRPr="00007DDD" w:rsidRDefault="00E44AD8" w:rsidP="00F16B71">
            <w:pPr>
              <w:jc w:val="right"/>
              <w:rPr>
                <w:rFonts w:cstheme="minorHAnsi"/>
                <w:bCs/>
              </w:rPr>
            </w:pPr>
            <w:r w:rsidRPr="00007DDD">
              <w:rPr>
                <w:rFonts w:cstheme="minorHAnsi"/>
                <w:bCs/>
              </w:rPr>
              <w:t>6 541</w:t>
            </w:r>
          </w:p>
        </w:tc>
        <w:tc>
          <w:tcPr>
            <w:tcW w:w="807" w:type="pct"/>
            <w:vAlign w:val="center"/>
          </w:tcPr>
          <w:p w14:paraId="1DA0C8D8" w14:textId="77777777" w:rsidR="00E44AD8" w:rsidRPr="00007DDD" w:rsidRDefault="00E44AD8" w:rsidP="00F16B71">
            <w:pPr>
              <w:jc w:val="right"/>
              <w:rPr>
                <w:rFonts w:cstheme="minorHAnsi"/>
                <w:bCs/>
              </w:rPr>
            </w:pPr>
            <w:r w:rsidRPr="00007DDD">
              <w:rPr>
                <w:rFonts w:cstheme="minorHAnsi"/>
                <w:bCs/>
              </w:rPr>
              <w:t>7 269</w:t>
            </w:r>
          </w:p>
        </w:tc>
      </w:tr>
      <w:tr w:rsidR="00321EF1" w:rsidRPr="00872402" w14:paraId="7414613A" w14:textId="77777777" w:rsidTr="00321EF1">
        <w:tc>
          <w:tcPr>
            <w:tcW w:w="938" w:type="pct"/>
            <w:vMerge/>
            <w:vAlign w:val="center"/>
          </w:tcPr>
          <w:p w14:paraId="004044F2" w14:textId="77777777" w:rsidR="00E44AD8" w:rsidRPr="00007DDD" w:rsidRDefault="00E44AD8" w:rsidP="00F16B71">
            <w:pPr>
              <w:rPr>
                <w:rFonts w:cstheme="minorHAnsi"/>
                <w:b/>
              </w:rPr>
            </w:pPr>
          </w:p>
        </w:tc>
        <w:tc>
          <w:tcPr>
            <w:tcW w:w="759" w:type="pct"/>
            <w:vAlign w:val="center"/>
          </w:tcPr>
          <w:p w14:paraId="3CA196B6" w14:textId="77777777" w:rsidR="00E44AD8" w:rsidRPr="00007DDD" w:rsidRDefault="00E44AD8" w:rsidP="00FD22E7">
            <w:pPr>
              <w:rPr>
                <w:rFonts w:cstheme="minorHAnsi"/>
                <w:bCs/>
              </w:rPr>
            </w:pPr>
            <w:r w:rsidRPr="00007DDD">
              <w:rPr>
                <w:rFonts w:cstheme="minorHAnsi"/>
                <w:bCs/>
              </w:rPr>
              <w:t>Dodatečná</w:t>
            </w:r>
          </w:p>
        </w:tc>
        <w:tc>
          <w:tcPr>
            <w:tcW w:w="874" w:type="pct"/>
            <w:vAlign w:val="center"/>
          </w:tcPr>
          <w:p w14:paraId="1E1F90B3" w14:textId="77777777" w:rsidR="00E44AD8" w:rsidRPr="00007DDD" w:rsidRDefault="00E44AD8" w:rsidP="00F16B71">
            <w:pPr>
              <w:jc w:val="right"/>
              <w:rPr>
                <w:rFonts w:cstheme="minorHAnsi"/>
                <w:bCs/>
              </w:rPr>
            </w:pPr>
            <w:r w:rsidRPr="00007DDD">
              <w:rPr>
                <w:rFonts w:cstheme="minorHAnsi"/>
                <w:bCs/>
              </w:rPr>
              <w:t>125</w:t>
            </w:r>
          </w:p>
        </w:tc>
        <w:tc>
          <w:tcPr>
            <w:tcW w:w="811" w:type="pct"/>
            <w:vAlign w:val="center"/>
          </w:tcPr>
          <w:p w14:paraId="3BFED6F4" w14:textId="77777777" w:rsidR="00E44AD8" w:rsidRPr="00007DDD" w:rsidRDefault="00E44AD8" w:rsidP="00F16B71">
            <w:pPr>
              <w:jc w:val="right"/>
              <w:rPr>
                <w:rFonts w:cstheme="minorHAnsi"/>
                <w:bCs/>
              </w:rPr>
            </w:pPr>
            <w:r w:rsidRPr="00007DDD">
              <w:rPr>
                <w:rFonts w:cstheme="minorHAnsi"/>
                <w:bCs/>
              </w:rPr>
              <w:t>233</w:t>
            </w:r>
          </w:p>
        </w:tc>
        <w:tc>
          <w:tcPr>
            <w:tcW w:w="811" w:type="pct"/>
            <w:vAlign w:val="center"/>
          </w:tcPr>
          <w:p w14:paraId="3A8923C3" w14:textId="77777777" w:rsidR="00E44AD8" w:rsidRPr="00007DDD" w:rsidRDefault="00E44AD8" w:rsidP="00F16B71">
            <w:pPr>
              <w:jc w:val="right"/>
              <w:rPr>
                <w:rFonts w:cstheme="minorHAnsi"/>
                <w:bCs/>
              </w:rPr>
            </w:pPr>
            <w:r w:rsidRPr="00007DDD">
              <w:rPr>
                <w:rFonts w:cstheme="minorHAnsi"/>
                <w:bCs/>
              </w:rPr>
              <w:t>276</w:t>
            </w:r>
          </w:p>
        </w:tc>
        <w:tc>
          <w:tcPr>
            <w:tcW w:w="807" w:type="pct"/>
            <w:vAlign w:val="center"/>
          </w:tcPr>
          <w:p w14:paraId="3A2DB081" w14:textId="77777777" w:rsidR="00E44AD8" w:rsidRPr="00007DDD" w:rsidRDefault="00E44AD8" w:rsidP="00F16B71">
            <w:pPr>
              <w:jc w:val="right"/>
              <w:rPr>
                <w:rFonts w:cstheme="minorHAnsi"/>
                <w:bCs/>
              </w:rPr>
            </w:pPr>
            <w:r w:rsidRPr="00007DDD">
              <w:rPr>
                <w:rFonts w:cstheme="minorHAnsi"/>
                <w:bCs/>
              </w:rPr>
              <w:t>101</w:t>
            </w:r>
          </w:p>
        </w:tc>
      </w:tr>
      <w:tr w:rsidR="00E13C7F" w:rsidRPr="00872402" w14:paraId="5DC93B02" w14:textId="77777777" w:rsidTr="00F16B71">
        <w:tc>
          <w:tcPr>
            <w:tcW w:w="938" w:type="pct"/>
            <w:vMerge/>
            <w:vAlign w:val="center"/>
          </w:tcPr>
          <w:p w14:paraId="4CE2D7DE" w14:textId="77777777" w:rsidR="00E44AD8" w:rsidRPr="00007DDD" w:rsidRDefault="00E44AD8" w:rsidP="00F16B71">
            <w:pPr>
              <w:rPr>
                <w:rFonts w:cstheme="minorHAnsi"/>
                <w:b/>
              </w:rPr>
            </w:pPr>
          </w:p>
        </w:tc>
        <w:tc>
          <w:tcPr>
            <w:tcW w:w="759" w:type="pct"/>
            <w:shd w:val="clear" w:color="auto" w:fill="EDD4D9"/>
            <w:vAlign w:val="center"/>
          </w:tcPr>
          <w:p w14:paraId="35804BC5" w14:textId="77777777" w:rsidR="00E44AD8" w:rsidRPr="00007DDD" w:rsidRDefault="00E44AD8" w:rsidP="00FD22E7">
            <w:pPr>
              <w:rPr>
                <w:rFonts w:cstheme="minorHAnsi"/>
                <w:b/>
              </w:rPr>
            </w:pPr>
            <w:r w:rsidRPr="00007DDD">
              <w:rPr>
                <w:rFonts w:cstheme="minorHAnsi"/>
                <w:b/>
              </w:rPr>
              <w:t>Celkem</w:t>
            </w:r>
          </w:p>
        </w:tc>
        <w:tc>
          <w:tcPr>
            <w:tcW w:w="874" w:type="pct"/>
            <w:shd w:val="clear" w:color="auto" w:fill="EDD4D9"/>
            <w:vAlign w:val="center"/>
          </w:tcPr>
          <w:p w14:paraId="15E7A288" w14:textId="77777777" w:rsidR="00E44AD8" w:rsidRPr="00007DDD" w:rsidRDefault="00E44AD8" w:rsidP="00F16B71">
            <w:pPr>
              <w:jc w:val="right"/>
              <w:rPr>
                <w:rFonts w:cstheme="minorHAnsi"/>
                <w:b/>
              </w:rPr>
            </w:pPr>
            <w:r w:rsidRPr="00007DDD">
              <w:rPr>
                <w:rFonts w:cstheme="minorHAnsi"/>
                <w:b/>
              </w:rPr>
              <w:t>3 233</w:t>
            </w:r>
          </w:p>
        </w:tc>
        <w:tc>
          <w:tcPr>
            <w:tcW w:w="811" w:type="pct"/>
            <w:shd w:val="clear" w:color="auto" w:fill="EDD4D9"/>
            <w:vAlign w:val="center"/>
          </w:tcPr>
          <w:p w14:paraId="7252E656" w14:textId="77777777" w:rsidR="00E44AD8" w:rsidRPr="00007DDD" w:rsidRDefault="00E44AD8" w:rsidP="00F16B71">
            <w:pPr>
              <w:jc w:val="right"/>
              <w:rPr>
                <w:rFonts w:cstheme="minorHAnsi"/>
                <w:b/>
              </w:rPr>
            </w:pPr>
            <w:r w:rsidRPr="00007DDD">
              <w:rPr>
                <w:rFonts w:cstheme="minorHAnsi"/>
                <w:b/>
              </w:rPr>
              <w:t>6 619</w:t>
            </w:r>
          </w:p>
        </w:tc>
        <w:tc>
          <w:tcPr>
            <w:tcW w:w="811" w:type="pct"/>
            <w:shd w:val="clear" w:color="auto" w:fill="EDD4D9"/>
            <w:vAlign w:val="center"/>
          </w:tcPr>
          <w:p w14:paraId="715B7484" w14:textId="77777777" w:rsidR="00E44AD8" w:rsidRPr="00007DDD" w:rsidRDefault="00E44AD8" w:rsidP="00F16B71">
            <w:pPr>
              <w:jc w:val="right"/>
              <w:rPr>
                <w:rFonts w:cstheme="minorHAnsi"/>
                <w:b/>
              </w:rPr>
            </w:pPr>
            <w:r w:rsidRPr="00007DDD">
              <w:rPr>
                <w:rFonts w:cstheme="minorHAnsi"/>
                <w:b/>
              </w:rPr>
              <w:t>6 817</w:t>
            </w:r>
          </w:p>
        </w:tc>
        <w:tc>
          <w:tcPr>
            <w:tcW w:w="807" w:type="pct"/>
            <w:shd w:val="clear" w:color="auto" w:fill="EDD4D9"/>
            <w:vAlign w:val="center"/>
          </w:tcPr>
          <w:p w14:paraId="5C91CEC8" w14:textId="77777777" w:rsidR="00E44AD8" w:rsidRPr="00007DDD" w:rsidRDefault="00E44AD8" w:rsidP="00F16B71">
            <w:pPr>
              <w:jc w:val="right"/>
              <w:rPr>
                <w:rFonts w:cstheme="minorHAnsi"/>
                <w:b/>
              </w:rPr>
            </w:pPr>
            <w:r w:rsidRPr="00007DDD">
              <w:rPr>
                <w:rFonts w:cstheme="minorHAnsi"/>
                <w:b/>
              </w:rPr>
              <w:t>7 370</w:t>
            </w:r>
          </w:p>
        </w:tc>
      </w:tr>
      <w:tr w:rsidR="00E13C7F" w:rsidRPr="00872402" w14:paraId="44A2ACD0" w14:textId="77777777" w:rsidTr="00F16B71">
        <w:tc>
          <w:tcPr>
            <w:tcW w:w="938" w:type="pct"/>
            <w:vMerge w:val="restart"/>
            <w:vAlign w:val="center"/>
          </w:tcPr>
          <w:p w14:paraId="0BE9B2CB" w14:textId="695B9268" w:rsidR="00E13C7F" w:rsidRPr="00007DDD" w:rsidRDefault="00E13C7F" w:rsidP="00F16B71">
            <w:pPr>
              <w:rPr>
                <w:rFonts w:cstheme="minorHAnsi"/>
                <w:b/>
              </w:rPr>
            </w:pPr>
            <w:r w:rsidRPr="00007DDD">
              <w:rPr>
                <w:rFonts w:cstheme="minorHAnsi"/>
                <w:b/>
              </w:rPr>
              <w:t>Dovozní režim</w:t>
            </w:r>
          </w:p>
        </w:tc>
        <w:tc>
          <w:tcPr>
            <w:tcW w:w="759" w:type="pct"/>
            <w:vAlign w:val="center"/>
          </w:tcPr>
          <w:p w14:paraId="1F7CBAEA" w14:textId="77777777" w:rsidR="00E13C7F" w:rsidRPr="00007DDD" w:rsidRDefault="00E13C7F" w:rsidP="00FD22E7">
            <w:pPr>
              <w:rPr>
                <w:rFonts w:cstheme="minorHAnsi"/>
                <w:bCs/>
              </w:rPr>
            </w:pPr>
            <w:r w:rsidRPr="00007DDD">
              <w:rPr>
                <w:rFonts w:cstheme="minorHAnsi"/>
                <w:bCs/>
              </w:rPr>
              <w:t xml:space="preserve">Řádná </w:t>
            </w:r>
          </w:p>
        </w:tc>
        <w:tc>
          <w:tcPr>
            <w:tcW w:w="874" w:type="pct"/>
            <w:vAlign w:val="center"/>
          </w:tcPr>
          <w:p w14:paraId="0F1B5A15" w14:textId="77777777" w:rsidR="00E13C7F" w:rsidRPr="00007DDD" w:rsidRDefault="00E13C7F" w:rsidP="00F16B71">
            <w:pPr>
              <w:jc w:val="right"/>
              <w:rPr>
                <w:rFonts w:cstheme="minorHAnsi"/>
                <w:bCs/>
              </w:rPr>
            </w:pPr>
            <w:r w:rsidRPr="00007DDD">
              <w:rPr>
                <w:rFonts w:cstheme="minorHAnsi"/>
                <w:bCs/>
              </w:rPr>
              <w:t>4 226</w:t>
            </w:r>
          </w:p>
        </w:tc>
        <w:tc>
          <w:tcPr>
            <w:tcW w:w="811" w:type="pct"/>
            <w:vAlign w:val="center"/>
          </w:tcPr>
          <w:p w14:paraId="275B9E83" w14:textId="77777777" w:rsidR="00E13C7F" w:rsidRPr="00007DDD" w:rsidRDefault="00E13C7F" w:rsidP="00F16B71">
            <w:pPr>
              <w:jc w:val="right"/>
              <w:rPr>
                <w:rFonts w:cstheme="minorHAnsi"/>
                <w:bCs/>
              </w:rPr>
            </w:pPr>
            <w:r w:rsidRPr="00007DDD">
              <w:rPr>
                <w:rFonts w:cstheme="minorHAnsi"/>
                <w:bCs/>
              </w:rPr>
              <w:t>10 667</w:t>
            </w:r>
          </w:p>
        </w:tc>
        <w:tc>
          <w:tcPr>
            <w:tcW w:w="811" w:type="pct"/>
            <w:vAlign w:val="center"/>
          </w:tcPr>
          <w:p w14:paraId="00DCDAFD" w14:textId="77777777" w:rsidR="00E13C7F" w:rsidRPr="00007DDD" w:rsidRDefault="00E13C7F" w:rsidP="00F16B71">
            <w:pPr>
              <w:jc w:val="right"/>
              <w:rPr>
                <w:rFonts w:cstheme="minorHAnsi"/>
                <w:bCs/>
              </w:rPr>
            </w:pPr>
            <w:r w:rsidRPr="00007DDD">
              <w:rPr>
                <w:rFonts w:cstheme="minorHAnsi"/>
                <w:bCs/>
              </w:rPr>
              <w:t>12 019</w:t>
            </w:r>
          </w:p>
        </w:tc>
        <w:tc>
          <w:tcPr>
            <w:tcW w:w="807" w:type="pct"/>
            <w:vAlign w:val="center"/>
          </w:tcPr>
          <w:p w14:paraId="33C9D5C2" w14:textId="77777777" w:rsidR="00E13C7F" w:rsidRPr="00007DDD" w:rsidRDefault="00E13C7F" w:rsidP="00F16B71">
            <w:pPr>
              <w:jc w:val="right"/>
              <w:rPr>
                <w:rFonts w:cstheme="minorHAnsi"/>
                <w:bCs/>
              </w:rPr>
            </w:pPr>
            <w:r w:rsidRPr="00007DDD">
              <w:rPr>
                <w:rFonts w:cstheme="minorHAnsi"/>
                <w:bCs/>
              </w:rPr>
              <w:t>12 884</w:t>
            </w:r>
          </w:p>
        </w:tc>
      </w:tr>
      <w:tr w:rsidR="00E13C7F" w:rsidRPr="00872402" w14:paraId="4C44D478" w14:textId="77777777" w:rsidTr="00F16B71">
        <w:tc>
          <w:tcPr>
            <w:tcW w:w="938" w:type="pct"/>
            <w:vMerge/>
          </w:tcPr>
          <w:p w14:paraId="2FCC7DE2" w14:textId="77777777" w:rsidR="00E13C7F" w:rsidRPr="00007DDD" w:rsidRDefault="00E13C7F" w:rsidP="00FD22E7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759" w:type="pct"/>
            <w:vAlign w:val="center"/>
          </w:tcPr>
          <w:p w14:paraId="5306042B" w14:textId="77777777" w:rsidR="00E13C7F" w:rsidRPr="00007DDD" w:rsidRDefault="00E13C7F" w:rsidP="00FD22E7">
            <w:pPr>
              <w:rPr>
                <w:rFonts w:cstheme="minorHAnsi"/>
                <w:bCs/>
              </w:rPr>
            </w:pPr>
            <w:r w:rsidRPr="00007DDD">
              <w:rPr>
                <w:rFonts w:cstheme="minorHAnsi"/>
                <w:bCs/>
              </w:rPr>
              <w:t>Dodatečná</w:t>
            </w:r>
          </w:p>
        </w:tc>
        <w:tc>
          <w:tcPr>
            <w:tcW w:w="874" w:type="pct"/>
            <w:vAlign w:val="center"/>
          </w:tcPr>
          <w:p w14:paraId="28DAC0E3" w14:textId="77777777" w:rsidR="00E13C7F" w:rsidRPr="00007DDD" w:rsidRDefault="00E13C7F" w:rsidP="00F16B71">
            <w:pPr>
              <w:jc w:val="right"/>
              <w:rPr>
                <w:rFonts w:cstheme="minorHAnsi"/>
                <w:bCs/>
              </w:rPr>
            </w:pPr>
            <w:r w:rsidRPr="00007DDD">
              <w:rPr>
                <w:rFonts w:cstheme="minorHAnsi"/>
                <w:bCs/>
              </w:rPr>
              <w:t>1 126</w:t>
            </w:r>
          </w:p>
        </w:tc>
        <w:tc>
          <w:tcPr>
            <w:tcW w:w="811" w:type="pct"/>
            <w:vAlign w:val="center"/>
          </w:tcPr>
          <w:p w14:paraId="6B268114" w14:textId="77777777" w:rsidR="00E13C7F" w:rsidRPr="00007DDD" w:rsidRDefault="00E13C7F" w:rsidP="00F16B71">
            <w:pPr>
              <w:jc w:val="right"/>
              <w:rPr>
                <w:rFonts w:cstheme="minorHAnsi"/>
                <w:bCs/>
              </w:rPr>
            </w:pPr>
            <w:r w:rsidRPr="00007DDD">
              <w:rPr>
                <w:rFonts w:cstheme="minorHAnsi"/>
                <w:bCs/>
              </w:rPr>
              <w:t>2 206</w:t>
            </w:r>
          </w:p>
        </w:tc>
        <w:tc>
          <w:tcPr>
            <w:tcW w:w="811" w:type="pct"/>
            <w:vAlign w:val="center"/>
          </w:tcPr>
          <w:p w14:paraId="3F32DA72" w14:textId="77777777" w:rsidR="00E13C7F" w:rsidRPr="00007DDD" w:rsidRDefault="00E13C7F" w:rsidP="00F16B71">
            <w:pPr>
              <w:jc w:val="right"/>
              <w:rPr>
                <w:rFonts w:cstheme="minorHAnsi"/>
                <w:bCs/>
              </w:rPr>
            </w:pPr>
            <w:r w:rsidRPr="00007DDD">
              <w:rPr>
                <w:rFonts w:cstheme="minorHAnsi"/>
                <w:bCs/>
              </w:rPr>
              <w:t>2 064</w:t>
            </w:r>
          </w:p>
        </w:tc>
        <w:tc>
          <w:tcPr>
            <w:tcW w:w="807" w:type="pct"/>
            <w:vAlign w:val="center"/>
          </w:tcPr>
          <w:p w14:paraId="1CF31CC3" w14:textId="77777777" w:rsidR="00E13C7F" w:rsidRPr="00007DDD" w:rsidRDefault="00E13C7F" w:rsidP="00F16B71">
            <w:pPr>
              <w:jc w:val="right"/>
              <w:rPr>
                <w:rFonts w:cstheme="minorHAnsi"/>
                <w:bCs/>
              </w:rPr>
            </w:pPr>
            <w:r w:rsidRPr="00007DDD">
              <w:rPr>
                <w:rFonts w:cstheme="minorHAnsi"/>
                <w:bCs/>
              </w:rPr>
              <w:t>1 452</w:t>
            </w:r>
          </w:p>
        </w:tc>
      </w:tr>
      <w:tr w:rsidR="00E13C7F" w:rsidRPr="00872402" w14:paraId="0A7BC548" w14:textId="77777777" w:rsidTr="00F16B71">
        <w:tc>
          <w:tcPr>
            <w:tcW w:w="938" w:type="pct"/>
            <w:vMerge/>
          </w:tcPr>
          <w:p w14:paraId="0797DDB5" w14:textId="77777777" w:rsidR="00E13C7F" w:rsidRPr="00007DDD" w:rsidRDefault="00E13C7F" w:rsidP="00FD22E7">
            <w:pPr>
              <w:jc w:val="both"/>
              <w:rPr>
                <w:rFonts w:cstheme="minorHAnsi"/>
                <w:bCs/>
              </w:rPr>
            </w:pPr>
          </w:p>
        </w:tc>
        <w:tc>
          <w:tcPr>
            <w:tcW w:w="759" w:type="pct"/>
            <w:shd w:val="clear" w:color="auto" w:fill="EDD4D9"/>
            <w:vAlign w:val="center"/>
          </w:tcPr>
          <w:p w14:paraId="6821219F" w14:textId="77777777" w:rsidR="00E13C7F" w:rsidRPr="00007DDD" w:rsidRDefault="00E13C7F" w:rsidP="00FD22E7">
            <w:pPr>
              <w:rPr>
                <w:rFonts w:cstheme="minorHAnsi"/>
                <w:b/>
              </w:rPr>
            </w:pPr>
            <w:r w:rsidRPr="00007DDD">
              <w:rPr>
                <w:rFonts w:cstheme="minorHAnsi"/>
                <w:b/>
              </w:rPr>
              <w:t>Celkem</w:t>
            </w:r>
          </w:p>
        </w:tc>
        <w:tc>
          <w:tcPr>
            <w:tcW w:w="874" w:type="pct"/>
            <w:shd w:val="clear" w:color="auto" w:fill="EDD4D9"/>
            <w:vAlign w:val="center"/>
          </w:tcPr>
          <w:p w14:paraId="5A13CBCB" w14:textId="77777777" w:rsidR="00E13C7F" w:rsidRPr="00007DDD" w:rsidRDefault="00E13C7F" w:rsidP="00F16B71">
            <w:pPr>
              <w:jc w:val="right"/>
              <w:rPr>
                <w:rFonts w:cstheme="minorHAnsi"/>
                <w:b/>
              </w:rPr>
            </w:pPr>
            <w:r w:rsidRPr="00007DDD">
              <w:rPr>
                <w:rFonts w:cstheme="minorHAnsi"/>
                <w:b/>
              </w:rPr>
              <w:t>5 352</w:t>
            </w:r>
          </w:p>
        </w:tc>
        <w:tc>
          <w:tcPr>
            <w:tcW w:w="811" w:type="pct"/>
            <w:shd w:val="clear" w:color="auto" w:fill="EDD4D9"/>
            <w:vAlign w:val="center"/>
          </w:tcPr>
          <w:p w14:paraId="447E0E53" w14:textId="77777777" w:rsidR="00E13C7F" w:rsidRPr="00007DDD" w:rsidRDefault="00E13C7F" w:rsidP="00F16B71">
            <w:pPr>
              <w:jc w:val="right"/>
              <w:rPr>
                <w:rFonts w:cstheme="minorHAnsi"/>
                <w:b/>
              </w:rPr>
            </w:pPr>
            <w:r w:rsidRPr="00007DDD">
              <w:rPr>
                <w:rFonts w:cstheme="minorHAnsi"/>
                <w:b/>
              </w:rPr>
              <w:t>12 873</w:t>
            </w:r>
          </w:p>
        </w:tc>
        <w:tc>
          <w:tcPr>
            <w:tcW w:w="811" w:type="pct"/>
            <w:shd w:val="clear" w:color="auto" w:fill="EDD4D9"/>
            <w:vAlign w:val="center"/>
          </w:tcPr>
          <w:p w14:paraId="32F86F5A" w14:textId="77777777" w:rsidR="00E13C7F" w:rsidRPr="00007DDD" w:rsidRDefault="00E13C7F" w:rsidP="00F16B71">
            <w:pPr>
              <w:jc w:val="right"/>
              <w:rPr>
                <w:rFonts w:cstheme="minorHAnsi"/>
                <w:b/>
              </w:rPr>
            </w:pPr>
            <w:r w:rsidRPr="00007DDD">
              <w:rPr>
                <w:rFonts w:cstheme="minorHAnsi"/>
                <w:b/>
              </w:rPr>
              <w:t>14 083</w:t>
            </w:r>
          </w:p>
        </w:tc>
        <w:tc>
          <w:tcPr>
            <w:tcW w:w="807" w:type="pct"/>
            <w:shd w:val="clear" w:color="auto" w:fill="EDD4D9"/>
            <w:vAlign w:val="center"/>
          </w:tcPr>
          <w:p w14:paraId="7FD4AA6E" w14:textId="77777777" w:rsidR="00E13C7F" w:rsidRPr="00007DDD" w:rsidRDefault="00E13C7F" w:rsidP="00F16B71">
            <w:pPr>
              <w:jc w:val="right"/>
              <w:rPr>
                <w:rFonts w:cstheme="minorHAnsi"/>
                <w:b/>
              </w:rPr>
            </w:pPr>
            <w:r w:rsidRPr="00007DDD">
              <w:rPr>
                <w:rFonts w:cstheme="minorHAnsi"/>
                <w:b/>
              </w:rPr>
              <w:t>14 336</w:t>
            </w:r>
          </w:p>
        </w:tc>
      </w:tr>
    </w:tbl>
    <w:p w14:paraId="494C1573" w14:textId="0F0C7D40" w:rsidR="00DE71C2" w:rsidRDefault="00DE71C2" w:rsidP="003627B6">
      <w:pPr>
        <w:spacing w:after="0"/>
        <w:jc w:val="both"/>
        <w:rPr>
          <w:rFonts w:cstheme="minorHAnsi"/>
          <w:bCs/>
          <w:sz w:val="20"/>
          <w:szCs w:val="20"/>
        </w:rPr>
      </w:pPr>
      <w:r w:rsidRPr="00F16B71">
        <w:rPr>
          <w:rFonts w:cstheme="minorHAnsi"/>
          <w:b/>
          <w:sz w:val="20"/>
          <w:szCs w:val="20"/>
        </w:rPr>
        <w:t>Zdroj:</w:t>
      </w:r>
      <w:r w:rsidRPr="00543514">
        <w:rPr>
          <w:rFonts w:cstheme="minorHAnsi"/>
          <w:bCs/>
          <w:sz w:val="20"/>
          <w:szCs w:val="20"/>
        </w:rPr>
        <w:t xml:space="preserve"> </w:t>
      </w:r>
      <w:r>
        <w:rPr>
          <w:rFonts w:cstheme="minorHAnsi"/>
          <w:bCs/>
          <w:sz w:val="20"/>
          <w:szCs w:val="20"/>
        </w:rPr>
        <w:t>FÚ JMK.</w:t>
      </w:r>
    </w:p>
    <w:p w14:paraId="38B4BEA2" w14:textId="77777777" w:rsidR="003627B6" w:rsidRPr="003627B6" w:rsidRDefault="003627B6" w:rsidP="003627B6">
      <w:pPr>
        <w:spacing w:after="0"/>
        <w:jc w:val="both"/>
        <w:rPr>
          <w:rFonts w:cstheme="minorHAnsi"/>
          <w:bCs/>
        </w:rPr>
      </w:pPr>
    </w:p>
    <w:p w14:paraId="269A8079" w14:textId="2AB79B04" w:rsidR="003158B8" w:rsidRDefault="00330F8F" w:rsidP="003627B6">
      <w:pPr>
        <w:pStyle w:val="Odstavecsmalmodsazenm"/>
        <w:spacing w:after="0"/>
        <w:rPr>
          <w:lang w:eastAsia="en-US"/>
        </w:rPr>
      </w:pPr>
      <w:r>
        <w:rPr>
          <w:lang w:eastAsia="en-US"/>
        </w:rPr>
        <w:t>Podle</w:t>
      </w:r>
      <w:r w:rsidR="003158B8">
        <w:rPr>
          <w:lang w:eastAsia="en-US"/>
        </w:rPr>
        <w:t xml:space="preserve"> </w:t>
      </w:r>
      <w:r>
        <w:rPr>
          <w:lang w:eastAsia="en-US"/>
        </w:rPr>
        <w:t xml:space="preserve">čl. </w:t>
      </w:r>
      <w:proofErr w:type="gramStart"/>
      <w:r>
        <w:rPr>
          <w:lang w:eastAsia="en-US"/>
        </w:rPr>
        <w:t>60a</w:t>
      </w:r>
      <w:proofErr w:type="gramEnd"/>
      <w:r>
        <w:rPr>
          <w:lang w:eastAsia="en-US"/>
        </w:rPr>
        <w:t xml:space="preserve"> </w:t>
      </w:r>
      <w:r w:rsidR="00E13C7F">
        <w:rPr>
          <w:lang w:eastAsia="en-US"/>
        </w:rPr>
        <w:t>prováděcího n</w:t>
      </w:r>
      <w:r>
        <w:rPr>
          <w:lang w:eastAsia="en-US"/>
        </w:rPr>
        <w:t>ařízení Rady 282/2011</w:t>
      </w:r>
      <w:r w:rsidR="003158B8">
        <w:rPr>
          <w:lang w:eastAsia="en-US"/>
        </w:rPr>
        <w:t xml:space="preserve"> jsou následné upomínky a opatření přijatá za účelem</w:t>
      </w:r>
      <w:r w:rsidR="00C7603E">
        <w:rPr>
          <w:lang w:eastAsia="en-US"/>
        </w:rPr>
        <w:t xml:space="preserve"> </w:t>
      </w:r>
      <w:r w:rsidR="003158B8">
        <w:rPr>
          <w:lang w:eastAsia="en-US"/>
        </w:rPr>
        <w:t xml:space="preserve">vyměření a výběru DPH při nepodání </w:t>
      </w:r>
      <w:r w:rsidR="000079FA">
        <w:rPr>
          <w:lang w:eastAsia="en-US"/>
        </w:rPr>
        <w:t xml:space="preserve">DAP </w:t>
      </w:r>
      <w:r w:rsidR="006942ED">
        <w:rPr>
          <w:lang w:eastAsia="en-US"/>
        </w:rPr>
        <w:t>ve zvláštním režimu</w:t>
      </w:r>
      <w:r w:rsidR="003158B8">
        <w:rPr>
          <w:lang w:eastAsia="en-US"/>
        </w:rPr>
        <w:t xml:space="preserve"> odpovědností dotčeného </w:t>
      </w:r>
      <w:r w:rsidR="000079FA">
        <w:rPr>
          <w:lang w:eastAsia="en-US"/>
        </w:rPr>
        <w:t>ČSS</w:t>
      </w:r>
      <w:r w:rsidR="003158B8">
        <w:rPr>
          <w:lang w:eastAsia="en-US"/>
        </w:rPr>
        <w:t>, přestože subjekty podáv</w:t>
      </w:r>
      <w:r w:rsidR="000079FA">
        <w:rPr>
          <w:lang w:eastAsia="en-US"/>
        </w:rPr>
        <w:t>ají</w:t>
      </w:r>
      <w:r w:rsidR="003158B8">
        <w:rPr>
          <w:lang w:eastAsia="en-US"/>
        </w:rPr>
        <w:t xml:space="preserve"> </w:t>
      </w:r>
      <w:r w:rsidR="000079FA">
        <w:rPr>
          <w:lang w:eastAsia="en-US"/>
        </w:rPr>
        <w:t xml:space="preserve">toto přiznání </w:t>
      </w:r>
      <w:r w:rsidR="00E13C7F">
        <w:rPr>
          <w:lang w:eastAsia="en-US"/>
        </w:rPr>
        <w:t xml:space="preserve">v </w:t>
      </w:r>
      <w:r w:rsidR="000079FA">
        <w:rPr>
          <w:lang w:eastAsia="en-US"/>
        </w:rPr>
        <w:t>ČSI</w:t>
      </w:r>
      <w:r w:rsidR="003158B8">
        <w:rPr>
          <w:lang w:eastAsia="en-US"/>
        </w:rPr>
        <w:t>.</w:t>
      </w:r>
    </w:p>
    <w:p w14:paraId="379A4C27" w14:textId="77777777" w:rsidR="003627B6" w:rsidRDefault="003627B6" w:rsidP="003627B6">
      <w:pPr>
        <w:pStyle w:val="Odstavecsmalmodsazenm"/>
        <w:spacing w:after="0"/>
        <w:rPr>
          <w:lang w:eastAsia="en-US"/>
        </w:rPr>
      </w:pPr>
    </w:p>
    <w:p w14:paraId="50C408FA" w14:textId="4211F22D" w:rsidR="00722C30" w:rsidRDefault="003158B8" w:rsidP="00722C30">
      <w:pPr>
        <w:pStyle w:val="Odstavecsmalmodsazenm"/>
        <w:spacing w:after="0"/>
        <w:rPr>
          <w:lang w:eastAsia="en-US"/>
        </w:rPr>
      </w:pPr>
      <w:r>
        <w:rPr>
          <w:lang w:eastAsia="en-US"/>
        </w:rPr>
        <w:t xml:space="preserve">NKÚ zjistil, že FÚ JMK nezasílal následné upomínky k podání DAP </w:t>
      </w:r>
      <w:r w:rsidR="00732A93">
        <w:rPr>
          <w:lang w:eastAsia="en-US"/>
        </w:rPr>
        <w:t>ve zvláštním režimu</w:t>
      </w:r>
      <w:r>
        <w:rPr>
          <w:lang w:eastAsia="en-US"/>
        </w:rPr>
        <w:t xml:space="preserve"> z pozice ČSS, </w:t>
      </w:r>
      <w:r w:rsidR="00DA21F8">
        <w:rPr>
          <w:lang w:eastAsia="en-US"/>
        </w:rPr>
        <w:t>protože</w:t>
      </w:r>
      <w:r w:rsidR="0021119F">
        <w:rPr>
          <w:lang w:eastAsia="en-US"/>
        </w:rPr>
        <w:t xml:space="preserve"> </w:t>
      </w:r>
      <w:r w:rsidR="00DA21F8">
        <w:rPr>
          <w:lang w:eastAsia="en-US"/>
        </w:rPr>
        <w:t xml:space="preserve">nemohl vědět, že </w:t>
      </w:r>
      <w:r w:rsidR="00C701A6">
        <w:rPr>
          <w:lang w:eastAsia="en-US"/>
        </w:rPr>
        <w:t>subjekt</w:t>
      </w:r>
      <w:r>
        <w:rPr>
          <w:lang w:eastAsia="en-US"/>
        </w:rPr>
        <w:t>, kter</w:t>
      </w:r>
      <w:r w:rsidR="00C701A6">
        <w:rPr>
          <w:lang w:eastAsia="en-US"/>
        </w:rPr>
        <w:t>ý</w:t>
      </w:r>
      <w:r>
        <w:rPr>
          <w:lang w:eastAsia="en-US"/>
        </w:rPr>
        <w:t xml:space="preserve"> je registrován k</w:t>
      </w:r>
      <w:r w:rsidR="00732A93">
        <w:rPr>
          <w:lang w:eastAsia="en-US"/>
        </w:rPr>
        <w:t> DPH ve zvláštním režimu</w:t>
      </w:r>
      <w:r>
        <w:rPr>
          <w:lang w:eastAsia="en-US"/>
        </w:rPr>
        <w:t xml:space="preserve"> v jiném členském státě</w:t>
      </w:r>
      <w:r w:rsidR="00DA21F8">
        <w:rPr>
          <w:lang w:eastAsia="en-US"/>
        </w:rPr>
        <w:t>,</w:t>
      </w:r>
      <w:r>
        <w:rPr>
          <w:lang w:eastAsia="en-US"/>
        </w:rPr>
        <w:t xml:space="preserve"> nepod</w:t>
      </w:r>
      <w:r w:rsidR="00DA21F8">
        <w:rPr>
          <w:lang w:eastAsia="en-US"/>
        </w:rPr>
        <w:t>al</w:t>
      </w:r>
      <w:r>
        <w:rPr>
          <w:lang w:eastAsia="en-US"/>
        </w:rPr>
        <w:t xml:space="preserve"> DAP </w:t>
      </w:r>
      <w:r w:rsidR="00732A93">
        <w:rPr>
          <w:lang w:eastAsia="en-US"/>
        </w:rPr>
        <w:t>ve zvláštním režimu</w:t>
      </w:r>
      <w:r>
        <w:rPr>
          <w:lang w:eastAsia="en-US"/>
        </w:rPr>
        <w:t xml:space="preserve"> v zákonem stanovené lhůtě</w:t>
      </w:r>
      <w:r w:rsidR="00DA21F8">
        <w:rPr>
          <w:lang w:eastAsia="en-US"/>
        </w:rPr>
        <w:t>. Při nepodání DAP se</w:t>
      </w:r>
      <w:r>
        <w:rPr>
          <w:lang w:eastAsia="en-US"/>
        </w:rPr>
        <w:t xml:space="preserve"> považuje daň ve smyslu § 110zl odst. 2 zákona o DPH za tvrzenou ve výši 0</w:t>
      </w:r>
      <w:r w:rsidR="00E13C7F">
        <w:rPr>
          <w:lang w:eastAsia="en-US"/>
        </w:rPr>
        <w:t> </w:t>
      </w:r>
      <w:r w:rsidR="00F647CA">
        <w:rPr>
          <w:lang w:eastAsia="en-US"/>
        </w:rPr>
        <w:t>eur</w:t>
      </w:r>
      <w:r>
        <w:rPr>
          <w:lang w:eastAsia="en-US"/>
        </w:rPr>
        <w:t>.</w:t>
      </w:r>
      <w:r w:rsidR="00683476">
        <w:rPr>
          <w:lang w:eastAsia="en-US"/>
        </w:rPr>
        <w:t xml:space="preserve"> </w:t>
      </w:r>
    </w:p>
    <w:p w14:paraId="725B7D73" w14:textId="77777777" w:rsidR="00722C30" w:rsidRDefault="00722C30" w:rsidP="00722C30">
      <w:pPr>
        <w:pStyle w:val="Odstavecsmalmodsazenm"/>
        <w:spacing w:after="0"/>
        <w:rPr>
          <w:lang w:eastAsia="en-US"/>
        </w:rPr>
      </w:pPr>
    </w:p>
    <w:p w14:paraId="359FA7BB" w14:textId="0EF9C66F" w:rsidR="00062B08" w:rsidRDefault="00435D38" w:rsidP="00565EE0">
      <w:pPr>
        <w:pStyle w:val="Odstavecsmalmodsazenm"/>
        <w:spacing w:after="0"/>
        <w:rPr>
          <w:lang w:eastAsia="en-US"/>
        </w:rPr>
      </w:pPr>
      <w:r>
        <w:rPr>
          <w:lang w:eastAsia="en-US"/>
        </w:rPr>
        <w:t>P</w:t>
      </w:r>
      <w:r w:rsidR="003158B8">
        <w:rPr>
          <w:lang w:eastAsia="en-US"/>
        </w:rPr>
        <w:t xml:space="preserve">okud subjekt nepodal </w:t>
      </w:r>
      <w:r w:rsidR="00F647CA">
        <w:rPr>
          <w:lang w:eastAsia="en-US"/>
        </w:rPr>
        <w:t>DAP</w:t>
      </w:r>
      <w:r w:rsidR="000C512E">
        <w:rPr>
          <w:lang w:eastAsia="en-US"/>
        </w:rPr>
        <w:t xml:space="preserve"> </w:t>
      </w:r>
      <w:r w:rsidR="009F2230">
        <w:rPr>
          <w:lang w:eastAsia="en-US"/>
        </w:rPr>
        <w:t>ve zvláštním režimu</w:t>
      </w:r>
      <w:r w:rsidR="003158B8">
        <w:rPr>
          <w:lang w:eastAsia="en-US"/>
        </w:rPr>
        <w:t xml:space="preserve">, </w:t>
      </w:r>
      <w:r w:rsidR="0021119F">
        <w:rPr>
          <w:lang w:eastAsia="en-US"/>
        </w:rPr>
        <w:t xml:space="preserve">má ČSI povinnost zaslat subjektu upomínku a současně zaslat všem ostatním členským státům informaci o zaslané upomínce k podání DAP ve zvláštním režimu. Tím přechází odpovědnost za vyměření a výběr DPH na </w:t>
      </w:r>
      <w:r w:rsidR="004F136C">
        <w:rPr>
          <w:lang w:eastAsia="en-US"/>
        </w:rPr>
        <w:t xml:space="preserve">JČS, které však nemají informaci o tom, že v daném případě jsou v postavení ČSS. </w:t>
      </w:r>
      <w:r w:rsidR="0021119F">
        <w:rPr>
          <w:lang w:eastAsia="en-US"/>
        </w:rPr>
        <w:t xml:space="preserve">Důvodem je skutečnost, že pokud subjekt DAP ve zvláštním režimu nepodal, není zřejmé, zda a kterému členskému státu </w:t>
      </w:r>
      <w:r w:rsidR="0021119F">
        <w:rPr>
          <w:lang w:eastAsia="en-US"/>
        </w:rPr>
        <w:lastRenderedPageBreak/>
        <w:t>vznikl nárok na DPH a v jaké výši. NKÚ zjistil, že informace z </w:t>
      </w:r>
      <w:r w:rsidR="00372B82">
        <w:rPr>
          <w:lang w:eastAsia="en-US"/>
        </w:rPr>
        <w:t xml:space="preserve">ČSI </w:t>
      </w:r>
      <w:r w:rsidR="0021119F">
        <w:rPr>
          <w:lang w:eastAsia="en-US"/>
        </w:rPr>
        <w:t xml:space="preserve">o zaslaných upomínkách mělo k dispozici GFŘ, avšak tyto informace nijak nevyužívalo a </w:t>
      </w:r>
      <w:r w:rsidRPr="00435D38">
        <w:rPr>
          <w:lang w:eastAsia="en-US"/>
        </w:rPr>
        <w:t>Finanční</w:t>
      </w:r>
      <w:r>
        <w:rPr>
          <w:lang w:eastAsia="en-US"/>
        </w:rPr>
        <w:t>mu</w:t>
      </w:r>
      <w:r w:rsidRPr="00435D38">
        <w:rPr>
          <w:lang w:eastAsia="en-US"/>
        </w:rPr>
        <w:t xml:space="preserve"> úřad</w:t>
      </w:r>
      <w:r>
        <w:rPr>
          <w:lang w:eastAsia="en-US"/>
        </w:rPr>
        <w:t>u</w:t>
      </w:r>
      <w:r w:rsidRPr="00435D38">
        <w:rPr>
          <w:lang w:eastAsia="en-US"/>
        </w:rPr>
        <w:t xml:space="preserve"> pro Jihomoravský kraj</w:t>
      </w:r>
      <w:r w:rsidR="00566D9F">
        <w:rPr>
          <w:lang w:eastAsia="en-US"/>
        </w:rPr>
        <w:t xml:space="preserve"> </w:t>
      </w:r>
      <w:r w:rsidR="0021119F">
        <w:rPr>
          <w:lang w:eastAsia="en-US"/>
        </w:rPr>
        <w:t xml:space="preserve">tyto informace neposkytlo. </w:t>
      </w:r>
      <w:r w:rsidR="00566D9F">
        <w:rPr>
          <w:lang w:eastAsia="en-US"/>
        </w:rPr>
        <w:t>FÚ JMK tak nemohl informace o rizikových subjektech využít při správě DPH</w:t>
      </w:r>
      <w:r w:rsidR="00214AAD">
        <w:rPr>
          <w:lang w:eastAsia="en-US"/>
        </w:rPr>
        <w:t xml:space="preserve">. </w:t>
      </w:r>
      <w:r w:rsidR="003158B8">
        <w:rPr>
          <w:lang w:eastAsia="en-US"/>
        </w:rPr>
        <w:t xml:space="preserve">Pokud </w:t>
      </w:r>
      <w:r w:rsidR="00CE312D">
        <w:rPr>
          <w:lang w:eastAsia="en-US"/>
        </w:rPr>
        <w:t>FÚ JMK</w:t>
      </w:r>
      <w:r w:rsidR="003158B8">
        <w:rPr>
          <w:lang w:eastAsia="en-US"/>
        </w:rPr>
        <w:t xml:space="preserve"> potřeb</w:t>
      </w:r>
      <w:r w:rsidR="00E44AD8">
        <w:rPr>
          <w:lang w:eastAsia="en-US"/>
        </w:rPr>
        <w:t>oval</w:t>
      </w:r>
      <w:r w:rsidR="003158B8">
        <w:rPr>
          <w:lang w:eastAsia="en-US"/>
        </w:rPr>
        <w:t xml:space="preserve"> ověřit, zda </w:t>
      </w:r>
      <w:r>
        <w:rPr>
          <w:lang w:eastAsia="en-US"/>
        </w:rPr>
        <w:t>konkrétní subjekt podal v JČS daňové přiznání</w:t>
      </w:r>
      <w:r w:rsidR="003158B8">
        <w:rPr>
          <w:lang w:eastAsia="en-US"/>
        </w:rPr>
        <w:t xml:space="preserve">, </w:t>
      </w:r>
      <w:r w:rsidR="009803DD">
        <w:rPr>
          <w:lang w:eastAsia="en-US"/>
        </w:rPr>
        <w:t>mus</w:t>
      </w:r>
      <w:r w:rsidR="00E44AD8">
        <w:rPr>
          <w:lang w:eastAsia="en-US"/>
        </w:rPr>
        <w:t>el</w:t>
      </w:r>
      <w:r w:rsidR="00683476">
        <w:rPr>
          <w:lang w:eastAsia="en-US"/>
        </w:rPr>
        <w:t xml:space="preserve"> tuto informaci</w:t>
      </w:r>
      <w:r w:rsidR="009803DD">
        <w:rPr>
          <w:lang w:eastAsia="en-US"/>
        </w:rPr>
        <w:t xml:space="preserve"> ověřit</w:t>
      </w:r>
      <w:r w:rsidR="00683476">
        <w:rPr>
          <w:lang w:eastAsia="en-US"/>
        </w:rPr>
        <w:t xml:space="preserve"> individuálně</w:t>
      </w:r>
      <w:r w:rsidR="003158B8">
        <w:rPr>
          <w:lang w:eastAsia="en-US"/>
        </w:rPr>
        <w:t xml:space="preserve"> </w:t>
      </w:r>
      <w:r w:rsidR="009A097E">
        <w:rPr>
          <w:lang w:eastAsia="en-US"/>
        </w:rPr>
        <w:t>v registru</w:t>
      </w:r>
      <w:r w:rsidR="00683476">
        <w:rPr>
          <w:lang w:eastAsia="en-US"/>
        </w:rPr>
        <w:t xml:space="preserve"> </w:t>
      </w:r>
      <w:r w:rsidR="009F2230">
        <w:rPr>
          <w:lang w:eastAsia="en-US"/>
        </w:rPr>
        <w:t xml:space="preserve">subjektů </w:t>
      </w:r>
      <w:r>
        <w:rPr>
          <w:lang w:eastAsia="en-US"/>
        </w:rPr>
        <w:t>přihlášených do</w:t>
      </w:r>
      <w:r w:rsidR="009F2230">
        <w:rPr>
          <w:lang w:eastAsia="en-US"/>
        </w:rPr>
        <w:t xml:space="preserve"> zvláštní</w:t>
      </w:r>
      <w:r>
        <w:rPr>
          <w:lang w:eastAsia="en-US"/>
        </w:rPr>
        <w:t>ho</w:t>
      </w:r>
      <w:r w:rsidR="009F2230">
        <w:rPr>
          <w:lang w:eastAsia="en-US"/>
        </w:rPr>
        <w:t xml:space="preserve"> režimu</w:t>
      </w:r>
      <w:r w:rsidR="008D0DFB">
        <w:rPr>
          <w:lang w:eastAsia="en-US"/>
        </w:rPr>
        <w:t>.</w:t>
      </w:r>
      <w:r w:rsidR="00683476">
        <w:rPr>
          <w:lang w:eastAsia="en-US"/>
        </w:rPr>
        <w:t xml:space="preserve"> </w:t>
      </w:r>
      <w:r w:rsidR="008D0DFB">
        <w:rPr>
          <w:lang w:eastAsia="en-US"/>
        </w:rPr>
        <w:t>V</w:t>
      </w:r>
      <w:r>
        <w:rPr>
          <w:lang w:eastAsia="en-US"/>
        </w:rPr>
        <w:t> tomto registru</w:t>
      </w:r>
      <w:r w:rsidR="00683476">
        <w:rPr>
          <w:lang w:eastAsia="en-US"/>
        </w:rPr>
        <w:t xml:space="preserve"> </w:t>
      </w:r>
      <w:r w:rsidR="00683476">
        <w:t>jsou uvedeny údaje o všech registrovaných subjektech ze všech členských států</w:t>
      </w:r>
      <w:r w:rsidR="00E44AD8">
        <w:t xml:space="preserve"> EU</w:t>
      </w:r>
      <w:r w:rsidR="003158B8">
        <w:rPr>
          <w:lang w:eastAsia="en-US"/>
        </w:rPr>
        <w:t xml:space="preserve">. </w:t>
      </w:r>
    </w:p>
    <w:p w14:paraId="6A7FEAD8" w14:textId="77777777" w:rsidR="00A5587D" w:rsidRDefault="00A5587D" w:rsidP="00062B08">
      <w:pPr>
        <w:pStyle w:val="Odstavecsmalmodsazenm"/>
        <w:spacing w:after="0"/>
      </w:pPr>
    </w:p>
    <w:p w14:paraId="24307F3A" w14:textId="438DD097" w:rsidR="00E2036D" w:rsidRDefault="000C6032" w:rsidP="00F16B71">
      <w:pPr>
        <w:pStyle w:val="Odstavecsmalmodsazenm"/>
        <w:spacing w:after="120"/>
        <w:rPr>
          <w:b/>
          <w:bCs/>
        </w:rPr>
      </w:pPr>
      <w:r>
        <w:rPr>
          <w:b/>
          <w:bCs/>
        </w:rPr>
        <w:t xml:space="preserve">1.3 </w:t>
      </w:r>
      <w:r w:rsidR="00E2036D">
        <w:rPr>
          <w:b/>
          <w:bCs/>
        </w:rPr>
        <w:t>Platby DPH</w:t>
      </w:r>
    </w:p>
    <w:p w14:paraId="45D3D875" w14:textId="401248ED" w:rsidR="00062B08" w:rsidRDefault="000C6032" w:rsidP="00062B08">
      <w:pPr>
        <w:pStyle w:val="Odstavecsmalmodsazenm"/>
        <w:spacing w:after="0"/>
      </w:pPr>
      <w:r w:rsidRPr="00F16B71">
        <w:t>Částky</w:t>
      </w:r>
      <w:r w:rsidR="00062B08" w:rsidRPr="000C6032">
        <w:t>,</w:t>
      </w:r>
      <w:r w:rsidR="00062B08" w:rsidRPr="00B85B25">
        <w:t xml:space="preserve"> které zaplatily </w:t>
      </w:r>
      <w:r w:rsidR="00062B08">
        <w:t xml:space="preserve">subjekty </w:t>
      </w:r>
      <w:r w:rsidR="00062B08" w:rsidRPr="00B85B25">
        <w:t xml:space="preserve">registrované </w:t>
      </w:r>
      <w:r>
        <w:t>ke</w:t>
      </w:r>
      <w:r w:rsidR="00062B08">
        <w:t xml:space="preserve"> zvláštním</w:t>
      </w:r>
      <w:r>
        <w:t>u</w:t>
      </w:r>
      <w:r w:rsidR="00062B08">
        <w:t xml:space="preserve"> režimu</w:t>
      </w:r>
      <w:r w:rsidR="00062B08" w:rsidRPr="00B85B25">
        <w:t xml:space="preserve"> v dané zemi</w:t>
      </w:r>
      <w:r>
        <w:t>,</w:t>
      </w:r>
      <w:r w:rsidR="00062B08" w:rsidRPr="00B85B25">
        <w:t xml:space="preserve"> </w:t>
      </w:r>
      <w:r>
        <w:t>mají</w:t>
      </w:r>
      <w:r w:rsidRPr="00B85B25">
        <w:t xml:space="preserve"> </w:t>
      </w:r>
      <w:r>
        <w:t xml:space="preserve">členské státy identifikace </w:t>
      </w:r>
      <w:r w:rsidRPr="00B85B25">
        <w:t xml:space="preserve">povinnost </w:t>
      </w:r>
      <w:r w:rsidRPr="00BA39A3">
        <w:t xml:space="preserve">poslat </w:t>
      </w:r>
      <w:r w:rsidR="00062B08" w:rsidRPr="00B85B25">
        <w:t xml:space="preserve">na úhradu daně vykázané vůči ČR. </w:t>
      </w:r>
      <w:r>
        <w:t>Č</w:t>
      </w:r>
      <w:r w:rsidR="00062B08">
        <w:t>lenské státy</w:t>
      </w:r>
      <w:r w:rsidR="00062B08" w:rsidRPr="00B85B25">
        <w:t xml:space="preserve"> tuto úhradu </w:t>
      </w:r>
      <w:r w:rsidRPr="00B85B25">
        <w:t>zasíla</w:t>
      </w:r>
      <w:r>
        <w:t>ly</w:t>
      </w:r>
      <w:r w:rsidRPr="00B85B25">
        <w:t xml:space="preserve"> </w:t>
      </w:r>
      <w:r w:rsidR="00062B08" w:rsidRPr="00B85B25">
        <w:t xml:space="preserve">FÚ JMK </w:t>
      </w:r>
      <w:r>
        <w:t xml:space="preserve">v podobě </w:t>
      </w:r>
      <w:r w:rsidR="00062B08" w:rsidRPr="00B85B25">
        <w:t>jedn</w:t>
      </w:r>
      <w:r>
        <w:t>é</w:t>
      </w:r>
      <w:r w:rsidR="00062B08" w:rsidRPr="00B85B25">
        <w:t xml:space="preserve"> celkov</w:t>
      </w:r>
      <w:r>
        <w:t>é</w:t>
      </w:r>
      <w:r w:rsidR="00062B08" w:rsidRPr="00B85B25">
        <w:t xml:space="preserve"> částk</w:t>
      </w:r>
      <w:r>
        <w:t>y</w:t>
      </w:r>
      <w:r w:rsidR="00062B08" w:rsidRPr="00B85B25">
        <w:t>, kterou FÚ JMK evid</w:t>
      </w:r>
      <w:r w:rsidR="00062B08">
        <w:t>oval</w:t>
      </w:r>
      <w:r w:rsidR="00062B08" w:rsidRPr="00B85B25">
        <w:t xml:space="preserve"> jako jednu platbu</w:t>
      </w:r>
      <w:r w:rsidR="00062B08">
        <w:t xml:space="preserve">. </w:t>
      </w:r>
      <w:r w:rsidR="00062B08" w:rsidRPr="00331307">
        <w:rPr>
          <w:color w:val="000000" w:themeColor="text1"/>
        </w:rPr>
        <w:t xml:space="preserve">K převedené výši DPH je </w:t>
      </w:r>
      <w:r w:rsidR="00062B08">
        <w:rPr>
          <w:color w:val="000000" w:themeColor="text1"/>
        </w:rPr>
        <w:t xml:space="preserve">ČSI </w:t>
      </w:r>
      <w:r w:rsidR="00062B08" w:rsidRPr="00331307">
        <w:rPr>
          <w:color w:val="000000" w:themeColor="text1"/>
        </w:rPr>
        <w:t>dále povinen zaslat informaci o</w:t>
      </w:r>
      <w:r>
        <w:rPr>
          <w:color w:val="000000" w:themeColor="text1"/>
        </w:rPr>
        <w:t xml:space="preserve"> </w:t>
      </w:r>
      <w:r w:rsidR="00062B08" w:rsidRPr="00331307">
        <w:rPr>
          <w:color w:val="000000" w:themeColor="text1"/>
        </w:rPr>
        <w:t>platbě DPH ze všech převáděných DAP</w:t>
      </w:r>
      <w:r w:rsidR="00062B08">
        <w:rPr>
          <w:color w:val="000000" w:themeColor="text1"/>
        </w:rPr>
        <w:t xml:space="preserve"> ve zvláštním režimu</w:t>
      </w:r>
      <w:r w:rsidR="00062B08" w:rsidRPr="00331307">
        <w:rPr>
          <w:color w:val="000000" w:themeColor="text1"/>
        </w:rPr>
        <w:t xml:space="preserve">. </w:t>
      </w:r>
      <w:r w:rsidR="00062B08">
        <w:t xml:space="preserve">Jedná se o </w:t>
      </w:r>
      <w:r w:rsidR="00062B08" w:rsidRPr="00BA39A3">
        <w:t>rozpis k</w:t>
      </w:r>
      <w:r w:rsidR="00062B08">
        <w:t> </w:t>
      </w:r>
      <w:r w:rsidR="00062B08" w:rsidRPr="00BA39A3">
        <w:t>zaslané platbě</w:t>
      </w:r>
      <w:r w:rsidR="00062B08">
        <w:t>,</w:t>
      </w:r>
      <w:r w:rsidR="00062B08" w:rsidRPr="00A47A13">
        <w:t xml:space="preserve"> podle kterého je automatizovaně rozdělována celková platba na dílčí platby</w:t>
      </w:r>
      <w:r w:rsidR="00062B08">
        <w:t xml:space="preserve"> od jednotlivých subjektů. FÚ JMK je přiřazuje</w:t>
      </w:r>
      <w:r w:rsidR="00062B08" w:rsidRPr="00A47A13">
        <w:t xml:space="preserve"> na jednotliv</w:t>
      </w:r>
      <w:r w:rsidR="00062B08">
        <w:t>é</w:t>
      </w:r>
      <w:r w:rsidR="00062B08" w:rsidRPr="00A47A13">
        <w:t xml:space="preserve"> </w:t>
      </w:r>
      <w:r w:rsidR="00062B08">
        <w:t>osobní daňové účty</w:t>
      </w:r>
      <w:r w:rsidR="00062B08" w:rsidRPr="00A47A13">
        <w:t xml:space="preserve"> ke konkrétním </w:t>
      </w:r>
      <w:r w:rsidRPr="00A47A13">
        <w:t>DAP</w:t>
      </w:r>
      <w:r>
        <w:t xml:space="preserve"> </w:t>
      </w:r>
      <w:r w:rsidR="00062B08" w:rsidRPr="00A47A13">
        <w:t xml:space="preserve">podaným </w:t>
      </w:r>
      <w:r w:rsidR="00062B08">
        <w:t>ve zvláštním režimu</w:t>
      </w:r>
      <w:r w:rsidR="00062B08" w:rsidRPr="00A47A13">
        <w:t xml:space="preserve">. </w:t>
      </w:r>
    </w:p>
    <w:p w14:paraId="4402495D" w14:textId="6B23DFF6" w:rsidR="003158B8" w:rsidRDefault="003158B8" w:rsidP="00313E6C">
      <w:pPr>
        <w:pStyle w:val="Odstavecsmalmodsazenm"/>
        <w:spacing w:after="0"/>
        <w:rPr>
          <w:lang w:eastAsia="en-US"/>
        </w:rPr>
      </w:pPr>
    </w:p>
    <w:p w14:paraId="6B40E777" w14:textId="18848364" w:rsidR="00471CC1" w:rsidRDefault="00471CC1" w:rsidP="00471CC1">
      <w:pPr>
        <w:pStyle w:val="Odstavecsmalmodsazenm"/>
        <w:spacing w:after="0"/>
        <w:rPr>
          <w:rFonts w:ascii="Calibri" w:hAnsi="Calibri" w:cs="Calibri"/>
          <w:b/>
        </w:rPr>
      </w:pPr>
      <w:r w:rsidRPr="0030650C">
        <w:rPr>
          <w:rFonts w:ascii="Calibri" w:hAnsi="Calibri" w:cs="Calibri"/>
          <w:b/>
        </w:rPr>
        <w:t xml:space="preserve">Tabulka č. </w:t>
      </w:r>
      <w:r w:rsidR="003D7833">
        <w:rPr>
          <w:rFonts w:ascii="Calibri" w:hAnsi="Calibri" w:cs="Calibri"/>
          <w:b/>
        </w:rPr>
        <w:t>6</w:t>
      </w:r>
      <w:r w:rsidRPr="0030650C">
        <w:rPr>
          <w:rFonts w:ascii="Calibri" w:hAnsi="Calibri" w:cs="Calibri"/>
          <w:b/>
        </w:rPr>
        <w:t xml:space="preserve">: Přehled </w:t>
      </w:r>
      <w:r w:rsidR="003D7833">
        <w:rPr>
          <w:rFonts w:ascii="Calibri" w:hAnsi="Calibri" w:cs="Calibri"/>
          <w:b/>
        </w:rPr>
        <w:t xml:space="preserve">přijatých </w:t>
      </w:r>
      <w:r w:rsidRPr="0030650C">
        <w:rPr>
          <w:rFonts w:ascii="Calibri" w:hAnsi="Calibri" w:cs="Calibri"/>
          <w:b/>
        </w:rPr>
        <w:t>plateb DPH v</w:t>
      </w:r>
      <w:r w:rsidR="00FE3DC9">
        <w:rPr>
          <w:rFonts w:ascii="Calibri" w:hAnsi="Calibri" w:cs="Calibri"/>
          <w:b/>
        </w:rPr>
        <w:t>e zvláštním</w:t>
      </w:r>
      <w:r w:rsidRPr="0030650C">
        <w:rPr>
          <w:rFonts w:ascii="Calibri" w:hAnsi="Calibri" w:cs="Calibri"/>
          <w:b/>
        </w:rPr>
        <w:t xml:space="preserve"> režimu v letech 2021</w:t>
      </w:r>
      <w:r w:rsidR="00321EF1">
        <w:rPr>
          <w:rFonts w:ascii="Calibri" w:hAnsi="Calibri" w:cs="Calibri"/>
          <w:b/>
        </w:rPr>
        <w:t>–</w:t>
      </w:r>
      <w:r w:rsidRPr="0030650C">
        <w:rPr>
          <w:rFonts w:ascii="Calibri" w:hAnsi="Calibri" w:cs="Calibri"/>
          <w:b/>
        </w:rPr>
        <w:t>2024</w:t>
      </w:r>
    </w:p>
    <w:tbl>
      <w:tblPr>
        <w:tblStyle w:val="Mkatabulky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55"/>
        <w:gridCol w:w="1559"/>
        <w:gridCol w:w="1628"/>
        <w:gridCol w:w="1629"/>
        <w:gridCol w:w="1629"/>
        <w:gridCol w:w="1656"/>
      </w:tblGrid>
      <w:tr w:rsidR="00B00DB7" w14:paraId="1C4D2032" w14:textId="77777777" w:rsidTr="00F16B71">
        <w:trPr>
          <w:trHeight w:val="454"/>
        </w:trPr>
        <w:tc>
          <w:tcPr>
            <w:tcW w:w="955" w:type="dxa"/>
            <w:vMerge w:val="restart"/>
            <w:shd w:val="clear" w:color="auto" w:fill="E6E6E6"/>
          </w:tcPr>
          <w:p w14:paraId="3C1BFDE5" w14:textId="77777777" w:rsidR="00B00DB7" w:rsidRDefault="00B00DB7" w:rsidP="0006231D"/>
        </w:tc>
        <w:tc>
          <w:tcPr>
            <w:tcW w:w="1559" w:type="dxa"/>
            <w:vMerge w:val="restart"/>
            <w:shd w:val="clear" w:color="auto" w:fill="E6E6E6"/>
            <w:vAlign w:val="center"/>
          </w:tcPr>
          <w:p w14:paraId="18E81C46" w14:textId="77777777" w:rsidR="00B00DB7" w:rsidRDefault="00B00DB7" w:rsidP="0006231D">
            <w:pPr>
              <w:jc w:val="center"/>
            </w:pPr>
            <w:r w:rsidRPr="004A020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Zvláštní režim</w:t>
            </w:r>
          </w:p>
        </w:tc>
        <w:tc>
          <w:tcPr>
            <w:tcW w:w="1628" w:type="dxa"/>
            <w:shd w:val="clear" w:color="auto" w:fill="E6E6E6"/>
            <w:vAlign w:val="center"/>
          </w:tcPr>
          <w:p w14:paraId="1B917A5B" w14:textId="77777777" w:rsidR="00B00DB7" w:rsidRDefault="00B00DB7" w:rsidP="0006231D">
            <w:pPr>
              <w:jc w:val="center"/>
            </w:pPr>
            <w:r w:rsidRPr="004A020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2021</w:t>
            </w:r>
          </w:p>
        </w:tc>
        <w:tc>
          <w:tcPr>
            <w:tcW w:w="1629" w:type="dxa"/>
            <w:shd w:val="clear" w:color="auto" w:fill="E6E6E6"/>
            <w:vAlign w:val="center"/>
          </w:tcPr>
          <w:p w14:paraId="370FAF21" w14:textId="77777777" w:rsidR="00B00DB7" w:rsidRDefault="00B00DB7" w:rsidP="0006231D">
            <w:pPr>
              <w:jc w:val="center"/>
            </w:pPr>
            <w:r w:rsidRPr="004A020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2022</w:t>
            </w:r>
          </w:p>
        </w:tc>
        <w:tc>
          <w:tcPr>
            <w:tcW w:w="1629" w:type="dxa"/>
            <w:shd w:val="clear" w:color="auto" w:fill="E6E6E6"/>
            <w:vAlign w:val="center"/>
          </w:tcPr>
          <w:p w14:paraId="6FBE560F" w14:textId="77777777" w:rsidR="00B00DB7" w:rsidRDefault="00B00DB7" w:rsidP="0006231D">
            <w:pPr>
              <w:jc w:val="center"/>
            </w:pPr>
            <w:r w:rsidRPr="004A020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2023</w:t>
            </w:r>
          </w:p>
        </w:tc>
        <w:tc>
          <w:tcPr>
            <w:tcW w:w="1656" w:type="dxa"/>
            <w:shd w:val="clear" w:color="auto" w:fill="E6E6E6"/>
            <w:vAlign w:val="center"/>
          </w:tcPr>
          <w:p w14:paraId="73F86BD1" w14:textId="77777777" w:rsidR="00B00DB7" w:rsidRDefault="00B00DB7" w:rsidP="0006231D">
            <w:pPr>
              <w:jc w:val="center"/>
            </w:pPr>
            <w:r w:rsidRPr="004A020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2024</w:t>
            </w:r>
          </w:p>
        </w:tc>
      </w:tr>
      <w:tr w:rsidR="00B00DB7" w14:paraId="4756A2EA" w14:textId="77777777" w:rsidTr="00F16B71">
        <w:trPr>
          <w:trHeight w:val="283"/>
        </w:trPr>
        <w:tc>
          <w:tcPr>
            <w:tcW w:w="955" w:type="dxa"/>
            <w:vMerge/>
            <w:shd w:val="clear" w:color="auto" w:fill="E6E6E6"/>
          </w:tcPr>
          <w:p w14:paraId="259F9BD8" w14:textId="77777777" w:rsidR="00B00DB7" w:rsidRDefault="00B00DB7" w:rsidP="00B00DB7"/>
        </w:tc>
        <w:tc>
          <w:tcPr>
            <w:tcW w:w="1559" w:type="dxa"/>
            <w:vMerge/>
            <w:shd w:val="clear" w:color="auto" w:fill="E6E6E6"/>
            <w:vAlign w:val="center"/>
          </w:tcPr>
          <w:p w14:paraId="772A6536" w14:textId="77777777" w:rsidR="00B00DB7" w:rsidRPr="004A020B" w:rsidRDefault="00B00DB7" w:rsidP="00B00DB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6542" w:type="dxa"/>
            <w:gridSpan w:val="4"/>
            <w:shd w:val="clear" w:color="auto" w:fill="E6E6E6"/>
            <w:vAlign w:val="center"/>
          </w:tcPr>
          <w:p w14:paraId="26453032" w14:textId="759E8EC4" w:rsidR="00B00DB7" w:rsidRPr="004A020B" w:rsidRDefault="00B00DB7" w:rsidP="00B00DB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A1412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Částka v eurech</w:t>
            </w:r>
          </w:p>
        </w:tc>
      </w:tr>
      <w:tr w:rsidR="00B00DB7" w14:paraId="43D10C59" w14:textId="77777777" w:rsidTr="00F16B71">
        <w:tc>
          <w:tcPr>
            <w:tcW w:w="955" w:type="dxa"/>
            <w:vMerge w:val="restart"/>
            <w:shd w:val="clear" w:color="auto" w:fill="E6E6E6"/>
            <w:vAlign w:val="center"/>
          </w:tcPr>
          <w:p w14:paraId="22B152F1" w14:textId="0E14B266" w:rsidR="00B00DB7" w:rsidRDefault="00B00DB7" w:rsidP="00B00DB7">
            <w:pPr>
              <w:ind w:right="1"/>
              <w:jc w:val="center"/>
            </w:pPr>
            <w:r w:rsidRPr="00B9666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DPH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</w:t>
            </w:r>
            <w:r w:rsidRPr="00B9666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řijatá z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  <w:r w:rsidRPr="00B9666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JČS do ČR jako státu spotřeby</w:t>
            </w:r>
          </w:p>
        </w:tc>
        <w:tc>
          <w:tcPr>
            <w:tcW w:w="1559" w:type="dxa"/>
            <w:vAlign w:val="center"/>
          </w:tcPr>
          <w:p w14:paraId="07C7AE5D" w14:textId="77777777" w:rsidR="00B00DB7" w:rsidRDefault="00B00DB7" w:rsidP="00B00DB7">
            <w:r w:rsidRPr="004A020B">
              <w:rPr>
                <w:rFonts w:ascii="Calibri" w:eastAsia="Times New Roman" w:hAnsi="Calibri" w:cs="Calibri"/>
                <w:color w:val="000000"/>
                <w:lang w:eastAsia="cs-CZ"/>
              </w:rPr>
              <w:t>Režim EU</w:t>
            </w:r>
          </w:p>
        </w:tc>
        <w:tc>
          <w:tcPr>
            <w:tcW w:w="1628" w:type="dxa"/>
            <w:vAlign w:val="center"/>
          </w:tcPr>
          <w:p w14:paraId="1278CBDA" w14:textId="77777777" w:rsidR="00B00DB7" w:rsidRDefault="00B00DB7" w:rsidP="00B00DB7">
            <w:pPr>
              <w:jc w:val="right"/>
            </w:pPr>
            <w:r w:rsidRPr="004A020B">
              <w:rPr>
                <w:rFonts w:ascii="Calibri" w:eastAsia="Times New Roman" w:hAnsi="Calibri" w:cs="Calibri"/>
                <w:color w:val="000000"/>
                <w:lang w:eastAsia="cs-CZ"/>
              </w:rPr>
              <w:t>34 404 390,65</w:t>
            </w:r>
          </w:p>
        </w:tc>
        <w:tc>
          <w:tcPr>
            <w:tcW w:w="1629" w:type="dxa"/>
            <w:vAlign w:val="center"/>
          </w:tcPr>
          <w:p w14:paraId="3F312829" w14:textId="77777777" w:rsidR="00B00DB7" w:rsidRDefault="00B00DB7" w:rsidP="00B00DB7">
            <w:pPr>
              <w:jc w:val="right"/>
            </w:pPr>
            <w:r w:rsidRPr="004A020B">
              <w:rPr>
                <w:rFonts w:ascii="Calibri" w:eastAsia="Times New Roman" w:hAnsi="Calibri" w:cs="Calibri"/>
                <w:color w:val="000000"/>
                <w:lang w:eastAsia="cs-CZ"/>
              </w:rPr>
              <w:t>225 114 196,74</w:t>
            </w:r>
          </w:p>
        </w:tc>
        <w:tc>
          <w:tcPr>
            <w:tcW w:w="1629" w:type="dxa"/>
            <w:vAlign w:val="center"/>
          </w:tcPr>
          <w:p w14:paraId="5BDE8F0D" w14:textId="77777777" w:rsidR="00B00DB7" w:rsidRDefault="00B00DB7" w:rsidP="00B00DB7">
            <w:pPr>
              <w:jc w:val="right"/>
            </w:pPr>
            <w:r w:rsidRPr="004A020B">
              <w:rPr>
                <w:rFonts w:ascii="Calibri" w:eastAsia="Times New Roman" w:hAnsi="Calibri" w:cs="Calibri"/>
                <w:color w:val="000000"/>
                <w:lang w:eastAsia="cs-CZ"/>
              </w:rPr>
              <w:t>308 846 203,17</w:t>
            </w:r>
          </w:p>
        </w:tc>
        <w:tc>
          <w:tcPr>
            <w:tcW w:w="1656" w:type="dxa"/>
            <w:vAlign w:val="center"/>
          </w:tcPr>
          <w:p w14:paraId="0422BD9E" w14:textId="77777777" w:rsidR="00B00DB7" w:rsidRDefault="00B00DB7" w:rsidP="00B00DB7">
            <w:pPr>
              <w:jc w:val="right"/>
            </w:pPr>
            <w:r w:rsidRPr="004A020B">
              <w:rPr>
                <w:rFonts w:ascii="Calibri" w:eastAsia="Times New Roman" w:hAnsi="Calibri" w:cs="Calibri"/>
                <w:color w:val="000000"/>
                <w:lang w:eastAsia="cs-CZ"/>
              </w:rPr>
              <w:t>360 226 012,26</w:t>
            </w:r>
          </w:p>
        </w:tc>
      </w:tr>
      <w:tr w:rsidR="00B00DB7" w14:paraId="6927673E" w14:textId="77777777" w:rsidTr="00F16B71">
        <w:tc>
          <w:tcPr>
            <w:tcW w:w="955" w:type="dxa"/>
            <w:vMerge/>
            <w:shd w:val="clear" w:color="auto" w:fill="E6E6E6"/>
          </w:tcPr>
          <w:p w14:paraId="45D383C7" w14:textId="77777777" w:rsidR="00B00DB7" w:rsidRDefault="00B00DB7" w:rsidP="00B00DB7"/>
        </w:tc>
        <w:tc>
          <w:tcPr>
            <w:tcW w:w="1559" w:type="dxa"/>
            <w:vAlign w:val="center"/>
          </w:tcPr>
          <w:p w14:paraId="5E735424" w14:textId="77777777" w:rsidR="00B00DB7" w:rsidRDefault="00B00DB7" w:rsidP="00B00DB7">
            <w:pPr>
              <w:ind w:right="-140"/>
            </w:pPr>
            <w:r w:rsidRPr="004A020B">
              <w:rPr>
                <w:rFonts w:ascii="Calibri" w:eastAsia="Times New Roman" w:hAnsi="Calibri" w:cs="Calibri"/>
                <w:color w:val="000000"/>
                <w:lang w:eastAsia="cs-CZ"/>
              </w:rPr>
              <w:t>Režim mimo EU</w:t>
            </w:r>
          </w:p>
        </w:tc>
        <w:tc>
          <w:tcPr>
            <w:tcW w:w="1628" w:type="dxa"/>
            <w:vAlign w:val="center"/>
          </w:tcPr>
          <w:p w14:paraId="096FC3AC" w14:textId="77777777" w:rsidR="00B00DB7" w:rsidRDefault="00B00DB7" w:rsidP="00B00DB7">
            <w:pPr>
              <w:jc w:val="right"/>
            </w:pPr>
            <w:r w:rsidRPr="004A020B">
              <w:rPr>
                <w:rFonts w:ascii="Calibri" w:eastAsia="Times New Roman" w:hAnsi="Calibri" w:cs="Calibri"/>
                <w:color w:val="000000"/>
                <w:lang w:eastAsia="cs-CZ"/>
              </w:rPr>
              <w:t>3 985 942,71</w:t>
            </w:r>
          </w:p>
        </w:tc>
        <w:tc>
          <w:tcPr>
            <w:tcW w:w="1629" w:type="dxa"/>
            <w:vAlign w:val="center"/>
          </w:tcPr>
          <w:p w14:paraId="1FB241C1" w14:textId="77777777" w:rsidR="00B00DB7" w:rsidRDefault="00B00DB7" w:rsidP="00B00DB7">
            <w:pPr>
              <w:jc w:val="right"/>
            </w:pPr>
            <w:r w:rsidRPr="004A020B">
              <w:rPr>
                <w:rFonts w:ascii="Calibri" w:eastAsia="Times New Roman" w:hAnsi="Calibri" w:cs="Calibri"/>
                <w:color w:val="000000"/>
                <w:lang w:eastAsia="cs-CZ"/>
              </w:rPr>
              <w:t>25 574 833,93</w:t>
            </w:r>
          </w:p>
        </w:tc>
        <w:tc>
          <w:tcPr>
            <w:tcW w:w="1629" w:type="dxa"/>
            <w:vAlign w:val="center"/>
          </w:tcPr>
          <w:p w14:paraId="1491394C" w14:textId="77777777" w:rsidR="00B00DB7" w:rsidRDefault="00B00DB7" w:rsidP="00B00DB7">
            <w:pPr>
              <w:jc w:val="right"/>
            </w:pPr>
            <w:r w:rsidRPr="004A020B">
              <w:rPr>
                <w:rFonts w:ascii="Calibri" w:eastAsia="Times New Roman" w:hAnsi="Calibri" w:cs="Calibri"/>
                <w:color w:val="000000"/>
                <w:lang w:eastAsia="cs-CZ"/>
              </w:rPr>
              <w:t>41 395 715,66</w:t>
            </w:r>
          </w:p>
        </w:tc>
        <w:tc>
          <w:tcPr>
            <w:tcW w:w="1656" w:type="dxa"/>
            <w:vAlign w:val="center"/>
          </w:tcPr>
          <w:p w14:paraId="224FC438" w14:textId="77777777" w:rsidR="00B00DB7" w:rsidRDefault="00B00DB7" w:rsidP="00B00DB7">
            <w:pPr>
              <w:jc w:val="right"/>
            </w:pPr>
            <w:r w:rsidRPr="004A020B">
              <w:rPr>
                <w:rFonts w:ascii="Calibri" w:eastAsia="Times New Roman" w:hAnsi="Calibri" w:cs="Calibri"/>
                <w:color w:val="000000"/>
                <w:lang w:eastAsia="cs-CZ"/>
              </w:rPr>
              <w:t>49 415 466,12</w:t>
            </w:r>
          </w:p>
        </w:tc>
      </w:tr>
      <w:tr w:rsidR="00B00DB7" w14:paraId="75F86D8F" w14:textId="77777777" w:rsidTr="00F16B71">
        <w:tc>
          <w:tcPr>
            <w:tcW w:w="955" w:type="dxa"/>
            <w:vMerge/>
            <w:shd w:val="clear" w:color="auto" w:fill="E6E6E6"/>
          </w:tcPr>
          <w:p w14:paraId="27B099A1" w14:textId="77777777" w:rsidR="00B00DB7" w:rsidRDefault="00B00DB7" w:rsidP="00B00DB7"/>
        </w:tc>
        <w:tc>
          <w:tcPr>
            <w:tcW w:w="1559" w:type="dxa"/>
            <w:vAlign w:val="center"/>
          </w:tcPr>
          <w:p w14:paraId="3D0282BD" w14:textId="77777777" w:rsidR="00B00DB7" w:rsidRDefault="00B00DB7" w:rsidP="00B00DB7">
            <w:r w:rsidRPr="004A020B">
              <w:rPr>
                <w:rFonts w:ascii="Calibri" w:eastAsia="Times New Roman" w:hAnsi="Calibri" w:cs="Calibri"/>
                <w:color w:val="000000"/>
                <w:lang w:eastAsia="cs-CZ"/>
              </w:rPr>
              <w:t>Dovozní režim</w:t>
            </w:r>
          </w:p>
        </w:tc>
        <w:tc>
          <w:tcPr>
            <w:tcW w:w="1628" w:type="dxa"/>
            <w:vAlign w:val="center"/>
          </w:tcPr>
          <w:p w14:paraId="245E70EB" w14:textId="77777777" w:rsidR="00B00DB7" w:rsidRDefault="00B00DB7" w:rsidP="00B00DB7">
            <w:pPr>
              <w:jc w:val="right"/>
            </w:pPr>
            <w:r w:rsidRPr="004A020B">
              <w:rPr>
                <w:rFonts w:ascii="Calibri" w:eastAsia="Times New Roman" w:hAnsi="Calibri" w:cs="Calibri"/>
                <w:color w:val="000000"/>
                <w:lang w:eastAsia="cs-CZ"/>
              </w:rPr>
              <w:t>9 245 409,47</w:t>
            </w:r>
          </w:p>
        </w:tc>
        <w:tc>
          <w:tcPr>
            <w:tcW w:w="1629" w:type="dxa"/>
            <w:vAlign w:val="center"/>
          </w:tcPr>
          <w:p w14:paraId="561E9C32" w14:textId="77777777" w:rsidR="00B00DB7" w:rsidRDefault="00B00DB7" w:rsidP="00B00DB7">
            <w:pPr>
              <w:jc w:val="right"/>
            </w:pPr>
            <w:r w:rsidRPr="004A020B">
              <w:rPr>
                <w:rFonts w:ascii="Calibri" w:eastAsia="Times New Roman" w:hAnsi="Calibri" w:cs="Calibri"/>
                <w:color w:val="000000"/>
                <w:lang w:eastAsia="cs-CZ"/>
              </w:rPr>
              <w:t>36 358 795,09</w:t>
            </w:r>
          </w:p>
        </w:tc>
        <w:tc>
          <w:tcPr>
            <w:tcW w:w="1629" w:type="dxa"/>
            <w:vAlign w:val="center"/>
          </w:tcPr>
          <w:p w14:paraId="6F5B062C" w14:textId="77777777" w:rsidR="00B00DB7" w:rsidRDefault="00B00DB7" w:rsidP="00B00DB7">
            <w:pPr>
              <w:jc w:val="right"/>
            </w:pPr>
            <w:r w:rsidRPr="004A020B">
              <w:rPr>
                <w:rFonts w:ascii="Calibri" w:eastAsia="Times New Roman" w:hAnsi="Calibri" w:cs="Calibri"/>
                <w:color w:val="000000"/>
                <w:lang w:eastAsia="cs-CZ"/>
              </w:rPr>
              <w:t>62 515 469,36</w:t>
            </w:r>
          </w:p>
        </w:tc>
        <w:tc>
          <w:tcPr>
            <w:tcW w:w="1656" w:type="dxa"/>
            <w:vAlign w:val="center"/>
          </w:tcPr>
          <w:p w14:paraId="1208C84A" w14:textId="77777777" w:rsidR="00B00DB7" w:rsidRDefault="00B00DB7" w:rsidP="00B00DB7">
            <w:pPr>
              <w:jc w:val="right"/>
            </w:pPr>
            <w:r w:rsidRPr="004A020B">
              <w:rPr>
                <w:rFonts w:ascii="Calibri" w:eastAsia="Times New Roman" w:hAnsi="Calibri" w:cs="Calibri"/>
                <w:color w:val="000000"/>
                <w:lang w:eastAsia="cs-CZ"/>
              </w:rPr>
              <w:t>122 757 304,18</w:t>
            </w:r>
          </w:p>
        </w:tc>
      </w:tr>
      <w:tr w:rsidR="00B00DB7" w14:paraId="08D63C16" w14:textId="77777777" w:rsidTr="00F16B71">
        <w:tc>
          <w:tcPr>
            <w:tcW w:w="955" w:type="dxa"/>
            <w:vMerge/>
            <w:shd w:val="clear" w:color="auto" w:fill="E6E6E6"/>
          </w:tcPr>
          <w:p w14:paraId="56900D5F" w14:textId="77777777" w:rsidR="00B00DB7" w:rsidRDefault="00B00DB7" w:rsidP="00B00DB7"/>
        </w:tc>
        <w:tc>
          <w:tcPr>
            <w:tcW w:w="1559" w:type="dxa"/>
            <w:shd w:val="clear" w:color="auto" w:fill="EDD4D9"/>
            <w:vAlign w:val="center"/>
          </w:tcPr>
          <w:p w14:paraId="6F5DCA41" w14:textId="77777777" w:rsidR="00B00DB7" w:rsidRDefault="00B00DB7" w:rsidP="00B00DB7">
            <w:r w:rsidRPr="004A020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1628" w:type="dxa"/>
            <w:shd w:val="clear" w:color="auto" w:fill="EDD4D9"/>
            <w:vAlign w:val="center"/>
          </w:tcPr>
          <w:p w14:paraId="7C250A28" w14:textId="77777777" w:rsidR="00B00DB7" w:rsidRDefault="00B00DB7" w:rsidP="00B00DB7">
            <w:pPr>
              <w:jc w:val="right"/>
            </w:pPr>
            <w:r w:rsidRPr="004A020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47 635 742,83</w:t>
            </w:r>
          </w:p>
        </w:tc>
        <w:tc>
          <w:tcPr>
            <w:tcW w:w="1629" w:type="dxa"/>
            <w:shd w:val="clear" w:color="auto" w:fill="EDD4D9"/>
            <w:vAlign w:val="center"/>
          </w:tcPr>
          <w:p w14:paraId="3403AC20" w14:textId="77777777" w:rsidR="00B00DB7" w:rsidRDefault="00B00DB7" w:rsidP="00B00DB7">
            <w:pPr>
              <w:jc w:val="right"/>
            </w:pPr>
            <w:r w:rsidRPr="004A020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287 047 825,76</w:t>
            </w:r>
          </w:p>
        </w:tc>
        <w:tc>
          <w:tcPr>
            <w:tcW w:w="1629" w:type="dxa"/>
            <w:shd w:val="clear" w:color="auto" w:fill="EDD4D9"/>
            <w:vAlign w:val="center"/>
          </w:tcPr>
          <w:p w14:paraId="0BEF0A64" w14:textId="77777777" w:rsidR="00B00DB7" w:rsidRDefault="00B00DB7" w:rsidP="00B00DB7">
            <w:pPr>
              <w:jc w:val="right"/>
            </w:pPr>
            <w:r w:rsidRPr="004A020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412 757 388,19</w:t>
            </w:r>
          </w:p>
        </w:tc>
        <w:tc>
          <w:tcPr>
            <w:tcW w:w="1656" w:type="dxa"/>
            <w:shd w:val="clear" w:color="auto" w:fill="EDD4D9"/>
            <w:vAlign w:val="center"/>
          </w:tcPr>
          <w:p w14:paraId="6C6E4BBB" w14:textId="77777777" w:rsidR="00B00DB7" w:rsidRDefault="00B00DB7" w:rsidP="00B00DB7">
            <w:pPr>
              <w:jc w:val="right"/>
            </w:pPr>
            <w:r w:rsidRPr="004A020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532 398 782,56</w:t>
            </w:r>
          </w:p>
        </w:tc>
      </w:tr>
    </w:tbl>
    <w:p w14:paraId="5F2E0DB8" w14:textId="543770AC" w:rsidR="00471CC1" w:rsidRPr="0030650C" w:rsidRDefault="00471CC1" w:rsidP="00471CC1">
      <w:pPr>
        <w:pStyle w:val="Odstavecsmalmodsazenm"/>
        <w:spacing w:after="0"/>
        <w:rPr>
          <w:rFonts w:ascii="Calibri" w:hAnsi="Calibri" w:cs="Calibri"/>
          <w:bCs/>
          <w:sz w:val="20"/>
          <w:szCs w:val="20"/>
        </w:rPr>
      </w:pPr>
      <w:r w:rsidRPr="00F16B71">
        <w:rPr>
          <w:rFonts w:ascii="Calibri" w:hAnsi="Calibri" w:cs="Calibri"/>
          <w:b/>
          <w:sz w:val="20"/>
          <w:szCs w:val="20"/>
        </w:rPr>
        <w:t>Zdroj:</w:t>
      </w:r>
      <w:r w:rsidRPr="0030650C">
        <w:rPr>
          <w:rFonts w:ascii="Calibri" w:hAnsi="Calibri" w:cs="Calibri"/>
          <w:bCs/>
          <w:sz w:val="20"/>
          <w:szCs w:val="20"/>
        </w:rPr>
        <w:t xml:space="preserve"> </w:t>
      </w:r>
      <w:r w:rsidR="00BF25E5">
        <w:rPr>
          <w:rFonts w:ascii="Calibri" w:hAnsi="Calibri" w:cs="Calibri"/>
          <w:bCs/>
          <w:sz w:val="20"/>
          <w:szCs w:val="20"/>
        </w:rPr>
        <w:t>FÚ JMK.</w:t>
      </w:r>
    </w:p>
    <w:p w14:paraId="40147107" w14:textId="77777777" w:rsidR="00471CC1" w:rsidRDefault="00471CC1" w:rsidP="00313E6C">
      <w:pPr>
        <w:pStyle w:val="Odstavecsmalmodsazenm"/>
        <w:spacing w:after="0"/>
        <w:rPr>
          <w:lang w:eastAsia="en-US"/>
        </w:rPr>
      </w:pPr>
    </w:p>
    <w:p w14:paraId="27665D72" w14:textId="7320A58D" w:rsidR="00D566B5" w:rsidRDefault="00CE367E" w:rsidP="00D566B5">
      <w:pPr>
        <w:pStyle w:val="Odstavecsmalmodsazenm"/>
        <w:spacing w:after="0"/>
        <w:rPr>
          <w:lang w:eastAsia="en-US"/>
        </w:rPr>
      </w:pPr>
      <w:r>
        <w:rPr>
          <w:lang w:eastAsia="en-US"/>
        </w:rPr>
        <w:t>V případě plateb z</w:t>
      </w:r>
      <w:r w:rsidR="00C7603E">
        <w:rPr>
          <w:lang w:eastAsia="en-US"/>
        </w:rPr>
        <w:t xml:space="preserve"> </w:t>
      </w:r>
      <w:r>
        <w:rPr>
          <w:lang w:eastAsia="en-US"/>
        </w:rPr>
        <w:t xml:space="preserve">JČS </w:t>
      </w:r>
      <w:r w:rsidR="00F647CA">
        <w:rPr>
          <w:lang w:eastAsia="en-US"/>
        </w:rPr>
        <w:t>byly</w:t>
      </w:r>
      <w:r>
        <w:rPr>
          <w:lang w:eastAsia="en-US"/>
        </w:rPr>
        <w:t xml:space="preserve"> největší </w:t>
      </w:r>
      <w:r w:rsidR="00A26464">
        <w:rPr>
          <w:lang w:eastAsia="en-US"/>
        </w:rPr>
        <w:t>částky DPH</w:t>
      </w:r>
      <w:r>
        <w:rPr>
          <w:lang w:eastAsia="en-US"/>
        </w:rPr>
        <w:t xml:space="preserve"> v</w:t>
      </w:r>
      <w:r w:rsidR="00CC491F">
        <w:rPr>
          <w:lang w:eastAsia="en-US"/>
        </w:rPr>
        <w:t>e zvláštním</w:t>
      </w:r>
      <w:r w:rsidR="00A26464">
        <w:rPr>
          <w:lang w:eastAsia="en-US"/>
        </w:rPr>
        <w:t xml:space="preserve"> </w:t>
      </w:r>
      <w:r w:rsidR="000E4DEF">
        <w:rPr>
          <w:lang w:eastAsia="en-US"/>
        </w:rPr>
        <w:t>režimu</w:t>
      </w:r>
      <w:r>
        <w:rPr>
          <w:lang w:eastAsia="en-US"/>
        </w:rPr>
        <w:t xml:space="preserve"> </w:t>
      </w:r>
      <w:r w:rsidR="00A26464">
        <w:rPr>
          <w:lang w:eastAsia="en-US"/>
        </w:rPr>
        <w:t>přijaty</w:t>
      </w:r>
      <w:r>
        <w:rPr>
          <w:lang w:eastAsia="en-US"/>
        </w:rPr>
        <w:t xml:space="preserve"> z</w:t>
      </w:r>
      <w:r w:rsidR="00C7603E">
        <w:rPr>
          <w:lang w:eastAsia="en-US"/>
        </w:rPr>
        <w:t xml:space="preserve"> </w:t>
      </w:r>
      <w:r w:rsidR="00A26464">
        <w:rPr>
          <w:lang w:eastAsia="en-US"/>
        </w:rPr>
        <w:t xml:space="preserve">Nizozemska </w:t>
      </w:r>
      <w:r>
        <w:rPr>
          <w:lang w:eastAsia="en-US"/>
        </w:rPr>
        <w:t>a</w:t>
      </w:r>
      <w:r w:rsidR="00A26464">
        <w:rPr>
          <w:lang w:eastAsia="en-US"/>
        </w:rPr>
        <w:t> Irska</w:t>
      </w:r>
      <w:r>
        <w:rPr>
          <w:lang w:eastAsia="en-US"/>
        </w:rPr>
        <w:t>, ve kterých jsou registrován</w:t>
      </w:r>
      <w:r w:rsidR="00EB7C46">
        <w:rPr>
          <w:lang w:eastAsia="en-US"/>
        </w:rPr>
        <w:t>y</w:t>
      </w:r>
      <w:r>
        <w:rPr>
          <w:lang w:eastAsia="en-US"/>
        </w:rPr>
        <w:t xml:space="preserve"> k</w:t>
      </w:r>
      <w:r w:rsidR="005E2A35">
        <w:rPr>
          <w:lang w:eastAsia="en-US"/>
        </w:rPr>
        <w:t> DPH ve zvláštním režimu</w:t>
      </w:r>
      <w:r>
        <w:rPr>
          <w:lang w:eastAsia="en-US"/>
        </w:rPr>
        <w:t xml:space="preserve"> velké internetové obchody</w:t>
      </w:r>
      <w:r w:rsidR="00A47A13">
        <w:rPr>
          <w:lang w:eastAsia="en-US"/>
        </w:rPr>
        <w:t>.</w:t>
      </w:r>
    </w:p>
    <w:p w14:paraId="48DD854A" w14:textId="77777777" w:rsidR="00D566B5" w:rsidRDefault="00D566B5" w:rsidP="00D566B5">
      <w:pPr>
        <w:pStyle w:val="Odstavecsmalmodsazenm"/>
        <w:spacing w:after="0"/>
        <w:rPr>
          <w:lang w:eastAsia="en-US"/>
        </w:rPr>
      </w:pPr>
    </w:p>
    <w:p w14:paraId="0653EB98" w14:textId="1530C6BE" w:rsidR="00722C30" w:rsidRDefault="00E64556" w:rsidP="00722C30">
      <w:pPr>
        <w:pStyle w:val="Odstavecsmalmodsazenm"/>
        <w:spacing w:after="0"/>
        <w:rPr>
          <w:color w:val="000000" w:themeColor="text1"/>
        </w:rPr>
      </w:pPr>
      <w:bookmarkStart w:id="7" w:name="_Hlk203457402"/>
      <w:r w:rsidRPr="00E269EC">
        <w:rPr>
          <w:color w:val="000000" w:themeColor="text1"/>
        </w:rPr>
        <w:t xml:space="preserve">NKÚ zjistil, že nelze zpracovat platbu DPH obdrženou od </w:t>
      </w:r>
      <w:r w:rsidR="00E66B8F">
        <w:rPr>
          <w:color w:val="000000" w:themeColor="text1"/>
        </w:rPr>
        <w:t>ČSI</w:t>
      </w:r>
      <w:r w:rsidRPr="00E269EC">
        <w:rPr>
          <w:color w:val="000000" w:themeColor="text1"/>
        </w:rPr>
        <w:t xml:space="preserve">, pokud správce daně nemá k dispozici </w:t>
      </w:r>
      <w:r>
        <w:rPr>
          <w:color w:val="000000" w:themeColor="text1"/>
        </w:rPr>
        <w:t>informaci o platbě DPH</w:t>
      </w:r>
      <w:r w:rsidRPr="00E269EC">
        <w:rPr>
          <w:color w:val="000000" w:themeColor="text1"/>
        </w:rPr>
        <w:t xml:space="preserve">, tj. nemá informaci o tom, která </w:t>
      </w:r>
      <w:r w:rsidR="00A26464">
        <w:rPr>
          <w:color w:val="000000" w:themeColor="text1"/>
        </w:rPr>
        <w:t>daňová přiznání</w:t>
      </w:r>
      <w:r w:rsidR="00E66B8F">
        <w:rPr>
          <w:color w:val="000000" w:themeColor="text1"/>
        </w:rPr>
        <w:t xml:space="preserve"> </w:t>
      </w:r>
      <w:r w:rsidR="00607994">
        <w:rPr>
          <w:color w:val="000000" w:themeColor="text1"/>
        </w:rPr>
        <w:t>ve zvláštním režimu</w:t>
      </w:r>
      <w:r w:rsidRPr="00E269EC">
        <w:rPr>
          <w:color w:val="000000" w:themeColor="text1"/>
        </w:rPr>
        <w:t xml:space="preserve"> mají být obdrženou platbou </w:t>
      </w:r>
      <w:r w:rsidR="00A26464">
        <w:rPr>
          <w:color w:val="000000" w:themeColor="text1"/>
        </w:rPr>
        <w:t>u</w:t>
      </w:r>
      <w:r w:rsidRPr="00E269EC">
        <w:rPr>
          <w:color w:val="000000" w:themeColor="text1"/>
        </w:rPr>
        <w:t xml:space="preserve">hrazena. </w:t>
      </w:r>
      <w:r w:rsidR="00C7270F" w:rsidRPr="00E64556">
        <w:rPr>
          <w:lang w:eastAsia="en-US"/>
        </w:rPr>
        <w:t xml:space="preserve">NKÚ </w:t>
      </w:r>
      <w:r>
        <w:rPr>
          <w:lang w:eastAsia="en-US"/>
        </w:rPr>
        <w:t xml:space="preserve">dále </w:t>
      </w:r>
      <w:r w:rsidR="00C7270F" w:rsidRPr="00E64556">
        <w:rPr>
          <w:lang w:eastAsia="en-US"/>
        </w:rPr>
        <w:t>zjistil, že FÚ JMK nemohl automatizovan</w:t>
      </w:r>
      <w:r w:rsidR="009013B6">
        <w:rPr>
          <w:lang w:eastAsia="en-US"/>
        </w:rPr>
        <w:t>ě</w:t>
      </w:r>
      <w:r w:rsidR="00C7270F" w:rsidRPr="00E64556">
        <w:rPr>
          <w:lang w:eastAsia="en-US"/>
        </w:rPr>
        <w:t xml:space="preserve"> zpracovat platby z JČS v případě, kdy informace o platbě DPH </w:t>
      </w:r>
      <w:r w:rsidR="00A26464">
        <w:rPr>
          <w:lang w:eastAsia="en-US"/>
        </w:rPr>
        <w:t xml:space="preserve">ve zvláštním režimu </w:t>
      </w:r>
      <w:r w:rsidR="00C7270F" w:rsidRPr="00E64556">
        <w:rPr>
          <w:lang w:eastAsia="en-US"/>
        </w:rPr>
        <w:t>obsahovala chyby</w:t>
      </w:r>
      <w:r w:rsidR="00D524B8">
        <w:rPr>
          <w:lang w:eastAsia="en-US"/>
        </w:rPr>
        <w:t xml:space="preserve"> nebo některé údaje chyběly</w:t>
      </w:r>
      <w:r w:rsidR="00C7270F" w:rsidRPr="00E64556">
        <w:rPr>
          <w:lang w:eastAsia="en-US"/>
        </w:rPr>
        <w:t xml:space="preserve">, např. </w:t>
      </w:r>
      <w:r w:rsidR="00A26464">
        <w:rPr>
          <w:lang w:eastAsia="en-US"/>
        </w:rPr>
        <w:t xml:space="preserve">nebylo k dispozici </w:t>
      </w:r>
      <w:r w:rsidR="00C7270F" w:rsidRPr="00E64556">
        <w:rPr>
          <w:lang w:eastAsia="en-US"/>
        </w:rPr>
        <w:t>DAP</w:t>
      </w:r>
      <w:r w:rsidR="00E66B8F">
        <w:rPr>
          <w:lang w:eastAsia="en-US"/>
        </w:rPr>
        <w:t xml:space="preserve"> </w:t>
      </w:r>
      <w:r w:rsidR="00A26464">
        <w:rPr>
          <w:lang w:eastAsia="en-US"/>
        </w:rPr>
        <w:t xml:space="preserve">od </w:t>
      </w:r>
      <w:r w:rsidR="00E66B8F">
        <w:rPr>
          <w:lang w:eastAsia="en-US"/>
        </w:rPr>
        <w:t>subjektu</w:t>
      </w:r>
      <w:r w:rsidR="00C7270F" w:rsidRPr="00E64556">
        <w:rPr>
          <w:lang w:eastAsia="en-US"/>
        </w:rPr>
        <w:t xml:space="preserve">, který </w:t>
      </w:r>
      <w:r w:rsidRPr="00E64556">
        <w:rPr>
          <w:lang w:eastAsia="en-US"/>
        </w:rPr>
        <w:t>realizoval platbu</w:t>
      </w:r>
      <w:r w:rsidR="00A26464">
        <w:rPr>
          <w:lang w:eastAsia="en-US"/>
        </w:rPr>
        <w:t>,</w:t>
      </w:r>
      <w:r w:rsidRPr="00E64556">
        <w:rPr>
          <w:lang w:eastAsia="en-US"/>
        </w:rPr>
        <w:t xml:space="preserve"> nebo chyběl</w:t>
      </w:r>
      <w:r>
        <w:rPr>
          <w:lang w:eastAsia="en-US"/>
        </w:rPr>
        <w:t>o</w:t>
      </w:r>
      <w:r w:rsidRPr="00E64556">
        <w:rPr>
          <w:lang w:eastAsia="en-US"/>
        </w:rPr>
        <w:t xml:space="preserve"> referenční číslo podaného DAP. </w:t>
      </w:r>
      <w:r w:rsidR="00C7270F" w:rsidRPr="00E64556">
        <w:rPr>
          <w:lang w:eastAsia="en-US"/>
        </w:rPr>
        <w:t xml:space="preserve">Tím jsou zapříčiněny některé nedoplatky na </w:t>
      </w:r>
      <w:r>
        <w:rPr>
          <w:lang w:eastAsia="en-US"/>
        </w:rPr>
        <w:t>DPH</w:t>
      </w:r>
      <w:r w:rsidR="00C7270F" w:rsidRPr="00E64556">
        <w:rPr>
          <w:lang w:eastAsia="en-US"/>
        </w:rPr>
        <w:t xml:space="preserve">, protože FÚ JMK v důsledku takové chyby není schopen převést platby na jednotlivé </w:t>
      </w:r>
      <w:r w:rsidRPr="00E64556">
        <w:rPr>
          <w:lang w:eastAsia="en-US"/>
        </w:rPr>
        <w:t xml:space="preserve">osobní daňové účty </w:t>
      </w:r>
      <w:r w:rsidR="00C7270F" w:rsidRPr="00E64556">
        <w:rPr>
          <w:lang w:eastAsia="en-US"/>
        </w:rPr>
        <w:t xml:space="preserve">subjektů a eviduje </w:t>
      </w:r>
      <w:r w:rsidR="00A26464">
        <w:rPr>
          <w:lang w:eastAsia="en-US"/>
        </w:rPr>
        <w:t xml:space="preserve">je </w:t>
      </w:r>
      <w:r w:rsidR="00C7270F" w:rsidRPr="00E64556">
        <w:rPr>
          <w:lang w:eastAsia="en-US"/>
        </w:rPr>
        <w:t xml:space="preserve">jako přeplatky na účtech JČS v pozici ČSI. </w:t>
      </w:r>
      <w:bookmarkEnd w:id="7"/>
    </w:p>
    <w:p w14:paraId="223FD25B" w14:textId="77777777" w:rsidR="00722C30" w:rsidRDefault="00722C30" w:rsidP="00722C30">
      <w:pPr>
        <w:pStyle w:val="Odstavecsmalmodsazenm"/>
        <w:spacing w:after="0"/>
        <w:rPr>
          <w:color w:val="000000" w:themeColor="text1"/>
        </w:rPr>
      </w:pPr>
    </w:p>
    <w:p w14:paraId="0012FD07" w14:textId="42890E8C" w:rsidR="0027406C" w:rsidRDefault="00CF0F28" w:rsidP="00722C30">
      <w:pPr>
        <w:pStyle w:val="Odstavecsmalmodsazenm"/>
        <w:spacing w:after="0"/>
        <w:rPr>
          <w:color w:val="000000" w:themeColor="text1"/>
        </w:rPr>
      </w:pPr>
      <w:r w:rsidRPr="00331307">
        <w:rPr>
          <w:color w:val="000000" w:themeColor="text1"/>
        </w:rPr>
        <w:t xml:space="preserve">NKÚ zjistil, že v kontrolovaném období </w:t>
      </w:r>
      <w:r w:rsidR="00A26464">
        <w:rPr>
          <w:color w:val="000000" w:themeColor="text1"/>
        </w:rPr>
        <w:t xml:space="preserve">se k </w:t>
      </w:r>
      <w:r w:rsidR="0011792E">
        <w:rPr>
          <w:color w:val="000000" w:themeColor="text1"/>
        </w:rPr>
        <w:t>údajů</w:t>
      </w:r>
      <w:r w:rsidR="00A26464">
        <w:rPr>
          <w:color w:val="000000" w:themeColor="text1"/>
        </w:rPr>
        <w:t>m</w:t>
      </w:r>
      <w:r w:rsidR="0011792E">
        <w:rPr>
          <w:color w:val="000000" w:themeColor="text1"/>
        </w:rPr>
        <w:t xml:space="preserve"> z </w:t>
      </w:r>
      <w:r w:rsidR="000E4DEF">
        <w:rPr>
          <w:color w:val="000000" w:themeColor="text1"/>
        </w:rPr>
        <w:t xml:space="preserve">DAP </w:t>
      </w:r>
      <w:r w:rsidR="0011792E">
        <w:rPr>
          <w:color w:val="000000" w:themeColor="text1"/>
        </w:rPr>
        <w:t>ve zvláštním režimu</w:t>
      </w:r>
      <w:r w:rsidR="00E66B8F">
        <w:rPr>
          <w:color w:val="000000" w:themeColor="text1"/>
        </w:rPr>
        <w:t xml:space="preserve"> </w:t>
      </w:r>
      <w:r w:rsidR="00A26464">
        <w:rPr>
          <w:color w:val="000000" w:themeColor="text1"/>
        </w:rPr>
        <w:t xml:space="preserve">nepodařilo přiřadit </w:t>
      </w:r>
      <w:r w:rsidR="000E4DEF">
        <w:rPr>
          <w:color w:val="000000" w:themeColor="text1"/>
        </w:rPr>
        <w:t>platb</w:t>
      </w:r>
      <w:r w:rsidR="00A26464">
        <w:rPr>
          <w:color w:val="000000" w:themeColor="text1"/>
        </w:rPr>
        <w:t>y</w:t>
      </w:r>
      <w:r w:rsidR="000E4DEF">
        <w:rPr>
          <w:color w:val="000000" w:themeColor="text1"/>
        </w:rPr>
        <w:t xml:space="preserve"> </w:t>
      </w:r>
      <w:r w:rsidRPr="00331307">
        <w:rPr>
          <w:color w:val="000000" w:themeColor="text1"/>
        </w:rPr>
        <w:t xml:space="preserve">daně </w:t>
      </w:r>
      <w:r w:rsidR="00A26464">
        <w:rPr>
          <w:color w:val="000000" w:themeColor="text1"/>
        </w:rPr>
        <w:t xml:space="preserve">od </w:t>
      </w:r>
      <w:r w:rsidR="00E66B8F">
        <w:rPr>
          <w:color w:val="000000" w:themeColor="text1"/>
        </w:rPr>
        <w:t>ČSI</w:t>
      </w:r>
      <w:r w:rsidR="002D7F74">
        <w:rPr>
          <w:color w:val="000000" w:themeColor="text1"/>
        </w:rPr>
        <w:t xml:space="preserve"> </w:t>
      </w:r>
      <w:r w:rsidRPr="00331307">
        <w:rPr>
          <w:color w:val="000000" w:themeColor="text1"/>
        </w:rPr>
        <w:t>v</w:t>
      </w:r>
      <w:r w:rsidR="00A26464">
        <w:rPr>
          <w:color w:val="000000" w:themeColor="text1"/>
        </w:rPr>
        <w:t xml:space="preserve"> hodnotě </w:t>
      </w:r>
      <w:r w:rsidRPr="00331307">
        <w:rPr>
          <w:color w:val="000000" w:themeColor="text1"/>
        </w:rPr>
        <w:t>desít</w:t>
      </w:r>
      <w:r w:rsidR="00A26464">
        <w:rPr>
          <w:color w:val="000000" w:themeColor="text1"/>
        </w:rPr>
        <w:t>e</w:t>
      </w:r>
      <w:r w:rsidRPr="00331307">
        <w:rPr>
          <w:color w:val="000000" w:themeColor="text1"/>
        </w:rPr>
        <w:t xml:space="preserve">k milionů </w:t>
      </w:r>
      <w:r w:rsidR="00E66B8F">
        <w:rPr>
          <w:color w:val="000000" w:themeColor="text1"/>
        </w:rPr>
        <w:t>eur</w:t>
      </w:r>
      <w:r w:rsidRPr="00331307">
        <w:rPr>
          <w:color w:val="000000" w:themeColor="text1"/>
        </w:rPr>
        <w:t xml:space="preserve">. </w:t>
      </w:r>
    </w:p>
    <w:p w14:paraId="1AFA8BDD" w14:textId="77777777" w:rsidR="00722C30" w:rsidRDefault="00722C30" w:rsidP="00313E6C">
      <w:pPr>
        <w:pStyle w:val="Odstavecsmalmodsazenm"/>
        <w:spacing w:after="0"/>
        <w:rPr>
          <w:color w:val="000000" w:themeColor="text1"/>
        </w:rPr>
      </w:pPr>
    </w:p>
    <w:p w14:paraId="4D60F63E" w14:textId="1EFFEE4C" w:rsidR="00CF0F28" w:rsidRPr="00CF0F28" w:rsidRDefault="00CF0F28" w:rsidP="00F16B71">
      <w:pPr>
        <w:keepNext/>
        <w:jc w:val="both"/>
        <w:rPr>
          <w:b/>
          <w:bCs/>
        </w:rPr>
      </w:pPr>
      <w:r w:rsidRPr="00CF0F28">
        <w:rPr>
          <w:b/>
          <w:bCs/>
        </w:rPr>
        <w:lastRenderedPageBreak/>
        <w:t xml:space="preserve">Graf č. </w:t>
      </w:r>
      <w:r w:rsidR="00540530">
        <w:rPr>
          <w:b/>
          <w:bCs/>
        </w:rPr>
        <w:t>2</w:t>
      </w:r>
      <w:r w:rsidR="00C03DBC">
        <w:rPr>
          <w:b/>
          <w:bCs/>
        </w:rPr>
        <w:t>:</w:t>
      </w:r>
      <w:r w:rsidRPr="00CF0F28">
        <w:rPr>
          <w:b/>
          <w:bCs/>
        </w:rPr>
        <w:t xml:space="preserve"> Vývoj </w:t>
      </w:r>
      <w:r w:rsidR="00E2036D">
        <w:rPr>
          <w:b/>
          <w:bCs/>
        </w:rPr>
        <w:t>nespárovaných</w:t>
      </w:r>
      <w:r w:rsidR="00E2036D" w:rsidRPr="00CF0F28">
        <w:rPr>
          <w:b/>
          <w:bCs/>
        </w:rPr>
        <w:t xml:space="preserve"> </w:t>
      </w:r>
      <w:r w:rsidRPr="00CF0F28">
        <w:rPr>
          <w:b/>
          <w:bCs/>
        </w:rPr>
        <w:t xml:space="preserve">plateb </w:t>
      </w:r>
      <w:r w:rsidR="00254909">
        <w:rPr>
          <w:b/>
          <w:bCs/>
        </w:rPr>
        <w:t>DPH</w:t>
      </w:r>
      <w:r w:rsidRPr="00CF0F28">
        <w:rPr>
          <w:b/>
          <w:bCs/>
        </w:rPr>
        <w:t xml:space="preserve"> – červenec 2021 až duben 2025 (v </w:t>
      </w:r>
      <w:r w:rsidR="00B00DB7">
        <w:rPr>
          <w:b/>
          <w:bCs/>
        </w:rPr>
        <w:t>€</w:t>
      </w:r>
      <w:r w:rsidRPr="00CF0F28">
        <w:rPr>
          <w:b/>
          <w:bCs/>
        </w:rPr>
        <w:t>)</w:t>
      </w:r>
    </w:p>
    <w:p w14:paraId="1BD3898F" w14:textId="77777777" w:rsidR="00CF0F28" w:rsidRDefault="00CF0F28" w:rsidP="00313E6C">
      <w:pPr>
        <w:spacing w:after="0"/>
      </w:pPr>
      <w:r w:rsidRPr="00880852">
        <w:rPr>
          <w:noProof/>
          <w:color w:val="9DD3C7"/>
        </w:rPr>
        <w:drawing>
          <wp:inline distT="0" distB="0" distL="0" distR="0" wp14:anchorId="64F55018" wp14:editId="320E912C">
            <wp:extent cx="5760137" cy="1939459"/>
            <wp:effectExtent l="0" t="0" r="0" b="3810"/>
            <wp:docPr id="599333981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D980E186-47E3-81E2-EF0A-267F331B282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1D50EF0B" w14:textId="77777777" w:rsidR="00CF0F28" w:rsidRPr="00970C87" w:rsidRDefault="00CF0F28" w:rsidP="00CF0F28">
      <w:pPr>
        <w:rPr>
          <w:sz w:val="20"/>
          <w:szCs w:val="20"/>
        </w:rPr>
      </w:pPr>
      <w:r w:rsidRPr="00F16B71">
        <w:rPr>
          <w:b/>
          <w:bCs/>
          <w:sz w:val="20"/>
          <w:szCs w:val="20"/>
        </w:rPr>
        <w:t>Zdroj:</w:t>
      </w:r>
      <w:r w:rsidRPr="00970C87">
        <w:rPr>
          <w:sz w:val="20"/>
          <w:szCs w:val="20"/>
        </w:rPr>
        <w:t xml:space="preserve"> GFŘ. </w:t>
      </w:r>
    </w:p>
    <w:p w14:paraId="7D4D8C1A" w14:textId="5B65A07D" w:rsidR="00722C30" w:rsidRDefault="00C05644" w:rsidP="00722C30">
      <w:pPr>
        <w:spacing w:after="0" w:line="240" w:lineRule="auto"/>
        <w:jc w:val="both"/>
      </w:pPr>
      <w:r>
        <w:rPr>
          <w:rFonts w:cstheme="minorHAnsi"/>
        </w:rPr>
        <w:t xml:space="preserve">Ze zjištění </w:t>
      </w:r>
      <w:r w:rsidR="00951F91">
        <w:rPr>
          <w:rFonts w:cstheme="minorHAnsi"/>
        </w:rPr>
        <w:t xml:space="preserve">NKÚ </w:t>
      </w:r>
      <w:r>
        <w:rPr>
          <w:rFonts w:cstheme="minorHAnsi"/>
        </w:rPr>
        <w:t>vyplývá</w:t>
      </w:r>
      <w:r w:rsidR="00951F91">
        <w:rPr>
          <w:rFonts w:cstheme="minorHAnsi"/>
        </w:rPr>
        <w:t>, že k</w:t>
      </w:r>
      <w:r w:rsidR="00951F91" w:rsidRPr="00EA2540">
        <w:rPr>
          <w:rFonts w:cstheme="minorHAnsi"/>
        </w:rPr>
        <w:t xml:space="preserve">e dni 24. 4. 2025 evidoval FÚ JMK tři nevyjasněné rozpisy plateb v celkovém objemu 461 000 </w:t>
      </w:r>
      <w:r w:rsidR="00C03DBC">
        <w:rPr>
          <w:rFonts w:cstheme="minorHAnsi"/>
        </w:rPr>
        <w:t>eur</w:t>
      </w:r>
      <w:r w:rsidR="00951F91" w:rsidRPr="00EA2540">
        <w:rPr>
          <w:rFonts w:cstheme="minorHAnsi"/>
        </w:rPr>
        <w:t>.</w:t>
      </w:r>
    </w:p>
    <w:p w14:paraId="1F121EB9" w14:textId="77777777" w:rsidR="00722C30" w:rsidRDefault="00722C30" w:rsidP="00722C30">
      <w:pPr>
        <w:spacing w:after="0" w:line="240" w:lineRule="auto"/>
        <w:jc w:val="both"/>
      </w:pPr>
    </w:p>
    <w:p w14:paraId="5E926EF0" w14:textId="48656B24" w:rsidR="008968AB" w:rsidRDefault="008968AB" w:rsidP="00722C30">
      <w:pPr>
        <w:spacing w:after="0" w:line="240" w:lineRule="auto"/>
        <w:jc w:val="both"/>
      </w:pPr>
      <w:r>
        <w:t>NKÚ zjistil, že GFŘ v souvislosti s řešením problém</w:t>
      </w:r>
      <w:r w:rsidR="00C05644">
        <w:t>u</w:t>
      </w:r>
      <w:r>
        <w:t xml:space="preserve"> </w:t>
      </w:r>
      <w:r w:rsidR="00BB4900">
        <w:t xml:space="preserve">nespárovaných </w:t>
      </w:r>
      <w:r>
        <w:t xml:space="preserve">plateb </w:t>
      </w:r>
      <w:r w:rsidR="00E66B8F">
        <w:t>DPH</w:t>
      </w:r>
      <w:r>
        <w:t xml:space="preserve"> zpracovalo v roce 2024 návrh na změnu ADIS</w:t>
      </w:r>
      <w:r w:rsidR="00E66B8F">
        <w:rPr>
          <w:rStyle w:val="Znakapoznpodarou"/>
        </w:rPr>
        <w:footnoteReference w:id="21"/>
      </w:r>
      <w:r>
        <w:t xml:space="preserve">, jehož cílem je částečné zpracování informací </w:t>
      </w:r>
      <w:r w:rsidR="00E66B8F">
        <w:t xml:space="preserve">o platbě DPH </w:t>
      </w:r>
      <w:r>
        <w:t>obdržených z JČS tak, aby t</w:t>
      </w:r>
      <w:r w:rsidR="00C05644">
        <w:t>yto</w:t>
      </w:r>
      <w:r>
        <w:t xml:space="preserve"> informace, pokud obsahuj</w:t>
      </w:r>
      <w:r w:rsidR="00C05644">
        <w:t>í</w:t>
      </w:r>
      <w:r>
        <w:t xml:space="preserve"> např. 500 DAP</w:t>
      </w:r>
      <w:r w:rsidR="00E66B8F">
        <w:t xml:space="preserve"> </w:t>
      </w:r>
      <w:r w:rsidR="00A52593">
        <w:t>ve zvláštním režimu</w:t>
      </w:r>
      <w:r>
        <w:t>, z nichž jedno je chybné, byl</w:t>
      </w:r>
      <w:r w:rsidR="00C05644">
        <w:t>y</w:t>
      </w:r>
      <w:r>
        <w:t xml:space="preserve"> částečně zpracován</w:t>
      </w:r>
      <w:r w:rsidR="00C05644">
        <w:t>y</w:t>
      </w:r>
      <w:r>
        <w:t xml:space="preserve"> a 499 DAP </w:t>
      </w:r>
      <w:r w:rsidR="00A52593">
        <w:t>ve zvláštním režimu</w:t>
      </w:r>
      <w:r w:rsidR="00E66B8F">
        <w:t xml:space="preserve"> </w:t>
      </w:r>
      <w:r>
        <w:t xml:space="preserve">bylo uhrazeno. </w:t>
      </w:r>
    </w:p>
    <w:p w14:paraId="28E16A83" w14:textId="77777777" w:rsidR="008968AB" w:rsidRDefault="008968AB" w:rsidP="008968AB">
      <w:pPr>
        <w:spacing w:after="0" w:line="240" w:lineRule="auto"/>
        <w:jc w:val="both"/>
      </w:pPr>
    </w:p>
    <w:p w14:paraId="2FDCE6DB" w14:textId="74958CF8" w:rsidR="006F619C" w:rsidRDefault="00CF0F28" w:rsidP="003627B6">
      <w:pPr>
        <w:spacing w:after="0" w:line="240" w:lineRule="auto"/>
        <w:jc w:val="both"/>
      </w:pPr>
      <w:r>
        <w:rPr>
          <w:rFonts w:cstheme="minorHAnsi"/>
        </w:rPr>
        <w:t xml:space="preserve">Způsob odstranění chyb v zaslaných zprávách je nutné </w:t>
      </w:r>
      <w:r w:rsidR="00C05644">
        <w:rPr>
          <w:rFonts w:cstheme="minorHAnsi"/>
        </w:rPr>
        <w:t>projednat</w:t>
      </w:r>
      <w:r>
        <w:rPr>
          <w:rFonts w:cstheme="minorHAnsi"/>
        </w:rPr>
        <w:t xml:space="preserve"> s dotčeným ČSI, který </w:t>
      </w:r>
      <w:r w:rsidR="00C05644">
        <w:rPr>
          <w:rFonts w:cstheme="minorHAnsi"/>
        </w:rPr>
        <w:t>vadnou</w:t>
      </w:r>
      <w:r>
        <w:rPr>
          <w:rFonts w:cstheme="minorHAnsi"/>
        </w:rPr>
        <w:t xml:space="preserve"> zprávu zaslal. Manuální úprava příchozích zpráv z JČS není možná. </w:t>
      </w:r>
      <w:r w:rsidR="008968AB">
        <w:t xml:space="preserve">GFŘ v roce 2024 v odpovědi na dotazník Evropské komise </w:t>
      </w:r>
      <w:r w:rsidR="008968AB" w:rsidRPr="008968AB">
        <w:t xml:space="preserve">k provozním problémům </w:t>
      </w:r>
      <w:r w:rsidR="008968AB">
        <w:t>mj. uvedlo,</w:t>
      </w:r>
      <w:r w:rsidR="00254909">
        <w:t xml:space="preserve"> že pro řádné fungování </w:t>
      </w:r>
      <w:r w:rsidR="007F7ED1">
        <w:t xml:space="preserve">zvláštního </w:t>
      </w:r>
      <w:r w:rsidR="00254909">
        <w:t>režimu je nezbytné, aby členské státy reagovaly na zaslané chybové zprávy.</w:t>
      </w:r>
      <w:r w:rsidR="00E604FC">
        <w:rPr>
          <w:rFonts w:cstheme="minorHAnsi"/>
        </w:rPr>
        <w:t xml:space="preserve"> </w:t>
      </w:r>
      <w:r w:rsidR="00E604FC">
        <w:t>F</w:t>
      </w:r>
      <w:r w:rsidR="00451A60" w:rsidRPr="00E44DBA">
        <w:t xml:space="preserve">unkčnost Evropskou komisí zavedeného systému </w:t>
      </w:r>
      <w:r w:rsidR="00451A60">
        <w:t xml:space="preserve">elektronické </w:t>
      </w:r>
      <w:r w:rsidR="00451A60" w:rsidRPr="00E44DBA">
        <w:t xml:space="preserve">komunikace </w:t>
      </w:r>
      <w:r w:rsidR="00E604FC">
        <w:t>ovlivňuje</w:t>
      </w:r>
      <w:r w:rsidR="00451A60" w:rsidRPr="00E44DBA">
        <w:t xml:space="preserve"> zajištění technického nastavení systému ze stran</w:t>
      </w:r>
      <w:r w:rsidR="00C05644">
        <w:t>y</w:t>
      </w:r>
      <w:r w:rsidR="00451A60" w:rsidRPr="00E44DBA">
        <w:t xml:space="preserve"> jednotlivých členských států, tj. zajištění nastavení vzájemné komunikace 27 vnitrostátních systémů</w:t>
      </w:r>
      <w:r w:rsidR="00E604FC">
        <w:t>.</w:t>
      </w:r>
      <w:r w:rsidR="00451A60">
        <w:t xml:space="preserve"> </w:t>
      </w:r>
    </w:p>
    <w:p w14:paraId="67970F60" w14:textId="77777777" w:rsidR="003627B6" w:rsidRDefault="003627B6" w:rsidP="003627B6">
      <w:pPr>
        <w:spacing w:after="0" w:line="240" w:lineRule="auto"/>
        <w:jc w:val="both"/>
      </w:pPr>
    </w:p>
    <w:p w14:paraId="392F2DCF" w14:textId="29422F41" w:rsidR="00271BB0" w:rsidRPr="00313E6C" w:rsidRDefault="00C05644" w:rsidP="00F16B71">
      <w:pPr>
        <w:pStyle w:val="Zkladntext1"/>
        <w:shd w:val="clear" w:color="auto" w:fill="auto"/>
        <w:spacing w:after="120"/>
        <w:rPr>
          <w:rFonts w:asciiTheme="minorHAnsi" w:hAnsiTheme="minorHAnsi" w:cstheme="minorHAnsi"/>
          <w:b/>
          <w:bCs/>
          <w:sz w:val="24"/>
          <w:szCs w:val="28"/>
        </w:rPr>
      </w:pPr>
      <w:r>
        <w:rPr>
          <w:rFonts w:asciiTheme="minorHAnsi" w:hAnsiTheme="minorHAnsi" w:cstheme="minorHAnsi"/>
          <w:b/>
          <w:bCs/>
          <w:sz w:val="24"/>
          <w:szCs w:val="28"/>
        </w:rPr>
        <w:t xml:space="preserve">1.4 </w:t>
      </w:r>
      <w:r w:rsidR="00271BB0">
        <w:rPr>
          <w:rFonts w:asciiTheme="minorHAnsi" w:hAnsiTheme="minorHAnsi" w:cstheme="minorHAnsi"/>
          <w:b/>
          <w:bCs/>
          <w:sz w:val="24"/>
          <w:szCs w:val="28"/>
        </w:rPr>
        <w:t>Nedoplatky na DPH</w:t>
      </w:r>
    </w:p>
    <w:p w14:paraId="01D1F010" w14:textId="1F1B4586" w:rsidR="00271BB0" w:rsidRDefault="00271BB0" w:rsidP="003627B6">
      <w:pPr>
        <w:pStyle w:val="Zkladntext1"/>
        <w:shd w:val="clear" w:color="auto" w:fill="auto"/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8"/>
        </w:rPr>
        <w:t>F</w:t>
      </w:r>
      <w:r w:rsidRPr="00170D8E">
        <w:rPr>
          <w:rFonts w:asciiTheme="minorHAnsi" w:hAnsiTheme="minorHAnsi" w:cstheme="minorHAnsi"/>
          <w:sz w:val="24"/>
          <w:szCs w:val="28"/>
        </w:rPr>
        <w:t>Ú JMK zasíl</w:t>
      </w:r>
      <w:r>
        <w:rPr>
          <w:rFonts w:asciiTheme="minorHAnsi" w:hAnsiTheme="minorHAnsi" w:cstheme="minorHAnsi"/>
          <w:sz w:val="24"/>
          <w:szCs w:val="28"/>
        </w:rPr>
        <w:t>al</w:t>
      </w:r>
      <w:r w:rsidRPr="00170D8E">
        <w:rPr>
          <w:rFonts w:asciiTheme="minorHAnsi" w:hAnsiTheme="minorHAnsi" w:cstheme="minorHAnsi"/>
          <w:sz w:val="24"/>
          <w:szCs w:val="28"/>
        </w:rPr>
        <w:t xml:space="preserve"> </w:t>
      </w:r>
      <w:r>
        <w:rPr>
          <w:rFonts w:asciiTheme="minorHAnsi" w:hAnsiTheme="minorHAnsi" w:cstheme="minorHAnsi"/>
          <w:sz w:val="24"/>
          <w:szCs w:val="28"/>
        </w:rPr>
        <w:t>subjektům</w:t>
      </w:r>
      <w:r w:rsidRPr="00170D8E">
        <w:rPr>
          <w:rFonts w:asciiTheme="minorHAnsi" w:hAnsiTheme="minorHAnsi" w:cstheme="minorHAnsi"/>
          <w:sz w:val="24"/>
          <w:szCs w:val="28"/>
        </w:rPr>
        <w:t xml:space="preserve"> s nedoplatky na DPH v</w:t>
      </w:r>
      <w:r>
        <w:rPr>
          <w:rFonts w:asciiTheme="minorHAnsi" w:hAnsiTheme="minorHAnsi" w:cstheme="minorHAnsi"/>
          <w:sz w:val="24"/>
          <w:szCs w:val="28"/>
        </w:rPr>
        <w:t>e zvláštním</w:t>
      </w:r>
      <w:r w:rsidRPr="00170D8E">
        <w:rPr>
          <w:rFonts w:asciiTheme="minorHAnsi" w:hAnsiTheme="minorHAnsi" w:cstheme="minorHAnsi"/>
          <w:sz w:val="24"/>
          <w:szCs w:val="28"/>
        </w:rPr>
        <w:t xml:space="preserve"> režimu </w:t>
      </w:r>
      <w:r w:rsidRPr="003B0855">
        <w:rPr>
          <w:rFonts w:asciiTheme="minorHAnsi" w:hAnsiTheme="minorHAnsi" w:cstheme="minorHAnsi"/>
          <w:sz w:val="24"/>
          <w:szCs w:val="28"/>
        </w:rPr>
        <w:t xml:space="preserve">výzvu k zaplacení dlužné částky </w:t>
      </w:r>
      <w:r w:rsidR="00864C80" w:rsidRPr="003B0855">
        <w:rPr>
          <w:rFonts w:asciiTheme="minorHAnsi" w:hAnsiTheme="minorHAnsi" w:cstheme="minorHAnsi"/>
          <w:sz w:val="24"/>
          <w:szCs w:val="28"/>
        </w:rPr>
        <w:t>a</w:t>
      </w:r>
      <w:r w:rsidR="00864C80">
        <w:rPr>
          <w:rFonts w:asciiTheme="minorHAnsi" w:hAnsiTheme="minorHAnsi" w:cstheme="minorHAnsi"/>
          <w:sz w:val="24"/>
          <w:szCs w:val="28"/>
        </w:rPr>
        <w:t xml:space="preserve"> poté</w:t>
      </w:r>
      <w:r w:rsidRPr="003B0855">
        <w:rPr>
          <w:rFonts w:asciiTheme="minorHAnsi" w:hAnsiTheme="minorHAnsi" w:cstheme="minorHAnsi"/>
          <w:sz w:val="24"/>
          <w:szCs w:val="28"/>
        </w:rPr>
        <w:t xml:space="preserve"> přistup</w:t>
      </w:r>
      <w:r>
        <w:rPr>
          <w:rFonts w:asciiTheme="minorHAnsi" w:hAnsiTheme="minorHAnsi" w:cstheme="minorHAnsi"/>
          <w:sz w:val="24"/>
          <w:szCs w:val="28"/>
        </w:rPr>
        <w:t>oval</w:t>
      </w:r>
      <w:r w:rsidRPr="003B0855">
        <w:rPr>
          <w:rFonts w:asciiTheme="minorHAnsi" w:hAnsiTheme="minorHAnsi" w:cstheme="minorHAnsi"/>
          <w:sz w:val="24"/>
          <w:szCs w:val="28"/>
        </w:rPr>
        <w:t xml:space="preserve"> k vymáhání. Vz</w:t>
      </w:r>
      <w:r>
        <w:rPr>
          <w:rFonts w:asciiTheme="minorHAnsi" w:hAnsiTheme="minorHAnsi" w:cstheme="minorHAnsi"/>
          <w:sz w:val="24"/>
          <w:szCs w:val="28"/>
        </w:rPr>
        <w:t xml:space="preserve">hledem </w:t>
      </w:r>
      <w:r w:rsidR="00A853E7">
        <w:rPr>
          <w:rFonts w:asciiTheme="minorHAnsi" w:hAnsiTheme="minorHAnsi" w:cstheme="minorHAnsi"/>
          <w:sz w:val="24"/>
          <w:szCs w:val="28"/>
        </w:rPr>
        <w:t>k tomu,</w:t>
      </w:r>
      <w:r>
        <w:rPr>
          <w:rFonts w:asciiTheme="minorHAnsi" w:hAnsiTheme="minorHAnsi" w:cstheme="minorHAnsi"/>
          <w:sz w:val="24"/>
          <w:szCs w:val="28"/>
        </w:rPr>
        <w:t xml:space="preserve"> </w:t>
      </w:r>
      <w:r w:rsidR="00216601">
        <w:rPr>
          <w:rFonts w:asciiTheme="minorHAnsi" w:hAnsiTheme="minorHAnsi" w:cstheme="minorHAnsi"/>
          <w:sz w:val="24"/>
          <w:szCs w:val="28"/>
        </w:rPr>
        <w:t>že</w:t>
      </w:r>
      <w:r>
        <w:rPr>
          <w:rFonts w:asciiTheme="minorHAnsi" w:hAnsiTheme="minorHAnsi" w:cstheme="minorHAnsi"/>
          <w:sz w:val="24"/>
          <w:szCs w:val="28"/>
        </w:rPr>
        <w:t xml:space="preserve"> </w:t>
      </w:r>
      <w:r w:rsidRPr="00170D8E">
        <w:rPr>
          <w:rFonts w:asciiTheme="minorHAnsi" w:hAnsiTheme="minorHAnsi" w:cstheme="minorHAnsi"/>
          <w:sz w:val="24"/>
          <w:szCs w:val="24"/>
        </w:rPr>
        <w:t>subjekty usazené mimo ČR zpravidla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170D8E">
        <w:rPr>
          <w:rFonts w:asciiTheme="minorHAnsi" w:hAnsiTheme="minorHAnsi" w:cstheme="minorHAnsi"/>
          <w:sz w:val="24"/>
          <w:szCs w:val="24"/>
        </w:rPr>
        <w:t>nemají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170D8E">
        <w:rPr>
          <w:rFonts w:asciiTheme="minorHAnsi" w:hAnsiTheme="minorHAnsi" w:cstheme="minorHAnsi"/>
          <w:sz w:val="24"/>
          <w:szCs w:val="24"/>
        </w:rPr>
        <w:t xml:space="preserve">v ČR majetek nebo účty, </w:t>
      </w:r>
      <w:r>
        <w:rPr>
          <w:rFonts w:asciiTheme="minorHAnsi" w:hAnsiTheme="minorHAnsi" w:cstheme="minorHAnsi"/>
          <w:sz w:val="24"/>
          <w:szCs w:val="24"/>
        </w:rPr>
        <w:t xml:space="preserve">které </w:t>
      </w:r>
      <w:r w:rsidRPr="00170D8E">
        <w:rPr>
          <w:rFonts w:asciiTheme="minorHAnsi" w:hAnsiTheme="minorHAnsi" w:cstheme="minorHAnsi"/>
          <w:sz w:val="24"/>
          <w:szCs w:val="24"/>
        </w:rPr>
        <w:t>by mohly být předmětem exekuce, řeš</w:t>
      </w:r>
      <w:r>
        <w:rPr>
          <w:rFonts w:asciiTheme="minorHAnsi" w:hAnsiTheme="minorHAnsi" w:cstheme="minorHAnsi"/>
          <w:sz w:val="24"/>
          <w:szCs w:val="24"/>
        </w:rPr>
        <w:t>il</w:t>
      </w:r>
      <w:r w:rsidRPr="00170D8E">
        <w:rPr>
          <w:rFonts w:asciiTheme="minorHAnsi" w:hAnsiTheme="minorHAnsi" w:cstheme="minorHAnsi"/>
          <w:sz w:val="24"/>
          <w:szCs w:val="24"/>
        </w:rPr>
        <w:t xml:space="preserve"> FÚ </w:t>
      </w:r>
      <w:r>
        <w:rPr>
          <w:rFonts w:asciiTheme="minorHAnsi" w:hAnsiTheme="minorHAnsi" w:cstheme="minorHAnsi"/>
          <w:sz w:val="24"/>
          <w:szCs w:val="24"/>
        </w:rPr>
        <w:t>J</w:t>
      </w:r>
      <w:r w:rsidRPr="00170D8E">
        <w:rPr>
          <w:rFonts w:asciiTheme="minorHAnsi" w:hAnsiTheme="minorHAnsi" w:cstheme="minorHAnsi"/>
          <w:sz w:val="24"/>
          <w:szCs w:val="24"/>
        </w:rPr>
        <w:t xml:space="preserve">MK úhradu nedoplatků </w:t>
      </w:r>
      <w:r>
        <w:rPr>
          <w:rFonts w:asciiTheme="minorHAnsi" w:hAnsiTheme="minorHAnsi" w:cstheme="minorHAnsi"/>
          <w:sz w:val="24"/>
          <w:szCs w:val="24"/>
        </w:rPr>
        <w:t xml:space="preserve">zejména </w:t>
      </w:r>
      <w:r w:rsidRPr="00170D8E">
        <w:rPr>
          <w:rFonts w:asciiTheme="minorHAnsi" w:hAnsiTheme="minorHAnsi" w:cstheme="minorHAnsi"/>
          <w:sz w:val="24"/>
          <w:szCs w:val="24"/>
        </w:rPr>
        <w:t xml:space="preserve">žádostmi o mezinárodní </w:t>
      </w:r>
      <w:r>
        <w:rPr>
          <w:rFonts w:asciiTheme="minorHAnsi" w:hAnsiTheme="minorHAnsi" w:cstheme="minorHAnsi"/>
          <w:sz w:val="24"/>
          <w:szCs w:val="24"/>
        </w:rPr>
        <w:t xml:space="preserve">pomoc při </w:t>
      </w:r>
      <w:r w:rsidRPr="00170D8E">
        <w:rPr>
          <w:rFonts w:asciiTheme="minorHAnsi" w:hAnsiTheme="minorHAnsi" w:cstheme="minorHAnsi"/>
          <w:sz w:val="24"/>
          <w:szCs w:val="24"/>
        </w:rPr>
        <w:t>vymáhání</w:t>
      </w:r>
      <w:r>
        <w:rPr>
          <w:rFonts w:asciiTheme="minorHAnsi" w:hAnsiTheme="minorHAnsi" w:cstheme="minorHAnsi"/>
          <w:sz w:val="24"/>
          <w:szCs w:val="24"/>
        </w:rPr>
        <w:t xml:space="preserve"> (dále také „</w:t>
      </w:r>
      <w:proofErr w:type="spellStart"/>
      <w:r>
        <w:rPr>
          <w:rFonts w:asciiTheme="minorHAnsi" w:hAnsiTheme="minorHAnsi" w:cstheme="minorHAnsi"/>
          <w:sz w:val="24"/>
          <w:szCs w:val="24"/>
        </w:rPr>
        <w:t>ŽoMPV</w:t>
      </w:r>
      <w:proofErr w:type="spellEnd"/>
      <w:r>
        <w:rPr>
          <w:rFonts w:asciiTheme="minorHAnsi" w:hAnsiTheme="minorHAnsi" w:cstheme="minorHAnsi"/>
          <w:sz w:val="24"/>
          <w:szCs w:val="24"/>
        </w:rPr>
        <w:t>“)</w:t>
      </w:r>
      <w:r w:rsidRPr="00170D8E">
        <w:rPr>
          <w:rFonts w:asciiTheme="minorHAnsi" w:hAnsiTheme="minorHAnsi" w:cstheme="minorHAnsi"/>
          <w:sz w:val="24"/>
          <w:szCs w:val="24"/>
        </w:rPr>
        <w:t xml:space="preserve">. Při </w:t>
      </w:r>
      <w:r>
        <w:rPr>
          <w:rFonts w:asciiTheme="minorHAnsi" w:hAnsiTheme="minorHAnsi" w:cstheme="minorHAnsi"/>
          <w:sz w:val="24"/>
          <w:szCs w:val="24"/>
        </w:rPr>
        <w:t>je</w:t>
      </w:r>
      <w:r w:rsidR="00A853E7">
        <w:rPr>
          <w:rFonts w:asciiTheme="minorHAnsi" w:hAnsiTheme="minorHAnsi" w:cstheme="minorHAnsi"/>
          <w:sz w:val="24"/>
          <w:szCs w:val="24"/>
        </w:rPr>
        <w:t>jich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A853E7">
        <w:rPr>
          <w:rFonts w:asciiTheme="minorHAnsi" w:hAnsiTheme="minorHAnsi" w:cstheme="minorHAnsi"/>
          <w:sz w:val="24"/>
          <w:szCs w:val="24"/>
        </w:rPr>
        <w:t>využívání</w:t>
      </w:r>
      <w:r w:rsidRPr="00170D8E">
        <w:rPr>
          <w:rFonts w:asciiTheme="minorHAnsi" w:hAnsiTheme="minorHAnsi" w:cstheme="minorHAnsi"/>
          <w:sz w:val="24"/>
          <w:szCs w:val="24"/>
        </w:rPr>
        <w:t xml:space="preserve"> je FÚ JMK omezen tím, že </w:t>
      </w:r>
      <w:r w:rsidR="00A853E7">
        <w:rPr>
          <w:rFonts w:asciiTheme="minorHAnsi" w:hAnsiTheme="minorHAnsi" w:cstheme="minorHAnsi"/>
          <w:sz w:val="24"/>
          <w:szCs w:val="24"/>
        </w:rPr>
        <w:t>dle</w:t>
      </w:r>
      <w:r w:rsidRPr="00170D8E">
        <w:rPr>
          <w:rFonts w:asciiTheme="minorHAnsi" w:hAnsiTheme="minorHAnsi" w:cstheme="minorHAnsi"/>
          <w:sz w:val="24"/>
          <w:szCs w:val="24"/>
        </w:rPr>
        <w:t xml:space="preserve"> současných pravidel EU lze k</w:t>
      </w:r>
      <w:r w:rsidR="00A853E7">
        <w:rPr>
          <w:rFonts w:asciiTheme="minorHAnsi" w:hAnsiTheme="minorHAnsi" w:cstheme="minorHAnsi"/>
          <w:sz w:val="24"/>
          <w:szCs w:val="24"/>
        </w:rPr>
        <w:t> </w:t>
      </w:r>
      <w:r w:rsidRPr="00170D8E">
        <w:rPr>
          <w:rFonts w:asciiTheme="minorHAnsi" w:hAnsiTheme="minorHAnsi" w:cstheme="minorHAnsi"/>
          <w:sz w:val="24"/>
          <w:szCs w:val="24"/>
        </w:rPr>
        <w:t>mezinárodnímu vymáhání předat pouze nedoplatky nad 1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170D8E">
        <w:rPr>
          <w:rFonts w:asciiTheme="minorHAnsi" w:hAnsiTheme="minorHAnsi" w:cstheme="minorHAnsi"/>
          <w:sz w:val="24"/>
          <w:szCs w:val="24"/>
        </w:rPr>
        <w:t xml:space="preserve">500 </w:t>
      </w:r>
      <w:r>
        <w:rPr>
          <w:rFonts w:asciiTheme="minorHAnsi" w:hAnsiTheme="minorHAnsi" w:cstheme="minorHAnsi"/>
          <w:sz w:val="24"/>
          <w:szCs w:val="24"/>
        </w:rPr>
        <w:t>eur</w:t>
      </w:r>
      <w:r w:rsidR="00A853E7">
        <w:rPr>
          <w:rFonts w:asciiTheme="minorHAnsi" w:hAnsiTheme="minorHAnsi" w:cstheme="minorHAnsi"/>
          <w:sz w:val="24"/>
          <w:szCs w:val="24"/>
        </w:rPr>
        <w:t>,</w:t>
      </w:r>
      <w:r w:rsidRPr="00170D8E">
        <w:rPr>
          <w:rFonts w:asciiTheme="minorHAnsi" w:hAnsiTheme="minorHAnsi" w:cstheme="minorHAnsi"/>
          <w:sz w:val="24"/>
          <w:szCs w:val="24"/>
        </w:rPr>
        <w:t xml:space="preserve"> a pokud jde o vymáhání mimo EU, je možné požádat pouze státy, které mají s ČR v dané věci uzavřenou smlouvu (např</w:t>
      </w:r>
      <w:r>
        <w:rPr>
          <w:rFonts w:asciiTheme="minorHAnsi" w:hAnsiTheme="minorHAnsi" w:cstheme="minorHAnsi"/>
          <w:sz w:val="24"/>
          <w:szCs w:val="24"/>
        </w:rPr>
        <w:t>.</w:t>
      </w:r>
      <w:r w:rsidR="00C7603E">
        <w:rPr>
          <w:rFonts w:asciiTheme="minorHAnsi" w:hAnsiTheme="minorHAnsi" w:cstheme="minorHAnsi"/>
          <w:sz w:val="24"/>
          <w:szCs w:val="24"/>
        </w:rPr>
        <w:t> </w:t>
      </w:r>
      <w:r w:rsidRPr="00170D8E">
        <w:rPr>
          <w:rFonts w:asciiTheme="minorHAnsi" w:hAnsiTheme="minorHAnsi" w:cstheme="minorHAnsi"/>
          <w:sz w:val="24"/>
          <w:szCs w:val="24"/>
        </w:rPr>
        <w:t>s</w:t>
      </w:r>
      <w:r w:rsidR="00A853E7">
        <w:rPr>
          <w:rFonts w:asciiTheme="minorHAnsi" w:hAnsiTheme="minorHAnsi" w:cstheme="minorHAnsi"/>
          <w:sz w:val="24"/>
          <w:szCs w:val="24"/>
        </w:rPr>
        <w:t> </w:t>
      </w:r>
      <w:r w:rsidRPr="00170D8E">
        <w:rPr>
          <w:rFonts w:asciiTheme="minorHAnsi" w:hAnsiTheme="minorHAnsi" w:cstheme="minorHAnsi"/>
          <w:sz w:val="24"/>
          <w:szCs w:val="24"/>
        </w:rPr>
        <w:t xml:space="preserve">USA </w:t>
      </w:r>
      <w:r w:rsidR="00A853E7">
        <w:rPr>
          <w:rFonts w:asciiTheme="minorHAnsi" w:hAnsiTheme="minorHAnsi" w:cstheme="minorHAnsi"/>
          <w:sz w:val="24"/>
          <w:szCs w:val="24"/>
        </w:rPr>
        <w:t>zatím</w:t>
      </w:r>
      <w:r>
        <w:rPr>
          <w:rFonts w:asciiTheme="minorHAnsi" w:hAnsiTheme="minorHAnsi" w:cstheme="minorHAnsi"/>
          <w:sz w:val="24"/>
          <w:szCs w:val="24"/>
        </w:rPr>
        <w:t xml:space="preserve"> ČR </w:t>
      </w:r>
      <w:r w:rsidRPr="00170D8E">
        <w:rPr>
          <w:rFonts w:asciiTheme="minorHAnsi" w:hAnsiTheme="minorHAnsi" w:cstheme="minorHAnsi"/>
          <w:sz w:val="24"/>
          <w:szCs w:val="24"/>
        </w:rPr>
        <w:t>smlouv</w:t>
      </w:r>
      <w:r>
        <w:rPr>
          <w:rFonts w:asciiTheme="minorHAnsi" w:hAnsiTheme="minorHAnsi" w:cstheme="minorHAnsi"/>
          <w:sz w:val="24"/>
          <w:szCs w:val="24"/>
        </w:rPr>
        <w:t>u tohoto typu</w:t>
      </w:r>
      <w:r w:rsidRPr="00170D8E">
        <w:rPr>
          <w:rFonts w:asciiTheme="minorHAnsi" w:hAnsiTheme="minorHAnsi" w:cstheme="minorHAnsi"/>
          <w:sz w:val="24"/>
          <w:szCs w:val="24"/>
        </w:rPr>
        <w:t xml:space="preserve"> </w:t>
      </w:r>
      <w:r w:rsidR="00A853E7">
        <w:rPr>
          <w:rFonts w:asciiTheme="minorHAnsi" w:hAnsiTheme="minorHAnsi" w:cstheme="minorHAnsi"/>
          <w:sz w:val="24"/>
          <w:szCs w:val="24"/>
        </w:rPr>
        <w:t>ne</w:t>
      </w:r>
      <w:r w:rsidRPr="00170D8E">
        <w:rPr>
          <w:rFonts w:asciiTheme="minorHAnsi" w:hAnsiTheme="minorHAnsi" w:cstheme="minorHAnsi"/>
          <w:sz w:val="24"/>
          <w:szCs w:val="24"/>
        </w:rPr>
        <w:t>uzavře</w:t>
      </w:r>
      <w:r w:rsidR="00A853E7">
        <w:rPr>
          <w:rFonts w:asciiTheme="minorHAnsi" w:hAnsiTheme="minorHAnsi" w:cstheme="minorHAnsi"/>
          <w:sz w:val="24"/>
          <w:szCs w:val="24"/>
        </w:rPr>
        <w:t>la</w:t>
      </w:r>
      <w:r w:rsidRPr="00170D8E">
        <w:rPr>
          <w:rFonts w:asciiTheme="minorHAnsi" w:hAnsiTheme="minorHAnsi" w:cstheme="minorHAnsi"/>
          <w:sz w:val="24"/>
          <w:szCs w:val="24"/>
        </w:rPr>
        <w:t xml:space="preserve">). </w:t>
      </w:r>
      <w:r>
        <w:rPr>
          <w:rFonts w:asciiTheme="minorHAnsi" w:hAnsiTheme="minorHAnsi" w:cstheme="minorHAnsi"/>
          <w:sz w:val="24"/>
          <w:szCs w:val="24"/>
        </w:rPr>
        <w:t>V ČR byla k 31. 12. 2024 evidov</w:t>
      </w:r>
      <w:r w:rsidR="00A853E7">
        <w:rPr>
          <w:rFonts w:asciiTheme="minorHAnsi" w:hAnsiTheme="minorHAnsi" w:cstheme="minorHAnsi"/>
          <w:sz w:val="24"/>
          <w:szCs w:val="24"/>
        </w:rPr>
        <w:t>ána</w:t>
      </w:r>
      <w:r>
        <w:rPr>
          <w:rFonts w:asciiTheme="minorHAnsi" w:hAnsiTheme="minorHAnsi" w:cstheme="minorHAnsi"/>
          <w:sz w:val="24"/>
          <w:szCs w:val="24"/>
        </w:rPr>
        <w:t xml:space="preserve"> hodnota nedoplatků v rámci zvláštního režimu ve výši 54 721 893,36 </w:t>
      </w:r>
      <w:r w:rsidR="00FF38DB">
        <w:rPr>
          <w:rFonts w:asciiTheme="minorHAnsi" w:hAnsiTheme="minorHAnsi" w:cstheme="minorHAnsi"/>
          <w:sz w:val="24"/>
          <w:szCs w:val="24"/>
        </w:rPr>
        <w:t>€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58D68955" w14:textId="77777777" w:rsidR="003627B6" w:rsidRDefault="003627B6" w:rsidP="003627B6">
      <w:pPr>
        <w:pStyle w:val="Zkladntext1"/>
        <w:shd w:val="clear" w:color="auto" w:fill="auto"/>
        <w:spacing w:after="0"/>
        <w:rPr>
          <w:rFonts w:asciiTheme="minorHAnsi" w:hAnsiTheme="minorHAnsi" w:cstheme="minorHAnsi"/>
          <w:sz w:val="24"/>
          <w:szCs w:val="24"/>
        </w:rPr>
      </w:pPr>
    </w:p>
    <w:p w14:paraId="30DE0CCD" w14:textId="1BD4C592" w:rsidR="00216601" w:rsidRDefault="00216601" w:rsidP="003627B6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NKÚ zjistil, že do evidované hodnoty nedoplatků byly zahrnuty i nedoplatky vzniklé nespárováním platby DPH obdržené z JČS s příslušným DAP ve zvláštním režimu, protože neúplné nebo chybné informace o platbách DPH nelze automatizovaně zpracovat</w:t>
      </w:r>
      <w:r w:rsidR="00BB4900">
        <w:rPr>
          <w:rFonts w:cstheme="minorHAnsi"/>
        </w:rPr>
        <w:t>.</w:t>
      </w:r>
      <w:r>
        <w:rPr>
          <w:rFonts w:cstheme="minorHAnsi"/>
        </w:rPr>
        <w:t xml:space="preserve"> </w:t>
      </w:r>
      <w:r w:rsidR="00CE7EA9">
        <w:rPr>
          <w:rFonts w:cstheme="minorHAnsi"/>
        </w:rPr>
        <w:t xml:space="preserve">Absence dat </w:t>
      </w:r>
      <w:r w:rsidR="002B377A">
        <w:rPr>
          <w:rFonts w:cstheme="minorHAnsi"/>
        </w:rPr>
        <w:lastRenderedPageBreak/>
        <w:t xml:space="preserve">se </w:t>
      </w:r>
      <w:r w:rsidR="00CE7EA9">
        <w:rPr>
          <w:rFonts w:cstheme="minorHAnsi"/>
        </w:rPr>
        <w:t>následně projeví ve vymáhání, protože správce daně nemá informaci</w:t>
      </w:r>
      <w:r w:rsidR="00A853E7">
        <w:rPr>
          <w:rFonts w:cstheme="minorHAnsi"/>
        </w:rPr>
        <w:t xml:space="preserve"> o tom</w:t>
      </w:r>
      <w:r w:rsidR="00CE7EA9">
        <w:rPr>
          <w:rFonts w:cstheme="minorHAnsi"/>
        </w:rPr>
        <w:t xml:space="preserve">, </w:t>
      </w:r>
      <w:r w:rsidR="002B377A">
        <w:rPr>
          <w:rFonts w:cstheme="minorHAnsi"/>
        </w:rPr>
        <w:t xml:space="preserve">která </w:t>
      </w:r>
      <w:r w:rsidR="00A853E7">
        <w:rPr>
          <w:rFonts w:cstheme="minorHAnsi"/>
        </w:rPr>
        <w:t xml:space="preserve">daňová přiznání </w:t>
      </w:r>
      <w:r w:rsidR="002B377A">
        <w:rPr>
          <w:rFonts w:cstheme="minorHAnsi"/>
        </w:rPr>
        <w:t xml:space="preserve">ve zvláštním režimu </w:t>
      </w:r>
      <w:r w:rsidR="00A853E7">
        <w:rPr>
          <w:rFonts w:cstheme="minorHAnsi"/>
        </w:rPr>
        <w:t>mají být</w:t>
      </w:r>
      <w:r w:rsidR="00CE7EA9">
        <w:rPr>
          <w:rFonts w:cstheme="minorHAnsi"/>
        </w:rPr>
        <w:t xml:space="preserve"> </w:t>
      </w:r>
      <w:r w:rsidR="002B377A">
        <w:rPr>
          <w:rFonts w:cstheme="minorHAnsi"/>
        </w:rPr>
        <w:t xml:space="preserve">obdrženou platbou </w:t>
      </w:r>
      <w:r w:rsidR="00CE7EA9">
        <w:rPr>
          <w:rFonts w:cstheme="minorHAnsi"/>
        </w:rPr>
        <w:t xml:space="preserve">uhrazena. </w:t>
      </w:r>
    </w:p>
    <w:p w14:paraId="56A41634" w14:textId="77777777" w:rsidR="003627B6" w:rsidRDefault="003627B6" w:rsidP="003627B6">
      <w:pPr>
        <w:spacing w:after="0" w:line="240" w:lineRule="auto"/>
        <w:jc w:val="both"/>
        <w:rPr>
          <w:rFonts w:cstheme="minorHAnsi"/>
        </w:rPr>
      </w:pPr>
    </w:p>
    <w:p w14:paraId="6DF337D4" w14:textId="4CAC2165" w:rsidR="00271BB0" w:rsidRPr="007B7D2F" w:rsidRDefault="00271BB0" w:rsidP="00F16B71">
      <w:pPr>
        <w:autoSpaceDE w:val="0"/>
        <w:autoSpaceDN w:val="0"/>
        <w:adjustRightInd w:val="0"/>
        <w:spacing w:after="0"/>
        <w:ind w:left="1304" w:hanging="1304"/>
        <w:jc w:val="both"/>
        <w:rPr>
          <w:rFonts w:cstheme="minorHAnsi"/>
          <w:b/>
        </w:rPr>
      </w:pPr>
      <w:r w:rsidRPr="007B7D2F">
        <w:rPr>
          <w:rFonts w:cstheme="minorHAnsi"/>
          <w:b/>
        </w:rPr>
        <w:t xml:space="preserve">Tabulka č. </w:t>
      </w:r>
      <w:r>
        <w:rPr>
          <w:rFonts w:cstheme="minorHAnsi"/>
          <w:b/>
        </w:rPr>
        <w:t>7</w:t>
      </w:r>
      <w:r w:rsidRPr="007B7D2F">
        <w:rPr>
          <w:rFonts w:cstheme="minorHAnsi"/>
          <w:b/>
        </w:rPr>
        <w:t xml:space="preserve">: </w:t>
      </w:r>
      <w:r w:rsidR="00CD1728">
        <w:rPr>
          <w:rFonts w:cstheme="minorHAnsi"/>
          <w:b/>
        </w:rPr>
        <w:tab/>
      </w:r>
      <w:r w:rsidRPr="007B7D2F">
        <w:rPr>
          <w:rFonts w:cstheme="minorHAnsi"/>
          <w:b/>
        </w:rPr>
        <w:t xml:space="preserve">Přehled </w:t>
      </w:r>
      <w:proofErr w:type="spellStart"/>
      <w:r w:rsidRPr="007B7D2F">
        <w:rPr>
          <w:rFonts w:cstheme="minorHAnsi"/>
          <w:b/>
        </w:rPr>
        <w:t>ŽoMPV</w:t>
      </w:r>
      <w:proofErr w:type="spellEnd"/>
      <w:r w:rsidRPr="007B7D2F">
        <w:rPr>
          <w:rFonts w:cstheme="minorHAnsi"/>
          <w:b/>
        </w:rPr>
        <w:t xml:space="preserve"> podaných </w:t>
      </w:r>
      <w:r w:rsidR="00CD1728" w:rsidRPr="00CD1728">
        <w:rPr>
          <w:rFonts w:cstheme="minorHAnsi"/>
          <w:b/>
        </w:rPr>
        <w:t>Finanční</w:t>
      </w:r>
      <w:r w:rsidR="00CD1728">
        <w:rPr>
          <w:rFonts w:cstheme="minorHAnsi"/>
          <w:b/>
        </w:rPr>
        <w:t>m</w:t>
      </w:r>
      <w:r w:rsidR="00CD1728" w:rsidRPr="00CD1728">
        <w:rPr>
          <w:rFonts w:cstheme="minorHAnsi"/>
          <w:b/>
        </w:rPr>
        <w:t xml:space="preserve"> úřad</w:t>
      </w:r>
      <w:r w:rsidR="00CD1728">
        <w:rPr>
          <w:rFonts w:cstheme="minorHAnsi"/>
          <w:b/>
        </w:rPr>
        <w:t>em</w:t>
      </w:r>
      <w:r w:rsidR="00CD1728" w:rsidRPr="00CD1728">
        <w:rPr>
          <w:rFonts w:cstheme="minorHAnsi"/>
          <w:b/>
        </w:rPr>
        <w:t xml:space="preserve"> pro Jihomoravský kraj</w:t>
      </w:r>
      <w:r w:rsidRPr="007B7D2F">
        <w:rPr>
          <w:rFonts w:cstheme="minorHAnsi"/>
          <w:b/>
        </w:rPr>
        <w:t xml:space="preserve"> v rámci </w:t>
      </w:r>
      <w:r>
        <w:rPr>
          <w:rFonts w:cstheme="minorHAnsi"/>
          <w:b/>
        </w:rPr>
        <w:t>zvláštního režimu</w:t>
      </w:r>
      <w:r w:rsidRPr="007B7D2F">
        <w:rPr>
          <w:rFonts w:cstheme="minorHAnsi"/>
          <w:b/>
        </w:rPr>
        <w:t xml:space="preserve"> za </w:t>
      </w:r>
      <w:r w:rsidR="00F2019B">
        <w:rPr>
          <w:rFonts w:cstheme="minorHAnsi"/>
          <w:b/>
        </w:rPr>
        <w:t>roky</w:t>
      </w:r>
      <w:r w:rsidRPr="007B7D2F">
        <w:rPr>
          <w:rFonts w:cstheme="minorHAnsi"/>
          <w:b/>
        </w:rPr>
        <w:t xml:space="preserve"> 2021–2024</w:t>
      </w:r>
    </w:p>
    <w:tbl>
      <w:tblPr>
        <w:tblStyle w:val="Mkatabulky"/>
        <w:tblW w:w="91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4"/>
        <w:gridCol w:w="845"/>
        <w:gridCol w:w="845"/>
        <w:gridCol w:w="992"/>
        <w:gridCol w:w="1134"/>
        <w:gridCol w:w="1644"/>
        <w:gridCol w:w="997"/>
        <w:gridCol w:w="1219"/>
      </w:tblGrid>
      <w:tr w:rsidR="00271BB0" w:rsidRPr="006B1377" w14:paraId="7B266FA2" w14:textId="77777777" w:rsidTr="00F16B71">
        <w:trPr>
          <w:trHeight w:val="394"/>
        </w:trPr>
        <w:tc>
          <w:tcPr>
            <w:tcW w:w="1424" w:type="dxa"/>
            <w:vMerge w:val="restart"/>
            <w:shd w:val="clear" w:color="auto" w:fill="E6E6E6"/>
            <w:vAlign w:val="center"/>
          </w:tcPr>
          <w:p w14:paraId="26B1ABB1" w14:textId="77777777" w:rsidR="00271BB0" w:rsidRPr="00AD044B" w:rsidRDefault="00271BB0" w:rsidP="00F9102D">
            <w:pPr>
              <w:autoSpaceDE w:val="0"/>
              <w:autoSpaceDN w:val="0"/>
              <w:adjustRightInd w:val="0"/>
              <w:contextualSpacing/>
              <w:jc w:val="center"/>
              <w:rPr>
                <w:rFonts w:cstheme="minorHAnsi"/>
                <w:b/>
                <w:bCs/>
              </w:rPr>
            </w:pPr>
            <w:r w:rsidRPr="00AD044B">
              <w:rPr>
                <w:rFonts w:cstheme="minorHAnsi"/>
                <w:b/>
                <w:bCs/>
              </w:rPr>
              <w:t>Rok</w:t>
            </w:r>
          </w:p>
        </w:tc>
        <w:tc>
          <w:tcPr>
            <w:tcW w:w="2682" w:type="dxa"/>
            <w:gridSpan w:val="3"/>
            <w:shd w:val="clear" w:color="auto" w:fill="E6E6E6"/>
            <w:vAlign w:val="center"/>
          </w:tcPr>
          <w:p w14:paraId="09147075" w14:textId="77777777" w:rsidR="00271BB0" w:rsidRPr="00AD044B" w:rsidRDefault="00271BB0" w:rsidP="00F9102D">
            <w:pPr>
              <w:autoSpaceDE w:val="0"/>
              <w:autoSpaceDN w:val="0"/>
              <w:adjustRightInd w:val="0"/>
              <w:contextualSpacing/>
              <w:jc w:val="center"/>
              <w:rPr>
                <w:rFonts w:cstheme="minorHAnsi"/>
                <w:b/>
                <w:bCs/>
              </w:rPr>
            </w:pPr>
            <w:r w:rsidRPr="00AD044B">
              <w:rPr>
                <w:rFonts w:cstheme="minorHAnsi"/>
                <w:b/>
                <w:bCs/>
              </w:rPr>
              <w:t xml:space="preserve">Počet </w:t>
            </w:r>
            <w:proofErr w:type="spellStart"/>
            <w:r w:rsidRPr="00AD044B">
              <w:rPr>
                <w:rFonts w:cstheme="minorHAnsi"/>
                <w:b/>
                <w:bCs/>
              </w:rPr>
              <w:t>ŽoMPV</w:t>
            </w:r>
            <w:proofErr w:type="spellEnd"/>
          </w:p>
        </w:tc>
        <w:tc>
          <w:tcPr>
            <w:tcW w:w="1134" w:type="dxa"/>
            <w:vMerge w:val="restart"/>
            <w:shd w:val="clear" w:color="auto" w:fill="E6E6E6"/>
            <w:vAlign w:val="center"/>
          </w:tcPr>
          <w:p w14:paraId="702AF318" w14:textId="0289F1BE" w:rsidR="00271BB0" w:rsidRPr="00AD044B" w:rsidRDefault="00271BB0" w:rsidP="00F9102D">
            <w:pPr>
              <w:autoSpaceDE w:val="0"/>
              <w:autoSpaceDN w:val="0"/>
              <w:adjustRightInd w:val="0"/>
              <w:contextualSpacing/>
              <w:jc w:val="center"/>
              <w:rPr>
                <w:rFonts w:cstheme="minorHAnsi"/>
                <w:b/>
                <w:bCs/>
              </w:rPr>
            </w:pPr>
            <w:r w:rsidRPr="00AD044B">
              <w:rPr>
                <w:rFonts w:cstheme="minorHAnsi"/>
                <w:b/>
                <w:bCs/>
              </w:rPr>
              <w:t xml:space="preserve">Počet </w:t>
            </w:r>
            <w:r>
              <w:rPr>
                <w:rFonts w:cstheme="minorHAnsi"/>
                <w:b/>
                <w:bCs/>
              </w:rPr>
              <w:t>subjektů</w:t>
            </w:r>
          </w:p>
        </w:tc>
        <w:tc>
          <w:tcPr>
            <w:tcW w:w="3860" w:type="dxa"/>
            <w:gridSpan w:val="3"/>
            <w:shd w:val="clear" w:color="auto" w:fill="E6E6E6"/>
            <w:vAlign w:val="center"/>
          </w:tcPr>
          <w:p w14:paraId="3ABCE192" w14:textId="010BB588" w:rsidR="00271BB0" w:rsidRPr="00AD044B" w:rsidRDefault="00271BB0" w:rsidP="00F9102D">
            <w:pPr>
              <w:autoSpaceDE w:val="0"/>
              <w:autoSpaceDN w:val="0"/>
              <w:adjustRightInd w:val="0"/>
              <w:contextualSpacing/>
              <w:jc w:val="center"/>
              <w:rPr>
                <w:rFonts w:cstheme="minorHAnsi"/>
                <w:b/>
                <w:bCs/>
              </w:rPr>
            </w:pPr>
            <w:r w:rsidRPr="00AD044B">
              <w:rPr>
                <w:rFonts w:cstheme="minorHAnsi"/>
                <w:b/>
                <w:bCs/>
              </w:rPr>
              <w:t>Celkem vymáháno (</w:t>
            </w:r>
            <w:r w:rsidR="00A853E7">
              <w:rPr>
                <w:rFonts w:cstheme="minorHAnsi"/>
                <w:b/>
                <w:bCs/>
              </w:rPr>
              <w:t>v €</w:t>
            </w:r>
            <w:r w:rsidRPr="00AD044B">
              <w:rPr>
                <w:rFonts w:cstheme="minorHAnsi"/>
                <w:b/>
                <w:bCs/>
              </w:rPr>
              <w:t>)</w:t>
            </w:r>
          </w:p>
        </w:tc>
      </w:tr>
      <w:tr w:rsidR="00271BB0" w:rsidRPr="006B1377" w14:paraId="670D993E" w14:textId="77777777" w:rsidTr="00F16B71">
        <w:trPr>
          <w:trHeight w:val="394"/>
        </w:trPr>
        <w:tc>
          <w:tcPr>
            <w:tcW w:w="1424" w:type="dxa"/>
            <w:vMerge/>
            <w:shd w:val="clear" w:color="auto" w:fill="E6E6E6"/>
            <w:vAlign w:val="center"/>
          </w:tcPr>
          <w:p w14:paraId="0C9592A4" w14:textId="77777777" w:rsidR="00271BB0" w:rsidRPr="00AD044B" w:rsidRDefault="00271BB0" w:rsidP="00F9102D">
            <w:pPr>
              <w:autoSpaceDE w:val="0"/>
              <w:autoSpaceDN w:val="0"/>
              <w:adjustRightInd w:val="0"/>
              <w:contextualSpacing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845" w:type="dxa"/>
            <w:shd w:val="clear" w:color="auto" w:fill="E6E6E6"/>
            <w:vAlign w:val="center"/>
          </w:tcPr>
          <w:p w14:paraId="6127498F" w14:textId="77777777" w:rsidR="00271BB0" w:rsidRPr="00AD044B" w:rsidRDefault="00271BB0" w:rsidP="00F9102D">
            <w:pPr>
              <w:autoSpaceDE w:val="0"/>
              <w:autoSpaceDN w:val="0"/>
              <w:adjustRightInd w:val="0"/>
              <w:contextualSpacing/>
              <w:jc w:val="center"/>
              <w:rPr>
                <w:rFonts w:cstheme="minorHAnsi"/>
                <w:b/>
                <w:bCs/>
              </w:rPr>
            </w:pPr>
            <w:r w:rsidRPr="00AD044B">
              <w:rPr>
                <w:rFonts w:cstheme="minorHAnsi"/>
                <w:b/>
                <w:bCs/>
              </w:rPr>
              <w:t>Režim EU</w:t>
            </w:r>
          </w:p>
        </w:tc>
        <w:tc>
          <w:tcPr>
            <w:tcW w:w="845" w:type="dxa"/>
            <w:shd w:val="clear" w:color="auto" w:fill="E6E6E6"/>
            <w:vAlign w:val="center"/>
          </w:tcPr>
          <w:p w14:paraId="3B3DE4B1" w14:textId="77777777" w:rsidR="00271BB0" w:rsidRPr="00AD044B" w:rsidRDefault="00271BB0" w:rsidP="00F9102D">
            <w:pPr>
              <w:autoSpaceDE w:val="0"/>
              <w:autoSpaceDN w:val="0"/>
              <w:adjustRightInd w:val="0"/>
              <w:contextualSpacing/>
              <w:jc w:val="center"/>
              <w:rPr>
                <w:rFonts w:cstheme="minorHAnsi"/>
                <w:b/>
                <w:bCs/>
              </w:rPr>
            </w:pPr>
            <w:r w:rsidRPr="00AD044B">
              <w:rPr>
                <w:rFonts w:cstheme="minorHAnsi"/>
                <w:b/>
                <w:bCs/>
              </w:rPr>
              <w:t>Režim mimo EU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507B29CD" w14:textId="77777777" w:rsidR="00271BB0" w:rsidRPr="00AD044B" w:rsidRDefault="00271BB0" w:rsidP="00F9102D">
            <w:pPr>
              <w:autoSpaceDE w:val="0"/>
              <w:autoSpaceDN w:val="0"/>
              <w:adjustRightInd w:val="0"/>
              <w:contextualSpacing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Dovozní režim</w:t>
            </w:r>
          </w:p>
        </w:tc>
        <w:tc>
          <w:tcPr>
            <w:tcW w:w="1134" w:type="dxa"/>
            <w:vMerge/>
            <w:shd w:val="clear" w:color="auto" w:fill="E6E6E6"/>
            <w:vAlign w:val="center"/>
          </w:tcPr>
          <w:p w14:paraId="1FFF6C99" w14:textId="77777777" w:rsidR="00271BB0" w:rsidRPr="00AD044B" w:rsidRDefault="00271BB0" w:rsidP="00F9102D">
            <w:pPr>
              <w:autoSpaceDE w:val="0"/>
              <w:autoSpaceDN w:val="0"/>
              <w:adjustRightInd w:val="0"/>
              <w:contextualSpacing/>
              <w:jc w:val="center"/>
              <w:rPr>
                <w:rFonts w:cstheme="minorHAnsi"/>
                <w:bCs/>
              </w:rPr>
            </w:pPr>
          </w:p>
        </w:tc>
        <w:tc>
          <w:tcPr>
            <w:tcW w:w="1644" w:type="dxa"/>
            <w:shd w:val="clear" w:color="auto" w:fill="E6E6E6"/>
            <w:vAlign w:val="center"/>
          </w:tcPr>
          <w:p w14:paraId="24F5FC3B" w14:textId="77777777" w:rsidR="00271BB0" w:rsidRPr="00AD044B" w:rsidRDefault="00271BB0" w:rsidP="00F9102D">
            <w:pPr>
              <w:autoSpaceDE w:val="0"/>
              <w:autoSpaceDN w:val="0"/>
              <w:adjustRightInd w:val="0"/>
              <w:contextualSpacing/>
              <w:jc w:val="center"/>
              <w:rPr>
                <w:rFonts w:cstheme="minorHAnsi"/>
                <w:b/>
                <w:bCs/>
              </w:rPr>
            </w:pPr>
            <w:r w:rsidRPr="00AD044B">
              <w:rPr>
                <w:rFonts w:cstheme="minorHAnsi"/>
                <w:b/>
                <w:bCs/>
              </w:rPr>
              <w:t>Režim EU</w:t>
            </w:r>
          </w:p>
        </w:tc>
        <w:tc>
          <w:tcPr>
            <w:tcW w:w="997" w:type="dxa"/>
            <w:shd w:val="clear" w:color="auto" w:fill="E6E6E6"/>
            <w:vAlign w:val="center"/>
          </w:tcPr>
          <w:p w14:paraId="0BDA2453" w14:textId="77777777" w:rsidR="00271BB0" w:rsidRPr="00AD044B" w:rsidRDefault="00271BB0" w:rsidP="00F9102D">
            <w:pPr>
              <w:autoSpaceDE w:val="0"/>
              <w:autoSpaceDN w:val="0"/>
              <w:adjustRightInd w:val="0"/>
              <w:contextualSpacing/>
              <w:jc w:val="center"/>
              <w:rPr>
                <w:rFonts w:cstheme="minorHAnsi"/>
                <w:b/>
                <w:bCs/>
              </w:rPr>
            </w:pPr>
            <w:r w:rsidRPr="00AD044B">
              <w:rPr>
                <w:rFonts w:cstheme="minorHAnsi"/>
                <w:b/>
                <w:bCs/>
              </w:rPr>
              <w:t>Režim mimo EU</w:t>
            </w:r>
          </w:p>
        </w:tc>
        <w:tc>
          <w:tcPr>
            <w:tcW w:w="1219" w:type="dxa"/>
            <w:shd w:val="clear" w:color="auto" w:fill="E6E6E6"/>
            <w:vAlign w:val="center"/>
          </w:tcPr>
          <w:p w14:paraId="4AB0432B" w14:textId="77777777" w:rsidR="00271BB0" w:rsidRPr="00AD044B" w:rsidRDefault="00271BB0" w:rsidP="00F9102D">
            <w:pPr>
              <w:autoSpaceDE w:val="0"/>
              <w:autoSpaceDN w:val="0"/>
              <w:adjustRightInd w:val="0"/>
              <w:contextualSpacing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Dovozní režim</w:t>
            </w:r>
          </w:p>
        </w:tc>
      </w:tr>
      <w:tr w:rsidR="00271BB0" w:rsidRPr="006B1377" w14:paraId="773379D1" w14:textId="77777777" w:rsidTr="00F16B71">
        <w:tc>
          <w:tcPr>
            <w:tcW w:w="1424" w:type="dxa"/>
            <w:shd w:val="clear" w:color="auto" w:fill="FFFFFF" w:themeFill="background1"/>
            <w:vAlign w:val="center"/>
          </w:tcPr>
          <w:p w14:paraId="0FBCCA73" w14:textId="77777777" w:rsidR="00271BB0" w:rsidRPr="00AD044B" w:rsidRDefault="00271BB0" w:rsidP="00F9102D">
            <w:pPr>
              <w:autoSpaceDE w:val="0"/>
              <w:autoSpaceDN w:val="0"/>
              <w:adjustRightInd w:val="0"/>
              <w:contextualSpacing/>
              <w:jc w:val="center"/>
              <w:rPr>
                <w:rFonts w:cstheme="minorHAnsi"/>
                <w:b/>
                <w:bCs/>
              </w:rPr>
            </w:pPr>
            <w:r w:rsidRPr="00AD044B">
              <w:rPr>
                <w:rFonts w:cstheme="minorHAnsi"/>
                <w:b/>
                <w:bCs/>
              </w:rPr>
              <w:t>2021</w:t>
            </w:r>
          </w:p>
        </w:tc>
        <w:tc>
          <w:tcPr>
            <w:tcW w:w="845" w:type="dxa"/>
            <w:shd w:val="clear" w:color="auto" w:fill="FFFFFF" w:themeFill="background1"/>
            <w:vAlign w:val="center"/>
          </w:tcPr>
          <w:p w14:paraId="58AF58F8" w14:textId="77777777" w:rsidR="00271BB0" w:rsidRPr="00AD044B" w:rsidRDefault="00271BB0" w:rsidP="00F9102D">
            <w:pPr>
              <w:autoSpaceDE w:val="0"/>
              <w:autoSpaceDN w:val="0"/>
              <w:adjustRightInd w:val="0"/>
              <w:contextualSpacing/>
              <w:jc w:val="right"/>
              <w:rPr>
                <w:rFonts w:cstheme="minorHAnsi"/>
                <w:bCs/>
              </w:rPr>
            </w:pPr>
            <w:r w:rsidRPr="00AD044B">
              <w:rPr>
                <w:rFonts w:cstheme="minorHAnsi"/>
                <w:bCs/>
              </w:rPr>
              <w:t>0</w:t>
            </w:r>
          </w:p>
        </w:tc>
        <w:tc>
          <w:tcPr>
            <w:tcW w:w="845" w:type="dxa"/>
            <w:shd w:val="clear" w:color="auto" w:fill="FFFFFF" w:themeFill="background1"/>
            <w:vAlign w:val="center"/>
          </w:tcPr>
          <w:p w14:paraId="59F50EF7" w14:textId="77777777" w:rsidR="00271BB0" w:rsidRPr="00AD044B" w:rsidRDefault="00271BB0" w:rsidP="00F9102D">
            <w:pPr>
              <w:autoSpaceDE w:val="0"/>
              <w:autoSpaceDN w:val="0"/>
              <w:adjustRightInd w:val="0"/>
              <w:contextualSpacing/>
              <w:jc w:val="right"/>
              <w:rPr>
                <w:rFonts w:cstheme="minorHAnsi"/>
                <w:bCs/>
              </w:rPr>
            </w:pPr>
            <w:r w:rsidRPr="00AD044B">
              <w:rPr>
                <w:rFonts w:cstheme="minorHAnsi"/>
                <w:bCs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94BF0A6" w14:textId="77777777" w:rsidR="00271BB0" w:rsidRPr="00AD044B" w:rsidRDefault="00271BB0" w:rsidP="00F9102D">
            <w:pPr>
              <w:autoSpaceDE w:val="0"/>
              <w:autoSpaceDN w:val="0"/>
              <w:adjustRightInd w:val="0"/>
              <w:contextualSpacing/>
              <w:jc w:val="right"/>
              <w:rPr>
                <w:rFonts w:cstheme="minorHAnsi"/>
                <w:bCs/>
              </w:rPr>
            </w:pPr>
            <w:r w:rsidRPr="00AD044B">
              <w:rPr>
                <w:rFonts w:cstheme="minorHAnsi"/>
                <w:bCs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15BDEC1" w14:textId="77777777" w:rsidR="00271BB0" w:rsidRPr="00AD044B" w:rsidRDefault="00271BB0" w:rsidP="00A051AD">
            <w:pPr>
              <w:autoSpaceDE w:val="0"/>
              <w:autoSpaceDN w:val="0"/>
              <w:adjustRightInd w:val="0"/>
              <w:ind w:right="283"/>
              <w:contextualSpacing/>
              <w:jc w:val="right"/>
              <w:rPr>
                <w:rFonts w:cstheme="minorHAnsi"/>
                <w:bCs/>
              </w:rPr>
            </w:pPr>
            <w:r w:rsidRPr="00AD044B">
              <w:rPr>
                <w:rFonts w:cstheme="minorHAnsi"/>
                <w:bCs/>
              </w:rPr>
              <w:t>0</w:t>
            </w: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14:paraId="1C7D72C6" w14:textId="77777777" w:rsidR="00271BB0" w:rsidRPr="00AD044B" w:rsidRDefault="00271BB0" w:rsidP="00F9102D">
            <w:pPr>
              <w:autoSpaceDE w:val="0"/>
              <w:autoSpaceDN w:val="0"/>
              <w:adjustRightInd w:val="0"/>
              <w:contextualSpacing/>
              <w:jc w:val="right"/>
              <w:rPr>
                <w:rFonts w:cstheme="minorHAnsi"/>
                <w:bCs/>
              </w:rPr>
            </w:pPr>
            <w:r w:rsidRPr="00AD044B">
              <w:rPr>
                <w:rFonts w:cstheme="minorHAnsi"/>
                <w:bCs/>
              </w:rPr>
              <w:t>0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14:paraId="13A8D58C" w14:textId="77777777" w:rsidR="00271BB0" w:rsidRPr="00AD044B" w:rsidRDefault="00271BB0" w:rsidP="00F9102D">
            <w:pPr>
              <w:autoSpaceDE w:val="0"/>
              <w:autoSpaceDN w:val="0"/>
              <w:adjustRightInd w:val="0"/>
              <w:contextualSpacing/>
              <w:jc w:val="right"/>
              <w:rPr>
                <w:rFonts w:cstheme="minorHAnsi"/>
                <w:bCs/>
              </w:rPr>
            </w:pPr>
            <w:r w:rsidRPr="00AD044B">
              <w:rPr>
                <w:rFonts w:cstheme="minorHAnsi"/>
                <w:bCs/>
              </w:rPr>
              <w:t>0</w:t>
            </w:r>
          </w:p>
        </w:tc>
        <w:tc>
          <w:tcPr>
            <w:tcW w:w="1219" w:type="dxa"/>
            <w:shd w:val="clear" w:color="auto" w:fill="FFFFFF" w:themeFill="background1"/>
            <w:vAlign w:val="center"/>
          </w:tcPr>
          <w:p w14:paraId="4F151780" w14:textId="77777777" w:rsidR="00271BB0" w:rsidRPr="00AD044B" w:rsidRDefault="00271BB0" w:rsidP="00F9102D">
            <w:pPr>
              <w:autoSpaceDE w:val="0"/>
              <w:autoSpaceDN w:val="0"/>
              <w:adjustRightInd w:val="0"/>
              <w:contextualSpacing/>
              <w:jc w:val="right"/>
              <w:rPr>
                <w:rFonts w:cstheme="minorHAnsi"/>
                <w:bCs/>
              </w:rPr>
            </w:pPr>
            <w:r w:rsidRPr="00AD044B">
              <w:rPr>
                <w:rFonts w:cstheme="minorHAnsi"/>
                <w:bCs/>
              </w:rPr>
              <w:t>0</w:t>
            </w:r>
          </w:p>
        </w:tc>
      </w:tr>
      <w:tr w:rsidR="00271BB0" w:rsidRPr="006B1377" w14:paraId="1427E085" w14:textId="77777777" w:rsidTr="00F16B71">
        <w:tc>
          <w:tcPr>
            <w:tcW w:w="1424" w:type="dxa"/>
            <w:shd w:val="clear" w:color="auto" w:fill="FFFFFF" w:themeFill="background1"/>
            <w:vAlign w:val="center"/>
          </w:tcPr>
          <w:p w14:paraId="0CD52B7C" w14:textId="77777777" w:rsidR="00271BB0" w:rsidRPr="00AD044B" w:rsidRDefault="00271BB0" w:rsidP="00F9102D">
            <w:pPr>
              <w:autoSpaceDE w:val="0"/>
              <w:autoSpaceDN w:val="0"/>
              <w:adjustRightInd w:val="0"/>
              <w:contextualSpacing/>
              <w:jc w:val="center"/>
              <w:rPr>
                <w:rFonts w:cstheme="minorHAnsi"/>
                <w:b/>
                <w:bCs/>
              </w:rPr>
            </w:pPr>
            <w:r w:rsidRPr="00AD044B">
              <w:rPr>
                <w:rFonts w:cstheme="minorHAnsi"/>
                <w:b/>
                <w:bCs/>
              </w:rPr>
              <w:t>2022</w:t>
            </w:r>
          </w:p>
        </w:tc>
        <w:tc>
          <w:tcPr>
            <w:tcW w:w="845" w:type="dxa"/>
            <w:shd w:val="clear" w:color="auto" w:fill="FFFFFF" w:themeFill="background1"/>
            <w:vAlign w:val="center"/>
          </w:tcPr>
          <w:p w14:paraId="68F1DE87" w14:textId="77777777" w:rsidR="00271BB0" w:rsidRPr="00AD044B" w:rsidRDefault="00271BB0" w:rsidP="00F9102D">
            <w:pPr>
              <w:autoSpaceDE w:val="0"/>
              <w:autoSpaceDN w:val="0"/>
              <w:adjustRightInd w:val="0"/>
              <w:contextualSpacing/>
              <w:jc w:val="right"/>
              <w:rPr>
                <w:rFonts w:cstheme="minorHAnsi"/>
                <w:bCs/>
              </w:rPr>
            </w:pPr>
            <w:r w:rsidRPr="00AD044B">
              <w:rPr>
                <w:rFonts w:cstheme="minorHAnsi"/>
                <w:bCs/>
              </w:rPr>
              <w:t>3</w:t>
            </w:r>
          </w:p>
        </w:tc>
        <w:tc>
          <w:tcPr>
            <w:tcW w:w="845" w:type="dxa"/>
            <w:shd w:val="clear" w:color="auto" w:fill="FFFFFF" w:themeFill="background1"/>
            <w:vAlign w:val="center"/>
          </w:tcPr>
          <w:p w14:paraId="21F2E0DF" w14:textId="77777777" w:rsidR="00271BB0" w:rsidRPr="00AD044B" w:rsidRDefault="00271BB0" w:rsidP="00F9102D">
            <w:pPr>
              <w:autoSpaceDE w:val="0"/>
              <w:autoSpaceDN w:val="0"/>
              <w:adjustRightInd w:val="0"/>
              <w:contextualSpacing/>
              <w:jc w:val="right"/>
              <w:rPr>
                <w:rFonts w:cstheme="minorHAnsi"/>
                <w:bCs/>
              </w:rPr>
            </w:pPr>
            <w:r w:rsidRPr="00AD044B">
              <w:rPr>
                <w:rFonts w:cstheme="minorHAnsi"/>
                <w:bCs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DA9A034" w14:textId="77777777" w:rsidR="00271BB0" w:rsidRPr="00AD044B" w:rsidRDefault="00271BB0" w:rsidP="00F9102D">
            <w:pPr>
              <w:autoSpaceDE w:val="0"/>
              <w:autoSpaceDN w:val="0"/>
              <w:adjustRightInd w:val="0"/>
              <w:contextualSpacing/>
              <w:jc w:val="right"/>
              <w:rPr>
                <w:rFonts w:cstheme="minorHAnsi"/>
                <w:bCs/>
              </w:rPr>
            </w:pPr>
            <w:r w:rsidRPr="00AD044B">
              <w:rPr>
                <w:rFonts w:cstheme="minorHAnsi"/>
                <w:bCs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F73D8E2" w14:textId="77777777" w:rsidR="00271BB0" w:rsidRPr="00AD044B" w:rsidRDefault="00271BB0" w:rsidP="00A051AD">
            <w:pPr>
              <w:autoSpaceDE w:val="0"/>
              <w:autoSpaceDN w:val="0"/>
              <w:adjustRightInd w:val="0"/>
              <w:ind w:right="283"/>
              <w:contextualSpacing/>
              <w:jc w:val="right"/>
              <w:rPr>
                <w:rFonts w:cstheme="minorHAnsi"/>
                <w:bCs/>
              </w:rPr>
            </w:pPr>
            <w:r w:rsidRPr="00AD044B">
              <w:rPr>
                <w:rFonts w:cstheme="minorHAnsi"/>
                <w:bCs/>
              </w:rPr>
              <w:t>3</w:t>
            </w: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14:paraId="4A5448D1" w14:textId="77777777" w:rsidR="00271BB0" w:rsidRPr="00AD044B" w:rsidRDefault="00271BB0" w:rsidP="00F9102D">
            <w:pPr>
              <w:autoSpaceDE w:val="0"/>
              <w:autoSpaceDN w:val="0"/>
              <w:adjustRightInd w:val="0"/>
              <w:contextualSpacing/>
              <w:jc w:val="right"/>
              <w:rPr>
                <w:rFonts w:cstheme="minorHAnsi"/>
                <w:bCs/>
              </w:rPr>
            </w:pPr>
            <w:r w:rsidRPr="00AD044B">
              <w:rPr>
                <w:rFonts w:cstheme="minorHAnsi"/>
                <w:bCs/>
              </w:rPr>
              <w:t xml:space="preserve">466 972,37 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14:paraId="1E7A575D" w14:textId="77777777" w:rsidR="00271BB0" w:rsidRPr="00AD044B" w:rsidRDefault="00271BB0" w:rsidP="00F9102D">
            <w:pPr>
              <w:autoSpaceDE w:val="0"/>
              <w:autoSpaceDN w:val="0"/>
              <w:adjustRightInd w:val="0"/>
              <w:contextualSpacing/>
              <w:jc w:val="right"/>
              <w:rPr>
                <w:rFonts w:cstheme="minorHAnsi"/>
                <w:bCs/>
              </w:rPr>
            </w:pPr>
            <w:r w:rsidRPr="00AD044B">
              <w:rPr>
                <w:rFonts w:cstheme="minorHAnsi"/>
                <w:bCs/>
              </w:rPr>
              <w:t>0</w:t>
            </w:r>
          </w:p>
        </w:tc>
        <w:tc>
          <w:tcPr>
            <w:tcW w:w="1219" w:type="dxa"/>
            <w:shd w:val="clear" w:color="auto" w:fill="FFFFFF" w:themeFill="background1"/>
            <w:vAlign w:val="center"/>
          </w:tcPr>
          <w:p w14:paraId="567651AB" w14:textId="77777777" w:rsidR="00271BB0" w:rsidRPr="00AD044B" w:rsidRDefault="00271BB0" w:rsidP="00F9102D">
            <w:pPr>
              <w:autoSpaceDE w:val="0"/>
              <w:autoSpaceDN w:val="0"/>
              <w:adjustRightInd w:val="0"/>
              <w:contextualSpacing/>
              <w:jc w:val="right"/>
              <w:rPr>
                <w:rFonts w:cstheme="minorHAnsi"/>
                <w:bCs/>
              </w:rPr>
            </w:pPr>
            <w:r w:rsidRPr="00AD044B">
              <w:rPr>
                <w:rFonts w:cstheme="minorHAnsi"/>
                <w:bCs/>
              </w:rPr>
              <w:t>0</w:t>
            </w:r>
          </w:p>
        </w:tc>
      </w:tr>
      <w:tr w:rsidR="00271BB0" w:rsidRPr="006B1377" w14:paraId="043DE3F4" w14:textId="77777777" w:rsidTr="00F16B71">
        <w:tc>
          <w:tcPr>
            <w:tcW w:w="1424" w:type="dxa"/>
            <w:shd w:val="clear" w:color="auto" w:fill="FFFFFF" w:themeFill="background1"/>
            <w:vAlign w:val="center"/>
          </w:tcPr>
          <w:p w14:paraId="58DD0829" w14:textId="77777777" w:rsidR="00271BB0" w:rsidRPr="00AD044B" w:rsidRDefault="00271BB0" w:rsidP="00F9102D">
            <w:pPr>
              <w:autoSpaceDE w:val="0"/>
              <w:autoSpaceDN w:val="0"/>
              <w:adjustRightInd w:val="0"/>
              <w:contextualSpacing/>
              <w:jc w:val="center"/>
              <w:rPr>
                <w:rFonts w:cstheme="minorHAnsi"/>
                <w:b/>
                <w:bCs/>
              </w:rPr>
            </w:pPr>
            <w:r w:rsidRPr="00AD044B">
              <w:rPr>
                <w:rFonts w:cstheme="minorHAnsi"/>
                <w:b/>
                <w:bCs/>
              </w:rPr>
              <w:t>2023</w:t>
            </w:r>
          </w:p>
        </w:tc>
        <w:tc>
          <w:tcPr>
            <w:tcW w:w="845" w:type="dxa"/>
            <w:shd w:val="clear" w:color="auto" w:fill="FFFFFF" w:themeFill="background1"/>
            <w:vAlign w:val="center"/>
          </w:tcPr>
          <w:p w14:paraId="328EEF6D" w14:textId="77777777" w:rsidR="00271BB0" w:rsidRPr="00AD044B" w:rsidRDefault="00271BB0" w:rsidP="00F9102D">
            <w:pPr>
              <w:autoSpaceDE w:val="0"/>
              <w:autoSpaceDN w:val="0"/>
              <w:adjustRightInd w:val="0"/>
              <w:contextualSpacing/>
              <w:jc w:val="right"/>
              <w:rPr>
                <w:rFonts w:cstheme="minorHAnsi"/>
                <w:bCs/>
              </w:rPr>
            </w:pPr>
            <w:r w:rsidRPr="00AD044B">
              <w:rPr>
                <w:rFonts w:cstheme="minorHAnsi"/>
                <w:bCs/>
              </w:rPr>
              <w:t>82</w:t>
            </w:r>
          </w:p>
        </w:tc>
        <w:tc>
          <w:tcPr>
            <w:tcW w:w="845" w:type="dxa"/>
            <w:shd w:val="clear" w:color="auto" w:fill="FFFFFF" w:themeFill="background1"/>
            <w:vAlign w:val="center"/>
          </w:tcPr>
          <w:p w14:paraId="3083FCF8" w14:textId="77777777" w:rsidR="00271BB0" w:rsidRPr="00AD044B" w:rsidRDefault="00271BB0" w:rsidP="00F9102D">
            <w:pPr>
              <w:autoSpaceDE w:val="0"/>
              <w:autoSpaceDN w:val="0"/>
              <w:adjustRightInd w:val="0"/>
              <w:contextualSpacing/>
              <w:jc w:val="right"/>
              <w:rPr>
                <w:rFonts w:cstheme="minorHAnsi"/>
                <w:bCs/>
              </w:rPr>
            </w:pPr>
            <w:r w:rsidRPr="00AD044B">
              <w:rPr>
                <w:rFonts w:cstheme="minorHAnsi"/>
                <w:bCs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28C7DCD" w14:textId="77777777" w:rsidR="00271BB0" w:rsidRPr="00AD044B" w:rsidRDefault="00271BB0" w:rsidP="00F9102D">
            <w:pPr>
              <w:autoSpaceDE w:val="0"/>
              <w:autoSpaceDN w:val="0"/>
              <w:adjustRightInd w:val="0"/>
              <w:contextualSpacing/>
              <w:jc w:val="right"/>
              <w:rPr>
                <w:rFonts w:cstheme="minorHAnsi"/>
                <w:bCs/>
              </w:rPr>
            </w:pPr>
            <w:r w:rsidRPr="00AD044B">
              <w:rPr>
                <w:rFonts w:cstheme="minorHAnsi"/>
                <w:bCs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2C2F4CA" w14:textId="77777777" w:rsidR="00271BB0" w:rsidRPr="00AD044B" w:rsidRDefault="00271BB0" w:rsidP="00A051AD">
            <w:pPr>
              <w:autoSpaceDE w:val="0"/>
              <w:autoSpaceDN w:val="0"/>
              <w:adjustRightInd w:val="0"/>
              <w:ind w:right="283"/>
              <w:contextualSpacing/>
              <w:jc w:val="right"/>
              <w:rPr>
                <w:rFonts w:cstheme="minorHAnsi"/>
                <w:bCs/>
              </w:rPr>
            </w:pPr>
            <w:r w:rsidRPr="00AD044B">
              <w:rPr>
                <w:rFonts w:cstheme="minorHAnsi"/>
                <w:bCs/>
              </w:rPr>
              <w:t>81</w:t>
            </w: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14:paraId="3C35E8FC" w14:textId="77777777" w:rsidR="00271BB0" w:rsidRPr="00AD044B" w:rsidRDefault="00271BB0" w:rsidP="00F9102D">
            <w:pPr>
              <w:autoSpaceDE w:val="0"/>
              <w:autoSpaceDN w:val="0"/>
              <w:adjustRightInd w:val="0"/>
              <w:contextualSpacing/>
              <w:jc w:val="right"/>
              <w:rPr>
                <w:rFonts w:cstheme="minorHAnsi"/>
                <w:bCs/>
              </w:rPr>
            </w:pPr>
            <w:r w:rsidRPr="00AD044B">
              <w:rPr>
                <w:rFonts w:cstheme="minorHAnsi"/>
                <w:bCs/>
              </w:rPr>
              <w:t>2 185 857,73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14:paraId="7B37F245" w14:textId="77777777" w:rsidR="00271BB0" w:rsidRPr="00AD044B" w:rsidRDefault="00271BB0" w:rsidP="00F9102D">
            <w:pPr>
              <w:autoSpaceDE w:val="0"/>
              <w:autoSpaceDN w:val="0"/>
              <w:adjustRightInd w:val="0"/>
              <w:contextualSpacing/>
              <w:jc w:val="right"/>
              <w:rPr>
                <w:rFonts w:cstheme="minorHAnsi"/>
                <w:bCs/>
              </w:rPr>
            </w:pPr>
            <w:r w:rsidRPr="00AD044B">
              <w:rPr>
                <w:rFonts w:cstheme="minorHAnsi"/>
                <w:bCs/>
              </w:rPr>
              <w:t>0</w:t>
            </w:r>
          </w:p>
        </w:tc>
        <w:tc>
          <w:tcPr>
            <w:tcW w:w="1219" w:type="dxa"/>
            <w:shd w:val="clear" w:color="auto" w:fill="FFFFFF" w:themeFill="background1"/>
            <w:vAlign w:val="center"/>
          </w:tcPr>
          <w:p w14:paraId="2C564265" w14:textId="77777777" w:rsidR="00271BB0" w:rsidRPr="00AD044B" w:rsidRDefault="00271BB0" w:rsidP="00F9102D">
            <w:pPr>
              <w:autoSpaceDE w:val="0"/>
              <w:autoSpaceDN w:val="0"/>
              <w:adjustRightInd w:val="0"/>
              <w:contextualSpacing/>
              <w:jc w:val="right"/>
              <w:rPr>
                <w:rFonts w:cstheme="minorHAnsi"/>
                <w:bCs/>
              </w:rPr>
            </w:pPr>
            <w:r w:rsidRPr="00AD044B">
              <w:rPr>
                <w:rFonts w:cstheme="minorHAnsi"/>
                <w:bCs/>
              </w:rPr>
              <w:t>0</w:t>
            </w:r>
          </w:p>
        </w:tc>
      </w:tr>
      <w:tr w:rsidR="00271BB0" w:rsidRPr="006B1377" w14:paraId="1A42FF97" w14:textId="77777777" w:rsidTr="00F16B71">
        <w:tc>
          <w:tcPr>
            <w:tcW w:w="1424" w:type="dxa"/>
            <w:shd w:val="clear" w:color="auto" w:fill="FFFFFF" w:themeFill="background1"/>
            <w:vAlign w:val="center"/>
          </w:tcPr>
          <w:p w14:paraId="555EB126" w14:textId="77777777" w:rsidR="00271BB0" w:rsidRPr="00AD044B" w:rsidRDefault="00271BB0" w:rsidP="00F9102D">
            <w:pPr>
              <w:autoSpaceDE w:val="0"/>
              <w:autoSpaceDN w:val="0"/>
              <w:adjustRightInd w:val="0"/>
              <w:contextualSpacing/>
              <w:jc w:val="center"/>
              <w:rPr>
                <w:rFonts w:cstheme="minorHAnsi"/>
                <w:b/>
                <w:bCs/>
              </w:rPr>
            </w:pPr>
            <w:r w:rsidRPr="00AD044B">
              <w:rPr>
                <w:rFonts w:cstheme="minorHAnsi"/>
                <w:b/>
                <w:bCs/>
              </w:rPr>
              <w:t>2024</w:t>
            </w:r>
          </w:p>
        </w:tc>
        <w:tc>
          <w:tcPr>
            <w:tcW w:w="845" w:type="dxa"/>
            <w:shd w:val="clear" w:color="auto" w:fill="FFFFFF" w:themeFill="background1"/>
            <w:vAlign w:val="center"/>
          </w:tcPr>
          <w:p w14:paraId="2CBEF0C6" w14:textId="77777777" w:rsidR="00271BB0" w:rsidRPr="00AD044B" w:rsidRDefault="00271BB0" w:rsidP="00F9102D">
            <w:pPr>
              <w:autoSpaceDE w:val="0"/>
              <w:autoSpaceDN w:val="0"/>
              <w:adjustRightInd w:val="0"/>
              <w:contextualSpacing/>
              <w:jc w:val="right"/>
              <w:rPr>
                <w:rFonts w:cstheme="minorHAnsi"/>
                <w:bCs/>
              </w:rPr>
            </w:pPr>
            <w:r w:rsidRPr="00AD044B">
              <w:rPr>
                <w:rFonts w:cstheme="minorHAnsi"/>
                <w:bCs/>
              </w:rPr>
              <w:t>271</w:t>
            </w:r>
          </w:p>
        </w:tc>
        <w:tc>
          <w:tcPr>
            <w:tcW w:w="845" w:type="dxa"/>
            <w:shd w:val="clear" w:color="auto" w:fill="FFFFFF" w:themeFill="background1"/>
            <w:vAlign w:val="center"/>
          </w:tcPr>
          <w:p w14:paraId="342799F9" w14:textId="77777777" w:rsidR="00271BB0" w:rsidRPr="00AD044B" w:rsidRDefault="00271BB0" w:rsidP="00F9102D">
            <w:pPr>
              <w:autoSpaceDE w:val="0"/>
              <w:autoSpaceDN w:val="0"/>
              <w:adjustRightInd w:val="0"/>
              <w:contextualSpacing/>
              <w:jc w:val="right"/>
              <w:rPr>
                <w:rFonts w:cstheme="minorHAnsi"/>
                <w:bCs/>
              </w:rPr>
            </w:pPr>
            <w:r w:rsidRPr="00AD044B">
              <w:rPr>
                <w:rFonts w:cstheme="minorHAnsi"/>
                <w:bCs/>
              </w:rPr>
              <w:t>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E4AA837" w14:textId="77777777" w:rsidR="00271BB0" w:rsidRPr="00AD044B" w:rsidRDefault="00271BB0" w:rsidP="00F9102D">
            <w:pPr>
              <w:autoSpaceDE w:val="0"/>
              <w:autoSpaceDN w:val="0"/>
              <w:adjustRightInd w:val="0"/>
              <w:contextualSpacing/>
              <w:jc w:val="right"/>
              <w:rPr>
                <w:rFonts w:cstheme="minorHAnsi"/>
                <w:bCs/>
              </w:rPr>
            </w:pPr>
            <w:r w:rsidRPr="00AD044B">
              <w:rPr>
                <w:rFonts w:cstheme="minorHAnsi"/>
                <w:bCs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124401D" w14:textId="77777777" w:rsidR="00271BB0" w:rsidRPr="00AD044B" w:rsidRDefault="00271BB0" w:rsidP="00A051AD">
            <w:pPr>
              <w:autoSpaceDE w:val="0"/>
              <w:autoSpaceDN w:val="0"/>
              <w:adjustRightInd w:val="0"/>
              <w:ind w:right="283"/>
              <w:contextualSpacing/>
              <w:jc w:val="right"/>
              <w:rPr>
                <w:rFonts w:cstheme="minorHAnsi"/>
                <w:bCs/>
              </w:rPr>
            </w:pPr>
            <w:r w:rsidRPr="00AD044B">
              <w:rPr>
                <w:rFonts w:cstheme="minorHAnsi"/>
                <w:bCs/>
              </w:rPr>
              <w:t>250</w:t>
            </w: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14:paraId="26BC7560" w14:textId="77777777" w:rsidR="00271BB0" w:rsidRPr="00AD044B" w:rsidRDefault="00271BB0" w:rsidP="00F9102D">
            <w:pPr>
              <w:autoSpaceDE w:val="0"/>
              <w:autoSpaceDN w:val="0"/>
              <w:adjustRightInd w:val="0"/>
              <w:contextualSpacing/>
              <w:jc w:val="right"/>
              <w:rPr>
                <w:rFonts w:cstheme="minorHAnsi"/>
                <w:bCs/>
              </w:rPr>
            </w:pPr>
            <w:r w:rsidRPr="00AD044B">
              <w:rPr>
                <w:rFonts w:cstheme="minorHAnsi"/>
                <w:bCs/>
              </w:rPr>
              <w:t>4 184 809,09</w:t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14:paraId="26EF9960" w14:textId="77777777" w:rsidR="00271BB0" w:rsidRPr="00AD044B" w:rsidRDefault="00271BB0" w:rsidP="00F9102D">
            <w:pPr>
              <w:autoSpaceDE w:val="0"/>
              <w:autoSpaceDN w:val="0"/>
              <w:adjustRightInd w:val="0"/>
              <w:contextualSpacing/>
              <w:jc w:val="right"/>
              <w:rPr>
                <w:rFonts w:cstheme="minorHAnsi"/>
                <w:bCs/>
              </w:rPr>
            </w:pPr>
            <w:r w:rsidRPr="00AD044B">
              <w:rPr>
                <w:rFonts w:cstheme="minorHAnsi"/>
                <w:bCs/>
              </w:rPr>
              <w:t>0</w:t>
            </w:r>
          </w:p>
        </w:tc>
        <w:tc>
          <w:tcPr>
            <w:tcW w:w="1219" w:type="dxa"/>
            <w:shd w:val="clear" w:color="auto" w:fill="FFFFFF" w:themeFill="background1"/>
            <w:vAlign w:val="center"/>
          </w:tcPr>
          <w:p w14:paraId="50DBC5E0" w14:textId="77777777" w:rsidR="00271BB0" w:rsidRPr="00AD044B" w:rsidRDefault="00271BB0" w:rsidP="00F9102D">
            <w:pPr>
              <w:autoSpaceDE w:val="0"/>
              <w:autoSpaceDN w:val="0"/>
              <w:adjustRightInd w:val="0"/>
              <w:contextualSpacing/>
              <w:jc w:val="right"/>
              <w:rPr>
                <w:rFonts w:cstheme="minorHAnsi"/>
                <w:bCs/>
              </w:rPr>
            </w:pPr>
            <w:r w:rsidRPr="00AD044B">
              <w:rPr>
                <w:rFonts w:cstheme="minorHAnsi"/>
                <w:bCs/>
              </w:rPr>
              <w:t>4 516,35</w:t>
            </w:r>
          </w:p>
        </w:tc>
      </w:tr>
      <w:tr w:rsidR="00271BB0" w:rsidRPr="006B1377" w14:paraId="4466CF05" w14:textId="77777777" w:rsidTr="00F16B71">
        <w:tc>
          <w:tcPr>
            <w:tcW w:w="1424" w:type="dxa"/>
            <w:vMerge w:val="restart"/>
            <w:shd w:val="clear" w:color="auto" w:fill="EDD4D9"/>
            <w:vAlign w:val="center"/>
          </w:tcPr>
          <w:p w14:paraId="1753F5D6" w14:textId="77777777" w:rsidR="00271BB0" w:rsidRPr="00AD044B" w:rsidRDefault="00271BB0" w:rsidP="00F9102D">
            <w:pPr>
              <w:autoSpaceDE w:val="0"/>
              <w:autoSpaceDN w:val="0"/>
              <w:adjustRightInd w:val="0"/>
              <w:contextualSpacing/>
              <w:jc w:val="center"/>
              <w:rPr>
                <w:rFonts w:cstheme="minorHAnsi"/>
                <w:b/>
                <w:bCs/>
              </w:rPr>
            </w:pPr>
            <w:r w:rsidRPr="00AD044B">
              <w:rPr>
                <w:rFonts w:cstheme="minorHAnsi"/>
                <w:b/>
                <w:bCs/>
              </w:rPr>
              <w:t>Celkem</w:t>
            </w:r>
          </w:p>
        </w:tc>
        <w:tc>
          <w:tcPr>
            <w:tcW w:w="845" w:type="dxa"/>
            <w:shd w:val="clear" w:color="auto" w:fill="EDD4D9"/>
            <w:vAlign w:val="center"/>
          </w:tcPr>
          <w:p w14:paraId="0B0ACC24" w14:textId="77777777" w:rsidR="00271BB0" w:rsidRPr="00AD044B" w:rsidRDefault="00271BB0" w:rsidP="00F9102D">
            <w:pPr>
              <w:autoSpaceDE w:val="0"/>
              <w:autoSpaceDN w:val="0"/>
              <w:adjustRightInd w:val="0"/>
              <w:contextualSpacing/>
              <w:jc w:val="right"/>
              <w:rPr>
                <w:rFonts w:cstheme="minorHAnsi"/>
                <w:b/>
                <w:bCs/>
              </w:rPr>
            </w:pPr>
            <w:r w:rsidRPr="00AD044B">
              <w:rPr>
                <w:rFonts w:cstheme="minorHAnsi"/>
                <w:b/>
                <w:bCs/>
              </w:rPr>
              <w:t>356</w:t>
            </w:r>
          </w:p>
        </w:tc>
        <w:tc>
          <w:tcPr>
            <w:tcW w:w="845" w:type="dxa"/>
            <w:shd w:val="clear" w:color="auto" w:fill="EDD4D9"/>
            <w:vAlign w:val="center"/>
          </w:tcPr>
          <w:p w14:paraId="384639CD" w14:textId="77777777" w:rsidR="00271BB0" w:rsidRPr="00AD044B" w:rsidRDefault="00271BB0" w:rsidP="00F9102D">
            <w:pPr>
              <w:autoSpaceDE w:val="0"/>
              <w:autoSpaceDN w:val="0"/>
              <w:adjustRightInd w:val="0"/>
              <w:contextualSpacing/>
              <w:jc w:val="right"/>
              <w:rPr>
                <w:rFonts w:cstheme="minorHAnsi"/>
                <w:b/>
                <w:bCs/>
              </w:rPr>
            </w:pPr>
            <w:r w:rsidRPr="00AD044B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992" w:type="dxa"/>
            <w:shd w:val="clear" w:color="auto" w:fill="EDD4D9"/>
            <w:vAlign w:val="center"/>
          </w:tcPr>
          <w:p w14:paraId="79243434" w14:textId="77777777" w:rsidR="00271BB0" w:rsidRPr="00AD044B" w:rsidRDefault="00271BB0" w:rsidP="00F9102D">
            <w:pPr>
              <w:autoSpaceDE w:val="0"/>
              <w:autoSpaceDN w:val="0"/>
              <w:adjustRightInd w:val="0"/>
              <w:contextualSpacing/>
              <w:jc w:val="right"/>
              <w:rPr>
                <w:rFonts w:cstheme="minorHAnsi"/>
                <w:b/>
                <w:bCs/>
              </w:rPr>
            </w:pPr>
            <w:r w:rsidRPr="00AD044B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EDD4D9"/>
            <w:vAlign w:val="center"/>
          </w:tcPr>
          <w:p w14:paraId="7CF39AB6" w14:textId="393FDC07" w:rsidR="00271BB0" w:rsidRPr="00AD044B" w:rsidRDefault="00271BB0" w:rsidP="00A051AD">
            <w:pPr>
              <w:autoSpaceDE w:val="0"/>
              <w:autoSpaceDN w:val="0"/>
              <w:adjustRightInd w:val="0"/>
              <w:ind w:right="283"/>
              <w:contextualSpacing/>
              <w:jc w:val="right"/>
              <w:rPr>
                <w:rFonts w:cstheme="minorHAnsi"/>
                <w:b/>
                <w:bCs/>
              </w:rPr>
            </w:pPr>
            <w:r w:rsidRPr="00AD044B">
              <w:rPr>
                <w:rFonts w:cstheme="minorHAnsi"/>
                <w:b/>
                <w:bCs/>
              </w:rPr>
              <w:t>33</w:t>
            </w:r>
            <w:r w:rsidR="002A0C5E"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1644" w:type="dxa"/>
            <w:shd w:val="clear" w:color="auto" w:fill="EDD4D9"/>
            <w:vAlign w:val="center"/>
          </w:tcPr>
          <w:p w14:paraId="288320A5" w14:textId="77777777" w:rsidR="00271BB0" w:rsidRPr="00AD044B" w:rsidRDefault="00271BB0" w:rsidP="00F9102D">
            <w:pPr>
              <w:autoSpaceDE w:val="0"/>
              <w:autoSpaceDN w:val="0"/>
              <w:adjustRightInd w:val="0"/>
              <w:contextualSpacing/>
              <w:jc w:val="right"/>
              <w:rPr>
                <w:rFonts w:cstheme="minorHAnsi"/>
                <w:b/>
                <w:bCs/>
              </w:rPr>
            </w:pPr>
            <w:r w:rsidRPr="00AD044B">
              <w:rPr>
                <w:rFonts w:cstheme="minorHAnsi"/>
                <w:b/>
                <w:bCs/>
              </w:rPr>
              <w:t>6 837 639,19</w:t>
            </w:r>
          </w:p>
        </w:tc>
        <w:tc>
          <w:tcPr>
            <w:tcW w:w="997" w:type="dxa"/>
            <w:shd w:val="clear" w:color="auto" w:fill="EDD4D9"/>
            <w:vAlign w:val="center"/>
          </w:tcPr>
          <w:p w14:paraId="49881C67" w14:textId="77777777" w:rsidR="00271BB0" w:rsidRPr="00AD044B" w:rsidRDefault="00271BB0" w:rsidP="00F9102D">
            <w:pPr>
              <w:autoSpaceDE w:val="0"/>
              <w:autoSpaceDN w:val="0"/>
              <w:adjustRightInd w:val="0"/>
              <w:contextualSpacing/>
              <w:jc w:val="right"/>
              <w:rPr>
                <w:rFonts w:cstheme="minorHAnsi"/>
                <w:b/>
                <w:bCs/>
              </w:rPr>
            </w:pPr>
            <w:r w:rsidRPr="00AD044B">
              <w:rPr>
                <w:rFonts w:cstheme="minorHAnsi"/>
                <w:b/>
                <w:bCs/>
              </w:rPr>
              <w:t>0</w:t>
            </w:r>
          </w:p>
        </w:tc>
        <w:tc>
          <w:tcPr>
            <w:tcW w:w="1219" w:type="dxa"/>
            <w:shd w:val="clear" w:color="auto" w:fill="EDD4D9"/>
            <w:vAlign w:val="center"/>
          </w:tcPr>
          <w:p w14:paraId="05B679AF" w14:textId="77777777" w:rsidR="00271BB0" w:rsidRPr="00AD044B" w:rsidRDefault="00271BB0" w:rsidP="00F9102D">
            <w:pPr>
              <w:autoSpaceDE w:val="0"/>
              <w:autoSpaceDN w:val="0"/>
              <w:adjustRightInd w:val="0"/>
              <w:contextualSpacing/>
              <w:jc w:val="right"/>
              <w:rPr>
                <w:rFonts w:cstheme="minorHAnsi"/>
                <w:b/>
                <w:bCs/>
              </w:rPr>
            </w:pPr>
            <w:r w:rsidRPr="00AD044B">
              <w:rPr>
                <w:rFonts w:cstheme="minorHAnsi"/>
                <w:b/>
                <w:bCs/>
              </w:rPr>
              <w:t>4 516,35</w:t>
            </w:r>
          </w:p>
        </w:tc>
      </w:tr>
      <w:tr w:rsidR="00271BB0" w:rsidRPr="006B1377" w14:paraId="5B02248B" w14:textId="77777777" w:rsidTr="00F16B71">
        <w:trPr>
          <w:trHeight w:val="56"/>
        </w:trPr>
        <w:tc>
          <w:tcPr>
            <w:tcW w:w="1424" w:type="dxa"/>
            <w:vMerge/>
            <w:shd w:val="clear" w:color="auto" w:fill="EDD4D9"/>
            <w:vAlign w:val="center"/>
          </w:tcPr>
          <w:p w14:paraId="3720BF3E" w14:textId="77777777" w:rsidR="00271BB0" w:rsidRPr="00AD044B" w:rsidRDefault="00271BB0" w:rsidP="00F9102D">
            <w:pPr>
              <w:autoSpaceDE w:val="0"/>
              <w:autoSpaceDN w:val="0"/>
              <w:adjustRightInd w:val="0"/>
              <w:contextualSpacing/>
              <w:rPr>
                <w:rFonts w:cstheme="minorHAnsi"/>
                <w:b/>
                <w:bCs/>
              </w:rPr>
            </w:pPr>
          </w:p>
        </w:tc>
        <w:tc>
          <w:tcPr>
            <w:tcW w:w="2682" w:type="dxa"/>
            <w:gridSpan w:val="3"/>
            <w:shd w:val="clear" w:color="auto" w:fill="EDD4D9"/>
            <w:vAlign w:val="center"/>
          </w:tcPr>
          <w:p w14:paraId="7E5591D9" w14:textId="77777777" w:rsidR="00271BB0" w:rsidRPr="00F16B71" w:rsidRDefault="00271BB0" w:rsidP="00F9102D">
            <w:pPr>
              <w:autoSpaceDE w:val="0"/>
              <w:autoSpaceDN w:val="0"/>
              <w:adjustRightInd w:val="0"/>
              <w:contextualSpacing/>
              <w:jc w:val="center"/>
              <w:rPr>
                <w:rFonts w:cstheme="minorHAnsi"/>
                <w:b/>
                <w:bCs/>
              </w:rPr>
            </w:pPr>
            <w:r w:rsidRPr="000006D8">
              <w:rPr>
                <w:rFonts w:cstheme="minorHAnsi"/>
                <w:b/>
                <w:bCs/>
              </w:rPr>
              <w:t>358</w:t>
            </w:r>
          </w:p>
        </w:tc>
        <w:tc>
          <w:tcPr>
            <w:tcW w:w="1134" w:type="dxa"/>
            <w:vMerge/>
            <w:shd w:val="clear" w:color="auto" w:fill="EDD4D9"/>
            <w:vAlign w:val="center"/>
          </w:tcPr>
          <w:p w14:paraId="33C93A5A" w14:textId="77777777" w:rsidR="00271BB0" w:rsidRPr="00AD044B" w:rsidRDefault="00271BB0" w:rsidP="00F9102D">
            <w:pPr>
              <w:autoSpaceDE w:val="0"/>
              <w:autoSpaceDN w:val="0"/>
              <w:adjustRightInd w:val="0"/>
              <w:contextualSpacing/>
              <w:jc w:val="right"/>
              <w:rPr>
                <w:rFonts w:cstheme="minorHAnsi"/>
                <w:b/>
                <w:bCs/>
              </w:rPr>
            </w:pPr>
          </w:p>
        </w:tc>
        <w:tc>
          <w:tcPr>
            <w:tcW w:w="3855" w:type="dxa"/>
            <w:gridSpan w:val="3"/>
            <w:shd w:val="clear" w:color="auto" w:fill="EDD4D9"/>
            <w:vAlign w:val="center"/>
          </w:tcPr>
          <w:p w14:paraId="49D066BC" w14:textId="77777777" w:rsidR="00271BB0" w:rsidRPr="00AD044B" w:rsidRDefault="00271BB0" w:rsidP="00F9102D">
            <w:pPr>
              <w:autoSpaceDE w:val="0"/>
              <w:autoSpaceDN w:val="0"/>
              <w:adjustRightInd w:val="0"/>
              <w:contextualSpacing/>
              <w:jc w:val="center"/>
              <w:rPr>
                <w:rFonts w:cstheme="minorHAnsi"/>
                <w:b/>
                <w:bCs/>
              </w:rPr>
            </w:pPr>
            <w:r w:rsidRPr="00AD044B">
              <w:rPr>
                <w:rFonts w:cstheme="minorHAnsi"/>
                <w:b/>
                <w:bCs/>
              </w:rPr>
              <w:t>6 842 155,54</w:t>
            </w:r>
          </w:p>
        </w:tc>
      </w:tr>
    </w:tbl>
    <w:p w14:paraId="7C40D810" w14:textId="77777777" w:rsidR="00271BB0" w:rsidRPr="00EA5C00" w:rsidRDefault="00271BB0" w:rsidP="003627B6">
      <w:pPr>
        <w:spacing w:after="0"/>
        <w:jc w:val="both"/>
        <w:rPr>
          <w:rFonts w:cstheme="minorHAnsi"/>
          <w:sz w:val="28"/>
          <w:szCs w:val="28"/>
        </w:rPr>
      </w:pPr>
      <w:r w:rsidRPr="00F16B71">
        <w:rPr>
          <w:rFonts w:cstheme="minorHAnsi"/>
          <w:b/>
          <w:sz w:val="20"/>
          <w:szCs w:val="20"/>
        </w:rPr>
        <w:t>Zdroj:</w:t>
      </w:r>
      <w:r w:rsidRPr="00170D8E">
        <w:rPr>
          <w:rFonts w:cstheme="minorHAnsi"/>
          <w:bCs/>
          <w:sz w:val="20"/>
          <w:szCs w:val="20"/>
        </w:rPr>
        <w:t xml:space="preserve"> </w:t>
      </w:r>
      <w:r>
        <w:rPr>
          <w:rFonts w:cstheme="minorHAnsi"/>
          <w:bCs/>
          <w:sz w:val="20"/>
          <w:szCs w:val="20"/>
        </w:rPr>
        <w:t>FÚ JMK.</w:t>
      </w:r>
    </w:p>
    <w:p w14:paraId="0C082BA1" w14:textId="77777777" w:rsidR="003627B6" w:rsidRDefault="003627B6" w:rsidP="003627B6">
      <w:pPr>
        <w:pStyle w:val="Zkladntext1"/>
        <w:shd w:val="clear" w:color="auto" w:fill="auto"/>
        <w:tabs>
          <w:tab w:val="left" w:pos="743"/>
        </w:tabs>
        <w:spacing w:after="0"/>
        <w:rPr>
          <w:rFonts w:asciiTheme="minorHAnsi" w:hAnsiTheme="minorHAnsi" w:cstheme="minorHAnsi"/>
          <w:sz w:val="24"/>
          <w:szCs w:val="24"/>
        </w:rPr>
      </w:pPr>
    </w:p>
    <w:p w14:paraId="3CED70CE" w14:textId="2122B19B" w:rsidR="00566D9F" w:rsidRDefault="00CD1728" w:rsidP="003627B6">
      <w:pPr>
        <w:pStyle w:val="Zkladntext1"/>
        <w:shd w:val="clear" w:color="auto" w:fill="auto"/>
        <w:tabs>
          <w:tab w:val="left" w:pos="743"/>
        </w:tabs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 celkového vymáhaného objemu uvedeného v tabulce č. 7 (</w:t>
      </w:r>
      <w:r w:rsidR="00B6209A" w:rsidRPr="00B6209A">
        <w:rPr>
          <w:rFonts w:asciiTheme="minorHAnsi" w:hAnsiTheme="minorHAnsi" w:cstheme="minorHAnsi"/>
          <w:sz w:val="24"/>
          <w:szCs w:val="24"/>
        </w:rPr>
        <w:t xml:space="preserve">6 842 155,54 </w:t>
      </w:r>
      <w:r w:rsidR="00FF38DB">
        <w:rPr>
          <w:rFonts w:asciiTheme="minorHAnsi" w:hAnsiTheme="minorHAnsi" w:cstheme="minorHAnsi"/>
          <w:sz w:val="24"/>
          <w:szCs w:val="24"/>
        </w:rPr>
        <w:t>€</w:t>
      </w:r>
      <w:r>
        <w:rPr>
          <w:rFonts w:asciiTheme="minorHAnsi" w:hAnsiTheme="minorHAnsi" w:cstheme="minorHAnsi"/>
          <w:sz w:val="24"/>
          <w:szCs w:val="24"/>
        </w:rPr>
        <w:t>)</w:t>
      </w:r>
      <w:r w:rsidR="005858DC" w:rsidRPr="00B6209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byla</w:t>
      </w:r>
      <w:r w:rsidR="00B6209A" w:rsidRPr="00B6209A">
        <w:rPr>
          <w:rFonts w:asciiTheme="minorHAnsi" w:hAnsiTheme="minorHAnsi" w:cstheme="minorHAnsi"/>
          <w:sz w:val="24"/>
          <w:szCs w:val="24"/>
        </w:rPr>
        <w:t xml:space="preserve"> ke kontrole </w:t>
      </w:r>
      <w:r>
        <w:rPr>
          <w:rFonts w:asciiTheme="minorHAnsi" w:hAnsiTheme="minorHAnsi" w:cstheme="minorHAnsi"/>
          <w:sz w:val="24"/>
          <w:szCs w:val="24"/>
        </w:rPr>
        <w:t xml:space="preserve">vybrána </w:t>
      </w:r>
      <w:r w:rsidR="00B6209A" w:rsidRPr="00B6209A">
        <w:rPr>
          <w:rFonts w:asciiTheme="minorHAnsi" w:hAnsiTheme="minorHAnsi" w:cstheme="minorHAnsi"/>
          <w:sz w:val="24"/>
          <w:szCs w:val="24"/>
        </w:rPr>
        <w:t>část</w:t>
      </w:r>
      <w:r>
        <w:rPr>
          <w:rFonts w:asciiTheme="minorHAnsi" w:hAnsiTheme="minorHAnsi" w:cstheme="minorHAnsi"/>
          <w:sz w:val="24"/>
          <w:szCs w:val="24"/>
        </w:rPr>
        <w:t>ka</w:t>
      </w:r>
      <w:r w:rsidR="00B6209A" w:rsidRPr="00B6209A">
        <w:rPr>
          <w:rFonts w:asciiTheme="minorHAnsi" w:hAnsiTheme="minorHAnsi" w:cstheme="minorHAnsi"/>
          <w:sz w:val="24"/>
          <w:szCs w:val="24"/>
        </w:rPr>
        <w:t xml:space="preserve"> 2 204 148,19 </w:t>
      </w:r>
      <w:r w:rsidR="00FF38DB">
        <w:rPr>
          <w:rFonts w:asciiTheme="minorHAnsi" w:hAnsiTheme="minorHAnsi" w:cstheme="minorHAnsi"/>
          <w:sz w:val="24"/>
          <w:szCs w:val="24"/>
        </w:rPr>
        <w:t>€</w:t>
      </w:r>
      <w:r w:rsidR="00B6209A" w:rsidRPr="00B6209A">
        <w:rPr>
          <w:rFonts w:asciiTheme="minorHAnsi" w:hAnsiTheme="minorHAnsi" w:cstheme="minorHAnsi"/>
          <w:sz w:val="24"/>
          <w:szCs w:val="24"/>
        </w:rPr>
        <w:t xml:space="preserve"> (32 %). NKÚ </w:t>
      </w:r>
      <w:r>
        <w:rPr>
          <w:rFonts w:asciiTheme="minorHAnsi" w:hAnsiTheme="minorHAnsi" w:cstheme="minorHAnsi"/>
          <w:sz w:val="24"/>
          <w:szCs w:val="24"/>
        </w:rPr>
        <w:t>na tomto kontrolním vzorku</w:t>
      </w:r>
      <w:r w:rsidR="00B6209A" w:rsidRPr="00B6209A">
        <w:rPr>
          <w:rFonts w:asciiTheme="minorHAnsi" w:hAnsiTheme="minorHAnsi" w:cstheme="minorHAnsi"/>
          <w:sz w:val="24"/>
          <w:szCs w:val="24"/>
        </w:rPr>
        <w:t xml:space="preserve"> zjistil, že FÚ JMK v rámci mezinárodního vymáhání vymohl nedoplat</w:t>
      </w:r>
      <w:r>
        <w:rPr>
          <w:rFonts w:asciiTheme="minorHAnsi" w:hAnsiTheme="minorHAnsi" w:cstheme="minorHAnsi"/>
          <w:sz w:val="24"/>
          <w:szCs w:val="24"/>
        </w:rPr>
        <w:t>ky</w:t>
      </w:r>
      <w:r w:rsidR="00B6209A" w:rsidRPr="00B6209A">
        <w:rPr>
          <w:rFonts w:asciiTheme="minorHAnsi" w:hAnsiTheme="minorHAnsi" w:cstheme="minorHAnsi"/>
          <w:sz w:val="24"/>
          <w:szCs w:val="24"/>
        </w:rPr>
        <w:t xml:space="preserve"> ve výši 1 169 954,67 </w:t>
      </w:r>
      <w:r w:rsidR="00FF38DB">
        <w:rPr>
          <w:rFonts w:asciiTheme="minorHAnsi" w:hAnsiTheme="minorHAnsi" w:cstheme="minorHAnsi"/>
          <w:sz w:val="24"/>
          <w:szCs w:val="24"/>
        </w:rPr>
        <w:t>€</w:t>
      </w:r>
      <w:r w:rsidR="00B6209A" w:rsidRPr="00B6209A">
        <w:rPr>
          <w:rFonts w:asciiTheme="minorHAnsi" w:hAnsiTheme="minorHAnsi" w:cstheme="minorHAnsi"/>
          <w:sz w:val="24"/>
          <w:szCs w:val="24"/>
        </w:rPr>
        <w:t>, což činí 53 %. U</w:t>
      </w:r>
      <w:r w:rsidR="00FF38DB">
        <w:rPr>
          <w:rFonts w:asciiTheme="minorHAnsi" w:hAnsiTheme="minorHAnsi" w:cstheme="minorHAnsi"/>
          <w:sz w:val="24"/>
          <w:szCs w:val="24"/>
        </w:rPr>
        <w:t> </w:t>
      </w:r>
      <w:r w:rsidR="00B6209A" w:rsidRPr="00B6209A">
        <w:rPr>
          <w:rFonts w:asciiTheme="minorHAnsi" w:hAnsiTheme="minorHAnsi" w:cstheme="minorHAnsi"/>
          <w:sz w:val="24"/>
          <w:szCs w:val="24"/>
        </w:rPr>
        <w:t>nedoplatk</w:t>
      </w:r>
      <w:r>
        <w:rPr>
          <w:rFonts w:asciiTheme="minorHAnsi" w:hAnsiTheme="minorHAnsi" w:cstheme="minorHAnsi"/>
          <w:sz w:val="24"/>
          <w:szCs w:val="24"/>
        </w:rPr>
        <w:t>ů</w:t>
      </w:r>
      <w:r w:rsidR="00B6209A" w:rsidRPr="00B6209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v hodnotě</w:t>
      </w:r>
      <w:r w:rsidR="00B6209A" w:rsidRPr="00B6209A">
        <w:rPr>
          <w:rFonts w:asciiTheme="minorHAnsi" w:hAnsiTheme="minorHAnsi" w:cstheme="minorHAnsi"/>
          <w:sz w:val="24"/>
          <w:szCs w:val="24"/>
        </w:rPr>
        <w:t xml:space="preserve"> 760 228,80 </w:t>
      </w:r>
      <w:r w:rsidR="00FF38DB">
        <w:rPr>
          <w:rFonts w:asciiTheme="minorHAnsi" w:hAnsiTheme="minorHAnsi" w:cstheme="minorHAnsi"/>
          <w:sz w:val="24"/>
          <w:szCs w:val="24"/>
        </w:rPr>
        <w:t>€</w:t>
      </w:r>
      <w:r w:rsidR="00B6209A" w:rsidRPr="00B6209A">
        <w:rPr>
          <w:rFonts w:asciiTheme="minorHAnsi" w:hAnsiTheme="minorHAnsi" w:cstheme="minorHAnsi"/>
          <w:sz w:val="24"/>
          <w:szCs w:val="24"/>
        </w:rPr>
        <w:t xml:space="preserve"> byl proces mezinárodního vymáhání ukončen a t</w:t>
      </w:r>
      <w:r>
        <w:rPr>
          <w:rFonts w:asciiTheme="minorHAnsi" w:hAnsiTheme="minorHAnsi" w:cstheme="minorHAnsi"/>
          <w:sz w:val="24"/>
          <w:szCs w:val="24"/>
        </w:rPr>
        <w:t>yto</w:t>
      </w:r>
      <w:r w:rsidR="00B6209A" w:rsidRPr="00B6209A">
        <w:rPr>
          <w:rFonts w:asciiTheme="minorHAnsi" w:hAnsiTheme="minorHAnsi" w:cstheme="minorHAnsi"/>
          <w:sz w:val="24"/>
          <w:szCs w:val="24"/>
        </w:rPr>
        <w:t xml:space="preserve"> nedoplat</w:t>
      </w:r>
      <w:r>
        <w:rPr>
          <w:rFonts w:asciiTheme="minorHAnsi" w:hAnsiTheme="minorHAnsi" w:cstheme="minorHAnsi"/>
          <w:sz w:val="24"/>
          <w:szCs w:val="24"/>
        </w:rPr>
        <w:t>ky</w:t>
      </w:r>
      <w:r w:rsidR="00B6209A" w:rsidRPr="00B6209A">
        <w:rPr>
          <w:rFonts w:asciiTheme="minorHAnsi" w:hAnsiTheme="minorHAnsi" w:cstheme="minorHAnsi"/>
          <w:sz w:val="24"/>
          <w:szCs w:val="24"/>
        </w:rPr>
        <w:t xml:space="preserve"> nebyl</w:t>
      </w:r>
      <w:r>
        <w:rPr>
          <w:rFonts w:asciiTheme="minorHAnsi" w:hAnsiTheme="minorHAnsi" w:cstheme="minorHAnsi"/>
          <w:sz w:val="24"/>
          <w:szCs w:val="24"/>
        </w:rPr>
        <w:t>y</w:t>
      </w:r>
      <w:r w:rsidR="00B6209A" w:rsidRPr="00B6209A">
        <w:rPr>
          <w:rFonts w:asciiTheme="minorHAnsi" w:hAnsiTheme="minorHAnsi" w:cstheme="minorHAnsi"/>
          <w:sz w:val="24"/>
          <w:szCs w:val="24"/>
        </w:rPr>
        <w:t xml:space="preserve"> FÚ JMK dále vymáhán</w:t>
      </w:r>
      <w:r>
        <w:rPr>
          <w:rFonts w:asciiTheme="minorHAnsi" w:hAnsiTheme="minorHAnsi" w:cstheme="minorHAnsi"/>
          <w:sz w:val="24"/>
          <w:szCs w:val="24"/>
        </w:rPr>
        <w:t>y</w:t>
      </w:r>
      <w:r w:rsidR="00B6209A" w:rsidRPr="00B6209A">
        <w:rPr>
          <w:rFonts w:asciiTheme="minorHAnsi" w:hAnsiTheme="minorHAnsi" w:cstheme="minorHAnsi"/>
          <w:sz w:val="24"/>
          <w:szCs w:val="24"/>
        </w:rPr>
        <w:t xml:space="preserve"> z důvodu nenalezení majetku u subjektu nebo z důvodu zajištění majetku finanční správou JČS v roli ČSI. U zbývající</w:t>
      </w:r>
      <w:r>
        <w:rPr>
          <w:rFonts w:asciiTheme="minorHAnsi" w:hAnsiTheme="minorHAnsi" w:cstheme="minorHAnsi"/>
          <w:sz w:val="24"/>
          <w:szCs w:val="24"/>
        </w:rPr>
        <w:t>ch</w:t>
      </w:r>
      <w:r w:rsidR="00B6209A" w:rsidRPr="00B6209A">
        <w:rPr>
          <w:rFonts w:asciiTheme="minorHAnsi" w:hAnsiTheme="minorHAnsi" w:cstheme="minorHAnsi"/>
          <w:sz w:val="24"/>
          <w:szCs w:val="24"/>
        </w:rPr>
        <w:t xml:space="preserve"> nedoplatk</w:t>
      </w:r>
      <w:r>
        <w:rPr>
          <w:rFonts w:asciiTheme="minorHAnsi" w:hAnsiTheme="minorHAnsi" w:cstheme="minorHAnsi"/>
          <w:sz w:val="24"/>
          <w:szCs w:val="24"/>
        </w:rPr>
        <w:t>ů</w:t>
      </w:r>
      <w:r w:rsidR="00B6209A" w:rsidRPr="00B6209A">
        <w:rPr>
          <w:rFonts w:asciiTheme="minorHAnsi" w:hAnsiTheme="minorHAnsi" w:cstheme="minorHAnsi"/>
          <w:sz w:val="24"/>
          <w:szCs w:val="24"/>
        </w:rPr>
        <w:t xml:space="preserve"> ve výši 273 964,72 </w:t>
      </w:r>
      <w:r w:rsidR="00FF38DB">
        <w:rPr>
          <w:rFonts w:asciiTheme="minorHAnsi" w:hAnsiTheme="minorHAnsi" w:cstheme="minorHAnsi"/>
          <w:sz w:val="24"/>
          <w:szCs w:val="24"/>
        </w:rPr>
        <w:t>€</w:t>
      </w:r>
      <w:r w:rsidR="00B6209A" w:rsidRPr="00B6209A">
        <w:rPr>
          <w:rFonts w:asciiTheme="minorHAnsi" w:hAnsiTheme="minorHAnsi" w:cstheme="minorHAnsi"/>
          <w:sz w:val="24"/>
          <w:szCs w:val="24"/>
        </w:rPr>
        <w:t xml:space="preserve"> proces mezinárodního vymáhání </w:t>
      </w:r>
      <w:r w:rsidR="00B6209A">
        <w:rPr>
          <w:rFonts w:asciiTheme="minorHAnsi" w:hAnsiTheme="minorHAnsi" w:cstheme="minorHAnsi"/>
          <w:sz w:val="24"/>
          <w:szCs w:val="24"/>
        </w:rPr>
        <w:t>nadále probíhá.</w:t>
      </w:r>
    </w:p>
    <w:p w14:paraId="434B2470" w14:textId="77777777" w:rsidR="003627B6" w:rsidRDefault="003627B6" w:rsidP="003627B6">
      <w:pPr>
        <w:pStyle w:val="Zkladntext1"/>
        <w:shd w:val="clear" w:color="auto" w:fill="auto"/>
        <w:tabs>
          <w:tab w:val="left" w:pos="743"/>
        </w:tabs>
        <w:spacing w:after="0"/>
        <w:rPr>
          <w:rFonts w:asciiTheme="minorHAnsi" w:hAnsiTheme="minorHAnsi" w:cstheme="minorHAnsi"/>
          <w:sz w:val="24"/>
          <w:szCs w:val="24"/>
        </w:rPr>
      </w:pPr>
    </w:p>
    <w:p w14:paraId="79E4571D" w14:textId="58BDF9BE" w:rsidR="002E000A" w:rsidRPr="00F16B71" w:rsidRDefault="00FF38DB" w:rsidP="00F16B71">
      <w:pPr>
        <w:spacing w:after="120" w:line="240" w:lineRule="auto"/>
        <w:ind w:left="284" w:hanging="284"/>
        <w:jc w:val="both"/>
        <w:rPr>
          <w:b/>
          <w:bCs/>
        </w:rPr>
      </w:pPr>
      <w:r>
        <w:rPr>
          <w:b/>
          <w:bCs/>
        </w:rPr>
        <w:t xml:space="preserve">2. </w:t>
      </w:r>
      <w:r>
        <w:rPr>
          <w:b/>
          <w:bCs/>
        </w:rPr>
        <w:tab/>
      </w:r>
      <w:r w:rsidR="00DB727B" w:rsidRPr="00F16B71">
        <w:rPr>
          <w:b/>
          <w:bCs/>
        </w:rPr>
        <w:t>GFŘ</w:t>
      </w:r>
      <w:r w:rsidR="002E000A" w:rsidRPr="00F16B71">
        <w:rPr>
          <w:b/>
          <w:bCs/>
        </w:rPr>
        <w:t xml:space="preserve"> </w:t>
      </w:r>
      <w:r w:rsidR="00285D86" w:rsidRPr="00F16B71">
        <w:rPr>
          <w:b/>
          <w:bCs/>
        </w:rPr>
        <w:t>nemohlo plně využívat</w:t>
      </w:r>
      <w:r w:rsidR="002E000A" w:rsidRPr="00F16B71">
        <w:rPr>
          <w:b/>
          <w:bCs/>
        </w:rPr>
        <w:t xml:space="preserve"> elektronické nástroje EU pro kontrolu DPH v</w:t>
      </w:r>
      <w:r w:rsidR="00BB6911">
        <w:rPr>
          <w:b/>
          <w:bCs/>
        </w:rPr>
        <w:t xml:space="preserve"> </w:t>
      </w:r>
      <w:r w:rsidR="002E000A" w:rsidRPr="00F16B71">
        <w:rPr>
          <w:b/>
          <w:bCs/>
        </w:rPr>
        <w:t xml:space="preserve">oblasti přeshraničního elektronického obchodování, protože data nebyla </w:t>
      </w:r>
      <w:r w:rsidR="004D3428" w:rsidRPr="00F16B71">
        <w:rPr>
          <w:b/>
          <w:bCs/>
        </w:rPr>
        <w:t xml:space="preserve">úplná a </w:t>
      </w:r>
      <w:r w:rsidR="002E000A" w:rsidRPr="00F16B71">
        <w:rPr>
          <w:b/>
          <w:bCs/>
        </w:rPr>
        <w:t>spolehlivá</w:t>
      </w:r>
    </w:p>
    <w:p w14:paraId="44AE673C" w14:textId="4FB1F345" w:rsidR="001B4CDB" w:rsidRPr="00313E6C" w:rsidRDefault="00FF38DB" w:rsidP="00F16B71">
      <w:pPr>
        <w:spacing w:after="120"/>
        <w:jc w:val="both"/>
        <w:rPr>
          <w:b/>
          <w:bCs/>
        </w:rPr>
      </w:pPr>
      <w:r>
        <w:rPr>
          <w:b/>
          <w:bCs/>
        </w:rPr>
        <w:t xml:space="preserve">2.1 </w:t>
      </w:r>
      <w:r w:rsidR="001B4CDB" w:rsidRPr="00313E6C">
        <w:rPr>
          <w:b/>
          <w:bCs/>
        </w:rPr>
        <w:t xml:space="preserve">Systém </w:t>
      </w:r>
      <w:proofErr w:type="spellStart"/>
      <w:r w:rsidR="001B4CDB" w:rsidRPr="00313E6C">
        <w:rPr>
          <w:rFonts w:ascii="Calibri" w:hAnsi="Calibri" w:cs="Calibri"/>
          <w:b/>
          <w:bCs/>
        </w:rPr>
        <w:t>Surveillance</w:t>
      </w:r>
      <w:proofErr w:type="spellEnd"/>
    </w:p>
    <w:p w14:paraId="73A44E4F" w14:textId="5F84997C" w:rsidR="004F2E34" w:rsidRDefault="002E000A" w:rsidP="002E000A">
      <w:pPr>
        <w:spacing w:after="0" w:line="240" w:lineRule="auto"/>
        <w:jc w:val="both"/>
      </w:pPr>
      <w:proofErr w:type="spellStart"/>
      <w:r w:rsidRPr="00F16B71">
        <w:rPr>
          <w:rFonts w:ascii="Calibri" w:hAnsi="Calibri" w:cs="Calibri"/>
          <w:i/>
          <w:iCs/>
        </w:rPr>
        <w:t>Surveillance</w:t>
      </w:r>
      <w:proofErr w:type="spellEnd"/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>je systém, který obsahuje data o uskutečněných dovozech zboží nízké hodnoty a</w:t>
      </w:r>
      <w:r w:rsidR="00390568">
        <w:rPr>
          <w:rFonts w:ascii="Calibri" w:hAnsi="Calibri" w:cs="Calibri"/>
        </w:rPr>
        <w:t> </w:t>
      </w:r>
      <w:r>
        <w:rPr>
          <w:rFonts w:ascii="Calibri" w:hAnsi="Calibri" w:cs="Calibri"/>
        </w:rPr>
        <w:t xml:space="preserve">jeho propuštění do volného oběhu, </w:t>
      </w:r>
      <w:r w:rsidR="00390568">
        <w:rPr>
          <w:rFonts w:ascii="Calibri" w:hAnsi="Calibri" w:cs="Calibri"/>
        </w:rPr>
        <w:t>data</w:t>
      </w:r>
      <w:r>
        <w:rPr>
          <w:rFonts w:ascii="Calibri" w:hAnsi="Calibri" w:cs="Calibri"/>
        </w:rPr>
        <w:t xml:space="preserve"> do tohoto systému </w:t>
      </w:r>
      <w:r w:rsidR="00390568">
        <w:rPr>
          <w:rFonts w:ascii="Calibri" w:hAnsi="Calibri" w:cs="Calibri"/>
        </w:rPr>
        <w:t>vkládají</w:t>
      </w:r>
      <w:r>
        <w:rPr>
          <w:rFonts w:ascii="Calibri" w:hAnsi="Calibri" w:cs="Calibri"/>
        </w:rPr>
        <w:t xml:space="preserve"> celní správ</w:t>
      </w:r>
      <w:r w:rsidR="00390568">
        <w:rPr>
          <w:rFonts w:ascii="Calibri" w:hAnsi="Calibri" w:cs="Calibri"/>
        </w:rPr>
        <w:t>y</w:t>
      </w:r>
      <w:r>
        <w:rPr>
          <w:rFonts w:ascii="Calibri" w:hAnsi="Calibri" w:cs="Calibri"/>
        </w:rPr>
        <w:t xml:space="preserve"> jednotlivých členských států EU. Systém zavedla Evropská komise, generují se v něm měsíční seznamy uvádějící celkovou hodnotu dovozu </w:t>
      </w:r>
      <w:r w:rsidR="00B6209A">
        <w:rPr>
          <w:rFonts w:ascii="Calibri" w:hAnsi="Calibri" w:cs="Calibri"/>
        </w:rPr>
        <w:t xml:space="preserve">zboží nízké hodnoty </w:t>
      </w:r>
      <w:r>
        <w:rPr>
          <w:rFonts w:ascii="Calibri" w:hAnsi="Calibri" w:cs="Calibri"/>
        </w:rPr>
        <w:t xml:space="preserve">podle </w:t>
      </w:r>
      <w:r w:rsidR="00231D46">
        <w:rPr>
          <w:rFonts w:ascii="Calibri" w:hAnsi="Calibri" w:cs="Calibri"/>
        </w:rPr>
        <w:t xml:space="preserve">dovozního </w:t>
      </w:r>
      <w:r w:rsidR="00E66B8F">
        <w:rPr>
          <w:rFonts w:ascii="Calibri" w:hAnsi="Calibri" w:cs="Calibri"/>
        </w:rPr>
        <w:t>čísla</w:t>
      </w:r>
      <w:r>
        <w:rPr>
          <w:rFonts w:ascii="Calibri" w:hAnsi="Calibri" w:cs="Calibri"/>
        </w:rPr>
        <w:t>. V</w:t>
      </w:r>
      <w:r w:rsidR="0039056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tomto systému je </w:t>
      </w:r>
      <w:r>
        <w:t xml:space="preserve">možné zjistit </w:t>
      </w:r>
      <w:r w:rsidRPr="00041DB7">
        <w:t xml:space="preserve">hodnotu dovezeného zboží </w:t>
      </w:r>
      <w:r>
        <w:t xml:space="preserve">nízké hodnoty </w:t>
      </w:r>
      <w:r w:rsidRPr="00041DB7">
        <w:t>v</w:t>
      </w:r>
      <w:r w:rsidR="008D477C">
        <w:t xml:space="preserve"> dovozním </w:t>
      </w:r>
      <w:r>
        <w:t>režimu</w:t>
      </w:r>
      <w:r w:rsidRPr="00041DB7">
        <w:t xml:space="preserve"> za celou EU.</w:t>
      </w:r>
    </w:p>
    <w:p w14:paraId="6B8E0E52" w14:textId="77777777" w:rsidR="004F2E34" w:rsidRDefault="004F2E34" w:rsidP="002E000A">
      <w:pPr>
        <w:spacing w:after="0" w:line="240" w:lineRule="auto"/>
        <w:jc w:val="both"/>
      </w:pPr>
    </w:p>
    <w:p w14:paraId="47EEF0F7" w14:textId="79655054" w:rsidR="002E000A" w:rsidRDefault="004F2E34" w:rsidP="002E000A">
      <w:pPr>
        <w:spacing w:after="0" w:line="240" w:lineRule="auto"/>
        <w:jc w:val="both"/>
      </w:pPr>
      <w:r>
        <w:t>NKÚ zjistil, že s</w:t>
      </w:r>
      <w:r w:rsidR="002E000A" w:rsidRPr="00041DB7">
        <w:t xml:space="preserve">ystém </w:t>
      </w:r>
      <w:proofErr w:type="spellStart"/>
      <w:r w:rsidR="003C165C" w:rsidRPr="00F16B71">
        <w:rPr>
          <w:i/>
          <w:iCs/>
        </w:rPr>
        <w:t>Surveillance</w:t>
      </w:r>
      <w:proofErr w:type="spellEnd"/>
      <w:r w:rsidR="003C165C">
        <w:t xml:space="preserve"> </w:t>
      </w:r>
      <w:r w:rsidR="002E000A" w:rsidRPr="00041DB7">
        <w:t>umožň</w:t>
      </w:r>
      <w:r w:rsidR="00B33CC4">
        <w:t>oval</w:t>
      </w:r>
      <w:r w:rsidR="002E000A" w:rsidRPr="00041DB7">
        <w:t xml:space="preserve"> ověřit</w:t>
      </w:r>
      <w:r>
        <w:t>,</w:t>
      </w:r>
      <w:r w:rsidR="002E000A" w:rsidRPr="00041DB7">
        <w:t xml:space="preserve"> jaká hodnota zboží </w:t>
      </w:r>
      <w:r w:rsidR="003C165C">
        <w:t xml:space="preserve">nízké hodnoty </w:t>
      </w:r>
      <w:r w:rsidR="002E000A" w:rsidRPr="00041DB7">
        <w:t xml:space="preserve">byla </w:t>
      </w:r>
      <w:r w:rsidR="002E000A">
        <w:t>subjektu</w:t>
      </w:r>
      <w:r w:rsidR="002E000A" w:rsidRPr="00041DB7">
        <w:t xml:space="preserve"> registrovan</w:t>
      </w:r>
      <w:r w:rsidR="002E000A">
        <w:t>ému</w:t>
      </w:r>
      <w:r>
        <w:t xml:space="preserve"> </w:t>
      </w:r>
      <w:r w:rsidR="002E000A" w:rsidRPr="00041DB7">
        <w:t>k</w:t>
      </w:r>
      <w:r w:rsidR="008D477C">
        <w:t xml:space="preserve"> dovoznímu </w:t>
      </w:r>
      <w:r w:rsidR="002E000A">
        <w:t>režimu</w:t>
      </w:r>
      <w:r w:rsidR="002E000A" w:rsidRPr="00041DB7">
        <w:t xml:space="preserve"> propuštěna do volného oběhu </w:t>
      </w:r>
      <w:r w:rsidR="003C165C">
        <w:t xml:space="preserve">(proclena) </w:t>
      </w:r>
      <w:r w:rsidR="002E000A" w:rsidRPr="00041DB7">
        <w:t xml:space="preserve">na území jednotlivých </w:t>
      </w:r>
      <w:r w:rsidR="002E000A">
        <w:t xml:space="preserve">členských </w:t>
      </w:r>
      <w:r w:rsidR="002E000A" w:rsidRPr="00041DB7">
        <w:t>států</w:t>
      </w:r>
      <w:r w:rsidR="002E000A">
        <w:t xml:space="preserve"> EU</w:t>
      </w:r>
      <w:r w:rsidR="002E000A" w:rsidRPr="00041DB7">
        <w:t xml:space="preserve">. </w:t>
      </w:r>
      <w:r w:rsidR="003C165C">
        <w:t xml:space="preserve">Naproti tomu neumožňoval </w:t>
      </w:r>
      <w:r w:rsidR="002E000A" w:rsidRPr="00041DB7">
        <w:t xml:space="preserve">ověřit hodnotu zboží, které mělo být do jednotlivých </w:t>
      </w:r>
      <w:r w:rsidR="00E66B8F">
        <w:t>ČSS</w:t>
      </w:r>
      <w:r w:rsidR="002E000A" w:rsidRPr="00041DB7">
        <w:t xml:space="preserve"> dodáno</w:t>
      </w:r>
      <w:r w:rsidR="002E000A">
        <w:t>.</w:t>
      </w:r>
      <w:r w:rsidR="003C165C">
        <w:rPr>
          <w:rStyle w:val="Znakapoznpodarou"/>
        </w:rPr>
        <w:footnoteReference w:id="22"/>
      </w:r>
      <w:r w:rsidR="002E000A">
        <w:rPr>
          <w:i/>
          <w:iCs/>
        </w:rPr>
        <w:t xml:space="preserve"> </w:t>
      </w:r>
      <w:r w:rsidR="002E000A" w:rsidRPr="00C87897">
        <w:t>Proto ne</w:t>
      </w:r>
      <w:r w:rsidR="00B33CC4">
        <w:t>bylo</w:t>
      </w:r>
      <w:r w:rsidR="002E000A" w:rsidRPr="00C87897">
        <w:t xml:space="preserve"> </w:t>
      </w:r>
      <w:r w:rsidR="00984199" w:rsidRPr="00C87897">
        <w:t>možn</w:t>
      </w:r>
      <w:r w:rsidR="00984199">
        <w:t>é</w:t>
      </w:r>
      <w:r w:rsidR="00984199" w:rsidRPr="00C87897">
        <w:t xml:space="preserve"> data</w:t>
      </w:r>
      <w:r w:rsidR="002E000A">
        <w:t xml:space="preserve"> ze</w:t>
      </w:r>
      <w:r w:rsidR="00390568">
        <w:t xml:space="preserve"> </w:t>
      </w:r>
      <w:r w:rsidR="002E000A">
        <w:t xml:space="preserve">systému </w:t>
      </w:r>
      <w:proofErr w:type="spellStart"/>
      <w:r w:rsidR="002E000A" w:rsidRPr="00F16B71">
        <w:rPr>
          <w:i/>
          <w:iCs/>
        </w:rPr>
        <w:t>Surveillance</w:t>
      </w:r>
      <w:proofErr w:type="spellEnd"/>
      <w:r w:rsidR="002E000A" w:rsidRPr="00C87897">
        <w:t xml:space="preserve"> využít</w:t>
      </w:r>
      <w:r w:rsidR="002E000A" w:rsidRPr="00DF2293">
        <w:t xml:space="preserve"> k ověření hodnot </w:t>
      </w:r>
      <w:r w:rsidR="002E000A">
        <w:t xml:space="preserve">uváděných </w:t>
      </w:r>
      <w:r>
        <w:t>subjekty</w:t>
      </w:r>
      <w:r w:rsidR="002E000A">
        <w:t xml:space="preserve"> </w:t>
      </w:r>
      <w:r w:rsidR="002E000A" w:rsidRPr="00DF2293">
        <w:t>v</w:t>
      </w:r>
      <w:r w:rsidR="002E000A">
        <w:t xml:space="preserve"> jimi podaných </w:t>
      </w:r>
      <w:r w:rsidR="002E000A" w:rsidRPr="00DF2293">
        <w:t>DAP</w:t>
      </w:r>
      <w:r w:rsidR="003C165C">
        <w:t xml:space="preserve"> v dovozním režimu ve vazbě na stát spotřeby</w:t>
      </w:r>
      <w:r w:rsidR="002E000A">
        <w:t>.</w:t>
      </w:r>
      <w:r w:rsidR="002E000A" w:rsidRPr="00DF2293">
        <w:t xml:space="preserve"> </w:t>
      </w:r>
      <w:r w:rsidR="002E000A">
        <w:t>D</w:t>
      </w:r>
      <w:r w:rsidR="002E000A" w:rsidRPr="00DF2293">
        <w:t xml:space="preserve">aňová povinnost je </w:t>
      </w:r>
      <w:r w:rsidR="002E000A">
        <w:t xml:space="preserve">však </w:t>
      </w:r>
      <w:r w:rsidR="002E000A" w:rsidRPr="00DF2293">
        <w:t>závislá na místě spotřeby, nikoliv na místě</w:t>
      </w:r>
      <w:r>
        <w:t xml:space="preserve"> </w:t>
      </w:r>
      <w:r w:rsidR="002E000A">
        <w:t>propuštění zboží do volného oběhu</w:t>
      </w:r>
      <w:r>
        <w:t>.</w:t>
      </w:r>
      <w:r w:rsidR="002E000A">
        <w:t xml:space="preserve"> </w:t>
      </w:r>
      <w:r w:rsidR="002E000A" w:rsidRPr="00DF2293">
        <w:t>Za účelem ověření skutečného místa dodání</w:t>
      </w:r>
      <w:r w:rsidR="002E000A">
        <w:t xml:space="preserve">, tedy místa </w:t>
      </w:r>
      <w:r w:rsidR="002E000A">
        <w:lastRenderedPageBreak/>
        <w:t xml:space="preserve">spotřeby a </w:t>
      </w:r>
      <w:r w:rsidR="00390568">
        <w:t xml:space="preserve">současně </w:t>
      </w:r>
      <w:r w:rsidR="002E000A">
        <w:t>povinnost</w:t>
      </w:r>
      <w:r w:rsidR="00390568">
        <w:t>i</w:t>
      </w:r>
      <w:r w:rsidR="002E000A">
        <w:t xml:space="preserve"> </w:t>
      </w:r>
      <w:r>
        <w:t>subjektu</w:t>
      </w:r>
      <w:r w:rsidR="002E000A">
        <w:t xml:space="preserve"> odvést ČSS příslušnou DPH</w:t>
      </w:r>
      <w:r w:rsidR="008D477C">
        <w:t>,</w:t>
      </w:r>
      <w:r w:rsidR="002E000A">
        <w:t xml:space="preserve"> </w:t>
      </w:r>
      <w:r w:rsidR="002E000A" w:rsidRPr="00DF2293">
        <w:t xml:space="preserve">by již musel </w:t>
      </w:r>
      <w:r w:rsidR="00214AAD">
        <w:t xml:space="preserve">provádět </w:t>
      </w:r>
      <w:r w:rsidR="002E000A" w:rsidRPr="00DF2293">
        <w:t>úkony FÚ JMK</w:t>
      </w:r>
      <w:r w:rsidR="002E000A" w:rsidRPr="005D2EB6">
        <w:t>.</w:t>
      </w:r>
      <w:r w:rsidR="002E000A">
        <w:t xml:space="preserve"> </w:t>
      </w:r>
    </w:p>
    <w:p w14:paraId="349F1045" w14:textId="77777777" w:rsidR="002E000A" w:rsidRDefault="002E000A" w:rsidP="002E000A">
      <w:pPr>
        <w:spacing w:after="0" w:line="240" w:lineRule="auto"/>
        <w:jc w:val="both"/>
      </w:pPr>
    </w:p>
    <w:p w14:paraId="0F8FE293" w14:textId="41B53391" w:rsidR="002E000A" w:rsidRDefault="004421EE" w:rsidP="002E000A">
      <w:pPr>
        <w:spacing w:after="0" w:line="240" w:lineRule="auto"/>
        <w:jc w:val="both"/>
        <w:rPr>
          <w:rFonts w:cstheme="minorHAnsi"/>
        </w:rPr>
      </w:pPr>
      <w:r>
        <w:t xml:space="preserve">GFŘ mělo </w:t>
      </w:r>
      <w:r w:rsidR="00285D86" w:rsidRPr="002E550B">
        <w:t xml:space="preserve">v pozici </w:t>
      </w:r>
      <w:r w:rsidR="00285D86">
        <w:t>ČSI</w:t>
      </w:r>
      <w:r w:rsidR="00285D86" w:rsidRPr="002E550B">
        <w:t xml:space="preserve"> </w:t>
      </w:r>
      <w:r>
        <w:t>přístup</w:t>
      </w:r>
      <w:r w:rsidR="004D3428">
        <w:t xml:space="preserve"> </w:t>
      </w:r>
      <w:r w:rsidR="004D3428" w:rsidRPr="002E550B">
        <w:t xml:space="preserve">k souhrnným údajům pro konkrétní </w:t>
      </w:r>
      <w:r w:rsidR="00B6209A">
        <w:t xml:space="preserve">osobu </w:t>
      </w:r>
      <w:r w:rsidR="004D3428" w:rsidRPr="002E550B">
        <w:t>registrovanou v</w:t>
      </w:r>
      <w:r w:rsidR="008D477C">
        <w:t xml:space="preserve"> dovozním </w:t>
      </w:r>
      <w:r w:rsidR="004D3428" w:rsidRPr="002E550B">
        <w:t>režim</w:t>
      </w:r>
      <w:r w:rsidR="004D3428">
        <w:t xml:space="preserve">u </w:t>
      </w:r>
      <w:r w:rsidR="00B6209A">
        <w:t xml:space="preserve">v ČR </w:t>
      </w:r>
      <w:r w:rsidR="004D3428">
        <w:t xml:space="preserve">ze systému </w:t>
      </w:r>
      <w:proofErr w:type="spellStart"/>
      <w:r w:rsidR="004D3428" w:rsidRPr="00F16B71">
        <w:rPr>
          <w:i/>
          <w:iCs/>
        </w:rPr>
        <w:t>Surveillance</w:t>
      </w:r>
      <w:proofErr w:type="spellEnd"/>
      <w:r w:rsidR="004D3428" w:rsidRPr="002E550B">
        <w:t>.</w:t>
      </w:r>
      <w:r w:rsidR="004D3428">
        <w:t xml:space="preserve"> </w:t>
      </w:r>
      <w:r w:rsidR="00B6209A">
        <w:t xml:space="preserve">Současně mělo k dispozici </w:t>
      </w:r>
      <w:r w:rsidR="00F82BFB">
        <w:t>souhrnn</w:t>
      </w:r>
      <w:r w:rsidR="00390568">
        <w:t>é</w:t>
      </w:r>
      <w:r w:rsidR="00F82BFB">
        <w:t xml:space="preserve"> </w:t>
      </w:r>
      <w:r w:rsidR="00B6209A">
        <w:t>údaj</w:t>
      </w:r>
      <w:r w:rsidR="00390568">
        <w:t>e</w:t>
      </w:r>
      <w:r w:rsidR="00B6209A">
        <w:t xml:space="preserve"> z DAP podaných v dovozním režimu</w:t>
      </w:r>
      <w:r w:rsidR="00F82BFB">
        <w:t xml:space="preserve">. Evropská komise doporučuje v boji proti daňovým únikům provádět křížové kontroly dostupných údajů. </w:t>
      </w:r>
      <w:r w:rsidR="00B35087">
        <w:rPr>
          <w:rFonts w:cstheme="minorHAnsi"/>
        </w:rPr>
        <w:t>Porovnáním údajů ze dvou na sobě nezávislých zdrojů lze v krátkém čase zjistit, zda subjekt v DAP v dovozním režimu přiznal všechno dov</w:t>
      </w:r>
      <w:r w:rsidR="00390568">
        <w:rPr>
          <w:rFonts w:cstheme="minorHAnsi"/>
        </w:rPr>
        <w:t>e</w:t>
      </w:r>
      <w:r w:rsidR="00B35087">
        <w:rPr>
          <w:rFonts w:cstheme="minorHAnsi"/>
        </w:rPr>
        <w:t>zené zboží nízké hodnoty ze třetích zemí, které bylo skutečně celními orgány v rámci EU procleno, přičemž v případě zjištěných nesrovnalostí lze přijmout opatření. NKÚ zjistil, že GFŘ porovnání údajů provedlo za jedno čtvrt</w:t>
      </w:r>
      <w:r w:rsidR="000F0CD7">
        <w:rPr>
          <w:rFonts w:cstheme="minorHAnsi"/>
        </w:rPr>
        <w:t>letí (3 kalendářní měsíce)</w:t>
      </w:r>
      <w:r w:rsidR="00516D3A">
        <w:rPr>
          <w:rFonts w:cstheme="minorHAnsi"/>
        </w:rPr>
        <w:t xml:space="preserve"> a zjistilo nesrovnalosti,</w:t>
      </w:r>
      <w:r w:rsidR="000F0CD7">
        <w:rPr>
          <w:rFonts w:cstheme="minorHAnsi"/>
        </w:rPr>
        <w:t xml:space="preserve"> v jednom případě</w:t>
      </w:r>
      <w:r w:rsidR="00516D3A">
        <w:rPr>
          <w:rFonts w:cstheme="minorHAnsi"/>
        </w:rPr>
        <w:t xml:space="preserve"> je</w:t>
      </w:r>
      <w:r w:rsidR="000F0CD7">
        <w:rPr>
          <w:rFonts w:cstheme="minorHAnsi"/>
        </w:rPr>
        <w:t xml:space="preserve"> ověřilo. </w:t>
      </w:r>
    </w:p>
    <w:p w14:paraId="189CE213" w14:textId="77777777" w:rsidR="002003DB" w:rsidRDefault="002003DB" w:rsidP="002E000A">
      <w:pPr>
        <w:spacing w:after="0" w:line="240" w:lineRule="auto"/>
        <w:jc w:val="both"/>
      </w:pPr>
    </w:p>
    <w:p w14:paraId="0EF43CC0" w14:textId="294261E6" w:rsidR="004F2E34" w:rsidRDefault="002E000A" w:rsidP="008951D1">
      <w:pPr>
        <w:spacing w:after="0" w:line="240" w:lineRule="auto"/>
        <w:jc w:val="both"/>
      </w:pPr>
      <w:r w:rsidRPr="002E550B">
        <w:t xml:space="preserve">V </w:t>
      </w:r>
      <w:r w:rsidR="00390568">
        <w:t>situacích</w:t>
      </w:r>
      <w:r w:rsidRPr="002E550B">
        <w:t xml:space="preserve">, kdy </w:t>
      </w:r>
      <w:r w:rsidR="00390568">
        <w:t>byla</w:t>
      </w:r>
      <w:r w:rsidRPr="002E550B">
        <w:t xml:space="preserve"> ČR v rámci </w:t>
      </w:r>
      <w:r w:rsidR="008D477C">
        <w:t xml:space="preserve">dovozního </w:t>
      </w:r>
      <w:r>
        <w:t>režimu</w:t>
      </w:r>
      <w:r w:rsidRPr="002E550B">
        <w:t xml:space="preserve"> v roli ČSS</w:t>
      </w:r>
      <w:r>
        <w:t xml:space="preserve">, využívalo </w:t>
      </w:r>
      <w:r w:rsidR="00390568">
        <w:t xml:space="preserve">GFŘ </w:t>
      </w:r>
      <w:r>
        <w:t xml:space="preserve">data ze systému </w:t>
      </w:r>
      <w:proofErr w:type="spellStart"/>
      <w:r w:rsidRPr="00F16B71">
        <w:rPr>
          <w:i/>
          <w:iCs/>
        </w:rPr>
        <w:t>Surveillance</w:t>
      </w:r>
      <w:proofErr w:type="spellEnd"/>
      <w:r>
        <w:t xml:space="preserve"> v individuálních případech, </w:t>
      </w:r>
      <w:r w:rsidR="008951D1">
        <w:t>protože</w:t>
      </w:r>
      <w:r w:rsidR="004D3428">
        <w:t xml:space="preserve"> data neobsahují </w:t>
      </w:r>
      <w:r w:rsidR="008951D1">
        <w:t xml:space="preserve">informace o </w:t>
      </w:r>
      <w:r w:rsidR="00C8156A">
        <w:t>ČSS</w:t>
      </w:r>
      <w:r>
        <w:t xml:space="preserve">. </w:t>
      </w:r>
      <w:r w:rsidRPr="00262B93">
        <w:t xml:space="preserve">ČR </w:t>
      </w:r>
      <w:r>
        <w:t xml:space="preserve">v roli </w:t>
      </w:r>
      <w:r w:rsidR="009A097E">
        <w:t>ČSS v</w:t>
      </w:r>
      <w:r w:rsidR="0053015E">
        <w:t> jednom případě (viz příklad č.</w:t>
      </w:r>
      <w:r w:rsidR="009810E4">
        <w:t> </w:t>
      </w:r>
      <w:r w:rsidR="0053015E">
        <w:t xml:space="preserve">1) žádala v rámci dovozního režimu o provedení kontroly </w:t>
      </w:r>
      <w:r w:rsidRPr="00262B93">
        <w:t>od členského státu v pozici ČSI</w:t>
      </w:r>
      <w:r>
        <w:t xml:space="preserve">. </w:t>
      </w:r>
    </w:p>
    <w:p w14:paraId="79708846" w14:textId="77777777" w:rsidR="00B77F8F" w:rsidRDefault="00B77F8F" w:rsidP="008951D1">
      <w:pPr>
        <w:spacing w:after="0" w:line="240" w:lineRule="auto"/>
        <w:jc w:val="both"/>
      </w:pPr>
    </w:p>
    <w:p w14:paraId="03AF0AF4" w14:textId="39E32032" w:rsidR="00214AAD" w:rsidRPr="00353B9C" w:rsidRDefault="00DB727B" w:rsidP="00353B9C">
      <w:pPr>
        <w:spacing w:after="0" w:line="240" w:lineRule="auto"/>
        <w:jc w:val="both"/>
      </w:pPr>
      <w:r>
        <w:t xml:space="preserve">NKÚ zjistil, že </w:t>
      </w:r>
      <w:r w:rsidR="00B77F8F">
        <w:t>G</w:t>
      </w:r>
      <w:r w:rsidR="00B77F8F" w:rsidDel="007F7059">
        <w:t xml:space="preserve">FŘ </w:t>
      </w:r>
      <w:r w:rsidR="00B77F8F">
        <w:t>v </w:t>
      </w:r>
      <w:r w:rsidR="00B77F8F" w:rsidDel="007F7059">
        <w:t>pilotní</w:t>
      </w:r>
      <w:r w:rsidR="00662E54">
        <w:t>m</w:t>
      </w:r>
      <w:r w:rsidR="00B77F8F" w:rsidDel="007F7059">
        <w:t xml:space="preserve"> projektu na kontrolu dovozního režimu</w:t>
      </w:r>
      <w:r w:rsidR="00B77F8F" w:rsidRPr="001E0BBB" w:rsidDel="007F7059">
        <w:t xml:space="preserve"> vybralo </w:t>
      </w:r>
      <w:r w:rsidR="00B77F8F" w:rsidRPr="001E0BBB" w:rsidDel="007F7059">
        <w:rPr>
          <w:rFonts w:cs="Calibri"/>
        </w:rPr>
        <w:t xml:space="preserve">z </w:t>
      </w:r>
      <w:r w:rsidR="00B77F8F">
        <w:rPr>
          <w:rFonts w:cs="Calibri"/>
        </w:rPr>
        <w:t>67</w:t>
      </w:r>
      <w:r w:rsidR="00B77F8F" w:rsidRPr="001E0BBB" w:rsidDel="007F7059">
        <w:rPr>
          <w:rFonts w:cs="Calibri"/>
        </w:rPr>
        <w:t xml:space="preserve"> </w:t>
      </w:r>
      <w:r w:rsidR="00B77F8F">
        <w:rPr>
          <w:rFonts w:cs="Calibri"/>
        </w:rPr>
        <w:t>subjektů</w:t>
      </w:r>
      <w:r w:rsidR="00B77F8F" w:rsidRPr="001E0BBB" w:rsidDel="007F7059">
        <w:rPr>
          <w:rFonts w:cs="Calibri"/>
        </w:rPr>
        <w:t xml:space="preserve">, které v období 07/2021–12/2022 dovážely v rámci </w:t>
      </w:r>
      <w:r w:rsidR="00B77F8F">
        <w:rPr>
          <w:rFonts w:cs="Calibri"/>
        </w:rPr>
        <w:t xml:space="preserve">dovozního </w:t>
      </w:r>
      <w:r w:rsidR="00B77F8F" w:rsidRPr="001E0BBB" w:rsidDel="007F7059">
        <w:rPr>
          <w:rFonts w:cs="Calibri"/>
        </w:rPr>
        <w:t>režimu zboží do ČR,</w:t>
      </w:r>
      <w:r w:rsidR="00B77F8F" w:rsidRPr="001E0BBB" w:rsidDel="007F7059">
        <w:t xml:space="preserve"> dv</w:t>
      </w:r>
      <w:r w:rsidR="00B77F8F">
        <w:t>a subjekty</w:t>
      </w:r>
      <w:r w:rsidR="00B77F8F" w:rsidRPr="001E0BBB" w:rsidDel="007F7059">
        <w:t>, u kterých byly proveden</w:t>
      </w:r>
      <w:r w:rsidR="00662E54">
        <w:t>ou</w:t>
      </w:r>
      <w:r w:rsidR="00B77F8F" w:rsidRPr="001E0BBB" w:rsidDel="007F7059">
        <w:t xml:space="preserve"> analýz</w:t>
      </w:r>
      <w:r w:rsidR="00662E54">
        <w:t>ou</w:t>
      </w:r>
      <w:r w:rsidR="00B77F8F" w:rsidRPr="001E0BBB" w:rsidDel="007F7059">
        <w:t xml:space="preserve"> zjištěny největší rozdíly mezi daty z</w:t>
      </w:r>
      <w:r w:rsidR="00B77F8F">
        <w:t>e systému</w:t>
      </w:r>
      <w:r w:rsidR="00B77F8F" w:rsidRPr="001E0BBB" w:rsidDel="007F7059">
        <w:t xml:space="preserve"> </w:t>
      </w:r>
      <w:proofErr w:type="spellStart"/>
      <w:r w:rsidR="00B77F8F" w:rsidRPr="00F16B71" w:rsidDel="007F7059">
        <w:rPr>
          <w:i/>
          <w:iCs/>
        </w:rPr>
        <w:t>Surveillance</w:t>
      </w:r>
      <w:proofErr w:type="spellEnd"/>
      <w:r w:rsidR="00B77F8F" w:rsidRPr="001E0BBB" w:rsidDel="007F7059">
        <w:t xml:space="preserve"> oproti datům, které tyto </w:t>
      </w:r>
      <w:r w:rsidR="00B77F8F">
        <w:t>subjekty</w:t>
      </w:r>
      <w:r w:rsidR="00B77F8F" w:rsidRPr="001E0BBB" w:rsidDel="007F7059">
        <w:t xml:space="preserve"> vykázaly ve svých </w:t>
      </w:r>
      <w:r w:rsidR="00B77F8F">
        <w:t>DAP v</w:t>
      </w:r>
      <w:r w:rsidR="00662E54">
        <w:t xml:space="preserve"> </w:t>
      </w:r>
      <w:r w:rsidR="00B77F8F">
        <w:t>dovozním režimu</w:t>
      </w:r>
      <w:r w:rsidR="00B77F8F" w:rsidRPr="001E0BBB" w:rsidDel="007F7059">
        <w:t xml:space="preserve">. </w:t>
      </w:r>
      <w:r w:rsidR="00B77F8F" w:rsidDel="007F7059">
        <w:t xml:space="preserve">GFŘ zaslalo podněty </w:t>
      </w:r>
      <w:r w:rsidR="00662E54" w:rsidRPr="00662E54">
        <w:t>Finančním</w:t>
      </w:r>
      <w:r w:rsidR="00662E54">
        <w:t>u</w:t>
      </w:r>
      <w:r w:rsidR="00662E54" w:rsidRPr="00662E54">
        <w:t xml:space="preserve"> úřad</w:t>
      </w:r>
      <w:r w:rsidR="00662E54">
        <w:t>u</w:t>
      </w:r>
      <w:r w:rsidR="00662E54" w:rsidRPr="00662E54">
        <w:t xml:space="preserve"> pro Jihomoravský kraj</w:t>
      </w:r>
      <w:r w:rsidR="00B77F8F" w:rsidDel="007F7059">
        <w:t xml:space="preserve"> k prověření.</w:t>
      </w:r>
    </w:p>
    <w:p w14:paraId="4FEE5F23" w14:textId="77777777" w:rsidR="00214AAD" w:rsidRDefault="00214AAD" w:rsidP="00B77F8F">
      <w:pPr>
        <w:spacing w:after="60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537E6FA" wp14:editId="4D1669FD">
                <wp:simplePos x="0" y="0"/>
                <wp:positionH relativeFrom="margin">
                  <wp:posOffset>-162560</wp:posOffset>
                </wp:positionH>
                <wp:positionV relativeFrom="paragraph">
                  <wp:posOffset>150495</wp:posOffset>
                </wp:positionV>
                <wp:extent cx="6012000" cy="1404000"/>
                <wp:effectExtent l="0" t="0" r="27305" b="24765"/>
                <wp:wrapNone/>
                <wp:docPr id="1449323792" name="Obdélník: se zakulacenými rohy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2000" cy="14040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0AA9E9" id="Obdélník: se zakulacenými rohy 13" o:spid="_x0000_s1026" style="position:absolute;margin-left:-12.8pt;margin-top:11.85pt;width:473.4pt;height:110.5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" filled="f" strokecolor="#030e13 [484]" strokeweight="1.5pt">
                <v:stroke joinstyle="miter"/>
                <w10:wrap anchorx="margin"/>
              </v:roundrect>
            </w:pict>
          </mc:Fallback>
        </mc:AlternateContent>
      </w:r>
    </w:p>
    <w:p w14:paraId="2350EA17" w14:textId="11BB0CFF" w:rsidR="00B77F8F" w:rsidRPr="007D0740" w:rsidDel="007F7059" w:rsidRDefault="00B77F8F" w:rsidP="00B77F8F">
      <w:pPr>
        <w:spacing w:after="60"/>
        <w:rPr>
          <w:b/>
          <w:bCs/>
        </w:rPr>
      </w:pPr>
      <w:r w:rsidRPr="007D0740" w:rsidDel="007F7059">
        <w:rPr>
          <w:b/>
          <w:bCs/>
        </w:rPr>
        <w:t xml:space="preserve">Příklad č. </w:t>
      </w:r>
      <w:r>
        <w:rPr>
          <w:b/>
          <w:bCs/>
        </w:rPr>
        <w:t>1</w:t>
      </w:r>
      <w:r w:rsidRPr="007D0740" w:rsidDel="007F7059">
        <w:rPr>
          <w:b/>
          <w:bCs/>
        </w:rPr>
        <w:t>:</w:t>
      </w:r>
    </w:p>
    <w:p w14:paraId="723134B7" w14:textId="7F8CADD0" w:rsidR="00B77F8F" w:rsidRDefault="00B77F8F" w:rsidP="00B77F8F">
      <w:pPr>
        <w:spacing w:after="60" w:line="240" w:lineRule="auto"/>
        <w:jc w:val="both"/>
      </w:pPr>
      <w:r w:rsidDel="007F7059">
        <w:t xml:space="preserve">GFŘ na základě vlastní analýzy </w:t>
      </w:r>
      <w:r w:rsidR="00CD15FD">
        <w:t>pojalo</w:t>
      </w:r>
      <w:r w:rsidDel="007F7059">
        <w:t xml:space="preserve"> podezření, že </w:t>
      </w:r>
      <w:r>
        <w:t>subjekt</w:t>
      </w:r>
      <w:r w:rsidRPr="001E0BBB" w:rsidDel="007F7059">
        <w:t xml:space="preserve"> registrovan</w:t>
      </w:r>
      <w:r>
        <w:t>ý</w:t>
      </w:r>
      <w:r w:rsidRPr="001E0BBB" w:rsidDel="007F7059">
        <w:t xml:space="preserve"> k</w:t>
      </w:r>
      <w:r>
        <w:t xml:space="preserve"> dovoznímu </w:t>
      </w:r>
      <w:r w:rsidRPr="001E0BBB" w:rsidDel="007F7059">
        <w:t>režimu v</w:t>
      </w:r>
      <w:r w:rsidDel="007F7059">
        <w:t> </w:t>
      </w:r>
      <w:r w:rsidRPr="001E0BBB" w:rsidDel="007F7059">
        <w:t>Německu</w:t>
      </w:r>
      <w:r w:rsidDel="007F7059">
        <w:t xml:space="preserve"> </w:t>
      </w:r>
      <w:r w:rsidR="00CD15FD">
        <w:t>s</w:t>
      </w:r>
      <w:r w:rsidDel="007F7059">
        <w:t xml:space="preserve">nížil základ daně pro odvod daně v ČR o částku 2 349 174 </w:t>
      </w:r>
      <w:r>
        <w:t>eur</w:t>
      </w:r>
      <w:r w:rsidDel="007F7059">
        <w:t xml:space="preserve">. FÚ JMK požádal německou daňovou </w:t>
      </w:r>
      <w:r>
        <w:t>s</w:t>
      </w:r>
      <w:r w:rsidDel="007F7059">
        <w:t xml:space="preserve">právu o provedení kontroly, neboť se jednalo o </w:t>
      </w:r>
      <w:r w:rsidR="00CD15FD">
        <w:t>situaci</w:t>
      </w:r>
      <w:r w:rsidDel="007F7059">
        <w:t>, kdy Německo</w:t>
      </w:r>
      <w:r>
        <w:t xml:space="preserve"> bylo v pozici </w:t>
      </w:r>
      <w:r w:rsidDel="007F7059">
        <w:t xml:space="preserve">ČSI </w:t>
      </w:r>
      <w:r>
        <w:t>a</w:t>
      </w:r>
      <w:r w:rsidDel="007F7059">
        <w:t xml:space="preserve"> ČR byla v pozici ČSS. Německá daňová správa </w:t>
      </w:r>
      <w:r w:rsidR="00CD15FD">
        <w:t xml:space="preserve">však </w:t>
      </w:r>
      <w:r w:rsidDel="007F7059">
        <w:t>žádné úkony v souvislosti s žádostí FÚ JMK neprovedla</w:t>
      </w:r>
      <w:r w:rsidR="00CD15FD">
        <w:t xml:space="preserve">, </w:t>
      </w:r>
      <w:r w:rsidR="00E60E8F">
        <w:t>protože</w:t>
      </w:r>
      <w:r w:rsidR="00935992" w:rsidDel="007F7059">
        <w:t xml:space="preserve"> </w:t>
      </w:r>
      <w:r>
        <w:t>subjekt</w:t>
      </w:r>
      <w:r w:rsidR="00935992">
        <w:t xml:space="preserve"> se správcem daně v Německu nespolupracoval</w:t>
      </w:r>
      <w:r w:rsidDel="007F7059">
        <w:t xml:space="preserve">. </w:t>
      </w:r>
    </w:p>
    <w:p w14:paraId="0F385CBA" w14:textId="77777777" w:rsidR="00B77F8F" w:rsidRDefault="00B77F8F" w:rsidP="008951D1">
      <w:pPr>
        <w:spacing w:after="0" w:line="240" w:lineRule="auto"/>
        <w:jc w:val="both"/>
      </w:pPr>
    </w:p>
    <w:p w14:paraId="211C9876" w14:textId="01C8161F" w:rsidR="00B77F8F" w:rsidRPr="00A02B0B" w:rsidRDefault="00B77F8F" w:rsidP="00F16B71">
      <w:pPr>
        <w:spacing w:before="120" w:after="120" w:line="240" w:lineRule="auto"/>
        <w:jc w:val="both"/>
        <w:rPr>
          <w:rFonts w:ascii="Calibri" w:eastAsia="Aptos" w:hAnsi="Calibri" w:cs="Calibri"/>
        </w:rPr>
      </w:pPr>
      <w:r w:rsidRPr="00D014D0">
        <w:rPr>
          <w:b/>
          <w:bCs/>
        </w:rPr>
        <w:t>2.</w:t>
      </w:r>
      <w:r>
        <w:rPr>
          <w:b/>
          <w:bCs/>
        </w:rPr>
        <w:t>2</w:t>
      </w:r>
      <w:r w:rsidRPr="00D014D0">
        <w:rPr>
          <w:b/>
          <w:bCs/>
        </w:rPr>
        <w:t xml:space="preserve"> </w:t>
      </w:r>
      <w:r w:rsidRPr="003105DC">
        <w:rPr>
          <w:rFonts w:cs="Calibri"/>
          <w:b/>
          <w:bCs/>
        </w:rPr>
        <w:t>Centrální elektronický systém platebních informací</w:t>
      </w:r>
    </w:p>
    <w:p w14:paraId="3E270110" w14:textId="74055071" w:rsidR="002E000A" w:rsidRDefault="002E000A" w:rsidP="003627B6">
      <w:pPr>
        <w:spacing w:after="0" w:line="240" w:lineRule="auto"/>
        <w:jc w:val="both"/>
        <w:rPr>
          <w:rFonts w:ascii="Calibri" w:eastAsia="Aptos" w:hAnsi="Calibri" w:cs="Calibri"/>
        </w:rPr>
      </w:pPr>
      <w:r w:rsidRPr="00CB57AE">
        <w:rPr>
          <w:rFonts w:ascii="Calibri" w:eastAsia="Aptos" w:hAnsi="Calibri" w:cs="Calibri"/>
        </w:rPr>
        <w:t xml:space="preserve">S účinností od 1. 1. 2024 byla do </w:t>
      </w:r>
      <w:r>
        <w:rPr>
          <w:rFonts w:ascii="Calibri" w:eastAsia="Aptos" w:hAnsi="Calibri" w:cs="Calibri"/>
        </w:rPr>
        <w:t>zákona o DPH</w:t>
      </w:r>
      <w:r w:rsidRPr="00CB57AE">
        <w:rPr>
          <w:rFonts w:ascii="Calibri" w:eastAsia="Aptos" w:hAnsi="Calibri" w:cs="Calibri"/>
        </w:rPr>
        <w:t xml:space="preserve"> zavedena povinnost poskytovatelů platebních služeb vést evidenci o přeshraničních platbách a jejich příjemcích a poskytovat informace o</w:t>
      </w:r>
      <w:r w:rsidR="00B3750F">
        <w:rPr>
          <w:rFonts w:ascii="Calibri" w:eastAsia="Aptos" w:hAnsi="Calibri" w:cs="Calibri"/>
        </w:rPr>
        <w:t> </w:t>
      </w:r>
      <w:r w:rsidRPr="00CB57AE">
        <w:rPr>
          <w:rFonts w:ascii="Calibri" w:eastAsia="Aptos" w:hAnsi="Calibri" w:cs="Calibri"/>
        </w:rPr>
        <w:t xml:space="preserve">těchto platbách a příjemcích správci daně (§ 110zz až § 110zzj </w:t>
      </w:r>
      <w:r>
        <w:rPr>
          <w:rFonts w:ascii="Calibri" w:eastAsia="Aptos" w:hAnsi="Calibri" w:cs="Calibri"/>
        </w:rPr>
        <w:t>zákona o DPH</w:t>
      </w:r>
      <w:r w:rsidRPr="00CB57AE">
        <w:rPr>
          <w:rFonts w:ascii="Calibri" w:eastAsia="Aptos" w:hAnsi="Calibri" w:cs="Calibri"/>
        </w:rPr>
        <w:t>). Tuto povinnost stanovila směrnice Rady (EU) 2020/284</w:t>
      </w:r>
      <w:r w:rsidRPr="00CB57AE">
        <w:rPr>
          <w:rFonts w:ascii="Calibri" w:eastAsia="Aptos" w:hAnsi="Calibri" w:cs="Calibri"/>
          <w:vertAlign w:val="superscript"/>
        </w:rPr>
        <w:footnoteReference w:id="23"/>
      </w:r>
      <w:r w:rsidRPr="00CB57AE">
        <w:rPr>
          <w:rFonts w:ascii="Calibri" w:eastAsia="Aptos" w:hAnsi="Calibri" w:cs="Calibri"/>
        </w:rPr>
        <w:t xml:space="preserve"> </w:t>
      </w:r>
      <w:r>
        <w:rPr>
          <w:rFonts w:ascii="Calibri" w:eastAsia="Aptos" w:hAnsi="Calibri" w:cs="Calibri"/>
        </w:rPr>
        <w:t xml:space="preserve">s tím, že tyto údaje jsou </w:t>
      </w:r>
      <w:r w:rsidRPr="00CB57AE">
        <w:rPr>
          <w:rFonts w:ascii="Calibri" w:eastAsia="Aptos" w:hAnsi="Calibri" w:cs="Calibri"/>
        </w:rPr>
        <w:t xml:space="preserve">důležité </w:t>
      </w:r>
      <w:r>
        <w:rPr>
          <w:rFonts w:ascii="Calibri" w:eastAsia="Aptos" w:hAnsi="Calibri" w:cs="Calibri"/>
        </w:rPr>
        <w:t xml:space="preserve">zejména </w:t>
      </w:r>
      <w:r w:rsidRPr="00CB57AE">
        <w:rPr>
          <w:rFonts w:ascii="Calibri" w:eastAsia="Aptos" w:hAnsi="Calibri" w:cs="Calibri"/>
        </w:rPr>
        <w:t xml:space="preserve">v případech přeshraničních plateb, </w:t>
      </w:r>
      <w:r>
        <w:rPr>
          <w:rFonts w:ascii="Calibri" w:eastAsia="Aptos" w:hAnsi="Calibri" w:cs="Calibri"/>
        </w:rPr>
        <w:t>aby správci daně mohli mj.</w:t>
      </w:r>
      <w:r w:rsidRPr="00CB57AE">
        <w:rPr>
          <w:rFonts w:ascii="Calibri" w:eastAsia="Aptos" w:hAnsi="Calibri" w:cs="Calibri"/>
        </w:rPr>
        <w:t xml:space="preserve"> identifikovat plátce DPH zapojené do přeshraničního elektronického obchodování a plnit úkoly při kontrole povinností týkajících se DPH.</w:t>
      </w:r>
    </w:p>
    <w:p w14:paraId="77BBD1CF" w14:textId="77777777" w:rsidR="003627B6" w:rsidRPr="00CB57AE" w:rsidRDefault="003627B6" w:rsidP="003627B6">
      <w:pPr>
        <w:spacing w:after="0" w:line="240" w:lineRule="auto"/>
        <w:jc w:val="both"/>
        <w:rPr>
          <w:rFonts w:ascii="Calibri" w:eastAsia="Aptos" w:hAnsi="Calibri" w:cs="Calibri"/>
        </w:rPr>
      </w:pPr>
    </w:p>
    <w:p w14:paraId="4064BF1E" w14:textId="19B72188" w:rsidR="00CA389E" w:rsidRPr="00CB57AE" w:rsidRDefault="0088030E" w:rsidP="00313E6C">
      <w:pPr>
        <w:spacing w:after="0" w:line="240" w:lineRule="auto"/>
        <w:jc w:val="both"/>
        <w:rPr>
          <w:rFonts w:ascii="Calibri" w:eastAsia="Aptos" w:hAnsi="Calibri" w:cs="Calibri"/>
        </w:rPr>
      </w:pPr>
      <w:r>
        <w:rPr>
          <w:rFonts w:ascii="Calibri" w:eastAsia="Aptos" w:hAnsi="Calibri" w:cs="Calibri"/>
        </w:rPr>
        <w:t xml:space="preserve">Systém </w:t>
      </w:r>
      <w:r w:rsidR="004874EC">
        <w:rPr>
          <w:rFonts w:ascii="Calibri" w:eastAsia="Aptos" w:hAnsi="Calibri" w:cs="Calibri"/>
        </w:rPr>
        <w:t>CESOP</w:t>
      </w:r>
      <w:r w:rsidR="002E000A">
        <w:rPr>
          <w:rFonts w:ascii="Calibri" w:eastAsia="Aptos" w:hAnsi="Calibri" w:cs="Calibri"/>
        </w:rPr>
        <w:t xml:space="preserve"> byl zaveden </w:t>
      </w:r>
      <w:r w:rsidR="00B3750F">
        <w:rPr>
          <w:rFonts w:ascii="Calibri" w:eastAsia="Aptos" w:hAnsi="Calibri" w:cs="Calibri"/>
        </w:rPr>
        <w:t>n</w:t>
      </w:r>
      <w:r w:rsidR="002E000A">
        <w:rPr>
          <w:rFonts w:ascii="Calibri" w:eastAsia="Aptos" w:hAnsi="Calibri" w:cs="Calibri"/>
        </w:rPr>
        <w:t>ařízení</w:t>
      </w:r>
      <w:r w:rsidR="00B3750F">
        <w:rPr>
          <w:rFonts w:ascii="Calibri" w:eastAsia="Aptos" w:hAnsi="Calibri" w:cs="Calibri"/>
        </w:rPr>
        <w:t>m</w:t>
      </w:r>
      <w:r w:rsidR="002E000A">
        <w:rPr>
          <w:rFonts w:ascii="Calibri" w:eastAsia="Aptos" w:hAnsi="Calibri" w:cs="Calibri"/>
        </w:rPr>
        <w:t xml:space="preserve"> Rady </w:t>
      </w:r>
      <w:r w:rsidR="00F22AB0">
        <w:rPr>
          <w:rFonts w:ascii="Calibri" w:eastAsia="Aptos" w:hAnsi="Calibri" w:cs="Calibri"/>
        </w:rPr>
        <w:t xml:space="preserve">(EU) </w:t>
      </w:r>
      <w:r w:rsidR="002E000A">
        <w:rPr>
          <w:rFonts w:ascii="Calibri" w:eastAsia="Aptos" w:hAnsi="Calibri" w:cs="Calibri"/>
        </w:rPr>
        <w:t xml:space="preserve">904/2010 </w:t>
      </w:r>
      <w:r w:rsidR="00B3750F">
        <w:rPr>
          <w:rFonts w:ascii="Calibri" w:eastAsia="Aptos" w:hAnsi="Calibri" w:cs="Calibri"/>
        </w:rPr>
        <w:t xml:space="preserve">za </w:t>
      </w:r>
      <w:r w:rsidR="002E000A">
        <w:rPr>
          <w:rFonts w:ascii="Calibri" w:eastAsia="Aptos" w:hAnsi="Calibri" w:cs="Calibri"/>
        </w:rPr>
        <w:t>účelem sdíle</w:t>
      </w:r>
      <w:r w:rsidR="00B3750F">
        <w:rPr>
          <w:rFonts w:ascii="Calibri" w:eastAsia="Aptos" w:hAnsi="Calibri" w:cs="Calibri"/>
        </w:rPr>
        <w:t>ní</w:t>
      </w:r>
      <w:r w:rsidR="002E000A">
        <w:rPr>
          <w:rFonts w:ascii="Calibri" w:eastAsia="Aptos" w:hAnsi="Calibri" w:cs="Calibri"/>
        </w:rPr>
        <w:t xml:space="preserve"> informac</w:t>
      </w:r>
      <w:r w:rsidR="00B3750F">
        <w:rPr>
          <w:rFonts w:ascii="Calibri" w:eastAsia="Aptos" w:hAnsi="Calibri" w:cs="Calibri"/>
        </w:rPr>
        <w:t>í</w:t>
      </w:r>
      <w:r w:rsidR="002E000A">
        <w:rPr>
          <w:rFonts w:ascii="Calibri" w:eastAsia="Aptos" w:hAnsi="Calibri" w:cs="Calibri"/>
        </w:rPr>
        <w:t xml:space="preserve"> o</w:t>
      </w:r>
      <w:r w:rsidR="00B3750F">
        <w:rPr>
          <w:rFonts w:ascii="Calibri" w:eastAsia="Aptos" w:hAnsi="Calibri" w:cs="Calibri"/>
        </w:rPr>
        <w:t> </w:t>
      </w:r>
      <w:r w:rsidR="002E000A">
        <w:rPr>
          <w:rFonts w:ascii="Calibri" w:eastAsia="Aptos" w:hAnsi="Calibri" w:cs="Calibri"/>
        </w:rPr>
        <w:t xml:space="preserve">platbách mezi členskými státy. </w:t>
      </w:r>
      <w:r w:rsidR="002E000A" w:rsidRPr="00CB57AE">
        <w:rPr>
          <w:rFonts w:ascii="Calibri" w:eastAsia="Aptos" w:hAnsi="Calibri" w:cs="Calibri"/>
        </w:rPr>
        <w:t>Přístup k</w:t>
      </w:r>
      <w:r>
        <w:rPr>
          <w:rFonts w:ascii="Calibri" w:eastAsia="Aptos" w:hAnsi="Calibri" w:cs="Calibri"/>
        </w:rPr>
        <w:t> </w:t>
      </w:r>
      <w:r w:rsidR="002E000A" w:rsidRPr="00CB57AE">
        <w:rPr>
          <w:rFonts w:ascii="Calibri" w:eastAsia="Aptos" w:hAnsi="Calibri" w:cs="Calibri"/>
        </w:rPr>
        <w:t>datům</w:t>
      </w:r>
      <w:r>
        <w:rPr>
          <w:rFonts w:ascii="Calibri" w:eastAsia="Aptos" w:hAnsi="Calibri" w:cs="Calibri"/>
        </w:rPr>
        <w:t xml:space="preserve"> v systému</w:t>
      </w:r>
      <w:r w:rsidR="002E000A" w:rsidRPr="00CB57AE">
        <w:rPr>
          <w:rFonts w:ascii="Calibri" w:eastAsia="Aptos" w:hAnsi="Calibri" w:cs="Calibri"/>
        </w:rPr>
        <w:t xml:space="preserve"> CESOP </w:t>
      </w:r>
      <w:r w:rsidR="00557EA9">
        <w:rPr>
          <w:rFonts w:ascii="Calibri" w:eastAsia="Aptos" w:hAnsi="Calibri" w:cs="Calibri"/>
        </w:rPr>
        <w:t>byl stanoven</w:t>
      </w:r>
      <w:r w:rsidR="002E000A" w:rsidRPr="00CB57AE">
        <w:rPr>
          <w:rFonts w:ascii="Calibri" w:eastAsia="Aptos" w:hAnsi="Calibri" w:cs="Calibri"/>
        </w:rPr>
        <w:t xml:space="preserve"> pro pracovníky platformy </w:t>
      </w:r>
      <w:proofErr w:type="spellStart"/>
      <w:r w:rsidR="002E000A" w:rsidRPr="00CB57AE">
        <w:rPr>
          <w:rFonts w:ascii="Calibri" w:eastAsia="Aptos" w:hAnsi="Calibri" w:cs="Calibri"/>
        </w:rPr>
        <w:t>Eurofisc</w:t>
      </w:r>
      <w:proofErr w:type="spellEnd"/>
      <w:r w:rsidR="002E000A" w:rsidRPr="00CB57AE">
        <w:rPr>
          <w:rFonts w:ascii="Calibri" w:eastAsia="Aptos" w:hAnsi="Calibri" w:cs="Calibri"/>
        </w:rPr>
        <w:t>.</w:t>
      </w:r>
      <w:r w:rsidR="002E000A">
        <w:rPr>
          <w:rFonts w:ascii="Calibri" w:eastAsia="Aptos" w:hAnsi="Calibri" w:cs="Calibri"/>
        </w:rPr>
        <w:t xml:space="preserve"> </w:t>
      </w:r>
      <w:r w:rsidR="00557EA9" w:rsidRPr="00231E49">
        <w:rPr>
          <w:rFonts w:ascii="Calibri" w:eastAsia="Aptos" w:hAnsi="Calibri" w:cs="Calibri"/>
        </w:rPr>
        <w:t xml:space="preserve">Podle ustanovení čl. 33 odst. 1 </w:t>
      </w:r>
      <w:r w:rsidR="00B3750F">
        <w:rPr>
          <w:rFonts w:ascii="Calibri" w:eastAsia="Aptos" w:hAnsi="Calibri" w:cs="Calibri"/>
        </w:rPr>
        <w:t>n</w:t>
      </w:r>
      <w:r w:rsidR="00557EA9" w:rsidRPr="00231E49">
        <w:rPr>
          <w:rFonts w:ascii="Calibri" w:eastAsia="Aptos" w:hAnsi="Calibri" w:cs="Calibri"/>
        </w:rPr>
        <w:t xml:space="preserve">ařízení Rady </w:t>
      </w:r>
      <w:r w:rsidR="003A1762">
        <w:rPr>
          <w:rFonts w:ascii="Calibri" w:eastAsia="Aptos" w:hAnsi="Calibri" w:cs="Calibri"/>
        </w:rPr>
        <w:t xml:space="preserve">(EU) </w:t>
      </w:r>
      <w:r w:rsidR="00557EA9" w:rsidRPr="00231E49">
        <w:rPr>
          <w:rFonts w:ascii="Calibri" w:eastAsia="Aptos" w:hAnsi="Calibri" w:cs="Calibri"/>
        </w:rPr>
        <w:t xml:space="preserve">904/2010 je </w:t>
      </w:r>
      <w:proofErr w:type="spellStart"/>
      <w:r w:rsidR="00557EA9" w:rsidRPr="00231E49">
        <w:rPr>
          <w:rFonts w:ascii="Calibri" w:eastAsia="Aptos" w:hAnsi="Calibri" w:cs="Calibri"/>
        </w:rPr>
        <w:t>Eurofisc</w:t>
      </w:r>
      <w:proofErr w:type="spellEnd"/>
      <w:r w:rsidR="00557EA9" w:rsidRPr="00231E49">
        <w:rPr>
          <w:rFonts w:ascii="Calibri" w:eastAsia="Aptos" w:hAnsi="Calibri" w:cs="Calibri"/>
        </w:rPr>
        <w:t xml:space="preserve"> síť </w:t>
      </w:r>
      <w:r w:rsidR="00557EA9" w:rsidRPr="00231E49">
        <w:rPr>
          <w:rFonts w:ascii="Calibri" w:eastAsia="Aptos" w:hAnsi="Calibri" w:cs="Calibri"/>
        </w:rPr>
        <w:lastRenderedPageBreak/>
        <w:t xml:space="preserve">pro rychlou výměnu, zpracování a analýzu cílených informací o přeshraničních podvodech mezi členskými státy </w:t>
      </w:r>
      <w:r w:rsidR="00285D86">
        <w:rPr>
          <w:rFonts w:ascii="Calibri" w:eastAsia="Aptos" w:hAnsi="Calibri" w:cs="Calibri"/>
        </w:rPr>
        <w:t xml:space="preserve">EU </w:t>
      </w:r>
      <w:r w:rsidR="00557EA9" w:rsidRPr="00231E49">
        <w:rPr>
          <w:rFonts w:ascii="Calibri" w:eastAsia="Aptos" w:hAnsi="Calibri" w:cs="Calibri"/>
        </w:rPr>
        <w:t>a pro koordinaci všech následných opatření</w:t>
      </w:r>
      <w:r w:rsidR="00557EA9">
        <w:rPr>
          <w:rFonts w:ascii="Calibri" w:eastAsia="Aptos" w:hAnsi="Calibri" w:cs="Calibri"/>
        </w:rPr>
        <w:t>.</w:t>
      </w:r>
    </w:p>
    <w:p w14:paraId="7E0DEDEC" w14:textId="77777777" w:rsidR="00C81931" w:rsidRDefault="00C81931" w:rsidP="00C81931">
      <w:pPr>
        <w:spacing w:after="0" w:line="240" w:lineRule="auto"/>
        <w:jc w:val="both"/>
      </w:pPr>
    </w:p>
    <w:p w14:paraId="4F793D48" w14:textId="3EFA2F19" w:rsidR="00F40D6A" w:rsidRDefault="00B3750F" w:rsidP="00313E6C">
      <w:pPr>
        <w:spacing w:after="0" w:line="240" w:lineRule="auto"/>
        <w:jc w:val="both"/>
      </w:pPr>
      <w:r>
        <w:t xml:space="preserve">V době kontroly NKÚ byl </w:t>
      </w:r>
      <w:r w:rsidR="002E000A">
        <w:t>systém CESOP ve fázi testování na úrovni E</w:t>
      </w:r>
      <w:r w:rsidR="00557EA9">
        <w:t>vropské komise</w:t>
      </w:r>
      <w:r w:rsidR="002E000A">
        <w:t xml:space="preserve"> a ve spolupráci s</w:t>
      </w:r>
      <w:r>
        <w:t xml:space="preserve"> </w:t>
      </w:r>
      <w:r w:rsidR="002E000A">
        <w:t xml:space="preserve">členskými státy </w:t>
      </w:r>
      <w:r w:rsidR="00285D86">
        <w:t xml:space="preserve">EU </w:t>
      </w:r>
      <w:r>
        <w:t xml:space="preserve">probíhalo </w:t>
      </w:r>
      <w:r w:rsidR="002E000A">
        <w:t>monitorování kvality dat obdržených od poskytovatelů platebních služeb</w:t>
      </w:r>
      <w:r w:rsidR="00557EA9">
        <w:t>. Problémy spočíva</w:t>
      </w:r>
      <w:r w:rsidR="00C8156A">
        <w:t>ly</w:t>
      </w:r>
      <w:r w:rsidR="00557EA9">
        <w:t xml:space="preserve"> v tom, že platební zprostředkovatelé neposkyt</w:t>
      </w:r>
      <w:r w:rsidR="00C8156A">
        <w:t>ovali</w:t>
      </w:r>
      <w:r w:rsidR="00557EA9">
        <w:t xml:space="preserve"> data v požadované kvalitě</w:t>
      </w:r>
      <w:r w:rsidR="002E000A">
        <w:t xml:space="preserve">. Plná funkčnost se očekává od září 2025. </w:t>
      </w:r>
      <w:r>
        <w:t>V důsledku toho</w:t>
      </w:r>
      <w:r w:rsidR="002E000A">
        <w:t xml:space="preserve"> nebyl systém CESOP využíván pro systémové </w:t>
      </w:r>
      <w:r>
        <w:t xml:space="preserve">odhalování </w:t>
      </w:r>
      <w:r w:rsidR="002E000A">
        <w:t>rizikových osob a daňových nesrovnalostí</w:t>
      </w:r>
      <w:r>
        <w:t>.</w:t>
      </w:r>
      <w:r w:rsidR="002E000A">
        <w:t xml:space="preserve"> GFŘ systém CESOP využívalo jako nástroj pro detekci daňových nesrovnalostí v případě jednotlivých subjektů nebo pro plánované kontrolní akce. </w:t>
      </w:r>
    </w:p>
    <w:p w14:paraId="1DE3F4C7" w14:textId="77777777" w:rsidR="00A71975" w:rsidRDefault="00A71975" w:rsidP="00313E6C">
      <w:pPr>
        <w:spacing w:after="0" w:line="240" w:lineRule="auto"/>
        <w:jc w:val="both"/>
      </w:pPr>
    </w:p>
    <w:p w14:paraId="1C93964C" w14:textId="0DF4C0AA" w:rsidR="006F619C" w:rsidRDefault="006F619C" w:rsidP="006F619C">
      <w:pPr>
        <w:spacing w:after="0" w:line="240" w:lineRule="auto"/>
        <w:jc w:val="both"/>
        <w:rPr>
          <w:rFonts w:eastAsia="Aptos" w:cstheme="minorHAnsi"/>
        </w:rPr>
      </w:pPr>
      <w:r>
        <w:rPr>
          <w:rFonts w:eastAsia="Aptos" w:cstheme="minorHAnsi"/>
        </w:rPr>
        <w:t>V</w:t>
      </w:r>
      <w:r w:rsidRPr="00BF26F9">
        <w:rPr>
          <w:rFonts w:eastAsia="Aptos" w:cstheme="minorHAnsi"/>
        </w:rPr>
        <w:t>ybraná plnění uskutečně</w:t>
      </w:r>
      <w:r>
        <w:rPr>
          <w:rFonts w:eastAsia="Aptos" w:cstheme="minorHAnsi"/>
        </w:rPr>
        <w:t>ná subjekty</w:t>
      </w:r>
      <w:r w:rsidRPr="00BF26F9">
        <w:rPr>
          <w:rFonts w:eastAsia="Aptos" w:cstheme="minorHAnsi"/>
        </w:rPr>
        <w:t xml:space="preserve"> registrovanými do </w:t>
      </w:r>
      <w:r>
        <w:rPr>
          <w:rFonts w:eastAsia="Aptos" w:cstheme="minorHAnsi"/>
        </w:rPr>
        <w:t xml:space="preserve">zvláštního </w:t>
      </w:r>
      <w:r w:rsidRPr="00BF26F9">
        <w:rPr>
          <w:rFonts w:eastAsia="Aptos" w:cstheme="minorHAnsi"/>
        </w:rPr>
        <w:t xml:space="preserve">režimu v ČR (ČR v roli ČSI) jsou vykazována v DAP </w:t>
      </w:r>
      <w:r>
        <w:rPr>
          <w:rFonts w:eastAsia="Aptos" w:cstheme="minorHAnsi"/>
        </w:rPr>
        <w:t>ve zvláštním režimu</w:t>
      </w:r>
      <w:r w:rsidRPr="00BF26F9">
        <w:rPr>
          <w:rFonts w:eastAsia="Aptos" w:cstheme="minorHAnsi"/>
        </w:rPr>
        <w:t xml:space="preserve"> a současně jako souhrnný údaj základu daně na ř.</w:t>
      </w:r>
      <w:r w:rsidR="0050100C">
        <w:rPr>
          <w:rFonts w:eastAsia="Aptos" w:cstheme="minorHAnsi"/>
        </w:rPr>
        <w:t> </w:t>
      </w:r>
      <w:r w:rsidRPr="00BF26F9">
        <w:rPr>
          <w:rFonts w:eastAsia="Aptos" w:cstheme="minorHAnsi"/>
        </w:rPr>
        <w:t xml:space="preserve">24 </w:t>
      </w:r>
      <w:r>
        <w:rPr>
          <w:rFonts w:eastAsia="Aptos" w:cstheme="minorHAnsi"/>
        </w:rPr>
        <w:t>běžného</w:t>
      </w:r>
      <w:r w:rsidRPr="00BF26F9">
        <w:rPr>
          <w:rFonts w:eastAsia="Aptos" w:cstheme="minorHAnsi"/>
        </w:rPr>
        <w:t xml:space="preserve"> </w:t>
      </w:r>
      <w:r>
        <w:rPr>
          <w:rFonts w:eastAsia="Aptos" w:cstheme="minorHAnsi"/>
        </w:rPr>
        <w:t>daňového přiznání</w:t>
      </w:r>
      <w:r w:rsidRPr="00BF26F9">
        <w:rPr>
          <w:rFonts w:eastAsia="Aptos" w:cstheme="minorHAnsi"/>
        </w:rPr>
        <w:t xml:space="preserve"> k DPH</w:t>
      </w:r>
      <w:r>
        <w:rPr>
          <w:rStyle w:val="Znakapoznpodarou"/>
          <w:rFonts w:eastAsia="Aptos" w:cstheme="minorHAnsi"/>
        </w:rPr>
        <w:footnoteReference w:id="24"/>
      </w:r>
      <w:r>
        <w:rPr>
          <w:rFonts w:eastAsia="Aptos" w:cstheme="minorHAnsi"/>
        </w:rPr>
        <w:t>.</w:t>
      </w:r>
      <w:r w:rsidRPr="00BF26F9">
        <w:rPr>
          <w:rFonts w:eastAsia="Aptos" w:cstheme="minorHAnsi"/>
        </w:rPr>
        <w:t xml:space="preserve"> </w:t>
      </w:r>
      <w:r>
        <w:rPr>
          <w:rFonts w:eastAsia="Aptos" w:cstheme="minorHAnsi"/>
        </w:rPr>
        <w:t>Subjekt,</w:t>
      </w:r>
      <w:r w:rsidRPr="00BF26F9">
        <w:rPr>
          <w:rFonts w:eastAsia="Aptos" w:cstheme="minorHAnsi"/>
        </w:rPr>
        <w:t xml:space="preserve"> kter</w:t>
      </w:r>
      <w:r>
        <w:rPr>
          <w:rFonts w:eastAsia="Aptos" w:cstheme="minorHAnsi"/>
        </w:rPr>
        <w:t>ý</w:t>
      </w:r>
      <w:r w:rsidRPr="00BF26F9">
        <w:rPr>
          <w:rFonts w:eastAsia="Aptos" w:cstheme="minorHAnsi"/>
        </w:rPr>
        <w:t xml:space="preserve"> není registrován v</w:t>
      </w:r>
      <w:r>
        <w:rPr>
          <w:rFonts w:eastAsia="Aptos" w:cstheme="minorHAnsi"/>
        </w:rPr>
        <w:t>e zvláštním</w:t>
      </w:r>
      <w:r w:rsidR="0050100C">
        <w:rPr>
          <w:rFonts w:eastAsia="Aptos" w:cstheme="minorHAnsi"/>
        </w:rPr>
        <w:t xml:space="preserve"> </w:t>
      </w:r>
      <w:r w:rsidRPr="00BF26F9">
        <w:rPr>
          <w:rFonts w:eastAsia="Aptos" w:cstheme="minorHAnsi"/>
        </w:rPr>
        <w:t>režimu</w:t>
      </w:r>
      <w:r>
        <w:rPr>
          <w:rFonts w:eastAsia="Aptos" w:cstheme="minorHAnsi"/>
        </w:rPr>
        <w:t>, ale</w:t>
      </w:r>
      <w:r w:rsidRPr="00BF26F9">
        <w:rPr>
          <w:rFonts w:eastAsia="Aptos" w:cstheme="minorHAnsi"/>
        </w:rPr>
        <w:t xml:space="preserve"> uskutečňuje vybraná plnění</w:t>
      </w:r>
      <w:r>
        <w:rPr>
          <w:rFonts w:eastAsia="Aptos" w:cstheme="minorHAnsi"/>
        </w:rPr>
        <w:t>,</w:t>
      </w:r>
      <w:r w:rsidRPr="00BF26F9">
        <w:rPr>
          <w:rFonts w:eastAsia="Aptos" w:cstheme="minorHAnsi"/>
        </w:rPr>
        <w:t xml:space="preserve"> na která lze </w:t>
      </w:r>
      <w:r>
        <w:rPr>
          <w:rFonts w:eastAsia="Aptos" w:cstheme="minorHAnsi"/>
        </w:rPr>
        <w:t xml:space="preserve">tento </w:t>
      </w:r>
      <w:r w:rsidRPr="00BF26F9">
        <w:rPr>
          <w:rFonts w:eastAsia="Aptos" w:cstheme="minorHAnsi"/>
        </w:rPr>
        <w:t xml:space="preserve">režim </w:t>
      </w:r>
      <w:r w:rsidR="0050100C" w:rsidRPr="00BF26F9">
        <w:rPr>
          <w:rFonts w:eastAsia="Aptos" w:cstheme="minorHAnsi"/>
        </w:rPr>
        <w:t xml:space="preserve">použít </w:t>
      </w:r>
      <w:r w:rsidRPr="00BF26F9">
        <w:rPr>
          <w:rFonts w:cstheme="minorHAnsi"/>
        </w:rPr>
        <w:t>(§ 110b odst. 2</w:t>
      </w:r>
      <w:r>
        <w:rPr>
          <w:rFonts w:cstheme="minorHAnsi"/>
        </w:rPr>
        <w:t xml:space="preserve"> zákona o DPH</w:t>
      </w:r>
      <w:r w:rsidRPr="00BF26F9">
        <w:rPr>
          <w:rFonts w:cstheme="minorHAnsi"/>
        </w:rPr>
        <w:t>)</w:t>
      </w:r>
      <w:r w:rsidRPr="00BF26F9">
        <w:rPr>
          <w:rFonts w:eastAsia="Aptos" w:cstheme="minorHAnsi"/>
        </w:rPr>
        <w:t xml:space="preserve">, </w:t>
      </w:r>
      <w:r w:rsidR="0050100C" w:rsidRPr="00BF26F9">
        <w:rPr>
          <w:rFonts w:eastAsia="Aptos" w:cstheme="minorHAnsi"/>
        </w:rPr>
        <w:t xml:space="preserve">vykazuje </w:t>
      </w:r>
      <w:r w:rsidRPr="00BF26F9">
        <w:rPr>
          <w:rFonts w:eastAsia="Aptos" w:cstheme="minorHAnsi"/>
        </w:rPr>
        <w:t xml:space="preserve">tato plnění také na ř. 24 </w:t>
      </w:r>
      <w:r>
        <w:rPr>
          <w:rFonts w:eastAsia="Aptos" w:cstheme="minorHAnsi"/>
        </w:rPr>
        <w:t>běžného daňového přiznání</w:t>
      </w:r>
      <w:r w:rsidRPr="00BF26F9">
        <w:rPr>
          <w:rFonts w:eastAsia="Aptos" w:cstheme="minorHAnsi"/>
        </w:rPr>
        <w:t xml:space="preserve"> k DPH.</w:t>
      </w:r>
      <w:r>
        <w:rPr>
          <w:rFonts w:eastAsia="Aptos" w:cstheme="minorHAnsi"/>
        </w:rPr>
        <w:t xml:space="preserve"> Na ř. 24 běžného daňového přiznání</w:t>
      </w:r>
      <w:r w:rsidRPr="00BF26F9">
        <w:rPr>
          <w:rFonts w:eastAsia="Aptos" w:cstheme="minorHAnsi"/>
        </w:rPr>
        <w:t xml:space="preserve"> k DPH</w:t>
      </w:r>
      <w:r>
        <w:rPr>
          <w:rFonts w:eastAsia="Aptos" w:cstheme="minorHAnsi"/>
        </w:rPr>
        <w:t xml:space="preserve"> byla vykáz</w:t>
      </w:r>
      <w:r w:rsidR="0050100C">
        <w:rPr>
          <w:rFonts w:eastAsia="Aptos" w:cstheme="minorHAnsi"/>
        </w:rPr>
        <w:t>ána</w:t>
      </w:r>
      <w:r>
        <w:rPr>
          <w:rFonts w:eastAsia="Aptos" w:cstheme="minorHAnsi"/>
        </w:rPr>
        <w:t xml:space="preserve"> vybraná plnění uskutečněná subjekty registrovanými k</w:t>
      </w:r>
      <w:r w:rsidR="0050100C">
        <w:rPr>
          <w:rFonts w:eastAsia="Aptos" w:cstheme="minorHAnsi"/>
        </w:rPr>
        <w:t> </w:t>
      </w:r>
      <w:r>
        <w:rPr>
          <w:rFonts w:eastAsia="Aptos" w:cstheme="minorHAnsi"/>
        </w:rPr>
        <w:t>DPH v ČR v roce 2023 ve výši 132,2 mld. Kč a v roce 2024 ve výši 147 mld. Kč.</w:t>
      </w:r>
    </w:p>
    <w:p w14:paraId="16AA4130" w14:textId="77777777" w:rsidR="006F619C" w:rsidRDefault="006F619C" w:rsidP="00A71975">
      <w:pPr>
        <w:spacing w:after="0" w:line="240" w:lineRule="auto"/>
        <w:jc w:val="both"/>
        <w:rPr>
          <w:rFonts w:cs="Calibri"/>
        </w:rPr>
      </w:pPr>
    </w:p>
    <w:p w14:paraId="32AE7AEC" w14:textId="5DDFD370" w:rsidR="00A71975" w:rsidRDefault="00A71975" w:rsidP="00A71975">
      <w:pPr>
        <w:spacing w:after="0" w:line="240" w:lineRule="auto"/>
        <w:jc w:val="both"/>
        <w:rPr>
          <w:rFonts w:cs="Calibri"/>
        </w:rPr>
      </w:pPr>
      <w:r w:rsidRPr="001B1126">
        <w:rPr>
          <w:rFonts w:cs="Calibri"/>
        </w:rPr>
        <w:t>NKÚ zjistil, že z</w:t>
      </w:r>
      <w:r w:rsidR="007527C9">
        <w:rPr>
          <w:rFonts w:cs="Calibri"/>
        </w:rPr>
        <w:t xml:space="preserve"> </w:t>
      </w:r>
      <w:r w:rsidRPr="001B1126">
        <w:rPr>
          <w:rFonts w:cs="Calibri"/>
        </w:rPr>
        <w:t>celkového počtu 145 daňových kontrol</w:t>
      </w:r>
      <w:r w:rsidR="0050100C">
        <w:rPr>
          <w:rFonts w:cs="Calibri"/>
        </w:rPr>
        <w:t>,</w:t>
      </w:r>
      <w:r w:rsidRPr="001B1126">
        <w:rPr>
          <w:rFonts w:cs="Calibri"/>
        </w:rPr>
        <w:t xml:space="preserve"> </w:t>
      </w:r>
      <w:r w:rsidR="0050100C" w:rsidRPr="001B1126">
        <w:rPr>
          <w:rFonts w:cs="Calibri"/>
        </w:rPr>
        <w:t>které orgány FS ČR provedly v</w:t>
      </w:r>
      <w:r w:rsidR="0050100C">
        <w:rPr>
          <w:rFonts w:cs="Calibri"/>
        </w:rPr>
        <w:t> </w:t>
      </w:r>
      <w:r w:rsidR="0050100C" w:rsidRPr="001B1126">
        <w:rPr>
          <w:rFonts w:cs="Calibri"/>
        </w:rPr>
        <w:t>kontrolovaném období</w:t>
      </w:r>
      <w:r w:rsidR="0050100C">
        <w:rPr>
          <w:rFonts w:cs="Calibri"/>
        </w:rPr>
        <w:t xml:space="preserve"> </w:t>
      </w:r>
      <w:r w:rsidRPr="001B1126">
        <w:rPr>
          <w:rFonts w:cs="Calibri"/>
        </w:rPr>
        <w:t xml:space="preserve">u </w:t>
      </w:r>
      <w:r>
        <w:rPr>
          <w:rFonts w:cs="Calibri"/>
        </w:rPr>
        <w:t>subjektů</w:t>
      </w:r>
      <w:r w:rsidRPr="001B1126">
        <w:rPr>
          <w:rFonts w:cs="Calibri"/>
        </w:rPr>
        <w:t xml:space="preserve"> registrovaných v</w:t>
      </w:r>
      <w:r>
        <w:rPr>
          <w:rFonts w:cs="Calibri"/>
        </w:rPr>
        <w:t>e zvláštním</w:t>
      </w:r>
      <w:r w:rsidR="0050100C">
        <w:rPr>
          <w:rFonts w:cs="Calibri"/>
        </w:rPr>
        <w:t xml:space="preserve"> </w:t>
      </w:r>
      <w:r w:rsidRPr="001B1126">
        <w:rPr>
          <w:rFonts w:cs="Calibri"/>
        </w:rPr>
        <w:t>režimu</w:t>
      </w:r>
      <w:r w:rsidR="004D3601">
        <w:rPr>
          <w:rFonts w:cs="Calibri"/>
        </w:rPr>
        <w:t xml:space="preserve"> v ČR</w:t>
      </w:r>
      <w:r>
        <w:rPr>
          <w:rFonts w:cs="Calibri"/>
        </w:rPr>
        <w:t>,</w:t>
      </w:r>
      <w:r w:rsidRPr="001B1126">
        <w:rPr>
          <w:rFonts w:cs="Calibri"/>
        </w:rPr>
        <w:t xml:space="preserve"> byla daňová kontrola zaměřena i na vybraná plnění v</w:t>
      </w:r>
      <w:r>
        <w:rPr>
          <w:rFonts w:cs="Calibri"/>
        </w:rPr>
        <w:t>e zvláštním</w:t>
      </w:r>
      <w:r w:rsidR="0050100C">
        <w:rPr>
          <w:rFonts w:cs="Calibri"/>
        </w:rPr>
        <w:t xml:space="preserve"> </w:t>
      </w:r>
      <w:r w:rsidRPr="001B1126">
        <w:rPr>
          <w:rFonts w:cs="Calibri"/>
        </w:rPr>
        <w:t>režimu (ČR v roli ČSI) pouze ve třech případech. V ostatních případech nebylo plnění vykázané v</w:t>
      </w:r>
      <w:r>
        <w:rPr>
          <w:rFonts w:cs="Calibri"/>
        </w:rPr>
        <w:t>e zvláštním</w:t>
      </w:r>
      <w:r w:rsidR="0050100C">
        <w:rPr>
          <w:rFonts w:cs="Calibri"/>
        </w:rPr>
        <w:t xml:space="preserve"> </w:t>
      </w:r>
      <w:r w:rsidRPr="001B1126">
        <w:rPr>
          <w:rFonts w:cs="Calibri"/>
        </w:rPr>
        <w:t xml:space="preserve">režimu kontrolováno. </w:t>
      </w:r>
      <w:r w:rsidR="0050100C">
        <w:rPr>
          <w:rFonts w:cs="Calibri"/>
        </w:rPr>
        <w:t>U</w:t>
      </w:r>
      <w:r w:rsidR="007527C9">
        <w:rPr>
          <w:rFonts w:cs="Calibri"/>
        </w:rPr>
        <w:t> </w:t>
      </w:r>
      <w:r w:rsidR="0050100C">
        <w:rPr>
          <w:rFonts w:cs="Calibri"/>
        </w:rPr>
        <w:t>přeshraničních obchodů</w:t>
      </w:r>
      <w:r w:rsidR="004D3601">
        <w:rPr>
          <w:rFonts w:cs="Calibri"/>
        </w:rPr>
        <w:t>, kd</w:t>
      </w:r>
      <w:r w:rsidR="0050100C">
        <w:rPr>
          <w:rFonts w:cs="Calibri"/>
        </w:rPr>
        <w:t>e</w:t>
      </w:r>
      <w:r w:rsidR="004D3601">
        <w:rPr>
          <w:rFonts w:cs="Calibri"/>
        </w:rPr>
        <w:t xml:space="preserve"> </w:t>
      </w:r>
      <w:r w:rsidR="007527C9">
        <w:rPr>
          <w:rFonts w:cs="Calibri"/>
        </w:rPr>
        <w:t xml:space="preserve">byla </w:t>
      </w:r>
      <w:r w:rsidR="004D3601">
        <w:rPr>
          <w:rFonts w:cs="Calibri"/>
        </w:rPr>
        <w:t>ČR v roli ČSS, byla kontrola provedena pouze v jednom případě</w:t>
      </w:r>
      <w:r w:rsidR="00D706D7">
        <w:rPr>
          <w:rFonts w:cs="Calibri"/>
        </w:rPr>
        <w:t>.</w:t>
      </w:r>
    </w:p>
    <w:p w14:paraId="109BC49F" w14:textId="77777777" w:rsidR="00A71975" w:rsidRDefault="00A71975" w:rsidP="00313E6C">
      <w:pPr>
        <w:spacing w:after="0" w:line="240" w:lineRule="auto"/>
        <w:jc w:val="both"/>
        <w:rPr>
          <w:rFonts w:cs="Calibri"/>
        </w:rPr>
      </w:pPr>
    </w:p>
    <w:p w14:paraId="03B74215" w14:textId="628135B6" w:rsidR="00722C30" w:rsidRDefault="002E000A" w:rsidP="00187814">
      <w:pPr>
        <w:spacing w:after="0" w:line="240" w:lineRule="auto"/>
        <w:jc w:val="both"/>
      </w:pPr>
      <w:r w:rsidRPr="003159C9">
        <w:t>NKÚ zjistil, že data získaná z nástrojů zavedených na úrovn</w:t>
      </w:r>
      <w:r w:rsidR="0051271E">
        <w:t>i</w:t>
      </w:r>
      <w:r w:rsidRPr="003159C9">
        <w:t xml:space="preserve"> EU pro boj s daňovými úniky na </w:t>
      </w:r>
      <w:r w:rsidR="00531FB0">
        <w:t>DPH</w:t>
      </w:r>
      <w:r w:rsidRPr="003159C9">
        <w:t xml:space="preserve"> nebyl</w:t>
      </w:r>
      <w:r w:rsidR="00B77F8F">
        <w:t>a</w:t>
      </w:r>
      <w:r w:rsidRPr="003159C9">
        <w:t xml:space="preserve"> úpln</w:t>
      </w:r>
      <w:r w:rsidR="00B77F8F">
        <w:t>á</w:t>
      </w:r>
      <w:r w:rsidRPr="003159C9">
        <w:t xml:space="preserve"> a spolehliv</w:t>
      </w:r>
      <w:r w:rsidR="00B77F8F">
        <w:t>á</w:t>
      </w:r>
      <w:r w:rsidRPr="003159C9">
        <w:t xml:space="preserve">, čímž bylo omezeno jejich využití pro kontrolu DPH v oblasti přeshraničního elektronického obchodování. </w:t>
      </w:r>
    </w:p>
    <w:p w14:paraId="33B8EB43" w14:textId="77777777" w:rsidR="00187814" w:rsidRPr="00187814" w:rsidRDefault="00187814" w:rsidP="00187814">
      <w:pPr>
        <w:spacing w:after="0" w:line="240" w:lineRule="auto"/>
        <w:jc w:val="both"/>
      </w:pPr>
    </w:p>
    <w:p w14:paraId="05BBDE46" w14:textId="04A629F4" w:rsidR="00F37E5C" w:rsidRPr="00F16B71" w:rsidRDefault="007527C9" w:rsidP="00F16B71">
      <w:pPr>
        <w:jc w:val="both"/>
        <w:rPr>
          <w:b/>
          <w:bCs/>
        </w:rPr>
      </w:pPr>
      <w:r>
        <w:rPr>
          <w:b/>
          <w:bCs/>
        </w:rPr>
        <w:t xml:space="preserve">3. </w:t>
      </w:r>
      <w:r w:rsidR="00915049" w:rsidRPr="00F16B71">
        <w:rPr>
          <w:b/>
          <w:bCs/>
        </w:rPr>
        <w:t xml:space="preserve">Vyhledávání neusazených osob k registraci bylo </w:t>
      </w:r>
      <w:r w:rsidR="00C81931" w:rsidRPr="00F16B71">
        <w:rPr>
          <w:b/>
          <w:bCs/>
        </w:rPr>
        <w:t>administrativně náročné</w:t>
      </w:r>
    </w:p>
    <w:p w14:paraId="146F11BA" w14:textId="3F5724F8" w:rsidR="004A3D91" w:rsidRDefault="002B06C6" w:rsidP="003627B6">
      <w:pPr>
        <w:pStyle w:val="Zkladntext1"/>
        <w:spacing w:after="0"/>
        <w:rPr>
          <w:rFonts w:asciiTheme="minorHAnsi" w:hAnsiTheme="minorHAnsi" w:cstheme="minorHAnsi"/>
          <w:sz w:val="24"/>
          <w:szCs w:val="24"/>
        </w:rPr>
      </w:pPr>
      <w:r w:rsidRPr="003432C9">
        <w:rPr>
          <w:rFonts w:asciiTheme="minorHAnsi" w:hAnsiTheme="minorHAnsi" w:cstheme="minorHAnsi"/>
          <w:sz w:val="24"/>
          <w:szCs w:val="24"/>
        </w:rPr>
        <w:t xml:space="preserve">Pokud </w:t>
      </w:r>
      <w:r w:rsidR="007527C9">
        <w:rPr>
          <w:rFonts w:asciiTheme="minorHAnsi" w:hAnsiTheme="minorHAnsi" w:cstheme="minorHAnsi"/>
          <w:sz w:val="24"/>
          <w:szCs w:val="24"/>
        </w:rPr>
        <w:t>subjekt</w:t>
      </w:r>
      <w:r w:rsidRPr="003432C9">
        <w:rPr>
          <w:rFonts w:asciiTheme="minorHAnsi" w:hAnsiTheme="minorHAnsi" w:cstheme="minorHAnsi"/>
          <w:sz w:val="24"/>
          <w:szCs w:val="24"/>
        </w:rPr>
        <w:t>, kter</w:t>
      </w:r>
      <w:r w:rsidR="007527C9">
        <w:rPr>
          <w:rFonts w:asciiTheme="minorHAnsi" w:hAnsiTheme="minorHAnsi" w:cstheme="minorHAnsi"/>
          <w:sz w:val="24"/>
          <w:szCs w:val="24"/>
        </w:rPr>
        <w:t>ý</w:t>
      </w:r>
      <w:r w:rsidRPr="003432C9">
        <w:rPr>
          <w:rFonts w:asciiTheme="minorHAnsi" w:hAnsiTheme="minorHAnsi" w:cstheme="minorHAnsi"/>
          <w:sz w:val="24"/>
          <w:szCs w:val="24"/>
        </w:rPr>
        <w:t xml:space="preserve"> uskutečňuje vybraná plnění s místem spotřeby v</w:t>
      </w:r>
      <w:r w:rsidR="000B48BC" w:rsidRPr="003432C9">
        <w:rPr>
          <w:rFonts w:asciiTheme="minorHAnsi" w:hAnsiTheme="minorHAnsi" w:cstheme="minorHAnsi"/>
          <w:sz w:val="24"/>
          <w:szCs w:val="24"/>
        </w:rPr>
        <w:t> </w:t>
      </w:r>
      <w:r w:rsidRPr="003432C9">
        <w:rPr>
          <w:rFonts w:asciiTheme="minorHAnsi" w:hAnsiTheme="minorHAnsi" w:cstheme="minorHAnsi"/>
          <w:sz w:val="24"/>
          <w:szCs w:val="24"/>
        </w:rPr>
        <w:t>ČR</w:t>
      </w:r>
      <w:r w:rsidR="000B48BC" w:rsidRPr="003432C9">
        <w:rPr>
          <w:rFonts w:asciiTheme="minorHAnsi" w:hAnsiTheme="minorHAnsi" w:cstheme="minorHAnsi"/>
          <w:sz w:val="24"/>
          <w:szCs w:val="24"/>
        </w:rPr>
        <w:t>,</w:t>
      </w:r>
      <w:r w:rsidRPr="003432C9">
        <w:rPr>
          <w:rFonts w:asciiTheme="minorHAnsi" w:hAnsiTheme="minorHAnsi" w:cstheme="minorHAnsi"/>
          <w:sz w:val="24"/>
          <w:szCs w:val="24"/>
        </w:rPr>
        <w:t xml:space="preserve"> nevyužije </w:t>
      </w:r>
      <w:r w:rsidR="00610777">
        <w:rPr>
          <w:rFonts w:asciiTheme="minorHAnsi" w:hAnsiTheme="minorHAnsi" w:cstheme="minorHAnsi"/>
          <w:sz w:val="24"/>
          <w:szCs w:val="24"/>
        </w:rPr>
        <w:t xml:space="preserve">zvláštní </w:t>
      </w:r>
      <w:r w:rsidRPr="003432C9">
        <w:rPr>
          <w:rFonts w:asciiTheme="minorHAnsi" w:hAnsiTheme="minorHAnsi" w:cstheme="minorHAnsi"/>
          <w:sz w:val="24"/>
          <w:szCs w:val="24"/>
        </w:rPr>
        <w:t>režim, má povinnost se v ČR registrovat jako osoba</w:t>
      </w:r>
      <w:r w:rsidR="004F3091" w:rsidRPr="003432C9">
        <w:rPr>
          <w:rFonts w:asciiTheme="minorHAnsi" w:hAnsiTheme="minorHAnsi" w:cstheme="minorHAnsi"/>
          <w:sz w:val="24"/>
          <w:szCs w:val="24"/>
        </w:rPr>
        <w:t xml:space="preserve"> n</w:t>
      </w:r>
      <w:r w:rsidR="008444B1" w:rsidRPr="003432C9">
        <w:rPr>
          <w:rFonts w:asciiTheme="minorHAnsi" w:hAnsiTheme="minorHAnsi" w:cstheme="minorHAnsi"/>
          <w:sz w:val="24"/>
          <w:szCs w:val="24"/>
        </w:rPr>
        <w:t>eusazená v tuzemsku</w:t>
      </w:r>
      <w:r w:rsidRPr="003432C9">
        <w:rPr>
          <w:rFonts w:asciiTheme="minorHAnsi" w:hAnsiTheme="minorHAnsi" w:cstheme="minorHAnsi"/>
          <w:sz w:val="24"/>
          <w:szCs w:val="24"/>
        </w:rPr>
        <w:t>.</w:t>
      </w:r>
    </w:p>
    <w:p w14:paraId="753B5854" w14:textId="77777777" w:rsidR="003627B6" w:rsidRPr="003432C9" w:rsidRDefault="003627B6" w:rsidP="003627B6">
      <w:pPr>
        <w:pStyle w:val="Zkladntext1"/>
        <w:spacing w:after="0"/>
        <w:rPr>
          <w:rFonts w:asciiTheme="minorHAnsi" w:hAnsiTheme="minorHAnsi" w:cstheme="minorHAnsi"/>
          <w:sz w:val="24"/>
          <w:szCs w:val="24"/>
        </w:rPr>
      </w:pPr>
    </w:p>
    <w:p w14:paraId="0020810A" w14:textId="0D32110B" w:rsidR="00EA4252" w:rsidRPr="000A621B" w:rsidRDefault="00EA4252" w:rsidP="003627B6">
      <w:pPr>
        <w:keepNext/>
        <w:tabs>
          <w:tab w:val="left" w:pos="1276"/>
        </w:tabs>
        <w:spacing w:after="0"/>
        <w:jc w:val="both"/>
        <w:rPr>
          <w:rFonts w:ascii="Calibri" w:eastAsia="Aptos" w:hAnsi="Calibri" w:cs="Calibri"/>
          <w:b/>
          <w:bCs/>
        </w:rPr>
      </w:pPr>
      <w:r w:rsidRPr="00EA4252">
        <w:rPr>
          <w:rFonts w:ascii="Calibri" w:eastAsia="Aptos" w:hAnsi="Calibri" w:cs="Calibri"/>
          <w:b/>
          <w:bCs/>
        </w:rPr>
        <w:t xml:space="preserve">Tabulka č. </w:t>
      </w:r>
      <w:r w:rsidR="00BC792B">
        <w:rPr>
          <w:rFonts w:ascii="Calibri" w:eastAsia="Aptos" w:hAnsi="Calibri" w:cs="Calibri"/>
          <w:b/>
          <w:bCs/>
        </w:rPr>
        <w:t>8</w:t>
      </w:r>
      <w:r w:rsidRPr="00EA4252">
        <w:rPr>
          <w:rFonts w:ascii="Calibri" w:eastAsia="Aptos" w:hAnsi="Calibri" w:cs="Calibri"/>
          <w:b/>
          <w:bCs/>
        </w:rPr>
        <w:t>:</w:t>
      </w:r>
      <w:r w:rsidR="007527C9">
        <w:rPr>
          <w:rFonts w:ascii="Calibri" w:eastAsia="Aptos" w:hAnsi="Calibri" w:cs="Calibri"/>
          <w:b/>
          <w:bCs/>
        </w:rPr>
        <w:t xml:space="preserve"> </w:t>
      </w:r>
      <w:r w:rsidRPr="00EA4252">
        <w:rPr>
          <w:rFonts w:ascii="Calibri" w:eastAsia="Aptos" w:hAnsi="Calibri" w:cs="Calibri"/>
          <w:b/>
          <w:bCs/>
        </w:rPr>
        <w:t xml:space="preserve">Počty neusazených osob registrovaných </w:t>
      </w:r>
      <w:r w:rsidR="0088463A">
        <w:rPr>
          <w:rFonts w:ascii="Calibri" w:eastAsia="Aptos" w:hAnsi="Calibri" w:cs="Calibri"/>
          <w:b/>
          <w:bCs/>
        </w:rPr>
        <w:t>u</w:t>
      </w:r>
      <w:r w:rsidRPr="00EA4252">
        <w:rPr>
          <w:rFonts w:ascii="Calibri" w:eastAsia="Aptos" w:hAnsi="Calibri" w:cs="Calibri"/>
          <w:b/>
          <w:bCs/>
        </w:rPr>
        <w:t xml:space="preserve"> FÚ MSK</w:t>
      </w:r>
    </w:p>
    <w:tbl>
      <w:tblPr>
        <w:tblW w:w="906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5"/>
        <w:gridCol w:w="2190"/>
        <w:gridCol w:w="2126"/>
        <w:gridCol w:w="2126"/>
      </w:tblGrid>
      <w:tr w:rsidR="000A621B" w:rsidRPr="000A621B" w14:paraId="4D18424A" w14:textId="77777777" w:rsidTr="00F16B71">
        <w:trPr>
          <w:trHeight w:val="288"/>
        </w:trPr>
        <w:tc>
          <w:tcPr>
            <w:tcW w:w="2625" w:type="dxa"/>
            <w:shd w:val="clear" w:color="auto" w:fill="E6E6E6"/>
            <w:vAlign w:val="center"/>
            <w:hideMark/>
          </w:tcPr>
          <w:p w14:paraId="2A31D02E" w14:textId="77777777" w:rsidR="000A621B" w:rsidRPr="0027406C" w:rsidRDefault="000A621B" w:rsidP="003627B6">
            <w:pPr>
              <w:keepNext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7406C"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Období</w:t>
            </w:r>
          </w:p>
        </w:tc>
        <w:tc>
          <w:tcPr>
            <w:tcW w:w="2190" w:type="dxa"/>
            <w:shd w:val="clear" w:color="auto" w:fill="E6E6E6"/>
            <w:noWrap/>
            <w:vAlign w:val="center"/>
            <w:hideMark/>
          </w:tcPr>
          <w:p w14:paraId="540C4ACD" w14:textId="54C48965" w:rsidR="000A621B" w:rsidRPr="0027406C" w:rsidRDefault="000A621B" w:rsidP="003627B6">
            <w:pPr>
              <w:keepNext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7406C"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Celk</w:t>
            </w:r>
            <w:r w:rsidR="007527C9"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ový</w:t>
            </w:r>
            <w:r w:rsidRPr="0027406C"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 xml:space="preserve"> počet neusazených osob</w:t>
            </w:r>
          </w:p>
        </w:tc>
        <w:tc>
          <w:tcPr>
            <w:tcW w:w="2126" w:type="dxa"/>
            <w:shd w:val="clear" w:color="auto" w:fill="E6E6E6"/>
            <w:noWrap/>
            <w:vAlign w:val="center"/>
            <w:hideMark/>
          </w:tcPr>
          <w:p w14:paraId="769E8F5C" w14:textId="77777777" w:rsidR="000A621B" w:rsidRPr="0027406C" w:rsidRDefault="000A621B" w:rsidP="003627B6">
            <w:pPr>
              <w:keepNext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7406C"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Počet neusazených osob ze zemí EU</w:t>
            </w:r>
          </w:p>
        </w:tc>
        <w:tc>
          <w:tcPr>
            <w:tcW w:w="2126" w:type="dxa"/>
            <w:shd w:val="clear" w:color="auto" w:fill="E6E6E6"/>
            <w:noWrap/>
            <w:vAlign w:val="center"/>
            <w:hideMark/>
          </w:tcPr>
          <w:p w14:paraId="3BEEA40C" w14:textId="77777777" w:rsidR="000A621B" w:rsidRPr="0027406C" w:rsidRDefault="000A621B" w:rsidP="003627B6">
            <w:pPr>
              <w:keepNext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7406C">
              <w:rPr>
                <w:rFonts w:eastAsia="Times New Roman" w:cstheme="minorHAns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Počet neusazených osob mimo země EU</w:t>
            </w:r>
          </w:p>
        </w:tc>
      </w:tr>
      <w:tr w:rsidR="000A621B" w:rsidRPr="000A621B" w14:paraId="1455841E" w14:textId="77777777" w:rsidTr="00F16B71">
        <w:trPr>
          <w:trHeight w:val="288"/>
        </w:trPr>
        <w:tc>
          <w:tcPr>
            <w:tcW w:w="2625" w:type="dxa"/>
            <w:noWrap/>
            <w:vAlign w:val="center"/>
          </w:tcPr>
          <w:p w14:paraId="36B3FA3C" w14:textId="12D7BC97" w:rsidR="000A621B" w:rsidRPr="0027406C" w:rsidRDefault="007527C9" w:rsidP="00F16B71">
            <w:pPr>
              <w:keepNext/>
              <w:spacing w:after="0" w:line="240" w:lineRule="auto"/>
              <w:ind w:left="57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</w:t>
            </w:r>
            <w:r w:rsidR="000A621B" w:rsidRPr="0027406C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rosinec 2021</w:t>
            </w:r>
          </w:p>
        </w:tc>
        <w:tc>
          <w:tcPr>
            <w:tcW w:w="2190" w:type="dxa"/>
            <w:noWrap/>
            <w:vAlign w:val="center"/>
            <w:hideMark/>
          </w:tcPr>
          <w:p w14:paraId="3193921C" w14:textId="77777777" w:rsidR="000A621B" w:rsidRPr="0027406C" w:rsidRDefault="000A621B" w:rsidP="00F16B71">
            <w:pPr>
              <w:keepNext/>
              <w:spacing w:after="0" w:line="240" w:lineRule="auto"/>
              <w:ind w:right="57"/>
              <w:jc w:val="right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7406C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24 648</w:t>
            </w:r>
          </w:p>
        </w:tc>
        <w:tc>
          <w:tcPr>
            <w:tcW w:w="2126" w:type="dxa"/>
            <w:noWrap/>
            <w:vAlign w:val="center"/>
            <w:hideMark/>
          </w:tcPr>
          <w:p w14:paraId="05590C80" w14:textId="77777777" w:rsidR="000A621B" w:rsidRPr="0027406C" w:rsidRDefault="000A621B" w:rsidP="00F16B71">
            <w:pPr>
              <w:keepNext/>
              <w:spacing w:after="0" w:line="240" w:lineRule="auto"/>
              <w:ind w:right="57"/>
              <w:jc w:val="right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7406C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10 381</w:t>
            </w:r>
          </w:p>
        </w:tc>
        <w:tc>
          <w:tcPr>
            <w:tcW w:w="2126" w:type="dxa"/>
            <w:noWrap/>
            <w:vAlign w:val="center"/>
            <w:hideMark/>
          </w:tcPr>
          <w:p w14:paraId="44413330" w14:textId="77777777" w:rsidR="000A621B" w:rsidRPr="0027406C" w:rsidRDefault="000A621B" w:rsidP="00F16B71">
            <w:pPr>
              <w:keepNext/>
              <w:spacing w:after="0" w:line="240" w:lineRule="auto"/>
              <w:ind w:right="57"/>
              <w:jc w:val="right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7406C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14 267</w:t>
            </w:r>
          </w:p>
        </w:tc>
      </w:tr>
      <w:tr w:rsidR="000A621B" w:rsidRPr="000A621B" w14:paraId="07C31F6C" w14:textId="77777777" w:rsidTr="00F16B71">
        <w:trPr>
          <w:trHeight w:val="288"/>
        </w:trPr>
        <w:tc>
          <w:tcPr>
            <w:tcW w:w="2625" w:type="dxa"/>
            <w:noWrap/>
            <w:vAlign w:val="center"/>
          </w:tcPr>
          <w:p w14:paraId="2FBA37E9" w14:textId="796A989C" w:rsidR="000A621B" w:rsidRPr="0027406C" w:rsidRDefault="007527C9" w:rsidP="00F16B71">
            <w:pPr>
              <w:keepNext/>
              <w:spacing w:after="0" w:line="240" w:lineRule="auto"/>
              <w:ind w:left="57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</w:t>
            </w:r>
            <w:r w:rsidR="000A621B" w:rsidRPr="0027406C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rosinec 2022</w:t>
            </w:r>
          </w:p>
        </w:tc>
        <w:tc>
          <w:tcPr>
            <w:tcW w:w="2190" w:type="dxa"/>
            <w:noWrap/>
            <w:vAlign w:val="center"/>
            <w:hideMark/>
          </w:tcPr>
          <w:p w14:paraId="15FFA44A" w14:textId="77777777" w:rsidR="000A621B" w:rsidRPr="0027406C" w:rsidRDefault="000A621B" w:rsidP="00F16B71">
            <w:pPr>
              <w:keepNext/>
              <w:spacing w:after="0" w:line="240" w:lineRule="auto"/>
              <w:ind w:right="57"/>
              <w:jc w:val="right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7406C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28 375</w:t>
            </w:r>
          </w:p>
        </w:tc>
        <w:tc>
          <w:tcPr>
            <w:tcW w:w="2126" w:type="dxa"/>
            <w:noWrap/>
            <w:vAlign w:val="center"/>
            <w:hideMark/>
          </w:tcPr>
          <w:p w14:paraId="0B4E58AB" w14:textId="77777777" w:rsidR="000A621B" w:rsidRPr="0027406C" w:rsidRDefault="000A621B" w:rsidP="00F16B71">
            <w:pPr>
              <w:keepNext/>
              <w:spacing w:after="0" w:line="240" w:lineRule="auto"/>
              <w:ind w:right="57"/>
              <w:jc w:val="right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7406C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10 926</w:t>
            </w:r>
          </w:p>
        </w:tc>
        <w:tc>
          <w:tcPr>
            <w:tcW w:w="2126" w:type="dxa"/>
            <w:noWrap/>
            <w:vAlign w:val="center"/>
            <w:hideMark/>
          </w:tcPr>
          <w:p w14:paraId="57AC4AEC" w14:textId="77777777" w:rsidR="000A621B" w:rsidRPr="0027406C" w:rsidRDefault="000A621B" w:rsidP="00F16B71">
            <w:pPr>
              <w:keepNext/>
              <w:spacing w:after="0" w:line="240" w:lineRule="auto"/>
              <w:ind w:right="57"/>
              <w:jc w:val="right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7406C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17 449</w:t>
            </w:r>
          </w:p>
        </w:tc>
      </w:tr>
      <w:tr w:rsidR="000A621B" w:rsidRPr="000A621B" w14:paraId="17D4F8CD" w14:textId="77777777" w:rsidTr="00F16B71">
        <w:trPr>
          <w:trHeight w:val="288"/>
        </w:trPr>
        <w:tc>
          <w:tcPr>
            <w:tcW w:w="2625" w:type="dxa"/>
            <w:noWrap/>
            <w:vAlign w:val="center"/>
          </w:tcPr>
          <w:p w14:paraId="639923FC" w14:textId="096D9BE0" w:rsidR="000A621B" w:rsidRPr="0027406C" w:rsidRDefault="007527C9" w:rsidP="00F16B71">
            <w:pPr>
              <w:keepNext/>
              <w:spacing w:after="0" w:line="240" w:lineRule="auto"/>
              <w:ind w:left="57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</w:t>
            </w:r>
            <w:r w:rsidR="000A621B" w:rsidRPr="0027406C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rosinec 2023</w:t>
            </w:r>
          </w:p>
        </w:tc>
        <w:tc>
          <w:tcPr>
            <w:tcW w:w="2190" w:type="dxa"/>
            <w:noWrap/>
            <w:vAlign w:val="center"/>
            <w:hideMark/>
          </w:tcPr>
          <w:p w14:paraId="05066BC4" w14:textId="77777777" w:rsidR="000A621B" w:rsidRPr="0027406C" w:rsidRDefault="000A621B" w:rsidP="00F16B71">
            <w:pPr>
              <w:keepNext/>
              <w:spacing w:after="0" w:line="240" w:lineRule="auto"/>
              <w:ind w:right="57"/>
              <w:jc w:val="right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7406C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29 400</w:t>
            </w:r>
          </w:p>
        </w:tc>
        <w:tc>
          <w:tcPr>
            <w:tcW w:w="2126" w:type="dxa"/>
            <w:noWrap/>
            <w:vAlign w:val="center"/>
            <w:hideMark/>
          </w:tcPr>
          <w:p w14:paraId="62610349" w14:textId="77777777" w:rsidR="000A621B" w:rsidRPr="0027406C" w:rsidRDefault="000A621B" w:rsidP="00F16B71">
            <w:pPr>
              <w:keepNext/>
              <w:spacing w:after="0" w:line="240" w:lineRule="auto"/>
              <w:ind w:right="57"/>
              <w:jc w:val="right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7406C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11 052</w:t>
            </w:r>
          </w:p>
        </w:tc>
        <w:tc>
          <w:tcPr>
            <w:tcW w:w="2126" w:type="dxa"/>
            <w:noWrap/>
            <w:vAlign w:val="center"/>
            <w:hideMark/>
          </w:tcPr>
          <w:p w14:paraId="3EC7F37E" w14:textId="77777777" w:rsidR="000A621B" w:rsidRPr="0027406C" w:rsidRDefault="000A621B" w:rsidP="00F16B71">
            <w:pPr>
              <w:keepNext/>
              <w:spacing w:after="0" w:line="240" w:lineRule="auto"/>
              <w:ind w:right="57"/>
              <w:jc w:val="right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7406C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18 348</w:t>
            </w:r>
          </w:p>
        </w:tc>
      </w:tr>
      <w:tr w:rsidR="000A621B" w:rsidRPr="000A621B" w14:paraId="72DC6F9B" w14:textId="77777777" w:rsidTr="00F16B71">
        <w:trPr>
          <w:trHeight w:val="288"/>
        </w:trPr>
        <w:tc>
          <w:tcPr>
            <w:tcW w:w="2625" w:type="dxa"/>
            <w:noWrap/>
            <w:vAlign w:val="center"/>
          </w:tcPr>
          <w:p w14:paraId="605983A6" w14:textId="4D0195F3" w:rsidR="000A621B" w:rsidRPr="0027406C" w:rsidRDefault="007527C9" w:rsidP="00F16B71">
            <w:pPr>
              <w:keepNext/>
              <w:spacing w:after="0" w:line="240" w:lineRule="auto"/>
              <w:ind w:left="57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P</w:t>
            </w:r>
            <w:r w:rsidR="000A621B" w:rsidRPr="0027406C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rosinec 2024</w:t>
            </w:r>
          </w:p>
        </w:tc>
        <w:tc>
          <w:tcPr>
            <w:tcW w:w="2190" w:type="dxa"/>
            <w:noWrap/>
            <w:vAlign w:val="center"/>
            <w:hideMark/>
          </w:tcPr>
          <w:p w14:paraId="651C5377" w14:textId="77777777" w:rsidR="000A621B" w:rsidRPr="0027406C" w:rsidRDefault="000A621B" w:rsidP="00F16B71">
            <w:pPr>
              <w:keepNext/>
              <w:spacing w:after="0" w:line="240" w:lineRule="auto"/>
              <w:ind w:right="57"/>
              <w:jc w:val="right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7406C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28 921</w:t>
            </w:r>
          </w:p>
        </w:tc>
        <w:tc>
          <w:tcPr>
            <w:tcW w:w="2126" w:type="dxa"/>
            <w:noWrap/>
            <w:vAlign w:val="center"/>
            <w:hideMark/>
          </w:tcPr>
          <w:p w14:paraId="0ABAE61C" w14:textId="77777777" w:rsidR="000A621B" w:rsidRPr="0027406C" w:rsidRDefault="000A621B" w:rsidP="00F16B71">
            <w:pPr>
              <w:keepNext/>
              <w:spacing w:after="0" w:line="240" w:lineRule="auto"/>
              <w:ind w:right="57"/>
              <w:jc w:val="right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7406C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10 451</w:t>
            </w:r>
          </w:p>
        </w:tc>
        <w:tc>
          <w:tcPr>
            <w:tcW w:w="2126" w:type="dxa"/>
            <w:noWrap/>
            <w:vAlign w:val="center"/>
            <w:hideMark/>
          </w:tcPr>
          <w:p w14:paraId="3F1A6689" w14:textId="77777777" w:rsidR="000A621B" w:rsidRPr="0027406C" w:rsidRDefault="000A621B" w:rsidP="00F16B71">
            <w:pPr>
              <w:keepNext/>
              <w:spacing w:after="0" w:line="240" w:lineRule="auto"/>
              <w:ind w:right="57"/>
              <w:jc w:val="right"/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27406C">
              <w:rPr>
                <w:rFonts w:eastAsia="Times New Roman" w:cstheme="minorHAns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18 470</w:t>
            </w:r>
          </w:p>
        </w:tc>
      </w:tr>
    </w:tbl>
    <w:p w14:paraId="4110F6B5" w14:textId="17D69E53" w:rsidR="000A621B" w:rsidRDefault="000A621B" w:rsidP="003627B6">
      <w:pPr>
        <w:spacing w:after="0"/>
        <w:jc w:val="both"/>
        <w:rPr>
          <w:rFonts w:ascii="Calibri" w:eastAsia="Aptos" w:hAnsi="Calibri" w:cs="Calibri"/>
          <w:sz w:val="20"/>
          <w:szCs w:val="20"/>
        </w:rPr>
      </w:pPr>
      <w:r w:rsidRPr="00F16B71">
        <w:rPr>
          <w:rFonts w:ascii="Calibri" w:eastAsia="Aptos" w:hAnsi="Calibri" w:cs="Calibri"/>
          <w:b/>
          <w:bCs/>
          <w:sz w:val="20"/>
          <w:szCs w:val="20"/>
        </w:rPr>
        <w:t>Zdroj:</w:t>
      </w:r>
      <w:r w:rsidRPr="007D0740">
        <w:rPr>
          <w:rFonts w:ascii="Calibri" w:eastAsia="Aptos" w:hAnsi="Calibri" w:cs="Calibri"/>
          <w:sz w:val="20"/>
          <w:szCs w:val="20"/>
        </w:rPr>
        <w:t xml:space="preserve"> FÚ MSK.</w:t>
      </w:r>
    </w:p>
    <w:p w14:paraId="67B874C9" w14:textId="77777777" w:rsidR="003627B6" w:rsidRDefault="003627B6" w:rsidP="00E040A3">
      <w:pPr>
        <w:pStyle w:val="Odstavecsmalmodsazenm"/>
        <w:spacing w:after="0"/>
        <w:rPr>
          <w:rFonts w:ascii="Calibri" w:eastAsia="Aptos" w:hAnsi="Calibri" w:cs="Calibri"/>
        </w:rPr>
      </w:pPr>
    </w:p>
    <w:p w14:paraId="4BA469F6" w14:textId="32F24802" w:rsidR="00C512CA" w:rsidRDefault="00C512CA" w:rsidP="00E040A3">
      <w:pPr>
        <w:pStyle w:val="Odstavecsmalmodsazenm"/>
        <w:spacing w:after="0"/>
        <w:rPr>
          <w:rFonts w:ascii="Calibri" w:eastAsia="Aptos" w:hAnsi="Calibri" w:cs="Calibri"/>
        </w:rPr>
      </w:pPr>
      <w:r>
        <w:rPr>
          <w:rFonts w:ascii="Calibri" w:eastAsia="Aptos" w:hAnsi="Calibri" w:cs="Calibri"/>
        </w:rPr>
        <w:t xml:space="preserve">FÚ MSK evidoval k 31. 12. 2024 celkem 18 470 neusazených osob ze třetích zemí, z toho 13 810 z Číny, tj. 75 % všech registrovaných neusazených osob ze třetích zemí. V případě </w:t>
      </w:r>
      <w:r>
        <w:rPr>
          <w:rFonts w:ascii="Calibri" w:eastAsia="Aptos" w:hAnsi="Calibri" w:cs="Calibri"/>
        </w:rPr>
        <w:lastRenderedPageBreak/>
        <w:t>neusazených osob z</w:t>
      </w:r>
      <w:r w:rsidR="007527C9">
        <w:rPr>
          <w:rFonts w:ascii="Calibri" w:eastAsia="Aptos" w:hAnsi="Calibri" w:cs="Calibri"/>
        </w:rPr>
        <w:t xml:space="preserve"> </w:t>
      </w:r>
      <w:r>
        <w:rPr>
          <w:rFonts w:ascii="Calibri" w:eastAsia="Aptos" w:hAnsi="Calibri" w:cs="Calibri"/>
        </w:rPr>
        <w:t xml:space="preserve">Číny (včetně Hongkongu) převažovalo obchodování prostřednictvím </w:t>
      </w:r>
      <w:r w:rsidR="006B773F">
        <w:rPr>
          <w:rFonts w:ascii="Calibri" w:eastAsia="Aptos" w:hAnsi="Calibri" w:cs="Calibri"/>
        </w:rPr>
        <w:t>elektronických rozhraní.</w:t>
      </w:r>
      <w:r>
        <w:rPr>
          <w:rFonts w:ascii="Calibri" w:eastAsia="Aptos" w:hAnsi="Calibri" w:cs="Calibri"/>
        </w:rPr>
        <w:t xml:space="preserve"> Těmto neusazeným osobám tak </w:t>
      </w:r>
      <w:r w:rsidR="004D3601">
        <w:rPr>
          <w:rFonts w:ascii="Calibri" w:eastAsia="Aptos" w:hAnsi="Calibri" w:cs="Calibri"/>
        </w:rPr>
        <w:t xml:space="preserve">dle </w:t>
      </w:r>
      <w:r w:rsidR="002C76D4">
        <w:rPr>
          <w:rFonts w:ascii="Calibri" w:eastAsia="Aptos" w:hAnsi="Calibri" w:cs="Calibri"/>
        </w:rPr>
        <w:t>právní</w:t>
      </w:r>
      <w:r w:rsidR="004D3601">
        <w:rPr>
          <w:rFonts w:ascii="Calibri" w:eastAsia="Aptos" w:hAnsi="Calibri" w:cs="Calibri"/>
        </w:rPr>
        <w:t xml:space="preserve"> úpravy nevzniká</w:t>
      </w:r>
      <w:r w:rsidR="002003DB">
        <w:rPr>
          <w:rFonts w:ascii="Calibri" w:eastAsia="Aptos" w:hAnsi="Calibri" w:cs="Calibri"/>
        </w:rPr>
        <w:t xml:space="preserve"> </w:t>
      </w:r>
      <w:r>
        <w:rPr>
          <w:rFonts w:ascii="Calibri" w:eastAsia="Aptos" w:hAnsi="Calibri" w:cs="Calibri"/>
        </w:rPr>
        <w:t>při jejich obchodování prostřednictvím provozovatele elektronického rozhraní povinnost přiznat a</w:t>
      </w:r>
      <w:r w:rsidR="007527C9">
        <w:rPr>
          <w:rFonts w:ascii="Calibri" w:eastAsia="Aptos" w:hAnsi="Calibri" w:cs="Calibri"/>
        </w:rPr>
        <w:t> </w:t>
      </w:r>
      <w:r>
        <w:rPr>
          <w:rFonts w:ascii="Calibri" w:eastAsia="Aptos" w:hAnsi="Calibri" w:cs="Calibri"/>
        </w:rPr>
        <w:t>zaplatit daň z jimi realizovaných prodejů zboží, ale tato povinnost pře</w:t>
      </w:r>
      <w:r w:rsidR="00820C71">
        <w:rPr>
          <w:rFonts w:ascii="Calibri" w:eastAsia="Aptos" w:hAnsi="Calibri" w:cs="Calibri"/>
        </w:rPr>
        <w:t>chází</w:t>
      </w:r>
      <w:r>
        <w:rPr>
          <w:rFonts w:ascii="Calibri" w:eastAsia="Aptos" w:hAnsi="Calibri" w:cs="Calibri"/>
        </w:rPr>
        <w:t xml:space="preserve"> na provozovatele tohoto rozhraní.</w:t>
      </w:r>
    </w:p>
    <w:p w14:paraId="50556F12" w14:textId="77777777" w:rsidR="00F86F2F" w:rsidRDefault="00F86F2F" w:rsidP="00E040A3">
      <w:pPr>
        <w:pStyle w:val="Odstavecsmalmodsazenm"/>
        <w:spacing w:after="0"/>
        <w:rPr>
          <w:rFonts w:ascii="Calibri" w:hAnsi="Calibri" w:cs="Calibri"/>
          <w:shd w:val="clear" w:color="auto" w:fill="FFFFFF"/>
        </w:rPr>
      </w:pPr>
    </w:p>
    <w:p w14:paraId="4D80664A" w14:textId="77A29CDB" w:rsidR="00F86F2F" w:rsidRPr="005A4D76" w:rsidRDefault="00F86F2F" w:rsidP="00F86F2F">
      <w:pPr>
        <w:spacing w:after="0" w:line="240" w:lineRule="auto"/>
        <w:jc w:val="both"/>
        <w:rPr>
          <w:rFonts w:ascii="Calibri" w:hAnsi="Calibri" w:cs="Calibri"/>
          <w:shd w:val="clear" w:color="auto" w:fill="FFFFFF"/>
        </w:rPr>
      </w:pPr>
      <w:r w:rsidRPr="005A4D76">
        <w:rPr>
          <w:rFonts w:ascii="Calibri" w:hAnsi="Calibri" w:cs="Calibri"/>
          <w:shd w:val="clear" w:color="auto" w:fill="FFFFFF"/>
        </w:rPr>
        <w:t xml:space="preserve">Neusazené osoby </w:t>
      </w:r>
      <w:r w:rsidR="007527C9" w:rsidRPr="005A4D76">
        <w:rPr>
          <w:rFonts w:ascii="Calibri" w:hAnsi="Calibri" w:cs="Calibri"/>
          <w:shd w:val="clear" w:color="auto" w:fill="FFFFFF"/>
        </w:rPr>
        <w:t xml:space="preserve">registroval </w:t>
      </w:r>
      <w:r w:rsidRPr="005A4D76">
        <w:rPr>
          <w:rFonts w:ascii="Calibri" w:hAnsi="Calibri" w:cs="Calibri"/>
          <w:shd w:val="clear" w:color="auto" w:fill="FFFFFF"/>
        </w:rPr>
        <w:t>FÚ MSK podle ustanovení § 6c odst. 2, 3 a 4 a § 6f odst. 2 zákona o DPH. Neusazené osoby mohou být registrovány i jako osoby identifikované k</w:t>
      </w:r>
      <w:r w:rsidR="007527C9">
        <w:rPr>
          <w:rFonts w:ascii="Calibri" w:hAnsi="Calibri" w:cs="Calibri"/>
          <w:shd w:val="clear" w:color="auto" w:fill="FFFFFF"/>
        </w:rPr>
        <w:t xml:space="preserve"> </w:t>
      </w:r>
      <w:r w:rsidRPr="005A4D76">
        <w:rPr>
          <w:rFonts w:ascii="Calibri" w:hAnsi="Calibri" w:cs="Calibri"/>
          <w:shd w:val="clear" w:color="auto" w:fill="FFFFFF"/>
        </w:rPr>
        <w:t xml:space="preserve">dani podle ustanovení § 6g a § 6k zákona o DPH. </w:t>
      </w:r>
      <w:r>
        <w:rPr>
          <w:rFonts w:ascii="Calibri" w:hAnsi="Calibri" w:cs="Calibri"/>
          <w:shd w:val="clear" w:color="auto" w:fill="FFFFFF"/>
        </w:rPr>
        <w:t>FÚ MSK</w:t>
      </w:r>
      <w:r w:rsidRPr="005A4D76">
        <w:rPr>
          <w:rFonts w:ascii="Calibri" w:hAnsi="Calibri" w:cs="Calibri"/>
          <w:shd w:val="clear" w:color="auto" w:fill="FFFFFF"/>
        </w:rPr>
        <w:t xml:space="preserve"> registr</w:t>
      </w:r>
      <w:r>
        <w:rPr>
          <w:rFonts w:ascii="Calibri" w:hAnsi="Calibri" w:cs="Calibri"/>
          <w:shd w:val="clear" w:color="auto" w:fill="FFFFFF"/>
        </w:rPr>
        <w:t>oval</w:t>
      </w:r>
      <w:r w:rsidRPr="005A4D76">
        <w:rPr>
          <w:rFonts w:ascii="Calibri" w:hAnsi="Calibri" w:cs="Calibri"/>
          <w:shd w:val="clear" w:color="auto" w:fill="FFFFFF"/>
        </w:rPr>
        <w:t xml:space="preserve"> neusazené osoby na základě podané přihlášky k registraci k DPH (registrace dobrovolná) nebo z moci úřední. </w:t>
      </w:r>
    </w:p>
    <w:p w14:paraId="5A2E8A10" w14:textId="77777777" w:rsidR="00C512CA" w:rsidRPr="005A4D76" w:rsidRDefault="00C512CA" w:rsidP="00E040A3">
      <w:pPr>
        <w:pStyle w:val="Odstavecsmalmodsazenm"/>
        <w:spacing w:after="0"/>
        <w:rPr>
          <w:rFonts w:ascii="Calibri" w:hAnsi="Calibri" w:cs="Calibri"/>
          <w:shd w:val="clear" w:color="auto" w:fill="FFFFFF"/>
        </w:rPr>
      </w:pPr>
    </w:p>
    <w:p w14:paraId="44677380" w14:textId="73D7C85F" w:rsidR="00C3708B" w:rsidRPr="005A4D76" w:rsidRDefault="0071261F" w:rsidP="00722C30">
      <w:pPr>
        <w:widowControl w:val="0"/>
        <w:spacing w:after="0" w:line="240" w:lineRule="auto"/>
        <w:jc w:val="both"/>
        <w:rPr>
          <w:rFonts w:ascii="Calibri" w:hAnsi="Calibri" w:cs="Calibri"/>
          <w:bCs/>
        </w:rPr>
      </w:pPr>
      <w:r w:rsidRPr="005A4D76">
        <w:t xml:space="preserve">NKÚ zjistil, že </w:t>
      </w:r>
      <w:r w:rsidR="007527C9" w:rsidRPr="005A4D76">
        <w:rPr>
          <w:rFonts w:ascii="Calibri" w:eastAsia="Calibri" w:hAnsi="Calibri" w:cs="Calibri"/>
          <w:kern w:val="0"/>
          <w:lang w:eastAsia="cs-CZ" w:bidi="cs-CZ"/>
          <w14:ligatures w14:val="none"/>
        </w:rPr>
        <w:t xml:space="preserve">přihláška k registraci k DPH neobsahuje </w:t>
      </w:r>
      <w:r w:rsidRPr="005A4D76">
        <w:t>ú</w:t>
      </w:r>
      <w:r w:rsidRPr="005A4D76">
        <w:rPr>
          <w:rFonts w:ascii="Calibri" w:eastAsia="Calibri" w:hAnsi="Calibri" w:cs="Calibri"/>
          <w:kern w:val="0"/>
          <w:lang w:eastAsia="cs-CZ" w:bidi="cs-CZ"/>
          <w14:ligatures w14:val="none"/>
        </w:rPr>
        <w:t>daj o ekonomické činnosti subjektu (</w:t>
      </w:r>
      <w:r w:rsidR="00D919AE">
        <w:rPr>
          <w:rFonts w:ascii="Calibri" w:eastAsia="Calibri" w:hAnsi="Calibri" w:cs="Calibri"/>
          <w:kern w:val="0"/>
          <w:lang w:eastAsia="cs-CZ" w:bidi="cs-CZ"/>
          <w14:ligatures w14:val="none"/>
        </w:rPr>
        <w:t xml:space="preserve">obsahuje </w:t>
      </w:r>
      <w:r w:rsidRPr="005A4D76">
        <w:rPr>
          <w:rFonts w:ascii="Calibri" w:eastAsia="Calibri" w:hAnsi="Calibri" w:cs="Calibri"/>
          <w:kern w:val="0"/>
          <w:lang w:eastAsia="cs-CZ" w:bidi="cs-CZ"/>
          <w14:ligatures w14:val="none"/>
        </w:rPr>
        <w:t>pouze údaj o důvodu dobrovolné registrace plátce nebo identifikované osoby). Informace o ekonomické činnosti</w:t>
      </w:r>
      <w:r w:rsidR="00D919AE">
        <w:rPr>
          <w:rFonts w:ascii="Calibri" w:eastAsia="Calibri" w:hAnsi="Calibri" w:cs="Calibri"/>
          <w:kern w:val="0"/>
          <w:lang w:eastAsia="cs-CZ" w:bidi="cs-CZ"/>
          <w14:ligatures w14:val="none"/>
        </w:rPr>
        <w:t xml:space="preserve"> není povinným údajem</w:t>
      </w:r>
      <w:r w:rsidR="00C512CA">
        <w:rPr>
          <w:rFonts w:ascii="Calibri" w:eastAsia="Calibri" w:hAnsi="Calibri" w:cs="Calibri"/>
          <w:kern w:val="0"/>
          <w:lang w:eastAsia="cs-CZ" w:bidi="cs-CZ"/>
          <w14:ligatures w14:val="none"/>
        </w:rPr>
        <w:t>,</w:t>
      </w:r>
      <w:r w:rsidRPr="005A4D76">
        <w:rPr>
          <w:rFonts w:ascii="Calibri" w:eastAsia="Calibri" w:hAnsi="Calibri" w:cs="Calibri"/>
          <w:kern w:val="0"/>
          <w:lang w:eastAsia="cs-CZ" w:bidi="cs-CZ"/>
          <w14:ligatures w14:val="none"/>
        </w:rPr>
        <w:t xml:space="preserve"> </w:t>
      </w:r>
      <w:r w:rsidR="00BC792B">
        <w:rPr>
          <w:rFonts w:ascii="Calibri" w:eastAsia="Calibri" w:hAnsi="Calibri" w:cs="Calibri"/>
          <w:kern w:val="0"/>
          <w:lang w:eastAsia="cs-CZ" w:bidi="cs-CZ"/>
          <w14:ligatures w14:val="none"/>
        </w:rPr>
        <w:t>FÚ MSK</w:t>
      </w:r>
      <w:r w:rsidRPr="005A4D76">
        <w:rPr>
          <w:rFonts w:ascii="Calibri" w:eastAsia="Calibri" w:hAnsi="Calibri" w:cs="Calibri"/>
          <w:kern w:val="0"/>
          <w:lang w:eastAsia="cs-CZ" w:bidi="cs-CZ"/>
          <w14:ligatures w14:val="none"/>
        </w:rPr>
        <w:t xml:space="preserve"> </w:t>
      </w:r>
      <w:r w:rsidR="007527C9">
        <w:rPr>
          <w:rFonts w:ascii="Calibri" w:eastAsia="Calibri" w:hAnsi="Calibri" w:cs="Calibri"/>
          <w:kern w:val="0"/>
          <w:lang w:eastAsia="cs-CZ" w:bidi="cs-CZ"/>
          <w14:ligatures w14:val="none"/>
        </w:rPr>
        <w:t xml:space="preserve">ji </w:t>
      </w:r>
      <w:r w:rsidR="0051271E">
        <w:rPr>
          <w:rFonts w:ascii="Calibri" w:eastAsia="Calibri" w:hAnsi="Calibri" w:cs="Calibri"/>
          <w:kern w:val="0"/>
          <w:lang w:eastAsia="cs-CZ" w:bidi="cs-CZ"/>
          <w14:ligatures w14:val="none"/>
        </w:rPr>
        <w:t>však</w:t>
      </w:r>
      <w:r w:rsidR="0051271E" w:rsidRPr="005A4D76">
        <w:rPr>
          <w:rFonts w:ascii="Calibri" w:eastAsia="Calibri" w:hAnsi="Calibri" w:cs="Calibri"/>
          <w:kern w:val="0"/>
          <w:lang w:eastAsia="cs-CZ" w:bidi="cs-CZ"/>
          <w14:ligatures w14:val="none"/>
        </w:rPr>
        <w:t xml:space="preserve"> </w:t>
      </w:r>
      <w:r w:rsidR="00C512CA" w:rsidRPr="005A4D76">
        <w:rPr>
          <w:rFonts w:ascii="Calibri" w:eastAsia="Calibri" w:hAnsi="Calibri" w:cs="Calibri"/>
          <w:kern w:val="0"/>
          <w:lang w:eastAsia="cs-CZ" w:bidi="cs-CZ"/>
          <w14:ligatures w14:val="none"/>
        </w:rPr>
        <w:t>může</w:t>
      </w:r>
      <w:r w:rsidR="00C512CA">
        <w:rPr>
          <w:rFonts w:ascii="Calibri" w:eastAsia="Calibri" w:hAnsi="Calibri" w:cs="Calibri"/>
          <w:kern w:val="0"/>
          <w:lang w:eastAsia="cs-CZ" w:bidi="cs-CZ"/>
          <w14:ligatures w14:val="none"/>
        </w:rPr>
        <w:t xml:space="preserve"> </w:t>
      </w:r>
      <w:r w:rsidRPr="005A4D76">
        <w:rPr>
          <w:rFonts w:ascii="Calibri" w:eastAsia="Calibri" w:hAnsi="Calibri" w:cs="Calibri"/>
          <w:kern w:val="0"/>
          <w:lang w:eastAsia="cs-CZ" w:bidi="cs-CZ"/>
          <w14:ligatures w14:val="none"/>
        </w:rPr>
        <w:t>zjistit</w:t>
      </w:r>
      <w:r w:rsidR="00C512CA">
        <w:rPr>
          <w:rFonts w:ascii="Calibri" w:eastAsia="Calibri" w:hAnsi="Calibri" w:cs="Calibri"/>
          <w:kern w:val="0"/>
          <w:lang w:eastAsia="cs-CZ" w:bidi="cs-CZ"/>
          <w14:ligatures w14:val="none"/>
        </w:rPr>
        <w:t xml:space="preserve"> </w:t>
      </w:r>
      <w:r w:rsidRPr="005A4D76">
        <w:rPr>
          <w:rFonts w:ascii="Calibri" w:eastAsia="Calibri" w:hAnsi="Calibri" w:cs="Calibri"/>
          <w:kern w:val="0"/>
          <w:lang w:eastAsia="cs-CZ" w:bidi="cs-CZ"/>
          <w14:ligatures w14:val="none"/>
        </w:rPr>
        <w:t>z</w:t>
      </w:r>
      <w:r w:rsidR="007527C9">
        <w:rPr>
          <w:rFonts w:ascii="Calibri" w:eastAsia="Calibri" w:hAnsi="Calibri" w:cs="Calibri"/>
          <w:kern w:val="0"/>
          <w:lang w:eastAsia="cs-CZ" w:bidi="cs-CZ"/>
          <w14:ligatures w14:val="none"/>
        </w:rPr>
        <w:t> </w:t>
      </w:r>
      <w:r w:rsidRPr="005A4D76">
        <w:rPr>
          <w:rFonts w:ascii="Calibri" w:eastAsia="Calibri" w:hAnsi="Calibri" w:cs="Calibri"/>
          <w:kern w:val="0"/>
          <w:lang w:eastAsia="cs-CZ" w:bidi="cs-CZ"/>
          <w14:ligatures w14:val="none"/>
        </w:rPr>
        <w:t>doložených příloh</w:t>
      </w:r>
      <w:r w:rsidR="00C512CA">
        <w:rPr>
          <w:rFonts w:ascii="Calibri" w:eastAsia="Calibri" w:hAnsi="Calibri" w:cs="Calibri"/>
          <w:kern w:val="0"/>
          <w:lang w:eastAsia="cs-CZ" w:bidi="cs-CZ"/>
          <w14:ligatures w14:val="none"/>
        </w:rPr>
        <w:t xml:space="preserve"> k přihlášce k registraci</w:t>
      </w:r>
      <w:r w:rsidRPr="005A4D76">
        <w:rPr>
          <w:rFonts w:ascii="Calibri" w:eastAsia="Calibri" w:hAnsi="Calibri" w:cs="Calibri"/>
          <w:kern w:val="0"/>
          <w:lang w:eastAsia="cs-CZ" w:bidi="cs-CZ"/>
          <w14:ligatures w14:val="none"/>
        </w:rPr>
        <w:t xml:space="preserve">. </w:t>
      </w:r>
      <w:r w:rsidR="00F36DE6" w:rsidRPr="005A4D76">
        <w:rPr>
          <w:rFonts w:ascii="Calibri" w:hAnsi="Calibri" w:cs="Calibri"/>
          <w:shd w:val="clear" w:color="auto" w:fill="FFFFFF"/>
        </w:rPr>
        <w:t xml:space="preserve">FÚ MSK </w:t>
      </w:r>
      <w:r w:rsidR="007527C9">
        <w:rPr>
          <w:rFonts w:ascii="Calibri" w:hAnsi="Calibri" w:cs="Calibri"/>
          <w:shd w:val="clear" w:color="auto" w:fill="FFFFFF"/>
        </w:rPr>
        <w:t>n</w:t>
      </w:r>
      <w:r w:rsidR="007527C9" w:rsidRPr="005A4D76">
        <w:rPr>
          <w:rFonts w:ascii="Calibri" w:hAnsi="Calibri" w:cs="Calibri"/>
          <w:shd w:val="clear" w:color="auto" w:fill="FFFFFF"/>
        </w:rPr>
        <w:t xml:space="preserve">apř. </w:t>
      </w:r>
      <w:r w:rsidR="00F36DE6" w:rsidRPr="005A4D76">
        <w:rPr>
          <w:rFonts w:ascii="Calibri" w:hAnsi="Calibri" w:cs="Calibri"/>
          <w:shd w:val="clear" w:color="auto" w:fill="FFFFFF"/>
        </w:rPr>
        <w:t>zjišť</w:t>
      </w:r>
      <w:r w:rsidR="00595C99">
        <w:rPr>
          <w:rFonts w:ascii="Calibri" w:hAnsi="Calibri" w:cs="Calibri"/>
          <w:shd w:val="clear" w:color="auto" w:fill="FFFFFF"/>
        </w:rPr>
        <w:t>oval</w:t>
      </w:r>
      <w:r w:rsidR="00F36DE6" w:rsidRPr="005A4D76">
        <w:rPr>
          <w:rFonts w:ascii="Calibri" w:hAnsi="Calibri" w:cs="Calibri"/>
          <w:shd w:val="clear" w:color="auto" w:fill="FFFFFF"/>
        </w:rPr>
        <w:t xml:space="preserve"> skutečnosti nasvědčující tomu, že žadatel o registraci obchoduje prostřednictvím elektronické platformy </w:t>
      </w:r>
      <w:r w:rsidR="00C87C66">
        <w:rPr>
          <w:rFonts w:ascii="Calibri" w:hAnsi="Calibri" w:cs="Calibri"/>
          <w:shd w:val="clear" w:color="auto" w:fill="FFFFFF"/>
        </w:rPr>
        <w:t xml:space="preserve">(pomocí </w:t>
      </w:r>
      <w:r w:rsidR="00F36DE6" w:rsidRPr="005A4D76">
        <w:rPr>
          <w:rFonts w:ascii="Calibri" w:hAnsi="Calibri" w:cs="Calibri"/>
          <w:shd w:val="clear" w:color="auto" w:fill="FFFFFF"/>
        </w:rPr>
        <w:t>odkazů na příslušné webové stránky</w:t>
      </w:r>
      <w:r w:rsidR="00C87C66">
        <w:rPr>
          <w:rFonts w:ascii="Calibri" w:hAnsi="Calibri" w:cs="Calibri"/>
          <w:shd w:val="clear" w:color="auto" w:fill="FFFFFF"/>
        </w:rPr>
        <w:t>)</w:t>
      </w:r>
      <w:r w:rsidR="00F36DE6" w:rsidRPr="005A4D76">
        <w:rPr>
          <w:rFonts w:ascii="Calibri" w:hAnsi="Calibri" w:cs="Calibri"/>
          <w:shd w:val="clear" w:color="auto" w:fill="FFFFFF"/>
        </w:rPr>
        <w:t xml:space="preserve">. </w:t>
      </w:r>
      <w:r w:rsidR="00F36DE6" w:rsidRPr="005A4D76">
        <w:rPr>
          <w:rFonts w:ascii="Calibri" w:hAnsi="Calibri" w:cs="Calibri"/>
          <w:bCs/>
        </w:rPr>
        <w:t>V</w:t>
      </w:r>
      <w:r w:rsidR="00C87C66">
        <w:rPr>
          <w:rFonts w:ascii="Calibri" w:hAnsi="Calibri" w:cs="Calibri"/>
          <w:bCs/>
        </w:rPr>
        <w:t xml:space="preserve"> </w:t>
      </w:r>
      <w:r w:rsidR="00F36DE6" w:rsidRPr="005A4D76">
        <w:rPr>
          <w:rFonts w:ascii="Calibri" w:hAnsi="Calibri" w:cs="Calibri"/>
          <w:bCs/>
        </w:rPr>
        <w:t xml:space="preserve">případě zákonných registrací při obchodování prostřednictvím elektronické platformy </w:t>
      </w:r>
      <w:r w:rsidR="00595C99">
        <w:rPr>
          <w:rFonts w:ascii="Calibri" w:hAnsi="Calibri" w:cs="Calibri"/>
          <w:bCs/>
        </w:rPr>
        <w:t>mohl vyžadovat</w:t>
      </w:r>
      <w:r w:rsidR="00F36DE6" w:rsidRPr="005A4D76">
        <w:rPr>
          <w:rFonts w:ascii="Calibri" w:hAnsi="Calibri" w:cs="Calibri"/>
          <w:bCs/>
        </w:rPr>
        <w:t xml:space="preserve"> konkrétní důkazní prostředky k prověření, že žadatelům povinnost zákonné registrace opravdu vznikla (např. faktury, dodací/přepravní listy apod.).</w:t>
      </w:r>
      <w:r w:rsidR="00C3708B" w:rsidRPr="005A4D76">
        <w:rPr>
          <w:rFonts w:ascii="Calibri" w:hAnsi="Calibri" w:cs="Calibri"/>
          <w:bCs/>
        </w:rPr>
        <w:t xml:space="preserve"> </w:t>
      </w:r>
    </w:p>
    <w:p w14:paraId="2EDF1AE8" w14:textId="77777777" w:rsidR="00787A21" w:rsidRDefault="00787A21" w:rsidP="00313E6C">
      <w:pPr>
        <w:widowControl w:val="0"/>
        <w:spacing w:after="0" w:line="240" w:lineRule="auto"/>
        <w:jc w:val="both"/>
        <w:rPr>
          <w:rFonts w:ascii="Calibri" w:hAnsi="Calibri" w:cs="Calibri"/>
          <w:bCs/>
        </w:rPr>
      </w:pPr>
    </w:p>
    <w:p w14:paraId="5732C692" w14:textId="7C037960" w:rsidR="00787A21" w:rsidRDefault="00787A21" w:rsidP="00722C30">
      <w:pPr>
        <w:pStyle w:val="Odstavecsmalmodsazenm"/>
        <w:spacing w:after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NKÚ zjistil, že problémem správy DPH u neusazených osob </w:t>
      </w:r>
      <w:r w:rsidR="00595C99">
        <w:rPr>
          <w:rFonts w:ascii="Calibri" w:hAnsi="Calibri" w:cs="Calibri"/>
          <w:bCs/>
        </w:rPr>
        <w:t>bylo</w:t>
      </w:r>
      <w:r>
        <w:rPr>
          <w:rFonts w:ascii="Calibri" w:hAnsi="Calibri" w:cs="Calibri"/>
          <w:bCs/>
        </w:rPr>
        <w:t xml:space="preserve"> </w:t>
      </w:r>
      <w:r w:rsidRPr="00787A21">
        <w:rPr>
          <w:rFonts w:ascii="Calibri" w:hAnsi="Calibri" w:cs="Calibri"/>
          <w:bCs/>
        </w:rPr>
        <w:t>vyhledávání osob povinných k</w:t>
      </w:r>
      <w:r w:rsidR="00C87C66">
        <w:rPr>
          <w:rFonts w:ascii="Calibri" w:hAnsi="Calibri" w:cs="Calibri"/>
          <w:bCs/>
        </w:rPr>
        <w:t> </w:t>
      </w:r>
      <w:r w:rsidRPr="00787A21">
        <w:rPr>
          <w:rFonts w:ascii="Calibri" w:hAnsi="Calibri" w:cs="Calibri"/>
          <w:bCs/>
        </w:rPr>
        <w:t xml:space="preserve">dani, které v tuzemsku nemají sídlo ani provozovnu, uskutečňují vybraná plnění </w:t>
      </w:r>
      <w:r w:rsidR="00C87C66">
        <w:rPr>
          <w:rFonts w:ascii="Calibri" w:hAnsi="Calibri" w:cs="Calibri"/>
          <w:bCs/>
        </w:rPr>
        <w:t>(</w:t>
      </w:r>
      <w:r w:rsidRPr="00787A21">
        <w:rPr>
          <w:rFonts w:ascii="Calibri" w:hAnsi="Calibri" w:cs="Calibri"/>
          <w:bCs/>
        </w:rPr>
        <w:t>zejména prodej zboží na dálku s místem plnění v</w:t>
      </w:r>
      <w:r w:rsidR="00C87C66">
        <w:rPr>
          <w:rFonts w:ascii="Calibri" w:hAnsi="Calibri" w:cs="Calibri"/>
          <w:bCs/>
        </w:rPr>
        <w:t xml:space="preserve"> </w:t>
      </w:r>
      <w:r w:rsidRPr="00787A21">
        <w:rPr>
          <w:rFonts w:ascii="Calibri" w:hAnsi="Calibri" w:cs="Calibri"/>
          <w:bCs/>
        </w:rPr>
        <w:t>tuzemsku</w:t>
      </w:r>
      <w:r w:rsidR="00C87C66">
        <w:rPr>
          <w:rFonts w:ascii="Calibri" w:hAnsi="Calibri" w:cs="Calibri"/>
          <w:bCs/>
        </w:rPr>
        <w:t>)</w:t>
      </w:r>
      <w:r w:rsidRPr="00787A21">
        <w:rPr>
          <w:rFonts w:ascii="Calibri" w:hAnsi="Calibri" w:cs="Calibri"/>
          <w:bCs/>
        </w:rPr>
        <w:t>, nesplnily povinnost registrace k DPH v</w:t>
      </w:r>
      <w:r w:rsidR="00C87C66">
        <w:rPr>
          <w:rFonts w:ascii="Calibri" w:hAnsi="Calibri" w:cs="Calibri"/>
          <w:bCs/>
        </w:rPr>
        <w:t> </w:t>
      </w:r>
      <w:r w:rsidRPr="00787A21">
        <w:rPr>
          <w:rFonts w:ascii="Calibri" w:hAnsi="Calibri" w:cs="Calibri"/>
          <w:bCs/>
        </w:rPr>
        <w:t>tuzemsku a nepřiznávají DPH z uskutečněných zdanitelných plnění</w:t>
      </w:r>
      <w:r>
        <w:rPr>
          <w:rFonts w:ascii="Calibri" w:hAnsi="Calibri" w:cs="Calibri"/>
          <w:bCs/>
        </w:rPr>
        <w:t>.</w:t>
      </w:r>
      <w:r w:rsidR="00CF5F04" w:rsidRPr="00CF5F04">
        <w:rPr>
          <w:rFonts w:ascii="Calibri" w:eastAsia="Aptos" w:hAnsi="Calibri" w:cs="Calibri"/>
        </w:rPr>
        <w:t xml:space="preserve"> </w:t>
      </w:r>
    </w:p>
    <w:p w14:paraId="7B469E52" w14:textId="77777777" w:rsidR="00C512CA" w:rsidRDefault="00C512CA" w:rsidP="00722C30">
      <w:pPr>
        <w:pStyle w:val="Odstavecsmalmodsazenm"/>
        <w:spacing w:after="0"/>
        <w:rPr>
          <w:rFonts w:ascii="Calibri" w:eastAsia="Aptos" w:hAnsi="Calibri" w:cs="Calibri"/>
        </w:rPr>
      </w:pPr>
    </w:p>
    <w:p w14:paraId="511BB8C0" w14:textId="724A11CD" w:rsidR="00787A21" w:rsidRDefault="00C87C66" w:rsidP="00722C30">
      <w:pPr>
        <w:pStyle w:val="Odstavecsmalmodsazenm"/>
        <w:spacing w:after="0"/>
        <w:rPr>
          <w:rFonts w:ascii="Calibri" w:eastAsia="Aptos" w:hAnsi="Calibri" w:cs="Calibri"/>
        </w:rPr>
      </w:pPr>
      <w:r>
        <w:rPr>
          <w:rFonts w:ascii="Calibri" w:eastAsia="Aptos" w:hAnsi="Calibri" w:cs="Calibri"/>
        </w:rPr>
        <w:t>FÚ MSK n</w:t>
      </w:r>
      <w:r w:rsidR="00C512CA">
        <w:rPr>
          <w:rFonts w:ascii="Calibri" w:eastAsia="Aptos" w:hAnsi="Calibri" w:cs="Calibri"/>
        </w:rPr>
        <w:t xml:space="preserve">a základě vlastní vyhledávací činnosti zaregistroval k DPH pět subjektů a vyměřil DPH v celkové výši 10 292 734 Kč, z čehož subjekty uhradily 3 085 670 Kč. </w:t>
      </w:r>
      <w:r>
        <w:rPr>
          <w:rFonts w:ascii="Calibri" w:eastAsia="Aptos" w:hAnsi="Calibri" w:cs="Calibri"/>
        </w:rPr>
        <w:t>Dále n</w:t>
      </w:r>
      <w:r w:rsidR="00C512CA">
        <w:rPr>
          <w:rFonts w:ascii="Calibri" w:eastAsia="Aptos" w:hAnsi="Calibri" w:cs="Calibri"/>
        </w:rPr>
        <w:t xml:space="preserve">a základě ověřování externích podnětů FÚ MSK zaregistroval k DPH 11 neusazených osob </w:t>
      </w:r>
      <w:r>
        <w:rPr>
          <w:rFonts w:ascii="Calibri" w:eastAsia="Aptos" w:hAnsi="Calibri" w:cs="Calibri"/>
        </w:rPr>
        <w:t>a d</w:t>
      </w:r>
      <w:r w:rsidR="00C512CA">
        <w:rPr>
          <w:rFonts w:ascii="Calibri" w:eastAsia="Aptos" w:hAnsi="Calibri" w:cs="Calibri"/>
        </w:rPr>
        <w:t>eseti z</w:t>
      </w:r>
      <w:r>
        <w:rPr>
          <w:rFonts w:ascii="Calibri" w:eastAsia="Aptos" w:hAnsi="Calibri" w:cs="Calibri"/>
        </w:rPr>
        <w:t> </w:t>
      </w:r>
      <w:r w:rsidR="00C512CA">
        <w:rPr>
          <w:rFonts w:ascii="Calibri" w:eastAsia="Aptos" w:hAnsi="Calibri" w:cs="Calibri"/>
        </w:rPr>
        <w:t>nich doměřil DPH ve výši 4 738 854 Kč</w:t>
      </w:r>
      <w:r>
        <w:rPr>
          <w:rFonts w:ascii="Calibri" w:eastAsia="Aptos" w:hAnsi="Calibri" w:cs="Calibri"/>
        </w:rPr>
        <w:t>;</w:t>
      </w:r>
      <w:r w:rsidR="00C512CA">
        <w:rPr>
          <w:rFonts w:ascii="Calibri" w:eastAsia="Aptos" w:hAnsi="Calibri" w:cs="Calibri"/>
        </w:rPr>
        <w:t xml:space="preserve"> uhrazeno bylo 2 858 152 Kč.</w:t>
      </w:r>
    </w:p>
    <w:p w14:paraId="17541247" w14:textId="77777777" w:rsidR="00C512CA" w:rsidRDefault="00C512CA" w:rsidP="00787A21">
      <w:pPr>
        <w:pStyle w:val="Odstavecsmalmodsazenm"/>
        <w:spacing w:after="0"/>
        <w:rPr>
          <w:rFonts w:ascii="Calibri" w:hAnsi="Calibri" w:cs="Calibri"/>
          <w:bCs/>
        </w:rPr>
      </w:pPr>
    </w:p>
    <w:p w14:paraId="57508D2A" w14:textId="6C2C3A66" w:rsidR="004D4086" w:rsidRPr="004D4086" w:rsidRDefault="00C175DC" w:rsidP="004D4086">
      <w:pPr>
        <w:spacing w:after="0" w:line="240" w:lineRule="auto"/>
        <w:jc w:val="both"/>
        <w:rPr>
          <w:rFonts w:ascii="Calibri" w:hAnsi="Calibri" w:cs="Calibri"/>
          <w:bCs/>
        </w:rPr>
      </w:pPr>
      <w:r w:rsidRPr="00CB57AE">
        <w:rPr>
          <w:rFonts w:ascii="Calibri" w:eastAsia="Aptos" w:hAnsi="Calibri" w:cs="Calibri"/>
        </w:rPr>
        <w:t xml:space="preserve">Na vyhledávání těchto subjektů se prvotně podílelo GFŘ, které </w:t>
      </w:r>
      <w:r w:rsidR="00C87C66">
        <w:rPr>
          <w:rFonts w:ascii="Calibri" w:eastAsia="Aptos" w:hAnsi="Calibri" w:cs="Calibri"/>
        </w:rPr>
        <w:t>Finančnímu úřadu</w:t>
      </w:r>
      <w:r w:rsidRPr="00CB57AE">
        <w:rPr>
          <w:rFonts w:ascii="Calibri" w:eastAsia="Aptos" w:hAnsi="Calibri" w:cs="Calibri"/>
        </w:rPr>
        <w:t xml:space="preserve"> </w:t>
      </w:r>
      <w:r w:rsidR="00C87C66">
        <w:rPr>
          <w:rFonts w:ascii="Calibri" w:eastAsia="Aptos" w:hAnsi="Calibri" w:cs="Calibri"/>
        </w:rPr>
        <w:t xml:space="preserve">pro </w:t>
      </w:r>
      <w:r w:rsidR="00C87C66">
        <w:rPr>
          <w:rFonts w:cstheme="minorHAnsi"/>
          <w:color w:val="000000"/>
        </w:rPr>
        <w:t>Moravskoslezský kraj</w:t>
      </w:r>
      <w:r w:rsidRPr="00CB57AE">
        <w:rPr>
          <w:rFonts w:ascii="Calibri" w:eastAsia="Aptos" w:hAnsi="Calibri" w:cs="Calibri"/>
        </w:rPr>
        <w:t xml:space="preserve"> zasílalo podněty ke</w:t>
      </w:r>
      <w:r w:rsidR="007C477D">
        <w:rPr>
          <w:rFonts w:ascii="Calibri" w:eastAsia="Aptos" w:hAnsi="Calibri" w:cs="Calibri"/>
        </w:rPr>
        <w:t xml:space="preserve"> </w:t>
      </w:r>
      <w:r w:rsidRPr="00CB57AE">
        <w:rPr>
          <w:rFonts w:ascii="Calibri" w:eastAsia="Aptos" w:hAnsi="Calibri" w:cs="Calibri"/>
        </w:rPr>
        <w:t>kontrolní činnosti.</w:t>
      </w:r>
      <w:r>
        <w:rPr>
          <w:rFonts w:ascii="Calibri" w:eastAsia="Aptos" w:hAnsi="Calibri" w:cs="Calibri"/>
        </w:rPr>
        <w:t xml:space="preserve"> </w:t>
      </w:r>
      <w:r w:rsidR="00CF620A">
        <w:t>NKÚ zjistil, že pro detekci případů rizikových osob, daňových nesrovnalostí a nepřiznání daně využíval</w:t>
      </w:r>
      <w:r>
        <w:t>o GFŘ</w:t>
      </w:r>
      <w:r w:rsidR="00595C99">
        <w:t xml:space="preserve"> </w:t>
      </w:r>
      <w:r w:rsidR="00CF620A">
        <w:t xml:space="preserve">od roku 2024 </w:t>
      </w:r>
      <w:r w:rsidR="00C87C66">
        <w:t>„</w:t>
      </w:r>
      <w:r w:rsidR="00CF620A">
        <w:t xml:space="preserve">registr </w:t>
      </w:r>
      <w:r w:rsidR="002529C2">
        <w:t>osob ve zvláštním režimu</w:t>
      </w:r>
      <w:r w:rsidR="00C87C66">
        <w:t>“</w:t>
      </w:r>
      <w:r w:rsidR="009C6DA6">
        <w:t>, který</w:t>
      </w:r>
      <w:r w:rsidR="00CF620A">
        <w:t xml:space="preserve"> obsahuje</w:t>
      </w:r>
      <w:r w:rsidR="00E56423">
        <w:t xml:space="preserve"> také</w:t>
      </w:r>
      <w:r w:rsidR="00CF620A">
        <w:t xml:space="preserve"> údaje o zrušených registracích </w:t>
      </w:r>
      <w:r w:rsidR="00C87C66">
        <w:t>ke</w:t>
      </w:r>
      <w:r w:rsidR="009C6DA6">
        <w:t xml:space="preserve"> zvláštním</w:t>
      </w:r>
      <w:r w:rsidR="00C87C66">
        <w:t xml:space="preserve">u </w:t>
      </w:r>
      <w:r w:rsidR="00D62CFB">
        <w:t>režimu</w:t>
      </w:r>
      <w:r w:rsidR="00F91FDA">
        <w:t>.</w:t>
      </w:r>
      <w:r w:rsidR="004C7263">
        <w:t xml:space="preserve"> </w:t>
      </w:r>
      <w:r>
        <w:rPr>
          <w:rFonts w:ascii="Calibri" w:hAnsi="Calibri" w:cs="Calibri"/>
          <w:bCs/>
        </w:rPr>
        <w:t>V</w:t>
      </w:r>
      <w:r w:rsidR="004D4086">
        <w:rPr>
          <w:rFonts w:ascii="Calibri" w:hAnsi="Calibri" w:cs="Calibri"/>
          <w:bCs/>
        </w:rPr>
        <w:t>yhledávání subjektů z</w:t>
      </w:r>
      <w:r w:rsidR="00C87C66">
        <w:rPr>
          <w:rFonts w:ascii="Calibri" w:hAnsi="Calibri" w:cs="Calibri"/>
          <w:bCs/>
        </w:rPr>
        <w:t> jiného členského státu</w:t>
      </w:r>
      <w:r w:rsidR="004D4086">
        <w:rPr>
          <w:rFonts w:ascii="Calibri" w:hAnsi="Calibri" w:cs="Calibri"/>
          <w:bCs/>
        </w:rPr>
        <w:t>, které nesplnily povinnost registrace k DPH v ČR, přestože jim tato povinnost vznikla, vyžadovalo individuální analytický přístup a</w:t>
      </w:r>
      <w:r w:rsidR="007C477D">
        <w:rPr>
          <w:rFonts w:ascii="Calibri" w:hAnsi="Calibri" w:cs="Calibri"/>
          <w:bCs/>
        </w:rPr>
        <w:t> </w:t>
      </w:r>
      <w:r w:rsidR="004D4086">
        <w:rPr>
          <w:rFonts w:ascii="Calibri" w:hAnsi="Calibri" w:cs="Calibri"/>
          <w:bCs/>
        </w:rPr>
        <w:t xml:space="preserve">nebylo automatizované. </w:t>
      </w:r>
      <w:r w:rsidR="004D4086" w:rsidRPr="004D4086">
        <w:rPr>
          <w:rFonts w:ascii="Calibri" w:hAnsi="Calibri" w:cs="Calibri"/>
          <w:bCs/>
        </w:rPr>
        <w:t xml:space="preserve">Automatické generování sestav zrušených registrací </w:t>
      </w:r>
      <w:r w:rsidR="007C477D">
        <w:rPr>
          <w:rFonts w:ascii="Calibri" w:hAnsi="Calibri" w:cs="Calibri"/>
          <w:bCs/>
        </w:rPr>
        <w:t>ke</w:t>
      </w:r>
      <w:r w:rsidR="00D47F04">
        <w:rPr>
          <w:rFonts w:ascii="Calibri" w:hAnsi="Calibri" w:cs="Calibri"/>
          <w:bCs/>
        </w:rPr>
        <w:t xml:space="preserve"> zvláštním</w:t>
      </w:r>
      <w:r w:rsidR="007C477D">
        <w:rPr>
          <w:rFonts w:ascii="Calibri" w:hAnsi="Calibri" w:cs="Calibri"/>
          <w:bCs/>
        </w:rPr>
        <w:t>u</w:t>
      </w:r>
      <w:r w:rsidR="00D47F04">
        <w:rPr>
          <w:rFonts w:ascii="Calibri" w:hAnsi="Calibri" w:cs="Calibri"/>
          <w:bCs/>
        </w:rPr>
        <w:t xml:space="preserve"> režimu </w:t>
      </w:r>
      <w:r w:rsidR="007C477D">
        <w:rPr>
          <w:rFonts w:ascii="Calibri" w:hAnsi="Calibri" w:cs="Calibri"/>
          <w:bCs/>
        </w:rPr>
        <w:t xml:space="preserve">bylo </w:t>
      </w:r>
      <w:r w:rsidR="004D4086" w:rsidRPr="004D4086">
        <w:rPr>
          <w:rFonts w:ascii="Calibri" w:hAnsi="Calibri" w:cs="Calibri"/>
          <w:bCs/>
        </w:rPr>
        <w:t>dle GFŘ komplikov</w:t>
      </w:r>
      <w:r w:rsidR="007C477D">
        <w:rPr>
          <w:rFonts w:ascii="Calibri" w:hAnsi="Calibri" w:cs="Calibri"/>
          <w:bCs/>
        </w:rPr>
        <w:t>áno</w:t>
      </w:r>
      <w:r w:rsidR="004D4086" w:rsidRPr="004D4086">
        <w:rPr>
          <w:rFonts w:ascii="Calibri" w:hAnsi="Calibri" w:cs="Calibri"/>
          <w:bCs/>
        </w:rPr>
        <w:t xml:space="preserve"> problém</w:t>
      </w:r>
      <w:r w:rsidR="007C477D">
        <w:rPr>
          <w:rFonts w:ascii="Calibri" w:hAnsi="Calibri" w:cs="Calibri"/>
          <w:bCs/>
        </w:rPr>
        <w:t>em</w:t>
      </w:r>
      <w:r w:rsidR="004D4086" w:rsidRPr="004D4086">
        <w:rPr>
          <w:rFonts w:ascii="Calibri" w:hAnsi="Calibri" w:cs="Calibri"/>
          <w:bCs/>
        </w:rPr>
        <w:t xml:space="preserve"> nejednotné identifikace subjektů v rámci EU, velmi dynamický</w:t>
      </w:r>
      <w:r w:rsidR="007C477D">
        <w:rPr>
          <w:rFonts w:ascii="Calibri" w:hAnsi="Calibri" w:cs="Calibri"/>
          <w:bCs/>
        </w:rPr>
        <w:t>m</w:t>
      </w:r>
      <w:r w:rsidR="004D4086" w:rsidRPr="004D4086">
        <w:rPr>
          <w:rFonts w:ascii="Calibri" w:hAnsi="Calibri" w:cs="Calibri"/>
          <w:bCs/>
        </w:rPr>
        <w:t xml:space="preserve"> vývoj</w:t>
      </w:r>
      <w:r w:rsidR="007C477D">
        <w:rPr>
          <w:rFonts w:ascii="Calibri" w:hAnsi="Calibri" w:cs="Calibri"/>
          <w:bCs/>
        </w:rPr>
        <w:t>em</w:t>
      </w:r>
      <w:r w:rsidR="004D4086" w:rsidRPr="004D4086">
        <w:rPr>
          <w:rFonts w:ascii="Calibri" w:hAnsi="Calibri" w:cs="Calibri"/>
          <w:bCs/>
        </w:rPr>
        <w:t>, nevyhovující struktur</w:t>
      </w:r>
      <w:r w:rsidR="007C477D">
        <w:rPr>
          <w:rFonts w:ascii="Calibri" w:hAnsi="Calibri" w:cs="Calibri"/>
          <w:bCs/>
        </w:rPr>
        <w:t>ou</w:t>
      </w:r>
      <w:r w:rsidR="004D4086" w:rsidRPr="004D4086">
        <w:rPr>
          <w:rFonts w:ascii="Calibri" w:hAnsi="Calibri" w:cs="Calibri"/>
          <w:bCs/>
        </w:rPr>
        <w:t xml:space="preserve"> </w:t>
      </w:r>
      <w:r w:rsidR="007C477D">
        <w:rPr>
          <w:rFonts w:ascii="Calibri" w:hAnsi="Calibri" w:cs="Calibri"/>
          <w:bCs/>
        </w:rPr>
        <w:t>dat i</w:t>
      </w:r>
      <w:r w:rsidR="004D4086" w:rsidRPr="004D4086">
        <w:rPr>
          <w:rFonts w:ascii="Calibri" w:hAnsi="Calibri" w:cs="Calibri"/>
          <w:bCs/>
        </w:rPr>
        <w:t xml:space="preserve"> náročnost</w:t>
      </w:r>
      <w:r w:rsidR="007C477D">
        <w:rPr>
          <w:rFonts w:ascii="Calibri" w:hAnsi="Calibri" w:cs="Calibri"/>
          <w:bCs/>
        </w:rPr>
        <w:t>í jejich</w:t>
      </w:r>
      <w:r w:rsidR="004D4086" w:rsidRPr="004D4086">
        <w:rPr>
          <w:rFonts w:ascii="Calibri" w:hAnsi="Calibri" w:cs="Calibri"/>
          <w:bCs/>
        </w:rPr>
        <w:t xml:space="preserve"> zpracování. </w:t>
      </w:r>
      <w:r w:rsidR="004D4086">
        <w:rPr>
          <w:rFonts w:ascii="Calibri" w:hAnsi="Calibri" w:cs="Calibri"/>
          <w:bCs/>
        </w:rPr>
        <w:t>Ke zlepšení při odhalování rizikových osob a daňových nesrovnalostí by mělo přispět plné zprovoznění systému kontroly elektronických plateb CESOP.</w:t>
      </w:r>
    </w:p>
    <w:p w14:paraId="34A70924" w14:textId="77777777" w:rsidR="00F56DFB" w:rsidRDefault="00F56DFB" w:rsidP="00F56DFB">
      <w:pPr>
        <w:spacing w:after="0" w:line="240" w:lineRule="auto"/>
        <w:jc w:val="both"/>
        <w:rPr>
          <w:rFonts w:cstheme="minorHAnsi"/>
          <w:color w:val="000000"/>
          <w:lang w:bidi="cs-CZ"/>
        </w:rPr>
      </w:pPr>
    </w:p>
    <w:p w14:paraId="2AC88B29" w14:textId="7C4FD397" w:rsidR="00F36DE6" w:rsidRDefault="004D4086" w:rsidP="004D4086">
      <w:pPr>
        <w:pStyle w:val="Odstavecsmalmodsazenm"/>
        <w:spacing w:after="0"/>
        <w:rPr>
          <w:rFonts w:ascii="Calibri" w:hAnsi="Calibri" w:cs="Calibri"/>
          <w:bCs/>
        </w:rPr>
      </w:pPr>
      <w:r>
        <w:t xml:space="preserve">K 19. 2. 2025 byla zrušena registrace </w:t>
      </w:r>
      <w:r w:rsidR="008A78C3">
        <w:t>k</w:t>
      </w:r>
      <w:r w:rsidR="007C477D">
        <w:t xml:space="preserve"> </w:t>
      </w:r>
      <w:r w:rsidR="00FB557A">
        <w:t>zvláštní</w:t>
      </w:r>
      <w:r w:rsidR="008A78C3">
        <w:t>mu</w:t>
      </w:r>
      <w:r w:rsidR="007C477D">
        <w:t xml:space="preserve"> </w:t>
      </w:r>
      <w:r>
        <w:t xml:space="preserve">režimu celkem 50 943 subjektům, z toho </w:t>
      </w:r>
      <w:r w:rsidR="008A78C3">
        <w:br/>
      </w:r>
      <w:r>
        <w:t>u</w:t>
      </w:r>
      <w:r w:rsidR="008A78C3">
        <w:t xml:space="preserve"> </w:t>
      </w:r>
      <w:r>
        <w:t>8 541 subjektů z</w:t>
      </w:r>
      <w:r w:rsidR="008A78C3">
        <w:t xml:space="preserve"> </w:t>
      </w:r>
      <w:r>
        <w:t>důvodu neplnění povinností</w:t>
      </w:r>
      <w:r>
        <w:rPr>
          <w:rFonts w:ascii="Calibri" w:hAnsi="Calibri" w:cs="Calibri"/>
          <w:bCs/>
        </w:rPr>
        <w:t xml:space="preserve">. </w:t>
      </w:r>
      <w:r w:rsidR="00C175DC">
        <w:rPr>
          <w:rFonts w:ascii="Calibri" w:hAnsi="Calibri" w:cs="Calibri"/>
          <w:bCs/>
        </w:rPr>
        <w:t xml:space="preserve">GFŘ zaslalo </w:t>
      </w:r>
      <w:r w:rsidR="007C477D">
        <w:rPr>
          <w:rFonts w:ascii="Calibri" w:eastAsia="Aptos" w:hAnsi="Calibri" w:cs="Calibri"/>
        </w:rPr>
        <w:t>Finančnímu úřadu</w:t>
      </w:r>
      <w:r w:rsidR="007C477D" w:rsidRPr="00CB57AE">
        <w:rPr>
          <w:rFonts w:ascii="Calibri" w:eastAsia="Aptos" w:hAnsi="Calibri" w:cs="Calibri"/>
        </w:rPr>
        <w:t xml:space="preserve"> </w:t>
      </w:r>
      <w:r w:rsidR="007C477D">
        <w:rPr>
          <w:rFonts w:ascii="Calibri" w:eastAsia="Aptos" w:hAnsi="Calibri" w:cs="Calibri"/>
        </w:rPr>
        <w:t xml:space="preserve">pro </w:t>
      </w:r>
      <w:r w:rsidR="007C477D">
        <w:rPr>
          <w:color w:val="000000"/>
        </w:rPr>
        <w:t>Moravskoslezský kraj</w:t>
      </w:r>
      <w:r w:rsidR="00C175DC">
        <w:rPr>
          <w:rFonts w:ascii="Calibri" w:hAnsi="Calibri" w:cs="Calibri"/>
          <w:bCs/>
        </w:rPr>
        <w:t xml:space="preserve"> s</w:t>
      </w:r>
      <w:r w:rsidR="000532C3">
        <w:rPr>
          <w:rFonts w:ascii="Calibri" w:hAnsi="Calibri" w:cs="Calibri"/>
          <w:bCs/>
        </w:rPr>
        <w:t>estav</w:t>
      </w:r>
      <w:r w:rsidR="00C175DC">
        <w:rPr>
          <w:rFonts w:ascii="Calibri" w:hAnsi="Calibri" w:cs="Calibri"/>
          <w:bCs/>
        </w:rPr>
        <w:t>u</w:t>
      </w:r>
      <w:r w:rsidR="000532C3">
        <w:rPr>
          <w:rFonts w:ascii="Calibri" w:hAnsi="Calibri" w:cs="Calibri"/>
          <w:bCs/>
        </w:rPr>
        <w:t xml:space="preserve"> zrušených registrací </w:t>
      </w:r>
      <w:r w:rsidR="008A78C3">
        <w:rPr>
          <w:rFonts w:ascii="Calibri" w:hAnsi="Calibri" w:cs="Calibri"/>
          <w:bCs/>
        </w:rPr>
        <w:t>k</w:t>
      </w:r>
      <w:r w:rsidR="007C477D">
        <w:rPr>
          <w:rFonts w:ascii="Calibri" w:hAnsi="Calibri" w:cs="Calibri"/>
          <w:bCs/>
        </w:rPr>
        <w:t xml:space="preserve"> </w:t>
      </w:r>
      <w:r w:rsidR="00FB557A">
        <w:rPr>
          <w:rFonts w:ascii="Calibri" w:hAnsi="Calibri" w:cs="Calibri"/>
          <w:bCs/>
        </w:rPr>
        <w:t>zvláštní</w:t>
      </w:r>
      <w:r w:rsidR="008A78C3">
        <w:rPr>
          <w:rFonts w:ascii="Calibri" w:hAnsi="Calibri" w:cs="Calibri"/>
          <w:bCs/>
        </w:rPr>
        <w:t>mu</w:t>
      </w:r>
      <w:r w:rsidR="007C477D">
        <w:rPr>
          <w:rFonts w:ascii="Calibri" w:hAnsi="Calibri" w:cs="Calibri"/>
          <w:bCs/>
        </w:rPr>
        <w:t xml:space="preserve"> </w:t>
      </w:r>
      <w:r w:rsidR="000532C3">
        <w:rPr>
          <w:rFonts w:ascii="Calibri" w:hAnsi="Calibri" w:cs="Calibri"/>
          <w:bCs/>
        </w:rPr>
        <w:t xml:space="preserve">režimu, </w:t>
      </w:r>
      <w:r w:rsidR="00C175DC">
        <w:rPr>
          <w:rFonts w:ascii="Calibri" w:hAnsi="Calibri" w:cs="Calibri"/>
          <w:bCs/>
        </w:rPr>
        <w:t>která</w:t>
      </w:r>
      <w:r w:rsidR="000532C3">
        <w:rPr>
          <w:rFonts w:ascii="Calibri" w:hAnsi="Calibri" w:cs="Calibri"/>
          <w:bCs/>
        </w:rPr>
        <w:t xml:space="preserve"> zahrnovala celkem 5 293 </w:t>
      </w:r>
      <w:r w:rsidR="00FB557A">
        <w:rPr>
          <w:rFonts w:ascii="Calibri" w:hAnsi="Calibri" w:cs="Calibri"/>
          <w:bCs/>
        </w:rPr>
        <w:t>osob</w:t>
      </w:r>
      <w:r w:rsidR="000532C3">
        <w:rPr>
          <w:rFonts w:ascii="Calibri" w:hAnsi="Calibri" w:cs="Calibri"/>
          <w:bCs/>
        </w:rPr>
        <w:t xml:space="preserve"> </w:t>
      </w:r>
      <w:r w:rsidR="00E67F19">
        <w:rPr>
          <w:rFonts w:ascii="Calibri" w:hAnsi="Calibri" w:cs="Calibri"/>
          <w:bCs/>
        </w:rPr>
        <w:t>neusazených v</w:t>
      </w:r>
      <w:r w:rsidR="008031D0">
        <w:rPr>
          <w:rFonts w:ascii="Calibri" w:hAnsi="Calibri" w:cs="Calibri"/>
          <w:bCs/>
        </w:rPr>
        <w:t> </w:t>
      </w:r>
      <w:r w:rsidR="00E67F19">
        <w:rPr>
          <w:rFonts w:ascii="Calibri" w:hAnsi="Calibri" w:cs="Calibri"/>
          <w:bCs/>
        </w:rPr>
        <w:t>ČR</w:t>
      </w:r>
      <w:r w:rsidR="008031D0">
        <w:rPr>
          <w:rFonts w:ascii="Calibri" w:hAnsi="Calibri" w:cs="Calibri"/>
          <w:bCs/>
        </w:rPr>
        <w:t>,</w:t>
      </w:r>
      <w:r w:rsidR="00E67F19">
        <w:rPr>
          <w:rFonts w:ascii="Calibri" w:hAnsi="Calibri" w:cs="Calibri"/>
          <w:bCs/>
        </w:rPr>
        <w:t xml:space="preserve"> </w:t>
      </w:r>
      <w:r w:rsidR="00E95163">
        <w:rPr>
          <w:rFonts w:ascii="Calibri" w:hAnsi="Calibri" w:cs="Calibri"/>
          <w:bCs/>
        </w:rPr>
        <w:t xml:space="preserve">které v rámci </w:t>
      </w:r>
      <w:r w:rsidR="000657DC">
        <w:rPr>
          <w:rFonts w:ascii="Calibri" w:hAnsi="Calibri" w:cs="Calibri"/>
          <w:bCs/>
        </w:rPr>
        <w:t xml:space="preserve">zvláštního </w:t>
      </w:r>
      <w:r w:rsidR="00E95163">
        <w:rPr>
          <w:rFonts w:ascii="Calibri" w:hAnsi="Calibri" w:cs="Calibri"/>
          <w:bCs/>
        </w:rPr>
        <w:t>režimu odv</w:t>
      </w:r>
      <w:r w:rsidR="00540346">
        <w:rPr>
          <w:rFonts w:ascii="Calibri" w:hAnsi="Calibri" w:cs="Calibri"/>
          <w:bCs/>
        </w:rPr>
        <w:t>edly</w:t>
      </w:r>
      <w:r w:rsidR="00E95163">
        <w:rPr>
          <w:rFonts w:ascii="Calibri" w:hAnsi="Calibri" w:cs="Calibri"/>
          <w:bCs/>
        </w:rPr>
        <w:t xml:space="preserve"> </w:t>
      </w:r>
      <w:r w:rsidR="00D47F04">
        <w:rPr>
          <w:rFonts w:ascii="Calibri" w:hAnsi="Calibri" w:cs="Calibri"/>
          <w:bCs/>
        </w:rPr>
        <w:t xml:space="preserve">za období let </w:t>
      </w:r>
      <w:r w:rsidR="00D47F04">
        <w:rPr>
          <w:rFonts w:ascii="Calibri" w:hAnsi="Calibri" w:cs="Calibri"/>
          <w:bCs/>
        </w:rPr>
        <w:lastRenderedPageBreak/>
        <w:t>2021</w:t>
      </w:r>
      <w:r w:rsidR="007C477D">
        <w:rPr>
          <w:rFonts w:ascii="Calibri" w:hAnsi="Calibri" w:cs="Calibri"/>
          <w:bCs/>
        </w:rPr>
        <w:t>–</w:t>
      </w:r>
      <w:r w:rsidR="00D47F04">
        <w:rPr>
          <w:rFonts w:ascii="Calibri" w:hAnsi="Calibri" w:cs="Calibri"/>
          <w:bCs/>
        </w:rPr>
        <w:t xml:space="preserve">2024 </w:t>
      </w:r>
      <w:r w:rsidR="00E95163">
        <w:rPr>
          <w:rFonts w:ascii="Calibri" w:hAnsi="Calibri" w:cs="Calibri"/>
          <w:bCs/>
        </w:rPr>
        <w:t>DPH</w:t>
      </w:r>
      <w:r w:rsidR="00540346">
        <w:rPr>
          <w:rFonts w:ascii="Calibri" w:hAnsi="Calibri" w:cs="Calibri"/>
          <w:bCs/>
        </w:rPr>
        <w:t xml:space="preserve"> ve výši 13 383 921,89 </w:t>
      </w:r>
      <w:r w:rsidR="00FF38DB">
        <w:rPr>
          <w:rFonts w:ascii="Calibri" w:hAnsi="Calibri" w:cs="Calibri"/>
          <w:bCs/>
        </w:rPr>
        <w:t>€</w:t>
      </w:r>
      <w:r w:rsidR="00540346">
        <w:rPr>
          <w:rFonts w:ascii="Calibri" w:hAnsi="Calibri" w:cs="Calibri"/>
          <w:bCs/>
        </w:rPr>
        <w:t>.</w:t>
      </w:r>
      <w:r w:rsidR="008031D0">
        <w:rPr>
          <w:rFonts w:ascii="Calibri" w:hAnsi="Calibri" w:cs="Calibri"/>
          <w:bCs/>
        </w:rPr>
        <w:t xml:space="preserve"> </w:t>
      </w:r>
      <w:r w:rsidR="00D47F04" w:rsidRPr="00D47F04">
        <w:rPr>
          <w:rFonts w:ascii="Calibri" w:hAnsi="Calibri" w:cs="Calibri"/>
          <w:bCs/>
        </w:rPr>
        <w:t xml:space="preserve">Z toho 753 subjektům byla registrace </w:t>
      </w:r>
      <w:r w:rsidR="008A78C3">
        <w:rPr>
          <w:rFonts w:ascii="Calibri" w:hAnsi="Calibri" w:cs="Calibri"/>
          <w:bCs/>
        </w:rPr>
        <w:t>k</w:t>
      </w:r>
      <w:r w:rsidR="00D47F04">
        <w:rPr>
          <w:rFonts w:ascii="Calibri" w:hAnsi="Calibri" w:cs="Calibri"/>
          <w:bCs/>
        </w:rPr>
        <w:t xml:space="preserve"> zvláštní</w:t>
      </w:r>
      <w:r w:rsidR="008A78C3">
        <w:rPr>
          <w:rFonts w:ascii="Calibri" w:hAnsi="Calibri" w:cs="Calibri"/>
          <w:bCs/>
        </w:rPr>
        <w:t>mu</w:t>
      </w:r>
      <w:r w:rsidR="00D47F04">
        <w:rPr>
          <w:rFonts w:ascii="Calibri" w:hAnsi="Calibri" w:cs="Calibri"/>
          <w:bCs/>
        </w:rPr>
        <w:t xml:space="preserve"> režimu </w:t>
      </w:r>
      <w:r w:rsidR="00D47F04" w:rsidRPr="00D47F04">
        <w:rPr>
          <w:rFonts w:ascii="Calibri" w:hAnsi="Calibri" w:cs="Calibri"/>
          <w:bCs/>
        </w:rPr>
        <w:t>zrušena z důvodu neplnění povinností a FÚ MSK vybral ke kontrole 10 subjektů, které vykázaly za sledované období DPH odvedenou</w:t>
      </w:r>
      <w:r w:rsidR="00D47F04">
        <w:rPr>
          <w:rFonts w:ascii="Calibri" w:hAnsi="Calibri" w:cs="Calibri"/>
          <w:bCs/>
        </w:rPr>
        <w:t xml:space="preserve"> ve zvláštním režimu</w:t>
      </w:r>
      <w:r w:rsidR="00D47F04" w:rsidRPr="00D47F04">
        <w:rPr>
          <w:rFonts w:ascii="Calibri" w:hAnsi="Calibri" w:cs="Calibri"/>
          <w:bCs/>
        </w:rPr>
        <w:t xml:space="preserve"> ve výši 2 636 614,54 </w:t>
      </w:r>
      <w:r w:rsidR="00FF38DB">
        <w:rPr>
          <w:rFonts w:ascii="Calibri" w:hAnsi="Calibri" w:cs="Calibri"/>
          <w:bCs/>
        </w:rPr>
        <w:t>€</w:t>
      </w:r>
      <w:r w:rsidR="00D47F04">
        <w:rPr>
          <w:rStyle w:val="Znakapoznpodarou"/>
          <w:rFonts w:ascii="Calibri" w:hAnsi="Calibri" w:cs="Calibri"/>
          <w:bCs/>
        </w:rPr>
        <w:footnoteReference w:id="25"/>
      </w:r>
      <w:r w:rsidR="00D47F04" w:rsidRPr="00D47F04">
        <w:rPr>
          <w:rFonts w:ascii="Calibri" w:hAnsi="Calibri" w:cs="Calibri"/>
          <w:bCs/>
        </w:rPr>
        <w:t>.</w:t>
      </w:r>
      <w:r w:rsidR="008553F6">
        <w:rPr>
          <w:rFonts w:ascii="Calibri" w:hAnsi="Calibri" w:cs="Calibri"/>
          <w:bCs/>
        </w:rPr>
        <w:t xml:space="preserve"> </w:t>
      </w:r>
    </w:p>
    <w:p w14:paraId="0DF10A0E" w14:textId="77777777" w:rsidR="008553F6" w:rsidRDefault="008553F6" w:rsidP="00FD4C59">
      <w:pPr>
        <w:spacing w:after="0" w:line="240" w:lineRule="auto"/>
        <w:jc w:val="both"/>
        <w:rPr>
          <w:rFonts w:ascii="Calibri" w:eastAsia="Aptos" w:hAnsi="Calibri" w:cs="Calibri"/>
          <w:b/>
          <w:bCs/>
        </w:rPr>
      </w:pPr>
    </w:p>
    <w:p w14:paraId="7E580E66" w14:textId="1D119262" w:rsidR="00774677" w:rsidRDefault="00774677" w:rsidP="00FD4C59">
      <w:pPr>
        <w:spacing w:after="0" w:line="240" w:lineRule="auto"/>
        <w:jc w:val="both"/>
        <w:rPr>
          <w:rFonts w:ascii="Calibri" w:eastAsia="Aptos" w:hAnsi="Calibri" w:cs="Calibri"/>
        </w:rPr>
      </w:pPr>
      <w:r>
        <w:rPr>
          <w:rFonts w:ascii="Calibri" w:eastAsia="Aptos" w:hAnsi="Calibri" w:cs="Calibri"/>
        </w:rPr>
        <w:t>NKÚ zjistil, že z</w:t>
      </w:r>
      <w:r w:rsidR="00FA25F4">
        <w:rPr>
          <w:rFonts w:ascii="Calibri" w:eastAsia="Aptos" w:hAnsi="Calibri" w:cs="Calibri"/>
        </w:rPr>
        <w:t xml:space="preserve"> </w:t>
      </w:r>
      <w:r>
        <w:rPr>
          <w:rFonts w:ascii="Calibri" w:eastAsia="Aptos" w:hAnsi="Calibri" w:cs="Calibri"/>
        </w:rPr>
        <w:t>prověřovaných 1</w:t>
      </w:r>
      <w:r w:rsidR="008553F6">
        <w:rPr>
          <w:rFonts w:ascii="Calibri" w:eastAsia="Aptos" w:hAnsi="Calibri" w:cs="Calibri"/>
        </w:rPr>
        <w:t>0</w:t>
      </w:r>
      <w:r>
        <w:rPr>
          <w:rFonts w:ascii="Calibri" w:eastAsia="Aptos" w:hAnsi="Calibri" w:cs="Calibri"/>
        </w:rPr>
        <w:t xml:space="preserve"> subjektů, kterým byla z</w:t>
      </w:r>
      <w:r w:rsidR="00FD4C59">
        <w:rPr>
          <w:rFonts w:ascii="Calibri" w:eastAsia="Aptos" w:hAnsi="Calibri" w:cs="Calibri"/>
        </w:rPr>
        <w:t>r</w:t>
      </w:r>
      <w:r>
        <w:rPr>
          <w:rFonts w:ascii="Calibri" w:eastAsia="Aptos" w:hAnsi="Calibri" w:cs="Calibri"/>
        </w:rPr>
        <w:t xml:space="preserve">ušena registrace </w:t>
      </w:r>
      <w:r w:rsidR="008A78C3">
        <w:rPr>
          <w:rFonts w:ascii="Calibri" w:eastAsia="Aptos" w:hAnsi="Calibri" w:cs="Calibri"/>
        </w:rPr>
        <w:t>k</w:t>
      </w:r>
      <w:r w:rsidR="000657DC">
        <w:rPr>
          <w:rFonts w:ascii="Calibri" w:eastAsia="Aptos" w:hAnsi="Calibri" w:cs="Calibri"/>
        </w:rPr>
        <w:t xml:space="preserve"> zvláštní</w:t>
      </w:r>
      <w:r w:rsidR="008A78C3">
        <w:rPr>
          <w:rFonts w:ascii="Calibri" w:eastAsia="Aptos" w:hAnsi="Calibri" w:cs="Calibri"/>
        </w:rPr>
        <w:t>mu</w:t>
      </w:r>
      <w:r w:rsidR="00FA25F4">
        <w:rPr>
          <w:rFonts w:ascii="Calibri" w:eastAsia="Aptos" w:hAnsi="Calibri" w:cs="Calibri"/>
        </w:rPr>
        <w:t xml:space="preserve"> </w:t>
      </w:r>
      <w:r w:rsidR="00670C9E">
        <w:rPr>
          <w:rFonts w:ascii="Calibri" w:eastAsia="Aptos" w:hAnsi="Calibri" w:cs="Calibri"/>
        </w:rPr>
        <w:t>režimu</w:t>
      </w:r>
      <w:r>
        <w:rPr>
          <w:rFonts w:ascii="Calibri" w:eastAsia="Aptos" w:hAnsi="Calibri" w:cs="Calibri"/>
        </w:rPr>
        <w:t xml:space="preserve"> </w:t>
      </w:r>
      <w:r w:rsidR="008A78C3">
        <w:rPr>
          <w:rFonts w:ascii="Calibri" w:eastAsia="Aptos" w:hAnsi="Calibri" w:cs="Calibri"/>
        </w:rPr>
        <w:t>z důvodu</w:t>
      </w:r>
      <w:r>
        <w:rPr>
          <w:rFonts w:ascii="Calibri" w:eastAsia="Aptos" w:hAnsi="Calibri" w:cs="Calibri"/>
        </w:rPr>
        <w:t xml:space="preserve"> neplnění povinností</w:t>
      </w:r>
      <w:r w:rsidR="00FD4C59">
        <w:rPr>
          <w:rFonts w:ascii="Calibri" w:eastAsia="Aptos" w:hAnsi="Calibri" w:cs="Calibri"/>
        </w:rPr>
        <w:t xml:space="preserve">, </w:t>
      </w:r>
      <w:r w:rsidR="006A0F8F">
        <w:rPr>
          <w:rFonts w:ascii="Calibri" w:eastAsia="Aptos" w:hAnsi="Calibri" w:cs="Calibri"/>
        </w:rPr>
        <w:t xml:space="preserve">FÚ MSK zaregistroval k DPH v tuzemsku </w:t>
      </w:r>
      <w:r w:rsidR="00064B74">
        <w:rPr>
          <w:rFonts w:ascii="Calibri" w:eastAsia="Aptos" w:hAnsi="Calibri" w:cs="Calibri"/>
        </w:rPr>
        <w:t xml:space="preserve">tři subjekty </w:t>
      </w:r>
      <w:r w:rsidR="00FA25F4">
        <w:rPr>
          <w:rFonts w:ascii="Calibri" w:eastAsia="Aptos" w:hAnsi="Calibri" w:cs="Calibri"/>
        </w:rPr>
        <w:t>ještě</w:t>
      </w:r>
      <w:r w:rsidR="00064B74">
        <w:rPr>
          <w:rFonts w:ascii="Calibri" w:eastAsia="Aptos" w:hAnsi="Calibri" w:cs="Calibri"/>
        </w:rPr>
        <w:t xml:space="preserve"> před zrušením registrace </w:t>
      </w:r>
      <w:r w:rsidR="00FA25F4">
        <w:rPr>
          <w:rFonts w:ascii="Calibri" w:eastAsia="Aptos" w:hAnsi="Calibri" w:cs="Calibri"/>
        </w:rPr>
        <w:t>do</w:t>
      </w:r>
      <w:r w:rsidR="000657DC">
        <w:rPr>
          <w:rFonts w:ascii="Calibri" w:eastAsia="Aptos" w:hAnsi="Calibri" w:cs="Calibri"/>
        </w:rPr>
        <w:t xml:space="preserve"> zvláštní</w:t>
      </w:r>
      <w:r w:rsidR="00FA25F4">
        <w:rPr>
          <w:rFonts w:ascii="Calibri" w:eastAsia="Aptos" w:hAnsi="Calibri" w:cs="Calibri"/>
        </w:rPr>
        <w:t xml:space="preserve">ho </w:t>
      </w:r>
      <w:r w:rsidR="00367D6A">
        <w:rPr>
          <w:rFonts w:ascii="Calibri" w:eastAsia="Aptos" w:hAnsi="Calibri" w:cs="Calibri"/>
        </w:rPr>
        <w:t>režimu</w:t>
      </w:r>
      <w:r w:rsidR="00064B74">
        <w:rPr>
          <w:rFonts w:ascii="Calibri" w:eastAsia="Aptos" w:hAnsi="Calibri" w:cs="Calibri"/>
        </w:rPr>
        <w:t xml:space="preserve"> a </w:t>
      </w:r>
      <w:r w:rsidR="006A0F8F">
        <w:rPr>
          <w:rFonts w:ascii="Calibri" w:eastAsia="Aptos" w:hAnsi="Calibri" w:cs="Calibri"/>
        </w:rPr>
        <w:t xml:space="preserve">pět subjektů po zrušení registrace. </w:t>
      </w:r>
      <w:r w:rsidR="00FD4C59">
        <w:rPr>
          <w:rFonts w:ascii="Calibri" w:eastAsia="Aptos" w:hAnsi="Calibri" w:cs="Calibri"/>
        </w:rPr>
        <w:t xml:space="preserve">FÚ MSK pěti neusazeným osobám doměřil DPH ve výši 27 391 659 Kč, z toho celkem 16 818 048 Kč vyměřil z moci úřední. </w:t>
      </w:r>
      <w:r w:rsidR="00240474">
        <w:rPr>
          <w:rFonts w:ascii="Calibri" w:eastAsia="Aptos" w:hAnsi="Calibri" w:cs="Calibri"/>
        </w:rPr>
        <w:t xml:space="preserve">Tyto osoby </w:t>
      </w:r>
      <w:r w:rsidR="00FD4C59">
        <w:rPr>
          <w:rFonts w:ascii="Calibri" w:eastAsia="Aptos" w:hAnsi="Calibri" w:cs="Calibri"/>
        </w:rPr>
        <w:t>uhradily celkem 15 371 678 Kč</w:t>
      </w:r>
      <w:r w:rsidR="00164224">
        <w:rPr>
          <w:rFonts w:ascii="Calibri" w:eastAsia="Aptos" w:hAnsi="Calibri" w:cs="Calibri"/>
        </w:rPr>
        <w:t>.</w:t>
      </w:r>
    </w:p>
    <w:p w14:paraId="08357EC1" w14:textId="77777777" w:rsidR="002A5F10" w:rsidRPr="003627B6" w:rsidRDefault="002A5F10" w:rsidP="009B6CBD">
      <w:pPr>
        <w:spacing w:after="0" w:line="240" w:lineRule="auto"/>
        <w:jc w:val="both"/>
      </w:pPr>
    </w:p>
    <w:p w14:paraId="48D47BB4" w14:textId="07C22618" w:rsidR="003A6BB7" w:rsidRPr="00F16B71" w:rsidRDefault="003A6BB7" w:rsidP="00F16B71">
      <w:pPr>
        <w:pStyle w:val="Odstavecseseznamem"/>
        <w:numPr>
          <w:ilvl w:val="0"/>
          <w:numId w:val="56"/>
        </w:numPr>
        <w:spacing w:after="120" w:line="240" w:lineRule="auto"/>
        <w:ind w:left="284" w:hanging="284"/>
        <w:jc w:val="both"/>
        <w:rPr>
          <w:b/>
          <w:bCs/>
        </w:rPr>
      </w:pPr>
      <w:r w:rsidRPr="00F16B71">
        <w:rPr>
          <w:b/>
          <w:bCs/>
        </w:rPr>
        <w:t xml:space="preserve">U dovozu zásilek nízké hodnoty docházelo k podhodnocování zboží a zneužívání </w:t>
      </w:r>
      <w:r w:rsidR="00903FA8" w:rsidRPr="00F16B71">
        <w:rPr>
          <w:b/>
          <w:bCs/>
        </w:rPr>
        <w:t xml:space="preserve">dovozního </w:t>
      </w:r>
      <w:r w:rsidRPr="00F16B71">
        <w:rPr>
          <w:b/>
          <w:bCs/>
        </w:rPr>
        <w:t xml:space="preserve">režimu </w:t>
      </w:r>
    </w:p>
    <w:p w14:paraId="08D7417E" w14:textId="4207A826" w:rsidR="00D1548A" w:rsidRDefault="00D1548A" w:rsidP="00F16B71">
      <w:pPr>
        <w:spacing w:after="120" w:line="240" w:lineRule="auto"/>
        <w:jc w:val="both"/>
        <w:rPr>
          <w:rFonts w:cstheme="minorHAnsi"/>
          <w:bCs/>
        </w:rPr>
      </w:pPr>
      <w:r w:rsidRPr="003432C9">
        <w:rPr>
          <w:rFonts w:cstheme="minorHAnsi"/>
          <w:bCs/>
        </w:rPr>
        <w:t xml:space="preserve">Dovoz zboží je v ustanovení § 20 zákona o DPH definován jako vstup zboží ze třetí země na území EU. </w:t>
      </w:r>
      <w:r w:rsidR="00453B93" w:rsidRPr="003432C9">
        <w:rPr>
          <w:rFonts w:cstheme="minorHAnsi"/>
          <w:bCs/>
        </w:rPr>
        <w:t xml:space="preserve">Povinnost přiznat a zaplatit daň z dovezeného zboží </w:t>
      </w:r>
      <w:r w:rsidR="00EC1685" w:rsidRPr="003432C9">
        <w:rPr>
          <w:rFonts w:cstheme="minorHAnsi"/>
          <w:bCs/>
        </w:rPr>
        <w:t>vzniká mj. propuštěním zboží do celního režimu volného oběhu</w:t>
      </w:r>
      <w:r w:rsidR="00453B93">
        <w:rPr>
          <w:rStyle w:val="Znakapoznpodarou"/>
          <w:rFonts w:cstheme="minorHAnsi"/>
          <w:bCs/>
        </w:rPr>
        <w:footnoteReference w:id="26"/>
      </w:r>
      <w:r w:rsidR="00595C99" w:rsidRPr="003432C9">
        <w:rPr>
          <w:rFonts w:cstheme="minorHAnsi"/>
          <w:bCs/>
        </w:rPr>
        <w:t>.</w:t>
      </w:r>
      <w:r w:rsidR="00FA25F4">
        <w:rPr>
          <w:rFonts w:cstheme="minorHAnsi"/>
          <w:bCs/>
        </w:rPr>
        <w:t xml:space="preserve"> </w:t>
      </w:r>
      <w:bookmarkStart w:id="8" w:name="_Hlk214368100"/>
      <w:r w:rsidR="00DD4E39" w:rsidRPr="00DD4E39">
        <w:rPr>
          <w:rFonts w:cstheme="minorHAnsi"/>
          <w:bCs/>
        </w:rPr>
        <w:t xml:space="preserve">Po </w:t>
      </w:r>
      <w:r w:rsidR="00595C99">
        <w:rPr>
          <w:rFonts w:cstheme="minorHAnsi"/>
          <w:bCs/>
        </w:rPr>
        <w:t>změně</w:t>
      </w:r>
      <w:r w:rsidR="00DD4E39" w:rsidRPr="00DD4E39">
        <w:rPr>
          <w:rFonts w:cstheme="minorHAnsi"/>
          <w:bCs/>
        </w:rPr>
        <w:t xml:space="preserve"> zákona o DPH účinné od 1. 10. 2021 </w:t>
      </w:r>
      <w:r w:rsidR="00E20DCD">
        <w:rPr>
          <w:rFonts w:cstheme="minorHAnsi"/>
          <w:bCs/>
        </w:rPr>
        <w:t>je</w:t>
      </w:r>
      <w:r w:rsidR="00DD4E39" w:rsidRPr="00DD4E39">
        <w:rPr>
          <w:rFonts w:cstheme="minorHAnsi"/>
          <w:bCs/>
        </w:rPr>
        <w:t xml:space="preserve"> povinen dovozce (tj. konečný příjemce nebo </w:t>
      </w:r>
      <w:r w:rsidR="00A040F1">
        <w:rPr>
          <w:rFonts w:cstheme="minorHAnsi"/>
          <w:bCs/>
        </w:rPr>
        <w:t>zprostředkovatel</w:t>
      </w:r>
      <w:r w:rsidR="00DD4E39" w:rsidRPr="00DD4E39">
        <w:rPr>
          <w:rFonts w:cstheme="minorHAnsi"/>
          <w:bCs/>
        </w:rPr>
        <w:t xml:space="preserve">) při dovozu zboží ze třetích zemí </w:t>
      </w:r>
      <w:r w:rsidR="00993FD4">
        <w:rPr>
          <w:rFonts w:cstheme="minorHAnsi"/>
          <w:bCs/>
        </w:rPr>
        <w:t>u </w:t>
      </w:r>
      <w:r w:rsidR="00DD4E39" w:rsidRPr="00DD4E39">
        <w:rPr>
          <w:rFonts w:cstheme="minorHAnsi"/>
          <w:bCs/>
        </w:rPr>
        <w:t>zásil</w:t>
      </w:r>
      <w:r w:rsidR="00993FD4">
        <w:rPr>
          <w:rFonts w:cstheme="minorHAnsi"/>
          <w:bCs/>
        </w:rPr>
        <w:t>e</w:t>
      </w:r>
      <w:r w:rsidR="00DD4E39" w:rsidRPr="00DD4E39">
        <w:rPr>
          <w:rFonts w:cstheme="minorHAnsi"/>
          <w:bCs/>
        </w:rPr>
        <w:t>k</w:t>
      </w:r>
      <w:r>
        <w:rPr>
          <w:rFonts w:cstheme="minorHAnsi"/>
          <w:bCs/>
        </w:rPr>
        <w:t xml:space="preserve"> do 150 </w:t>
      </w:r>
      <w:r w:rsidR="00334DD7">
        <w:rPr>
          <w:rFonts w:cstheme="minorHAnsi"/>
          <w:bCs/>
        </w:rPr>
        <w:t>eur</w:t>
      </w:r>
      <w:r w:rsidR="008E7D8E">
        <w:rPr>
          <w:rFonts w:cstheme="minorHAnsi"/>
          <w:bCs/>
        </w:rPr>
        <w:t>, tj. zásilek nízké hodnoty,</w:t>
      </w:r>
      <w:r w:rsidR="00DD4E39" w:rsidRPr="00DD4E39">
        <w:rPr>
          <w:rFonts w:cstheme="minorHAnsi"/>
          <w:bCs/>
        </w:rPr>
        <w:t xml:space="preserve"> podat</w:t>
      </w:r>
      <w:r w:rsidR="003F1807">
        <w:rPr>
          <w:rFonts w:cstheme="minorHAnsi"/>
          <w:bCs/>
        </w:rPr>
        <w:t xml:space="preserve"> </w:t>
      </w:r>
      <w:r w:rsidR="00DD4E39" w:rsidRPr="00DD4E39">
        <w:rPr>
          <w:rFonts w:cstheme="minorHAnsi"/>
          <w:bCs/>
        </w:rPr>
        <w:t>celní prohlášení a zaplatit daň z přidané hodnoty</w:t>
      </w:r>
      <w:r>
        <w:rPr>
          <w:rFonts w:cstheme="minorHAnsi"/>
          <w:bCs/>
        </w:rPr>
        <w:t>:</w:t>
      </w:r>
    </w:p>
    <w:p w14:paraId="1EAA2D78" w14:textId="6DBA19C5" w:rsidR="00DD4E39" w:rsidRPr="00DD4E39" w:rsidRDefault="00D1548A" w:rsidP="00FA25F4">
      <w:pPr>
        <w:spacing w:line="240" w:lineRule="auto"/>
        <w:ind w:left="284" w:hanging="284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a) </w:t>
      </w:r>
      <w:r w:rsidR="00FA25F4">
        <w:rPr>
          <w:rFonts w:cstheme="minorHAnsi"/>
          <w:bCs/>
        </w:rPr>
        <w:tab/>
      </w:r>
      <w:r>
        <w:rPr>
          <w:rFonts w:cstheme="minorHAnsi"/>
          <w:bCs/>
        </w:rPr>
        <w:t>s</w:t>
      </w:r>
      <w:r w:rsidR="00DD4E39" w:rsidRPr="00DD4E39">
        <w:rPr>
          <w:rFonts w:cstheme="minorHAnsi"/>
          <w:bCs/>
        </w:rPr>
        <w:t xml:space="preserve">tandardním způsobem, kdy daň při dovozu </w:t>
      </w:r>
      <w:r w:rsidR="004359A2" w:rsidRPr="00DD4E39">
        <w:rPr>
          <w:rFonts w:cstheme="minorHAnsi"/>
          <w:bCs/>
        </w:rPr>
        <w:t>zaplat</w:t>
      </w:r>
      <w:r w:rsidR="004359A2">
        <w:rPr>
          <w:rFonts w:cstheme="minorHAnsi"/>
          <w:bCs/>
        </w:rPr>
        <w:t>í</w:t>
      </w:r>
      <w:r w:rsidR="004359A2" w:rsidRPr="00DD4E39">
        <w:rPr>
          <w:rFonts w:cstheme="minorHAnsi"/>
          <w:bCs/>
        </w:rPr>
        <w:t xml:space="preserve"> </w:t>
      </w:r>
      <w:r w:rsidR="00DD4E39" w:rsidRPr="00DD4E39">
        <w:rPr>
          <w:rFonts w:cstheme="minorHAnsi"/>
          <w:bCs/>
        </w:rPr>
        <w:t>přímo celnímu úřadu ve smyslu § 108 zákona o DPH konečný zákazník jako dovozce zboží</w:t>
      </w:r>
      <w:r>
        <w:rPr>
          <w:rFonts w:cstheme="minorHAnsi"/>
          <w:bCs/>
        </w:rPr>
        <w:t>;</w:t>
      </w:r>
    </w:p>
    <w:p w14:paraId="019F2778" w14:textId="481CF743" w:rsidR="00DD4E39" w:rsidRPr="00DD4E39" w:rsidRDefault="00D1548A" w:rsidP="00F16B71">
      <w:pPr>
        <w:spacing w:line="240" w:lineRule="auto"/>
        <w:ind w:left="284" w:hanging="284"/>
        <w:jc w:val="both"/>
        <w:rPr>
          <w:rFonts w:cstheme="minorHAnsi"/>
          <w:bCs/>
        </w:rPr>
      </w:pPr>
      <w:r>
        <w:rPr>
          <w:rFonts w:cstheme="minorHAnsi"/>
          <w:bCs/>
        </w:rPr>
        <w:t>b)</w:t>
      </w:r>
      <w:r w:rsidR="00DD4E39" w:rsidRPr="00DD4E39">
        <w:rPr>
          <w:rFonts w:cstheme="minorHAnsi"/>
          <w:bCs/>
        </w:rPr>
        <w:t xml:space="preserve"> </w:t>
      </w:r>
      <w:r w:rsidR="00FA25F4">
        <w:rPr>
          <w:rFonts w:cstheme="minorHAnsi"/>
          <w:bCs/>
        </w:rPr>
        <w:tab/>
      </w:r>
      <w:r w:rsidR="00DD4E39" w:rsidRPr="00DD4E39">
        <w:rPr>
          <w:rFonts w:cstheme="minorHAnsi"/>
          <w:bCs/>
        </w:rPr>
        <w:t>ve zvláštním režimu při dovozu zboží nízké hodnoty, kdy daň při dovozu zaplat</w:t>
      </w:r>
      <w:r w:rsidR="004359A2">
        <w:rPr>
          <w:rFonts w:cstheme="minorHAnsi"/>
          <w:bCs/>
        </w:rPr>
        <w:t>í</w:t>
      </w:r>
      <w:r w:rsidR="00DD4E39" w:rsidRPr="00DD4E39">
        <w:rPr>
          <w:rFonts w:cstheme="minorHAnsi"/>
          <w:bCs/>
        </w:rPr>
        <w:t xml:space="preserve"> konečn</w:t>
      </w:r>
      <w:r w:rsidR="002C7282">
        <w:rPr>
          <w:rFonts w:cstheme="minorHAnsi"/>
          <w:bCs/>
        </w:rPr>
        <w:t>ý</w:t>
      </w:r>
      <w:r w:rsidR="00DD4E39" w:rsidRPr="00DD4E39">
        <w:rPr>
          <w:rFonts w:cstheme="minorHAnsi"/>
          <w:bCs/>
        </w:rPr>
        <w:t xml:space="preserve"> zákazník </w:t>
      </w:r>
      <w:r w:rsidR="002C7282">
        <w:rPr>
          <w:rFonts w:cstheme="minorHAnsi"/>
          <w:bCs/>
        </w:rPr>
        <w:t>prostřednictvím svého</w:t>
      </w:r>
      <w:r w:rsidR="00DD4E39" w:rsidRPr="00DD4E39">
        <w:rPr>
          <w:rFonts w:cstheme="minorHAnsi"/>
          <w:bCs/>
        </w:rPr>
        <w:t xml:space="preserve"> celní</w:t>
      </w:r>
      <w:r w:rsidR="002C7282">
        <w:rPr>
          <w:rFonts w:cstheme="minorHAnsi"/>
          <w:bCs/>
        </w:rPr>
        <w:t>ho</w:t>
      </w:r>
      <w:r w:rsidR="00DD4E39" w:rsidRPr="00DD4E39">
        <w:rPr>
          <w:rFonts w:cstheme="minorHAnsi"/>
          <w:bCs/>
        </w:rPr>
        <w:t xml:space="preserve"> zástupce, který má k použití tohoto zvláštního režimu povolení</w:t>
      </w:r>
      <w:r>
        <w:rPr>
          <w:rFonts w:cstheme="minorHAnsi"/>
          <w:bCs/>
        </w:rPr>
        <w:t>;</w:t>
      </w:r>
      <w:r w:rsidR="00DD4E39" w:rsidRPr="00DD4E39">
        <w:rPr>
          <w:rFonts w:cstheme="minorHAnsi"/>
          <w:bCs/>
        </w:rPr>
        <w:t xml:space="preserve"> </w:t>
      </w:r>
    </w:p>
    <w:bookmarkEnd w:id="8"/>
    <w:p w14:paraId="219E2454" w14:textId="729656FA" w:rsidR="00D3731E" w:rsidRDefault="00D1548A" w:rsidP="00F16B71">
      <w:pPr>
        <w:spacing w:after="0" w:line="240" w:lineRule="auto"/>
        <w:ind w:left="284" w:hanging="284"/>
        <w:jc w:val="both"/>
        <w:rPr>
          <w:rFonts w:cstheme="minorHAnsi"/>
          <w:bCs/>
        </w:rPr>
      </w:pPr>
      <w:r>
        <w:rPr>
          <w:rFonts w:cstheme="minorHAnsi"/>
          <w:bCs/>
        </w:rPr>
        <w:t>c)</w:t>
      </w:r>
      <w:r w:rsidR="00DD4E39" w:rsidRPr="00DD4E39">
        <w:rPr>
          <w:rFonts w:cstheme="minorHAnsi"/>
          <w:bCs/>
        </w:rPr>
        <w:t xml:space="preserve"> </w:t>
      </w:r>
      <w:r w:rsidR="00FA25F4">
        <w:rPr>
          <w:rFonts w:cstheme="minorHAnsi"/>
          <w:bCs/>
        </w:rPr>
        <w:tab/>
      </w:r>
      <w:r w:rsidR="00595C99">
        <w:rPr>
          <w:rFonts w:cstheme="minorHAnsi"/>
          <w:bCs/>
        </w:rPr>
        <w:t>v</w:t>
      </w:r>
      <w:r w:rsidR="00BD66BD">
        <w:rPr>
          <w:rFonts w:cstheme="minorHAnsi"/>
          <w:bCs/>
        </w:rPr>
        <w:t xml:space="preserve"> dovozním</w:t>
      </w:r>
      <w:r w:rsidR="00595C99">
        <w:rPr>
          <w:rFonts w:cstheme="minorHAnsi"/>
          <w:bCs/>
        </w:rPr>
        <w:t> režimu.</w:t>
      </w:r>
      <w:r w:rsidR="00DD4E39" w:rsidRPr="00DD4E39">
        <w:rPr>
          <w:rFonts w:cstheme="minorHAnsi"/>
          <w:bCs/>
        </w:rPr>
        <w:t xml:space="preserve"> Při použití </w:t>
      </w:r>
      <w:r w:rsidR="00BD66BD">
        <w:rPr>
          <w:rFonts w:cstheme="minorHAnsi"/>
          <w:bCs/>
        </w:rPr>
        <w:t xml:space="preserve">dovozního </w:t>
      </w:r>
      <w:r w:rsidR="00DD4E39" w:rsidRPr="00DD4E39">
        <w:rPr>
          <w:rFonts w:cstheme="minorHAnsi"/>
          <w:bCs/>
        </w:rPr>
        <w:t>režimu odvádí daň prodávající místo kupujícího (konečného zákazníka), který by daň jinak musel odvádět jako dovozce v rámci celního řízení celnímu úřadu při dovozu zboží nebo případně jím pověřená osoba ve zvláštním režimu při dovozu zboží nízké hodnoty.</w:t>
      </w:r>
    </w:p>
    <w:p w14:paraId="55EA2221" w14:textId="77777777" w:rsidR="003627B6" w:rsidRDefault="003627B6" w:rsidP="003627B6">
      <w:pPr>
        <w:spacing w:after="0" w:line="240" w:lineRule="auto"/>
        <w:jc w:val="both"/>
        <w:rPr>
          <w:rFonts w:cstheme="minorHAnsi"/>
          <w:bCs/>
        </w:rPr>
      </w:pPr>
    </w:p>
    <w:p w14:paraId="6C335D84" w14:textId="3E4AE193" w:rsidR="00453B93" w:rsidRDefault="00453B93" w:rsidP="003627B6">
      <w:pPr>
        <w:keepNext/>
        <w:spacing w:after="0" w:line="240" w:lineRule="auto"/>
        <w:jc w:val="both"/>
        <w:rPr>
          <w:rFonts w:ascii="Calibri" w:eastAsia="Times New Roman" w:hAnsi="Calibri" w:cs="Calibri"/>
          <w:b/>
          <w:iCs/>
          <w:kern w:val="0"/>
          <w:lang w:eastAsia="cs-CZ"/>
          <w14:ligatures w14:val="none"/>
        </w:rPr>
      </w:pPr>
      <w:r w:rsidRPr="00453B93">
        <w:rPr>
          <w:rFonts w:ascii="Calibri" w:eastAsia="Times New Roman" w:hAnsi="Calibri" w:cs="Calibri"/>
          <w:b/>
          <w:iCs/>
          <w:kern w:val="0"/>
          <w:lang w:eastAsia="cs-CZ"/>
          <w14:ligatures w14:val="none"/>
        </w:rPr>
        <w:t xml:space="preserve">Tabulka č. </w:t>
      </w:r>
      <w:r w:rsidR="00691861">
        <w:rPr>
          <w:rFonts w:ascii="Calibri" w:eastAsia="Times New Roman" w:hAnsi="Calibri" w:cs="Calibri"/>
          <w:b/>
          <w:iCs/>
          <w:kern w:val="0"/>
          <w:lang w:eastAsia="cs-CZ"/>
          <w14:ligatures w14:val="none"/>
        </w:rPr>
        <w:t>9</w:t>
      </w:r>
      <w:r w:rsidRPr="00453B93">
        <w:rPr>
          <w:rFonts w:ascii="Calibri" w:eastAsia="Times New Roman" w:hAnsi="Calibri" w:cs="Calibri"/>
          <w:b/>
          <w:iCs/>
          <w:kern w:val="0"/>
          <w:lang w:eastAsia="cs-CZ"/>
          <w14:ligatures w14:val="none"/>
        </w:rPr>
        <w:t xml:space="preserve">: </w:t>
      </w:r>
      <w:r>
        <w:rPr>
          <w:rFonts w:ascii="Calibri" w:eastAsia="Times New Roman" w:hAnsi="Calibri" w:cs="Calibri"/>
          <w:b/>
          <w:iCs/>
          <w:kern w:val="0"/>
          <w:lang w:eastAsia="cs-CZ"/>
          <w14:ligatures w14:val="none"/>
        </w:rPr>
        <w:t>P</w:t>
      </w:r>
      <w:r w:rsidRPr="00453B93">
        <w:rPr>
          <w:rFonts w:ascii="Calibri" w:eastAsia="Times New Roman" w:hAnsi="Calibri" w:cs="Calibri"/>
          <w:b/>
          <w:iCs/>
          <w:kern w:val="0"/>
          <w:lang w:eastAsia="cs-CZ"/>
          <w14:ligatures w14:val="none"/>
        </w:rPr>
        <w:t xml:space="preserve">očet </w:t>
      </w:r>
      <w:r>
        <w:rPr>
          <w:rFonts w:ascii="Calibri" w:eastAsia="Times New Roman" w:hAnsi="Calibri" w:cs="Calibri"/>
          <w:b/>
          <w:iCs/>
          <w:kern w:val="0"/>
          <w:lang w:eastAsia="cs-CZ"/>
          <w14:ligatures w14:val="none"/>
        </w:rPr>
        <w:t>položek</w:t>
      </w:r>
      <w:r w:rsidR="006B1E7E">
        <w:rPr>
          <w:rFonts w:ascii="Calibri" w:eastAsia="Times New Roman" w:hAnsi="Calibri" w:cs="Calibri"/>
          <w:b/>
          <w:iCs/>
          <w:kern w:val="0"/>
          <w:vertAlign w:val="superscript"/>
          <w:lang w:eastAsia="cs-CZ"/>
          <w14:ligatures w14:val="none"/>
        </w:rPr>
        <w:t>*</w:t>
      </w:r>
      <w:r>
        <w:rPr>
          <w:rFonts w:ascii="Calibri" w:eastAsia="Times New Roman" w:hAnsi="Calibri" w:cs="Calibri"/>
          <w:b/>
          <w:iCs/>
          <w:kern w:val="0"/>
          <w:lang w:eastAsia="cs-CZ"/>
          <w14:ligatures w14:val="none"/>
        </w:rPr>
        <w:t xml:space="preserve"> celních prohlášení</w:t>
      </w:r>
      <w:r w:rsidRPr="00453B93">
        <w:rPr>
          <w:rFonts w:ascii="Calibri" w:eastAsia="Times New Roman" w:hAnsi="Calibri" w:cs="Calibri"/>
          <w:b/>
          <w:iCs/>
          <w:kern w:val="0"/>
          <w:lang w:eastAsia="cs-CZ"/>
          <w14:ligatures w14:val="none"/>
        </w:rPr>
        <w:t xml:space="preserve"> 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3631"/>
        <w:gridCol w:w="3590"/>
      </w:tblGrid>
      <w:tr w:rsidR="00353F3C" w:rsidRPr="00453B93" w14:paraId="5C2EC342" w14:textId="77777777" w:rsidTr="00F16B71">
        <w:trPr>
          <w:trHeight w:hRule="exact" w:val="531"/>
        </w:trPr>
        <w:tc>
          <w:tcPr>
            <w:tcW w:w="1013" w:type="pct"/>
            <w:shd w:val="clear" w:color="auto" w:fill="E6E6E6"/>
            <w:vAlign w:val="center"/>
            <w:hideMark/>
          </w:tcPr>
          <w:p w14:paraId="2D23C490" w14:textId="77777777" w:rsidR="00353F3C" w:rsidRPr="009B6872" w:rsidRDefault="00353F3C" w:rsidP="003627B6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9B6872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Období</w:t>
            </w:r>
          </w:p>
        </w:tc>
        <w:tc>
          <w:tcPr>
            <w:tcW w:w="2005" w:type="pct"/>
            <w:shd w:val="clear" w:color="auto" w:fill="E6E6E6"/>
            <w:vAlign w:val="center"/>
            <w:hideMark/>
          </w:tcPr>
          <w:p w14:paraId="5038A1A0" w14:textId="70C06037" w:rsidR="00353F3C" w:rsidRPr="009B6872" w:rsidRDefault="00353F3C" w:rsidP="003627B6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9B6872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 xml:space="preserve">Počet položek </w:t>
            </w:r>
            <w:r w:rsidR="00820C71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 xml:space="preserve">v zásilkách </w:t>
            </w:r>
            <w:r w:rsidRPr="009B6872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do 150</w:t>
            </w:r>
            <w:r w:rsidR="00FF38DB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  <w:r w:rsidR="008E7D8E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eur</w:t>
            </w:r>
          </w:p>
        </w:tc>
        <w:tc>
          <w:tcPr>
            <w:tcW w:w="1982" w:type="pct"/>
            <w:shd w:val="clear" w:color="auto" w:fill="E6E6E6"/>
            <w:vAlign w:val="center"/>
            <w:hideMark/>
          </w:tcPr>
          <w:p w14:paraId="279D64BF" w14:textId="080CF31D" w:rsidR="00353F3C" w:rsidRPr="009B6872" w:rsidRDefault="00353F3C" w:rsidP="003627B6">
            <w:pPr>
              <w:keepNext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9B6872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 xml:space="preserve">Počet položek </w:t>
            </w:r>
            <w:r w:rsidR="00820C71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 xml:space="preserve">v zásilkách </w:t>
            </w:r>
            <w:r w:rsidRPr="009B6872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nad 150</w:t>
            </w:r>
            <w:r w:rsidR="008E7D8E">
              <w:rPr>
                <w:rFonts w:ascii="Calibri" w:eastAsia="Calibri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 xml:space="preserve"> eur</w:t>
            </w:r>
          </w:p>
        </w:tc>
      </w:tr>
      <w:tr w:rsidR="00353F3C" w:rsidRPr="00453B93" w14:paraId="79CC4CF8" w14:textId="77777777" w:rsidTr="00F16B71">
        <w:trPr>
          <w:trHeight w:hRule="exact" w:val="284"/>
        </w:trPr>
        <w:tc>
          <w:tcPr>
            <w:tcW w:w="1013" w:type="pct"/>
            <w:shd w:val="clear" w:color="000000" w:fill="FFFFFF"/>
            <w:vAlign w:val="center"/>
            <w:hideMark/>
          </w:tcPr>
          <w:p w14:paraId="0905ACF2" w14:textId="77777777" w:rsidR="00353F3C" w:rsidRPr="009B6872" w:rsidRDefault="00353F3C" w:rsidP="00F16B71">
            <w:pPr>
              <w:keepNext/>
              <w:spacing w:after="0" w:line="240" w:lineRule="auto"/>
              <w:ind w:left="57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B68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Od 1. 10. 2021</w:t>
            </w:r>
          </w:p>
        </w:tc>
        <w:tc>
          <w:tcPr>
            <w:tcW w:w="2005" w:type="pct"/>
            <w:shd w:val="clear" w:color="000000" w:fill="FFFFFF"/>
            <w:vAlign w:val="center"/>
            <w:hideMark/>
          </w:tcPr>
          <w:p w14:paraId="39C87DF5" w14:textId="77777777" w:rsidR="00353F3C" w:rsidRPr="009B6872" w:rsidRDefault="00353F3C" w:rsidP="00F16B71">
            <w:pPr>
              <w:keepNext/>
              <w:spacing w:after="0" w:line="240" w:lineRule="auto"/>
              <w:ind w:right="57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B6872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680 615</w:t>
            </w:r>
          </w:p>
        </w:tc>
        <w:tc>
          <w:tcPr>
            <w:tcW w:w="1982" w:type="pct"/>
            <w:shd w:val="clear" w:color="000000" w:fill="FFFFFF"/>
            <w:vAlign w:val="center"/>
            <w:hideMark/>
          </w:tcPr>
          <w:p w14:paraId="5B94E2C3" w14:textId="77777777" w:rsidR="00353F3C" w:rsidRPr="009B6872" w:rsidRDefault="00353F3C" w:rsidP="00F16B71">
            <w:pPr>
              <w:keepNext/>
              <w:spacing w:after="0" w:line="240" w:lineRule="auto"/>
              <w:ind w:right="57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B6872">
              <w:rPr>
                <w:rFonts w:ascii="Calibri" w:eastAsia="Calibri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40 518</w:t>
            </w:r>
          </w:p>
        </w:tc>
      </w:tr>
      <w:tr w:rsidR="00353F3C" w:rsidRPr="00453B93" w14:paraId="09CFCCAF" w14:textId="77777777" w:rsidTr="00F16B71">
        <w:trPr>
          <w:trHeight w:hRule="exact" w:val="284"/>
        </w:trPr>
        <w:tc>
          <w:tcPr>
            <w:tcW w:w="1013" w:type="pct"/>
            <w:shd w:val="clear" w:color="000000" w:fill="FFFFFF"/>
            <w:vAlign w:val="center"/>
            <w:hideMark/>
          </w:tcPr>
          <w:p w14:paraId="2DB1C925" w14:textId="77777777" w:rsidR="00353F3C" w:rsidRPr="009B6872" w:rsidRDefault="00353F3C" w:rsidP="00F16B71">
            <w:pPr>
              <w:keepNext/>
              <w:spacing w:after="0" w:line="240" w:lineRule="auto"/>
              <w:ind w:left="57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B68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2022</w:t>
            </w:r>
          </w:p>
        </w:tc>
        <w:tc>
          <w:tcPr>
            <w:tcW w:w="2005" w:type="pct"/>
            <w:shd w:val="clear" w:color="000000" w:fill="FFFFFF"/>
            <w:vAlign w:val="center"/>
            <w:hideMark/>
          </w:tcPr>
          <w:p w14:paraId="187E5E72" w14:textId="77777777" w:rsidR="00353F3C" w:rsidRPr="009B6872" w:rsidRDefault="00353F3C" w:rsidP="00F16B71">
            <w:pPr>
              <w:keepNext/>
              <w:spacing w:after="0" w:line="240" w:lineRule="auto"/>
              <w:ind w:right="57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B68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3 218 807</w:t>
            </w:r>
          </w:p>
        </w:tc>
        <w:tc>
          <w:tcPr>
            <w:tcW w:w="1982" w:type="pct"/>
            <w:shd w:val="clear" w:color="000000" w:fill="FFFFFF"/>
            <w:vAlign w:val="center"/>
            <w:hideMark/>
          </w:tcPr>
          <w:p w14:paraId="42F9F243" w14:textId="77777777" w:rsidR="00353F3C" w:rsidRPr="009B6872" w:rsidRDefault="00353F3C" w:rsidP="00F16B71">
            <w:pPr>
              <w:keepNext/>
              <w:spacing w:after="0" w:line="240" w:lineRule="auto"/>
              <w:ind w:right="57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B68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190 989</w:t>
            </w:r>
          </w:p>
        </w:tc>
      </w:tr>
      <w:tr w:rsidR="00353F3C" w:rsidRPr="00453B93" w14:paraId="671F50DF" w14:textId="77777777" w:rsidTr="00F16B71">
        <w:trPr>
          <w:trHeight w:hRule="exact" w:val="284"/>
        </w:trPr>
        <w:tc>
          <w:tcPr>
            <w:tcW w:w="1013" w:type="pct"/>
            <w:shd w:val="clear" w:color="000000" w:fill="FFFFFF"/>
            <w:vAlign w:val="center"/>
            <w:hideMark/>
          </w:tcPr>
          <w:p w14:paraId="03EC0EF9" w14:textId="77777777" w:rsidR="00353F3C" w:rsidRPr="009B6872" w:rsidRDefault="00353F3C" w:rsidP="00F16B71">
            <w:pPr>
              <w:keepNext/>
              <w:spacing w:after="0" w:line="240" w:lineRule="auto"/>
              <w:ind w:left="57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B68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2023</w:t>
            </w:r>
          </w:p>
        </w:tc>
        <w:tc>
          <w:tcPr>
            <w:tcW w:w="2005" w:type="pct"/>
            <w:shd w:val="clear" w:color="000000" w:fill="FFFFFF"/>
            <w:vAlign w:val="center"/>
            <w:hideMark/>
          </w:tcPr>
          <w:p w14:paraId="12071F2E" w14:textId="77777777" w:rsidR="00353F3C" w:rsidRPr="009B6872" w:rsidRDefault="00353F3C" w:rsidP="00F16B71">
            <w:pPr>
              <w:keepNext/>
              <w:spacing w:after="0" w:line="240" w:lineRule="auto"/>
              <w:ind w:right="57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B68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2 891 487</w:t>
            </w:r>
          </w:p>
        </w:tc>
        <w:tc>
          <w:tcPr>
            <w:tcW w:w="1982" w:type="pct"/>
            <w:shd w:val="clear" w:color="000000" w:fill="FFFFFF"/>
            <w:vAlign w:val="center"/>
            <w:hideMark/>
          </w:tcPr>
          <w:p w14:paraId="3643EE72" w14:textId="77777777" w:rsidR="00353F3C" w:rsidRPr="009B6872" w:rsidRDefault="00353F3C" w:rsidP="00F16B71">
            <w:pPr>
              <w:keepNext/>
              <w:spacing w:after="0" w:line="240" w:lineRule="auto"/>
              <w:ind w:right="57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B68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200 599</w:t>
            </w:r>
          </w:p>
        </w:tc>
      </w:tr>
      <w:tr w:rsidR="00353F3C" w:rsidRPr="00453B93" w14:paraId="486E4B66" w14:textId="77777777" w:rsidTr="00F16B71">
        <w:trPr>
          <w:trHeight w:hRule="exact" w:val="284"/>
        </w:trPr>
        <w:tc>
          <w:tcPr>
            <w:tcW w:w="1013" w:type="pct"/>
            <w:shd w:val="clear" w:color="000000" w:fill="FFFFFF"/>
            <w:vAlign w:val="center"/>
            <w:hideMark/>
          </w:tcPr>
          <w:p w14:paraId="376E6376" w14:textId="77777777" w:rsidR="00353F3C" w:rsidRPr="009B6872" w:rsidRDefault="00353F3C" w:rsidP="00F16B71">
            <w:pPr>
              <w:keepNext/>
              <w:spacing w:after="0" w:line="240" w:lineRule="auto"/>
              <w:ind w:left="57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B68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2024</w:t>
            </w:r>
          </w:p>
        </w:tc>
        <w:tc>
          <w:tcPr>
            <w:tcW w:w="2005" w:type="pct"/>
            <w:shd w:val="clear" w:color="000000" w:fill="FFFFFF"/>
            <w:vAlign w:val="center"/>
            <w:hideMark/>
          </w:tcPr>
          <w:p w14:paraId="20EA87A7" w14:textId="77777777" w:rsidR="00353F3C" w:rsidRPr="009B6872" w:rsidRDefault="00353F3C" w:rsidP="00F16B71">
            <w:pPr>
              <w:keepNext/>
              <w:spacing w:after="0" w:line="240" w:lineRule="auto"/>
              <w:ind w:right="57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B68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22 990 618</w:t>
            </w:r>
          </w:p>
        </w:tc>
        <w:tc>
          <w:tcPr>
            <w:tcW w:w="1982" w:type="pct"/>
            <w:shd w:val="clear" w:color="000000" w:fill="FFFFFF"/>
            <w:vAlign w:val="center"/>
            <w:hideMark/>
          </w:tcPr>
          <w:p w14:paraId="6062C6B7" w14:textId="77777777" w:rsidR="00353F3C" w:rsidRPr="009B6872" w:rsidRDefault="00353F3C" w:rsidP="00F16B71">
            <w:pPr>
              <w:keepNext/>
              <w:spacing w:after="0" w:line="240" w:lineRule="auto"/>
              <w:ind w:right="57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9B687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214 963</w:t>
            </w:r>
          </w:p>
        </w:tc>
      </w:tr>
      <w:tr w:rsidR="003B7393" w:rsidRPr="00453B93" w14:paraId="0E8FF2D1" w14:textId="77777777" w:rsidTr="00F16B71">
        <w:trPr>
          <w:trHeight w:hRule="exact" w:val="284"/>
        </w:trPr>
        <w:tc>
          <w:tcPr>
            <w:tcW w:w="1013" w:type="pct"/>
            <w:shd w:val="clear" w:color="auto" w:fill="EDD4D9"/>
            <w:vAlign w:val="center"/>
          </w:tcPr>
          <w:p w14:paraId="14BF23DE" w14:textId="3DEE5F37" w:rsidR="003B7393" w:rsidRPr="00313E6C" w:rsidRDefault="003B7393" w:rsidP="00F16B71">
            <w:pPr>
              <w:keepNext/>
              <w:spacing w:after="0" w:line="240" w:lineRule="auto"/>
              <w:ind w:left="57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13E6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Celkem</w:t>
            </w:r>
          </w:p>
        </w:tc>
        <w:tc>
          <w:tcPr>
            <w:tcW w:w="2005" w:type="pct"/>
            <w:shd w:val="clear" w:color="auto" w:fill="EDD4D9"/>
            <w:vAlign w:val="center"/>
          </w:tcPr>
          <w:p w14:paraId="03CFB0A0" w14:textId="2C48D416" w:rsidR="003B7393" w:rsidRPr="00313E6C" w:rsidRDefault="003B7393" w:rsidP="00F16B71">
            <w:pPr>
              <w:keepNext/>
              <w:spacing w:after="0" w:line="240" w:lineRule="auto"/>
              <w:ind w:right="57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13E6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29 781 527</w:t>
            </w:r>
          </w:p>
        </w:tc>
        <w:tc>
          <w:tcPr>
            <w:tcW w:w="1982" w:type="pct"/>
            <w:shd w:val="clear" w:color="auto" w:fill="EDD4D9"/>
            <w:vAlign w:val="center"/>
          </w:tcPr>
          <w:p w14:paraId="51B7ADB6" w14:textId="1F4A245B" w:rsidR="003B7393" w:rsidRPr="00313E6C" w:rsidRDefault="003B7393" w:rsidP="00F16B71">
            <w:pPr>
              <w:keepNext/>
              <w:spacing w:after="0" w:line="240" w:lineRule="auto"/>
              <w:ind w:right="57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13E6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647 069</w:t>
            </w:r>
          </w:p>
        </w:tc>
      </w:tr>
    </w:tbl>
    <w:p w14:paraId="2BD31785" w14:textId="0FB087B1" w:rsidR="00453B93" w:rsidRPr="00597D6D" w:rsidRDefault="00453B93" w:rsidP="00453B93">
      <w:pPr>
        <w:spacing w:after="0" w:line="240" w:lineRule="auto"/>
        <w:jc w:val="both"/>
        <w:rPr>
          <w:sz w:val="20"/>
          <w:szCs w:val="20"/>
        </w:rPr>
      </w:pPr>
      <w:r w:rsidRPr="00F16B71">
        <w:rPr>
          <w:b/>
          <w:bCs/>
          <w:sz w:val="20"/>
          <w:szCs w:val="20"/>
        </w:rPr>
        <w:t>Zdroj:</w:t>
      </w:r>
      <w:r w:rsidRPr="00597D6D">
        <w:rPr>
          <w:sz w:val="20"/>
          <w:szCs w:val="20"/>
        </w:rPr>
        <w:t xml:space="preserve"> GŘC.</w:t>
      </w:r>
    </w:p>
    <w:p w14:paraId="38FE4791" w14:textId="1F381D70" w:rsidR="00DE0A15" w:rsidRPr="00DD4E39" w:rsidRDefault="00EC1685" w:rsidP="00F16B71">
      <w:pPr>
        <w:spacing w:after="0" w:line="240" w:lineRule="auto"/>
        <w:ind w:left="284" w:hanging="284"/>
        <w:jc w:val="both"/>
        <w:rPr>
          <w:rFonts w:cstheme="minorHAnsi"/>
          <w:bCs/>
        </w:rPr>
      </w:pPr>
      <w:r w:rsidRPr="00F16B71">
        <w:rPr>
          <w:rFonts w:cstheme="minorHAnsi"/>
          <w:sz w:val="20"/>
          <w:szCs w:val="20"/>
        </w:rPr>
        <w:t>*</w:t>
      </w:r>
      <w:r w:rsidRPr="00F16B71">
        <w:rPr>
          <w:sz w:val="20"/>
          <w:szCs w:val="20"/>
        </w:rPr>
        <w:t xml:space="preserve"> </w:t>
      </w:r>
      <w:r w:rsidR="000006D8">
        <w:rPr>
          <w:sz w:val="20"/>
          <w:szCs w:val="20"/>
        </w:rPr>
        <w:tab/>
      </w:r>
      <w:r w:rsidRPr="00B33CBD">
        <w:rPr>
          <w:sz w:val="20"/>
          <w:szCs w:val="20"/>
        </w:rPr>
        <w:t>Pojmem položk</w:t>
      </w:r>
      <w:r>
        <w:rPr>
          <w:sz w:val="20"/>
          <w:szCs w:val="20"/>
        </w:rPr>
        <w:t>a</w:t>
      </w:r>
      <w:r w:rsidRPr="00B33CBD">
        <w:rPr>
          <w:sz w:val="20"/>
          <w:szCs w:val="20"/>
        </w:rPr>
        <w:t xml:space="preserve"> se rozumí každý jednotlivý řádek zboží v celním prohlášení, který má vlastní kód kombinované nomenklatury (KN), vlastní popis zboží, vlastní celní hodnotu, množství, preferenční status atd.</w:t>
      </w:r>
      <w:r w:rsidR="00DE0A15">
        <w:rPr>
          <w:sz w:val="20"/>
          <w:szCs w:val="20"/>
        </w:rPr>
        <w:t xml:space="preserve"> </w:t>
      </w:r>
      <w:r w:rsidR="00DE0A15" w:rsidRPr="00313E6C">
        <w:rPr>
          <w:sz w:val="20"/>
          <w:szCs w:val="20"/>
        </w:rPr>
        <w:t>Pojem zásilka znamená zboží uvedené na stejném dopravním dokladu nebo –</w:t>
      </w:r>
      <w:r w:rsidR="00993FD4">
        <w:rPr>
          <w:sz w:val="20"/>
          <w:szCs w:val="20"/>
        </w:rPr>
        <w:t xml:space="preserve"> </w:t>
      </w:r>
      <w:r w:rsidR="00DE0A15" w:rsidRPr="00313E6C">
        <w:rPr>
          <w:sz w:val="20"/>
          <w:szCs w:val="20"/>
        </w:rPr>
        <w:t>pokud není dopravní doklad – zboží předložené současně k celnímu řízení.</w:t>
      </w:r>
      <w:r w:rsidR="00DE0A15" w:rsidRPr="007B7CD7">
        <w:rPr>
          <w:rFonts w:cstheme="minorHAnsi"/>
        </w:rPr>
        <w:t xml:space="preserve"> </w:t>
      </w:r>
    </w:p>
    <w:p w14:paraId="5DBB4C64" w14:textId="77777777" w:rsidR="003627B6" w:rsidRDefault="003627B6" w:rsidP="00935992">
      <w:pPr>
        <w:spacing w:after="0" w:line="240" w:lineRule="auto"/>
        <w:jc w:val="both"/>
        <w:rPr>
          <w:rFonts w:cstheme="minorHAnsi"/>
        </w:rPr>
      </w:pPr>
    </w:p>
    <w:p w14:paraId="645BF9AE" w14:textId="2BE2D262" w:rsidR="003B7393" w:rsidRDefault="003B7393" w:rsidP="00935992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V</w:t>
      </w:r>
      <w:r w:rsidR="00993FD4">
        <w:rPr>
          <w:rFonts w:cstheme="minorHAnsi"/>
        </w:rPr>
        <w:t xml:space="preserve"> </w:t>
      </w:r>
      <w:r>
        <w:rPr>
          <w:rFonts w:cstheme="minorHAnsi"/>
        </w:rPr>
        <w:t xml:space="preserve">roce 2024 vzrostl počet položek </w:t>
      </w:r>
      <w:r w:rsidR="00820C71">
        <w:rPr>
          <w:rFonts w:cstheme="minorHAnsi"/>
        </w:rPr>
        <w:t>v</w:t>
      </w:r>
      <w:r w:rsidR="00993FD4">
        <w:rPr>
          <w:rFonts w:cstheme="minorHAnsi"/>
        </w:rPr>
        <w:t xml:space="preserve"> </w:t>
      </w:r>
      <w:r w:rsidR="00820C71">
        <w:rPr>
          <w:rFonts w:cstheme="minorHAnsi"/>
        </w:rPr>
        <w:t xml:space="preserve">zásilkách </w:t>
      </w:r>
      <w:r>
        <w:rPr>
          <w:rFonts w:cstheme="minorHAnsi"/>
        </w:rPr>
        <w:t xml:space="preserve">do 150 </w:t>
      </w:r>
      <w:r w:rsidR="007E68A9">
        <w:rPr>
          <w:rFonts w:cstheme="minorHAnsi"/>
        </w:rPr>
        <w:t>eur</w:t>
      </w:r>
      <w:r>
        <w:rPr>
          <w:rFonts w:cstheme="minorHAnsi"/>
        </w:rPr>
        <w:t xml:space="preserve"> </w:t>
      </w:r>
      <w:r w:rsidR="00993FD4">
        <w:rPr>
          <w:rFonts w:cstheme="minorHAnsi"/>
        </w:rPr>
        <w:t>o</w:t>
      </w:r>
      <w:r w:rsidR="008800D5">
        <w:rPr>
          <w:rFonts w:cstheme="minorHAnsi"/>
        </w:rPr>
        <w:t xml:space="preserve">proti roku 2022 více </w:t>
      </w:r>
      <w:r w:rsidR="00993FD4">
        <w:rPr>
          <w:rFonts w:cstheme="minorHAnsi"/>
        </w:rPr>
        <w:t>než</w:t>
      </w:r>
      <w:r w:rsidR="008800D5">
        <w:rPr>
          <w:rFonts w:cstheme="minorHAnsi"/>
        </w:rPr>
        <w:t xml:space="preserve"> </w:t>
      </w:r>
      <w:r w:rsidR="00722F26">
        <w:rPr>
          <w:rFonts w:cstheme="minorHAnsi"/>
        </w:rPr>
        <w:t>sedmi</w:t>
      </w:r>
      <w:r w:rsidR="008800D5">
        <w:rPr>
          <w:rFonts w:cstheme="minorHAnsi"/>
        </w:rPr>
        <w:t xml:space="preserve">násobně. </w:t>
      </w:r>
    </w:p>
    <w:p w14:paraId="6582F4AE" w14:textId="77777777" w:rsidR="008800D5" w:rsidRDefault="008800D5" w:rsidP="0010699D">
      <w:pPr>
        <w:spacing w:after="0" w:line="240" w:lineRule="auto"/>
        <w:jc w:val="both"/>
        <w:rPr>
          <w:rFonts w:cstheme="minorHAnsi"/>
        </w:rPr>
      </w:pPr>
    </w:p>
    <w:p w14:paraId="04FF8746" w14:textId="7E570591" w:rsidR="00147B4C" w:rsidRDefault="00147B4C" w:rsidP="0010699D">
      <w:pPr>
        <w:spacing w:after="0" w:line="240" w:lineRule="auto"/>
        <w:jc w:val="both"/>
      </w:pPr>
      <w:r>
        <w:rPr>
          <w:rFonts w:cstheme="minorHAnsi"/>
        </w:rPr>
        <w:lastRenderedPageBreak/>
        <w:t>CS ČR využív</w:t>
      </w:r>
      <w:r w:rsidR="00935992">
        <w:rPr>
          <w:rFonts w:cstheme="minorHAnsi"/>
        </w:rPr>
        <w:t>ala</w:t>
      </w:r>
      <w:r>
        <w:rPr>
          <w:rFonts w:cstheme="minorHAnsi"/>
        </w:rPr>
        <w:t xml:space="preserve"> pro výkon správy v oblasti dovozu zboží nízké hodnoty čtyři </w:t>
      </w:r>
      <w:r w:rsidR="00334DD7">
        <w:rPr>
          <w:rFonts w:cstheme="minorHAnsi"/>
        </w:rPr>
        <w:t>informační</w:t>
      </w:r>
      <w:r>
        <w:rPr>
          <w:rFonts w:cstheme="minorHAnsi"/>
        </w:rPr>
        <w:t xml:space="preserve"> systémy. Systém </w:t>
      </w:r>
      <w:proofErr w:type="spellStart"/>
      <w:r w:rsidRPr="00F16B71">
        <w:rPr>
          <w:rFonts w:cstheme="minorHAnsi"/>
          <w:i/>
          <w:iCs/>
        </w:rPr>
        <w:t>eDovoz</w:t>
      </w:r>
      <w:proofErr w:type="spellEnd"/>
      <w:r>
        <w:rPr>
          <w:rFonts w:cstheme="minorHAnsi"/>
        </w:rPr>
        <w:t xml:space="preserve"> zajišťuje zpracování dovozních celních prohlášení. Systém </w:t>
      </w:r>
      <w:proofErr w:type="spellStart"/>
      <w:r>
        <w:rPr>
          <w:rFonts w:cstheme="minorHAnsi"/>
        </w:rPr>
        <w:t>eCeP</w:t>
      </w:r>
      <w:proofErr w:type="spellEnd"/>
      <w:r>
        <w:rPr>
          <w:rFonts w:cstheme="minorHAnsi"/>
        </w:rPr>
        <w:t xml:space="preserve"> umožňuje fyzickým osobám podávat elektronické zjednodušené celní prohlášení</w:t>
      </w:r>
      <w:r w:rsidR="00AD2AA2">
        <w:rPr>
          <w:rFonts w:cstheme="minorHAnsi"/>
        </w:rPr>
        <w:t>,</w:t>
      </w:r>
      <w:r>
        <w:rPr>
          <w:rFonts w:cstheme="minorHAnsi"/>
        </w:rPr>
        <w:t xml:space="preserve"> </w:t>
      </w:r>
      <w:r>
        <w:t xml:space="preserve">tzv. Super </w:t>
      </w:r>
      <w:proofErr w:type="spellStart"/>
      <w:r>
        <w:t>Reduced</w:t>
      </w:r>
      <w:proofErr w:type="spellEnd"/>
      <w:r>
        <w:t xml:space="preserve"> Data Set</w:t>
      </w:r>
      <w:r>
        <w:rPr>
          <w:rStyle w:val="Znakapoznpodarou"/>
        </w:rPr>
        <w:footnoteReference w:id="27"/>
      </w:r>
      <w:r>
        <w:t xml:space="preserve"> (dále také „SRDS“)</w:t>
      </w:r>
      <w:r w:rsidR="00AD2AA2">
        <w:t>,</w:t>
      </w:r>
      <w:r>
        <w:t xml:space="preserve"> u zásilek nízké hodnoty. Informační systém ERIAN slouží </w:t>
      </w:r>
      <w:r w:rsidR="0010699D">
        <w:t>k provádění on-line rizikové analýzy dokladů v</w:t>
      </w:r>
      <w:r w:rsidR="00AD2AA2">
        <w:t xml:space="preserve"> </w:t>
      </w:r>
      <w:r w:rsidR="0010699D">
        <w:t>celním a daňovém řízení v</w:t>
      </w:r>
      <w:r w:rsidR="00AD2AA2">
        <w:t xml:space="preserve"> </w:t>
      </w:r>
      <w:r w:rsidR="0010699D">
        <w:t xml:space="preserve">reálném čase. </w:t>
      </w:r>
      <w:proofErr w:type="spellStart"/>
      <w:r w:rsidRPr="00F16B71">
        <w:rPr>
          <w:i/>
          <w:iCs/>
        </w:rPr>
        <w:t>Surveillance</w:t>
      </w:r>
      <w:proofErr w:type="spellEnd"/>
      <w:r>
        <w:t xml:space="preserve"> je evropský celní elektronický systém, který byl zaveden za účelem dohledu </w:t>
      </w:r>
      <w:r w:rsidR="00AD2AA2">
        <w:t xml:space="preserve">na </w:t>
      </w:r>
      <w:r>
        <w:t>zboží ze třetích zemí.</w:t>
      </w:r>
      <w:r w:rsidR="00B32C38">
        <w:t xml:space="preserve"> </w:t>
      </w:r>
      <w:r w:rsidR="00AD2AA2">
        <w:t>Při</w:t>
      </w:r>
      <w:r w:rsidR="00B32C38">
        <w:t xml:space="preserve"> provádění standardních dovozních kontrol v</w:t>
      </w:r>
      <w:r w:rsidR="00AD2AA2">
        <w:t xml:space="preserve"> </w:t>
      </w:r>
      <w:r w:rsidR="00B32C38">
        <w:t xml:space="preserve">oblasti obecné bezpečnosti výrobků </w:t>
      </w:r>
      <w:r w:rsidR="00AD2AA2">
        <w:t xml:space="preserve">spolupracovala </w:t>
      </w:r>
      <w:r w:rsidR="00B32C38">
        <w:t>CS ČR s</w:t>
      </w:r>
      <w:r w:rsidR="00AD2AA2">
        <w:t xml:space="preserve"> </w:t>
      </w:r>
      <w:r w:rsidR="00B32C38">
        <w:t>dalšími orgány dozoru, např. Českou obchodní inspekcí.</w:t>
      </w:r>
    </w:p>
    <w:p w14:paraId="5FE66A17" w14:textId="77777777" w:rsidR="00147B4C" w:rsidRPr="00C21860" w:rsidRDefault="00147B4C" w:rsidP="00147B4C">
      <w:pPr>
        <w:spacing w:after="0" w:line="240" w:lineRule="auto"/>
        <w:jc w:val="both"/>
        <w:rPr>
          <w:b/>
          <w:bCs/>
        </w:rPr>
      </w:pPr>
    </w:p>
    <w:p w14:paraId="663205A5" w14:textId="51A53A54" w:rsidR="007B7DC8" w:rsidRPr="008E7D8E" w:rsidRDefault="008E7D8E" w:rsidP="00F16B71">
      <w:pPr>
        <w:autoSpaceDE w:val="0"/>
        <w:autoSpaceDN w:val="0"/>
        <w:adjustRightInd w:val="0"/>
        <w:spacing w:after="120" w:line="240" w:lineRule="auto"/>
        <w:ind w:left="397" w:hanging="397"/>
        <w:jc w:val="both"/>
        <w:rPr>
          <w:rFonts w:cstheme="minorHAnsi"/>
          <w:b/>
          <w:bCs/>
          <w:kern w:val="0"/>
        </w:rPr>
      </w:pPr>
      <w:r>
        <w:rPr>
          <w:rFonts w:cstheme="minorHAnsi"/>
          <w:b/>
          <w:bCs/>
          <w:kern w:val="0"/>
        </w:rPr>
        <w:t xml:space="preserve">4.1 </w:t>
      </w:r>
      <w:r w:rsidR="000D7A83">
        <w:rPr>
          <w:rFonts w:cstheme="minorHAnsi"/>
          <w:b/>
          <w:bCs/>
          <w:kern w:val="0"/>
        </w:rPr>
        <w:tab/>
      </w:r>
      <w:r w:rsidR="0024115F">
        <w:rPr>
          <w:rFonts w:cstheme="minorHAnsi"/>
          <w:b/>
          <w:bCs/>
          <w:kern w:val="0"/>
        </w:rPr>
        <w:t>P</w:t>
      </w:r>
      <w:r w:rsidR="00AD2AA2">
        <w:rPr>
          <w:rFonts w:cstheme="minorHAnsi"/>
          <w:b/>
          <w:bCs/>
          <w:kern w:val="0"/>
        </w:rPr>
        <w:t>očty použití</w:t>
      </w:r>
      <w:r w:rsidR="007B7DC8" w:rsidRPr="008E7D8E">
        <w:rPr>
          <w:rFonts w:cstheme="minorHAnsi"/>
          <w:b/>
          <w:bCs/>
          <w:kern w:val="0"/>
        </w:rPr>
        <w:t xml:space="preserve"> zvláštní</w:t>
      </w:r>
      <w:r w:rsidR="0024115F">
        <w:rPr>
          <w:rFonts w:cstheme="minorHAnsi"/>
          <w:b/>
          <w:bCs/>
          <w:kern w:val="0"/>
        </w:rPr>
        <w:t>ho</w:t>
      </w:r>
      <w:r w:rsidR="007B7DC8" w:rsidRPr="008E7D8E">
        <w:rPr>
          <w:rFonts w:cstheme="minorHAnsi"/>
          <w:b/>
          <w:bCs/>
          <w:kern w:val="0"/>
        </w:rPr>
        <w:t xml:space="preserve"> režimu </w:t>
      </w:r>
      <w:r w:rsidR="007E68A9">
        <w:rPr>
          <w:rFonts w:cstheme="minorHAnsi"/>
          <w:b/>
          <w:bCs/>
          <w:kern w:val="0"/>
        </w:rPr>
        <w:t xml:space="preserve">při dovozu zboží nízké hodnoty </w:t>
      </w:r>
      <w:r w:rsidR="00DD2670" w:rsidRPr="008E7D8E">
        <w:rPr>
          <w:rFonts w:cstheme="minorHAnsi"/>
          <w:b/>
          <w:bCs/>
          <w:kern w:val="0"/>
        </w:rPr>
        <w:t>kles</w:t>
      </w:r>
      <w:r w:rsidR="00BD66BD">
        <w:rPr>
          <w:rFonts w:cstheme="minorHAnsi"/>
          <w:b/>
          <w:bCs/>
          <w:kern w:val="0"/>
        </w:rPr>
        <w:t>al</w:t>
      </w:r>
      <w:r w:rsidR="0024115F">
        <w:rPr>
          <w:rFonts w:cstheme="minorHAnsi"/>
          <w:b/>
          <w:bCs/>
          <w:kern w:val="0"/>
        </w:rPr>
        <w:t>y</w:t>
      </w:r>
      <w:r w:rsidR="00FE3867">
        <w:rPr>
          <w:rFonts w:cstheme="minorHAnsi"/>
          <w:b/>
          <w:bCs/>
          <w:kern w:val="0"/>
        </w:rPr>
        <w:t xml:space="preserve">, </w:t>
      </w:r>
      <w:r w:rsidR="0024115F">
        <w:rPr>
          <w:rFonts w:cstheme="minorHAnsi"/>
          <w:b/>
          <w:bCs/>
          <w:kern w:val="0"/>
        </w:rPr>
        <w:t>zatímco u </w:t>
      </w:r>
      <w:r w:rsidR="00BD66BD">
        <w:rPr>
          <w:rFonts w:cstheme="minorHAnsi"/>
          <w:b/>
          <w:bCs/>
          <w:kern w:val="0"/>
        </w:rPr>
        <w:t>dovozní</w:t>
      </w:r>
      <w:r w:rsidR="0024115F">
        <w:rPr>
          <w:rFonts w:cstheme="minorHAnsi"/>
          <w:b/>
          <w:bCs/>
          <w:kern w:val="0"/>
        </w:rPr>
        <w:t>ho</w:t>
      </w:r>
      <w:r w:rsidR="00BD66BD">
        <w:rPr>
          <w:rFonts w:cstheme="minorHAnsi"/>
          <w:b/>
          <w:bCs/>
          <w:kern w:val="0"/>
        </w:rPr>
        <w:t xml:space="preserve"> </w:t>
      </w:r>
      <w:r w:rsidR="00FE3867">
        <w:rPr>
          <w:rFonts w:cstheme="minorHAnsi"/>
          <w:b/>
          <w:bCs/>
          <w:kern w:val="0"/>
        </w:rPr>
        <w:t>režimu rost</w:t>
      </w:r>
      <w:r w:rsidR="00BD66BD">
        <w:rPr>
          <w:rFonts w:cstheme="minorHAnsi"/>
          <w:b/>
          <w:bCs/>
          <w:kern w:val="0"/>
        </w:rPr>
        <w:t>l</w:t>
      </w:r>
      <w:r w:rsidR="0024115F">
        <w:rPr>
          <w:rFonts w:cstheme="minorHAnsi"/>
          <w:b/>
          <w:bCs/>
          <w:kern w:val="0"/>
        </w:rPr>
        <w:t>y</w:t>
      </w:r>
    </w:p>
    <w:p w14:paraId="6E1CD7D4" w14:textId="12998769" w:rsidR="00DD2670" w:rsidRPr="003F1807" w:rsidRDefault="00DD2670" w:rsidP="00FE386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</w:rPr>
      </w:pPr>
      <w:r w:rsidRPr="003F1807">
        <w:rPr>
          <w:rFonts w:cstheme="minorHAnsi"/>
          <w:kern w:val="0"/>
        </w:rPr>
        <w:t>Ustanovení § 109c odst. 1 zákona o DPH definuje osobu, která může v tuzemsku použít zvláštní režim při dovozu zboží nízké hodnoty</w:t>
      </w:r>
      <w:r w:rsidR="00FE3867">
        <w:rPr>
          <w:rFonts w:cstheme="minorHAnsi"/>
          <w:kern w:val="0"/>
        </w:rPr>
        <w:t>.</w:t>
      </w:r>
      <w:r w:rsidRPr="003F1807">
        <w:rPr>
          <w:rFonts w:cstheme="minorHAnsi"/>
          <w:kern w:val="0"/>
        </w:rPr>
        <w:t xml:space="preserve"> </w:t>
      </w:r>
      <w:r w:rsidR="008D360A">
        <w:rPr>
          <w:rFonts w:cstheme="minorHAnsi"/>
          <w:kern w:val="0"/>
        </w:rPr>
        <w:t>CÚ SČK</w:t>
      </w:r>
      <w:r w:rsidRPr="003F1807">
        <w:rPr>
          <w:rFonts w:cstheme="minorHAnsi"/>
          <w:kern w:val="0"/>
        </w:rPr>
        <w:t xml:space="preserve"> je místně</w:t>
      </w:r>
      <w:r w:rsidR="00495033">
        <w:rPr>
          <w:rFonts w:cstheme="minorHAnsi"/>
          <w:kern w:val="0"/>
        </w:rPr>
        <w:t xml:space="preserve"> a věcně</w:t>
      </w:r>
      <w:r w:rsidRPr="003F1807">
        <w:rPr>
          <w:rFonts w:cstheme="minorHAnsi"/>
          <w:kern w:val="0"/>
        </w:rPr>
        <w:t xml:space="preserve"> příslušným ve věci vydání povolení k použití zvláštního režimu při dovozu zboží nízké hodnoty.</w:t>
      </w:r>
    </w:p>
    <w:p w14:paraId="153D6247" w14:textId="77777777" w:rsidR="00DD2670" w:rsidRPr="00DD2670" w:rsidRDefault="00DD2670" w:rsidP="00DD2670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kern w:val="0"/>
        </w:rPr>
      </w:pPr>
    </w:p>
    <w:p w14:paraId="053E03DF" w14:textId="613F5D6C" w:rsidR="00C1641C" w:rsidRDefault="007B7DC8" w:rsidP="003627B6">
      <w:pPr>
        <w:spacing w:after="0" w:line="240" w:lineRule="auto"/>
        <w:jc w:val="both"/>
        <w:rPr>
          <w:rFonts w:cstheme="minorHAnsi"/>
        </w:rPr>
      </w:pPr>
      <w:r w:rsidRPr="003D3233">
        <w:rPr>
          <w:rFonts w:cstheme="minorHAnsi"/>
        </w:rPr>
        <w:t xml:space="preserve">Tento režim se vztahuje pouze na zásilky </w:t>
      </w:r>
      <w:r w:rsidR="00FE3867">
        <w:rPr>
          <w:rFonts w:cstheme="minorHAnsi"/>
        </w:rPr>
        <w:t xml:space="preserve">nízké hodnoty </w:t>
      </w:r>
      <w:r w:rsidRPr="003D3233">
        <w:rPr>
          <w:rFonts w:cstheme="minorHAnsi"/>
        </w:rPr>
        <w:t xml:space="preserve">mimo </w:t>
      </w:r>
      <w:r w:rsidR="00BD66BD">
        <w:rPr>
          <w:rFonts w:cstheme="minorHAnsi"/>
        </w:rPr>
        <w:t xml:space="preserve">dovozní </w:t>
      </w:r>
      <w:r w:rsidRPr="003D3233">
        <w:rPr>
          <w:rFonts w:cstheme="minorHAnsi"/>
        </w:rPr>
        <w:t>režim</w:t>
      </w:r>
      <w:r w:rsidR="00FE3867">
        <w:rPr>
          <w:rFonts w:cstheme="minorHAnsi"/>
        </w:rPr>
        <w:t>.</w:t>
      </w:r>
      <w:r w:rsidRPr="003D3233">
        <w:rPr>
          <w:rFonts w:cstheme="minorHAnsi"/>
        </w:rPr>
        <w:t xml:space="preserve"> </w:t>
      </w:r>
      <w:r w:rsidR="00595C99">
        <w:rPr>
          <w:rFonts w:cstheme="minorHAnsi"/>
        </w:rPr>
        <w:t>S</w:t>
      </w:r>
      <w:r w:rsidR="00FE3867">
        <w:rPr>
          <w:rFonts w:cstheme="minorHAnsi"/>
        </w:rPr>
        <w:t>ubjekty využívají</w:t>
      </w:r>
      <w:r>
        <w:rPr>
          <w:rFonts w:cstheme="minorHAnsi"/>
        </w:rPr>
        <w:t xml:space="preserve"> zvláštní režim při dovozu na základě vydaného povolení</w:t>
      </w:r>
      <w:r w:rsidR="00FE3867">
        <w:rPr>
          <w:rFonts w:cstheme="minorHAnsi"/>
        </w:rPr>
        <w:t xml:space="preserve"> s povinností</w:t>
      </w:r>
      <w:r>
        <w:rPr>
          <w:rFonts w:cstheme="minorHAnsi"/>
        </w:rPr>
        <w:t xml:space="preserve"> zajistit daň poskytnutím jistoty</w:t>
      </w:r>
      <w:r w:rsidR="00FE3867">
        <w:rPr>
          <w:rFonts w:cstheme="minorHAnsi"/>
        </w:rPr>
        <w:t xml:space="preserve">. </w:t>
      </w:r>
      <w:r w:rsidR="00FE7A8A" w:rsidRPr="00FE7A8A">
        <w:rPr>
          <w:rFonts w:cstheme="minorHAnsi"/>
        </w:rPr>
        <w:t xml:space="preserve">NKÚ </w:t>
      </w:r>
      <w:r w:rsidR="00FE7A8A">
        <w:rPr>
          <w:rFonts w:cstheme="minorHAnsi"/>
        </w:rPr>
        <w:t>zjistil</w:t>
      </w:r>
      <w:r w:rsidR="00FE7A8A" w:rsidRPr="00FE7A8A">
        <w:rPr>
          <w:rFonts w:cstheme="minorHAnsi"/>
        </w:rPr>
        <w:t xml:space="preserve">, že CÚ SČK </w:t>
      </w:r>
      <w:r w:rsidR="00722F26">
        <w:rPr>
          <w:rFonts w:cstheme="minorHAnsi"/>
        </w:rPr>
        <w:t xml:space="preserve">nepostupoval </w:t>
      </w:r>
      <w:r w:rsidR="00820C71">
        <w:rPr>
          <w:rFonts w:cstheme="minorHAnsi"/>
        </w:rPr>
        <w:t xml:space="preserve">u tří subjektů z pěti </w:t>
      </w:r>
      <w:r w:rsidR="00722F26">
        <w:rPr>
          <w:rFonts w:cstheme="minorHAnsi"/>
        </w:rPr>
        <w:t xml:space="preserve">v souladu </w:t>
      </w:r>
      <w:r w:rsidR="00FE7A8A" w:rsidRPr="00FE7A8A">
        <w:rPr>
          <w:rFonts w:cstheme="minorHAnsi"/>
        </w:rPr>
        <w:t>s</w:t>
      </w:r>
      <w:r w:rsidR="00FE7A8A">
        <w:rPr>
          <w:rFonts w:cstheme="minorHAnsi"/>
        </w:rPr>
        <w:t xml:space="preserve"> ustanovením </w:t>
      </w:r>
      <w:r w:rsidR="00FE7A8A" w:rsidRPr="00FE7A8A">
        <w:rPr>
          <w:rFonts w:cstheme="minorHAnsi"/>
        </w:rPr>
        <w:t>§ 109d zákona o DPH</w:t>
      </w:r>
      <w:r w:rsidR="00FE7A8A">
        <w:rPr>
          <w:rFonts w:cstheme="minorHAnsi"/>
        </w:rPr>
        <w:t xml:space="preserve">, </w:t>
      </w:r>
      <w:r w:rsidR="00820C71">
        <w:rPr>
          <w:rFonts w:cstheme="minorHAnsi"/>
        </w:rPr>
        <w:t xml:space="preserve">neboť vydal povolení, </w:t>
      </w:r>
      <w:r w:rsidR="00722F26">
        <w:rPr>
          <w:rFonts w:cstheme="minorHAnsi"/>
        </w:rPr>
        <w:t>přestože subjekt</w:t>
      </w:r>
      <w:r w:rsidR="00722F26" w:rsidRPr="00FE7A8A">
        <w:rPr>
          <w:rFonts w:cstheme="minorHAnsi"/>
        </w:rPr>
        <w:t xml:space="preserve"> </w:t>
      </w:r>
      <w:r w:rsidR="00FE7A8A" w:rsidRPr="00FE7A8A">
        <w:rPr>
          <w:rFonts w:cstheme="minorHAnsi"/>
        </w:rPr>
        <w:t>nedodržel podmínku</w:t>
      </w:r>
      <w:r w:rsidR="008800D5">
        <w:rPr>
          <w:rStyle w:val="Znakapoznpodarou"/>
          <w:rFonts w:cstheme="minorHAnsi"/>
        </w:rPr>
        <w:footnoteReference w:id="28"/>
      </w:r>
      <w:r w:rsidR="00FE7A8A" w:rsidRPr="00FE7A8A">
        <w:rPr>
          <w:rFonts w:cstheme="minorHAnsi"/>
        </w:rPr>
        <w:t xml:space="preserve"> nutnou pro vydání povolení k použití zvláštního režimu při dovozu zboží nízké hodnoty.</w:t>
      </w:r>
      <w:r w:rsidR="00FE7A8A">
        <w:rPr>
          <w:rFonts w:cstheme="minorHAnsi"/>
        </w:rPr>
        <w:t xml:space="preserve"> NKÚ zjistil, že </w:t>
      </w:r>
      <w:r w:rsidR="0024115F">
        <w:rPr>
          <w:rFonts w:cstheme="minorHAnsi"/>
        </w:rPr>
        <w:t>zmíněné</w:t>
      </w:r>
      <w:r w:rsidR="00FE7A8A">
        <w:rPr>
          <w:rFonts w:cstheme="minorHAnsi"/>
        </w:rPr>
        <w:t xml:space="preserve"> subjekty </w:t>
      </w:r>
      <w:r w:rsidR="0024115F">
        <w:rPr>
          <w:rFonts w:cstheme="minorHAnsi"/>
        </w:rPr>
        <w:t>tato</w:t>
      </w:r>
      <w:r w:rsidR="00FE7A8A" w:rsidRPr="009A3D34">
        <w:rPr>
          <w:rFonts w:cstheme="minorHAnsi"/>
        </w:rPr>
        <w:t xml:space="preserve"> povolení v</w:t>
      </w:r>
      <w:r w:rsidR="00FE7A8A">
        <w:rPr>
          <w:rFonts w:cstheme="minorHAnsi"/>
        </w:rPr>
        <w:t> kontrolovaném období</w:t>
      </w:r>
      <w:r w:rsidR="00FE7A8A" w:rsidRPr="009A3D34">
        <w:rPr>
          <w:rFonts w:cstheme="minorHAnsi"/>
        </w:rPr>
        <w:t xml:space="preserve"> nevyužívaly.</w:t>
      </w:r>
    </w:p>
    <w:p w14:paraId="7DFE19FD" w14:textId="77777777" w:rsidR="003627B6" w:rsidRDefault="003627B6" w:rsidP="003627B6">
      <w:pPr>
        <w:spacing w:after="0" w:line="240" w:lineRule="auto"/>
        <w:jc w:val="both"/>
        <w:rPr>
          <w:rFonts w:cstheme="minorHAnsi"/>
        </w:rPr>
      </w:pPr>
    </w:p>
    <w:p w14:paraId="7509B6C0" w14:textId="7630E3F3" w:rsidR="007B7DC8" w:rsidRDefault="00FE3867" w:rsidP="007E68A9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Další povinností subjektu je</w:t>
      </w:r>
      <w:r w:rsidR="007B7DC8">
        <w:rPr>
          <w:rFonts w:cstheme="minorHAnsi"/>
        </w:rPr>
        <w:t xml:space="preserve"> vybrat daň od osob, pro které zboží deklaruje, podat elektronicky zvláštní doplňkové celní prohlášení a odvést daň na účet CS ČR. </w:t>
      </w:r>
      <w:r w:rsidR="007B7DC8" w:rsidRPr="003D3233">
        <w:rPr>
          <w:rFonts w:cstheme="minorHAnsi"/>
        </w:rPr>
        <w:t xml:space="preserve">V </w:t>
      </w:r>
      <w:r w:rsidR="00973333">
        <w:rPr>
          <w:rFonts w:cstheme="minorHAnsi"/>
        </w:rPr>
        <w:t>ČR</w:t>
      </w:r>
      <w:r w:rsidR="007B7DC8" w:rsidRPr="003D3233">
        <w:rPr>
          <w:rFonts w:cstheme="minorHAnsi"/>
        </w:rPr>
        <w:t xml:space="preserve"> vystupuje ve zvláštním režimu </w:t>
      </w:r>
      <w:r w:rsidR="00973333">
        <w:rPr>
          <w:rFonts w:cstheme="minorHAnsi"/>
        </w:rPr>
        <w:t xml:space="preserve">pro dovoz zboží </w:t>
      </w:r>
      <w:r w:rsidR="007E68A9">
        <w:rPr>
          <w:rFonts w:cstheme="minorHAnsi"/>
        </w:rPr>
        <w:t xml:space="preserve">nízké hodnoty </w:t>
      </w:r>
      <w:r w:rsidR="007B7DC8" w:rsidRPr="003D3233">
        <w:rPr>
          <w:rFonts w:cstheme="minorHAnsi"/>
        </w:rPr>
        <w:t xml:space="preserve">jako deklarant </w:t>
      </w:r>
      <w:r w:rsidR="007B7DC8">
        <w:rPr>
          <w:rFonts w:cstheme="minorHAnsi"/>
        </w:rPr>
        <w:t>pouze</w:t>
      </w:r>
      <w:r w:rsidR="007B7DC8" w:rsidRPr="003D3233">
        <w:rPr>
          <w:rFonts w:cstheme="minorHAnsi"/>
        </w:rPr>
        <w:t xml:space="preserve"> Česká pošta, která zajišťuje podání elektronických celních prohlášení za příjemce zásilek na základě generálních plných mocí.</w:t>
      </w:r>
      <w:r w:rsidR="007B7DC8">
        <w:rPr>
          <w:rFonts w:cstheme="minorHAnsi"/>
        </w:rPr>
        <w:t xml:space="preserve"> </w:t>
      </w:r>
      <w:r w:rsidR="007B7DC8" w:rsidRPr="005A52B1">
        <w:rPr>
          <w:rFonts w:cstheme="minorHAnsi"/>
        </w:rPr>
        <w:t xml:space="preserve">Spolupráce mezi Českou poštou a CS ČR probíhá </w:t>
      </w:r>
      <w:r w:rsidR="008E7D8E">
        <w:rPr>
          <w:rFonts w:cstheme="minorHAnsi"/>
        </w:rPr>
        <w:t>automatizovaně</w:t>
      </w:r>
      <w:r w:rsidR="007B7DC8" w:rsidRPr="005A52B1">
        <w:rPr>
          <w:rFonts w:cstheme="minorHAnsi"/>
        </w:rPr>
        <w:t>. V rámci této spolupráce Česká pošta pravidelně, zpravidla jedenkrát měsíčně, poskytuje CS ČR souhrnný přehled odbavených zásilek, včetně identifikačních údajů o jednotlivých celních řízeních. Tento přehled slouží CS ČR pro účely evidence, analytické činnosti a případné následné kontroly.</w:t>
      </w:r>
    </w:p>
    <w:p w14:paraId="15B3D778" w14:textId="77777777" w:rsidR="007E68A9" w:rsidRPr="005A52B1" w:rsidRDefault="007E68A9" w:rsidP="003432C9">
      <w:pPr>
        <w:spacing w:after="0" w:line="240" w:lineRule="auto"/>
        <w:jc w:val="both"/>
        <w:rPr>
          <w:rFonts w:cstheme="minorHAnsi"/>
        </w:rPr>
      </w:pPr>
    </w:p>
    <w:p w14:paraId="10B4E874" w14:textId="4CA5C6BB" w:rsidR="007B7DC8" w:rsidRDefault="007B7DC8" w:rsidP="007B7DC8">
      <w:pPr>
        <w:pStyle w:val="Titulek"/>
        <w:keepNext/>
        <w:spacing w:after="0"/>
        <w:rPr>
          <w:rFonts w:cstheme="minorHAnsi"/>
          <w:b/>
          <w:bCs/>
          <w:i w:val="0"/>
          <w:iCs w:val="0"/>
          <w:color w:val="auto"/>
          <w:sz w:val="24"/>
          <w:szCs w:val="24"/>
        </w:rPr>
      </w:pPr>
      <w:r w:rsidRPr="005A52B1">
        <w:rPr>
          <w:rFonts w:cstheme="minorHAnsi"/>
          <w:b/>
          <w:bCs/>
          <w:i w:val="0"/>
          <w:iCs w:val="0"/>
          <w:color w:val="auto"/>
          <w:sz w:val="24"/>
          <w:szCs w:val="24"/>
        </w:rPr>
        <w:t>Tabulka č.</w:t>
      </w:r>
      <w:r>
        <w:rPr>
          <w:rFonts w:cstheme="minorHAnsi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C21860">
        <w:rPr>
          <w:rFonts w:cstheme="minorHAnsi"/>
          <w:b/>
          <w:bCs/>
          <w:i w:val="0"/>
          <w:iCs w:val="0"/>
          <w:color w:val="auto"/>
          <w:sz w:val="24"/>
          <w:szCs w:val="24"/>
        </w:rPr>
        <w:t>1</w:t>
      </w:r>
      <w:r w:rsidR="00691861">
        <w:rPr>
          <w:rFonts w:cstheme="minorHAnsi"/>
          <w:b/>
          <w:bCs/>
          <w:i w:val="0"/>
          <w:iCs w:val="0"/>
          <w:color w:val="auto"/>
          <w:sz w:val="24"/>
          <w:szCs w:val="24"/>
        </w:rPr>
        <w:t>0</w:t>
      </w:r>
      <w:r w:rsidRPr="005A52B1">
        <w:rPr>
          <w:rFonts w:cstheme="minorHAnsi"/>
          <w:b/>
          <w:bCs/>
          <w:i w:val="0"/>
          <w:iCs w:val="0"/>
          <w:color w:val="auto"/>
          <w:sz w:val="24"/>
          <w:szCs w:val="24"/>
        </w:rPr>
        <w:t xml:space="preserve">: Přehled zásilek dle § 109c zákona </w:t>
      </w:r>
      <w:r w:rsidR="00964DD4">
        <w:rPr>
          <w:rFonts w:cstheme="minorHAnsi"/>
          <w:b/>
          <w:bCs/>
          <w:i w:val="0"/>
          <w:iCs w:val="0"/>
          <w:color w:val="auto"/>
          <w:sz w:val="24"/>
          <w:szCs w:val="24"/>
        </w:rPr>
        <w:t xml:space="preserve">o DPH </w:t>
      </w:r>
      <w:r w:rsidRPr="005A52B1">
        <w:rPr>
          <w:rFonts w:cstheme="minorHAnsi"/>
          <w:b/>
          <w:bCs/>
          <w:i w:val="0"/>
          <w:iCs w:val="0"/>
          <w:color w:val="auto"/>
          <w:sz w:val="24"/>
          <w:szCs w:val="24"/>
        </w:rPr>
        <w:t>v letech 2021</w:t>
      </w:r>
      <w:r w:rsidR="0024115F">
        <w:rPr>
          <w:rFonts w:cstheme="minorHAnsi"/>
          <w:b/>
          <w:bCs/>
          <w:i w:val="0"/>
          <w:iCs w:val="0"/>
          <w:color w:val="auto"/>
          <w:sz w:val="24"/>
          <w:szCs w:val="24"/>
        </w:rPr>
        <w:t>–</w:t>
      </w:r>
      <w:r w:rsidRPr="005A52B1">
        <w:rPr>
          <w:rFonts w:cstheme="minorHAnsi"/>
          <w:b/>
          <w:bCs/>
          <w:i w:val="0"/>
          <w:iCs w:val="0"/>
          <w:color w:val="auto"/>
          <w:sz w:val="24"/>
          <w:szCs w:val="24"/>
        </w:rPr>
        <w:t>2024</w:t>
      </w:r>
    </w:p>
    <w:tbl>
      <w:tblPr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5"/>
        <w:gridCol w:w="1815"/>
        <w:gridCol w:w="2412"/>
        <w:gridCol w:w="3170"/>
      </w:tblGrid>
      <w:tr w:rsidR="00AD2AA2" w:rsidRPr="005A52B1" w14:paraId="69F3AB1C" w14:textId="77777777" w:rsidTr="00F16B71">
        <w:trPr>
          <w:trHeight w:val="283"/>
        </w:trPr>
        <w:tc>
          <w:tcPr>
            <w:tcW w:w="909" w:type="pct"/>
            <w:shd w:val="clear" w:color="auto" w:fill="E6E6E6"/>
            <w:vAlign w:val="center"/>
            <w:hideMark/>
          </w:tcPr>
          <w:p w14:paraId="1935D3C0" w14:textId="77777777" w:rsidR="00353F3C" w:rsidRPr="00103CC7" w:rsidRDefault="00353F3C" w:rsidP="00D66D49">
            <w:pPr>
              <w:spacing w:after="0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103CC7">
              <w:rPr>
                <w:rFonts w:cstheme="minorHAnsi"/>
                <w:b/>
                <w:bCs/>
                <w:sz w:val="22"/>
                <w:szCs w:val="22"/>
              </w:rPr>
              <w:t>Rok</w:t>
            </w:r>
          </w:p>
        </w:tc>
        <w:tc>
          <w:tcPr>
            <w:tcW w:w="1003" w:type="pct"/>
            <w:shd w:val="clear" w:color="auto" w:fill="E6E6E6"/>
            <w:vAlign w:val="center"/>
            <w:hideMark/>
          </w:tcPr>
          <w:p w14:paraId="41091FA0" w14:textId="64BB80B4" w:rsidR="00353F3C" w:rsidRPr="00103CC7" w:rsidRDefault="00353F3C" w:rsidP="00D66D49">
            <w:pPr>
              <w:spacing w:after="0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103CC7">
              <w:rPr>
                <w:rFonts w:cstheme="minorHAnsi"/>
                <w:b/>
                <w:bCs/>
                <w:sz w:val="22"/>
                <w:szCs w:val="22"/>
              </w:rPr>
              <w:t>Počet zásilek</w:t>
            </w:r>
          </w:p>
        </w:tc>
        <w:tc>
          <w:tcPr>
            <w:tcW w:w="1334" w:type="pct"/>
            <w:shd w:val="clear" w:color="auto" w:fill="E6E6E6"/>
            <w:vAlign w:val="center"/>
            <w:hideMark/>
          </w:tcPr>
          <w:p w14:paraId="160F23C8" w14:textId="5661D634" w:rsidR="00353F3C" w:rsidRPr="00103CC7" w:rsidRDefault="00353F3C" w:rsidP="00D66D49">
            <w:pPr>
              <w:spacing w:after="0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Hodnota zásil</w:t>
            </w:r>
            <w:r w:rsidR="00DC5DEB">
              <w:rPr>
                <w:rFonts w:cstheme="minorHAnsi"/>
                <w:b/>
                <w:bCs/>
                <w:sz w:val="22"/>
                <w:szCs w:val="22"/>
              </w:rPr>
              <w:t>ek</w:t>
            </w:r>
            <w:r w:rsidRPr="00103CC7">
              <w:rPr>
                <w:rFonts w:cstheme="minorHAnsi"/>
                <w:b/>
                <w:bCs/>
                <w:sz w:val="22"/>
                <w:szCs w:val="22"/>
              </w:rPr>
              <w:t xml:space="preserve"> v Kč</w:t>
            </w:r>
          </w:p>
        </w:tc>
        <w:tc>
          <w:tcPr>
            <w:tcW w:w="1753" w:type="pct"/>
            <w:shd w:val="clear" w:color="auto" w:fill="E6E6E6"/>
          </w:tcPr>
          <w:p w14:paraId="5DDC5D49" w14:textId="77777777" w:rsidR="00353F3C" w:rsidRPr="00103CC7" w:rsidRDefault="00353F3C" w:rsidP="00D66D49">
            <w:pPr>
              <w:spacing w:after="0"/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103CC7">
              <w:rPr>
                <w:rFonts w:cstheme="minorHAnsi"/>
                <w:b/>
                <w:bCs/>
                <w:sz w:val="22"/>
                <w:szCs w:val="22"/>
              </w:rPr>
              <w:t>Průměrná hodnota zásilky v Kč</w:t>
            </w:r>
          </w:p>
        </w:tc>
      </w:tr>
      <w:tr w:rsidR="00AD2AA2" w:rsidRPr="005A52B1" w14:paraId="7F3BCA84" w14:textId="77777777" w:rsidTr="00F16B71">
        <w:trPr>
          <w:trHeight w:val="283"/>
        </w:trPr>
        <w:tc>
          <w:tcPr>
            <w:tcW w:w="909" w:type="pct"/>
            <w:vAlign w:val="center"/>
            <w:hideMark/>
          </w:tcPr>
          <w:p w14:paraId="43F83919" w14:textId="77777777" w:rsidR="00353F3C" w:rsidRPr="00103CC7" w:rsidRDefault="00353F3C" w:rsidP="00F16B71">
            <w:pPr>
              <w:spacing w:after="0"/>
              <w:ind w:left="57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 xml:space="preserve">Od 1. 10. </w:t>
            </w:r>
            <w:r w:rsidRPr="00103CC7">
              <w:rPr>
                <w:rFonts w:cstheme="minorHAnsi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003" w:type="pct"/>
            <w:vAlign w:val="center"/>
            <w:hideMark/>
          </w:tcPr>
          <w:p w14:paraId="24B34B73" w14:textId="77777777" w:rsidR="00353F3C" w:rsidRPr="00103CC7" w:rsidRDefault="00353F3C" w:rsidP="00F16B71">
            <w:pPr>
              <w:spacing w:after="0"/>
              <w:ind w:right="57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103CC7">
              <w:rPr>
                <w:rFonts w:cstheme="minorHAnsi"/>
                <w:color w:val="000000"/>
                <w:sz w:val="22"/>
                <w:szCs w:val="22"/>
              </w:rPr>
              <w:t>134 656</w:t>
            </w:r>
          </w:p>
        </w:tc>
        <w:tc>
          <w:tcPr>
            <w:tcW w:w="1334" w:type="pct"/>
            <w:vAlign w:val="center"/>
            <w:hideMark/>
          </w:tcPr>
          <w:p w14:paraId="0D624CAD" w14:textId="77777777" w:rsidR="00353F3C" w:rsidRPr="00103CC7" w:rsidRDefault="00353F3C" w:rsidP="00F16B71">
            <w:pPr>
              <w:spacing w:after="0"/>
              <w:ind w:right="57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103CC7">
              <w:rPr>
                <w:rFonts w:cstheme="minorHAnsi"/>
                <w:color w:val="000000"/>
                <w:sz w:val="22"/>
                <w:szCs w:val="22"/>
              </w:rPr>
              <w:t>104 812 710</w:t>
            </w:r>
          </w:p>
        </w:tc>
        <w:tc>
          <w:tcPr>
            <w:tcW w:w="1753" w:type="pct"/>
            <w:vAlign w:val="center"/>
          </w:tcPr>
          <w:p w14:paraId="0F2450C8" w14:textId="77777777" w:rsidR="00353F3C" w:rsidRPr="00755293" w:rsidRDefault="00353F3C" w:rsidP="00F16B71">
            <w:pPr>
              <w:spacing w:after="0"/>
              <w:ind w:right="57"/>
              <w:jc w:val="right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755293">
              <w:rPr>
                <w:rStyle w:val="Siln"/>
                <w:rFonts w:cstheme="minorHAnsi"/>
                <w:b w:val="0"/>
                <w:bCs w:val="0"/>
                <w:sz w:val="22"/>
                <w:szCs w:val="22"/>
              </w:rPr>
              <w:t>778</w:t>
            </w:r>
          </w:p>
        </w:tc>
      </w:tr>
      <w:tr w:rsidR="00AD2AA2" w:rsidRPr="005A52B1" w14:paraId="5A38E6EC" w14:textId="77777777" w:rsidTr="00F16B71">
        <w:trPr>
          <w:trHeight w:val="283"/>
        </w:trPr>
        <w:tc>
          <w:tcPr>
            <w:tcW w:w="909" w:type="pct"/>
            <w:vAlign w:val="center"/>
            <w:hideMark/>
          </w:tcPr>
          <w:p w14:paraId="33D51D32" w14:textId="77777777" w:rsidR="00353F3C" w:rsidRPr="00103CC7" w:rsidRDefault="00353F3C" w:rsidP="00F16B71">
            <w:pPr>
              <w:spacing w:after="0"/>
              <w:ind w:left="57"/>
              <w:rPr>
                <w:rFonts w:cstheme="minorHAnsi"/>
                <w:color w:val="000000"/>
                <w:sz w:val="22"/>
                <w:szCs w:val="22"/>
              </w:rPr>
            </w:pPr>
            <w:r w:rsidRPr="00103CC7">
              <w:rPr>
                <w:rFonts w:cstheme="minorHAns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003" w:type="pct"/>
            <w:vAlign w:val="center"/>
            <w:hideMark/>
          </w:tcPr>
          <w:p w14:paraId="11CDC8BB" w14:textId="77777777" w:rsidR="00353F3C" w:rsidRPr="00103CC7" w:rsidRDefault="00353F3C" w:rsidP="00F16B71">
            <w:pPr>
              <w:spacing w:after="0"/>
              <w:ind w:right="57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103CC7">
              <w:rPr>
                <w:rFonts w:cstheme="minorHAnsi"/>
                <w:color w:val="000000"/>
                <w:sz w:val="22"/>
                <w:szCs w:val="22"/>
              </w:rPr>
              <w:t>156 207</w:t>
            </w:r>
          </w:p>
        </w:tc>
        <w:tc>
          <w:tcPr>
            <w:tcW w:w="1334" w:type="pct"/>
            <w:vAlign w:val="center"/>
            <w:hideMark/>
          </w:tcPr>
          <w:p w14:paraId="1E9A5EF0" w14:textId="77777777" w:rsidR="00353F3C" w:rsidRPr="00103CC7" w:rsidRDefault="00353F3C" w:rsidP="00F16B71">
            <w:pPr>
              <w:spacing w:after="0"/>
              <w:ind w:right="57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103CC7">
              <w:rPr>
                <w:rFonts w:cstheme="minorHAnsi"/>
                <w:color w:val="000000"/>
                <w:sz w:val="22"/>
                <w:szCs w:val="22"/>
              </w:rPr>
              <w:t>195 682 566</w:t>
            </w:r>
          </w:p>
        </w:tc>
        <w:tc>
          <w:tcPr>
            <w:tcW w:w="1753" w:type="pct"/>
            <w:vAlign w:val="center"/>
          </w:tcPr>
          <w:p w14:paraId="2338EF16" w14:textId="77777777" w:rsidR="00353F3C" w:rsidRPr="00755293" w:rsidRDefault="00353F3C" w:rsidP="00F16B71">
            <w:pPr>
              <w:spacing w:after="0"/>
              <w:ind w:right="57"/>
              <w:jc w:val="right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755293">
              <w:rPr>
                <w:rStyle w:val="Siln"/>
                <w:rFonts w:cstheme="minorHAnsi"/>
                <w:b w:val="0"/>
                <w:bCs w:val="0"/>
                <w:sz w:val="22"/>
                <w:szCs w:val="22"/>
              </w:rPr>
              <w:t>1 252</w:t>
            </w:r>
          </w:p>
        </w:tc>
      </w:tr>
      <w:tr w:rsidR="00AD2AA2" w:rsidRPr="005A52B1" w14:paraId="5924478E" w14:textId="77777777" w:rsidTr="00F16B71">
        <w:trPr>
          <w:trHeight w:val="283"/>
        </w:trPr>
        <w:tc>
          <w:tcPr>
            <w:tcW w:w="909" w:type="pct"/>
            <w:vAlign w:val="center"/>
            <w:hideMark/>
          </w:tcPr>
          <w:p w14:paraId="53FFD3F5" w14:textId="77777777" w:rsidR="00353F3C" w:rsidRPr="00103CC7" w:rsidRDefault="00353F3C" w:rsidP="00F16B71">
            <w:pPr>
              <w:spacing w:after="0"/>
              <w:ind w:left="57"/>
              <w:rPr>
                <w:rFonts w:cstheme="minorHAnsi"/>
                <w:color w:val="000000"/>
                <w:sz w:val="22"/>
                <w:szCs w:val="22"/>
              </w:rPr>
            </w:pPr>
            <w:r w:rsidRPr="00103CC7">
              <w:rPr>
                <w:rFonts w:cstheme="minorHAnsi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003" w:type="pct"/>
            <w:vAlign w:val="center"/>
            <w:hideMark/>
          </w:tcPr>
          <w:p w14:paraId="1873513F" w14:textId="77777777" w:rsidR="00353F3C" w:rsidRPr="00103CC7" w:rsidRDefault="00353F3C" w:rsidP="00F16B71">
            <w:pPr>
              <w:spacing w:after="0"/>
              <w:ind w:right="57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103CC7">
              <w:rPr>
                <w:rFonts w:cstheme="minorHAnsi"/>
                <w:color w:val="000000"/>
                <w:sz w:val="22"/>
                <w:szCs w:val="22"/>
              </w:rPr>
              <w:t>147 801</w:t>
            </w:r>
          </w:p>
        </w:tc>
        <w:tc>
          <w:tcPr>
            <w:tcW w:w="1334" w:type="pct"/>
            <w:vAlign w:val="center"/>
            <w:hideMark/>
          </w:tcPr>
          <w:p w14:paraId="1B009F4D" w14:textId="77777777" w:rsidR="00353F3C" w:rsidRPr="00103CC7" w:rsidRDefault="00353F3C" w:rsidP="00F16B71">
            <w:pPr>
              <w:spacing w:after="0"/>
              <w:ind w:right="57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103CC7">
              <w:rPr>
                <w:rFonts w:cstheme="minorHAnsi"/>
                <w:color w:val="000000"/>
                <w:sz w:val="22"/>
                <w:szCs w:val="22"/>
              </w:rPr>
              <w:t>174 633 795</w:t>
            </w:r>
          </w:p>
        </w:tc>
        <w:tc>
          <w:tcPr>
            <w:tcW w:w="1753" w:type="pct"/>
            <w:vAlign w:val="center"/>
          </w:tcPr>
          <w:p w14:paraId="01EC1668" w14:textId="77777777" w:rsidR="00353F3C" w:rsidRPr="00755293" w:rsidRDefault="00353F3C" w:rsidP="00F16B71">
            <w:pPr>
              <w:spacing w:after="0"/>
              <w:ind w:right="57"/>
              <w:jc w:val="right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755293">
              <w:rPr>
                <w:rStyle w:val="Siln"/>
                <w:rFonts w:cstheme="minorHAnsi"/>
                <w:b w:val="0"/>
                <w:bCs w:val="0"/>
                <w:sz w:val="22"/>
                <w:szCs w:val="22"/>
              </w:rPr>
              <w:t>1 181</w:t>
            </w:r>
          </w:p>
        </w:tc>
      </w:tr>
      <w:tr w:rsidR="00AD2AA2" w:rsidRPr="005A52B1" w14:paraId="4F3F9EFB" w14:textId="77777777" w:rsidTr="00F16B71">
        <w:trPr>
          <w:trHeight w:val="283"/>
        </w:trPr>
        <w:tc>
          <w:tcPr>
            <w:tcW w:w="909" w:type="pct"/>
            <w:vAlign w:val="center"/>
            <w:hideMark/>
          </w:tcPr>
          <w:p w14:paraId="5FDA0022" w14:textId="77777777" w:rsidR="00353F3C" w:rsidRPr="00103CC7" w:rsidRDefault="00353F3C" w:rsidP="00F16B71">
            <w:pPr>
              <w:spacing w:after="0"/>
              <w:ind w:left="57"/>
              <w:rPr>
                <w:rFonts w:cstheme="minorHAnsi"/>
                <w:color w:val="000000"/>
                <w:sz w:val="22"/>
                <w:szCs w:val="22"/>
              </w:rPr>
            </w:pPr>
            <w:r w:rsidRPr="00103CC7">
              <w:rPr>
                <w:rFonts w:cstheme="minorHAnsi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003" w:type="pct"/>
            <w:vAlign w:val="center"/>
            <w:hideMark/>
          </w:tcPr>
          <w:p w14:paraId="4943F842" w14:textId="77777777" w:rsidR="00353F3C" w:rsidRPr="00103CC7" w:rsidRDefault="00353F3C" w:rsidP="00F16B71">
            <w:pPr>
              <w:spacing w:after="0"/>
              <w:ind w:right="57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103CC7">
              <w:rPr>
                <w:rFonts w:cstheme="minorHAnsi"/>
                <w:color w:val="000000"/>
                <w:sz w:val="22"/>
                <w:szCs w:val="22"/>
              </w:rPr>
              <w:t>38 757</w:t>
            </w:r>
          </w:p>
        </w:tc>
        <w:tc>
          <w:tcPr>
            <w:tcW w:w="1334" w:type="pct"/>
            <w:vAlign w:val="center"/>
            <w:hideMark/>
          </w:tcPr>
          <w:p w14:paraId="4F97E8FF" w14:textId="77777777" w:rsidR="00353F3C" w:rsidRPr="00103CC7" w:rsidRDefault="00353F3C" w:rsidP="00F16B71">
            <w:pPr>
              <w:spacing w:after="0"/>
              <w:ind w:right="57"/>
              <w:jc w:val="right"/>
              <w:rPr>
                <w:rFonts w:cstheme="minorHAnsi"/>
                <w:color w:val="000000"/>
                <w:sz w:val="22"/>
                <w:szCs w:val="22"/>
              </w:rPr>
            </w:pPr>
            <w:r w:rsidRPr="00103CC7">
              <w:rPr>
                <w:rFonts w:cstheme="minorHAnsi"/>
                <w:color w:val="000000"/>
                <w:sz w:val="22"/>
                <w:szCs w:val="22"/>
              </w:rPr>
              <w:t>75 394 311</w:t>
            </w:r>
          </w:p>
        </w:tc>
        <w:tc>
          <w:tcPr>
            <w:tcW w:w="1753" w:type="pct"/>
            <w:vAlign w:val="center"/>
          </w:tcPr>
          <w:p w14:paraId="11D2637E" w14:textId="77777777" w:rsidR="00353F3C" w:rsidRPr="00755293" w:rsidRDefault="00353F3C" w:rsidP="00F16B71">
            <w:pPr>
              <w:spacing w:after="0"/>
              <w:ind w:right="57"/>
              <w:jc w:val="right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755293">
              <w:rPr>
                <w:rStyle w:val="Siln"/>
                <w:rFonts w:cstheme="minorHAnsi"/>
                <w:b w:val="0"/>
                <w:bCs w:val="0"/>
                <w:sz w:val="22"/>
                <w:szCs w:val="22"/>
              </w:rPr>
              <w:t>1 946</w:t>
            </w:r>
          </w:p>
        </w:tc>
      </w:tr>
      <w:tr w:rsidR="00AD2AA2" w:rsidRPr="005A52B1" w14:paraId="75988587" w14:textId="77777777" w:rsidTr="00F16B71">
        <w:trPr>
          <w:trHeight w:val="283"/>
        </w:trPr>
        <w:tc>
          <w:tcPr>
            <w:tcW w:w="909" w:type="pct"/>
            <w:shd w:val="clear" w:color="auto" w:fill="EDD4D9"/>
            <w:vAlign w:val="center"/>
          </w:tcPr>
          <w:p w14:paraId="4BC98392" w14:textId="45842990" w:rsidR="003B7393" w:rsidRPr="00313E6C" w:rsidRDefault="003B7393" w:rsidP="00F16B71">
            <w:pPr>
              <w:spacing w:after="0"/>
              <w:ind w:left="57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313E6C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1003" w:type="pct"/>
            <w:shd w:val="clear" w:color="auto" w:fill="EDD4D9"/>
            <w:vAlign w:val="center"/>
          </w:tcPr>
          <w:p w14:paraId="0CC95AF3" w14:textId="53128BF1" w:rsidR="003B7393" w:rsidRPr="00313E6C" w:rsidRDefault="003B7393" w:rsidP="00F16B71">
            <w:pPr>
              <w:spacing w:after="0"/>
              <w:ind w:right="57"/>
              <w:jc w:val="right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313E6C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477 421</w:t>
            </w:r>
          </w:p>
        </w:tc>
        <w:tc>
          <w:tcPr>
            <w:tcW w:w="1334" w:type="pct"/>
            <w:shd w:val="clear" w:color="auto" w:fill="EDD4D9"/>
            <w:vAlign w:val="center"/>
          </w:tcPr>
          <w:p w14:paraId="23B2C6C4" w14:textId="14515558" w:rsidR="003B7393" w:rsidRPr="00313E6C" w:rsidRDefault="003B7393" w:rsidP="00F16B71">
            <w:pPr>
              <w:spacing w:after="0"/>
              <w:ind w:right="57"/>
              <w:jc w:val="right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313E6C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550 523 382</w:t>
            </w:r>
          </w:p>
        </w:tc>
        <w:tc>
          <w:tcPr>
            <w:tcW w:w="1753" w:type="pct"/>
            <w:shd w:val="clear" w:color="auto" w:fill="EDD4D9"/>
            <w:vAlign w:val="center"/>
          </w:tcPr>
          <w:p w14:paraId="1C80004F" w14:textId="3C289FF1" w:rsidR="003B7393" w:rsidRPr="00313E6C" w:rsidRDefault="003B7393" w:rsidP="00F16B71">
            <w:pPr>
              <w:spacing w:after="0"/>
              <w:ind w:right="57"/>
              <w:jc w:val="right"/>
              <w:rPr>
                <w:rStyle w:val="Siln"/>
                <w:rFonts w:cstheme="minorHAnsi"/>
                <w:sz w:val="22"/>
                <w:szCs w:val="22"/>
              </w:rPr>
            </w:pPr>
            <w:r w:rsidRPr="00313E6C">
              <w:rPr>
                <w:rStyle w:val="Siln"/>
                <w:rFonts w:cstheme="minorHAnsi"/>
                <w:sz w:val="22"/>
                <w:szCs w:val="22"/>
              </w:rPr>
              <w:t>1</w:t>
            </w:r>
            <w:r w:rsidRPr="003B7393">
              <w:rPr>
                <w:rStyle w:val="Siln"/>
                <w:rFonts w:cstheme="minorHAnsi"/>
                <w:sz w:val="22"/>
                <w:szCs w:val="22"/>
              </w:rPr>
              <w:t xml:space="preserve"> 153</w:t>
            </w:r>
          </w:p>
        </w:tc>
      </w:tr>
    </w:tbl>
    <w:p w14:paraId="2A5B1E7E" w14:textId="62A65D3A" w:rsidR="007B7DC8" w:rsidRDefault="007B7DC8" w:rsidP="003627B6">
      <w:pPr>
        <w:spacing w:after="0"/>
        <w:jc w:val="both"/>
        <w:rPr>
          <w:rFonts w:cstheme="minorHAnsi"/>
          <w:sz w:val="20"/>
          <w:szCs w:val="20"/>
        </w:rPr>
      </w:pPr>
      <w:r w:rsidRPr="00F16B71">
        <w:rPr>
          <w:rFonts w:cstheme="minorHAnsi"/>
          <w:b/>
          <w:bCs/>
          <w:sz w:val="20"/>
          <w:szCs w:val="20"/>
        </w:rPr>
        <w:t>Zdroj:</w:t>
      </w:r>
      <w:r>
        <w:rPr>
          <w:rFonts w:cstheme="minorHAnsi"/>
          <w:sz w:val="20"/>
          <w:szCs w:val="20"/>
        </w:rPr>
        <w:t xml:space="preserve"> GŘC.</w:t>
      </w:r>
    </w:p>
    <w:p w14:paraId="03C13F87" w14:textId="77777777" w:rsidR="003627B6" w:rsidRDefault="003627B6" w:rsidP="003627B6">
      <w:pPr>
        <w:spacing w:after="0" w:line="240" w:lineRule="auto"/>
        <w:jc w:val="both"/>
        <w:rPr>
          <w:rFonts w:cstheme="minorHAnsi"/>
        </w:rPr>
      </w:pPr>
    </w:p>
    <w:p w14:paraId="07CEC35D" w14:textId="2EA62ACB" w:rsidR="00705474" w:rsidRDefault="007B7DC8" w:rsidP="003627B6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V</w:t>
      </w:r>
      <w:r w:rsidRPr="00103CC7">
        <w:rPr>
          <w:rFonts w:cstheme="minorHAnsi"/>
        </w:rPr>
        <w:t xml:space="preserve"> roce 2024 </w:t>
      </w:r>
      <w:r w:rsidR="0024115F">
        <w:rPr>
          <w:rFonts w:cstheme="minorHAnsi"/>
        </w:rPr>
        <w:t>činila</w:t>
      </w:r>
      <w:r w:rsidR="0024115F" w:rsidRPr="00103CC7">
        <w:rPr>
          <w:rFonts w:cstheme="minorHAnsi"/>
        </w:rPr>
        <w:t xml:space="preserve"> </w:t>
      </w:r>
      <w:r>
        <w:rPr>
          <w:rFonts w:cstheme="minorHAnsi"/>
        </w:rPr>
        <w:t xml:space="preserve">hodnota jedné zásilky </w:t>
      </w:r>
      <w:r w:rsidR="00FE3867">
        <w:rPr>
          <w:rFonts w:cstheme="minorHAnsi"/>
        </w:rPr>
        <w:t>téměř</w:t>
      </w:r>
      <w:r w:rsidRPr="00103CC7">
        <w:rPr>
          <w:rFonts w:cstheme="minorHAnsi"/>
        </w:rPr>
        <w:t xml:space="preserve"> 2 000 Kč, což je oproti roku 2021 nárůst o</w:t>
      </w:r>
      <w:r w:rsidR="00771987">
        <w:rPr>
          <w:rFonts w:cstheme="minorHAnsi"/>
        </w:rPr>
        <w:t> </w:t>
      </w:r>
      <w:r w:rsidRPr="00103CC7">
        <w:rPr>
          <w:rFonts w:cstheme="minorHAnsi"/>
        </w:rPr>
        <w:t>150</w:t>
      </w:r>
      <w:r w:rsidR="00771987">
        <w:rPr>
          <w:rFonts w:cstheme="minorHAnsi"/>
        </w:rPr>
        <w:t> </w:t>
      </w:r>
      <w:r w:rsidRPr="00103CC7">
        <w:rPr>
          <w:rFonts w:cstheme="minorHAnsi"/>
        </w:rPr>
        <w:t xml:space="preserve">%. </w:t>
      </w:r>
    </w:p>
    <w:p w14:paraId="02A98B25" w14:textId="77777777" w:rsidR="003627B6" w:rsidRPr="002B6426" w:rsidRDefault="003627B6" w:rsidP="003627B6">
      <w:pPr>
        <w:spacing w:after="0" w:line="240" w:lineRule="auto"/>
        <w:jc w:val="both"/>
        <w:rPr>
          <w:rFonts w:cstheme="minorHAnsi"/>
        </w:rPr>
      </w:pPr>
    </w:p>
    <w:p w14:paraId="32283522" w14:textId="37C46904" w:rsidR="00597D6D" w:rsidRDefault="00597D6D" w:rsidP="00605F82">
      <w:pPr>
        <w:spacing w:after="0"/>
        <w:rPr>
          <w:rFonts w:cstheme="minorHAnsi"/>
          <w:b/>
          <w:bCs/>
        </w:rPr>
      </w:pPr>
      <w:r w:rsidRPr="005A52B1">
        <w:rPr>
          <w:rFonts w:cstheme="minorHAnsi"/>
          <w:b/>
          <w:bCs/>
        </w:rPr>
        <w:t xml:space="preserve">Tabulka č. </w:t>
      </w:r>
      <w:r w:rsidR="00C21860">
        <w:rPr>
          <w:rFonts w:cstheme="minorHAnsi"/>
          <w:b/>
          <w:bCs/>
        </w:rPr>
        <w:t>1</w:t>
      </w:r>
      <w:r w:rsidR="00691861">
        <w:rPr>
          <w:rFonts w:cstheme="minorHAnsi"/>
          <w:b/>
          <w:bCs/>
        </w:rPr>
        <w:t>1</w:t>
      </w:r>
      <w:r w:rsidRPr="005A52B1">
        <w:rPr>
          <w:rFonts w:cstheme="minorHAnsi"/>
          <w:b/>
          <w:bCs/>
        </w:rPr>
        <w:t xml:space="preserve">: </w:t>
      </w:r>
      <w:r w:rsidR="00771987">
        <w:rPr>
          <w:rFonts w:cstheme="minorHAnsi"/>
          <w:b/>
          <w:bCs/>
        </w:rPr>
        <w:t>Přehled</w:t>
      </w:r>
      <w:r w:rsidRPr="005A52B1">
        <w:rPr>
          <w:rFonts w:cstheme="minorHAnsi"/>
          <w:b/>
          <w:bCs/>
        </w:rPr>
        <w:t xml:space="preserve"> </w:t>
      </w:r>
      <w:r w:rsidR="006B1E7E">
        <w:rPr>
          <w:rFonts w:cstheme="minorHAnsi"/>
          <w:b/>
          <w:bCs/>
        </w:rPr>
        <w:t>zásilek</w:t>
      </w:r>
      <w:r w:rsidRPr="005A52B1">
        <w:rPr>
          <w:rFonts w:cstheme="minorHAnsi"/>
          <w:b/>
          <w:bCs/>
        </w:rPr>
        <w:t xml:space="preserve"> v</w:t>
      </w:r>
      <w:r w:rsidR="00EC7E57">
        <w:rPr>
          <w:rFonts w:cstheme="minorHAnsi"/>
          <w:b/>
          <w:bCs/>
        </w:rPr>
        <w:t xml:space="preserve"> dovozním </w:t>
      </w:r>
      <w:r w:rsidRPr="005A52B1">
        <w:rPr>
          <w:rFonts w:cstheme="minorHAnsi"/>
          <w:b/>
          <w:bCs/>
        </w:rPr>
        <w:t>režimu</w:t>
      </w:r>
      <w:r w:rsidR="002B6426">
        <w:rPr>
          <w:rStyle w:val="Znakapoznpodarou"/>
          <w:rFonts w:cstheme="minorHAnsi"/>
          <w:b/>
          <w:bCs/>
        </w:rPr>
        <w:footnoteReference w:id="29"/>
      </w:r>
      <w:r w:rsidRPr="005A52B1">
        <w:rPr>
          <w:rFonts w:cstheme="minorHAnsi"/>
          <w:b/>
          <w:bCs/>
        </w:rPr>
        <w:t xml:space="preserve"> v letech 2021–2024 </w:t>
      </w:r>
    </w:p>
    <w:tbl>
      <w:tblPr>
        <w:tblStyle w:val="Mkatabulky"/>
        <w:tblW w:w="906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13"/>
        <w:gridCol w:w="1813"/>
        <w:gridCol w:w="1814"/>
        <w:gridCol w:w="1813"/>
        <w:gridCol w:w="1814"/>
      </w:tblGrid>
      <w:tr w:rsidR="000A621B" w:rsidRPr="005A52B1" w14:paraId="780ECBD3" w14:textId="77777777" w:rsidTr="00F16B71">
        <w:tc>
          <w:tcPr>
            <w:tcW w:w="1813" w:type="dxa"/>
            <w:shd w:val="clear" w:color="auto" w:fill="E6E6E6"/>
            <w:vAlign w:val="center"/>
          </w:tcPr>
          <w:p w14:paraId="6A11C033" w14:textId="77777777" w:rsidR="000A621B" w:rsidRPr="005A52B1" w:rsidRDefault="000A621B" w:rsidP="004A4D52">
            <w:pPr>
              <w:jc w:val="center"/>
              <w:rPr>
                <w:rFonts w:eastAsia="Times New Roman" w:cstheme="minorHAnsi"/>
                <w:b/>
                <w:bCs/>
              </w:rPr>
            </w:pPr>
            <w:r w:rsidRPr="005A52B1">
              <w:rPr>
                <w:rFonts w:eastAsia="Times New Roman" w:cstheme="minorHAnsi"/>
                <w:b/>
                <w:bCs/>
              </w:rPr>
              <w:t>Rok</w:t>
            </w:r>
          </w:p>
        </w:tc>
        <w:tc>
          <w:tcPr>
            <w:tcW w:w="1813" w:type="dxa"/>
            <w:shd w:val="clear" w:color="auto" w:fill="E6E6E6"/>
            <w:vAlign w:val="center"/>
          </w:tcPr>
          <w:p w14:paraId="460764CE" w14:textId="0B32BDC6" w:rsidR="000A621B" w:rsidRDefault="000A621B" w:rsidP="004A4D52">
            <w:pPr>
              <w:jc w:val="center"/>
              <w:rPr>
                <w:rFonts w:eastAsia="Times New Roman" w:cstheme="minorHAnsi"/>
                <w:b/>
                <w:bCs/>
              </w:rPr>
            </w:pPr>
            <w:r w:rsidRPr="005A52B1">
              <w:rPr>
                <w:rFonts w:eastAsia="Times New Roman" w:cstheme="minorHAnsi"/>
                <w:b/>
                <w:bCs/>
              </w:rPr>
              <w:t>Počet</w:t>
            </w:r>
          </w:p>
          <w:p w14:paraId="24B30B7A" w14:textId="77777777" w:rsidR="000A621B" w:rsidRPr="005A52B1" w:rsidRDefault="000A621B" w:rsidP="004A4D52">
            <w:pPr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zásilek</w:t>
            </w:r>
          </w:p>
        </w:tc>
        <w:tc>
          <w:tcPr>
            <w:tcW w:w="1814" w:type="dxa"/>
            <w:shd w:val="clear" w:color="auto" w:fill="E6E6E6"/>
            <w:vAlign w:val="center"/>
          </w:tcPr>
          <w:p w14:paraId="03CC1C98" w14:textId="3AD0EFFB" w:rsidR="000A621B" w:rsidRDefault="000A621B" w:rsidP="004A4D52">
            <w:pPr>
              <w:jc w:val="center"/>
              <w:rPr>
                <w:rFonts w:eastAsia="Times New Roman" w:cstheme="minorHAnsi"/>
                <w:b/>
                <w:bCs/>
              </w:rPr>
            </w:pPr>
            <w:r w:rsidRPr="005A52B1">
              <w:rPr>
                <w:rFonts w:eastAsia="Times New Roman" w:cstheme="minorHAnsi"/>
                <w:b/>
                <w:bCs/>
              </w:rPr>
              <w:t>Počet</w:t>
            </w:r>
          </w:p>
          <w:p w14:paraId="48719B74" w14:textId="77777777" w:rsidR="000A621B" w:rsidRPr="00B33CBD" w:rsidRDefault="000A621B" w:rsidP="004A4D52">
            <w:pPr>
              <w:jc w:val="center"/>
              <w:rPr>
                <w:rFonts w:eastAsia="Times New Roman" w:cstheme="minorHAnsi"/>
                <w:b/>
                <w:bCs/>
                <w:vertAlign w:val="superscript"/>
              </w:rPr>
            </w:pPr>
            <w:r>
              <w:rPr>
                <w:rFonts w:eastAsia="Times New Roman" w:cstheme="minorHAnsi"/>
                <w:b/>
                <w:bCs/>
              </w:rPr>
              <w:t>položek</w:t>
            </w:r>
          </w:p>
        </w:tc>
        <w:tc>
          <w:tcPr>
            <w:tcW w:w="1813" w:type="dxa"/>
            <w:shd w:val="clear" w:color="auto" w:fill="E6E6E6"/>
            <w:vAlign w:val="center"/>
          </w:tcPr>
          <w:p w14:paraId="49659FBC" w14:textId="7EDFCF88" w:rsidR="000A621B" w:rsidRDefault="000A621B" w:rsidP="004A4D52">
            <w:pPr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Hodnota</w:t>
            </w:r>
          </w:p>
          <w:p w14:paraId="5AADCD08" w14:textId="2F798EE5" w:rsidR="000A621B" w:rsidRPr="005A52B1" w:rsidRDefault="00FE3867" w:rsidP="004A4D52">
            <w:pPr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z</w:t>
            </w:r>
            <w:r w:rsidR="000A621B">
              <w:rPr>
                <w:rFonts w:eastAsia="Times New Roman" w:cstheme="minorHAnsi"/>
                <w:b/>
                <w:bCs/>
              </w:rPr>
              <w:t>ásil</w:t>
            </w:r>
            <w:r w:rsidR="00DC5DEB">
              <w:rPr>
                <w:rFonts w:eastAsia="Times New Roman" w:cstheme="minorHAnsi"/>
                <w:b/>
                <w:bCs/>
              </w:rPr>
              <w:t>ek</w:t>
            </w:r>
            <w:r w:rsidR="000A621B">
              <w:rPr>
                <w:rFonts w:eastAsia="Times New Roman" w:cstheme="minorHAnsi"/>
                <w:b/>
                <w:bCs/>
              </w:rPr>
              <w:t xml:space="preserve"> v Kč</w:t>
            </w:r>
          </w:p>
        </w:tc>
        <w:tc>
          <w:tcPr>
            <w:tcW w:w="1814" w:type="dxa"/>
            <w:shd w:val="clear" w:color="auto" w:fill="E6E6E6"/>
            <w:vAlign w:val="center"/>
          </w:tcPr>
          <w:p w14:paraId="589F8EA9" w14:textId="77777777" w:rsidR="000A621B" w:rsidRDefault="000A621B" w:rsidP="004A4D52">
            <w:pPr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Průměrná hodnota</w:t>
            </w:r>
          </w:p>
          <w:p w14:paraId="7C30D2AA" w14:textId="77777777" w:rsidR="000A621B" w:rsidRDefault="000A621B" w:rsidP="004A4D52">
            <w:pPr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zásilky v Kč</w:t>
            </w:r>
          </w:p>
        </w:tc>
      </w:tr>
      <w:tr w:rsidR="000A621B" w:rsidRPr="005A52B1" w14:paraId="3D6DB2DB" w14:textId="77777777" w:rsidTr="00F16B71">
        <w:trPr>
          <w:trHeight w:val="284"/>
        </w:trPr>
        <w:tc>
          <w:tcPr>
            <w:tcW w:w="1813" w:type="dxa"/>
            <w:vAlign w:val="center"/>
          </w:tcPr>
          <w:p w14:paraId="6AAE5875" w14:textId="77777777" w:rsidR="000A621B" w:rsidRPr="00754A95" w:rsidRDefault="000A621B" w:rsidP="00F16B71">
            <w:pPr>
              <w:ind w:left="57"/>
              <w:rPr>
                <w:rFonts w:cstheme="minorHAnsi"/>
                <w:color w:val="000000"/>
                <w:lang w:eastAsia="cs-CZ"/>
              </w:rPr>
            </w:pPr>
            <w:r w:rsidRPr="00754A95">
              <w:rPr>
                <w:rFonts w:cstheme="minorHAnsi"/>
                <w:color w:val="000000"/>
                <w:lang w:eastAsia="cs-CZ"/>
              </w:rPr>
              <w:t>Od 1. 10. 2021</w:t>
            </w:r>
          </w:p>
        </w:tc>
        <w:tc>
          <w:tcPr>
            <w:tcW w:w="1813" w:type="dxa"/>
          </w:tcPr>
          <w:p w14:paraId="3D84759E" w14:textId="77777777" w:rsidR="000A621B" w:rsidRPr="005A52B1" w:rsidRDefault="000A621B" w:rsidP="00D66D49">
            <w:pPr>
              <w:jc w:val="right"/>
              <w:rPr>
                <w:rFonts w:cstheme="minorHAnsi"/>
                <w:color w:val="000000"/>
                <w:lang w:eastAsia="cs-CZ"/>
              </w:rPr>
            </w:pPr>
            <w:r w:rsidRPr="005A52B1">
              <w:rPr>
                <w:rFonts w:cstheme="minorHAnsi"/>
                <w:color w:val="000000"/>
                <w:lang w:eastAsia="cs-CZ"/>
              </w:rPr>
              <w:t>495 408</w:t>
            </w:r>
          </w:p>
        </w:tc>
        <w:tc>
          <w:tcPr>
            <w:tcW w:w="1814" w:type="dxa"/>
          </w:tcPr>
          <w:p w14:paraId="1DA10492" w14:textId="77777777" w:rsidR="000A621B" w:rsidRPr="005A52B1" w:rsidRDefault="000A621B" w:rsidP="00D66D49">
            <w:pPr>
              <w:jc w:val="right"/>
              <w:rPr>
                <w:rFonts w:cstheme="minorHAnsi"/>
                <w:color w:val="000000"/>
                <w:lang w:eastAsia="cs-CZ"/>
              </w:rPr>
            </w:pPr>
            <w:r w:rsidRPr="005A52B1">
              <w:rPr>
                <w:rFonts w:cstheme="minorHAnsi"/>
                <w:color w:val="000000"/>
                <w:lang w:eastAsia="cs-CZ"/>
              </w:rPr>
              <w:t>509 421</w:t>
            </w:r>
          </w:p>
        </w:tc>
        <w:tc>
          <w:tcPr>
            <w:tcW w:w="1813" w:type="dxa"/>
          </w:tcPr>
          <w:p w14:paraId="4539042B" w14:textId="77777777" w:rsidR="000A621B" w:rsidRPr="005A52B1" w:rsidRDefault="000A621B" w:rsidP="00D66D49">
            <w:pPr>
              <w:jc w:val="right"/>
              <w:rPr>
                <w:rFonts w:cstheme="minorHAnsi"/>
                <w:color w:val="000000"/>
                <w:lang w:eastAsia="cs-CZ"/>
              </w:rPr>
            </w:pPr>
            <w:r w:rsidRPr="005A52B1">
              <w:rPr>
                <w:rFonts w:cstheme="minorHAnsi"/>
                <w:color w:val="000000"/>
                <w:lang w:eastAsia="cs-CZ"/>
              </w:rPr>
              <w:t>162 996 872</w:t>
            </w:r>
          </w:p>
        </w:tc>
        <w:tc>
          <w:tcPr>
            <w:tcW w:w="1814" w:type="dxa"/>
          </w:tcPr>
          <w:p w14:paraId="3761C920" w14:textId="77777777" w:rsidR="000A621B" w:rsidRPr="005A52B1" w:rsidRDefault="000A621B" w:rsidP="00D66D49">
            <w:pPr>
              <w:jc w:val="right"/>
              <w:rPr>
                <w:rFonts w:cstheme="minorHAnsi"/>
                <w:color w:val="000000"/>
                <w:lang w:eastAsia="cs-CZ"/>
              </w:rPr>
            </w:pPr>
            <w:r>
              <w:rPr>
                <w:rFonts w:cstheme="minorHAnsi"/>
                <w:color w:val="000000"/>
                <w:lang w:eastAsia="cs-CZ"/>
              </w:rPr>
              <w:t>329</w:t>
            </w:r>
          </w:p>
        </w:tc>
      </w:tr>
      <w:tr w:rsidR="000A621B" w:rsidRPr="005A52B1" w14:paraId="02F06F52" w14:textId="77777777" w:rsidTr="00F16B71">
        <w:trPr>
          <w:trHeight w:val="284"/>
        </w:trPr>
        <w:tc>
          <w:tcPr>
            <w:tcW w:w="1813" w:type="dxa"/>
            <w:vAlign w:val="center"/>
          </w:tcPr>
          <w:p w14:paraId="34735A6B" w14:textId="77777777" w:rsidR="000A621B" w:rsidRPr="00754A95" w:rsidRDefault="000A621B" w:rsidP="00F16B71">
            <w:pPr>
              <w:ind w:left="57"/>
              <w:rPr>
                <w:rFonts w:cstheme="minorHAnsi"/>
                <w:color w:val="000000"/>
                <w:lang w:eastAsia="cs-CZ"/>
              </w:rPr>
            </w:pPr>
            <w:r w:rsidRPr="00754A95">
              <w:rPr>
                <w:rFonts w:cstheme="minorHAnsi"/>
                <w:color w:val="000000"/>
                <w:lang w:eastAsia="cs-CZ"/>
              </w:rPr>
              <w:t>2022</w:t>
            </w:r>
          </w:p>
        </w:tc>
        <w:tc>
          <w:tcPr>
            <w:tcW w:w="1813" w:type="dxa"/>
          </w:tcPr>
          <w:p w14:paraId="48609310" w14:textId="77777777" w:rsidR="000A621B" w:rsidRPr="005A52B1" w:rsidRDefault="000A621B" w:rsidP="00D66D49">
            <w:pPr>
              <w:jc w:val="right"/>
              <w:rPr>
                <w:rFonts w:cstheme="minorHAnsi"/>
                <w:color w:val="000000"/>
                <w:lang w:eastAsia="cs-CZ"/>
              </w:rPr>
            </w:pPr>
            <w:r w:rsidRPr="005A52B1">
              <w:rPr>
                <w:rFonts w:cstheme="minorHAnsi"/>
                <w:color w:val="000000"/>
                <w:lang w:eastAsia="cs-CZ"/>
              </w:rPr>
              <w:t>2 723 506</w:t>
            </w:r>
          </w:p>
        </w:tc>
        <w:tc>
          <w:tcPr>
            <w:tcW w:w="1814" w:type="dxa"/>
          </w:tcPr>
          <w:p w14:paraId="3BF69EA3" w14:textId="77777777" w:rsidR="000A621B" w:rsidRPr="005A52B1" w:rsidRDefault="000A621B" w:rsidP="00D66D49">
            <w:pPr>
              <w:jc w:val="right"/>
              <w:rPr>
                <w:rFonts w:cstheme="minorHAnsi"/>
                <w:color w:val="000000"/>
                <w:lang w:eastAsia="cs-CZ"/>
              </w:rPr>
            </w:pPr>
            <w:r w:rsidRPr="005A52B1">
              <w:rPr>
                <w:rFonts w:cstheme="minorHAnsi"/>
                <w:color w:val="000000"/>
                <w:lang w:eastAsia="cs-CZ"/>
              </w:rPr>
              <w:t>2 909 276</w:t>
            </w:r>
          </w:p>
        </w:tc>
        <w:tc>
          <w:tcPr>
            <w:tcW w:w="1813" w:type="dxa"/>
          </w:tcPr>
          <w:p w14:paraId="7F30942D" w14:textId="77777777" w:rsidR="000A621B" w:rsidRPr="005A52B1" w:rsidRDefault="000A621B" w:rsidP="00D66D49">
            <w:pPr>
              <w:jc w:val="right"/>
              <w:rPr>
                <w:rFonts w:cstheme="minorHAnsi"/>
                <w:color w:val="000000"/>
                <w:lang w:eastAsia="cs-CZ"/>
              </w:rPr>
            </w:pPr>
            <w:r w:rsidRPr="005A52B1">
              <w:rPr>
                <w:rFonts w:cstheme="minorHAnsi"/>
                <w:color w:val="000000"/>
                <w:lang w:eastAsia="cs-CZ"/>
              </w:rPr>
              <w:t xml:space="preserve">810 368 484 </w:t>
            </w:r>
          </w:p>
        </w:tc>
        <w:tc>
          <w:tcPr>
            <w:tcW w:w="1814" w:type="dxa"/>
          </w:tcPr>
          <w:p w14:paraId="05B16EB3" w14:textId="77777777" w:rsidR="000A621B" w:rsidRPr="005A52B1" w:rsidRDefault="000A621B" w:rsidP="00D66D49">
            <w:pPr>
              <w:jc w:val="right"/>
              <w:rPr>
                <w:rFonts w:cstheme="minorHAnsi"/>
                <w:color w:val="000000"/>
                <w:lang w:eastAsia="cs-CZ"/>
              </w:rPr>
            </w:pPr>
            <w:r>
              <w:rPr>
                <w:rFonts w:cstheme="minorHAnsi"/>
                <w:color w:val="000000"/>
                <w:lang w:eastAsia="cs-CZ"/>
              </w:rPr>
              <w:t>298</w:t>
            </w:r>
          </w:p>
        </w:tc>
      </w:tr>
      <w:tr w:rsidR="000A621B" w:rsidRPr="005A52B1" w14:paraId="2BBD13E9" w14:textId="77777777" w:rsidTr="00F16B71">
        <w:trPr>
          <w:trHeight w:val="284"/>
        </w:trPr>
        <w:tc>
          <w:tcPr>
            <w:tcW w:w="1813" w:type="dxa"/>
            <w:vAlign w:val="center"/>
          </w:tcPr>
          <w:p w14:paraId="5CEB494C" w14:textId="77777777" w:rsidR="000A621B" w:rsidRPr="00754A95" w:rsidRDefault="000A621B" w:rsidP="00F16B71">
            <w:pPr>
              <w:ind w:left="57"/>
              <w:rPr>
                <w:rFonts w:cstheme="minorHAnsi"/>
                <w:color w:val="000000"/>
                <w:lang w:eastAsia="cs-CZ"/>
              </w:rPr>
            </w:pPr>
            <w:r w:rsidRPr="00754A95">
              <w:rPr>
                <w:rFonts w:cstheme="minorHAnsi"/>
                <w:color w:val="000000"/>
                <w:lang w:eastAsia="cs-CZ"/>
              </w:rPr>
              <w:t>2023</w:t>
            </w:r>
          </w:p>
        </w:tc>
        <w:tc>
          <w:tcPr>
            <w:tcW w:w="1813" w:type="dxa"/>
          </w:tcPr>
          <w:p w14:paraId="4967BE68" w14:textId="77777777" w:rsidR="000A621B" w:rsidRPr="005A52B1" w:rsidRDefault="000A621B" w:rsidP="00D66D49">
            <w:pPr>
              <w:jc w:val="right"/>
              <w:rPr>
                <w:rFonts w:cstheme="minorHAnsi"/>
                <w:color w:val="000000"/>
                <w:lang w:eastAsia="cs-CZ"/>
              </w:rPr>
            </w:pPr>
            <w:r w:rsidRPr="005A52B1">
              <w:rPr>
                <w:rFonts w:cstheme="minorHAnsi"/>
                <w:color w:val="000000"/>
                <w:lang w:eastAsia="cs-CZ"/>
              </w:rPr>
              <w:t>2 276 565</w:t>
            </w:r>
          </w:p>
        </w:tc>
        <w:tc>
          <w:tcPr>
            <w:tcW w:w="1814" w:type="dxa"/>
          </w:tcPr>
          <w:p w14:paraId="2C006570" w14:textId="77777777" w:rsidR="000A621B" w:rsidRPr="005A52B1" w:rsidRDefault="000A621B" w:rsidP="00D66D49">
            <w:pPr>
              <w:jc w:val="right"/>
              <w:rPr>
                <w:rFonts w:cstheme="minorHAnsi"/>
                <w:color w:val="000000"/>
                <w:lang w:eastAsia="cs-CZ"/>
              </w:rPr>
            </w:pPr>
            <w:r w:rsidRPr="005A52B1">
              <w:rPr>
                <w:rFonts w:cstheme="minorHAnsi"/>
                <w:color w:val="000000"/>
                <w:lang w:eastAsia="cs-CZ"/>
              </w:rPr>
              <w:t>2 445 101</w:t>
            </w:r>
          </w:p>
        </w:tc>
        <w:tc>
          <w:tcPr>
            <w:tcW w:w="1813" w:type="dxa"/>
          </w:tcPr>
          <w:p w14:paraId="2640425F" w14:textId="77777777" w:rsidR="000A621B" w:rsidRPr="005A52B1" w:rsidRDefault="000A621B" w:rsidP="00D66D49">
            <w:pPr>
              <w:jc w:val="right"/>
              <w:rPr>
                <w:rFonts w:cstheme="minorHAnsi"/>
                <w:color w:val="000000"/>
                <w:lang w:eastAsia="cs-CZ"/>
              </w:rPr>
            </w:pPr>
            <w:r w:rsidRPr="005A52B1">
              <w:rPr>
                <w:rFonts w:cstheme="minorHAnsi"/>
                <w:color w:val="000000"/>
                <w:lang w:eastAsia="cs-CZ"/>
              </w:rPr>
              <w:t xml:space="preserve">963 728 349 </w:t>
            </w:r>
          </w:p>
        </w:tc>
        <w:tc>
          <w:tcPr>
            <w:tcW w:w="1814" w:type="dxa"/>
          </w:tcPr>
          <w:p w14:paraId="0A3EF156" w14:textId="77777777" w:rsidR="000A621B" w:rsidRPr="005A52B1" w:rsidRDefault="000A621B" w:rsidP="00D66D49">
            <w:pPr>
              <w:jc w:val="right"/>
              <w:rPr>
                <w:rFonts w:cstheme="minorHAnsi"/>
                <w:color w:val="000000"/>
                <w:lang w:eastAsia="cs-CZ"/>
              </w:rPr>
            </w:pPr>
            <w:r>
              <w:rPr>
                <w:rFonts w:cstheme="minorHAnsi"/>
                <w:color w:val="000000"/>
                <w:lang w:eastAsia="cs-CZ"/>
              </w:rPr>
              <w:t>423</w:t>
            </w:r>
          </w:p>
        </w:tc>
      </w:tr>
      <w:tr w:rsidR="000A621B" w:rsidRPr="005A52B1" w14:paraId="5ACEA49F" w14:textId="77777777" w:rsidTr="00F16B71">
        <w:trPr>
          <w:trHeight w:val="284"/>
        </w:trPr>
        <w:tc>
          <w:tcPr>
            <w:tcW w:w="1813" w:type="dxa"/>
            <w:vAlign w:val="center"/>
          </w:tcPr>
          <w:p w14:paraId="0FB196CE" w14:textId="77777777" w:rsidR="000A621B" w:rsidRPr="00754A95" w:rsidRDefault="000A621B" w:rsidP="00F16B71">
            <w:pPr>
              <w:ind w:left="57"/>
              <w:rPr>
                <w:rFonts w:cstheme="minorHAnsi"/>
                <w:color w:val="000000"/>
                <w:lang w:eastAsia="cs-CZ"/>
              </w:rPr>
            </w:pPr>
            <w:r w:rsidRPr="00754A95">
              <w:rPr>
                <w:rFonts w:cstheme="minorHAnsi"/>
                <w:color w:val="000000"/>
                <w:lang w:eastAsia="cs-CZ"/>
              </w:rPr>
              <w:t>2024</w:t>
            </w:r>
          </w:p>
        </w:tc>
        <w:tc>
          <w:tcPr>
            <w:tcW w:w="1813" w:type="dxa"/>
          </w:tcPr>
          <w:p w14:paraId="2AF3296A" w14:textId="77777777" w:rsidR="000A621B" w:rsidRPr="005A52B1" w:rsidRDefault="000A621B" w:rsidP="00D66D49">
            <w:pPr>
              <w:jc w:val="right"/>
              <w:rPr>
                <w:rFonts w:cstheme="minorHAnsi"/>
                <w:color w:val="000000"/>
                <w:lang w:eastAsia="cs-CZ"/>
              </w:rPr>
            </w:pPr>
            <w:r w:rsidRPr="005A52B1">
              <w:rPr>
                <w:rFonts w:cstheme="minorHAnsi"/>
                <w:color w:val="000000"/>
                <w:lang w:eastAsia="cs-CZ"/>
              </w:rPr>
              <w:t>5 265 974</w:t>
            </w:r>
          </w:p>
        </w:tc>
        <w:tc>
          <w:tcPr>
            <w:tcW w:w="1814" w:type="dxa"/>
          </w:tcPr>
          <w:p w14:paraId="4D889369" w14:textId="77777777" w:rsidR="000A621B" w:rsidRPr="005A52B1" w:rsidRDefault="000A621B" w:rsidP="00D66D49">
            <w:pPr>
              <w:jc w:val="right"/>
              <w:rPr>
                <w:rFonts w:cstheme="minorHAnsi"/>
                <w:color w:val="000000"/>
                <w:lang w:eastAsia="cs-CZ"/>
              </w:rPr>
            </w:pPr>
            <w:r w:rsidRPr="005A52B1">
              <w:rPr>
                <w:rFonts w:cstheme="minorHAnsi"/>
                <w:color w:val="000000"/>
                <w:lang w:eastAsia="cs-CZ"/>
              </w:rPr>
              <w:t>22 507 512</w:t>
            </w:r>
          </w:p>
        </w:tc>
        <w:tc>
          <w:tcPr>
            <w:tcW w:w="1813" w:type="dxa"/>
          </w:tcPr>
          <w:p w14:paraId="0B8BFD10" w14:textId="77777777" w:rsidR="000A621B" w:rsidRPr="005A52B1" w:rsidRDefault="000A621B" w:rsidP="00D66D49">
            <w:pPr>
              <w:jc w:val="right"/>
              <w:rPr>
                <w:rFonts w:cstheme="minorHAnsi"/>
                <w:color w:val="000000"/>
                <w:lang w:eastAsia="cs-CZ"/>
              </w:rPr>
            </w:pPr>
            <w:r w:rsidRPr="005A52B1">
              <w:rPr>
                <w:rFonts w:cstheme="minorHAnsi"/>
                <w:color w:val="000000"/>
                <w:lang w:eastAsia="cs-CZ"/>
              </w:rPr>
              <w:t xml:space="preserve">3 733 492 370 </w:t>
            </w:r>
          </w:p>
        </w:tc>
        <w:tc>
          <w:tcPr>
            <w:tcW w:w="1814" w:type="dxa"/>
          </w:tcPr>
          <w:p w14:paraId="14780118" w14:textId="77777777" w:rsidR="000A621B" w:rsidRPr="005A52B1" w:rsidRDefault="000A621B" w:rsidP="00D66D49">
            <w:pPr>
              <w:jc w:val="right"/>
              <w:rPr>
                <w:rFonts w:cstheme="minorHAnsi"/>
                <w:color w:val="000000"/>
                <w:lang w:eastAsia="cs-CZ"/>
              </w:rPr>
            </w:pPr>
            <w:r>
              <w:rPr>
                <w:rFonts w:cstheme="minorHAnsi"/>
                <w:color w:val="000000"/>
                <w:lang w:eastAsia="cs-CZ"/>
              </w:rPr>
              <w:t>709</w:t>
            </w:r>
          </w:p>
        </w:tc>
      </w:tr>
      <w:tr w:rsidR="00322F37" w:rsidRPr="00C1641C" w14:paraId="3C6D2E66" w14:textId="77777777" w:rsidTr="00F16B71">
        <w:trPr>
          <w:trHeight w:val="284"/>
        </w:trPr>
        <w:tc>
          <w:tcPr>
            <w:tcW w:w="1813" w:type="dxa"/>
            <w:shd w:val="clear" w:color="auto" w:fill="EDD4D9"/>
            <w:vAlign w:val="center"/>
          </w:tcPr>
          <w:p w14:paraId="1E1E29E1" w14:textId="1FC17C33" w:rsidR="00322F37" w:rsidRPr="00313E6C" w:rsidRDefault="00322F37" w:rsidP="00F16B71">
            <w:pPr>
              <w:shd w:val="clear" w:color="auto" w:fill="EDD4D9"/>
              <w:ind w:left="57"/>
              <w:rPr>
                <w:rFonts w:cstheme="minorHAnsi"/>
                <w:b/>
                <w:bCs/>
                <w:color w:val="000000"/>
                <w:lang w:eastAsia="cs-CZ"/>
              </w:rPr>
            </w:pPr>
            <w:r w:rsidRPr="00313E6C">
              <w:rPr>
                <w:rFonts w:cstheme="minorHAnsi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1813" w:type="dxa"/>
            <w:shd w:val="clear" w:color="auto" w:fill="EDD4D9"/>
          </w:tcPr>
          <w:p w14:paraId="06395F34" w14:textId="67BE8642" w:rsidR="00322F37" w:rsidRPr="00313E6C" w:rsidRDefault="00322F37" w:rsidP="00313E6C">
            <w:pPr>
              <w:shd w:val="clear" w:color="auto" w:fill="EDD4D9"/>
              <w:jc w:val="right"/>
              <w:rPr>
                <w:rFonts w:cstheme="minorHAnsi"/>
                <w:b/>
                <w:bCs/>
                <w:color w:val="000000"/>
                <w:lang w:eastAsia="cs-CZ"/>
              </w:rPr>
            </w:pPr>
            <w:r w:rsidRPr="00313E6C">
              <w:rPr>
                <w:rFonts w:cstheme="minorHAnsi"/>
                <w:b/>
                <w:bCs/>
                <w:color w:val="000000"/>
                <w:lang w:eastAsia="cs-CZ"/>
              </w:rPr>
              <w:t>10 761 453</w:t>
            </w:r>
          </w:p>
        </w:tc>
        <w:tc>
          <w:tcPr>
            <w:tcW w:w="1814" w:type="dxa"/>
            <w:shd w:val="clear" w:color="auto" w:fill="EDD4D9"/>
          </w:tcPr>
          <w:p w14:paraId="620605C9" w14:textId="7B91149D" w:rsidR="00322F37" w:rsidRPr="00313E6C" w:rsidRDefault="00322F37" w:rsidP="00313E6C">
            <w:pPr>
              <w:shd w:val="clear" w:color="auto" w:fill="EDD4D9"/>
              <w:jc w:val="right"/>
              <w:rPr>
                <w:rFonts w:cstheme="minorHAnsi"/>
                <w:b/>
                <w:bCs/>
                <w:color w:val="000000"/>
                <w:lang w:eastAsia="cs-CZ"/>
              </w:rPr>
            </w:pPr>
            <w:r w:rsidRPr="00313E6C">
              <w:rPr>
                <w:rFonts w:cstheme="minorHAnsi"/>
                <w:b/>
                <w:bCs/>
                <w:color w:val="000000"/>
                <w:lang w:eastAsia="cs-CZ"/>
              </w:rPr>
              <w:t>28 371 310</w:t>
            </w:r>
          </w:p>
        </w:tc>
        <w:tc>
          <w:tcPr>
            <w:tcW w:w="1813" w:type="dxa"/>
            <w:shd w:val="clear" w:color="auto" w:fill="EDD4D9"/>
          </w:tcPr>
          <w:p w14:paraId="1C18DD31" w14:textId="402189A3" w:rsidR="00322F37" w:rsidRPr="00313E6C" w:rsidRDefault="00322F37" w:rsidP="00313E6C">
            <w:pPr>
              <w:shd w:val="clear" w:color="auto" w:fill="EDD4D9"/>
              <w:jc w:val="right"/>
              <w:rPr>
                <w:rFonts w:cstheme="minorHAnsi"/>
                <w:b/>
                <w:bCs/>
                <w:color w:val="000000"/>
                <w:lang w:eastAsia="cs-CZ"/>
              </w:rPr>
            </w:pPr>
            <w:r w:rsidRPr="00313E6C">
              <w:rPr>
                <w:rFonts w:cstheme="minorHAnsi"/>
                <w:b/>
                <w:bCs/>
                <w:color w:val="000000"/>
                <w:lang w:eastAsia="cs-CZ"/>
              </w:rPr>
              <w:t>5 670 586 075</w:t>
            </w:r>
          </w:p>
        </w:tc>
        <w:tc>
          <w:tcPr>
            <w:tcW w:w="1814" w:type="dxa"/>
            <w:shd w:val="clear" w:color="auto" w:fill="EDD4D9"/>
          </w:tcPr>
          <w:p w14:paraId="00EA6D3B" w14:textId="75230C0A" w:rsidR="00322F37" w:rsidRPr="00313E6C" w:rsidRDefault="00B1252D" w:rsidP="00313E6C">
            <w:pPr>
              <w:shd w:val="clear" w:color="auto" w:fill="EDD4D9"/>
              <w:jc w:val="right"/>
              <w:rPr>
                <w:rFonts w:cstheme="minorHAnsi"/>
                <w:b/>
                <w:bCs/>
                <w:color w:val="000000"/>
                <w:lang w:eastAsia="cs-CZ"/>
              </w:rPr>
            </w:pPr>
            <w:r>
              <w:rPr>
                <w:rFonts w:cstheme="minorHAnsi"/>
                <w:b/>
                <w:bCs/>
                <w:color w:val="000000"/>
                <w:lang w:eastAsia="cs-CZ"/>
              </w:rPr>
              <w:t>527</w:t>
            </w:r>
          </w:p>
        </w:tc>
      </w:tr>
    </w:tbl>
    <w:p w14:paraId="5E6C5073" w14:textId="4FDE92F7" w:rsidR="00597D6D" w:rsidRPr="00C1641C" w:rsidRDefault="00597D6D" w:rsidP="00C1641C">
      <w:pPr>
        <w:spacing w:after="0" w:line="240" w:lineRule="auto"/>
        <w:jc w:val="both"/>
        <w:rPr>
          <w:sz w:val="20"/>
          <w:szCs w:val="20"/>
        </w:rPr>
      </w:pPr>
      <w:r w:rsidRPr="00F16B71">
        <w:rPr>
          <w:b/>
          <w:bCs/>
          <w:sz w:val="20"/>
          <w:szCs w:val="20"/>
        </w:rPr>
        <w:t>Zdroj:</w:t>
      </w:r>
      <w:r w:rsidRPr="00C1641C">
        <w:rPr>
          <w:sz w:val="20"/>
          <w:szCs w:val="20"/>
        </w:rPr>
        <w:t xml:space="preserve"> GŘC.</w:t>
      </w:r>
    </w:p>
    <w:p w14:paraId="66A13B08" w14:textId="77777777" w:rsidR="00B33CBD" w:rsidRDefault="00B33CBD" w:rsidP="00EE6FA7">
      <w:pPr>
        <w:spacing w:after="0" w:line="240" w:lineRule="auto"/>
        <w:jc w:val="both"/>
      </w:pPr>
    </w:p>
    <w:p w14:paraId="6326A354" w14:textId="313447D9" w:rsidR="00100015" w:rsidRDefault="002833E3" w:rsidP="00F93F64">
      <w:pPr>
        <w:spacing w:after="0" w:line="240" w:lineRule="auto"/>
        <w:jc w:val="both"/>
        <w:rPr>
          <w:rFonts w:cstheme="minorHAnsi"/>
          <w:color w:val="000000"/>
        </w:rPr>
      </w:pPr>
      <w:r w:rsidRPr="005A52B1">
        <w:rPr>
          <w:rFonts w:cstheme="minorHAnsi"/>
          <w:color w:val="000000"/>
        </w:rPr>
        <w:t xml:space="preserve">V rámci dovozu zboží nízké hodnoty ze třetích zemí </w:t>
      </w:r>
      <w:r w:rsidR="00F93F64">
        <w:rPr>
          <w:rFonts w:cstheme="minorHAnsi"/>
          <w:color w:val="000000"/>
        </w:rPr>
        <w:t xml:space="preserve">bylo </w:t>
      </w:r>
      <w:r w:rsidRPr="005A52B1">
        <w:rPr>
          <w:rFonts w:cstheme="minorHAnsi"/>
          <w:color w:val="000000"/>
        </w:rPr>
        <w:t>v</w:t>
      </w:r>
      <w:r w:rsidR="00D356F2">
        <w:rPr>
          <w:rFonts w:cstheme="minorHAnsi"/>
          <w:color w:val="000000"/>
        </w:rPr>
        <w:t xml:space="preserve"> dovozním </w:t>
      </w:r>
      <w:r w:rsidRPr="005A52B1">
        <w:rPr>
          <w:rFonts w:cstheme="minorHAnsi"/>
          <w:color w:val="000000"/>
        </w:rPr>
        <w:t xml:space="preserve">režimu </w:t>
      </w:r>
      <w:r w:rsidR="009B6872">
        <w:rPr>
          <w:rFonts w:cstheme="minorHAnsi"/>
          <w:color w:val="000000"/>
        </w:rPr>
        <w:t xml:space="preserve">v </w:t>
      </w:r>
      <w:r w:rsidR="009B6872" w:rsidRPr="005A52B1">
        <w:rPr>
          <w:rFonts w:cstheme="minorHAnsi"/>
          <w:color w:val="000000"/>
        </w:rPr>
        <w:t xml:space="preserve">období od </w:t>
      </w:r>
      <w:r w:rsidR="009810E4">
        <w:rPr>
          <w:rFonts w:cstheme="minorHAnsi"/>
          <w:color w:val="000000"/>
        </w:rPr>
        <w:br/>
      </w:r>
      <w:r w:rsidR="009B6872" w:rsidRPr="005A52B1">
        <w:rPr>
          <w:rFonts w:cstheme="minorHAnsi"/>
          <w:color w:val="000000"/>
        </w:rPr>
        <w:t>1.</w:t>
      </w:r>
      <w:r w:rsidR="009810E4">
        <w:rPr>
          <w:rFonts w:cstheme="minorHAnsi"/>
          <w:color w:val="000000"/>
        </w:rPr>
        <w:t xml:space="preserve"> </w:t>
      </w:r>
      <w:r w:rsidR="009B6872" w:rsidRPr="005A52B1">
        <w:rPr>
          <w:rFonts w:cstheme="minorHAnsi"/>
          <w:color w:val="000000"/>
        </w:rPr>
        <w:t>10.</w:t>
      </w:r>
      <w:r w:rsidR="009810E4">
        <w:rPr>
          <w:rFonts w:cstheme="minorHAnsi"/>
          <w:color w:val="000000"/>
        </w:rPr>
        <w:t xml:space="preserve"> </w:t>
      </w:r>
      <w:r w:rsidR="009B6872" w:rsidRPr="005A52B1">
        <w:rPr>
          <w:rFonts w:cstheme="minorHAnsi"/>
          <w:color w:val="000000"/>
        </w:rPr>
        <w:t xml:space="preserve">2021 </w:t>
      </w:r>
      <w:r w:rsidR="009B6872">
        <w:rPr>
          <w:rFonts w:cstheme="minorHAnsi"/>
          <w:color w:val="000000"/>
        </w:rPr>
        <w:t>do konce roku</w:t>
      </w:r>
      <w:r w:rsidR="009B6872" w:rsidRPr="005A52B1">
        <w:rPr>
          <w:rFonts w:cstheme="minorHAnsi"/>
          <w:color w:val="000000"/>
        </w:rPr>
        <w:t xml:space="preserve"> 2024 </w:t>
      </w:r>
      <w:r w:rsidR="00F93F64">
        <w:rPr>
          <w:rFonts w:cstheme="minorHAnsi"/>
          <w:color w:val="000000"/>
        </w:rPr>
        <w:t xml:space="preserve">deklarováno celkem 10 761 453 zásilek obsahujících </w:t>
      </w:r>
      <w:r w:rsidR="00771987">
        <w:rPr>
          <w:rFonts w:cstheme="minorHAnsi"/>
          <w:color w:val="000000"/>
        </w:rPr>
        <w:t xml:space="preserve">dle celních prohlášení </w:t>
      </w:r>
      <w:r w:rsidR="00F93F64">
        <w:rPr>
          <w:rFonts w:cstheme="minorHAnsi"/>
          <w:color w:val="000000"/>
        </w:rPr>
        <w:t xml:space="preserve">28 371 310 položek zboží. V tomto režimu bylo </w:t>
      </w:r>
      <w:r w:rsidRPr="005A52B1">
        <w:rPr>
          <w:rFonts w:cstheme="minorHAnsi"/>
          <w:color w:val="000000"/>
        </w:rPr>
        <w:t xml:space="preserve">v ČR v období od 1. 10. 2021 </w:t>
      </w:r>
      <w:r>
        <w:rPr>
          <w:rFonts w:cstheme="minorHAnsi"/>
          <w:color w:val="000000"/>
        </w:rPr>
        <w:t>do konce roku</w:t>
      </w:r>
      <w:r w:rsidRPr="005A52B1">
        <w:rPr>
          <w:rFonts w:cstheme="minorHAnsi"/>
          <w:color w:val="000000"/>
        </w:rPr>
        <w:t xml:space="preserve"> 2024 deklarováno zboží v hodnotě 5,7 mld. Kč, </w:t>
      </w:r>
      <w:r>
        <w:rPr>
          <w:rFonts w:cstheme="minorHAnsi"/>
          <w:color w:val="000000"/>
        </w:rPr>
        <w:t xml:space="preserve">z toho v </w:t>
      </w:r>
      <w:r w:rsidRPr="005A52B1">
        <w:rPr>
          <w:rFonts w:cstheme="minorHAnsi"/>
          <w:color w:val="000000"/>
        </w:rPr>
        <w:t xml:space="preserve">roce 2024 </w:t>
      </w:r>
      <w:r w:rsidR="001C4313">
        <w:rPr>
          <w:rFonts w:cstheme="minorHAnsi"/>
          <w:color w:val="000000"/>
        </w:rPr>
        <w:t>cca</w:t>
      </w:r>
      <w:r w:rsidRPr="005A52B1">
        <w:rPr>
          <w:rFonts w:cstheme="minorHAnsi"/>
          <w:color w:val="000000"/>
        </w:rPr>
        <w:t xml:space="preserve"> 3,7</w:t>
      </w:r>
      <w:r w:rsidR="001C4313">
        <w:rPr>
          <w:rFonts w:cstheme="minorHAnsi"/>
          <w:color w:val="000000"/>
        </w:rPr>
        <w:t> </w:t>
      </w:r>
      <w:r w:rsidRPr="005A52B1">
        <w:rPr>
          <w:rFonts w:cstheme="minorHAnsi"/>
          <w:color w:val="000000"/>
        </w:rPr>
        <w:t>mld.</w:t>
      </w:r>
      <w:r w:rsidR="001C4313">
        <w:rPr>
          <w:rFonts w:cstheme="minorHAnsi"/>
          <w:color w:val="000000"/>
        </w:rPr>
        <w:t> </w:t>
      </w:r>
      <w:r w:rsidRPr="005A52B1">
        <w:rPr>
          <w:rFonts w:cstheme="minorHAnsi"/>
          <w:color w:val="000000"/>
        </w:rPr>
        <w:t>Kč</w:t>
      </w:r>
      <w:r>
        <w:rPr>
          <w:rFonts w:cstheme="minorHAnsi"/>
          <w:color w:val="000000"/>
        </w:rPr>
        <w:t>,</w:t>
      </w:r>
      <w:r w:rsidRPr="005A52B1">
        <w:rPr>
          <w:rFonts w:cstheme="minorHAnsi"/>
          <w:color w:val="000000"/>
        </w:rPr>
        <w:t xml:space="preserve"> tj. 6</w:t>
      </w:r>
      <w:r w:rsidR="00AE0CD1">
        <w:rPr>
          <w:rFonts w:cstheme="minorHAnsi"/>
          <w:color w:val="000000"/>
        </w:rPr>
        <w:t>6</w:t>
      </w:r>
      <w:r w:rsidRPr="005A52B1">
        <w:rPr>
          <w:rFonts w:cstheme="minorHAnsi"/>
          <w:color w:val="000000"/>
        </w:rPr>
        <w:t xml:space="preserve"> % z celkově deklarované</w:t>
      </w:r>
      <w:r w:rsidR="00F93F64">
        <w:rPr>
          <w:rFonts w:cstheme="minorHAnsi"/>
          <w:color w:val="000000"/>
        </w:rPr>
        <w:t xml:space="preserve"> hodnoty</w:t>
      </w:r>
      <w:r w:rsidRPr="005A52B1">
        <w:rPr>
          <w:rFonts w:cstheme="minorHAnsi"/>
          <w:color w:val="000000"/>
        </w:rPr>
        <w:t xml:space="preserve"> zboží v letech 202</w:t>
      </w:r>
      <w:r w:rsidR="00601477">
        <w:rPr>
          <w:rFonts w:cstheme="minorHAnsi"/>
          <w:color w:val="000000"/>
        </w:rPr>
        <w:t>1</w:t>
      </w:r>
      <w:r w:rsidR="00771987">
        <w:rPr>
          <w:rFonts w:cstheme="minorHAnsi"/>
          <w:color w:val="000000"/>
        </w:rPr>
        <w:t>–</w:t>
      </w:r>
      <w:r w:rsidRPr="005A52B1">
        <w:rPr>
          <w:rFonts w:cstheme="minorHAnsi"/>
          <w:color w:val="000000"/>
        </w:rPr>
        <w:t>2024</w:t>
      </w:r>
      <w:r>
        <w:rPr>
          <w:rFonts w:cstheme="minorHAnsi"/>
          <w:color w:val="000000"/>
        </w:rPr>
        <w:t>.</w:t>
      </w:r>
    </w:p>
    <w:p w14:paraId="46F6DC45" w14:textId="77777777" w:rsidR="002003DB" w:rsidRDefault="002003DB" w:rsidP="00F93F64">
      <w:pPr>
        <w:spacing w:after="0" w:line="240" w:lineRule="auto"/>
        <w:jc w:val="both"/>
        <w:rPr>
          <w:rFonts w:cstheme="minorHAnsi"/>
          <w:color w:val="000000"/>
        </w:rPr>
      </w:pPr>
    </w:p>
    <w:p w14:paraId="2209D6ED" w14:textId="0DDC665C" w:rsidR="00E179E9" w:rsidRDefault="00E179E9" w:rsidP="003627B6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</w:t>
      </w:r>
      <w:r w:rsidR="002B6426">
        <w:rPr>
          <w:rFonts w:cstheme="minorHAnsi"/>
        </w:rPr>
        <w:t>očet zásilek v</w:t>
      </w:r>
      <w:r w:rsidR="00D356F2">
        <w:rPr>
          <w:rFonts w:cstheme="minorHAnsi"/>
        </w:rPr>
        <w:t xml:space="preserve"> dovozním</w:t>
      </w:r>
      <w:r w:rsidR="002B6426">
        <w:rPr>
          <w:rFonts w:cstheme="minorHAnsi"/>
        </w:rPr>
        <w:t> režimu</w:t>
      </w:r>
      <w:r w:rsidR="00347D81">
        <w:rPr>
          <w:rFonts w:cstheme="minorHAnsi"/>
        </w:rPr>
        <w:t>, u kterých je správcem daně FÚ JMK,</w:t>
      </w:r>
      <w:r w:rsidR="002B6426">
        <w:rPr>
          <w:rFonts w:cstheme="minorHAnsi"/>
        </w:rPr>
        <w:t xml:space="preserve"> mezi roky 2023–2024 vzrostl o </w:t>
      </w:r>
      <w:r w:rsidR="00AE0CD1">
        <w:rPr>
          <w:rFonts w:cstheme="minorHAnsi"/>
        </w:rPr>
        <w:t xml:space="preserve">131 </w:t>
      </w:r>
      <w:r w:rsidR="002B6426">
        <w:rPr>
          <w:rFonts w:cstheme="minorHAnsi"/>
        </w:rPr>
        <w:t>%</w:t>
      </w:r>
      <w:r w:rsidR="00347D81">
        <w:rPr>
          <w:rFonts w:cstheme="minorHAnsi"/>
        </w:rPr>
        <w:t>. N</w:t>
      </w:r>
      <w:r>
        <w:rPr>
          <w:rFonts w:cstheme="minorHAnsi"/>
        </w:rPr>
        <w:t xml:space="preserve">aproti tomu </w:t>
      </w:r>
      <w:r w:rsidRPr="00103CC7">
        <w:rPr>
          <w:rFonts w:cstheme="minorHAnsi"/>
        </w:rPr>
        <w:t>došlo</w:t>
      </w:r>
      <w:r>
        <w:rPr>
          <w:rFonts w:cstheme="minorHAnsi"/>
        </w:rPr>
        <w:t xml:space="preserve"> v roce 2024</w:t>
      </w:r>
      <w:r w:rsidRPr="00103CC7">
        <w:rPr>
          <w:rFonts w:cstheme="minorHAnsi"/>
        </w:rPr>
        <w:t xml:space="preserve"> k poklesu počtu zásilek </w:t>
      </w:r>
      <w:r>
        <w:rPr>
          <w:rFonts w:cstheme="minorHAnsi"/>
        </w:rPr>
        <w:t xml:space="preserve">ve zvláštním režimu při dovozu zboží nízké hodnoty </w:t>
      </w:r>
      <w:r w:rsidRPr="00103CC7">
        <w:rPr>
          <w:rFonts w:cstheme="minorHAnsi"/>
        </w:rPr>
        <w:t xml:space="preserve">o 74 % oproti </w:t>
      </w:r>
      <w:r>
        <w:rPr>
          <w:rFonts w:cstheme="minorHAnsi"/>
        </w:rPr>
        <w:t xml:space="preserve">roku </w:t>
      </w:r>
      <w:r w:rsidRPr="00103CC7">
        <w:rPr>
          <w:rFonts w:cstheme="minorHAnsi"/>
        </w:rPr>
        <w:t>2023</w:t>
      </w:r>
      <w:r>
        <w:rPr>
          <w:rFonts w:cstheme="minorHAnsi"/>
        </w:rPr>
        <w:t>.</w:t>
      </w:r>
      <w:r w:rsidR="002949DE">
        <w:rPr>
          <w:rFonts w:cstheme="minorHAnsi"/>
        </w:rPr>
        <w:t xml:space="preserve"> </w:t>
      </w:r>
      <w:r w:rsidR="002949DE" w:rsidRPr="002949DE">
        <w:rPr>
          <w:rFonts w:cstheme="minorHAnsi"/>
        </w:rPr>
        <w:t>V dovozním režimu je možné proclít zboží v rámci celé EU, tj. členský stát dovozu nemusí být shodný s členským státem konečné spotřeby. Subjekt tak ve svém DAP v dovozním režimu přiznává zboží, které bylo procleno v</w:t>
      </w:r>
      <w:r w:rsidR="00771987">
        <w:rPr>
          <w:rFonts w:cstheme="minorHAnsi"/>
        </w:rPr>
        <w:t> </w:t>
      </w:r>
      <w:r w:rsidR="002949DE" w:rsidRPr="002949DE">
        <w:rPr>
          <w:rFonts w:cstheme="minorHAnsi"/>
        </w:rPr>
        <w:t xml:space="preserve">jakémkoliv členském státě EU. DPH je v tomto případě subjektem (prodejcem) uhrazena daňové správě až ve lhůtě, kdy je podáno DAP v dovozním režimu, přestože prodejce již při prodeji zboží zákazníkovi DPH od </w:t>
      </w:r>
      <w:r w:rsidR="002949DE">
        <w:rPr>
          <w:rFonts w:cstheme="minorHAnsi"/>
        </w:rPr>
        <w:t xml:space="preserve">tohoto </w:t>
      </w:r>
      <w:r w:rsidR="002949DE" w:rsidRPr="002949DE">
        <w:rPr>
          <w:rFonts w:cstheme="minorHAnsi"/>
        </w:rPr>
        <w:t>zákazníka vybral. V případě, kdy subjekt DAP v</w:t>
      </w:r>
      <w:r w:rsidR="001C4313">
        <w:rPr>
          <w:rFonts w:cstheme="minorHAnsi"/>
        </w:rPr>
        <w:t> </w:t>
      </w:r>
      <w:r w:rsidR="002949DE" w:rsidRPr="002949DE">
        <w:rPr>
          <w:rFonts w:cstheme="minorHAnsi"/>
        </w:rPr>
        <w:t>dovozním režimu nepodá vůbec, není zřejmé, kterému státu a v jaké výši vznikl nárok na DPH</w:t>
      </w:r>
      <w:r w:rsidR="001C4313">
        <w:rPr>
          <w:rFonts w:cstheme="minorHAnsi"/>
        </w:rPr>
        <w:t>,</w:t>
      </w:r>
      <w:r w:rsidR="002949DE" w:rsidRPr="002949DE">
        <w:rPr>
          <w:rFonts w:cstheme="minorHAnsi"/>
        </w:rPr>
        <w:t xml:space="preserve"> a členské státy tak v těchto případech přicház</w:t>
      </w:r>
      <w:r w:rsidR="001C4313">
        <w:rPr>
          <w:rFonts w:cstheme="minorHAnsi"/>
        </w:rPr>
        <w:t>ej</w:t>
      </w:r>
      <w:r w:rsidR="002949DE" w:rsidRPr="002949DE">
        <w:rPr>
          <w:rFonts w:cstheme="minorHAnsi"/>
        </w:rPr>
        <w:t xml:space="preserve">í o příjem z DPH. U zvláštního režimu při dovozu zboží </w:t>
      </w:r>
      <w:r w:rsidR="002949DE">
        <w:rPr>
          <w:rFonts w:cstheme="minorHAnsi"/>
        </w:rPr>
        <w:t xml:space="preserve">nízké hodnoty </w:t>
      </w:r>
      <w:r w:rsidR="002949DE" w:rsidRPr="002949DE">
        <w:rPr>
          <w:rFonts w:cstheme="minorHAnsi"/>
        </w:rPr>
        <w:t xml:space="preserve">je situace odlišná, neboť zboží lze proclít pouze v členském státě jeho konečné spotřeby, navíc DPH je zajištěna složením jistoty subjektem u celních orgánů </w:t>
      </w:r>
      <w:r w:rsidR="00F30F3D">
        <w:rPr>
          <w:rFonts w:cstheme="minorHAnsi"/>
        </w:rPr>
        <w:t>(</w:t>
      </w:r>
      <w:r w:rsidR="001C4313">
        <w:rPr>
          <w:rFonts w:cstheme="minorHAnsi"/>
        </w:rPr>
        <w:t>v </w:t>
      </w:r>
      <w:r w:rsidR="001C4313" w:rsidRPr="002949DE">
        <w:rPr>
          <w:rFonts w:cstheme="minorHAnsi"/>
        </w:rPr>
        <w:t>ČR</w:t>
      </w:r>
      <w:r w:rsidR="001C4313">
        <w:rPr>
          <w:rFonts w:cstheme="minorHAnsi"/>
        </w:rPr>
        <w:t> </w:t>
      </w:r>
      <w:r w:rsidR="001C4313" w:rsidRPr="002949DE">
        <w:rPr>
          <w:rFonts w:cstheme="minorHAnsi"/>
        </w:rPr>
        <w:t xml:space="preserve">vydává </w:t>
      </w:r>
      <w:r w:rsidR="002949DE" w:rsidRPr="002949DE">
        <w:rPr>
          <w:rFonts w:cstheme="minorHAnsi"/>
        </w:rPr>
        <w:t>povolení pro tyto subjekty CÚ SČK).</w:t>
      </w:r>
    </w:p>
    <w:p w14:paraId="667F9C11" w14:textId="77777777" w:rsidR="003627B6" w:rsidRPr="00C21860" w:rsidRDefault="003627B6" w:rsidP="003627B6">
      <w:pPr>
        <w:spacing w:after="0" w:line="240" w:lineRule="auto"/>
        <w:jc w:val="both"/>
        <w:rPr>
          <w:rFonts w:cstheme="minorHAnsi"/>
        </w:rPr>
      </w:pPr>
    </w:p>
    <w:p w14:paraId="74A47897" w14:textId="77777777" w:rsidR="001C4313" w:rsidRDefault="001C4313">
      <w:pPr>
        <w:rPr>
          <w:rFonts w:ascii="Calibri-Bold" w:hAnsi="Calibri-Bold" w:cs="Calibri-Bold"/>
          <w:b/>
          <w:bCs/>
          <w:kern w:val="0"/>
        </w:rPr>
      </w:pPr>
      <w:r>
        <w:rPr>
          <w:rFonts w:ascii="Calibri-Bold" w:hAnsi="Calibri-Bold" w:cs="Calibri-Bold"/>
          <w:b/>
          <w:bCs/>
          <w:kern w:val="0"/>
        </w:rPr>
        <w:br w:type="page"/>
      </w:r>
    </w:p>
    <w:p w14:paraId="368CB4EB" w14:textId="74EAF420" w:rsidR="00A040F1" w:rsidRPr="00F16B71" w:rsidRDefault="001C4313" w:rsidP="00F16B71">
      <w:pPr>
        <w:autoSpaceDE w:val="0"/>
        <w:autoSpaceDN w:val="0"/>
        <w:adjustRightInd w:val="0"/>
        <w:spacing w:after="120" w:line="240" w:lineRule="auto"/>
        <w:jc w:val="both"/>
        <w:rPr>
          <w:rFonts w:ascii="Calibri-Bold" w:hAnsi="Calibri-Bold" w:cs="Calibri-Bold"/>
          <w:b/>
          <w:bCs/>
          <w:kern w:val="0"/>
        </w:rPr>
      </w:pPr>
      <w:r>
        <w:rPr>
          <w:rFonts w:ascii="Calibri-Bold" w:hAnsi="Calibri-Bold" w:cs="Calibri-Bold"/>
          <w:b/>
          <w:bCs/>
          <w:kern w:val="0"/>
        </w:rPr>
        <w:lastRenderedPageBreak/>
        <w:t xml:space="preserve">4.2 </w:t>
      </w:r>
      <w:r w:rsidR="00D356F2" w:rsidRPr="00F16B71">
        <w:rPr>
          <w:rFonts w:ascii="Calibri-Bold" w:hAnsi="Calibri-Bold" w:cs="Calibri-Bold"/>
          <w:b/>
          <w:bCs/>
          <w:kern w:val="0"/>
        </w:rPr>
        <w:t>Dovozní r</w:t>
      </w:r>
      <w:r w:rsidR="002748B2" w:rsidRPr="00F16B71">
        <w:rPr>
          <w:rFonts w:ascii="Calibri-Bold" w:hAnsi="Calibri-Bold" w:cs="Calibri-Bold"/>
          <w:b/>
          <w:bCs/>
          <w:kern w:val="0"/>
        </w:rPr>
        <w:t xml:space="preserve">ežim </w:t>
      </w:r>
      <w:r w:rsidR="002B6426" w:rsidRPr="00F16B71">
        <w:rPr>
          <w:rFonts w:ascii="Calibri-Bold" w:hAnsi="Calibri-Bold" w:cs="Calibri-Bold"/>
          <w:b/>
          <w:bCs/>
          <w:kern w:val="0"/>
        </w:rPr>
        <w:t>byl</w:t>
      </w:r>
      <w:r w:rsidR="008E7D8E" w:rsidRPr="00F16B71">
        <w:rPr>
          <w:rFonts w:ascii="Calibri-Bold" w:hAnsi="Calibri-Bold" w:cs="Calibri-Bold"/>
          <w:b/>
          <w:bCs/>
          <w:kern w:val="0"/>
        </w:rPr>
        <w:t xml:space="preserve"> zneužíván </w:t>
      </w:r>
      <w:r w:rsidR="002748B2" w:rsidRPr="00F16B71">
        <w:rPr>
          <w:rFonts w:ascii="Calibri-Bold" w:hAnsi="Calibri-Bold" w:cs="Calibri-Bold"/>
          <w:b/>
          <w:bCs/>
          <w:kern w:val="0"/>
        </w:rPr>
        <w:t>k neplacení DPH</w:t>
      </w:r>
    </w:p>
    <w:p w14:paraId="7810254F" w14:textId="1431BB02" w:rsidR="00691861" w:rsidRDefault="009469D2" w:rsidP="003432C9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V</w:t>
      </w:r>
      <w:r w:rsidR="00D82683" w:rsidRPr="005A52B1">
        <w:rPr>
          <w:rFonts w:cstheme="minorHAnsi"/>
        </w:rPr>
        <w:t xml:space="preserve"> letech 2021–2024 </w:t>
      </w:r>
      <w:r w:rsidR="00A05FDB">
        <w:rPr>
          <w:rFonts w:cstheme="minorHAnsi"/>
        </w:rPr>
        <w:t xml:space="preserve">CS ČR </w:t>
      </w:r>
      <w:r w:rsidR="00D82683" w:rsidRPr="005A52B1">
        <w:rPr>
          <w:rFonts w:cstheme="minorHAnsi"/>
        </w:rPr>
        <w:t xml:space="preserve">uskutečnila </w:t>
      </w:r>
      <w:r w:rsidR="00CB3147">
        <w:rPr>
          <w:rFonts w:cstheme="minorHAnsi"/>
        </w:rPr>
        <w:t>13 814</w:t>
      </w:r>
      <w:r w:rsidR="00D82683" w:rsidRPr="005A52B1">
        <w:rPr>
          <w:rFonts w:cstheme="minorHAnsi"/>
        </w:rPr>
        <w:t xml:space="preserve"> </w:t>
      </w:r>
      <w:r w:rsidR="00D82683">
        <w:rPr>
          <w:rFonts w:cstheme="minorHAnsi"/>
        </w:rPr>
        <w:t>k</w:t>
      </w:r>
      <w:r w:rsidR="00D82683" w:rsidRPr="005A52B1">
        <w:rPr>
          <w:rFonts w:cstheme="minorHAnsi"/>
        </w:rPr>
        <w:t xml:space="preserve">ontrol u zásilek nízké hodnoty do 150 </w:t>
      </w:r>
      <w:r w:rsidR="002B6426">
        <w:rPr>
          <w:rFonts w:cstheme="minorHAnsi"/>
        </w:rPr>
        <w:t>eur</w:t>
      </w:r>
      <w:r w:rsidR="005C205E">
        <w:rPr>
          <w:rFonts w:cstheme="minorHAnsi"/>
        </w:rPr>
        <w:t xml:space="preserve">, </w:t>
      </w:r>
      <w:r w:rsidR="005C205E" w:rsidRPr="005A52B1">
        <w:rPr>
          <w:rFonts w:cstheme="minorHAnsi"/>
        </w:rPr>
        <w:t>z</w:t>
      </w:r>
      <w:r w:rsidR="00D82683" w:rsidRPr="005A52B1">
        <w:rPr>
          <w:rFonts w:cstheme="minorHAnsi"/>
        </w:rPr>
        <w:t> toho bylo 3 312 zaměřeno na zásil</w:t>
      </w:r>
      <w:r w:rsidR="001C4313">
        <w:rPr>
          <w:rFonts w:cstheme="minorHAnsi"/>
        </w:rPr>
        <w:t>ky</w:t>
      </w:r>
      <w:r w:rsidR="00D82683" w:rsidRPr="005A52B1">
        <w:rPr>
          <w:rFonts w:cstheme="minorHAnsi"/>
        </w:rPr>
        <w:t xml:space="preserve"> v</w:t>
      </w:r>
      <w:r w:rsidR="00D356F2">
        <w:rPr>
          <w:rFonts w:cstheme="minorHAnsi"/>
        </w:rPr>
        <w:t xml:space="preserve"> dovozním </w:t>
      </w:r>
      <w:r w:rsidR="00D82683" w:rsidRPr="005A52B1">
        <w:rPr>
          <w:rFonts w:cstheme="minorHAnsi"/>
        </w:rPr>
        <w:t>režimu</w:t>
      </w:r>
      <w:r w:rsidR="006B1E7E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6B876962" w14:textId="77777777" w:rsidR="00225F4E" w:rsidRDefault="00225F4E" w:rsidP="003432C9">
      <w:pPr>
        <w:spacing w:after="0" w:line="240" w:lineRule="auto"/>
        <w:jc w:val="both"/>
      </w:pPr>
    </w:p>
    <w:p w14:paraId="68D237DD" w14:textId="52DFF2CC" w:rsidR="00A05FDB" w:rsidRDefault="00A05FDB" w:rsidP="00605F82">
      <w:pPr>
        <w:spacing w:after="0"/>
        <w:rPr>
          <w:rFonts w:cstheme="minorHAnsi"/>
          <w:b/>
        </w:rPr>
      </w:pPr>
      <w:r w:rsidRPr="00C74E94">
        <w:rPr>
          <w:rFonts w:cstheme="minorHAnsi"/>
          <w:b/>
        </w:rPr>
        <w:t>Tabulka</w:t>
      </w:r>
      <w:r>
        <w:rPr>
          <w:rFonts w:cstheme="minorHAnsi"/>
          <w:b/>
        </w:rPr>
        <w:t xml:space="preserve"> č.</w:t>
      </w:r>
      <w:r w:rsidRPr="00C74E94">
        <w:rPr>
          <w:rFonts w:cstheme="minorHAnsi"/>
          <w:b/>
        </w:rPr>
        <w:t xml:space="preserve"> </w:t>
      </w:r>
      <w:r w:rsidR="00C21860">
        <w:rPr>
          <w:rFonts w:cstheme="minorHAnsi"/>
          <w:b/>
        </w:rPr>
        <w:t>1</w:t>
      </w:r>
      <w:r w:rsidR="00691861">
        <w:rPr>
          <w:rFonts w:cstheme="minorHAnsi"/>
          <w:b/>
        </w:rPr>
        <w:t>2</w:t>
      </w:r>
      <w:r>
        <w:rPr>
          <w:rFonts w:cstheme="minorHAnsi"/>
          <w:b/>
        </w:rPr>
        <w:t>:</w:t>
      </w:r>
      <w:r w:rsidRPr="00C74E94">
        <w:rPr>
          <w:rFonts w:cstheme="minorHAnsi"/>
          <w:b/>
        </w:rPr>
        <w:t xml:space="preserve"> Přehled kontrol u zásilek v</w:t>
      </w:r>
      <w:r w:rsidR="00D356F2">
        <w:rPr>
          <w:rFonts w:cstheme="minorHAnsi"/>
          <w:b/>
        </w:rPr>
        <w:t xml:space="preserve"> dovozním </w:t>
      </w:r>
      <w:r w:rsidRPr="00C74E94">
        <w:rPr>
          <w:rFonts w:cstheme="minorHAnsi"/>
          <w:b/>
        </w:rPr>
        <w:t>režimu</w:t>
      </w:r>
    </w:p>
    <w:tbl>
      <w:tblPr>
        <w:tblStyle w:val="Mkatabulky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10"/>
        <w:gridCol w:w="1726"/>
        <w:gridCol w:w="2644"/>
        <w:gridCol w:w="2876"/>
      </w:tblGrid>
      <w:tr w:rsidR="000A621B" w:rsidRPr="00C74E94" w14:paraId="120BA00C" w14:textId="77777777" w:rsidTr="00F16B71">
        <w:trPr>
          <w:trHeight w:val="300"/>
        </w:trPr>
        <w:tc>
          <w:tcPr>
            <w:tcW w:w="999" w:type="pct"/>
            <w:shd w:val="clear" w:color="auto" w:fill="E6E6E6"/>
            <w:noWrap/>
            <w:hideMark/>
          </w:tcPr>
          <w:p w14:paraId="08E09E0D" w14:textId="77777777" w:rsidR="000A621B" w:rsidRPr="00C74E94" w:rsidRDefault="000A621B" w:rsidP="00D66D49">
            <w:pPr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C74E94">
              <w:rPr>
                <w:rFonts w:eastAsia="Times New Roman" w:cstheme="minorHAnsi"/>
                <w:b/>
                <w:bCs/>
                <w:lang w:eastAsia="cs-CZ"/>
              </w:rPr>
              <w:t>Rok</w:t>
            </w:r>
          </w:p>
        </w:tc>
        <w:tc>
          <w:tcPr>
            <w:tcW w:w="953" w:type="pct"/>
            <w:shd w:val="clear" w:color="auto" w:fill="E6E6E6"/>
            <w:noWrap/>
            <w:hideMark/>
          </w:tcPr>
          <w:p w14:paraId="2C1C1DBC" w14:textId="77777777" w:rsidR="000A621B" w:rsidRPr="00C74E94" w:rsidRDefault="000A621B" w:rsidP="00D66D49">
            <w:pPr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C74E94">
              <w:rPr>
                <w:rFonts w:eastAsia="Times New Roman" w:cstheme="minorHAnsi"/>
                <w:b/>
                <w:bCs/>
                <w:lang w:eastAsia="cs-CZ"/>
              </w:rPr>
              <w:t>Počet kontrol</w:t>
            </w:r>
          </w:p>
        </w:tc>
        <w:tc>
          <w:tcPr>
            <w:tcW w:w="1460" w:type="pct"/>
            <w:shd w:val="clear" w:color="auto" w:fill="E6E6E6"/>
            <w:noWrap/>
            <w:hideMark/>
          </w:tcPr>
          <w:p w14:paraId="4DAD73F0" w14:textId="77777777" w:rsidR="000A621B" w:rsidRPr="00C74E94" w:rsidRDefault="000A621B" w:rsidP="00D66D49">
            <w:pPr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C74E94">
              <w:rPr>
                <w:rFonts w:eastAsia="Times New Roman" w:cstheme="minorHAnsi"/>
                <w:b/>
                <w:bCs/>
                <w:lang w:eastAsia="cs-CZ"/>
              </w:rPr>
              <w:t>Zjištěné nesrovnalosti</w:t>
            </w:r>
          </w:p>
        </w:tc>
        <w:tc>
          <w:tcPr>
            <w:tcW w:w="1588" w:type="pct"/>
            <w:shd w:val="clear" w:color="auto" w:fill="E6E6E6"/>
          </w:tcPr>
          <w:p w14:paraId="12459256" w14:textId="19E509F3" w:rsidR="000A621B" w:rsidRPr="00A05FDB" w:rsidRDefault="000A621B" w:rsidP="00D66D49">
            <w:pPr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A05FDB">
              <w:rPr>
                <w:rFonts w:eastAsia="Times New Roman" w:cstheme="minorHAnsi"/>
                <w:b/>
                <w:bCs/>
                <w:lang w:eastAsia="cs-CZ"/>
              </w:rPr>
              <w:t>Podíl nesrovnalostí</w:t>
            </w:r>
            <w:r>
              <w:rPr>
                <w:rFonts w:eastAsia="Times New Roman" w:cstheme="minorHAnsi"/>
                <w:b/>
                <w:bCs/>
                <w:lang w:eastAsia="cs-CZ"/>
              </w:rPr>
              <w:t xml:space="preserve"> </w:t>
            </w:r>
            <w:r w:rsidRPr="00A05FDB">
              <w:rPr>
                <w:rFonts w:eastAsia="Times New Roman" w:cstheme="minorHAnsi"/>
                <w:b/>
                <w:bCs/>
                <w:lang w:eastAsia="cs-CZ"/>
              </w:rPr>
              <w:t>(v</w:t>
            </w:r>
            <w:r w:rsidR="00771987">
              <w:rPr>
                <w:rFonts w:eastAsia="Times New Roman" w:cstheme="minorHAnsi"/>
                <w:b/>
                <w:bCs/>
                <w:lang w:eastAsia="cs-CZ"/>
              </w:rPr>
              <w:t xml:space="preserve"> </w:t>
            </w:r>
            <w:r w:rsidRPr="00A05FDB">
              <w:rPr>
                <w:rFonts w:eastAsia="Times New Roman" w:cstheme="minorHAnsi"/>
                <w:b/>
                <w:bCs/>
                <w:lang w:eastAsia="cs-CZ"/>
              </w:rPr>
              <w:t>%)</w:t>
            </w:r>
          </w:p>
        </w:tc>
      </w:tr>
      <w:tr w:rsidR="000A621B" w:rsidRPr="00C74E94" w14:paraId="059E8532" w14:textId="77777777" w:rsidTr="00F16B71">
        <w:trPr>
          <w:trHeight w:val="300"/>
        </w:trPr>
        <w:tc>
          <w:tcPr>
            <w:tcW w:w="999" w:type="pct"/>
            <w:noWrap/>
            <w:vAlign w:val="center"/>
            <w:hideMark/>
          </w:tcPr>
          <w:p w14:paraId="6307A5AD" w14:textId="77777777" w:rsidR="000A621B" w:rsidRPr="00755293" w:rsidRDefault="000A621B" w:rsidP="00F16B71">
            <w:pPr>
              <w:ind w:left="57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 xml:space="preserve">Od 1. 10. </w:t>
            </w:r>
            <w:r w:rsidRPr="00755293">
              <w:rPr>
                <w:rFonts w:eastAsia="Times New Roman" w:cstheme="minorHAnsi"/>
                <w:lang w:eastAsia="cs-CZ"/>
              </w:rPr>
              <w:t>2021</w:t>
            </w:r>
          </w:p>
        </w:tc>
        <w:tc>
          <w:tcPr>
            <w:tcW w:w="953" w:type="pct"/>
            <w:noWrap/>
            <w:hideMark/>
          </w:tcPr>
          <w:p w14:paraId="376BDC54" w14:textId="77777777" w:rsidR="000A621B" w:rsidRPr="00C74E94" w:rsidRDefault="000A621B" w:rsidP="00D66D49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C74E94">
              <w:rPr>
                <w:rFonts w:eastAsia="Times New Roman" w:cstheme="minorHAnsi"/>
                <w:lang w:eastAsia="cs-CZ"/>
              </w:rPr>
              <w:t>430</w:t>
            </w:r>
          </w:p>
        </w:tc>
        <w:tc>
          <w:tcPr>
            <w:tcW w:w="1460" w:type="pct"/>
            <w:noWrap/>
            <w:hideMark/>
          </w:tcPr>
          <w:p w14:paraId="3FF04D5F" w14:textId="77777777" w:rsidR="000A621B" w:rsidRPr="00C74E94" w:rsidRDefault="000A621B" w:rsidP="00D66D49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C74E94">
              <w:rPr>
                <w:rFonts w:eastAsia="Times New Roman" w:cstheme="minorHAnsi"/>
                <w:lang w:eastAsia="cs-CZ"/>
              </w:rPr>
              <w:t>193</w:t>
            </w:r>
          </w:p>
        </w:tc>
        <w:tc>
          <w:tcPr>
            <w:tcW w:w="1588" w:type="pct"/>
          </w:tcPr>
          <w:p w14:paraId="00D4FA9A" w14:textId="77777777" w:rsidR="000A621B" w:rsidRPr="00C74E94" w:rsidRDefault="000A621B" w:rsidP="00D66D49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C74E94">
              <w:rPr>
                <w:rFonts w:eastAsia="Times New Roman" w:cstheme="minorHAnsi"/>
                <w:lang w:eastAsia="cs-CZ"/>
              </w:rPr>
              <w:t>44,9</w:t>
            </w:r>
          </w:p>
        </w:tc>
      </w:tr>
      <w:tr w:rsidR="000A621B" w:rsidRPr="00C74E94" w14:paraId="1EC8DB8C" w14:textId="77777777" w:rsidTr="00F16B71">
        <w:trPr>
          <w:trHeight w:val="300"/>
        </w:trPr>
        <w:tc>
          <w:tcPr>
            <w:tcW w:w="999" w:type="pct"/>
            <w:noWrap/>
            <w:vAlign w:val="center"/>
            <w:hideMark/>
          </w:tcPr>
          <w:p w14:paraId="2D6878D4" w14:textId="77777777" w:rsidR="000A621B" w:rsidRPr="00755293" w:rsidRDefault="000A621B" w:rsidP="00F16B71">
            <w:pPr>
              <w:ind w:left="57"/>
              <w:rPr>
                <w:rFonts w:eastAsia="Times New Roman" w:cstheme="minorHAnsi"/>
                <w:lang w:eastAsia="cs-CZ"/>
              </w:rPr>
            </w:pPr>
            <w:r w:rsidRPr="00755293">
              <w:rPr>
                <w:rFonts w:eastAsia="Times New Roman" w:cstheme="minorHAnsi"/>
                <w:lang w:eastAsia="cs-CZ"/>
              </w:rPr>
              <w:t>2022</w:t>
            </w:r>
          </w:p>
        </w:tc>
        <w:tc>
          <w:tcPr>
            <w:tcW w:w="953" w:type="pct"/>
            <w:noWrap/>
            <w:hideMark/>
          </w:tcPr>
          <w:p w14:paraId="1BF01BB1" w14:textId="77777777" w:rsidR="000A621B" w:rsidRPr="00C74E94" w:rsidRDefault="000A621B" w:rsidP="00D66D49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C74E94">
              <w:rPr>
                <w:rFonts w:eastAsia="Times New Roman" w:cstheme="minorHAnsi"/>
                <w:lang w:eastAsia="cs-CZ"/>
              </w:rPr>
              <w:t>816</w:t>
            </w:r>
          </w:p>
        </w:tc>
        <w:tc>
          <w:tcPr>
            <w:tcW w:w="1460" w:type="pct"/>
            <w:noWrap/>
            <w:hideMark/>
          </w:tcPr>
          <w:p w14:paraId="6563121A" w14:textId="77777777" w:rsidR="000A621B" w:rsidRPr="00C74E94" w:rsidRDefault="000A621B" w:rsidP="00D66D49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C74E94">
              <w:rPr>
                <w:rFonts w:eastAsia="Times New Roman" w:cstheme="minorHAnsi"/>
                <w:lang w:eastAsia="cs-CZ"/>
              </w:rPr>
              <w:t>302</w:t>
            </w:r>
          </w:p>
        </w:tc>
        <w:tc>
          <w:tcPr>
            <w:tcW w:w="1588" w:type="pct"/>
          </w:tcPr>
          <w:p w14:paraId="24BA6BDE" w14:textId="77777777" w:rsidR="000A621B" w:rsidRPr="00C74E94" w:rsidRDefault="000A621B" w:rsidP="00D66D49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C74E94">
              <w:rPr>
                <w:rFonts w:eastAsia="Times New Roman" w:cstheme="minorHAnsi"/>
                <w:lang w:eastAsia="cs-CZ"/>
              </w:rPr>
              <w:t>37</w:t>
            </w:r>
            <w:r>
              <w:rPr>
                <w:rFonts w:eastAsia="Times New Roman" w:cstheme="minorHAnsi"/>
                <w:lang w:eastAsia="cs-CZ"/>
              </w:rPr>
              <w:t>,0</w:t>
            </w:r>
          </w:p>
        </w:tc>
      </w:tr>
      <w:tr w:rsidR="000A621B" w:rsidRPr="00C74E94" w14:paraId="6298091C" w14:textId="77777777" w:rsidTr="00F16B71">
        <w:trPr>
          <w:trHeight w:val="300"/>
        </w:trPr>
        <w:tc>
          <w:tcPr>
            <w:tcW w:w="999" w:type="pct"/>
            <w:noWrap/>
            <w:vAlign w:val="center"/>
            <w:hideMark/>
          </w:tcPr>
          <w:p w14:paraId="1A9B50AB" w14:textId="77777777" w:rsidR="000A621B" w:rsidRPr="00755293" w:rsidRDefault="000A621B" w:rsidP="00F16B71">
            <w:pPr>
              <w:ind w:left="57"/>
              <w:rPr>
                <w:rFonts w:eastAsia="Times New Roman" w:cstheme="minorHAnsi"/>
                <w:lang w:eastAsia="cs-CZ"/>
              </w:rPr>
            </w:pPr>
            <w:r w:rsidRPr="00755293">
              <w:rPr>
                <w:rFonts w:eastAsia="Times New Roman" w:cstheme="minorHAnsi"/>
                <w:lang w:eastAsia="cs-CZ"/>
              </w:rPr>
              <w:t>2023</w:t>
            </w:r>
          </w:p>
        </w:tc>
        <w:tc>
          <w:tcPr>
            <w:tcW w:w="953" w:type="pct"/>
            <w:noWrap/>
            <w:hideMark/>
          </w:tcPr>
          <w:p w14:paraId="53727C8C" w14:textId="77777777" w:rsidR="000A621B" w:rsidRPr="00C74E94" w:rsidRDefault="000A621B" w:rsidP="00D66D49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C74E94">
              <w:rPr>
                <w:rFonts w:eastAsia="Times New Roman" w:cstheme="minorHAnsi"/>
                <w:lang w:eastAsia="cs-CZ"/>
              </w:rPr>
              <w:t>680</w:t>
            </w:r>
          </w:p>
        </w:tc>
        <w:tc>
          <w:tcPr>
            <w:tcW w:w="1460" w:type="pct"/>
            <w:noWrap/>
            <w:hideMark/>
          </w:tcPr>
          <w:p w14:paraId="6A20EB30" w14:textId="77777777" w:rsidR="000A621B" w:rsidRPr="00C74E94" w:rsidRDefault="000A621B" w:rsidP="00D66D49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C74E94">
              <w:rPr>
                <w:rFonts w:eastAsia="Times New Roman" w:cstheme="minorHAnsi"/>
                <w:lang w:eastAsia="cs-CZ"/>
              </w:rPr>
              <w:t>135</w:t>
            </w:r>
          </w:p>
        </w:tc>
        <w:tc>
          <w:tcPr>
            <w:tcW w:w="1588" w:type="pct"/>
          </w:tcPr>
          <w:p w14:paraId="0BEB7299" w14:textId="77777777" w:rsidR="000A621B" w:rsidRPr="00C74E94" w:rsidRDefault="000A621B" w:rsidP="00D66D49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C74E94">
              <w:rPr>
                <w:rFonts w:eastAsia="Times New Roman" w:cstheme="minorHAnsi"/>
                <w:lang w:eastAsia="cs-CZ"/>
              </w:rPr>
              <w:t>19,9</w:t>
            </w:r>
          </w:p>
        </w:tc>
      </w:tr>
      <w:tr w:rsidR="000A621B" w:rsidRPr="00C74E94" w14:paraId="3352D437" w14:textId="77777777" w:rsidTr="00F16B71">
        <w:trPr>
          <w:trHeight w:val="300"/>
        </w:trPr>
        <w:tc>
          <w:tcPr>
            <w:tcW w:w="999" w:type="pct"/>
            <w:noWrap/>
            <w:vAlign w:val="center"/>
            <w:hideMark/>
          </w:tcPr>
          <w:p w14:paraId="7DA2537B" w14:textId="77777777" w:rsidR="000A621B" w:rsidRPr="00755293" w:rsidRDefault="000A621B" w:rsidP="00F16B71">
            <w:pPr>
              <w:ind w:left="57"/>
              <w:rPr>
                <w:rFonts w:eastAsia="Times New Roman" w:cstheme="minorHAnsi"/>
                <w:lang w:eastAsia="cs-CZ"/>
              </w:rPr>
            </w:pPr>
            <w:r w:rsidRPr="00755293">
              <w:rPr>
                <w:rFonts w:eastAsia="Times New Roman" w:cstheme="minorHAnsi"/>
                <w:lang w:eastAsia="cs-CZ"/>
              </w:rPr>
              <w:t>2024</w:t>
            </w:r>
          </w:p>
        </w:tc>
        <w:tc>
          <w:tcPr>
            <w:tcW w:w="953" w:type="pct"/>
            <w:noWrap/>
            <w:hideMark/>
          </w:tcPr>
          <w:p w14:paraId="57698D7E" w14:textId="77777777" w:rsidR="000A621B" w:rsidRPr="00C74E94" w:rsidRDefault="000A621B" w:rsidP="00D66D49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C74E94">
              <w:rPr>
                <w:rFonts w:eastAsia="Times New Roman" w:cstheme="minorHAnsi"/>
                <w:lang w:eastAsia="cs-CZ"/>
              </w:rPr>
              <w:t>1</w:t>
            </w:r>
            <w:r>
              <w:rPr>
                <w:rFonts w:eastAsia="Times New Roman" w:cstheme="minorHAnsi"/>
                <w:lang w:eastAsia="cs-CZ"/>
              </w:rPr>
              <w:t xml:space="preserve"> </w:t>
            </w:r>
            <w:r w:rsidRPr="00C74E94">
              <w:rPr>
                <w:rFonts w:eastAsia="Times New Roman" w:cstheme="minorHAnsi"/>
                <w:lang w:eastAsia="cs-CZ"/>
              </w:rPr>
              <w:t>386</w:t>
            </w:r>
          </w:p>
        </w:tc>
        <w:tc>
          <w:tcPr>
            <w:tcW w:w="1460" w:type="pct"/>
            <w:noWrap/>
            <w:hideMark/>
          </w:tcPr>
          <w:p w14:paraId="076605B3" w14:textId="77777777" w:rsidR="000A621B" w:rsidRPr="00C74E94" w:rsidRDefault="000A621B" w:rsidP="00D66D49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C74E94">
              <w:rPr>
                <w:rFonts w:eastAsia="Times New Roman" w:cstheme="minorHAnsi"/>
                <w:lang w:eastAsia="cs-CZ"/>
              </w:rPr>
              <w:t>435</w:t>
            </w:r>
          </w:p>
        </w:tc>
        <w:tc>
          <w:tcPr>
            <w:tcW w:w="1588" w:type="pct"/>
          </w:tcPr>
          <w:p w14:paraId="6FF55F38" w14:textId="77777777" w:rsidR="000A621B" w:rsidRPr="00C74E94" w:rsidRDefault="000A621B" w:rsidP="00D66D49">
            <w:pPr>
              <w:jc w:val="right"/>
              <w:rPr>
                <w:rFonts w:eastAsia="Times New Roman" w:cstheme="minorHAnsi"/>
                <w:lang w:eastAsia="cs-CZ"/>
              </w:rPr>
            </w:pPr>
            <w:r w:rsidRPr="00C74E94">
              <w:rPr>
                <w:rFonts w:eastAsia="Times New Roman" w:cstheme="minorHAnsi"/>
                <w:lang w:eastAsia="cs-CZ"/>
              </w:rPr>
              <w:t>31,4</w:t>
            </w:r>
          </w:p>
        </w:tc>
      </w:tr>
      <w:tr w:rsidR="00237DC2" w:rsidRPr="00C74E94" w14:paraId="03B064A1" w14:textId="77777777" w:rsidTr="00F16B71">
        <w:trPr>
          <w:trHeight w:val="300"/>
        </w:trPr>
        <w:tc>
          <w:tcPr>
            <w:tcW w:w="999" w:type="pct"/>
            <w:shd w:val="clear" w:color="auto" w:fill="EDD4D9"/>
            <w:noWrap/>
            <w:vAlign w:val="center"/>
          </w:tcPr>
          <w:p w14:paraId="04B6672E" w14:textId="711216E0" w:rsidR="00237DC2" w:rsidRPr="00313E6C" w:rsidRDefault="00237DC2" w:rsidP="00F16B71">
            <w:pPr>
              <w:ind w:left="57"/>
              <w:rPr>
                <w:rFonts w:eastAsia="Times New Roman" w:cstheme="minorHAnsi"/>
                <w:b/>
                <w:bCs/>
                <w:lang w:eastAsia="cs-CZ"/>
              </w:rPr>
            </w:pPr>
            <w:r w:rsidRPr="00313E6C">
              <w:rPr>
                <w:rFonts w:eastAsia="Times New Roman" w:cstheme="minorHAnsi"/>
                <w:b/>
                <w:bCs/>
                <w:lang w:eastAsia="cs-CZ"/>
              </w:rPr>
              <w:t>Celkem</w:t>
            </w:r>
          </w:p>
        </w:tc>
        <w:tc>
          <w:tcPr>
            <w:tcW w:w="953" w:type="pct"/>
            <w:shd w:val="clear" w:color="auto" w:fill="EDD4D9"/>
            <w:noWrap/>
          </w:tcPr>
          <w:p w14:paraId="64A0FAB8" w14:textId="13839A99" w:rsidR="00237DC2" w:rsidRPr="00313E6C" w:rsidRDefault="00237DC2" w:rsidP="00D66D49">
            <w:pPr>
              <w:jc w:val="right"/>
              <w:rPr>
                <w:rFonts w:eastAsia="Times New Roman" w:cstheme="minorHAnsi"/>
                <w:b/>
                <w:bCs/>
                <w:lang w:eastAsia="cs-CZ"/>
              </w:rPr>
            </w:pPr>
            <w:r w:rsidRPr="00313E6C">
              <w:rPr>
                <w:rFonts w:eastAsia="Times New Roman" w:cstheme="minorHAnsi"/>
                <w:b/>
                <w:bCs/>
                <w:lang w:eastAsia="cs-CZ"/>
              </w:rPr>
              <w:t>3 312</w:t>
            </w:r>
          </w:p>
        </w:tc>
        <w:tc>
          <w:tcPr>
            <w:tcW w:w="1460" w:type="pct"/>
            <w:shd w:val="clear" w:color="auto" w:fill="EDD4D9"/>
            <w:noWrap/>
          </w:tcPr>
          <w:p w14:paraId="0EBF48BA" w14:textId="4170F859" w:rsidR="00237DC2" w:rsidRPr="00313E6C" w:rsidRDefault="00237DC2" w:rsidP="00D66D49">
            <w:pPr>
              <w:jc w:val="right"/>
              <w:rPr>
                <w:rFonts w:eastAsia="Times New Roman" w:cstheme="minorHAnsi"/>
                <w:b/>
                <w:bCs/>
                <w:lang w:eastAsia="cs-CZ"/>
              </w:rPr>
            </w:pPr>
            <w:r w:rsidRPr="00313E6C">
              <w:rPr>
                <w:rFonts w:eastAsia="Times New Roman" w:cstheme="minorHAnsi"/>
                <w:b/>
                <w:bCs/>
                <w:lang w:eastAsia="cs-CZ"/>
              </w:rPr>
              <w:t>1 065</w:t>
            </w:r>
          </w:p>
        </w:tc>
        <w:tc>
          <w:tcPr>
            <w:tcW w:w="1588" w:type="pct"/>
            <w:shd w:val="clear" w:color="auto" w:fill="EDD4D9"/>
          </w:tcPr>
          <w:p w14:paraId="5B55BFEA" w14:textId="232F0B25" w:rsidR="00237DC2" w:rsidRPr="00313E6C" w:rsidRDefault="00AE0CD1" w:rsidP="00D66D49">
            <w:pPr>
              <w:jc w:val="right"/>
              <w:rPr>
                <w:rFonts w:eastAsia="Times New Roman" w:cstheme="minorHAnsi"/>
                <w:b/>
                <w:bCs/>
                <w:lang w:eastAsia="cs-CZ"/>
              </w:rPr>
            </w:pPr>
            <w:r>
              <w:rPr>
                <w:rFonts w:eastAsia="Times New Roman" w:cstheme="minorHAnsi"/>
                <w:b/>
                <w:bCs/>
                <w:lang w:eastAsia="cs-CZ"/>
              </w:rPr>
              <w:t>32,2</w:t>
            </w:r>
            <w:r w:rsidR="00237DC2" w:rsidRPr="00313E6C">
              <w:rPr>
                <w:rFonts w:eastAsia="Times New Roman" w:cstheme="minorHAnsi"/>
                <w:b/>
                <w:bCs/>
                <w:lang w:eastAsia="cs-CZ"/>
              </w:rPr>
              <w:t xml:space="preserve"> </w:t>
            </w:r>
          </w:p>
        </w:tc>
      </w:tr>
    </w:tbl>
    <w:p w14:paraId="4AF1F30D" w14:textId="108BB450" w:rsidR="00A05FDB" w:rsidRDefault="00A05FDB" w:rsidP="00313E6C">
      <w:pPr>
        <w:spacing w:after="0"/>
        <w:jc w:val="both"/>
        <w:rPr>
          <w:rFonts w:cstheme="minorHAnsi"/>
          <w:sz w:val="20"/>
          <w:szCs w:val="20"/>
        </w:rPr>
      </w:pPr>
      <w:r w:rsidRPr="00F16B71">
        <w:rPr>
          <w:rFonts w:cstheme="minorHAnsi"/>
          <w:b/>
          <w:bCs/>
          <w:sz w:val="20"/>
          <w:szCs w:val="20"/>
        </w:rPr>
        <w:t>Zdroj:</w:t>
      </w:r>
      <w:r w:rsidRPr="005A52B1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GŘC.</w:t>
      </w:r>
    </w:p>
    <w:p w14:paraId="092C08BC" w14:textId="4E54770E" w:rsidR="003A0E7C" w:rsidRPr="005A52B1" w:rsidRDefault="003A0E7C" w:rsidP="00F16B71">
      <w:pPr>
        <w:spacing w:after="0"/>
        <w:jc w:val="both"/>
        <w:rPr>
          <w:rFonts w:cstheme="minorHAnsi"/>
          <w:sz w:val="20"/>
          <w:szCs w:val="20"/>
        </w:rPr>
      </w:pPr>
      <w:r w:rsidRPr="00F16B71">
        <w:rPr>
          <w:rFonts w:cstheme="minorHAnsi"/>
          <w:b/>
          <w:bCs/>
          <w:sz w:val="20"/>
          <w:szCs w:val="20"/>
        </w:rPr>
        <w:t>Pozn.:</w:t>
      </w:r>
      <w:r>
        <w:rPr>
          <w:rFonts w:cstheme="minorHAnsi"/>
          <w:sz w:val="20"/>
          <w:szCs w:val="20"/>
        </w:rPr>
        <w:t xml:space="preserve"> </w:t>
      </w:r>
      <w:r w:rsidRPr="00313E6C">
        <w:rPr>
          <w:rFonts w:cstheme="minorHAnsi"/>
          <w:sz w:val="20"/>
          <w:szCs w:val="20"/>
        </w:rPr>
        <w:t>Přehled provedených kontrol nezahrnuje zásilky doručené do ČR v Mošnově.</w:t>
      </w:r>
    </w:p>
    <w:p w14:paraId="186293E3" w14:textId="77777777" w:rsidR="003627B6" w:rsidRDefault="003627B6" w:rsidP="003627B6">
      <w:pPr>
        <w:spacing w:after="0" w:line="240" w:lineRule="auto"/>
        <w:jc w:val="both"/>
        <w:rPr>
          <w:rFonts w:cstheme="minorHAnsi"/>
        </w:rPr>
      </w:pPr>
    </w:p>
    <w:p w14:paraId="1DA971A2" w14:textId="48B127D0" w:rsidR="00943DC5" w:rsidRDefault="00535E9E" w:rsidP="003627B6">
      <w:pPr>
        <w:spacing w:after="0" w:line="240" w:lineRule="auto"/>
        <w:jc w:val="both"/>
        <w:rPr>
          <w:rFonts w:cstheme="minorHAnsi"/>
        </w:rPr>
      </w:pPr>
      <w:r w:rsidRPr="00F24B4E">
        <w:rPr>
          <w:rFonts w:cstheme="minorHAnsi"/>
        </w:rPr>
        <w:t>V</w:t>
      </w:r>
      <w:r w:rsidR="00F24B4E">
        <w:rPr>
          <w:rFonts w:cstheme="minorHAnsi"/>
        </w:rPr>
        <w:t xml:space="preserve"> </w:t>
      </w:r>
      <w:r w:rsidR="00854B5B" w:rsidRPr="00F24B4E">
        <w:rPr>
          <w:rFonts w:cstheme="minorHAnsi"/>
        </w:rPr>
        <w:t>průměru</w:t>
      </w:r>
      <w:r w:rsidRPr="00F24B4E">
        <w:rPr>
          <w:rFonts w:cstheme="minorHAnsi"/>
        </w:rPr>
        <w:t xml:space="preserve"> </w:t>
      </w:r>
      <w:r w:rsidR="00A05FDB" w:rsidRPr="00F24B4E">
        <w:rPr>
          <w:rFonts w:cstheme="minorHAnsi"/>
        </w:rPr>
        <w:t>každ</w:t>
      </w:r>
      <w:r w:rsidR="004D6729" w:rsidRPr="00F24B4E">
        <w:rPr>
          <w:rFonts w:cstheme="minorHAnsi"/>
        </w:rPr>
        <w:t>á třetí</w:t>
      </w:r>
      <w:r w:rsidR="004D6729">
        <w:rPr>
          <w:rFonts w:cstheme="minorHAnsi"/>
        </w:rPr>
        <w:t xml:space="preserve"> zásilka</w:t>
      </w:r>
      <w:r w:rsidR="00A05FDB" w:rsidRPr="005A52B1">
        <w:rPr>
          <w:rFonts w:cstheme="minorHAnsi"/>
        </w:rPr>
        <w:t xml:space="preserve"> </w:t>
      </w:r>
      <w:r w:rsidR="0014134B">
        <w:rPr>
          <w:rFonts w:cstheme="minorHAnsi"/>
        </w:rPr>
        <w:t>z</w:t>
      </w:r>
      <w:r w:rsidR="00F24B4E">
        <w:rPr>
          <w:rFonts w:cstheme="minorHAnsi"/>
        </w:rPr>
        <w:t xml:space="preserve"> </w:t>
      </w:r>
      <w:r w:rsidR="0014134B">
        <w:rPr>
          <w:rFonts w:cstheme="minorHAnsi"/>
        </w:rPr>
        <w:t>3</w:t>
      </w:r>
      <w:r w:rsidR="00F24B4E">
        <w:rPr>
          <w:rFonts w:cstheme="minorHAnsi"/>
        </w:rPr>
        <w:t> </w:t>
      </w:r>
      <w:r w:rsidR="0014134B">
        <w:rPr>
          <w:rFonts w:cstheme="minorHAnsi"/>
        </w:rPr>
        <w:t xml:space="preserve">312 </w:t>
      </w:r>
      <w:r w:rsidR="00F24B4E">
        <w:rPr>
          <w:rFonts w:cstheme="minorHAnsi"/>
        </w:rPr>
        <w:t xml:space="preserve">zkontrolovaných </w:t>
      </w:r>
      <w:r w:rsidR="0014134B">
        <w:rPr>
          <w:rFonts w:cstheme="minorHAnsi"/>
        </w:rPr>
        <w:t xml:space="preserve">zásilek </w:t>
      </w:r>
      <w:r w:rsidR="00A05FDB" w:rsidRPr="005A52B1">
        <w:rPr>
          <w:rFonts w:cstheme="minorHAnsi"/>
        </w:rPr>
        <w:t>v</w:t>
      </w:r>
      <w:r w:rsidR="00F24B4E">
        <w:rPr>
          <w:rFonts w:cstheme="minorHAnsi"/>
        </w:rPr>
        <w:t xml:space="preserve"> </w:t>
      </w:r>
      <w:r w:rsidR="00D356F2">
        <w:rPr>
          <w:rFonts w:cstheme="minorHAnsi"/>
        </w:rPr>
        <w:t xml:space="preserve">dovozním </w:t>
      </w:r>
      <w:r w:rsidR="00A05FDB" w:rsidRPr="005A52B1">
        <w:rPr>
          <w:rFonts w:cstheme="minorHAnsi"/>
        </w:rPr>
        <w:t xml:space="preserve">režimu </w:t>
      </w:r>
      <w:r w:rsidR="004D6729">
        <w:rPr>
          <w:rFonts w:cstheme="minorHAnsi"/>
        </w:rPr>
        <w:t>byla deklarována chybně</w:t>
      </w:r>
      <w:r w:rsidR="00A05FDB" w:rsidRPr="005A52B1">
        <w:rPr>
          <w:rFonts w:cstheme="minorHAnsi"/>
        </w:rPr>
        <w:t xml:space="preserve">. </w:t>
      </w:r>
      <w:r w:rsidR="00A413C7">
        <w:rPr>
          <w:rFonts w:cstheme="minorHAnsi"/>
        </w:rPr>
        <w:t>V</w:t>
      </w:r>
      <w:r w:rsidR="00F24B4E">
        <w:rPr>
          <w:rFonts w:cstheme="minorHAnsi"/>
        </w:rPr>
        <w:t xml:space="preserve"> </w:t>
      </w:r>
      <w:r w:rsidR="00A413C7">
        <w:rPr>
          <w:rFonts w:cstheme="minorHAnsi"/>
        </w:rPr>
        <w:t xml:space="preserve">letech </w:t>
      </w:r>
      <w:r w:rsidR="001857B1">
        <w:rPr>
          <w:rFonts w:cstheme="minorHAnsi"/>
        </w:rPr>
        <w:t>2021–202</w:t>
      </w:r>
      <w:r w:rsidR="002B6426">
        <w:rPr>
          <w:rFonts w:cstheme="minorHAnsi"/>
        </w:rPr>
        <w:t>4</w:t>
      </w:r>
      <w:r w:rsidR="00A413C7">
        <w:rPr>
          <w:rFonts w:cstheme="minorHAnsi"/>
        </w:rPr>
        <w:t xml:space="preserve"> CS ČR </w:t>
      </w:r>
      <w:r w:rsidR="005D47F6">
        <w:rPr>
          <w:rFonts w:cstheme="minorHAnsi"/>
        </w:rPr>
        <w:t xml:space="preserve">zkontrolovala 0,03 % </w:t>
      </w:r>
      <w:r w:rsidR="002B6426">
        <w:rPr>
          <w:rFonts w:cstheme="minorHAnsi"/>
        </w:rPr>
        <w:t xml:space="preserve">z celkového počtu </w:t>
      </w:r>
      <w:r>
        <w:rPr>
          <w:rFonts w:cstheme="minorHAnsi"/>
          <w:color w:val="000000"/>
        </w:rPr>
        <w:t xml:space="preserve">10 761 453 </w:t>
      </w:r>
      <w:r w:rsidR="002B6426">
        <w:rPr>
          <w:rFonts w:cstheme="minorHAnsi"/>
        </w:rPr>
        <w:t xml:space="preserve">zásilek </w:t>
      </w:r>
      <w:r w:rsidR="005D47F6">
        <w:rPr>
          <w:rFonts w:cstheme="minorHAnsi"/>
        </w:rPr>
        <w:t>doručených do ČR</w:t>
      </w:r>
      <w:r w:rsidR="00854B5B">
        <w:rPr>
          <w:rFonts w:cstheme="minorHAnsi"/>
        </w:rPr>
        <w:t xml:space="preserve"> v</w:t>
      </w:r>
      <w:r w:rsidR="00D356F2">
        <w:rPr>
          <w:rFonts w:cstheme="minorHAnsi"/>
        </w:rPr>
        <w:t xml:space="preserve"> dovozním </w:t>
      </w:r>
      <w:r w:rsidR="00854B5B">
        <w:rPr>
          <w:rFonts w:cstheme="minorHAnsi"/>
        </w:rPr>
        <w:t>režimu</w:t>
      </w:r>
      <w:r w:rsidR="005D47F6">
        <w:rPr>
          <w:rFonts w:cstheme="minorHAnsi"/>
        </w:rPr>
        <w:t>.</w:t>
      </w:r>
    </w:p>
    <w:p w14:paraId="6FD543E2" w14:textId="77777777" w:rsidR="003627B6" w:rsidRDefault="003627B6" w:rsidP="003627B6">
      <w:pPr>
        <w:spacing w:after="0" w:line="240" w:lineRule="auto"/>
        <w:jc w:val="both"/>
        <w:rPr>
          <w:rFonts w:cstheme="minorHAnsi"/>
        </w:rPr>
      </w:pPr>
    </w:p>
    <w:p w14:paraId="726CFF2F" w14:textId="3E2987B4" w:rsidR="001857B1" w:rsidRDefault="001857B1" w:rsidP="003627B6">
      <w:pPr>
        <w:spacing w:after="0" w:line="240" w:lineRule="auto"/>
        <w:jc w:val="both"/>
        <w:rPr>
          <w:rFonts w:cstheme="minorHAnsi"/>
        </w:rPr>
      </w:pPr>
      <w:r w:rsidRPr="00943DC5">
        <w:rPr>
          <w:rFonts w:cstheme="minorHAnsi"/>
        </w:rPr>
        <w:t xml:space="preserve">CS ČR </w:t>
      </w:r>
      <w:r w:rsidR="00E179E9">
        <w:rPr>
          <w:rFonts w:cstheme="minorHAnsi"/>
        </w:rPr>
        <w:t xml:space="preserve">v rámci své kontrolní činnosti </w:t>
      </w:r>
      <w:r>
        <w:rPr>
          <w:rFonts w:cstheme="minorHAnsi"/>
        </w:rPr>
        <w:t xml:space="preserve">testovala využití umělé inteligence </w:t>
      </w:r>
      <w:r w:rsidRPr="00943DC5">
        <w:rPr>
          <w:rFonts w:cstheme="minorHAnsi"/>
        </w:rPr>
        <w:t xml:space="preserve">u zásilek </w:t>
      </w:r>
      <w:r w:rsidR="0072508C">
        <w:rPr>
          <w:rFonts w:cstheme="minorHAnsi"/>
        </w:rPr>
        <w:t xml:space="preserve">nízké hodnoty </w:t>
      </w:r>
      <w:r w:rsidRPr="00943DC5">
        <w:rPr>
          <w:rFonts w:cstheme="minorHAnsi"/>
        </w:rPr>
        <w:t xml:space="preserve">přepravovaných formou letecké dopravy z Číny od </w:t>
      </w:r>
      <w:r w:rsidR="003A0E7C">
        <w:rPr>
          <w:rFonts w:cstheme="minorHAnsi"/>
        </w:rPr>
        <w:t>vybraných společností</w:t>
      </w:r>
      <w:r>
        <w:rPr>
          <w:rFonts w:cstheme="minorHAnsi"/>
        </w:rPr>
        <w:t>.</w:t>
      </w:r>
      <w:r w:rsidRPr="00943DC5">
        <w:rPr>
          <w:rFonts w:cstheme="minorHAnsi"/>
        </w:rPr>
        <w:t xml:space="preserve"> </w:t>
      </w:r>
      <w:r w:rsidR="003A0E7C">
        <w:rPr>
          <w:rFonts w:cstheme="minorHAnsi"/>
        </w:rPr>
        <w:t>V</w:t>
      </w:r>
      <w:r>
        <w:rPr>
          <w:rFonts w:cstheme="minorHAnsi"/>
        </w:rPr>
        <w:t xml:space="preserve"> roce 2024 </w:t>
      </w:r>
      <w:r w:rsidR="003A0E7C">
        <w:rPr>
          <w:rFonts w:cstheme="minorHAnsi"/>
        </w:rPr>
        <w:t xml:space="preserve">bylo </w:t>
      </w:r>
      <w:r>
        <w:rPr>
          <w:rFonts w:cstheme="minorHAnsi"/>
        </w:rPr>
        <w:t>z celkového počtu 22 507</w:t>
      </w:r>
      <w:r w:rsidR="003A0E7C">
        <w:rPr>
          <w:rFonts w:cstheme="minorHAnsi"/>
        </w:rPr>
        <w:t> </w:t>
      </w:r>
      <w:r>
        <w:rPr>
          <w:rFonts w:cstheme="minorHAnsi"/>
        </w:rPr>
        <w:t>512</w:t>
      </w:r>
      <w:r w:rsidR="003A0E7C">
        <w:rPr>
          <w:rFonts w:cstheme="minorHAnsi"/>
        </w:rPr>
        <w:t xml:space="preserve"> položek </w:t>
      </w:r>
      <w:r w:rsidR="00F24B4E">
        <w:rPr>
          <w:rFonts w:cstheme="minorHAnsi"/>
        </w:rPr>
        <w:t>zaslaných</w:t>
      </w:r>
      <w:r w:rsidR="003A0E7C">
        <w:rPr>
          <w:rFonts w:cstheme="minorHAnsi"/>
        </w:rPr>
        <w:t xml:space="preserve"> do ČR</w:t>
      </w:r>
      <w:r>
        <w:rPr>
          <w:rFonts w:cstheme="minorHAnsi"/>
        </w:rPr>
        <w:t xml:space="preserve"> doručeno </w:t>
      </w:r>
      <w:r w:rsidR="003A0E7C">
        <w:rPr>
          <w:rFonts w:cstheme="minorHAnsi"/>
        </w:rPr>
        <w:t xml:space="preserve">na letiště Mošnov </w:t>
      </w:r>
      <w:r w:rsidR="00DE606D">
        <w:rPr>
          <w:rFonts w:cstheme="minorHAnsi"/>
        </w:rPr>
        <w:t xml:space="preserve">od vybraných společností </w:t>
      </w:r>
      <w:r w:rsidRPr="00943DC5">
        <w:rPr>
          <w:rFonts w:cstheme="minorHAnsi"/>
        </w:rPr>
        <w:t>16 949 207 položek</w:t>
      </w:r>
      <w:r>
        <w:rPr>
          <w:rFonts w:cstheme="minorHAnsi"/>
        </w:rPr>
        <w:t xml:space="preserve"> a z toho celní úřad tímto způsobem zkontroloval</w:t>
      </w:r>
      <w:r w:rsidRPr="00943DC5">
        <w:rPr>
          <w:rFonts w:cstheme="minorHAnsi"/>
        </w:rPr>
        <w:t xml:space="preserve"> 23</w:t>
      </w:r>
      <w:r w:rsidR="00F24B4E">
        <w:rPr>
          <w:rFonts w:cstheme="minorHAnsi"/>
        </w:rPr>
        <w:t> </w:t>
      </w:r>
      <w:r w:rsidRPr="00943DC5">
        <w:rPr>
          <w:rFonts w:cstheme="minorHAnsi"/>
        </w:rPr>
        <w:t xml:space="preserve">243 (tj. 0,14 %) položek. </w:t>
      </w:r>
      <w:r w:rsidR="00347D81">
        <w:rPr>
          <w:rFonts w:cstheme="minorHAnsi"/>
        </w:rPr>
        <w:t xml:space="preserve">Na konci roku 2024 došlo k zásadnímu </w:t>
      </w:r>
      <w:r>
        <w:rPr>
          <w:rFonts w:cstheme="minorHAnsi"/>
        </w:rPr>
        <w:t>snížení počtu doručovaných zásilek</w:t>
      </w:r>
      <w:r w:rsidR="00DE606D">
        <w:rPr>
          <w:rFonts w:cstheme="minorHAnsi"/>
        </w:rPr>
        <w:t xml:space="preserve"> </w:t>
      </w:r>
      <w:r w:rsidR="0072508C">
        <w:rPr>
          <w:rFonts w:cstheme="minorHAnsi"/>
        </w:rPr>
        <w:t xml:space="preserve">nízké hodnoty </w:t>
      </w:r>
      <w:r w:rsidR="00DE606D">
        <w:rPr>
          <w:rFonts w:cstheme="minorHAnsi"/>
        </w:rPr>
        <w:t>od vybraných společností na letiště Mošnov</w:t>
      </w:r>
      <w:r w:rsidR="00347D81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4880ED40" w14:textId="77777777" w:rsidR="003627B6" w:rsidRDefault="003627B6" w:rsidP="003627B6">
      <w:pPr>
        <w:spacing w:after="0" w:line="240" w:lineRule="auto"/>
        <w:jc w:val="both"/>
        <w:rPr>
          <w:rFonts w:cstheme="minorHAnsi"/>
        </w:rPr>
      </w:pPr>
    </w:p>
    <w:p w14:paraId="55B647AA" w14:textId="483E6502" w:rsidR="008D1856" w:rsidRDefault="00755952" w:rsidP="003627B6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NKÚ zjistil, že GŘC nedispon</w:t>
      </w:r>
      <w:r w:rsidR="004E5162">
        <w:rPr>
          <w:rFonts w:cstheme="minorHAnsi"/>
        </w:rPr>
        <w:t>ovalo</w:t>
      </w:r>
      <w:r>
        <w:rPr>
          <w:rFonts w:cstheme="minorHAnsi"/>
        </w:rPr>
        <w:t xml:space="preserve"> informacemi o </w:t>
      </w:r>
      <w:r w:rsidR="00DE606D">
        <w:rPr>
          <w:rFonts w:cstheme="minorHAnsi"/>
        </w:rPr>
        <w:t xml:space="preserve">změně výše </w:t>
      </w:r>
      <w:r w:rsidR="00347D81">
        <w:rPr>
          <w:rFonts w:cstheme="minorHAnsi"/>
        </w:rPr>
        <w:t xml:space="preserve">DPH </w:t>
      </w:r>
      <w:r w:rsidR="009A097E">
        <w:rPr>
          <w:rFonts w:cstheme="minorHAnsi"/>
        </w:rPr>
        <w:t>na</w:t>
      </w:r>
      <w:r w:rsidR="002F79B8">
        <w:rPr>
          <w:rFonts w:cstheme="minorHAnsi"/>
        </w:rPr>
        <w:t xml:space="preserve"> základě provedené </w:t>
      </w:r>
      <w:r>
        <w:rPr>
          <w:rFonts w:cstheme="minorHAnsi"/>
        </w:rPr>
        <w:t>kontrolní činnosti zaměřen</w:t>
      </w:r>
      <w:r w:rsidR="002F79B8">
        <w:rPr>
          <w:rFonts w:cstheme="minorHAnsi"/>
        </w:rPr>
        <w:t>é</w:t>
      </w:r>
      <w:r>
        <w:rPr>
          <w:rFonts w:cstheme="minorHAnsi"/>
        </w:rPr>
        <w:t xml:space="preserve"> na zásilky nízké hodnoty, </w:t>
      </w:r>
      <w:r w:rsidR="00F24B4E">
        <w:rPr>
          <w:rFonts w:cstheme="minorHAnsi"/>
        </w:rPr>
        <w:t>pokud</w:t>
      </w:r>
      <w:r>
        <w:rPr>
          <w:rFonts w:cstheme="minorHAnsi"/>
        </w:rPr>
        <w:t xml:space="preserve"> došlo ke zjištění nesrovnalostí s dopadem na hodnotu celního prohlášení. Relevantní údaje týkající se kontrol včetně fiskálního efektu vedly příslušné celní úřady</w:t>
      </w:r>
      <w:r w:rsidR="008D1856">
        <w:rPr>
          <w:rFonts w:cstheme="minorHAnsi"/>
        </w:rPr>
        <w:t xml:space="preserve"> </w:t>
      </w:r>
      <w:r w:rsidR="00F24B4E">
        <w:rPr>
          <w:rFonts w:cstheme="minorHAnsi"/>
        </w:rPr>
        <w:t>pouze ve</w:t>
      </w:r>
      <w:r>
        <w:rPr>
          <w:rFonts w:cstheme="minorHAnsi"/>
        </w:rPr>
        <w:t xml:space="preserve"> spisové dokumentac</w:t>
      </w:r>
      <w:r w:rsidR="00F24B4E">
        <w:rPr>
          <w:rFonts w:cstheme="minorHAnsi"/>
        </w:rPr>
        <w:t>i</w:t>
      </w:r>
      <w:r>
        <w:rPr>
          <w:rFonts w:cstheme="minorHAnsi"/>
        </w:rPr>
        <w:t xml:space="preserve"> jednotlivých kontrolovaných případů.</w:t>
      </w:r>
      <w:r w:rsidR="006B5C28">
        <w:rPr>
          <w:rFonts w:cstheme="minorHAnsi"/>
        </w:rPr>
        <w:t xml:space="preserve"> </w:t>
      </w:r>
    </w:p>
    <w:p w14:paraId="58C17F06" w14:textId="77777777" w:rsidR="003627B6" w:rsidRDefault="003627B6" w:rsidP="003627B6">
      <w:pPr>
        <w:spacing w:after="0" w:line="240" w:lineRule="auto"/>
        <w:jc w:val="both"/>
        <w:rPr>
          <w:rFonts w:cstheme="minorHAnsi"/>
        </w:rPr>
      </w:pPr>
    </w:p>
    <w:p w14:paraId="099341A4" w14:textId="4E9E85BE" w:rsidR="009469D2" w:rsidRDefault="00C342A6" w:rsidP="003627B6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Podle </w:t>
      </w:r>
      <w:r w:rsidRPr="00C342A6">
        <w:rPr>
          <w:rFonts w:cstheme="minorHAnsi"/>
        </w:rPr>
        <w:t xml:space="preserve">ustanovení § 71 odst. </w:t>
      </w:r>
      <w:r w:rsidR="0088084B">
        <w:rPr>
          <w:rFonts w:cstheme="minorHAnsi"/>
        </w:rPr>
        <w:t>8</w:t>
      </w:r>
      <w:r w:rsidR="0088084B" w:rsidRPr="00C342A6">
        <w:rPr>
          <w:rFonts w:cstheme="minorHAnsi"/>
        </w:rPr>
        <w:t xml:space="preserve"> </w:t>
      </w:r>
      <w:r w:rsidRPr="00C342A6">
        <w:rPr>
          <w:rFonts w:cstheme="minorHAnsi"/>
        </w:rPr>
        <w:t>zákona o DPH a čl. 172 celního kodexu Unie</w:t>
      </w:r>
      <w:r w:rsidR="008D360A">
        <w:rPr>
          <w:rStyle w:val="Znakapoznpodarou"/>
          <w:rFonts w:cstheme="minorHAnsi"/>
        </w:rPr>
        <w:footnoteReference w:id="30"/>
      </w:r>
      <w:r>
        <w:rPr>
          <w:rFonts w:cstheme="minorHAnsi"/>
        </w:rPr>
        <w:t xml:space="preserve"> je r</w:t>
      </w:r>
      <w:r w:rsidRPr="00C342A6">
        <w:rPr>
          <w:rFonts w:cstheme="minorHAnsi"/>
        </w:rPr>
        <w:t>ozhodujícím okamžikem</w:t>
      </w:r>
      <w:r w:rsidR="00F24B4E">
        <w:rPr>
          <w:rFonts w:cstheme="minorHAnsi"/>
        </w:rPr>
        <w:t xml:space="preserve"> pro</w:t>
      </w:r>
      <w:r w:rsidRPr="00C342A6">
        <w:rPr>
          <w:rFonts w:cstheme="minorHAnsi"/>
        </w:rPr>
        <w:t xml:space="preserve"> uvedení platného </w:t>
      </w:r>
      <w:r w:rsidR="004E5162">
        <w:rPr>
          <w:rFonts w:cstheme="minorHAnsi"/>
        </w:rPr>
        <w:t>dovozního</w:t>
      </w:r>
      <w:r w:rsidR="004E5162" w:rsidRPr="00C342A6">
        <w:rPr>
          <w:rFonts w:cstheme="minorHAnsi"/>
        </w:rPr>
        <w:t xml:space="preserve"> </w:t>
      </w:r>
      <w:r w:rsidRPr="00C342A6">
        <w:rPr>
          <w:rFonts w:cstheme="minorHAnsi"/>
        </w:rPr>
        <w:t>čísla okamžik přijetí celního prohlášení. Při celním řízení v</w:t>
      </w:r>
      <w:r w:rsidR="004E5162">
        <w:rPr>
          <w:rFonts w:cstheme="minorHAnsi"/>
        </w:rPr>
        <w:t xml:space="preserve"> dovozním </w:t>
      </w:r>
      <w:r w:rsidRPr="00C342A6">
        <w:rPr>
          <w:rFonts w:cstheme="minorHAnsi"/>
        </w:rPr>
        <w:t xml:space="preserve">režimu se rozhodnutí celního orgánu o přiznání osvobození </w:t>
      </w:r>
      <w:r w:rsidR="00F24B4E">
        <w:rPr>
          <w:rFonts w:cstheme="minorHAnsi"/>
        </w:rPr>
        <w:t xml:space="preserve">od </w:t>
      </w:r>
      <w:r w:rsidR="007F1AE4">
        <w:rPr>
          <w:rFonts w:cstheme="minorHAnsi"/>
        </w:rPr>
        <w:t xml:space="preserve">DPH </w:t>
      </w:r>
      <w:r w:rsidRPr="00C342A6">
        <w:rPr>
          <w:rFonts w:cstheme="minorHAnsi"/>
        </w:rPr>
        <w:t>opírá mj.</w:t>
      </w:r>
      <w:r w:rsidR="00F24B4E">
        <w:rPr>
          <w:rFonts w:cstheme="minorHAnsi"/>
        </w:rPr>
        <w:t> </w:t>
      </w:r>
      <w:r w:rsidRPr="00C342A6">
        <w:rPr>
          <w:rFonts w:cstheme="minorHAnsi"/>
        </w:rPr>
        <w:t xml:space="preserve">o uvedení </w:t>
      </w:r>
      <w:r w:rsidR="004E5162">
        <w:rPr>
          <w:rFonts w:cstheme="minorHAnsi"/>
        </w:rPr>
        <w:t xml:space="preserve">dovozního </w:t>
      </w:r>
      <w:r w:rsidRPr="00C342A6">
        <w:rPr>
          <w:rFonts w:cstheme="minorHAnsi"/>
        </w:rPr>
        <w:t>čísla v celním prohlášení.</w:t>
      </w:r>
      <w:r w:rsidR="00C2778D">
        <w:rPr>
          <w:rFonts w:cstheme="minorHAnsi"/>
        </w:rPr>
        <w:t xml:space="preserve"> </w:t>
      </w:r>
      <w:r w:rsidRPr="00C342A6">
        <w:rPr>
          <w:rFonts w:cstheme="minorHAnsi"/>
        </w:rPr>
        <w:t xml:space="preserve">Současně zákon </w:t>
      </w:r>
      <w:r w:rsidR="00C2778D">
        <w:rPr>
          <w:rFonts w:cstheme="minorHAnsi"/>
        </w:rPr>
        <w:t xml:space="preserve">o DPH </w:t>
      </w:r>
      <w:r w:rsidRPr="00C342A6">
        <w:rPr>
          <w:rFonts w:cstheme="minorHAnsi"/>
        </w:rPr>
        <w:t>předpokládá, že držitelem tohoto čísla je osoba, která uskutečnila dodání zboží – tedy skutečný prodávající, jenž je registrován v</w:t>
      </w:r>
      <w:r w:rsidR="004E5162">
        <w:rPr>
          <w:rFonts w:cstheme="minorHAnsi"/>
        </w:rPr>
        <w:t xml:space="preserve"> dovozním </w:t>
      </w:r>
      <w:r w:rsidRPr="00C342A6">
        <w:rPr>
          <w:rFonts w:cstheme="minorHAnsi"/>
        </w:rPr>
        <w:t xml:space="preserve">režimu a přizná daň v </w:t>
      </w:r>
      <w:r w:rsidR="004E5162">
        <w:rPr>
          <w:rFonts w:cstheme="minorHAnsi"/>
        </w:rPr>
        <w:t>ČSI</w:t>
      </w:r>
      <w:r w:rsidRPr="00C342A6">
        <w:rPr>
          <w:rFonts w:cstheme="minorHAnsi"/>
        </w:rPr>
        <w:t>.</w:t>
      </w:r>
    </w:p>
    <w:p w14:paraId="6560336A" w14:textId="77777777" w:rsidR="003627B6" w:rsidRDefault="003627B6" w:rsidP="003627B6">
      <w:pPr>
        <w:spacing w:after="0" w:line="240" w:lineRule="auto"/>
        <w:jc w:val="both"/>
        <w:rPr>
          <w:rFonts w:cstheme="minorHAnsi"/>
        </w:rPr>
      </w:pPr>
    </w:p>
    <w:p w14:paraId="176787C2" w14:textId="212ABA92" w:rsidR="00C2778D" w:rsidRDefault="00C2778D" w:rsidP="003627B6">
      <w:pPr>
        <w:spacing w:after="0" w:line="240" w:lineRule="auto"/>
        <w:jc w:val="both"/>
        <w:rPr>
          <w:rFonts w:cstheme="minorHAnsi"/>
        </w:rPr>
      </w:pPr>
      <w:r w:rsidRPr="00C2778D">
        <w:rPr>
          <w:rFonts w:cstheme="minorHAnsi"/>
        </w:rPr>
        <w:t>CS ČR nem</w:t>
      </w:r>
      <w:r w:rsidR="00D61464">
        <w:rPr>
          <w:rFonts w:cstheme="minorHAnsi"/>
        </w:rPr>
        <w:t>ěla</w:t>
      </w:r>
      <w:r w:rsidRPr="00C2778D">
        <w:rPr>
          <w:rFonts w:cstheme="minorHAnsi"/>
        </w:rPr>
        <w:t xml:space="preserve"> přístup </w:t>
      </w:r>
      <w:r w:rsidR="000E7987">
        <w:rPr>
          <w:rFonts w:cstheme="minorHAnsi"/>
        </w:rPr>
        <w:t>do</w:t>
      </w:r>
      <w:r w:rsidRPr="00C2778D">
        <w:rPr>
          <w:rFonts w:cstheme="minorHAnsi"/>
        </w:rPr>
        <w:t xml:space="preserve"> </w:t>
      </w:r>
      <w:r w:rsidR="00F24B4E">
        <w:rPr>
          <w:rFonts w:cstheme="minorHAnsi"/>
        </w:rPr>
        <w:t>„</w:t>
      </w:r>
      <w:r w:rsidRPr="00C2778D">
        <w:rPr>
          <w:rFonts w:cstheme="minorHAnsi"/>
        </w:rPr>
        <w:t>databáz</w:t>
      </w:r>
      <w:r w:rsidR="000E7987">
        <w:rPr>
          <w:rFonts w:cstheme="minorHAnsi"/>
        </w:rPr>
        <w:t>e</w:t>
      </w:r>
      <w:r w:rsidRPr="00C2778D">
        <w:rPr>
          <w:rFonts w:cstheme="minorHAnsi"/>
        </w:rPr>
        <w:t xml:space="preserve"> držitelů </w:t>
      </w:r>
      <w:r w:rsidR="00D61464">
        <w:rPr>
          <w:rFonts w:cstheme="minorHAnsi"/>
        </w:rPr>
        <w:t>dovozních</w:t>
      </w:r>
      <w:r w:rsidR="00D61464" w:rsidRPr="00C2778D">
        <w:rPr>
          <w:rFonts w:cstheme="minorHAnsi"/>
        </w:rPr>
        <w:t xml:space="preserve"> </w:t>
      </w:r>
      <w:r w:rsidRPr="00C2778D">
        <w:rPr>
          <w:rFonts w:cstheme="minorHAnsi"/>
        </w:rPr>
        <w:t>čísel</w:t>
      </w:r>
      <w:r w:rsidR="00F24B4E">
        <w:rPr>
          <w:rFonts w:cstheme="minorHAnsi"/>
        </w:rPr>
        <w:t>“</w:t>
      </w:r>
      <w:r w:rsidRPr="00C2778D">
        <w:rPr>
          <w:rFonts w:cstheme="minorHAnsi"/>
        </w:rPr>
        <w:t xml:space="preserve">, která je spravována Evropskou komisí. Ověření celního prohlášení spočívá pouze v technické validaci </w:t>
      </w:r>
      <w:r w:rsidR="00D61464">
        <w:rPr>
          <w:rFonts w:cstheme="minorHAnsi"/>
        </w:rPr>
        <w:t>dovozního</w:t>
      </w:r>
      <w:r w:rsidR="00D61464" w:rsidRPr="00C2778D">
        <w:rPr>
          <w:rFonts w:cstheme="minorHAnsi"/>
        </w:rPr>
        <w:t xml:space="preserve"> </w:t>
      </w:r>
      <w:r w:rsidRPr="00C2778D">
        <w:rPr>
          <w:rFonts w:cstheme="minorHAnsi"/>
        </w:rPr>
        <w:t>čísla (platné/neplatné)</w:t>
      </w:r>
      <w:r w:rsidR="00F43621">
        <w:rPr>
          <w:rFonts w:cstheme="minorHAnsi"/>
        </w:rPr>
        <w:t xml:space="preserve">, nikoliv v ověření, že osoba, která </w:t>
      </w:r>
      <w:r w:rsidR="00D61464">
        <w:rPr>
          <w:rFonts w:cstheme="minorHAnsi"/>
        </w:rPr>
        <w:t xml:space="preserve">dovozní </w:t>
      </w:r>
      <w:r w:rsidR="00F43621">
        <w:rPr>
          <w:rFonts w:cstheme="minorHAnsi"/>
        </w:rPr>
        <w:t xml:space="preserve">číslo uvedla v celním prohlášení je totožná s osobou, které toto číslo bylo přiděleno </w:t>
      </w:r>
      <w:r w:rsidR="00F24B4E">
        <w:rPr>
          <w:rFonts w:cstheme="minorHAnsi"/>
        </w:rPr>
        <w:t>při</w:t>
      </w:r>
      <w:r w:rsidR="00F43621">
        <w:rPr>
          <w:rFonts w:cstheme="minorHAnsi"/>
        </w:rPr>
        <w:t xml:space="preserve"> registrac</w:t>
      </w:r>
      <w:r w:rsidR="00F24B4E">
        <w:rPr>
          <w:rFonts w:cstheme="minorHAnsi"/>
        </w:rPr>
        <w:t>i</w:t>
      </w:r>
      <w:r w:rsidR="00F43621">
        <w:rPr>
          <w:rFonts w:cstheme="minorHAnsi"/>
        </w:rPr>
        <w:t xml:space="preserve"> k</w:t>
      </w:r>
      <w:r w:rsidR="00D61464">
        <w:rPr>
          <w:rFonts w:cstheme="minorHAnsi"/>
        </w:rPr>
        <w:t xml:space="preserve"> dovoznímu </w:t>
      </w:r>
      <w:r w:rsidR="00F43621">
        <w:rPr>
          <w:rFonts w:cstheme="minorHAnsi"/>
        </w:rPr>
        <w:t xml:space="preserve">režimu. </w:t>
      </w:r>
      <w:r w:rsidR="00CB5488">
        <w:rPr>
          <w:rFonts w:cstheme="minorHAnsi"/>
        </w:rPr>
        <w:t>P</w:t>
      </w:r>
      <w:r w:rsidR="00CB5488" w:rsidRPr="00883D3E">
        <w:rPr>
          <w:rFonts w:cstheme="minorHAnsi"/>
        </w:rPr>
        <w:t>rotože orgány CS ČR v okamžiku rozhodování o osvobození od DPH nem</w:t>
      </w:r>
      <w:r w:rsidR="00CB5488">
        <w:rPr>
          <w:rFonts w:cstheme="minorHAnsi"/>
        </w:rPr>
        <w:t>ěly</w:t>
      </w:r>
      <w:r w:rsidR="00CB5488" w:rsidRPr="00883D3E">
        <w:rPr>
          <w:rFonts w:cstheme="minorHAnsi"/>
        </w:rPr>
        <w:t xml:space="preserve"> informace o tom, zda </w:t>
      </w:r>
      <w:r w:rsidR="00D61464">
        <w:rPr>
          <w:rFonts w:cstheme="minorHAnsi"/>
        </w:rPr>
        <w:t xml:space="preserve">dovozní </w:t>
      </w:r>
      <w:r w:rsidR="00CB5488" w:rsidRPr="00883D3E">
        <w:rPr>
          <w:rFonts w:cstheme="minorHAnsi"/>
        </w:rPr>
        <w:t xml:space="preserve">číslo v celním prohlášení </w:t>
      </w:r>
      <w:r w:rsidR="00F24B4E">
        <w:rPr>
          <w:rFonts w:cstheme="minorHAnsi"/>
        </w:rPr>
        <w:t>použila</w:t>
      </w:r>
      <w:r w:rsidR="00CB5488" w:rsidRPr="00883D3E">
        <w:rPr>
          <w:rFonts w:cstheme="minorHAnsi"/>
        </w:rPr>
        <w:t xml:space="preserve"> oprávněná osoba</w:t>
      </w:r>
      <w:r w:rsidR="00CB5488">
        <w:rPr>
          <w:rFonts w:cstheme="minorHAnsi"/>
        </w:rPr>
        <w:t>, existuje riziko, že DPH neb</w:t>
      </w:r>
      <w:r w:rsidR="00D61464">
        <w:rPr>
          <w:rFonts w:cstheme="minorHAnsi"/>
        </w:rPr>
        <w:t>yla</w:t>
      </w:r>
      <w:r w:rsidR="007F1AE4">
        <w:rPr>
          <w:rFonts w:cstheme="minorHAnsi"/>
        </w:rPr>
        <w:t xml:space="preserve"> v ČR </w:t>
      </w:r>
      <w:r w:rsidR="00CB5488">
        <w:rPr>
          <w:rFonts w:cstheme="minorHAnsi"/>
        </w:rPr>
        <w:lastRenderedPageBreak/>
        <w:t>vybrána ve správné výši</w:t>
      </w:r>
      <w:r w:rsidR="00CB5488" w:rsidRPr="00883D3E">
        <w:rPr>
          <w:rFonts w:cstheme="minorHAnsi"/>
        </w:rPr>
        <w:t>.</w:t>
      </w:r>
      <w:r w:rsidR="00745DA2">
        <w:rPr>
          <w:rFonts w:cstheme="minorHAnsi"/>
        </w:rPr>
        <w:t xml:space="preserve"> </w:t>
      </w:r>
      <w:r w:rsidR="00745DA2" w:rsidRPr="00313E6C">
        <w:rPr>
          <w:rFonts w:cstheme="minorHAnsi"/>
        </w:rPr>
        <w:t xml:space="preserve">NKÚ zjistil, že </w:t>
      </w:r>
      <w:r w:rsidR="00745DA2">
        <w:rPr>
          <w:rFonts w:cstheme="minorHAnsi"/>
        </w:rPr>
        <w:t>při</w:t>
      </w:r>
      <w:r w:rsidR="00745DA2" w:rsidRPr="00313E6C">
        <w:rPr>
          <w:rFonts w:cstheme="minorHAnsi"/>
        </w:rPr>
        <w:t xml:space="preserve"> současn</w:t>
      </w:r>
      <w:r w:rsidR="00745DA2">
        <w:rPr>
          <w:rFonts w:cstheme="minorHAnsi"/>
        </w:rPr>
        <w:t>é</w:t>
      </w:r>
      <w:r w:rsidR="00745DA2" w:rsidRPr="00313E6C">
        <w:rPr>
          <w:rFonts w:cstheme="minorHAnsi"/>
        </w:rPr>
        <w:t xml:space="preserve"> právní</w:t>
      </w:r>
      <w:r w:rsidR="00FB3C53">
        <w:rPr>
          <w:rFonts w:cstheme="minorHAnsi"/>
        </w:rPr>
        <w:t xml:space="preserve"> </w:t>
      </w:r>
      <w:r w:rsidR="00745DA2" w:rsidRPr="00313E6C">
        <w:rPr>
          <w:rFonts w:cstheme="minorHAnsi"/>
        </w:rPr>
        <w:t>úprav</w:t>
      </w:r>
      <w:r w:rsidR="00745DA2">
        <w:rPr>
          <w:rFonts w:cstheme="minorHAnsi"/>
        </w:rPr>
        <w:t>ě</w:t>
      </w:r>
      <w:r w:rsidR="00745DA2" w:rsidRPr="00313E6C">
        <w:rPr>
          <w:rFonts w:cstheme="minorHAnsi"/>
        </w:rPr>
        <w:t xml:space="preserve"> </w:t>
      </w:r>
      <w:r w:rsidR="00DE0A15">
        <w:rPr>
          <w:rFonts w:cstheme="minorHAnsi"/>
        </w:rPr>
        <w:t>a</w:t>
      </w:r>
      <w:r w:rsidR="00DE0A15" w:rsidRPr="00D014D0">
        <w:rPr>
          <w:rFonts w:cstheme="minorHAnsi"/>
        </w:rPr>
        <w:t xml:space="preserve"> </w:t>
      </w:r>
      <w:r w:rsidR="00F24B4E">
        <w:rPr>
          <w:rFonts w:cstheme="minorHAnsi"/>
        </w:rPr>
        <w:t xml:space="preserve">aktuálním </w:t>
      </w:r>
      <w:r w:rsidR="00DE0A15" w:rsidRPr="00D014D0">
        <w:rPr>
          <w:rFonts w:cstheme="minorHAnsi"/>
        </w:rPr>
        <w:t>technické</w:t>
      </w:r>
      <w:r w:rsidR="00DE0A15">
        <w:rPr>
          <w:rFonts w:cstheme="minorHAnsi"/>
        </w:rPr>
        <w:t>m</w:t>
      </w:r>
      <w:r w:rsidR="00DE0A15" w:rsidRPr="00D014D0">
        <w:rPr>
          <w:rFonts w:cstheme="minorHAnsi"/>
        </w:rPr>
        <w:t xml:space="preserve"> </w:t>
      </w:r>
      <w:r w:rsidR="00DE0A15">
        <w:rPr>
          <w:rFonts w:cstheme="minorHAnsi"/>
        </w:rPr>
        <w:t>nastavení</w:t>
      </w:r>
      <w:r w:rsidR="00DE0A15" w:rsidRPr="00D014D0">
        <w:rPr>
          <w:rFonts w:cstheme="minorHAnsi"/>
        </w:rPr>
        <w:t xml:space="preserve"> systému</w:t>
      </w:r>
      <w:r w:rsidR="00DE0A15">
        <w:rPr>
          <w:rFonts w:cstheme="minorHAnsi"/>
        </w:rPr>
        <w:t xml:space="preserve"> ze strany </w:t>
      </w:r>
      <w:r w:rsidR="00FB3C53">
        <w:rPr>
          <w:rFonts w:cstheme="minorHAnsi"/>
        </w:rPr>
        <w:t>Evropsk</w:t>
      </w:r>
      <w:r w:rsidR="00DE0A15">
        <w:rPr>
          <w:rFonts w:cstheme="minorHAnsi"/>
        </w:rPr>
        <w:t>é</w:t>
      </w:r>
      <w:r w:rsidR="00FB3C53">
        <w:rPr>
          <w:rFonts w:cstheme="minorHAnsi"/>
        </w:rPr>
        <w:t xml:space="preserve"> komis</w:t>
      </w:r>
      <w:r w:rsidR="00DE0A15">
        <w:rPr>
          <w:rFonts w:cstheme="minorHAnsi"/>
        </w:rPr>
        <w:t>e</w:t>
      </w:r>
      <w:r w:rsidR="00FB3C53">
        <w:rPr>
          <w:rStyle w:val="Znakapoznpodarou"/>
          <w:rFonts w:cstheme="minorHAnsi"/>
        </w:rPr>
        <w:footnoteReference w:id="31"/>
      </w:r>
      <w:r w:rsidR="00FB3C53">
        <w:rPr>
          <w:rFonts w:cstheme="minorHAnsi"/>
        </w:rPr>
        <w:t xml:space="preserve"> </w:t>
      </w:r>
      <w:r w:rsidR="00F24B4E">
        <w:rPr>
          <w:rFonts w:cstheme="minorHAnsi"/>
        </w:rPr>
        <w:t xml:space="preserve">není </w:t>
      </w:r>
      <w:r w:rsidR="00FB3C53">
        <w:rPr>
          <w:rFonts w:cstheme="minorHAnsi"/>
        </w:rPr>
        <w:t xml:space="preserve">CS ČR </w:t>
      </w:r>
      <w:r w:rsidR="00F24B4E">
        <w:rPr>
          <w:rFonts w:cstheme="minorHAnsi"/>
        </w:rPr>
        <w:t xml:space="preserve">schopna </w:t>
      </w:r>
      <w:r w:rsidR="00FB3C53">
        <w:rPr>
          <w:rFonts w:cstheme="minorHAnsi"/>
        </w:rPr>
        <w:t xml:space="preserve">zabránit zneužívání dovozního režimu s dopadem na </w:t>
      </w:r>
      <w:r w:rsidR="00745DA2" w:rsidRPr="00313E6C">
        <w:rPr>
          <w:rFonts w:cstheme="minorHAnsi"/>
        </w:rPr>
        <w:t>výkon správy daně.</w:t>
      </w:r>
    </w:p>
    <w:p w14:paraId="184109FA" w14:textId="77777777" w:rsidR="003627B6" w:rsidRDefault="003627B6" w:rsidP="003627B6">
      <w:pPr>
        <w:spacing w:after="0" w:line="240" w:lineRule="auto"/>
        <w:jc w:val="both"/>
        <w:rPr>
          <w:rFonts w:cstheme="minorHAnsi"/>
        </w:rPr>
      </w:pPr>
    </w:p>
    <w:p w14:paraId="51B74073" w14:textId="68133CDF" w:rsidR="00C20359" w:rsidRPr="005475CB" w:rsidRDefault="007B1029" w:rsidP="00F16B71">
      <w:pPr>
        <w:pStyle w:val="Odstavecseseznamem"/>
        <w:numPr>
          <w:ilvl w:val="1"/>
          <w:numId w:val="47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cstheme="minorHAnsi"/>
          <w:b/>
          <w:bCs/>
          <w:kern w:val="0"/>
        </w:rPr>
      </w:pPr>
      <w:r w:rsidRPr="005475CB">
        <w:rPr>
          <w:rFonts w:cstheme="minorHAnsi"/>
          <w:b/>
          <w:bCs/>
          <w:kern w:val="0"/>
        </w:rPr>
        <w:t xml:space="preserve">CS ČR zavedla elektronický nástroj pro detekci rizika podhodnocování </w:t>
      </w:r>
      <w:r w:rsidR="00CE43C8" w:rsidRPr="005475CB">
        <w:rPr>
          <w:rFonts w:cstheme="minorHAnsi"/>
          <w:b/>
          <w:bCs/>
          <w:kern w:val="0"/>
        </w:rPr>
        <w:t>zboží</w:t>
      </w:r>
      <w:r w:rsidRPr="005475CB">
        <w:rPr>
          <w:rFonts w:cstheme="minorHAnsi"/>
          <w:b/>
          <w:bCs/>
          <w:kern w:val="0"/>
        </w:rPr>
        <w:t xml:space="preserve">, fyzická kontrola </w:t>
      </w:r>
      <w:r w:rsidR="00CE43C8" w:rsidRPr="005475CB">
        <w:rPr>
          <w:rFonts w:cstheme="minorHAnsi"/>
          <w:b/>
          <w:bCs/>
          <w:kern w:val="0"/>
        </w:rPr>
        <w:t xml:space="preserve">zásilek </w:t>
      </w:r>
      <w:r w:rsidRPr="005475CB">
        <w:rPr>
          <w:rFonts w:cstheme="minorHAnsi"/>
          <w:b/>
          <w:bCs/>
          <w:kern w:val="0"/>
        </w:rPr>
        <w:t xml:space="preserve">není s ohledem na </w:t>
      </w:r>
      <w:r w:rsidR="00CE43C8" w:rsidRPr="005475CB">
        <w:rPr>
          <w:rFonts w:cstheme="minorHAnsi"/>
          <w:b/>
          <w:bCs/>
          <w:kern w:val="0"/>
        </w:rPr>
        <w:t xml:space="preserve">jejich </w:t>
      </w:r>
      <w:r w:rsidRPr="005475CB">
        <w:rPr>
          <w:rFonts w:cstheme="minorHAnsi"/>
          <w:b/>
          <w:bCs/>
          <w:kern w:val="0"/>
        </w:rPr>
        <w:t xml:space="preserve">množství </w:t>
      </w:r>
      <w:r w:rsidR="00CE43C8" w:rsidRPr="005475CB">
        <w:rPr>
          <w:rFonts w:cstheme="minorHAnsi"/>
          <w:b/>
          <w:bCs/>
          <w:kern w:val="0"/>
        </w:rPr>
        <w:t>reálná</w:t>
      </w:r>
    </w:p>
    <w:p w14:paraId="6551A131" w14:textId="4C6E4687" w:rsidR="00C175DC" w:rsidRDefault="005475CB" w:rsidP="003627B6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GŘC </w:t>
      </w:r>
      <w:r w:rsidR="000878FC">
        <w:rPr>
          <w:rFonts w:cstheme="minorHAnsi"/>
        </w:rPr>
        <w:t>v</w:t>
      </w:r>
      <w:r w:rsidR="006D4F01">
        <w:rPr>
          <w:rFonts w:cstheme="minorHAnsi"/>
        </w:rPr>
        <w:t xml:space="preserve"> </w:t>
      </w:r>
      <w:r w:rsidR="000878FC">
        <w:rPr>
          <w:rFonts w:cstheme="minorHAnsi"/>
        </w:rPr>
        <w:t xml:space="preserve">letech </w:t>
      </w:r>
      <w:r w:rsidR="008D360A">
        <w:rPr>
          <w:rFonts w:cstheme="minorHAnsi"/>
        </w:rPr>
        <w:t>2021–2024</w:t>
      </w:r>
      <w:r w:rsidR="000878FC">
        <w:rPr>
          <w:rFonts w:cstheme="minorHAnsi"/>
        </w:rPr>
        <w:t xml:space="preserve"> </w:t>
      </w:r>
      <w:r>
        <w:rPr>
          <w:rFonts w:cstheme="minorHAnsi"/>
        </w:rPr>
        <w:t xml:space="preserve">vygenerovalo systémem ERIAN </w:t>
      </w:r>
      <w:r w:rsidR="000878FC">
        <w:rPr>
          <w:rFonts w:cstheme="minorHAnsi"/>
        </w:rPr>
        <w:t xml:space="preserve">celkem </w:t>
      </w:r>
      <w:r>
        <w:rPr>
          <w:rFonts w:cstheme="minorHAnsi"/>
        </w:rPr>
        <w:t>867 profilů</w:t>
      </w:r>
      <w:r w:rsidR="00F24B4E">
        <w:rPr>
          <w:rFonts w:cstheme="minorHAnsi"/>
        </w:rPr>
        <w:t>, u nichž bylo zjištěno</w:t>
      </w:r>
      <w:r w:rsidR="006D4F01">
        <w:rPr>
          <w:rFonts w:cstheme="minorHAnsi"/>
        </w:rPr>
        <w:t xml:space="preserve"> riziko</w:t>
      </w:r>
      <w:r>
        <w:rPr>
          <w:rFonts w:cstheme="minorHAnsi"/>
        </w:rPr>
        <w:t xml:space="preserve"> podhodnocování zboží </w:t>
      </w:r>
      <w:r w:rsidR="006D4F01">
        <w:rPr>
          <w:rFonts w:cstheme="minorHAnsi"/>
        </w:rPr>
        <w:t>při</w:t>
      </w:r>
      <w:r>
        <w:rPr>
          <w:rFonts w:cstheme="minorHAnsi"/>
        </w:rPr>
        <w:t xml:space="preserve"> přeshraniční</w:t>
      </w:r>
      <w:r w:rsidR="006D4F01">
        <w:rPr>
          <w:rFonts w:cstheme="minorHAnsi"/>
        </w:rPr>
        <w:t>m</w:t>
      </w:r>
      <w:r>
        <w:rPr>
          <w:rFonts w:cstheme="minorHAnsi"/>
        </w:rPr>
        <w:t xml:space="preserve"> elektronické</w:t>
      </w:r>
      <w:r w:rsidR="006D4F01">
        <w:rPr>
          <w:rFonts w:cstheme="minorHAnsi"/>
        </w:rPr>
        <w:t>m</w:t>
      </w:r>
      <w:r>
        <w:rPr>
          <w:rFonts w:cstheme="minorHAnsi"/>
        </w:rPr>
        <w:t xml:space="preserve"> obchodování</w:t>
      </w:r>
      <w:r w:rsidR="006D4F01">
        <w:rPr>
          <w:rFonts w:cstheme="minorHAnsi"/>
        </w:rPr>
        <w:t>;</w:t>
      </w:r>
      <w:r>
        <w:rPr>
          <w:rFonts w:cstheme="minorHAnsi"/>
        </w:rPr>
        <w:t xml:space="preserve"> orgány CS</w:t>
      </w:r>
      <w:r w:rsidR="006D4F01">
        <w:rPr>
          <w:rFonts w:cstheme="minorHAnsi"/>
        </w:rPr>
        <w:t> </w:t>
      </w:r>
      <w:r>
        <w:rPr>
          <w:rFonts w:cstheme="minorHAnsi"/>
        </w:rPr>
        <w:t>ČR zkontrolovaly celkem</w:t>
      </w:r>
      <w:r w:rsidRPr="005A52B1">
        <w:rPr>
          <w:rFonts w:cstheme="minorHAnsi"/>
        </w:rPr>
        <w:t xml:space="preserve"> 861 </w:t>
      </w:r>
      <w:r w:rsidRPr="004A12C1">
        <w:rPr>
          <w:rFonts w:cstheme="minorHAnsi"/>
        </w:rPr>
        <w:t xml:space="preserve">zásilek, </w:t>
      </w:r>
      <w:r w:rsidR="006D4F01">
        <w:rPr>
          <w:rFonts w:cstheme="minorHAnsi"/>
        </w:rPr>
        <w:t>v jejichž celních prohlášeních</w:t>
      </w:r>
      <w:r w:rsidRPr="004A12C1">
        <w:rPr>
          <w:rFonts w:cstheme="minorHAnsi"/>
        </w:rPr>
        <w:t xml:space="preserve"> bylo uvedeno celkem 4</w:t>
      </w:r>
      <w:r w:rsidR="006D4F01">
        <w:rPr>
          <w:rFonts w:cstheme="minorHAnsi"/>
        </w:rPr>
        <w:t> </w:t>
      </w:r>
      <w:r w:rsidRPr="004A12C1">
        <w:rPr>
          <w:rFonts w:cstheme="minorHAnsi"/>
        </w:rPr>
        <w:t>495 položek</w:t>
      </w:r>
      <w:r w:rsidR="006D4F01">
        <w:rPr>
          <w:rFonts w:cstheme="minorHAnsi"/>
        </w:rPr>
        <w:t xml:space="preserve"> zboží</w:t>
      </w:r>
      <w:r w:rsidRPr="004A12C1">
        <w:rPr>
          <w:rFonts w:cstheme="minorHAnsi"/>
        </w:rPr>
        <w:t>.</w:t>
      </w:r>
    </w:p>
    <w:p w14:paraId="5545243A" w14:textId="77777777" w:rsidR="003627B6" w:rsidRDefault="003627B6" w:rsidP="003627B6">
      <w:pPr>
        <w:spacing w:after="0" w:line="240" w:lineRule="auto"/>
        <w:jc w:val="both"/>
        <w:rPr>
          <w:rFonts w:cstheme="minorHAnsi"/>
        </w:rPr>
      </w:pPr>
    </w:p>
    <w:p w14:paraId="71E54E0D" w14:textId="4074A48F" w:rsidR="00126C8D" w:rsidRDefault="00126C8D" w:rsidP="00F16B71">
      <w:pPr>
        <w:pStyle w:val="Titulek"/>
        <w:keepNext/>
        <w:spacing w:after="0"/>
        <w:rPr>
          <w:rFonts w:cstheme="minorHAnsi"/>
          <w:b/>
          <w:bCs/>
          <w:i w:val="0"/>
          <w:iCs w:val="0"/>
          <w:color w:val="auto"/>
          <w:sz w:val="24"/>
          <w:szCs w:val="24"/>
        </w:rPr>
      </w:pPr>
      <w:r w:rsidRPr="00C74E94">
        <w:rPr>
          <w:rFonts w:cstheme="minorHAnsi"/>
          <w:b/>
          <w:bCs/>
          <w:i w:val="0"/>
          <w:iCs w:val="0"/>
          <w:color w:val="auto"/>
          <w:sz w:val="24"/>
          <w:szCs w:val="24"/>
        </w:rPr>
        <w:t>Tabulka</w:t>
      </w:r>
      <w:r>
        <w:rPr>
          <w:rFonts w:cstheme="minorHAnsi"/>
          <w:b/>
          <w:bCs/>
          <w:i w:val="0"/>
          <w:iCs w:val="0"/>
          <w:color w:val="auto"/>
          <w:sz w:val="24"/>
          <w:szCs w:val="24"/>
        </w:rPr>
        <w:t xml:space="preserve"> č. </w:t>
      </w:r>
      <w:r w:rsidR="00C21860">
        <w:rPr>
          <w:rFonts w:cstheme="minorHAnsi"/>
          <w:b/>
          <w:bCs/>
          <w:i w:val="0"/>
          <w:iCs w:val="0"/>
          <w:color w:val="auto"/>
          <w:sz w:val="24"/>
          <w:szCs w:val="24"/>
        </w:rPr>
        <w:t>1</w:t>
      </w:r>
      <w:r w:rsidR="00691861">
        <w:rPr>
          <w:rFonts w:cstheme="minorHAnsi"/>
          <w:b/>
          <w:bCs/>
          <w:i w:val="0"/>
          <w:iCs w:val="0"/>
          <w:color w:val="auto"/>
          <w:sz w:val="24"/>
          <w:szCs w:val="24"/>
        </w:rPr>
        <w:t>3</w:t>
      </w:r>
      <w:r>
        <w:rPr>
          <w:rFonts w:cstheme="minorHAnsi"/>
          <w:b/>
          <w:bCs/>
          <w:i w:val="0"/>
          <w:iCs w:val="0"/>
          <w:color w:val="auto"/>
          <w:sz w:val="24"/>
          <w:szCs w:val="24"/>
        </w:rPr>
        <w:t>:</w:t>
      </w:r>
      <w:r w:rsidRPr="00C74E94">
        <w:rPr>
          <w:rFonts w:cstheme="minorHAnsi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Pr="005A52B1">
        <w:rPr>
          <w:rFonts w:cstheme="minorHAnsi"/>
          <w:b/>
          <w:bCs/>
          <w:i w:val="0"/>
          <w:iCs w:val="0"/>
          <w:color w:val="auto"/>
          <w:sz w:val="24"/>
          <w:szCs w:val="24"/>
        </w:rPr>
        <w:t xml:space="preserve">Kontroly </w:t>
      </w:r>
      <w:r w:rsidR="005475CB">
        <w:rPr>
          <w:rFonts w:cstheme="minorHAnsi"/>
          <w:b/>
          <w:bCs/>
          <w:i w:val="0"/>
          <w:iCs w:val="0"/>
          <w:color w:val="auto"/>
          <w:sz w:val="24"/>
          <w:szCs w:val="24"/>
        </w:rPr>
        <w:t>na základě rizikové analýzy podhodnocování zboží</w:t>
      </w:r>
    </w:p>
    <w:tbl>
      <w:tblPr>
        <w:tblStyle w:val="Mkatabulky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70"/>
        <w:gridCol w:w="1996"/>
        <w:gridCol w:w="3072"/>
        <w:gridCol w:w="2918"/>
      </w:tblGrid>
      <w:tr w:rsidR="000A621B" w:rsidRPr="005A52B1" w14:paraId="4755E3C2" w14:textId="77777777" w:rsidTr="00F16B71">
        <w:trPr>
          <w:trHeight w:val="454"/>
        </w:trPr>
        <w:tc>
          <w:tcPr>
            <w:tcW w:w="591" w:type="pct"/>
            <w:shd w:val="clear" w:color="auto" w:fill="E6E6E6"/>
            <w:noWrap/>
            <w:vAlign w:val="center"/>
            <w:hideMark/>
          </w:tcPr>
          <w:p w14:paraId="540C3089" w14:textId="77777777" w:rsidR="000A621B" w:rsidRPr="005A52B1" w:rsidRDefault="000A621B" w:rsidP="006D4F01">
            <w:pPr>
              <w:jc w:val="center"/>
              <w:rPr>
                <w:rFonts w:cstheme="minorHAnsi"/>
                <w:b/>
                <w:bCs/>
              </w:rPr>
            </w:pPr>
            <w:r w:rsidRPr="005A52B1">
              <w:rPr>
                <w:rFonts w:cstheme="minorHAnsi"/>
                <w:b/>
                <w:bCs/>
              </w:rPr>
              <w:t>Rok</w:t>
            </w:r>
          </w:p>
        </w:tc>
        <w:tc>
          <w:tcPr>
            <w:tcW w:w="1102" w:type="pct"/>
            <w:shd w:val="clear" w:color="auto" w:fill="E6E6E6"/>
            <w:noWrap/>
            <w:vAlign w:val="center"/>
            <w:hideMark/>
          </w:tcPr>
          <w:p w14:paraId="72AEDD85" w14:textId="3D9495D7" w:rsidR="000A621B" w:rsidRPr="005A52B1" w:rsidRDefault="000A621B" w:rsidP="006D4F01">
            <w:pPr>
              <w:jc w:val="center"/>
              <w:rPr>
                <w:rFonts w:cstheme="minorHAnsi"/>
                <w:b/>
                <w:bCs/>
              </w:rPr>
            </w:pPr>
            <w:r w:rsidRPr="005A52B1">
              <w:rPr>
                <w:rFonts w:cstheme="minorHAnsi"/>
                <w:b/>
                <w:bCs/>
              </w:rPr>
              <w:t>Počet kontrol</w:t>
            </w:r>
          </w:p>
        </w:tc>
        <w:tc>
          <w:tcPr>
            <w:tcW w:w="1696" w:type="pct"/>
            <w:shd w:val="clear" w:color="auto" w:fill="E6E6E6"/>
            <w:noWrap/>
            <w:vAlign w:val="center"/>
            <w:hideMark/>
          </w:tcPr>
          <w:p w14:paraId="39752AC8" w14:textId="77777777" w:rsidR="000A621B" w:rsidRPr="005A52B1" w:rsidRDefault="000A621B" w:rsidP="006D4F01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Počet z</w:t>
            </w:r>
            <w:r w:rsidRPr="005A52B1">
              <w:rPr>
                <w:rFonts w:cstheme="minorHAnsi"/>
                <w:b/>
                <w:bCs/>
              </w:rPr>
              <w:t>jištěn</w:t>
            </w:r>
            <w:r>
              <w:rPr>
                <w:rFonts w:cstheme="minorHAnsi"/>
                <w:b/>
                <w:bCs/>
              </w:rPr>
              <w:t>ých</w:t>
            </w:r>
            <w:r w:rsidRPr="005A52B1">
              <w:rPr>
                <w:rFonts w:cstheme="minorHAnsi"/>
                <w:b/>
                <w:bCs/>
              </w:rPr>
              <w:t xml:space="preserve"> nesrovnalosti</w:t>
            </w:r>
          </w:p>
        </w:tc>
        <w:tc>
          <w:tcPr>
            <w:tcW w:w="1611" w:type="pct"/>
            <w:shd w:val="clear" w:color="auto" w:fill="E6E6E6"/>
            <w:noWrap/>
            <w:vAlign w:val="center"/>
            <w:hideMark/>
          </w:tcPr>
          <w:p w14:paraId="5EF7110C" w14:textId="77777777" w:rsidR="000A621B" w:rsidRPr="005A52B1" w:rsidRDefault="000A621B" w:rsidP="006D4F01">
            <w:pPr>
              <w:jc w:val="center"/>
              <w:rPr>
                <w:rFonts w:cstheme="minorHAnsi"/>
                <w:b/>
                <w:bCs/>
              </w:rPr>
            </w:pPr>
            <w:r w:rsidRPr="005A52B1">
              <w:rPr>
                <w:rFonts w:cstheme="minorHAnsi"/>
                <w:b/>
                <w:bCs/>
              </w:rPr>
              <w:t>% zjištěných nesrovnalostí</w:t>
            </w:r>
          </w:p>
        </w:tc>
      </w:tr>
      <w:tr w:rsidR="000A621B" w:rsidRPr="005A52B1" w14:paraId="6EDE9169" w14:textId="77777777" w:rsidTr="00F16B71">
        <w:trPr>
          <w:trHeight w:val="300"/>
        </w:trPr>
        <w:tc>
          <w:tcPr>
            <w:tcW w:w="591" w:type="pct"/>
            <w:noWrap/>
            <w:vAlign w:val="center"/>
            <w:hideMark/>
          </w:tcPr>
          <w:p w14:paraId="450F609E" w14:textId="77777777" w:rsidR="000A621B" w:rsidRPr="005A52B1" w:rsidRDefault="000A621B" w:rsidP="00F16B71">
            <w:pPr>
              <w:rPr>
                <w:rFonts w:cstheme="minorHAnsi"/>
              </w:rPr>
            </w:pPr>
            <w:r w:rsidRPr="005A52B1">
              <w:rPr>
                <w:rFonts w:cstheme="minorHAnsi"/>
              </w:rPr>
              <w:t>2021</w:t>
            </w:r>
          </w:p>
        </w:tc>
        <w:tc>
          <w:tcPr>
            <w:tcW w:w="1102" w:type="pct"/>
            <w:noWrap/>
            <w:vAlign w:val="center"/>
            <w:hideMark/>
          </w:tcPr>
          <w:p w14:paraId="79FA70C0" w14:textId="0845290F" w:rsidR="000A621B" w:rsidRPr="005A52B1" w:rsidRDefault="006D4F01" w:rsidP="006D4F0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</w:p>
        </w:tc>
        <w:tc>
          <w:tcPr>
            <w:tcW w:w="1696" w:type="pct"/>
            <w:noWrap/>
            <w:vAlign w:val="center"/>
            <w:hideMark/>
          </w:tcPr>
          <w:p w14:paraId="17C47069" w14:textId="6044D0A8" w:rsidR="000A621B" w:rsidRPr="005A52B1" w:rsidRDefault="006D4F01" w:rsidP="006D4F0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</w:p>
        </w:tc>
        <w:tc>
          <w:tcPr>
            <w:tcW w:w="1611" w:type="pct"/>
            <w:noWrap/>
            <w:vAlign w:val="center"/>
            <w:hideMark/>
          </w:tcPr>
          <w:p w14:paraId="66192CF5" w14:textId="4B059D50" w:rsidR="000A621B" w:rsidRPr="005A52B1" w:rsidRDefault="006D4F01" w:rsidP="006D4F0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</w:p>
        </w:tc>
      </w:tr>
      <w:tr w:rsidR="000A621B" w:rsidRPr="005A52B1" w14:paraId="3593A45C" w14:textId="77777777" w:rsidTr="00F16B71">
        <w:trPr>
          <w:trHeight w:val="300"/>
        </w:trPr>
        <w:tc>
          <w:tcPr>
            <w:tcW w:w="591" w:type="pct"/>
            <w:noWrap/>
            <w:vAlign w:val="center"/>
            <w:hideMark/>
          </w:tcPr>
          <w:p w14:paraId="6B7D6440" w14:textId="77777777" w:rsidR="000A621B" w:rsidRPr="005A52B1" w:rsidRDefault="000A621B" w:rsidP="00F16B71">
            <w:pPr>
              <w:rPr>
                <w:rFonts w:cstheme="minorHAnsi"/>
              </w:rPr>
            </w:pPr>
            <w:r w:rsidRPr="005A52B1">
              <w:rPr>
                <w:rFonts w:cstheme="minorHAnsi"/>
              </w:rPr>
              <w:t>2022</w:t>
            </w:r>
          </w:p>
        </w:tc>
        <w:tc>
          <w:tcPr>
            <w:tcW w:w="1102" w:type="pct"/>
            <w:noWrap/>
            <w:vAlign w:val="center"/>
            <w:hideMark/>
          </w:tcPr>
          <w:p w14:paraId="447BD5DF" w14:textId="77777777" w:rsidR="000A621B" w:rsidRPr="005A52B1" w:rsidRDefault="000A621B" w:rsidP="006D4F01">
            <w:pPr>
              <w:jc w:val="right"/>
              <w:rPr>
                <w:rFonts w:cstheme="minorHAnsi"/>
              </w:rPr>
            </w:pPr>
            <w:r w:rsidRPr="005A52B1">
              <w:rPr>
                <w:rFonts w:cstheme="minorHAnsi"/>
              </w:rPr>
              <w:t>48</w:t>
            </w:r>
          </w:p>
        </w:tc>
        <w:tc>
          <w:tcPr>
            <w:tcW w:w="1696" w:type="pct"/>
            <w:noWrap/>
            <w:vAlign w:val="center"/>
            <w:hideMark/>
          </w:tcPr>
          <w:p w14:paraId="5DC8B822" w14:textId="77777777" w:rsidR="000A621B" w:rsidRPr="005A52B1" w:rsidRDefault="000A621B" w:rsidP="006D4F01">
            <w:pPr>
              <w:jc w:val="right"/>
              <w:rPr>
                <w:rFonts w:cstheme="minorHAnsi"/>
              </w:rPr>
            </w:pPr>
            <w:r w:rsidRPr="005A52B1">
              <w:rPr>
                <w:rFonts w:cstheme="minorHAnsi"/>
              </w:rPr>
              <w:t>24</w:t>
            </w:r>
          </w:p>
        </w:tc>
        <w:tc>
          <w:tcPr>
            <w:tcW w:w="1611" w:type="pct"/>
            <w:noWrap/>
            <w:vAlign w:val="center"/>
            <w:hideMark/>
          </w:tcPr>
          <w:p w14:paraId="784CCE4F" w14:textId="77777777" w:rsidR="000A621B" w:rsidRPr="005A52B1" w:rsidRDefault="000A621B" w:rsidP="006D4F01">
            <w:pPr>
              <w:jc w:val="right"/>
              <w:rPr>
                <w:rFonts w:cstheme="minorHAnsi"/>
              </w:rPr>
            </w:pPr>
            <w:r w:rsidRPr="005A52B1">
              <w:rPr>
                <w:rFonts w:cstheme="minorHAnsi"/>
              </w:rPr>
              <w:t>50</w:t>
            </w:r>
            <w:r>
              <w:rPr>
                <w:rFonts w:cstheme="minorHAnsi"/>
              </w:rPr>
              <w:t>,00</w:t>
            </w:r>
          </w:p>
        </w:tc>
      </w:tr>
      <w:tr w:rsidR="000A621B" w:rsidRPr="005A52B1" w14:paraId="5F25B6E5" w14:textId="77777777" w:rsidTr="00F16B71">
        <w:trPr>
          <w:trHeight w:val="300"/>
        </w:trPr>
        <w:tc>
          <w:tcPr>
            <w:tcW w:w="591" w:type="pct"/>
            <w:noWrap/>
            <w:vAlign w:val="center"/>
            <w:hideMark/>
          </w:tcPr>
          <w:p w14:paraId="7C153A68" w14:textId="77777777" w:rsidR="000A621B" w:rsidRPr="005A52B1" w:rsidRDefault="000A621B" w:rsidP="00F16B71">
            <w:pPr>
              <w:rPr>
                <w:rFonts w:cstheme="minorHAnsi"/>
              </w:rPr>
            </w:pPr>
            <w:r w:rsidRPr="005A52B1">
              <w:rPr>
                <w:rFonts w:cstheme="minorHAnsi"/>
              </w:rPr>
              <w:t>2023</w:t>
            </w:r>
          </w:p>
        </w:tc>
        <w:tc>
          <w:tcPr>
            <w:tcW w:w="1102" w:type="pct"/>
            <w:noWrap/>
            <w:vAlign w:val="center"/>
            <w:hideMark/>
          </w:tcPr>
          <w:p w14:paraId="556E9194" w14:textId="77777777" w:rsidR="000A621B" w:rsidRPr="005A52B1" w:rsidRDefault="000A621B" w:rsidP="006D4F01">
            <w:pPr>
              <w:jc w:val="right"/>
              <w:rPr>
                <w:rFonts w:cstheme="minorHAnsi"/>
              </w:rPr>
            </w:pPr>
            <w:r w:rsidRPr="005A52B1">
              <w:rPr>
                <w:rFonts w:cstheme="minorHAnsi"/>
              </w:rPr>
              <w:t>228</w:t>
            </w:r>
          </w:p>
        </w:tc>
        <w:tc>
          <w:tcPr>
            <w:tcW w:w="1696" w:type="pct"/>
            <w:noWrap/>
            <w:vAlign w:val="center"/>
            <w:hideMark/>
          </w:tcPr>
          <w:p w14:paraId="0DD3C6E4" w14:textId="77777777" w:rsidR="000A621B" w:rsidRPr="005A52B1" w:rsidRDefault="000A621B" w:rsidP="006D4F01">
            <w:pPr>
              <w:jc w:val="right"/>
              <w:rPr>
                <w:rFonts w:cstheme="minorHAnsi"/>
              </w:rPr>
            </w:pPr>
            <w:r w:rsidRPr="005A52B1">
              <w:rPr>
                <w:rFonts w:cstheme="minorHAnsi"/>
              </w:rPr>
              <w:t>144</w:t>
            </w:r>
          </w:p>
        </w:tc>
        <w:tc>
          <w:tcPr>
            <w:tcW w:w="1611" w:type="pct"/>
            <w:noWrap/>
            <w:vAlign w:val="center"/>
            <w:hideMark/>
          </w:tcPr>
          <w:p w14:paraId="1081D06E" w14:textId="77777777" w:rsidR="000A621B" w:rsidRPr="005A52B1" w:rsidRDefault="000A621B" w:rsidP="006D4F01">
            <w:pPr>
              <w:jc w:val="right"/>
              <w:rPr>
                <w:rFonts w:cstheme="minorHAnsi"/>
              </w:rPr>
            </w:pPr>
            <w:r w:rsidRPr="005A52B1">
              <w:rPr>
                <w:rFonts w:cstheme="minorHAnsi"/>
              </w:rPr>
              <w:t>63,16</w:t>
            </w:r>
          </w:p>
        </w:tc>
      </w:tr>
      <w:tr w:rsidR="000A621B" w:rsidRPr="005A52B1" w14:paraId="7C7AA45B" w14:textId="77777777" w:rsidTr="00F16B71">
        <w:trPr>
          <w:trHeight w:val="300"/>
        </w:trPr>
        <w:tc>
          <w:tcPr>
            <w:tcW w:w="591" w:type="pct"/>
            <w:noWrap/>
            <w:vAlign w:val="center"/>
            <w:hideMark/>
          </w:tcPr>
          <w:p w14:paraId="44E64C1A" w14:textId="77777777" w:rsidR="000A621B" w:rsidRPr="005A52B1" w:rsidRDefault="000A621B" w:rsidP="00F16B71">
            <w:pPr>
              <w:rPr>
                <w:rFonts w:cstheme="minorHAnsi"/>
              </w:rPr>
            </w:pPr>
            <w:r w:rsidRPr="005A52B1">
              <w:rPr>
                <w:rFonts w:cstheme="minorHAnsi"/>
              </w:rPr>
              <w:t>2024</w:t>
            </w:r>
          </w:p>
        </w:tc>
        <w:tc>
          <w:tcPr>
            <w:tcW w:w="1102" w:type="pct"/>
            <w:noWrap/>
            <w:vAlign w:val="center"/>
            <w:hideMark/>
          </w:tcPr>
          <w:p w14:paraId="52026446" w14:textId="77777777" w:rsidR="000A621B" w:rsidRPr="005A52B1" w:rsidRDefault="000A621B" w:rsidP="006D4F01">
            <w:pPr>
              <w:jc w:val="right"/>
              <w:rPr>
                <w:rFonts w:cstheme="minorHAnsi"/>
              </w:rPr>
            </w:pPr>
            <w:r w:rsidRPr="005A52B1">
              <w:rPr>
                <w:rFonts w:cstheme="minorHAnsi"/>
              </w:rPr>
              <w:t>585</w:t>
            </w:r>
          </w:p>
        </w:tc>
        <w:tc>
          <w:tcPr>
            <w:tcW w:w="1696" w:type="pct"/>
            <w:noWrap/>
            <w:vAlign w:val="center"/>
            <w:hideMark/>
          </w:tcPr>
          <w:p w14:paraId="40CDC1AC" w14:textId="77777777" w:rsidR="000A621B" w:rsidRPr="005A52B1" w:rsidRDefault="000A621B" w:rsidP="006D4F01">
            <w:pPr>
              <w:jc w:val="right"/>
              <w:rPr>
                <w:rFonts w:cstheme="minorHAnsi"/>
              </w:rPr>
            </w:pPr>
            <w:r w:rsidRPr="005A52B1">
              <w:rPr>
                <w:rFonts w:cstheme="minorHAnsi"/>
              </w:rPr>
              <w:t>357</w:t>
            </w:r>
          </w:p>
        </w:tc>
        <w:tc>
          <w:tcPr>
            <w:tcW w:w="1611" w:type="pct"/>
            <w:noWrap/>
            <w:vAlign w:val="center"/>
            <w:hideMark/>
          </w:tcPr>
          <w:p w14:paraId="308BC112" w14:textId="77777777" w:rsidR="000A621B" w:rsidRPr="005A52B1" w:rsidRDefault="000A621B" w:rsidP="006D4F01">
            <w:pPr>
              <w:jc w:val="right"/>
              <w:rPr>
                <w:rFonts w:cstheme="minorHAnsi"/>
              </w:rPr>
            </w:pPr>
            <w:r w:rsidRPr="005A52B1">
              <w:rPr>
                <w:rFonts w:cstheme="minorHAnsi"/>
              </w:rPr>
              <w:t>61,03</w:t>
            </w:r>
          </w:p>
        </w:tc>
      </w:tr>
      <w:tr w:rsidR="00237DC2" w:rsidRPr="005A52B1" w14:paraId="58D05320" w14:textId="77777777" w:rsidTr="00F16B71">
        <w:trPr>
          <w:trHeight w:val="454"/>
        </w:trPr>
        <w:tc>
          <w:tcPr>
            <w:tcW w:w="591" w:type="pct"/>
            <w:shd w:val="clear" w:color="auto" w:fill="EDD4D9"/>
            <w:noWrap/>
            <w:vAlign w:val="center"/>
          </w:tcPr>
          <w:p w14:paraId="1F8FF438" w14:textId="3E037B21" w:rsidR="00237DC2" w:rsidRPr="00313E6C" w:rsidRDefault="00237DC2" w:rsidP="00F16B71">
            <w:pPr>
              <w:rPr>
                <w:rFonts w:cstheme="minorHAnsi"/>
                <w:b/>
                <w:bCs/>
              </w:rPr>
            </w:pPr>
            <w:r w:rsidRPr="00313E6C">
              <w:rPr>
                <w:rFonts w:cstheme="minorHAnsi"/>
                <w:b/>
                <w:bCs/>
              </w:rPr>
              <w:t>Celkem</w:t>
            </w:r>
          </w:p>
        </w:tc>
        <w:tc>
          <w:tcPr>
            <w:tcW w:w="1102" w:type="pct"/>
            <w:shd w:val="clear" w:color="auto" w:fill="EDD4D9"/>
            <w:noWrap/>
            <w:vAlign w:val="center"/>
          </w:tcPr>
          <w:p w14:paraId="7098D225" w14:textId="35AAD66A" w:rsidR="00237DC2" w:rsidRPr="00313E6C" w:rsidRDefault="00237DC2" w:rsidP="006D4F01">
            <w:pPr>
              <w:jc w:val="right"/>
              <w:rPr>
                <w:rFonts w:cstheme="minorHAnsi"/>
                <w:b/>
                <w:bCs/>
              </w:rPr>
            </w:pPr>
            <w:r w:rsidRPr="00313E6C">
              <w:rPr>
                <w:rFonts w:cstheme="minorHAnsi"/>
                <w:b/>
                <w:bCs/>
              </w:rPr>
              <w:t>861</w:t>
            </w:r>
          </w:p>
        </w:tc>
        <w:tc>
          <w:tcPr>
            <w:tcW w:w="1696" w:type="pct"/>
            <w:shd w:val="clear" w:color="auto" w:fill="EDD4D9"/>
            <w:noWrap/>
            <w:vAlign w:val="center"/>
          </w:tcPr>
          <w:p w14:paraId="31C2D26C" w14:textId="7B114C27" w:rsidR="00237DC2" w:rsidRPr="00313E6C" w:rsidRDefault="00237DC2" w:rsidP="006D4F01">
            <w:pPr>
              <w:jc w:val="right"/>
              <w:rPr>
                <w:rFonts w:cstheme="minorHAnsi"/>
                <w:b/>
                <w:bCs/>
              </w:rPr>
            </w:pPr>
            <w:r w:rsidRPr="00313E6C">
              <w:rPr>
                <w:rFonts w:cstheme="minorHAnsi"/>
                <w:b/>
                <w:bCs/>
              </w:rPr>
              <w:t>525</w:t>
            </w:r>
          </w:p>
        </w:tc>
        <w:tc>
          <w:tcPr>
            <w:tcW w:w="1611" w:type="pct"/>
            <w:shd w:val="clear" w:color="auto" w:fill="EDD4D9"/>
            <w:noWrap/>
            <w:vAlign w:val="center"/>
          </w:tcPr>
          <w:p w14:paraId="1A0F522D" w14:textId="5EE28ED2" w:rsidR="00237DC2" w:rsidRPr="00313E6C" w:rsidRDefault="00237DC2" w:rsidP="006D4F01">
            <w:pPr>
              <w:jc w:val="right"/>
              <w:rPr>
                <w:rFonts w:cstheme="minorHAnsi"/>
                <w:b/>
                <w:bCs/>
              </w:rPr>
            </w:pPr>
            <w:r w:rsidRPr="00313E6C">
              <w:rPr>
                <w:rFonts w:cstheme="minorHAnsi"/>
                <w:b/>
                <w:bCs/>
              </w:rPr>
              <w:t>60,98</w:t>
            </w:r>
          </w:p>
        </w:tc>
      </w:tr>
    </w:tbl>
    <w:p w14:paraId="31E9D035" w14:textId="6CC12603" w:rsidR="00126C8D" w:rsidRPr="00126C8D" w:rsidRDefault="00126C8D" w:rsidP="003627B6">
      <w:pPr>
        <w:spacing w:after="0"/>
        <w:jc w:val="both"/>
        <w:rPr>
          <w:rFonts w:cstheme="minorHAnsi"/>
          <w:sz w:val="20"/>
          <w:szCs w:val="20"/>
        </w:rPr>
      </w:pPr>
      <w:r w:rsidRPr="00F16B71">
        <w:rPr>
          <w:rFonts w:cstheme="minorHAnsi"/>
          <w:b/>
          <w:bCs/>
          <w:sz w:val="20"/>
          <w:szCs w:val="20"/>
        </w:rPr>
        <w:t>Zdroj:</w:t>
      </w:r>
      <w:r w:rsidRPr="005A52B1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GŘC.</w:t>
      </w:r>
    </w:p>
    <w:p w14:paraId="207ADB44" w14:textId="77777777" w:rsidR="003627B6" w:rsidRDefault="003627B6" w:rsidP="000878FC">
      <w:pPr>
        <w:spacing w:after="0" w:line="240" w:lineRule="auto"/>
        <w:jc w:val="both"/>
        <w:rPr>
          <w:rFonts w:cstheme="minorHAnsi"/>
        </w:rPr>
      </w:pPr>
    </w:p>
    <w:p w14:paraId="4C28FC19" w14:textId="3170EF90" w:rsidR="000A621B" w:rsidRDefault="005475CB" w:rsidP="000878FC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NKÚ zjistil, že z</w:t>
      </w:r>
      <w:r w:rsidR="006B1E7E" w:rsidRPr="004A12C1">
        <w:rPr>
          <w:rFonts w:cstheme="minorHAnsi"/>
        </w:rPr>
        <w:t xml:space="preserve"> provedených kontrol byly u 525 zásilek a 2 125 položek identifikovány nesrovnalosti v deklarované hodnotě zboží</w:t>
      </w:r>
      <w:r w:rsidR="000878FC">
        <w:rPr>
          <w:rFonts w:cstheme="minorHAnsi"/>
        </w:rPr>
        <w:t>, tj. u 61 % zkontrolovaných zásilek.</w:t>
      </w:r>
      <w:r w:rsidR="006B1E7E" w:rsidRPr="004A12C1">
        <w:rPr>
          <w:rFonts w:cstheme="minorHAnsi"/>
        </w:rPr>
        <w:t xml:space="preserve"> </w:t>
      </w:r>
    </w:p>
    <w:p w14:paraId="1E77D6C4" w14:textId="77777777" w:rsidR="00A45600" w:rsidRDefault="00A45600" w:rsidP="000878FC">
      <w:pPr>
        <w:spacing w:after="0" w:line="240" w:lineRule="auto"/>
        <w:jc w:val="both"/>
        <w:rPr>
          <w:rFonts w:cstheme="minorHAnsi"/>
        </w:rPr>
      </w:pPr>
    </w:p>
    <w:p w14:paraId="5DD046A6" w14:textId="54A3378F" w:rsidR="00A45600" w:rsidRDefault="00A45600" w:rsidP="00A45600">
      <w:pPr>
        <w:spacing w:after="0" w:line="240" w:lineRule="auto"/>
        <w:jc w:val="both"/>
      </w:pPr>
      <w:r>
        <w:t>NKÚ zjistil, že v období 2021–2024 docházelo k podhodnocování zboží u zásilek nízké hodnoty s cílem dovozce nebo zprostředkovatele neoprávněně snížit základ pro vyměření cla a DPH</w:t>
      </w:r>
      <w:r w:rsidR="00906E3D">
        <w:t>.</w:t>
      </w:r>
      <w:r>
        <w:t xml:space="preserve"> Podhodnocování zboží </w:t>
      </w:r>
      <w:r w:rsidR="00814E9E">
        <w:t xml:space="preserve">spočívalo v </w:t>
      </w:r>
      <w:r>
        <w:t xml:space="preserve">uvádění nižší ceny zboží v přepravních dokumentech a na fakturách, než jaká byla ve skutečnosti zaplacena konečným příjemcem zboží. </w:t>
      </w:r>
    </w:p>
    <w:p w14:paraId="539A7144" w14:textId="0BDD844C" w:rsidR="00802216" w:rsidRDefault="00BF0F05" w:rsidP="006B1E7E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C11CF8" wp14:editId="2EB3A51F">
                <wp:simplePos x="0" y="0"/>
                <wp:positionH relativeFrom="column">
                  <wp:posOffset>-161925</wp:posOffset>
                </wp:positionH>
                <wp:positionV relativeFrom="paragraph">
                  <wp:posOffset>135255</wp:posOffset>
                </wp:positionV>
                <wp:extent cx="6083808" cy="1213104"/>
                <wp:effectExtent l="0" t="0" r="12700" b="25400"/>
                <wp:wrapNone/>
                <wp:docPr id="1477345563" name="Obdélník: se zakulacenými roh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3808" cy="1213104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1B3081" id="Obdélník: se zakulacenými rohy 5" o:spid="_x0000_s1026" style="position:absolute;margin-left:-12.75pt;margin-top:10.65pt;width:479.05pt;height:95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" filled="f" strokecolor="#030e13 [484]" strokeweight="1.5pt">
                <v:stroke joinstyle="miter"/>
              </v:roundrect>
            </w:pict>
          </mc:Fallback>
        </mc:AlternateContent>
      </w:r>
    </w:p>
    <w:p w14:paraId="5A077A80" w14:textId="574EB12A" w:rsidR="00802216" w:rsidRPr="00C21860" w:rsidRDefault="00802216" w:rsidP="006B1E7E">
      <w:pPr>
        <w:spacing w:after="0" w:line="240" w:lineRule="auto"/>
        <w:jc w:val="both"/>
        <w:rPr>
          <w:rFonts w:cstheme="minorHAnsi"/>
          <w:b/>
          <w:bCs/>
        </w:rPr>
      </w:pPr>
      <w:r w:rsidRPr="00C21860">
        <w:rPr>
          <w:rFonts w:cstheme="minorHAnsi"/>
          <w:b/>
          <w:bCs/>
        </w:rPr>
        <w:t xml:space="preserve">Příklad č. </w:t>
      </w:r>
      <w:r w:rsidR="00691861">
        <w:rPr>
          <w:rFonts w:cstheme="minorHAnsi"/>
          <w:b/>
          <w:bCs/>
        </w:rPr>
        <w:t>2</w:t>
      </w:r>
    </w:p>
    <w:p w14:paraId="7B1ABC4F" w14:textId="0D008D7E" w:rsidR="00C175DC" w:rsidRDefault="007A376B" w:rsidP="006B1E7E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Deklarant podal celní prohlášení na zboží v hodnotě 100 USD a celní úřad provedl fyzickou kontrolu, při které zjistil, že zásilka obsahuje zlaté nugety. Celková hodnota zásilky na základě kontroly CS ČR byla </w:t>
      </w:r>
      <w:r w:rsidR="00BF0F05">
        <w:rPr>
          <w:rFonts w:cstheme="minorHAnsi"/>
        </w:rPr>
        <w:t>určena</w:t>
      </w:r>
      <w:r>
        <w:rPr>
          <w:rFonts w:cstheme="minorHAnsi"/>
        </w:rPr>
        <w:t xml:space="preserve"> na 2 518,76 USD</w:t>
      </w:r>
      <w:r w:rsidR="00BF0F05">
        <w:rPr>
          <w:rFonts w:cstheme="minorHAnsi"/>
        </w:rPr>
        <w:t xml:space="preserve">, </w:t>
      </w:r>
      <w:r w:rsidR="006D4F01">
        <w:rPr>
          <w:rFonts w:cstheme="minorHAnsi"/>
        </w:rPr>
        <w:t xml:space="preserve">což </w:t>
      </w:r>
      <w:r w:rsidR="00BF0F05">
        <w:rPr>
          <w:rFonts w:cstheme="minorHAnsi"/>
        </w:rPr>
        <w:t xml:space="preserve">byla </w:t>
      </w:r>
      <w:r w:rsidR="006D4F01">
        <w:rPr>
          <w:rFonts w:cstheme="minorHAnsi"/>
        </w:rPr>
        <w:t xml:space="preserve">cena </w:t>
      </w:r>
      <w:r w:rsidR="00F37E81">
        <w:rPr>
          <w:rFonts w:cstheme="minorHAnsi"/>
        </w:rPr>
        <w:t>uhrazen</w:t>
      </w:r>
      <w:r w:rsidR="006D4F01">
        <w:rPr>
          <w:rFonts w:cstheme="minorHAnsi"/>
        </w:rPr>
        <w:t>á</w:t>
      </w:r>
      <w:r w:rsidR="00BF0F05">
        <w:rPr>
          <w:rFonts w:cstheme="minorHAnsi"/>
        </w:rPr>
        <w:t xml:space="preserve"> konečným příjemcem</w:t>
      </w:r>
      <w:r>
        <w:rPr>
          <w:rFonts w:cstheme="minorHAnsi"/>
        </w:rPr>
        <w:t xml:space="preserve">. Nejednalo se tedy o zboží nízké hodnoty do 150 </w:t>
      </w:r>
      <w:r w:rsidR="000878FC">
        <w:rPr>
          <w:rFonts w:cstheme="minorHAnsi"/>
        </w:rPr>
        <w:t>eur</w:t>
      </w:r>
      <w:r>
        <w:rPr>
          <w:rFonts w:cstheme="minorHAnsi"/>
        </w:rPr>
        <w:t>.</w:t>
      </w:r>
      <w:r w:rsidR="00BF0F05">
        <w:rPr>
          <w:rFonts w:cstheme="minorHAnsi"/>
        </w:rPr>
        <w:t xml:space="preserve"> Zboží nebylo propuštěno do volného oběhu na základě SRDS.</w:t>
      </w:r>
    </w:p>
    <w:p w14:paraId="39C4AC3E" w14:textId="77777777" w:rsidR="003627B6" w:rsidRDefault="003627B6" w:rsidP="00FA25F4">
      <w:pPr>
        <w:spacing w:after="120" w:line="240" w:lineRule="auto"/>
        <w:jc w:val="both"/>
        <w:rPr>
          <w:rFonts w:cstheme="minorHAnsi"/>
        </w:rPr>
      </w:pPr>
    </w:p>
    <w:p w14:paraId="5F00954F" w14:textId="6A962FB8" w:rsidR="007A376B" w:rsidRPr="00C21860" w:rsidRDefault="003627B6" w:rsidP="006B1E7E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8E59A2" wp14:editId="54372269">
                <wp:simplePos x="0" y="0"/>
                <wp:positionH relativeFrom="margin">
                  <wp:posOffset>-155575</wp:posOffset>
                </wp:positionH>
                <wp:positionV relativeFrom="paragraph">
                  <wp:posOffset>-33020</wp:posOffset>
                </wp:positionV>
                <wp:extent cx="6076800" cy="1206500"/>
                <wp:effectExtent l="0" t="0" r="19685" b="12700"/>
                <wp:wrapNone/>
                <wp:docPr id="1933157796" name="Obdélník: se zakulacenými roh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800" cy="12065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E62811A" id="Obdélník: se zakulacenými rohy 6" o:spid="_x0000_s1026" style="position:absolute;margin-left:-12.25pt;margin-top:-2.6pt;width:478.5pt;height:95pt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" filled="f" strokecolor="#030e13 [484]" strokeweight="1.5pt">
                <v:stroke joinstyle="miter"/>
                <w10:wrap anchorx="margin"/>
              </v:roundrect>
            </w:pict>
          </mc:Fallback>
        </mc:AlternateContent>
      </w:r>
      <w:r w:rsidR="007A376B" w:rsidRPr="00C21860">
        <w:rPr>
          <w:rFonts w:cstheme="minorHAnsi"/>
          <w:b/>
          <w:bCs/>
        </w:rPr>
        <w:t xml:space="preserve">Příklad č. </w:t>
      </w:r>
      <w:r w:rsidR="00691861">
        <w:rPr>
          <w:rFonts w:cstheme="minorHAnsi"/>
          <w:b/>
          <w:bCs/>
        </w:rPr>
        <w:t>3</w:t>
      </w:r>
    </w:p>
    <w:p w14:paraId="2C5DFD91" w14:textId="7797016E" w:rsidR="007A376B" w:rsidRDefault="007A376B" w:rsidP="006B1E7E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Deklarant podal celní prohlášení na zboží v hodnotě 45 USD s</w:t>
      </w:r>
      <w:r w:rsidR="000C0993">
        <w:rPr>
          <w:rFonts w:cstheme="minorHAnsi"/>
        </w:rPr>
        <w:t xml:space="preserve"> </w:t>
      </w:r>
      <w:r>
        <w:rPr>
          <w:rFonts w:cstheme="minorHAnsi"/>
        </w:rPr>
        <w:t xml:space="preserve">tím, že se jedná o vzorky dámských kabátů. Celní úřad fyzickou a dokladovou kontrolou zjistil, že pokud by se mělo jednat o vzorky, musely by být znehodnoceny, v opačném případě </w:t>
      </w:r>
      <w:r w:rsidR="006D4F01">
        <w:rPr>
          <w:rFonts w:cstheme="minorHAnsi"/>
        </w:rPr>
        <w:t>by hrozilo,</w:t>
      </w:r>
      <w:r>
        <w:rPr>
          <w:rFonts w:cstheme="minorHAnsi"/>
        </w:rPr>
        <w:t xml:space="preserve"> </w:t>
      </w:r>
      <w:r w:rsidR="006D4F01">
        <w:rPr>
          <w:rFonts w:cstheme="minorHAnsi"/>
        </w:rPr>
        <w:t xml:space="preserve">že bude </w:t>
      </w:r>
      <w:r>
        <w:rPr>
          <w:rFonts w:cstheme="minorHAnsi"/>
        </w:rPr>
        <w:t xml:space="preserve">zboží </w:t>
      </w:r>
      <w:r w:rsidR="000C0993">
        <w:rPr>
          <w:rFonts w:cstheme="minorHAnsi"/>
        </w:rPr>
        <w:t xml:space="preserve">prodáno </w:t>
      </w:r>
      <w:r>
        <w:rPr>
          <w:rFonts w:cstheme="minorHAnsi"/>
        </w:rPr>
        <w:t>za cenu vyšší</w:t>
      </w:r>
      <w:r w:rsidR="00BF0F05">
        <w:rPr>
          <w:rFonts w:cstheme="minorHAnsi"/>
        </w:rPr>
        <w:t>,</w:t>
      </w:r>
      <w:r>
        <w:rPr>
          <w:rFonts w:cstheme="minorHAnsi"/>
        </w:rPr>
        <w:t xml:space="preserve"> než </w:t>
      </w:r>
      <w:r w:rsidR="000C0993">
        <w:rPr>
          <w:rFonts w:cstheme="minorHAnsi"/>
        </w:rPr>
        <w:t xml:space="preserve">jaká </w:t>
      </w:r>
      <w:r>
        <w:rPr>
          <w:rFonts w:cstheme="minorHAnsi"/>
        </w:rPr>
        <w:t>byla deklarována. Deklarant odmítl zboží znehodnotit a</w:t>
      </w:r>
      <w:r w:rsidR="006D4F01">
        <w:rPr>
          <w:rFonts w:cstheme="minorHAnsi"/>
        </w:rPr>
        <w:t> </w:t>
      </w:r>
      <w:r>
        <w:rPr>
          <w:rFonts w:cstheme="minorHAnsi"/>
        </w:rPr>
        <w:t>požádal o</w:t>
      </w:r>
      <w:r w:rsidR="000C0993">
        <w:rPr>
          <w:rFonts w:cstheme="minorHAnsi"/>
        </w:rPr>
        <w:t> </w:t>
      </w:r>
      <w:r>
        <w:rPr>
          <w:rFonts w:cstheme="minorHAnsi"/>
        </w:rPr>
        <w:t xml:space="preserve">určení celní hodnoty doplňkovou metodou. </w:t>
      </w:r>
    </w:p>
    <w:p w14:paraId="16D5B3BF" w14:textId="77777777" w:rsidR="002E63E0" w:rsidRDefault="002E63E0" w:rsidP="006B1E7E">
      <w:pPr>
        <w:spacing w:after="0" w:line="240" w:lineRule="auto"/>
        <w:jc w:val="both"/>
        <w:rPr>
          <w:rFonts w:cstheme="minorHAnsi"/>
        </w:rPr>
      </w:pPr>
    </w:p>
    <w:p w14:paraId="0C53087F" w14:textId="1EC2228C" w:rsidR="00380EA4" w:rsidRDefault="00380EA4" w:rsidP="00A45600">
      <w:pPr>
        <w:spacing w:after="0" w:line="240" w:lineRule="auto"/>
        <w:jc w:val="both"/>
      </w:pPr>
      <w:r>
        <w:lastRenderedPageBreak/>
        <w:t xml:space="preserve">NKÚ </w:t>
      </w:r>
      <w:r w:rsidR="000C0993">
        <w:t>upozorňuje</w:t>
      </w:r>
      <w:r>
        <w:t xml:space="preserve">, že </w:t>
      </w:r>
      <w:r w:rsidR="00814E9E">
        <w:t xml:space="preserve">podhodnocení bylo zjištěno </w:t>
      </w:r>
      <w:r w:rsidR="002E63E0">
        <w:t>v cca</w:t>
      </w:r>
      <w:r w:rsidR="00814E9E">
        <w:t xml:space="preserve"> 6</w:t>
      </w:r>
      <w:r w:rsidR="002E63E0">
        <w:t>1</w:t>
      </w:r>
      <w:r w:rsidR="00814E9E">
        <w:t xml:space="preserve"> % kontrol CS ČR</w:t>
      </w:r>
      <w:r>
        <w:t>, tj. významnost rizika podhodnocení zásilky se kontrolami potvrdila. Nastavení kritérií rizikovosti v elektronickém sy</w:t>
      </w:r>
      <w:r w:rsidR="00BA0899">
        <w:t>s</w:t>
      </w:r>
      <w:r>
        <w:t>tému rizikových analýz však neodpovídal</w:t>
      </w:r>
      <w:r w:rsidR="002E63E0">
        <w:t>o</w:t>
      </w:r>
      <w:r>
        <w:t xml:space="preserve"> objemu zásilek v</w:t>
      </w:r>
      <w:r w:rsidR="000C0993">
        <w:t xml:space="preserve"> </w:t>
      </w:r>
      <w:r w:rsidR="00062232">
        <w:t xml:space="preserve">dovozním </w:t>
      </w:r>
      <w:r>
        <w:t>režimu</w:t>
      </w:r>
      <w:r w:rsidR="00A45600">
        <w:t xml:space="preserve">. </w:t>
      </w:r>
      <w:r>
        <w:t xml:space="preserve">Podíl zkontrolovaných </w:t>
      </w:r>
      <w:r w:rsidR="00CA7EA3">
        <w:t xml:space="preserve">zásilek </w:t>
      </w:r>
      <w:r>
        <w:t xml:space="preserve">nízké hodnoty na celkovém počtu </w:t>
      </w:r>
      <w:r w:rsidR="00CA7EA3">
        <w:t xml:space="preserve">zásilek </w:t>
      </w:r>
      <w:r w:rsidR="00A45600">
        <w:t>v</w:t>
      </w:r>
      <w:r w:rsidR="004D2316">
        <w:t xml:space="preserve"> </w:t>
      </w:r>
      <w:r w:rsidR="00062232">
        <w:t xml:space="preserve">dovozním </w:t>
      </w:r>
      <w:r w:rsidR="00A45600">
        <w:t xml:space="preserve">režimu </w:t>
      </w:r>
      <w:r>
        <w:t>činil cca</w:t>
      </w:r>
      <w:r w:rsidR="004D2316">
        <w:t> </w:t>
      </w:r>
      <w:r w:rsidR="00CA7EA3">
        <w:t>osm</w:t>
      </w:r>
      <w:r w:rsidR="00CA7EA3" w:rsidRPr="00CA7EA3">
        <w:t xml:space="preserve"> zásilek ze 100</w:t>
      </w:r>
      <w:r w:rsidR="00CA7EA3">
        <w:t> </w:t>
      </w:r>
      <w:r w:rsidR="00CA7EA3" w:rsidRPr="00CA7EA3">
        <w:t>000</w:t>
      </w:r>
      <w:r w:rsidR="00CA7EA3">
        <w:t xml:space="preserve"> </w:t>
      </w:r>
      <w:r w:rsidR="009A097E">
        <w:t>zásilek.</w:t>
      </w:r>
      <w:r>
        <w:t xml:space="preserve"> </w:t>
      </w:r>
    </w:p>
    <w:p w14:paraId="571215BD" w14:textId="77777777" w:rsidR="00380EA4" w:rsidRPr="00F16B71" w:rsidRDefault="00380EA4" w:rsidP="00D97D8A">
      <w:pPr>
        <w:spacing w:after="0" w:line="240" w:lineRule="auto"/>
        <w:jc w:val="both"/>
      </w:pPr>
    </w:p>
    <w:p w14:paraId="06A5059A" w14:textId="31147404" w:rsidR="002B377A" w:rsidRPr="00F16B71" w:rsidRDefault="000C0993" w:rsidP="00F16B71">
      <w:pPr>
        <w:spacing w:after="120" w:line="240" w:lineRule="auto"/>
        <w:ind w:left="284" w:hanging="284"/>
        <w:jc w:val="both"/>
        <w:rPr>
          <w:b/>
          <w:bCs/>
        </w:rPr>
      </w:pPr>
      <w:r>
        <w:rPr>
          <w:b/>
          <w:bCs/>
        </w:rPr>
        <w:t xml:space="preserve">5. </w:t>
      </w:r>
      <w:r>
        <w:rPr>
          <w:b/>
          <w:bCs/>
        </w:rPr>
        <w:tab/>
      </w:r>
      <w:r w:rsidR="002B377A" w:rsidRPr="00F16B71">
        <w:rPr>
          <w:b/>
          <w:bCs/>
        </w:rPr>
        <w:t xml:space="preserve">Výdaje CS ČR na správu DPH při dovozu zásilek nízké hodnoty byly vynaloženy se sníženou účelností </w:t>
      </w:r>
    </w:p>
    <w:p w14:paraId="390D4CA6" w14:textId="6ABDEA82" w:rsidR="0042094C" w:rsidRDefault="0042094C" w:rsidP="00F16B71">
      <w:pPr>
        <w:spacing w:after="0" w:line="240" w:lineRule="auto"/>
        <w:jc w:val="both"/>
        <w:rPr>
          <w:rFonts w:ascii="Calibri-Bold" w:hAnsi="Calibri-Bold" w:cs="Calibri-Bold"/>
          <w:kern w:val="0"/>
        </w:rPr>
      </w:pPr>
      <w:r w:rsidRPr="003432C9">
        <w:rPr>
          <w:rFonts w:ascii="Calibri-Bold" w:hAnsi="Calibri-Bold" w:cs="Calibri-Bold"/>
          <w:kern w:val="0"/>
        </w:rPr>
        <w:t>NKÚ zjistil, že GŘC v letech 2021–2024 vynaložilo na úprav</w:t>
      </w:r>
      <w:r w:rsidR="000C0993">
        <w:rPr>
          <w:rFonts w:ascii="Calibri-Bold" w:hAnsi="Calibri-Bold" w:cs="Calibri-Bold"/>
          <w:kern w:val="0"/>
        </w:rPr>
        <w:t>y</w:t>
      </w:r>
      <w:r w:rsidRPr="003432C9">
        <w:rPr>
          <w:rFonts w:ascii="Calibri-Bold" w:hAnsi="Calibri-Bold" w:cs="Calibri-Bold"/>
          <w:kern w:val="0"/>
        </w:rPr>
        <w:t xml:space="preserve"> a rozvoj informačních systémů v souvislosti se správou zásilek nízké hodnoty celkem 12 464 979 Kč. </w:t>
      </w:r>
    </w:p>
    <w:p w14:paraId="0CE0E9BA" w14:textId="77777777" w:rsidR="00745FC2" w:rsidRPr="003432C9" w:rsidRDefault="00745FC2" w:rsidP="00745FC2">
      <w:pPr>
        <w:spacing w:after="0" w:line="240" w:lineRule="auto"/>
        <w:rPr>
          <w:rFonts w:ascii="Calibri-Bold" w:hAnsi="Calibri-Bold" w:cs="Calibri-Bold"/>
          <w:kern w:val="0"/>
        </w:rPr>
      </w:pPr>
    </w:p>
    <w:p w14:paraId="7F4F7E31" w14:textId="534D23E5" w:rsidR="000E720B" w:rsidRDefault="000E720B" w:rsidP="001E5914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kern w:val="0"/>
        </w:rPr>
      </w:pPr>
      <w:r>
        <w:rPr>
          <w:rFonts w:ascii="Calibri-Bold" w:hAnsi="Calibri-Bold" w:cs="Calibri-Bold"/>
          <w:kern w:val="0"/>
        </w:rPr>
        <w:t>NKÚ provedl odhad vynaložených peněžních prostředků CS ČR</w:t>
      </w:r>
      <w:r w:rsidR="0008212A">
        <w:rPr>
          <w:rFonts w:ascii="Calibri-Bold" w:hAnsi="Calibri-Bold" w:cs="Calibri-Bold"/>
          <w:kern w:val="0"/>
        </w:rPr>
        <w:t xml:space="preserve"> </w:t>
      </w:r>
      <w:r>
        <w:rPr>
          <w:rFonts w:ascii="Calibri-Bold" w:hAnsi="Calibri-Bold" w:cs="Calibri-Bold"/>
          <w:kern w:val="0"/>
        </w:rPr>
        <w:t xml:space="preserve">v letech </w:t>
      </w:r>
      <w:r w:rsidR="0008212A">
        <w:rPr>
          <w:rFonts w:ascii="Calibri-Bold" w:hAnsi="Calibri-Bold" w:cs="Calibri-Bold"/>
          <w:kern w:val="0"/>
        </w:rPr>
        <w:t>2021–2024</w:t>
      </w:r>
      <w:r>
        <w:rPr>
          <w:rFonts w:ascii="Calibri-Bold" w:hAnsi="Calibri-Bold" w:cs="Calibri-Bold"/>
          <w:kern w:val="0"/>
        </w:rPr>
        <w:t xml:space="preserve"> na kontrolní činnost u zásilek nízké hodnoty (mimo letiště Mošnov)</w:t>
      </w:r>
      <w:r w:rsidR="000C0993">
        <w:rPr>
          <w:rFonts w:ascii="Calibri-Bold" w:hAnsi="Calibri-Bold" w:cs="Calibri-Bold"/>
          <w:kern w:val="0"/>
        </w:rPr>
        <w:t>,</w:t>
      </w:r>
      <w:r>
        <w:rPr>
          <w:rFonts w:ascii="Calibri-Bold" w:hAnsi="Calibri-Bold" w:cs="Calibri-Bold"/>
          <w:kern w:val="0"/>
        </w:rPr>
        <w:t xml:space="preserve"> </w:t>
      </w:r>
      <w:r w:rsidR="000C0993">
        <w:rPr>
          <w:rFonts w:ascii="Calibri-Bold" w:hAnsi="Calibri-Bold" w:cs="Calibri-Bold"/>
          <w:kern w:val="0"/>
        </w:rPr>
        <w:t>vycházel při tom</w:t>
      </w:r>
      <w:r>
        <w:rPr>
          <w:rFonts w:ascii="Calibri-Bold" w:hAnsi="Calibri-Bold" w:cs="Calibri-Bold"/>
          <w:kern w:val="0"/>
        </w:rPr>
        <w:t xml:space="preserve"> z počtu provedených kontrol</w:t>
      </w:r>
      <w:r w:rsidR="000C0993">
        <w:rPr>
          <w:rFonts w:ascii="Calibri-Bold" w:hAnsi="Calibri-Bold" w:cs="Calibri-Bold"/>
          <w:kern w:val="0"/>
        </w:rPr>
        <w:t>,</w:t>
      </w:r>
      <w:r>
        <w:rPr>
          <w:rFonts w:ascii="Calibri-Bold" w:hAnsi="Calibri-Bold" w:cs="Calibri-Bold"/>
          <w:kern w:val="0"/>
        </w:rPr>
        <w:t xml:space="preserve"> </w:t>
      </w:r>
      <w:r w:rsidR="000C0993">
        <w:rPr>
          <w:rFonts w:ascii="Calibri-Bold" w:hAnsi="Calibri-Bold" w:cs="Calibri-Bold"/>
          <w:kern w:val="0"/>
        </w:rPr>
        <w:t>z</w:t>
      </w:r>
      <w:r w:rsidR="006B3D24">
        <w:rPr>
          <w:rFonts w:ascii="Calibri-Bold" w:hAnsi="Calibri-Bold" w:cs="Calibri-Bold"/>
          <w:kern w:val="0"/>
        </w:rPr>
        <w:t> </w:t>
      </w:r>
      <w:r w:rsidR="000C0993">
        <w:rPr>
          <w:rFonts w:ascii="Calibri-Bold" w:hAnsi="Calibri-Bold" w:cs="Calibri-Bold"/>
          <w:kern w:val="0"/>
        </w:rPr>
        <w:t>předpokladu</w:t>
      </w:r>
      <w:r w:rsidR="006B3D24">
        <w:rPr>
          <w:rFonts w:ascii="Calibri-Bold" w:hAnsi="Calibri-Bold" w:cs="Calibri-Bold"/>
          <w:kern w:val="0"/>
        </w:rPr>
        <w:t xml:space="preserve"> výkonu pracovní činnosti</w:t>
      </w:r>
      <w:r>
        <w:rPr>
          <w:rFonts w:ascii="Calibri-Bold" w:hAnsi="Calibri-Bold" w:cs="Calibri-Bold"/>
          <w:kern w:val="0"/>
        </w:rPr>
        <w:t xml:space="preserve"> dvou zaměstnanců CS ČR v délce čtyř hodin na jednu kontrolu a </w:t>
      </w:r>
      <w:r w:rsidR="006B3D24">
        <w:rPr>
          <w:rFonts w:ascii="Calibri-Bold" w:hAnsi="Calibri-Bold" w:cs="Calibri-Bold"/>
          <w:kern w:val="0"/>
        </w:rPr>
        <w:t xml:space="preserve">z </w:t>
      </w:r>
      <w:r>
        <w:rPr>
          <w:rFonts w:ascii="Calibri-Bold" w:hAnsi="Calibri-Bold" w:cs="Calibri-Bold"/>
          <w:kern w:val="0"/>
        </w:rPr>
        <w:t>průměrné</w:t>
      </w:r>
      <w:r w:rsidR="00AE0CD1">
        <w:rPr>
          <w:rFonts w:ascii="Calibri-Bold" w:hAnsi="Calibri-Bold" w:cs="Calibri-Bold"/>
          <w:kern w:val="0"/>
        </w:rPr>
        <w:t>ho platu</w:t>
      </w:r>
      <w:r>
        <w:rPr>
          <w:rFonts w:ascii="Calibri-Bold" w:hAnsi="Calibri-Bold" w:cs="Calibri-Bold"/>
          <w:kern w:val="0"/>
        </w:rPr>
        <w:t xml:space="preserve"> na jednu kontrolu v tomto období ve výši 3 075</w:t>
      </w:r>
      <w:r w:rsidR="009810E4">
        <w:rPr>
          <w:rFonts w:ascii="Calibri-Bold" w:hAnsi="Calibri-Bold" w:cs="Calibri-Bold"/>
          <w:kern w:val="0"/>
        </w:rPr>
        <w:t> </w:t>
      </w:r>
      <w:r>
        <w:rPr>
          <w:rFonts w:ascii="Calibri-Bold" w:hAnsi="Calibri-Bold" w:cs="Calibri-Bold"/>
          <w:kern w:val="0"/>
        </w:rPr>
        <w:t>Kč. Odhadované výdaje na kontrolní činnost činily 42 478 050 Kč.</w:t>
      </w:r>
    </w:p>
    <w:p w14:paraId="1F6DB704" w14:textId="77777777" w:rsidR="0008233C" w:rsidRDefault="0008233C" w:rsidP="001E5914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kern w:val="0"/>
        </w:rPr>
      </w:pPr>
    </w:p>
    <w:p w14:paraId="2053865B" w14:textId="35D22D5D" w:rsidR="0042094C" w:rsidRDefault="006B3D24" w:rsidP="001E5914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kern w:val="0"/>
        </w:rPr>
      </w:pPr>
      <w:r>
        <w:rPr>
          <w:rFonts w:ascii="Calibri-Bold" w:hAnsi="Calibri-Bold" w:cs="Calibri-Bold"/>
          <w:kern w:val="0"/>
        </w:rPr>
        <w:t>Dále byl</w:t>
      </w:r>
      <w:r w:rsidR="000E720B">
        <w:rPr>
          <w:rFonts w:ascii="Calibri-Bold" w:hAnsi="Calibri-Bold" w:cs="Calibri-Bold"/>
          <w:kern w:val="0"/>
        </w:rPr>
        <w:t xml:space="preserve"> proved</w:t>
      </w:r>
      <w:r>
        <w:rPr>
          <w:rFonts w:ascii="Calibri-Bold" w:hAnsi="Calibri-Bold" w:cs="Calibri-Bold"/>
          <w:kern w:val="0"/>
        </w:rPr>
        <w:t>en</w:t>
      </w:r>
      <w:r w:rsidR="000E720B">
        <w:rPr>
          <w:rFonts w:ascii="Calibri-Bold" w:hAnsi="Calibri-Bold" w:cs="Calibri-Bold"/>
          <w:kern w:val="0"/>
        </w:rPr>
        <w:t xml:space="preserve"> odhad vynaložených peněžních prostředků v roce 2024 na kontrolní činnost u zásilek nízké hodnoty na letišti Mošnov. NKÚ odhadl </w:t>
      </w:r>
      <w:r>
        <w:rPr>
          <w:rFonts w:ascii="Calibri-Bold" w:hAnsi="Calibri-Bold" w:cs="Calibri-Bold"/>
          <w:kern w:val="0"/>
        </w:rPr>
        <w:t>objem</w:t>
      </w:r>
      <w:r w:rsidR="000E720B">
        <w:rPr>
          <w:rFonts w:ascii="Calibri-Bold" w:hAnsi="Calibri-Bold" w:cs="Calibri-Bold"/>
          <w:kern w:val="0"/>
        </w:rPr>
        <w:t xml:space="preserve"> těchto výdajů </w:t>
      </w:r>
      <w:r>
        <w:rPr>
          <w:rFonts w:ascii="Calibri-Bold" w:hAnsi="Calibri-Bold" w:cs="Calibri-Bold"/>
          <w:kern w:val="0"/>
        </w:rPr>
        <w:t>na základě</w:t>
      </w:r>
      <w:r w:rsidR="000E720B">
        <w:rPr>
          <w:rFonts w:ascii="Calibri-Bold" w:hAnsi="Calibri-Bold" w:cs="Calibri-Bold"/>
          <w:kern w:val="0"/>
        </w:rPr>
        <w:t xml:space="preserve"> </w:t>
      </w:r>
      <w:r>
        <w:rPr>
          <w:rFonts w:ascii="Calibri-Bold" w:hAnsi="Calibri-Bold" w:cs="Calibri-Bold"/>
          <w:kern w:val="0"/>
        </w:rPr>
        <w:t xml:space="preserve">předpokladu výkonu pracovní činnosti </w:t>
      </w:r>
      <w:r w:rsidR="000E720B">
        <w:rPr>
          <w:rFonts w:ascii="Calibri-Bold" w:hAnsi="Calibri-Bold" w:cs="Calibri-Bold"/>
          <w:kern w:val="0"/>
        </w:rPr>
        <w:t xml:space="preserve">jednoho zaměstnance </w:t>
      </w:r>
      <w:r>
        <w:rPr>
          <w:rFonts w:ascii="Calibri-Bold" w:hAnsi="Calibri-Bold" w:cs="Calibri-Bold"/>
          <w:kern w:val="0"/>
        </w:rPr>
        <w:t xml:space="preserve">v délce pěti minut </w:t>
      </w:r>
      <w:r w:rsidR="000E720B">
        <w:rPr>
          <w:rFonts w:ascii="Calibri-Bold" w:hAnsi="Calibri-Bold" w:cs="Calibri-Bold"/>
          <w:kern w:val="0"/>
        </w:rPr>
        <w:t xml:space="preserve">na provedení </w:t>
      </w:r>
      <w:r>
        <w:rPr>
          <w:rFonts w:ascii="Calibri-Bold" w:hAnsi="Calibri-Bold" w:cs="Calibri-Bold"/>
          <w:kern w:val="0"/>
        </w:rPr>
        <w:t xml:space="preserve">jedné </w:t>
      </w:r>
      <w:r w:rsidR="000E720B">
        <w:rPr>
          <w:rFonts w:ascii="Calibri-Bold" w:hAnsi="Calibri-Bold" w:cs="Calibri-Bold"/>
          <w:kern w:val="0"/>
        </w:rPr>
        <w:t xml:space="preserve">kontroly a </w:t>
      </w:r>
      <w:r>
        <w:rPr>
          <w:rFonts w:ascii="Calibri-Bold" w:hAnsi="Calibri-Bold" w:cs="Calibri-Bold"/>
          <w:kern w:val="0"/>
        </w:rPr>
        <w:t>na základě hodnoty</w:t>
      </w:r>
      <w:r w:rsidR="000836B6">
        <w:rPr>
          <w:rFonts w:ascii="Calibri-Bold" w:hAnsi="Calibri-Bold" w:cs="Calibri-Bold"/>
          <w:kern w:val="0"/>
        </w:rPr>
        <w:t xml:space="preserve"> průměrné</w:t>
      </w:r>
      <w:r w:rsidR="00AE0CD1">
        <w:rPr>
          <w:rFonts w:ascii="Calibri-Bold" w:hAnsi="Calibri-Bold" w:cs="Calibri-Bold"/>
          <w:kern w:val="0"/>
        </w:rPr>
        <w:t>ho</w:t>
      </w:r>
      <w:r w:rsidR="000E720B">
        <w:rPr>
          <w:rFonts w:ascii="Calibri-Bold" w:hAnsi="Calibri-Bold" w:cs="Calibri-Bold"/>
          <w:kern w:val="0"/>
        </w:rPr>
        <w:t xml:space="preserve"> </w:t>
      </w:r>
      <w:r w:rsidR="00AE0CD1">
        <w:rPr>
          <w:rFonts w:ascii="Calibri-Bold" w:hAnsi="Calibri-Bold" w:cs="Calibri-Bold"/>
          <w:kern w:val="0"/>
        </w:rPr>
        <w:t>platu</w:t>
      </w:r>
      <w:r w:rsidR="000E720B">
        <w:rPr>
          <w:rFonts w:ascii="Calibri-Bold" w:hAnsi="Calibri-Bold" w:cs="Calibri-Bold"/>
          <w:kern w:val="0"/>
        </w:rPr>
        <w:t xml:space="preserve"> </w:t>
      </w:r>
      <w:r w:rsidR="000836B6">
        <w:rPr>
          <w:rFonts w:ascii="Calibri-Bold" w:hAnsi="Calibri-Bold" w:cs="Calibri-Bold"/>
          <w:kern w:val="0"/>
        </w:rPr>
        <w:t xml:space="preserve">v roce 2024 </w:t>
      </w:r>
      <w:r w:rsidR="000E720B">
        <w:rPr>
          <w:rFonts w:ascii="Calibri-Bold" w:hAnsi="Calibri-Bold" w:cs="Calibri-Bold"/>
          <w:kern w:val="0"/>
        </w:rPr>
        <w:t>ve výši 416,90 Kč</w:t>
      </w:r>
      <w:r w:rsidR="0072508C">
        <w:rPr>
          <w:rFonts w:ascii="Calibri-Bold" w:hAnsi="Calibri-Bold" w:cs="Calibri-Bold"/>
          <w:kern w:val="0"/>
        </w:rPr>
        <w:t>/hod</w:t>
      </w:r>
      <w:r w:rsidR="000E720B">
        <w:rPr>
          <w:rFonts w:ascii="Calibri-Bold" w:hAnsi="Calibri-Bold" w:cs="Calibri-Bold"/>
          <w:kern w:val="0"/>
        </w:rPr>
        <w:t>. Celkové odhadované výdaje na kontrolní činnost na letišti Mošnov v</w:t>
      </w:r>
      <w:r>
        <w:rPr>
          <w:rFonts w:ascii="Calibri-Bold" w:hAnsi="Calibri-Bold" w:cs="Calibri-Bold"/>
          <w:kern w:val="0"/>
        </w:rPr>
        <w:t xml:space="preserve"> </w:t>
      </w:r>
      <w:r w:rsidR="000E720B">
        <w:rPr>
          <w:rFonts w:ascii="Calibri-Bold" w:hAnsi="Calibri-Bold" w:cs="Calibri-Bold"/>
          <w:kern w:val="0"/>
        </w:rPr>
        <w:t>roce 2024 činily 807 694</w:t>
      </w:r>
      <w:r>
        <w:rPr>
          <w:rFonts w:ascii="Calibri-Bold" w:hAnsi="Calibri-Bold" w:cs="Calibri-Bold"/>
          <w:kern w:val="0"/>
        </w:rPr>
        <w:t> </w:t>
      </w:r>
      <w:r w:rsidR="000E720B">
        <w:rPr>
          <w:rFonts w:ascii="Calibri-Bold" w:hAnsi="Calibri-Bold" w:cs="Calibri-Bold"/>
          <w:kern w:val="0"/>
        </w:rPr>
        <w:t xml:space="preserve">Kč. </w:t>
      </w:r>
    </w:p>
    <w:p w14:paraId="58232B35" w14:textId="77777777" w:rsidR="0008233C" w:rsidRDefault="0008233C" w:rsidP="001E5914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kern w:val="0"/>
        </w:rPr>
      </w:pPr>
    </w:p>
    <w:p w14:paraId="71C539E9" w14:textId="21FAFEFD" w:rsidR="002B377A" w:rsidRPr="00CC61B1" w:rsidRDefault="00E60FA8" w:rsidP="00CC61B1">
      <w:pPr>
        <w:spacing w:after="0" w:line="240" w:lineRule="auto"/>
        <w:jc w:val="both"/>
        <w:rPr>
          <w:rFonts w:ascii="Calibri-Bold" w:hAnsi="Calibri-Bold" w:cs="Calibri-Bold"/>
          <w:kern w:val="0"/>
        </w:rPr>
      </w:pPr>
      <w:r>
        <w:rPr>
          <w:rFonts w:ascii="Calibri-Bold" w:hAnsi="Calibri-Bold" w:cs="Calibri-Bold"/>
          <w:kern w:val="0"/>
        </w:rPr>
        <w:t xml:space="preserve">GŘC </w:t>
      </w:r>
      <w:r w:rsidR="0042094C">
        <w:rPr>
          <w:rFonts w:ascii="Calibri-Bold" w:hAnsi="Calibri-Bold" w:cs="Calibri-Bold"/>
          <w:kern w:val="0"/>
        </w:rPr>
        <w:t xml:space="preserve">v letech 2021–2024 </w:t>
      </w:r>
      <w:r>
        <w:rPr>
          <w:rFonts w:ascii="Calibri-Bold" w:hAnsi="Calibri-Bold" w:cs="Calibri-Bold"/>
          <w:kern w:val="0"/>
        </w:rPr>
        <w:t>vynaložilo</w:t>
      </w:r>
      <w:r w:rsidRPr="00980A2C">
        <w:rPr>
          <w:rFonts w:ascii="Calibri-Bold" w:hAnsi="Calibri-Bold" w:cs="Calibri-Bold"/>
          <w:kern w:val="0"/>
        </w:rPr>
        <w:t xml:space="preserve"> při správě DPH v oblasti přeshraničního elektronického obchodování peněžní prostředky </w:t>
      </w:r>
      <w:r w:rsidR="006B3D24">
        <w:rPr>
          <w:rFonts w:ascii="Calibri-Bold" w:hAnsi="Calibri-Bold" w:cs="Calibri-Bold"/>
          <w:kern w:val="0"/>
        </w:rPr>
        <w:t>v celkové</w:t>
      </w:r>
      <w:r w:rsidRPr="00980A2C">
        <w:rPr>
          <w:rFonts w:ascii="Calibri-Bold" w:hAnsi="Calibri-Bold" w:cs="Calibri-Bold"/>
          <w:kern w:val="0"/>
        </w:rPr>
        <w:t xml:space="preserve"> výši 55 750 723 Kč</w:t>
      </w:r>
      <w:r>
        <w:rPr>
          <w:rFonts w:ascii="Calibri-Bold" w:hAnsi="Calibri-Bold" w:cs="Calibri-Bold"/>
          <w:kern w:val="0"/>
        </w:rPr>
        <w:t>.</w:t>
      </w:r>
      <w:r w:rsidR="00CC61B1">
        <w:rPr>
          <w:rFonts w:ascii="Calibri-Bold" w:hAnsi="Calibri-Bold" w:cs="Calibri-Bold"/>
          <w:kern w:val="0"/>
        </w:rPr>
        <w:t xml:space="preserve"> </w:t>
      </w:r>
      <w:r w:rsidR="00CC61B1">
        <w:t>Tyto</w:t>
      </w:r>
      <w:r w:rsidR="002B377A" w:rsidRPr="002B377A">
        <w:t xml:space="preserve"> prostředky </w:t>
      </w:r>
      <w:r w:rsidR="006B3D24">
        <w:t>(použité na</w:t>
      </w:r>
      <w:r w:rsidR="002B377A" w:rsidRPr="002B377A">
        <w:t xml:space="preserve"> činnost</w:t>
      </w:r>
      <w:r w:rsidR="006B3D24">
        <w:t>i</w:t>
      </w:r>
      <w:r w:rsidR="002B377A" w:rsidRPr="002B377A">
        <w:t xml:space="preserve"> prováděn</w:t>
      </w:r>
      <w:r w:rsidR="006B3D24">
        <w:t>é</w:t>
      </w:r>
      <w:r w:rsidR="002B377A" w:rsidRPr="002B377A">
        <w:t xml:space="preserve"> GŘC a jeho podřízenými útvary při správě DPH v oblasti přeshraničního elektronického obchodování</w:t>
      </w:r>
      <w:r w:rsidR="006B3D24">
        <w:t>) byly vynaloženy</w:t>
      </w:r>
      <w:r w:rsidR="002B377A" w:rsidRPr="002B377A">
        <w:t xml:space="preserve"> se sníženou účelností</w:t>
      </w:r>
      <w:r w:rsidR="00CC61B1">
        <w:t>, protože zavedený systém správy DPH v</w:t>
      </w:r>
      <w:r w:rsidR="00D41BF5">
        <w:t xml:space="preserve"> </w:t>
      </w:r>
      <w:r w:rsidR="00CC61B1">
        <w:t xml:space="preserve">oblasti </w:t>
      </w:r>
      <w:r w:rsidR="00D41BF5" w:rsidRPr="00D41BF5">
        <w:t>e-</w:t>
      </w:r>
      <w:proofErr w:type="spellStart"/>
      <w:r w:rsidR="00D41BF5" w:rsidRPr="00D41BF5">
        <w:t>commerce</w:t>
      </w:r>
      <w:proofErr w:type="spellEnd"/>
      <w:r w:rsidR="006B3D24">
        <w:t xml:space="preserve"> </w:t>
      </w:r>
      <w:r w:rsidR="00CC61B1">
        <w:t>vykazuje nedostatky v</w:t>
      </w:r>
      <w:r w:rsidR="00D41BF5">
        <w:t xml:space="preserve"> </w:t>
      </w:r>
      <w:r w:rsidR="00CC61B1">
        <w:t xml:space="preserve">elektronickém systému výměny informací </w:t>
      </w:r>
      <w:r w:rsidR="00D41BF5">
        <w:t xml:space="preserve">i </w:t>
      </w:r>
      <w:r w:rsidR="00CC61B1">
        <w:t>spolehlivosti a úplnosti dat pro kontrolu zásilek a placení DPH.</w:t>
      </w:r>
    </w:p>
    <w:p w14:paraId="203D692F" w14:textId="77777777" w:rsidR="009A5FD5" w:rsidRDefault="009A5FD5" w:rsidP="00FF359B">
      <w:pPr>
        <w:spacing w:after="0" w:line="240" w:lineRule="auto"/>
        <w:jc w:val="both"/>
      </w:pPr>
    </w:p>
    <w:p w14:paraId="0DF69593" w14:textId="77777777" w:rsidR="00392287" w:rsidRDefault="00392287">
      <w:pPr>
        <w:rPr>
          <w:rFonts w:ascii="Calibri" w:eastAsia="Times New Roman" w:hAnsi="Calibri" w:cs="Calibri"/>
          <w:bCs/>
          <w:kern w:val="0"/>
          <w14:ligatures w14:val="none"/>
        </w:rPr>
      </w:pPr>
      <w:r>
        <w:rPr>
          <w:rFonts w:ascii="Calibri" w:eastAsia="Times New Roman" w:hAnsi="Calibri" w:cs="Calibri"/>
          <w:bCs/>
          <w:kern w:val="0"/>
          <w14:ligatures w14:val="none"/>
        </w:rPr>
        <w:br w:type="page"/>
      </w:r>
    </w:p>
    <w:p w14:paraId="6AB41398" w14:textId="35150674" w:rsidR="00EB17EC" w:rsidRPr="00F16B71" w:rsidRDefault="001278B3" w:rsidP="00B46C79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14:ligatures w14:val="none"/>
        </w:rPr>
      </w:pPr>
      <w:r w:rsidRPr="00F16B71">
        <w:rPr>
          <w:rFonts w:ascii="Calibri" w:eastAsia="Times New Roman" w:hAnsi="Calibri" w:cs="Calibri"/>
          <w:b/>
          <w:kern w:val="0"/>
          <w14:ligatures w14:val="none"/>
        </w:rPr>
        <w:lastRenderedPageBreak/>
        <w:t>Seznam zkratek</w:t>
      </w:r>
      <w:r w:rsidR="00392287" w:rsidRPr="00F16B71">
        <w:rPr>
          <w:rFonts w:ascii="Calibri" w:eastAsia="Times New Roman" w:hAnsi="Calibri" w:cs="Calibri"/>
          <w:b/>
          <w:kern w:val="0"/>
          <w14:ligatures w14:val="none"/>
        </w:rPr>
        <w:t xml:space="preserve"> a zkrácených názvů</w:t>
      </w:r>
    </w:p>
    <w:p w14:paraId="31E10AE3" w14:textId="77777777" w:rsidR="00FD1145" w:rsidRDefault="00FD1145" w:rsidP="00B46C79">
      <w:pPr>
        <w:spacing w:after="0" w:line="240" w:lineRule="auto"/>
        <w:jc w:val="both"/>
        <w:rPr>
          <w:rFonts w:ascii="Calibri" w:eastAsia="Times New Roman" w:hAnsi="Calibri" w:cs="Calibri"/>
          <w:bCs/>
          <w:kern w:val="0"/>
          <w14:ligatures w14:val="none"/>
        </w:rPr>
      </w:pPr>
    </w:p>
    <w:p w14:paraId="08C137A7" w14:textId="02A5621E" w:rsidR="00FD1145" w:rsidRPr="00E402B9" w:rsidRDefault="00FD1145" w:rsidP="00F16B71">
      <w:pPr>
        <w:spacing w:after="120" w:line="240" w:lineRule="auto"/>
        <w:ind w:left="3119" w:hanging="3119"/>
        <w:rPr>
          <w:rFonts w:cs="Calibri"/>
          <w:color w:val="000000"/>
          <w:sz w:val="22"/>
          <w:szCs w:val="22"/>
        </w:rPr>
      </w:pPr>
      <w:r w:rsidRPr="00E402B9">
        <w:rPr>
          <w:rFonts w:cs="Calibri"/>
          <w:color w:val="000000"/>
          <w:sz w:val="22"/>
          <w:szCs w:val="22"/>
        </w:rPr>
        <w:t>ADIS</w:t>
      </w:r>
      <w:r w:rsidRPr="00E402B9">
        <w:rPr>
          <w:rFonts w:cs="Calibri"/>
          <w:color w:val="000000"/>
          <w:sz w:val="22"/>
          <w:szCs w:val="22"/>
        </w:rPr>
        <w:tab/>
      </w:r>
      <w:r w:rsidRPr="00F16B71">
        <w:rPr>
          <w:rFonts w:cs="Calibri"/>
          <w:i/>
          <w:iCs/>
          <w:color w:val="000000"/>
          <w:sz w:val="22"/>
          <w:szCs w:val="22"/>
        </w:rPr>
        <w:t>Automatizovaný daňový informační systém</w:t>
      </w:r>
    </w:p>
    <w:p w14:paraId="0D2B1549" w14:textId="675DF42B" w:rsidR="00540530" w:rsidRPr="00E402B9" w:rsidRDefault="00586D97" w:rsidP="00F16B71">
      <w:pPr>
        <w:spacing w:after="120" w:line="240" w:lineRule="auto"/>
        <w:ind w:left="3119" w:hanging="3119"/>
        <w:rPr>
          <w:sz w:val="22"/>
          <w:szCs w:val="22"/>
        </w:rPr>
      </w:pPr>
      <w:r w:rsidRPr="00E402B9">
        <w:rPr>
          <w:sz w:val="22"/>
          <w:szCs w:val="22"/>
        </w:rPr>
        <w:t>b</w:t>
      </w:r>
      <w:r w:rsidR="00540530" w:rsidRPr="00E402B9">
        <w:rPr>
          <w:sz w:val="22"/>
          <w:szCs w:val="22"/>
        </w:rPr>
        <w:t>alíček e-</w:t>
      </w:r>
      <w:proofErr w:type="spellStart"/>
      <w:r w:rsidR="00540530" w:rsidRPr="00E402B9">
        <w:rPr>
          <w:sz w:val="22"/>
          <w:szCs w:val="22"/>
        </w:rPr>
        <w:t>commerce</w:t>
      </w:r>
      <w:proofErr w:type="spellEnd"/>
      <w:r w:rsidR="00540530" w:rsidRPr="00E402B9">
        <w:rPr>
          <w:sz w:val="22"/>
          <w:szCs w:val="22"/>
        </w:rPr>
        <w:tab/>
      </w:r>
      <w:r w:rsidR="00D41BF5">
        <w:rPr>
          <w:sz w:val="22"/>
          <w:szCs w:val="22"/>
        </w:rPr>
        <w:t>s</w:t>
      </w:r>
      <w:r w:rsidR="00540530" w:rsidRPr="00E402B9">
        <w:rPr>
          <w:sz w:val="22"/>
          <w:szCs w:val="22"/>
        </w:rPr>
        <w:t>měrnice Rady (EU) 2017/2455 ze dne 5. prosince 2017, kterou se mění směrnice 2006/112/ES a směrnice 2009/132/ES, pokud jde o</w:t>
      </w:r>
      <w:r w:rsidR="00572C02">
        <w:rPr>
          <w:sz w:val="22"/>
          <w:szCs w:val="22"/>
        </w:rPr>
        <w:t> </w:t>
      </w:r>
      <w:r w:rsidR="00540530" w:rsidRPr="00E402B9">
        <w:rPr>
          <w:sz w:val="22"/>
          <w:szCs w:val="22"/>
        </w:rPr>
        <w:t>určité povinnosti v oblasti daně z přidané hodnoty při poskytování služeb a prodeji zboží na dálku</w:t>
      </w:r>
      <w:r w:rsidR="00D41BF5">
        <w:rPr>
          <w:sz w:val="22"/>
          <w:szCs w:val="22"/>
        </w:rPr>
        <w:t>;</w:t>
      </w:r>
      <w:r w:rsidR="00540530" w:rsidRPr="00E402B9">
        <w:rPr>
          <w:sz w:val="22"/>
          <w:szCs w:val="22"/>
        </w:rPr>
        <w:t xml:space="preserve"> </w:t>
      </w:r>
      <w:r w:rsidR="00572C02">
        <w:rPr>
          <w:sz w:val="22"/>
          <w:szCs w:val="22"/>
        </w:rPr>
        <w:br/>
      </w:r>
      <w:r w:rsidR="00D41BF5">
        <w:rPr>
          <w:sz w:val="22"/>
          <w:szCs w:val="22"/>
        </w:rPr>
        <w:t>s</w:t>
      </w:r>
      <w:r w:rsidR="00540530" w:rsidRPr="00E402B9">
        <w:rPr>
          <w:sz w:val="22"/>
          <w:szCs w:val="22"/>
        </w:rPr>
        <w:t xml:space="preserve">měrnice Rady (EU) 2019/1995 ze dne 21. listopadu 2019, kterou se mění směrnice 2006/112/ES, pokud jde o ustanovení týkající se prodeje zboží na </w:t>
      </w:r>
      <w:r w:rsidR="00540530" w:rsidRPr="00DF290F">
        <w:rPr>
          <w:sz w:val="22"/>
          <w:szCs w:val="22"/>
        </w:rPr>
        <w:t xml:space="preserve">dálku a určitých </w:t>
      </w:r>
      <w:r w:rsidR="00540530" w:rsidRPr="00E402B9">
        <w:rPr>
          <w:sz w:val="22"/>
          <w:szCs w:val="22"/>
        </w:rPr>
        <w:t>domácích dodání zboží</w:t>
      </w:r>
    </w:p>
    <w:p w14:paraId="2055F6BE" w14:textId="1A6CF1A3" w:rsidR="00FD1145" w:rsidRPr="00E402B9" w:rsidRDefault="00FD1145" w:rsidP="00F16B71">
      <w:pPr>
        <w:spacing w:after="120" w:line="240" w:lineRule="auto"/>
        <w:ind w:left="3119" w:hanging="3119"/>
        <w:rPr>
          <w:rFonts w:cs="Calibri"/>
          <w:color w:val="000000"/>
          <w:sz w:val="22"/>
          <w:szCs w:val="22"/>
        </w:rPr>
      </w:pPr>
      <w:r w:rsidRPr="00E402B9">
        <w:rPr>
          <w:rFonts w:cs="Calibri"/>
          <w:color w:val="000000"/>
          <w:sz w:val="22"/>
          <w:szCs w:val="22"/>
        </w:rPr>
        <w:t>B2C</w:t>
      </w:r>
      <w:r w:rsidRPr="00E402B9">
        <w:rPr>
          <w:rFonts w:cs="Calibri"/>
          <w:color w:val="000000"/>
          <w:sz w:val="22"/>
          <w:szCs w:val="22"/>
        </w:rPr>
        <w:tab/>
      </w:r>
      <w:r w:rsidRPr="00DF290F">
        <w:rPr>
          <w:rFonts w:cs="Calibri"/>
          <w:sz w:val="22"/>
          <w:szCs w:val="22"/>
        </w:rPr>
        <w:t>business-to-</w:t>
      </w:r>
      <w:proofErr w:type="spellStart"/>
      <w:r w:rsidRPr="00DF290F">
        <w:rPr>
          <w:rFonts w:cs="Calibri"/>
          <w:sz w:val="22"/>
          <w:szCs w:val="22"/>
        </w:rPr>
        <w:t>consumer</w:t>
      </w:r>
      <w:proofErr w:type="spellEnd"/>
      <w:r w:rsidRPr="00DF290F">
        <w:rPr>
          <w:rFonts w:cs="Calibri"/>
          <w:sz w:val="22"/>
          <w:szCs w:val="22"/>
        </w:rPr>
        <w:t xml:space="preserve"> </w:t>
      </w:r>
      <w:r w:rsidR="00DF290F" w:rsidRPr="00DF290F">
        <w:rPr>
          <w:rFonts w:cs="Calibri"/>
          <w:sz w:val="22"/>
          <w:szCs w:val="22"/>
        </w:rPr>
        <w:t xml:space="preserve">(obchodní vztah, při kterém </w:t>
      </w:r>
      <w:r w:rsidR="009338D2">
        <w:rPr>
          <w:rFonts w:cs="Calibri"/>
          <w:sz w:val="22"/>
          <w:szCs w:val="22"/>
        </w:rPr>
        <w:t>obchodník</w:t>
      </w:r>
      <w:r w:rsidR="00DF290F" w:rsidRPr="00DF290F">
        <w:rPr>
          <w:rFonts w:cs="Calibri"/>
          <w:sz w:val="22"/>
          <w:szCs w:val="22"/>
        </w:rPr>
        <w:t xml:space="preserve"> prodává své produkty nebo služby přímo koncovým spotřebitelům)</w:t>
      </w:r>
    </w:p>
    <w:p w14:paraId="7EB568BF" w14:textId="26D65904" w:rsidR="00FD1145" w:rsidRPr="00E402B9" w:rsidRDefault="00FD1145" w:rsidP="00F16B71">
      <w:pPr>
        <w:spacing w:after="120" w:line="240" w:lineRule="auto"/>
        <w:ind w:left="3119" w:hanging="3119"/>
        <w:rPr>
          <w:rFonts w:cs="Calibri"/>
          <w:sz w:val="22"/>
          <w:szCs w:val="22"/>
        </w:rPr>
      </w:pPr>
      <w:r w:rsidRPr="00E402B9">
        <w:rPr>
          <w:rFonts w:cs="Calibri"/>
          <w:sz w:val="22"/>
          <w:szCs w:val="22"/>
        </w:rPr>
        <w:t>CESOP</w:t>
      </w:r>
      <w:r w:rsidRPr="00E402B9">
        <w:rPr>
          <w:rFonts w:cs="Calibri"/>
          <w:sz w:val="22"/>
          <w:szCs w:val="22"/>
        </w:rPr>
        <w:tab/>
      </w:r>
      <w:r w:rsidRPr="00F16B71">
        <w:rPr>
          <w:rFonts w:cs="Calibri"/>
          <w:i/>
          <w:iCs/>
          <w:sz w:val="22"/>
          <w:szCs w:val="22"/>
        </w:rPr>
        <w:t>Centrální elektronický systém platebních informací</w:t>
      </w:r>
      <w:r w:rsidR="00E402B9">
        <w:rPr>
          <w:rFonts w:cs="Calibri"/>
          <w:sz w:val="22"/>
          <w:szCs w:val="22"/>
        </w:rPr>
        <w:t xml:space="preserve"> </w:t>
      </w:r>
      <w:r w:rsidR="00E402B9">
        <w:rPr>
          <w:rFonts w:cs="Calibri"/>
          <w:sz w:val="22"/>
          <w:szCs w:val="22"/>
        </w:rPr>
        <w:br/>
        <w:t>(</w:t>
      </w:r>
      <w:proofErr w:type="spellStart"/>
      <w:r w:rsidR="00E402B9" w:rsidRPr="00F16B71">
        <w:rPr>
          <w:rFonts w:cs="Calibri"/>
          <w:i/>
          <w:iCs/>
          <w:sz w:val="22"/>
          <w:szCs w:val="22"/>
        </w:rPr>
        <w:t>Central</w:t>
      </w:r>
      <w:proofErr w:type="spellEnd"/>
      <w:r w:rsidR="00E402B9" w:rsidRPr="00F16B71">
        <w:rPr>
          <w:rFonts w:cs="Calibri"/>
          <w:i/>
          <w:iCs/>
          <w:sz w:val="22"/>
          <w:szCs w:val="22"/>
        </w:rPr>
        <w:t xml:space="preserve"> </w:t>
      </w:r>
      <w:proofErr w:type="spellStart"/>
      <w:r w:rsidR="00E402B9" w:rsidRPr="00F16B71">
        <w:rPr>
          <w:rFonts w:cs="Calibri"/>
          <w:i/>
          <w:iCs/>
          <w:sz w:val="22"/>
          <w:szCs w:val="22"/>
        </w:rPr>
        <w:t>Electronic</w:t>
      </w:r>
      <w:proofErr w:type="spellEnd"/>
      <w:r w:rsidR="00E402B9" w:rsidRPr="00F16B71">
        <w:rPr>
          <w:rFonts w:cs="Calibri"/>
          <w:i/>
          <w:iCs/>
          <w:sz w:val="22"/>
          <w:szCs w:val="22"/>
        </w:rPr>
        <w:t xml:space="preserve"> </w:t>
      </w:r>
      <w:proofErr w:type="spellStart"/>
      <w:r w:rsidR="00E402B9" w:rsidRPr="00F16B71">
        <w:rPr>
          <w:rFonts w:cs="Calibri"/>
          <w:i/>
          <w:iCs/>
          <w:sz w:val="22"/>
          <w:szCs w:val="22"/>
        </w:rPr>
        <w:t>System</w:t>
      </w:r>
      <w:proofErr w:type="spellEnd"/>
      <w:r w:rsidR="00E402B9" w:rsidRPr="00F16B71">
        <w:rPr>
          <w:rFonts w:cs="Calibri"/>
          <w:i/>
          <w:iCs/>
          <w:sz w:val="22"/>
          <w:szCs w:val="22"/>
        </w:rPr>
        <w:t xml:space="preserve"> </w:t>
      </w:r>
      <w:proofErr w:type="spellStart"/>
      <w:r w:rsidR="00E402B9" w:rsidRPr="00F16B71">
        <w:rPr>
          <w:rFonts w:cs="Calibri"/>
          <w:i/>
          <w:iCs/>
          <w:sz w:val="22"/>
          <w:szCs w:val="22"/>
        </w:rPr>
        <w:t>of</w:t>
      </w:r>
      <w:proofErr w:type="spellEnd"/>
      <w:r w:rsidR="00E402B9" w:rsidRPr="00F16B71">
        <w:rPr>
          <w:rFonts w:cs="Calibri"/>
          <w:i/>
          <w:iCs/>
          <w:sz w:val="22"/>
          <w:szCs w:val="22"/>
        </w:rPr>
        <w:t xml:space="preserve"> </w:t>
      </w:r>
      <w:proofErr w:type="spellStart"/>
      <w:r w:rsidR="00E402B9" w:rsidRPr="00F16B71">
        <w:rPr>
          <w:rFonts w:cs="Calibri"/>
          <w:i/>
          <w:iCs/>
          <w:sz w:val="22"/>
          <w:szCs w:val="22"/>
        </w:rPr>
        <w:t>Payment</w:t>
      </w:r>
      <w:proofErr w:type="spellEnd"/>
      <w:r w:rsidR="00E402B9" w:rsidRPr="00F16B71">
        <w:rPr>
          <w:rFonts w:cs="Calibri"/>
          <w:i/>
          <w:iCs/>
          <w:sz w:val="22"/>
          <w:szCs w:val="22"/>
        </w:rPr>
        <w:t xml:space="preserve"> </w:t>
      </w:r>
      <w:proofErr w:type="spellStart"/>
      <w:r w:rsidR="00D41BF5">
        <w:rPr>
          <w:rFonts w:cs="Calibri"/>
          <w:i/>
          <w:iCs/>
          <w:sz w:val="22"/>
          <w:szCs w:val="22"/>
        </w:rPr>
        <w:t>I</w:t>
      </w:r>
      <w:r w:rsidR="00E402B9" w:rsidRPr="00F16B71">
        <w:rPr>
          <w:rFonts w:cs="Calibri"/>
          <w:i/>
          <w:iCs/>
          <w:sz w:val="22"/>
          <w:szCs w:val="22"/>
        </w:rPr>
        <w:t>nformation</w:t>
      </w:r>
      <w:proofErr w:type="spellEnd"/>
      <w:r w:rsidR="00E402B9">
        <w:rPr>
          <w:rFonts w:cs="Calibri"/>
          <w:sz w:val="22"/>
          <w:szCs w:val="22"/>
        </w:rPr>
        <w:t>)</w:t>
      </w:r>
    </w:p>
    <w:p w14:paraId="108072D5" w14:textId="449FA9BE" w:rsidR="00FD1145" w:rsidRPr="00E402B9" w:rsidRDefault="00FD1145" w:rsidP="00F16B71">
      <w:pPr>
        <w:spacing w:after="120" w:line="240" w:lineRule="auto"/>
        <w:ind w:left="3119" w:hanging="3119"/>
        <w:rPr>
          <w:rFonts w:cs="Calibri"/>
          <w:sz w:val="22"/>
          <w:szCs w:val="22"/>
        </w:rPr>
      </w:pPr>
      <w:r w:rsidRPr="00E402B9">
        <w:rPr>
          <w:rFonts w:cs="Calibri"/>
          <w:sz w:val="22"/>
          <w:szCs w:val="22"/>
        </w:rPr>
        <w:t>CS ČR</w:t>
      </w:r>
      <w:r w:rsidRPr="00E402B9">
        <w:rPr>
          <w:rFonts w:cs="Calibri"/>
          <w:sz w:val="22"/>
          <w:szCs w:val="22"/>
        </w:rPr>
        <w:tab/>
        <w:t>Celní správa České republiky</w:t>
      </w:r>
    </w:p>
    <w:p w14:paraId="7E372478" w14:textId="5F27DD86" w:rsidR="00C15447" w:rsidRPr="00E402B9" w:rsidRDefault="00C15447" w:rsidP="00F16B71">
      <w:pPr>
        <w:spacing w:after="120" w:line="240" w:lineRule="auto"/>
        <w:ind w:left="3119" w:hanging="3119"/>
        <w:rPr>
          <w:rFonts w:cs="Calibri"/>
          <w:sz w:val="22"/>
          <w:szCs w:val="22"/>
        </w:rPr>
      </w:pPr>
      <w:r w:rsidRPr="00E402B9">
        <w:rPr>
          <w:rFonts w:cs="Calibri"/>
          <w:sz w:val="22"/>
          <w:szCs w:val="22"/>
        </w:rPr>
        <w:t>CÚ SČK</w:t>
      </w:r>
      <w:r w:rsidR="00A736E2" w:rsidRPr="00E402B9">
        <w:rPr>
          <w:rFonts w:cs="Calibri"/>
          <w:sz w:val="22"/>
          <w:szCs w:val="22"/>
        </w:rPr>
        <w:tab/>
        <w:t>Celní úřad pro Středočeský kraj</w:t>
      </w:r>
    </w:p>
    <w:p w14:paraId="2AC20A34" w14:textId="166D6B2A" w:rsidR="00FD1145" w:rsidRPr="00E402B9" w:rsidRDefault="00FD1145" w:rsidP="00F16B71">
      <w:pPr>
        <w:spacing w:after="120" w:line="240" w:lineRule="auto"/>
        <w:ind w:left="3119" w:hanging="3119"/>
        <w:rPr>
          <w:rFonts w:cs="Calibri"/>
          <w:color w:val="000000"/>
          <w:sz w:val="22"/>
          <w:szCs w:val="22"/>
        </w:rPr>
      </w:pPr>
      <w:r w:rsidRPr="00E402B9">
        <w:rPr>
          <w:rFonts w:cs="Calibri"/>
          <w:color w:val="000000"/>
          <w:sz w:val="22"/>
          <w:szCs w:val="22"/>
        </w:rPr>
        <w:t>ČR</w:t>
      </w:r>
      <w:r w:rsidRPr="00E402B9">
        <w:rPr>
          <w:rFonts w:cs="Calibri"/>
          <w:color w:val="000000"/>
          <w:sz w:val="22"/>
          <w:szCs w:val="22"/>
        </w:rPr>
        <w:tab/>
        <w:t>Česká republika</w:t>
      </w:r>
    </w:p>
    <w:p w14:paraId="710E48E6" w14:textId="22C59EF1" w:rsidR="00FD1145" w:rsidRPr="00E402B9" w:rsidRDefault="00FD1145" w:rsidP="00F16B71">
      <w:pPr>
        <w:spacing w:after="120" w:line="240" w:lineRule="auto"/>
        <w:ind w:left="3119" w:hanging="3119"/>
        <w:rPr>
          <w:rFonts w:cs="Calibri"/>
          <w:color w:val="000000"/>
          <w:sz w:val="22"/>
          <w:szCs w:val="22"/>
        </w:rPr>
      </w:pPr>
      <w:r w:rsidRPr="00E402B9">
        <w:rPr>
          <w:rFonts w:cs="Calibri"/>
          <w:color w:val="000000"/>
          <w:sz w:val="22"/>
          <w:szCs w:val="22"/>
        </w:rPr>
        <w:t>ČSI</w:t>
      </w:r>
      <w:r w:rsidRPr="00E402B9">
        <w:rPr>
          <w:rFonts w:cs="Calibri"/>
          <w:color w:val="000000"/>
          <w:sz w:val="22"/>
          <w:szCs w:val="22"/>
        </w:rPr>
        <w:tab/>
      </w:r>
      <w:r w:rsidR="00905E66" w:rsidRPr="00E402B9">
        <w:rPr>
          <w:rFonts w:cs="Calibri"/>
          <w:color w:val="000000"/>
          <w:sz w:val="22"/>
          <w:szCs w:val="22"/>
        </w:rPr>
        <w:t>č</w:t>
      </w:r>
      <w:r w:rsidRPr="00E402B9">
        <w:rPr>
          <w:rFonts w:cs="Calibri"/>
          <w:color w:val="000000"/>
          <w:sz w:val="22"/>
          <w:szCs w:val="22"/>
        </w:rPr>
        <w:t>lenský stát identifikace</w:t>
      </w:r>
    </w:p>
    <w:p w14:paraId="4C0FA1DB" w14:textId="208D6606" w:rsidR="00FD1145" w:rsidRPr="00E402B9" w:rsidRDefault="00FD1145" w:rsidP="00F16B71">
      <w:pPr>
        <w:spacing w:after="120" w:line="240" w:lineRule="auto"/>
        <w:ind w:left="3119" w:hanging="3119"/>
        <w:rPr>
          <w:rFonts w:cs="Calibri"/>
          <w:color w:val="000000"/>
          <w:sz w:val="22"/>
          <w:szCs w:val="22"/>
        </w:rPr>
      </w:pPr>
      <w:r w:rsidRPr="00E402B9">
        <w:rPr>
          <w:rFonts w:cs="Calibri"/>
          <w:color w:val="000000"/>
          <w:sz w:val="22"/>
          <w:szCs w:val="22"/>
        </w:rPr>
        <w:t>ČSS</w:t>
      </w:r>
      <w:r w:rsidRPr="00E402B9">
        <w:rPr>
          <w:rFonts w:cs="Calibri"/>
          <w:color w:val="000000"/>
          <w:sz w:val="22"/>
          <w:szCs w:val="22"/>
        </w:rPr>
        <w:tab/>
      </w:r>
      <w:r w:rsidR="00905E66" w:rsidRPr="00E402B9">
        <w:rPr>
          <w:rFonts w:cs="Calibri"/>
          <w:color w:val="000000"/>
          <w:sz w:val="22"/>
          <w:szCs w:val="22"/>
        </w:rPr>
        <w:t>č</w:t>
      </w:r>
      <w:r w:rsidRPr="00E402B9">
        <w:rPr>
          <w:rFonts w:cs="Calibri"/>
          <w:color w:val="000000"/>
          <w:sz w:val="22"/>
          <w:szCs w:val="22"/>
        </w:rPr>
        <w:t>lenský stát spotřeby</w:t>
      </w:r>
    </w:p>
    <w:p w14:paraId="0EC1239B" w14:textId="772AAD59" w:rsidR="00FD1145" w:rsidRPr="00E402B9" w:rsidRDefault="00FD1145" w:rsidP="00F16B71">
      <w:pPr>
        <w:spacing w:after="120" w:line="240" w:lineRule="auto"/>
        <w:ind w:left="3119" w:hanging="3119"/>
        <w:rPr>
          <w:rFonts w:cs="Calibri"/>
          <w:sz w:val="22"/>
          <w:szCs w:val="22"/>
        </w:rPr>
      </w:pPr>
      <w:r w:rsidRPr="00E402B9">
        <w:rPr>
          <w:rFonts w:cs="Calibri"/>
          <w:color w:val="000000"/>
          <w:sz w:val="22"/>
          <w:szCs w:val="22"/>
        </w:rPr>
        <w:t>DAP</w:t>
      </w:r>
      <w:r w:rsidRPr="00E402B9">
        <w:rPr>
          <w:rFonts w:cs="Calibri"/>
          <w:color w:val="000000"/>
          <w:sz w:val="22"/>
          <w:szCs w:val="22"/>
        </w:rPr>
        <w:tab/>
      </w:r>
      <w:r w:rsidRPr="00E402B9">
        <w:rPr>
          <w:rFonts w:cs="Calibri"/>
          <w:sz w:val="22"/>
          <w:szCs w:val="22"/>
        </w:rPr>
        <w:t>daňové přiznání</w:t>
      </w:r>
    </w:p>
    <w:p w14:paraId="0E6C3982" w14:textId="1A6BF68C" w:rsidR="00DB2608" w:rsidRPr="00E402B9" w:rsidRDefault="00DB2608" w:rsidP="00F16B71">
      <w:pPr>
        <w:spacing w:after="120" w:line="240" w:lineRule="auto"/>
        <w:ind w:left="3119" w:hanging="3119"/>
        <w:rPr>
          <w:rFonts w:cs="Calibri"/>
          <w:color w:val="000000"/>
          <w:sz w:val="22"/>
          <w:szCs w:val="22"/>
        </w:rPr>
      </w:pPr>
      <w:r w:rsidRPr="00E402B9">
        <w:rPr>
          <w:rFonts w:cs="Calibri"/>
          <w:color w:val="000000"/>
          <w:sz w:val="22"/>
          <w:szCs w:val="22"/>
        </w:rPr>
        <w:t>dovozní číslo</w:t>
      </w:r>
      <w:r w:rsidRPr="00E402B9">
        <w:rPr>
          <w:rFonts w:cs="Calibri"/>
          <w:color w:val="000000"/>
          <w:sz w:val="22"/>
          <w:szCs w:val="22"/>
        </w:rPr>
        <w:tab/>
        <w:t xml:space="preserve">daňové evidenční číslo pro účely dovozního režimu </w:t>
      </w:r>
      <w:r w:rsidR="00ED2A99" w:rsidRPr="00E402B9">
        <w:rPr>
          <w:rFonts w:cs="Calibri"/>
          <w:color w:val="000000"/>
          <w:sz w:val="22"/>
          <w:szCs w:val="22"/>
        </w:rPr>
        <w:t>jednoho správního místa</w:t>
      </w:r>
    </w:p>
    <w:p w14:paraId="295EF897" w14:textId="0194ADD0" w:rsidR="001D1AE2" w:rsidRPr="00E402B9" w:rsidRDefault="001D1AE2" w:rsidP="00F16B71">
      <w:pPr>
        <w:spacing w:after="120" w:line="240" w:lineRule="auto"/>
        <w:ind w:left="3119" w:hanging="3119"/>
        <w:rPr>
          <w:rFonts w:cs="Calibri"/>
          <w:sz w:val="22"/>
          <w:szCs w:val="22"/>
        </w:rPr>
      </w:pPr>
      <w:r w:rsidRPr="00E402B9">
        <w:rPr>
          <w:rFonts w:cs="Calibri"/>
          <w:sz w:val="22"/>
          <w:szCs w:val="22"/>
        </w:rPr>
        <w:t>dovozní režim</w:t>
      </w:r>
      <w:r w:rsidR="002A38C1" w:rsidRPr="00E402B9">
        <w:rPr>
          <w:rFonts w:cs="Calibri"/>
          <w:sz w:val="22"/>
          <w:szCs w:val="22"/>
        </w:rPr>
        <w:tab/>
      </w:r>
      <w:r w:rsidR="00D41BF5">
        <w:rPr>
          <w:rFonts w:cs="Calibri"/>
          <w:sz w:val="22"/>
          <w:szCs w:val="22"/>
        </w:rPr>
        <w:t>jeden ze tří typů</w:t>
      </w:r>
      <w:r w:rsidR="002A38C1" w:rsidRPr="00E402B9">
        <w:rPr>
          <w:rFonts w:cs="Calibri"/>
          <w:sz w:val="22"/>
          <w:szCs w:val="22"/>
        </w:rPr>
        <w:t xml:space="preserve"> zvláštní</w:t>
      </w:r>
      <w:r w:rsidR="00D41BF5">
        <w:rPr>
          <w:rFonts w:cs="Calibri"/>
          <w:sz w:val="22"/>
          <w:szCs w:val="22"/>
        </w:rPr>
        <w:t>ho</w:t>
      </w:r>
      <w:r w:rsidR="002A38C1" w:rsidRPr="00E402B9">
        <w:rPr>
          <w:rFonts w:cs="Calibri"/>
          <w:sz w:val="22"/>
          <w:szCs w:val="22"/>
        </w:rPr>
        <w:t xml:space="preserve"> režimu jednoho správního místa</w:t>
      </w:r>
    </w:p>
    <w:p w14:paraId="0AD17C5C" w14:textId="4E1299DB" w:rsidR="00FD1145" w:rsidRPr="00E402B9" w:rsidRDefault="00FD1145" w:rsidP="00F16B71">
      <w:pPr>
        <w:spacing w:after="120" w:line="240" w:lineRule="auto"/>
        <w:ind w:left="3119" w:hanging="3119"/>
        <w:rPr>
          <w:rFonts w:cs="Calibri"/>
          <w:sz w:val="22"/>
          <w:szCs w:val="22"/>
        </w:rPr>
      </w:pPr>
      <w:r w:rsidRPr="00E402B9">
        <w:rPr>
          <w:rFonts w:cs="Calibri"/>
          <w:sz w:val="22"/>
          <w:szCs w:val="22"/>
        </w:rPr>
        <w:t>DPH</w:t>
      </w:r>
      <w:r w:rsidRPr="00E402B9">
        <w:rPr>
          <w:rFonts w:cs="Calibri"/>
          <w:sz w:val="22"/>
          <w:szCs w:val="22"/>
        </w:rPr>
        <w:tab/>
        <w:t>daň z přidané hodnoty</w:t>
      </w:r>
    </w:p>
    <w:p w14:paraId="7054BCB1" w14:textId="5E6B1F39" w:rsidR="00FD1145" w:rsidRDefault="00FD1145" w:rsidP="00572C02">
      <w:pPr>
        <w:spacing w:after="120" w:line="240" w:lineRule="auto"/>
        <w:ind w:left="3119" w:hanging="3119"/>
        <w:rPr>
          <w:rFonts w:cs="Calibri"/>
          <w:color w:val="000000"/>
          <w:sz w:val="22"/>
          <w:szCs w:val="22"/>
        </w:rPr>
      </w:pPr>
      <w:r w:rsidRPr="00E402B9">
        <w:rPr>
          <w:rFonts w:cs="Calibri"/>
          <w:color w:val="000000"/>
          <w:sz w:val="22"/>
          <w:szCs w:val="22"/>
        </w:rPr>
        <w:t>EU</w:t>
      </w:r>
      <w:r w:rsidRPr="00E402B9">
        <w:rPr>
          <w:rFonts w:cs="Calibri"/>
          <w:color w:val="000000"/>
          <w:sz w:val="22"/>
          <w:szCs w:val="22"/>
        </w:rPr>
        <w:tab/>
        <w:t>Evropská unie</w:t>
      </w:r>
    </w:p>
    <w:p w14:paraId="159338B0" w14:textId="7D6D44B2" w:rsidR="00572C02" w:rsidRPr="00E402B9" w:rsidRDefault="00572C02" w:rsidP="00F16B71">
      <w:pPr>
        <w:spacing w:after="120" w:line="240" w:lineRule="auto"/>
        <w:ind w:left="3119" w:hanging="3119"/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EÚD</w:t>
      </w:r>
      <w:r>
        <w:rPr>
          <w:rFonts w:cs="Calibri"/>
          <w:color w:val="000000"/>
          <w:sz w:val="22"/>
          <w:szCs w:val="22"/>
        </w:rPr>
        <w:tab/>
        <w:t>Evropský účetní dvůr</w:t>
      </w:r>
    </w:p>
    <w:p w14:paraId="5A5A8021" w14:textId="06FE1C6F" w:rsidR="00FD1145" w:rsidRPr="00E402B9" w:rsidRDefault="00FD1145" w:rsidP="00F16B71">
      <w:pPr>
        <w:spacing w:after="120" w:line="240" w:lineRule="auto"/>
        <w:ind w:left="3119" w:hanging="3119"/>
        <w:rPr>
          <w:rFonts w:cs="Calibri"/>
          <w:color w:val="000000"/>
          <w:sz w:val="22"/>
          <w:szCs w:val="22"/>
        </w:rPr>
      </w:pPr>
      <w:r w:rsidRPr="00E402B9">
        <w:rPr>
          <w:rFonts w:cs="Calibri"/>
          <w:color w:val="000000"/>
          <w:sz w:val="22"/>
          <w:szCs w:val="22"/>
        </w:rPr>
        <w:t>FS ČR</w:t>
      </w:r>
      <w:r w:rsidRPr="00E402B9">
        <w:rPr>
          <w:rFonts w:cs="Calibri"/>
          <w:color w:val="000000"/>
          <w:sz w:val="22"/>
          <w:szCs w:val="22"/>
        </w:rPr>
        <w:tab/>
        <w:t>Finanční správa České republiky</w:t>
      </w:r>
    </w:p>
    <w:p w14:paraId="56AFD18C" w14:textId="4DE4EE2D" w:rsidR="00FD1145" w:rsidRPr="00E402B9" w:rsidRDefault="00FD1145" w:rsidP="00F16B71">
      <w:pPr>
        <w:spacing w:after="120" w:line="240" w:lineRule="auto"/>
        <w:ind w:left="3119" w:hanging="3119"/>
        <w:rPr>
          <w:rFonts w:cs="Calibri"/>
          <w:color w:val="000000"/>
          <w:sz w:val="22"/>
          <w:szCs w:val="22"/>
        </w:rPr>
      </w:pPr>
      <w:r w:rsidRPr="00E402B9">
        <w:rPr>
          <w:rFonts w:cs="Calibri"/>
          <w:color w:val="000000"/>
          <w:sz w:val="22"/>
          <w:szCs w:val="22"/>
        </w:rPr>
        <w:t>FÚ JMK</w:t>
      </w:r>
      <w:r w:rsidRPr="00E402B9">
        <w:rPr>
          <w:rFonts w:cs="Calibri"/>
          <w:color w:val="000000"/>
          <w:sz w:val="22"/>
          <w:szCs w:val="22"/>
        </w:rPr>
        <w:tab/>
        <w:t>Finanční úřad pro Jihomoravský kraj</w:t>
      </w:r>
    </w:p>
    <w:p w14:paraId="3206D6D4" w14:textId="1025B7BB" w:rsidR="00FD1145" w:rsidRPr="00E402B9" w:rsidRDefault="00FD1145" w:rsidP="00F16B71">
      <w:pPr>
        <w:spacing w:after="120" w:line="240" w:lineRule="auto"/>
        <w:ind w:left="3119" w:hanging="3119"/>
        <w:rPr>
          <w:rFonts w:cs="Calibri"/>
          <w:color w:val="000000"/>
          <w:sz w:val="22"/>
          <w:szCs w:val="22"/>
        </w:rPr>
      </w:pPr>
      <w:r w:rsidRPr="00E402B9">
        <w:rPr>
          <w:rFonts w:cs="Calibri"/>
          <w:color w:val="000000"/>
          <w:sz w:val="22"/>
          <w:szCs w:val="22"/>
        </w:rPr>
        <w:t>FÚ MSK</w:t>
      </w:r>
      <w:r w:rsidRPr="00E402B9">
        <w:rPr>
          <w:rFonts w:cs="Calibri"/>
          <w:color w:val="000000"/>
          <w:sz w:val="22"/>
          <w:szCs w:val="22"/>
        </w:rPr>
        <w:tab/>
        <w:t>Finanční úřad pro Moravskoslezský kraj</w:t>
      </w:r>
    </w:p>
    <w:p w14:paraId="4B6C5D3B" w14:textId="676A5E69" w:rsidR="00FD1145" w:rsidRPr="00E402B9" w:rsidRDefault="00FD1145" w:rsidP="00F16B71">
      <w:pPr>
        <w:spacing w:after="120" w:line="240" w:lineRule="auto"/>
        <w:ind w:left="3119" w:hanging="3119"/>
        <w:rPr>
          <w:rFonts w:cs="Calibri"/>
          <w:color w:val="000000"/>
          <w:sz w:val="22"/>
          <w:szCs w:val="22"/>
        </w:rPr>
      </w:pPr>
      <w:r w:rsidRPr="00E402B9">
        <w:rPr>
          <w:rFonts w:cs="Calibri"/>
          <w:color w:val="000000"/>
          <w:sz w:val="22"/>
          <w:szCs w:val="22"/>
        </w:rPr>
        <w:t>GFŘ</w:t>
      </w:r>
      <w:r w:rsidRPr="00E402B9">
        <w:rPr>
          <w:rFonts w:cs="Calibri"/>
          <w:color w:val="000000"/>
          <w:sz w:val="22"/>
          <w:szCs w:val="22"/>
        </w:rPr>
        <w:tab/>
        <w:t>Generální finanční ředitelství</w:t>
      </w:r>
    </w:p>
    <w:p w14:paraId="1BCB1CA1" w14:textId="23EF7221" w:rsidR="00540530" w:rsidRPr="00E402B9" w:rsidRDefault="00FD1145" w:rsidP="00F16B71">
      <w:pPr>
        <w:spacing w:after="120" w:line="240" w:lineRule="auto"/>
        <w:ind w:left="3119" w:hanging="3119"/>
        <w:rPr>
          <w:rFonts w:cs="Calibri"/>
          <w:color w:val="000000"/>
          <w:sz w:val="22"/>
          <w:szCs w:val="22"/>
        </w:rPr>
      </w:pPr>
      <w:r w:rsidRPr="00E402B9">
        <w:rPr>
          <w:rFonts w:cs="Calibri"/>
          <w:color w:val="000000"/>
          <w:sz w:val="22"/>
          <w:szCs w:val="22"/>
        </w:rPr>
        <w:t>GŘC</w:t>
      </w:r>
      <w:r w:rsidR="00540530" w:rsidRPr="00E402B9">
        <w:rPr>
          <w:rFonts w:cs="Calibri"/>
          <w:color w:val="000000"/>
          <w:sz w:val="22"/>
          <w:szCs w:val="22"/>
        </w:rPr>
        <w:tab/>
        <w:t>Generální ředitelství cel</w:t>
      </w:r>
    </w:p>
    <w:p w14:paraId="00C3D90A" w14:textId="7D43F117" w:rsidR="00FD1145" w:rsidRPr="00E402B9" w:rsidRDefault="00FD1145" w:rsidP="00F16B71">
      <w:pPr>
        <w:spacing w:after="120" w:line="240" w:lineRule="auto"/>
        <w:ind w:left="3119" w:hanging="3119"/>
        <w:rPr>
          <w:rFonts w:cs="Calibri"/>
          <w:sz w:val="22"/>
          <w:szCs w:val="22"/>
        </w:rPr>
      </w:pPr>
      <w:r w:rsidRPr="00E402B9">
        <w:rPr>
          <w:rFonts w:cs="Calibri"/>
          <w:sz w:val="22"/>
          <w:szCs w:val="22"/>
        </w:rPr>
        <w:t>JČS</w:t>
      </w:r>
      <w:r w:rsidRPr="00E402B9">
        <w:rPr>
          <w:rFonts w:cs="Calibri"/>
          <w:sz w:val="22"/>
          <w:szCs w:val="22"/>
        </w:rPr>
        <w:tab/>
        <w:t>jiný členský stát</w:t>
      </w:r>
    </w:p>
    <w:p w14:paraId="13F85468" w14:textId="3FDCC168" w:rsidR="00540530" w:rsidRDefault="00FD1145" w:rsidP="00572C02">
      <w:pPr>
        <w:spacing w:after="120" w:line="240" w:lineRule="auto"/>
        <w:ind w:left="3119" w:hanging="3119"/>
        <w:rPr>
          <w:rFonts w:cs="Calibri"/>
          <w:color w:val="000000"/>
          <w:sz w:val="22"/>
          <w:szCs w:val="22"/>
        </w:rPr>
      </w:pPr>
      <w:r w:rsidRPr="00E402B9">
        <w:rPr>
          <w:rFonts w:cs="Calibri"/>
          <w:color w:val="000000"/>
          <w:sz w:val="22"/>
          <w:szCs w:val="22"/>
        </w:rPr>
        <w:t>MF</w:t>
      </w:r>
      <w:r w:rsidRPr="00E402B9">
        <w:rPr>
          <w:rFonts w:cs="Calibri"/>
          <w:color w:val="000000"/>
          <w:sz w:val="22"/>
          <w:szCs w:val="22"/>
        </w:rPr>
        <w:tab/>
        <w:t>Ministerstvo financí</w:t>
      </w:r>
      <w:r w:rsidRPr="00E402B9">
        <w:rPr>
          <w:rFonts w:cs="Calibri"/>
          <w:color w:val="000000"/>
          <w:sz w:val="22"/>
          <w:szCs w:val="22"/>
        </w:rPr>
        <w:tab/>
      </w:r>
    </w:p>
    <w:p w14:paraId="6FE83A1C" w14:textId="77777777" w:rsidR="00572C02" w:rsidRDefault="00572C02" w:rsidP="00572C02">
      <w:pPr>
        <w:spacing w:after="0" w:line="240" w:lineRule="auto"/>
        <w:ind w:left="3119" w:hanging="3119"/>
        <w:rPr>
          <w:rFonts w:cs="Calibri"/>
          <w:bCs/>
          <w:color w:val="333333"/>
          <w:sz w:val="22"/>
          <w:szCs w:val="22"/>
          <w:shd w:val="clear" w:color="auto" w:fill="FFFFFF"/>
        </w:rPr>
      </w:pPr>
      <w:r w:rsidRPr="007E2F9E">
        <w:rPr>
          <w:rFonts w:cs="Calibri"/>
          <w:color w:val="000000"/>
          <w:spacing w:val="-2"/>
          <w:sz w:val="22"/>
          <w:szCs w:val="22"/>
        </w:rPr>
        <w:t xml:space="preserve">nařízení Rady </w:t>
      </w:r>
      <w:r w:rsidRPr="00E402B9">
        <w:rPr>
          <w:rFonts w:cs="Calibri"/>
          <w:color w:val="000000"/>
          <w:sz w:val="22"/>
          <w:szCs w:val="22"/>
        </w:rPr>
        <w:tab/>
      </w:r>
      <w:r>
        <w:rPr>
          <w:rFonts w:cs="Calibri"/>
          <w:color w:val="000000"/>
          <w:sz w:val="22"/>
          <w:szCs w:val="22"/>
        </w:rPr>
        <w:t>n</w:t>
      </w:r>
      <w:r w:rsidRPr="00E402B9">
        <w:rPr>
          <w:rFonts w:cs="Calibri"/>
          <w:color w:val="000000"/>
          <w:sz w:val="22"/>
          <w:szCs w:val="22"/>
        </w:rPr>
        <w:t xml:space="preserve">ařízení Rady (EU) č. 904/2010 </w:t>
      </w:r>
      <w:r w:rsidRPr="00E402B9">
        <w:rPr>
          <w:rFonts w:cs="Calibri"/>
          <w:bCs/>
          <w:color w:val="333333"/>
          <w:sz w:val="22"/>
          <w:szCs w:val="22"/>
          <w:shd w:val="clear" w:color="auto" w:fill="FFFFFF"/>
        </w:rPr>
        <w:t>ze dne 7.</w:t>
      </w:r>
      <w:r>
        <w:rPr>
          <w:rFonts w:cs="Calibri"/>
          <w:bCs/>
          <w:color w:val="333333"/>
          <w:sz w:val="22"/>
          <w:szCs w:val="22"/>
          <w:shd w:val="clear" w:color="auto" w:fill="FFFFFF"/>
        </w:rPr>
        <w:t xml:space="preserve"> </w:t>
      </w:r>
      <w:r w:rsidRPr="00E402B9">
        <w:rPr>
          <w:rFonts w:cs="Calibri"/>
          <w:bCs/>
          <w:color w:val="333333"/>
          <w:sz w:val="22"/>
          <w:szCs w:val="22"/>
          <w:shd w:val="clear" w:color="auto" w:fill="FFFFFF"/>
        </w:rPr>
        <w:t>října 2010</w:t>
      </w:r>
      <w:r>
        <w:rPr>
          <w:rFonts w:cs="Calibri"/>
          <w:bCs/>
          <w:color w:val="333333"/>
          <w:sz w:val="22"/>
          <w:szCs w:val="22"/>
          <w:shd w:val="clear" w:color="auto" w:fill="FFFFFF"/>
        </w:rPr>
        <w:t>,</w:t>
      </w:r>
      <w:r w:rsidRPr="00E402B9">
        <w:rPr>
          <w:rFonts w:cs="Calibri"/>
          <w:bCs/>
          <w:color w:val="333333"/>
          <w:sz w:val="22"/>
          <w:szCs w:val="22"/>
          <w:shd w:val="clear" w:color="auto" w:fill="FFFFFF"/>
        </w:rPr>
        <w:t xml:space="preserve"> o</w:t>
      </w:r>
      <w:r>
        <w:rPr>
          <w:rFonts w:cs="Calibri"/>
          <w:bCs/>
          <w:color w:val="333333"/>
          <w:sz w:val="22"/>
          <w:szCs w:val="22"/>
          <w:shd w:val="clear" w:color="auto" w:fill="FFFFFF"/>
        </w:rPr>
        <w:t xml:space="preserve"> </w:t>
      </w:r>
      <w:r w:rsidRPr="00E402B9">
        <w:rPr>
          <w:rFonts w:cs="Calibri"/>
          <w:bCs/>
          <w:color w:val="333333"/>
          <w:sz w:val="22"/>
          <w:szCs w:val="22"/>
          <w:shd w:val="clear" w:color="auto" w:fill="FFFFFF"/>
        </w:rPr>
        <w:t xml:space="preserve">správní </w:t>
      </w:r>
    </w:p>
    <w:p w14:paraId="3B0A3BD5" w14:textId="77777777" w:rsidR="00572C02" w:rsidRPr="00E402B9" w:rsidRDefault="00572C02" w:rsidP="00572C02">
      <w:pPr>
        <w:spacing w:after="120" w:line="240" w:lineRule="auto"/>
        <w:ind w:left="3119" w:hanging="3119"/>
        <w:rPr>
          <w:rFonts w:cs="Calibri"/>
          <w:bCs/>
          <w:color w:val="333333"/>
          <w:sz w:val="22"/>
          <w:szCs w:val="22"/>
          <w:shd w:val="clear" w:color="auto" w:fill="FFFFFF"/>
        </w:rPr>
      </w:pPr>
      <w:r w:rsidRPr="007E2F9E">
        <w:rPr>
          <w:rFonts w:cs="Calibri"/>
          <w:color w:val="000000"/>
          <w:spacing w:val="-2"/>
          <w:sz w:val="22"/>
          <w:szCs w:val="22"/>
        </w:rPr>
        <w:t>(EU) č. 904/2010</w:t>
      </w:r>
      <w:r w:rsidRPr="00E402B9">
        <w:rPr>
          <w:rFonts w:cs="Calibri"/>
          <w:color w:val="000000"/>
          <w:sz w:val="22"/>
          <w:szCs w:val="22"/>
        </w:rPr>
        <w:t xml:space="preserve"> </w:t>
      </w:r>
      <w:r>
        <w:rPr>
          <w:rFonts w:cs="Calibri"/>
          <w:color w:val="000000"/>
          <w:sz w:val="22"/>
          <w:szCs w:val="22"/>
        </w:rPr>
        <w:tab/>
      </w:r>
      <w:r w:rsidRPr="00E402B9">
        <w:rPr>
          <w:rFonts w:cs="Calibri"/>
          <w:bCs/>
          <w:color w:val="333333"/>
          <w:sz w:val="22"/>
          <w:szCs w:val="22"/>
          <w:shd w:val="clear" w:color="auto" w:fill="FFFFFF"/>
        </w:rPr>
        <w:t>spolupráci a boji proti podvodům v oblasti daně z přidané hodnoty</w:t>
      </w:r>
    </w:p>
    <w:p w14:paraId="21E5B5EF" w14:textId="12F47925" w:rsidR="00FD1145" w:rsidRPr="00E402B9" w:rsidRDefault="00D41BF5" w:rsidP="00F16B71">
      <w:pPr>
        <w:spacing w:after="120" w:line="240" w:lineRule="auto"/>
        <w:ind w:left="3119" w:hanging="3119"/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n</w:t>
      </w:r>
      <w:r w:rsidR="00540530" w:rsidRPr="00E402B9">
        <w:rPr>
          <w:rFonts w:cs="Calibri"/>
          <w:color w:val="000000"/>
          <w:sz w:val="22"/>
          <w:szCs w:val="22"/>
        </w:rPr>
        <w:t>eusazená osoba</w:t>
      </w:r>
      <w:r w:rsidR="00540530" w:rsidRPr="00E402B9">
        <w:rPr>
          <w:rFonts w:cs="Calibri"/>
          <w:color w:val="000000"/>
          <w:sz w:val="22"/>
          <w:szCs w:val="22"/>
        </w:rPr>
        <w:tab/>
      </w:r>
      <w:proofErr w:type="spellStart"/>
      <w:r w:rsidR="00540530" w:rsidRPr="00E402B9">
        <w:rPr>
          <w:rFonts w:cs="Calibri"/>
          <w:color w:val="000000"/>
          <w:sz w:val="22"/>
          <w:szCs w:val="22"/>
        </w:rPr>
        <w:t>osoba</w:t>
      </w:r>
      <w:proofErr w:type="spellEnd"/>
      <w:r w:rsidR="00540530" w:rsidRPr="00E402B9">
        <w:rPr>
          <w:rFonts w:cs="Calibri"/>
          <w:color w:val="000000"/>
          <w:sz w:val="22"/>
          <w:szCs w:val="22"/>
        </w:rPr>
        <w:t xml:space="preserve"> neusazená v tuzemsku</w:t>
      </w:r>
    </w:p>
    <w:p w14:paraId="7223806A" w14:textId="512E98D1" w:rsidR="00FD1145" w:rsidRDefault="00FD1145" w:rsidP="00572C02">
      <w:pPr>
        <w:spacing w:after="120" w:line="240" w:lineRule="auto"/>
        <w:ind w:left="3119" w:hanging="3119"/>
        <w:rPr>
          <w:rFonts w:cs="Calibri"/>
          <w:color w:val="000000"/>
          <w:sz w:val="22"/>
          <w:szCs w:val="22"/>
        </w:rPr>
      </w:pPr>
      <w:r w:rsidRPr="00E402B9">
        <w:rPr>
          <w:rFonts w:cs="Calibri"/>
          <w:color w:val="000000"/>
          <w:sz w:val="22"/>
          <w:szCs w:val="22"/>
        </w:rPr>
        <w:t>NKÚ</w:t>
      </w:r>
      <w:r w:rsidRPr="00E402B9">
        <w:rPr>
          <w:rFonts w:cs="Calibri"/>
          <w:color w:val="000000"/>
          <w:sz w:val="22"/>
          <w:szCs w:val="22"/>
        </w:rPr>
        <w:tab/>
        <w:t>Nejvyšší kontrolní úřad</w:t>
      </w:r>
    </w:p>
    <w:p w14:paraId="1A5807BB" w14:textId="77777777" w:rsidR="00572C02" w:rsidRDefault="00572C02" w:rsidP="00572C02">
      <w:pPr>
        <w:keepNext/>
        <w:keepLines/>
        <w:spacing w:after="0" w:line="240" w:lineRule="auto"/>
        <w:ind w:left="3119" w:hanging="3119"/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lastRenderedPageBreak/>
        <w:t>p</w:t>
      </w:r>
      <w:r w:rsidRPr="00E402B9">
        <w:rPr>
          <w:rFonts w:cs="Calibri"/>
          <w:color w:val="000000"/>
          <w:sz w:val="22"/>
          <w:szCs w:val="22"/>
        </w:rPr>
        <w:t xml:space="preserve">rováděcí nařízení </w:t>
      </w:r>
      <w:r w:rsidRPr="00E402B9">
        <w:rPr>
          <w:rFonts w:cs="Calibri"/>
          <w:color w:val="000000"/>
          <w:sz w:val="22"/>
          <w:szCs w:val="22"/>
        </w:rPr>
        <w:tab/>
      </w:r>
      <w:r>
        <w:rPr>
          <w:rFonts w:cs="Calibri"/>
          <w:color w:val="000000"/>
          <w:sz w:val="22"/>
          <w:szCs w:val="22"/>
        </w:rPr>
        <w:t>p</w:t>
      </w:r>
      <w:r w:rsidRPr="00E402B9">
        <w:rPr>
          <w:rFonts w:cs="Calibri"/>
          <w:color w:val="000000"/>
          <w:sz w:val="22"/>
          <w:szCs w:val="22"/>
        </w:rPr>
        <w:t>rováděcí nařízení Rady (EU) č. 282/2011 ze dne</w:t>
      </w:r>
      <w:r>
        <w:rPr>
          <w:rFonts w:cs="Calibri"/>
          <w:color w:val="000000"/>
          <w:sz w:val="22"/>
          <w:szCs w:val="22"/>
        </w:rPr>
        <w:t xml:space="preserve"> </w:t>
      </w:r>
      <w:r w:rsidRPr="00E402B9">
        <w:rPr>
          <w:rFonts w:cs="Calibri"/>
          <w:color w:val="000000"/>
          <w:sz w:val="22"/>
          <w:szCs w:val="22"/>
        </w:rPr>
        <w:t>15. března 2011,</w:t>
      </w:r>
      <w:r>
        <w:rPr>
          <w:rFonts w:cs="Calibri"/>
          <w:color w:val="000000"/>
          <w:sz w:val="22"/>
          <w:szCs w:val="22"/>
        </w:rPr>
        <w:t xml:space="preserve"> </w:t>
      </w:r>
    </w:p>
    <w:p w14:paraId="5BEB3D9F" w14:textId="77777777" w:rsidR="00572C02" w:rsidRPr="00E402B9" w:rsidRDefault="00572C02" w:rsidP="00572C02">
      <w:pPr>
        <w:keepNext/>
        <w:keepLines/>
        <w:spacing w:after="120" w:line="240" w:lineRule="auto"/>
        <w:ind w:left="3119" w:hanging="3119"/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 xml:space="preserve">Rady </w:t>
      </w:r>
      <w:r w:rsidRPr="00E402B9">
        <w:rPr>
          <w:rFonts w:cs="Calibri"/>
          <w:color w:val="000000"/>
          <w:sz w:val="22"/>
          <w:szCs w:val="22"/>
        </w:rPr>
        <w:t>282/2011</w:t>
      </w:r>
      <w:r>
        <w:rPr>
          <w:rFonts w:cs="Calibri"/>
          <w:color w:val="000000"/>
          <w:sz w:val="22"/>
          <w:szCs w:val="22"/>
        </w:rPr>
        <w:tab/>
      </w:r>
      <w:r w:rsidRPr="00E402B9">
        <w:rPr>
          <w:rFonts w:cs="Calibri"/>
          <w:color w:val="000000"/>
          <w:sz w:val="22"/>
          <w:szCs w:val="22"/>
        </w:rPr>
        <w:t>kterým se stanoví prováděcí opatření ke směrnici 2006/112/ES</w:t>
      </w:r>
      <w:r>
        <w:rPr>
          <w:rFonts w:cs="Calibri"/>
          <w:color w:val="000000"/>
          <w:sz w:val="22"/>
          <w:szCs w:val="22"/>
        </w:rPr>
        <w:t>,</w:t>
      </w:r>
      <w:r w:rsidRPr="00E402B9">
        <w:rPr>
          <w:rFonts w:cs="Calibri"/>
          <w:color w:val="000000"/>
          <w:sz w:val="22"/>
          <w:szCs w:val="22"/>
        </w:rPr>
        <w:t xml:space="preserve"> o</w:t>
      </w:r>
      <w:r>
        <w:rPr>
          <w:rFonts w:cs="Calibri"/>
          <w:color w:val="000000"/>
          <w:sz w:val="22"/>
          <w:szCs w:val="22"/>
        </w:rPr>
        <w:t> </w:t>
      </w:r>
      <w:r w:rsidRPr="00E402B9">
        <w:rPr>
          <w:rFonts w:cs="Calibri"/>
          <w:color w:val="000000"/>
          <w:sz w:val="22"/>
          <w:szCs w:val="22"/>
        </w:rPr>
        <w:t>společném systému daně z přidané hodnoty</w:t>
      </w:r>
    </w:p>
    <w:p w14:paraId="1ABCB4C1" w14:textId="6CDB2A29" w:rsidR="00572C02" w:rsidRPr="00E402B9" w:rsidRDefault="00572C02" w:rsidP="00F16B71">
      <w:pPr>
        <w:spacing w:after="120" w:line="240" w:lineRule="auto"/>
        <w:ind w:left="3119" w:hanging="3119"/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Rada</w:t>
      </w:r>
      <w:r>
        <w:rPr>
          <w:rFonts w:cs="Calibri"/>
          <w:color w:val="000000"/>
          <w:sz w:val="22"/>
          <w:szCs w:val="22"/>
        </w:rPr>
        <w:tab/>
      </w:r>
      <w:proofErr w:type="spellStart"/>
      <w:r>
        <w:rPr>
          <w:rFonts w:cs="Calibri"/>
          <w:color w:val="000000"/>
          <w:sz w:val="22"/>
          <w:szCs w:val="22"/>
        </w:rPr>
        <w:t>Rada</w:t>
      </w:r>
      <w:proofErr w:type="spellEnd"/>
      <w:r>
        <w:rPr>
          <w:rFonts w:cs="Calibri"/>
          <w:color w:val="000000"/>
          <w:sz w:val="22"/>
          <w:szCs w:val="22"/>
        </w:rPr>
        <w:t xml:space="preserve"> Evropské unie</w:t>
      </w:r>
    </w:p>
    <w:p w14:paraId="332D16FD" w14:textId="47D82E86" w:rsidR="00FD1145" w:rsidRPr="00E402B9" w:rsidRDefault="00D41BF5" w:rsidP="00F16B71">
      <w:pPr>
        <w:spacing w:after="120" w:line="240" w:lineRule="auto"/>
        <w:ind w:left="3119" w:hanging="3119"/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r</w:t>
      </w:r>
      <w:r w:rsidR="00FD1145" w:rsidRPr="00E402B9">
        <w:rPr>
          <w:rFonts w:cs="Calibri"/>
          <w:color w:val="000000"/>
          <w:sz w:val="22"/>
          <w:szCs w:val="22"/>
        </w:rPr>
        <w:t>ežim MOSS</w:t>
      </w:r>
      <w:r w:rsidR="00FD1145" w:rsidRPr="00E402B9">
        <w:rPr>
          <w:rFonts w:cs="Calibri"/>
          <w:color w:val="000000"/>
          <w:sz w:val="22"/>
          <w:szCs w:val="22"/>
        </w:rPr>
        <w:tab/>
        <w:t>z</w:t>
      </w:r>
      <w:r w:rsidR="00905E66" w:rsidRPr="00E402B9">
        <w:rPr>
          <w:rFonts w:cs="Calibri"/>
          <w:color w:val="000000"/>
          <w:sz w:val="22"/>
          <w:szCs w:val="22"/>
        </w:rPr>
        <w:t>jednodušený z</w:t>
      </w:r>
      <w:r w:rsidR="00FD1145" w:rsidRPr="00E402B9">
        <w:rPr>
          <w:rFonts w:cs="Calibri"/>
          <w:color w:val="000000"/>
          <w:sz w:val="22"/>
          <w:szCs w:val="22"/>
        </w:rPr>
        <w:t xml:space="preserve">vláštní režim </w:t>
      </w:r>
      <w:r w:rsidR="00905E66" w:rsidRPr="00E402B9">
        <w:rPr>
          <w:rFonts w:cs="Calibri"/>
          <w:color w:val="000000"/>
          <w:sz w:val="22"/>
          <w:szCs w:val="22"/>
        </w:rPr>
        <w:t>j</w:t>
      </w:r>
      <w:r w:rsidR="00FD1145" w:rsidRPr="00E402B9">
        <w:rPr>
          <w:rFonts w:cs="Calibri"/>
          <w:color w:val="000000"/>
          <w:sz w:val="22"/>
          <w:szCs w:val="22"/>
        </w:rPr>
        <w:t>ednoho správního místa</w:t>
      </w:r>
    </w:p>
    <w:p w14:paraId="7A54C21C" w14:textId="07304898" w:rsidR="00FD1145" w:rsidRPr="00E402B9" w:rsidRDefault="00D41BF5" w:rsidP="00F16B71">
      <w:pPr>
        <w:spacing w:after="120" w:line="240" w:lineRule="auto"/>
        <w:ind w:left="3119" w:right="-142" w:hanging="3119"/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s</w:t>
      </w:r>
      <w:r w:rsidR="00FD1145" w:rsidRPr="00E402B9">
        <w:rPr>
          <w:rFonts w:cs="Calibri"/>
          <w:color w:val="000000"/>
          <w:sz w:val="22"/>
          <w:szCs w:val="22"/>
        </w:rPr>
        <w:t xml:space="preserve">měrnice </w:t>
      </w:r>
      <w:r>
        <w:rPr>
          <w:rFonts w:cs="Calibri"/>
          <w:color w:val="000000"/>
          <w:sz w:val="22"/>
          <w:szCs w:val="22"/>
        </w:rPr>
        <w:t>o</w:t>
      </w:r>
      <w:r w:rsidR="00905E66" w:rsidRPr="00E402B9">
        <w:rPr>
          <w:rFonts w:cs="Calibri"/>
          <w:color w:val="000000"/>
          <w:sz w:val="22"/>
          <w:szCs w:val="22"/>
        </w:rPr>
        <w:t xml:space="preserve"> DPH</w:t>
      </w:r>
      <w:r w:rsidR="00FD1145" w:rsidRPr="00E402B9">
        <w:rPr>
          <w:rFonts w:cs="Calibri"/>
          <w:color w:val="000000"/>
          <w:sz w:val="22"/>
          <w:szCs w:val="22"/>
        </w:rPr>
        <w:tab/>
      </w:r>
      <w:r>
        <w:rPr>
          <w:rFonts w:cs="Calibri"/>
          <w:color w:val="000000"/>
          <w:sz w:val="22"/>
          <w:szCs w:val="22"/>
        </w:rPr>
        <w:t>s</w:t>
      </w:r>
      <w:r w:rsidR="00FD1145" w:rsidRPr="00E402B9">
        <w:rPr>
          <w:rFonts w:cs="Calibri"/>
          <w:color w:val="000000"/>
          <w:sz w:val="22"/>
          <w:szCs w:val="22"/>
        </w:rPr>
        <w:t>měrnice Rady 2006/112/ES ze dne 28. listopadu 2006</w:t>
      </w:r>
      <w:r>
        <w:rPr>
          <w:rFonts w:cs="Calibri"/>
          <w:color w:val="000000"/>
          <w:sz w:val="22"/>
          <w:szCs w:val="22"/>
        </w:rPr>
        <w:t>,</w:t>
      </w:r>
      <w:r w:rsidR="00E402B9">
        <w:rPr>
          <w:rFonts w:cs="Calibri"/>
          <w:color w:val="000000"/>
          <w:sz w:val="22"/>
          <w:szCs w:val="22"/>
        </w:rPr>
        <w:t xml:space="preserve"> </w:t>
      </w:r>
      <w:r w:rsidR="00FD1145" w:rsidRPr="00E402B9">
        <w:rPr>
          <w:rFonts w:cs="Calibri"/>
          <w:color w:val="000000"/>
          <w:sz w:val="22"/>
          <w:szCs w:val="22"/>
        </w:rPr>
        <w:t>o společném systému daně z přidané hodnoty</w:t>
      </w:r>
    </w:p>
    <w:p w14:paraId="543DFBDB" w14:textId="6A7A1396" w:rsidR="00572C02" w:rsidRDefault="00540530" w:rsidP="00572C02">
      <w:pPr>
        <w:spacing w:after="120" w:line="240" w:lineRule="auto"/>
        <w:ind w:left="3119" w:hanging="3119"/>
        <w:rPr>
          <w:sz w:val="22"/>
          <w:szCs w:val="22"/>
        </w:rPr>
      </w:pPr>
      <w:r w:rsidRPr="00E402B9">
        <w:rPr>
          <w:rFonts w:cs="Calibri"/>
          <w:color w:val="000000"/>
          <w:sz w:val="22"/>
          <w:szCs w:val="22"/>
        </w:rPr>
        <w:t>SRDS</w:t>
      </w:r>
      <w:r w:rsidRPr="00E402B9">
        <w:rPr>
          <w:rFonts w:cs="Calibri"/>
          <w:color w:val="000000"/>
          <w:sz w:val="22"/>
          <w:szCs w:val="22"/>
        </w:rPr>
        <w:tab/>
      </w:r>
      <w:r w:rsidRPr="00E402B9">
        <w:rPr>
          <w:rFonts w:cstheme="minorHAnsi"/>
          <w:sz w:val="22"/>
          <w:szCs w:val="22"/>
        </w:rPr>
        <w:t xml:space="preserve">elektronické zjednodušené celní prohlášení </w:t>
      </w:r>
      <w:r w:rsidR="0093448B">
        <w:rPr>
          <w:rFonts w:cstheme="minorHAnsi"/>
          <w:sz w:val="22"/>
          <w:szCs w:val="22"/>
        </w:rPr>
        <w:br/>
      </w:r>
      <w:r w:rsidR="00D41BF5">
        <w:rPr>
          <w:sz w:val="22"/>
          <w:szCs w:val="22"/>
        </w:rPr>
        <w:t>(</w:t>
      </w:r>
      <w:r w:rsidRPr="00E402B9">
        <w:rPr>
          <w:sz w:val="22"/>
          <w:szCs w:val="22"/>
        </w:rPr>
        <w:t xml:space="preserve">Super </w:t>
      </w:r>
      <w:proofErr w:type="spellStart"/>
      <w:r w:rsidRPr="00E402B9">
        <w:rPr>
          <w:sz w:val="22"/>
          <w:szCs w:val="22"/>
        </w:rPr>
        <w:t>Reduced</w:t>
      </w:r>
      <w:proofErr w:type="spellEnd"/>
      <w:r w:rsidRPr="00E402B9">
        <w:rPr>
          <w:sz w:val="22"/>
          <w:szCs w:val="22"/>
        </w:rPr>
        <w:t xml:space="preserve"> Data Set</w:t>
      </w:r>
      <w:r w:rsidR="00D41BF5">
        <w:rPr>
          <w:sz w:val="22"/>
          <w:szCs w:val="22"/>
        </w:rPr>
        <w:t>)</w:t>
      </w:r>
    </w:p>
    <w:p w14:paraId="6AE92471" w14:textId="684E510F" w:rsidR="00540530" w:rsidRPr="00E402B9" w:rsidRDefault="00572C02" w:rsidP="00F16B71">
      <w:pPr>
        <w:spacing w:after="120" w:line="240" w:lineRule="auto"/>
        <w:ind w:left="3119" w:hanging="3119"/>
        <w:rPr>
          <w:rFonts w:cs="Calibri"/>
          <w:color w:val="000000"/>
          <w:sz w:val="22"/>
          <w:szCs w:val="22"/>
        </w:rPr>
      </w:pPr>
      <w:r w:rsidRPr="00E402B9">
        <w:rPr>
          <w:rFonts w:cs="Calibri"/>
          <w:color w:val="000000"/>
          <w:sz w:val="22"/>
          <w:szCs w:val="22"/>
        </w:rPr>
        <w:t>subjekt</w:t>
      </w:r>
      <w:r w:rsidRPr="00E402B9">
        <w:rPr>
          <w:rFonts w:cs="Calibri"/>
          <w:color w:val="000000"/>
          <w:sz w:val="22"/>
          <w:szCs w:val="22"/>
        </w:rPr>
        <w:tab/>
        <w:t>osoba povinná k dani</w:t>
      </w:r>
    </w:p>
    <w:p w14:paraId="55B48587" w14:textId="5FC9DD05" w:rsidR="009338D2" w:rsidRDefault="009338D2" w:rsidP="00572C02">
      <w:pPr>
        <w:spacing w:after="120" w:line="240" w:lineRule="auto"/>
        <w:ind w:left="3119" w:hanging="3119"/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Unie</w:t>
      </w:r>
      <w:r>
        <w:rPr>
          <w:rFonts w:cs="Calibri"/>
          <w:color w:val="000000"/>
          <w:sz w:val="22"/>
          <w:szCs w:val="22"/>
        </w:rPr>
        <w:tab/>
        <w:t>Evropská unie</w:t>
      </w:r>
    </w:p>
    <w:p w14:paraId="4A26DFAB" w14:textId="486668B1" w:rsidR="009338D2" w:rsidRDefault="009338D2" w:rsidP="00F16B71">
      <w:pPr>
        <w:spacing w:after="120" w:line="240" w:lineRule="auto"/>
        <w:ind w:left="3119" w:hanging="3119"/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USA</w:t>
      </w:r>
      <w:r>
        <w:rPr>
          <w:rFonts w:cs="Calibri"/>
          <w:color w:val="000000"/>
          <w:sz w:val="22"/>
          <w:szCs w:val="22"/>
        </w:rPr>
        <w:tab/>
        <w:t>Spojené státy americké</w:t>
      </w:r>
    </w:p>
    <w:p w14:paraId="5FB3788A" w14:textId="246A10DB" w:rsidR="009338D2" w:rsidRDefault="009338D2" w:rsidP="00F16B71">
      <w:pPr>
        <w:spacing w:after="120" w:line="240" w:lineRule="auto"/>
        <w:ind w:left="3119" w:hanging="3119"/>
        <w:rPr>
          <w:rFonts w:cs="Calibri"/>
          <w:color w:val="000000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USD</w:t>
      </w:r>
      <w:r>
        <w:rPr>
          <w:rFonts w:cs="Calibri"/>
          <w:color w:val="000000"/>
          <w:sz w:val="22"/>
          <w:szCs w:val="22"/>
        </w:rPr>
        <w:tab/>
        <w:t>americký dolar</w:t>
      </w:r>
    </w:p>
    <w:p w14:paraId="11AA3100" w14:textId="1632A800" w:rsidR="0033438F" w:rsidRPr="00E402B9" w:rsidRDefault="0033438F" w:rsidP="00F16B71">
      <w:pPr>
        <w:spacing w:after="120" w:line="240" w:lineRule="auto"/>
        <w:ind w:left="3119" w:hanging="3119"/>
        <w:rPr>
          <w:rFonts w:cs="Calibri"/>
          <w:color w:val="000000"/>
          <w:sz w:val="22"/>
          <w:szCs w:val="22"/>
        </w:rPr>
      </w:pPr>
      <w:r w:rsidRPr="00E402B9">
        <w:rPr>
          <w:rFonts w:cs="Calibri"/>
          <w:color w:val="000000"/>
          <w:sz w:val="22"/>
          <w:szCs w:val="22"/>
        </w:rPr>
        <w:t xml:space="preserve">zákon o DPH </w:t>
      </w:r>
      <w:r w:rsidRPr="00E402B9">
        <w:rPr>
          <w:rFonts w:cs="Calibri"/>
          <w:color w:val="000000"/>
          <w:sz w:val="22"/>
          <w:szCs w:val="22"/>
        </w:rPr>
        <w:tab/>
        <w:t>zákon č. 235/2004 Sb., o dani z přidané hodnoty</w:t>
      </w:r>
    </w:p>
    <w:p w14:paraId="7BAAA254" w14:textId="3E2531CC" w:rsidR="0033438F" w:rsidRPr="00E402B9" w:rsidRDefault="0033438F" w:rsidP="00F16B71">
      <w:pPr>
        <w:spacing w:after="120" w:line="240" w:lineRule="auto"/>
        <w:ind w:left="3119" w:hanging="3119"/>
        <w:rPr>
          <w:rFonts w:cs="Calibri"/>
          <w:bCs/>
          <w:color w:val="333333"/>
          <w:sz w:val="22"/>
          <w:szCs w:val="22"/>
          <w:shd w:val="clear" w:color="auto" w:fill="FFFFFF"/>
        </w:rPr>
      </w:pPr>
      <w:r w:rsidRPr="00E402B9">
        <w:rPr>
          <w:rFonts w:cs="Calibri"/>
          <w:bCs/>
          <w:color w:val="333333"/>
          <w:sz w:val="22"/>
          <w:szCs w:val="22"/>
          <w:shd w:val="clear" w:color="auto" w:fill="FFFFFF"/>
        </w:rPr>
        <w:t>zvláštní režim</w:t>
      </w:r>
      <w:r w:rsidRPr="00E402B9">
        <w:rPr>
          <w:rFonts w:cs="Calibri"/>
          <w:bCs/>
          <w:color w:val="333333"/>
          <w:sz w:val="22"/>
          <w:szCs w:val="22"/>
          <w:shd w:val="clear" w:color="auto" w:fill="FFFFFF"/>
        </w:rPr>
        <w:tab/>
        <w:t>zvláštní režim jednoho správního místa</w:t>
      </w:r>
    </w:p>
    <w:p w14:paraId="26A0C87D" w14:textId="29033810" w:rsidR="00540530" w:rsidRPr="00E402B9" w:rsidRDefault="0093448B" w:rsidP="00F16B71">
      <w:pPr>
        <w:spacing w:after="120" w:line="240" w:lineRule="auto"/>
        <w:ind w:left="3119" w:hanging="3119"/>
        <w:rPr>
          <w:rFonts w:cs="Calibri"/>
          <w:bCs/>
          <w:color w:val="333333"/>
          <w:sz w:val="22"/>
          <w:szCs w:val="22"/>
          <w:shd w:val="clear" w:color="auto" w:fill="FFFFFF"/>
        </w:rPr>
      </w:pPr>
      <w:r>
        <w:rPr>
          <w:rFonts w:cs="Calibri"/>
          <w:bCs/>
          <w:color w:val="333333"/>
          <w:sz w:val="22"/>
          <w:szCs w:val="22"/>
          <w:shd w:val="clear" w:color="auto" w:fill="FFFFFF"/>
        </w:rPr>
        <w:t>z</w:t>
      </w:r>
      <w:r w:rsidR="00540530" w:rsidRPr="00E402B9">
        <w:rPr>
          <w:rFonts w:cs="Calibri"/>
          <w:bCs/>
          <w:color w:val="333333"/>
          <w:sz w:val="22"/>
          <w:szCs w:val="22"/>
          <w:shd w:val="clear" w:color="auto" w:fill="FFFFFF"/>
        </w:rPr>
        <w:t>vláštní zpráva č. 8/2025</w:t>
      </w:r>
      <w:r w:rsidR="00540530" w:rsidRPr="00E402B9">
        <w:rPr>
          <w:rFonts w:cs="Calibri"/>
          <w:bCs/>
          <w:color w:val="333333"/>
          <w:sz w:val="22"/>
          <w:szCs w:val="22"/>
          <w:shd w:val="clear" w:color="auto" w:fill="FFFFFF"/>
        </w:rPr>
        <w:tab/>
      </w:r>
      <w:r>
        <w:rPr>
          <w:rFonts w:cs="Calibri"/>
          <w:bCs/>
          <w:color w:val="333333"/>
          <w:sz w:val="22"/>
          <w:szCs w:val="22"/>
          <w:shd w:val="clear" w:color="auto" w:fill="FFFFFF"/>
        </w:rPr>
        <w:t>z</w:t>
      </w:r>
      <w:r w:rsidR="00540530" w:rsidRPr="00E402B9">
        <w:rPr>
          <w:rFonts w:cs="Calibri"/>
          <w:bCs/>
          <w:color w:val="333333"/>
          <w:sz w:val="22"/>
          <w:szCs w:val="22"/>
          <w:shd w:val="clear" w:color="auto" w:fill="FFFFFF"/>
        </w:rPr>
        <w:t xml:space="preserve">vláštní zpráva EÚD č. 8/2025 </w:t>
      </w:r>
      <w:r>
        <w:rPr>
          <w:rFonts w:cstheme="minorHAnsi"/>
          <w:bCs/>
          <w:color w:val="333333"/>
          <w:sz w:val="22"/>
          <w:szCs w:val="22"/>
          <w:shd w:val="clear" w:color="auto" w:fill="FFFFFF"/>
        </w:rPr>
        <w:t>–</w:t>
      </w:r>
      <w:r>
        <w:rPr>
          <w:rFonts w:cs="Calibri"/>
          <w:bCs/>
          <w:color w:val="333333"/>
          <w:sz w:val="22"/>
          <w:szCs w:val="22"/>
          <w:shd w:val="clear" w:color="auto" w:fill="FFFFFF"/>
        </w:rPr>
        <w:t xml:space="preserve"> </w:t>
      </w:r>
      <w:r w:rsidR="00540530" w:rsidRPr="00F16B71">
        <w:rPr>
          <w:rFonts w:cs="Calibri"/>
          <w:bCs/>
          <w:i/>
          <w:iCs/>
          <w:color w:val="333333"/>
          <w:sz w:val="22"/>
          <w:szCs w:val="22"/>
          <w:shd w:val="clear" w:color="auto" w:fill="FFFFFF"/>
        </w:rPr>
        <w:t>Podvody na dani z přidané hodnoty při dovozu: Při používání zjednodušených celních postupů nejsou dostatečně chráněny finanční zájmy EU</w:t>
      </w:r>
      <w:r w:rsidR="00540530" w:rsidRPr="00E402B9">
        <w:rPr>
          <w:rFonts w:cs="Calibri"/>
          <w:bCs/>
          <w:color w:val="333333"/>
          <w:sz w:val="22"/>
          <w:szCs w:val="22"/>
          <w:shd w:val="clear" w:color="auto" w:fill="FFFFFF"/>
        </w:rPr>
        <w:t xml:space="preserve"> </w:t>
      </w:r>
    </w:p>
    <w:p w14:paraId="291F3525" w14:textId="10C41E9C" w:rsidR="00540530" w:rsidRPr="005067B1" w:rsidRDefault="00540530" w:rsidP="00F16B71">
      <w:pPr>
        <w:spacing w:after="120" w:line="240" w:lineRule="auto"/>
        <w:ind w:left="3119" w:hanging="3119"/>
        <w:rPr>
          <w:rFonts w:cs="Calibri"/>
          <w:color w:val="000000"/>
        </w:rPr>
      </w:pPr>
      <w:proofErr w:type="spellStart"/>
      <w:r w:rsidRPr="00E402B9">
        <w:rPr>
          <w:rFonts w:cs="Calibri"/>
          <w:bCs/>
          <w:color w:val="333333"/>
          <w:sz w:val="22"/>
          <w:szCs w:val="22"/>
          <w:shd w:val="clear" w:color="auto" w:fill="FFFFFF"/>
        </w:rPr>
        <w:t>ŽoMPV</w:t>
      </w:r>
      <w:proofErr w:type="spellEnd"/>
      <w:r w:rsidRPr="00E402B9">
        <w:rPr>
          <w:rFonts w:cs="Calibri"/>
          <w:bCs/>
          <w:color w:val="333333"/>
          <w:sz w:val="22"/>
          <w:szCs w:val="22"/>
          <w:shd w:val="clear" w:color="auto" w:fill="FFFFFF"/>
        </w:rPr>
        <w:tab/>
        <w:t>žádost o mezinárodní pomoc při vymáhání</w:t>
      </w:r>
    </w:p>
    <w:sectPr w:rsidR="00540530" w:rsidRPr="005067B1" w:rsidSect="00C077D3">
      <w:footerReference w:type="even" r:id="rId17"/>
      <w:footerReference w:type="default" r:id="rId18"/>
      <w:footerReference w:type="first" r:id="rId1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32EA6" w14:textId="77777777" w:rsidR="00891BF6" w:rsidRDefault="00891BF6" w:rsidP="00931220">
      <w:pPr>
        <w:spacing w:after="0" w:line="240" w:lineRule="auto"/>
      </w:pPr>
      <w:r>
        <w:separator/>
      </w:r>
    </w:p>
  </w:endnote>
  <w:endnote w:type="continuationSeparator" w:id="0">
    <w:p w14:paraId="2D52BF5A" w14:textId="77777777" w:rsidR="00891BF6" w:rsidRDefault="00891BF6" w:rsidP="00931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91902" w14:textId="3766A517" w:rsidR="0020556B" w:rsidRDefault="00EC2DF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7D830AE" wp14:editId="64D10BE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83615" cy="405765"/>
              <wp:effectExtent l="0" t="0" r="6985" b="0"/>
              <wp:wrapNone/>
              <wp:docPr id="352197333" name="Textové pole 14" descr="TLP:CLEAR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361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296F77" w14:textId="3EA60B96" w:rsidR="00EC2DF9" w:rsidRPr="00EC2DF9" w:rsidRDefault="00EC2DF9" w:rsidP="00EC2DF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828282"/>
                            </w:rPr>
                          </w:pPr>
                          <w:r w:rsidRPr="00EC2DF9">
                            <w:rPr>
                              <w:rFonts w:ascii="Aptos" w:eastAsia="Aptos" w:hAnsi="Aptos" w:cs="Aptos"/>
                              <w:noProof/>
                              <w:color w:val="828282"/>
                            </w:rPr>
                            <w:t>TLP:CLEAR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D830AE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6" type="#_x0000_t202" alt="TLP:CLEAR" style="position:absolute;margin-left:0;margin-top:0;width:77.45pt;height:31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46296F77" w14:textId="3EA60B96" w:rsidR="00EC2DF9" w:rsidRPr="00EC2DF9" w:rsidRDefault="00EC2DF9" w:rsidP="00EC2DF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828282"/>
                      </w:rPr>
                    </w:pPr>
                    <w:r w:rsidRPr="00EC2DF9">
                      <w:rPr>
                        <w:rFonts w:ascii="Aptos" w:eastAsia="Aptos" w:hAnsi="Aptos" w:cs="Aptos"/>
                        <w:noProof/>
                        <w:color w:val="828282"/>
                      </w:rPr>
                      <w:t>TLP:CLEAR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B3125" w14:textId="58B7D88D" w:rsidR="0020556B" w:rsidRDefault="00EC2DF9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FFB8B7E" wp14:editId="0FCD667A">
              <wp:simplePos x="904973" y="9869864"/>
              <wp:positionH relativeFrom="page">
                <wp:align>left</wp:align>
              </wp:positionH>
              <wp:positionV relativeFrom="page">
                <wp:align>bottom</wp:align>
              </wp:positionV>
              <wp:extent cx="983615" cy="405765"/>
              <wp:effectExtent l="0" t="0" r="6985" b="0"/>
              <wp:wrapNone/>
              <wp:docPr id="522864810" name="Textové pole 15" descr="TLP:CLEAR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361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CF8CCB" w14:textId="31591D04" w:rsidR="00EC2DF9" w:rsidRPr="00EC2DF9" w:rsidRDefault="00EC2DF9" w:rsidP="00EC2DF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828282"/>
                            </w:rPr>
                          </w:pPr>
                          <w:r w:rsidRPr="00EC2DF9">
                            <w:rPr>
                              <w:rFonts w:ascii="Aptos" w:eastAsia="Aptos" w:hAnsi="Aptos" w:cs="Aptos"/>
                              <w:noProof/>
                              <w:color w:val="828282"/>
                            </w:rPr>
                            <w:t>TLP:CLEAR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FB8B7E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27" type="#_x0000_t202" alt="TLP:CLEAR" style="position:absolute;left:0;text-align:left;margin-left:0;margin-top:0;width:77.45pt;height:31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2CCF8CCB" w14:textId="31591D04" w:rsidR="00EC2DF9" w:rsidRPr="00EC2DF9" w:rsidRDefault="00EC2DF9" w:rsidP="00EC2DF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828282"/>
                      </w:rPr>
                    </w:pPr>
                    <w:r w:rsidRPr="00EC2DF9">
                      <w:rPr>
                        <w:rFonts w:ascii="Aptos" w:eastAsia="Aptos" w:hAnsi="Aptos" w:cs="Aptos"/>
                        <w:noProof/>
                        <w:color w:val="828282"/>
                      </w:rPr>
                      <w:t>TLP:CLEAR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631405350"/>
        <w:docPartObj>
          <w:docPartGallery w:val="Page Numbers (Bottom of Page)"/>
          <w:docPartUnique/>
        </w:docPartObj>
      </w:sdtPr>
      <w:sdtEndPr/>
      <w:sdtContent>
        <w:r w:rsidR="0020556B">
          <w:fldChar w:fldCharType="begin"/>
        </w:r>
        <w:r w:rsidR="0020556B">
          <w:instrText>PAGE   \* MERGEFORMAT</w:instrText>
        </w:r>
        <w:r w:rsidR="0020556B">
          <w:fldChar w:fldCharType="separate"/>
        </w:r>
        <w:r w:rsidR="0020556B">
          <w:t>2</w:t>
        </w:r>
        <w:r w:rsidR="0020556B"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F4D92" w14:textId="0133F390" w:rsidR="0020556B" w:rsidRDefault="00EC2DF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1139622" wp14:editId="5E4B8474">
              <wp:simplePos x="904973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983615" cy="405765"/>
              <wp:effectExtent l="0" t="0" r="6985" b="0"/>
              <wp:wrapNone/>
              <wp:docPr id="862972768" name="Textové pole 13" descr="TLP:CLEAR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361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45603A" w14:textId="508955A1" w:rsidR="00EC2DF9" w:rsidRPr="00EC2DF9" w:rsidRDefault="00EC2DF9" w:rsidP="00EC2DF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828282"/>
                            </w:rPr>
                          </w:pPr>
                          <w:r w:rsidRPr="00EC2DF9">
                            <w:rPr>
                              <w:rFonts w:ascii="Aptos" w:eastAsia="Aptos" w:hAnsi="Aptos" w:cs="Aptos"/>
                              <w:noProof/>
                              <w:color w:val="828282"/>
                            </w:rPr>
                            <w:t>TLP:CLEAR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139622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28" type="#_x0000_t202" alt="TLP:CLEAR" style="position:absolute;margin-left:0;margin-top:0;width:77.45pt;height:31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1045603A" w14:textId="508955A1" w:rsidR="00EC2DF9" w:rsidRPr="00EC2DF9" w:rsidRDefault="00EC2DF9" w:rsidP="00EC2DF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828282"/>
                      </w:rPr>
                    </w:pPr>
                    <w:r w:rsidRPr="00EC2DF9">
                      <w:rPr>
                        <w:rFonts w:ascii="Aptos" w:eastAsia="Aptos" w:hAnsi="Aptos" w:cs="Aptos"/>
                        <w:noProof/>
                        <w:color w:val="828282"/>
                      </w:rPr>
                      <w:t>TLP:CLEAR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D40F2" w14:textId="17FF05F8" w:rsidR="00931220" w:rsidRDefault="00EC2DF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D94BF34" wp14:editId="7BF0ECF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83615" cy="405765"/>
              <wp:effectExtent l="0" t="0" r="6985" b="0"/>
              <wp:wrapNone/>
              <wp:docPr id="1482688640" name="Textové pole 17" descr="TLP:CLEAR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361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FA4176" w14:textId="33AE55D0" w:rsidR="00EC2DF9" w:rsidRPr="00EC2DF9" w:rsidRDefault="00EC2DF9" w:rsidP="00EC2DF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828282"/>
                            </w:rPr>
                          </w:pPr>
                          <w:r w:rsidRPr="00EC2DF9">
                            <w:rPr>
                              <w:rFonts w:ascii="Aptos" w:eastAsia="Aptos" w:hAnsi="Aptos" w:cs="Aptos"/>
                              <w:noProof/>
                              <w:color w:val="828282"/>
                            </w:rPr>
                            <w:t>TLP:CLEAR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94BF34" id="_x0000_t202" coordsize="21600,21600" o:spt="202" path="m,l,21600r21600,l21600,xe">
              <v:stroke joinstyle="miter"/>
              <v:path gradientshapeok="t" o:connecttype="rect"/>
            </v:shapetype>
            <v:shape id="Textové pole 17" o:spid="_x0000_s1029" type="#_x0000_t202" alt="TLP:CLEAR" style="position:absolute;margin-left:0;margin-top:0;width:77.45pt;height:31.9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78FA4176" w14:textId="33AE55D0" w:rsidR="00EC2DF9" w:rsidRPr="00EC2DF9" w:rsidRDefault="00EC2DF9" w:rsidP="00EC2DF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828282"/>
                      </w:rPr>
                    </w:pPr>
                    <w:r w:rsidRPr="00EC2DF9">
                      <w:rPr>
                        <w:rFonts w:ascii="Aptos" w:eastAsia="Aptos" w:hAnsi="Aptos" w:cs="Aptos"/>
                        <w:noProof/>
                        <w:color w:val="828282"/>
                      </w:rPr>
                      <w:t>TLP:CLEAR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EBE2E" w14:textId="49562A76" w:rsidR="003F7092" w:rsidRDefault="00EC2DF9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9A7C4F1" wp14:editId="7A2BE27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83615" cy="405765"/>
              <wp:effectExtent l="0" t="0" r="6985" b="0"/>
              <wp:wrapNone/>
              <wp:docPr id="71320055" name="Textové pole 18" descr="TLP:CLEAR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361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0C7986" w14:textId="2F9ED80E" w:rsidR="00EC2DF9" w:rsidRPr="00EC2DF9" w:rsidRDefault="00EC2DF9" w:rsidP="00EC2DF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828282"/>
                            </w:rPr>
                          </w:pPr>
                          <w:r w:rsidRPr="00EC2DF9">
                            <w:rPr>
                              <w:rFonts w:ascii="Aptos" w:eastAsia="Aptos" w:hAnsi="Aptos" w:cs="Aptos"/>
                              <w:noProof/>
                              <w:color w:val="828282"/>
                            </w:rPr>
                            <w:t>TLP:CLEAR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A7C4F1" id="_x0000_t202" coordsize="21600,21600" o:spt="202" path="m,l,21600r21600,l21600,xe">
              <v:stroke joinstyle="miter"/>
              <v:path gradientshapeok="t" o:connecttype="rect"/>
            </v:shapetype>
            <v:shape id="Textové pole 18" o:spid="_x0000_s1030" type="#_x0000_t202" alt="TLP:CLEAR" style="position:absolute;left:0;text-align:left;margin-left:0;margin-top:0;width:77.45pt;height:31.9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2E0C7986" w14:textId="2F9ED80E" w:rsidR="00EC2DF9" w:rsidRPr="00EC2DF9" w:rsidRDefault="00EC2DF9" w:rsidP="00EC2DF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828282"/>
                      </w:rPr>
                    </w:pPr>
                    <w:r w:rsidRPr="00EC2DF9">
                      <w:rPr>
                        <w:rFonts w:ascii="Aptos" w:eastAsia="Aptos" w:hAnsi="Aptos" w:cs="Aptos"/>
                        <w:noProof/>
                        <w:color w:val="828282"/>
                      </w:rPr>
                      <w:t>TLP:CLEAR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949220518"/>
        <w:docPartObj>
          <w:docPartGallery w:val="Page Numbers (Bottom of Page)"/>
          <w:docPartUnique/>
        </w:docPartObj>
      </w:sdtPr>
      <w:sdtEndPr/>
      <w:sdtContent>
        <w:r w:rsidR="003F7092">
          <w:fldChar w:fldCharType="begin"/>
        </w:r>
        <w:r w:rsidR="003F7092">
          <w:instrText>PAGE   \* MERGEFORMAT</w:instrText>
        </w:r>
        <w:r w:rsidR="003F7092">
          <w:fldChar w:fldCharType="separate"/>
        </w:r>
        <w:r w:rsidR="003F7092">
          <w:t>2</w:t>
        </w:r>
        <w:r w:rsidR="003F7092">
          <w:fldChar w:fldCharType="end"/>
        </w:r>
      </w:sdtContent>
    </w:sdt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A409F" w14:textId="3472B218" w:rsidR="00931220" w:rsidRDefault="00EC2DF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F2711EB" wp14:editId="05A5C2F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83615" cy="405765"/>
              <wp:effectExtent l="0" t="0" r="6985" b="0"/>
              <wp:wrapNone/>
              <wp:docPr id="430185953" name="Textové pole 16" descr="TLP:CLEAR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361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41CFAE" w14:textId="39C9059A" w:rsidR="00EC2DF9" w:rsidRPr="00EC2DF9" w:rsidRDefault="00EC2DF9" w:rsidP="00EC2DF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828282"/>
                            </w:rPr>
                          </w:pPr>
                          <w:r w:rsidRPr="00EC2DF9">
                            <w:rPr>
                              <w:rFonts w:ascii="Aptos" w:eastAsia="Aptos" w:hAnsi="Aptos" w:cs="Aptos"/>
                              <w:noProof/>
                              <w:color w:val="828282"/>
                            </w:rPr>
                            <w:t>TLP:CLEAR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2711EB" id="_x0000_t202" coordsize="21600,21600" o:spt="202" path="m,l,21600r21600,l21600,xe">
              <v:stroke joinstyle="miter"/>
              <v:path gradientshapeok="t" o:connecttype="rect"/>
            </v:shapetype>
            <v:shape id="Textové pole 16" o:spid="_x0000_s1031" type="#_x0000_t202" alt="TLP:CLEAR" style="position:absolute;margin-left:0;margin-top:0;width:77.45pt;height:31.9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2A41CFAE" w14:textId="39C9059A" w:rsidR="00EC2DF9" w:rsidRPr="00EC2DF9" w:rsidRDefault="00EC2DF9" w:rsidP="00EC2DF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828282"/>
                      </w:rPr>
                    </w:pPr>
                    <w:r w:rsidRPr="00EC2DF9">
                      <w:rPr>
                        <w:rFonts w:ascii="Aptos" w:eastAsia="Aptos" w:hAnsi="Aptos" w:cs="Aptos"/>
                        <w:noProof/>
                        <w:color w:val="828282"/>
                      </w:rPr>
                      <w:t>TLP:CLEAR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A188D" w14:textId="77777777" w:rsidR="00891BF6" w:rsidRDefault="00891BF6" w:rsidP="00931220">
      <w:pPr>
        <w:spacing w:after="0" w:line="240" w:lineRule="auto"/>
      </w:pPr>
      <w:r>
        <w:separator/>
      </w:r>
    </w:p>
  </w:footnote>
  <w:footnote w:type="continuationSeparator" w:id="0">
    <w:p w14:paraId="1DCABB0E" w14:textId="77777777" w:rsidR="00891BF6" w:rsidRDefault="00891BF6" w:rsidP="00931220">
      <w:pPr>
        <w:spacing w:after="0" w:line="240" w:lineRule="auto"/>
      </w:pPr>
      <w:r>
        <w:continuationSeparator/>
      </w:r>
    </w:p>
  </w:footnote>
  <w:footnote w:id="1">
    <w:p w14:paraId="484243A9" w14:textId="64429C88" w:rsidR="007E5C47" w:rsidRPr="0017251D" w:rsidRDefault="007E5C47" w:rsidP="009810E4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17251D">
        <w:rPr>
          <w:rStyle w:val="Znakapoznpodarou"/>
          <w:rFonts w:asciiTheme="minorHAnsi" w:hAnsiTheme="minorHAnsi" w:cstheme="minorHAnsi"/>
        </w:rPr>
        <w:footnoteRef/>
      </w:r>
      <w:r w:rsidRPr="0017251D">
        <w:rPr>
          <w:rFonts w:asciiTheme="minorHAnsi" w:hAnsiTheme="minorHAnsi" w:cstheme="minorHAnsi"/>
        </w:rPr>
        <w:t xml:space="preserve"> </w:t>
      </w:r>
      <w:r w:rsidR="009810E4">
        <w:rPr>
          <w:rFonts w:asciiTheme="minorHAnsi" w:hAnsiTheme="minorHAnsi" w:cstheme="minorHAnsi"/>
        </w:rPr>
        <w:tab/>
      </w:r>
      <w:r w:rsidRPr="0017251D">
        <w:rPr>
          <w:rFonts w:asciiTheme="minorHAnsi" w:hAnsiTheme="minorHAnsi" w:cstheme="minorHAnsi"/>
        </w:rPr>
        <w:t xml:space="preserve">Zvláštní režim jednoho správního místa, tzv. </w:t>
      </w:r>
      <w:proofErr w:type="spellStart"/>
      <w:r w:rsidRPr="0017251D">
        <w:rPr>
          <w:rFonts w:asciiTheme="minorHAnsi" w:hAnsiTheme="minorHAnsi" w:cstheme="minorHAnsi"/>
        </w:rPr>
        <w:t>One</w:t>
      </w:r>
      <w:proofErr w:type="spellEnd"/>
      <w:r w:rsidRPr="0017251D">
        <w:rPr>
          <w:rFonts w:asciiTheme="minorHAnsi" w:hAnsiTheme="minorHAnsi" w:cstheme="minorHAnsi"/>
        </w:rPr>
        <w:t xml:space="preserve"> Stop Shop (dále také „zvláštní režim“), viz podrobněji v části II. </w:t>
      </w:r>
      <w:r w:rsidRPr="00392287">
        <w:rPr>
          <w:rFonts w:asciiTheme="minorHAnsi" w:hAnsiTheme="minorHAnsi" w:cstheme="minorHAnsi"/>
          <w:i/>
          <w:iCs/>
        </w:rPr>
        <w:t>Informace o kontrolované oblasti</w:t>
      </w:r>
      <w:r w:rsidR="008F1B3F" w:rsidRPr="0017251D">
        <w:rPr>
          <w:rFonts w:asciiTheme="minorHAnsi" w:hAnsiTheme="minorHAnsi" w:cstheme="minorHAnsi"/>
        </w:rPr>
        <w:t>.</w:t>
      </w:r>
    </w:p>
  </w:footnote>
  <w:footnote w:id="2">
    <w:p w14:paraId="1696E9B3" w14:textId="6A7BF674" w:rsidR="00E30506" w:rsidRPr="0017251D" w:rsidRDefault="00E30506" w:rsidP="009810E4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17251D">
        <w:rPr>
          <w:rStyle w:val="Znakapoznpodarou"/>
          <w:rFonts w:asciiTheme="minorHAnsi" w:hAnsiTheme="minorHAnsi" w:cstheme="minorHAnsi"/>
        </w:rPr>
        <w:footnoteRef/>
      </w:r>
      <w:r w:rsidRPr="0017251D">
        <w:rPr>
          <w:rFonts w:asciiTheme="minorHAnsi" w:hAnsiTheme="minorHAnsi" w:cstheme="minorHAnsi"/>
        </w:rPr>
        <w:t xml:space="preserve"> </w:t>
      </w:r>
      <w:r w:rsidR="009810E4">
        <w:rPr>
          <w:rFonts w:asciiTheme="minorHAnsi" w:hAnsiTheme="minorHAnsi" w:cstheme="minorHAnsi"/>
        </w:rPr>
        <w:tab/>
      </w:r>
      <w:r w:rsidRPr="0017251D">
        <w:rPr>
          <w:rFonts w:asciiTheme="minorHAnsi" w:hAnsiTheme="minorHAnsi" w:cstheme="minorHAnsi"/>
        </w:rPr>
        <w:t>Od 1. 7. 2021</w:t>
      </w:r>
      <w:r w:rsidR="008F1B3F" w:rsidRPr="0017251D">
        <w:rPr>
          <w:rFonts w:asciiTheme="minorHAnsi" w:hAnsiTheme="minorHAnsi" w:cstheme="minorHAnsi"/>
        </w:rPr>
        <w:t>.</w:t>
      </w:r>
    </w:p>
  </w:footnote>
  <w:footnote w:id="3">
    <w:p w14:paraId="2D9E577A" w14:textId="744F57D4" w:rsidR="007E5C47" w:rsidRPr="0017251D" w:rsidRDefault="007E5C47" w:rsidP="009810E4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17251D">
        <w:rPr>
          <w:rStyle w:val="Znakapoznpodarou"/>
          <w:rFonts w:asciiTheme="minorHAnsi" w:hAnsiTheme="minorHAnsi" w:cstheme="minorHAnsi"/>
        </w:rPr>
        <w:footnoteRef/>
      </w:r>
      <w:r w:rsidRPr="0017251D">
        <w:rPr>
          <w:rFonts w:asciiTheme="minorHAnsi" w:hAnsiTheme="minorHAnsi" w:cstheme="minorHAnsi"/>
        </w:rPr>
        <w:t xml:space="preserve"> </w:t>
      </w:r>
      <w:r w:rsidR="009810E4">
        <w:rPr>
          <w:rFonts w:asciiTheme="minorHAnsi" w:hAnsiTheme="minorHAnsi" w:cstheme="minorHAnsi"/>
        </w:rPr>
        <w:tab/>
      </w:r>
      <w:r w:rsidR="00A21DB8" w:rsidRPr="0017251D">
        <w:rPr>
          <w:rFonts w:asciiTheme="minorHAnsi" w:hAnsiTheme="minorHAnsi" w:cstheme="minorHAnsi"/>
        </w:rPr>
        <w:t xml:space="preserve">Dovozní režim, tzv. Import </w:t>
      </w:r>
      <w:proofErr w:type="spellStart"/>
      <w:r w:rsidR="00A21DB8" w:rsidRPr="0017251D">
        <w:rPr>
          <w:rFonts w:asciiTheme="minorHAnsi" w:hAnsiTheme="minorHAnsi" w:cstheme="minorHAnsi"/>
        </w:rPr>
        <w:t>One</w:t>
      </w:r>
      <w:proofErr w:type="spellEnd"/>
      <w:r w:rsidR="00A21DB8" w:rsidRPr="0017251D">
        <w:rPr>
          <w:rFonts w:asciiTheme="minorHAnsi" w:hAnsiTheme="minorHAnsi" w:cstheme="minorHAnsi"/>
        </w:rPr>
        <w:t xml:space="preserve"> Stop Shop </w:t>
      </w:r>
      <w:r w:rsidRPr="0017251D">
        <w:rPr>
          <w:rFonts w:asciiTheme="minorHAnsi" w:hAnsiTheme="minorHAnsi" w:cstheme="minorHAnsi"/>
        </w:rPr>
        <w:t>(dále také „dovozní režim“)</w:t>
      </w:r>
      <w:r w:rsidR="000B6B61">
        <w:rPr>
          <w:rFonts w:asciiTheme="minorHAnsi" w:hAnsiTheme="minorHAnsi" w:cstheme="minorHAnsi"/>
        </w:rPr>
        <w:t>,</w:t>
      </w:r>
      <w:r w:rsidR="00A21DB8" w:rsidRPr="0017251D">
        <w:rPr>
          <w:rFonts w:asciiTheme="minorHAnsi" w:hAnsiTheme="minorHAnsi" w:cstheme="minorHAnsi"/>
        </w:rPr>
        <w:t xml:space="preserve"> je jede</w:t>
      </w:r>
      <w:r w:rsidR="00352250" w:rsidRPr="0017251D">
        <w:rPr>
          <w:rFonts w:asciiTheme="minorHAnsi" w:hAnsiTheme="minorHAnsi" w:cstheme="minorHAnsi"/>
        </w:rPr>
        <w:t>n</w:t>
      </w:r>
      <w:r w:rsidR="00A21DB8" w:rsidRPr="0017251D">
        <w:rPr>
          <w:rFonts w:asciiTheme="minorHAnsi" w:hAnsiTheme="minorHAnsi" w:cstheme="minorHAnsi"/>
        </w:rPr>
        <w:t xml:space="preserve"> </w:t>
      </w:r>
      <w:r w:rsidR="00BE194F" w:rsidRPr="0017251D">
        <w:rPr>
          <w:rFonts w:asciiTheme="minorHAnsi" w:hAnsiTheme="minorHAnsi" w:cstheme="minorHAnsi"/>
        </w:rPr>
        <w:t xml:space="preserve">z režimů </w:t>
      </w:r>
      <w:r w:rsidR="00A21DB8" w:rsidRPr="0017251D">
        <w:rPr>
          <w:rFonts w:asciiTheme="minorHAnsi" w:hAnsiTheme="minorHAnsi" w:cstheme="minorHAnsi"/>
        </w:rPr>
        <w:t xml:space="preserve">v rámci zvláštního režimu, viz podrobněji v části II. </w:t>
      </w:r>
      <w:r w:rsidR="00A21DB8" w:rsidRPr="00F16B71">
        <w:rPr>
          <w:rFonts w:asciiTheme="minorHAnsi" w:hAnsiTheme="minorHAnsi" w:cstheme="minorHAnsi"/>
          <w:i/>
          <w:iCs/>
        </w:rPr>
        <w:t>Informace o kontrolované oblasti</w:t>
      </w:r>
      <w:r w:rsidR="008F1B3F" w:rsidRPr="0017251D">
        <w:rPr>
          <w:rFonts w:asciiTheme="minorHAnsi" w:hAnsiTheme="minorHAnsi" w:cstheme="minorHAnsi"/>
        </w:rPr>
        <w:t>.</w:t>
      </w:r>
    </w:p>
  </w:footnote>
  <w:footnote w:id="4">
    <w:p w14:paraId="67B829F9" w14:textId="1FAD9825" w:rsidR="0020556B" w:rsidRPr="0017251D" w:rsidRDefault="0020556B" w:rsidP="009810E4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17251D">
        <w:rPr>
          <w:rStyle w:val="Znakapoznpodarou"/>
          <w:rFonts w:asciiTheme="minorHAnsi" w:hAnsiTheme="minorHAnsi" w:cstheme="minorHAnsi"/>
        </w:rPr>
        <w:footnoteRef/>
      </w:r>
      <w:r w:rsidRPr="0017251D">
        <w:rPr>
          <w:rFonts w:asciiTheme="minorHAnsi" w:hAnsiTheme="minorHAnsi" w:cstheme="minorHAnsi"/>
        </w:rPr>
        <w:t xml:space="preserve"> </w:t>
      </w:r>
      <w:r w:rsidR="009810E4">
        <w:rPr>
          <w:rFonts w:asciiTheme="minorHAnsi" w:hAnsiTheme="minorHAnsi" w:cstheme="minorHAnsi"/>
        </w:rPr>
        <w:tab/>
      </w:r>
      <w:r w:rsidRPr="0017251D">
        <w:rPr>
          <w:rFonts w:asciiTheme="minorHAnsi" w:hAnsiTheme="minorHAnsi" w:cstheme="minorHAnsi"/>
        </w:rPr>
        <w:t>Od 1. 10. 2021</w:t>
      </w:r>
      <w:r w:rsidR="008F1B3F" w:rsidRPr="0017251D">
        <w:rPr>
          <w:rFonts w:asciiTheme="minorHAnsi" w:hAnsiTheme="minorHAnsi" w:cstheme="minorHAnsi"/>
        </w:rPr>
        <w:t>.</w:t>
      </w:r>
    </w:p>
  </w:footnote>
  <w:footnote w:id="5">
    <w:p w14:paraId="3AB06094" w14:textId="16C8B8C1" w:rsidR="001B7B3C" w:rsidRPr="0017251D" w:rsidRDefault="001B7B3C" w:rsidP="009810E4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17251D">
        <w:rPr>
          <w:rStyle w:val="Znakapoznpodarou"/>
          <w:rFonts w:asciiTheme="minorHAnsi" w:hAnsiTheme="minorHAnsi" w:cstheme="minorHAnsi"/>
        </w:rPr>
        <w:footnoteRef/>
      </w:r>
      <w:r w:rsidR="009810E4">
        <w:rPr>
          <w:rFonts w:asciiTheme="minorHAnsi" w:hAnsiTheme="minorHAnsi" w:cstheme="minorHAnsi"/>
        </w:rPr>
        <w:t xml:space="preserve"> </w:t>
      </w:r>
      <w:r w:rsidR="009810E4">
        <w:rPr>
          <w:rFonts w:asciiTheme="minorHAnsi" w:hAnsiTheme="minorHAnsi" w:cstheme="minorHAnsi"/>
        </w:rPr>
        <w:tab/>
      </w:r>
      <w:r w:rsidR="004D25FA" w:rsidRPr="0017251D">
        <w:rPr>
          <w:rFonts w:asciiTheme="minorHAnsi" w:hAnsiTheme="minorHAnsi" w:cstheme="minorHAnsi"/>
        </w:rPr>
        <w:t xml:space="preserve">Viz </w:t>
      </w:r>
      <w:r w:rsidR="000B6B61">
        <w:rPr>
          <w:rFonts w:asciiTheme="minorHAnsi" w:hAnsiTheme="minorHAnsi" w:cstheme="minorHAnsi"/>
        </w:rPr>
        <w:t>s</w:t>
      </w:r>
      <w:r w:rsidRPr="0017251D">
        <w:rPr>
          <w:rFonts w:asciiTheme="minorHAnsi" w:hAnsiTheme="minorHAnsi" w:cstheme="minorHAnsi"/>
        </w:rPr>
        <w:t>dělení Komise Evropskému parlamentu, Radě, Evropskému hospodářskému a sociálnímu výboru a</w:t>
      </w:r>
      <w:r w:rsidR="009810E4">
        <w:rPr>
          <w:rFonts w:asciiTheme="minorHAnsi" w:hAnsiTheme="minorHAnsi" w:cstheme="minorHAnsi"/>
        </w:rPr>
        <w:t> </w:t>
      </w:r>
      <w:r w:rsidRPr="0017251D">
        <w:rPr>
          <w:rFonts w:asciiTheme="minorHAnsi" w:hAnsiTheme="minorHAnsi" w:cstheme="minorHAnsi"/>
        </w:rPr>
        <w:t xml:space="preserve">Výboru regionů: </w:t>
      </w:r>
      <w:r w:rsidRPr="00F16B71">
        <w:rPr>
          <w:rFonts w:asciiTheme="minorHAnsi" w:hAnsiTheme="minorHAnsi" w:cstheme="minorHAnsi"/>
          <w:i/>
          <w:iCs/>
        </w:rPr>
        <w:t>Komplexní soubor nástrojů EU pro bezpečný a udržitelný elektronický obchod</w:t>
      </w:r>
      <w:r w:rsidRPr="0017251D">
        <w:rPr>
          <w:rFonts w:asciiTheme="minorHAnsi" w:hAnsiTheme="minorHAnsi" w:cstheme="minorHAnsi"/>
        </w:rPr>
        <w:t xml:space="preserve">, </w:t>
      </w:r>
      <w:proofErr w:type="gramStart"/>
      <w:r w:rsidR="00705BDA">
        <w:rPr>
          <w:rFonts w:asciiTheme="minorHAnsi" w:hAnsiTheme="minorHAnsi" w:cstheme="minorHAnsi"/>
        </w:rPr>
        <w:t>C</w:t>
      </w:r>
      <w:r w:rsidRPr="0017251D">
        <w:rPr>
          <w:rFonts w:asciiTheme="minorHAnsi" w:hAnsiTheme="minorHAnsi" w:cstheme="minorHAnsi"/>
        </w:rPr>
        <w:t>OM(</w:t>
      </w:r>
      <w:proofErr w:type="gramEnd"/>
      <w:r w:rsidRPr="0017251D">
        <w:rPr>
          <w:rFonts w:asciiTheme="minorHAnsi" w:hAnsiTheme="minorHAnsi" w:cstheme="minorHAnsi"/>
        </w:rPr>
        <w:t>2025) 37 v konečném znění ze dne 5. 2. 2025.</w:t>
      </w:r>
    </w:p>
  </w:footnote>
  <w:footnote w:id="6">
    <w:p w14:paraId="6302999D" w14:textId="2D64896C" w:rsidR="000A0198" w:rsidRPr="0017251D" w:rsidRDefault="000A0198" w:rsidP="00392287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17251D">
        <w:rPr>
          <w:rStyle w:val="Znakapoznpodarou"/>
          <w:rFonts w:asciiTheme="minorHAnsi" w:hAnsiTheme="minorHAnsi" w:cstheme="minorHAnsi"/>
        </w:rPr>
        <w:footnoteRef/>
      </w:r>
      <w:r w:rsidRPr="0017251D">
        <w:rPr>
          <w:rFonts w:asciiTheme="minorHAnsi" w:hAnsiTheme="minorHAnsi" w:cstheme="minorHAnsi"/>
        </w:rPr>
        <w:t xml:space="preserve"> </w:t>
      </w:r>
      <w:r w:rsidR="00392287">
        <w:rPr>
          <w:rFonts w:asciiTheme="minorHAnsi" w:hAnsiTheme="minorHAnsi" w:cstheme="minorHAnsi"/>
        </w:rPr>
        <w:tab/>
      </w:r>
      <w:r w:rsidRPr="0017251D">
        <w:rPr>
          <w:rFonts w:asciiTheme="minorHAnsi" w:hAnsiTheme="minorHAnsi" w:cstheme="minorHAnsi"/>
        </w:rPr>
        <w:t>Směrnice Rady 2006/112/ES</w:t>
      </w:r>
      <w:r w:rsidR="001C4B43">
        <w:rPr>
          <w:rFonts w:asciiTheme="minorHAnsi" w:hAnsiTheme="minorHAnsi" w:cstheme="minorHAnsi"/>
        </w:rPr>
        <w:t>,</w:t>
      </w:r>
      <w:r w:rsidRPr="0017251D">
        <w:rPr>
          <w:rFonts w:asciiTheme="minorHAnsi" w:hAnsiTheme="minorHAnsi" w:cstheme="minorHAnsi"/>
        </w:rPr>
        <w:t xml:space="preserve"> o společném systému </w:t>
      </w:r>
      <w:r w:rsidR="0003765D" w:rsidRPr="0017251D">
        <w:rPr>
          <w:rFonts w:asciiTheme="minorHAnsi" w:hAnsiTheme="minorHAnsi" w:cstheme="minorHAnsi"/>
        </w:rPr>
        <w:t>daně z přidané hodnoty (dále také „</w:t>
      </w:r>
      <w:r w:rsidR="001C4B43">
        <w:rPr>
          <w:rFonts w:asciiTheme="minorHAnsi" w:hAnsiTheme="minorHAnsi" w:cstheme="minorHAnsi"/>
        </w:rPr>
        <w:t>s</w:t>
      </w:r>
      <w:r w:rsidR="0003765D" w:rsidRPr="0017251D">
        <w:rPr>
          <w:rFonts w:asciiTheme="minorHAnsi" w:hAnsiTheme="minorHAnsi" w:cstheme="minorHAnsi"/>
        </w:rPr>
        <w:t>měrnice o DPH“)</w:t>
      </w:r>
      <w:r w:rsidRPr="0017251D">
        <w:rPr>
          <w:rFonts w:asciiTheme="minorHAnsi" w:hAnsiTheme="minorHAnsi" w:cstheme="minorHAnsi"/>
        </w:rPr>
        <w:t>.</w:t>
      </w:r>
    </w:p>
  </w:footnote>
  <w:footnote w:id="7">
    <w:p w14:paraId="75CBF74B" w14:textId="58205F69" w:rsidR="000A0198" w:rsidRPr="0017251D" w:rsidRDefault="000A0198" w:rsidP="00392287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17251D">
        <w:rPr>
          <w:rStyle w:val="Znakapoznpodarou"/>
          <w:rFonts w:asciiTheme="minorHAnsi" w:hAnsiTheme="minorHAnsi" w:cstheme="minorHAnsi"/>
        </w:rPr>
        <w:footnoteRef/>
      </w:r>
      <w:r w:rsidRPr="0017251D">
        <w:rPr>
          <w:rFonts w:asciiTheme="minorHAnsi" w:hAnsiTheme="minorHAnsi" w:cstheme="minorHAnsi"/>
        </w:rPr>
        <w:t xml:space="preserve"> </w:t>
      </w:r>
      <w:r w:rsidR="00392287">
        <w:rPr>
          <w:rFonts w:asciiTheme="minorHAnsi" w:hAnsiTheme="minorHAnsi" w:cstheme="minorHAnsi"/>
        </w:rPr>
        <w:tab/>
      </w:r>
      <w:r w:rsidRPr="0017251D">
        <w:rPr>
          <w:rFonts w:asciiTheme="minorHAnsi" w:hAnsiTheme="minorHAnsi" w:cstheme="minorHAnsi"/>
        </w:rPr>
        <w:t>Směrnic</w:t>
      </w:r>
      <w:r w:rsidR="00732274" w:rsidRPr="0017251D">
        <w:rPr>
          <w:rFonts w:asciiTheme="minorHAnsi" w:hAnsiTheme="minorHAnsi" w:cstheme="minorHAnsi"/>
        </w:rPr>
        <w:t>e</w:t>
      </w:r>
      <w:r w:rsidRPr="0017251D">
        <w:rPr>
          <w:rFonts w:asciiTheme="minorHAnsi" w:hAnsiTheme="minorHAnsi" w:cstheme="minorHAnsi"/>
        </w:rPr>
        <w:t xml:space="preserve"> Rady (EU) 2017/2455 </w:t>
      </w:r>
      <w:r w:rsidR="00732274" w:rsidRPr="0017251D">
        <w:rPr>
          <w:rFonts w:asciiTheme="minorHAnsi" w:hAnsiTheme="minorHAnsi" w:cstheme="minorHAnsi"/>
        </w:rPr>
        <w:t xml:space="preserve">ze dne 5. prosince 2017, kterou se mění směrnice 2006/112/ES a směrnice 2009/132/ES, pokud jde o určité povinnosti v oblasti daně z přidané hodnoty při poskytování služeb a prodeji zboží na dálku; </w:t>
      </w:r>
      <w:r w:rsidRPr="0017251D">
        <w:rPr>
          <w:rFonts w:asciiTheme="minorHAnsi" w:hAnsiTheme="minorHAnsi" w:cstheme="minorHAnsi"/>
        </w:rPr>
        <w:t xml:space="preserve">a </w:t>
      </w:r>
      <w:r w:rsidR="00732274" w:rsidRPr="0017251D">
        <w:rPr>
          <w:rFonts w:asciiTheme="minorHAnsi" w:hAnsiTheme="minorHAnsi" w:cstheme="minorHAnsi"/>
        </w:rPr>
        <w:t xml:space="preserve">směrnice Rady (EU) 2019/1995 ze dne 21. listopadu 2019, kterou se mění směrnice 2006/112/ES, pokud jde o ustanovení týkající se prodeje zboží na dálku a </w:t>
      </w:r>
      <w:r w:rsidR="009C41CA">
        <w:rPr>
          <w:rFonts w:asciiTheme="minorHAnsi" w:hAnsiTheme="minorHAnsi" w:cstheme="minorHAnsi"/>
        </w:rPr>
        <w:t>určitých</w:t>
      </w:r>
      <w:r w:rsidR="00732274" w:rsidRPr="0017251D">
        <w:rPr>
          <w:rFonts w:asciiTheme="minorHAnsi" w:hAnsiTheme="minorHAnsi" w:cstheme="minorHAnsi"/>
        </w:rPr>
        <w:t xml:space="preserve"> domácích dodání zboží</w:t>
      </w:r>
      <w:r w:rsidR="00504C22" w:rsidRPr="0017251D">
        <w:rPr>
          <w:rFonts w:asciiTheme="minorHAnsi" w:hAnsiTheme="minorHAnsi" w:cstheme="minorHAnsi"/>
        </w:rPr>
        <w:t xml:space="preserve"> (dále také „</w:t>
      </w:r>
      <w:r w:rsidR="009C41CA" w:rsidRPr="0017251D">
        <w:rPr>
          <w:rFonts w:asciiTheme="minorHAnsi" w:hAnsiTheme="minorHAnsi" w:cstheme="minorHAnsi"/>
        </w:rPr>
        <w:t>balíček</w:t>
      </w:r>
      <w:r w:rsidR="009C41CA">
        <w:rPr>
          <w:rFonts w:asciiTheme="minorHAnsi" w:hAnsiTheme="minorHAnsi" w:cstheme="minorHAnsi"/>
        </w:rPr>
        <w:t xml:space="preserve"> </w:t>
      </w:r>
      <w:r w:rsidR="00504C22" w:rsidRPr="0017251D">
        <w:rPr>
          <w:rFonts w:asciiTheme="minorHAnsi" w:hAnsiTheme="minorHAnsi" w:cstheme="minorHAnsi"/>
        </w:rPr>
        <w:t>e-</w:t>
      </w:r>
      <w:proofErr w:type="spellStart"/>
      <w:r w:rsidR="00504C22" w:rsidRPr="0017251D">
        <w:rPr>
          <w:rFonts w:asciiTheme="minorHAnsi" w:hAnsiTheme="minorHAnsi" w:cstheme="minorHAnsi"/>
        </w:rPr>
        <w:t>commerce</w:t>
      </w:r>
      <w:proofErr w:type="spellEnd"/>
      <w:r w:rsidR="00504C22" w:rsidRPr="0017251D">
        <w:rPr>
          <w:rFonts w:asciiTheme="minorHAnsi" w:hAnsiTheme="minorHAnsi" w:cstheme="minorHAnsi"/>
        </w:rPr>
        <w:t>“)</w:t>
      </w:r>
      <w:r w:rsidRPr="0017251D">
        <w:rPr>
          <w:rFonts w:asciiTheme="minorHAnsi" w:hAnsiTheme="minorHAnsi" w:cstheme="minorHAnsi"/>
        </w:rPr>
        <w:t>.</w:t>
      </w:r>
    </w:p>
  </w:footnote>
  <w:footnote w:id="8">
    <w:p w14:paraId="46CFD533" w14:textId="4384F6E1" w:rsidR="00956C4D" w:rsidRPr="0017251D" w:rsidRDefault="00956C4D" w:rsidP="00392287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17251D">
        <w:rPr>
          <w:rStyle w:val="Znakapoznpodarou"/>
          <w:rFonts w:asciiTheme="minorHAnsi" w:hAnsiTheme="minorHAnsi" w:cstheme="minorHAnsi"/>
        </w:rPr>
        <w:footnoteRef/>
      </w:r>
      <w:r w:rsidRPr="0017251D">
        <w:rPr>
          <w:rFonts w:asciiTheme="minorHAnsi" w:hAnsiTheme="minorHAnsi" w:cstheme="minorHAnsi"/>
        </w:rPr>
        <w:t xml:space="preserve"> </w:t>
      </w:r>
      <w:r w:rsidR="00392287">
        <w:rPr>
          <w:rFonts w:asciiTheme="minorHAnsi" w:hAnsiTheme="minorHAnsi" w:cstheme="minorHAnsi"/>
        </w:rPr>
        <w:tab/>
      </w:r>
      <w:r w:rsidRPr="0017251D">
        <w:rPr>
          <w:rFonts w:asciiTheme="minorHAnsi" w:hAnsiTheme="minorHAnsi" w:cstheme="minorHAnsi"/>
        </w:rPr>
        <w:t>Zákon č. 235/2004 Sb., o dani z přidané hodnoty</w:t>
      </w:r>
      <w:r w:rsidR="0003765D" w:rsidRPr="0017251D">
        <w:rPr>
          <w:rFonts w:asciiTheme="minorHAnsi" w:hAnsiTheme="minorHAnsi" w:cstheme="minorHAnsi"/>
        </w:rPr>
        <w:t xml:space="preserve"> (dále také „zákon o DPH“)</w:t>
      </w:r>
      <w:r w:rsidRPr="0017251D">
        <w:rPr>
          <w:rFonts w:asciiTheme="minorHAnsi" w:hAnsiTheme="minorHAnsi" w:cstheme="minorHAnsi"/>
        </w:rPr>
        <w:t>.</w:t>
      </w:r>
    </w:p>
  </w:footnote>
  <w:footnote w:id="9">
    <w:p w14:paraId="7A136DD2" w14:textId="5EFFEC0E" w:rsidR="00956C4D" w:rsidRPr="0017251D" w:rsidRDefault="00956C4D" w:rsidP="00392287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17251D">
        <w:rPr>
          <w:rStyle w:val="Znakapoznpodarou"/>
          <w:rFonts w:asciiTheme="minorHAnsi" w:hAnsiTheme="minorHAnsi" w:cstheme="minorHAnsi"/>
        </w:rPr>
        <w:footnoteRef/>
      </w:r>
      <w:r w:rsidRPr="0017251D">
        <w:rPr>
          <w:rFonts w:asciiTheme="minorHAnsi" w:hAnsiTheme="minorHAnsi" w:cstheme="minorHAnsi"/>
        </w:rPr>
        <w:t xml:space="preserve"> </w:t>
      </w:r>
      <w:r w:rsidR="00392287">
        <w:rPr>
          <w:rFonts w:asciiTheme="minorHAnsi" w:hAnsiTheme="minorHAnsi" w:cstheme="minorHAnsi"/>
        </w:rPr>
        <w:tab/>
      </w:r>
      <w:r w:rsidRPr="0017251D">
        <w:rPr>
          <w:rFonts w:asciiTheme="minorHAnsi" w:hAnsiTheme="minorHAnsi" w:cstheme="minorHAnsi"/>
        </w:rPr>
        <w:t>Zákon č. 355/2021 Sb., kterým se mění zákon č. 235/2004 Sb., o dani z přidané hodnoty, ve znění pozdějších předpisů, a zákon č. 242/2016 Sb., celní zákon, ve znění pozdějších předpisů</w:t>
      </w:r>
      <w:r w:rsidR="00842B8E" w:rsidRPr="0017251D">
        <w:rPr>
          <w:rFonts w:asciiTheme="minorHAnsi" w:hAnsiTheme="minorHAnsi" w:cstheme="minorHAnsi"/>
        </w:rPr>
        <w:t>.</w:t>
      </w:r>
    </w:p>
  </w:footnote>
  <w:footnote w:id="10">
    <w:p w14:paraId="36281D8F" w14:textId="2B5FEBCC" w:rsidR="00677354" w:rsidRPr="0017251D" w:rsidRDefault="00677354" w:rsidP="00392287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17251D">
        <w:rPr>
          <w:rStyle w:val="Znakapoznpodarou"/>
          <w:rFonts w:asciiTheme="minorHAnsi" w:hAnsiTheme="minorHAnsi" w:cstheme="minorHAnsi"/>
        </w:rPr>
        <w:footnoteRef/>
      </w:r>
      <w:r w:rsidRPr="0017251D">
        <w:rPr>
          <w:rFonts w:asciiTheme="minorHAnsi" w:hAnsiTheme="minorHAnsi" w:cstheme="minorHAnsi"/>
        </w:rPr>
        <w:t xml:space="preserve"> </w:t>
      </w:r>
      <w:r w:rsidR="00392287">
        <w:rPr>
          <w:rFonts w:asciiTheme="minorHAnsi" w:hAnsiTheme="minorHAnsi" w:cstheme="minorHAnsi"/>
        </w:rPr>
        <w:tab/>
      </w:r>
      <w:proofErr w:type="spellStart"/>
      <w:r w:rsidRPr="00F16B71">
        <w:rPr>
          <w:rFonts w:asciiTheme="minorHAnsi" w:hAnsiTheme="minorHAnsi" w:cstheme="minorHAnsi"/>
          <w:i/>
          <w:iCs/>
        </w:rPr>
        <w:t>Surveillance</w:t>
      </w:r>
      <w:proofErr w:type="spellEnd"/>
      <w:r w:rsidRPr="0017251D">
        <w:rPr>
          <w:rFonts w:asciiTheme="minorHAnsi" w:hAnsiTheme="minorHAnsi" w:cstheme="minorHAnsi"/>
        </w:rPr>
        <w:t xml:space="preserve"> je systém, který obsahuje data o uskutečněných dovozech zboží nízké hodnoty a jeho propuštění do volného oběhu</w:t>
      </w:r>
      <w:r w:rsidR="001075B0">
        <w:rPr>
          <w:rFonts w:asciiTheme="minorHAnsi" w:hAnsiTheme="minorHAnsi" w:cstheme="minorHAnsi"/>
        </w:rPr>
        <w:t>;</w:t>
      </w:r>
      <w:r w:rsidRPr="0017251D">
        <w:rPr>
          <w:rFonts w:asciiTheme="minorHAnsi" w:hAnsiTheme="minorHAnsi" w:cstheme="minorHAnsi"/>
        </w:rPr>
        <w:t xml:space="preserve"> </w:t>
      </w:r>
      <w:r w:rsidR="001075B0">
        <w:rPr>
          <w:rFonts w:asciiTheme="minorHAnsi" w:hAnsiTheme="minorHAnsi" w:cstheme="minorHAnsi"/>
        </w:rPr>
        <w:t>data</w:t>
      </w:r>
      <w:r w:rsidRPr="0017251D">
        <w:rPr>
          <w:rFonts w:asciiTheme="minorHAnsi" w:hAnsiTheme="minorHAnsi" w:cstheme="minorHAnsi"/>
        </w:rPr>
        <w:t xml:space="preserve"> jsou do tohoto systému přenášena od celních správ jednotlivých členských států EU.</w:t>
      </w:r>
    </w:p>
  </w:footnote>
  <w:footnote w:id="11">
    <w:p w14:paraId="0A63F52C" w14:textId="456EC362" w:rsidR="00852EC5" w:rsidRPr="0017251D" w:rsidRDefault="00852EC5" w:rsidP="00392287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17251D">
        <w:rPr>
          <w:rStyle w:val="Znakapoznpodarou"/>
          <w:rFonts w:asciiTheme="minorHAnsi" w:hAnsiTheme="minorHAnsi" w:cstheme="minorHAnsi"/>
        </w:rPr>
        <w:footnoteRef/>
      </w:r>
      <w:r w:rsidRPr="0017251D">
        <w:rPr>
          <w:rFonts w:asciiTheme="minorHAnsi" w:hAnsiTheme="minorHAnsi" w:cstheme="minorHAnsi"/>
        </w:rPr>
        <w:t xml:space="preserve"> </w:t>
      </w:r>
      <w:r w:rsidR="00392287">
        <w:rPr>
          <w:rFonts w:asciiTheme="minorHAnsi" w:hAnsiTheme="minorHAnsi" w:cstheme="minorHAnsi"/>
        </w:rPr>
        <w:tab/>
      </w:r>
      <w:r w:rsidRPr="0017251D">
        <w:rPr>
          <w:rFonts w:asciiTheme="minorHAnsi" w:hAnsiTheme="minorHAnsi" w:cstheme="minorHAnsi"/>
        </w:rPr>
        <w:t>Osobou neusazenou v tuzemsku (dále také „neusazená osoba“) se dle § 4 odst. 1 písm. l) zákona o DPH rozumí osoba povinná k dani, která nemá sídlo v tuzemsku, uskuteční zdanitelné plnění dodání zboží nebo poskytnutí služby s místem plnění v tuzemsku a v tuzemsku nemá provozovnu nebo v tuzemsku má provozovnu, která se tohoto plnění neúčastní.</w:t>
      </w:r>
    </w:p>
  </w:footnote>
  <w:footnote w:id="12">
    <w:p w14:paraId="5AD3AE8D" w14:textId="4884A5CC" w:rsidR="005F4419" w:rsidRPr="0017251D" w:rsidRDefault="005F4419" w:rsidP="00392287">
      <w:pPr>
        <w:pStyle w:val="Textpoznpodarou"/>
        <w:ind w:left="284" w:hanging="284"/>
        <w:rPr>
          <w:rFonts w:asciiTheme="minorHAnsi" w:hAnsiTheme="minorHAnsi" w:cstheme="minorHAnsi"/>
        </w:rPr>
      </w:pPr>
      <w:r w:rsidRPr="0017251D">
        <w:rPr>
          <w:rStyle w:val="Znakapoznpodarou"/>
          <w:rFonts w:asciiTheme="minorHAnsi" w:hAnsiTheme="minorHAnsi" w:cstheme="minorHAnsi"/>
        </w:rPr>
        <w:footnoteRef/>
      </w:r>
      <w:r w:rsidRPr="0017251D">
        <w:rPr>
          <w:rFonts w:asciiTheme="minorHAnsi" w:hAnsiTheme="minorHAnsi" w:cstheme="minorHAnsi"/>
        </w:rPr>
        <w:t xml:space="preserve"> </w:t>
      </w:r>
      <w:r w:rsidR="00392287">
        <w:rPr>
          <w:rFonts w:asciiTheme="minorHAnsi" w:hAnsiTheme="minorHAnsi" w:cstheme="minorHAnsi"/>
        </w:rPr>
        <w:tab/>
      </w:r>
      <w:r w:rsidRPr="0017251D">
        <w:rPr>
          <w:rFonts w:asciiTheme="minorHAnsi" w:hAnsiTheme="minorHAnsi" w:cstheme="minorHAnsi"/>
        </w:rPr>
        <w:t>Daňové evidenční číslo pro účely dovozního režimu v rámci zvláštního režimu (dále také „dovozní číslo“).</w:t>
      </w:r>
    </w:p>
  </w:footnote>
  <w:footnote w:id="13">
    <w:p w14:paraId="3C172E1E" w14:textId="0BEA9DE1" w:rsidR="003D62C7" w:rsidRPr="0017251D" w:rsidRDefault="003D62C7" w:rsidP="00392287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17251D">
        <w:rPr>
          <w:rStyle w:val="Znakapoznpodarou"/>
          <w:rFonts w:asciiTheme="minorHAnsi" w:hAnsiTheme="minorHAnsi" w:cstheme="minorHAnsi"/>
        </w:rPr>
        <w:footnoteRef/>
      </w:r>
      <w:r w:rsidRPr="0017251D">
        <w:rPr>
          <w:rFonts w:asciiTheme="minorHAnsi" w:hAnsiTheme="minorHAnsi" w:cstheme="minorHAnsi"/>
        </w:rPr>
        <w:t xml:space="preserve"> </w:t>
      </w:r>
      <w:r w:rsidR="00392287">
        <w:rPr>
          <w:rFonts w:asciiTheme="minorHAnsi" w:hAnsiTheme="minorHAnsi" w:cstheme="minorHAnsi"/>
        </w:rPr>
        <w:tab/>
      </w:r>
      <w:r w:rsidRPr="0017251D">
        <w:rPr>
          <w:rFonts w:asciiTheme="minorHAnsi" w:hAnsiTheme="minorHAnsi" w:cstheme="minorHAnsi"/>
        </w:rPr>
        <w:t xml:space="preserve">Vybraným plněním se rozumí poskytnutí služby, prodej zboží na dálku, dodání zboží provozovatelem elektronického rozhraní a prodej dovezeného zboží na dálku, </w:t>
      </w:r>
      <w:r w:rsidR="00A25C29">
        <w:rPr>
          <w:rFonts w:asciiTheme="minorHAnsi" w:hAnsiTheme="minorHAnsi" w:cstheme="minorHAnsi"/>
        </w:rPr>
        <w:t>pokud toto plnění</w:t>
      </w:r>
      <w:r w:rsidRPr="0017251D">
        <w:rPr>
          <w:rFonts w:asciiTheme="minorHAnsi" w:hAnsiTheme="minorHAnsi" w:cstheme="minorHAnsi"/>
        </w:rPr>
        <w:t xml:space="preserve"> není předmětem spotřební daně</w:t>
      </w:r>
      <w:r w:rsidR="00A25C29">
        <w:rPr>
          <w:rFonts w:asciiTheme="minorHAnsi" w:hAnsiTheme="minorHAnsi" w:cstheme="minorHAnsi"/>
        </w:rPr>
        <w:t>,</w:t>
      </w:r>
      <w:r w:rsidRPr="0017251D">
        <w:rPr>
          <w:rFonts w:asciiTheme="minorHAnsi" w:hAnsiTheme="minorHAnsi" w:cstheme="minorHAnsi"/>
        </w:rPr>
        <w:t xml:space="preserve"> jeho vlastní hodnota nepřesahuje 150 </w:t>
      </w:r>
      <w:r w:rsidR="004220F5" w:rsidRPr="0017251D">
        <w:rPr>
          <w:rFonts w:asciiTheme="minorHAnsi" w:hAnsiTheme="minorHAnsi" w:cstheme="minorHAnsi"/>
        </w:rPr>
        <w:t>eur</w:t>
      </w:r>
      <w:r w:rsidRPr="0017251D">
        <w:rPr>
          <w:rFonts w:asciiTheme="minorHAnsi" w:hAnsiTheme="minorHAnsi" w:cstheme="minorHAnsi"/>
        </w:rPr>
        <w:t xml:space="preserve"> </w:t>
      </w:r>
      <w:r w:rsidR="00A25C29">
        <w:rPr>
          <w:rFonts w:asciiTheme="minorHAnsi" w:hAnsiTheme="minorHAnsi" w:cstheme="minorHAnsi"/>
        </w:rPr>
        <w:t>(</w:t>
      </w:r>
      <w:r w:rsidRPr="0017251D">
        <w:rPr>
          <w:rFonts w:asciiTheme="minorHAnsi" w:hAnsiTheme="minorHAnsi" w:cstheme="minorHAnsi"/>
        </w:rPr>
        <w:t>tzv. zboží nízké hodnoty</w:t>
      </w:r>
      <w:r w:rsidR="00A25C29">
        <w:rPr>
          <w:rFonts w:asciiTheme="minorHAnsi" w:hAnsiTheme="minorHAnsi" w:cstheme="minorHAnsi"/>
        </w:rPr>
        <w:t>)</w:t>
      </w:r>
      <w:r w:rsidRPr="0017251D">
        <w:rPr>
          <w:rFonts w:asciiTheme="minorHAnsi" w:hAnsiTheme="minorHAnsi" w:cstheme="minorHAnsi"/>
        </w:rPr>
        <w:t xml:space="preserve"> a </w:t>
      </w:r>
      <w:r w:rsidR="00A25C29">
        <w:rPr>
          <w:rFonts w:asciiTheme="minorHAnsi" w:hAnsiTheme="minorHAnsi" w:cstheme="minorHAnsi"/>
        </w:rPr>
        <w:t>bylo poskytnuto</w:t>
      </w:r>
      <w:r w:rsidRPr="0017251D">
        <w:rPr>
          <w:rFonts w:asciiTheme="minorHAnsi" w:hAnsiTheme="minorHAnsi" w:cstheme="minorHAnsi"/>
        </w:rPr>
        <w:t xml:space="preserve"> osobou povinnou k dani osobě nepovinné k dani s místem plnění na území E</w:t>
      </w:r>
      <w:r w:rsidR="004220F5" w:rsidRPr="0017251D">
        <w:rPr>
          <w:rFonts w:asciiTheme="minorHAnsi" w:hAnsiTheme="minorHAnsi" w:cstheme="minorHAnsi"/>
        </w:rPr>
        <w:t>U</w:t>
      </w:r>
      <w:r w:rsidR="00F37E5C" w:rsidRPr="0017251D">
        <w:rPr>
          <w:rFonts w:asciiTheme="minorHAnsi" w:hAnsiTheme="minorHAnsi" w:cstheme="minorHAnsi"/>
        </w:rPr>
        <w:t>.</w:t>
      </w:r>
    </w:p>
  </w:footnote>
  <w:footnote w:id="14">
    <w:p w14:paraId="286F5E06" w14:textId="42B77710" w:rsidR="00522DB3" w:rsidRPr="0017251D" w:rsidRDefault="00522DB3" w:rsidP="00392287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17251D">
        <w:rPr>
          <w:rStyle w:val="Znakapoznpodarou"/>
          <w:rFonts w:asciiTheme="minorHAnsi" w:hAnsiTheme="minorHAnsi" w:cstheme="minorHAnsi"/>
        </w:rPr>
        <w:footnoteRef/>
      </w:r>
      <w:r w:rsidRPr="0017251D">
        <w:rPr>
          <w:rFonts w:asciiTheme="minorHAnsi" w:hAnsiTheme="minorHAnsi" w:cstheme="minorHAnsi"/>
        </w:rPr>
        <w:t xml:space="preserve"> </w:t>
      </w:r>
      <w:r w:rsidR="00392287">
        <w:rPr>
          <w:rFonts w:asciiTheme="minorHAnsi" w:hAnsiTheme="minorHAnsi" w:cstheme="minorHAnsi"/>
        </w:rPr>
        <w:tab/>
      </w:r>
      <w:r w:rsidRPr="0017251D">
        <w:rPr>
          <w:rFonts w:asciiTheme="minorHAnsi" w:hAnsiTheme="minorHAnsi" w:cstheme="minorHAnsi"/>
        </w:rPr>
        <w:t>Prováděcí nařízení Rady (EU) č. 282/2011 ze dne 15. března 2011, kterým se stanoví prováděcí opatření ke směrnici 2006/112/ES</w:t>
      </w:r>
      <w:r w:rsidR="00C623FA">
        <w:rPr>
          <w:rFonts w:asciiTheme="minorHAnsi" w:hAnsiTheme="minorHAnsi" w:cstheme="minorHAnsi"/>
        </w:rPr>
        <w:t>,</w:t>
      </w:r>
      <w:r w:rsidRPr="0017251D">
        <w:rPr>
          <w:rFonts w:asciiTheme="minorHAnsi" w:hAnsiTheme="minorHAnsi" w:cstheme="minorHAnsi"/>
        </w:rPr>
        <w:t xml:space="preserve"> o společném systému daně z přidané hodnoty</w:t>
      </w:r>
      <w:r w:rsidR="000079FA" w:rsidRPr="0017251D">
        <w:rPr>
          <w:rFonts w:asciiTheme="minorHAnsi" w:hAnsiTheme="minorHAnsi" w:cstheme="minorHAnsi"/>
        </w:rPr>
        <w:t xml:space="preserve"> (dále také „</w:t>
      </w:r>
      <w:r w:rsidR="00C623FA">
        <w:rPr>
          <w:rFonts w:asciiTheme="minorHAnsi" w:hAnsiTheme="minorHAnsi" w:cstheme="minorHAnsi"/>
        </w:rPr>
        <w:t>p</w:t>
      </w:r>
      <w:r w:rsidR="000079FA" w:rsidRPr="0017251D">
        <w:rPr>
          <w:rFonts w:asciiTheme="minorHAnsi" w:hAnsiTheme="minorHAnsi" w:cstheme="minorHAnsi"/>
        </w:rPr>
        <w:t>rovádě</w:t>
      </w:r>
      <w:r w:rsidR="00116B52" w:rsidRPr="0017251D">
        <w:rPr>
          <w:rFonts w:asciiTheme="minorHAnsi" w:hAnsiTheme="minorHAnsi" w:cstheme="minorHAnsi"/>
        </w:rPr>
        <w:t>c</w:t>
      </w:r>
      <w:r w:rsidR="000079FA" w:rsidRPr="0017251D">
        <w:rPr>
          <w:rFonts w:asciiTheme="minorHAnsi" w:hAnsiTheme="minorHAnsi" w:cstheme="minorHAnsi"/>
        </w:rPr>
        <w:t>í nařízení Rady 282/2011“)</w:t>
      </w:r>
      <w:r w:rsidRPr="0017251D">
        <w:rPr>
          <w:rFonts w:asciiTheme="minorHAnsi" w:hAnsiTheme="minorHAnsi" w:cstheme="minorHAnsi"/>
        </w:rPr>
        <w:t>.</w:t>
      </w:r>
    </w:p>
  </w:footnote>
  <w:footnote w:id="15">
    <w:p w14:paraId="5376D7EE" w14:textId="135F6EBE" w:rsidR="00522DB3" w:rsidRPr="0017251D" w:rsidRDefault="00522DB3" w:rsidP="00392287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17251D">
        <w:rPr>
          <w:rStyle w:val="Znakapoznpodarou"/>
          <w:rFonts w:asciiTheme="minorHAnsi" w:hAnsiTheme="minorHAnsi" w:cstheme="minorHAnsi"/>
        </w:rPr>
        <w:footnoteRef/>
      </w:r>
      <w:r w:rsidRPr="0017251D">
        <w:rPr>
          <w:rFonts w:asciiTheme="minorHAnsi" w:hAnsiTheme="minorHAnsi" w:cstheme="minorHAnsi"/>
        </w:rPr>
        <w:t xml:space="preserve"> </w:t>
      </w:r>
      <w:r w:rsidR="00392287">
        <w:rPr>
          <w:rFonts w:asciiTheme="minorHAnsi" w:hAnsiTheme="minorHAnsi" w:cstheme="minorHAnsi"/>
        </w:rPr>
        <w:tab/>
      </w:r>
      <w:r w:rsidRPr="0017251D">
        <w:rPr>
          <w:rFonts w:asciiTheme="minorHAnsi" w:hAnsiTheme="minorHAnsi" w:cstheme="minorHAnsi"/>
        </w:rPr>
        <w:t>Nařízení Rady (EU) č. 904/2010 ze dne 7. října 2010</w:t>
      </w:r>
      <w:r w:rsidR="00C623FA">
        <w:rPr>
          <w:rFonts w:asciiTheme="minorHAnsi" w:hAnsiTheme="minorHAnsi" w:cstheme="minorHAnsi"/>
        </w:rPr>
        <w:t>,</w:t>
      </w:r>
      <w:r w:rsidRPr="0017251D">
        <w:rPr>
          <w:rFonts w:asciiTheme="minorHAnsi" w:hAnsiTheme="minorHAnsi" w:cstheme="minorHAnsi"/>
        </w:rPr>
        <w:t xml:space="preserve"> o správní spolupráci a boji proti podvodům v oblasti daně z přidané hodnoty</w:t>
      </w:r>
      <w:r w:rsidR="00BF533E" w:rsidRPr="0017251D">
        <w:rPr>
          <w:rFonts w:asciiTheme="minorHAnsi" w:hAnsiTheme="minorHAnsi" w:cstheme="minorHAnsi"/>
        </w:rPr>
        <w:t xml:space="preserve"> (dále také „</w:t>
      </w:r>
      <w:r w:rsidR="00C623FA">
        <w:rPr>
          <w:rFonts w:asciiTheme="minorHAnsi" w:hAnsiTheme="minorHAnsi" w:cstheme="minorHAnsi"/>
        </w:rPr>
        <w:t>n</w:t>
      </w:r>
      <w:r w:rsidR="00BF533E" w:rsidRPr="0017251D">
        <w:rPr>
          <w:rFonts w:asciiTheme="minorHAnsi" w:hAnsiTheme="minorHAnsi" w:cstheme="minorHAnsi"/>
        </w:rPr>
        <w:t>ařízení Rady (EU) č. 904/2010“)</w:t>
      </w:r>
      <w:r w:rsidRPr="0017251D">
        <w:rPr>
          <w:rFonts w:asciiTheme="minorHAnsi" w:hAnsiTheme="minorHAnsi" w:cstheme="minorHAnsi"/>
        </w:rPr>
        <w:t>.</w:t>
      </w:r>
    </w:p>
  </w:footnote>
  <w:footnote w:id="16">
    <w:p w14:paraId="534B3950" w14:textId="44120371" w:rsidR="00F34066" w:rsidRPr="0017251D" w:rsidRDefault="00F34066" w:rsidP="00392287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17251D">
        <w:rPr>
          <w:rStyle w:val="Znakapoznpodarou"/>
          <w:rFonts w:asciiTheme="minorHAnsi" w:hAnsiTheme="minorHAnsi" w:cstheme="minorHAnsi"/>
        </w:rPr>
        <w:footnoteRef/>
      </w:r>
      <w:r w:rsidRPr="0017251D">
        <w:rPr>
          <w:rFonts w:asciiTheme="minorHAnsi" w:hAnsiTheme="minorHAnsi" w:cstheme="minorHAnsi"/>
        </w:rPr>
        <w:t xml:space="preserve"> </w:t>
      </w:r>
      <w:r w:rsidR="00392287">
        <w:rPr>
          <w:rFonts w:asciiTheme="minorHAnsi" w:hAnsiTheme="minorHAnsi" w:cstheme="minorHAnsi"/>
        </w:rPr>
        <w:tab/>
      </w:r>
      <w:r w:rsidRPr="0017251D">
        <w:rPr>
          <w:rFonts w:asciiTheme="minorHAnsi" w:hAnsiTheme="minorHAnsi" w:cstheme="minorHAnsi"/>
        </w:rPr>
        <w:t>Osobou povinnou k dani (dále také „subjekt“) je osoba, která samostatně uskutečňuje ekonomickou činnost, nebo skupina</w:t>
      </w:r>
      <w:r w:rsidR="00E11C74" w:rsidRPr="0017251D">
        <w:rPr>
          <w:rFonts w:asciiTheme="minorHAnsi" w:hAnsiTheme="minorHAnsi" w:cstheme="minorHAnsi"/>
        </w:rPr>
        <w:t xml:space="preserve"> (dle ustanovení § 5a zákona o DPH)</w:t>
      </w:r>
      <w:r w:rsidRPr="0017251D">
        <w:rPr>
          <w:rFonts w:asciiTheme="minorHAnsi" w:hAnsiTheme="minorHAnsi" w:cstheme="minorHAnsi"/>
        </w:rPr>
        <w:t>. Osobou povinnou k dani, pokud samostatně uskutečňuje ekonomickou činnost, je i právnická osoba, která nebyla založena nebo zřízena za účelem podnikání.</w:t>
      </w:r>
    </w:p>
  </w:footnote>
  <w:footnote w:id="17">
    <w:p w14:paraId="2E4E4C1D" w14:textId="4F281EE7" w:rsidR="00AB50A0" w:rsidRPr="0017251D" w:rsidRDefault="00AB50A0" w:rsidP="00392287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17251D">
        <w:rPr>
          <w:rStyle w:val="Znakapoznpodarou"/>
          <w:rFonts w:asciiTheme="minorHAnsi" w:hAnsiTheme="minorHAnsi" w:cstheme="minorHAnsi"/>
        </w:rPr>
        <w:footnoteRef/>
      </w:r>
      <w:r w:rsidRPr="0017251D">
        <w:rPr>
          <w:rFonts w:asciiTheme="minorHAnsi" w:hAnsiTheme="minorHAnsi" w:cstheme="minorHAnsi"/>
        </w:rPr>
        <w:t xml:space="preserve"> </w:t>
      </w:r>
      <w:r w:rsidR="00392287">
        <w:rPr>
          <w:rFonts w:asciiTheme="minorHAnsi" w:hAnsiTheme="minorHAnsi" w:cstheme="minorHAnsi"/>
        </w:rPr>
        <w:tab/>
      </w:r>
      <w:r w:rsidRPr="0017251D">
        <w:rPr>
          <w:rFonts w:asciiTheme="minorHAnsi" w:hAnsiTheme="minorHAnsi" w:cstheme="minorHAnsi"/>
        </w:rPr>
        <w:t xml:space="preserve">Zvláštní zpráva EÚD č. 08/2025 </w:t>
      </w:r>
      <w:r w:rsidR="0042318A">
        <w:rPr>
          <w:rFonts w:asciiTheme="minorHAnsi" w:hAnsiTheme="minorHAnsi" w:cstheme="minorHAnsi"/>
        </w:rPr>
        <w:t xml:space="preserve">– </w:t>
      </w:r>
      <w:r w:rsidRPr="00F16B71">
        <w:rPr>
          <w:rFonts w:asciiTheme="minorHAnsi" w:hAnsiTheme="minorHAnsi" w:cstheme="minorHAnsi"/>
          <w:i/>
          <w:iCs/>
        </w:rPr>
        <w:t>Podvody na dani z přidané hodnoty při dovozu: Při používání zjednodušen</w:t>
      </w:r>
      <w:r w:rsidR="0042318A">
        <w:rPr>
          <w:rFonts w:asciiTheme="minorHAnsi" w:hAnsiTheme="minorHAnsi" w:cstheme="minorHAnsi"/>
          <w:i/>
          <w:iCs/>
        </w:rPr>
        <w:t>ých</w:t>
      </w:r>
      <w:r w:rsidRPr="00F16B71">
        <w:rPr>
          <w:rFonts w:asciiTheme="minorHAnsi" w:hAnsiTheme="minorHAnsi" w:cstheme="minorHAnsi"/>
          <w:i/>
          <w:iCs/>
        </w:rPr>
        <w:t xml:space="preserve"> celních postupů nejsou dostatečně chráněny finanční zájmy EU</w:t>
      </w:r>
      <w:r w:rsidRPr="0017251D">
        <w:rPr>
          <w:rFonts w:asciiTheme="minorHAnsi" w:hAnsiTheme="minorHAnsi" w:cstheme="minorHAnsi"/>
        </w:rPr>
        <w:t>.</w:t>
      </w:r>
    </w:p>
  </w:footnote>
  <w:footnote w:id="18">
    <w:p w14:paraId="680358FF" w14:textId="2E1C48A0" w:rsidR="00B700C2" w:rsidRPr="0017251D" w:rsidRDefault="00B700C2" w:rsidP="00392287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17251D">
        <w:rPr>
          <w:rStyle w:val="Znakapoznpodarou"/>
          <w:rFonts w:asciiTheme="minorHAnsi" w:hAnsiTheme="minorHAnsi" w:cstheme="minorHAnsi"/>
        </w:rPr>
        <w:footnoteRef/>
      </w:r>
      <w:r w:rsidRPr="0017251D">
        <w:rPr>
          <w:rFonts w:asciiTheme="minorHAnsi" w:hAnsiTheme="minorHAnsi" w:cstheme="minorHAnsi"/>
        </w:rPr>
        <w:t xml:space="preserve"> </w:t>
      </w:r>
      <w:bookmarkStart w:id="6" w:name="_Hlk212107112"/>
      <w:r w:rsidR="00392287">
        <w:rPr>
          <w:rFonts w:asciiTheme="minorHAnsi" w:hAnsiTheme="minorHAnsi" w:cstheme="minorHAnsi"/>
        </w:rPr>
        <w:tab/>
      </w:r>
      <w:r w:rsidR="007A1F20" w:rsidRPr="0017251D">
        <w:rPr>
          <w:rFonts w:asciiTheme="minorHAnsi" w:hAnsiTheme="minorHAnsi" w:cstheme="minorHAnsi"/>
        </w:rPr>
        <w:t xml:space="preserve">Ustanovení § 110a </w:t>
      </w:r>
      <w:r w:rsidR="009810E4">
        <w:rPr>
          <w:rFonts w:asciiTheme="minorHAnsi" w:hAnsiTheme="minorHAnsi" w:cstheme="minorHAnsi"/>
        </w:rPr>
        <w:t>až</w:t>
      </w:r>
      <w:r w:rsidR="007A1F20" w:rsidRPr="0017251D">
        <w:rPr>
          <w:rFonts w:asciiTheme="minorHAnsi" w:hAnsiTheme="minorHAnsi" w:cstheme="minorHAnsi"/>
        </w:rPr>
        <w:t xml:space="preserve"> 110zy zákona o DPH ve znění účinném od 1. 10. 2021 do 31. 12. 2023, resp. ustanovení </w:t>
      </w:r>
      <w:r w:rsidR="004A2A78">
        <w:rPr>
          <w:rFonts w:asciiTheme="minorHAnsi" w:hAnsiTheme="minorHAnsi" w:cstheme="minorHAnsi"/>
        </w:rPr>
        <w:br/>
      </w:r>
      <w:r w:rsidR="007A1F20" w:rsidRPr="0017251D">
        <w:rPr>
          <w:rFonts w:asciiTheme="minorHAnsi" w:hAnsiTheme="minorHAnsi" w:cstheme="minorHAnsi"/>
        </w:rPr>
        <w:t xml:space="preserve">§ 110a </w:t>
      </w:r>
      <w:r w:rsidR="009810E4">
        <w:rPr>
          <w:rFonts w:asciiTheme="minorHAnsi" w:hAnsiTheme="minorHAnsi" w:cstheme="minorHAnsi"/>
        </w:rPr>
        <w:t>až</w:t>
      </w:r>
      <w:r w:rsidR="007A1F20" w:rsidRPr="0017251D">
        <w:rPr>
          <w:rFonts w:asciiTheme="minorHAnsi" w:hAnsiTheme="minorHAnsi" w:cstheme="minorHAnsi"/>
        </w:rPr>
        <w:t xml:space="preserve"> 110zzj zákona o DPH ve znění účinném od 1. 1. 2024.</w:t>
      </w:r>
      <w:bookmarkEnd w:id="6"/>
    </w:p>
  </w:footnote>
  <w:footnote w:id="19">
    <w:p w14:paraId="67742602" w14:textId="7BE3561E" w:rsidR="00D5102B" w:rsidRPr="0017251D" w:rsidRDefault="00D5102B" w:rsidP="00392287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17251D">
        <w:rPr>
          <w:rStyle w:val="Znakapoznpodarou"/>
          <w:rFonts w:asciiTheme="minorHAnsi" w:hAnsiTheme="minorHAnsi" w:cstheme="minorHAnsi"/>
        </w:rPr>
        <w:footnoteRef/>
      </w:r>
      <w:r w:rsidRPr="0017251D">
        <w:rPr>
          <w:rFonts w:asciiTheme="minorHAnsi" w:hAnsiTheme="minorHAnsi" w:cstheme="minorHAnsi"/>
        </w:rPr>
        <w:t xml:space="preserve"> </w:t>
      </w:r>
      <w:r w:rsidR="00392287">
        <w:rPr>
          <w:rFonts w:asciiTheme="minorHAnsi" w:hAnsiTheme="minorHAnsi" w:cstheme="minorHAnsi"/>
        </w:rPr>
        <w:tab/>
      </w:r>
      <w:r w:rsidRPr="0017251D">
        <w:rPr>
          <w:rFonts w:asciiTheme="minorHAnsi" w:hAnsiTheme="minorHAnsi" w:cstheme="minorHAnsi"/>
        </w:rPr>
        <w:t>Ustanovení § 110zc odst. 1 zákona o DPH</w:t>
      </w:r>
      <w:r w:rsidR="00E44AD8" w:rsidRPr="0017251D">
        <w:rPr>
          <w:rFonts w:asciiTheme="minorHAnsi" w:hAnsiTheme="minorHAnsi" w:cstheme="minorHAnsi"/>
        </w:rPr>
        <w:t>.</w:t>
      </w:r>
    </w:p>
  </w:footnote>
  <w:footnote w:id="20">
    <w:p w14:paraId="7C5CFDCA" w14:textId="37D1977D" w:rsidR="00E7798B" w:rsidRPr="0017251D" w:rsidRDefault="00E7798B" w:rsidP="00392287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17251D">
        <w:rPr>
          <w:rStyle w:val="Znakapoznpodarou"/>
          <w:rFonts w:asciiTheme="minorHAnsi" w:hAnsiTheme="minorHAnsi" w:cstheme="minorHAnsi"/>
        </w:rPr>
        <w:footnoteRef/>
      </w:r>
      <w:r w:rsidRPr="0017251D">
        <w:rPr>
          <w:rFonts w:asciiTheme="minorHAnsi" w:hAnsiTheme="minorHAnsi" w:cstheme="minorHAnsi"/>
        </w:rPr>
        <w:t xml:space="preserve"> </w:t>
      </w:r>
      <w:r w:rsidR="00392287">
        <w:rPr>
          <w:rFonts w:asciiTheme="minorHAnsi" w:hAnsiTheme="minorHAnsi" w:cstheme="minorHAnsi"/>
        </w:rPr>
        <w:tab/>
      </w:r>
      <w:r w:rsidRPr="0017251D">
        <w:rPr>
          <w:rFonts w:asciiTheme="minorHAnsi" w:hAnsiTheme="minorHAnsi" w:cstheme="minorHAnsi"/>
        </w:rPr>
        <w:t xml:space="preserve">Dle ustanovení čl. </w:t>
      </w:r>
      <w:proofErr w:type="gramStart"/>
      <w:r w:rsidRPr="0017251D">
        <w:rPr>
          <w:rFonts w:asciiTheme="minorHAnsi" w:hAnsiTheme="minorHAnsi" w:cstheme="minorHAnsi"/>
        </w:rPr>
        <w:t>60a</w:t>
      </w:r>
      <w:proofErr w:type="gramEnd"/>
      <w:r w:rsidRPr="0017251D">
        <w:rPr>
          <w:rFonts w:asciiTheme="minorHAnsi" w:hAnsiTheme="minorHAnsi" w:cstheme="minorHAnsi"/>
        </w:rPr>
        <w:t xml:space="preserve"> </w:t>
      </w:r>
      <w:r w:rsidR="00595BE0">
        <w:rPr>
          <w:rFonts w:asciiTheme="minorHAnsi" w:hAnsiTheme="minorHAnsi" w:cstheme="minorHAnsi"/>
        </w:rPr>
        <w:t xml:space="preserve">prováděcího </w:t>
      </w:r>
      <w:r w:rsidR="009810E4">
        <w:rPr>
          <w:rFonts w:asciiTheme="minorHAnsi" w:hAnsiTheme="minorHAnsi" w:cstheme="minorHAnsi"/>
        </w:rPr>
        <w:t>n</w:t>
      </w:r>
      <w:r w:rsidRPr="0017251D">
        <w:rPr>
          <w:rFonts w:asciiTheme="minorHAnsi" w:hAnsiTheme="minorHAnsi" w:cstheme="minorHAnsi"/>
        </w:rPr>
        <w:t>ařízení Rady 282/2011</w:t>
      </w:r>
      <w:r w:rsidR="00E44AD8" w:rsidRPr="0017251D">
        <w:rPr>
          <w:rFonts w:asciiTheme="minorHAnsi" w:hAnsiTheme="minorHAnsi" w:cstheme="minorHAnsi"/>
        </w:rPr>
        <w:t>.</w:t>
      </w:r>
    </w:p>
  </w:footnote>
  <w:footnote w:id="21">
    <w:p w14:paraId="44B919D5" w14:textId="69269A09" w:rsidR="00E66B8F" w:rsidRPr="0017251D" w:rsidRDefault="00E66B8F" w:rsidP="00392287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17251D">
        <w:rPr>
          <w:rStyle w:val="Znakapoznpodarou"/>
          <w:rFonts w:asciiTheme="minorHAnsi" w:hAnsiTheme="minorHAnsi" w:cstheme="minorHAnsi"/>
        </w:rPr>
        <w:footnoteRef/>
      </w:r>
      <w:r w:rsidRPr="0017251D">
        <w:rPr>
          <w:rFonts w:asciiTheme="minorHAnsi" w:hAnsiTheme="minorHAnsi" w:cstheme="minorHAnsi"/>
        </w:rPr>
        <w:t xml:space="preserve"> </w:t>
      </w:r>
      <w:r w:rsidR="00392287">
        <w:rPr>
          <w:rFonts w:asciiTheme="minorHAnsi" w:hAnsiTheme="minorHAnsi" w:cstheme="minorHAnsi"/>
        </w:rPr>
        <w:tab/>
      </w:r>
      <w:r w:rsidRPr="00F16B71">
        <w:rPr>
          <w:rFonts w:asciiTheme="minorHAnsi" w:hAnsiTheme="minorHAnsi" w:cstheme="minorHAnsi"/>
          <w:i/>
          <w:iCs/>
        </w:rPr>
        <w:t>Automatizovaný daňový informační systém</w:t>
      </w:r>
      <w:r w:rsidR="00BB4900" w:rsidRPr="0017251D">
        <w:rPr>
          <w:rFonts w:asciiTheme="minorHAnsi" w:hAnsiTheme="minorHAnsi" w:cstheme="minorHAnsi"/>
        </w:rPr>
        <w:t>.</w:t>
      </w:r>
      <w:r w:rsidR="00C03DBC" w:rsidRPr="0017251D">
        <w:rPr>
          <w:rFonts w:asciiTheme="minorHAnsi" w:hAnsiTheme="minorHAnsi" w:cstheme="minorHAnsi"/>
        </w:rPr>
        <w:t xml:space="preserve"> </w:t>
      </w:r>
    </w:p>
  </w:footnote>
  <w:footnote w:id="22">
    <w:p w14:paraId="4994E56D" w14:textId="007C4081" w:rsidR="003C165C" w:rsidRPr="007A7CC0" w:rsidRDefault="003C165C" w:rsidP="00392287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7A7CC0">
        <w:rPr>
          <w:rStyle w:val="Znakapoznpodarou"/>
          <w:rFonts w:asciiTheme="minorHAnsi" w:hAnsiTheme="minorHAnsi" w:cstheme="minorHAnsi"/>
        </w:rPr>
        <w:footnoteRef/>
      </w:r>
      <w:r w:rsidRPr="007A7CC0">
        <w:rPr>
          <w:rFonts w:asciiTheme="minorHAnsi" w:hAnsiTheme="minorHAnsi" w:cstheme="minorHAnsi"/>
        </w:rPr>
        <w:t xml:space="preserve"> </w:t>
      </w:r>
      <w:r w:rsidR="00392287">
        <w:rPr>
          <w:rFonts w:asciiTheme="minorHAnsi" w:hAnsiTheme="minorHAnsi" w:cstheme="minorHAnsi"/>
        </w:rPr>
        <w:tab/>
      </w:r>
      <w:r w:rsidRPr="007A7CC0">
        <w:rPr>
          <w:rFonts w:asciiTheme="minorHAnsi" w:hAnsiTheme="minorHAnsi" w:cstheme="minorHAnsi"/>
        </w:rPr>
        <w:t>Členský stát dovozu a členský stát spotřeby se v případě dovozního režimu nemus</w:t>
      </w:r>
      <w:r w:rsidR="00390568">
        <w:rPr>
          <w:rFonts w:asciiTheme="minorHAnsi" w:hAnsiTheme="minorHAnsi" w:cstheme="minorHAnsi"/>
        </w:rPr>
        <w:t>ej</w:t>
      </w:r>
      <w:r w:rsidRPr="007A7CC0">
        <w:rPr>
          <w:rFonts w:asciiTheme="minorHAnsi" w:hAnsiTheme="minorHAnsi" w:cstheme="minorHAnsi"/>
        </w:rPr>
        <w:t>í shodovat</w:t>
      </w:r>
      <w:r w:rsidR="00105886" w:rsidRPr="007A7CC0">
        <w:rPr>
          <w:rFonts w:asciiTheme="minorHAnsi" w:hAnsiTheme="minorHAnsi" w:cstheme="minorHAnsi"/>
        </w:rPr>
        <w:t xml:space="preserve">, </w:t>
      </w:r>
      <w:r w:rsidRPr="007A7CC0">
        <w:rPr>
          <w:rFonts w:asciiTheme="minorHAnsi" w:hAnsiTheme="minorHAnsi" w:cstheme="minorHAnsi"/>
        </w:rPr>
        <w:t xml:space="preserve">tj. zboží nízké hodnoty může </w:t>
      </w:r>
      <w:r w:rsidR="00105886" w:rsidRPr="007A7CC0">
        <w:rPr>
          <w:rFonts w:asciiTheme="minorHAnsi" w:hAnsiTheme="minorHAnsi" w:cstheme="minorHAnsi"/>
        </w:rPr>
        <w:t>být procleno např. v Polsku, přestože konečný zákazník bude v</w:t>
      </w:r>
      <w:r w:rsidR="00105886">
        <w:rPr>
          <w:rFonts w:asciiTheme="minorHAnsi" w:hAnsiTheme="minorHAnsi" w:cstheme="minorHAnsi"/>
        </w:rPr>
        <w:t> </w:t>
      </w:r>
      <w:r w:rsidR="00105886" w:rsidRPr="007A7CC0">
        <w:rPr>
          <w:rFonts w:asciiTheme="minorHAnsi" w:hAnsiTheme="minorHAnsi" w:cstheme="minorHAnsi"/>
        </w:rPr>
        <w:t>ČR</w:t>
      </w:r>
      <w:r w:rsidR="00105886">
        <w:rPr>
          <w:rFonts w:asciiTheme="minorHAnsi" w:hAnsiTheme="minorHAnsi" w:cstheme="minorHAnsi"/>
        </w:rPr>
        <w:t>. ČR je v </w:t>
      </w:r>
      <w:r w:rsidR="00390568">
        <w:rPr>
          <w:rFonts w:asciiTheme="minorHAnsi" w:hAnsiTheme="minorHAnsi" w:cstheme="minorHAnsi"/>
        </w:rPr>
        <w:t>takovém</w:t>
      </w:r>
      <w:r w:rsidR="00105886">
        <w:rPr>
          <w:rFonts w:asciiTheme="minorHAnsi" w:hAnsiTheme="minorHAnsi" w:cstheme="minorHAnsi"/>
        </w:rPr>
        <w:t xml:space="preserve"> případě v roli ČSS a má nárok na DPH z tohoto prodeje.</w:t>
      </w:r>
    </w:p>
  </w:footnote>
  <w:footnote w:id="23">
    <w:p w14:paraId="0E9D4439" w14:textId="39C3403F" w:rsidR="002E000A" w:rsidRPr="0017251D" w:rsidRDefault="002E000A" w:rsidP="00392287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17251D">
        <w:rPr>
          <w:rStyle w:val="Znakapoznpodarou"/>
          <w:rFonts w:asciiTheme="minorHAnsi" w:hAnsiTheme="minorHAnsi" w:cstheme="minorHAnsi"/>
        </w:rPr>
        <w:footnoteRef/>
      </w:r>
      <w:r w:rsidRPr="0017251D">
        <w:rPr>
          <w:rFonts w:asciiTheme="minorHAnsi" w:hAnsiTheme="minorHAnsi" w:cstheme="minorHAnsi"/>
        </w:rPr>
        <w:t xml:space="preserve"> </w:t>
      </w:r>
      <w:r w:rsidR="00392287">
        <w:rPr>
          <w:rFonts w:asciiTheme="minorHAnsi" w:hAnsiTheme="minorHAnsi" w:cstheme="minorHAnsi"/>
        </w:rPr>
        <w:tab/>
      </w:r>
      <w:r w:rsidR="007C45D5" w:rsidRPr="0017251D">
        <w:rPr>
          <w:rFonts w:asciiTheme="minorHAnsi" w:eastAsia="Aptos" w:hAnsiTheme="minorHAnsi" w:cstheme="minorHAnsi"/>
        </w:rPr>
        <w:t>S</w:t>
      </w:r>
      <w:r w:rsidRPr="0017251D">
        <w:rPr>
          <w:rFonts w:asciiTheme="minorHAnsi" w:eastAsia="Aptos" w:hAnsiTheme="minorHAnsi" w:cstheme="minorHAnsi"/>
        </w:rPr>
        <w:t>měrnice Rady (EU) 2020/284 ze dne 18.</w:t>
      </w:r>
      <w:r w:rsidR="009810E4">
        <w:rPr>
          <w:rFonts w:asciiTheme="minorHAnsi" w:eastAsia="Aptos" w:hAnsiTheme="minorHAnsi" w:cstheme="minorHAnsi"/>
        </w:rPr>
        <w:t xml:space="preserve"> </w:t>
      </w:r>
      <w:r w:rsidR="00C8156A" w:rsidRPr="0017251D">
        <w:rPr>
          <w:rFonts w:asciiTheme="minorHAnsi" w:eastAsia="Aptos" w:hAnsiTheme="minorHAnsi" w:cstheme="minorHAnsi"/>
        </w:rPr>
        <w:t>února</w:t>
      </w:r>
      <w:r w:rsidRPr="0017251D">
        <w:rPr>
          <w:rFonts w:asciiTheme="minorHAnsi" w:eastAsia="Aptos" w:hAnsiTheme="minorHAnsi" w:cstheme="minorHAnsi"/>
        </w:rPr>
        <w:t xml:space="preserve"> 2020, kterou se mění směrnice 2006/112/ES, pokud jde o</w:t>
      </w:r>
      <w:r w:rsidR="00CD15FD">
        <w:rPr>
          <w:rFonts w:asciiTheme="minorHAnsi" w:eastAsia="Aptos" w:hAnsiTheme="minorHAnsi" w:cstheme="minorHAnsi"/>
        </w:rPr>
        <w:t> </w:t>
      </w:r>
      <w:r w:rsidRPr="0017251D">
        <w:rPr>
          <w:rFonts w:asciiTheme="minorHAnsi" w:eastAsia="Aptos" w:hAnsiTheme="minorHAnsi" w:cstheme="minorHAnsi"/>
        </w:rPr>
        <w:t>zavedení určitých požadavků na poskytovatele platebních služeb</w:t>
      </w:r>
      <w:r w:rsidR="00C8156A" w:rsidRPr="0017251D">
        <w:rPr>
          <w:rFonts w:asciiTheme="minorHAnsi" w:eastAsia="Aptos" w:hAnsiTheme="minorHAnsi" w:cstheme="minorHAnsi"/>
        </w:rPr>
        <w:t>.</w:t>
      </w:r>
    </w:p>
  </w:footnote>
  <w:footnote w:id="24">
    <w:p w14:paraId="64F99C80" w14:textId="319DE228" w:rsidR="006F619C" w:rsidRPr="00392287" w:rsidRDefault="006F619C" w:rsidP="00392287">
      <w:pPr>
        <w:pStyle w:val="Textpoznpodarou"/>
        <w:ind w:left="284" w:hanging="284"/>
        <w:rPr>
          <w:rFonts w:asciiTheme="minorHAnsi" w:hAnsiTheme="minorHAnsi" w:cstheme="minorHAnsi"/>
        </w:rPr>
      </w:pPr>
      <w:r w:rsidRPr="00392287">
        <w:rPr>
          <w:rStyle w:val="Znakapoznpodarou"/>
          <w:rFonts w:asciiTheme="minorHAnsi" w:hAnsiTheme="minorHAnsi" w:cstheme="minorHAnsi"/>
        </w:rPr>
        <w:footnoteRef/>
      </w:r>
      <w:r w:rsidRPr="00392287">
        <w:rPr>
          <w:rFonts w:asciiTheme="minorHAnsi" w:hAnsiTheme="minorHAnsi" w:cstheme="minorHAnsi"/>
        </w:rPr>
        <w:t xml:space="preserve"> </w:t>
      </w:r>
      <w:r w:rsidR="00392287">
        <w:rPr>
          <w:rFonts w:asciiTheme="minorHAnsi" w:hAnsiTheme="minorHAnsi" w:cstheme="minorHAnsi"/>
        </w:rPr>
        <w:tab/>
      </w:r>
      <w:r w:rsidRPr="00392287">
        <w:rPr>
          <w:rFonts w:asciiTheme="minorHAnsi" w:hAnsiTheme="minorHAnsi" w:cstheme="minorHAnsi"/>
        </w:rPr>
        <w:t>Do 1. 10. 2021 se jednalo o řádek č. 26 daňového přiznání k DPH.</w:t>
      </w:r>
    </w:p>
  </w:footnote>
  <w:footnote w:id="25">
    <w:p w14:paraId="5491906B" w14:textId="10F9F3F2" w:rsidR="00D47F04" w:rsidRPr="0017251D" w:rsidRDefault="00D47F04" w:rsidP="00392287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17251D">
        <w:rPr>
          <w:rStyle w:val="Znakapoznpodarou"/>
          <w:rFonts w:asciiTheme="minorHAnsi" w:hAnsiTheme="minorHAnsi" w:cstheme="minorHAnsi"/>
        </w:rPr>
        <w:footnoteRef/>
      </w:r>
      <w:r w:rsidRPr="0017251D">
        <w:rPr>
          <w:rFonts w:asciiTheme="minorHAnsi" w:hAnsiTheme="minorHAnsi" w:cstheme="minorHAnsi"/>
        </w:rPr>
        <w:t xml:space="preserve"> </w:t>
      </w:r>
      <w:r w:rsidR="00392287">
        <w:rPr>
          <w:rFonts w:asciiTheme="minorHAnsi" w:hAnsiTheme="minorHAnsi" w:cstheme="minorHAnsi"/>
        </w:rPr>
        <w:tab/>
      </w:r>
      <w:r w:rsidRPr="0017251D">
        <w:rPr>
          <w:rFonts w:asciiTheme="minorHAnsi" w:hAnsiTheme="minorHAnsi" w:cstheme="minorHAnsi"/>
        </w:rPr>
        <w:t>Jednalo se o 9 subjektů, které vykázaly daň nad 100 000 eur, a 1 subjekt, který vykázal daň pod 50 000 eur.</w:t>
      </w:r>
    </w:p>
  </w:footnote>
  <w:footnote w:id="26">
    <w:p w14:paraId="5131F712" w14:textId="60105577" w:rsidR="00453B93" w:rsidRPr="0017251D" w:rsidRDefault="00453B93" w:rsidP="00392287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17251D">
        <w:rPr>
          <w:rStyle w:val="Znakapoznpodarou"/>
          <w:rFonts w:asciiTheme="minorHAnsi" w:hAnsiTheme="minorHAnsi" w:cstheme="minorHAnsi"/>
        </w:rPr>
        <w:footnoteRef/>
      </w:r>
      <w:r w:rsidRPr="0017251D">
        <w:rPr>
          <w:rFonts w:asciiTheme="minorHAnsi" w:hAnsiTheme="minorHAnsi" w:cstheme="minorHAnsi"/>
        </w:rPr>
        <w:t xml:space="preserve"> </w:t>
      </w:r>
      <w:r w:rsidR="00392287">
        <w:rPr>
          <w:rFonts w:asciiTheme="minorHAnsi" w:hAnsiTheme="minorHAnsi" w:cstheme="minorHAnsi"/>
        </w:rPr>
        <w:tab/>
      </w:r>
      <w:r w:rsidRPr="0017251D">
        <w:rPr>
          <w:rFonts w:asciiTheme="minorHAnsi" w:hAnsiTheme="minorHAnsi" w:cstheme="minorHAnsi"/>
        </w:rPr>
        <w:t>Ustanovení § 23 odst.</w:t>
      </w:r>
      <w:r w:rsidR="009810E4">
        <w:rPr>
          <w:rFonts w:asciiTheme="minorHAnsi" w:hAnsiTheme="minorHAnsi" w:cstheme="minorHAnsi"/>
        </w:rPr>
        <w:t xml:space="preserve"> </w:t>
      </w:r>
      <w:r w:rsidRPr="0017251D">
        <w:rPr>
          <w:rFonts w:asciiTheme="minorHAnsi" w:hAnsiTheme="minorHAnsi" w:cstheme="minorHAnsi"/>
        </w:rPr>
        <w:t>1 zákona o DPH.</w:t>
      </w:r>
    </w:p>
  </w:footnote>
  <w:footnote w:id="27">
    <w:p w14:paraId="59F5432C" w14:textId="12849140" w:rsidR="00147B4C" w:rsidRPr="0017251D" w:rsidRDefault="00147B4C" w:rsidP="00392287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17251D">
        <w:rPr>
          <w:rStyle w:val="Znakapoznpodarou"/>
          <w:rFonts w:asciiTheme="minorHAnsi" w:hAnsiTheme="minorHAnsi" w:cstheme="minorHAnsi"/>
        </w:rPr>
        <w:footnoteRef/>
      </w:r>
      <w:r w:rsidRPr="0017251D">
        <w:rPr>
          <w:rFonts w:asciiTheme="minorHAnsi" w:hAnsiTheme="minorHAnsi" w:cstheme="minorHAnsi"/>
        </w:rPr>
        <w:t xml:space="preserve"> </w:t>
      </w:r>
      <w:r w:rsidR="00392287">
        <w:rPr>
          <w:rFonts w:asciiTheme="minorHAnsi" w:hAnsiTheme="minorHAnsi" w:cstheme="minorHAnsi"/>
        </w:rPr>
        <w:tab/>
      </w:r>
      <w:r w:rsidRPr="0017251D">
        <w:rPr>
          <w:rFonts w:asciiTheme="minorHAnsi" w:hAnsiTheme="minorHAnsi" w:cstheme="minorHAnsi"/>
        </w:rPr>
        <w:t>SRDS byl zaveden v souladu s článkem 141 nařízení Komise v přenesené pravomoci (EU) 2015/2446 a články 143</w:t>
      </w:r>
      <w:r w:rsidR="0024115F">
        <w:rPr>
          <w:rFonts w:asciiTheme="minorHAnsi" w:hAnsiTheme="minorHAnsi" w:cstheme="minorHAnsi"/>
        </w:rPr>
        <w:t>–</w:t>
      </w:r>
      <w:r w:rsidRPr="0017251D">
        <w:rPr>
          <w:rFonts w:asciiTheme="minorHAnsi" w:hAnsiTheme="minorHAnsi" w:cstheme="minorHAnsi"/>
        </w:rPr>
        <w:t>144 prováděcího nařízení Komise (EU) 2015/2447.</w:t>
      </w:r>
    </w:p>
  </w:footnote>
  <w:footnote w:id="28">
    <w:p w14:paraId="149E75C6" w14:textId="1299AB88" w:rsidR="008800D5" w:rsidRPr="0017251D" w:rsidRDefault="008800D5" w:rsidP="00392287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17251D">
        <w:rPr>
          <w:rStyle w:val="Znakapoznpodarou"/>
          <w:rFonts w:asciiTheme="minorHAnsi" w:hAnsiTheme="minorHAnsi" w:cstheme="minorHAnsi"/>
        </w:rPr>
        <w:footnoteRef/>
      </w:r>
      <w:r w:rsidRPr="0017251D">
        <w:rPr>
          <w:rFonts w:asciiTheme="minorHAnsi" w:hAnsiTheme="minorHAnsi" w:cstheme="minorHAnsi"/>
        </w:rPr>
        <w:t xml:space="preserve"> </w:t>
      </w:r>
      <w:r w:rsidR="00392287">
        <w:rPr>
          <w:rFonts w:asciiTheme="minorHAnsi" w:hAnsiTheme="minorHAnsi" w:cstheme="minorHAnsi"/>
        </w:rPr>
        <w:tab/>
      </w:r>
      <w:r w:rsidRPr="0017251D">
        <w:rPr>
          <w:rFonts w:asciiTheme="minorHAnsi" w:hAnsiTheme="minorHAnsi" w:cstheme="minorHAnsi"/>
        </w:rPr>
        <w:t>Ustanovení § 109d zákona o DPH</w:t>
      </w:r>
      <w:r w:rsidR="00187814" w:rsidRPr="0017251D">
        <w:rPr>
          <w:rFonts w:asciiTheme="minorHAnsi" w:hAnsiTheme="minorHAnsi" w:cstheme="minorHAnsi"/>
        </w:rPr>
        <w:t>:</w:t>
      </w:r>
      <w:r w:rsidRPr="0017251D">
        <w:rPr>
          <w:rFonts w:asciiTheme="minorHAnsi" w:hAnsiTheme="minorHAnsi" w:cstheme="minorHAnsi"/>
        </w:rPr>
        <w:t xml:space="preserve"> „</w:t>
      </w:r>
      <w:r w:rsidRPr="00F16B71">
        <w:rPr>
          <w:rFonts w:asciiTheme="minorHAnsi" w:hAnsiTheme="minorHAnsi" w:cstheme="minorHAnsi"/>
          <w:i/>
          <w:iCs/>
        </w:rPr>
        <w:t>Podmínkou pro vydání povolení k použití zvláštního režimu při dovozu zboží nízké hodnoty je zajištění daně poskytnutím jistoty podle právních předpisů upravujících správu cel.</w:t>
      </w:r>
      <w:r w:rsidRPr="0017251D">
        <w:rPr>
          <w:rFonts w:asciiTheme="minorHAnsi" w:hAnsiTheme="minorHAnsi" w:cstheme="minorHAnsi"/>
        </w:rPr>
        <w:t>“</w:t>
      </w:r>
    </w:p>
  </w:footnote>
  <w:footnote w:id="29">
    <w:p w14:paraId="048AC110" w14:textId="02C4F375" w:rsidR="002B6426" w:rsidRPr="0017251D" w:rsidRDefault="002B6426" w:rsidP="00392287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17251D">
        <w:rPr>
          <w:rStyle w:val="Znakapoznpodarou"/>
          <w:rFonts w:asciiTheme="minorHAnsi" w:hAnsiTheme="minorHAnsi" w:cstheme="minorHAnsi"/>
        </w:rPr>
        <w:footnoteRef/>
      </w:r>
      <w:r w:rsidRPr="0017251D">
        <w:rPr>
          <w:rFonts w:asciiTheme="minorHAnsi" w:hAnsiTheme="minorHAnsi" w:cstheme="minorHAnsi"/>
        </w:rPr>
        <w:t xml:space="preserve"> </w:t>
      </w:r>
      <w:r w:rsidR="00392287">
        <w:rPr>
          <w:rFonts w:asciiTheme="minorHAnsi" w:hAnsiTheme="minorHAnsi" w:cstheme="minorHAnsi"/>
        </w:rPr>
        <w:tab/>
      </w:r>
      <w:r w:rsidRPr="0017251D">
        <w:rPr>
          <w:rFonts w:asciiTheme="minorHAnsi" w:hAnsiTheme="minorHAnsi" w:cstheme="minorHAnsi"/>
        </w:rPr>
        <w:t xml:space="preserve">V rámci </w:t>
      </w:r>
      <w:r w:rsidR="00D356F2" w:rsidRPr="0017251D">
        <w:rPr>
          <w:rFonts w:asciiTheme="minorHAnsi" w:hAnsiTheme="minorHAnsi" w:cstheme="minorHAnsi"/>
        </w:rPr>
        <w:t xml:space="preserve">dovozního </w:t>
      </w:r>
      <w:r w:rsidRPr="0017251D">
        <w:rPr>
          <w:rFonts w:asciiTheme="minorHAnsi" w:hAnsiTheme="minorHAnsi" w:cstheme="minorHAnsi"/>
        </w:rPr>
        <w:t>režimu dodavatel</w:t>
      </w:r>
      <w:r w:rsidR="00771987">
        <w:rPr>
          <w:rFonts w:asciiTheme="minorHAnsi" w:hAnsiTheme="minorHAnsi" w:cstheme="minorHAnsi"/>
        </w:rPr>
        <w:t>é</w:t>
      </w:r>
      <w:r w:rsidRPr="0017251D">
        <w:rPr>
          <w:rFonts w:asciiTheme="minorHAnsi" w:hAnsiTheme="minorHAnsi" w:cstheme="minorHAnsi"/>
        </w:rPr>
        <w:t xml:space="preserve"> nebo zprostředkovatel</w:t>
      </w:r>
      <w:r w:rsidR="00771987">
        <w:rPr>
          <w:rFonts w:asciiTheme="minorHAnsi" w:hAnsiTheme="minorHAnsi" w:cstheme="minorHAnsi"/>
        </w:rPr>
        <w:t>é</w:t>
      </w:r>
      <w:r w:rsidRPr="0017251D">
        <w:rPr>
          <w:rFonts w:asciiTheme="minorHAnsi" w:hAnsiTheme="minorHAnsi" w:cstheme="minorHAnsi"/>
        </w:rPr>
        <w:t xml:space="preserve"> podáv</w:t>
      </w:r>
      <w:r w:rsidR="00771987">
        <w:rPr>
          <w:rFonts w:asciiTheme="minorHAnsi" w:hAnsiTheme="minorHAnsi" w:cstheme="minorHAnsi"/>
        </w:rPr>
        <w:t>ají</w:t>
      </w:r>
      <w:r w:rsidRPr="0017251D">
        <w:rPr>
          <w:rFonts w:asciiTheme="minorHAnsi" w:hAnsiTheme="minorHAnsi" w:cstheme="minorHAnsi"/>
        </w:rPr>
        <w:t xml:space="preserve"> SRDS, které umožňuje maximální zjednodušení údajů pro zásilky nízké hodnoty dovážené ze třetích zemí.</w:t>
      </w:r>
    </w:p>
  </w:footnote>
  <w:footnote w:id="30">
    <w:p w14:paraId="5822C8AE" w14:textId="668EFE4C" w:rsidR="008D360A" w:rsidRPr="0017251D" w:rsidRDefault="008D360A" w:rsidP="00392287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17251D">
        <w:rPr>
          <w:rStyle w:val="Znakapoznpodarou"/>
          <w:rFonts w:asciiTheme="minorHAnsi" w:hAnsiTheme="minorHAnsi" w:cstheme="minorHAnsi"/>
        </w:rPr>
        <w:footnoteRef/>
      </w:r>
      <w:r w:rsidRPr="0017251D">
        <w:rPr>
          <w:rFonts w:asciiTheme="minorHAnsi" w:hAnsiTheme="minorHAnsi" w:cstheme="minorHAnsi"/>
        </w:rPr>
        <w:t xml:space="preserve"> </w:t>
      </w:r>
      <w:r w:rsidR="00392287">
        <w:rPr>
          <w:rFonts w:asciiTheme="minorHAnsi" w:hAnsiTheme="minorHAnsi" w:cstheme="minorHAnsi"/>
        </w:rPr>
        <w:tab/>
      </w:r>
      <w:r w:rsidRPr="0017251D">
        <w:rPr>
          <w:rFonts w:asciiTheme="minorHAnsi" w:hAnsiTheme="minorHAnsi" w:cstheme="minorHAnsi"/>
        </w:rPr>
        <w:t>Nařízení Evropského parlamentu a Rady (EU) č. 952/2013 ze dne 9. října 2013, kterým se stanoví celní kodex Unie.</w:t>
      </w:r>
    </w:p>
  </w:footnote>
  <w:footnote w:id="31">
    <w:p w14:paraId="5AC22518" w14:textId="5577CC25" w:rsidR="00FB3C53" w:rsidRPr="0017251D" w:rsidRDefault="00FB3C53" w:rsidP="00392287">
      <w:pPr>
        <w:pStyle w:val="Textpoznpodarou"/>
        <w:ind w:left="284" w:hanging="284"/>
        <w:jc w:val="both"/>
        <w:rPr>
          <w:rFonts w:asciiTheme="minorHAnsi" w:hAnsiTheme="minorHAnsi" w:cstheme="minorHAnsi"/>
        </w:rPr>
      </w:pPr>
      <w:r w:rsidRPr="0017251D">
        <w:rPr>
          <w:rStyle w:val="Znakapoznpodarou"/>
          <w:rFonts w:asciiTheme="minorHAnsi" w:hAnsiTheme="minorHAnsi" w:cstheme="minorHAnsi"/>
        </w:rPr>
        <w:footnoteRef/>
      </w:r>
      <w:r w:rsidRPr="0017251D">
        <w:rPr>
          <w:rFonts w:asciiTheme="minorHAnsi" w:hAnsiTheme="minorHAnsi" w:cstheme="minorHAnsi"/>
        </w:rPr>
        <w:t xml:space="preserve"> </w:t>
      </w:r>
      <w:r w:rsidR="00392287">
        <w:rPr>
          <w:rFonts w:asciiTheme="minorHAnsi" w:hAnsiTheme="minorHAnsi" w:cstheme="minorHAnsi"/>
        </w:rPr>
        <w:tab/>
        <w:t>Článek</w:t>
      </w:r>
      <w:r w:rsidR="00DE0A15" w:rsidRPr="0017251D">
        <w:rPr>
          <w:rFonts w:asciiTheme="minorHAnsi" w:hAnsiTheme="minorHAnsi" w:cstheme="minorHAnsi"/>
        </w:rPr>
        <w:t xml:space="preserve"> 172 </w:t>
      </w:r>
      <w:r w:rsidR="00F24B4E">
        <w:rPr>
          <w:rFonts w:asciiTheme="minorHAnsi" w:hAnsiTheme="minorHAnsi" w:cstheme="minorHAnsi"/>
        </w:rPr>
        <w:t>c</w:t>
      </w:r>
      <w:r w:rsidR="00DE0A15" w:rsidRPr="00F24B4E">
        <w:rPr>
          <w:rFonts w:asciiTheme="minorHAnsi" w:hAnsiTheme="minorHAnsi" w:cstheme="minorHAnsi"/>
        </w:rPr>
        <w:t>elního kodexu Unie</w:t>
      </w:r>
      <w:r w:rsidR="00225F4E" w:rsidRPr="0017251D">
        <w:rPr>
          <w:rFonts w:asciiTheme="minorHAnsi" w:hAnsiTheme="minorHAnsi"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C97A1" w14:textId="78ED46AB" w:rsidR="0096277F" w:rsidRDefault="0096277F">
    <w:pPr>
      <w:pStyle w:val="Zhlav"/>
    </w:pPr>
  </w:p>
  <w:p w14:paraId="30FF31A8" w14:textId="77777777" w:rsidR="001B7B3C" w:rsidRDefault="001B7B3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6235A"/>
    <w:multiLevelType w:val="multilevel"/>
    <w:tmpl w:val="B45E2982"/>
    <w:lvl w:ilvl="0">
      <w:start w:val="1"/>
      <w:numFmt w:val="upperLetter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F2640B"/>
    <w:multiLevelType w:val="multilevel"/>
    <w:tmpl w:val="84BEFB1E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C759A5"/>
    <w:multiLevelType w:val="hybridMultilevel"/>
    <w:tmpl w:val="65F86EC0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762BC"/>
    <w:multiLevelType w:val="multilevel"/>
    <w:tmpl w:val="36C0A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1C74AB"/>
    <w:multiLevelType w:val="hybridMultilevel"/>
    <w:tmpl w:val="4B6E2CA2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AAB7DD1"/>
    <w:multiLevelType w:val="hybridMultilevel"/>
    <w:tmpl w:val="2A820FF2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B480C75"/>
    <w:multiLevelType w:val="hybridMultilevel"/>
    <w:tmpl w:val="32DC984C"/>
    <w:lvl w:ilvl="0" w:tplc="DD36021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740FA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DA25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24D5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74E8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3A64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16F3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9694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0435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067781"/>
    <w:multiLevelType w:val="hybridMultilevel"/>
    <w:tmpl w:val="B32AF9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0F5EE2"/>
    <w:multiLevelType w:val="hybridMultilevel"/>
    <w:tmpl w:val="9C760C0A"/>
    <w:lvl w:ilvl="0" w:tplc="6232928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413A35"/>
    <w:multiLevelType w:val="hybridMultilevel"/>
    <w:tmpl w:val="124A0FF0"/>
    <w:lvl w:ilvl="0" w:tplc="645472C8">
      <w:start w:val="1"/>
      <w:numFmt w:val="bullet"/>
      <w:lvlText w:val=""/>
      <w:lvlJc w:val="left"/>
      <w:pPr>
        <w:ind w:left="66" w:hanging="360"/>
      </w:pPr>
      <w:rPr>
        <w:rFonts w:ascii="Wingdings" w:hAnsi="Wingdings" w:hint="default"/>
      </w:rPr>
    </w:lvl>
    <w:lvl w:ilvl="1" w:tplc="03B6C62A">
      <w:start w:val="4"/>
      <w:numFmt w:val="bullet"/>
      <w:lvlText w:val="•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2" w:tplc="B9742BA6" w:tentative="1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</w:rPr>
    </w:lvl>
    <w:lvl w:ilvl="3" w:tplc="D15C33FE" w:tentative="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4" w:tplc="EB96680C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5" w:tplc="1346CAEC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6" w:tplc="7BEC8860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7" w:tplc="50D439B2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8" w:tplc="F146CDB2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</w:abstractNum>
  <w:abstractNum w:abstractNumId="10" w15:restartNumberingAfterBreak="0">
    <w:nsid w:val="0F101972"/>
    <w:multiLevelType w:val="hybridMultilevel"/>
    <w:tmpl w:val="E848A39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36F3B25"/>
    <w:multiLevelType w:val="hybridMultilevel"/>
    <w:tmpl w:val="98FEC122"/>
    <w:lvl w:ilvl="0" w:tplc="7292D96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B10D60"/>
    <w:multiLevelType w:val="hybridMultilevel"/>
    <w:tmpl w:val="34D67DC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7CE751F"/>
    <w:multiLevelType w:val="hybridMultilevel"/>
    <w:tmpl w:val="A570221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9AA4C88"/>
    <w:multiLevelType w:val="hybridMultilevel"/>
    <w:tmpl w:val="08365C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3253A9"/>
    <w:multiLevelType w:val="hybridMultilevel"/>
    <w:tmpl w:val="7BC47D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9935F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1A57BD8"/>
    <w:multiLevelType w:val="hybridMultilevel"/>
    <w:tmpl w:val="CA9A074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65275C"/>
    <w:multiLevelType w:val="hybridMultilevel"/>
    <w:tmpl w:val="970C17F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BE6268"/>
    <w:multiLevelType w:val="hybridMultilevel"/>
    <w:tmpl w:val="3894102C"/>
    <w:lvl w:ilvl="0" w:tplc="503CA48C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7AC1F3D"/>
    <w:multiLevelType w:val="hybridMultilevel"/>
    <w:tmpl w:val="542A48BE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D8170B0"/>
    <w:multiLevelType w:val="multilevel"/>
    <w:tmpl w:val="AF4CA140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0125EF0"/>
    <w:multiLevelType w:val="hybridMultilevel"/>
    <w:tmpl w:val="6F86CCB4"/>
    <w:lvl w:ilvl="0" w:tplc="9DECEE5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2F6622"/>
    <w:multiLevelType w:val="hybridMultilevel"/>
    <w:tmpl w:val="0650A5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64383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64544D9"/>
    <w:multiLevelType w:val="hybridMultilevel"/>
    <w:tmpl w:val="DD3C08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885AF1"/>
    <w:multiLevelType w:val="multilevel"/>
    <w:tmpl w:val="FF96B9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D9C4665"/>
    <w:multiLevelType w:val="hybridMultilevel"/>
    <w:tmpl w:val="B0CE40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1C7E39"/>
    <w:multiLevelType w:val="multilevel"/>
    <w:tmpl w:val="43CC3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9BB5513"/>
    <w:multiLevelType w:val="hybridMultilevel"/>
    <w:tmpl w:val="22E076D8"/>
    <w:lvl w:ilvl="0" w:tplc="41F6D8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CE3A7A"/>
    <w:multiLevelType w:val="hybridMultilevel"/>
    <w:tmpl w:val="19B450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A17BB3"/>
    <w:multiLevelType w:val="hybridMultilevel"/>
    <w:tmpl w:val="103874E4"/>
    <w:lvl w:ilvl="0" w:tplc="38AECACA">
      <w:start w:val="2"/>
      <w:numFmt w:val="upperRoman"/>
      <w:suff w:val="space"/>
      <w:lvlText w:val="%1."/>
      <w:lvlJc w:val="right"/>
      <w:pPr>
        <w:ind w:left="7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6" w:hanging="360"/>
      </w:pPr>
    </w:lvl>
    <w:lvl w:ilvl="2" w:tplc="0405001B" w:tentative="1">
      <w:start w:val="1"/>
      <w:numFmt w:val="lowerRoman"/>
      <w:lvlText w:val="%3."/>
      <w:lvlJc w:val="right"/>
      <w:pPr>
        <w:ind w:left="2206" w:hanging="180"/>
      </w:pPr>
    </w:lvl>
    <w:lvl w:ilvl="3" w:tplc="0405000F" w:tentative="1">
      <w:start w:val="1"/>
      <w:numFmt w:val="decimal"/>
      <w:lvlText w:val="%4."/>
      <w:lvlJc w:val="left"/>
      <w:pPr>
        <w:ind w:left="2926" w:hanging="360"/>
      </w:pPr>
    </w:lvl>
    <w:lvl w:ilvl="4" w:tplc="04050019" w:tentative="1">
      <w:start w:val="1"/>
      <w:numFmt w:val="lowerLetter"/>
      <w:lvlText w:val="%5."/>
      <w:lvlJc w:val="left"/>
      <w:pPr>
        <w:ind w:left="3646" w:hanging="360"/>
      </w:pPr>
    </w:lvl>
    <w:lvl w:ilvl="5" w:tplc="0405001B" w:tentative="1">
      <w:start w:val="1"/>
      <w:numFmt w:val="lowerRoman"/>
      <w:lvlText w:val="%6."/>
      <w:lvlJc w:val="right"/>
      <w:pPr>
        <w:ind w:left="4366" w:hanging="180"/>
      </w:pPr>
    </w:lvl>
    <w:lvl w:ilvl="6" w:tplc="0405000F" w:tentative="1">
      <w:start w:val="1"/>
      <w:numFmt w:val="decimal"/>
      <w:lvlText w:val="%7."/>
      <w:lvlJc w:val="left"/>
      <w:pPr>
        <w:ind w:left="5086" w:hanging="360"/>
      </w:pPr>
    </w:lvl>
    <w:lvl w:ilvl="7" w:tplc="04050019" w:tentative="1">
      <w:start w:val="1"/>
      <w:numFmt w:val="lowerLetter"/>
      <w:lvlText w:val="%8."/>
      <w:lvlJc w:val="left"/>
      <w:pPr>
        <w:ind w:left="5806" w:hanging="360"/>
      </w:pPr>
    </w:lvl>
    <w:lvl w:ilvl="8" w:tplc="040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32" w15:restartNumberingAfterBreak="0">
    <w:nsid w:val="56442FE6"/>
    <w:multiLevelType w:val="hybridMultilevel"/>
    <w:tmpl w:val="B0786B00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78A0CDB"/>
    <w:multiLevelType w:val="multilevel"/>
    <w:tmpl w:val="43CC3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9683179"/>
    <w:multiLevelType w:val="hybridMultilevel"/>
    <w:tmpl w:val="4ACCD5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DB5701"/>
    <w:multiLevelType w:val="multilevel"/>
    <w:tmpl w:val="0CDE08D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AE25F79"/>
    <w:multiLevelType w:val="hybridMultilevel"/>
    <w:tmpl w:val="177421F0"/>
    <w:lvl w:ilvl="0" w:tplc="88968C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7A32E8"/>
    <w:multiLevelType w:val="multilevel"/>
    <w:tmpl w:val="61A67D0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5E466440"/>
    <w:multiLevelType w:val="hybridMultilevel"/>
    <w:tmpl w:val="77CE7A52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F29045C"/>
    <w:multiLevelType w:val="hybridMultilevel"/>
    <w:tmpl w:val="F4282B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2D3477"/>
    <w:multiLevelType w:val="hybridMultilevel"/>
    <w:tmpl w:val="E1BED940"/>
    <w:lvl w:ilvl="0" w:tplc="0032DE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F36B2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23818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65C56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94EDE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B663C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64A4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6F042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2A7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1" w15:restartNumberingAfterBreak="0">
    <w:nsid w:val="651B047A"/>
    <w:multiLevelType w:val="hybridMultilevel"/>
    <w:tmpl w:val="CB368D40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5374056"/>
    <w:multiLevelType w:val="multilevel"/>
    <w:tmpl w:val="E89AF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i w:val="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Theme="minorHAnsi" w:hAnsiTheme="minorHAnsi" w:cstheme="minorHAnsi" w:hint="default"/>
        <w:b/>
        <w:sz w:val="24"/>
      </w:r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8096C7E"/>
    <w:multiLevelType w:val="multilevel"/>
    <w:tmpl w:val="F326B34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69842B41"/>
    <w:multiLevelType w:val="hybridMultilevel"/>
    <w:tmpl w:val="721ACF0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1C272A3"/>
    <w:multiLevelType w:val="multilevel"/>
    <w:tmpl w:val="45A8BF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725463B9"/>
    <w:multiLevelType w:val="hybridMultilevel"/>
    <w:tmpl w:val="ED14B46C"/>
    <w:lvl w:ilvl="0" w:tplc="190AF2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901B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2898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94C4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8A22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CCFD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C245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EC32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6A43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7" w15:restartNumberingAfterBreak="0">
    <w:nsid w:val="72F26C52"/>
    <w:multiLevelType w:val="multilevel"/>
    <w:tmpl w:val="D846B27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73BE12C3"/>
    <w:multiLevelType w:val="hybridMultilevel"/>
    <w:tmpl w:val="5BE02372"/>
    <w:lvl w:ilvl="0" w:tplc="5FFA8B3E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3E20729"/>
    <w:multiLevelType w:val="hybridMultilevel"/>
    <w:tmpl w:val="253CCE6A"/>
    <w:lvl w:ilvl="0" w:tplc="BD5ABAE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3E564A5"/>
    <w:multiLevelType w:val="multilevel"/>
    <w:tmpl w:val="90186F9C"/>
    <w:lvl w:ilvl="0">
      <w:start w:val="2"/>
      <w:numFmt w:val="upperLetter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7B4F5CB5"/>
    <w:multiLevelType w:val="hybridMultilevel"/>
    <w:tmpl w:val="1B52946E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B787FB2"/>
    <w:multiLevelType w:val="hybridMultilevel"/>
    <w:tmpl w:val="5A362E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C150E6F"/>
    <w:multiLevelType w:val="hybridMultilevel"/>
    <w:tmpl w:val="DC7AEEC6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7E350A2B"/>
    <w:multiLevelType w:val="hybridMultilevel"/>
    <w:tmpl w:val="8724FA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20836">
    <w:abstractNumId w:val="18"/>
  </w:num>
  <w:num w:numId="2" w16cid:durableId="17793761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7082156">
    <w:abstractNumId w:val="12"/>
  </w:num>
  <w:num w:numId="4" w16cid:durableId="570428167">
    <w:abstractNumId w:val="44"/>
  </w:num>
  <w:num w:numId="5" w16cid:durableId="742606854">
    <w:abstractNumId w:val="49"/>
  </w:num>
  <w:num w:numId="6" w16cid:durableId="1745255298">
    <w:abstractNumId w:val="14"/>
  </w:num>
  <w:num w:numId="7" w16cid:durableId="838235045">
    <w:abstractNumId w:val="28"/>
  </w:num>
  <w:num w:numId="8" w16cid:durableId="1231884063">
    <w:abstractNumId w:val="36"/>
  </w:num>
  <w:num w:numId="9" w16cid:durableId="617762767">
    <w:abstractNumId w:val="53"/>
  </w:num>
  <w:num w:numId="10" w16cid:durableId="630667758">
    <w:abstractNumId w:val="20"/>
  </w:num>
  <w:num w:numId="11" w16cid:durableId="1283071831">
    <w:abstractNumId w:val="4"/>
  </w:num>
  <w:num w:numId="12" w16cid:durableId="994408184">
    <w:abstractNumId w:val="38"/>
  </w:num>
  <w:num w:numId="13" w16cid:durableId="877163504">
    <w:abstractNumId w:val="5"/>
  </w:num>
  <w:num w:numId="14" w16cid:durableId="145752769">
    <w:abstractNumId w:val="32"/>
  </w:num>
  <w:num w:numId="15" w16cid:durableId="1825386576">
    <w:abstractNumId w:val="8"/>
  </w:num>
  <w:num w:numId="16" w16cid:durableId="532350854">
    <w:abstractNumId w:val="27"/>
  </w:num>
  <w:num w:numId="17" w16cid:durableId="1779640336">
    <w:abstractNumId w:val="40"/>
  </w:num>
  <w:num w:numId="18" w16cid:durableId="20518997">
    <w:abstractNumId w:val="3"/>
  </w:num>
  <w:num w:numId="19" w16cid:durableId="359017077">
    <w:abstractNumId w:val="1"/>
  </w:num>
  <w:num w:numId="20" w16cid:durableId="1614435019">
    <w:abstractNumId w:val="0"/>
  </w:num>
  <w:num w:numId="21" w16cid:durableId="2116242038">
    <w:abstractNumId w:val="50"/>
  </w:num>
  <w:num w:numId="22" w16cid:durableId="1287544110">
    <w:abstractNumId w:val="52"/>
  </w:num>
  <w:num w:numId="23" w16cid:durableId="355497730">
    <w:abstractNumId w:val="47"/>
  </w:num>
  <w:num w:numId="24" w16cid:durableId="1127819234">
    <w:abstractNumId w:val="31"/>
  </w:num>
  <w:num w:numId="25" w16cid:durableId="2145191797">
    <w:abstractNumId w:val="22"/>
  </w:num>
  <w:num w:numId="26" w16cid:durableId="1499036249">
    <w:abstractNumId w:val="10"/>
  </w:num>
  <w:num w:numId="27" w16cid:durableId="1239823135">
    <w:abstractNumId w:val="34"/>
  </w:num>
  <w:num w:numId="28" w16cid:durableId="601186673">
    <w:abstractNumId w:val="51"/>
  </w:num>
  <w:num w:numId="29" w16cid:durableId="646739378">
    <w:abstractNumId w:val="21"/>
  </w:num>
  <w:num w:numId="30" w16cid:durableId="854075645">
    <w:abstractNumId w:val="17"/>
  </w:num>
  <w:num w:numId="31" w16cid:durableId="1176458934">
    <w:abstractNumId w:val="35"/>
  </w:num>
  <w:num w:numId="32" w16cid:durableId="2047371805">
    <w:abstractNumId w:val="48"/>
  </w:num>
  <w:num w:numId="33" w16cid:durableId="1757433097">
    <w:abstractNumId w:val="19"/>
  </w:num>
  <w:num w:numId="34" w16cid:durableId="127861953">
    <w:abstractNumId w:val="29"/>
  </w:num>
  <w:num w:numId="35" w16cid:durableId="979532713">
    <w:abstractNumId w:val="39"/>
  </w:num>
  <w:num w:numId="36" w16cid:durableId="483131482">
    <w:abstractNumId w:val="15"/>
  </w:num>
  <w:num w:numId="37" w16cid:durableId="9574748">
    <w:abstractNumId w:val="9"/>
  </w:num>
  <w:num w:numId="38" w16cid:durableId="1050542815">
    <w:abstractNumId w:val="6"/>
  </w:num>
  <w:num w:numId="39" w16cid:durableId="615067619">
    <w:abstractNumId w:val="42"/>
    <w:lvlOverride w:ilvl="0"/>
    <w:lvlOverride w:ilvl="1"/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40" w16cid:durableId="957294235">
    <w:abstractNumId w:val="25"/>
  </w:num>
  <w:num w:numId="41" w16cid:durableId="215313095">
    <w:abstractNumId w:val="13"/>
  </w:num>
  <w:num w:numId="42" w16cid:durableId="733310329">
    <w:abstractNumId w:val="46"/>
  </w:num>
  <w:num w:numId="43" w16cid:durableId="435831651">
    <w:abstractNumId w:val="41"/>
  </w:num>
  <w:num w:numId="44" w16cid:durableId="846407890">
    <w:abstractNumId w:val="11"/>
  </w:num>
  <w:num w:numId="45" w16cid:durableId="1440951783">
    <w:abstractNumId w:val="23"/>
  </w:num>
  <w:num w:numId="46" w16cid:durableId="1030495567">
    <w:abstractNumId w:val="37"/>
  </w:num>
  <w:num w:numId="47" w16cid:durableId="1841582327">
    <w:abstractNumId w:val="26"/>
  </w:num>
  <w:num w:numId="48" w16cid:durableId="1669211512">
    <w:abstractNumId w:val="43"/>
  </w:num>
  <w:num w:numId="49" w16cid:durableId="1826704048">
    <w:abstractNumId w:val="54"/>
  </w:num>
  <w:num w:numId="50" w16cid:durableId="1405909623">
    <w:abstractNumId w:val="7"/>
  </w:num>
  <w:num w:numId="51" w16cid:durableId="138084562">
    <w:abstractNumId w:val="16"/>
  </w:num>
  <w:num w:numId="52" w16cid:durableId="966423904">
    <w:abstractNumId w:val="24"/>
  </w:num>
  <w:num w:numId="53" w16cid:durableId="1294628810">
    <w:abstractNumId w:val="30"/>
  </w:num>
  <w:num w:numId="54" w16cid:durableId="1863858516">
    <w:abstractNumId w:val="33"/>
  </w:num>
  <w:num w:numId="55" w16cid:durableId="559874637">
    <w:abstractNumId w:val="45"/>
  </w:num>
  <w:num w:numId="56" w16cid:durableId="1446076790">
    <w:abstractNumId w:val="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F09"/>
    <w:rsid w:val="000006D8"/>
    <w:rsid w:val="0000294D"/>
    <w:rsid w:val="000079FA"/>
    <w:rsid w:val="00007DDD"/>
    <w:rsid w:val="0001119D"/>
    <w:rsid w:val="00011258"/>
    <w:rsid w:val="00011E93"/>
    <w:rsid w:val="00012EC6"/>
    <w:rsid w:val="00014793"/>
    <w:rsid w:val="00014F93"/>
    <w:rsid w:val="00015D4F"/>
    <w:rsid w:val="00016361"/>
    <w:rsid w:val="00016BA8"/>
    <w:rsid w:val="00016CB4"/>
    <w:rsid w:val="00017F41"/>
    <w:rsid w:val="00020BD4"/>
    <w:rsid w:val="00021457"/>
    <w:rsid w:val="000250B6"/>
    <w:rsid w:val="000273B6"/>
    <w:rsid w:val="000313D8"/>
    <w:rsid w:val="0003765D"/>
    <w:rsid w:val="00041256"/>
    <w:rsid w:val="00041DB7"/>
    <w:rsid w:val="000427F7"/>
    <w:rsid w:val="00042B2F"/>
    <w:rsid w:val="00042E33"/>
    <w:rsid w:val="00042EA2"/>
    <w:rsid w:val="00044983"/>
    <w:rsid w:val="00045278"/>
    <w:rsid w:val="00046C6B"/>
    <w:rsid w:val="00047275"/>
    <w:rsid w:val="000478DC"/>
    <w:rsid w:val="000532C3"/>
    <w:rsid w:val="0005365B"/>
    <w:rsid w:val="00053F24"/>
    <w:rsid w:val="00056341"/>
    <w:rsid w:val="000572D2"/>
    <w:rsid w:val="000576A9"/>
    <w:rsid w:val="000610F5"/>
    <w:rsid w:val="00062232"/>
    <w:rsid w:val="00062B08"/>
    <w:rsid w:val="00064B74"/>
    <w:rsid w:val="000657DC"/>
    <w:rsid w:val="0007028D"/>
    <w:rsid w:val="00070DF1"/>
    <w:rsid w:val="00072049"/>
    <w:rsid w:val="000813C3"/>
    <w:rsid w:val="00081F58"/>
    <w:rsid w:val="0008212A"/>
    <w:rsid w:val="0008233C"/>
    <w:rsid w:val="000836B6"/>
    <w:rsid w:val="00084757"/>
    <w:rsid w:val="000875EA"/>
    <w:rsid w:val="000878FC"/>
    <w:rsid w:val="00091D25"/>
    <w:rsid w:val="000928ED"/>
    <w:rsid w:val="00094860"/>
    <w:rsid w:val="0009645E"/>
    <w:rsid w:val="0009795D"/>
    <w:rsid w:val="000A0198"/>
    <w:rsid w:val="000A39B4"/>
    <w:rsid w:val="000A46D6"/>
    <w:rsid w:val="000A621B"/>
    <w:rsid w:val="000B0345"/>
    <w:rsid w:val="000B3D18"/>
    <w:rsid w:val="000B4253"/>
    <w:rsid w:val="000B45C9"/>
    <w:rsid w:val="000B48BC"/>
    <w:rsid w:val="000B5519"/>
    <w:rsid w:val="000B5BA1"/>
    <w:rsid w:val="000B616F"/>
    <w:rsid w:val="000B62C3"/>
    <w:rsid w:val="000B6B2C"/>
    <w:rsid w:val="000B6B61"/>
    <w:rsid w:val="000B7EE2"/>
    <w:rsid w:val="000C0993"/>
    <w:rsid w:val="000C1747"/>
    <w:rsid w:val="000C1AD1"/>
    <w:rsid w:val="000C2B75"/>
    <w:rsid w:val="000C4B59"/>
    <w:rsid w:val="000C512E"/>
    <w:rsid w:val="000C5F1F"/>
    <w:rsid w:val="000C6032"/>
    <w:rsid w:val="000C7582"/>
    <w:rsid w:val="000C7777"/>
    <w:rsid w:val="000C7EE9"/>
    <w:rsid w:val="000C7FCC"/>
    <w:rsid w:val="000D07F6"/>
    <w:rsid w:val="000D08A4"/>
    <w:rsid w:val="000D0A97"/>
    <w:rsid w:val="000D18CD"/>
    <w:rsid w:val="000D4126"/>
    <w:rsid w:val="000D426F"/>
    <w:rsid w:val="000D7A83"/>
    <w:rsid w:val="000E0CB6"/>
    <w:rsid w:val="000E46FC"/>
    <w:rsid w:val="000E4DEF"/>
    <w:rsid w:val="000E720B"/>
    <w:rsid w:val="000E7987"/>
    <w:rsid w:val="000E7C32"/>
    <w:rsid w:val="000F0CD7"/>
    <w:rsid w:val="00100015"/>
    <w:rsid w:val="00100E29"/>
    <w:rsid w:val="00103CC7"/>
    <w:rsid w:val="00105886"/>
    <w:rsid w:val="001058EA"/>
    <w:rsid w:val="001062A9"/>
    <w:rsid w:val="0010699D"/>
    <w:rsid w:val="001075B0"/>
    <w:rsid w:val="00110348"/>
    <w:rsid w:val="00111CCD"/>
    <w:rsid w:val="00112305"/>
    <w:rsid w:val="001145FB"/>
    <w:rsid w:val="00114E1C"/>
    <w:rsid w:val="00116B52"/>
    <w:rsid w:val="0011792E"/>
    <w:rsid w:val="0012117E"/>
    <w:rsid w:val="00121955"/>
    <w:rsid w:val="001260D2"/>
    <w:rsid w:val="00126C8D"/>
    <w:rsid w:val="001278B3"/>
    <w:rsid w:val="0013030E"/>
    <w:rsid w:val="001336A1"/>
    <w:rsid w:val="001341F6"/>
    <w:rsid w:val="00135210"/>
    <w:rsid w:val="00137BEA"/>
    <w:rsid w:val="0014031F"/>
    <w:rsid w:val="00140940"/>
    <w:rsid w:val="0014134B"/>
    <w:rsid w:val="00141E0E"/>
    <w:rsid w:val="00141F09"/>
    <w:rsid w:val="00144DC6"/>
    <w:rsid w:val="00147A14"/>
    <w:rsid w:val="00147B4C"/>
    <w:rsid w:val="00147F38"/>
    <w:rsid w:val="00147F4D"/>
    <w:rsid w:val="001529FB"/>
    <w:rsid w:val="00152C25"/>
    <w:rsid w:val="001535EE"/>
    <w:rsid w:val="00162578"/>
    <w:rsid w:val="00162F5A"/>
    <w:rsid w:val="00164224"/>
    <w:rsid w:val="00167E95"/>
    <w:rsid w:val="0017251D"/>
    <w:rsid w:val="00173812"/>
    <w:rsid w:val="00173E66"/>
    <w:rsid w:val="0017465B"/>
    <w:rsid w:val="0017692F"/>
    <w:rsid w:val="00176EB4"/>
    <w:rsid w:val="00177C4F"/>
    <w:rsid w:val="00184636"/>
    <w:rsid w:val="001850C9"/>
    <w:rsid w:val="001857B1"/>
    <w:rsid w:val="00186EA1"/>
    <w:rsid w:val="00187220"/>
    <w:rsid w:val="00187814"/>
    <w:rsid w:val="001913AB"/>
    <w:rsid w:val="00194C24"/>
    <w:rsid w:val="0019738F"/>
    <w:rsid w:val="001A7FAC"/>
    <w:rsid w:val="001B0B7C"/>
    <w:rsid w:val="001B0BAC"/>
    <w:rsid w:val="001B2210"/>
    <w:rsid w:val="001B4CDB"/>
    <w:rsid w:val="001B568C"/>
    <w:rsid w:val="001B5A7E"/>
    <w:rsid w:val="001B5BFB"/>
    <w:rsid w:val="001B7B3C"/>
    <w:rsid w:val="001C0905"/>
    <w:rsid w:val="001C0CE9"/>
    <w:rsid w:val="001C0E8B"/>
    <w:rsid w:val="001C244E"/>
    <w:rsid w:val="001C4313"/>
    <w:rsid w:val="001C4B43"/>
    <w:rsid w:val="001C678E"/>
    <w:rsid w:val="001D1AE2"/>
    <w:rsid w:val="001D4CC4"/>
    <w:rsid w:val="001D4D76"/>
    <w:rsid w:val="001D54B0"/>
    <w:rsid w:val="001E0D48"/>
    <w:rsid w:val="001E3C7D"/>
    <w:rsid w:val="001E403B"/>
    <w:rsid w:val="001E5914"/>
    <w:rsid w:val="001E7422"/>
    <w:rsid w:val="001E797D"/>
    <w:rsid w:val="001F246C"/>
    <w:rsid w:val="001F3158"/>
    <w:rsid w:val="001F5963"/>
    <w:rsid w:val="001F66FD"/>
    <w:rsid w:val="002003DB"/>
    <w:rsid w:val="00202639"/>
    <w:rsid w:val="00204F16"/>
    <w:rsid w:val="0020556B"/>
    <w:rsid w:val="00210A23"/>
    <w:rsid w:val="0021119F"/>
    <w:rsid w:val="00211A87"/>
    <w:rsid w:val="00212046"/>
    <w:rsid w:val="00214AAD"/>
    <w:rsid w:val="00215490"/>
    <w:rsid w:val="00216601"/>
    <w:rsid w:val="00216876"/>
    <w:rsid w:val="00216FC9"/>
    <w:rsid w:val="002171C8"/>
    <w:rsid w:val="00220423"/>
    <w:rsid w:val="00220860"/>
    <w:rsid w:val="00221EA3"/>
    <w:rsid w:val="00222DB6"/>
    <w:rsid w:val="002234FB"/>
    <w:rsid w:val="002256D9"/>
    <w:rsid w:val="00225895"/>
    <w:rsid w:val="00225F3D"/>
    <w:rsid w:val="00225F4E"/>
    <w:rsid w:val="00226879"/>
    <w:rsid w:val="002272D2"/>
    <w:rsid w:val="00230A87"/>
    <w:rsid w:val="00231D46"/>
    <w:rsid w:val="00231E49"/>
    <w:rsid w:val="00233024"/>
    <w:rsid w:val="0023665E"/>
    <w:rsid w:val="00237DC2"/>
    <w:rsid w:val="002403E3"/>
    <w:rsid w:val="00240474"/>
    <w:rsid w:val="0024115F"/>
    <w:rsid w:val="00242A0F"/>
    <w:rsid w:val="00244D34"/>
    <w:rsid w:val="002517C1"/>
    <w:rsid w:val="002529C2"/>
    <w:rsid w:val="00253537"/>
    <w:rsid w:val="0025425E"/>
    <w:rsid w:val="00254359"/>
    <w:rsid w:val="00254909"/>
    <w:rsid w:val="0026411A"/>
    <w:rsid w:val="00264985"/>
    <w:rsid w:val="00271BB0"/>
    <w:rsid w:val="0027406C"/>
    <w:rsid w:val="00274453"/>
    <w:rsid w:val="002748B2"/>
    <w:rsid w:val="0027570C"/>
    <w:rsid w:val="00276E1B"/>
    <w:rsid w:val="002809CA"/>
    <w:rsid w:val="002827C9"/>
    <w:rsid w:val="00282EFF"/>
    <w:rsid w:val="002833E3"/>
    <w:rsid w:val="00284E4C"/>
    <w:rsid w:val="00285D86"/>
    <w:rsid w:val="00286E4E"/>
    <w:rsid w:val="002879B9"/>
    <w:rsid w:val="00287EF6"/>
    <w:rsid w:val="002908F2"/>
    <w:rsid w:val="00291075"/>
    <w:rsid w:val="002915A6"/>
    <w:rsid w:val="0029224A"/>
    <w:rsid w:val="002949DE"/>
    <w:rsid w:val="002956E5"/>
    <w:rsid w:val="002965B2"/>
    <w:rsid w:val="002A0C22"/>
    <w:rsid w:val="002A0C5E"/>
    <w:rsid w:val="002A15DC"/>
    <w:rsid w:val="002A2A32"/>
    <w:rsid w:val="002A3430"/>
    <w:rsid w:val="002A38C1"/>
    <w:rsid w:val="002A3F86"/>
    <w:rsid w:val="002A4D24"/>
    <w:rsid w:val="002A5F10"/>
    <w:rsid w:val="002A6AAE"/>
    <w:rsid w:val="002A7655"/>
    <w:rsid w:val="002A7805"/>
    <w:rsid w:val="002B06C6"/>
    <w:rsid w:val="002B0F48"/>
    <w:rsid w:val="002B1D05"/>
    <w:rsid w:val="002B377A"/>
    <w:rsid w:val="002B5357"/>
    <w:rsid w:val="002B5477"/>
    <w:rsid w:val="002B5EAB"/>
    <w:rsid w:val="002B6426"/>
    <w:rsid w:val="002C077D"/>
    <w:rsid w:val="002C42CD"/>
    <w:rsid w:val="002C4451"/>
    <w:rsid w:val="002C55C7"/>
    <w:rsid w:val="002C5630"/>
    <w:rsid w:val="002C7282"/>
    <w:rsid w:val="002C76D4"/>
    <w:rsid w:val="002C7EC0"/>
    <w:rsid w:val="002D33B9"/>
    <w:rsid w:val="002D3647"/>
    <w:rsid w:val="002D37E1"/>
    <w:rsid w:val="002D3ED6"/>
    <w:rsid w:val="002D51EE"/>
    <w:rsid w:val="002D53E4"/>
    <w:rsid w:val="002D7B35"/>
    <w:rsid w:val="002D7F74"/>
    <w:rsid w:val="002E000A"/>
    <w:rsid w:val="002E059E"/>
    <w:rsid w:val="002E0E4F"/>
    <w:rsid w:val="002E3E81"/>
    <w:rsid w:val="002E63E0"/>
    <w:rsid w:val="002E6724"/>
    <w:rsid w:val="002E7ECD"/>
    <w:rsid w:val="002F2FF4"/>
    <w:rsid w:val="002F3EEC"/>
    <w:rsid w:val="002F433D"/>
    <w:rsid w:val="002F50D8"/>
    <w:rsid w:val="002F6C51"/>
    <w:rsid w:val="002F79B8"/>
    <w:rsid w:val="003015AD"/>
    <w:rsid w:val="003028B3"/>
    <w:rsid w:val="00304C0E"/>
    <w:rsid w:val="00310313"/>
    <w:rsid w:val="003134CC"/>
    <w:rsid w:val="00313E3F"/>
    <w:rsid w:val="00313E6C"/>
    <w:rsid w:val="00313FD3"/>
    <w:rsid w:val="003158B8"/>
    <w:rsid w:val="003159C9"/>
    <w:rsid w:val="00316E76"/>
    <w:rsid w:val="003206BA"/>
    <w:rsid w:val="00321EF1"/>
    <w:rsid w:val="00322F37"/>
    <w:rsid w:val="0032334D"/>
    <w:rsid w:val="00323B87"/>
    <w:rsid w:val="003245C7"/>
    <w:rsid w:val="00325D68"/>
    <w:rsid w:val="00326DC6"/>
    <w:rsid w:val="00330F8F"/>
    <w:rsid w:val="00331226"/>
    <w:rsid w:val="00331307"/>
    <w:rsid w:val="00333599"/>
    <w:rsid w:val="0033438F"/>
    <w:rsid w:val="00334DD7"/>
    <w:rsid w:val="00340422"/>
    <w:rsid w:val="00341DB1"/>
    <w:rsid w:val="003432C9"/>
    <w:rsid w:val="003450EB"/>
    <w:rsid w:val="00347D81"/>
    <w:rsid w:val="00350BAE"/>
    <w:rsid w:val="00352250"/>
    <w:rsid w:val="0035286F"/>
    <w:rsid w:val="00353B9C"/>
    <w:rsid w:val="00353F3C"/>
    <w:rsid w:val="00355BEE"/>
    <w:rsid w:val="00355D9E"/>
    <w:rsid w:val="00356020"/>
    <w:rsid w:val="00360C17"/>
    <w:rsid w:val="003627B6"/>
    <w:rsid w:val="003639E2"/>
    <w:rsid w:val="003640C1"/>
    <w:rsid w:val="00366600"/>
    <w:rsid w:val="00367073"/>
    <w:rsid w:val="00367D6A"/>
    <w:rsid w:val="00372B82"/>
    <w:rsid w:val="00373645"/>
    <w:rsid w:val="00373A5C"/>
    <w:rsid w:val="00376971"/>
    <w:rsid w:val="00377707"/>
    <w:rsid w:val="00380EA4"/>
    <w:rsid w:val="00381D78"/>
    <w:rsid w:val="00381DEE"/>
    <w:rsid w:val="00385545"/>
    <w:rsid w:val="00386CF7"/>
    <w:rsid w:val="003870E8"/>
    <w:rsid w:val="00387D1A"/>
    <w:rsid w:val="00390568"/>
    <w:rsid w:val="00392287"/>
    <w:rsid w:val="00393EB5"/>
    <w:rsid w:val="00394004"/>
    <w:rsid w:val="00394473"/>
    <w:rsid w:val="00394BF0"/>
    <w:rsid w:val="00395C05"/>
    <w:rsid w:val="00396BCC"/>
    <w:rsid w:val="003A0DCB"/>
    <w:rsid w:val="003A0E7C"/>
    <w:rsid w:val="003A1762"/>
    <w:rsid w:val="003A2829"/>
    <w:rsid w:val="003A33F0"/>
    <w:rsid w:val="003A36C1"/>
    <w:rsid w:val="003A6476"/>
    <w:rsid w:val="003A65B6"/>
    <w:rsid w:val="003A6BB7"/>
    <w:rsid w:val="003B22A6"/>
    <w:rsid w:val="003B297F"/>
    <w:rsid w:val="003B2C31"/>
    <w:rsid w:val="003B2CD0"/>
    <w:rsid w:val="003B43CD"/>
    <w:rsid w:val="003B453D"/>
    <w:rsid w:val="003B4B71"/>
    <w:rsid w:val="003B7393"/>
    <w:rsid w:val="003C117C"/>
    <w:rsid w:val="003C165C"/>
    <w:rsid w:val="003C3872"/>
    <w:rsid w:val="003C4F64"/>
    <w:rsid w:val="003C54A0"/>
    <w:rsid w:val="003C5577"/>
    <w:rsid w:val="003C55AB"/>
    <w:rsid w:val="003C66A2"/>
    <w:rsid w:val="003C69F9"/>
    <w:rsid w:val="003D21B1"/>
    <w:rsid w:val="003D2A6A"/>
    <w:rsid w:val="003D3233"/>
    <w:rsid w:val="003D3F84"/>
    <w:rsid w:val="003D4E81"/>
    <w:rsid w:val="003D62C7"/>
    <w:rsid w:val="003D7803"/>
    <w:rsid w:val="003D7833"/>
    <w:rsid w:val="003E34D0"/>
    <w:rsid w:val="003E51A8"/>
    <w:rsid w:val="003E6CE8"/>
    <w:rsid w:val="003F038B"/>
    <w:rsid w:val="003F0FBE"/>
    <w:rsid w:val="003F1807"/>
    <w:rsid w:val="003F1976"/>
    <w:rsid w:val="003F26BB"/>
    <w:rsid w:val="003F2FCB"/>
    <w:rsid w:val="003F63D2"/>
    <w:rsid w:val="003F7092"/>
    <w:rsid w:val="003F71C0"/>
    <w:rsid w:val="00400A70"/>
    <w:rsid w:val="004041FA"/>
    <w:rsid w:val="00404D5E"/>
    <w:rsid w:val="00406159"/>
    <w:rsid w:val="00407093"/>
    <w:rsid w:val="0041248A"/>
    <w:rsid w:val="00414749"/>
    <w:rsid w:val="0042094C"/>
    <w:rsid w:val="004220F5"/>
    <w:rsid w:val="00422EF5"/>
    <w:rsid w:val="00423031"/>
    <w:rsid w:val="0042318A"/>
    <w:rsid w:val="004259C6"/>
    <w:rsid w:val="00427AD7"/>
    <w:rsid w:val="00427CFB"/>
    <w:rsid w:val="00427F9E"/>
    <w:rsid w:val="00430008"/>
    <w:rsid w:val="0043023F"/>
    <w:rsid w:val="004307E5"/>
    <w:rsid w:val="0043311D"/>
    <w:rsid w:val="00433CD7"/>
    <w:rsid w:val="00434267"/>
    <w:rsid w:val="004350EC"/>
    <w:rsid w:val="004359A2"/>
    <w:rsid w:val="00435D38"/>
    <w:rsid w:val="00436411"/>
    <w:rsid w:val="00441225"/>
    <w:rsid w:val="00441427"/>
    <w:rsid w:val="004421EE"/>
    <w:rsid w:val="00446F4B"/>
    <w:rsid w:val="00451A60"/>
    <w:rsid w:val="00452089"/>
    <w:rsid w:val="00453988"/>
    <w:rsid w:val="00453B93"/>
    <w:rsid w:val="00453CDC"/>
    <w:rsid w:val="0045615B"/>
    <w:rsid w:val="00463644"/>
    <w:rsid w:val="00466E06"/>
    <w:rsid w:val="00471CC1"/>
    <w:rsid w:val="00471FCB"/>
    <w:rsid w:val="004738EA"/>
    <w:rsid w:val="00476042"/>
    <w:rsid w:val="0048038F"/>
    <w:rsid w:val="00481B66"/>
    <w:rsid w:val="004831EA"/>
    <w:rsid w:val="00483936"/>
    <w:rsid w:val="00484358"/>
    <w:rsid w:val="004848ED"/>
    <w:rsid w:val="004854AB"/>
    <w:rsid w:val="004867D9"/>
    <w:rsid w:val="004874EC"/>
    <w:rsid w:val="004920E5"/>
    <w:rsid w:val="0049351A"/>
    <w:rsid w:val="00495033"/>
    <w:rsid w:val="004963B5"/>
    <w:rsid w:val="00496D55"/>
    <w:rsid w:val="004A020B"/>
    <w:rsid w:val="004A12C1"/>
    <w:rsid w:val="004A17CC"/>
    <w:rsid w:val="004A2A78"/>
    <w:rsid w:val="004A3BA9"/>
    <w:rsid w:val="004A3D91"/>
    <w:rsid w:val="004A4D52"/>
    <w:rsid w:val="004A5ABB"/>
    <w:rsid w:val="004A5F48"/>
    <w:rsid w:val="004A6933"/>
    <w:rsid w:val="004A6CD6"/>
    <w:rsid w:val="004A7606"/>
    <w:rsid w:val="004B1428"/>
    <w:rsid w:val="004B3AAF"/>
    <w:rsid w:val="004B4016"/>
    <w:rsid w:val="004B57D7"/>
    <w:rsid w:val="004B7073"/>
    <w:rsid w:val="004B70AE"/>
    <w:rsid w:val="004C1527"/>
    <w:rsid w:val="004C2620"/>
    <w:rsid w:val="004C35FE"/>
    <w:rsid w:val="004C3E28"/>
    <w:rsid w:val="004C43AE"/>
    <w:rsid w:val="004C4FC6"/>
    <w:rsid w:val="004C591E"/>
    <w:rsid w:val="004C7263"/>
    <w:rsid w:val="004D22F1"/>
    <w:rsid w:val="004D2316"/>
    <w:rsid w:val="004D25FA"/>
    <w:rsid w:val="004D3428"/>
    <w:rsid w:val="004D3601"/>
    <w:rsid w:val="004D4086"/>
    <w:rsid w:val="004D417E"/>
    <w:rsid w:val="004D6729"/>
    <w:rsid w:val="004D6DBF"/>
    <w:rsid w:val="004E1921"/>
    <w:rsid w:val="004E2F1B"/>
    <w:rsid w:val="004E3A72"/>
    <w:rsid w:val="004E5162"/>
    <w:rsid w:val="004E6D35"/>
    <w:rsid w:val="004F136C"/>
    <w:rsid w:val="004F2E34"/>
    <w:rsid w:val="004F3091"/>
    <w:rsid w:val="004F35A9"/>
    <w:rsid w:val="004F4695"/>
    <w:rsid w:val="004F5246"/>
    <w:rsid w:val="004F6F81"/>
    <w:rsid w:val="005001B4"/>
    <w:rsid w:val="00500343"/>
    <w:rsid w:val="0050100C"/>
    <w:rsid w:val="00504C22"/>
    <w:rsid w:val="00511A7A"/>
    <w:rsid w:val="00511FDE"/>
    <w:rsid w:val="00512554"/>
    <w:rsid w:val="0051271E"/>
    <w:rsid w:val="0051369E"/>
    <w:rsid w:val="00514881"/>
    <w:rsid w:val="0051568A"/>
    <w:rsid w:val="00516D3A"/>
    <w:rsid w:val="00520073"/>
    <w:rsid w:val="00522DB3"/>
    <w:rsid w:val="005237A0"/>
    <w:rsid w:val="005256A7"/>
    <w:rsid w:val="00525AC7"/>
    <w:rsid w:val="00526CE1"/>
    <w:rsid w:val="0052733A"/>
    <w:rsid w:val="005275E2"/>
    <w:rsid w:val="0053015E"/>
    <w:rsid w:val="00531FB0"/>
    <w:rsid w:val="00534E03"/>
    <w:rsid w:val="00535E9E"/>
    <w:rsid w:val="00535F77"/>
    <w:rsid w:val="0053637D"/>
    <w:rsid w:val="005364A6"/>
    <w:rsid w:val="0053757C"/>
    <w:rsid w:val="00540346"/>
    <w:rsid w:val="00540530"/>
    <w:rsid w:val="00542E5E"/>
    <w:rsid w:val="00545B71"/>
    <w:rsid w:val="005475CB"/>
    <w:rsid w:val="00550753"/>
    <w:rsid w:val="00551353"/>
    <w:rsid w:val="005533A4"/>
    <w:rsid w:val="005535AC"/>
    <w:rsid w:val="00553A3D"/>
    <w:rsid w:val="00553BAF"/>
    <w:rsid w:val="00557EA9"/>
    <w:rsid w:val="0056042A"/>
    <w:rsid w:val="00561732"/>
    <w:rsid w:val="00564829"/>
    <w:rsid w:val="00565EE0"/>
    <w:rsid w:val="00566D9F"/>
    <w:rsid w:val="00567090"/>
    <w:rsid w:val="00567E78"/>
    <w:rsid w:val="00572C02"/>
    <w:rsid w:val="005731A7"/>
    <w:rsid w:val="00573B8A"/>
    <w:rsid w:val="00573C4C"/>
    <w:rsid w:val="00574F05"/>
    <w:rsid w:val="00575322"/>
    <w:rsid w:val="00576999"/>
    <w:rsid w:val="00580FE2"/>
    <w:rsid w:val="005841CE"/>
    <w:rsid w:val="005858DC"/>
    <w:rsid w:val="00585D40"/>
    <w:rsid w:val="005869D4"/>
    <w:rsid w:val="00586D97"/>
    <w:rsid w:val="005904DA"/>
    <w:rsid w:val="00592355"/>
    <w:rsid w:val="00593453"/>
    <w:rsid w:val="0059370F"/>
    <w:rsid w:val="005954D3"/>
    <w:rsid w:val="00595A05"/>
    <w:rsid w:val="00595BE0"/>
    <w:rsid w:val="00595C99"/>
    <w:rsid w:val="00596CA3"/>
    <w:rsid w:val="00597D6D"/>
    <w:rsid w:val="005A011B"/>
    <w:rsid w:val="005A1553"/>
    <w:rsid w:val="005A17CE"/>
    <w:rsid w:val="005A20D7"/>
    <w:rsid w:val="005A4D76"/>
    <w:rsid w:val="005A561E"/>
    <w:rsid w:val="005B473E"/>
    <w:rsid w:val="005B4B7A"/>
    <w:rsid w:val="005B50C5"/>
    <w:rsid w:val="005B558B"/>
    <w:rsid w:val="005C0153"/>
    <w:rsid w:val="005C1DEF"/>
    <w:rsid w:val="005C205E"/>
    <w:rsid w:val="005C250C"/>
    <w:rsid w:val="005C2749"/>
    <w:rsid w:val="005C3566"/>
    <w:rsid w:val="005C3988"/>
    <w:rsid w:val="005C451B"/>
    <w:rsid w:val="005C763B"/>
    <w:rsid w:val="005D47F6"/>
    <w:rsid w:val="005D47FC"/>
    <w:rsid w:val="005D4EF9"/>
    <w:rsid w:val="005D4FA4"/>
    <w:rsid w:val="005D52B5"/>
    <w:rsid w:val="005D6852"/>
    <w:rsid w:val="005E129F"/>
    <w:rsid w:val="005E161D"/>
    <w:rsid w:val="005E21D9"/>
    <w:rsid w:val="005E2244"/>
    <w:rsid w:val="005E2A35"/>
    <w:rsid w:val="005E4068"/>
    <w:rsid w:val="005E7398"/>
    <w:rsid w:val="005F0319"/>
    <w:rsid w:val="005F1676"/>
    <w:rsid w:val="005F3B1B"/>
    <w:rsid w:val="005F4419"/>
    <w:rsid w:val="005F57F0"/>
    <w:rsid w:val="005F7A55"/>
    <w:rsid w:val="00601077"/>
    <w:rsid w:val="00601477"/>
    <w:rsid w:val="00603C6F"/>
    <w:rsid w:val="00603EAA"/>
    <w:rsid w:val="00604DA1"/>
    <w:rsid w:val="00605F82"/>
    <w:rsid w:val="00607994"/>
    <w:rsid w:val="00610777"/>
    <w:rsid w:val="00611BBF"/>
    <w:rsid w:val="00616531"/>
    <w:rsid w:val="00621F0F"/>
    <w:rsid w:val="00625656"/>
    <w:rsid w:val="00630CCF"/>
    <w:rsid w:val="00632415"/>
    <w:rsid w:val="00635FA3"/>
    <w:rsid w:val="006405D4"/>
    <w:rsid w:val="00641442"/>
    <w:rsid w:val="00647763"/>
    <w:rsid w:val="00647913"/>
    <w:rsid w:val="0064796E"/>
    <w:rsid w:val="00647B5C"/>
    <w:rsid w:val="00652749"/>
    <w:rsid w:val="00652D73"/>
    <w:rsid w:val="00653CA9"/>
    <w:rsid w:val="00654793"/>
    <w:rsid w:val="006559DC"/>
    <w:rsid w:val="00656E6B"/>
    <w:rsid w:val="00660224"/>
    <w:rsid w:val="00661531"/>
    <w:rsid w:val="00662E54"/>
    <w:rsid w:val="006631F0"/>
    <w:rsid w:val="00663921"/>
    <w:rsid w:val="00663E5E"/>
    <w:rsid w:val="0066516E"/>
    <w:rsid w:val="00670C9E"/>
    <w:rsid w:val="00677354"/>
    <w:rsid w:val="006776F4"/>
    <w:rsid w:val="006819E7"/>
    <w:rsid w:val="00683476"/>
    <w:rsid w:val="00684C5E"/>
    <w:rsid w:val="00684DF5"/>
    <w:rsid w:val="00685146"/>
    <w:rsid w:val="0068559A"/>
    <w:rsid w:val="00685E36"/>
    <w:rsid w:val="00685EC7"/>
    <w:rsid w:val="00686DE9"/>
    <w:rsid w:val="0069061C"/>
    <w:rsid w:val="00691861"/>
    <w:rsid w:val="00692806"/>
    <w:rsid w:val="0069318A"/>
    <w:rsid w:val="006935CE"/>
    <w:rsid w:val="006942ED"/>
    <w:rsid w:val="00695825"/>
    <w:rsid w:val="006979C4"/>
    <w:rsid w:val="006A03F2"/>
    <w:rsid w:val="006A074E"/>
    <w:rsid w:val="006A0F8F"/>
    <w:rsid w:val="006A1926"/>
    <w:rsid w:val="006A1BFA"/>
    <w:rsid w:val="006A2FF6"/>
    <w:rsid w:val="006A5403"/>
    <w:rsid w:val="006A6918"/>
    <w:rsid w:val="006A6DAE"/>
    <w:rsid w:val="006A7065"/>
    <w:rsid w:val="006A7113"/>
    <w:rsid w:val="006A7DE4"/>
    <w:rsid w:val="006B066C"/>
    <w:rsid w:val="006B1E7E"/>
    <w:rsid w:val="006B3555"/>
    <w:rsid w:val="006B3D24"/>
    <w:rsid w:val="006B4E44"/>
    <w:rsid w:val="006B5C28"/>
    <w:rsid w:val="006B670F"/>
    <w:rsid w:val="006B6931"/>
    <w:rsid w:val="006B773F"/>
    <w:rsid w:val="006B7FCE"/>
    <w:rsid w:val="006C03ED"/>
    <w:rsid w:val="006C186C"/>
    <w:rsid w:val="006C234B"/>
    <w:rsid w:val="006C2B18"/>
    <w:rsid w:val="006C3C71"/>
    <w:rsid w:val="006C4674"/>
    <w:rsid w:val="006C55E6"/>
    <w:rsid w:val="006C5E40"/>
    <w:rsid w:val="006C70E9"/>
    <w:rsid w:val="006D16ED"/>
    <w:rsid w:val="006D212C"/>
    <w:rsid w:val="006D4F01"/>
    <w:rsid w:val="006D5693"/>
    <w:rsid w:val="006D6174"/>
    <w:rsid w:val="006D7544"/>
    <w:rsid w:val="006D7FA5"/>
    <w:rsid w:val="006E0347"/>
    <w:rsid w:val="006E2BAA"/>
    <w:rsid w:val="006E5928"/>
    <w:rsid w:val="006F04D0"/>
    <w:rsid w:val="006F1F65"/>
    <w:rsid w:val="006F3880"/>
    <w:rsid w:val="006F5E30"/>
    <w:rsid w:val="006F619C"/>
    <w:rsid w:val="0070148B"/>
    <w:rsid w:val="00701F8C"/>
    <w:rsid w:val="00702138"/>
    <w:rsid w:val="007050AF"/>
    <w:rsid w:val="00705474"/>
    <w:rsid w:val="00705BDA"/>
    <w:rsid w:val="007071CC"/>
    <w:rsid w:val="00707CD7"/>
    <w:rsid w:val="0071261F"/>
    <w:rsid w:val="0071354A"/>
    <w:rsid w:val="00713EDF"/>
    <w:rsid w:val="00714423"/>
    <w:rsid w:val="00716D62"/>
    <w:rsid w:val="007200C0"/>
    <w:rsid w:val="00722C30"/>
    <w:rsid w:val="00722F26"/>
    <w:rsid w:val="0072508C"/>
    <w:rsid w:val="00725A86"/>
    <w:rsid w:val="00726FBA"/>
    <w:rsid w:val="00730B09"/>
    <w:rsid w:val="00732087"/>
    <w:rsid w:val="00732274"/>
    <w:rsid w:val="00732A93"/>
    <w:rsid w:val="00736225"/>
    <w:rsid w:val="0073660E"/>
    <w:rsid w:val="00736E07"/>
    <w:rsid w:val="00741B80"/>
    <w:rsid w:val="00741C9D"/>
    <w:rsid w:val="00743BD0"/>
    <w:rsid w:val="0074497E"/>
    <w:rsid w:val="00744BEF"/>
    <w:rsid w:val="00745CDB"/>
    <w:rsid w:val="00745DA2"/>
    <w:rsid w:val="00745FC2"/>
    <w:rsid w:val="007504C1"/>
    <w:rsid w:val="007513FA"/>
    <w:rsid w:val="007527C9"/>
    <w:rsid w:val="00754A95"/>
    <w:rsid w:val="00754AA8"/>
    <w:rsid w:val="00755009"/>
    <w:rsid w:val="00755293"/>
    <w:rsid w:val="0075559D"/>
    <w:rsid w:val="0075564F"/>
    <w:rsid w:val="00755952"/>
    <w:rsid w:val="00755A83"/>
    <w:rsid w:val="0075696D"/>
    <w:rsid w:val="00757236"/>
    <w:rsid w:val="00764FF5"/>
    <w:rsid w:val="0076651A"/>
    <w:rsid w:val="00767D08"/>
    <w:rsid w:val="00770B74"/>
    <w:rsid w:val="00771987"/>
    <w:rsid w:val="00771993"/>
    <w:rsid w:val="0077351A"/>
    <w:rsid w:val="007744B0"/>
    <w:rsid w:val="00774677"/>
    <w:rsid w:val="007753A6"/>
    <w:rsid w:val="007755E5"/>
    <w:rsid w:val="00775BEF"/>
    <w:rsid w:val="00775F98"/>
    <w:rsid w:val="007764C5"/>
    <w:rsid w:val="00777624"/>
    <w:rsid w:val="007817C5"/>
    <w:rsid w:val="007841EC"/>
    <w:rsid w:val="00784DA7"/>
    <w:rsid w:val="007853ED"/>
    <w:rsid w:val="007859DF"/>
    <w:rsid w:val="007871BC"/>
    <w:rsid w:val="00787A21"/>
    <w:rsid w:val="00790338"/>
    <w:rsid w:val="00791CF1"/>
    <w:rsid w:val="007978E0"/>
    <w:rsid w:val="007A0C7C"/>
    <w:rsid w:val="007A1F20"/>
    <w:rsid w:val="007A376B"/>
    <w:rsid w:val="007A3C7D"/>
    <w:rsid w:val="007A4E9D"/>
    <w:rsid w:val="007A559F"/>
    <w:rsid w:val="007A7AA2"/>
    <w:rsid w:val="007A7CC0"/>
    <w:rsid w:val="007A7E7D"/>
    <w:rsid w:val="007B1029"/>
    <w:rsid w:val="007B2BFE"/>
    <w:rsid w:val="007B7724"/>
    <w:rsid w:val="007B7A98"/>
    <w:rsid w:val="007B7D2F"/>
    <w:rsid w:val="007B7DC8"/>
    <w:rsid w:val="007C10CF"/>
    <w:rsid w:val="007C1D60"/>
    <w:rsid w:val="007C45D5"/>
    <w:rsid w:val="007C477D"/>
    <w:rsid w:val="007C4DAE"/>
    <w:rsid w:val="007C73E2"/>
    <w:rsid w:val="007C77DF"/>
    <w:rsid w:val="007D0740"/>
    <w:rsid w:val="007D081B"/>
    <w:rsid w:val="007D223F"/>
    <w:rsid w:val="007D302D"/>
    <w:rsid w:val="007D3BE6"/>
    <w:rsid w:val="007D6445"/>
    <w:rsid w:val="007D735D"/>
    <w:rsid w:val="007E18CD"/>
    <w:rsid w:val="007E2EDE"/>
    <w:rsid w:val="007E3168"/>
    <w:rsid w:val="007E53AC"/>
    <w:rsid w:val="007E546B"/>
    <w:rsid w:val="007E5C47"/>
    <w:rsid w:val="007E68A9"/>
    <w:rsid w:val="007E7F79"/>
    <w:rsid w:val="007F0041"/>
    <w:rsid w:val="007F04B0"/>
    <w:rsid w:val="007F17DD"/>
    <w:rsid w:val="007F1AE4"/>
    <w:rsid w:val="007F1F7C"/>
    <w:rsid w:val="007F2D96"/>
    <w:rsid w:val="007F3C2F"/>
    <w:rsid w:val="007F7059"/>
    <w:rsid w:val="007F7ED1"/>
    <w:rsid w:val="00800907"/>
    <w:rsid w:val="00800DD3"/>
    <w:rsid w:val="00801EC5"/>
    <w:rsid w:val="00802216"/>
    <w:rsid w:val="00802703"/>
    <w:rsid w:val="008031D0"/>
    <w:rsid w:val="00803E63"/>
    <w:rsid w:val="008040A2"/>
    <w:rsid w:val="00804720"/>
    <w:rsid w:val="008057F4"/>
    <w:rsid w:val="00805D2A"/>
    <w:rsid w:val="00810655"/>
    <w:rsid w:val="00812DAF"/>
    <w:rsid w:val="00814E9E"/>
    <w:rsid w:val="00816761"/>
    <w:rsid w:val="00816D68"/>
    <w:rsid w:val="00820341"/>
    <w:rsid w:val="00820C71"/>
    <w:rsid w:val="00822027"/>
    <w:rsid w:val="00825D49"/>
    <w:rsid w:val="00827C1A"/>
    <w:rsid w:val="00827C4D"/>
    <w:rsid w:val="0083054A"/>
    <w:rsid w:val="008310E2"/>
    <w:rsid w:val="00833EAF"/>
    <w:rsid w:val="008342BD"/>
    <w:rsid w:val="00842B8E"/>
    <w:rsid w:val="00842D0B"/>
    <w:rsid w:val="0084300C"/>
    <w:rsid w:val="00843B5F"/>
    <w:rsid w:val="008440C5"/>
    <w:rsid w:val="008444B1"/>
    <w:rsid w:val="008447AE"/>
    <w:rsid w:val="00852EC5"/>
    <w:rsid w:val="008545AA"/>
    <w:rsid w:val="008548EC"/>
    <w:rsid w:val="00854B5B"/>
    <w:rsid w:val="008553F6"/>
    <w:rsid w:val="0085589B"/>
    <w:rsid w:val="00855B05"/>
    <w:rsid w:val="00857860"/>
    <w:rsid w:val="00857A95"/>
    <w:rsid w:val="00857FEF"/>
    <w:rsid w:val="00862AB1"/>
    <w:rsid w:val="00864C80"/>
    <w:rsid w:val="00870554"/>
    <w:rsid w:val="00873675"/>
    <w:rsid w:val="008752E0"/>
    <w:rsid w:val="008800D5"/>
    <w:rsid w:val="00880230"/>
    <w:rsid w:val="0088030E"/>
    <w:rsid w:val="0088084B"/>
    <w:rsid w:val="00881EAB"/>
    <w:rsid w:val="00882686"/>
    <w:rsid w:val="00883D3E"/>
    <w:rsid w:val="0088463A"/>
    <w:rsid w:val="008866CB"/>
    <w:rsid w:val="0088672B"/>
    <w:rsid w:val="00886B7A"/>
    <w:rsid w:val="00891BF6"/>
    <w:rsid w:val="008951D1"/>
    <w:rsid w:val="008968AB"/>
    <w:rsid w:val="00897027"/>
    <w:rsid w:val="0089740E"/>
    <w:rsid w:val="008A004D"/>
    <w:rsid w:val="008A1C79"/>
    <w:rsid w:val="008A2412"/>
    <w:rsid w:val="008A637F"/>
    <w:rsid w:val="008A643C"/>
    <w:rsid w:val="008A78C3"/>
    <w:rsid w:val="008A7F7A"/>
    <w:rsid w:val="008B40C9"/>
    <w:rsid w:val="008C01AA"/>
    <w:rsid w:val="008C235F"/>
    <w:rsid w:val="008C3E8E"/>
    <w:rsid w:val="008C52E4"/>
    <w:rsid w:val="008C5510"/>
    <w:rsid w:val="008C632F"/>
    <w:rsid w:val="008C640F"/>
    <w:rsid w:val="008C78D4"/>
    <w:rsid w:val="008D076C"/>
    <w:rsid w:val="008D0DFB"/>
    <w:rsid w:val="008D1149"/>
    <w:rsid w:val="008D1856"/>
    <w:rsid w:val="008D251A"/>
    <w:rsid w:val="008D2D74"/>
    <w:rsid w:val="008D360A"/>
    <w:rsid w:val="008D477C"/>
    <w:rsid w:val="008D5CCF"/>
    <w:rsid w:val="008D74C1"/>
    <w:rsid w:val="008E104C"/>
    <w:rsid w:val="008E2FFC"/>
    <w:rsid w:val="008E3A14"/>
    <w:rsid w:val="008E3D0D"/>
    <w:rsid w:val="008E3D4C"/>
    <w:rsid w:val="008E4701"/>
    <w:rsid w:val="008E5D22"/>
    <w:rsid w:val="008E6965"/>
    <w:rsid w:val="008E6D45"/>
    <w:rsid w:val="008E7071"/>
    <w:rsid w:val="008E7D8E"/>
    <w:rsid w:val="008F0434"/>
    <w:rsid w:val="008F1169"/>
    <w:rsid w:val="008F1B3F"/>
    <w:rsid w:val="008F1C48"/>
    <w:rsid w:val="008F4727"/>
    <w:rsid w:val="008F5D0E"/>
    <w:rsid w:val="008F6433"/>
    <w:rsid w:val="008F7A56"/>
    <w:rsid w:val="009013B6"/>
    <w:rsid w:val="00901DAE"/>
    <w:rsid w:val="00903C22"/>
    <w:rsid w:val="00903FA8"/>
    <w:rsid w:val="009047B9"/>
    <w:rsid w:val="00905E66"/>
    <w:rsid w:val="00906E3D"/>
    <w:rsid w:val="009112A8"/>
    <w:rsid w:val="00911C73"/>
    <w:rsid w:val="00913A5E"/>
    <w:rsid w:val="00913EDA"/>
    <w:rsid w:val="00915049"/>
    <w:rsid w:val="00915349"/>
    <w:rsid w:val="00920250"/>
    <w:rsid w:val="00922D8E"/>
    <w:rsid w:val="009238FC"/>
    <w:rsid w:val="00924E95"/>
    <w:rsid w:val="00926575"/>
    <w:rsid w:val="00926DD5"/>
    <w:rsid w:val="00930DDB"/>
    <w:rsid w:val="00931220"/>
    <w:rsid w:val="00931C61"/>
    <w:rsid w:val="0093236E"/>
    <w:rsid w:val="009327EE"/>
    <w:rsid w:val="009338D2"/>
    <w:rsid w:val="0093448B"/>
    <w:rsid w:val="00935992"/>
    <w:rsid w:val="009405B1"/>
    <w:rsid w:val="00943DC5"/>
    <w:rsid w:val="0094435D"/>
    <w:rsid w:val="00944BD1"/>
    <w:rsid w:val="00944EDD"/>
    <w:rsid w:val="00945575"/>
    <w:rsid w:val="009469D2"/>
    <w:rsid w:val="00946B34"/>
    <w:rsid w:val="00947D3F"/>
    <w:rsid w:val="009517A1"/>
    <w:rsid w:val="00951F91"/>
    <w:rsid w:val="00955567"/>
    <w:rsid w:val="009559BD"/>
    <w:rsid w:val="00956C4D"/>
    <w:rsid w:val="00956D7F"/>
    <w:rsid w:val="00957387"/>
    <w:rsid w:val="0096277F"/>
    <w:rsid w:val="00964DD4"/>
    <w:rsid w:val="009675F5"/>
    <w:rsid w:val="0097077F"/>
    <w:rsid w:val="00971654"/>
    <w:rsid w:val="00972778"/>
    <w:rsid w:val="00972FD4"/>
    <w:rsid w:val="00973333"/>
    <w:rsid w:val="009751E3"/>
    <w:rsid w:val="00975231"/>
    <w:rsid w:val="00977DAC"/>
    <w:rsid w:val="009803DD"/>
    <w:rsid w:val="00980A2C"/>
    <w:rsid w:val="009810E4"/>
    <w:rsid w:val="00984199"/>
    <w:rsid w:val="009873FB"/>
    <w:rsid w:val="00990525"/>
    <w:rsid w:val="00991901"/>
    <w:rsid w:val="009921FC"/>
    <w:rsid w:val="00993E60"/>
    <w:rsid w:val="00993FD4"/>
    <w:rsid w:val="009943C0"/>
    <w:rsid w:val="009949B1"/>
    <w:rsid w:val="009966BC"/>
    <w:rsid w:val="00996F4E"/>
    <w:rsid w:val="00997262"/>
    <w:rsid w:val="009A097E"/>
    <w:rsid w:val="009A10F3"/>
    <w:rsid w:val="009A21C4"/>
    <w:rsid w:val="009A5FD5"/>
    <w:rsid w:val="009B1EFD"/>
    <w:rsid w:val="009B209B"/>
    <w:rsid w:val="009B2506"/>
    <w:rsid w:val="009B344D"/>
    <w:rsid w:val="009B3B68"/>
    <w:rsid w:val="009B5F57"/>
    <w:rsid w:val="009B6872"/>
    <w:rsid w:val="009B6CBD"/>
    <w:rsid w:val="009C019E"/>
    <w:rsid w:val="009C274B"/>
    <w:rsid w:val="009C2DE0"/>
    <w:rsid w:val="009C3D7F"/>
    <w:rsid w:val="009C41CA"/>
    <w:rsid w:val="009C6DA6"/>
    <w:rsid w:val="009D0D25"/>
    <w:rsid w:val="009D3BF3"/>
    <w:rsid w:val="009D71D2"/>
    <w:rsid w:val="009E1286"/>
    <w:rsid w:val="009E1381"/>
    <w:rsid w:val="009E31B5"/>
    <w:rsid w:val="009E58CF"/>
    <w:rsid w:val="009E6533"/>
    <w:rsid w:val="009E6DDB"/>
    <w:rsid w:val="009E7EFC"/>
    <w:rsid w:val="009F003F"/>
    <w:rsid w:val="009F2230"/>
    <w:rsid w:val="009F5B63"/>
    <w:rsid w:val="009F602A"/>
    <w:rsid w:val="009F625B"/>
    <w:rsid w:val="009F7877"/>
    <w:rsid w:val="00A02B0B"/>
    <w:rsid w:val="00A040F1"/>
    <w:rsid w:val="00A051AD"/>
    <w:rsid w:val="00A05C64"/>
    <w:rsid w:val="00A05D86"/>
    <w:rsid w:val="00A05FDB"/>
    <w:rsid w:val="00A111A2"/>
    <w:rsid w:val="00A11863"/>
    <w:rsid w:val="00A11B53"/>
    <w:rsid w:val="00A16186"/>
    <w:rsid w:val="00A16BE1"/>
    <w:rsid w:val="00A16FAB"/>
    <w:rsid w:val="00A2179E"/>
    <w:rsid w:val="00A21DB8"/>
    <w:rsid w:val="00A21E60"/>
    <w:rsid w:val="00A21FF3"/>
    <w:rsid w:val="00A22F9B"/>
    <w:rsid w:val="00A23AA5"/>
    <w:rsid w:val="00A2402B"/>
    <w:rsid w:val="00A258A4"/>
    <w:rsid w:val="00A25C29"/>
    <w:rsid w:val="00A26464"/>
    <w:rsid w:val="00A30CD0"/>
    <w:rsid w:val="00A34BBB"/>
    <w:rsid w:val="00A35A0A"/>
    <w:rsid w:val="00A36D95"/>
    <w:rsid w:val="00A413C7"/>
    <w:rsid w:val="00A42F67"/>
    <w:rsid w:val="00A45600"/>
    <w:rsid w:val="00A47A13"/>
    <w:rsid w:val="00A47F1E"/>
    <w:rsid w:val="00A52593"/>
    <w:rsid w:val="00A54E9A"/>
    <w:rsid w:val="00A5587D"/>
    <w:rsid w:val="00A55F5B"/>
    <w:rsid w:val="00A56E8C"/>
    <w:rsid w:val="00A57F93"/>
    <w:rsid w:val="00A60D88"/>
    <w:rsid w:val="00A622AA"/>
    <w:rsid w:val="00A627F7"/>
    <w:rsid w:val="00A673DB"/>
    <w:rsid w:val="00A703DF"/>
    <w:rsid w:val="00A706B5"/>
    <w:rsid w:val="00A707AC"/>
    <w:rsid w:val="00A71975"/>
    <w:rsid w:val="00A724F9"/>
    <w:rsid w:val="00A730FB"/>
    <w:rsid w:val="00A736E2"/>
    <w:rsid w:val="00A748A0"/>
    <w:rsid w:val="00A77072"/>
    <w:rsid w:val="00A8011A"/>
    <w:rsid w:val="00A84615"/>
    <w:rsid w:val="00A84BD9"/>
    <w:rsid w:val="00A850CF"/>
    <w:rsid w:val="00A853E7"/>
    <w:rsid w:val="00A85B67"/>
    <w:rsid w:val="00A86099"/>
    <w:rsid w:val="00A87A95"/>
    <w:rsid w:val="00A90477"/>
    <w:rsid w:val="00A914BA"/>
    <w:rsid w:val="00A92BA2"/>
    <w:rsid w:val="00A9524B"/>
    <w:rsid w:val="00A96054"/>
    <w:rsid w:val="00A9658C"/>
    <w:rsid w:val="00A96C96"/>
    <w:rsid w:val="00A972B9"/>
    <w:rsid w:val="00AA086C"/>
    <w:rsid w:val="00AA11DA"/>
    <w:rsid w:val="00AA4C8D"/>
    <w:rsid w:val="00AA524E"/>
    <w:rsid w:val="00AA6473"/>
    <w:rsid w:val="00AA75E7"/>
    <w:rsid w:val="00AA7E6F"/>
    <w:rsid w:val="00AB0386"/>
    <w:rsid w:val="00AB0C82"/>
    <w:rsid w:val="00AB15C6"/>
    <w:rsid w:val="00AB17ED"/>
    <w:rsid w:val="00AB3F6E"/>
    <w:rsid w:val="00AB4647"/>
    <w:rsid w:val="00AB50A0"/>
    <w:rsid w:val="00AB5E7F"/>
    <w:rsid w:val="00AC07A8"/>
    <w:rsid w:val="00AC11A4"/>
    <w:rsid w:val="00AC3DA7"/>
    <w:rsid w:val="00AC40A8"/>
    <w:rsid w:val="00AD044B"/>
    <w:rsid w:val="00AD09D6"/>
    <w:rsid w:val="00AD17EA"/>
    <w:rsid w:val="00AD2AA2"/>
    <w:rsid w:val="00AD31BC"/>
    <w:rsid w:val="00AD4B7E"/>
    <w:rsid w:val="00AD55E8"/>
    <w:rsid w:val="00AE0CD1"/>
    <w:rsid w:val="00AE0F3C"/>
    <w:rsid w:val="00AE11F2"/>
    <w:rsid w:val="00AE1BFD"/>
    <w:rsid w:val="00AE3520"/>
    <w:rsid w:val="00AE4BAB"/>
    <w:rsid w:val="00AE77D9"/>
    <w:rsid w:val="00AE7A3B"/>
    <w:rsid w:val="00AF6ABE"/>
    <w:rsid w:val="00B00545"/>
    <w:rsid w:val="00B00DB7"/>
    <w:rsid w:val="00B03069"/>
    <w:rsid w:val="00B047E1"/>
    <w:rsid w:val="00B04A0B"/>
    <w:rsid w:val="00B10765"/>
    <w:rsid w:val="00B111D2"/>
    <w:rsid w:val="00B11AA3"/>
    <w:rsid w:val="00B1252D"/>
    <w:rsid w:val="00B13A87"/>
    <w:rsid w:val="00B14049"/>
    <w:rsid w:val="00B1490E"/>
    <w:rsid w:val="00B15675"/>
    <w:rsid w:val="00B15928"/>
    <w:rsid w:val="00B2197C"/>
    <w:rsid w:val="00B219F2"/>
    <w:rsid w:val="00B26EF6"/>
    <w:rsid w:val="00B27116"/>
    <w:rsid w:val="00B307F4"/>
    <w:rsid w:val="00B30F7A"/>
    <w:rsid w:val="00B31AB2"/>
    <w:rsid w:val="00B32C38"/>
    <w:rsid w:val="00B33CA0"/>
    <w:rsid w:val="00B33CBD"/>
    <w:rsid w:val="00B33CC4"/>
    <w:rsid w:val="00B3480F"/>
    <w:rsid w:val="00B35087"/>
    <w:rsid w:val="00B355F9"/>
    <w:rsid w:val="00B3658B"/>
    <w:rsid w:val="00B3750F"/>
    <w:rsid w:val="00B41AC3"/>
    <w:rsid w:val="00B41F8A"/>
    <w:rsid w:val="00B42B42"/>
    <w:rsid w:val="00B44B49"/>
    <w:rsid w:val="00B4588E"/>
    <w:rsid w:val="00B46C79"/>
    <w:rsid w:val="00B47F05"/>
    <w:rsid w:val="00B51A8A"/>
    <w:rsid w:val="00B55333"/>
    <w:rsid w:val="00B56C7F"/>
    <w:rsid w:val="00B6209A"/>
    <w:rsid w:val="00B63763"/>
    <w:rsid w:val="00B6518C"/>
    <w:rsid w:val="00B66049"/>
    <w:rsid w:val="00B67DAE"/>
    <w:rsid w:val="00B700C2"/>
    <w:rsid w:val="00B702C5"/>
    <w:rsid w:val="00B72A42"/>
    <w:rsid w:val="00B72D49"/>
    <w:rsid w:val="00B7676E"/>
    <w:rsid w:val="00B76F4D"/>
    <w:rsid w:val="00B77F8F"/>
    <w:rsid w:val="00B80599"/>
    <w:rsid w:val="00B82524"/>
    <w:rsid w:val="00B828CC"/>
    <w:rsid w:val="00B83E26"/>
    <w:rsid w:val="00B857D5"/>
    <w:rsid w:val="00B874AD"/>
    <w:rsid w:val="00B87CBD"/>
    <w:rsid w:val="00B91A6E"/>
    <w:rsid w:val="00B96446"/>
    <w:rsid w:val="00B9666F"/>
    <w:rsid w:val="00BA0899"/>
    <w:rsid w:val="00BA1000"/>
    <w:rsid w:val="00BA144D"/>
    <w:rsid w:val="00BA1AD4"/>
    <w:rsid w:val="00BA2552"/>
    <w:rsid w:val="00BA485D"/>
    <w:rsid w:val="00BA5321"/>
    <w:rsid w:val="00BA5517"/>
    <w:rsid w:val="00BA5DC4"/>
    <w:rsid w:val="00BA67BE"/>
    <w:rsid w:val="00BA7466"/>
    <w:rsid w:val="00BB00F3"/>
    <w:rsid w:val="00BB03CA"/>
    <w:rsid w:val="00BB2405"/>
    <w:rsid w:val="00BB2E70"/>
    <w:rsid w:val="00BB3248"/>
    <w:rsid w:val="00BB3473"/>
    <w:rsid w:val="00BB4900"/>
    <w:rsid w:val="00BB4E6F"/>
    <w:rsid w:val="00BB4EDC"/>
    <w:rsid w:val="00BB5A67"/>
    <w:rsid w:val="00BB6911"/>
    <w:rsid w:val="00BC1C19"/>
    <w:rsid w:val="00BC2F00"/>
    <w:rsid w:val="00BC44D9"/>
    <w:rsid w:val="00BC4C08"/>
    <w:rsid w:val="00BC5D3C"/>
    <w:rsid w:val="00BC6D90"/>
    <w:rsid w:val="00BC792B"/>
    <w:rsid w:val="00BD04AA"/>
    <w:rsid w:val="00BD3204"/>
    <w:rsid w:val="00BD35BC"/>
    <w:rsid w:val="00BD47F3"/>
    <w:rsid w:val="00BD66BD"/>
    <w:rsid w:val="00BE194F"/>
    <w:rsid w:val="00BE3643"/>
    <w:rsid w:val="00BE3BCA"/>
    <w:rsid w:val="00BE453F"/>
    <w:rsid w:val="00BE49C1"/>
    <w:rsid w:val="00BF0B29"/>
    <w:rsid w:val="00BF0F05"/>
    <w:rsid w:val="00BF2242"/>
    <w:rsid w:val="00BF25E5"/>
    <w:rsid w:val="00BF533E"/>
    <w:rsid w:val="00BF7CCC"/>
    <w:rsid w:val="00C006FF"/>
    <w:rsid w:val="00C01D1B"/>
    <w:rsid w:val="00C027FB"/>
    <w:rsid w:val="00C02E30"/>
    <w:rsid w:val="00C03DBC"/>
    <w:rsid w:val="00C049FF"/>
    <w:rsid w:val="00C05644"/>
    <w:rsid w:val="00C07229"/>
    <w:rsid w:val="00C077D3"/>
    <w:rsid w:val="00C07EBA"/>
    <w:rsid w:val="00C10026"/>
    <w:rsid w:val="00C15447"/>
    <w:rsid w:val="00C15508"/>
    <w:rsid w:val="00C15E1D"/>
    <w:rsid w:val="00C163D7"/>
    <w:rsid w:val="00C1641C"/>
    <w:rsid w:val="00C175DC"/>
    <w:rsid w:val="00C20359"/>
    <w:rsid w:val="00C213F4"/>
    <w:rsid w:val="00C21860"/>
    <w:rsid w:val="00C21868"/>
    <w:rsid w:val="00C22EF5"/>
    <w:rsid w:val="00C23614"/>
    <w:rsid w:val="00C24F48"/>
    <w:rsid w:val="00C2649A"/>
    <w:rsid w:val="00C26CCF"/>
    <w:rsid w:val="00C2778D"/>
    <w:rsid w:val="00C30409"/>
    <w:rsid w:val="00C34170"/>
    <w:rsid w:val="00C342A6"/>
    <w:rsid w:val="00C3708B"/>
    <w:rsid w:val="00C403DA"/>
    <w:rsid w:val="00C4264A"/>
    <w:rsid w:val="00C42828"/>
    <w:rsid w:val="00C4296C"/>
    <w:rsid w:val="00C44330"/>
    <w:rsid w:val="00C45101"/>
    <w:rsid w:val="00C45C19"/>
    <w:rsid w:val="00C50633"/>
    <w:rsid w:val="00C512CA"/>
    <w:rsid w:val="00C540A5"/>
    <w:rsid w:val="00C55C76"/>
    <w:rsid w:val="00C565B5"/>
    <w:rsid w:val="00C56D3F"/>
    <w:rsid w:val="00C57A92"/>
    <w:rsid w:val="00C6050D"/>
    <w:rsid w:val="00C623FA"/>
    <w:rsid w:val="00C650CF"/>
    <w:rsid w:val="00C65450"/>
    <w:rsid w:val="00C701A6"/>
    <w:rsid w:val="00C7270F"/>
    <w:rsid w:val="00C7375A"/>
    <w:rsid w:val="00C745CC"/>
    <w:rsid w:val="00C749CE"/>
    <w:rsid w:val="00C7603E"/>
    <w:rsid w:val="00C768D5"/>
    <w:rsid w:val="00C76D7A"/>
    <w:rsid w:val="00C8156A"/>
    <w:rsid w:val="00C81931"/>
    <w:rsid w:val="00C82A99"/>
    <w:rsid w:val="00C83B46"/>
    <w:rsid w:val="00C87A02"/>
    <w:rsid w:val="00C87C66"/>
    <w:rsid w:val="00C90324"/>
    <w:rsid w:val="00C90F06"/>
    <w:rsid w:val="00C941EA"/>
    <w:rsid w:val="00C94F28"/>
    <w:rsid w:val="00C9508B"/>
    <w:rsid w:val="00C959BD"/>
    <w:rsid w:val="00C961BD"/>
    <w:rsid w:val="00C97493"/>
    <w:rsid w:val="00C97C15"/>
    <w:rsid w:val="00CA12C7"/>
    <w:rsid w:val="00CA2CB7"/>
    <w:rsid w:val="00CA389E"/>
    <w:rsid w:val="00CA47F1"/>
    <w:rsid w:val="00CA516F"/>
    <w:rsid w:val="00CA7EA3"/>
    <w:rsid w:val="00CB3147"/>
    <w:rsid w:val="00CB42D0"/>
    <w:rsid w:val="00CB44CE"/>
    <w:rsid w:val="00CB5488"/>
    <w:rsid w:val="00CC491F"/>
    <w:rsid w:val="00CC5950"/>
    <w:rsid w:val="00CC61B1"/>
    <w:rsid w:val="00CD04C0"/>
    <w:rsid w:val="00CD15FD"/>
    <w:rsid w:val="00CD1728"/>
    <w:rsid w:val="00CD4EAF"/>
    <w:rsid w:val="00CD58CC"/>
    <w:rsid w:val="00CD7070"/>
    <w:rsid w:val="00CE0414"/>
    <w:rsid w:val="00CE056D"/>
    <w:rsid w:val="00CE08CB"/>
    <w:rsid w:val="00CE1C32"/>
    <w:rsid w:val="00CE2A94"/>
    <w:rsid w:val="00CE312D"/>
    <w:rsid w:val="00CE367E"/>
    <w:rsid w:val="00CE43C8"/>
    <w:rsid w:val="00CE4810"/>
    <w:rsid w:val="00CE4CAC"/>
    <w:rsid w:val="00CE4FB9"/>
    <w:rsid w:val="00CE70BF"/>
    <w:rsid w:val="00CE7CF9"/>
    <w:rsid w:val="00CE7EA9"/>
    <w:rsid w:val="00CF0C02"/>
    <w:rsid w:val="00CF0D2B"/>
    <w:rsid w:val="00CF0E51"/>
    <w:rsid w:val="00CF0F28"/>
    <w:rsid w:val="00CF1FF3"/>
    <w:rsid w:val="00CF5F04"/>
    <w:rsid w:val="00CF620A"/>
    <w:rsid w:val="00CF72DA"/>
    <w:rsid w:val="00CF7E6B"/>
    <w:rsid w:val="00D00171"/>
    <w:rsid w:val="00D01563"/>
    <w:rsid w:val="00D01CB9"/>
    <w:rsid w:val="00D0309F"/>
    <w:rsid w:val="00D033BE"/>
    <w:rsid w:val="00D0365C"/>
    <w:rsid w:val="00D04F1C"/>
    <w:rsid w:val="00D065D3"/>
    <w:rsid w:val="00D10C8F"/>
    <w:rsid w:val="00D138B6"/>
    <w:rsid w:val="00D1548A"/>
    <w:rsid w:val="00D179BD"/>
    <w:rsid w:val="00D17DE9"/>
    <w:rsid w:val="00D202D5"/>
    <w:rsid w:val="00D217DE"/>
    <w:rsid w:val="00D22F62"/>
    <w:rsid w:val="00D2363C"/>
    <w:rsid w:val="00D239BE"/>
    <w:rsid w:val="00D23F7E"/>
    <w:rsid w:val="00D2564F"/>
    <w:rsid w:val="00D26092"/>
    <w:rsid w:val="00D32804"/>
    <w:rsid w:val="00D33DD6"/>
    <w:rsid w:val="00D3453F"/>
    <w:rsid w:val="00D352FB"/>
    <w:rsid w:val="00D356F2"/>
    <w:rsid w:val="00D362C4"/>
    <w:rsid w:val="00D3731E"/>
    <w:rsid w:val="00D41BF5"/>
    <w:rsid w:val="00D457B7"/>
    <w:rsid w:val="00D472EB"/>
    <w:rsid w:val="00D47E90"/>
    <w:rsid w:val="00D47EA1"/>
    <w:rsid w:val="00D47F04"/>
    <w:rsid w:val="00D50BFC"/>
    <w:rsid w:val="00D5102B"/>
    <w:rsid w:val="00D524B8"/>
    <w:rsid w:val="00D52CE7"/>
    <w:rsid w:val="00D53DE3"/>
    <w:rsid w:val="00D53E62"/>
    <w:rsid w:val="00D54C38"/>
    <w:rsid w:val="00D55214"/>
    <w:rsid w:val="00D566B5"/>
    <w:rsid w:val="00D60772"/>
    <w:rsid w:val="00D61464"/>
    <w:rsid w:val="00D62CFB"/>
    <w:rsid w:val="00D634CA"/>
    <w:rsid w:val="00D63CD9"/>
    <w:rsid w:val="00D677FD"/>
    <w:rsid w:val="00D706D7"/>
    <w:rsid w:val="00D71676"/>
    <w:rsid w:val="00D71AF6"/>
    <w:rsid w:val="00D80BFC"/>
    <w:rsid w:val="00D81E60"/>
    <w:rsid w:val="00D82683"/>
    <w:rsid w:val="00D82D73"/>
    <w:rsid w:val="00D835EB"/>
    <w:rsid w:val="00D844A9"/>
    <w:rsid w:val="00D85CE9"/>
    <w:rsid w:val="00D85E00"/>
    <w:rsid w:val="00D901FB"/>
    <w:rsid w:val="00D918E0"/>
    <w:rsid w:val="00D919AE"/>
    <w:rsid w:val="00D96493"/>
    <w:rsid w:val="00D97D8A"/>
    <w:rsid w:val="00DA21F8"/>
    <w:rsid w:val="00DA367A"/>
    <w:rsid w:val="00DA47CE"/>
    <w:rsid w:val="00DA543C"/>
    <w:rsid w:val="00DA58A9"/>
    <w:rsid w:val="00DA680D"/>
    <w:rsid w:val="00DA7484"/>
    <w:rsid w:val="00DA774A"/>
    <w:rsid w:val="00DB0415"/>
    <w:rsid w:val="00DB24F8"/>
    <w:rsid w:val="00DB2608"/>
    <w:rsid w:val="00DB2AEA"/>
    <w:rsid w:val="00DB2FB9"/>
    <w:rsid w:val="00DB3F4A"/>
    <w:rsid w:val="00DB5544"/>
    <w:rsid w:val="00DB727B"/>
    <w:rsid w:val="00DC0536"/>
    <w:rsid w:val="00DC25E3"/>
    <w:rsid w:val="00DC4A09"/>
    <w:rsid w:val="00DC5DEB"/>
    <w:rsid w:val="00DC672F"/>
    <w:rsid w:val="00DD147E"/>
    <w:rsid w:val="00DD16C3"/>
    <w:rsid w:val="00DD2670"/>
    <w:rsid w:val="00DD32A8"/>
    <w:rsid w:val="00DD4E39"/>
    <w:rsid w:val="00DD7089"/>
    <w:rsid w:val="00DD7AD9"/>
    <w:rsid w:val="00DE0A15"/>
    <w:rsid w:val="00DE5A5A"/>
    <w:rsid w:val="00DE5CC2"/>
    <w:rsid w:val="00DE606D"/>
    <w:rsid w:val="00DE71C2"/>
    <w:rsid w:val="00DF056C"/>
    <w:rsid w:val="00DF290F"/>
    <w:rsid w:val="00DF5453"/>
    <w:rsid w:val="00E0042B"/>
    <w:rsid w:val="00E0338A"/>
    <w:rsid w:val="00E040A3"/>
    <w:rsid w:val="00E04923"/>
    <w:rsid w:val="00E11C74"/>
    <w:rsid w:val="00E1377C"/>
    <w:rsid w:val="00E13BE9"/>
    <w:rsid w:val="00E13C7F"/>
    <w:rsid w:val="00E14751"/>
    <w:rsid w:val="00E169DF"/>
    <w:rsid w:val="00E17175"/>
    <w:rsid w:val="00E178DD"/>
    <w:rsid w:val="00E179E9"/>
    <w:rsid w:val="00E2036D"/>
    <w:rsid w:val="00E20DCD"/>
    <w:rsid w:val="00E21322"/>
    <w:rsid w:val="00E269EC"/>
    <w:rsid w:val="00E27400"/>
    <w:rsid w:val="00E30506"/>
    <w:rsid w:val="00E30E0C"/>
    <w:rsid w:val="00E32D0E"/>
    <w:rsid w:val="00E34171"/>
    <w:rsid w:val="00E35281"/>
    <w:rsid w:val="00E37185"/>
    <w:rsid w:val="00E402B9"/>
    <w:rsid w:val="00E420C3"/>
    <w:rsid w:val="00E437C6"/>
    <w:rsid w:val="00E44337"/>
    <w:rsid w:val="00E44612"/>
    <w:rsid w:val="00E44AD8"/>
    <w:rsid w:val="00E459B2"/>
    <w:rsid w:val="00E54B15"/>
    <w:rsid w:val="00E56423"/>
    <w:rsid w:val="00E56508"/>
    <w:rsid w:val="00E600D2"/>
    <w:rsid w:val="00E604FC"/>
    <w:rsid w:val="00E60E8F"/>
    <w:rsid w:val="00E60FA8"/>
    <w:rsid w:val="00E64490"/>
    <w:rsid w:val="00E64556"/>
    <w:rsid w:val="00E664E0"/>
    <w:rsid w:val="00E66B8F"/>
    <w:rsid w:val="00E67636"/>
    <w:rsid w:val="00E67F19"/>
    <w:rsid w:val="00E72879"/>
    <w:rsid w:val="00E75135"/>
    <w:rsid w:val="00E7798B"/>
    <w:rsid w:val="00E857E1"/>
    <w:rsid w:val="00E85D19"/>
    <w:rsid w:val="00E87A38"/>
    <w:rsid w:val="00E90811"/>
    <w:rsid w:val="00E91103"/>
    <w:rsid w:val="00E921E4"/>
    <w:rsid w:val="00E94E5C"/>
    <w:rsid w:val="00E95163"/>
    <w:rsid w:val="00E957C0"/>
    <w:rsid w:val="00EA0DC1"/>
    <w:rsid w:val="00EA2475"/>
    <w:rsid w:val="00EA2540"/>
    <w:rsid w:val="00EA3D55"/>
    <w:rsid w:val="00EA4252"/>
    <w:rsid w:val="00EA5C00"/>
    <w:rsid w:val="00EA63A9"/>
    <w:rsid w:val="00EA6E68"/>
    <w:rsid w:val="00EB17EC"/>
    <w:rsid w:val="00EB5B63"/>
    <w:rsid w:val="00EB6C59"/>
    <w:rsid w:val="00EB6E30"/>
    <w:rsid w:val="00EB79DD"/>
    <w:rsid w:val="00EB7C46"/>
    <w:rsid w:val="00EC0A7E"/>
    <w:rsid w:val="00EC1685"/>
    <w:rsid w:val="00EC1ECA"/>
    <w:rsid w:val="00EC2DF9"/>
    <w:rsid w:val="00EC5FA3"/>
    <w:rsid w:val="00EC7E57"/>
    <w:rsid w:val="00ED1414"/>
    <w:rsid w:val="00ED2A99"/>
    <w:rsid w:val="00ED3F98"/>
    <w:rsid w:val="00ED6896"/>
    <w:rsid w:val="00ED75F8"/>
    <w:rsid w:val="00EE0A77"/>
    <w:rsid w:val="00EE3E9A"/>
    <w:rsid w:val="00EE48C6"/>
    <w:rsid w:val="00EE6A52"/>
    <w:rsid w:val="00EE6FA7"/>
    <w:rsid w:val="00EF0104"/>
    <w:rsid w:val="00EF34C8"/>
    <w:rsid w:val="00EF3610"/>
    <w:rsid w:val="00EF620C"/>
    <w:rsid w:val="00F00A7F"/>
    <w:rsid w:val="00F011C5"/>
    <w:rsid w:val="00F02932"/>
    <w:rsid w:val="00F02BD7"/>
    <w:rsid w:val="00F05034"/>
    <w:rsid w:val="00F10046"/>
    <w:rsid w:val="00F16134"/>
    <w:rsid w:val="00F16B71"/>
    <w:rsid w:val="00F2019B"/>
    <w:rsid w:val="00F208F9"/>
    <w:rsid w:val="00F2141D"/>
    <w:rsid w:val="00F218BB"/>
    <w:rsid w:val="00F21D61"/>
    <w:rsid w:val="00F22AB0"/>
    <w:rsid w:val="00F22F07"/>
    <w:rsid w:val="00F24B4E"/>
    <w:rsid w:val="00F27CD9"/>
    <w:rsid w:val="00F30F3D"/>
    <w:rsid w:val="00F321C2"/>
    <w:rsid w:val="00F323D2"/>
    <w:rsid w:val="00F32658"/>
    <w:rsid w:val="00F328CC"/>
    <w:rsid w:val="00F34066"/>
    <w:rsid w:val="00F3472D"/>
    <w:rsid w:val="00F34F49"/>
    <w:rsid w:val="00F35E14"/>
    <w:rsid w:val="00F35EDD"/>
    <w:rsid w:val="00F36AFC"/>
    <w:rsid w:val="00F36DE6"/>
    <w:rsid w:val="00F37E5C"/>
    <w:rsid w:val="00F37E81"/>
    <w:rsid w:val="00F4070D"/>
    <w:rsid w:val="00F40D6A"/>
    <w:rsid w:val="00F42DC7"/>
    <w:rsid w:val="00F43490"/>
    <w:rsid w:val="00F43621"/>
    <w:rsid w:val="00F44843"/>
    <w:rsid w:val="00F46956"/>
    <w:rsid w:val="00F46DDB"/>
    <w:rsid w:val="00F47324"/>
    <w:rsid w:val="00F47BAD"/>
    <w:rsid w:val="00F506CD"/>
    <w:rsid w:val="00F50C49"/>
    <w:rsid w:val="00F50EBC"/>
    <w:rsid w:val="00F51101"/>
    <w:rsid w:val="00F5586F"/>
    <w:rsid w:val="00F56A2B"/>
    <w:rsid w:val="00F56DFB"/>
    <w:rsid w:val="00F6250B"/>
    <w:rsid w:val="00F639B8"/>
    <w:rsid w:val="00F647CA"/>
    <w:rsid w:val="00F64C3F"/>
    <w:rsid w:val="00F65598"/>
    <w:rsid w:val="00F65829"/>
    <w:rsid w:val="00F704F4"/>
    <w:rsid w:val="00F70E6A"/>
    <w:rsid w:val="00F724EE"/>
    <w:rsid w:val="00F745AC"/>
    <w:rsid w:val="00F752BD"/>
    <w:rsid w:val="00F76154"/>
    <w:rsid w:val="00F76A49"/>
    <w:rsid w:val="00F76D1B"/>
    <w:rsid w:val="00F76FEB"/>
    <w:rsid w:val="00F774B2"/>
    <w:rsid w:val="00F779D2"/>
    <w:rsid w:val="00F81FE9"/>
    <w:rsid w:val="00F827B4"/>
    <w:rsid w:val="00F82BFB"/>
    <w:rsid w:val="00F83919"/>
    <w:rsid w:val="00F83CAB"/>
    <w:rsid w:val="00F86F2F"/>
    <w:rsid w:val="00F878E5"/>
    <w:rsid w:val="00F902DD"/>
    <w:rsid w:val="00F91514"/>
    <w:rsid w:val="00F91FDA"/>
    <w:rsid w:val="00F92F29"/>
    <w:rsid w:val="00F93F64"/>
    <w:rsid w:val="00F951CE"/>
    <w:rsid w:val="00F95712"/>
    <w:rsid w:val="00F96B6B"/>
    <w:rsid w:val="00FA1D70"/>
    <w:rsid w:val="00FA233A"/>
    <w:rsid w:val="00FA25F4"/>
    <w:rsid w:val="00FA2B7A"/>
    <w:rsid w:val="00FA31C3"/>
    <w:rsid w:val="00FA44D1"/>
    <w:rsid w:val="00FA45D9"/>
    <w:rsid w:val="00FA783F"/>
    <w:rsid w:val="00FB2114"/>
    <w:rsid w:val="00FB270F"/>
    <w:rsid w:val="00FB2B27"/>
    <w:rsid w:val="00FB3515"/>
    <w:rsid w:val="00FB3C53"/>
    <w:rsid w:val="00FB4C39"/>
    <w:rsid w:val="00FB51E1"/>
    <w:rsid w:val="00FB557A"/>
    <w:rsid w:val="00FB65D9"/>
    <w:rsid w:val="00FB6FB1"/>
    <w:rsid w:val="00FB72EF"/>
    <w:rsid w:val="00FC071C"/>
    <w:rsid w:val="00FC4FA2"/>
    <w:rsid w:val="00FC6630"/>
    <w:rsid w:val="00FD0EF3"/>
    <w:rsid w:val="00FD1145"/>
    <w:rsid w:val="00FD1516"/>
    <w:rsid w:val="00FD1D49"/>
    <w:rsid w:val="00FD22AC"/>
    <w:rsid w:val="00FD2D51"/>
    <w:rsid w:val="00FD4C59"/>
    <w:rsid w:val="00FD59B6"/>
    <w:rsid w:val="00FD6BFA"/>
    <w:rsid w:val="00FE0B22"/>
    <w:rsid w:val="00FE0FB2"/>
    <w:rsid w:val="00FE1295"/>
    <w:rsid w:val="00FE2854"/>
    <w:rsid w:val="00FE3867"/>
    <w:rsid w:val="00FE3DC9"/>
    <w:rsid w:val="00FE421A"/>
    <w:rsid w:val="00FE5EB7"/>
    <w:rsid w:val="00FE66FA"/>
    <w:rsid w:val="00FE7099"/>
    <w:rsid w:val="00FE7A8A"/>
    <w:rsid w:val="00FF0F31"/>
    <w:rsid w:val="00FF359B"/>
    <w:rsid w:val="00FF38DB"/>
    <w:rsid w:val="00FF507B"/>
    <w:rsid w:val="00FF5316"/>
    <w:rsid w:val="00FF6909"/>
    <w:rsid w:val="00FF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F39E42"/>
  <w15:chartTrackingRefBased/>
  <w15:docId w15:val="{FC78C226-BB38-48C7-B83E-E2BEB1ABF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4C08"/>
  </w:style>
  <w:style w:type="paragraph" w:styleId="Nadpis1">
    <w:name w:val="heading 1"/>
    <w:basedOn w:val="Normln"/>
    <w:next w:val="Normln"/>
    <w:link w:val="Nadpis1Char"/>
    <w:uiPriority w:val="9"/>
    <w:qFormat/>
    <w:rsid w:val="00977D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77D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77D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77D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77D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77D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77D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77D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77D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77D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77D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77D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77DA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77DA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77DA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77DA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77DA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77DA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77D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77D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77D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77D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Odstavecseseznamem">
    <w:name w:val="List Paragraph"/>
    <w:aliases w:val="Ha,List Paragraph1,List Paragraph2,List Paragraph_0,Nad,Nad1,Nad2,Nadpis pro KZ,Název grafu,Odstavec_muj,Odstavec_muj1,Odstavec_muj10,Odstavec_muj2,Odstavec_muj3,Odstavec_muj4,Odstavec_muj5,Odstavec_muj6,Odstavec_muj7,nad 1,odrážky"/>
    <w:basedOn w:val="Normln"/>
    <w:link w:val="OdstavecseseznamemChar"/>
    <w:uiPriority w:val="34"/>
    <w:qFormat/>
    <w:rsid w:val="00977DAC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977D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77DAC"/>
    <w:rPr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77D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77DAC"/>
    <w:rPr>
      <w:i/>
      <w:iCs/>
      <w:color w:val="0F4761" w:themeColor="accent1" w:themeShade="BF"/>
    </w:rPr>
  </w:style>
  <w:style w:type="character" w:styleId="Zdraznnintenzivn">
    <w:name w:val="Intense Emphasis"/>
    <w:basedOn w:val="Standardnpsmoodstavce"/>
    <w:uiPriority w:val="21"/>
    <w:qFormat/>
    <w:rsid w:val="00977DA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77DAC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9312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1220"/>
  </w:style>
  <w:style w:type="paragraph" w:styleId="Textpoznpodarou">
    <w:name w:val="footnote text"/>
    <w:aliases w:val="Boston 10,Char,Char1,Font: Geneva 9,Footnote,Footnote Text Char,Fußnotentextf,Geneva 9,Podrozdzia3,Podrozdział,Schriftart: 10 pt,Schriftart: 8 pt,Schriftart: 9 pt,Text pozn. pod čarou1,Text poznámky pod čiarou 007,f,pozn. pod čarou"/>
    <w:basedOn w:val="Normln"/>
    <w:link w:val="TextpoznpodarouChar"/>
    <w:unhideWhenUsed/>
    <w:qFormat/>
    <w:rsid w:val="00F35ED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TextpoznpodarouChar">
    <w:name w:val="Text pozn. pod čarou Char"/>
    <w:aliases w:val="Boston 10 Char,Char Char,Char1 Char,Font: Geneva 9 Char,Footnote Char,Footnote Text Char Char,Fußnotentextf Char,Geneva 9 Char,Podrozdzia3 Char,Podrozdział Char,Schriftart: 10 pt Char,Schriftart: 8 pt Char,Schriftart: 9 pt Char"/>
    <w:basedOn w:val="Standardnpsmoodstavce"/>
    <w:link w:val="Textpoznpodarou"/>
    <w:rsid w:val="00F35ED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Znakapoznpodarou">
    <w:name w:val="footnote reference"/>
    <w:aliases w:val="12 b.,Appel note de bas de p,Appel note de bas de page,BVI fnr,Char Car Car Car Car,Footnote Reference Superscript,Footnote symbol,Légende,PGI Fußnote Ziffer,Voetnootverwijzing,Zúžené o ...,note TESI,Légende;Char Car Car Car Car"/>
    <w:basedOn w:val="Standardnpsmoodstavce"/>
    <w:link w:val="BVIfnrCharChar"/>
    <w:uiPriority w:val="99"/>
    <w:unhideWhenUsed/>
    <w:rsid w:val="00F35EDD"/>
    <w:rPr>
      <w:vertAlign w:val="superscript"/>
    </w:rPr>
  </w:style>
  <w:style w:type="character" w:customStyle="1" w:styleId="Zkladntext">
    <w:name w:val="Základní text_"/>
    <w:basedOn w:val="Standardnpsmoodstavce"/>
    <w:link w:val="Zkladntext1"/>
    <w:rsid w:val="00162F5A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162F5A"/>
    <w:pPr>
      <w:widowControl w:val="0"/>
      <w:shd w:val="clear" w:color="auto" w:fill="FFFFFF"/>
      <w:spacing w:after="240" w:line="240" w:lineRule="auto"/>
      <w:jc w:val="both"/>
    </w:pPr>
    <w:rPr>
      <w:rFonts w:ascii="Arial" w:eastAsia="Arial" w:hAnsi="Arial" w:cs="Arial"/>
      <w:sz w:val="22"/>
      <w:szCs w:val="22"/>
    </w:rPr>
  </w:style>
  <w:style w:type="character" w:styleId="Hypertextovodkaz">
    <w:name w:val="Hyperlink"/>
    <w:basedOn w:val="Standardnpsmoodstavce"/>
    <w:uiPriority w:val="99"/>
    <w:rsid w:val="00DB24F8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A5F4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C467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C4674"/>
    <w:rPr>
      <w:sz w:val="20"/>
      <w:szCs w:val="20"/>
    </w:rPr>
  </w:style>
  <w:style w:type="character" w:customStyle="1" w:styleId="Poznmkapodarou">
    <w:name w:val="Poznámka pod čarou_"/>
    <w:basedOn w:val="Standardnpsmoodstavce"/>
    <w:link w:val="Poznmkapodarou0"/>
    <w:rsid w:val="006E2BAA"/>
    <w:rPr>
      <w:rFonts w:ascii="Calibri" w:eastAsia="Calibri" w:hAnsi="Calibri" w:cs="Calibri"/>
      <w:i/>
      <w:iCs/>
      <w:sz w:val="15"/>
      <w:szCs w:val="15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6E2BAA"/>
    <w:pPr>
      <w:widowControl w:val="0"/>
      <w:shd w:val="clear" w:color="auto" w:fill="FFFFFF"/>
      <w:spacing w:after="0" w:line="240" w:lineRule="auto"/>
      <w:ind w:left="730"/>
    </w:pPr>
    <w:rPr>
      <w:rFonts w:ascii="Calibri" w:eastAsia="Calibri" w:hAnsi="Calibri" w:cs="Calibri"/>
      <w:i/>
      <w:iCs/>
      <w:sz w:val="15"/>
      <w:szCs w:val="15"/>
    </w:rPr>
  </w:style>
  <w:style w:type="character" w:customStyle="1" w:styleId="Titulektabulky">
    <w:name w:val="Titulek tabulky_"/>
    <w:basedOn w:val="Standardnpsmoodstavce"/>
    <w:link w:val="Titulektabulky0"/>
    <w:rsid w:val="00C4264A"/>
    <w:rPr>
      <w:rFonts w:ascii="Calibri" w:eastAsia="Calibri" w:hAnsi="Calibri" w:cs="Calibri"/>
      <w:i/>
      <w:iCs/>
      <w:sz w:val="15"/>
      <w:szCs w:val="15"/>
      <w:shd w:val="clear" w:color="auto" w:fill="FFFFFF"/>
    </w:rPr>
  </w:style>
  <w:style w:type="character" w:customStyle="1" w:styleId="Jin">
    <w:name w:val="Jiné_"/>
    <w:basedOn w:val="Standardnpsmoodstavce"/>
    <w:link w:val="Jin0"/>
    <w:rsid w:val="00C4264A"/>
    <w:rPr>
      <w:rFonts w:ascii="Calibri" w:eastAsia="Calibri" w:hAnsi="Calibri" w:cs="Calibri"/>
      <w:sz w:val="22"/>
      <w:szCs w:val="22"/>
      <w:shd w:val="clear" w:color="auto" w:fill="FFFFFF"/>
    </w:rPr>
  </w:style>
  <w:style w:type="paragraph" w:customStyle="1" w:styleId="Titulektabulky0">
    <w:name w:val="Titulek tabulky"/>
    <w:basedOn w:val="Normln"/>
    <w:link w:val="Titulektabulky"/>
    <w:rsid w:val="00C4264A"/>
    <w:pPr>
      <w:widowControl w:val="0"/>
      <w:shd w:val="clear" w:color="auto" w:fill="FFFFFF"/>
      <w:spacing w:after="0" w:line="254" w:lineRule="auto"/>
    </w:pPr>
    <w:rPr>
      <w:rFonts w:ascii="Calibri" w:eastAsia="Calibri" w:hAnsi="Calibri" w:cs="Calibri"/>
      <w:i/>
      <w:iCs/>
      <w:sz w:val="15"/>
      <w:szCs w:val="15"/>
    </w:rPr>
  </w:style>
  <w:style w:type="paragraph" w:customStyle="1" w:styleId="Jin0">
    <w:name w:val="Jiné"/>
    <w:basedOn w:val="Normln"/>
    <w:link w:val="Jin"/>
    <w:rsid w:val="00C4264A"/>
    <w:pPr>
      <w:widowControl w:val="0"/>
      <w:shd w:val="clear" w:color="auto" w:fill="FFFFFF"/>
      <w:spacing w:after="280" w:line="259" w:lineRule="auto"/>
      <w:ind w:firstLine="2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Odstavecsmalmodsazenm">
    <w:name w:val="Odstavec s malým odsazením"/>
    <w:basedOn w:val="Normln"/>
    <w:qFormat/>
    <w:rsid w:val="003D62C7"/>
    <w:pPr>
      <w:spacing w:after="60" w:line="240" w:lineRule="auto"/>
      <w:jc w:val="both"/>
    </w:pPr>
    <w:rPr>
      <w:rFonts w:eastAsia="Times New Roman" w:cstheme="minorHAnsi"/>
      <w:kern w:val="0"/>
      <w:lang w:eastAsia="cs-CZ"/>
      <w14:ligatures w14:val="none"/>
    </w:rPr>
  </w:style>
  <w:style w:type="paragraph" w:customStyle="1" w:styleId="BVIfnrCharChar">
    <w:name w:val="BVI fnr Char Char"/>
    <w:aliases w:val="Char1 Char Char,Exposant 3 Point Char Char,Footnote Char Char,Footnote reference number Char Char,Footnote symbol Char Char,Ref Char Char,Times 10 Point Char Char,de nota al pie Char Char"/>
    <w:basedOn w:val="Normln"/>
    <w:link w:val="Znakapoznpodarou"/>
    <w:uiPriority w:val="99"/>
    <w:rsid w:val="003D62C7"/>
    <w:pPr>
      <w:spacing w:line="240" w:lineRule="exact"/>
      <w:jc w:val="both"/>
    </w:pPr>
    <w:rPr>
      <w:vertAlign w:val="superscript"/>
    </w:rPr>
  </w:style>
  <w:style w:type="character" w:customStyle="1" w:styleId="Titulekobrzku">
    <w:name w:val="Titulek obrázku_"/>
    <w:basedOn w:val="Standardnpsmoodstavce"/>
    <w:link w:val="Titulekobrzku0"/>
    <w:rsid w:val="003639E2"/>
    <w:rPr>
      <w:rFonts w:ascii="Arial" w:eastAsia="Arial" w:hAnsi="Arial" w:cs="Arial"/>
      <w:sz w:val="22"/>
      <w:szCs w:val="22"/>
      <w:shd w:val="clear" w:color="auto" w:fill="FFFFFF"/>
    </w:rPr>
  </w:style>
  <w:style w:type="character" w:customStyle="1" w:styleId="Zkladntext2">
    <w:name w:val="Základní text (2)_"/>
    <w:basedOn w:val="Standardnpsmoodstavce"/>
    <w:link w:val="Zkladntext20"/>
    <w:rsid w:val="003639E2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Titulekobrzku0">
    <w:name w:val="Titulek obrázku"/>
    <w:basedOn w:val="Normln"/>
    <w:link w:val="Titulekobrzku"/>
    <w:rsid w:val="003639E2"/>
    <w:pPr>
      <w:widowControl w:val="0"/>
      <w:shd w:val="clear" w:color="auto" w:fill="FFFFFF"/>
      <w:spacing w:after="0" w:line="240" w:lineRule="auto"/>
    </w:pPr>
    <w:rPr>
      <w:rFonts w:ascii="Arial" w:eastAsia="Arial" w:hAnsi="Arial" w:cs="Arial"/>
      <w:sz w:val="22"/>
      <w:szCs w:val="22"/>
    </w:rPr>
  </w:style>
  <w:style w:type="paragraph" w:customStyle="1" w:styleId="Zkladntext20">
    <w:name w:val="Základní text (2)"/>
    <w:basedOn w:val="Normln"/>
    <w:link w:val="Zkladntext2"/>
    <w:rsid w:val="003639E2"/>
    <w:pPr>
      <w:widowControl w:val="0"/>
      <w:shd w:val="clear" w:color="auto" w:fill="FFFFFF"/>
      <w:spacing w:after="180" w:line="240" w:lineRule="auto"/>
      <w:ind w:left="290" w:hanging="290"/>
    </w:pPr>
    <w:rPr>
      <w:rFonts w:ascii="Calibri" w:eastAsia="Calibri" w:hAnsi="Calibri" w:cs="Calibri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3F70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7092"/>
  </w:style>
  <w:style w:type="paragraph" w:customStyle="1" w:styleId="Pa18">
    <w:name w:val="Pa18"/>
    <w:basedOn w:val="Normln"/>
    <w:next w:val="Normln"/>
    <w:uiPriority w:val="99"/>
    <w:rsid w:val="00B51A8A"/>
    <w:pPr>
      <w:autoSpaceDE w:val="0"/>
      <w:autoSpaceDN w:val="0"/>
      <w:adjustRightInd w:val="0"/>
      <w:spacing w:after="0" w:line="211" w:lineRule="atLeast"/>
    </w:pPr>
    <w:rPr>
      <w:rFonts w:ascii="Calibri" w:eastAsia="Times New Roman" w:hAnsi="Calibri" w:cs="Times New Roman"/>
      <w:kern w:val="0"/>
      <w:lang w:eastAsia="cs-CZ"/>
      <w14:ligatures w14:val="none"/>
    </w:rPr>
  </w:style>
  <w:style w:type="paragraph" w:customStyle="1" w:styleId="Pa19">
    <w:name w:val="Pa19"/>
    <w:basedOn w:val="Normln"/>
    <w:next w:val="Normln"/>
    <w:uiPriority w:val="99"/>
    <w:rsid w:val="00B51A8A"/>
    <w:pPr>
      <w:autoSpaceDE w:val="0"/>
      <w:autoSpaceDN w:val="0"/>
      <w:adjustRightInd w:val="0"/>
      <w:spacing w:after="0" w:line="211" w:lineRule="atLeast"/>
    </w:pPr>
    <w:rPr>
      <w:rFonts w:ascii="Calibri" w:eastAsia="Times New Roman" w:hAnsi="Calibri" w:cs="Times New Roman"/>
      <w:kern w:val="0"/>
      <w:lang w:eastAsia="cs-CZ"/>
      <w14:ligatures w14:val="none"/>
    </w:rPr>
  </w:style>
  <w:style w:type="character" w:customStyle="1" w:styleId="A14">
    <w:name w:val="A14"/>
    <w:uiPriority w:val="99"/>
    <w:rsid w:val="00B51A8A"/>
    <w:rPr>
      <w:b/>
      <w:bCs w:val="0"/>
      <w:color w:val="000000"/>
      <w:sz w:val="54"/>
    </w:rPr>
  </w:style>
  <w:style w:type="table" w:styleId="Mkatabulky">
    <w:name w:val="Table Grid"/>
    <w:basedOn w:val="Normlntabulka"/>
    <w:uiPriority w:val="39"/>
    <w:rsid w:val="00597D6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iPriority w:val="35"/>
    <w:unhideWhenUsed/>
    <w:qFormat/>
    <w:rsid w:val="00A05FDB"/>
    <w:pPr>
      <w:spacing w:after="200" w:line="240" w:lineRule="auto"/>
    </w:pPr>
    <w:rPr>
      <w:rFonts w:eastAsia="Times New Roman" w:cs="Times New Roman"/>
      <w:i/>
      <w:iCs/>
      <w:color w:val="0E2841" w:themeColor="text2"/>
      <w:kern w:val="0"/>
      <w:sz w:val="18"/>
      <w:szCs w:val="18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359A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359A2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3D3233"/>
    <w:rPr>
      <w:b/>
      <w:bCs/>
    </w:rPr>
  </w:style>
  <w:style w:type="character" w:customStyle="1" w:styleId="OdstavecseseznamemChar">
    <w:name w:val="Odstavec se seznamem Char"/>
    <w:aliases w:val="Ha Char,List Paragraph1 Char,List Paragraph2 Char,List Paragraph_0 Char,Nad Char,Nad1 Char,Nad2 Char,Nadpis pro KZ Char,Název grafu Char,Odstavec_muj Char,Odstavec_muj1 Char,Odstavec_muj10 Char,Odstavec_muj2 Char,nad 1 Char"/>
    <w:basedOn w:val="Standardnpsmoodstavce"/>
    <w:link w:val="Odstavecseseznamem"/>
    <w:uiPriority w:val="34"/>
    <w:qFormat/>
    <w:locked/>
    <w:rsid w:val="00971654"/>
  </w:style>
  <w:style w:type="paragraph" w:styleId="Bezmezer">
    <w:name w:val="No Spacing"/>
    <w:uiPriority w:val="1"/>
    <w:qFormat/>
    <w:rsid w:val="00971654"/>
    <w:pPr>
      <w:spacing w:after="0" w:line="240" w:lineRule="auto"/>
    </w:pPr>
  </w:style>
  <w:style w:type="character" w:customStyle="1" w:styleId="Other1">
    <w:name w:val="Other|1_"/>
    <w:basedOn w:val="Standardnpsmoodstavce"/>
    <w:link w:val="Other10"/>
    <w:rsid w:val="00A111A2"/>
    <w:rPr>
      <w:rFonts w:ascii="Arial" w:eastAsia="Arial" w:hAnsi="Arial" w:cs="Arial"/>
    </w:rPr>
  </w:style>
  <w:style w:type="paragraph" w:customStyle="1" w:styleId="Other10">
    <w:name w:val="Other|1"/>
    <w:basedOn w:val="Normln"/>
    <w:link w:val="Other1"/>
    <w:rsid w:val="00A111A2"/>
    <w:pPr>
      <w:widowControl w:val="0"/>
      <w:spacing w:after="220" w:line="252" w:lineRule="auto"/>
    </w:pPr>
    <w:rPr>
      <w:rFonts w:ascii="Arial" w:eastAsia="Arial" w:hAnsi="Arial" w:cs="Arial"/>
    </w:rPr>
  </w:style>
  <w:style w:type="paragraph" w:customStyle="1" w:styleId="Default">
    <w:name w:val="Default"/>
    <w:rsid w:val="0082202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lang w:eastAsia="cs-CZ"/>
      <w14:ligatures w14:val="none"/>
    </w:rPr>
  </w:style>
  <w:style w:type="paragraph" w:styleId="Revize">
    <w:name w:val="Revision"/>
    <w:hidden/>
    <w:uiPriority w:val="99"/>
    <w:semiHidden/>
    <w:rsid w:val="00663E5E"/>
    <w:pPr>
      <w:spacing w:after="0" w:line="240" w:lineRule="auto"/>
    </w:pPr>
  </w:style>
  <w:style w:type="table" w:customStyle="1" w:styleId="Mkatabulky1">
    <w:name w:val="Mřížka tabulky1"/>
    <w:basedOn w:val="Normlntabulka"/>
    <w:next w:val="Mkatabulky"/>
    <w:uiPriority w:val="39"/>
    <w:rsid w:val="003C66A2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emf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chart" Target="charts/chart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hart" Target="charts/chart1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3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F1\HLAVINKOVA\Plocha\KA_&#269;._25_01\VGSK\Kontroln&#237;%20z&#225;v&#283;r%20KA%20&#269;.%202501\KZ_2501_p&#237;.%20&#345;editelka_aktu&#225;ln&#237;%20od%2025092025\Tabulka_platba_DPH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F1\HLAVINKOVA\Plocha\KA_&#269;._25_01\KONTROLOVAN&#201;%20OSOBY\GF&#344;\Kontroln&#237;%20protokol_GF&#344;\Kontroln&#237;%20protokol%20-%20zpracov&#225;n&#237;\KP%20FIN&#193;L\Grafy_tabulky\z&#367;statky_GF&#344;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3564695801199659E-2"/>
          <c:y val="5.8572949946751864E-2"/>
          <c:w val="0.94897880695504322"/>
          <c:h val="0.80803166377365765"/>
        </c:manualLayout>
      </c:layout>
      <c:barChart>
        <c:barDir val="col"/>
        <c:grouping val="clustered"/>
        <c:varyColors val="0"/>
        <c:ser>
          <c:idx val="1"/>
          <c:order val="1"/>
          <c:tx>
            <c:strRef>
              <c:f>'Graf do KZ'!$A$4</c:f>
              <c:strCache>
                <c:ptCount val="1"/>
                <c:pt idx="0">
                  <c:v>Odeslaná DPH</c:v>
                </c:pt>
              </c:strCache>
            </c:strRef>
          </c:tx>
          <c:spPr>
            <a:solidFill>
              <a:srgbClr val="2EB3A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'Graf do KZ'!$B$1:$E$2</c:f>
              <c:strCache>
                <c:ptCount val="4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</c:strCache>
            </c:strRef>
          </c:cat>
          <c:val>
            <c:numRef>
              <c:f>'Graf do KZ'!$B$4:$E$4</c:f>
              <c:numCache>
                <c:formatCode>#\ ##0.0</c:formatCode>
                <c:ptCount val="4"/>
                <c:pt idx="0">
                  <c:v>32.4</c:v>
                </c:pt>
                <c:pt idx="1">
                  <c:v>217.7</c:v>
                </c:pt>
                <c:pt idx="2">
                  <c:v>343.3</c:v>
                </c:pt>
                <c:pt idx="3">
                  <c:v>468.8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AC9-4651-96F9-056BC702D620}"/>
            </c:ext>
          </c:extLst>
        </c:ser>
        <c:ser>
          <c:idx val="2"/>
          <c:order val="2"/>
          <c:tx>
            <c:strRef>
              <c:f>'Graf do KZ'!$A$5</c:f>
              <c:strCache>
                <c:ptCount val="1"/>
                <c:pt idx="0">
                  <c:v>Přijatá DPH</c:v>
                </c:pt>
              </c:strCache>
            </c:strRef>
          </c:tx>
          <c:spPr>
            <a:solidFill>
              <a:srgbClr val="AF195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'Graf do KZ'!$B$1:$E$2</c:f>
              <c:strCache>
                <c:ptCount val="4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</c:strCache>
            </c:strRef>
          </c:cat>
          <c:val>
            <c:numRef>
              <c:f>'Graf do KZ'!$B$5:$E$5</c:f>
              <c:numCache>
                <c:formatCode>#\ ##0.0</c:formatCode>
                <c:ptCount val="4"/>
                <c:pt idx="0">
                  <c:v>47.6</c:v>
                </c:pt>
                <c:pt idx="1">
                  <c:v>287</c:v>
                </c:pt>
                <c:pt idx="2">
                  <c:v>412.8</c:v>
                </c:pt>
                <c:pt idx="3">
                  <c:v>532.4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AC9-4651-96F9-056BC702D62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08763823"/>
        <c:axId val="1408747503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'Graf do KZ'!$A$3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1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'Graf do KZ'!$B$1:$E$2</c15:sqref>
                        </c15:formulaRef>
                      </c:ext>
                    </c:extLst>
                    <c:strCache>
                      <c:ptCount val="4"/>
                      <c:pt idx="0">
                        <c:v>2021</c:v>
                      </c:pt>
                      <c:pt idx="1">
                        <c:v>2022</c:v>
                      </c:pt>
                      <c:pt idx="2">
                        <c:v>2023</c:v>
                      </c:pt>
                      <c:pt idx="3">
                        <c:v>2024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'Graf do KZ'!$B$3:$E$3</c15:sqref>
                        </c15:formulaRef>
                      </c:ext>
                    </c:extLst>
                    <c:numCache>
                      <c:formatCode>General</c:formatCode>
                      <c:ptCount val="4"/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2-1AC9-4651-96F9-056BC702D620}"/>
                  </c:ext>
                </c:extLst>
              </c15:ser>
            </c15:filteredBarSeries>
          </c:ext>
        </c:extLst>
      </c:barChart>
      <c:catAx>
        <c:axId val="1408763823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408747503"/>
        <c:crosses val="autoZero"/>
        <c:auto val="1"/>
        <c:lblAlgn val="ctr"/>
        <c:lblOffset val="100"/>
        <c:noMultiLvlLbl val="0"/>
      </c:catAx>
      <c:valAx>
        <c:axId val="1408747503"/>
        <c:scaling>
          <c:orientation val="minMax"/>
        </c:scaling>
        <c:delete val="1"/>
        <c:axPos val="l"/>
        <c:numFmt formatCode="#\ ##0.0" sourceLinked="1"/>
        <c:majorTickMark val="out"/>
        <c:minorTickMark val="none"/>
        <c:tickLblPos val="nextTo"/>
        <c:crossAx val="140876382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2.374535284631836E-2"/>
          <c:y val="5.870544137254409E-2"/>
          <c:w val="0.20022653819943459"/>
          <c:h val="0.1797137178938894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ck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vybráno EUR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List1!$A$2:$A$46</c:f>
              <c:strCache>
                <c:ptCount val="45"/>
                <c:pt idx="0">
                  <c:v>08_2021</c:v>
                </c:pt>
                <c:pt idx="1">
                  <c:v>09_2021</c:v>
                </c:pt>
                <c:pt idx="2">
                  <c:v>10_2021</c:v>
                </c:pt>
                <c:pt idx="3">
                  <c:v>11_2021</c:v>
                </c:pt>
                <c:pt idx="4">
                  <c:v>12_2021</c:v>
                </c:pt>
                <c:pt idx="5">
                  <c:v>01_2022</c:v>
                </c:pt>
                <c:pt idx="6">
                  <c:v>02_2022</c:v>
                </c:pt>
                <c:pt idx="7">
                  <c:v>03_2022</c:v>
                </c:pt>
                <c:pt idx="8">
                  <c:v>04_2022</c:v>
                </c:pt>
                <c:pt idx="9">
                  <c:v>05_2022</c:v>
                </c:pt>
                <c:pt idx="10">
                  <c:v>06_2022</c:v>
                </c:pt>
                <c:pt idx="11">
                  <c:v>07_2022</c:v>
                </c:pt>
                <c:pt idx="12">
                  <c:v>08_2022</c:v>
                </c:pt>
                <c:pt idx="13">
                  <c:v>09_2022</c:v>
                </c:pt>
                <c:pt idx="14">
                  <c:v>10_2022</c:v>
                </c:pt>
                <c:pt idx="15">
                  <c:v>11_2022</c:v>
                </c:pt>
                <c:pt idx="16">
                  <c:v>12_2022</c:v>
                </c:pt>
                <c:pt idx="17">
                  <c:v>01_2023</c:v>
                </c:pt>
                <c:pt idx="18">
                  <c:v>02_2023</c:v>
                </c:pt>
                <c:pt idx="19">
                  <c:v>03_2023</c:v>
                </c:pt>
                <c:pt idx="20">
                  <c:v>04_2023</c:v>
                </c:pt>
                <c:pt idx="21">
                  <c:v>05_2023</c:v>
                </c:pt>
                <c:pt idx="22">
                  <c:v>06_2023</c:v>
                </c:pt>
                <c:pt idx="23">
                  <c:v>07_2023</c:v>
                </c:pt>
                <c:pt idx="24">
                  <c:v>08_2023</c:v>
                </c:pt>
                <c:pt idx="25">
                  <c:v>09_2023</c:v>
                </c:pt>
                <c:pt idx="26">
                  <c:v>10_2023</c:v>
                </c:pt>
                <c:pt idx="27">
                  <c:v>11_2023</c:v>
                </c:pt>
                <c:pt idx="28">
                  <c:v>12_2023</c:v>
                </c:pt>
                <c:pt idx="29">
                  <c:v>01_2024</c:v>
                </c:pt>
                <c:pt idx="30">
                  <c:v>02_2024</c:v>
                </c:pt>
                <c:pt idx="31">
                  <c:v>03_2024</c:v>
                </c:pt>
                <c:pt idx="32">
                  <c:v>04_2024</c:v>
                </c:pt>
                <c:pt idx="33">
                  <c:v>05_2024</c:v>
                </c:pt>
                <c:pt idx="34">
                  <c:v>06_2024</c:v>
                </c:pt>
                <c:pt idx="35">
                  <c:v>07_2024</c:v>
                </c:pt>
                <c:pt idx="36">
                  <c:v>08_2024</c:v>
                </c:pt>
                <c:pt idx="37">
                  <c:v>09_2024</c:v>
                </c:pt>
                <c:pt idx="38">
                  <c:v>10_2024</c:v>
                </c:pt>
                <c:pt idx="39">
                  <c:v>11_2024</c:v>
                </c:pt>
                <c:pt idx="40">
                  <c:v>12_2024</c:v>
                </c:pt>
                <c:pt idx="41">
                  <c:v>01_2025</c:v>
                </c:pt>
                <c:pt idx="42">
                  <c:v>02_2025</c:v>
                </c:pt>
                <c:pt idx="43">
                  <c:v>03_2025</c:v>
                </c:pt>
                <c:pt idx="44">
                  <c:v>04_2025</c:v>
                </c:pt>
              </c:strCache>
            </c:strRef>
          </c:cat>
          <c:val>
            <c:numRef>
              <c:f>List1!$B$2:$B$46</c:f>
            </c:numRef>
          </c:val>
          <c:smooth val="0"/>
          <c:extLst>
            <c:ext xmlns:c16="http://schemas.microsoft.com/office/drawing/2014/chart" uri="{C3380CC4-5D6E-409C-BE32-E72D297353CC}">
              <c16:uniqueId val="{00000000-FC34-4EED-AD21-49803758D0D5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přeplatky EUR</c:v>
                </c:pt>
              </c:strCache>
            </c:strRef>
          </c:tx>
          <c:spPr>
            <a:ln w="28575" cap="rnd">
              <a:solidFill>
                <a:srgbClr val="AF1953"/>
              </a:solidFill>
              <a:round/>
            </a:ln>
            <a:effectLst/>
          </c:spPr>
          <c:marker>
            <c:symbol val="none"/>
          </c:marker>
          <c:dPt>
            <c:idx val="19"/>
            <c:marker>
              <c:symbol val="none"/>
            </c:marker>
            <c:bubble3D val="0"/>
            <c:extLst>
              <c:ext xmlns:c16="http://schemas.microsoft.com/office/drawing/2014/chart" uri="{C3380CC4-5D6E-409C-BE32-E72D297353CC}">
                <c16:uniqueId val="{00000001-FC34-4EED-AD21-49803758D0D5}"/>
              </c:ext>
            </c:extLst>
          </c:dPt>
          <c:dLbls>
            <c:dLbl>
              <c:idx val="15"/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C34-4EED-AD21-49803758D0D5}"/>
                </c:ext>
              </c:extLst>
            </c:dLbl>
            <c:dLbl>
              <c:idx val="33"/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C34-4EED-AD21-49803758D0D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List1!$A$2:$A$46</c:f>
              <c:strCache>
                <c:ptCount val="45"/>
                <c:pt idx="0">
                  <c:v>08_2021</c:v>
                </c:pt>
                <c:pt idx="1">
                  <c:v>09_2021</c:v>
                </c:pt>
                <c:pt idx="2">
                  <c:v>10_2021</c:v>
                </c:pt>
                <c:pt idx="3">
                  <c:v>11_2021</c:v>
                </c:pt>
                <c:pt idx="4">
                  <c:v>12_2021</c:v>
                </c:pt>
                <c:pt idx="5">
                  <c:v>01_2022</c:v>
                </c:pt>
                <c:pt idx="6">
                  <c:v>02_2022</c:v>
                </c:pt>
                <c:pt idx="7">
                  <c:v>03_2022</c:v>
                </c:pt>
                <c:pt idx="8">
                  <c:v>04_2022</c:v>
                </c:pt>
                <c:pt idx="9">
                  <c:v>05_2022</c:v>
                </c:pt>
                <c:pt idx="10">
                  <c:v>06_2022</c:v>
                </c:pt>
                <c:pt idx="11">
                  <c:v>07_2022</c:v>
                </c:pt>
                <c:pt idx="12">
                  <c:v>08_2022</c:v>
                </c:pt>
                <c:pt idx="13">
                  <c:v>09_2022</c:v>
                </c:pt>
                <c:pt idx="14">
                  <c:v>10_2022</c:v>
                </c:pt>
                <c:pt idx="15">
                  <c:v>11_2022</c:v>
                </c:pt>
                <c:pt idx="16">
                  <c:v>12_2022</c:v>
                </c:pt>
                <c:pt idx="17">
                  <c:v>01_2023</c:v>
                </c:pt>
                <c:pt idx="18">
                  <c:v>02_2023</c:v>
                </c:pt>
                <c:pt idx="19">
                  <c:v>03_2023</c:v>
                </c:pt>
                <c:pt idx="20">
                  <c:v>04_2023</c:v>
                </c:pt>
                <c:pt idx="21">
                  <c:v>05_2023</c:v>
                </c:pt>
                <c:pt idx="22">
                  <c:v>06_2023</c:v>
                </c:pt>
                <c:pt idx="23">
                  <c:v>07_2023</c:v>
                </c:pt>
                <c:pt idx="24">
                  <c:v>08_2023</c:v>
                </c:pt>
                <c:pt idx="25">
                  <c:v>09_2023</c:v>
                </c:pt>
                <c:pt idx="26">
                  <c:v>10_2023</c:v>
                </c:pt>
                <c:pt idx="27">
                  <c:v>11_2023</c:v>
                </c:pt>
                <c:pt idx="28">
                  <c:v>12_2023</c:v>
                </c:pt>
                <c:pt idx="29">
                  <c:v>01_2024</c:v>
                </c:pt>
                <c:pt idx="30">
                  <c:v>02_2024</c:v>
                </c:pt>
                <c:pt idx="31">
                  <c:v>03_2024</c:v>
                </c:pt>
                <c:pt idx="32">
                  <c:v>04_2024</c:v>
                </c:pt>
                <c:pt idx="33">
                  <c:v>05_2024</c:v>
                </c:pt>
                <c:pt idx="34">
                  <c:v>06_2024</c:v>
                </c:pt>
                <c:pt idx="35">
                  <c:v>07_2024</c:v>
                </c:pt>
                <c:pt idx="36">
                  <c:v>08_2024</c:v>
                </c:pt>
                <c:pt idx="37">
                  <c:v>09_2024</c:v>
                </c:pt>
                <c:pt idx="38">
                  <c:v>10_2024</c:v>
                </c:pt>
                <c:pt idx="39">
                  <c:v>11_2024</c:v>
                </c:pt>
                <c:pt idx="40">
                  <c:v>12_2024</c:v>
                </c:pt>
                <c:pt idx="41">
                  <c:v>01_2025</c:v>
                </c:pt>
                <c:pt idx="42">
                  <c:v>02_2025</c:v>
                </c:pt>
                <c:pt idx="43">
                  <c:v>03_2025</c:v>
                </c:pt>
                <c:pt idx="44">
                  <c:v>04_2025</c:v>
                </c:pt>
              </c:strCache>
            </c:strRef>
          </c:cat>
          <c:val>
            <c:numRef>
              <c:f>List1!$C$2:$C$46</c:f>
              <c:numCache>
                <c:formatCode>#,##0.00</c:formatCode>
                <c:ptCount val="45"/>
                <c:pt idx="0">
                  <c:v>0</c:v>
                </c:pt>
                <c:pt idx="1">
                  <c:v>78279.34</c:v>
                </c:pt>
                <c:pt idx="2">
                  <c:v>2131762.71</c:v>
                </c:pt>
                <c:pt idx="3">
                  <c:v>28605344.780000001</c:v>
                </c:pt>
                <c:pt idx="4">
                  <c:v>21180175.710000001</c:v>
                </c:pt>
                <c:pt idx="5">
                  <c:v>12640348.24</c:v>
                </c:pt>
                <c:pt idx="6">
                  <c:v>44986315.039999999</c:v>
                </c:pt>
                <c:pt idx="7">
                  <c:v>45019703.700000003</c:v>
                </c:pt>
                <c:pt idx="8">
                  <c:v>46130300.82</c:v>
                </c:pt>
                <c:pt idx="9">
                  <c:v>61391815.280000001</c:v>
                </c:pt>
                <c:pt idx="10">
                  <c:v>48014767.140000001</c:v>
                </c:pt>
                <c:pt idx="11">
                  <c:v>45112666.420000002</c:v>
                </c:pt>
                <c:pt idx="12">
                  <c:v>83113038.530000001</c:v>
                </c:pt>
                <c:pt idx="13">
                  <c:v>74768352.700000003</c:v>
                </c:pt>
                <c:pt idx="14">
                  <c:v>73109331</c:v>
                </c:pt>
                <c:pt idx="15">
                  <c:v>98369466.5</c:v>
                </c:pt>
                <c:pt idx="16">
                  <c:v>83293113.939999998</c:v>
                </c:pt>
                <c:pt idx="17">
                  <c:v>80570036</c:v>
                </c:pt>
                <c:pt idx="18">
                  <c:v>77278503.719999999</c:v>
                </c:pt>
                <c:pt idx="19">
                  <c:v>39938867.020000003</c:v>
                </c:pt>
                <c:pt idx="20">
                  <c:v>39737574.020000003</c:v>
                </c:pt>
                <c:pt idx="21">
                  <c:v>25029671.43</c:v>
                </c:pt>
                <c:pt idx="22">
                  <c:v>20449377.77</c:v>
                </c:pt>
                <c:pt idx="23">
                  <c:v>16782888.800000001</c:v>
                </c:pt>
                <c:pt idx="24">
                  <c:v>11553391.470000001</c:v>
                </c:pt>
                <c:pt idx="25">
                  <c:v>11747568.539999999</c:v>
                </c:pt>
                <c:pt idx="26">
                  <c:v>11229485.43</c:v>
                </c:pt>
                <c:pt idx="27">
                  <c:v>19759148.579999998</c:v>
                </c:pt>
                <c:pt idx="28">
                  <c:v>16428442</c:v>
                </c:pt>
                <c:pt idx="29">
                  <c:v>25631040.16</c:v>
                </c:pt>
                <c:pt idx="30">
                  <c:v>28912445.449999999</c:v>
                </c:pt>
                <c:pt idx="31">
                  <c:v>31666062.16</c:v>
                </c:pt>
                <c:pt idx="32">
                  <c:v>26804026.91</c:v>
                </c:pt>
                <c:pt idx="33">
                  <c:v>58867969.240000002</c:v>
                </c:pt>
                <c:pt idx="34">
                  <c:v>55168467.700000003</c:v>
                </c:pt>
                <c:pt idx="35">
                  <c:v>18566685.289999999</c:v>
                </c:pt>
                <c:pt idx="36">
                  <c:v>34391751.140000001</c:v>
                </c:pt>
                <c:pt idx="37">
                  <c:v>33735817.340000004</c:v>
                </c:pt>
                <c:pt idx="38">
                  <c:v>17728593.760000002</c:v>
                </c:pt>
                <c:pt idx="39">
                  <c:v>29353384.050000001</c:v>
                </c:pt>
                <c:pt idx="40">
                  <c:v>26079927.280000001</c:v>
                </c:pt>
                <c:pt idx="41">
                  <c:v>12977164.01</c:v>
                </c:pt>
                <c:pt idx="42">
                  <c:v>6145310.0599999996</c:v>
                </c:pt>
                <c:pt idx="43">
                  <c:v>6635711.6500000004</c:v>
                </c:pt>
                <c:pt idx="44">
                  <c:v>6677201.2599999998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FC34-4EED-AD21-49803758D0D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006278879"/>
        <c:axId val="2006277439"/>
      </c:lineChart>
      <c:catAx>
        <c:axId val="200627887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2006277439"/>
        <c:crosses val="autoZero"/>
        <c:auto val="1"/>
        <c:lblAlgn val="ctr"/>
        <c:lblOffset val="100"/>
        <c:noMultiLvlLbl val="0"/>
      </c:catAx>
      <c:valAx>
        <c:axId val="2006277439"/>
        <c:scaling>
          <c:orientation val="minMax"/>
        </c:scaling>
        <c:delete val="1"/>
        <c:axPos val="l"/>
        <c:numFmt formatCode="#,##0.00" sourceLinked="1"/>
        <c:majorTickMark val="none"/>
        <c:minorTickMark val="none"/>
        <c:tickLblPos val="nextTo"/>
        <c:crossAx val="200627887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zero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3805D-7439-4C6C-A4AB-D5F5037BC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26</Pages>
  <Words>9197</Words>
  <Characters>49480</Characters>
  <Application>Microsoft Office Word</Application>
  <DocSecurity>0</DocSecurity>
  <Lines>1374</Lines>
  <Paragraphs>752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Kontrolní závěr z kontrolní akce NKÚ č. 25/01 - Správa daně z přidané hodnoty se zaměřením na oblast přeshraničního elektronického obchodování</vt:lpstr>
    </vt:vector>
  </TitlesOfParts>
  <Company>NKÚ</Company>
  <LinksUpToDate>false</LinksUpToDate>
  <CharactersWithSpaces>57925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Kontrolní závěr z kontrolní akce NKÚ č. 25/01 - Správa daně z přidané hodnoty se zaměřením na oblast přeshraničního elektronického obchodování</dc:title>
  <dc:subject>Kontrolní závěr z kontrolní akce NKÚ č. 25/01 - Správa daně z přidané hodnoty se zaměřením na oblast přeshraničního elektronického obchodování</dc:subject>
  <dc:creator>Nejvyšší kontrolní úřad</dc:creator>
  <cp:keywords>kontrolní závěr; správa DPH; daň z přidané hodnoty; přeshraniční elektronické obchodování</cp:keywords>
  <dc:description/>
  <cp:lastModifiedBy>KOKRDA Daniel</cp:lastModifiedBy>
  <cp:revision>5</cp:revision>
  <cp:lastPrinted>2025-11-20T12:10:00Z</cp:lastPrinted>
  <dcterms:created xsi:type="dcterms:W3CDTF">2025-11-25T07:38:00Z</dcterms:created>
  <dcterms:modified xsi:type="dcterms:W3CDTF">2025-11-25T07:46:00Z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2e4ca1db,336feb60,14fe1ad5,1f2a48aa,19a41de1,58600880,44041f7</vt:lpwstr>
  </property>
  <property fmtid="{D5CDD505-2E9C-101B-9397-08002B2CF9AE}" pid="3" name="ClassificationContentMarkingFooterFontProps">
    <vt:lpwstr>#828282,12,Aptos</vt:lpwstr>
  </property>
  <property fmtid="{D5CDD505-2E9C-101B-9397-08002B2CF9AE}" pid="4" name="ClassificationContentMarkingFooterText">
    <vt:lpwstr>TLP:CLEAR</vt:lpwstr>
  </property>
  <property fmtid="{D5CDD505-2E9C-101B-9397-08002B2CF9AE}" pid="5" name="MSIP_Label_2a5ca00b-f9dd-452b-9d75-e1b2c69cf7c5_Enabled">
    <vt:lpwstr>true</vt:lpwstr>
  </property>
  <property fmtid="{D5CDD505-2E9C-101B-9397-08002B2CF9AE}" pid="6" name="MSIP_Label_2a5ca00b-f9dd-452b-9d75-e1b2c69cf7c5_SetDate">
    <vt:lpwstr>2025-11-25T07:41:41Z</vt:lpwstr>
  </property>
  <property fmtid="{D5CDD505-2E9C-101B-9397-08002B2CF9AE}" pid="7" name="MSIP_Label_2a5ca00b-f9dd-452b-9d75-e1b2c69cf7c5_Method">
    <vt:lpwstr>Privileged</vt:lpwstr>
  </property>
  <property fmtid="{D5CDD505-2E9C-101B-9397-08002B2CF9AE}" pid="8" name="MSIP_Label_2a5ca00b-f9dd-452b-9d75-e1b2c69cf7c5_Name">
    <vt:lpwstr>Nízká</vt:lpwstr>
  </property>
  <property fmtid="{D5CDD505-2E9C-101B-9397-08002B2CF9AE}" pid="9" name="MSIP_Label_2a5ca00b-f9dd-452b-9d75-e1b2c69cf7c5_SiteId">
    <vt:lpwstr>e6d36204-fa0a-4bdb-9b60-80f84bb090cf</vt:lpwstr>
  </property>
  <property fmtid="{D5CDD505-2E9C-101B-9397-08002B2CF9AE}" pid="10" name="MSIP_Label_2a5ca00b-f9dd-452b-9d75-e1b2c69cf7c5_ActionId">
    <vt:lpwstr>623e0f91-04f2-4db4-a525-aaadba02bae3</vt:lpwstr>
  </property>
  <property fmtid="{D5CDD505-2E9C-101B-9397-08002B2CF9AE}" pid="11" name="MSIP_Label_2a5ca00b-f9dd-452b-9d75-e1b2c69cf7c5_ContentBits">
    <vt:lpwstr>2</vt:lpwstr>
  </property>
  <property fmtid="{D5CDD505-2E9C-101B-9397-08002B2CF9AE}" pid="12" name="MSIP_Label_2a5ca00b-f9dd-452b-9d75-e1b2c69cf7c5_Tag">
    <vt:lpwstr>10, 0, 1, 1</vt:lpwstr>
  </property>
</Properties>
</file>