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D1E5F" w14:textId="10EBC175" w:rsidR="00CF6FED" w:rsidRPr="00F328AA" w:rsidRDefault="00883AD7" w:rsidP="00016F4E">
      <w:pPr>
        <w:spacing w:after="0" w:line="240" w:lineRule="auto"/>
        <w:jc w:val="center"/>
        <w:rPr>
          <w:rFonts w:ascii="Calibri" w:hAnsi="Calibri" w:cs="Calibri"/>
          <w:szCs w:val="24"/>
          <w:highlight w:val="yellow"/>
        </w:rPr>
      </w:pPr>
      <w:r w:rsidRPr="00F328AA">
        <w:rPr>
          <w:rFonts w:ascii="Calibri" w:hAnsi="Calibri" w:cs="Calibri"/>
          <w:noProof/>
          <w:szCs w:val="24"/>
        </w:rPr>
        <w:drawing>
          <wp:inline distT="0" distB="0" distL="0" distR="0" wp14:anchorId="25526D50" wp14:editId="437D8013">
            <wp:extent cx="720000" cy="620773"/>
            <wp:effectExtent l="0" t="0" r="4445" b="825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20000" cy="620773"/>
                    </a:xfrm>
                    <a:prstGeom prst="rect">
                      <a:avLst/>
                    </a:prstGeom>
                    <a:noFill/>
                    <a:ln>
                      <a:noFill/>
                    </a:ln>
                  </pic:spPr>
                </pic:pic>
              </a:graphicData>
            </a:graphic>
          </wp:inline>
        </w:drawing>
      </w:r>
    </w:p>
    <w:p w14:paraId="469300B2" w14:textId="77777777" w:rsidR="00CF6FED" w:rsidRPr="00F328AA" w:rsidRDefault="00CF6FED" w:rsidP="00016F4E">
      <w:pPr>
        <w:spacing w:after="0" w:line="240" w:lineRule="auto"/>
        <w:jc w:val="center"/>
        <w:rPr>
          <w:rFonts w:ascii="Calibri" w:hAnsi="Calibri" w:cs="Calibri"/>
          <w:szCs w:val="24"/>
          <w:highlight w:val="yellow"/>
        </w:rPr>
      </w:pPr>
    </w:p>
    <w:p w14:paraId="108E92DF" w14:textId="77777777" w:rsidR="00CF6FED" w:rsidRPr="00F328AA" w:rsidRDefault="00CF6FED" w:rsidP="00016F4E">
      <w:pPr>
        <w:spacing w:after="0" w:line="240" w:lineRule="auto"/>
        <w:jc w:val="center"/>
        <w:rPr>
          <w:rFonts w:ascii="Calibri" w:hAnsi="Calibri" w:cs="Calibri"/>
          <w:szCs w:val="24"/>
          <w:highlight w:val="yellow"/>
        </w:rPr>
      </w:pPr>
    </w:p>
    <w:p w14:paraId="48A51F32" w14:textId="321A421C" w:rsidR="00CF6FED" w:rsidRDefault="1F575626" w:rsidP="00016F4E">
      <w:pPr>
        <w:spacing w:after="0" w:line="240" w:lineRule="auto"/>
        <w:jc w:val="center"/>
        <w:rPr>
          <w:b/>
          <w:bCs/>
          <w:sz w:val="28"/>
          <w:szCs w:val="28"/>
        </w:rPr>
      </w:pPr>
      <w:r w:rsidRPr="488EE638">
        <w:rPr>
          <w:b/>
          <w:bCs/>
          <w:sz w:val="28"/>
          <w:szCs w:val="28"/>
        </w:rPr>
        <w:t>Kontrolní závěr z kontrolní akce</w:t>
      </w:r>
      <w:r w:rsidR="00A86B6E">
        <w:rPr>
          <w:b/>
          <w:bCs/>
          <w:sz w:val="28"/>
          <w:szCs w:val="28"/>
        </w:rPr>
        <w:t xml:space="preserve"> </w:t>
      </w:r>
    </w:p>
    <w:p w14:paraId="6669D927" w14:textId="77777777" w:rsidR="00016F4E" w:rsidRPr="00C91C27" w:rsidRDefault="00016F4E" w:rsidP="00016F4E">
      <w:pPr>
        <w:spacing w:after="0" w:line="240" w:lineRule="auto"/>
        <w:jc w:val="center"/>
        <w:rPr>
          <w:b/>
          <w:bCs/>
          <w:sz w:val="28"/>
          <w:szCs w:val="28"/>
        </w:rPr>
      </w:pPr>
    </w:p>
    <w:p w14:paraId="01AAA51F" w14:textId="5D4077CE" w:rsidR="00CF6FED" w:rsidRDefault="3D8BC3E8" w:rsidP="00016F4E">
      <w:pPr>
        <w:spacing w:after="0" w:line="240" w:lineRule="auto"/>
        <w:jc w:val="center"/>
        <w:rPr>
          <w:b/>
          <w:bCs/>
          <w:sz w:val="28"/>
          <w:szCs w:val="28"/>
        </w:rPr>
      </w:pPr>
      <w:r w:rsidRPr="488EE638">
        <w:rPr>
          <w:b/>
          <w:bCs/>
          <w:sz w:val="28"/>
          <w:szCs w:val="28"/>
        </w:rPr>
        <w:t>24</w:t>
      </w:r>
      <w:r w:rsidR="13EB243E" w:rsidRPr="488EE638">
        <w:rPr>
          <w:b/>
          <w:bCs/>
          <w:sz w:val="28"/>
          <w:szCs w:val="28"/>
        </w:rPr>
        <w:t>/</w:t>
      </w:r>
      <w:r w:rsidRPr="488EE638">
        <w:rPr>
          <w:b/>
          <w:bCs/>
          <w:sz w:val="28"/>
          <w:szCs w:val="28"/>
        </w:rPr>
        <w:t>31</w:t>
      </w:r>
    </w:p>
    <w:p w14:paraId="2E3216C7" w14:textId="77777777" w:rsidR="00016F4E" w:rsidRPr="00C91C27" w:rsidRDefault="00016F4E" w:rsidP="00016F4E">
      <w:pPr>
        <w:spacing w:after="0" w:line="240" w:lineRule="auto"/>
        <w:jc w:val="center"/>
        <w:rPr>
          <w:b/>
          <w:bCs/>
          <w:sz w:val="28"/>
          <w:szCs w:val="28"/>
        </w:rPr>
      </w:pPr>
    </w:p>
    <w:p w14:paraId="32AC6CFD" w14:textId="6439E8CC" w:rsidR="00CF6FED" w:rsidRPr="00C91C27" w:rsidRDefault="3D8BC3E8" w:rsidP="00016F4E">
      <w:pPr>
        <w:spacing w:after="0" w:line="240" w:lineRule="auto"/>
        <w:jc w:val="center"/>
        <w:rPr>
          <w:sz w:val="28"/>
          <w:szCs w:val="28"/>
          <w:highlight w:val="yellow"/>
        </w:rPr>
      </w:pPr>
      <w:r w:rsidRPr="488EE638">
        <w:rPr>
          <w:b/>
          <w:bCs/>
          <w:sz w:val="28"/>
          <w:szCs w:val="28"/>
        </w:rPr>
        <w:t>Správa soudních poplatků a vymáhání justičních pohledávek</w:t>
      </w:r>
    </w:p>
    <w:p w14:paraId="791EDA56" w14:textId="77777777" w:rsidR="00831941" w:rsidRDefault="00831941" w:rsidP="00016F4E">
      <w:pPr>
        <w:spacing w:after="0" w:line="240" w:lineRule="auto"/>
        <w:rPr>
          <w:rFonts w:cstheme="minorHAnsi"/>
          <w:szCs w:val="24"/>
          <w:highlight w:val="yellow"/>
        </w:rPr>
      </w:pPr>
    </w:p>
    <w:p w14:paraId="75E88BD6" w14:textId="77777777" w:rsidR="00016F4E" w:rsidRPr="00F328AA" w:rsidRDefault="00016F4E" w:rsidP="00016F4E">
      <w:pPr>
        <w:spacing w:after="0" w:line="240" w:lineRule="auto"/>
        <w:rPr>
          <w:rFonts w:cstheme="minorHAnsi"/>
          <w:szCs w:val="24"/>
          <w:highlight w:val="yellow"/>
        </w:rPr>
      </w:pPr>
    </w:p>
    <w:p w14:paraId="1BDDF0C4" w14:textId="00F70700" w:rsidR="00CF6FED" w:rsidRPr="00791577" w:rsidRDefault="0093232C" w:rsidP="009E6C93">
      <w:pPr>
        <w:spacing w:before="120" w:after="240" w:line="240" w:lineRule="auto"/>
        <w:rPr>
          <w:rFonts w:cstheme="minorHAnsi"/>
          <w:szCs w:val="24"/>
        </w:rPr>
      </w:pPr>
      <w:r w:rsidRPr="00791577">
        <w:rPr>
          <w:rFonts w:cstheme="minorHAnsi"/>
          <w:szCs w:val="24"/>
        </w:rPr>
        <w:t>Kontrolní akce byla zařazena do plánu kontrolní činnosti Nejvyššího kontrolního úř</w:t>
      </w:r>
      <w:r w:rsidR="00867AB5" w:rsidRPr="00791577">
        <w:rPr>
          <w:rFonts w:cstheme="minorHAnsi"/>
          <w:szCs w:val="24"/>
        </w:rPr>
        <w:t>adu (dále také „NKÚ“) na rok 202</w:t>
      </w:r>
      <w:r w:rsidR="00831941" w:rsidRPr="00791577">
        <w:rPr>
          <w:rFonts w:cstheme="minorHAnsi"/>
          <w:szCs w:val="24"/>
        </w:rPr>
        <w:t>4</w:t>
      </w:r>
      <w:r w:rsidRPr="00791577">
        <w:rPr>
          <w:rFonts w:cstheme="minorHAnsi"/>
          <w:szCs w:val="24"/>
        </w:rPr>
        <w:t xml:space="preserve"> pod číslem </w:t>
      </w:r>
      <w:r w:rsidR="00831941" w:rsidRPr="00791577">
        <w:rPr>
          <w:rFonts w:cstheme="minorHAnsi"/>
          <w:szCs w:val="24"/>
        </w:rPr>
        <w:t>24</w:t>
      </w:r>
      <w:r w:rsidR="00867AB5" w:rsidRPr="00791577">
        <w:rPr>
          <w:rFonts w:cstheme="minorHAnsi"/>
          <w:szCs w:val="24"/>
        </w:rPr>
        <w:t>/</w:t>
      </w:r>
      <w:r w:rsidR="00831941" w:rsidRPr="00791577">
        <w:rPr>
          <w:rFonts w:cstheme="minorHAnsi"/>
          <w:szCs w:val="24"/>
        </w:rPr>
        <w:t>31</w:t>
      </w:r>
      <w:r w:rsidRPr="00791577">
        <w:rPr>
          <w:rFonts w:cstheme="minorHAnsi"/>
          <w:szCs w:val="24"/>
        </w:rPr>
        <w:t xml:space="preserve">. Kontrolní akci řídil a kontrolní závěr vypracoval člen NKÚ </w:t>
      </w:r>
      <w:r w:rsidR="00831941" w:rsidRPr="00791577">
        <w:rPr>
          <w:rFonts w:cstheme="minorHAnsi"/>
          <w:szCs w:val="24"/>
        </w:rPr>
        <w:t>JU</w:t>
      </w:r>
      <w:r w:rsidR="00322556" w:rsidRPr="00791577">
        <w:rPr>
          <w:rFonts w:cstheme="minorHAnsi"/>
          <w:szCs w:val="24"/>
        </w:rPr>
        <w:t>Dr.</w:t>
      </w:r>
      <w:r w:rsidR="00075E5B" w:rsidRPr="00791577">
        <w:rPr>
          <w:rFonts w:cstheme="minorHAnsi"/>
          <w:szCs w:val="24"/>
        </w:rPr>
        <w:t xml:space="preserve"> </w:t>
      </w:r>
      <w:r w:rsidR="00831941" w:rsidRPr="00791577">
        <w:rPr>
          <w:rFonts w:cstheme="minorHAnsi"/>
          <w:szCs w:val="24"/>
        </w:rPr>
        <w:t>Ing. Jiří Kalivoda</w:t>
      </w:r>
      <w:r w:rsidRPr="00791577">
        <w:rPr>
          <w:rFonts w:cstheme="minorHAnsi"/>
          <w:szCs w:val="24"/>
        </w:rPr>
        <w:t>.</w:t>
      </w:r>
    </w:p>
    <w:p w14:paraId="661D0BAD" w14:textId="20A498AD" w:rsidR="00831941" w:rsidRPr="00791577" w:rsidRDefault="0093232C" w:rsidP="009E6C93">
      <w:pPr>
        <w:spacing w:before="120" w:after="240" w:line="240" w:lineRule="auto"/>
        <w:rPr>
          <w:szCs w:val="24"/>
        </w:rPr>
      </w:pPr>
      <w:r w:rsidRPr="00791577">
        <w:t xml:space="preserve">Cílem kontroly NKÚ bylo </w:t>
      </w:r>
      <w:r w:rsidR="00594203" w:rsidRPr="00791577">
        <w:t>prověřit</w:t>
      </w:r>
      <w:r w:rsidRPr="00791577">
        <w:t xml:space="preserve">, </w:t>
      </w:r>
      <w:r w:rsidR="00831941" w:rsidRPr="00791577">
        <w:t>zda jsou správa soudních poplatků a vymáhání justičních pohledávek prováděny v souladu s právními předpisy a zda jsou vybrané justiční pohledávky vymáhány efektivně.</w:t>
      </w:r>
    </w:p>
    <w:p w14:paraId="0630607F" w14:textId="7100BACA" w:rsidR="00CC14F0" w:rsidRPr="00791577" w:rsidRDefault="0093232C" w:rsidP="009E6C93">
      <w:pPr>
        <w:spacing w:before="120" w:after="240" w:line="240" w:lineRule="auto"/>
        <w:rPr>
          <w:rFonts w:cstheme="minorHAnsi"/>
          <w:szCs w:val="24"/>
        </w:rPr>
      </w:pPr>
      <w:r w:rsidRPr="00791577">
        <w:rPr>
          <w:rFonts w:cstheme="minorHAnsi"/>
          <w:szCs w:val="24"/>
        </w:rPr>
        <w:t xml:space="preserve">Kontrolováno bylo období let </w:t>
      </w:r>
      <w:r w:rsidR="0053647A" w:rsidRPr="00791577">
        <w:rPr>
          <w:rFonts w:cstheme="minorHAnsi"/>
          <w:szCs w:val="24"/>
        </w:rPr>
        <w:t>20</w:t>
      </w:r>
      <w:r w:rsidR="00506B9A" w:rsidRPr="00791577">
        <w:rPr>
          <w:rFonts w:cstheme="minorHAnsi"/>
          <w:szCs w:val="24"/>
        </w:rPr>
        <w:t>21</w:t>
      </w:r>
      <w:r w:rsidR="002055DC" w:rsidRPr="00791577">
        <w:rPr>
          <w:rFonts w:cstheme="minorHAnsi"/>
          <w:szCs w:val="24"/>
        </w:rPr>
        <w:t xml:space="preserve"> až </w:t>
      </w:r>
      <w:r w:rsidR="0053647A" w:rsidRPr="00791577">
        <w:rPr>
          <w:rFonts w:cstheme="minorHAnsi"/>
          <w:szCs w:val="24"/>
        </w:rPr>
        <w:t>202</w:t>
      </w:r>
      <w:r w:rsidR="00506B9A" w:rsidRPr="00791577">
        <w:rPr>
          <w:rFonts w:cstheme="minorHAnsi"/>
          <w:szCs w:val="24"/>
        </w:rPr>
        <w:t>4</w:t>
      </w:r>
      <w:r w:rsidRPr="00791577">
        <w:rPr>
          <w:rFonts w:cstheme="minorHAnsi"/>
          <w:szCs w:val="24"/>
        </w:rPr>
        <w:t xml:space="preserve"> a v případě věcných souvislostí i období předcházející a </w:t>
      </w:r>
      <w:r w:rsidR="002A4F5F" w:rsidRPr="00791577">
        <w:rPr>
          <w:rFonts w:cstheme="minorHAnsi"/>
          <w:szCs w:val="24"/>
        </w:rPr>
        <w:t>následující</w:t>
      </w:r>
      <w:r w:rsidRPr="00791577">
        <w:rPr>
          <w:rFonts w:cstheme="minorHAnsi"/>
          <w:szCs w:val="24"/>
        </w:rPr>
        <w:t>.</w:t>
      </w:r>
    </w:p>
    <w:p w14:paraId="08F291CD" w14:textId="16B2F03E" w:rsidR="00CC14F0" w:rsidRPr="00791577" w:rsidRDefault="0093232C" w:rsidP="009E6C93">
      <w:pPr>
        <w:spacing w:before="120" w:after="120" w:line="240" w:lineRule="auto"/>
        <w:rPr>
          <w:rFonts w:cstheme="minorHAnsi"/>
          <w:szCs w:val="24"/>
        </w:rPr>
      </w:pPr>
      <w:r w:rsidRPr="00791577">
        <w:rPr>
          <w:rFonts w:cstheme="minorHAnsi"/>
          <w:szCs w:val="24"/>
        </w:rPr>
        <w:t xml:space="preserve">Kontrola byla u kontrolovaných osob prováděna v období od </w:t>
      </w:r>
      <w:r w:rsidR="00506B9A" w:rsidRPr="00791577">
        <w:rPr>
          <w:rFonts w:cstheme="minorHAnsi"/>
          <w:szCs w:val="24"/>
        </w:rPr>
        <w:t>listopadu</w:t>
      </w:r>
      <w:r w:rsidR="00594203" w:rsidRPr="00791577">
        <w:rPr>
          <w:rFonts w:cstheme="minorHAnsi"/>
          <w:szCs w:val="24"/>
        </w:rPr>
        <w:t xml:space="preserve"> 202</w:t>
      </w:r>
      <w:r w:rsidR="00506B9A" w:rsidRPr="00791577">
        <w:rPr>
          <w:rFonts w:cstheme="minorHAnsi"/>
          <w:szCs w:val="24"/>
        </w:rPr>
        <w:t>4</w:t>
      </w:r>
      <w:r w:rsidRPr="00791577">
        <w:rPr>
          <w:rFonts w:cstheme="minorHAnsi"/>
          <w:szCs w:val="24"/>
        </w:rPr>
        <w:t xml:space="preserve"> do </w:t>
      </w:r>
      <w:r w:rsidR="00506B9A" w:rsidRPr="00791577">
        <w:rPr>
          <w:rFonts w:cstheme="minorHAnsi"/>
          <w:szCs w:val="24"/>
        </w:rPr>
        <w:t>července</w:t>
      </w:r>
      <w:r w:rsidRPr="00791577">
        <w:rPr>
          <w:rFonts w:cstheme="minorHAnsi"/>
          <w:szCs w:val="24"/>
        </w:rPr>
        <w:t xml:space="preserve"> 202</w:t>
      </w:r>
      <w:r w:rsidR="00506B9A" w:rsidRPr="00791577">
        <w:rPr>
          <w:rFonts w:cstheme="minorHAnsi"/>
          <w:szCs w:val="24"/>
        </w:rPr>
        <w:t>5</w:t>
      </w:r>
      <w:r w:rsidRPr="00791577">
        <w:rPr>
          <w:rFonts w:cstheme="minorHAnsi"/>
          <w:szCs w:val="24"/>
        </w:rPr>
        <w:t>.</w:t>
      </w:r>
    </w:p>
    <w:p w14:paraId="5040B250" w14:textId="77777777" w:rsidR="00C91C27" w:rsidRPr="00791577" w:rsidRDefault="00C91C27" w:rsidP="009E6C93">
      <w:pPr>
        <w:spacing w:before="120" w:after="240" w:line="240" w:lineRule="auto"/>
        <w:rPr>
          <w:rFonts w:cstheme="minorHAnsi"/>
          <w:szCs w:val="24"/>
        </w:rPr>
      </w:pPr>
    </w:p>
    <w:p w14:paraId="7AD6E31A" w14:textId="77777777" w:rsidR="00DC3FD9" w:rsidRPr="00791577" w:rsidRDefault="0093232C" w:rsidP="00272009">
      <w:pPr>
        <w:spacing w:before="120" w:after="0" w:line="240" w:lineRule="auto"/>
        <w:rPr>
          <w:rFonts w:cstheme="minorHAnsi"/>
          <w:b/>
          <w:szCs w:val="24"/>
        </w:rPr>
      </w:pPr>
      <w:r w:rsidRPr="00791577">
        <w:rPr>
          <w:rFonts w:cstheme="minorHAnsi"/>
          <w:b/>
          <w:szCs w:val="24"/>
        </w:rPr>
        <w:t>Kontrolované osoby:</w:t>
      </w:r>
    </w:p>
    <w:p w14:paraId="3AB87892" w14:textId="764CD5E7" w:rsidR="00506B9A" w:rsidRPr="00791577" w:rsidRDefault="00506B9A" w:rsidP="00272009">
      <w:pPr>
        <w:spacing w:after="0" w:line="240" w:lineRule="auto"/>
        <w:rPr>
          <w:rFonts w:cstheme="minorHAnsi"/>
          <w:szCs w:val="24"/>
        </w:rPr>
      </w:pPr>
      <w:r w:rsidRPr="00791577">
        <w:rPr>
          <w:rFonts w:cstheme="minorHAnsi"/>
          <w:szCs w:val="24"/>
        </w:rPr>
        <w:t>Ministerstvo spravedlnosti (dále také „MSp“);</w:t>
      </w:r>
    </w:p>
    <w:p w14:paraId="20D34F8A" w14:textId="77777777" w:rsidR="00DC3FD9" w:rsidRPr="00791577" w:rsidRDefault="0093232C" w:rsidP="00272009">
      <w:pPr>
        <w:spacing w:after="0" w:line="240" w:lineRule="auto"/>
        <w:rPr>
          <w:rFonts w:cstheme="minorHAnsi"/>
          <w:szCs w:val="24"/>
        </w:rPr>
      </w:pPr>
      <w:r w:rsidRPr="00791577">
        <w:rPr>
          <w:rFonts w:cstheme="minorHAnsi"/>
          <w:szCs w:val="24"/>
        </w:rPr>
        <w:t xml:space="preserve">Ministerstvo </w:t>
      </w:r>
      <w:r w:rsidR="00DE41E3" w:rsidRPr="00791577">
        <w:rPr>
          <w:rFonts w:cstheme="minorHAnsi"/>
          <w:szCs w:val="24"/>
        </w:rPr>
        <w:t>financí</w:t>
      </w:r>
      <w:r w:rsidRPr="00791577">
        <w:rPr>
          <w:rFonts w:cstheme="minorHAnsi"/>
          <w:szCs w:val="24"/>
        </w:rPr>
        <w:t xml:space="preserve"> (dále také „</w:t>
      </w:r>
      <w:r w:rsidR="00DE41E3" w:rsidRPr="00791577">
        <w:rPr>
          <w:rFonts w:cstheme="minorHAnsi"/>
          <w:szCs w:val="24"/>
        </w:rPr>
        <w:t>MF</w:t>
      </w:r>
      <w:r w:rsidRPr="00791577">
        <w:rPr>
          <w:rFonts w:cstheme="minorHAnsi"/>
          <w:szCs w:val="24"/>
        </w:rPr>
        <w:t>“);</w:t>
      </w:r>
    </w:p>
    <w:p w14:paraId="659F149B" w14:textId="13947AF6" w:rsidR="00F37909" w:rsidRPr="00791577" w:rsidRDefault="0093232C" w:rsidP="00272009">
      <w:pPr>
        <w:spacing w:after="0" w:line="240" w:lineRule="auto"/>
        <w:rPr>
          <w:rFonts w:cstheme="minorHAnsi"/>
          <w:szCs w:val="24"/>
        </w:rPr>
      </w:pPr>
      <w:r w:rsidRPr="00791577">
        <w:rPr>
          <w:rFonts w:cstheme="minorHAnsi"/>
          <w:szCs w:val="24"/>
        </w:rPr>
        <w:t>Generální ředitelství</w:t>
      </w:r>
      <w:r w:rsidR="00506B9A" w:rsidRPr="00791577">
        <w:rPr>
          <w:rFonts w:cstheme="minorHAnsi"/>
          <w:szCs w:val="24"/>
        </w:rPr>
        <w:t xml:space="preserve"> cel</w:t>
      </w:r>
      <w:r w:rsidR="00836C99">
        <w:rPr>
          <w:rFonts w:cstheme="minorHAnsi"/>
          <w:szCs w:val="24"/>
        </w:rPr>
        <w:t xml:space="preserve">, Praha </w:t>
      </w:r>
      <w:r w:rsidR="00DC3FD9" w:rsidRPr="00791577">
        <w:rPr>
          <w:rFonts w:cstheme="minorHAnsi"/>
          <w:szCs w:val="24"/>
        </w:rPr>
        <w:t>(dále také „</w:t>
      </w:r>
      <w:r w:rsidRPr="00791577">
        <w:rPr>
          <w:rFonts w:cstheme="minorHAnsi"/>
          <w:szCs w:val="24"/>
        </w:rPr>
        <w:t>GŘ</w:t>
      </w:r>
      <w:r w:rsidR="00506B9A" w:rsidRPr="00791577">
        <w:rPr>
          <w:rFonts w:cstheme="minorHAnsi"/>
          <w:szCs w:val="24"/>
        </w:rPr>
        <w:t>C</w:t>
      </w:r>
      <w:r w:rsidR="00CB383B" w:rsidRPr="00791577">
        <w:rPr>
          <w:rFonts w:cstheme="minorHAnsi"/>
          <w:szCs w:val="24"/>
        </w:rPr>
        <w:t>“)</w:t>
      </w:r>
      <w:r w:rsidRPr="00791577">
        <w:rPr>
          <w:rFonts w:cstheme="minorHAnsi"/>
          <w:szCs w:val="24"/>
        </w:rPr>
        <w:t>;</w:t>
      </w:r>
    </w:p>
    <w:p w14:paraId="7E56E75B" w14:textId="5542FA43" w:rsidR="00DC3FD9" w:rsidRPr="00791577" w:rsidRDefault="00506B9A" w:rsidP="00272009">
      <w:pPr>
        <w:spacing w:after="0" w:line="240" w:lineRule="auto"/>
        <w:rPr>
          <w:rFonts w:cstheme="minorHAnsi"/>
          <w:szCs w:val="24"/>
        </w:rPr>
      </w:pPr>
      <w:r w:rsidRPr="00791577">
        <w:rPr>
          <w:rFonts w:cstheme="minorHAnsi"/>
          <w:szCs w:val="24"/>
        </w:rPr>
        <w:t>Krajský soud v Ostravě (dále také „KS Ostrava“);</w:t>
      </w:r>
    </w:p>
    <w:p w14:paraId="437BA7D7" w14:textId="77AD5B58" w:rsidR="00506B9A" w:rsidRPr="00791577" w:rsidRDefault="00506B9A" w:rsidP="00272009">
      <w:pPr>
        <w:spacing w:after="0" w:line="240" w:lineRule="auto"/>
        <w:rPr>
          <w:rFonts w:cstheme="minorHAnsi"/>
          <w:szCs w:val="24"/>
        </w:rPr>
      </w:pPr>
      <w:r w:rsidRPr="00791577">
        <w:rPr>
          <w:rFonts w:cstheme="minorHAnsi"/>
          <w:szCs w:val="24"/>
        </w:rPr>
        <w:t>Okresní soud Plzeň-město (dále také „OS PM“);</w:t>
      </w:r>
    </w:p>
    <w:p w14:paraId="2ED72E99" w14:textId="64E51885" w:rsidR="00506B9A" w:rsidRPr="00791577" w:rsidRDefault="00506B9A" w:rsidP="00272009">
      <w:pPr>
        <w:spacing w:after="0" w:line="240" w:lineRule="auto"/>
        <w:rPr>
          <w:rFonts w:cstheme="minorHAnsi"/>
          <w:szCs w:val="24"/>
        </w:rPr>
      </w:pPr>
      <w:r w:rsidRPr="00791577">
        <w:rPr>
          <w:rFonts w:cstheme="minorHAnsi"/>
          <w:szCs w:val="24"/>
        </w:rPr>
        <w:t>Celní úřad pro Jihomoravský kraj</w:t>
      </w:r>
      <w:r w:rsidR="00836C99">
        <w:rPr>
          <w:rFonts w:cstheme="minorHAnsi"/>
          <w:szCs w:val="24"/>
        </w:rPr>
        <w:t>, Brno</w:t>
      </w:r>
      <w:r w:rsidRPr="00791577">
        <w:rPr>
          <w:rFonts w:cstheme="minorHAnsi"/>
          <w:szCs w:val="24"/>
        </w:rPr>
        <w:t xml:space="preserve"> (dále také „CÚ pro JMK“);</w:t>
      </w:r>
    </w:p>
    <w:p w14:paraId="1FFC3E01" w14:textId="5B3CFE75" w:rsidR="00506B9A" w:rsidRPr="00791577" w:rsidRDefault="00506B9A" w:rsidP="00272009">
      <w:pPr>
        <w:spacing w:after="0" w:line="240" w:lineRule="auto"/>
        <w:rPr>
          <w:rFonts w:cstheme="minorHAnsi"/>
          <w:szCs w:val="24"/>
        </w:rPr>
      </w:pPr>
      <w:r w:rsidRPr="00791577">
        <w:rPr>
          <w:rFonts w:cstheme="minorHAnsi"/>
          <w:szCs w:val="24"/>
        </w:rPr>
        <w:t>Celní úřad pro Moravskoslezský kraj</w:t>
      </w:r>
      <w:r w:rsidR="00836C99">
        <w:rPr>
          <w:rFonts w:cstheme="minorHAnsi"/>
          <w:szCs w:val="24"/>
        </w:rPr>
        <w:t xml:space="preserve">, Ostrava </w:t>
      </w:r>
      <w:r w:rsidRPr="00791577">
        <w:rPr>
          <w:rFonts w:cstheme="minorHAnsi"/>
          <w:szCs w:val="24"/>
        </w:rPr>
        <w:t>(dále také „CÚ pro MSK“);</w:t>
      </w:r>
    </w:p>
    <w:p w14:paraId="6A08F7A5" w14:textId="15EA0325" w:rsidR="00506B9A" w:rsidRPr="00791577" w:rsidRDefault="00506B9A" w:rsidP="009E6C93">
      <w:pPr>
        <w:spacing w:after="120" w:line="240" w:lineRule="auto"/>
        <w:rPr>
          <w:rFonts w:cstheme="minorHAnsi"/>
          <w:szCs w:val="24"/>
        </w:rPr>
      </w:pPr>
      <w:r w:rsidRPr="00791577">
        <w:rPr>
          <w:rFonts w:cstheme="minorHAnsi"/>
          <w:szCs w:val="24"/>
        </w:rPr>
        <w:t>Celní úřad pro Plzeňský kraj</w:t>
      </w:r>
      <w:r w:rsidR="00836C99">
        <w:rPr>
          <w:rFonts w:cstheme="minorHAnsi"/>
          <w:szCs w:val="24"/>
        </w:rPr>
        <w:t>, Plzeň</w:t>
      </w:r>
      <w:r w:rsidRPr="00791577">
        <w:rPr>
          <w:rFonts w:cstheme="minorHAnsi"/>
          <w:szCs w:val="24"/>
        </w:rPr>
        <w:t xml:space="preserve"> (dále také „CÚ pro PLK“).</w:t>
      </w:r>
    </w:p>
    <w:p w14:paraId="66F682A5" w14:textId="77777777" w:rsidR="00CC14F0" w:rsidRPr="00F328AA" w:rsidRDefault="00CC14F0" w:rsidP="009E6C93">
      <w:pPr>
        <w:spacing w:before="120" w:after="120" w:line="240" w:lineRule="auto"/>
        <w:rPr>
          <w:rFonts w:cstheme="minorHAnsi"/>
          <w:szCs w:val="24"/>
          <w:highlight w:val="yellow"/>
        </w:rPr>
      </w:pPr>
    </w:p>
    <w:p w14:paraId="19FEE60F" w14:textId="52D26B60" w:rsidR="00CF6FED" w:rsidRPr="00CF65AA" w:rsidRDefault="0093232C" w:rsidP="009E6C93">
      <w:pPr>
        <w:spacing w:before="120" w:after="120" w:line="240" w:lineRule="auto"/>
        <w:rPr>
          <w:rFonts w:cstheme="minorHAnsi"/>
          <w:color w:val="000000"/>
          <w:szCs w:val="24"/>
        </w:rPr>
      </w:pPr>
      <w:r w:rsidRPr="00CF65AA">
        <w:rPr>
          <w:rFonts w:cstheme="minorHAnsi"/>
          <w:b/>
          <w:i/>
          <w:color w:val="000000"/>
          <w:spacing w:val="40"/>
          <w:szCs w:val="24"/>
        </w:rPr>
        <w:t xml:space="preserve">Kolegium  </w:t>
      </w:r>
      <w:r w:rsidRPr="00CF65AA">
        <w:rPr>
          <w:rFonts w:cstheme="minorHAnsi"/>
          <w:b/>
          <w:i/>
          <w:color w:val="000000"/>
          <w:szCs w:val="24"/>
        </w:rPr>
        <w:t xml:space="preserve"> </w:t>
      </w:r>
      <w:r w:rsidRPr="00CF65AA">
        <w:rPr>
          <w:rFonts w:cstheme="minorHAnsi"/>
          <w:b/>
          <w:i/>
          <w:color w:val="000000"/>
          <w:spacing w:val="40"/>
          <w:szCs w:val="24"/>
        </w:rPr>
        <w:t>NKÚ</w:t>
      </w:r>
      <w:r w:rsidRPr="00CF65AA">
        <w:rPr>
          <w:rFonts w:cstheme="minorHAnsi"/>
          <w:b/>
          <w:i/>
          <w:color w:val="000000"/>
          <w:szCs w:val="24"/>
        </w:rPr>
        <w:t xml:space="preserve">   </w:t>
      </w:r>
      <w:r w:rsidRPr="00CF65AA">
        <w:rPr>
          <w:rFonts w:cstheme="minorHAnsi"/>
          <w:color w:val="000000"/>
          <w:szCs w:val="24"/>
        </w:rPr>
        <w:t xml:space="preserve">na svém </w:t>
      </w:r>
      <w:r w:rsidR="00EA56FF" w:rsidRPr="00CF65AA">
        <w:rPr>
          <w:rFonts w:cstheme="minorHAnsi"/>
          <w:color w:val="000000"/>
          <w:szCs w:val="24"/>
        </w:rPr>
        <w:t>XV</w:t>
      </w:r>
      <w:r w:rsidR="00191B91">
        <w:rPr>
          <w:rFonts w:cstheme="minorHAnsi"/>
          <w:color w:val="000000"/>
          <w:szCs w:val="24"/>
        </w:rPr>
        <w:t>I</w:t>
      </w:r>
      <w:r w:rsidRPr="00CF65AA">
        <w:rPr>
          <w:rFonts w:cstheme="minorHAnsi"/>
          <w:color w:val="000000"/>
          <w:szCs w:val="24"/>
        </w:rPr>
        <w:t xml:space="preserve">. jednání, které se konalo dne </w:t>
      </w:r>
      <w:r w:rsidR="00BF5F4C">
        <w:rPr>
          <w:rFonts w:cstheme="minorHAnsi"/>
          <w:color w:val="000000"/>
          <w:szCs w:val="24"/>
        </w:rPr>
        <w:t>20</w:t>
      </w:r>
      <w:r w:rsidR="00191B91">
        <w:rPr>
          <w:rFonts w:cstheme="minorHAnsi"/>
          <w:color w:val="000000"/>
          <w:szCs w:val="24"/>
        </w:rPr>
        <w:t xml:space="preserve">. října </w:t>
      </w:r>
      <w:r w:rsidR="00EA56FF" w:rsidRPr="00CF65AA">
        <w:rPr>
          <w:rFonts w:cstheme="minorHAnsi"/>
          <w:color w:val="000000"/>
          <w:szCs w:val="24"/>
        </w:rPr>
        <w:t>202</w:t>
      </w:r>
      <w:r w:rsidR="00C77D18" w:rsidRPr="00CF65AA">
        <w:rPr>
          <w:rFonts w:cstheme="minorHAnsi"/>
          <w:color w:val="000000"/>
          <w:szCs w:val="24"/>
        </w:rPr>
        <w:t>5</w:t>
      </w:r>
      <w:r w:rsidRPr="00CF65AA">
        <w:rPr>
          <w:rFonts w:cstheme="minorHAnsi"/>
          <w:color w:val="000000"/>
          <w:szCs w:val="24"/>
        </w:rPr>
        <w:t>,</w:t>
      </w:r>
    </w:p>
    <w:p w14:paraId="62CC996D" w14:textId="3B3E9CC0" w:rsidR="00CF6FED" w:rsidRPr="00CF65AA" w:rsidRDefault="0093232C" w:rsidP="009E6C93">
      <w:pPr>
        <w:spacing w:before="120" w:after="120" w:line="240" w:lineRule="auto"/>
        <w:rPr>
          <w:rFonts w:cstheme="minorHAnsi"/>
          <w:color w:val="000000"/>
          <w:szCs w:val="24"/>
        </w:rPr>
      </w:pPr>
      <w:r w:rsidRPr="00CF65AA">
        <w:rPr>
          <w:rFonts w:cstheme="minorHAnsi"/>
          <w:b/>
          <w:i/>
          <w:color w:val="000000"/>
          <w:spacing w:val="40"/>
          <w:szCs w:val="24"/>
        </w:rPr>
        <w:t>schválilo</w:t>
      </w:r>
      <w:r w:rsidRPr="00CF65AA">
        <w:rPr>
          <w:rFonts w:cstheme="minorHAnsi"/>
          <w:b/>
          <w:i/>
          <w:color w:val="000000"/>
          <w:szCs w:val="24"/>
        </w:rPr>
        <w:t xml:space="preserve">   </w:t>
      </w:r>
      <w:r w:rsidR="0090063E" w:rsidRPr="00CF65AA">
        <w:rPr>
          <w:rFonts w:cstheme="minorHAnsi"/>
          <w:color w:val="000000"/>
          <w:szCs w:val="24"/>
        </w:rPr>
        <w:t>usnesením č.</w:t>
      </w:r>
      <w:r w:rsidR="0022627B">
        <w:rPr>
          <w:rFonts w:cstheme="minorHAnsi"/>
          <w:color w:val="000000"/>
          <w:szCs w:val="24"/>
        </w:rPr>
        <w:t xml:space="preserve"> 8</w:t>
      </w:r>
      <w:r w:rsidR="00191B91">
        <w:rPr>
          <w:rFonts w:cstheme="minorHAnsi"/>
          <w:color w:val="000000"/>
          <w:szCs w:val="24"/>
        </w:rPr>
        <w:t>/XVI/2025</w:t>
      </w:r>
    </w:p>
    <w:p w14:paraId="1EB65A89" w14:textId="37E40771" w:rsidR="0042774B" w:rsidRPr="00CF65AA" w:rsidRDefault="0093232C" w:rsidP="009E6C93">
      <w:pPr>
        <w:spacing w:before="120" w:after="120" w:line="240" w:lineRule="auto"/>
        <w:rPr>
          <w:rFonts w:cstheme="minorHAnsi"/>
          <w:color w:val="000000"/>
          <w:szCs w:val="24"/>
        </w:rPr>
      </w:pPr>
      <w:r w:rsidRPr="00CF65AA">
        <w:rPr>
          <w:rFonts w:cstheme="minorHAnsi"/>
          <w:b/>
          <w:i/>
          <w:color w:val="000000"/>
          <w:spacing w:val="40"/>
          <w:szCs w:val="24"/>
        </w:rPr>
        <w:t>kontrolní</w:t>
      </w:r>
      <w:r w:rsidRPr="00CF65AA">
        <w:rPr>
          <w:rFonts w:cstheme="minorHAnsi"/>
          <w:b/>
          <w:i/>
          <w:color w:val="000000"/>
          <w:szCs w:val="24"/>
        </w:rPr>
        <w:t xml:space="preserve">   </w:t>
      </w:r>
      <w:r w:rsidRPr="00CF65AA">
        <w:rPr>
          <w:rFonts w:cstheme="minorHAnsi"/>
          <w:b/>
          <w:i/>
          <w:color w:val="000000"/>
          <w:spacing w:val="40"/>
          <w:szCs w:val="24"/>
        </w:rPr>
        <w:t>závěr</w:t>
      </w:r>
      <w:r w:rsidRPr="00CF65AA">
        <w:rPr>
          <w:rFonts w:cstheme="minorHAnsi"/>
          <w:b/>
          <w:i/>
          <w:color w:val="000000"/>
          <w:szCs w:val="24"/>
        </w:rPr>
        <w:t xml:space="preserve">   </w:t>
      </w:r>
      <w:r w:rsidRPr="00CF65AA">
        <w:rPr>
          <w:rFonts w:cstheme="minorHAnsi"/>
          <w:color w:val="000000"/>
          <w:szCs w:val="24"/>
        </w:rPr>
        <w:t>v tomto znění:</w:t>
      </w:r>
      <w:r w:rsidR="0042774B" w:rsidRPr="00CF65AA">
        <w:rPr>
          <w:rFonts w:cstheme="minorHAnsi"/>
          <w:color w:val="000000"/>
          <w:szCs w:val="24"/>
        </w:rPr>
        <w:br w:type="page"/>
      </w:r>
    </w:p>
    <w:p w14:paraId="2FE99473" w14:textId="12A0C468" w:rsidR="00EF46D5" w:rsidRPr="003761C4" w:rsidRDefault="00EF46D5" w:rsidP="00D52C1D">
      <w:pPr>
        <w:pStyle w:val="Nadpis1"/>
        <w:numPr>
          <w:ilvl w:val="0"/>
          <w:numId w:val="0"/>
        </w:numPr>
        <w:spacing w:before="0" w:after="240"/>
        <w:rPr>
          <w:sz w:val="28"/>
          <w:szCs w:val="28"/>
        </w:rPr>
      </w:pPr>
      <w:r w:rsidRPr="003761C4">
        <w:rPr>
          <w:sz w:val="28"/>
          <w:szCs w:val="28"/>
        </w:rPr>
        <w:lastRenderedPageBreak/>
        <w:t>Správa soudních poplatků a</w:t>
      </w:r>
      <w:r w:rsidR="009B53BF" w:rsidRPr="003761C4">
        <w:rPr>
          <w:sz w:val="28"/>
          <w:szCs w:val="28"/>
        </w:rPr>
        <w:t xml:space="preserve"> vymáhání</w:t>
      </w:r>
      <w:r w:rsidRPr="003761C4">
        <w:rPr>
          <w:sz w:val="28"/>
          <w:szCs w:val="28"/>
        </w:rPr>
        <w:t xml:space="preserve"> justičních pohledávek</w:t>
      </w:r>
    </w:p>
    <w:p w14:paraId="675B0545" w14:textId="77777777" w:rsidR="00EF46D5" w:rsidRPr="006079E0" w:rsidRDefault="00EF46D5" w:rsidP="00EF46D5">
      <w:pPr>
        <w:tabs>
          <w:tab w:val="left" w:pos="1115"/>
        </w:tabs>
        <w:ind w:left="1416" w:hanging="1416"/>
        <w:jc w:val="center"/>
        <w:rPr>
          <w:caps/>
        </w:rPr>
      </w:pPr>
      <w:r w:rsidRPr="005C154B">
        <w:rPr>
          <w:b/>
          <w:noProof/>
        </w:rPr>
        <mc:AlternateContent>
          <mc:Choice Requires="wps">
            <w:drawing>
              <wp:anchor distT="0" distB="0" distL="114300" distR="114300" simplePos="0" relativeHeight="251658243" behindDoc="0" locked="0" layoutInCell="1" allowOverlap="1" wp14:anchorId="003BA6FB" wp14:editId="45CDF87F">
                <wp:simplePos x="0" y="0"/>
                <wp:positionH relativeFrom="margin">
                  <wp:posOffset>3696335</wp:posOffset>
                </wp:positionH>
                <wp:positionV relativeFrom="paragraph">
                  <wp:posOffset>104981</wp:posOffset>
                </wp:positionV>
                <wp:extent cx="2043430" cy="0"/>
                <wp:effectExtent l="0" t="0" r="0" b="0"/>
                <wp:wrapNone/>
                <wp:docPr id="4" name="Přímá spojnice 4"/>
                <wp:cNvGraphicFramePr/>
                <a:graphic xmlns:a="http://schemas.openxmlformats.org/drawingml/2006/main">
                  <a:graphicData uri="http://schemas.microsoft.com/office/word/2010/wordprocessingShape">
                    <wps:wsp>
                      <wps:cNvCnPr/>
                      <wps:spPr>
                        <a:xfrm flipV="1">
                          <a:off x="0" y="0"/>
                          <a:ext cx="20434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1C6AF" id="Přímá spojnice 4"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1.05pt,8.25pt" to="451.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" strokecolor="black [3213]" strokeweight=".5pt">
                <v:stroke joinstyle="miter"/>
                <w10:wrap anchorx="margin"/>
              </v:line>
            </w:pict>
          </mc:Fallback>
        </mc:AlternateContent>
      </w:r>
      <w:r w:rsidRPr="005C154B">
        <w:rPr>
          <w:b/>
          <w:noProof/>
        </w:rPr>
        <mc:AlternateContent>
          <mc:Choice Requires="wps">
            <w:drawing>
              <wp:anchor distT="0" distB="0" distL="114300" distR="114300" simplePos="0" relativeHeight="251658242" behindDoc="0" locked="0" layoutInCell="1" allowOverlap="1" wp14:anchorId="04CDA0CC" wp14:editId="2A9589A3">
                <wp:simplePos x="0" y="0"/>
                <wp:positionH relativeFrom="column">
                  <wp:posOffset>-33655</wp:posOffset>
                </wp:positionH>
                <wp:positionV relativeFrom="paragraph">
                  <wp:posOffset>99266</wp:posOffset>
                </wp:positionV>
                <wp:extent cx="2109216" cy="0"/>
                <wp:effectExtent l="0" t="0" r="0" b="0"/>
                <wp:wrapNone/>
                <wp:docPr id="2014323929" name="Přímá spojnice 2014323929"/>
                <wp:cNvGraphicFramePr/>
                <a:graphic xmlns:a="http://schemas.openxmlformats.org/drawingml/2006/main">
                  <a:graphicData uri="http://schemas.microsoft.com/office/word/2010/wordprocessingShape">
                    <wps:wsp>
                      <wps:cNvCnPr/>
                      <wps:spPr>
                        <a:xfrm>
                          <a:off x="0" y="0"/>
                          <a:ext cx="21092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C1CC85" id="Přímá spojnice 2014323929"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8pt" to="163.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" strokecolor="black [3213]" strokeweight=".5pt">
                <v:stroke joinstyle="miter"/>
              </v:line>
            </w:pict>
          </mc:Fallback>
        </mc:AlternateContent>
      </w:r>
      <w:r w:rsidRPr="005C154B">
        <w:rPr>
          <w:caps/>
        </w:rPr>
        <w:t>ZÁKLADNÍ INFORMACE</w:t>
      </w:r>
    </w:p>
    <w:tbl>
      <w:tblPr>
        <w:tblW w:w="9072" w:type="dxa"/>
        <w:jc w:val="center"/>
        <w:shd w:val="clear" w:color="auto" w:fill="FFFFFF" w:themeFill="background1"/>
        <w:tblLayout w:type="fixed"/>
        <w:tblCellMar>
          <w:bottom w:w="57" w:type="dxa"/>
        </w:tblCellMar>
        <w:tblLook w:val="04A0" w:firstRow="1" w:lastRow="0" w:firstColumn="1" w:lastColumn="0" w:noHBand="0" w:noVBand="1"/>
      </w:tblPr>
      <w:tblGrid>
        <w:gridCol w:w="3024"/>
        <w:gridCol w:w="3024"/>
        <w:gridCol w:w="3024"/>
      </w:tblGrid>
      <w:tr w:rsidR="00EF46D5" w:rsidRPr="000E5A36" w14:paraId="1C68B1E0" w14:textId="77777777" w:rsidTr="00C36135">
        <w:trPr>
          <w:trHeight w:val="475"/>
          <w:jc w:val="center"/>
        </w:trPr>
        <w:tc>
          <w:tcPr>
            <w:tcW w:w="3024" w:type="dxa"/>
            <w:shd w:val="clear" w:color="auto" w:fill="FFFFFF" w:themeFill="background1"/>
            <w:vAlign w:val="center"/>
          </w:tcPr>
          <w:p w14:paraId="29E60C79" w14:textId="3EBB4BBD" w:rsidR="00EF46D5" w:rsidRPr="000E5A36" w:rsidRDefault="00EF46D5" w:rsidP="00F90301">
            <w:pPr>
              <w:pStyle w:val="Pa18"/>
              <w:spacing w:before="120" w:line="240" w:lineRule="auto"/>
              <w:jc w:val="center"/>
              <w:rPr>
                <w:rFonts w:cs="Calibri"/>
                <w:b/>
                <w:sz w:val="32"/>
                <w:szCs w:val="32"/>
              </w:rPr>
            </w:pPr>
            <w:bookmarkStart w:id="0" w:name="_Hlk145416707"/>
            <w:r>
              <w:rPr>
                <w:rFonts w:cs="Calibri"/>
                <w:b/>
                <w:bCs/>
                <w:color w:val="000000"/>
                <w:sz w:val="32"/>
                <w:szCs w:val="36"/>
              </w:rPr>
              <w:t>1</w:t>
            </w:r>
            <w:r w:rsidR="005F342D">
              <w:rPr>
                <w:rFonts w:cs="Calibri"/>
                <w:b/>
                <w:bCs/>
                <w:color w:val="000000"/>
                <w:sz w:val="32"/>
                <w:szCs w:val="36"/>
              </w:rPr>
              <w:t>,</w:t>
            </w:r>
            <w:r>
              <w:rPr>
                <w:rFonts w:cs="Calibri"/>
                <w:b/>
                <w:bCs/>
                <w:color w:val="000000"/>
                <w:sz w:val="32"/>
                <w:szCs w:val="36"/>
              </w:rPr>
              <w:t>3</w:t>
            </w:r>
            <w:r w:rsidR="005F342D">
              <w:rPr>
                <w:rFonts w:cs="Calibri"/>
                <w:b/>
                <w:bCs/>
                <w:color w:val="000000"/>
                <w:sz w:val="32"/>
                <w:szCs w:val="36"/>
              </w:rPr>
              <w:t>8</w:t>
            </w:r>
            <w:r w:rsidRPr="000E5A36">
              <w:rPr>
                <w:rFonts w:cs="Calibri"/>
                <w:b/>
                <w:bCs/>
                <w:color w:val="000000"/>
                <w:sz w:val="32"/>
                <w:szCs w:val="36"/>
              </w:rPr>
              <w:t xml:space="preserve"> mld. Kč</w:t>
            </w:r>
          </w:p>
        </w:tc>
        <w:tc>
          <w:tcPr>
            <w:tcW w:w="3024" w:type="dxa"/>
            <w:shd w:val="clear" w:color="auto" w:fill="FFFFFF" w:themeFill="background1"/>
            <w:vAlign w:val="center"/>
          </w:tcPr>
          <w:p w14:paraId="797940B7" w14:textId="382C8320" w:rsidR="00EF46D5" w:rsidRPr="000E5A36" w:rsidRDefault="00C832A5" w:rsidP="00F90301">
            <w:pPr>
              <w:pStyle w:val="Pa18"/>
              <w:spacing w:before="120" w:line="240" w:lineRule="auto"/>
              <w:jc w:val="center"/>
              <w:rPr>
                <w:rStyle w:val="A14"/>
                <w:rFonts w:eastAsiaTheme="majorEastAsia" w:cs="Calibri"/>
                <w:bCs/>
                <w:sz w:val="32"/>
                <w:szCs w:val="32"/>
              </w:rPr>
            </w:pPr>
            <w:r>
              <w:rPr>
                <w:rFonts w:cs="Calibri"/>
                <w:b/>
                <w:bCs/>
                <w:color w:val="000000"/>
                <w:sz w:val="32"/>
                <w:szCs w:val="36"/>
              </w:rPr>
              <w:t>0,84</w:t>
            </w:r>
            <w:r w:rsidR="00EF46D5">
              <w:rPr>
                <w:rFonts w:cs="Calibri"/>
                <w:b/>
                <w:bCs/>
                <w:color w:val="000000"/>
                <w:sz w:val="32"/>
                <w:szCs w:val="36"/>
              </w:rPr>
              <w:t xml:space="preserve"> mld</w:t>
            </w:r>
            <w:r w:rsidR="00EF46D5" w:rsidRPr="000E5A36">
              <w:rPr>
                <w:rFonts w:cs="Calibri"/>
                <w:b/>
                <w:bCs/>
                <w:color w:val="000000"/>
                <w:sz w:val="32"/>
                <w:szCs w:val="36"/>
              </w:rPr>
              <w:t>. Kč</w:t>
            </w:r>
          </w:p>
        </w:tc>
        <w:tc>
          <w:tcPr>
            <w:tcW w:w="3024" w:type="dxa"/>
            <w:shd w:val="clear" w:color="auto" w:fill="FFFFFF" w:themeFill="background1"/>
            <w:vAlign w:val="center"/>
          </w:tcPr>
          <w:p w14:paraId="3BB4A69D" w14:textId="1EAF430F" w:rsidR="00EF46D5" w:rsidRPr="00460DC6" w:rsidRDefault="0086053B" w:rsidP="00F90301">
            <w:pPr>
              <w:pStyle w:val="NormlnKZ"/>
              <w:spacing w:before="120" w:after="0"/>
              <w:ind w:firstLine="0"/>
              <w:jc w:val="center"/>
              <w:rPr>
                <w:rFonts w:asciiTheme="minorHAnsi" w:hAnsiTheme="minorHAnsi" w:cstheme="minorHAnsi"/>
                <w:b/>
                <w:color w:val="auto"/>
                <w:sz w:val="32"/>
                <w:szCs w:val="32"/>
              </w:rPr>
            </w:pPr>
            <w:r w:rsidRPr="0086053B">
              <w:rPr>
                <w:rFonts w:asciiTheme="minorHAnsi" w:hAnsiTheme="minorHAnsi" w:cstheme="minorHAnsi"/>
                <w:b/>
                <w:color w:val="auto"/>
                <w:sz w:val="32"/>
                <w:szCs w:val="32"/>
              </w:rPr>
              <w:t>1,</w:t>
            </w:r>
            <w:r w:rsidR="00E33C39">
              <w:rPr>
                <w:rFonts w:asciiTheme="minorHAnsi" w:hAnsiTheme="minorHAnsi" w:cstheme="minorHAnsi"/>
                <w:b/>
                <w:color w:val="auto"/>
                <w:sz w:val="32"/>
                <w:szCs w:val="32"/>
              </w:rPr>
              <w:t>59</w:t>
            </w:r>
            <w:r w:rsidR="00E33C39" w:rsidRPr="0086053B">
              <w:rPr>
                <w:rFonts w:asciiTheme="minorHAnsi" w:hAnsiTheme="minorHAnsi" w:cstheme="minorHAnsi"/>
                <w:b/>
                <w:color w:val="auto"/>
                <w:sz w:val="32"/>
                <w:szCs w:val="32"/>
              </w:rPr>
              <w:t xml:space="preserve"> </w:t>
            </w:r>
            <w:r w:rsidRPr="0086053B">
              <w:rPr>
                <w:rFonts w:asciiTheme="minorHAnsi" w:hAnsiTheme="minorHAnsi" w:cstheme="minorHAnsi"/>
                <w:b/>
                <w:color w:val="auto"/>
                <w:sz w:val="32"/>
                <w:szCs w:val="32"/>
              </w:rPr>
              <w:t>mld. Kč</w:t>
            </w:r>
          </w:p>
        </w:tc>
      </w:tr>
      <w:tr w:rsidR="00EF46D5" w:rsidRPr="000E5A36" w14:paraId="053343FF" w14:textId="77777777" w:rsidTr="00C36135">
        <w:trPr>
          <w:trHeight w:val="745"/>
          <w:jc w:val="center"/>
        </w:trPr>
        <w:tc>
          <w:tcPr>
            <w:tcW w:w="3024" w:type="dxa"/>
            <w:shd w:val="clear" w:color="auto" w:fill="FFFFFF" w:themeFill="background1"/>
          </w:tcPr>
          <w:p w14:paraId="777C93DF" w14:textId="1412E31C" w:rsidR="00EF46D5" w:rsidRPr="00066000" w:rsidRDefault="00EF46D5" w:rsidP="00C36135">
            <w:pPr>
              <w:pStyle w:val="Pa19"/>
              <w:spacing w:line="240" w:lineRule="auto"/>
              <w:jc w:val="center"/>
              <w:rPr>
                <w:rFonts w:cs="Calibri"/>
                <w:sz w:val="22"/>
                <w:szCs w:val="22"/>
              </w:rPr>
            </w:pPr>
            <w:r w:rsidRPr="00066000">
              <w:rPr>
                <w:sz w:val="22"/>
                <w:szCs w:val="22"/>
              </w:rPr>
              <w:t>Příjem ze soudních poplatků</w:t>
            </w:r>
            <w:r w:rsidR="00272009">
              <w:rPr>
                <w:sz w:val="22"/>
                <w:szCs w:val="22"/>
              </w:rPr>
              <w:t xml:space="preserve"> </w:t>
            </w:r>
            <w:r w:rsidR="00F10461">
              <w:rPr>
                <w:sz w:val="22"/>
                <w:szCs w:val="22"/>
              </w:rPr>
              <w:t>v</w:t>
            </w:r>
            <w:r w:rsidR="00272009">
              <w:rPr>
                <w:sz w:val="22"/>
                <w:szCs w:val="22"/>
              </w:rPr>
              <w:t> </w:t>
            </w:r>
            <w:r w:rsidR="00F10461">
              <w:rPr>
                <w:sz w:val="22"/>
                <w:szCs w:val="22"/>
              </w:rPr>
              <w:t>roce</w:t>
            </w:r>
            <w:r w:rsidRPr="00066000">
              <w:rPr>
                <w:sz w:val="22"/>
                <w:szCs w:val="22"/>
              </w:rPr>
              <w:t xml:space="preserve"> 2024</w:t>
            </w:r>
          </w:p>
        </w:tc>
        <w:tc>
          <w:tcPr>
            <w:tcW w:w="3024" w:type="dxa"/>
            <w:shd w:val="clear" w:color="auto" w:fill="FFFFFF" w:themeFill="background1"/>
          </w:tcPr>
          <w:p w14:paraId="0141C661" w14:textId="250C47B0" w:rsidR="00EF46D5" w:rsidRPr="00066000" w:rsidRDefault="00EF46D5" w:rsidP="00C36135">
            <w:pPr>
              <w:spacing w:after="0" w:line="240" w:lineRule="auto"/>
              <w:jc w:val="center"/>
              <w:rPr>
                <w:rFonts w:ascii="Calibri" w:hAnsi="Calibri"/>
                <w:sz w:val="22"/>
              </w:rPr>
            </w:pPr>
            <w:r w:rsidRPr="00066000">
              <w:rPr>
                <w:rFonts w:ascii="Calibri" w:hAnsi="Calibri"/>
                <w:sz w:val="22"/>
              </w:rPr>
              <w:t>Peněžité tresty uložené soudy v </w:t>
            </w:r>
            <w:r w:rsidR="00C832A5">
              <w:rPr>
                <w:rFonts w:ascii="Calibri" w:hAnsi="Calibri"/>
                <w:sz w:val="22"/>
              </w:rPr>
              <w:t>roce</w:t>
            </w:r>
            <w:r w:rsidR="00B71D9D">
              <w:rPr>
                <w:rFonts w:ascii="Calibri" w:hAnsi="Calibri"/>
                <w:sz w:val="22"/>
              </w:rPr>
              <w:t xml:space="preserve"> </w:t>
            </w:r>
            <w:r w:rsidRPr="00066000">
              <w:rPr>
                <w:rFonts w:ascii="Calibri" w:hAnsi="Calibri"/>
                <w:sz w:val="22"/>
              </w:rPr>
              <w:t>2024</w:t>
            </w:r>
          </w:p>
        </w:tc>
        <w:tc>
          <w:tcPr>
            <w:tcW w:w="3024" w:type="dxa"/>
            <w:shd w:val="clear" w:color="auto" w:fill="FFFFFF" w:themeFill="background1"/>
          </w:tcPr>
          <w:p w14:paraId="37A181E8" w14:textId="1905AD76" w:rsidR="00EF46D5" w:rsidRPr="009C2797" w:rsidRDefault="0086053B" w:rsidP="00E25D4A">
            <w:pPr>
              <w:pStyle w:val="NormlnKZ"/>
              <w:spacing w:after="0"/>
              <w:ind w:firstLine="0"/>
              <w:jc w:val="center"/>
              <w:rPr>
                <w:rFonts w:ascii="Calibri" w:hAnsi="Calibri" w:cs="Calibri"/>
                <w:sz w:val="22"/>
              </w:rPr>
            </w:pPr>
            <w:r w:rsidRPr="009C2797">
              <w:rPr>
                <w:rFonts w:ascii="Calibri" w:hAnsi="Calibri" w:cs="Calibri"/>
                <w:sz w:val="22"/>
              </w:rPr>
              <w:t xml:space="preserve">Justiční pohledávky zaevidované </w:t>
            </w:r>
            <w:r w:rsidR="000F43BC">
              <w:rPr>
                <w:rFonts w:ascii="Calibri" w:hAnsi="Calibri" w:cs="Calibri"/>
                <w:sz w:val="22"/>
              </w:rPr>
              <w:t>celními úřady</w:t>
            </w:r>
            <w:r w:rsidR="00010E63" w:rsidRPr="009C2797">
              <w:rPr>
                <w:rFonts w:ascii="Calibri" w:hAnsi="Calibri" w:cs="Calibri"/>
                <w:sz w:val="22"/>
              </w:rPr>
              <w:t xml:space="preserve"> </w:t>
            </w:r>
            <w:r w:rsidRPr="009C2797">
              <w:rPr>
                <w:rFonts w:ascii="Calibri" w:hAnsi="Calibri" w:cs="Calibri"/>
                <w:sz w:val="22"/>
              </w:rPr>
              <w:t>v roce 2024</w:t>
            </w:r>
            <w:r w:rsidR="00566287">
              <w:rPr>
                <w:rFonts w:ascii="Calibri" w:hAnsi="Calibri" w:cs="Calibri"/>
                <w:sz w:val="22"/>
              </w:rPr>
              <w:t>*</w:t>
            </w:r>
          </w:p>
          <w:p w14:paraId="454BBA34" w14:textId="6FEB6C53" w:rsidR="0086053B" w:rsidRPr="00460DC6" w:rsidRDefault="0086053B" w:rsidP="00F90301">
            <w:pPr>
              <w:pStyle w:val="NormlnKZ"/>
              <w:spacing w:after="0"/>
              <w:ind w:firstLine="0"/>
              <w:jc w:val="center"/>
              <w:rPr>
                <w:rFonts w:asciiTheme="minorHAnsi" w:hAnsiTheme="minorHAnsi" w:cstheme="minorHAnsi"/>
                <w:bCs/>
                <w:color w:val="auto"/>
                <w:sz w:val="22"/>
                <w:szCs w:val="22"/>
              </w:rPr>
            </w:pPr>
          </w:p>
        </w:tc>
      </w:tr>
    </w:tbl>
    <w:bookmarkEnd w:id="0"/>
    <w:p w14:paraId="31405E71" w14:textId="745CE951" w:rsidR="00EF46D5" w:rsidRPr="00A0631B" w:rsidRDefault="00EF46D5" w:rsidP="00EF46D5">
      <w:pPr>
        <w:tabs>
          <w:tab w:val="left" w:pos="1747"/>
          <w:tab w:val="center" w:pos="4536"/>
        </w:tabs>
        <w:rPr>
          <w:caps/>
        </w:rPr>
      </w:pPr>
      <w:r w:rsidRPr="005C154B">
        <w:rPr>
          <w:b/>
          <w:noProof/>
        </w:rPr>
        <mc:AlternateContent>
          <mc:Choice Requires="wps">
            <w:drawing>
              <wp:anchor distT="0" distB="0" distL="114300" distR="114300" simplePos="0" relativeHeight="251658245" behindDoc="0" locked="0" layoutInCell="1" allowOverlap="1" wp14:anchorId="5D074605" wp14:editId="1A2A6468">
                <wp:simplePos x="0" y="0"/>
                <wp:positionH relativeFrom="margin">
                  <wp:align>left</wp:align>
                </wp:positionH>
                <wp:positionV relativeFrom="paragraph">
                  <wp:posOffset>87072</wp:posOffset>
                </wp:positionV>
                <wp:extent cx="2109216" cy="0"/>
                <wp:effectExtent l="0" t="0" r="0" b="0"/>
                <wp:wrapNone/>
                <wp:docPr id="15" name="Přímá spojnice 15"/>
                <wp:cNvGraphicFramePr/>
                <a:graphic xmlns:a="http://schemas.openxmlformats.org/drawingml/2006/main">
                  <a:graphicData uri="http://schemas.microsoft.com/office/word/2010/wordprocessingShape">
                    <wps:wsp>
                      <wps:cNvCnPr/>
                      <wps:spPr>
                        <a:xfrm>
                          <a:off x="0" y="0"/>
                          <a:ext cx="21092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1DE19" id="Přímá spojnice 15" o:spid="_x0000_s1026" style="position:absolute;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85pt" to="166.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" strokecolor="black [3213]" strokeweight=".5pt">
                <v:stroke joinstyle="miter"/>
                <w10:wrap anchorx="margin"/>
              </v:line>
            </w:pict>
          </mc:Fallback>
        </mc:AlternateContent>
      </w:r>
      <w:r w:rsidRPr="00E06AAB">
        <w:rPr>
          <w:b/>
          <w:noProof/>
          <w:sz w:val="28"/>
        </w:rPr>
        <mc:AlternateContent>
          <mc:Choice Requires="wps">
            <w:drawing>
              <wp:anchor distT="0" distB="0" distL="114300" distR="114300" simplePos="0" relativeHeight="251658244" behindDoc="0" locked="0" layoutInCell="1" allowOverlap="1" wp14:anchorId="1A750412" wp14:editId="09C30884">
                <wp:simplePos x="0" y="0"/>
                <wp:positionH relativeFrom="margin">
                  <wp:posOffset>3603330</wp:posOffset>
                </wp:positionH>
                <wp:positionV relativeFrom="paragraph">
                  <wp:posOffset>90274</wp:posOffset>
                </wp:positionV>
                <wp:extent cx="2141277" cy="0"/>
                <wp:effectExtent l="0" t="0" r="0" b="0"/>
                <wp:wrapNone/>
                <wp:docPr id="25" name="Přímá spojnice 25"/>
                <wp:cNvGraphicFramePr/>
                <a:graphic xmlns:a="http://schemas.openxmlformats.org/drawingml/2006/main">
                  <a:graphicData uri="http://schemas.microsoft.com/office/word/2010/wordprocessingShape">
                    <wps:wsp>
                      <wps:cNvCnPr/>
                      <wps:spPr>
                        <a:xfrm>
                          <a:off x="0" y="0"/>
                          <a:ext cx="21412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08C11A" id="Přímá spojnice 25" o:spid="_x0000_s1026" style="position:absolute;z-index:2516582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83.75pt,7.1pt" to="452.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" strokecolor="black [3213]" strokeweight=".5pt">
                <v:stroke joinstyle="miter"/>
                <w10:wrap anchorx="margin"/>
              </v:line>
            </w:pict>
          </mc:Fallback>
        </mc:AlternateContent>
      </w:r>
      <w:r w:rsidRPr="00E06AAB">
        <w:rPr>
          <w:caps/>
        </w:rPr>
        <w:tab/>
      </w:r>
      <w:r w:rsidRPr="00E06AAB">
        <w:rPr>
          <w:caps/>
        </w:rPr>
        <w:tab/>
      </w:r>
      <w:r>
        <w:rPr>
          <w:caps/>
        </w:rPr>
        <w:t>Zjištěné skutečnosti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4189"/>
        <w:gridCol w:w="4882"/>
      </w:tblGrid>
      <w:tr w:rsidR="00EF46D5" w:rsidRPr="00E70D70" w14:paraId="5B24DE2D" w14:textId="77777777" w:rsidTr="00E366A0">
        <w:tc>
          <w:tcPr>
            <w:tcW w:w="4189" w:type="dxa"/>
            <w:vAlign w:val="center"/>
          </w:tcPr>
          <w:p w14:paraId="0800912E" w14:textId="77777777" w:rsidR="0086053B" w:rsidRDefault="0086053B" w:rsidP="00C36135">
            <w:pPr>
              <w:pStyle w:val="NormlnKZ"/>
              <w:spacing w:after="0"/>
              <w:ind w:firstLine="0"/>
              <w:jc w:val="center"/>
              <w:rPr>
                <w:rFonts w:asciiTheme="minorHAnsi" w:hAnsiTheme="minorHAnsi" w:cstheme="minorHAnsi"/>
                <w:b/>
                <w:color w:val="AF1953"/>
                <w:sz w:val="28"/>
              </w:rPr>
            </w:pPr>
          </w:p>
          <w:p w14:paraId="3DA863F2" w14:textId="77777777" w:rsidR="00EF46D5" w:rsidRDefault="00EF46D5" w:rsidP="00C36135">
            <w:pPr>
              <w:pStyle w:val="NormlnKZ"/>
              <w:spacing w:after="0"/>
              <w:ind w:firstLine="0"/>
              <w:jc w:val="center"/>
              <w:rPr>
                <w:rFonts w:asciiTheme="minorHAnsi" w:hAnsiTheme="minorHAnsi" w:cstheme="minorHAnsi"/>
                <w:b/>
                <w:color w:val="AF1953"/>
                <w:sz w:val="28"/>
              </w:rPr>
            </w:pPr>
            <w:r>
              <w:rPr>
                <w:rFonts w:asciiTheme="minorHAnsi" w:hAnsiTheme="minorHAnsi" w:cstheme="minorHAnsi"/>
                <w:b/>
                <w:color w:val="AF1953"/>
                <w:sz w:val="28"/>
              </w:rPr>
              <w:t>Úspěšnost vymáhání justičních pohledávek soudy byla nízká</w:t>
            </w:r>
          </w:p>
          <w:p w14:paraId="0D73DA23" w14:textId="536FEDBF" w:rsidR="0086053B" w:rsidRPr="00066000" w:rsidRDefault="0086053B" w:rsidP="00C36135">
            <w:pPr>
              <w:pStyle w:val="NormlnKZ"/>
              <w:spacing w:after="0"/>
              <w:ind w:firstLine="0"/>
              <w:jc w:val="center"/>
              <w:rPr>
                <w:rFonts w:asciiTheme="minorHAnsi" w:hAnsiTheme="minorHAnsi" w:cstheme="minorHAnsi"/>
                <w:b/>
                <w:color w:val="AF1953"/>
                <w:sz w:val="28"/>
              </w:rPr>
            </w:pPr>
          </w:p>
        </w:tc>
        <w:tc>
          <w:tcPr>
            <w:tcW w:w="4882" w:type="dxa"/>
            <w:vAlign w:val="center"/>
          </w:tcPr>
          <w:p w14:paraId="30843653" w14:textId="1A28F881" w:rsidR="00EF46D5" w:rsidRPr="00E47FD3" w:rsidRDefault="00EF46D5" w:rsidP="00F90301">
            <w:pPr>
              <w:pStyle w:val="NormlnKZ"/>
              <w:spacing w:after="0"/>
              <w:ind w:firstLine="0"/>
              <w:rPr>
                <w:rFonts w:asciiTheme="minorHAnsi" w:hAnsiTheme="minorHAnsi" w:cstheme="minorHAnsi"/>
                <w:color w:val="auto"/>
              </w:rPr>
            </w:pPr>
            <w:r w:rsidRPr="0077685C">
              <w:rPr>
                <w:rFonts w:asciiTheme="minorHAnsi" w:hAnsiTheme="minorHAnsi" w:cstheme="minorHAnsi"/>
                <w:b/>
                <w:bCs/>
              </w:rPr>
              <w:t>Průměrná úspěšnost vymáhání justičních pohledávek</w:t>
            </w:r>
            <w:r>
              <w:rPr>
                <w:rFonts w:asciiTheme="minorHAnsi" w:hAnsiTheme="minorHAnsi" w:cstheme="minorHAnsi"/>
              </w:rPr>
              <w:t xml:space="preserve"> </w:t>
            </w:r>
            <w:r w:rsidRPr="00066000">
              <w:rPr>
                <w:rFonts w:asciiTheme="minorHAnsi" w:hAnsiTheme="minorHAnsi" w:cstheme="minorHAnsi"/>
                <w:b/>
                <w:bCs/>
              </w:rPr>
              <w:t xml:space="preserve">soudy v letech 2021 až 2023 </w:t>
            </w:r>
            <w:r w:rsidR="00A53AA6" w:rsidRPr="00066000">
              <w:rPr>
                <w:rFonts w:asciiTheme="minorHAnsi" w:hAnsiTheme="minorHAnsi" w:cstheme="minorHAnsi"/>
                <w:b/>
                <w:bCs/>
              </w:rPr>
              <w:t xml:space="preserve">činila </w:t>
            </w:r>
            <w:r w:rsidRPr="0077685C">
              <w:rPr>
                <w:rFonts w:asciiTheme="minorHAnsi" w:hAnsiTheme="minorHAnsi" w:cstheme="minorHAnsi"/>
                <w:b/>
                <w:bCs/>
              </w:rPr>
              <w:t>8,3</w:t>
            </w:r>
            <w:r w:rsidR="00272009">
              <w:rPr>
                <w:rFonts w:asciiTheme="minorHAnsi" w:hAnsiTheme="minorHAnsi" w:cstheme="minorHAnsi"/>
                <w:b/>
                <w:bCs/>
              </w:rPr>
              <w:t> </w:t>
            </w:r>
            <w:r w:rsidRPr="0077685C">
              <w:rPr>
                <w:rFonts w:asciiTheme="minorHAnsi" w:hAnsiTheme="minorHAnsi" w:cstheme="minorHAnsi"/>
                <w:b/>
                <w:bCs/>
              </w:rPr>
              <w:t>%.</w:t>
            </w:r>
          </w:p>
        </w:tc>
      </w:tr>
      <w:tr w:rsidR="00EF46D5" w:rsidRPr="00E70D70" w14:paraId="55C92365" w14:textId="77777777" w:rsidTr="00E366A0">
        <w:tblPrEx>
          <w:tblCellMar>
            <w:left w:w="70" w:type="dxa"/>
            <w:right w:w="70" w:type="dxa"/>
          </w:tblCellMar>
        </w:tblPrEx>
        <w:tc>
          <w:tcPr>
            <w:tcW w:w="4189" w:type="dxa"/>
            <w:vAlign w:val="center"/>
          </w:tcPr>
          <w:p w14:paraId="306C3DE3" w14:textId="7AF7B490" w:rsidR="00EF46D5" w:rsidRPr="00A65A10" w:rsidRDefault="00FD4602" w:rsidP="00E25D4A">
            <w:pPr>
              <w:pStyle w:val="NormlnKZ"/>
              <w:spacing w:before="120" w:after="240"/>
              <w:ind w:firstLine="0"/>
              <w:jc w:val="center"/>
              <w:rPr>
                <w:rFonts w:asciiTheme="minorHAnsi" w:hAnsiTheme="minorHAnsi" w:cstheme="minorHAnsi"/>
                <w:b/>
                <w:color w:val="AF1953"/>
                <w:sz w:val="28"/>
              </w:rPr>
            </w:pPr>
            <w:r>
              <w:rPr>
                <w:rFonts w:asciiTheme="minorHAnsi" w:hAnsiTheme="minorHAnsi" w:cstheme="minorHAnsi"/>
                <w:b/>
                <w:color w:val="AF1953"/>
                <w:sz w:val="28"/>
              </w:rPr>
              <w:t>Četnost ukládání peněžitých trestů se nenavýšila</w:t>
            </w:r>
          </w:p>
        </w:tc>
        <w:tc>
          <w:tcPr>
            <w:tcW w:w="4882" w:type="dxa"/>
            <w:vAlign w:val="center"/>
          </w:tcPr>
          <w:p w14:paraId="7B891A76" w14:textId="6C7B5E3D" w:rsidR="0086053B" w:rsidRPr="00D52C1D" w:rsidRDefault="00E14822" w:rsidP="00682BA2">
            <w:pPr>
              <w:pStyle w:val="NormlnKZ"/>
              <w:ind w:firstLine="0"/>
              <w:rPr>
                <w:rFonts w:asciiTheme="minorHAnsi" w:hAnsiTheme="minorHAnsi" w:cstheme="minorHAnsi"/>
                <w:b/>
                <w:bCs/>
              </w:rPr>
            </w:pPr>
            <w:r>
              <w:rPr>
                <w:rFonts w:asciiTheme="minorHAnsi" w:hAnsiTheme="minorHAnsi" w:cstheme="minorHAnsi"/>
                <w:b/>
                <w:bCs/>
              </w:rPr>
              <w:t>J</w:t>
            </w:r>
            <w:r w:rsidR="00EC0864">
              <w:rPr>
                <w:rFonts w:asciiTheme="minorHAnsi" w:hAnsiTheme="minorHAnsi" w:cstheme="minorHAnsi"/>
                <w:b/>
                <w:bCs/>
              </w:rPr>
              <w:t xml:space="preserve">eden z předpokládaných dopadů převedení vymáhání peněžitých trestů na </w:t>
            </w:r>
            <w:r w:rsidR="00B6637A">
              <w:rPr>
                <w:rFonts w:asciiTheme="minorHAnsi" w:hAnsiTheme="minorHAnsi" w:cstheme="minorHAnsi"/>
                <w:b/>
                <w:bCs/>
              </w:rPr>
              <w:t>celní úřady</w:t>
            </w:r>
            <w:r>
              <w:rPr>
                <w:rFonts w:asciiTheme="minorHAnsi" w:hAnsiTheme="minorHAnsi" w:cstheme="minorHAnsi"/>
                <w:b/>
                <w:bCs/>
              </w:rPr>
              <w:t xml:space="preserve"> se nenaplnil</w:t>
            </w:r>
            <w:r w:rsidR="00EC0864">
              <w:rPr>
                <w:rFonts w:asciiTheme="minorHAnsi" w:hAnsiTheme="minorHAnsi" w:cstheme="minorHAnsi"/>
                <w:b/>
                <w:bCs/>
              </w:rPr>
              <w:t>.</w:t>
            </w:r>
            <w:r w:rsidR="00680B14" w:rsidRPr="008A3EA4">
              <w:rPr>
                <w:rFonts w:asciiTheme="minorHAnsi" w:hAnsiTheme="minorHAnsi" w:cstheme="minorHAnsi"/>
                <w:b/>
                <w:bCs/>
              </w:rPr>
              <w:t xml:space="preserve"> </w:t>
            </w:r>
            <w:r w:rsidR="0030026A">
              <w:rPr>
                <w:rFonts w:asciiTheme="minorHAnsi" w:hAnsiTheme="minorHAnsi" w:cstheme="minorHAnsi"/>
                <w:b/>
                <w:bCs/>
              </w:rPr>
              <w:t>Počet uložených peněžitých trestů</w:t>
            </w:r>
            <w:r w:rsidR="00680B14" w:rsidRPr="008A3EA4">
              <w:rPr>
                <w:rFonts w:asciiTheme="minorHAnsi" w:hAnsiTheme="minorHAnsi" w:cstheme="minorHAnsi"/>
                <w:b/>
                <w:bCs/>
              </w:rPr>
              <w:t xml:space="preserve"> mezi lety 2023 a 2024 klesl o</w:t>
            </w:r>
            <w:r w:rsidR="00272009">
              <w:rPr>
                <w:rFonts w:asciiTheme="minorHAnsi" w:hAnsiTheme="minorHAnsi" w:cstheme="minorHAnsi"/>
                <w:b/>
                <w:bCs/>
              </w:rPr>
              <w:t> </w:t>
            </w:r>
            <w:r w:rsidR="00680B14" w:rsidRPr="008A3EA4">
              <w:rPr>
                <w:rFonts w:asciiTheme="minorHAnsi" w:hAnsiTheme="minorHAnsi" w:cstheme="minorHAnsi"/>
                <w:b/>
                <w:bCs/>
              </w:rPr>
              <w:t>3,2</w:t>
            </w:r>
            <w:r w:rsidR="00272009">
              <w:rPr>
                <w:rFonts w:asciiTheme="minorHAnsi" w:hAnsiTheme="minorHAnsi" w:cstheme="minorHAnsi"/>
                <w:b/>
                <w:bCs/>
              </w:rPr>
              <w:t> </w:t>
            </w:r>
            <w:r w:rsidR="00680B14" w:rsidRPr="008A3EA4">
              <w:rPr>
                <w:rFonts w:asciiTheme="minorHAnsi" w:hAnsiTheme="minorHAnsi" w:cstheme="minorHAnsi"/>
                <w:b/>
                <w:bCs/>
              </w:rPr>
              <w:t>%.</w:t>
            </w:r>
          </w:p>
        </w:tc>
      </w:tr>
      <w:tr w:rsidR="00D52C1D" w:rsidRPr="00BE766A" w14:paraId="62A30DA5" w14:textId="77777777" w:rsidTr="00E25D4A">
        <w:tblPrEx>
          <w:tblCellMar>
            <w:left w:w="70" w:type="dxa"/>
            <w:right w:w="70" w:type="dxa"/>
          </w:tblCellMar>
        </w:tblPrEx>
        <w:trPr>
          <w:trHeight w:val="3756"/>
        </w:trPr>
        <w:tc>
          <w:tcPr>
            <w:tcW w:w="9071" w:type="dxa"/>
            <w:gridSpan w:val="2"/>
          </w:tcPr>
          <w:p w14:paraId="35F066C3" w14:textId="67FD3704" w:rsidR="00D52C1D" w:rsidRPr="00E25D4A" w:rsidRDefault="00E366A0" w:rsidP="00C36135">
            <w:pPr>
              <w:pStyle w:val="NormlnKZ"/>
              <w:spacing w:after="0"/>
              <w:ind w:firstLine="0"/>
              <w:rPr>
                <w:rFonts w:asciiTheme="minorHAnsi" w:hAnsiTheme="minorHAnsi" w:cstheme="minorHAnsi"/>
                <w:sz w:val="20"/>
                <w:szCs w:val="20"/>
              </w:rPr>
            </w:pPr>
            <w:r w:rsidRPr="00272009">
              <w:rPr>
                <w:b/>
                <w:bCs/>
                <w:noProof/>
                <w:sz w:val="20"/>
                <w:szCs w:val="20"/>
              </w:rPr>
              <w:drawing>
                <wp:anchor distT="0" distB="0" distL="114300" distR="114300" simplePos="0" relativeHeight="251662336" behindDoc="0" locked="0" layoutInCell="1" allowOverlap="1" wp14:anchorId="4F203BAC" wp14:editId="19D2B52F">
                  <wp:simplePos x="0" y="0"/>
                  <wp:positionH relativeFrom="column">
                    <wp:posOffset>179070</wp:posOffset>
                  </wp:positionH>
                  <wp:positionV relativeFrom="paragraph">
                    <wp:posOffset>635</wp:posOffset>
                  </wp:positionV>
                  <wp:extent cx="5318125" cy="2124075"/>
                  <wp:effectExtent l="0" t="0" r="0" b="0"/>
                  <wp:wrapSquare wrapText="bothSides"/>
                  <wp:docPr id="879319609" name="Graf 1">
                    <a:extLst xmlns:a="http://schemas.openxmlformats.org/drawingml/2006/main">
                      <a:ext uri="{FF2B5EF4-FFF2-40B4-BE49-F238E27FC236}">
                        <a16:creationId xmlns:a16="http://schemas.microsoft.com/office/drawing/2014/main" id="{D7409CEE-BC0A-4004-935F-F136AB3C92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r w:rsidR="00BE766A" w:rsidRPr="00272009">
              <w:rPr>
                <w:rFonts w:asciiTheme="minorHAnsi" w:hAnsiTheme="minorHAnsi" w:cstheme="minorHAnsi"/>
                <w:b/>
                <w:bCs/>
                <w:sz w:val="20"/>
                <w:szCs w:val="20"/>
              </w:rPr>
              <w:t>Zdroj:</w:t>
            </w:r>
            <w:r w:rsidR="00BE766A" w:rsidRPr="00E25D4A">
              <w:rPr>
                <w:rFonts w:asciiTheme="minorHAnsi" w:hAnsiTheme="minorHAnsi" w:cstheme="minorHAnsi"/>
                <w:sz w:val="20"/>
                <w:szCs w:val="20"/>
              </w:rPr>
              <w:t xml:space="preserve"> vypracoval NKÚ na základě dat poskytnutých Ministerstvem spravedlnosti.</w:t>
            </w:r>
          </w:p>
        </w:tc>
      </w:tr>
      <w:tr w:rsidR="00EF46D5" w:rsidRPr="00E70D70" w14:paraId="46FA026B" w14:textId="77777777" w:rsidTr="00E366A0">
        <w:tc>
          <w:tcPr>
            <w:tcW w:w="4189" w:type="dxa"/>
            <w:vAlign w:val="center"/>
          </w:tcPr>
          <w:p w14:paraId="205FB448" w14:textId="2412327F" w:rsidR="006A43B2" w:rsidRPr="00066000" w:rsidRDefault="00EF46D5" w:rsidP="00BE766A">
            <w:pPr>
              <w:spacing w:before="240" w:after="160"/>
              <w:jc w:val="center"/>
              <w:rPr>
                <w:rFonts w:cstheme="minorHAnsi"/>
                <w:b/>
                <w:color w:val="1DAB72"/>
                <w:sz w:val="28"/>
                <w:szCs w:val="28"/>
              </w:rPr>
            </w:pPr>
            <w:r w:rsidRPr="00066000">
              <w:rPr>
                <w:b/>
                <w:bCs/>
                <w:color w:val="2EB3A1"/>
                <w:sz w:val="28"/>
                <w:szCs w:val="28"/>
              </w:rPr>
              <w:t>Výdaje na vymáhání justičních pohledávek převedením této kompetence na C</w:t>
            </w:r>
            <w:r w:rsidR="00082D2B">
              <w:rPr>
                <w:b/>
                <w:bCs/>
                <w:color w:val="2EB3A1"/>
                <w:sz w:val="28"/>
                <w:szCs w:val="28"/>
              </w:rPr>
              <w:t>elní správu</w:t>
            </w:r>
            <w:r w:rsidRPr="00066000">
              <w:rPr>
                <w:b/>
                <w:bCs/>
                <w:color w:val="2EB3A1"/>
                <w:sz w:val="28"/>
                <w:szCs w:val="28"/>
              </w:rPr>
              <w:t xml:space="preserve"> ČR poklesly</w:t>
            </w:r>
          </w:p>
        </w:tc>
        <w:tc>
          <w:tcPr>
            <w:tcW w:w="4882" w:type="dxa"/>
            <w:vAlign w:val="center"/>
          </w:tcPr>
          <w:p w14:paraId="36611F49" w14:textId="026353BB" w:rsidR="00EF46D5" w:rsidRPr="00E2033D" w:rsidRDefault="00EF46D5" w:rsidP="00E25D4A">
            <w:pPr>
              <w:spacing w:before="120"/>
              <w:rPr>
                <w:rFonts w:cstheme="minorHAnsi"/>
                <w:b/>
                <w:bCs/>
                <w:szCs w:val="24"/>
              </w:rPr>
            </w:pPr>
            <w:r w:rsidRPr="00460DC6">
              <w:rPr>
                <w:rFonts w:cstheme="minorHAnsi"/>
                <w:b/>
                <w:bCs/>
                <w:szCs w:val="24"/>
              </w:rPr>
              <w:t>C</w:t>
            </w:r>
            <w:r w:rsidR="00082D2B">
              <w:rPr>
                <w:rFonts w:cstheme="minorHAnsi"/>
                <w:b/>
                <w:bCs/>
                <w:szCs w:val="24"/>
              </w:rPr>
              <w:t>elní správa</w:t>
            </w:r>
            <w:r w:rsidR="00010E63">
              <w:rPr>
                <w:rFonts w:cstheme="minorHAnsi"/>
                <w:b/>
                <w:bCs/>
                <w:szCs w:val="24"/>
              </w:rPr>
              <w:t xml:space="preserve"> </w:t>
            </w:r>
            <w:r w:rsidRPr="00460DC6">
              <w:rPr>
                <w:rFonts w:cstheme="minorHAnsi"/>
                <w:b/>
                <w:bCs/>
                <w:szCs w:val="24"/>
              </w:rPr>
              <w:t>ČR v roce 2024 vynaložila na zaměstnance</w:t>
            </w:r>
            <w:r w:rsidR="00272009">
              <w:rPr>
                <w:rFonts w:cstheme="minorHAnsi"/>
                <w:b/>
                <w:bCs/>
                <w:szCs w:val="24"/>
              </w:rPr>
              <w:t xml:space="preserve"> </w:t>
            </w:r>
            <w:r w:rsidR="00F14F69">
              <w:rPr>
                <w:rFonts w:cstheme="minorHAnsi"/>
                <w:b/>
                <w:bCs/>
                <w:szCs w:val="24"/>
              </w:rPr>
              <w:t>zabývající se agendou</w:t>
            </w:r>
            <w:r w:rsidRPr="00460DC6">
              <w:rPr>
                <w:rFonts w:cstheme="minorHAnsi"/>
                <w:b/>
                <w:bCs/>
                <w:szCs w:val="24"/>
              </w:rPr>
              <w:t xml:space="preserve"> vymáhání justičních pohledávek</w:t>
            </w:r>
            <w:r w:rsidR="0086053B">
              <w:rPr>
                <w:rFonts w:cstheme="minorHAnsi"/>
                <w:b/>
                <w:bCs/>
                <w:szCs w:val="24"/>
              </w:rPr>
              <w:t xml:space="preserve"> 94</w:t>
            </w:r>
            <w:r w:rsidR="00272009">
              <w:rPr>
                <w:rFonts w:cstheme="minorHAnsi"/>
                <w:b/>
                <w:bCs/>
                <w:szCs w:val="24"/>
              </w:rPr>
              <w:t> </w:t>
            </w:r>
            <w:r w:rsidR="0086053B">
              <w:rPr>
                <w:rFonts w:cstheme="minorHAnsi"/>
                <w:b/>
                <w:bCs/>
                <w:szCs w:val="24"/>
              </w:rPr>
              <w:t>mil.</w:t>
            </w:r>
            <w:r w:rsidR="00272009">
              <w:rPr>
                <w:rFonts w:cstheme="minorHAnsi"/>
                <w:b/>
                <w:bCs/>
                <w:szCs w:val="24"/>
              </w:rPr>
              <w:t> </w:t>
            </w:r>
            <w:r w:rsidR="0086053B">
              <w:rPr>
                <w:rFonts w:cstheme="minorHAnsi"/>
                <w:b/>
                <w:bCs/>
                <w:szCs w:val="24"/>
              </w:rPr>
              <w:t>Kč, tj.</w:t>
            </w:r>
            <w:r w:rsidRPr="00460DC6">
              <w:rPr>
                <w:rFonts w:cstheme="minorHAnsi"/>
                <w:b/>
                <w:bCs/>
                <w:szCs w:val="24"/>
              </w:rPr>
              <w:t xml:space="preserve"> o</w:t>
            </w:r>
            <w:r w:rsidR="00272009">
              <w:rPr>
                <w:rFonts w:cstheme="minorHAnsi"/>
                <w:b/>
                <w:bCs/>
                <w:szCs w:val="24"/>
              </w:rPr>
              <w:t> </w:t>
            </w:r>
            <w:r w:rsidR="00090310">
              <w:rPr>
                <w:rFonts w:cstheme="minorHAnsi"/>
                <w:b/>
                <w:bCs/>
                <w:szCs w:val="24"/>
              </w:rPr>
              <w:t>45</w:t>
            </w:r>
            <w:r w:rsidR="00272009">
              <w:rPr>
                <w:rFonts w:cstheme="minorHAnsi"/>
                <w:b/>
                <w:bCs/>
                <w:szCs w:val="24"/>
              </w:rPr>
              <w:t> </w:t>
            </w:r>
            <w:r w:rsidRPr="00460DC6">
              <w:rPr>
                <w:rFonts w:cstheme="minorHAnsi"/>
                <w:b/>
                <w:bCs/>
                <w:szCs w:val="24"/>
              </w:rPr>
              <w:t>mil.</w:t>
            </w:r>
            <w:r w:rsidR="00272009">
              <w:rPr>
                <w:rFonts w:cstheme="minorHAnsi"/>
                <w:b/>
                <w:bCs/>
                <w:szCs w:val="24"/>
              </w:rPr>
              <w:t> </w:t>
            </w:r>
            <w:r w:rsidRPr="00460DC6">
              <w:rPr>
                <w:rFonts w:cstheme="minorHAnsi"/>
                <w:b/>
                <w:bCs/>
                <w:szCs w:val="24"/>
              </w:rPr>
              <w:t xml:space="preserve">Kč </w:t>
            </w:r>
            <w:r w:rsidR="00581846" w:rsidRPr="00460DC6">
              <w:rPr>
                <w:rFonts w:cstheme="minorHAnsi"/>
                <w:b/>
                <w:bCs/>
                <w:szCs w:val="24"/>
              </w:rPr>
              <w:t>méně,</w:t>
            </w:r>
            <w:r w:rsidRPr="00460DC6">
              <w:rPr>
                <w:rFonts w:cstheme="minorHAnsi"/>
                <w:b/>
                <w:bCs/>
                <w:szCs w:val="24"/>
              </w:rPr>
              <w:t xml:space="preserve"> než </w:t>
            </w:r>
            <w:r w:rsidR="00581846">
              <w:rPr>
                <w:rFonts w:cstheme="minorHAnsi"/>
                <w:b/>
                <w:bCs/>
                <w:szCs w:val="24"/>
              </w:rPr>
              <w:t xml:space="preserve">činila roční průměrná výše těchto výdajů u </w:t>
            </w:r>
            <w:r w:rsidRPr="00460DC6">
              <w:rPr>
                <w:rFonts w:cstheme="minorHAnsi"/>
                <w:b/>
                <w:bCs/>
                <w:szCs w:val="24"/>
              </w:rPr>
              <w:t>soud</w:t>
            </w:r>
            <w:r w:rsidR="00581846">
              <w:rPr>
                <w:rFonts w:cstheme="minorHAnsi"/>
                <w:b/>
                <w:bCs/>
                <w:szCs w:val="24"/>
              </w:rPr>
              <w:t>ů</w:t>
            </w:r>
            <w:r w:rsidR="00E06164">
              <w:rPr>
                <w:rFonts w:cstheme="minorHAnsi"/>
                <w:b/>
                <w:bCs/>
                <w:szCs w:val="24"/>
              </w:rPr>
              <w:t xml:space="preserve"> </w:t>
            </w:r>
            <w:r w:rsidR="00EE4440">
              <w:rPr>
                <w:rFonts w:cstheme="minorHAnsi"/>
                <w:b/>
                <w:bCs/>
                <w:szCs w:val="24"/>
              </w:rPr>
              <w:t>v</w:t>
            </w:r>
            <w:r w:rsidR="00E06164">
              <w:rPr>
                <w:rFonts w:cstheme="minorHAnsi"/>
                <w:b/>
                <w:bCs/>
                <w:szCs w:val="24"/>
              </w:rPr>
              <w:t xml:space="preserve"> </w:t>
            </w:r>
            <w:r w:rsidR="00090310">
              <w:rPr>
                <w:rFonts w:cstheme="minorHAnsi"/>
                <w:b/>
                <w:bCs/>
                <w:szCs w:val="24"/>
              </w:rPr>
              <w:t>letech 2021 až</w:t>
            </w:r>
            <w:r w:rsidR="00EE4440">
              <w:rPr>
                <w:rFonts w:cstheme="minorHAnsi"/>
                <w:b/>
                <w:bCs/>
                <w:szCs w:val="24"/>
              </w:rPr>
              <w:t xml:space="preserve"> 2023</w:t>
            </w:r>
            <w:r w:rsidR="00444146">
              <w:rPr>
                <w:rFonts w:cstheme="minorHAnsi"/>
                <w:b/>
                <w:bCs/>
                <w:szCs w:val="24"/>
              </w:rPr>
              <w:t>.</w:t>
            </w:r>
            <w:r w:rsidR="00F04393">
              <w:rPr>
                <w:rFonts w:cstheme="minorHAnsi"/>
                <w:b/>
                <w:bCs/>
                <w:szCs w:val="24"/>
              </w:rPr>
              <w:t xml:space="preserve"> </w:t>
            </w:r>
            <w:r w:rsidR="00581846">
              <w:rPr>
                <w:rFonts w:cstheme="minorHAnsi"/>
                <w:b/>
                <w:bCs/>
                <w:szCs w:val="24"/>
              </w:rPr>
              <w:t>Ú</w:t>
            </w:r>
            <w:r w:rsidR="006A43B2">
              <w:rPr>
                <w:rFonts w:cstheme="minorHAnsi"/>
                <w:b/>
                <w:bCs/>
                <w:szCs w:val="24"/>
              </w:rPr>
              <w:t>spěšnost vymáhání</w:t>
            </w:r>
            <w:r w:rsidR="00F04393">
              <w:rPr>
                <w:rFonts w:cstheme="minorHAnsi"/>
                <w:b/>
                <w:bCs/>
                <w:szCs w:val="24"/>
              </w:rPr>
              <w:t xml:space="preserve"> justičních </w:t>
            </w:r>
            <w:r w:rsidR="006A43B2">
              <w:rPr>
                <w:rFonts w:cstheme="minorHAnsi"/>
                <w:b/>
                <w:bCs/>
                <w:szCs w:val="24"/>
              </w:rPr>
              <w:t xml:space="preserve">pohledávek </w:t>
            </w:r>
            <w:r w:rsidR="00C76148">
              <w:rPr>
                <w:rFonts w:cstheme="minorHAnsi"/>
                <w:b/>
                <w:bCs/>
                <w:szCs w:val="24"/>
              </w:rPr>
              <w:t>zaznamenala postupný nárůst</w:t>
            </w:r>
            <w:r w:rsidR="00F04393">
              <w:rPr>
                <w:rFonts w:cstheme="minorHAnsi"/>
                <w:b/>
                <w:bCs/>
                <w:szCs w:val="24"/>
              </w:rPr>
              <w:t>.</w:t>
            </w:r>
          </w:p>
        </w:tc>
      </w:tr>
      <w:tr w:rsidR="006730F2" w:rsidRPr="0066738A" w14:paraId="7FC49F17" w14:textId="77777777" w:rsidTr="00E366A0">
        <w:tc>
          <w:tcPr>
            <w:tcW w:w="4189" w:type="dxa"/>
            <w:tcBorders>
              <w:bottom w:val="single" w:sz="4" w:space="0" w:color="auto"/>
            </w:tcBorders>
            <w:vAlign w:val="center"/>
          </w:tcPr>
          <w:p w14:paraId="383A67E1" w14:textId="77777777" w:rsidR="006730F2" w:rsidRPr="0066738A" w:rsidRDefault="006730F2" w:rsidP="00E25D4A">
            <w:pPr>
              <w:rPr>
                <w:b/>
                <w:bCs/>
                <w:color w:val="2EB3A1"/>
                <w:sz w:val="16"/>
                <w:szCs w:val="16"/>
              </w:rPr>
            </w:pPr>
          </w:p>
        </w:tc>
        <w:tc>
          <w:tcPr>
            <w:tcW w:w="4882" w:type="dxa"/>
            <w:vAlign w:val="center"/>
          </w:tcPr>
          <w:p w14:paraId="33AFF130" w14:textId="77777777" w:rsidR="006730F2" w:rsidRPr="0066738A" w:rsidRDefault="006730F2" w:rsidP="003761C4">
            <w:pPr>
              <w:rPr>
                <w:rFonts w:cstheme="minorHAnsi"/>
                <w:b/>
                <w:bCs/>
                <w:sz w:val="16"/>
                <w:szCs w:val="16"/>
              </w:rPr>
            </w:pPr>
          </w:p>
        </w:tc>
      </w:tr>
      <w:tr w:rsidR="006730F2" w:rsidRPr="006730F2" w14:paraId="57341ADB" w14:textId="77777777" w:rsidTr="006730F2">
        <w:tc>
          <w:tcPr>
            <w:tcW w:w="9071" w:type="dxa"/>
            <w:gridSpan w:val="2"/>
            <w:vAlign w:val="center"/>
          </w:tcPr>
          <w:p w14:paraId="4A73CAB3" w14:textId="378FEFD8" w:rsidR="006730F2" w:rsidRPr="006730F2" w:rsidRDefault="006730F2" w:rsidP="000F7E5F">
            <w:pPr>
              <w:rPr>
                <w:rFonts w:cstheme="minorHAnsi"/>
                <w:b/>
                <w:bCs/>
                <w:sz w:val="20"/>
                <w:szCs w:val="20"/>
              </w:rPr>
            </w:pPr>
            <w:r w:rsidRPr="006730F2">
              <w:rPr>
                <w:rFonts w:cstheme="minorHAnsi"/>
                <w:sz w:val="20"/>
                <w:szCs w:val="20"/>
              </w:rPr>
              <w:t xml:space="preserve">* </w:t>
            </w:r>
            <w:r w:rsidR="00566287">
              <w:rPr>
                <w:sz w:val="20"/>
                <w:szCs w:val="20"/>
                <w:lang w:eastAsia="cs-CZ"/>
              </w:rPr>
              <w:t>Bez justičních pohledávek uložených Vězeňskou službou</w:t>
            </w:r>
            <w:r w:rsidR="00712965">
              <w:rPr>
                <w:sz w:val="20"/>
                <w:szCs w:val="20"/>
                <w:lang w:eastAsia="cs-CZ"/>
              </w:rPr>
              <w:t xml:space="preserve"> ČR a </w:t>
            </w:r>
            <w:r w:rsidR="002278E8">
              <w:rPr>
                <w:sz w:val="20"/>
                <w:szCs w:val="20"/>
                <w:lang w:eastAsia="cs-CZ"/>
              </w:rPr>
              <w:t>s</w:t>
            </w:r>
            <w:r w:rsidR="00712965">
              <w:rPr>
                <w:sz w:val="20"/>
                <w:szCs w:val="20"/>
                <w:lang w:eastAsia="cs-CZ"/>
              </w:rPr>
              <w:t>tátním zastupitelstvím</w:t>
            </w:r>
            <w:r w:rsidR="00566287">
              <w:rPr>
                <w:sz w:val="20"/>
                <w:szCs w:val="20"/>
                <w:lang w:eastAsia="cs-CZ"/>
              </w:rPr>
              <w:t>.</w:t>
            </w:r>
          </w:p>
        </w:tc>
      </w:tr>
    </w:tbl>
    <w:p w14:paraId="14F2E794" w14:textId="57160E65" w:rsidR="00CF6FED" w:rsidRPr="00ED66B5" w:rsidRDefault="0093232C" w:rsidP="00BE71FC">
      <w:pPr>
        <w:pStyle w:val="Nadpis1"/>
        <w:numPr>
          <w:ilvl w:val="0"/>
          <w:numId w:val="0"/>
        </w:numPr>
        <w:spacing w:before="0" w:after="240"/>
        <w:rPr>
          <w:sz w:val="28"/>
          <w:szCs w:val="28"/>
        </w:rPr>
      </w:pPr>
      <w:r w:rsidRPr="00ED66B5">
        <w:rPr>
          <w:sz w:val="28"/>
          <w:szCs w:val="28"/>
        </w:rPr>
        <w:lastRenderedPageBreak/>
        <w:t>I. Shrnutí a vyhodnocení</w:t>
      </w:r>
    </w:p>
    <w:p w14:paraId="04C9F3B4" w14:textId="142396BE" w:rsidR="00253179" w:rsidRDefault="00365D5A" w:rsidP="00802C2A">
      <w:pPr>
        <w:pStyle w:val="Odstavecseseznamem"/>
        <w:spacing w:after="120"/>
        <w:ind w:left="0"/>
        <w:contextualSpacing w:val="0"/>
        <w:rPr>
          <w:rFonts w:ascii="Calibri" w:eastAsia="Calibri" w:hAnsi="Calibri" w:cs="Calibri"/>
          <w:szCs w:val="24"/>
        </w:rPr>
      </w:pPr>
      <w:r>
        <w:rPr>
          <w:rFonts w:ascii="Calibri" w:eastAsia="Calibri" w:hAnsi="Calibri" w:cs="Calibri"/>
          <w:szCs w:val="24"/>
        </w:rPr>
        <w:t xml:space="preserve">Soudní poplatky jsou příjmem státního rozpočtu a jsou upraveny zákonem </w:t>
      </w:r>
      <w:r w:rsidR="007B0DE6">
        <w:rPr>
          <w:rFonts w:ascii="Calibri" w:eastAsia="Calibri" w:hAnsi="Calibri" w:cs="Calibri"/>
          <w:szCs w:val="24"/>
        </w:rPr>
        <w:t>o soudních poplatcích</w:t>
      </w:r>
      <w:r>
        <w:rPr>
          <w:rStyle w:val="Znakapoznpodarou"/>
          <w:rFonts w:ascii="Calibri" w:eastAsia="Calibri" w:hAnsi="Calibri" w:cs="Calibri"/>
          <w:szCs w:val="24"/>
        </w:rPr>
        <w:footnoteReference w:id="2"/>
      </w:r>
      <w:r w:rsidR="007B0DE6">
        <w:rPr>
          <w:rFonts w:ascii="Calibri" w:eastAsia="Calibri" w:hAnsi="Calibri" w:cs="Calibri"/>
          <w:szCs w:val="24"/>
        </w:rPr>
        <w:t>.</w:t>
      </w:r>
      <w:r>
        <w:rPr>
          <w:rFonts w:ascii="Calibri" w:eastAsia="Calibri" w:hAnsi="Calibri" w:cs="Calibri"/>
          <w:szCs w:val="24"/>
        </w:rPr>
        <w:t xml:space="preserve"> </w:t>
      </w:r>
      <w:r w:rsidR="00EF46D5" w:rsidRPr="00A942B0">
        <w:rPr>
          <w:rFonts w:ascii="Calibri" w:eastAsia="Calibri" w:hAnsi="Calibri" w:cs="Calibri"/>
          <w:szCs w:val="24"/>
        </w:rPr>
        <w:t xml:space="preserve">Příjmy ze soudních poplatků dosáhly v roce 2024 </w:t>
      </w:r>
      <w:r w:rsidR="00EF46D5" w:rsidRPr="00D34A05">
        <w:rPr>
          <w:rFonts w:ascii="Calibri" w:eastAsia="Calibri" w:hAnsi="Calibri" w:cs="Calibri"/>
          <w:szCs w:val="24"/>
        </w:rPr>
        <w:t>výše 1,</w:t>
      </w:r>
      <w:r w:rsidR="00733BB3">
        <w:rPr>
          <w:rFonts w:ascii="Calibri" w:eastAsia="Calibri" w:hAnsi="Calibri" w:cs="Calibri"/>
          <w:szCs w:val="24"/>
        </w:rPr>
        <w:t>38</w:t>
      </w:r>
      <w:r w:rsidR="00733BB3" w:rsidRPr="00D34A05">
        <w:rPr>
          <w:rFonts w:ascii="Calibri" w:eastAsia="Calibri" w:hAnsi="Calibri" w:cs="Calibri"/>
          <w:szCs w:val="24"/>
        </w:rPr>
        <w:t xml:space="preserve"> </w:t>
      </w:r>
      <w:r w:rsidR="00EF46D5" w:rsidRPr="00D34A05">
        <w:rPr>
          <w:rFonts w:ascii="Calibri" w:eastAsia="Calibri" w:hAnsi="Calibri" w:cs="Calibri"/>
          <w:szCs w:val="24"/>
        </w:rPr>
        <w:t>mld.</w:t>
      </w:r>
      <w:r w:rsidR="00EF46D5" w:rsidRPr="00A942B0">
        <w:rPr>
          <w:rFonts w:ascii="Calibri" w:eastAsia="Calibri" w:hAnsi="Calibri" w:cs="Calibri"/>
          <w:szCs w:val="24"/>
        </w:rPr>
        <w:t xml:space="preserve"> Kč, což činilo </w:t>
      </w:r>
      <w:r w:rsidR="00EF46D5">
        <w:rPr>
          <w:rFonts w:ascii="Calibri" w:eastAsia="Calibri" w:hAnsi="Calibri" w:cs="Calibri"/>
          <w:szCs w:val="24"/>
        </w:rPr>
        <w:t>99,7</w:t>
      </w:r>
      <w:r w:rsidR="00E67EF8">
        <w:rPr>
          <w:rFonts w:ascii="Calibri" w:eastAsia="Calibri" w:hAnsi="Calibri" w:cs="Calibri"/>
          <w:szCs w:val="24"/>
        </w:rPr>
        <w:t> </w:t>
      </w:r>
      <w:r w:rsidR="00EF46D5" w:rsidRPr="00A942B0">
        <w:rPr>
          <w:rFonts w:ascii="Calibri" w:eastAsia="Calibri" w:hAnsi="Calibri" w:cs="Calibri"/>
          <w:szCs w:val="24"/>
        </w:rPr>
        <w:t>% z</w:t>
      </w:r>
      <w:r w:rsidR="00EF46D5">
        <w:rPr>
          <w:rFonts w:ascii="Calibri" w:eastAsia="Calibri" w:hAnsi="Calibri" w:cs="Calibri"/>
          <w:szCs w:val="24"/>
        </w:rPr>
        <w:t> </w:t>
      </w:r>
      <w:r w:rsidR="00EF46D5" w:rsidRPr="00A942B0">
        <w:rPr>
          <w:rFonts w:ascii="Calibri" w:eastAsia="Calibri" w:hAnsi="Calibri" w:cs="Calibri"/>
          <w:szCs w:val="24"/>
        </w:rPr>
        <w:t xml:space="preserve">celkových </w:t>
      </w:r>
      <w:r w:rsidR="00EF46D5">
        <w:rPr>
          <w:rFonts w:ascii="Calibri" w:eastAsia="Calibri" w:hAnsi="Calibri" w:cs="Calibri"/>
          <w:szCs w:val="24"/>
        </w:rPr>
        <w:t>daňových</w:t>
      </w:r>
      <w:r w:rsidR="00EF46D5" w:rsidRPr="00A942B0">
        <w:rPr>
          <w:rFonts w:ascii="Calibri" w:eastAsia="Calibri" w:hAnsi="Calibri" w:cs="Calibri"/>
          <w:szCs w:val="24"/>
        </w:rPr>
        <w:t xml:space="preserve"> příjmů</w:t>
      </w:r>
      <w:r w:rsidR="00EF46D5">
        <w:rPr>
          <w:rStyle w:val="Znakapoznpodarou"/>
          <w:rFonts w:ascii="Calibri" w:eastAsia="Calibri" w:hAnsi="Calibri" w:cs="Calibri"/>
          <w:szCs w:val="24"/>
        </w:rPr>
        <w:footnoteReference w:id="3"/>
      </w:r>
      <w:r w:rsidR="00EF46D5" w:rsidRPr="00A942B0">
        <w:rPr>
          <w:rFonts w:ascii="Calibri" w:eastAsia="Calibri" w:hAnsi="Calibri" w:cs="Calibri"/>
          <w:szCs w:val="24"/>
        </w:rPr>
        <w:t xml:space="preserve"> kapitoly </w:t>
      </w:r>
      <w:r w:rsidR="00EF46D5">
        <w:rPr>
          <w:rFonts w:ascii="Calibri" w:eastAsia="Calibri" w:hAnsi="Calibri" w:cs="Calibri"/>
          <w:szCs w:val="24"/>
        </w:rPr>
        <w:t xml:space="preserve">336 </w:t>
      </w:r>
      <w:r w:rsidR="002278E8">
        <w:rPr>
          <w:rFonts w:ascii="Calibri" w:eastAsia="Calibri" w:hAnsi="Calibri" w:cs="Calibri"/>
          <w:szCs w:val="24"/>
        </w:rPr>
        <w:t>–</w:t>
      </w:r>
      <w:r w:rsidR="00EF46D5">
        <w:rPr>
          <w:rFonts w:ascii="Calibri" w:eastAsia="Calibri" w:hAnsi="Calibri" w:cs="Calibri"/>
          <w:szCs w:val="24"/>
        </w:rPr>
        <w:t xml:space="preserve"> </w:t>
      </w:r>
      <w:r w:rsidR="00EF46D5" w:rsidRPr="0032254D">
        <w:rPr>
          <w:rFonts w:ascii="Calibri" w:eastAsia="Calibri" w:hAnsi="Calibri" w:cs="Calibri"/>
          <w:i/>
          <w:iCs/>
          <w:szCs w:val="24"/>
        </w:rPr>
        <w:t>Ministerstvo spravedlnosti</w:t>
      </w:r>
      <w:r w:rsidR="00EF46D5" w:rsidRPr="00A942B0">
        <w:rPr>
          <w:rFonts w:ascii="Calibri" w:eastAsia="Calibri" w:hAnsi="Calibri" w:cs="Calibri"/>
          <w:szCs w:val="24"/>
        </w:rPr>
        <w:t>.</w:t>
      </w:r>
      <w:r w:rsidR="00EF46D5">
        <w:rPr>
          <w:rFonts w:ascii="Calibri" w:eastAsia="Calibri" w:hAnsi="Calibri" w:cs="Calibri"/>
          <w:szCs w:val="24"/>
        </w:rPr>
        <w:t xml:space="preserve"> J</w:t>
      </w:r>
      <w:r w:rsidR="00253179">
        <w:rPr>
          <w:rFonts w:ascii="Calibri" w:eastAsia="Calibri" w:hAnsi="Calibri" w:cs="Calibri"/>
          <w:szCs w:val="24"/>
        </w:rPr>
        <w:t xml:space="preserve">ustiční pohledávky jsou </w:t>
      </w:r>
      <w:r w:rsidR="007B0DE6">
        <w:rPr>
          <w:rFonts w:ascii="Calibri" w:eastAsia="Calibri" w:hAnsi="Calibri" w:cs="Calibri"/>
          <w:szCs w:val="24"/>
        </w:rPr>
        <w:t>peněžitá plnění, jejichž ukladatelem jsou orgány resortu spravedlnosti</w:t>
      </w:r>
      <w:r w:rsidR="00EF46D5">
        <w:rPr>
          <w:rFonts w:ascii="Calibri" w:eastAsia="Calibri" w:hAnsi="Calibri" w:cs="Calibri"/>
          <w:szCs w:val="24"/>
        </w:rPr>
        <w:t xml:space="preserve">, a patří </w:t>
      </w:r>
      <w:r w:rsidR="00EF46D5" w:rsidRPr="00EF46D5">
        <w:rPr>
          <w:rFonts w:ascii="Calibri" w:eastAsia="Calibri" w:hAnsi="Calibri" w:cs="Calibri"/>
          <w:szCs w:val="24"/>
        </w:rPr>
        <w:t xml:space="preserve">mezi ně </w:t>
      </w:r>
      <w:r w:rsidR="00271CC3">
        <w:rPr>
          <w:rFonts w:ascii="Calibri" w:eastAsia="Calibri" w:hAnsi="Calibri" w:cs="Calibri"/>
          <w:szCs w:val="24"/>
        </w:rPr>
        <w:t xml:space="preserve">zejména </w:t>
      </w:r>
      <w:r w:rsidR="00EF46D5" w:rsidRPr="00EF46D5">
        <w:rPr>
          <w:rFonts w:ascii="Calibri" w:eastAsia="Calibri" w:hAnsi="Calibri" w:cs="Calibri"/>
          <w:szCs w:val="24"/>
        </w:rPr>
        <w:t xml:space="preserve">pořádkové pokuty, peněžité tresty, soudní poplatky, </w:t>
      </w:r>
      <w:r w:rsidR="00733BB3">
        <w:rPr>
          <w:rFonts w:ascii="Calibri" w:eastAsia="Calibri" w:hAnsi="Calibri" w:cs="Calibri"/>
          <w:szCs w:val="24"/>
        </w:rPr>
        <w:t xml:space="preserve">náhrady </w:t>
      </w:r>
      <w:r w:rsidR="00EF46D5" w:rsidRPr="00EF46D5">
        <w:rPr>
          <w:rFonts w:ascii="Calibri" w:eastAsia="Calibri" w:hAnsi="Calibri" w:cs="Calibri"/>
          <w:szCs w:val="24"/>
        </w:rPr>
        <w:t>náklad</w:t>
      </w:r>
      <w:r w:rsidR="00733BB3">
        <w:rPr>
          <w:rFonts w:ascii="Calibri" w:eastAsia="Calibri" w:hAnsi="Calibri" w:cs="Calibri"/>
          <w:szCs w:val="24"/>
        </w:rPr>
        <w:t>ů</w:t>
      </w:r>
      <w:r w:rsidR="00EF46D5" w:rsidRPr="00EF46D5">
        <w:rPr>
          <w:rFonts w:ascii="Calibri" w:eastAsia="Calibri" w:hAnsi="Calibri" w:cs="Calibri"/>
          <w:szCs w:val="24"/>
        </w:rPr>
        <w:t xml:space="preserve"> související</w:t>
      </w:r>
      <w:r w:rsidR="00733BB3">
        <w:rPr>
          <w:rFonts w:ascii="Calibri" w:eastAsia="Calibri" w:hAnsi="Calibri" w:cs="Calibri"/>
          <w:szCs w:val="24"/>
        </w:rPr>
        <w:t>ch</w:t>
      </w:r>
      <w:r w:rsidR="002D0ADD">
        <w:rPr>
          <w:rFonts w:ascii="Calibri" w:eastAsia="Calibri" w:hAnsi="Calibri" w:cs="Calibri"/>
          <w:szCs w:val="24"/>
        </w:rPr>
        <w:t xml:space="preserve"> </w:t>
      </w:r>
      <w:r w:rsidR="00EF46D5" w:rsidRPr="00EF46D5">
        <w:rPr>
          <w:rFonts w:ascii="Calibri" w:eastAsia="Calibri" w:hAnsi="Calibri" w:cs="Calibri"/>
          <w:szCs w:val="24"/>
        </w:rPr>
        <w:t>s</w:t>
      </w:r>
      <w:r w:rsidR="002D0ADD">
        <w:rPr>
          <w:rFonts w:ascii="Calibri" w:eastAsia="Calibri" w:hAnsi="Calibri" w:cs="Calibri"/>
          <w:szCs w:val="24"/>
        </w:rPr>
        <w:t> </w:t>
      </w:r>
      <w:r w:rsidR="00EF46D5" w:rsidRPr="00EF46D5">
        <w:rPr>
          <w:rFonts w:ascii="Calibri" w:eastAsia="Calibri" w:hAnsi="Calibri" w:cs="Calibri"/>
          <w:szCs w:val="24"/>
        </w:rPr>
        <w:t>trestním řízením a poplatky ve vězeňství</w:t>
      </w:r>
      <w:r w:rsidR="00733BB3">
        <w:rPr>
          <w:rStyle w:val="Znakapoznpodarou"/>
          <w:rFonts w:ascii="Calibri" w:eastAsia="Calibri" w:hAnsi="Calibri" w:cs="Calibri"/>
          <w:szCs w:val="24"/>
        </w:rPr>
        <w:footnoteReference w:id="4"/>
      </w:r>
      <w:r w:rsidR="00EF46D5" w:rsidRPr="00EF46D5">
        <w:rPr>
          <w:rFonts w:ascii="Calibri" w:eastAsia="Calibri" w:hAnsi="Calibri" w:cs="Calibri"/>
          <w:szCs w:val="24"/>
        </w:rPr>
        <w:t xml:space="preserve">. </w:t>
      </w:r>
      <w:r w:rsidR="00EF46D5">
        <w:rPr>
          <w:rFonts w:ascii="Calibri" w:eastAsia="Calibri" w:hAnsi="Calibri" w:cs="Calibri"/>
          <w:szCs w:val="24"/>
        </w:rPr>
        <w:t xml:space="preserve">NKÚ se v kontrole zaměřil na daňové justiční pohledávky, </w:t>
      </w:r>
      <w:r w:rsidR="00B50C83">
        <w:rPr>
          <w:rFonts w:ascii="Calibri" w:eastAsia="Calibri" w:hAnsi="Calibri" w:cs="Calibri"/>
          <w:szCs w:val="24"/>
        </w:rPr>
        <w:t>tj. pohledávky</w:t>
      </w:r>
      <w:r w:rsidR="00E71B52">
        <w:rPr>
          <w:rFonts w:ascii="Calibri" w:eastAsia="Calibri" w:hAnsi="Calibri" w:cs="Calibri"/>
          <w:szCs w:val="24"/>
        </w:rPr>
        <w:t xml:space="preserve"> vymáh</w:t>
      </w:r>
      <w:r w:rsidR="00B50C83">
        <w:rPr>
          <w:rFonts w:ascii="Calibri" w:eastAsia="Calibri" w:hAnsi="Calibri" w:cs="Calibri"/>
          <w:szCs w:val="24"/>
        </w:rPr>
        <w:t>ané</w:t>
      </w:r>
      <w:r w:rsidR="00E71B52">
        <w:rPr>
          <w:rFonts w:ascii="Calibri" w:eastAsia="Calibri" w:hAnsi="Calibri" w:cs="Calibri"/>
          <w:szCs w:val="24"/>
        </w:rPr>
        <w:t xml:space="preserve"> </w:t>
      </w:r>
      <w:r w:rsidR="00B50C83">
        <w:rPr>
          <w:rFonts w:ascii="Calibri" w:eastAsia="Calibri" w:hAnsi="Calibri" w:cs="Calibri"/>
          <w:szCs w:val="24"/>
        </w:rPr>
        <w:t xml:space="preserve">postupem </w:t>
      </w:r>
      <w:r w:rsidR="00E71B52">
        <w:rPr>
          <w:rFonts w:ascii="Calibri" w:eastAsia="Calibri" w:hAnsi="Calibri" w:cs="Calibri"/>
          <w:szCs w:val="24"/>
        </w:rPr>
        <w:t>uprav</w:t>
      </w:r>
      <w:r w:rsidR="00B50C83">
        <w:rPr>
          <w:rFonts w:ascii="Calibri" w:eastAsia="Calibri" w:hAnsi="Calibri" w:cs="Calibri"/>
          <w:szCs w:val="24"/>
        </w:rPr>
        <w:t>eným</w:t>
      </w:r>
      <w:r w:rsidR="00E71B52">
        <w:rPr>
          <w:rFonts w:ascii="Calibri" w:eastAsia="Calibri" w:hAnsi="Calibri" w:cs="Calibri"/>
          <w:szCs w:val="24"/>
        </w:rPr>
        <w:t xml:space="preserve"> daňový</w:t>
      </w:r>
      <w:r w:rsidR="00B50C83">
        <w:rPr>
          <w:rFonts w:ascii="Calibri" w:eastAsia="Calibri" w:hAnsi="Calibri" w:cs="Calibri"/>
          <w:szCs w:val="24"/>
        </w:rPr>
        <w:t>m</w:t>
      </w:r>
      <w:r w:rsidR="00E71B52">
        <w:rPr>
          <w:rFonts w:ascii="Calibri" w:eastAsia="Calibri" w:hAnsi="Calibri" w:cs="Calibri"/>
          <w:szCs w:val="24"/>
        </w:rPr>
        <w:t xml:space="preserve"> řád</w:t>
      </w:r>
      <w:r w:rsidR="00B50C83">
        <w:rPr>
          <w:rFonts w:ascii="Calibri" w:eastAsia="Calibri" w:hAnsi="Calibri" w:cs="Calibri"/>
          <w:szCs w:val="24"/>
        </w:rPr>
        <w:t>em</w:t>
      </w:r>
      <w:r w:rsidR="00E71B52">
        <w:rPr>
          <w:rStyle w:val="Znakapoznpodarou"/>
          <w:rFonts w:ascii="Calibri" w:eastAsia="Calibri" w:hAnsi="Calibri" w:cs="Calibri"/>
          <w:szCs w:val="24"/>
        </w:rPr>
        <w:footnoteReference w:id="5"/>
      </w:r>
      <w:r w:rsidR="00EF46D5">
        <w:rPr>
          <w:rFonts w:ascii="Calibri" w:eastAsia="Calibri" w:hAnsi="Calibri" w:cs="Calibri"/>
          <w:szCs w:val="24"/>
        </w:rPr>
        <w:t xml:space="preserve">, </w:t>
      </w:r>
      <w:r w:rsidR="0067196C">
        <w:rPr>
          <w:rFonts w:ascii="Calibri" w:eastAsia="Calibri" w:hAnsi="Calibri" w:cs="Calibri"/>
          <w:szCs w:val="24"/>
        </w:rPr>
        <w:t>k</w:t>
      </w:r>
      <w:r w:rsidR="00E84D1E">
        <w:rPr>
          <w:rFonts w:ascii="Calibri" w:eastAsia="Calibri" w:hAnsi="Calibri" w:cs="Calibri"/>
          <w:szCs w:val="24"/>
        </w:rPr>
        <w:t> </w:t>
      </w:r>
      <w:r w:rsidR="0067196C">
        <w:rPr>
          <w:rFonts w:ascii="Calibri" w:eastAsia="Calibri" w:hAnsi="Calibri" w:cs="Calibri"/>
          <w:szCs w:val="24"/>
        </w:rPr>
        <w:t>jejichž vymáhání byly do konce roku 2023 příslušné jednotlivé soudy</w:t>
      </w:r>
      <w:r w:rsidR="00EF46D5">
        <w:rPr>
          <w:rFonts w:ascii="Calibri" w:eastAsia="Calibri" w:hAnsi="Calibri" w:cs="Calibri"/>
          <w:szCs w:val="24"/>
        </w:rPr>
        <w:t>.</w:t>
      </w:r>
      <w:r w:rsidR="007B0DE6">
        <w:rPr>
          <w:rFonts w:ascii="Calibri" w:eastAsia="Calibri" w:hAnsi="Calibri" w:cs="Calibri"/>
          <w:szCs w:val="24"/>
        </w:rPr>
        <w:t xml:space="preserve"> </w:t>
      </w:r>
      <w:r w:rsidR="00271CC3">
        <w:rPr>
          <w:rFonts w:ascii="Calibri" w:eastAsia="Calibri" w:hAnsi="Calibri" w:cs="Calibri"/>
          <w:szCs w:val="24"/>
        </w:rPr>
        <w:t>S</w:t>
      </w:r>
      <w:r w:rsidR="005D7360" w:rsidRPr="00A942B0">
        <w:rPr>
          <w:rFonts w:ascii="Calibri" w:eastAsia="Calibri" w:hAnsi="Calibri" w:cs="Calibri"/>
          <w:szCs w:val="24"/>
        </w:rPr>
        <w:t xml:space="preserve"> účinností od 1. ledna 2024 došlo </w:t>
      </w:r>
      <w:r w:rsidR="005D7360">
        <w:rPr>
          <w:rFonts w:ascii="Calibri" w:eastAsia="Calibri" w:hAnsi="Calibri" w:cs="Calibri"/>
          <w:szCs w:val="24"/>
        </w:rPr>
        <w:t>z</w:t>
      </w:r>
      <w:r w:rsidR="00842C3C" w:rsidRPr="00A942B0">
        <w:rPr>
          <w:rFonts w:ascii="Calibri" w:eastAsia="Calibri" w:hAnsi="Calibri" w:cs="Calibri"/>
          <w:szCs w:val="24"/>
        </w:rPr>
        <w:t xml:space="preserve">ákonem </w:t>
      </w:r>
      <w:r w:rsidR="00217843">
        <w:rPr>
          <w:rFonts w:ascii="Calibri" w:eastAsia="Calibri" w:hAnsi="Calibri" w:cs="Calibri"/>
          <w:szCs w:val="24"/>
        </w:rPr>
        <w:t>o konsolidaci veřejných rozpočtů</w:t>
      </w:r>
      <w:r w:rsidR="00A942B0">
        <w:rPr>
          <w:rStyle w:val="Znakapoznpodarou"/>
          <w:rFonts w:ascii="Calibri" w:eastAsia="Calibri" w:hAnsi="Calibri" w:cs="Calibri"/>
          <w:szCs w:val="24"/>
        </w:rPr>
        <w:footnoteReference w:id="6"/>
      </w:r>
      <w:r w:rsidR="00842C3C" w:rsidRPr="00A942B0">
        <w:rPr>
          <w:rFonts w:ascii="Calibri" w:eastAsia="Calibri" w:hAnsi="Calibri" w:cs="Calibri"/>
          <w:szCs w:val="24"/>
        </w:rPr>
        <w:t xml:space="preserve"> k převodu</w:t>
      </w:r>
      <w:r w:rsidR="00842C3C" w:rsidRPr="00842C3C">
        <w:rPr>
          <w:rFonts w:ascii="Calibri" w:eastAsia="Calibri" w:hAnsi="Calibri" w:cs="Calibri"/>
          <w:szCs w:val="24"/>
        </w:rPr>
        <w:t xml:space="preserve"> kompetence k vymáhání justičních pohledávek na </w:t>
      </w:r>
      <w:r w:rsidR="000E6732">
        <w:rPr>
          <w:rFonts w:ascii="Calibri" w:eastAsia="Calibri" w:hAnsi="Calibri" w:cs="Calibri"/>
          <w:szCs w:val="24"/>
        </w:rPr>
        <w:t>C</w:t>
      </w:r>
      <w:r w:rsidR="00871133">
        <w:rPr>
          <w:rFonts w:ascii="Calibri" w:eastAsia="Calibri" w:hAnsi="Calibri" w:cs="Calibri"/>
          <w:szCs w:val="24"/>
        </w:rPr>
        <w:t>elní správu</w:t>
      </w:r>
      <w:r w:rsidR="004A36CA">
        <w:rPr>
          <w:rFonts w:ascii="Calibri" w:eastAsia="Calibri" w:hAnsi="Calibri" w:cs="Calibri"/>
          <w:szCs w:val="24"/>
        </w:rPr>
        <w:t xml:space="preserve"> </w:t>
      </w:r>
      <w:r w:rsidR="000E6732">
        <w:rPr>
          <w:rFonts w:ascii="Calibri" w:eastAsia="Calibri" w:hAnsi="Calibri" w:cs="Calibri"/>
          <w:szCs w:val="24"/>
        </w:rPr>
        <w:t>ČR</w:t>
      </w:r>
      <w:r w:rsidR="00871133">
        <w:rPr>
          <w:rFonts w:ascii="Calibri" w:eastAsia="Calibri" w:hAnsi="Calibri" w:cs="Calibri"/>
          <w:szCs w:val="24"/>
        </w:rPr>
        <w:t xml:space="preserve"> (dále také „CS ČR“)</w:t>
      </w:r>
      <w:r w:rsidR="00842C3C" w:rsidRPr="00842C3C">
        <w:rPr>
          <w:rFonts w:ascii="Calibri" w:eastAsia="Calibri" w:hAnsi="Calibri" w:cs="Calibri"/>
          <w:szCs w:val="24"/>
        </w:rPr>
        <w:t>.</w:t>
      </w:r>
      <w:r w:rsidR="00E84D1E">
        <w:rPr>
          <w:rFonts w:ascii="Calibri" w:eastAsia="Calibri" w:hAnsi="Calibri" w:cs="Calibri"/>
          <w:szCs w:val="24"/>
        </w:rPr>
        <w:t xml:space="preserve"> </w:t>
      </w:r>
      <w:r w:rsidR="008501CE">
        <w:rPr>
          <w:rFonts w:ascii="Calibri" w:eastAsia="Calibri" w:hAnsi="Calibri" w:cs="Calibri"/>
          <w:szCs w:val="24"/>
        </w:rPr>
        <w:t xml:space="preserve">CS ČR </w:t>
      </w:r>
      <w:r w:rsidR="00FE2B3C">
        <w:rPr>
          <w:rFonts w:ascii="Calibri" w:eastAsia="Calibri" w:hAnsi="Calibri" w:cs="Calibri"/>
          <w:szCs w:val="24"/>
        </w:rPr>
        <w:t>přebírala</w:t>
      </w:r>
      <w:r w:rsidR="008501CE">
        <w:rPr>
          <w:rFonts w:ascii="Calibri" w:eastAsia="Calibri" w:hAnsi="Calibri" w:cs="Calibri"/>
          <w:szCs w:val="24"/>
        </w:rPr>
        <w:t xml:space="preserve"> od soudů k vymáhání justiční pohledávky vzniklé do 31. 12. 2023 (dále také „staré pohledávky“)</w:t>
      </w:r>
      <w:r w:rsidR="00C813AD">
        <w:rPr>
          <w:rStyle w:val="Znakapoznpodarou"/>
          <w:rFonts w:ascii="Calibri" w:eastAsia="Calibri" w:hAnsi="Calibri" w:cs="Calibri"/>
          <w:szCs w:val="24"/>
        </w:rPr>
        <w:footnoteReference w:id="7"/>
      </w:r>
      <w:r w:rsidR="008501CE">
        <w:rPr>
          <w:rFonts w:ascii="Calibri" w:eastAsia="Calibri" w:hAnsi="Calibri" w:cs="Calibri"/>
          <w:szCs w:val="24"/>
        </w:rPr>
        <w:t xml:space="preserve"> i</w:t>
      </w:r>
      <w:r w:rsidR="00E84D1E">
        <w:rPr>
          <w:rFonts w:ascii="Calibri" w:eastAsia="Calibri" w:hAnsi="Calibri" w:cs="Calibri"/>
          <w:szCs w:val="24"/>
        </w:rPr>
        <w:t> </w:t>
      </w:r>
      <w:r w:rsidR="008501CE">
        <w:rPr>
          <w:rFonts w:ascii="Calibri" w:eastAsia="Calibri" w:hAnsi="Calibri" w:cs="Calibri"/>
          <w:szCs w:val="24"/>
        </w:rPr>
        <w:t>pohledávky vniklé od 1. 1. 2024 (dále také „nové pohledávky“)</w:t>
      </w:r>
      <w:r w:rsidR="00F118DB">
        <w:rPr>
          <w:rFonts w:ascii="Calibri" w:eastAsia="Calibri" w:hAnsi="Calibri" w:cs="Calibri"/>
          <w:szCs w:val="24"/>
        </w:rPr>
        <w:t xml:space="preserve">. </w:t>
      </w:r>
      <w:r w:rsidR="00B50C83">
        <w:rPr>
          <w:rFonts w:ascii="Calibri" w:eastAsia="Calibri" w:hAnsi="Calibri" w:cs="Calibri"/>
          <w:szCs w:val="24"/>
        </w:rPr>
        <w:t>Výše v</w:t>
      </w:r>
      <w:r w:rsidR="004A6736">
        <w:rPr>
          <w:rFonts w:ascii="Calibri" w:eastAsia="Calibri" w:hAnsi="Calibri" w:cs="Calibri"/>
          <w:szCs w:val="24"/>
        </w:rPr>
        <w:t>ymáhan</w:t>
      </w:r>
      <w:r w:rsidR="00B50C83">
        <w:rPr>
          <w:rFonts w:ascii="Calibri" w:eastAsia="Calibri" w:hAnsi="Calibri" w:cs="Calibri"/>
          <w:szCs w:val="24"/>
        </w:rPr>
        <w:t>ých</w:t>
      </w:r>
      <w:r w:rsidR="00AB5B27">
        <w:rPr>
          <w:rFonts w:ascii="Calibri" w:eastAsia="Calibri" w:hAnsi="Calibri" w:cs="Calibri"/>
          <w:szCs w:val="24"/>
        </w:rPr>
        <w:t xml:space="preserve"> daňov</w:t>
      </w:r>
      <w:r w:rsidR="00B50C83">
        <w:rPr>
          <w:rFonts w:ascii="Calibri" w:eastAsia="Calibri" w:hAnsi="Calibri" w:cs="Calibri"/>
          <w:szCs w:val="24"/>
        </w:rPr>
        <w:t>ých</w:t>
      </w:r>
      <w:r w:rsidR="00AB5B27" w:rsidRPr="00A942B0">
        <w:rPr>
          <w:rFonts w:ascii="Calibri" w:eastAsia="Calibri" w:hAnsi="Calibri" w:cs="Calibri"/>
          <w:szCs w:val="24"/>
        </w:rPr>
        <w:t xml:space="preserve"> justiční</w:t>
      </w:r>
      <w:r w:rsidR="00B50C83">
        <w:rPr>
          <w:rFonts w:ascii="Calibri" w:eastAsia="Calibri" w:hAnsi="Calibri" w:cs="Calibri"/>
          <w:szCs w:val="24"/>
        </w:rPr>
        <w:t>ch</w:t>
      </w:r>
      <w:r w:rsidR="00AB5B27" w:rsidRPr="00A942B0">
        <w:rPr>
          <w:rFonts w:ascii="Calibri" w:eastAsia="Calibri" w:hAnsi="Calibri" w:cs="Calibri"/>
          <w:szCs w:val="24"/>
        </w:rPr>
        <w:t xml:space="preserve"> pohledáv</w:t>
      </w:r>
      <w:r w:rsidR="00B50C83">
        <w:rPr>
          <w:rFonts w:ascii="Calibri" w:eastAsia="Calibri" w:hAnsi="Calibri" w:cs="Calibri"/>
          <w:szCs w:val="24"/>
        </w:rPr>
        <w:t>e</w:t>
      </w:r>
      <w:r w:rsidR="00AB5B27" w:rsidRPr="00A942B0">
        <w:rPr>
          <w:rFonts w:ascii="Calibri" w:eastAsia="Calibri" w:hAnsi="Calibri" w:cs="Calibri"/>
          <w:szCs w:val="24"/>
        </w:rPr>
        <w:t xml:space="preserve">k </w:t>
      </w:r>
      <w:r w:rsidR="004A6736">
        <w:rPr>
          <w:rFonts w:ascii="Calibri" w:eastAsia="Calibri" w:hAnsi="Calibri" w:cs="Calibri"/>
          <w:szCs w:val="24"/>
        </w:rPr>
        <w:t>v roce</w:t>
      </w:r>
      <w:r w:rsidR="00AB5B27" w:rsidRPr="00A942B0">
        <w:rPr>
          <w:rFonts w:ascii="Calibri" w:eastAsia="Calibri" w:hAnsi="Calibri" w:cs="Calibri"/>
          <w:szCs w:val="24"/>
        </w:rPr>
        <w:t xml:space="preserve"> 2023 </w:t>
      </w:r>
      <w:r w:rsidR="002251A1">
        <w:rPr>
          <w:rFonts w:ascii="Calibri" w:eastAsia="Calibri" w:hAnsi="Calibri" w:cs="Calibri"/>
          <w:szCs w:val="24"/>
        </w:rPr>
        <w:t>činil</w:t>
      </w:r>
      <w:r w:rsidR="00B50C83">
        <w:rPr>
          <w:rFonts w:ascii="Calibri" w:eastAsia="Calibri" w:hAnsi="Calibri" w:cs="Calibri"/>
          <w:szCs w:val="24"/>
        </w:rPr>
        <w:t>a</w:t>
      </w:r>
      <w:r w:rsidR="002251A1" w:rsidRPr="00A942B0" w:rsidDel="002251A1">
        <w:rPr>
          <w:rFonts w:ascii="Calibri" w:eastAsia="Calibri" w:hAnsi="Calibri" w:cs="Calibri"/>
          <w:szCs w:val="24"/>
        </w:rPr>
        <w:t xml:space="preserve"> </w:t>
      </w:r>
      <w:r w:rsidR="004A6736" w:rsidRPr="00DD25A3">
        <w:rPr>
          <w:rFonts w:ascii="Calibri" w:eastAsia="Calibri" w:hAnsi="Calibri" w:cs="Calibri"/>
          <w:szCs w:val="24"/>
        </w:rPr>
        <w:t>7,6</w:t>
      </w:r>
      <w:r w:rsidR="00DD25A3" w:rsidRPr="00DD25A3">
        <w:rPr>
          <w:rFonts w:ascii="Calibri" w:eastAsia="Calibri" w:hAnsi="Calibri" w:cs="Calibri"/>
          <w:szCs w:val="24"/>
        </w:rPr>
        <w:t>5</w:t>
      </w:r>
      <w:r w:rsidR="00871133">
        <w:rPr>
          <w:rFonts w:ascii="Calibri" w:eastAsia="Calibri" w:hAnsi="Calibri" w:cs="Calibri"/>
          <w:szCs w:val="24"/>
        </w:rPr>
        <w:t> </w:t>
      </w:r>
      <w:r w:rsidR="00AB5B27">
        <w:rPr>
          <w:rFonts w:ascii="Calibri" w:eastAsia="Calibri" w:hAnsi="Calibri" w:cs="Calibri"/>
          <w:szCs w:val="24"/>
        </w:rPr>
        <w:t>mld.</w:t>
      </w:r>
      <w:r w:rsidR="00871133">
        <w:rPr>
          <w:rFonts w:ascii="Calibri" w:eastAsia="Calibri" w:hAnsi="Calibri" w:cs="Calibri"/>
          <w:szCs w:val="24"/>
        </w:rPr>
        <w:t> </w:t>
      </w:r>
      <w:r w:rsidR="00AB5B27" w:rsidRPr="00A942B0">
        <w:rPr>
          <w:rFonts w:ascii="Calibri" w:eastAsia="Calibri" w:hAnsi="Calibri" w:cs="Calibri"/>
          <w:szCs w:val="24"/>
        </w:rPr>
        <w:t>Kč.</w:t>
      </w:r>
    </w:p>
    <w:p w14:paraId="0711942B" w14:textId="210FED64" w:rsidR="008E7B43" w:rsidRDefault="00B46E5A" w:rsidP="00802C2A">
      <w:pPr>
        <w:spacing w:before="120" w:after="120"/>
        <w:rPr>
          <w:rFonts w:ascii="Calibri" w:eastAsia="Calibri" w:hAnsi="Calibri" w:cs="Calibri"/>
          <w:szCs w:val="24"/>
          <w:highlight w:val="yellow"/>
        </w:rPr>
      </w:pPr>
      <w:r w:rsidRPr="00F328AA">
        <w:rPr>
          <w:szCs w:val="24"/>
          <w:lang w:eastAsia="cs-CZ"/>
        </w:rPr>
        <w:t xml:space="preserve">Cílem kontrolní akce bylo prověřit, zda </w:t>
      </w:r>
      <w:r w:rsidRPr="00F328AA">
        <w:rPr>
          <w:szCs w:val="24"/>
        </w:rPr>
        <w:t>jsou správa soudních poplatků a vymáhání justičních pohledávek prováděny v souladu s právními předpisy a zda jsou vybrané justiční pohledávky vymáhány efektivně.</w:t>
      </w:r>
      <w:r w:rsidR="000A455C">
        <w:rPr>
          <w:rFonts w:ascii="Calibri" w:eastAsia="Calibri" w:hAnsi="Calibri" w:cs="Calibri"/>
          <w:szCs w:val="24"/>
        </w:rPr>
        <w:t xml:space="preserve"> </w:t>
      </w:r>
      <w:r w:rsidR="006326DA">
        <w:rPr>
          <w:rFonts w:ascii="Calibri" w:eastAsia="Calibri" w:hAnsi="Calibri" w:cs="Calibri"/>
          <w:szCs w:val="24"/>
        </w:rPr>
        <w:t xml:space="preserve">NKÚ </w:t>
      </w:r>
      <w:r w:rsidR="000A455C">
        <w:rPr>
          <w:rFonts w:ascii="Calibri" w:eastAsia="Calibri" w:hAnsi="Calibri" w:cs="Calibri"/>
          <w:szCs w:val="24"/>
        </w:rPr>
        <w:t xml:space="preserve">dále </w:t>
      </w:r>
      <w:r w:rsidR="009A1BCE">
        <w:rPr>
          <w:rFonts w:ascii="Calibri" w:eastAsia="Calibri" w:hAnsi="Calibri" w:cs="Calibri"/>
          <w:szCs w:val="24"/>
        </w:rPr>
        <w:t>mj.</w:t>
      </w:r>
      <w:r w:rsidR="000A455C">
        <w:rPr>
          <w:rFonts w:ascii="Calibri" w:eastAsia="Calibri" w:hAnsi="Calibri" w:cs="Calibri"/>
          <w:szCs w:val="24"/>
        </w:rPr>
        <w:t xml:space="preserve"> </w:t>
      </w:r>
      <w:r w:rsidR="00BA5AAF">
        <w:rPr>
          <w:rFonts w:ascii="Calibri" w:eastAsia="Calibri" w:hAnsi="Calibri" w:cs="Calibri"/>
          <w:szCs w:val="24"/>
        </w:rPr>
        <w:t>posuzoval</w:t>
      </w:r>
      <w:r w:rsidR="006326DA">
        <w:rPr>
          <w:rFonts w:ascii="Calibri" w:eastAsia="Calibri" w:hAnsi="Calibri" w:cs="Calibri"/>
          <w:szCs w:val="24"/>
        </w:rPr>
        <w:t xml:space="preserve"> </w:t>
      </w:r>
      <w:r w:rsidR="007647CE">
        <w:rPr>
          <w:rFonts w:ascii="Calibri" w:eastAsia="Calibri" w:hAnsi="Calibri" w:cs="Calibri"/>
          <w:szCs w:val="24"/>
        </w:rPr>
        <w:t>naplnění</w:t>
      </w:r>
      <w:r w:rsidR="00BA5AAF">
        <w:rPr>
          <w:rFonts w:ascii="Calibri" w:eastAsia="Calibri" w:hAnsi="Calibri" w:cs="Calibri"/>
          <w:szCs w:val="24"/>
        </w:rPr>
        <w:t xml:space="preserve"> předpokládaných dopadů převedení </w:t>
      </w:r>
      <w:r w:rsidR="000A455C">
        <w:rPr>
          <w:rFonts w:ascii="Calibri" w:eastAsia="Calibri" w:hAnsi="Calibri" w:cs="Calibri"/>
          <w:szCs w:val="24"/>
        </w:rPr>
        <w:t xml:space="preserve">vymáhání </w:t>
      </w:r>
      <w:r w:rsidR="009A1BCE">
        <w:rPr>
          <w:rFonts w:ascii="Calibri" w:eastAsia="Calibri" w:hAnsi="Calibri" w:cs="Calibri"/>
          <w:szCs w:val="24"/>
        </w:rPr>
        <w:t xml:space="preserve">peněžitých trestů na </w:t>
      </w:r>
      <w:r w:rsidR="007D0DFF">
        <w:rPr>
          <w:rFonts w:ascii="Calibri" w:eastAsia="Calibri" w:hAnsi="Calibri" w:cs="Calibri"/>
          <w:szCs w:val="24"/>
        </w:rPr>
        <w:t>celní úřady (dále také „</w:t>
      </w:r>
      <w:r w:rsidR="007D0DFF" w:rsidRPr="00E764D8">
        <w:rPr>
          <w:rFonts w:ascii="Calibri" w:eastAsia="Calibri" w:hAnsi="Calibri" w:cs="Calibri"/>
          <w:szCs w:val="24"/>
        </w:rPr>
        <w:t>CÚ</w:t>
      </w:r>
      <w:r w:rsidR="007D0DFF">
        <w:rPr>
          <w:rFonts w:ascii="Calibri" w:eastAsia="Calibri" w:hAnsi="Calibri" w:cs="Calibri"/>
          <w:szCs w:val="24"/>
        </w:rPr>
        <w:t>“)</w:t>
      </w:r>
      <w:r w:rsidR="007902E9">
        <w:rPr>
          <w:rFonts w:ascii="Calibri" w:eastAsia="Calibri" w:hAnsi="Calibri" w:cs="Calibri"/>
          <w:szCs w:val="24"/>
        </w:rPr>
        <w:t>.</w:t>
      </w:r>
    </w:p>
    <w:p w14:paraId="6490545D" w14:textId="2F6C43D5" w:rsidR="00CF047C" w:rsidRDefault="00837C0D" w:rsidP="00802C2A">
      <w:pPr>
        <w:pStyle w:val="Odstavecseseznamem"/>
        <w:spacing w:after="120"/>
        <w:ind w:left="0"/>
        <w:contextualSpacing w:val="0"/>
        <w:rPr>
          <w:rFonts w:ascii="Calibri" w:eastAsia="Calibri" w:hAnsi="Calibri" w:cs="Calibri"/>
          <w:b/>
          <w:bCs/>
          <w:szCs w:val="24"/>
        </w:rPr>
      </w:pPr>
      <w:r w:rsidRPr="007902E9">
        <w:rPr>
          <w:rFonts w:ascii="Calibri" w:eastAsia="Calibri" w:hAnsi="Calibri" w:cs="Calibri"/>
          <w:b/>
          <w:bCs/>
          <w:szCs w:val="24"/>
        </w:rPr>
        <w:t xml:space="preserve">NKÚ kontrolou </w:t>
      </w:r>
      <w:r w:rsidRPr="007902E9" w:rsidDel="00FA502F">
        <w:rPr>
          <w:rFonts w:ascii="Calibri" w:eastAsia="Calibri" w:hAnsi="Calibri" w:cs="Calibri"/>
          <w:b/>
          <w:bCs/>
          <w:szCs w:val="24"/>
        </w:rPr>
        <w:t>zjistil</w:t>
      </w:r>
      <w:r w:rsidRPr="007902E9">
        <w:rPr>
          <w:rFonts w:ascii="Calibri" w:eastAsia="Calibri" w:hAnsi="Calibri" w:cs="Calibri"/>
          <w:b/>
          <w:bCs/>
          <w:szCs w:val="24"/>
        </w:rPr>
        <w:t xml:space="preserve">, že </w:t>
      </w:r>
      <w:r w:rsidR="00FA502F" w:rsidRPr="007902E9">
        <w:rPr>
          <w:rFonts w:ascii="Calibri" w:eastAsia="Calibri" w:hAnsi="Calibri" w:cs="Calibri"/>
          <w:b/>
          <w:bCs/>
          <w:szCs w:val="24"/>
        </w:rPr>
        <w:t>kontrolované soudy</w:t>
      </w:r>
      <w:r w:rsidR="00EB42E3">
        <w:rPr>
          <w:rFonts w:ascii="Calibri" w:eastAsia="Calibri" w:hAnsi="Calibri" w:cs="Calibri"/>
          <w:b/>
          <w:bCs/>
          <w:szCs w:val="24"/>
        </w:rPr>
        <w:t xml:space="preserve"> v některých případech</w:t>
      </w:r>
      <w:r w:rsidR="00FA502F" w:rsidRPr="007902E9">
        <w:rPr>
          <w:rFonts w:ascii="Calibri" w:eastAsia="Calibri" w:hAnsi="Calibri" w:cs="Calibri"/>
          <w:b/>
          <w:bCs/>
          <w:szCs w:val="24"/>
        </w:rPr>
        <w:t xml:space="preserve"> nepostupovaly při správě soudních poplatků a</w:t>
      </w:r>
      <w:r w:rsidR="002D0ADD">
        <w:rPr>
          <w:rFonts w:ascii="Calibri" w:eastAsia="Calibri" w:hAnsi="Calibri" w:cs="Calibri"/>
          <w:b/>
          <w:bCs/>
          <w:szCs w:val="24"/>
        </w:rPr>
        <w:t> </w:t>
      </w:r>
      <w:r w:rsidR="00FA502F" w:rsidRPr="007902E9">
        <w:rPr>
          <w:rFonts w:ascii="Calibri" w:eastAsia="Calibri" w:hAnsi="Calibri" w:cs="Calibri"/>
          <w:b/>
          <w:bCs/>
          <w:szCs w:val="24"/>
        </w:rPr>
        <w:t xml:space="preserve">vymáhání justičních pohledávek v souladu s právními předpisy. </w:t>
      </w:r>
      <w:r w:rsidR="005F6016">
        <w:rPr>
          <w:rFonts w:ascii="Calibri" w:eastAsia="Calibri" w:hAnsi="Calibri" w:cs="Calibri"/>
          <w:b/>
          <w:bCs/>
          <w:szCs w:val="24"/>
        </w:rPr>
        <w:t>Úspěšnost vymáhání těchto pohledávek soudy v letech 202</w:t>
      </w:r>
      <w:r w:rsidR="0000656A">
        <w:rPr>
          <w:rFonts w:ascii="Calibri" w:eastAsia="Calibri" w:hAnsi="Calibri" w:cs="Calibri"/>
          <w:b/>
          <w:bCs/>
          <w:szCs w:val="24"/>
        </w:rPr>
        <w:t xml:space="preserve">1 až </w:t>
      </w:r>
      <w:r w:rsidR="005F6016">
        <w:rPr>
          <w:rFonts w:ascii="Calibri" w:eastAsia="Calibri" w:hAnsi="Calibri" w:cs="Calibri"/>
          <w:b/>
          <w:bCs/>
          <w:szCs w:val="24"/>
        </w:rPr>
        <w:t xml:space="preserve">2023 činila </w:t>
      </w:r>
      <w:r w:rsidR="00182B4D">
        <w:rPr>
          <w:rFonts w:ascii="Calibri" w:eastAsia="Calibri" w:hAnsi="Calibri" w:cs="Calibri"/>
          <w:b/>
          <w:bCs/>
          <w:szCs w:val="24"/>
        </w:rPr>
        <w:t>cca</w:t>
      </w:r>
      <w:r w:rsidR="00E15708">
        <w:rPr>
          <w:rFonts w:ascii="Calibri" w:eastAsia="Calibri" w:hAnsi="Calibri" w:cs="Calibri"/>
          <w:b/>
          <w:bCs/>
          <w:szCs w:val="24"/>
        </w:rPr>
        <w:t xml:space="preserve"> </w:t>
      </w:r>
      <w:r w:rsidR="005F6016">
        <w:rPr>
          <w:rFonts w:ascii="Calibri" w:eastAsia="Calibri" w:hAnsi="Calibri" w:cs="Calibri"/>
          <w:b/>
          <w:bCs/>
          <w:szCs w:val="24"/>
        </w:rPr>
        <w:t>8</w:t>
      </w:r>
      <w:r w:rsidR="000F7E5F">
        <w:rPr>
          <w:rFonts w:ascii="Calibri" w:eastAsia="Calibri" w:hAnsi="Calibri" w:cs="Calibri"/>
          <w:b/>
          <w:bCs/>
          <w:szCs w:val="24"/>
        </w:rPr>
        <w:t> </w:t>
      </w:r>
      <w:r w:rsidR="005F6016">
        <w:rPr>
          <w:rFonts w:ascii="Calibri" w:eastAsia="Calibri" w:hAnsi="Calibri" w:cs="Calibri"/>
          <w:b/>
          <w:bCs/>
          <w:szCs w:val="24"/>
        </w:rPr>
        <w:t xml:space="preserve">%. </w:t>
      </w:r>
      <w:r w:rsidR="00C6564D">
        <w:rPr>
          <w:rFonts w:ascii="Calibri" w:eastAsia="Calibri" w:hAnsi="Calibri" w:cs="Calibri"/>
          <w:b/>
          <w:bCs/>
          <w:szCs w:val="24"/>
        </w:rPr>
        <w:t>Celní úřady vymáhaly</w:t>
      </w:r>
      <w:r w:rsidR="00AE170B">
        <w:rPr>
          <w:rFonts w:ascii="Calibri" w:eastAsia="Calibri" w:hAnsi="Calibri" w:cs="Calibri"/>
          <w:b/>
          <w:bCs/>
          <w:szCs w:val="24"/>
        </w:rPr>
        <w:t xml:space="preserve"> </w:t>
      </w:r>
      <w:r w:rsidR="00C6564D">
        <w:rPr>
          <w:rFonts w:ascii="Calibri" w:eastAsia="Calibri" w:hAnsi="Calibri" w:cs="Calibri"/>
          <w:b/>
          <w:bCs/>
          <w:szCs w:val="24"/>
        </w:rPr>
        <w:t>justiční pohledávky</w:t>
      </w:r>
      <w:r w:rsidR="00AE170B">
        <w:rPr>
          <w:rFonts w:ascii="Calibri" w:eastAsia="Calibri" w:hAnsi="Calibri" w:cs="Calibri"/>
          <w:b/>
          <w:bCs/>
          <w:szCs w:val="24"/>
        </w:rPr>
        <w:t xml:space="preserve"> s devítiprocentní úspěšností</w:t>
      </w:r>
      <w:r w:rsidR="00F91339">
        <w:rPr>
          <w:rFonts w:ascii="Calibri" w:eastAsia="Calibri" w:hAnsi="Calibri" w:cs="Calibri"/>
          <w:b/>
          <w:bCs/>
          <w:szCs w:val="24"/>
        </w:rPr>
        <w:t>.</w:t>
      </w:r>
      <w:r w:rsidR="002F7259">
        <w:rPr>
          <w:rFonts w:ascii="Calibri" w:eastAsia="Calibri" w:hAnsi="Calibri" w:cs="Calibri"/>
          <w:b/>
          <w:bCs/>
          <w:szCs w:val="24"/>
        </w:rPr>
        <w:t xml:space="preserve"> </w:t>
      </w:r>
      <w:r w:rsidR="00F91339">
        <w:rPr>
          <w:rFonts w:ascii="Calibri" w:eastAsia="Calibri" w:hAnsi="Calibri" w:cs="Calibri"/>
          <w:b/>
          <w:bCs/>
          <w:szCs w:val="24"/>
        </w:rPr>
        <w:t>N</w:t>
      </w:r>
      <w:r w:rsidR="00C6564D">
        <w:rPr>
          <w:rFonts w:ascii="Calibri" w:eastAsia="Calibri" w:hAnsi="Calibri" w:cs="Calibri"/>
          <w:b/>
          <w:bCs/>
          <w:szCs w:val="24"/>
        </w:rPr>
        <w:t>ákladovost vymáhání</w:t>
      </w:r>
      <w:r w:rsidR="00AE170B">
        <w:rPr>
          <w:rFonts w:ascii="Calibri" w:eastAsia="Calibri" w:hAnsi="Calibri" w:cs="Calibri"/>
          <w:b/>
          <w:bCs/>
          <w:szCs w:val="24"/>
        </w:rPr>
        <w:t xml:space="preserve"> těchto pohledávek</w:t>
      </w:r>
      <w:r w:rsidR="00C6564D">
        <w:rPr>
          <w:rFonts w:ascii="Calibri" w:eastAsia="Calibri" w:hAnsi="Calibri" w:cs="Calibri"/>
          <w:b/>
          <w:bCs/>
          <w:szCs w:val="24"/>
        </w:rPr>
        <w:t xml:space="preserve"> se</w:t>
      </w:r>
      <w:r w:rsidR="00F91339">
        <w:rPr>
          <w:rFonts w:ascii="Calibri" w:eastAsia="Calibri" w:hAnsi="Calibri" w:cs="Calibri"/>
          <w:b/>
          <w:bCs/>
          <w:szCs w:val="24"/>
        </w:rPr>
        <w:t xml:space="preserve"> však</w:t>
      </w:r>
      <w:r w:rsidR="00C6564D">
        <w:rPr>
          <w:rFonts w:ascii="Calibri" w:eastAsia="Calibri" w:hAnsi="Calibri" w:cs="Calibri"/>
          <w:b/>
          <w:bCs/>
          <w:szCs w:val="24"/>
        </w:rPr>
        <w:t xml:space="preserve"> snížila. </w:t>
      </w:r>
      <w:r w:rsidR="00E64386" w:rsidRPr="007902E9">
        <w:rPr>
          <w:rFonts w:ascii="Calibri" w:eastAsia="Calibri" w:hAnsi="Calibri" w:cs="Calibri"/>
          <w:b/>
          <w:bCs/>
          <w:szCs w:val="24"/>
        </w:rPr>
        <w:t xml:space="preserve">Převedením </w:t>
      </w:r>
      <w:r w:rsidR="007C28D3">
        <w:rPr>
          <w:rFonts w:ascii="Calibri" w:eastAsia="Calibri" w:hAnsi="Calibri" w:cs="Calibri"/>
          <w:b/>
          <w:bCs/>
          <w:szCs w:val="24"/>
        </w:rPr>
        <w:t xml:space="preserve">kompetence </w:t>
      </w:r>
      <w:r w:rsidR="00923A7E">
        <w:rPr>
          <w:rFonts w:ascii="Calibri" w:eastAsia="Calibri" w:hAnsi="Calibri" w:cs="Calibri"/>
          <w:b/>
          <w:bCs/>
          <w:szCs w:val="24"/>
        </w:rPr>
        <w:t>k</w:t>
      </w:r>
      <w:r w:rsidR="005F6016">
        <w:rPr>
          <w:rFonts w:ascii="Calibri" w:eastAsia="Calibri" w:hAnsi="Calibri" w:cs="Calibri"/>
          <w:b/>
          <w:bCs/>
          <w:szCs w:val="24"/>
        </w:rPr>
        <w:t xml:space="preserve"> </w:t>
      </w:r>
      <w:r w:rsidR="007C28D3">
        <w:rPr>
          <w:rFonts w:ascii="Calibri" w:eastAsia="Calibri" w:hAnsi="Calibri" w:cs="Calibri"/>
          <w:b/>
          <w:bCs/>
          <w:szCs w:val="24"/>
        </w:rPr>
        <w:t>vymáhání</w:t>
      </w:r>
      <w:r w:rsidR="00C6564D">
        <w:rPr>
          <w:rFonts w:ascii="Calibri" w:eastAsia="Calibri" w:hAnsi="Calibri" w:cs="Calibri"/>
          <w:b/>
          <w:bCs/>
          <w:szCs w:val="24"/>
        </w:rPr>
        <w:t xml:space="preserve"> justičních pohledávek</w:t>
      </w:r>
      <w:r w:rsidR="007C28D3">
        <w:rPr>
          <w:rFonts w:ascii="Calibri" w:eastAsia="Calibri" w:hAnsi="Calibri" w:cs="Calibri"/>
          <w:b/>
          <w:bCs/>
          <w:szCs w:val="24"/>
        </w:rPr>
        <w:t xml:space="preserve"> </w:t>
      </w:r>
      <w:r w:rsidR="00E64386" w:rsidRPr="007902E9">
        <w:rPr>
          <w:rFonts w:ascii="Calibri" w:eastAsia="Calibri" w:hAnsi="Calibri" w:cs="Calibri"/>
          <w:b/>
          <w:bCs/>
          <w:szCs w:val="24"/>
        </w:rPr>
        <w:t xml:space="preserve">na </w:t>
      </w:r>
      <w:r w:rsidR="005F6016">
        <w:rPr>
          <w:rFonts w:ascii="Calibri" w:eastAsia="Calibri" w:hAnsi="Calibri" w:cs="Calibri"/>
          <w:b/>
          <w:bCs/>
          <w:szCs w:val="24"/>
        </w:rPr>
        <w:t>C</w:t>
      </w:r>
      <w:r w:rsidR="004A36CA">
        <w:rPr>
          <w:rFonts w:ascii="Calibri" w:eastAsia="Calibri" w:hAnsi="Calibri" w:cs="Calibri"/>
          <w:b/>
          <w:bCs/>
          <w:szCs w:val="24"/>
        </w:rPr>
        <w:t>S</w:t>
      </w:r>
      <w:r w:rsidR="005F6016">
        <w:rPr>
          <w:rFonts w:ascii="Calibri" w:eastAsia="Calibri" w:hAnsi="Calibri" w:cs="Calibri"/>
          <w:b/>
          <w:bCs/>
          <w:szCs w:val="24"/>
        </w:rPr>
        <w:t xml:space="preserve"> ČR </w:t>
      </w:r>
      <w:r w:rsidR="00E64386" w:rsidRPr="007902E9">
        <w:rPr>
          <w:rFonts w:ascii="Calibri" w:eastAsia="Calibri" w:hAnsi="Calibri" w:cs="Calibri"/>
          <w:b/>
          <w:bCs/>
          <w:szCs w:val="24"/>
        </w:rPr>
        <w:t xml:space="preserve">došlo k zefektivnění </w:t>
      </w:r>
      <w:r w:rsidR="00FA502F" w:rsidRPr="007902E9">
        <w:rPr>
          <w:rFonts w:ascii="Calibri" w:eastAsia="Calibri" w:hAnsi="Calibri" w:cs="Calibri"/>
          <w:b/>
          <w:bCs/>
          <w:szCs w:val="24"/>
        </w:rPr>
        <w:t>vymáh</w:t>
      </w:r>
      <w:r w:rsidR="00E64386" w:rsidRPr="007902E9">
        <w:rPr>
          <w:rFonts w:ascii="Calibri" w:eastAsia="Calibri" w:hAnsi="Calibri" w:cs="Calibri"/>
          <w:b/>
          <w:bCs/>
          <w:szCs w:val="24"/>
        </w:rPr>
        <w:t>ání</w:t>
      </w:r>
      <w:r w:rsidR="00FA502F" w:rsidRPr="007902E9">
        <w:rPr>
          <w:rFonts w:ascii="Calibri" w:eastAsia="Calibri" w:hAnsi="Calibri" w:cs="Calibri"/>
          <w:b/>
          <w:bCs/>
          <w:szCs w:val="24"/>
        </w:rPr>
        <w:t xml:space="preserve"> </w:t>
      </w:r>
      <w:r w:rsidR="005F6016">
        <w:rPr>
          <w:rFonts w:ascii="Calibri" w:eastAsia="Calibri" w:hAnsi="Calibri" w:cs="Calibri"/>
          <w:b/>
          <w:bCs/>
          <w:szCs w:val="24"/>
        </w:rPr>
        <w:t>těchto</w:t>
      </w:r>
      <w:r w:rsidR="005F6016" w:rsidRPr="007902E9">
        <w:rPr>
          <w:rFonts w:ascii="Calibri" w:eastAsia="Calibri" w:hAnsi="Calibri" w:cs="Calibri"/>
          <w:b/>
          <w:bCs/>
          <w:szCs w:val="24"/>
        </w:rPr>
        <w:t xml:space="preserve"> </w:t>
      </w:r>
      <w:r w:rsidR="00FA502F" w:rsidRPr="007902E9">
        <w:rPr>
          <w:rFonts w:ascii="Calibri" w:eastAsia="Calibri" w:hAnsi="Calibri" w:cs="Calibri"/>
          <w:b/>
          <w:bCs/>
          <w:szCs w:val="24"/>
        </w:rPr>
        <w:t>pohledáv</w:t>
      </w:r>
      <w:r w:rsidR="00E64386" w:rsidRPr="007902E9">
        <w:rPr>
          <w:rFonts w:ascii="Calibri" w:eastAsia="Calibri" w:hAnsi="Calibri" w:cs="Calibri"/>
          <w:b/>
          <w:bCs/>
          <w:szCs w:val="24"/>
        </w:rPr>
        <w:t>e</w:t>
      </w:r>
      <w:r w:rsidR="00FA502F" w:rsidRPr="007902E9">
        <w:rPr>
          <w:rFonts w:ascii="Calibri" w:eastAsia="Calibri" w:hAnsi="Calibri" w:cs="Calibri"/>
          <w:b/>
          <w:bCs/>
          <w:szCs w:val="24"/>
        </w:rPr>
        <w:t>k.</w:t>
      </w:r>
      <w:r w:rsidR="00252773" w:rsidRPr="007902E9">
        <w:rPr>
          <w:rFonts w:ascii="Calibri" w:eastAsia="Calibri" w:hAnsi="Calibri" w:cs="Calibri"/>
          <w:b/>
          <w:bCs/>
          <w:szCs w:val="24"/>
        </w:rPr>
        <w:t xml:space="preserve"> </w:t>
      </w:r>
    </w:p>
    <w:p w14:paraId="75D490EF" w14:textId="3D99BC9E" w:rsidR="000E6732" w:rsidRDefault="00780C1D" w:rsidP="00802C2A">
      <w:pPr>
        <w:pStyle w:val="Odstavecseseznamem"/>
        <w:spacing w:after="120"/>
        <w:ind w:left="0"/>
        <w:contextualSpacing w:val="0"/>
        <w:rPr>
          <w:rFonts w:ascii="Calibri" w:eastAsia="Calibri" w:hAnsi="Calibri" w:cs="Calibri"/>
          <w:b/>
          <w:bCs/>
          <w:szCs w:val="24"/>
        </w:rPr>
      </w:pPr>
      <w:r>
        <w:rPr>
          <w:rFonts w:ascii="Calibri" w:eastAsia="Calibri" w:hAnsi="Calibri" w:cs="Calibri"/>
          <w:b/>
          <w:bCs/>
          <w:szCs w:val="24"/>
        </w:rPr>
        <w:t>Z</w:t>
      </w:r>
      <w:r w:rsidR="00204D0A">
        <w:rPr>
          <w:rFonts w:ascii="Calibri" w:eastAsia="Calibri" w:hAnsi="Calibri" w:cs="Calibri"/>
          <w:b/>
          <w:bCs/>
          <w:szCs w:val="24"/>
        </w:rPr>
        <w:t>áměr uvedený v důvodové zprávě</w:t>
      </w:r>
      <w:r w:rsidR="00204D0A">
        <w:rPr>
          <w:rStyle w:val="Znakapoznpodarou"/>
          <w:rFonts w:ascii="Calibri" w:eastAsia="Calibri" w:hAnsi="Calibri" w:cs="Calibri"/>
          <w:b/>
          <w:bCs/>
          <w:szCs w:val="24"/>
        </w:rPr>
        <w:footnoteReference w:id="8"/>
      </w:r>
      <w:r w:rsidR="00DE4592" w:rsidRPr="007902E9">
        <w:rPr>
          <w:rFonts w:ascii="Calibri" w:eastAsia="Calibri" w:hAnsi="Calibri" w:cs="Calibri"/>
          <w:b/>
          <w:bCs/>
          <w:szCs w:val="24"/>
        </w:rPr>
        <w:t xml:space="preserve"> v podobě častějšího ukládání p</w:t>
      </w:r>
      <w:r w:rsidR="00252773" w:rsidRPr="007902E9">
        <w:rPr>
          <w:rFonts w:ascii="Calibri" w:eastAsia="Calibri" w:hAnsi="Calibri" w:cs="Calibri"/>
          <w:b/>
          <w:bCs/>
          <w:szCs w:val="24"/>
        </w:rPr>
        <w:t>eněžit</w:t>
      </w:r>
      <w:r w:rsidR="00DE4592" w:rsidRPr="007902E9">
        <w:rPr>
          <w:rFonts w:ascii="Calibri" w:eastAsia="Calibri" w:hAnsi="Calibri" w:cs="Calibri"/>
          <w:b/>
          <w:bCs/>
          <w:szCs w:val="24"/>
        </w:rPr>
        <w:t>ých</w:t>
      </w:r>
      <w:r w:rsidR="00252773" w:rsidRPr="007902E9">
        <w:rPr>
          <w:rFonts w:ascii="Calibri" w:eastAsia="Calibri" w:hAnsi="Calibri" w:cs="Calibri"/>
          <w:b/>
          <w:bCs/>
          <w:szCs w:val="24"/>
        </w:rPr>
        <w:t xml:space="preserve"> trest</w:t>
      </w:r>
      <w:r w:rsidR="00DE4592" w:rsidRPr="007902E9">
        <w:rPr>
          <w:rFonts w:ascii="Calibri" w:eastAsia="Calibri" w:hAnsi="Calibri" w:cs="Calibri"/>
          <w:b/>
          <w:bCs/>
          <w:szCs w:val="24"/>
        </w:rPr>
        <w:t>ů</w:t>
      </w:r>
      <w:r>
        <w:rPr>
          <w:rFonts w:ascii="Calibri" w:eastAsia="Calibri" w:hAnsi="Calibri" w:cs="Calibri"/>
          <w:b/>
          <w:bCs/>
          <w:szCs w:val="24"/>
        </w:rPr>
        <w:t xml:space="preserve"> se </w:t>
      </w:r>
      <w:r w:rsidR="001271AA">
        <w:rPr>
          <w:rFonts w:ascii="Calibri" w:eastAsia="Calibri" w:hAnsi="Calibri" w:cs="Calibri"/>
          <w:b/>
          <w:bCs/>
          <w:szCs w:val="24"/>
        </w:rPr>
        <w:t>po pře</w:t>
      </w:r>
      <w:r w:rsidR="00C97F43">
        <w:rPr>
          <w:rFonts w:ascii="Calibri" w:eastAsia="Calibri" w:hAnsi="Calibri" w:cs="Calibri"/>
          <w:b/>
          <w:bCs/>
          <w:szCs w:val="24"/>
        </w:rPr>
        <w:t>vedení</w:t>
      </w:r>
      <w:r w:rsidR="004C1ABE">
        <w:rPr>
          <w:rFonts w:ascii="Calibri" w:eastAsia="Calibri" w:hAnsi="Calibri" w:cs="Calibri"/>
          <w:b/>
          <w:bCs/>
          <w:szCs w:val="24"/>
        </w:rPr>
        <w:t xml:space="preserve"> kompetence k</w:t>
      </w:r>
      <w:r w:rsidR="00C97F43">
        <w:rPr>
          <w:rFonts w:ascii="Calibri" w:eastAsia="Calibri" w:hAnsi="Calibri" w:cs="Calibri"/>
          <w:b/>
          <w:bCs/>
          <w:szCs w:val="24"/>
        </w:rPr>
        <w:t xml:space="preserve"> jejich </w:t>
      </w:r>
      <w:r w:rsidR="001271AA">
        <w:rPr>
          <w:rFonts w:ascii="Calibri" w:eastAsia="Calibri" w:hAnsi="Calibri" w:cs="Calibri"/>
          <w:b/>
          <w:bCs/>
          <w:szCs w:val="24"/>
        </w:rPr>
        <w:t>vymáhání na CS ČR</w:t>
      </w:r>
      <w:r>
        <w:rPr>
          <w:rFonts w:ascii="Calibri" w:eastAsia="Calibri" w:hAnsi="Calibri" w:cs="Calibri"/>
          <w:b/>
          <w:bCs/>
          <w:szCs w:val="24"/>
        </w:rPr>
        <w:t xml:space="preserve"> nenaplnil</w:t>
      </w:r>
      <w:r w:rsidR="00171098">
        <w:rPr>
          <w:rFonts w:ascii="Calibri" w:eastAsia="Calibri" w:hAnsi="Calibri" w:cs="Calibri"/>
          <w:b/>
          <w:bCs/>
          <w:szCs w:val="24"/>
        </w:rPr>
        <w:t>.</w:t>
      </w:r>
      <w:r w:rsidR="000E6732">
        <w:rPr>
          <w:rFonts w:ascii="Calibri" w:eastAsia="Calibri" w:hAnsi="Calibri" w:cs="Calibri"/>
          <w:b/>
          <w:bCs/>
          <w:szCs w:val="24"/>
        </w:rPr>
        <w:t xml:space="preserve"> </w:t>
      </w:r>
    </w:p>
    <w:p w14:paraId="488E7E28" w14:textId="5BD7834A" w:rsidR="00837C0D" w:rsidRPr="000E6732" w:rsidRDefault="00837C0D" w:rsidP="00802C2A">
      <w:pPr>
        <w:pStyle w:val="Odstavecseseznamem"/>
        <w:keepNext/>
        <w:spacing w:before="240" w:after="120"/>
        <w:ind w:left="0"/>
        <w:contextualSpacing w:val="0"/>
        <w:rPr>
          <w:rFonts w:ascii="Calibri" w:eastAsia="Calibri" w:hAnsi="Calibri" w:cs="Calibri"/>
          <w:b/>
          <w:bCs/>
          <w:szCs w:val="24"/>
        </w:rPr>
      </w:pPr>
      <w:r w:rsidRPr="00165DA2">
        <w:rPr>
          <w:rFonts w:ascii="Calibri" w:eastAsia="Calibri" w:hAnsi="Calibri" w:cs="Calibri"/>
          <w:szCs w:val="24"/>
        </w:rPr>
        <w:lastRenderedPageBreak/>
        <w:t>Celkové vyhodnocení se opírá o následující kontrolou zjištěné skutečnosti:</w:t>
      </w:r>
    </w:p>
    <w:p w14:paraId="2C409380" w14:textId="3D66FEA9" w:rsidR="009B6D96" w:rsidRPr="00B9011E" w:rsidRDefault="009B6D96" w:rsidP="00E15933">
      <w:pPr>
        <w:pStyle w:val="Nadpis2"/>
        <w:keepLines w:val="0"/>
        <w:spacing w:before="240"/>
        <w:ind w:left="284" w:hanging="284"/>
        <w:jc w:val="left"/>
        <w:rPr>
          <w:rFonts w:eastAsia="Calibri"/>
        </w:rPr>
      </w:pPr>
      <w:r w:rsidRPr="00B9011E">
        <w:rPr>
          <w:rFonts w:eastAsia="Calibri"/>
        </w:rPr>
        <w:t>Kontrolované soudy</w:t>
      </w:r>
      <w:r w:rsidR="00B85EB0">
        <w:rPr>
          <w:rFonts w:eastAsia="Calibri"/>
        </w:rPr>
        <w:t xml:space="preserve"> v některých případech</w:t>
      </w:r>
      <w:r w:rsidRPr="00B9011E">
        <w:rPr>
          <w:rFonts w:eastAsia="Calibri"/>
        </w:rPr>
        <w:t xml:space="preserve"> nepostupovaly při správě soudních poplatků a</w:t>
      </w:r>
      <w:r w:rsidR="008A7E39">
        <w:rPr>
          <w:rFonts w:eastAsia="Calibri"/>
        </w:rPr>
        <w:t> </w:t>
      </w:r>
      <w:r w:rsidRPr="00B9011E">
        <w:rPr>
          <w:rFonts w:eastAsia="Calibri"/>
        </w:rPr>
        <w:t>vymáhání justičních pohledávek v souladu s právními předpisy</w:t>
      </w:r>
    </w:p>
    <w:p w14:paraId="4CFDA6CC" w14:textId="68A6967F" w:rsidR="0047209E" w:rsidRPr="00C05852" w:rsidRDefault="00253179" w:rsidP="00802C2A">
      <w:pPr>
        <w:pStyle w:val="Odstavecseseznamem"/>
        <w:spacing w:after="120"/>
        <w:ind w:left="0"/>
        <w:contextualSpacing w:val="0"/>
        <w:rPr>
          <w:rFonts w:ascii="Calibri" w:eastAsia="Calibri" w:hAnsi="Calibri" w:cs="Calibri"/>
          <w:szCs w:val="24"/>
        </w:rPr>
      </w:pPr>
      <w:r w:rsidRPr="00E91BC6">
        <w:rPr>
          <w:rFonts w:ascii="Calibri" w:eastAsia="Calibri" w:hAnsi="Calibri" w:cs="Calibri"/>
          <w:szCs w:val="24"/>
        </w:rPr>
        <w:t xml:space="preserve">KS Ostrava i OS </w:t>
      </w:r>
      <w:r w:rsidR="005924A4">
        <w:rPr>
          <w:rFonts w:ascii="Calibri" w:eastAsia="Calibri" w:hAnsi="Calibri" w:cs="Calibri"/>
          <w:szCs w:val="24"/>
        </w:rPr>
        <w:t>PM</w:t>
      </w:r>
      <w:r w:rsidR="0047209E" w:rsidRPr="00E91BC6">
        <w:rPr>
          <w:rFonts w:ascii="Calibri" w:eastAsia="Calibri" w:hAnsi="Calibri" w:cs="Calibri"/>
          <w:szCs w:val="24"/>
        </w:rPr>
        <w:t xml:space="preserve"> </w:t>
      </w:r>
      <w:r w:rsidR="00831CF9">
        <w:rPr>
          <w:lang w:eastAsia="cs-CZ"/>
        </w:rPr>
        <w:t xml:space="preserve">u </w:t>
      </w:r>
      <w:r w:rsidR="0047209E" w:rsidRPr="00E91BC6">
        <w:rPr>
          <w:lang w:eastAsia="cs-CZ"/>
        </w:rPr>
        <w:t>pohledávek</w:t>
      </w:r>
      <w:r w:rsidR="005F6016">
        <w:rPr>
          <w:lang w:eastAsia="cs-CZ"/>
        </w:rPr>
        <w:t xml:space="preserve"> v celkové výši </w:t>
      </w:r>
      <w:r w:rsidR="00FF0A9F">
        <w:rPr>
          <w:lang w:eastAsia="cs-CZ"/>
        </w:rPr>
        <w:t>1,</w:t>
      </w:r>
      <w:r w:rsidR="00BD2B4C">
        <w:rPr>
          <w:lang w:eastAsia="cs-CZ"/>
        </w:rPr>
        <w:t>4</w:t>
      </w:r>
      <w:r w:rsidR="005F6016">
        <w:rPr>
          <w:lang w:eastAsia="cs-CZ"/>
        </w:rPr>
        <w:t xml:space="preserve"> </w:t>
      </w:r>
      <w:r w:rsidR="00FF0A9F">
        <w:rPr>
          <w:lang w:eastAsia="cs-CZ"/>
        </w:rPr>
        <w:t>mil</w:t>
      </w:r>
      <w:r w:rsidR="005F6016">
        <w:rPr>
          <w:lang w:eastAsia="cs-CZ"/>
        </w:rPr>
        <w:t>. Kč</w:t>
      </w:r>
      <w:r w:rsidR="005F6016">
        <w:rPr>
          <w:rStyle w:val="Znakapoznpodarou"/>
          <w:lang w:eastAsia="cs-CZ"/>
        </w:rPr>
        <w:footnoteReference w:id="9"/>
      </w:r>
      <w:r w:rsidR="0047209E" w:rsidRPr="00E91BC6">
        <w:rPr>
          <w:lang w:eastAsia="cs-CZ"/>
        </w:rPr>
        <w:t xml:space="preserve"> průběžně nesledovaly, zda dlužníci včas a řádně plnili své dluhy. </w:t>
      </w:r>
      <w:r w:rsidR="005F6016">
        <w:rPr>
          <w:rFonts w:ascii="Calibri" w:eastAsia="Calibri" w:hAnsi="Calibri" w:cs="Calibri"/>
          <w:szCs w:val="24"/>
        </w:rPr>
        <w:t>N</w:t>
      </w:r>
      <w:r w:rsidR="005F6016" w:rsidRPr="00E91BC6">
        <w:rPr>
          <w:rFonts w:ascii="Calibri" w:eastAsia="Calibri" w:hAnsi="Calibri" w:cs="Calibri"/>
          <w:szCs w:val="24"/>
        </w:rPr>
        <w:t>enaplnily</w:t>
      </w:r>
      <w:r w:rsidR="005F6016">
        <w:rPr>
          <w:rFonts w:ascii="Calibri" w:eastAsia="Calibri" w:hAnsi="Calibri" w:cs="Calibri"/>
          <w:szCs w:val="24"/>
        </w:rPr>
        <w:t xml:space="preserve"> tím</w:t>
      </w:r>
      <w:r w:rsidR="005F6016" w:rsidRPr="00E91BC6">
        <w:rPr>
          <w:rFonts w:ascii="Calibri" w:eastAsia="Calibri" w:hAnsi="Calibri" w:cs="Calibri"/>
          <w:szCs w:val="24"/>
        </w:rPr>
        <w:t xml:space="preserve"> jeden z cílů správy daní, </w:t>
      </w:r>
      <w:r w:rsidR="005F6016" w:rsidRPr="00E91BC6">
        <w:rPr>
          <w:lang w:eastAsia="cs-CZ"/>
        </w:rPr>
        <w:t>kterým je zabezpečení jejich úhrady</w:t>
      </w:r>
      <w:r w:rsidR="005F6016" w:rsidRPr="00E91BC6">
        <w:rPr>
          <w:rStyle w:val="Znakapoznpodarou"/>
          <w:lang w:eastAsia="cs-CZ"/>
        </w:rPr>
        <w:footnoteReference w:id="10"/>
      </w:r>
      <w:r w:rsidR="005F6016" w:rsidRPr="00E91BC6">
        <w:rPr>
          <w:lang w:eastAsia="cs-CZ"/>
        </w:rPr>
        <w:t>.</w:t>
      </w:r>
      <w:r w:rsidR="005F6016">
        <w:rPr>
          <w:lang w:eastAsia="cs-CZ"/>
        </w:rPr>
        <w:t xml:space="preserve"> </w:t>
      </w:r>
      <w:r w:rsidR="00204D0A">
        <w:rPr>
          <w:lang w:eastAsia="cs-CZ"/>
        </w:rPr>
        <w:t>V</w:t>
      </w:r>
      <w:r w:rsidR="00730E00">
        <w:rPr>
          <w:lang w:eastAsia="cs-CZ"/>
        </w:rPr>
        <w:t xml:space="preserve"> </w:t>
      </w:r>
      <w:r w:rsidR="00EF37AA">
        <w:rPr>
          <w:lang w:eastAsia="cs-CZ"/>
        </w:rPr>
        <w:t xml:space="preserve">některých případech </w:t>
      </w:r>
      <w:r w:rsidR="002B1304">
        <w:rPr>
          <w:rFonts w:ascii="Calibri" w:eastAsia="Calibri" w:hAnsi="Calibri" w:cs="Calibri"/>
          <w:szCs w:val="24"/>
        </w:rPr>
        <w:t>nepostupovaly</w:t>
      </w:r>
      <w:r w:rsidR="0047209E" w:rsidRPr="00E91BC6">
        <w:rPr>
          <w:rFonts w:ascii="Calibri" w:eastAsia="Calibri" w:hAnsi="Calibri" w:cs="Calibri"/>
          <w:szCs w:val="24"/>
        </w:rPr>
        <w:t xml:space="preserve"> v souladu </w:t>
      </w:r>
      <w:r w:rsidR="002B1304">
        <w:rPr>
          <w:rFonts w:ascii="Calibri" w:eastAsia="Calibri" w:hAnsi="Calibri" w:cs="Calibri"/>
          <w:szCs w:val="24"/>
        </w:rPr>
        <w:t>s daňovým řádem</w:t>
      </w:r>
      <w:r w:rsidR="002B1304">
        <w:rPr>
          <w:rStyle w:val="Znakapoznpodarou"/>
          <w:rFonts w:ascii="Calibri" w:eastAsia="Calibri" w:hAnsi="Calibri" w:cs="Calibri"/>
          <w:szCs w:val="24"/>
        </w:rPr>
        <w:footnoteReference w:id="11"/>
      </w:r>
      <w:r w:rsidR="00D63BFF">
        <w:rPr>
          <w:lang w:eastAsia="cs-CZ"/>
        </w:rPr>
        <w:t>, např.</w:t>
      </w:r>
      <w:r w:rsidR="0022081A">
        <w:rPr>
          <w:lang w:eastAsia="cs-CZ"/>
        </w:rPr>
        <w:t xml:space="preserve"> </w:t>
      </w:r>
      <w:r w:rsidR="0004702E">
        <w:rPr>
          <w:lang w:eastAsia="cs-CZ"/>
        </w:rPr>
        <w:t>nezastavovaly daňové exekuce</w:t>
      </w:r>
      <w:r w:rsidR="0047209E" w:rsidRPr="00E91BC6">
        <w:rPr>
          <w:lang w:eastAsia="cs-CZ"/>
        </w:rPr>
        <w:t>, neodep</w:t>
      </w:r>
      <w:r w:rsidR="00F61D32">
        <w:rPr>
          <w:lang w:eastAsia="cs-CZ"/>
        </w:rPr>
        <w:t>i</w:t>
      </w:r>
      <w:r w:rsidR="0047209E" w:rsidRPr="00E91BC6">
        <w:rPr>
          <w:lang w:eastAsia="cs-CZ"/>
        </w:rPr>
        <w:t>s</w:t>
      </w:r>
      <w:r w:rsidR="00275DA9" w:rsidRPr="00E91BC6">
        <w:rPr>
          <w:lang w:eastAsia="cs-CZ"/>
        </w:rPr>
        <w:t>ov</w:t>
      </w:r>
      <w:r w:rsidR="0047209E" w:rsidRPr="00E91BC6">
        <w:rPr>
          <w:lang w:eastAsia="cs-CZ"/>
        </w:rPr>
        <w:t>aly pohledávky pro nedobytnost</w:t>
      </w:r>
      <w:r w:rsidR="005E170B" w:rsidRPr="00E91BC6">
        <w:rPr>
          <w:lang w:eastAsia="cs-CZ"/>
        </w:rPr>
        <w:t xml:space="preserve">, </w:t>
      </w:r>
      <w:r w:rsidR="0047209E" w:rsidRPr="00E91BC6">
        <w:rPr>
          <w:lang w:eastAsia="cs-CZ"/>
        </w:rPr>
        <w:t>nevyd</w:t>
      </w:r>
      <w:r w:rsidR="00275DA9" w:rsidRPr="00E91BC6">
        <w:rPr>
          <w:lang w:eastAsia="cs-CZ"/>
        </w:rPr>
        <w:t>áva</w:t>
      </w:r>
      <w:r w:rsidR="0047209E" w:rsidRPr="00E91BC6">
        <w:rPr>
          <w:lang w:eastAsia="cs-CZ"/>
        </w:rPr>
        <w:t>ly rozhodnutí o pozbytí účinnosti rozhodnutí o povolení splátek</w:t>
      </w:r>
      <w:r w:rsidR="00C915C9">
        <w:rPr>
          <w:lang w:eastAsia="cs-CZ"/>
        </w:rPr>
        <w:t>,</w:t>
      </w:r>
      <w:r w:rsidR="0047209E" w:rsidRPr="00E91BC6">
        <w:rPr>
          <w:lang w:eastAsia="cs-CZ"/>
        </w:rPr>
        <w:t xml:space="preserve"> </w:t>
      </w:r>
      <w:r w:rsidR="00831CF9">
        <w:rPr>
          <w:lang w:eastAsia="cs-CZ"/>
        </w:rPr>
        <w:t>případně</w:t>
      </w:r>
      <w:r w:rsidR="00831CF9" w:rsidRPr="00E91BC6">
        <w:rPr>
          <w:lang w:eastAsia="cs-CZ"/>
        </w:rPr>
        <w:t xml:space="preserve"> </w:t>
      </w:r>
      <w:r w:rsidR="0047209E" w:rsidRPr="00E91BC6">
        <w:rPr>
          <w:lang w:eastAsia="cs-CZ"/>
        </w:rPr>
        <w:t>ho vyd</w:t>
      </w:r>
      <w:r w:rsidR="00275DA9" w:rsidRPr="00E91BC6">
        <w:rPr>
          <w:lang w:eastAsia="cs-CZ"/>
        </w:rPr>
        <w:t>áva</w:t>
      </w:r>
      <w:r w:rsidR="0047209E" w:rsidRPr="00E91BC6">
        <w:rPr>
          <w:lang w:eastAsia="cs-CZ"/>
        </w:rPr>
        <w:t xml:space="preserve">ly </w:t>
      </w:r>
      <w:r w:rsidR="003E56C4" w:rsidRPr="00E91BC6">
        <w:rPr>
          <w:lang w:eastAsia="cs-CZ"/>
        </w:rPr>
        <w:t>s velkým časovým odstupem,</w:t>
      </w:r>
      <w:r w:rsidR="005F6016">
        <w:rPr>
          <w:lang w:eastAsia="cs-CZ"/>
        </w:rPr>
        <w:t xml:space="preserve"> nebo</w:t>
      </w:r>
      <w:r w:rsidR="003E56C4" w:rsidRPr="00E91BC6">
        <w:rPr>
          <w:lang w:eastAsia="cs-CZ"/>
        </w:rPr>
        <w:t xml:space="preserve"> p</w:t>
      </w:r>
      <w:r w:rsidR="0047209E" w:rsidRPr="00E91BC6">
        <w:rPr>
          <w:lang w:eastAsia="cs-CZ"/>
        </w:rPr>
        <w:t>ovol</w:t>
      </w:r>
      <w:r w:rsidR="00275DA9" w:rsidRPr="00E91BC6">
        <w:rPr>
          <w:lang w:eastAsia="cs-CZ"/>
        </w:rPr>
        <w:t>ova</w:t>
      </w:r>
      <w:r w:rsidR="0047209E" w:rsidRPr="00E91BC6">
        <w:rPr>
          <w:lang w:eastAsia="cs-CZ"/>
        </w:rPr>
        <w:t>ly splácení pohledávek na dobu delší, než je lhůta pro placení daně</w:t>
      </w:r>
      <w:r w:rsidR="005E170B" w:rsidRPr="00E91BC6">
        <w:rPr>
          <w:lang w:eastAsia="cs-CZ"/>
        </w:rPr>
        <w:t>.</w:t>
      </w:r>
      <w:r w:rsidR="002B1304" w:rsidRPr="002B1304">
        <w:rPr>
          <w:rFonts w:ascii="Calibri" w:eastAsia="Calibri" w:hAnsi="Calibri" w:cs="Calibri"/>
          <w:szCs w:val="24"/>
        </w:rPr>
        <w:t xml:space="preserve"> </w:t>
      </w:r>
      <w:r w:rsidR="00DE1301">
        <w:rPr>
          <w:rFonts w:ascii="Calibri" w:eastAsia="Calibri" w:hAnsi="Calibri" w:cs="Calibri"/>
          <w:szCs w:val="24"/>
        </w:rPr>
        <w:t>Dále v</w:t>
      </w:r>
      <w:r w:rsidR="002B1304">
        <w:rPr>
          <w:rFonts w:ascii="Calibri" w:eastAsia="Calibri" w:hAnsi="Calibri" w:cs="Calibri"/>
          <w:szCs w:val="24"/>
        </w:rPr>
        <w:t> některých případech nepostupovaly</w:t>
      </w:r>
      <w:r w:rsidR="00A61B6B">
        <w:rPr>
          <w:rFonts w:ascii="Calibri" w:eastAsia="Calibri" w:hAnsi="Calibri" w:cs="Calibri"/>
          <w:szCs w:val="24"/>
        </w:rPr>
        <w:t xml:space="preserve"> v souladu</w:t>
      </w:r>
      <w:r w:rsidR="002B1304">
        <w:rPr>
          <w:rFonts w:ascii="Calibri" w:eastAsia="Calibri" w:hAnsi="Calibri" w:cs="Calibri"/>
          <w:szCs w:val="24"/>
        </w:rPr>
        <w:t xml:space="preserve"> </w:t>
      </w:r>
      <w:r w:rsidR="002B1304" w:rsidRPr="00E91BC6">
        <w:rPr>
          <w:rFonts w:ascii="Calibri" w:eastAsia="Calibri" w:hAnsi="Calibri" w:cs="Calibri"/>
          <w:szCs w:val="24"/>
        </w:rPr>
        <w:t>se zákonem o účetnictví</w:t>
      </w:r>
      <w:r w:rsidR="002B1304" w:rsidRPr="00E91BC6">
        <w:rPr>
          <w:rStyle w:val="Znakapoznpodarou"/>
          <w:rFonts w:ascii="Calibri" w:eastAsia="Calibri" w:hAnsi="Calibri" w:cs="Calibri"/>
          <w:szCs w:val="24"/>
        </w:rPr>
        <w:footnoteReference w:id="12"/>
      </w:r>
      <w:r w:rsidR="002B1304">
        <w:rPr>
          <w:rFonts w:ascii="Calibri" w:eastAsia="Calibri" w:hAnsi="Calibri" w:cs="Calibri"/>
          <w:szCs w:val="24"/>
        </w:rPr>
        <w:t>.</w:t>
      </w:r>
    </w:p>
    <w:p w14:paraId="4CA188A1" w14:textId="5762835E" w:rsidR="009B6D96" w:rsidRDefault="00FD4602" w:rsidP="00E15933">
      <w:pPr>
        <w:pStyle w:val="Nadpis2"/>
        <w:keepLines w:val="0"/>
        <w:spacing w:before="240"/>
        <w:ind w:left="284" w:hanging="284"/>
        <w:rPr>
          <w:rFonts w:eastAsia="Calibri"/>
        </w:rPr>
      </w:pPr>
      <w:r>
        <w:rPr>
          <w:rFonts w:eastAsia="Calibri"/>
        </w:rPr>
        <w:t>Četnost ukládání peněžitých trestů se nenavýšila</w:t>
      </w:r>
    </w:p>
    <w:p w14:paraId="2EC323F0" w14:textId="31330788" w:rsidR="009B6D96" w:rsidRPr="00B92208" w:rsidRDefault="00366A53" w:rsidP="00802C2A">
      <w:pPr>
        <w:spacing w:after="120"/>
        <w:rPr>
          <w:rFonts w:eastAsia="Calibri"/>
          <w:szCs w:val="24"/>
        </w:rPr>
      </w:pPr>
      <w:r>
        <w:rPr>
          <w:rFonts w:eastAsia="Calibri"/>
          <w:szCs w:val="24"/>
        </w:rPr>
        <w:t>NKÚ zjistil, že počet uložených peněžitých trestů mezi roky 2023 a 2024 poklesl o 488</w:t>
      </w:r>
      <w:r w:rsidR="00115DC2">
        <w:rPr>
          <w:rFonts w:eastAsia="Calibri"/>
          <w:szCs w:val="24"/>
        </w:rPr>
        <w:t>,</w:t>
      </w:r>
      <w:r>
        <w:rPr>
          <w:rFonts w:eastAsia="Calibri"/>
          <w:szCs w:val="24"/>
        </w:rPr>
        <w:t xml:space="preserve"> a nebyl tak naplněn jeden z předpokládaných dopadů převedení vymáhání na CÚ</w:t>
      </w:r>
      <w:r w:rsidR="004E6A20">
        <w:rPr>
          <w:rFonts w:eastAsia="Calibri"/>
          <w:szCs w:val="24"/>
        </w:rPr>
        <w:t xml:space="preserve">. </w:t>
      </w:r>
      <w:r w:rsidR="00E346B6">
        <w:rPr>
          <w:rFonts w:eastAsia="Calibri"/>
          <w:szCs w:val="24"/>
        </w:rPr>
        <w:t>Podíl počtu uložených peněžitých trestů ve vztahu k počtu odsouzených osob byl v ČR v porovnání s jinými členskými státy EU nízký</w:t>
      </w:r>
      <w:r w:rsidR="00204D0A">
        <w:rPr>
          <w:rFonts w:eastAsia="Calibri"/>
          <w:szCs w:val="24"/>
        </w:rPr>
        <w:t>.</w:t>
      </w:r>
      <w:r w:rsidR="00E346B6">
        <w:rPr>
          <w:rFonts w:eastAsia="Calibri"/>
          <w:szCs w:val="24"/>
        </w:rPr>
        <w:t xml:space="preserve"> </w:t>
      </w:r>
      <w:r w:rsidR="00204D0A">
        <w:rPr>
          <w:rFonts w:eastAsia="Calibri"/>
          <w:szCs w:val="24"/>
        </w:rPr>
        <w:t>N</w:t>
      </w:r>
      <w:r w:rsidR="00E346B6">
        <w:rPr>
          <w:rFonts w:eastAsia="Calibri"/>
          <w:szCs w:val="24"/>
        </w:rPr>
        <w:t>apř</w:t>
      </w:r>
      <w:r w:rsidR="003379A1">
        <w:rPr>
          <w:rFonts w:eastAsia="Calibri"/>
          <w:szCs w:val="24"/>
        </w:rPr>
        <w:t>íklad</w:t>
      </w:r>
      <w:r w:rsidR="00E346B6">
        <w:rPr>
          <w:rFonts w:eastAsia="Calibri"/>
          <w:szCs w:val="24"/>
        </w:rPr>
        <w:t xml:space="preserve"> v roce 2021 tento podíl činil</w:t>
      </w:r>
      <w:r w:rsidR="00204D0A">
        <w:rPr>
          <w:rFonts w:eastAsia="Calibri"/>
          <w:szCs w:val="24"/>
        </w:rPr>
        <w:t xml:space="preserve"> necelých</w:t>
      </w:r>
      <w:r w:rsidR="00E346B6">
        <w:rPr>
          <w:rFonts w:eastAsia="Calibri"/>
          <w:szCs w:val="24"/>
        </w:rPr>
        <w:t xml:space="preserve"> </w:t>
      </w:r>
      <w:r w:rsidR="00204D0A">
        <w:rPr>
          <w:rFonts w:eastAsia="Calibri"/>
          <w:szCs w:val="24"/>
        </w:rPr>
        <w:t>25</w:t>
      </w:r>
      <w:r w:rsidR="00E346B6">
        <w:rPr>
          <w:rFonts w:eastAsia="Calibri"/>
          <w:szCs w:val="24"/>
        </w:rPr>
        <w:t xml:space="preserve"> %, zatímco v Německu 80 % a ve Finsku a Maďarsku 50 %.</w:t>
      </w:r>
      <w:r w:rsidR="00D260F3">
        <w:rPr>
          <w:rStyle w:val="Znakapoznpodarou"/>
          <w:rFonts w:eastAsia="Calibri"/>
          <w:szCs w:val="24"/>
        </w:rPr>
        <w:footnoteReference w:id="13"/>
      </w:r>
    </w:p>
    <w:p w14:paraId="05CC7475" w14:textId="73CC5F48" w:rsidR="00E764D8" w:rsidRDefault="00332456" w:rsidP="00802C2A">
      <w:pPr>
        <w:spacing w:after="120"/>
        <w:rPr>
          <w:rFonts w:ascii="Calibri" w:eastAsia="Calibri" w:hAnsi="Calibri" w:cs="Calibri"/>
          <w:szCs w:val="24"/>
        </w:rPr>
      </w:pPr>
      <w:r>
        <w:rPr>
          <w:rFonts w:ascii="Calibri" w:eastAsia="Calibri" w:hAnsi="Calibri" w:cs="Calibri"/>
          <w:szCs w:val="24"/>
        </w:rPr>
        <w:t>NKÚ zjistil</w:t>
      </w:r>
      <w:r w:rsidR="00D63BFF">
        <w:rPr>
          <w:rFonts w:ascii="Calibri" w:eastAsia="Calibri" w:hAnsi="Calibri" w:cs="Calibri"/>
          <w:szCs w:val="24"/>
        </w:rPr>
        <w:t xml:space="preserve"> u </w:t>
      </w:r>
      <w:r w:rsidR="00FD6AA3">
        <w:rPr>
          <w:rFonts w:ascii="Calibri" w:eastAsia="Calibri" w:hAnsi="Calibri" w:cs="Calibri"/>
          <w:szCs w:val="24"/>
        </w:rPr>
        <w:t>CÚ pro JMK</w:t>
      </w:r>
      <w:r w:rsidR="00D63BFF">
        <w:rPr>
          <w:rFonts w:ascii="Calibri" w:eastAsia="Calibri" w:hAnsi="Calibri" w:cs="Calibri"/>
          <w:szCs w:val="24"/>
        </w:rPr>
        <w:t>, že n</w:t>
      </w:r>
      <w:r w:rsidR="004D5EE4">
        <w:rPr>
          <w:rFonts w:ascii="Calibri" w:eastAsia="Calibri" w:hAnsi="Calibri" w:cs="Calibri"/>
          <w:szCs w:val="24"/>
        </w:rPr>
        <w:t xml:space="preserve">ěkteré </w:t>
      </w:r>
      <w:r w:rsidR="00D63BFF">
        <w:rPr>
          <w:rFonts w:ascii="Calibri" w:eastAsia="Calibri" w:hAnsi="Calibri" w:cs="Calibri"/>
          <w:szCs w:val="24"/>
        </w:rPr>
        <w:t>s</w:t>
      </w:r>
      <w:r w:rsidR="00275DA9" w:rsidRPr="001106E9">
        <w:rPr>
          <w:rFonts w:ascii="Calibri" w:eastAsia="Calibri" w:hAnsi="Calibri" w:cs="Calibri"/>
          <w:szCs w:val="24"/>
        </w:rPr>
        <w:t>oudy</w:t>
      </w:r>
      <w:r w:rsidR="00E346B6">
        <w:rPr>
          <w:rFonts w:ascii="Calibri" w:eastAsia="Calibri" w:hAnsi="Calibri" w:cs="Calibri"/>
          <w:szCs w:val="24"/>
        </w:rPr>
        <w:t xml:space="preserve"> </w:t>
      </w:r>
      <w:r w:rsidR="00275DA9" w:rsidRPr="001106E9">
        <w:rPr>
          <w:rFonts w:ascii="Calibri" w:eastAsia="Calibri" w:hAnsi="Calibri" w:cs="Calibri"/>
          <w:szCs w:val="24"/>
        </w:rPr>
        <w:t>nevyuž</w:t>
      </w:r>
      <w:r w:rsidR="009542AE">
        <w:rPr>
          <w:rFonts w:ascii="Calibri" w:eastAsia="Calibri" w:hAnsi="Calibri" w:cs="Calibri"/>
          <w:szCs w:val="24"/>
        </w:rPr>
        <w:t>i</w:t>
      </w:r>
      <w:r w:rsidR="00275DA9" w:rsidRPr="001106E9">
        <w:rPr>
          <w:rFonts w:ascii="Calibri" w:eastAsia="Calibri" w:hAnsi="Calibri" w:cs="Calibri"/>
          <w:szCs w:val="24"/>
        </w:rPr>
        <w:t>ly zajištěné peněžní prostředky k</w:t>
      </w:r>
      <w:r w:rsidR="00B761F5" w:rsidRPr="001106E9">
        <w:rPr>
          <w:rFonts w:ascii="Calibri" w:eastAsia="Calibri" w:hAnsi="Calibri" w:cs="Calibri"/>
          <w:szCs w:val="24"/>
        </w:rPr>
        <w:t> </w:t>
      </w:r>
      <w:r w:rsidR="00275DA9" w:rsidRPr="001106E9">
        <w:rPr>
          <w:rFonts w:ascii="Calibri" w:eastAsia="Calibri" w:hAnsi="Calibri" w:cs="Calibri"/>
          <w:szCs w:val="24"/>
        </w:rPr>
        <w:t>úhradě</w:t>
      </w:r>
      <w:r w:rsidR="00B761F5" w:rsidRPr="001106E9">
        <w:rPr>
          <w:rFonts w:ascii="Calibri" w:eastAsia="Calibri" w:hAnsi="Calibri" w:cs="Calibri"/>
          <w:szCs w:val="24"/>
        </w:rPr>
        <w:t xml:space="preserve"> peněžitých</w:t>
      </w:r>
      <w:r w:rsidR="00275DA9" w:rsidRPr="001106E9">
        <w:rPr>
          <w:rFonts w:ascii="Calibri" w:eastAsia="Calibri" w:hAnsi="Calibri" w:cs="Calibri"/>
          <w:szCs w:val="24"/>
        </w:rPr>
        <w:t xml:space="preserve"> trestů, což vedlo ke vzniku </w:t>
      </w:r>
      <w:r w:rsidR="00F14F69">
        <w:rPr>
          <w:rFonts w:ascii="Calibri" w:eastAsia="Calibri" w:hAnsi="Calibri" w:cs="Calibri"/>
          <w:szCs w:val="24"/>
        </w:rPr>
        <w:t>nad</w:t>
      </w:r>
      <w:r w:rsidR="00275DA9" w:rsidRPr="001106E9">
        <w:rPr>
          <w:rFonts w:ascii="Calibri" w:eastAsia="Calibri" w:hAnsi="Calibri" w:cs="Calibri"/>
          <w:szCs w:val="24"/>
        </w:rPr>
        <w:t>bytečných exekučních nákladů</w:t>
      </w:r>
      <w:r w:rsidR="00B761F5" w:rsidRPr="001106E9">
        <w:rPr>
          <w:rFonts w:ascii="Calibri" w:eastAsia="Calibri" w:hAnsi="Calibri" w:cs="Calibri"/>
          <w:szCs w:val="24"/>
        </w:rPr>
        <w:t xml:space="preserve"> </w:t>
      </w:r>
      <w:r w:rsidR="00A15F27">
        <w:rPr>
          <w:rFonts w:ascii="Calibri" w:eastAsia="Calibri" w:hAnsi="Calibri" w:cs="Calibri"/>
          <w:szCs w:val="24"/>
        </w:rPr>
        <w:t xml:space="preserve">daňových subjektů </w:t>
      </w:r>
      <w:r w:rsidR="00B761F5" w:rsidRPr="001106E9">
        <w:rPr>
          <w:rFonts w:ascii="Calibri" w:eastAsia="Calibri" w:hAnsi="Calibri" w:cs="Calibri"/>
          <w:szCs w:val="24"/>
        </w:rPr>
        <w:t>min.</w:t>
      </w:r>
      <w:r w:rsidR="00264431">
        <w:rPr>
          <w:rFonts w:ascii="Calibri" w:eastAsia="Calibri" w:hAnsi="Calibri" w:cs="Calibri"/>
          <w:szCs w:val="24"/>
        </w:rPr>
        <w:t xml:space="preserve"> ve</w:t>
      </w:r>
      <w:r w:rsidR="00B761F5" w:rsidRPr="001106E9">
        <w:rPr>
          <w:rFonts w:ascii="Calibri" w:eastAsia="Calibri" w:hAnsi="Calibri" w:cs="Calibri"/>
          <w:szCs w:val="24"/>
        </w:rPr>
        <w:t xml:space="preserve"> výši 144 </w:t>
      </w:r>
      <w:r w:rsidR="00E346B6">
        <w:rPr>
          <w:rFonts w:ascii="Calibri" w:eastAsia="Calibri" w:hAnsi="Calibri" w:cs="Calibri"/>
          <w:szCs w:val="24"/>
        </w:rPr>
        <w:t>tis.</w:t>
      </w:r>
      <w:r w:rsidR="00E346B6" w:rsidRPr="001106E9">
        <w:rPr>
          <w:rFonts w:ascii="Calibri" w:eastAsia="Calibri" w:hAnsi="Calibri" w:cs="Calibri"/>
          <w:szCs w:val="24"/>
        </w:rPr>
        <w:t xml:space="preserve"> </w:t>
      </w:r>
      <w:r w:rsidR="00B761F5" w:rsidRPr="001106E9">
        <w:rPr>
          <w:rFonts w:ascii="Calibri" w:eastAsia="Calibri" w:hAnsi="Calibri" w:cs="Calibri"/>
          <w:szCs w:val="24"/>
        </w:rPr>
        <w:t>Kč</w:t>
      </w:r>
      <w:r w:rsidR="00275DA9" w:rsidRPr="001106E9">
        <w:rPr>
          <w:rFonts w:ascii="Calibri" w:eastAsia="Calibri" w:hAnsi="Calibri" w:cs="Calibri"/>
          <w:szCs w:val="24"/>
        </w:rPr>
        <w:t xml:space="preserve">. </w:t>
      </w:r>
      <w:r w:rsidR="00D9395D">
        <w:rPr>
          <w:rFonts w:eastAsia="Calibri"/>
        </w:rPr>
        <w:t>Tyto</w:t>
      </w:r>
      <w:r w:rsidR="00D9395D" w:rsidRPr="3B984AB8">
        <w:rPr>
          <w:rFonts w:eastAsia="Calibri"/>
        </w:rPr>
        <w:t xml:space="preserve"> postupy </w:t>
      </w:r>
      <w:r w:rsidR="00D9395D">
        <w:rPr>
          <w:rFonts w:eastAsia="Calibri"/>
        </w:rPr>
        <w:t>byly</w:t>
      </w:r>
      <w:r w:rsidR="00D9395D" w:rsidRPr="3B984AB8">
        <w:rPr>
          <w:rFonts w:eastAsia="Calibri"/>
        </w:rPr>
        <w:t xml:space="preserve"> v rozporu se základními zásadami dle </w:t>
      </w:r>
      <w:r w:rsidR="00D9395D">
        <w:rPr>
          <w:rFonts w:eastAsia="Calibri"/>
        </w:rPr>
        <w:t>daňového řádu.</w:t>
      </w:r>
      <w:r w:rsidR="00D9395D" w:rsidRPr="00E764D8">
        <w:rPr>
          <w:rFonts w:ascii="Calibri" w:eastAsia="Calibri" w:hAnsi="Calibri" w:cs="Calibri"/>
          <w:szCs w:val="24"/>
        </w:rPr>
        <w:t xml:space="preserve"> </w:t>
      </w:r>
      <w:r w:rsidR="00E764D8" w:rsidRPr="00E764D8">
        <w:rPr>
          <w:rFonts w:ascii="Calibri" w:eastAsia="Calibri" w:hAnsi="Calibri" w:cs="Calibri"/>
          <w:szCs w:val="24"/>
        </w:rPr>
        <w:t>Úspěšnost vymáhání peněžitých t</w:t>
      </w:r>
      <w:r w:rsidR="00E764D8">
        <w:rPr>
          <w:rFonts w:ascii="Calibri" w:eastAsia="Calibri" w:hAnsi="Calibri" w:cs="Calibri"/>
          <w:szCs w:val="24"/>
        </w:rPr>
        <w:t>r</w:t>
      </w:r>
      <w:r w:rsidR="00E764D8" w:rsidRPr="00E764D8">
        <w:rPr>
          <w:rFonts w:ascii="Calibri" w:eastAsia="Calibri" w:hAnsi="Calibri" w:cs="Calibri"/>
          <w:szCs w:val="24"/>
        </w:rPr>
        <w:t xml:space="preserve">estů </w:t>
      </w:r>
      <w:r w:rsidR="002C6747">
        <w:rPr>
          <w:rFonts w:ascii="Calibri" w:eastAsia="Calibri" w:hAnsi="Calibri" w:cs="Calibri"/>
          <w:szCs w:val="24"/>
        </w:rPr>
        <w:t>v roce 2024</w:t>
      </w:r>
      <w:r w:rsidR="007C28D3">
        <w:rPr>
          <w:rFonts w:ascii="Calibri" w:eastAsia="Calibri" w:hAnsi="Calibri" w:cs="Calibri"/>
          <w:szCs w:val="24"/>
        </w:rPr>
        <w:t xml:space="preserve"> </w:t>
      </w:r>
      <w:r w:rsidR="00E764D8" w:rsidRPr="00E764D8">
        <w:rPr>
          <w:rFonts w:ascii="Calibri" w:eastAsia="Calibri" w:hAnsi="Calibri" w:cs="Calibri"/>
          <w:szCs w:val="24"/>
        </w:rPr>
        <w:t>kladně ovlivnila v</w:t>
      </w:r>
      <w:r w:rsidR="001106E9" w:rsidRPr="00E764D8">
        <w:rPr>
          <w:rFonts w:ascii="Calibri" w:eastAsia="Calibri" w:hAnsi="Calibri" w:cs="Calibri"/>
          <w:szCs w:val="24"/>
        </w:rPr>
        <w:t xml:space="preserve">yšší aktivita </w:t>
      </w:r>
      <w:r w:rsidR="007D0DFF">
        <w:rPr>
          <w:rFonts w:ascii="Calibri" w:eastAsia="Calibri" w:hAnsi="Calibri" w:cs="Calibri"/>
          <w:szCs w:val="24"/>
        </w:rPr>
        <w:t>CÚ</w:t>
      </w:r>
      <w:r w:rsidR="007A6752">
        <w:rPr>
          <w:rFonts w:ascii="Calibri" w:eastAsia="Calibri" w:hAnsi="Calibri" w:cs="Calibri"/>
          <w:szCs w:val="24"/>
        </w:rPr>
        <w:t xml:space="preserve"> </w:t>
      </w:r>
      <w:r w:rsidR="002C6747">
        <w:rPr>
          <w:rFonts w:ascii="Calibri" w:eastAsia="Calibri" w:hAnsi="Calibri" w:cs="Calibri"/>
          <w:szCs w:val="24"/>
        </w:rPr>
        <w:t>při provádění vymáhacích úkonů</w:t>
      </w:r>
      <w:r w:rsidR="00E764D8" w:rsidRPr="00E764D8">
        <w:rPr>
          <w:rFonts w:ascii="Calibri" w:eastAsia="Calibri" w:hAnsi="Calibri" w:cs="Calibri"/>
          <w:szCs w:val="24"/>
        </w:rPr>
        <w:t>.</w:t>
      </w:r>
    </w:p>
    <w:p w14:paraId="5F244239" w14:textId="52CAD45F" w:rsidR="003F60C4" w:rsidRDefault="003F60C4" w:rsidP="00E15933">
      <w:pPr>
        <w:pStyle w:val="Nadpis2"/>
        <w:spacing w:before="240"/>
        <w:ind w:left="284" w:hanging="284"/>
        <w:jc w:val="left"/>
        <w:rPr>
          <w:rFonts w:eastAsia="Calibri"/>
        </w:rPr>
      </w:pPr>
      <w:r>
        <w:rPr>
          <w:rFonts w:eastAsia="Calibri"/>
        </w:rPr>
        <w:t>C</w:t>
      </w:r>
      <w:r w:rsidR="00E346B6">
        <w:rPr>
          <w:rFonts w:eastAsia="Calibri"/>
        </w:rPr>
        <w:t>elní úřady</w:t>
      </w:r>
      <w:r>
        <w:rPr>
          <w:rFonts w:eastAsia="Calibri"/>
        </w:rPr>
        <w:t xml:space="preserve"> vymáhaly justiční pohledávky efektivněji než soudy</w:t>
      </w:r>
    </w:p>
    <w:p w14:paraId="0E72424D" w14:textId="450AA837" w:rsidR="009644CF" w:rsidRDefault="00E346B6" w:rsidP="00802C2A">
      <w:pPr>
        <w:spacing w:after="120"/>
        <w:rPr>
          <w:rFonts w:ascii="Calibri" w:eastAsia="Calibri" w:hAnsi="Calibri" w:cs="Calibri"/>
          <w:szCs w:val="24"/>
        </w:rPr>
      </w:pPr>
      <w:r>
        <w:rPr>
          <w:rFonts w:ascii="Calibri" w:eastAsia="Calibri" w:hAnsi="Calibri" w:cs="Calibri"/>
          <w:szCs w:val="24"/>
        </w:rPr>
        <w:t>Vymáhání justičních pohledávek C</w:t>
      </w:r>
      <w:r w:rsidR="000A68EA">
        <w:rPr>
          <w:rFonts w:ascii="Calibri" w:eastAsia="Calibri" w:hAnsi="Calibri" w:cs="Calibri"/>
          <w:szCs w:val="24"/>
        </w:rPr>
        <w:t>Ú</w:t>
      </w:r>
      <w:r>
        <w:rPr>
          <w:rFonts w:ascii="Calibri" w:eastAsia="Calibri" w:hAnsi="Calibri" w:cs="Calibri"/>
          <w:szCs w:val="24"/>
        </w:rPr>
        <w:t xml:space="preserve"> bylo efektivnější než vymáhání těchto pohledávek soudy. Úspěšnost vymáhání justičních pohledávek soudy </w:t>
      </w:r>
      <w:r w:rsidR="00635960">
        <w:rPr>
          <w:rFonts w:ascii="Calibri" w:eastAsia="Calibri" w:hAnsi="Calibri" w:cs="Calibri"/>
          <w:szCs w:val="24"/>
        </w:rPr>
        <w:t>meziročně klesala. V</w:t>
      </w:r>
      <w:r>
        <w:rPr>
          <w:rFonts w:ascii="Calibri" w:eastAsia="Calibri" w:hAnsi="Calibri" w:cs="Calibri"/>
          <w:szCs w:val="24"/>
        </w:rPr>
        <w:t xml:space="preserve"> letech 2021 až 2023 dosáhla průměrné hodnoty 8,3 % a byla negativně ovlivněna zejména </w:t>
      </w:r>
      <w:r w:rsidR="00D72A7C">
        <w:rPr>
          <w:rFonts w:ascii="Calibri" w:eastAsia="Calibri" w:hAnsi="Calibri" w:cs="Calibri"/>
          <w:szCs w:val="24"/>
        </w:rPr>
        <w:t xml:space="preserve">nízkou mírou </w:t>
      </w:r>
      <w:r w:rsidRPr="00063396">
        <w:rPr>
          <w:rFonts w:ascii="Calibri" w:eastAsia="Calibri" w:hAnsi="Calibri" w:cs="Calibri"/>
          <w:szCs w:val="24"/>
        </w:rPr>
        <w:t>automatizace</w:t>
      </w:r>
      <w:r>
        <w:rPr>
          <w:rFonts w:ascii="Calibri" w:eastAsia="Calibri" w:hAnsi="Calibri" w:cs="Calibri"/>
          <w:szCs w:val="24"/>
        </w:rPr>
        <w:t xml:space="preserve"> </w:t>
      </w:r>
      <w:r w:rsidR="00D72A7C">
        <w:rPr>
          <w:rFonts w:ascii="Calibri" w:eastAsia="Calibri" w:hAnsi="Calibri" w:cs="Calibri"/>
          <w:szCs w:val="24"/>
        </w:rPr>
        <w:t xml:space="preserve">postupů </w:t>
      </w:r>
      <w:r>
        <w:rPr>
          <w:rFonts w:ascii="Calibri" w:eastAsia="Calibri" w:hAnsi="Calibri" w:cs="Calibri"/>
          <w:szCs w:val="24"/>
        </w:rPr>
        <w:t>u</w:t>
      </w:r>
      <w:r w:rsidR="002D0ADD">
        <w:rPr>
          <w:rFonts w:ascii="Calibri" w:eastAsia="Calibri" w:hAnsi="Calibri" w:cs="Calibri"/>
          <w:szCs w:val="24"/>
        </w:rPr>
        <w:t> </w:t>
      </w:r>
      <w:r>
        <w:rPr>
          <w:rFonts w:ascii="Calibri" w:eastAsia="Calibri" w:hAnsi="Calibri" w:cs="Calibri"/>
          <w:szCs w:val="24"/>
        </w:rPr>
        <w:t>soudů.</w:t>
      </w:r>
      <w:r w:rsidRPr="005A2BB6">
        <w:rPr>
          <w:rFonts w:ascii="Calibri" w:eastAsia="Calibri" w:hAnsi="Calibri" w:cs="Calibri"/>
          <w:szCs w:val="24"/>
        </w:rPr>
        <w:t xml:space="preserve"> </w:t>
      </w:r>
      <w:r w:rsidR="002660BD" w:rsidRPr="002660BD">
        <w:t>Na úspěšnost vymáhání justičních pohledávek celními úřady</w:t>
      </w:r>
      <w:r w:rsidR="002660BD">
        <w:t xml:space="preserve"> ve výši</w:t>
      </w:r>
      <w:r w:rsidR="002660BD" w:rsidRPr="002660BD">
        <w:t xml:space="preserve"> 8,8 % </w:t>
      </w:r>
      <w:r w:rsidR="00FA3C2B" w:rsidRPr="002660BD">
        <w:t>měl</w:t>
      </w:r>
      <w:r w:rsidR="00FA3C2B">
        <w:t>o</w:t>
      </w:r>
      <w:r w:rsidR="00FA3C2B" w:rsidRPr="002660BD">
        <w:t xml:space="preserve"> </w:t>
      </w:r>
      <w:r w:rsidR="002660BD" w:rsidRPr="002660BD">
        <w:t xml:space="preserve">zásadní </w:t>
      </w:r>
      <w:r w:rsidR="002660BD">
        <w:t>vliv</w:t>
      </w:r>
      <w:r w:rsidR="002660BD" w:rsidRPr="002660BD">
        <w:t xml:space="preserve"> zejména</w:t>
      </w:r>
      <w:r w:rsidR="007B1035">
        <w:t xml:space="preserve"> předá</w:t>
      </w:r>
      <w:r w:rsidR="002528FA">
        <w:t>vání</w:t>
      </w:r>
      <w:r w:rsidR="00FA3C2B">
        <w:t xml:space="preserve"> </w:t>
      </w:r>
      <w:r w:rsidR="007B1035">
        <w:t>velkého objemu</w:t>
      </w:r>
      <w:r w:rsidR="002660BD" w:rsidRPr="002660BD">
        <w:t xml:space="preserve"> </w:t>
      </w:r>
      <w:r w:rsidR="00FA3C2B" w:rsidRPr="002660BD">
        <w:t>star</w:t>
      </w:r>
      <w:r w:rsidR="00FA3C2B">
        <w:t>ých</w:t>
      </w:r>
      <w:r w:rsidR="00FA3C2B" w:rsidRPr="002660BD">
        <w:t xml:space="preserve"> </w:t>
      </w:r>
      <w:r w:rsidR="002660BD" w:rsidRPr="002660BD">
        <w:t>pohledáv</w:t>
      </w:r>
      <w:r w:rsidR="00FA3C2B">
        <w:t>e</w:t>
      </w:r>
      <w:r w:rsidR="002660BD" w:rsidRPr="002660BD">
        <w:t>k</w:t>
      </w:r>
      <w:r w:rsidR="007B1035">
        <w:t xml:space="preserve"> k</w:t>
      </w:r>
      <w:r w:rsidR="007A66A9">
        <w:t> </w:t>
      </w:r>
      <w:r w:rsidR="007B1035">
        <w:t>vymáhání</w:t>
      </w:r>
      <w:r w:rsidR="002660BD">
        <w:t>, které</w:t>
      </w:r>
      <w:r w:rsidR="002660BD" w:rsidRPr="002660BD">
        <w:t xml:space="preserve"> představovaly více než tři čtvrtiny </w:t>
      </w:r>
      <w:r w:rsidR="00C3563A" w:rsidRPr="002660BD">
        <w:t xml:space="preserve">všech </w:t>
      </w:r>
      <w:r w:rsidR="00C3563A">
        <w:t>justičních</w:t>
      </w:r>
      <w:r w:rsidR="005F5B76">
        <w:t xml:space="preserve"> </w:t>
      </w:r>
      <w:r w:rsidR="002660BD" w:rsidRPr="002660BD">
        <w:t>pohledávek zaevidovaných u celních úřadů v roce 2024.</w:t>
      </w:r>
      <w:r w:rsidR="008A1E51">
        <w:t xml:space="preserve"> </w:t>
      </w:r>
      <w:r w:rsidR="00C5387B">
        <w:rPr>
          <w:rFonts w:ascii="Calibri" w:eastAsia="Calibri" w:hAnsi="Calibri" w:cs="Calibri"/>
          <w:szCs w:val="24"/>
        </w:rPr>
        <w:t>Průměrné stáří pohledávek v době předání na CÚ</w:t>
      </w:r>
      <w:r w:rsidR="00EE4440">
        <w:rPr>
          <w:rFonts w:ascii="Calibri" w:eastAsia="Calibri" w:hAnsi="Calibri" w:cs="Calibri"/>
          <w:szCs w:val="24"/>
        </w:rPr>
        <w:t xml:space="preserve"> </w:t>
      </w:r>
      <w:r>
        <w:rPr>
          <w:rFonts w:ascii="Calibri" w:eastAsia="Calibri" w:hAnsi="Calibri" w:cs="Calibri"/>
          <w:szCs w:val="24"/>
        </w:rPr>
        <w:t>činil</w:t>
      </w:r>
      <w:r w:rsidR="00C5387B">
        <w:rPr>
          <w:rFonts w:ascii="Calibri" w:eastAsia="Calibri" w:hAnsi="Calibri" w:cs="Calibri"/>
          <w:szCs w:val="24"/>
        </w:rPr>
        <w:t>o</w:t>
      </w:r>
      <w:r>
        <w:rPr>
          <w:rFonts w:ascii="Calibri" w:eastAsia="Calibri" w:hAnsi="Calibri" w:cs="Calibri"/>
          <w:szCs w:val="24"/>
        </w:rPr>
        <w:t xml:space="preserve"> téměř tři roky</w:t>
      </w:r>
      <w:r w:rsidR="006A261B">
        <w:rPr>
          <w:rFonts w:ascii="Calibri" w:eastAsia="Calibri" w:hAnsi="Calibri" w:cs="Calibri"/>
          <w:szCs w:val="24"/>
        </w:rPr>
        <w:t>.</w:t>
      </w:r>
      <w:r w:rsidR="002528FA">
        <w:rPr>
          <w:rFonts w:ascii="Calibri" w:eastAsia="Calibri" w:hAnsi="Calibri" w:cs="Calibri"/>
          <w:szCs w:val="24"/>
        </w:rPr>
        <w:t xml:space="preserve"> </w:t>
      </w:r>
      <w:r w:rsidR="009644CF" w:rsidRPr="00BD2579">
        <w:rPr>
          <w:rFonts w:ascii="Calibri" w:eastAsia="Calibri" w:hAnsi="Calibri" w:cs="Calibri"/>
          <w:szCs w:val="24"/>
        </w:rPr>
        <w:t>NKÚ zjistil</w:t>
      </w:r>
      <w:r w:rsidR="00BD2579" w:rsidRPr="00BD2579">
        <w:rPr>
          <w:rFonts w:ascii="Calibri" w:eastAsia="Calibri" w:hAnsi="Calibri" w:cs="Calibri"/>
          <w:szCs w:val="24"/>
        </w:rPr>
        <w:t>, že</w:t>
      </w:r>
      <w:r w:rsidR="006D4076">
        <w:rPr>
          <w:rFonts w:ascii="Calibri" w:eastAsia="Calibri" w:hAnsi="Calibri" w:cs="Calibri"/>
          <w:szCs w:val="24"/>
        </w:rPr>
        <w:t xml:space="preserve"> úspěšnost vymáhání justičních pohledávek CÚ v čase rostla;</w:t>
      </w:r>
      <w:r w:rsidR="002F4D36">
        <w:rPr>
          <w:rFonts w:ascii="Calibri" w:eastAsia="Calibri" w:hAnsi="Calibri" w:cs="Calibri"/>
          <w:szCs w:val="24"/>
        </w:rPr>
        <w:t xml:space="preserve"> k 30. 4. 2025 se zvýšila oproti stavu k 28. 2. 2025</w:t>
      </w:r>
      <w:r w:rsidR="009644CF" w:rsidRPr="00BD2579">
        <w:rPr>
          <w:rFonts w:ascii="Calibri" w:eastAsia="Calibri" w:hAnsi="Calibri" w:cs="Calibri"/>
          <w:szCs w:val="24"/>
        </w:rPr>
        <w:t xml:space="preserve"> o cca </w:t>
      </w:r>
      <w:r w:rsidR="008A1E51">
        <w:rPr>
          <w:rFonts w:ascii="Calibri" w:eastAsia="Calibri" w:hAnsi="Calibri" w:cs="Calibri"/>
          <w:szCs w:val="24"/>
        </w:rPr>
        <w:t xml:space="preserve">jeden </w:t>
      </w:r>
      <w:r w:rsidR="009644CF" w:rsidRPr="00BD2579">
        <w:rPr>
          <w:rFonts w:ascii="Calibri" w:eastAsia="Calibri" w:hAnsi="Calibri" w:cs="Calibri"/>
          <w:szCs w:val="24"/>
        </w:rPr>
        <w:t>procentní bod.</w:t>
      </w:r>
    </w:p>
    <w:p w14:paraId="5904AAC3" w14:textId="0695DE90" w:rsidR="00427759" w:rsidRPr="00744B2F" w:rsidRDefault="00FF26F4" w:rsidP="00802C2A">
      <w:pPr>
        <w:spacing w:after="120"/>
        <w:rPr>
          <w:rFonts w:ascii="Calibri" w:eastAsia="Calibri" w:hAnsi="Calibri" w:cs="Calibri"/>
          <w:szCs w:val="24"/>
        </w:rPr>
      </w:pPr>
      <w:r>
        <w:rPr>
          <w:rFonts w:ascii="Calibri" w:eastAsia="Calibri" w:hAnsi="Calibri" w:cs="Calibri"/>
          <w:szCs w:val="24"/>
        </w:rPr>
        <w:t>V </w:t>
      </w:r>
      <w:r w:rsidR="00FA3C2B">
        <w:rPr>
          <w:rFonts w:ascii="Calibri" w:eastAsia="Calibri" w:hAnsi="Calibri" w:cs="Calibri"/>
          <w:szCs w:val="24"/>
        </w:rPr>
        <w:t>souvislosti</w:t>
      </w:r>
      <w:r>
        <w:rPr>
          <w:rFonts w:ascii="Calibri" w:eastAsia="Calibri" w:hAnsi="Calibri" w:cs="Calibri"/>
          <w:szCs w:val="24"/>
        </w:rPr>
        <w:t xml:space="preserve"> s</w:t>
      </w:r>
      <w:r w:rsidR="00FA3C2B">
        <w:rPr>
          <w:rFonts w:ascii="Calibri" w:eastAsia="Calibri" w:hAnsi="Calibri" w:cs="Calibri"/>
          <w:szCs w:val="24"/>
        </w:rPr>
        <w:t xml:space="preserve"> </w:t>
      </w:r>
      <w:r w:rsidR="00E346B6">
        <w:rPr>
          <w:rFonts w:ascii="Calibri" w:eastAsia="Calibri" w:hAnsi="Calibri" w:cs="Calibri"/>
          <w:szCs w:val="24"/>
        </w:rPr>
        <w:t xml:space="preserve">převedením kompetence k vymáhání pohledávek na </w:t>
      </w:r>
      <w:r w:rsidR="00F636C1">
        <w:rPr>
          <w:rFonts w:ascii="Calibri" w:eastAsia="Calibri" w:hAnsi="Calibri" w:cs="Calibri"/>
          <w:szCs w:val="24"/>
        </w:rPr>
        <w:t>CS</w:t>
      </w:r>
      <w:r w:rsidR="00E346B6">
        <w:rPr>
          <w:rFonts w:ascii="Calibri" w:eastAsia="Calibri" w:hAnsi="Calibri" w:cs="Calibri"/>
          <w:szCs w:val="24"/>
        </w:rPr>
        <w:t xml:space="preserve"> ČR došlo k úsporám výdajů vyna</w:t>
      </w:r>
      <w:r w:rsidR="006D6E6D">
        <w:rPr>
          <w:rFonts w:ascii="Calibri" w:eastAsia="Calibri" w:hAnsi="Calibri" w:cs="Calibri"/>
          <w:szCs w:val="24"/>
        </w:rPr>
        <w:t>ložených</w:t>
      </w:r>
      <w:r w:rsidR="00E346B6">
        <w:rPr>
          <w:rFonts w:ascii="Calibri" w:eastAsia="Calibri" w:hAnsi="Calibri" w:cs="Calibri"/>
          <w:szCs w:val="24"/>
        </w:rPr>
        <w:t xml:space="preserve"> na jejich vymáhání. C</w:t>
      </w:r>
      <w:r w:rsidR="00F636C1">
        <w:rPr>
          <w:rFonts w:ascii="Calibri" w:eastAsia="Calibri" w:hAnsi="Calibri" w:cs="Calibri"/>
          <w:szCs w:val="24"/>
        </w:rPr>
        <w:t>S</w:t>
      </w:r>
      <w:r w:rsidR="006D6E6D">
        <w:rPr>
          <w:rFonts w:ascii="Calibri" w:eastAsia="Calibri" w:hAnsi="Calibri" w:cs="Calibri"/>
          <w:szCs w:val="24"/>
        </w:rPr>
        <w:t xml:space="preserve"> ČR</w:t>
      </w:r>
      <w:r w:rsidR="00E346B6">
        <w:rPr>
          <w:rFonts w:ascii="Calibri" w:eastAsia="Calibri" w:hAnsi="Calibri" w:cs="Calibri"/>
          <w:szCs w:val="24"/>
        </w:rPr>
        <w:t xml:space="preserve"> vynaložila</w:t>
      </w:r>
      <w:r w:rsidR="00367A10">
        <w:rPr>
          <w:rFonts w:ascii="Calibri" w:eastAsia="Calibri" w:hAnsi="Calibri" w:cs="Calibri"/>
          <w:szCs w:val="24"/>
        </w:rPr>
        <w:t xml:space="preserve"> na platy zaměstnanců v souvislosti </w:t>
      </w:r>
      <w:r w:rsidR="00367A10">
        <w:rPr>
          <w:rFonts w:ascii="Calibri" w:eastAsia="Calibri" w:hAnsi="Calibri" w:cs="Calibri"/>
          <w:szCs w:val="24"/>
        </w:rPr>
        <w:lastRenderedPageBreak/>
        <w:t xml:space="preserve">s vymáháním justičních </w:t>
      </w:r>
      <w:r w:rsidR="00367A10" w:rsidRPr="00744B2F">
        <w:rPr>
          <w:rFonts w:ascii="Calibri" w:eastAsia="Calibri" w:hAnsi="Calibri" w:cs="Calibri"/>
          <w:szCs w:val="24"/>
        </w:rPr>
        <w:t>pohledávek</w:t>
      </w:r>
      <w:r w:rsidR="00367A10">
        <w:rPr>
          <w:rFonts w:ascii="Calibri" w:eastAsia="Calibri" w:hAnsi="Calibri" w:cs="Calibri"/>
          <w:szCs w:val="24"/>
        </w:rPr>
        <w:t xml:space="preserve"> </w:t>
      </w:r>
      <w:r w:rsidR="00E346B6">
        <w:rPr>
          <w:rFonts w:ascii="Calibri" w:eastAsia="Calibri" w:hAnsi="Calibri" w:cs="Calibri"/>
          <w:szCs w:val="24"/>
        </w:rPr>
        <w:t xml:space="preserve">v roce 2024 o </w:t>
      </w:r>
      <w:r w:rsidR="000B7453">
        <w:rPr>
          <w:rFonts w:ascii="Calibri" w:eastAsia="Calibri" w:hAnsi="Calibri" w:cs="Calibri"/>
          <w:szCs w:val="24"/>
        </w:rPr>
        <w:t xml:space="preserve">45 </w:t>
      </w:r>
      <w:r w:rsidR="00E346B6">
        <w:rPr>
          <w:rFonts w:ascii="Calibri" w:eastAsia="Calibri" w:hAnsi="Calibri" w:cs="Calibri"/>
          <w:szCs w:val="24"/>
        </w:rPr>
        <w:t>mil. Kč mé</w:t>
      </w:r>
      <w:r w:rsidR="00D648B5">
        <w:rPr>
          <w:rFonts w:ascii="Calibri" w:eastAsia="Calibri" w:hAnsi="Calibri" w:cs="Calibri"/>
          <w:szCs w:val="24"/>
        </w:rPr>
        <w:t>ně</w:t>
      </w:r>
      <w:r w:rsidR="0090262D" w:rsidRPr="00744B2F">
        <w:rPr>
          <w:rFonts w:ascii="Calibri" w:eastAsia="Calibri" w:hAnsi="Calibri" w:cs="Calibri"/>
          <w:szCs w:val="24"/>
        </w:rPr>
        <w:t>,</w:t>
      </w:r>
      <w:r w:rsidR="00E346B6" w:rsidRPr="00744B2F">
        <w:rPr>
          <w:rFonts w:ascii="Calibri" w:eastAsia="Calibri" w:hAnsi="Calibri" w:cs="Calibri"/>
          <w:szCs w:val="24"/>
        </w:rPr>
        <w:t xml:space="preserve"> než </w:t>
      </w:r>
      <w:r w:rsidR="007727CC">
        <w:rPr>
          <w:rFonts w:ascii="Calibri" w:eastAsia="Calibri" w:hAnsi="Calibri" w:cs="Calibri"/>
          <w:szCs w:val="24"/>
        </w:rPr>
        <w:t>činila roční průměrná výše těchto výdajů u soudů</w:t>
      </w:r>
      <w:r w:rsidR="00FA3C2B" w:rsidRPr="00744B2F">
        <w:rPr>
          <w:rFonts w:ascii="Calibri" w:eastAsia="Calibri" w:hAnsi="Calibri" w:cs="Calibri"/>
          <w:szCs w:val="24"/>
        </w:rPr>
        <w:t xml:space="preserve"> </w:t>
      </w:r>
      <w:r w:rsidR="00EE4440" w:rsidRPr="00744B2F">
        <w:rPr>
          <w:rFonts w:ascii="Calibri" w:eastAsia="Calibri" w:hAnsi="Calibri" w:cs="Calibri"/>
          <w:szCs w:val="24"/>
        </w:rPr>
        <w:t>v </w:t>
      </w:r>
      <w:r w:rsidR="000B7453" w:rsidRPr="00744B2F">
        <w:rPr>
          <w:rFonts w:ascii="Calibri" w:eastAsia="Calibri" w:hAnsi="Calibri" w:cs="Calibri"/>
          <w:szCs w:val="24"/>
        </w:rPr>
        <w:t xml:space="preserve">letech 2021 až </w:t>
      </w:r>
      <w:r w:rsidR="00EE4440" w:rsidRPr="00744B2F">
        <w:rPr>
          <w:rFonts w:ascii="Calibri" w:eastAsia="Calibri" w:hAnsi="Calibri" w:cs="Calibri"/>
          <w:szCs w:val="24"/>
        </w:rPr>
        <w:t>2023</w:t>
      </w:r>
      <w:r w:rsidR="00E346B6" w:rsidRPr="00744B2F">
        <w:rPr>
          <w:rFonts w:ascii="Calibri" w:eastAsia="Calibri" w:hAnsi="Calibri" w:cs="Calibri"/>
          <w:szCs w:val="24"/>
        </w:rPr>
        <w:t>.</w:t>
      </w:r>
    </w:p>
    <w:p w14:paraId="2E53C374" w14:textId="0DB30188" w:rsidR="00CB5F3B" w:rsidRDefault="008C67FA" w:rsidP="00802C2A">
      <w:pPr>
        <w:rPr>
          <w:rFonts w:ascii="Calibri" w:eastAsia="Calibri" w:hAnsi="Calibri" w:cs="Calibri"/>
          <w:szCs w:val="24"/>
        </w:rPr>
      </w:pPr>
      <w:r w:rsidRPr="00744B2F">
        <w:rPr>
          <w:rFonts w:ascii="Calibri" w:eastAsia="Calibri" w:hAnsi="Calibri" w:cs="Calibri"/>
          <w:szCs w:val="24"/>
        </w:rPr>
        <w:t>Efektivnost vymáhání justičních pohledávek snižovala existence soudního poplatku za zrušení a</w:t>
      </w:r>
      <w:r w:rsidR="007C419A">
        <w:rPr>
          <w:rFonts w:ascii="Calibri" w:eastAsia="Calibri" w:hAnsi="Calibri" w:cs="Calibri"/>
          <w:szCs w:val="24"/>
        </w:rPr>
        <w:t> </w:t>
      </w:r>
      <w:r w:rsidRPr="00744B2F">
        <w:rPr>
          <w:rFonts w:ascii="Calibri" w:eastAsia="Calibri" w:hAnsi="Calibri" w:cs="Calibri"/>
          <w:szCs w:val="24"/>
        </w:rPr>
        <w:t>likvidaci právnických osob z moci úřední, který je v podstatě nevymahatelný, jelikož právnická osoba již zanikla.</w:t>
      </w:r>
      <w:r w:rsidR="00052ED6" w:rsidRPr="00744B2F">
        <w:rPr>
          <w:rStyle w:val="Znakapoznpodarou"/>
          <w:rFonts w:ascii="Calibri" w:eastAsia="Calibri" w:hAnsi="Calibri" w:cs="Calibri"/>
          <w:szCs w:val="24"/>
        </w:rPr>
        <w:footnoteReference w:id="14"/>
      </w:r>
      <w:r w:rsidRPr="00744B2F">
        <w:rPr>
          <w:rFonts w:ascii="Calibri" w:eastAsia="Calibri" w:hAnsi="Calibri" w:cs="Calibri"/>
          <w:szCs w:val="24"/>
        </w:rPr>
        <w:t xml:space="preserve"> </w:t>
      </w:r>
      <w:r w:rsidR="00875EEA" w:rsidRPr="00744B2F">
        <w:rPr>
          <w:rFonts w:ascii="Calibri" w:eastAsia="Calibri" w:hAnsi="Calibri" w:cs="Calibri"/>
          <w:szCs w:val="24"/>
        </w:rPr>
        <w:t>Na základě uveden</w:t>
      </w:r>
      <w:r w:rsidRPr="00744B2F">
        <w:rPr>
          <w:rFonts w:ascii="Calibri" w:eastAsia="Calibri" w:hAnsi="Calibri" w:cs="Calibri"/>
          <w:szCs w:val="24"/>
        </w:rPr>
        <w:t>ého</w:t>
      </w:r>
      <w:r w:rsidR="00875EEA" w:rsidRPr="00744B2F">
        <w:rPr>
          <w:rFonts w:ascii="Calibri" w:eastAsia="Calibri" w:hAnsi="Calibri" w:cs="Calibri"/>
          <w:szCs w:val="24"/>
        </w:rPr>
        <w:t xml:space="preserve"> zjištění </w:t>
      </w:r>
      <w:r w:rsidR="00CB5F3B" w:rsidRPr="00744B2F">
        <w:rPr>
          <w:rFonts w:ascii="Calibri" w:eastAsia="Calibri" w:hAnsi="Calibri" w:cs="Calibri"/>
          <w:szCs w:val="24"/>
        </w:rPr>
        <w:t xml:space="preserve">NKÚ doporučuje </w:t>
      </w:r>
      <w:r w:rsidR="00052ED6" w:rsidRPr="00744B2F">
        <w:rPr>
          <w:rFonts w:ascii="Calibri" w:eastAsia="Calibri" w:hAnsi="Calibri" w:cs="Calibri"/>
          <w:szCs w:val="24"/>
        </w:rPr>
        <w:t>novelizaci</w:t>
      </w:r>
      <w:r w:rsidR="00744B2F" w:rsidRPr="00744B2F">
        <w:rPr>
          <w:rFonts w:ascii="Calibri" w:eastAsia="Calibri" w:hAnsi="Calibri" w:cs="Calibri"/>
          <w:szCs w:val="24"/>
        </w:rPr>
        <w:t xml:space="preserve"> předmětného ustanovení</w:t>
      </w:r>
      <w:r w:rsidR="00875EEA" w:rsidRPr="00744B2F">
        <w:rPr>
          <w:rFonts w:ascii="Calibri" w:eastAsia="Calibri" w:hAnsi="Calibri" w:cs="Calibri"/>
          <w:szCs w:val="24"/>
        </w:rPr>
        <w:t xml:space="preserve"> zákon</w:t>
      </w:r>
      <w:r w:rsidR="00744B2F" w:rsidRPr="00744B2F">
        <w:rPr>
          <w:rFonts w:ascii="Calibri" w:eastAsia="Calibri" w:hAnsi="Calibri" w:cs="Calibri"/>
          <w:szCs w:val="24"/>
        </w:rPr>
        <w:t>a</w:t>
      </w:r>
      <w:r w:rsidR="00875EEA" w:rsidRPr="00744B2F">
        <w:rPr>
          <w:rFonts w:ascii="Calibri" w:eastAsia="Calibri" w:hAnsi="Calibri" w:cs="Calibri"/>
          <w:szCs w:val="24"/>
        </w:rPr>
        <w:t xml:space="preserve"> o</w:t>
      </w:r>
      <w:r w:rsidR="007C419A">
        <w:rPr>
          <w:rFonts w:ascii="Calibri" w:eastAsia="Calibri" w:hAnsi="Calibri" w:cs="Calibri"/>
          <w:szCs w:val="24"/>
        </w:rPr>
        <w:t> </w:t>
      </w:r>
      <w:r w:rsidR="00875EEA" w:rsidRPr="00744B2F">
        <w:rPr>
          <w:rFonts w:ascii="Calibri" w:eastAsia="Calibri" w:hAnsi="Calibri" w:cs="Calibri"/>
          <w:szCs w:val="24"/>
        </w:rPr>
        <w:t>soudních poplatcích.</w:t>
      </w:r>
    </w:p>
    <w:p w14:paraId="06F25879" w14:textId="58F2B553" w:rsidR="00531186" w:rsidRPr="00DA5CA5" w:rsidRDefault="00531186" w:rsidP="00E15933">
      <w:pPr>
        <w:pStyle w:val="Nadpis2"/>
        <w:spacing w:before="240"/>
        <w:ind w:left="284" w:hanging="284"/>
        <w:jc w:val="left"/>
        <w:rPr>
          <w:rFonts w:eastAsia="Calibri"/>
        </w:rPr>
      </w:pPr>
      <w:r w:rsidRPr="00DA5CA5">
        <w:rPr>
          <w:rFonts w:eastAsia="Calibri"/>
        </w:rPr>
        <w:t>M</w:t>
      </w:r>
      <w:r w:rsidR="00E346B6">
        <w:rPr>
          <w:rFonts w:eastAsia="Calibri"/>
        </w:rPr>
        <w:t>inisterstvo spravedlnosti</w:t>
      </w:r>
      <w:r w:rsidRPr="00DA5CA5">
        <w:rPr>
          <w:rFonts w:eastAsia="Calibri"/>
        </w:rPr>
        <w:t xml:space="preserve"> </w:t>
      </w:r>
      <w:r w:rsidR="00E346B6">
        <w:rPr>
          <w:rFonts w:eastAsia="Calibri"/>
        </w:rPr>
        <w:t>neprovádělo kontrolu soudů při správě soudních poplatků a</w:t>
      </w:r>
      <w:r w:rsidR="007A66A9">
        <w:rPr>
          <w:rFonts w:eastAsia="Calibri"/>
        </w:rPr>
        <w:t> </w:t>
      </w:r>
      <w:r w:rsidR="00E346B6">
        <w:rPr>
          <w:rFonts w:eastAsia="Calibri"/>
        </w:rPr>
        <w:t>vymáhání justičních pohledávek</w:t>
      </w:r>
    </w:p>
    <w:p w14:paraId="6AF0D1F6" w14:textId="1CE35807" w:rsidR="00531186" w:rsidRPr="00932060" w:rsidRDefault="00D60A8F" w:rsidP="00802C2A">
      <w:pPr>
        <w:spacing w:after="240"/>
        <w:rPr>
          <w:rFonts w:ascii="Calibri" w:eastAsia="Calibri" w:hAnsi="Calibri" w:cs="Calibri"/>
          <w:szCs w:val="24"/>
        </w:rPr>
      </w:pPr>
      <w:r w:rsidRPr="00932060">
        <w:rPr>
          <w:rFonts w:ascii="Calibri" w:eastAsia="Calibri" w:hAnsi="Calibri" w:cs="Calibri"/>
          <w:szCs w:val="24"/>
        </w:rPr>
        <w:t>MSp nekontrolovalo</w:t>
      </w:r>
      <w:r w:rsidR="0089623F" w:rsidRPr="0089623F">
        <w:rPr>
          <w:rFonts w:ascii="Calibri" w:eastAsia="Calibri" w:hAnsi="Calibri" w:cs="Calibri"/>
          <w:szCs w:val="24"/>
        </w:rPr>
        <w:t xml:space="preserve"> </w:t>
      </w:r>
      <w:r w:rsidR="0089623F">
        <w:rPr>
          <w:rFonts w:ascii="Calibri" w:eastAsia="Calibri" w:hAnsi="Calibri" w:cs="Calibri"/>
          <w:szCs w:val="24"/>
        </w:rPr>
        <w:t>podle zákona o soudech a soudcích</w:t>
      </w:r>
      <w:r w:rsidR="0089623F">
        <w:rPr>
          <w:rStyle w:val="Znakapoznpodarou"/>
          <w:rFonts w:ascii="Calibri" w:eastAsia="Calibri" w:hAnsi="Calibri" w:cs="Calibri"/>
          <w:szCs w:val="24"/>
        </w:rPr>
        <w:footnoteReference w:id="15"/>
      </w:r>
      <w:r w:rsidRPr="00932060">
        <w:rPr>
          <w:rFonts w:ascii="Calibri" w:eastAsia="Calibri" w:hAnsi="Calibri" w:cs="Calibri"/>
          <w:szCs w:val="24"/>
        </w:rPr>
        <w:t>, zda soudy</w:t>
      </w:r>
      <w:r w:rsidR="00C3768E">
        <w:rPr>
          <w:rFonts w:ascii="Calibri" w:eastAsia="Calibri" w:hAnsi="Calibri" w:cs="Calibri"/>
          <w:szCs w:val="24"/>
        </w:rPr>
        <w:t xml:space="preserve"> při správě soudních poplatků a vymáhání justičních pohledávek</w:t>
      </w:r>
      <w:r w:rsidRPr="00932060">
        <w:rPr>
          <w:rFonts w:ascii="Calibri" w:eastAsia="Calibri" w:hAnsi="Calibri" w:cs="Calibri"/>
          <w:szCs w:val="24"/>
        </w:rPr>
        <w:t xml:space="preserve"> postup</w:t>
      </w:r>
      <w:r w:rsidR="00C3768E">
        <w:rPr>
          <w:rFonts w:ascii="Calibri" w:eastAsia="Calibri" w:hAnsi="Calibri" w:cs="Calibri"/>
          <w:szCs w:val="24"/>
        </w:rPr>
        <w:t>ovaly</w:t>
      </w:r>
      <w:r w:rsidR="0090262D">
        <w:rPr>
          <w:rFonts w:ascii="Calibri" w:eastAsia="Calibri" w:hAnsi="Calibri" w:cs="Calibri"/>
          <w:szCs w:val="24"/>
        </w:rPr>
        <w:t xml:space="preserve"> </w:t>
      </w:r>
      <w:r w:rsidR="00297343">
        <w:rPr>
          <w:rFonts w:ascii="Calibri" w:eastAsia="Calibri" w:hAnsi="Calibri" w:cs="Calibri"/>
          <w:szCs w:val="24"/>
        </w:rPr>
        <w:t>podle</w:t>
      </w:r>
      <w:r w:rsidR="00E346B6">
        <w:rPr>
          <w:rFonts w:ascii="Calibri" w:eastAsia="Calibri" w:hAnsi="Calibri" w:cs="Calibri"/>
          <w:szCs w:val="24"/>
        </w:rPr>
        <w:t xml:space="preserve"> zákona o soudních poplatcích</w:t>
      </w:r>
      <w:r w:rsidR="00534EB0">
        <w:rPr>
          <w:rFonts w:ascii="Calibri" w:eastAsia="Calibri" w:hAnsi="Calibri" w:cs="Calibri"/>
          <w:szCs w:val="24"/>
        </w:rPr>
        <w:t xml:space="preserve"> a daňového řádu</w:t>
      </w:r>
      <w:r w:rsidRPr="00932060">
        <w:rPr>
          <w:rFonts w:ascii="Calibri" w:eastAsia="Calibri" w:hAnsi="Calibri" w:cs="Calibri"/>
          <w:szCs w:val="24"/>
        </w:rPr>
        <w:t xml:space="preserve">. </w:t>
      </w:r>
      <w:r w:rsidR="00B761F5" w:rsidRPr="00932060">
        <w:rPr>
          <w:rFonts w:ascii="Calibri" w:eastAsia="Calibri" w:hAnsi="Calibri" w:cs="Calibri"/>
          <w:szCs w:val="24"/>
        </w:rPr>
        <w:t xml:space="preserve">V důsledku toho </w:t>
      </w:r>
      <w:r w:rsidR="000062E1">
        <w:rPr>
          <w:rFonts w:ascii="Calibri" w:eastAsia="Calibri" w:hAnsi="Calibri" w:cs="Calibri"/>
          <w:szCs w:val="24"/>
        </w:rPr>
        <w:t>neodhalilo</w:t>
      </w:r>
      <w:r w:rsidR="00B761F5" w:rsidRPr="00932060">
        <w:rPr>
          <w:rFonts w:ascii="Calibri" w:eastAsia="Calibri" w:hAnsi="Calibri" w:cs="Calibri"/>
          <w:szCs w:val="24"/>
        </w:rPr>
        <w:t xml:space="preserve"> nedostatky v postupech soudů</w:t>
      </w:r>
      <w:r w:rsidR="00F8156C">
        <w:rPr>
          <w:rFonts w:ascii="Calibri" w:eastAsia="Calibri" w:hAnsi="Calibri" w:cs="Calibri"/>
          <w:szCs w:val="24"/>
        </w:rPr>
        <w:t>, které byly zjištěny kontrolou NKÚ</w:t>
      </w:r>
      <w:r w:rsidR="00B761F5" w:rsidRPr="00932060">
        <w:rPr>
          <w:rFonts w:ascii="Calibri" w:eastAsia="Calibri" w:hAnsi="Calibri" w:cs="Calibri"/>
          <w:szCs w:val="24"/>
        </w:rPr>
        <w:t>.</w:t>
      </w:r>
    </w:p>
    <w:p w14:paraId="03C13A8B" w14:textId="77777777" w:rsidR="00B53558" w:rsidRPr="00ED66B5" w:rsidRDefault="0093232C" w:rsidP="00802C2A">
      <w:pPr>
        <w:pStyle w:val="Nadpis1"/>
        <w:numPr>
          <w:ilvl w:val="0"/>
          <w:numId w:val="0"/>
        </w:numPr>
        <w:spacing w:before="720" w:after="240" w:line="259" w:lineRule="auto"/>
        <w:rPr>
          <w:sz w:val="28"/>
          <w:szCs w:val="28"/>
        </w:rPr>
      </w:pPr>
      <w:r w:rsidRPr="00ED66B5">
        <w:rPr>
          <w:sz w:val="28"/>
          <w:szCs w:val="28"/>
        </w:rPr>
        <w:t>II. Informace o kontrolované oblasti</w:t>
      </w:r>
    </w:p>
    <w:p w14:paraId="39B65DC3" w14:textId="3D7B7D06" w:rsidR="00C95395" w:rsidRDefault="09B35B11" w:rsidP="00802C2A">
      <w:pPr>
        <w:spacing w:after="120"/>
        <w:rPr>
          <w:lang w:eastAsia="cs-CZ"/>
        </w:rPr>
      </w:pPr>
      <w:r w:rsidRPr="488EE638">
        <w:rPr>
          <w:b/>
          <w:bCs/>
          <w:lang w:eastAsia="cs-CZ"/>
        </w:rPr>
        <w:t>Soudní poplatky</w:t>
      </w:r>
      <w:r w:rsidRPr="488EE638">
        <w:rPr>
          <w:lang w:eastAsia="cs-CZ"/>
        </w:rPr>
        <w:t xml:space="preserve"> jsou peněžit</w:t>
      </w:r>
      <w:r w:rsidR="00A02AC3">
        <w:rPr>
          <w:lang w:eastAsia="cs-CZ"/>
        </w:rPr>
        <w:t>á plnění</w:t>
      </w:r>
      <w:r w:rsidRPr="488EE638">
        <w:rPr>
          <w:lang w:eastAsia="cs-CZ"/>
        </w:rPr>
        <w:t>, kter</w:t>
      </w:r>
      <w:r w:rsidR="00A02AC3">
        <w:rPr>
          <w:lang w:eastAsia="cs-CZ"/>
        </w:rPr>
        <w:t>á</w:t>
      </w:r>
      <w:r w:rsidRPr="488EE638">
        <w:rPr>
          <w:lang w:eastAsia="cs-CZ"/>
        </w:rPr>
        <w:t xml:space="preserve"> se vybírají za řízení před soudy České republiky či za jednotlivé úkony, které soudy provádějí, a </w:t>
      </w:r>
      <w:r w:rsidR="7512FC06" w:rsidRPr="3B984AB8">
        <w:rPr>
          <w:lang w:eastAsia="cs-CZ"/>
        </w:rPr>
        <w:t xml:space="preserve">za </w:t>
      </w:r>
      <w:r w:rsidRPr="488EE638">
        <w:rPr>
          <w:lang w:eastAsia="cs-CZ"/>
        </w:rPr>
        <w:t xml:space="preserve">zápis skutečnosti do veřejného rejstříku </w:t>
      </w:r>
      <w:r w:rsidRPr="00616377">
        <w:rPr>
          <w:rFonts w:eastAsiaTheme="minorEastAsia"/>
          <w:szCs w:val="24"/>
          <w:lang w:eastAsia="cs-CZ"/>
        </w:rPr>
        <w:t>provedený notářem na žádost osoby oprávněné k jejímu podání.</w:t>
      </w:r>
      <w:r w:rsidR="002D064A">
        <w:rPr>
          <w:rStyle w:val="Znakapoznpodarou"/>
          <w:rFonts w:eastAsiaTheme="minorEastAsia"/>
          <w:szCs w:val="24"/>
          <w:lang w:eastAsia="cs-CZ"/>
        </w:rPr>
        <w:footnoteReference w:id="16"/>
      </w:r>
      <w:r w:rsidR="0F295892" w:rsidRPr="00616377">
        <w:rPr>
          <w:rFonts w:eastAsiaTheme="minorEastAsia"/>
          <w:szCs w:val="24"/>
          <w:lang w:eastAsia="cs-CZ"/>
        </w:rPr>
        <w:t xml:space="preserve"> Ke správě placení soudních poplatků je příslušný soud, resp. správa soudu.</w:t>
      </w:r>
      <w:r w:rsidR="00502C57" w:rsidRPr="488EE638">
        <w:rPr>
          <w:rFonts w:eastAsiaTheme="minorEastAsia"/>
          <w:szCs w:val="24"/>
          <w:vertAlign w:val="superscript"/>
          <w:lang w:eastAsia="cs-CZ"/>
        </w:rPr>
        <w:footnoteReference w:id="17"/>
      </w:r>
      <w:r w:rsidR="578AF78E" w:rsidRPr="488EE638">
        <w:rPr>
          <w:lang w:eastAsia="cs-CZ"/>
        </w:rPr>
        <w:t xml:space="preserve"> Správou soudních poplatků se pro účely kontroly NKÚ rozumí činnosti </w:t>
      </w:r>
      <w:r w:rsidR="7D6BD579" w:rsidRPr="488EE638">
        <w:rPr>
          <w:lang w:eastAsia="cs-CZ"/>
        </w:rPr>
        <w:t>prováděné v</w:t>
      </w:r>
      <w:r w:rsidR="578AF78E" w:rsidRPr="488EE638">
        <w:rPr>
          <w:lang w:eastAsia="cs-CZ"/>
        </w:rPr>
        <w:t xml:space="preserve"> rámci evidence, účtování a </w:t>
      </w:r>
      <w:r w:rsidR="004D07EC">
        <w:rPr>
          <w:lang w:eastAsia="cs-CZ"/>
        </w:rPr>
        <w:t>úhrad</w:t>
      </w:r>
      <w:r w:rsidR="00F14F69">
        <w:rPr>
          <w:lang w:eastAsia="cs-CZ"/>
        </w:rPr>
        <w:t>y</w:t>
      </w:r>
      <w:r w:rsidR="578AF78E" w:rsidRPr="488EE638">
        <w:rPr>
          <w:lang w:eastAsia="cs-CZ"/>
        </w:rPr>
        <w:t xml:space="preserve"> těchto poplatků.</w:t>
      </w:r>
    </w:p>
    <w:p w14:paraId="01B6F215" w14:textId="466730B0" w:rsidR="0083556C" w:rsidRDefault="0083556C" w:rsidP="007C419A">
      <w:pPr>
        <w:tabs>
          <w:tab w:val="right" w:pos="9071"/>
        </w:tabs>
        <w:spacing w:after="40" w:line="240" w:lineRule="auto"/>
        <w:rPr>
          <w:b/>
          <w:bCs/>
          <w:szCs w:val="24"/>
          <w:lang w:eastAsia="cs-CZ"/>
        </w:rPr>
      </w:pPr>
      <w:r w:rsidRPr="0022557F">
        <w:rPr>
          <w:b/>
          <w:bCs/>
          <w:szCs w:val="24"/>
          <w:lang w:eastAsia="cs-CZ"/>
        </w:rPr>
        <w:t xml:space="preserve">Tabulka č. </w:t>
      </w:r>
      <w:r w:rsidR="00553BA5" w:rsidRPr="0022557F">
        <w:rPr>
          <w:b/>
          <w:bCs/>
          <w:szCs w:val="24"/>
          <w:lang w:eastAsia="cs-CZ"/>
        </w:rPr>
        <w:t>1:</w:t>
      </w:r>
      <w:r w:rsidR="006E068A" w:rsidRPr="0022557F">
        <w:rPr>
          <w:b/>
          <w:bCs/>
          <w:szCs w:val="24"/>
          <w:lang w:eastAsia="cs-CZ"/>
        </w:rPr>
        <w:t xml:space="preserve"> Plnění vybraných příjmů </w:t>
      </w:r>
      <w:r w:rsidR="008334FD">
        <w:rPr>
          <w:b/>
          <w:bCs/>
          <w:szCs w:val="24"/>
          <w:lang w:eastAsia="cs-CZ"/>
        </w:rPr>
        <w:t>soudů</w:t>
      </w:r>
      <w:r w:rsidR="006E068A" w:rsidRPr="0022557F">
        <w:rPr>
          <w:b/>
          <w:bCs/>
          <w:szCs w:val="24"/>
          <w:lang w:eastAsia="cs-CZ"/>
        </w:rPr>
        <w:t xml:space="preserve"> v letech</w:t>
      </w:r>
      <w:r w:rsidR="006E068A">
        <w:rPr>
          <w:b/>
          <w:bCs/>
          <w:szCs w:val="24"/>
          <w:lang w:eastAsia="cs-CZ"/>
        </w:rPr>
        <w:t xml:space="preserve"> 2021 až 2024</w:t>
      </w:r>
      <w:r>
        <w:rPr>
          <w:b/>
          <w:bCs/>
          <w:szCs w:val="24"/>
          <w:lang w:eastAsia="cs-CZ"/>
        </w:rPr>
        <w:t xml:space="preserve"> </w:t>
      </w:r>
      <w:r w:rsidR="007C419A">
        <w:rPr>
          <w:b/>
          <w:bCs/>
          <w:szCs w:val="24"/>
          <w:lang w:eastAsia="cs-CZ"/>
        </w:rPr>
        <w:tab/>
      </w:r>
      <w:r w:rsidR="00602BDA">
        <w:rPr>
          <w:b/>
          <w:bCs/>
          <w:szCs w:val="24"/>
          <w:lang w:eastAsia="cs-CZ"/>
        </w:rPr>
        <w:t>(v tis. Kč)</w:t>
      </w:r>
    </w:p>
    <w:tbl>
      <w:tblPr>
        <w:tblStyle w:val="Mkatabulky"/>
        <w:tblW w:w="9015" w:type="dxa"/>
        <w:jc w:val="center"/>
        <w:tblLook w:val="04A0" w:firstRow="1" w:lastRow="0" w:firstColumn="1" w:lastColumn="0" w:noHBand="0" w:noVBand="1"/>
      </w:tblPr>
      <w:tblGrid>
        <w:gridCol w:w="1361"/>
        <w:gridCol w:w="3118"/>
        <w:gridCol w:w="1134"/>
        <w:gridCol w:w="1134"/>
        <w:gridCol w:w="1134"/>
        <w:gridCol w:w="1134"/>
      </w:tblGrid>
      <w:tr w:rsidR="003D34DC" w:rsidRPr="00D1207A" w14:paraId="38EB6DB4" w14:textId="77777777" w:rsidTr="00BE71FC">
        <w:trPr>
          <w:trHeight w:val="283"/>
          <w:jc w:val="center"/>
        </w:trPr>
        <w:tc>
          <w:tcPr>
            <w:tcW w:w="1361" w:type="dxa"/>
            <w:shd w:val="clear" w:color="auto" w:fill="E6E6E6"/>
            <w:vAlign w:val="center"/>
          </w:tcPr>
          <w:p w14:paraId="2E258DDE" w14:textId="6595E781" w:rsidR="0083556C" w:rsidRPr="00D1207A" w:rsidRDefault="0083556C" w:rsidP="009E6C93">
            <w:pPr>
              <w:jc w:val="center"/>
              <w:rPr>
                <w:b/>
                <w:bCs/>
                <w:sz w:val="20"/>
                <w:szCs w:val="20"/>
                <w:lang w:eastAsia="cs-CZ"/>
              </w:rPr>
            </w:pPr>
            <w:r w:rsidRPr="00D1207A">
              <w:rPr>
                <w:b/>
                <w:bCs/>
                <w:sz w:val="20"/>
                <w:szCs w:val="20"/>
                <w:lang w:eastAsia="cs-CZ"/>
              </w:rPr>
              <w:t>Položka (kód)</w:t>
            </w:r>
          </w:p>
        </w:tc>
        <w:tc>
          <w:tcPr>
            <w:tcW w:w="3118" w:type="dxa"/>
            <w:shd w:val="clear" w:color="auto" w:fill="E6E6E6"/>
            <w:vAlign w:val="center"/>
          </w:tcPr>
          <w:p w14:paraId="71C03A1D" w14:textId="30AC6946" w:rsidR="0083556C" w:rsidRPr="00D1207A" w:rsidRDefault="0083556C" w:rsidP="009E6C93">
            <w:pPr>
              <w:jc w:val="center"/>
              <w:rPr>
                <w:b/>
                <w:bCs/>
                <w:sz w:val="20"/>
                <w:szCs w:val="20"/>
                <w:lang w:eastAsia="cs-CZ"/>
              </w:rPr>
            </w:pPr>
            <w:r w:rsidRPr="00D1207A">
              <w:rPr>
                <w:b/>
                <w:bCs/>
                <w:sz w:val="20"/>
                <w:szCs w:val="20"/>
                <w:lang w:eastAsia="cs-CZ"/>
              </w:rPr>
              <w:t>Položka (název)</w:t>
            </w:r>
          </w:p>
        </w:tc>
        <w:tc>
          <w:tcPr>
            <w:tcW w:w="1134" w:type="dxa"/>
            <w:shd w:val="clear" w:color="auto" w:fill="E6E6E6"/>
            <w:vAlign w:val="center"/>
          </w:tcPr>
          <w:p w14:paraId="76825AC6" w14:textId="79ADD1AE" w:rsidR="0083556C" w:rsidRPr="00D1207A" w:rsidRDefault="0083556C" w:rsidP="009E6C93">
            <w:pPr>
              <w:jc w:val="center"/>
              <w:rPr>
                <w:b/>
                <w:bCs/>
                <w:sz w:val="20"/>
                <w:szCs w:val="20"/>
                <w:lang w:eastAsia="cs-CZ"/>
              </w:rPr>
            </w:pPr>
            <w:r w:rsidRPr="00D1207A">
              <w:rPr>
                <w:b/>
                <w:bCs/>
                <w:sz w:val="20"/>
                <w:szCs w:val="20"/>
                <w:lang w:eastAsia="cs-CZ"/>
              </w:rPr>
              <w:t>2021</w:t>
            </w:r>
          </w:p>
        </w:tc>
        <w:tc>
          <w:tcPr>
            <w:tcW w:w="1134" w:type="dxa"/>
            <w:shd w:val="clear" w:color="auto" w:fill="E6E6E6"/>
            <w:vAlign w:val="center"/>
          </w:tcPr>
          <w:p w14:paraId="01E16208" w14:textId="7F7A53F2" w:rsidR="0083556C" w:rsidRPr="00D1207A" w:rsidRDefault="0083556C" w:rsidP="009E6C93">
            <w:pPr>
              <w:jc w:val="center"/>
              <w:rPr>
                <w:b/>
                <w:bCs/>
                <w:sz w:val="20"/>
                <w:szCs w:val="20"/>
                <w:lang w:eastAsia="cs-CZ"/>
              </w:rPr>
            </w:pPr>
            <w:r w:rsidRPr="00D1207A">
              <w:rPr>
                <w:b/>
                <w:bCs/>
                <w:sz w:val="20"/>
                <w:szCs w:val="20"/>
                <w:lang w:eastAsia="cs-CZ"/>
              </w:rPr>
              <w:t>2022</w:t>
            </w:r>
          </w:p>
        </w:tc>
        <w:tc>
          <w:tcPr>
            <w:tcW w:w="1134" w:type="dxa"/>
            <w:shd w:val="clear" w:color="auto" w:fill="E6E6E6"/>
            <w:vAlign w:val="center"/>
          </w:tcPr>
          <w:p w14:paraId="3E7A8960" w14:textId="31723D7E" w:rsidR="0083556C" w:rsidRPr="00D1207A" w:rsidRDefault="0083556C" w:rsidP="009E6C93">
            <w:pPr>
              <w:jc w:val="center"/>
              <w:rPr>
                <w:b/>
                <w:bCs/>
                <w:sz w:val="20"/>
                <w:szCs w:val="20"/>
                <w:lang w:eastAsia="cs-CZ"/>
              </w:rPr>
            </w:pPr>
            <w:r w:rsidRPr="00D1207A">
              <w:rPr>
                <w:b/>
                <w:bCs/>
                <w:sz w:val="20"/>
                <w:szCs w:val="20"/>
                <w:lang w:eastAsia="cs-CZ"/>
              </w:rPr>
              <w:t>2023</w:t>
            </w:r>
          </w:p>
        </w:tc>
        <w:tc>
          <w:tcPr>
            <w:tcW w:w="1134" w:type="dxa"/>
            <w:shd w:val="clear" w:color="auto" w:fill="E6E6E6"/>
            <w:vAlign w:val="center"/>
          </w:tcPr>
          <w:p w14:paraId="7DF4F1C1" w14:textId="0368F219" w:rsidR="0083556C" w:rsidRPr="00D1207A" w:rsidRDefault="0083556C" w:rsidP="009E6C93">
            <w:pPr>
              <w:jc w:val="center"/>
              <w:rPr>
                <w:b/>
                <w:bCs/>
                <w:sz w:val="20"/>
                <w:szCs w:val="20"/>
                <w:lang w:eastAsia="cs-CZ"/>
              </w:rPr>
            </w:pPr>
            <w:r w:rsidRPr="00D1207A">
              <w:rPr>
                <w:b/>
                <w:bCs/>
                <w:sz w:val="20"/>
                <w:szCs w:val="20"/>
                <w:lang w:eastAsia="cs-CZ"/>
              </w:rPr>
              <w:t>2024</w:t>
            </w:r>
          </w:p>
        </w:tc>
      </w:tr>
      <w:tr w:rsidR="0083556C" w:rsidRPr="00D1207A" w14:paraId="5EB36CF8" w14:textId="77777777" w:rsidTr="00BE71FC">
        <w:trPr>
          <w:trHeight w:val="283"/>
          <w:jc w:val="center"/>
        </w:trPr>
        <w:tc>
          <w:tcPr>
            <w:tcW w:w="1361" w:type="dxa"/>
            <w:vAlign w:val="center"/>
          </w:tcPr>
          <w:p w14:paraId="3ADC5E25" w14:textId="4C4B4EAB" w:rsidR="0083556C" w:rsidRPr="00D1207A" w:rsidRDefault="0083556C" w:rsidP="009E6C93">
            <w:pPr>
              <w:jc w:val="center"/>
              <w:rPr>
                <w:sz w:val="20"/>
                <w:szCs w:val="20"/>
                <w:lang w:eastAsia="cs-CZ"/>
              </w:rPr>
            </w:pPr>
            <w:r w:rsidRPr="00D1207A">
              <w:rPr>
                <w:sz w:val="20"/>
                <w:szCs w:val="20"/>
                <w:lang w:eastAsia="cs-CZ"/>
              </w:rPr>
              <w:t>1362</w:t>
            </w:r>
          </w:p>
        </w:tc>
        <w:tc>
          <w:tcPr>
            <w:tcW w:w="3118" w:type="dxa"/>
            <w:vAlign w:val="center"/>
          </w:tcPr>
          <w:p w14:paraId="33147D6B" w14:textId="3A521FC8" w:rsidR="0083556C" w:rsidRPr="00D1207A" w:rsidRDefault="59AA8928" w:rsidP="00793ED7">
            <w:pPr>
              <w:jc w:val="left"/>
              <w:rPr>
                <w:sz w:val="20"/>
                <w:szCs w:val="20"/>
                <w:lang w:eastAsia="cs-CZ"/>
              </w:rPr>
            </w:pPr>
            <w:r w:rsidRPr="00D1207A">
              <w:rPr>
                <w:sz w:val="20"/>
                <w:szCs w:val="20"/>
                <w:lang w:eastAsia="cs-CZ"/>
              </w:rPr>
              <w:t>Příjem ze soudních poplatků</w:t>
            </w:r>
          </w:p>
        </w:tc>
        <w:tc>
          <w:tcPr>
            <w:tcW w:w="1134" w:type="dxa"/>
            <w:vAlign w:val="center"/>
          </w:tcPr>
          <w:p w14:paraId="53FFE531" w14:textId="57C6DCA4" w:rsidR="488EE638" w:rsidRPr="00D1207A" w:rsidRDefault="488EE638" w:rsidP="00793ED7">
            <w:pPr>
              <w:ind w:right="57"/>
              <w:jc w:val="right"/>
              <w:rPr>
                <w:rFonts w:ascii="Calibri" w:eastAsia="Calibri" w:hAnsi="Calibri" w:cs="Calibri"/>
                <w:color w:val="000000" w:themeColor="text1"/>
                <w:sz w:val="20"/>
                <w:szCs w:val="20"/>
              </w:rPr>
            </w:pPr>
            <w:r w:rsidRPr="00D1207A">
              <w:rPr>
                <w:rFonts w:ascii="Calibri" w:eastAsia="Calibri" w:hAnsi="Calibri" w:cs="Calibri"/>
                <w:color w:val="000000" w:themeColor="text1"/>
                <w:sz w:val="20"/>
                <w:szCs w:val="20"/>
              </w:rPr>
              <w:t>1 100 57</w:t>
            </w:r>
            <w:r w:rsidR="002257B6" w:rsidRPr="00D1207A">
              <w:rPr>
                <w:rFonts w:ascii="Calibri" w:eastAsia="Calibri" w:hAnsi="Calibri" w:cs="Calibri"/>
                <w:color w:val="000000" w:themeColor="text1"/>
                <w:sz w:val="20"/>
                <w:szCs w:val="20"/>
              </w:rPr>
              <w:t>4</w:t>
            </w:r>
          </w:p>
        </w:tc>
        <w:tc>
          <w:tcPr>
            <w:tcW w:w="1134" w:type="dxa"/>
            <w:vAlign w:val="center"/>
          </w:tcPr>
          <w:p w14:paraId="43DBB649" w14:textId="0652B596" w:rsidR="488EE638" w:rsidRPr="00D1207A" w:rsidRDefault="488EE638" w:rsidP="00793ED7">
            <w:pPr>
              <w:ind w:right="57"/>
              <w:jc w:val="right"/>
              <w:rPr>
                <w:rFonts w:ascii="Calibri" w:eastAsia="Calibri" w:hAnsi="Calibri" w:cs="Calibri"/>
                <w:color w:val="000000" w:themeColor="text1"/>
                <w:sz w:val="20"/>
                <w:szCs w:val="20"/>
              </w:rPr>
            </w:pPr>
            <w:r w:rsidRPr="00D1207A">
              <w:rPr>
                <w:rFonts w:ascii="Calibri" w:eastAsia="Calibri" w:hAnsi="Calibri" w:cs="Calibri"/>
                <w:color w:val="000000" w:themeColor="text1"/>
                <w:sz w:val="20"/>
                <w:szCs w:val="20"/>
              </w:rPr>
              <w:t>1 146 300</w:t>
            </w:r>
          </w:p>
        </w:tc>
        <w:tc>
          <w:tcPr>
            <w:tcW w:w="1134" w:type="dxa"/>
            <w:vAlign w:val="center"/>
          </w:tcPr>
          <w:p w14:paraId="7BA4354E" w14:textId="531E7A54" w:rsidR="488EE638" w:rsidRPr="00D1207A" w:rsidRDefault="488EE638" w:rsidP="00793ED7">
            <w:pPr>
              <w:ind w:right="57"/>
              <w:jc w:val="right"/>
              <w:rPr>
                <w:rFonts w:ascii="Calibri" w:eastAsia="Calibri" w:hAnsi="Calibri" w:cs="Calibri"/>
                <w:color w:val="000000" w:themeColor="text1"/>
                <w:sz w:val="20"/>
                <w:szCs w:val="20"/>
              </w:rPr>
            </w:pPr>
            <w:r w:rsidRPr="00D1207A">
              <w:rPr>
                <w:rFonts w:ascii="Calibri" w:eastAsia="Calibri" w:hAnsi="Calibri" w:cs="Calibri"/>
                <w:color w:val="000000" w:themeColor="text1"/>
                <w:sz w:val="20"/>
                <w:szCs w:val="20"/>
              </w:rPr>
              <w:t>1 252 06</w:t>
            </w:r>
            <w:r w:rsidR="002257B6" w:rsidRPr="00D1207A">
              <w:rPr>
                <w:rFonts w:ascii="Calibri" w:eastAsia="Calibri" w:hAnsi="Calibri" w:cs="Calibri"/>
                <w:color w:val="000000" w:themeColor="text1"/>
                <w:sz w:val="20"/>
                <w:szCs w:val="20"/>
              </w:rPr>
              <w:t>4</w:t>
            </w:r>
          </w:p>
        </w:tc>
        <w:tc>
          <w:tcPr>
            <w:tcW w:w="1134" w:type="dxa"/>
            <w:vAlign w:val="center"/>
          </w:tcPr>
          <w:p w14:paraId="226021BB" w14:textId="58AE32ED" w:rsidR="488EE638" w:rsidRPr="00D1207A" w:rsidRDefault="488EE638" w:rsidP="00793ED7">
            <w:pPr>
              <w:ind w:right="57"/>
              <w:jc w:val="right"/>
              <w:rPr>
                <w:rFonts w:ascii="Calibri" w:eastAsia="Calibri" w:hAnsi="Calibri" w:cs="Calibri"/>
                <w:color w:val="000000" w:themeColor="text1"/>
                <w:sz w:val="20"/>
                <w:szCs w:val="20"/>
              </w:rPr>
            </w:pPr>
            <w:r w:rsidRPr="00D1207A">
              <w:rPr>
                <w:rFonts w:ascii="Calibri" w:eastAsia="Calibri" w:hAnsi="Calibri" w:cs="Calibri"/>
                <w:color w:val="000000" w:themeColor="text1"/>
                <w:sz w:val="20"/>
                <w:szCs w:val="20"/>
              </w:rPr>
              <w:t>1 375 27</w:t>
            </w:r>
            <w:r w:rsidR="002257B6" w:rsidRPr="00D1207A">
              <w:rPr>
                <w:rFonts w:ascii="Calibri" w:eastAsia="Calibri" w:hAnsi="Calibri" w:cs="Calibri"/>
                <w:color w:val="000000" w:themeColor="text1"/>
                <w:sz w:val="20"/>
                <w:szCs w:val="20"/>
              </w:rPr>
              <w:t>2</w:t>
            </w:r>
          </w:p>
        </w:tc>
      </w:tr>
      <w:tr w:rsidR="0083556C" w:rsidRPr="00D1207A" w14:paraId="0CA2AC5F" w14:textId="77777777" w:rsidTr="00BE71FC">
        <w:trPr>
          <w:trHeight w:val="283"/>
          <w:jc w:val="center"/>
        </w:trPr>
        <w:tc>
          <w:tcPr>
            <w:tcW w:w="1361" w:type="dxa"/>
            <w:vAlign w:val="center"/>
          </w:tcPr>
          <w:p w14:paraId="246845B4" w14:textId="64C9A2EB" w:rsidR="0083556C" w:rsidRPr="00D1207A" w:rsidRDefault="0083556C" w:rsidP="009E6C93">
            <w:pPr>
              <w:jc w:val="center"/>
              <w:rPr>
                <w:sz w:val="20"/>
                <w:szCs w:val="20"/>
                <w:lang w:eastAsia="cs-CZ"/>
              </w:rPr>
            </w:pPr>
            <w:r w:rsidRPr="00D1207A">
              <w:rPr>
                <w:sz w:val="20"/>
                <w:szCs w:val="20"/>
                <w:lang w:eastAsia="cs-CZ"/>
              </w:rPr>
              <w:t>2212</w:t>
            </w:r>
          </w:p>
        </w:tc>
        <w:tc>
          <w:tcPr>
            <w:tcW w:w="3118" w:type="dxa"/>
            <w:vAlign w:val="center"/>
          </w:tcPr>
          <w:p w14:paraId="4F46DB8A" w14:textId="2E0CE06F" w:rsidR="0083556C" w:rsidRPr="00D1207A" w:rsidRDefault="080D1659" w:rsidP="00793ED7">
            <w:pPr>
              <w:jc w:val="left"/>
              <w:rPr>
                <w:sz w:val="20"/>
                <w:szCs w:val="20"/>
                <w:lang w:eastAsia="cs-CZ"/>
              </w:rPr>
            </w:pPr>
            <w:r w:rsidRPr="00D1207A">
              <w:rPr>
                <w:sz w:val="20"/>
                <w:szCs w:val="20"/>
                <w:lang w:eastAsia="cs-CZ"/>
              </w:rPr>
              <w:t>Příjem sankčních plateb přijatých od jiných osob</w:t>
            </w:r>
          </w:p>
        </w:tc>
        <w:tc>
          <w:tcPr>
            <w:tcW w:w="1134" w:type="dxa"/>
            <w:vAlign w:val="center"/>
          </w:tcPr>
          <w:p w14:paraId="3977E843" w14:textId="3F0ACADB" w:rsidR="488EE638" w:rsidRPr="00D1207A" w:rsidRDefault="488EE638" w:rsidP="00793ED7">
            <w:pPr>
              <w:ind w:right="57"/>
              <w:jc w:val="right"/>
              <w:rPr>
                <w:rFonts w:ascii="Calibri" w:eastAsia="Calibri" w:hAnsi="Calibri" w:cs="Calibri"/>
                <w:color w:val="000000" w:themeColor="text1"/>
                <w:sz w:val="20"/>
                <w:szCs w:val="20"/>
              </w:rPr>
            </w:pPr>
            <w:r w:rsidRPr="00D1207A">
              <w:rPr>
                <w:rFonts w:ascii="Calibri" w:eastAsia="Calibri" w:hAnsi="Calibri" w:cs="Calibri"/>
                <w:color w:val="000000" w:themeColor="text1"/>
                <w:sz w:val="20"/>
                <w:szCs w:val="20"/>
              </w:rPr>
              <w:t>298 869</w:t>
            </w:r>
          </w:p>
        </w:tc>
        <w:tc>
          <w:tcPr>
            <w:tcW w:w="1134" w:type="dxa"/>
            <w:vAlign w:val="center"/>
          </w:tcPr>
          <w:p w14:paraId="0D4FA79D" w14:textId="1C1506CE" w:rsidR="488EE638" w:rsidRPr="00D1207A" w:rsidRDefault="488EE638" w:rsidP="00793ED7">
            <w:pPr>
              <w:ind w:right="57"/>
              <w:jc w:val="right"/>
              <w:rPr>
                <w:rFonts w:ascii="Calibri" w:eastAsia="Calibri" w:hAnsi="Calibri" w:cs="Calibri"/>
                <w:color w:val="000000" w:themeColor="text1"/>
                <w:sz w:val="20"/>
                <w:szCs w:val="20"/>
              </w:rPr>
            </w:pPr>
            <w:r w:rsidRPr="00D1207A">
              <w:rPr>
                <w:rFonts w:ascii="Calibri" w:eastAsia="Calibri" w:hAnsi="Calibri" w:cs="Calibri"/>
                <w:color w:val="000000" w:themeColor="text1"/>
                <w:sz w:val="20"/>
                <w:szCs w:val="20"/>
              </w:rPr>
              <w:t>347 140</w:t>
            </w:r>
          </w:p>
        </w:tc>
        <w:tc>
          <w:tcPr>
            <w:tcW w:w="1134" w:type="dxa"/>
            <w:vAlign w:val="center"/>
          </w:tcPr>
          <w:p w14:paraId="4221AD50" w14:textId="1C3EA935" w:rsidR="488EE638" w:rsidRPr="00D1207A" w:rsidRDefault="488EE638" w:rsidP="00793ED7">
            <w:pPr>
              <w:ind w:right="57"/>
              <w:jc w:val="right"/>
              <w:rPr>
                <w:rFonts w:ascii="Calibri" w:eastAsia="Calibri" w:hAnsi="Calibri" w:cs="Calibri"/>
                <w:color w:val="000000" w:themeColor="text1"/>
                <w:sz w:val="20"/>
                <w:szCs w:val="20"/>
              </w:rPr>
            </w:pPr>
            <w:r w:rsidRPr="00D1207A">
              <w:rPr>
                <w:rFonts w:ascii="Calibri" w:eastAsia="Calibri" w:hAnsi="Calibri" w:cs="Calibri"/>
                <w:color w:val="000000" w:themeColor="text1"/>
                <w:sz w:val="20"/>
                <w:szCs w:val="20"/>
              </w:rPr>
              <w:t>425 125</w:t>
            </w:r>
          </w:p>
        </w:tc>
        <w:tc>
          <w:tcPr>
            <w:tcW w:w="1134" w:type="dxa"/>
            <w:vAlign w:val="center"/>
          </w:tcPr>
          <w:p w14:paraId="15994256" w14:textId="5C51A145" w:rsidR="488EE638" w:rsidRPr="00D1207A" w:rsidRDefault="488EE638" w:rsidP="00793ED7">
            <w:pPr>
              <w:ind w:right="57"/>
              <w:jc w:val="right"/>
              <w:rPr>
                <w:rFonts w:ascii="Calibri" w:eastAsia="Calibri" w:hAnsi="Calibri" w:cs="Calibri"/>
                <w:color w:val="000000" w:themeColor="text1"/>
                <w:sz w:val="20"/>
                <w:szCs w:val="20"/>
              </w:rPr>
            </w:pPr>
            <w:r w:rsidRPr="00D1207A">
              <w:rPr>
                <w:rFonts w:ascii="Calibri" w:eastAsia="Calibri" w:hAnsi="Calibri" w:cs="Calibri"/>
                <w:color w:val="000000" w:themeColor="text1"/>
                <w:sz w:val="20"/>
                <w:szCs w:val="20"/>
              </w:rPr>
              <w:t>345 560</w:t>
            </w:r>
          </w:p>
        </w:tc>
      </w:tr>
      <w:tr w:rsidR="0083556C" w:rsidRPr="00D1207A" w14:paraId="06468DD0" w14:textId="77777777" w:rsidTr="00BE71FC">
        <w:trPr>
          <w:trHeight w:val="283"/>
          <w:jc w:val="center"/>
        </w:trPr>
        <w:tc>
          <w:tcPr>
            <w:tcW w:w="1361" w:type="dxa"/>
            <w:vAlign w:val="center"/>
          </w:tcPr>
          <w:p w14:paraId="57BB804B" w14:textId="1555E69C" w:rsidR="0083556C" w:rsidRPr="00D1207A" w:rsidRDefault="0083556C" w:rsidP="009E6C93">
            <w:pPr>
              <w:jc w:val="center"/>
              <w:rPr>
                <w:sz w:val="20"/>
                <w:szCs w:val="20"/>
                <w:lang w:eastAsia="cs-CZ"/>
              </w:rPr>
            </w:pPr>
            <w:r w:rsidRPr="00D1207A">
              <w:rPr>
                <w:sz w:val="20"/>
                <w:szCs w:val="20"/>
                <w:lang w:eastAsia="cs-CZ"/>
              </w:rPr>
              <w:t>2324</w:t>
            </w:r>
          </w:p>
        </w:tc>
        <w:tc>
          <w:tcPr>
            <w:tcW w:w="3118" w:type="dxa"/>
            <w:vAlign w:val="center"/>
          </w:tcPr>
          <w:p w14:paraId="4F359789" w14:textId="17920DCE" w:rsidR="0083556C" w:rsidRPr="00D1207A" w:rsidRDefault="1AB0F08D" w:rsidP="00793ED7">
            <w:pPr>
              <w:jc w:val="left"/>
              <w:rPr>
                <w:sz w:val="20"/>
                <w:szCs w:val="20"/>
                <w:lang w:eastAsia="cs-CZ"/>
              </w:rPr>
            </w:pPr>
            <w:r w:rsidRPr="00D1207A">
              <w:rPr>
                <w:sz w:val="20"/>
                <w:szCs w:val="20"/>
                <w:lang w:eastAsia="cs-CZ"/>
              </w:rPr>
              <w:t>Přijaté neinvestiční příspěvky a</w:t>
            </w:r>
            <w:r w:rsidR="00793ED7">
              <w:rPr>
                <w:sz w:val="20"/>
                <w:szCs w:val="20"/>
                <w:lang w:eastAsia="cs-CZ"/>
              </w:rPr>
              <w:t> </w:t>
            </w:r>
            <w:r w:rsidRPr="00D1207A">
              <w:rPr>
                <w:sz w:val="20"/>
                <w:szCs w:val="20"/>
                <w:lang w:eastAsia="cs-CZ"/>
              </w:rPr>
              <w:t>náhrady</w:t>
            </w:r>
          </w:p>
        </w:tc>
        <w:tc>
          <w:tcPr>
            <w:tcW w:w="1134" w:type="dxa"/>
            <w:vAlign w:val="center"/>
          </w:tcPr>
          <w:p w14:paraId="1CBD2065" w14:textId="6DB2DF1B" w:rsidR="488EE638" w:rsidRPr="00D1207A" w:rsidRDefault="488EE638" w:rsidP="00793ED7">
            <w:pPr>
              <w:ind w:right="57"/>
              <w:jc w:val="right"/>
              <w:rPr>
                <w:rFonts w:ascii="Calibri" w:eastAsia="Calibri" w:hAnsi="Calibri" w:cs="Calibri"/>
                <w:color w:val="000000" w:themeColor="text1"/>
                <w:sz w:val="20"/>
                <w:szCs w:val="20"/>
              </w:rPr>
            </w:pPr>
            <w:r w:rsidRPr="00D1207A">
              <w:rPr>
                <w:rFonts w:ascii="Calibri" w:eastAsia="Calibri" w:hAnsi="Calibri" w:cs="Calibri"/>
                <w:color w:val="000000" w:themeColor="text1"/>
                <w:sz w:val="20"/>
                <w:szCs w:val="20"/>
              </w:rPr>
              <w:t>401 718</w:t>
            </w:r>
          </w:p>
        </w:tc>
        <w:tc>
          <w:tcPr>
            <w:tcW w:w="1134" w:type="dxa"/>
            <w:vAlign w:val="center"/>
          </w:tcPr>
          <w:p w14:paraId="60007A2A" w14:textId="0225F996" w:rsidR="488EE638" w:rsidRPr="00D1207A" w:rsidRDefault="488EE638" w:rsidP="00793ED7">
            <w:pPr>
              <w:ind w:right="57"/>
              <w:jc w:val="right"/>
              <w:rPr>
                <w:rFonts w:ascii="Calibri" w:eastAsia="Calibri" w:hAnsi="Calibri" w:cs="Calibri"/>
                <w:color w:val="000000" w:themeColor="text1"/>
                <w:sz w:val="20"/>
                <w:szCs w:val="20"/>
              </w:rPr>
            </w:pPr>
            <w:r w:rsidRPr="00D1207A">
              <w:rPr>
                <w:rFonts w:ascii="Calibri" w:eastAsia="Calibri" w:hAnsi="Calibri" w:cs="Calibri"/>
                <w:color w:val="000000" w:themeColor="text1"/>
                <w:sz w:val="20"/>
                <w:szCs w:val="20"/>
              </w:rPr>
              <w:t>414 642</w:t>
            </w:r>
          </w:p>
        </w:tc>
        <w:tc>
          <w:tcPr>
            <w:tcW w:w="1134" w:type="dxa"/>
            <w:vAlign w:val="center"/>
          </w:tcPr>
          <w:p w14:paraId="71744829" w14:textId="7FC8DA70" w:rsidR="488EE638" w:rsidRPr="00D1207A" w:rsidRDefault="488EE638" w:rsidP="00793ED7">
            <w:pPr>
              <w:ind w:right="57"/>
              <w:jc w:val="right"/>
              <w:rPr>
                <w:rFonts w:ascii="Calibri" w:eastAsia="Calibri" w:hAnsi="Calibri" w:cs="Calibri"/>
                <w:color w:val="000000" w:themeColor="text1"/>
                <w:sz w:val="20"/>
                <w:szCs w:val="20"/>
              </w:rPr>
            </w:pPr>
            <w:r w:rsidRPr="00D1207A">
              <w:rPr>
                <w:rFonts w:ascii="Calibri" w:eastAsia="Calibri" w:hAnsi="Calibri" w:cs="Calibri"/>
                <w:color w:val="000000" w:themeColor="text1"/>
                <w:sz w:val="20"/>
                <w:szCs w:val="20"/>
              </w:rPr>
              <w:t>376 88</w:t>
            </w:r>
            <w:r w:rsidR="002257B6" w:rsidRPr="00D1207A">
              <w:rPr>
                <w:rFonts w:ascii="Calibri" w:eastAsia="Calibri" w:hAnsi="Calibri" w:cs="Calibri"/>
                <w:color w:val="000000" w:themeColor="text1"/>
                <w:sz w:val="20"/>
                <w:szCs w:val="20"/>
              </w:rPr>
              <w:t>5</w:t>
            </w:r>
          </w:p>
        </w:tc>
        <w:tc>
          <w:tcPr>
            <w:tcW w:w="1134" w:type="dxa"/>
            <w:vAlign w:val="center"/>
          </w:tcPr>
          <w:p w14:paraId="4C5875C1" w14:textId="7A23A374" w:rsidR="488EE638" w:rsidRPr="00D1207A" w:rsidRDefault="488EE638" w:rsidP="00793ED7">
            <w:pPr>
              <w:ind w:right="57"/>
              <w:jc w:val="right"/>
              <w:rPr>
                <w:rFonts w:ascii="Calibri" w:eastAsia="Calibri" w:hAnsi="Calibri" w:cs="Calibri"/>
                <w:color w:val="000000" w:themeColor="text1"/>
                <w:sz w:val="20"/>
                <w:szCs w:val="20"/>
              </w:rPr>
            </w:pPr>
            <w:r w:rsidRPr="00D1207A">
              <w:rPr>
                <w:rFonts w:ascii="Calibri" w:eastAsia="Calibri" w:hAnsi="Calibri" w:cs="Calibri"/>
                <w:color w:val="000000" w:themeColor="text1"/>
                <w:sz w:val="20"/>
                <w:szCs w:val="20"/>
              </w:rPr>
              <w:t>339 537</w:t>
            </w:r>
          </w:p>
        </w:tc>
      </w:tr>
    </w:tbl>
    <w:p w14:paraId="01466410" w14:textId="3933C33D" w:rsidR="005634A6" w:rsidRDefault="7D6BD579" w:rsidP="00793ED7">
      <w:pPr>
        <w:spacing w:before="40" w:after="0" w:line="240" w:lineRule="auto"/>
        <w:ind w:left="567" w:hanging="567"/>
        <w:rPr>
          <w:sz w:val="20"/>
          <w:szCs w:val="20"/>
          <w:lang w:eastAsia="cs-CZ"/>
        </w:rPr>
      </w:pPr>
      <w:r w:rsidRPr="00793ED7">
        <w:rPr>
          <w:b/>
          <w:bCs/>
          <w:sz w:val="20"/>
          <w:szCs w:val="20"/>
          <w:lang w:eastAsia="cs-CZ"/>
        </w:rPr>
        <w:t xml:space="preserve">Zdroj: </w:t>
      </w:r>
      <w:r w:rsidR="003514FD" w:rsidRPr="00026856">
        <w:rPr>
          <w:rFonts w:ascii="Calibri" w:hAnsi="Calibri" w:cs="Calibri"/>
          <w:color w:val="000000" w:themeColor="text1"/>
          <w:sz w:val="20"/>
          <w:szCs w:val="20"/>
        </w:rPr>
        <w:t>v</w:t>
      </w:r>
      <w:r w:rsidR="003514FD">
        <w:rPr>
          <w:rFonts w:ascii="Calibri" w:hAnsi="Calibri" w:cs="Calibri"/>
          <w:color w:val="000000" w:themeColor="text1"/>
          <w:sz w:val="20"/>
          <w:szCs w:val="20"/>
        </w:rPr>
        <w:t>ypracoval NKÚ na základě dat ze</w:t>
      </w:r>
      <w:r w:rsidR="003514FD">
        <w:rPr>
          <w:rFonts w:ascii="Calibri" w:hAnsi="Calibri" w:cs="Calibri"/>
          <w:color w:val="000000"/>
          <w:sz w:val="20"/>
          <w:szCs w:val="20"/>
        </w:rPr>
        <w:t xml:space="preserve"> </w:t>
      </w:r>
      <w:r w:rsidR="00D219DC">
        <w:rPr>
          <w:sz w:val="20"/>
          <w:szCs w:val="20"/>
          <w:lang w:eastAsia="cs-CZ"/>
        </w:rPr>
        <w:t>z</w:t>
      </w:r>
      <w:r w:rsidR="15CD93B5" w:rsidRPr="488EE638">
        <w:rPr>
          <w:sz w:val="20"/>
          <w:szCs w:val="20"/>
          <w:lang w:eastAsia="cs-CZ"/>
        </w:rPr>
        <w:t>ávěrečný</w:t>
      </w:r>
      <w:r w:rsidR="003514FD">
        <w:rPr>
          <w:sz w:val="20"/>
          <w:szCs w:val="20"/>
          <w:lang w:eastAsia="cs-CZ"/>
        </w:rPr>
        <w:t>ch</w:t>
      </w:r>
      <w:r w:rsidR="15CD93B5" w:rsidRPr="488EE638">
        <w:rPr>
          <w:sz w:val="20"/>
          <w:szCs w:val="20"/>
          <w:lang w:eastAsia="cs-CZ"/>
        </w:rPr>
        <w:t xml:space="preserve"> úč</w:t>
      </w:r>
      <w:r w:rsidR="003514FD">
        <w:rPr>
          <w:sz w:val="20"/>
          <w:szCs w:val="20"/>
          <w:lang w:eastAsia="cs-CZ"/>
        </w:rPr>
        <w:t>tů</w:t>
      </w:r>
      <w:r w:rsidR="15CD93B5" w:rsidRPr="488EE638">
        <w:rPr>
          <w:sz w:val="20"/>
          <w:szCs w:val="20"/>
          <w:lang w:eastAsia="cs-CZ"/>
        </w:rPr>
        <w:t xml:space="preserve"> kapitoly 336 – </w:t>
      </w:r>
      <w:r w:rsidR="15CD93B5" w:rsidRPr="0032254D">
        <w:rPr>
          <w:i/>
          <w:iCs/>
          <w:sz w:val="20"/>
          <w:szCs w:val="20"/>
          <w:lang w:eastAsia="cs-CZ"/>
        </w:rPr>
        <w:t>Ministerstvo spravedlnosti</w:t>
      </w:r>
      <w:r w:rsidR="15CD93B5" w:rsidRPr="488EE638">
        <w:rPr>
          <w:sz w:val="20"/>
          <w:szCs w:val="20"/>
          <w:lang w:eastAsia="cs-CZ"/>
        </w:rPr>
        <w:t xml:space="preserve"> ČR za roky 2021 až 2024.</w:t>
      </w:r>
    </w:p>
    <w:p w14:paraId="7133FD95" w14:textId="11D5BB9A" w:rsidR="0083556C" w:rsidRPr="0083556C" w:rsidRDefault="005634A6" w:rsidP="00793ED7">
      <w:pPr>
        <w:spacing w:after="120" w:line="240" w:lineRule="auto"/>
        <w:ind w:left="567" w:hanging="567"/>
        <w:rPr>
          <w:sz w:val="20"/>
          <w:szCs w:val="20"/>
          <w:lang w:eastAsia="cs-CZ"/>
        </w:rPr>
      </w:pPr>
      <w:r w:rsidRPr="00793ED7">
        <w:rPr>
          <w:b/>
          <w:bCs/>
          <w:sz w:val="20"/>
          <w:szCs w:val="20"/>
          <w:lang w:eastAsia="cs-CZ"/>
        </w:rPr>
        <w:t>Pozn</w:t>
      </w:r>
      <w:r w:rsidR="004D0793">
        <w:rPr>
          <w:b/>
          <w:bCs/>
          <w:sz w:val="20"/>
          <w:szCs w:val="20"/>
          <w:lang w:eastAsia="cs-CZ"/>
        </w:rPr>
        <w:t>.</w:t>
      </w:r>
      <w:r w:rsidRPr="00793ED7">
        <w:rPr>
          <w:b/>
          <w:bCs/>
          <w:sz w:val="20"/>
          <w:szCs w:val="20"/>
          <w:lang w:eastAsia="cs-CZ"/>
        </w:rPr>
        <w:t>:</w:t>
      </w:r>
      <w:r>
        <w:rPr>
          <w:sz w:val="20"/>
          <w:szCs w:val="20"/>
          <w:lang w:eastAsia="cs-CZ"/>
        </w:rPr>
        <w:t xml:space="preserve"> </w:t>
      </w:r>
      <w:r w:rsidRPr="005634A6">
        <w:rPr>
          <w:sz w:val="20"/>
          <w:szCs w:val="20"/>
          <w:lang w:eastAsia="cs-CZ"/>
        </w:rPr>
        <w:t>Obsahem rozpočtové položky 2212 jsou např. pokuty účastníkům řízení, kteří se nedostavili k</w:t>
      </w:r>
      <w:r w:rsidR="00793ED7">
        <w:rPr>
          <w:sz w:val="20"/>
          <w:szCs w:val="20"/>
          <w:lang w:eastAsia="cs-CZ"/>
        </w:rPr>
        <w:t> </w:t>
      </w:r>
      <w:r w:rsidRPr="005634A6">
        <w:rPr>
          <w:sz w:val="20"/>
          <w:szCs w:val="20"/>
          <w:lang w:eastAsia="cs-CZ"/>
        </w:rPr>
        <w:t>soudnímu řízení</w:t>
      </w:r>
      <w:r w:rsidR="007D3A70">
        <w:rPr>
          <w:sz w:val="20"/>
          <w:szCs w:val="20"/>
          <w:lang w:eastAsia="cs-CZ"/>
        </w:rPr>
        <w:t>,</w:t>
      </w:r>
      <w:r w:rsidRPr="005634A6">
        <w:rPr>
          <w:sz w:val="20"/>
          <w:szCs w:val="20"/>
          <w:lang w:eastAsia="cs-CZ"/>
        </w:rPr>
        <w:t xml:space="preserve"> nebo za nesplnění povinností uložených soudem, sankce za nesplnění soudního rozhodnutí atd. Na rozpočtové položce 2324 jsou vykazovány úhrady za náklady trestního řízení, náklady obhajoby, náklady civilního řízení, náklady výkonu trestu domácího vězení, exekuční náklady atd.</w:t>
      </w:r>
    </w:p>
    <w:p w14:paraId="1C8B7A9F" w14:textId="58B4BB9D" w:rsidR="0083556C" w:rsidRDefault="2DBF777D" w:rsidP="00802C2A">
      <w:pPr>
        <w:spacing w:after="120"/>
        <w:rPr>
          <w:lang w:eastAsia="cs-CZ"/>
        </w:rPr>
      </w:pPr>
      <w:r w:rsidRPr="632E6EB4">
        <w:rPr>
          <w:b/>
          <w:bCs/>
          <w:lang w:eastAsia="cs-CZ"/>
        </w:rPr>
        <w:t>Justiční pohledávka</w:t>
      </w:r>
      <w:r w:rsidRPr="632E6EB4">
        <w:rPr>
          <w:lang w:eastAsia="cs-CZ"/>
        </w:rPr>
        <w:t xml:space="preserve"> je právo věřitele (soudu) požadovat na dlužníkovi plnění vniklé z určitého závazku (např. soudního rozhodnutí). Postup při nakládání a vymáhání daňových pohledávek upravuje </w:t>
      </w:r>
      <w:r w:rsidR="004D07EC">
        <w:rPr>
          <w:lang w:eastAsia="cs-CZ"/>
        </w:rPr>
        <w:t>daňový řád.</w:t>
      </w:r>
      <w:r w:rsidR="6AAB2486" w:rsidRPr="632E6EB4">
        <w:rPr>
          <w:lang w:eastAsia="cs-CZ"/>
        </w:rPr>
        <w:t xml:space="preserve"> Mezi daňové justiční pohledávky patří </w:t>
      </w:r>
      <w:r w:rsidR="05740EFC" w:rsidRPr="632E6EB4">
        <w:rPr>
          <w:lang w:eastAsia="cs-CZ"/>
        </w:rPr>
        <w:t>soudní poplatky</w:t>
      </w:r>
      <w:r w:rsidR="00C35262">
        <w:rPr>
          <w:lang w:eastAsia="cs-CZ"/>
        </w:rPr>
        <w:t>,</w:t>
      </w:r>
      <w:r w:rsidR="05740EFC" w:rsidRPr="632E6EB4">
        <w:rPr>
          <w:lang w:eastAsia="cs-CZ"/>
        </w:rPr>
        <w:t xml:space="preserve"> peněžité tresty, pokuty</w:t>
      </w:r>
      <w:r w:rsidR="492B72A8" w:rsidRPr="632E6EB4">
        <w:rPr>
          <w:lang w:eastAsia="cs-CZ"/>
        </w:rPr>
        <w:t>,</w:t>
      </w:r>
      <w:r w:rsidR="05740EFC" w:rsidRPr="632E6EB4">
        <w:rPr>
          <w:lang w:eastAsia="cs-CZ"/>
        </w:rPr>
        <w:t xml:space="preserve"> náklady související s trestním </w:t>
      </w:r>
      <w:r w:rsidR="085E8B7F" w:rsidRPr="632E6EB4">
        <w:rPr>
          <w:lang w:eastAsia="cs-CZ"/>
        </w:rPr>
        <w:t xml:space="preserve">a civilním </w:t>
      </w:r>
      <w:r w:rsidR="05740EFC" w:rsidRPr="632E6EB4">
        <w:rPr>
          <w:lang w:eastAsia="cs-CZ"/>
        </w:rPr>
        <w:t>ří</w:t>
      </w:r>
      <w:r w:rsidR="2650F7AC" w:rsidRPr="632E6EB4">
        <w:rPr>
          <w:lang w:eastAsia="cs-CZ"/>
        </w:rPr>
        <w:t>zení</w:t>
      </w:r>
      <w:r w:rsidR="00812E02">
        <w:rPr>
          <w:lang w:eastAsia="cs-CZ"/>
        </w:rPr>
        <w:t>m</w:t>
      </w:r>
      <w:r w:rsidR="2650F7AC" w:rsidRPr="632E6EB4">
        <w:rPr>
          <w:lang w:eastAsia="cs-CZ"/>
        </w:rPr>
        <w:t xml:space="preserve"> </w:t>
      </w:r>
      <w:r w:rsidR="6B0F1714" w:rsidRPr="632E6EB4">
        <w:rPr>
          <w:lang w:eastAsia="cs-CZ"/>
        </w:rPr>
        <w:t>či poplatky ve vězeňství.</w:t>
      </w:r>
    </w:p>
    <w:p w14:paraId="5F18C714" w14:textId="44C3BFF2" w:rsidR="00383811" w:rsidRDefault="00383811" w:rsidP="004D0793">
      <w:pPr>
        <w:tabs>
          <w:tab w:val="right" w:pos="9071"/>
        </w:tabs>
        <w:spacing w:after="40" w:line="240" w:lineRule="auto"/>
        <w:rPr>
          <w:b/>
          <w:bCs/>
          <w:szCs w:val="24"/>
          <w:lang w:eastAsia="cs-CZ"/>
        </w:rPr>
      </w:pPr>
      <w:r w:rsidRPr="0022557F">
        <w:rPr>
          <w:b/>
          <w:bCs/>
          <w:szCs w:val="24"/>
          <w:lang w:eastAsia="cs-CZ"/>
        </w:rPr>
        <w:lastRenderedPageBreak/>
        <w:t xml:space="preserve">Tabulka č. </w:t>
      </w:r>
      <w:r w:rsidR="00CC1860" w:rsidRPr="0022557F">
        <w:rPr>
          <w:b/>
          <w:bCs/>
          <w:szCs w:val="24"/>
          <w:lang w:eastAsia="cs-CZ"/>
        </w:rPr>
        <w:t>2</w:t>
      </w:r>
      <w:r w:rsidR="006E068A" w:rsidRPr="0022557F">
        <w:rPr>
          <w:b/>
          <w:bCs/>
          <w:szCs w:val="24"/>
          <w:lang w:eastAsia="cs-CZ"/>
        </w:rPr>
        <w:t xml:space="preserve">: </w:t>
      </w:r>
      <w:r w:rsidR="009A5EDA" w:rsidRPr="0022557F">
        <w:rPr>
          <w:b/>
          <w:bCs/>
          <w:szCs w:val="24"/>
          <w:lang w:eastAsia="cs-CZ"/>
        </w:rPr>
        <w:t>Vymáhané daňové justiční pohledávky soudy v letech 2021 až 2023</w:t>
      </w:r>
      <w:r w:rsidR="006E068A" w:rsidRPr="0022557F">
        <w:rPr>
          <w:b/>
          <w:bCs/>
          <w:szCs w:val="24"/>
          <w:lang w:eastAsia="cs-CZ"/>
        </w:rPr>
        <w:t xml:space="preserve"> </w:t>
      </w:r>
      <w:r w:rsidR="004D0793">
        <w:rPr>
          <w:b/>
          <w:bCs/>
          <w:szCs w:val="24"/>
          <w:lang w:eastAsia="cs-CZ"/>
        </w:rPr>
        <w:tab/>
      </w:r>
      <w:r w:rsidR="00602BDA" w:rsidRPr="0022557F">
        <w:rPr>
          <w:b/>
          <w:bCs/>
          <w:szCs w:val="24"/>
          <w:lang w:eastAsia="cs-CZ"/>
        </w:rPr>
        <w:t>(v tis. Kč)</w:t>
      </w:r>
    </w:p>
    <w:tbl>
      <w:tblPr>
        <w:tblStyle w:val="Mkatabulky"/>
        <w:tblW w:w="9072" w:type="dxa"/>
        <w:tblInd w:w="-5" w:type="dxa"/>
        <w:tblLook w:val="04A0" w:firstRow="1" w:lastRow="0" w:firstColumn="1" w:lastColumn="0" w:noHBand="0" w:noVBand="1"/>
      </w:tblPr>
      <w:tblGrid>
        <w:gridCol w:w="3548"/>
        <w:gridCol w:w="1841"/>
        <w:gridCol w:w="1841"/>
        <w:gridCol w:w="1842"/>
      </w:tblGrid>
      <w:tr w:rsidR="003C1D35" w:rsidRPr="00A4398A" w14:paraId="5F0A47C9" w14:textId="77777777" w:rsidTr="00BE71FC">
        <w:trPr>
          <w:trHeight w:val="283"/>
        </w:trPr>
        <w:tc>
          <w:tcPr>
            <w:tcW w:w="3548" w:type="dxa"/>
            <w:shd w:val="clear" w:color="auto" w:fill="E6E6E6"/>
            <w:vAlign w:val="center"/>
          </w:tcPr>
          <w:p w14:paraId="374004FD" w14:textId="5F55111F" w:rsidR="009A5EDA" w:rsidRPr="00A4398A" w:rsidRDefault="009A5EDA" w:rsidP="009E6C93">
            <w:pPr>
              <w:jc w:val="center"/>
              <w:rPr>
                <w:b/>
                <w:bCs/>
                <w:sz w:val="20"/>
                <w:szCs w:val="20"/>
                <w:lang w:eastAsia="cs-CZ"/>
              </w:rPr>
            </w:pPr>
          </w:p>
        </w:tc>
        <w:tc>
          <w:tcPr>
            <w:tcW w:w="1841" w:type="dxa"/>
            <w:shd w:val="clear" w:color="auto" w:fill="E6E6E6"/>
            <w:vAlign w:val="center"/>
          </w:tcPr>
          <w:p w14:paraId="273C217B" w14:textId="310332AE" w:rsidR="009A5EDA" w:rsidRPr="00A4398A" w:rsidRDefault="009A5EDA" w:rsidP="009E6C93">
            <w:pPr>
              <w:jc w:val="center"/>
              <w:rPr>
                <w:b/>
                <w:bCs/>
                <w:sz w:val="20"/>
                <w:szCs w:val="20"/>
                <w:lang w:eastAsia="cs-CZ"/>
              </w:rPr>
            </w:pPr>
            <w:r w:rsidRPr="00A4398A">
              <w:rPr>
                <w:b/>
                <w:bCs/>
                <w:sz w:val="20"/>
                <w:szCs w:val="20"/>
                <w:lang w:eastAsia="cs-CZ"/>
              </w:rPr>
              <w:t>2021</w:t>
            </w:r>
          </w:p>
        </w:tc>
        <w:tc>
          <w:tcPr>
            <w:tcW w:w="1841" w:type="dxa"/>
            <w:shd w:val="clear" w:color="auto" w:fill="E6E6E6"/>
            <w:vAlign w:val="center"/>
          </w:tcPr>
          <w:p w14:paraId="48DD424D" w14:textId="4C65DEED" w:rsidR="009A5EDA" w:rsidRPr="00A4398A" w:rsidRDefault="009A5EDA" w:rsidP="009E6C93">
            <w:pPr>
              <w:jc w:val="center"/>
              <w:rPr>
                <w:b/>
                <w:bCs/>
                <w:sz w:val="20"/>
                <w:szCs w:val="20"/>
                <w:lang w:eastAsia="cs-CZ"/>
              </w:rPr>
            </w:pPr>
            <w:r w:rsidRPr="00A4398A">
              <w:rPr>
                <w:b/>
                <w:bCs/>
                <w:sz w:val="20"/>
                <w:szCs w:val="20"/>
                <w:lang w:eastAsia="cs-CZ"/>
              </w:rPr>
              <w:t>2022</w:t>
            </w:r>
          </w:p>
        </w:tc>
        <w:tc>
          <w:tcPr>
            <w:tcW w:w="1842" w:type="dxa"/>
            <w:shd w:val="clear" w:color="auto" w:fill="E6E6E6"/>
            <w:vAlign w:val="center"/>
          </w:tcPr>
          <w:p w14:paraId="6B455CE9" w14:textId="00C15FA0" w:rsidR="009A5EDA" w:rsidRPr="00A4398A" w:rsidRDefault="009A5EDA" w:rsidP="009E6C93">
            <w:pPr>
              <w:jc w:val="center"/>
              <w:rPr>
                <w:b/>
                <w:bCs/>
                <w:sz w:val="20"/>
                <w:szCs w:val="20"/>
                <w:lang w:eastAsia="cs-CZ"/>
              </w:rPr>
            </w:pPr>
            <w:r w:rsidRPr="00A4398A">
              <w:rPr>
                <w:b/>
                <w:bCs/>
                <w:sz w:val="20"/>
                <w:szCs w:val="20"/>
                <w:lang w:eastAsia="cs-CZ"/>
              </w:rPr>
              <w:t>2023</w:t>
            </w:r>
          </w:p>
        </w:tc>
      </w:tr>
      <w:tr w:rsidR="009A5EDA" w:rsidRPr="00A4398A" w14:paraId="52A47A34" w14:textId="77777777" w:rsidTr="00BE71FC">
        <w:trPr>
          <w:trHeight w:val="283"/>
        </w:trPr>
        <w:tc>
          <w:tcPr>
            <w:tcW w:w="3548" w:type="dxa"/>
            <w:vAlign w:val="center"/>
          </w:tcPr>
          <w:p w14:paraId="2870CEA6" w14:textId="6C8AC4F7" w:rsidR="009A5EDA" w:rsidRPr="00A4398A" w:rsidRDefault="009A5EDA" w:rsidP="00793ED7">
            <w:pPr>
              <w:jc w:val="left"/>
              <w:rPr>
                <w:sz w:val="20"/>
                <w:szCs w:val="20"/>
                <w:lang w:eastAsia="cs-CZ"/>
              </w:rPr>
            </w:pPr>
            <w:r w:rsidRPr="00A4398A">
              <w:rPr>
                <w:sz w:val="20"/>
                <w:szCs w:val="20"/>
                <w:lang w:eastAsia="cs-CZ"/>
              </w:rPr>
              <w:t>Vymáhané daňové justiční pohledávky</w:t>
            </w:r>
          </w:p>
        </w:tc>
        <w:tc>
          <w:tcPr>
            <w:tcW w:w="1841" w:type="dxa"/>
            <w:vAlign w:val="center"/>
          </w:tcPr>
          <w:p w14:paraId="4BB750DD" w14:textId="61DCE0CC" w:rsidR="009A5EDA" w:rsidRPr="00A4398A" w:rsidRDefault="009A5EDA" w:rsidP="00793ED7">
            <w:pPr>
              <w:ind w:right="314"/>
              <w:jc w:val="right"/>
              <w:rPr>
                <w:rFonts w:ascii="Calibri" w:eastAsia="Calibri" w:hAnsi="Calibri" w:cs="Calibri"/>
                <w:color w:val="000000" w:themeColor="text1"/>
                <w:sz w:val="20"/>
                <w:szCs w:val="20"/>
                <w:lang w:eastAsia="cs-CZ"/>
              </w:rPr>
            </w:pPr>
            <w:r w:rsidRPr="00A4398A">
              <w:rPr>
                <w:rFonts w:ascii="Calibri" w:eastAsia="Calibri" w:hAnsi="Calibri" w:cs="Calibri"/>
                <w:color w:val="000000" w:themeColor="text1"/>
                <w:sz w:val="20"/>
                <w:szCs w:val="20"/>
                <w:lang w:eastAsia="cs-CZ"/>
              </w:rPr>
              <w:t>7 149 795</w:t>
            </w:r>
          </w:p>
        </w:tc>
        <w:tc>
          <w:tcPr>
            <w:tcW w:w="1841" w:type="dxa"/>
            <w:vAlign w:val="center"/>
          </w:tcPr>
          <w:p w14:paraId="52A60C18" w14:textId="02FBDC98" w:rsidR="009A5EDA" w:rsidRPr="00A4398A" w:rsidRDefault="009A5EDA" w:rsidP="00793ED7">
            <w:pPr>
              <w:ind w:right="314"/>
              <w:jc w:val="right"/>
              <w:rPr>
                <w:rFonts w:ascii="Calibri" w:eastAsia="Calibri" w:hAnsi="Calibri" w:cs="Calibri"/>
                <w:color w:val="000000" w:themeColor="text1"/>
                <w:sz w:val="20"/>
                <w:szCs w:val="20"/>
                <w:lang w:eastAsia="cs-CZ"/>
              </w:rPr>
            </w:pPr>
            <w:r w:rsidRPr="00A4398A">
              <w:rPr>
                <w:rFonts w:ascii="Calibri" w:eastAsia="Calibri" w:hAnsi="Calibri" w:cs="Calibri"/>
                <w:color w:val="000000" w:themeColor="text1"/>
                <w:sz w:val="20"/>
                <w:szCs w:val="20"/>
                <w:lang w:eastAsia="cs-CZ"/>
              </w:rPr>
              <w:t>7 440 972</w:t>
            </w:r>
          </w:p>
        </w:tc>
        <w:tc>
          <w:tcPr>
            <w:tcW w:w="1842" w:type="dxa"/>
            <w:vAlign w:val="center"/>
          </w:tcPr>
          <w:p w14:paraId="472ADE71" w14:textId="63C46BDB" w:rsidR="009A5EDA" w:rsidRPr="00A4398A" w:rsidRDefault="009A5EDA" w:rsidP="00793ED7">
            <w:pPr>
              <w:ind w:right="314"/>
              <w:jc w:val="right"/>
              <w:rPr>
                <w:rFonts w:ascii="Calibri" w:eastAsia="Calibri" w:hAnsi="Calibri" w:cs="Calibri"/>
                <w:color w:val="000000" w:themeColor="text1"/>
                <w:sz w:val="20"/>
                <w:szCs w:val="20"/>
              </w:rPr>
            </w:pPr>
            <w:r w:rsidRPr="00A4398A">
              <w:rPr>
                <w:rFonts w:ascii="Calibri" w:eastAsia="Calibri" w:hAnsi="Calibri" w:cs="Calibri"/>
                <w:color w:val="000000" w:themeColor="text1"/>
                <w:sz w:val="20"/>
                <w:szCs w:val="20"/>
              </w:rPr>
              <w:t>7 647 689</w:t>
            </w:r>
          </w:p>
        </w:tc>
      </w:tr>
    </w:tbl>
    <w:p w14:paraId="5F0D4FE1" w14:textId="0BBCCADE" w:rsidR="003514FD" w:rsidRDefault="615C2062" w:rsidP="00793ED7">
      <w:pPr>
        <w:spacing w:before="40" w:after="120" w:line="240" w:lineRule="auto"/>
        <w:rPr>
          <w:sz w:val="20"/>
          <w:szCs w:val="20"/>
          <w:lang w:eastAsia="cs-CZ"/>
        </w:rPr>
      </w:pPr>
      <w:r w:rsidRPr="00793ED7">
        <w:rPr>
          <w:b/>
          <w:bCs/>
          <w:sz w:val="20"/>
          <w:szCs w:val="20"/>
          <w:lang w:eastAsia="cs-CZ"/>
        </w:rPr>
        <w:t xml:space="preserve">Zdroj: </w:t>
      </w:r>
      <w:r w:rsidR="003514FD" w:rsidRPr="00026856">
        <w:rPr>
          <w:rFonts w:ascii="Calibri" w:hAnsi="Calibri" w:cs="Calibri"/>
          <w:color w:val="000000" w:themeColor="text1"/>
          <w:sz w:val="20"/>
          <w:szCs w:val="20"/>
        </w:rPr>
        <w:t>v</w:t>
      </w:r>
      <w:r w:rsidR="003514FD">
        <w:rPr>
          <w:rFonts w:ascii="Calibri" w:hAnsi="Calibri" w:cs="Calibri"/>
          <w:color w:val="000000" w:themeColor="text1"/>
          <w:sz w:val="20"/>
          <w:szCs w:val="20"/>
        </w:rPr>
        <w:t xml:space="preserve">ypracoval NKÚ na základě dat </w:t>
      </w:r>
      <w:r w:rsidR="009A5EDA">
        <w:rPr>
          <w:rFonts w:ascii="Calibri" w:hAnsi="Calibri" w:cs="Calibri"/>
          <w:color w:val="000000" w:themeColor="text1"/>
          <w:sz w:val="20"/>
          <w:szCs w:val="20"/>
        </w:rPr>
        <w:t>poskytnutých MSp</w:t>
      </w:r>
      <w:r w:rsidR="003514FD" w:rsidRPr="488EE638">
        <w:rPr>
          <w:sz w:val="20"/>
          <w:szCs w:val="20"/>
          <w:lang w:eastAsia="cs-CZ"/>
        </w:rPr>
        <w:t xml:space="preserve">. </w:t>
      </w:r>
    </w:p>
    <w:p w14:paraId="6B96F1DF" w14:textId="083BA5C7" w:rsidR="00A06D0B" w:rsidRPr="00A06D0B" w:rsidRDefault="00A06D0B" w:rsidP="00C7584A">
      <w:pPr>
        <w:spacing w:before="120" w:after="120"/>
        <w:rPr>
          <w:szCs w:val="24"/>
          <w:lang w:eastAsia="cs-CZ"/>
        </w:rPr>
      </w:pPr>
      <w:r>
        <w:rPr>
          <w:szCs w:val="24"/>
          <w:lang w:eastAsia="cs-CZ"/>
        </w:rPr>
        <w:t xml:space="preserve">Do </w:t>
      </w:r>
      <w:r w:rsidR="00840045">
        <w:rPr>
          <w:szCs w:val="24"/>
          <w:lang w:eastAsia="cs-CZ"/>
        </w:rPr>
        <w:t>31. prosince 2023 vymáhaly justiční pohledávky místně a věcně příslušné soudy. Soudy mohly pro vymáhání využít služeb soudního exekutora.</w:t>
      </w:r>
    </w:p>
    <w:p w14:paraId="418562D6" w14:textId="32470BA4" w:rsidR="00416CEB" w:rsidRDefault="7CAA1A0B" w:rsidP="00802C2A">
      <w:pPr>
        <w:spacing w:after="120"/>
        <w:rPr>
          <w:lang w:eastAsia="cs-CZ"/>
        </w:rPr>
      </w:pPr>
      <w:r w:rsidRPr="632E6EB4">
        <w:rPr>
          <w:lang w:eastAsia="cs-CZ"/>
        </w:rPr>
        <w:t xml:space="preserve">Na základě přijetí zákona </w:t>
      </w:r>
      <w:r w:rsidR="00253179">
        <w:rPr>
          <w:lang w:eastAsia="cs-CZ"/>
        </w:rPr>
        <w:t>o konsolidaci veřejných rozpočtů</w:t>
      </w:r>
      <w:r w:rsidRPr="632E6EB4">
        <w:rPr>
          <w:lang w:eastAsia="cs-CZ"/>
        </w:rPr>
        <w:t xml:space="preserve"> získala </w:t>
      </w:r>
      <w:r w:rsidR="00E561C0">
        <w:rPr>
          <w:lang w:eastAsia="cs-CZ"/>
        </w:rPr>
        <w:t>CS</w:t>
      </w:r>
      <w:r w:rsidR="1B3BE153" w:rsidRPr="632E6EB4">
        <w:rPr>
          <w:lang w:eastAsia="cs-CZ"/>
        </w:rPr>
        <w:t xml:space="preserve"> ČR </w:t>
      </w:r>
      <w:r w:rsidRPr="007E3DB7">
        <w:rPr>
          <w:lang w:eastAsia="cs-CZ"/>
        </w:rPr>
        <w:t>od 1. 1. 2024 novou kompetenci</w:t>
      </w:r>
      <w:r w:rsidR="6D49537D" w:rsidRPr="007E3DB7">
        <w:rPr>
          <w:lang w:eastAsia="cs-CZ"/>
        </w:rPr>
        <w:t xml:space="preserve"> </w:t>
      </w:r>
      <w:r w:rsidRPr="007E3DB7">
        <w:rPr>
          <w:lang w:eastAsia="cs-CZ"/>
        </w:rPr>
        <w:t>v</w:t>
      </w:r>
      <w:r w:rsidR="794532C9" w:rsidRPr="007E3DB7">
        <w:rPr>
          <w:lang w:eastAsia="cs-CZ"/>
        </w:rPr>
        <w:t> </w:t>
      </w:r>
      <w:r w:rsidRPr="007E3DB7">
        <w:rPr>
          <w:lang w:eastAsia="cs-CZ"/>
        </w:rPr>
        <w:t>podobě vymáhání daňových justičních pohledávek</w:t>
      </w:r>
      <w:r w:rsidRPr="632E6EB4">
        <w:rPr>
          <w:lang w:eastAsia="cs-CZ"/>
        </w:rPr>
        <w:t xml:space="preserve"> v režimu dělené správy</w:t>
      </w:r>
      <w:r w:rsidR="004D07EC">
        <w:rPr>
          <w:rStyle w:val="Znakapoznpodarou"/>
          <w:lang w:eastAsia="cs-CZ"/>
        </w:rPr>
        <w:footnoteReference w:id="18"/>
      </w:r>
      <w:r w:rsidR="6AE3E48F" w:rsidRPr="632E6EB4">
        <w:rPr>
          <w:lang w:eastAsia="cs-CZ"/>
        </w:rPr>
        <w:t>, kd</w:t>
      </w:r>
      <w:r w:rsidR="5D183D86" w:rsidRPr="632E6EB4">
        <w:rPr>
          <w:lang w:eastAsia="cs-CZ"/>
        </w:rPr>
        <w:t xml:space="preserve">y správu placení, tj. </w:t>
      </w:r>
      <w:r w:rsidR="68AC4DED" w:rsidRPr="632E6EB4">
        <w:rPr>
          <w:lang w:eastAsia="cs-CZ"/>
        </w:rPr>
        <w:t>v</w:t>
      </w:r>
      <w:r w:rsidR="5D183D86" w:rsidRPr="632E6EB4">
        <w:rPr>
          <w:lang w:eastAsia="cs-CZ"/>
        </w:rPr>
        <w:t>ýběr</w:t>
      </w:r>
      <w:r w:rsidR="6AE3E48F" w:rsidRPr="632E6EB4">
        <w:rPr>
          <w:lang w:eastAsia="cs-CZ"/>
        </w:rPr>
        <w:t xml:space="preserve"> </w:t>
      </w:r>
      <w:r w:rsidR="02FB8546" w:rsidRPr="632E6EB4">
        <w:rPr>
          <w:lang w:eastAsia="cs-CZ"/>
        </w:rPr>
        <w:t>a vymáhání</w:t>
      </w:r>
      <w:r w:rsidR="1C74CE10" w:rsidRPr="632E6EB4">
        <w:rPr>
          <w:lang w:eastAsia="cs-CZ"/>
        </w:rPr>
        <w:t xml:space="preserve"> uložené platební povinnosti, zajištuje jiný správní orgán než orgán, který platební povinnost uložil</w:t>
      </w:r>
      <w:r w:rsidRPr="632E6EB4">
        <w:rPr>
          <w:lang w:eastAsia="cs-CZ"/>
        </w:rPr>
        <w:t xml:space="preserve">. </w:t>
      </w:r>
    </w:p>
    <w:p w14:paraId="430919BD" w14:textId="48A6864C" w:rsidR="241F826A" w:rsidRDefault="241F826A" w:rsidP="00802C2A">
      <w:pPr>
        <w:keepNext/>
        <w:spacing w:after="0"/>
        <w:rPr>
          <w:lang w:eastAsia="cs-CZ"/>
        </w:rPr>
      </w:pPr>
      <w:r w:rsidRPr="632E6EB4">
        <w:rPr>
          <w:lang w:eastAsia="cs-CZ"/>
        </w:rPr>
        <w:t xml:space="preserve">Dle důvodové zprávy k návrhu zákona </w:t>
      </w:r>
      <w:r w:rsidR="002257B6">
        <w:rPr>
          <w:lang w:eastAsia="cs-CZ"/>
        </w:rPr>
        <w:t>o konsolidaci veřejných rozpočtů</w:t>
      </w:r>
      <w:r w:rsidR="001531D6">
        <w:rPr>
          <w:lang w:eastAsia="cs-CZ"/>
        </w:rPr>
        <w:t xml:space="preserve"> </w:t>
      </w:r>
      <w:r w:rsidRPr="632E6EB4">
        <w:rPr>
          <w:lang w:eastAsia="cs-CZ"/>
        </w:rPr>
        <w:t>mělo být touto změnou dosaženo:</w:t>
      </w:r>
    </w:p>
    <w:p w14:paraId="48A7C002" w14:textId="30CA9627" w:rsidR="241F826A" w:rsidRDefault="241F826A" w:rsidP="00802C2A">
      <w:pPr>
        <w:pStyle w:val="Odstavecseseznamem"/>
        <w:numPr>
          <w:ilvl w:val="0"/>
          <w:numId w:val="3"/>
        </w:numPr>
        <w:spacing w:after="120"/>
        <w:ind w:left="284" w:hanging="284"/>
        <w:rPr>
          <w:szCs w:val="24"/>
          <w:lang w:eastAsia="cs-CZ"/>
        </w:rPr>
      </w:pPr>
      <w:r w:rsidRPr="632E6EB4">
        <w:rPr>
          <w:szCs w:val="24"/>
          <w:lang w:eastAsia="cs-CZ"/>
        </w:rPr>
        <w:t>jednotného postupu při vymáhání justičních pohledávek, jejichž správa placení se řídí daňovým řádem;</w:t>
      </w:r>
    </w:p>
    <w:p w14:paraId="40CAC9F4" w14:textId="3F28E84B" w:rsidR="241F826A" w:rsidRDefault="241F826A" w:rsidP="00802C2A">
      <w:pPr>
        <w:pStyle w:val="Odstavecseseznamem"/>
        <w:numPr>
          <w:ilvl w:val="0"/>
          <w:numId w:val="3"/>
        </w:numPr>
        <w:spacing w:after="120"/>
        <w:ind w:left="284" w:hanging="284"/>
        <w:rPr>
          <w:szCs w:val="24"/>
          <w:lang w:eastAsia="cs-CZ"/>
        </w:rPr>
      </w:pPr>
      <w:r w:rsidRPr="632E6EB4">
        <w:rPr>
          <w:szCs w:val="24"/>
          <w:lang w:eastAsia="cs-CZ"/>
        </w:rPr>
        <w:t>snížení nákladů spojených s vymáháním justičních pohledávek v rámci resortu justice;</w:t>
      </w:r>
    </w:p>
    <w:p w14:paraId="42C2213F" w14:textId="0C4C765B" w:rsidR="1FDE8ED0" w:rsidRDefault="1FDE8ED0" w:rsidP="00802C2A">
      <w:pPr>
        <w:pStyle w:val="Odstavecseseznamem"/>
        <w:numPr>
          <w:ilvl w:val="0"/>
          <w:numId w:val="3"/>
        </w:numPr>
        <w:spacing w:after="120"/>
        <w:ind w:left="284" w:hanging="284"/>
        <w:rPr>
          <w:szCs w:val="24"/>
          <w:lang w:eastAsia="cs-CZ"/>
        </w:rPr>
      </w:pPr>
      <w:r w:rsidRPr="632E6EB4">
        <w:rPr>
          <w:szCs w:val="24"/>
          <w:lang w:eastAsia="cs-CZ"/>
        </w:rPr>
        <w:t>s</w:t>
      </w:r>
      <w:r w:rsidR="241F826A" w:rsidRPr="632E6EB4">
        <w:rPr>
          <w:szCs w:val="24"/>
          <w:lang w:eastAsia="cs-CZ"/>
        </w:rPr>
        <w:t>nížení procenta i objemu neuhrazených justičních pohledávek;</w:t>
      </w:r>
    </w:p>
    <w:p w14:paraId="6C456BEE" w14:textId="468D2E04" w:rsidR="377501D5" w:rsidRDefault="377501D5" w:rsidP="00802C2A">
      <w:pPr>
        <w:pStyle w:val="Odstavecseseznamem"/>
        <w:numPr>
          <w:ilvl w:val="0"/>
          <w:numId w:val="3"/>
        </w:numPr>
        <w:spacing w:after="120"/>
        <w:ind w:left="284" w:hanging="284"/>
        <w:rPr>
          <w:szCs w:val="24"/>
          <w:lang w:eastAsia="cs-CZ"/>
        </w:rPr>
      </w:pPr>
      <w:r w:rsidRPr="632E6EB4">
        <w:rPr>
          <w:szCs w:val="24"/>
          <w:lang w:eastAsia="cs-CZ"/>
        </w:rPr>
        <w:t>s</w:t>
      </w:r>
      <w:r w:rsidR="241F826A" w:rsidRPr="632E6EB4">
        <w:rPr>
          <w:szCs w:val="24"/>
          <w:lang w:eastAsia="cs-CZ"/>
        </w:rPr>
        <w:t xml:space="preserve">nížení nákladů pro dlužníka v </w:t>
      </w:r>
      <w:r w:rsidR="427EAAEC" w:rsidRPr="632E6EB4">
        <w:rPr>
          <w:szCs w:val="24"/>
          <w:lang w:eastAsia="cs-CZ"/>
        </w:rPr>
        <w:t>případech</w:t>
      </w:r>
      <w:r w:rsidR="241F826A" w:rsidRPr="632E6EB4">
        <w:rPr>
          <w:szCs w:val="24"/>
          <w:lang w:eastAsia="cs-CZ"/>
        </w:rPr>
        <w:t xml:space="preserve">, kdy bylo vymáhání </w:t>
      </w:r>
      <w:r w:rsidR="5B29A0BE" w:rsidRPr="632E6EB4">
        <w:rPr>
          <w:szCs w:val="24"/>
          <w:lang w:eastAsia="cs-CZ"/>
        </w:rPr>
        <w:t>pohledávek přeneseno na soudního exekutora;</w:t>
      </w:r>
    </w:p>
    <w:p w14:paraId="03791FCF" w14:textId="6DB018D8" w:rsidR="00CF01F6" w:rsidRPr="00CF01F6" w:rsidRDefault="2E3B200A" w:rsidP="00802C2A">
      <w:pPr>
        <w:pStyle w:val="Odstavecseseznamem"/>
        <w:numPr>
          <w:ilvl w:val="0"/>
          <w:numId w:val="3"/>
        </w:numPr>
        <w:spacing w:after="120"/>
        <w:ind w:left="284" w:hanging="284"/>
        <w:rPr>
          <w:lang w:eastAsia="cs-CZ"/>
        </w:rPr>
      </w:pPr>
      <w:r w:rsidRPr="00CF01F6">
        <w:rPr>
          <w:szCs w:val="24"/>
          <w:lang w:eastAsia="cs-CZ"/>
        </w:rPr>
        <w:t>častější</w:t>
      </w:r>
      <w:r w:rsidR="00707B6D">
        <w:rPr>
          <w:szCs w:val="24"/>
          <w:lang w:eastAsia="cs-CZ"/>
        </w:rPr>
        <w:t>ho</w:t>
      </w:r>
      <w:r w:rsidRPr="00CF01F6">
        <w:rPr>
          <w:szCs w:val="24"/>
          <w:lang w:eastAsia="cs-CZ"/>
        </w:rPr>
        <w:t xml:space="preserve"> ukládání peněžitých trestů</w:t>
      </w:r>
      <w:r w:rsidR="21A19F19" w:rsidRPr="00CF01F6">
        <w:rPr>
          <w:szCs w:val="24"/>
          <w:lang w:eastAsia="cs-CZ"/>
        </w:rPr>
        <w:t>.</w:t>
      </w:r>
    </w:p>
    <w:p w14:paraId="5683E612" w14:textId="412C958D" w:rsidR="002E25BC" w:rsidRDefault="00F26F1F" w:rsidP="00C7584A">
      <w:pPr>
        <w:spacing w:before="120" w:after="120"/>
        <w:rPr>
          <w:lang w:eastAsia="cs-CZ"/>
        </w:rPr>
      </w:pPr>
      <w:r>
        <w:rPr>
          <w:lang w:eastAsia="cs-CZ"/>
        </w:rPr>
        <w:t xml:space="preserve">CÚ </w:t>
      </w:r>
      <w:r w:rsidR="1E63168D" w:rsidRPr="632E6EB4">
        <w:rPr>
          <w:lang w:eastAsia="cs-CZ"/>
        </w:rPr>
        <w:t>byly</w:t>
      </w:r>
      <w:r w:rsidR="6FC8AAA8" w:rsidRPr="001A0C83">
        <w:rPr>
          <w:lang w:eastAsia="cs-CZ"/>
        </w:rPr>
        <w:t xml:space="preserve"> příslušné k</w:t>
      </w:r>
      <w:r w:rsidR="008501CE">
        <w:rPr>
          <w:lang w:eastAsia="cs-CZ"/>
        </w:rPr>
        <w:t> </w:t>
      </w:r>
      <w:r w:rsidR="6FC8AAA8" w:rsidRPr="001A0C83">
        <w:rPr>
          <w:lang w:eastAsia="cs-CZ"/>
        </w:rPr>
        <w:t>vymáhání</w:t>
      </w:r>
      <w:r w:rsidR="008501CE">
        <w:rPr>
          <w:lang w:eastAsia="cs-CZ"/>
        </w:rPr>
        <w:t xml:space="preserve"> nových</w:t>
      </w:r>
      <w:r w:rsidR="6FC8AAA8" w:rsidRPr="001A0C83">
        <w:rPr>
          <w:lang w:eastAsia="cs-CZ"/>
        </w:rPr>
        <w:t xml:space="preserve"> justičních pohledávek</w:t>
      </w:r>
      <w:r w:rsidR="6FC8AAA8" w:rsidRPr="001A14AF">
        <w:rPr>
          <w:lang w:eastAsia="cs-CZ"/>
        </w:rPr>
        <w:t xml:space="preserve">. </w:t>
      </w:r>
      <w:r w:rsidR="64A56FCC" w:rsidRPr="001A14AF">
        <w:rPr>
          <w:lang w:eastAsia="cs-CZ"/>
        </w:rPr>
        <w:t>K</w:t>
      </w:r>
      <w:r w:rsidR="008501CE">
        <w:rPr>
          <w:lang w:eastAsia="cs-CZ"/>
        </w:rPr>
        <w:t> </w:t>
      </w:r>
      <w:r w:rsidR="64A56FCC" w:rsidRPr="001A14AF">
        <w:rPr>
          <w:lang w:eastAsia="cs-CZ"/>
        </w:rPr>
        <w:t>vymáhání</w:t>
      </w:r>
      <w:r w:rsidR="008501CE">
        <w:rPr>
          <w:lang w:eastAsia="cs-CZ"/>
        </w:rPr>
        <w:t xml:space="preserve"> starých</w:t>
      </w:r>
      <w:r w:rsidR="64A56FCC" w:rsidRPr="001A14AF">
        <w:rPr>
          <w:lang w:eastAsia="cs-CZ"/>
        </w:rPr>
        <w:t xml:space="preserve"> justičních pohledávek </w:t>
      </w:r>
      <w:r w:rsidR="6F3E4A84" w:rsidRPr="632E6EB4">
        <w:rPr>
          <w:lang w:eastAsia="cs-CZ"/>
        </w:rPr>
        <w:t>byly</w:t>
      </w:r>
      <w:r w:rsidR="72FCC9B7" w:rsidRPr="632E6EB4">
        <w:rPr>
          <w:lang w:eastAsia="cs-CZ"/>
        </w:rPr>
        <w:t xml:space="preserve"> příslušné</w:t>
      </w:r>
      <w:r w:rsidR="3ECE1787" w:rsidRPr="632E6EB4">
        <w:rPr>
          <w:lang w:eastAsia="cs-CZ"/>
        </w:rPr>
        <w:t>,</w:t>
      </w:r>
      <w:r w:rsidR="72FCC9B7" w:rsidRPr="632E6EB4">
        <w:rPr>
          <w:lang w:eastAsia="cs-CZ"/>
        </w:rPr>
        <w:t xml:space="preserve"> </w:t>
      </w:r>
      <w:r w:rsidR="5312919B" w:rsidRPr="632E6EB4">
        <w:rPr>
          <w:lang w:eastAsia="cs-CZ"/>
        </w:rPr>
        <w:t>pouze pokud nebyly předány k vymáhání soudnímu exekutorovi, uplatněny v insolvenčním řízení nebo přihlášeny do veřejné dražb</w:t>
      </w:r>
      <w:r w:rsidR="6234361E" w:rsidRPr="632E6EB4">
        <w:rPr>
          <w:lang w:eastAsia="cs-CZ"/>
        </w:rPr>
        <w:t>y</w:t>
      </w:r>
      <w:r w:rsidR="72FCC9B7" w:rsidRPr="632E6EB4">
        <w:rPr>
          <w:lang w:eastAsia="cs-CZ"/>
        </w:rPr>
        <w:t>, a to ode dne</w:t>
      </w:r>
      <w:r w:rsidR="3A6D6573" w:rsidRPr="632E6EB4">
        <w:rPr>
          <w:lang w:eastAsia="cs-CZ"/>
        </w:rPr>
        <w:t xml:space="preserve"> převzetí podkladů k jejich vymáhání.</w:t>
      </w:r>
      <w:r w:rsidR="2310948F" w:rsidRPr="632E6EB4">
        <w:rPr>
          <w:lang w:eastAsia="cs-CZ"/>
        </w:rPr>
        <w:t xml:space="preserve"> </w:t>
      </w:r>
      <w:r w:rsidR="0E7B209E" w:rsidRPr="632E6EB4">
        <w:rPr>
          <w:lang w:eastAsia="cs-CZ"/>
        </w:rPr>
        <w:t xml:space="preserve">Podklady k vymáhání </w:t>
      </w:r>
      <w:r w:rsidR="00685CC5">
        <w:rPr>
          <w:lang w:eastAsia="cs-CZ"/>
        </w:rPr>
        <w:t>justičních pohledávek, pro které nebyla do dne 31.</w:t>
      </w:r>
      <w:r w:rsidR="00793ED7">
        <w:rPr>
          <w:lang w:eastAsia="cs-CZ"/>
        </w:rPr>
        <w:t> </w:t>
      </w:r>
      <w:r w:rsidR="00685CC5">
        <w:rPr>
          <w:lang w:eastAsia="cs-CZ"/>
        </w:rPr>
        <w:t>12.</w:t>
      </w:r>
      <w:r w:rsidR="00793ED7">
        <w:rPr>
          <w:lang w:eastAsia="cs-CZ"/>
        </w:rPr>
        <w:t> </w:t>
      </w:r>
      <w:r w:rsidR="00685CC5">
        <w:rPr>
          <w:lang w:eastAsia="cs-CZ"/>
        </w:rPr>
        <w:t>2023 nařízena daňová exekuce,</w:t>
      </w:r>
      <w:r w:rsidR="0E7B209E" w:rsidRPr="632E6EB4">
        <w:rPr>
          <w:lang w:eastAsia="cs-CZ"/>
        </w:rPr>
        <w:t xml:space="preserve"> měly </w:t>
      </w:r>
      <w:r w:rsidR="00EC5C45">
        <w:rPr>
          <w:lang w:eastAsia="cs-CZ"/>
        </w:rPr>
        <w:t xml:space="preserve">soudy předat </w:t>
      </w:r>
      <w:r w:rsidR="0E7B209E" w:rsidRPr="632E6EB4">
        <w:rPr>
          <w:lang w:eastAsia="cs-CZ"/>
        </w:rPr>
        <w:t>CÚ nejpozději do 30.</w:t>
      </w:r>
      <w:r w:rsidR="00793ED7">
        <w:rPr>
          <w:lang w:eastAsia="cs-CZ"/>
        </w:rPr>
        <w:t> </w:t>
      </w:r>
      <w:r w:rsidR="0E7B209E" w:rsidRPr="632E6EB4">
        <w:rPr>
          <w:lang w:eastAsia="cs-CZ"/>
        </w:rPr>
        <w:t>6.</w:t>
      </w:r>
      <w:r w:rsidR="00793ED7">
        <w:rPr>
          <w:lang w:eastAsia="cs-CZ"/>
        </w:rPr>
        <w:t> </w:t>
      </w:r>
      <w:r w:rsidR="0E7B209E" w:rsidRPr="632E6EB4">
        <w:rPr>
          <w:lang w:eastAsia="cs-CZ"/>
        </w:rPr>
        <w:t>2024 a</w:t>
      </w:r>
      <w:r w:rsidR="00793ED7">
        <w:rPr>
          <w:lang w:eastAsia="cs-CZ"/>
        </w:rPr>
        <w:t> </w:t>
      </w:r>
      <w:r w:rsidR="0E7B209E" w:rsidRPr="632E6EB4">
        <w:rPr>
          <w:lang w:eastAsia="cs-CZ"/>
        </w:rPr>
        <w:t>do 31.</w:t>
      </w:r>
      <w:r w:rsidR="00793ED7">
        <w:rPr>
          <w:lang w:eastAsia="cs-CZ"/>
        </w:rPr>
        <w:t> </w:t>
      </w:r>
      <w:r w:rsidR="0E7B209E" w:rsidRPr="632E6EB4">
        <w:rPr>
          <w:lang w:eastAsia="cs-CZ"/>
        </w:rPr>
        <w:t>12.</w:t>
      </w:r>
      <w:r w:rsidR="00793ED7">
        <w:rPr>
          <w:lang w:eastAsia="cs-CZ"/>
        </w:rPr>
        <w:t> </w:t>
      </w:r>
      <w:r w:rsidR="0E7B209E" w:rsidRPr="632E6EB4">
        <w:rPr>
          <w:lang w:eastAsia="cs-CZ"/>
        </w:rPr>
        <w:t>2024 měl</w:t>
      </w:r>
      <w:r w:rsidR="213B9308" w:rsidRPr="632E6EB4">
        <w:rPr>
          <w:lang w:eastAsia="cs-CZ"/>
        </w:rPr>
        <w:t>y</w:t>
      </w:r>
      <w:r w:rsidR="00EC5C45">
        <w:rPr>
          <w:lang w:eastAsia="cs-CZ"/>
        </w:rPr>
        <w:t xml:space="preserve"> soudy předat </w:t>
      </w:r>
      <w:r w:rsidR="213B9308" w:rsidRPr="632E6EB4">
        <w:rPr>
          <w:lang w:eastAsia="cs-CZ"/>
        </w:rPr>
        <w:t xml:space="preserve">podklady i </w:t>
      </w:r>
      <w:r w:rsidR="00EC5C45">
        <w:rPr>
          <w:lang w:eastAsia="cs-CZ"/>
        </w:rPr>
        <w:t>k</w:t>
      </w:r>
      <w:r w:rsidR="00EC5C45" w:rsidRPr="632E6EB4">
        <w:rPr>
          <w:lang w:eastAsia="cs-CZ"/>
        </w:rPr>
        <w:t xml:space="preserve"> pohledávk</w:t>
      </w:r>
      <w:r w:rsidR="00EC5C45">
        <w:rPr>
          <w:lang w:eastAsia="cs-CZ"/>
        </w:rPr>
        <w:t>ám</w:t>
      </w:r>
      <w:r w:rsidR="00EC5C45" w:rsidRPr="632E6EB4">
        <w:rPr>
          <w:lang w:eastAsia="cs-CZ"/>
        </w:rPr>
        <w:t xml:space="preserve"> </w:t>
      </w:r>
      <w:r w:rsidR="213B9308" w:rsidRPr="632E6EB4">
        <w:rPr>
          <w:lang w:eastAsia="cs-CZ"/>
        </w:rPr>
        <w:t>již vymáhan</w:t>
      </w:r>
      <w:r w:rsidR="00EC5C45">
        <w:rPr>
          <w:lang w:eastAsia="cs-CZ"/>
        </w:rPr>
        <w:t>ým</w:t>
      </w:r>
      <w:r w:rsidR="00A42254">
        <w:rPr>
          <w:lang w:eastAsia="cs-CZ"/>
        </w:rPr>
        <w:t>.</w:t>
      </w:r>
    </w:p>
    <w:p w14:paraId="46E73192" w14:textId="3E6B136B" w:rsidR="00BC150D" w:rsidRPr="00B21C32" w:rsidRDefault="00BC150D" w:rsidP="00F833ED">
      <w:pPr>
        <w:spacing w:after="40" w:line="240" w:lineRule="auto"/>
        <w:rPr>
          <w:b/>
          <w:bCs/>
          <w:lang w:eastAsia="cs-CZ"/>
        </w:rPr>
      </w:pPr>
      <w:r w:rsidRPr="00AE177A">
        <w:rPr>
          <w:b/>
          <w:bCs/>
          <w:lang w:eastAsia="cs-CZ"/>
        </w:rPr>
        <w:t>Tabulka č. 3:</w:t>
      </w:r>
      <w:r w:rsidR="00B21C32" w:rsidRPr="00AE177A">
        <w:rPr>
          <w:b/>
          <w:bCs/>
          <w:lang w:eastAsia="cs-CZ"/>
        </w:rPr>
        <w:t xml:space="preserve"> Přehled předaných předpisů justičních pohledávek v roce 2024</w:t>
      </w:r>
    </w:p>
    <w:tbl>
      <w:tblPr>
        <w:tblStyle w:val="Mkatabulky1"/>
        <w:tblW w:w="9072" w:type="dxa"/>
        <w:tblInd w:w="-5" w:type="dxa"/>
        <w:tblLayout w:type="fixed"/>
        <w:tblLook w:val="04A0" w:firstRow="1" w:lastRow="0" w:firstColumn="1" w:lastColumn="0" w:noHBand="0" w:noVBand="1"/>
      </w:tblPr>
      <w:tblGrid>
        <w:gridCol w:w="3024"/>
        <w:gridCol w:w="3024"/>
        <w:gridCol w:w="3024"/>
      </w:tblGrid>
      <w:tr w:rsidR="00FA50F6" w:rsidRPr="00EE74D3" w14:paraId="734EEB1A" w14:textId="77777777" w:rsidTr="00BE71FC">
        <w:trPr>
          <w:trHeight w:val="283"/>
        </w:trPr>
        <w:tc>
          <w:tcPr>
            <w:tcW w:w="3024" w:type="dxa"/>
            <w:shd w:val="clear" w:color="auto" w:fill="E6E6E6"/>
            <w:vAlign w:val="center"/>
          </w:tcPr>
          <w:p w14:paraId="0107C29C" w14:textId="77777777" w:rsidR="00EE74D3" w:rsidRPr="00F833ED" w:rsidRDefault="00EE74D3" w:rsidP="00F833ED">
            <w:pPr>
              <w:jc w:val="center"/>
              <w:rPr>
                <w:rFonts w:asciiTheme="minorHAnsi" w:hAnsiTheme="minorHAnsi" w:cstheme="minorHAnsi"/>
                <w:b/>
                <w:bCs/>
                <w:iCs/>
                <w:color w:val="000000" w:themeColor="text1"/>
                <w:sz w:val="20"/>
              </w:rPr>
            </w:pPr>
          </w:p>
        </w:tc>
        <w:tc>
          <w:tcPr>
            <w:tcW w:w="3024" w:type="dxa"/>
            <w:shd w:val="clear" w:color="auto" w:fill="E6E6E6"/>
            <w:vAlign w:val="center"/>
          </w:tcPr>
          <w:p w14:paraId="21C18F33" w14:textId="0F06E8C9" w:rsidR="00EE74D3" w:rsidRPr="00F833ED" w:rsidRDefault="00EE74D3" w:rsidP="00F833ED">
            <w:pPr>
              <w:jc w:val="center"/>
              <w:rPr>
                <w:rFonts w:asciiTheme="minorHAnsi" w:hAnsiTheme="minorHAnsi" w:cstheme="minorHAnsi"/>
                <w:b/>
                <w:bCs/>
                <w:iCs/>
                <w:color w:val="000000" w:themeColor="text1"/>
                <w:sz w:val="20"/>
              </w:rPr>
            </w:pPr>
            <w:r w:rsidRPr="00F833ED">
              <w:rPr>
                <w:rFonts w:asciiTheme="minorHAnsi" w:hAnsiTheme="minorHAnsi" w:cstheme="minorHAnsi"/>
                <w:b/>
                <w:bCs/>
                <w:iCs/>
                <w:color w:val="000000" w:themeColor="text1"/>
                <w:sz w:val="20"/>
              </w:rPr>
              <w:t xml:space="preserve">Částka předpisů </w:t>
            </w:r>
            <w:r w:rsidR="00A4398A" w:rsidRPr="00F833ED">
              <w:rPr>
                <w:rFonts w:asciiTheme="minorHAnsi" w:hAnsiTheme="minorHAnsi" w:cstheme="minorHAnsi"/>
                <w:b/>
                <w:bCs/>
                <w:iCs/>
                <w:color w:val="000000" w:themeColor="text1"/>
                <w:sz w:val="20"/>
              </w:rPr>
              <w:t>(</w:t>
            </w:r>
            <w:r w:rsidR="002257B6" w:rsidRPr="00F833ED">
              <w:rPr>
                <w:rFonts w:asciiTheme="minorHAnsi" w:hAnsiTheme="minorHAnsi" w:cstheme="minorHAnsi"/>
                <w:b/>
                <w:bCs/>
                <w:iCs/>
                <w:color w:val="000000" w:themeColor="text1"/>
                <w:sz w:val="20"/>
              </w:rPr>
              <w:t xml:space="preserve">v tis. </w:t>
            </w:r>
            <w:r w:rsidRPr="00F833ED">
              <w:rPr>
                <w:rFonts w:asciiTheme="minorHAnsi" w:hAnsiTheme="minorHAnsi" w:cstheme="minorHAnsi"/>
                <w:b/>
                <w:bCs/>
                <w:iCs/>
                <w:color w:val="000000" w:themeColor="text1"/>
                <w:sz w:val="20"/>
              </w:rPr>
              <w:t>Kč</w:t>
            </w:r>
            <w:r w:rsidR="00A4398A" w:rsidRPr="00F833ED">
              <w:rPr>
                <w:rFonts w:asciiTheme="minorHAnsi" w:hAnsiTheme="minorHAnsi" w:cstheme="minorHAnsi"/>
                <w:b/>
                <w:bCs/>
                <w:iCs/>
                <w:color w:val="000000" w:themeColor="text1"/>
                <w:sz w:val="20"/>
              </w:rPr>
              <w:t>)</w:t>
            </w:r>
          </w:p>
        </w:tc>
        <w:tc>
          <w:tcPr>
            <w:tcW w:w="3024" w:type="dxa"/>
            <w:shd w:val="clear" w:color="auto" w:fill="E6E6E6"/>
            <w:vAlign w:val="center"/>
          </w:tcPr>
          <w:p w14:paraId="10F30CAF" w14:textId="77777777" w:rsidR="00EE74D3" w:rsidRPr="00F833ED" w:rsidRDefault="00EE74D3" w:rsidP="00F833ED">
            <w:pPr>
              <w:jc w:val="center"/>
              <w:rPr>
                <w:rFonts w:asciiTheme="minorHAnsi" w:hAnsiTheme="minorHAnsi" w:cstheme="minorHAnsi"/>
                <w:b/>
                <w:bCs/>
                <w:iCs/>
                <w:color w:val="000000" w:themeColor="text1"/>
                <w:sz w:val="20"/>
              </w:rPr>
            </w:pPr>
            <w:r w:rsidRPr="00F833ED">
              <w:rPr>
                <w:rFonts w:asciiTheme="minorHAnsi" w:hAnsiTheme="minorHAnsi" w:cstheme="minorHAnsi"/>
                <w:b/>
                <w:bCs/>
                <w:iCs/>
                <w:color w:val="000000" w:themeColor="text1"/>
                <w:sz w:val="20"/>
              </w:rPr>
              <w:t>Počet předpisů</w:t>
            </w:r>
          </w:p>
        </w:tc>
      </w:tr>
      <w:tr w:rsidR="00EE74D3" w:rsidRPr="00EE74D3" w14:paraId="643A73ED" w14:textId="77777777" w:rsidTr="00BE71FC">
        <w:trPr>
          <w:trHeight w:val="283"/>
        </w:trPr>
        <w:tc>
          <w:tcPr>
            <w:tcW w:w="3024" w:type="dxa"/>
            <w:vAlign w:val="center"/>
          </w:tcPr>
          <w:p w14:paraId="359E360A" w14:textId="213973FA" w:rsidR="00EE74D3" w:rsidRPr="00EE74D3" w:rsidRDefault="00EE74D3" w:rsidP="00F833ED">
            <w:pPr>
              <w:jc w:val="left"/>
              <w:rPr>
                <w:rFonts w:asciiTheme="minorHAnsi" w:hAnsiTheme="minorHAnsi" w:cstheme="minorHAnsi"/>
                <w:iCs/>
                <w:color w:val="000000" w:themeColor="text1"/>
                <w:sz w:val="20"/>
              </w:rPr>
            </w:pPr>
            <w:r>
              <w:rPr>
                <w:rFonts w:asciiTheme="minorHAnsi" w:hAnsiTheme="minorHAnsi" w:cstheme="minorHAnsi"/>
                <w:iCs/>
                <w:color w:val="000000" w:themeColor="text1"/>
                <w:sz w:val="20"/>
              </w:rPr>
              <w:t>Staré pohledávky</w:t>
            </w:r>
          </w:p>
        </w:tc>
        <w:tc>
          <w:tcPr>
            <w:tcW w:w="3024" w:type="dxa"/>
            <w:vAlign w:val="center"/>
          </w:tcPr>
          <w:p w14:paraId="118BDF33" w14:textId="7AFDB466" w:rsidR="00EE74D3" w:rsidRPr="00EE74D3" w:rsidRDefault="0028321B" w:rsidP="00F833ED">
            <w:pPr>
              <w:ind w:right="980"/>
              <w:jc w:val="right"/>
              <w:rPr>
                <w:rFonts w:asciiTheme="minorHAnsi" w:hAnsiTheme="minorHAnsi" w:cstheme="minorHAnsi"/>
                <w:iCs/>
                <w:color w:val="000000" w:themeColor="text1"/>
                <w:sz w:val="20"/>
              </w:rPr>
            </w:pPr>
            <w:r>
              <w:rPr>
                <w:rFonts w:asciiTheme="minorHAnsi" w:hAnsiTheme="minorHAnsi" w:cstheme="minorHAnsi"/>
                <w:iCs/>
                <w:color w:val="000000" w:themeColor="text1"/>
                <w:sz w:val="20"/>
              </w:rPr>
              <w:t>1 198 888</w:t>
            </w:r>
          </w:p>
        </w:tc>
        <w:tc>
          <w:tcPr>
            <w:tcW w:w="3024" w:type="dxa"/>
            <w:vAlign w:val="center"/>
          </w:tcPr>
          <w:p w14:paraId="61972B4D" w14:textId="3D8F0DA2" w:rsidR="00EE74D3" w:rsidRPr="00EE74D3" w:rsidRDefault="0028321B" w:rsidP="00F833ED">
            <w:pPr>
              <w:ind w:right="980"/>
              <w:jc w:val="right"/>
              <w:rPr>
                <w:rFonts w:asciiTheme="minorHAnsi" w:hAnsiTheme="minorHAnsi" w:cstheme="minorHAnsi"/>
                <w:iCs/>
                <w:color w:val="000000" w:themeColor="text1"/>
                <w:sz w:val="20"/>
              </w:rPr>
            </w:pPr>
            <w:r>
              <w:rPr>
                <w:rFonts w:asciiTheme="minorHAnsi" w:hAnsiTheme="minorHAnsi" w:cstheme="minorHAnsi"/>
                <w:iCs/>
                <w:color w:val="000000" w:themeColor="text1"/>
                <w:sz w:val="20"/>
              </w:rPr>
              <w:t>169 074</w:t>
            </w:r>
          </w:p>
        </w:tc>
      </w:tr>
      <w:tr w:rsidR="00EE74D3" w:rsidRPr="00EE74D3" w14:paraId="05354376" w14:textId="77777777" w:rsidTr="00BE71FC">
        <w:trPr>
          <w:trHeight w:val="283"/>
        </w:trPr>
        <w:tc>
          <w:tcPr>
            <w:tcW w:w="3024" w:type="dxa"/>
            <w:vAlign w:val="center"/>
          </w:tcPr>
          <w:p w14:paraId="317E3E6A" w14:textId="6719870F" w:rsidR="00EE74D3" w:rsidRPr="00EE74D3" w:rsidRDefault="00EE74D3" w:rsidP="00F833ED">
            <w:pPr>
              <w:jc w:val="left"/>
              <w:rPr>
                <w:rFonts w:asciiTheme="minorHAnsi" w:hAnsiTheme="minorHAnsi" w:cstheme="minorHAnsi"/>
                <w:iCs/>
                <w:color w:val="000000" w:themeColor="text1"/>
                <w:sz w:val="20"/>
              </w:rPr>
            </w:pPr>
            <w:r>
              <w:rPr>
                <w:rFonts w:asciiTheme="minorHAnsi" w:hAnsiTheme="minorHAnsi" w:cstheme="minorHAnsi"/>
                <w:iCs/>
                <w:color w:val="000000" w:themeColor="text1"/>
                <w:sz w:val="20"/>
              </w:rPr>
              <w:t>Nové pohledávky</w:t>
            </w:r>
          </w:p>
        </w:tc>
        <w:tc>
          <w:tcPr>
            <w:tcW w:w="3024" w:type="dxa"/>
            <w:vAlign w:val="center"/>
          </w:tcPr>
          <w:p w14:paraId="532D30E3" w14:textId="57065064" w:rsidR="00EE74D3" w:rsidRPr="00EE74D3" w:rsidRDefault="0028321B" w:rsidP="00F833ED">
            <w:pPr>
              <w:ind w:right="980"/>
              <w:jc w:val="right"/>
              <w:rPr>
                <w:rFonts w:asciiTheme="minorHAnsi" w:hAnsiTheme="minorHAnsi" w:cstheme="minorHAnsi"/>
                <w:iCs/>
                <w:color w:val="000000" w:themeColor="text1"/>
                <w:sz w:val="20"/>
              </w:rPr>
            </w:pPr>
            <w:r>
              <w:rPr>
                <w:rFonts w:asciiTheme="minorHAnsi" w:hAnsiTheme="minorHAnsi" w:cstheme="minorHAnsi"/>
                <w:iCs/>
                <w:color w:val="000000" w:themeColor="text1"/>
                <w:sz w:val="20"/>
              </w:rPr>
              <w:t>395 167</w:t>
            </w:r>
          </w:p>
        </w:tc>
        <w:tc>
          <w:tcPr>
            <w:tcW w:w="3024" w:type="dxa"/>
            <w:vAlign w:val="center"/>
          </w:tcPr>
          <w:p w14:paraId="6DA9F93A" w14:textId="0401F5C2" w:rsidR="00EE74D3" w:rsidRPr="00EE74D3" w:rsidRDefault="0028321B" w:rsidP="00F833ED">
            <w:pPr>
              <w:ind w:right="980"/>
              <w:jc w:val="right"/>
              <w:rPr>
                <w:rFonts w:asciiTheme="minorHAnsi" w:hAnsiTheme="minorHAnsi" w:cstheme="minorHAnsi"/>
                <w:iCs/>
                <w:color w:val="000000" w:themeColor="text1"/>
                <w:sz w:val="20"/>
              </w:rPr>
            </w:pPr>
            <w:r>
              <w:rPr>
                <w:rFonts w:asciiTheme="minorHAnsi" w:hAnsiTheme="minorHAnsi" w:cstheme="minorHAnsi"/>
                <w:iCs/>
                <w:color w:val="000000" w:themeColor="text1"/>
                <w:sz w:val="20"/>
              </w:rPr>
              <w:t>51 545</w:t>
            </w:r>
          </w:p>
        </w:tc>
      </w:tr>
      <w:tr w:rsidR="00EE74D3" w:rsidRPr="00EE74D3" w14:paraId="415EBA10" w14:textId="77777777" w:rsidTr="00BE71FC">
        <w:trPr>
          <w:trHeight w:val="283"/>
        </w:trPr>
        <w:tc>
          <w:tcPr>
            <w:tcW w:w="3024" w:type="dxa"/>
            <w:vAlign w:val="center"/>
          </w:tcPr>
          <w:p w14:paraId="6769B811" w14:textId="77777777" w:rsidR="00EE74D3" w:rsidRPr="00EE74D3" w:rsidRDefault="00EE74D3" w:rsidP="00F833ED">
            <w:pPr>
              <w:jc w:val="left"/>
              <w:rPr>
                <w:rFonts w:asciiTheme="minorHAnsi" w:hAnsiTheme="minorHAnsi" w:cstheme="minorHAnsi"/>
                <w:b/>
                <w:bCs/>
                <w:iCs/>
                <w:color w:val="000000" w:themeColor="text1"/>
                <w:sz w:val="20"/>
              </w:rPr>
            </w:pPr>
            <w:r w:rsidRPr="00EE74D3">
              <w:rPr>
                <w:rFonts w:asciiTheme="minorHAnsi" w:hAnsiTheme="minorHAnsi" w:cstheme="minorHAnsi"/>
                <w:b/>
                <w:bCs/>
                <w:iCs/>
                <w:color w:val="000000" w:themeColor="text1"/>
                <w:sz w:val="20"/>
              </w:rPr>
              <w:t>Celkem</w:t>
            </w:r>
          </w:p>
        </w:tc>
        <w:tc>
          <w:tcPr>
            <w:tcW w:w="3024" w:type="dxa"/>
            <w:vAlign w:val="center"/>
          </w:tcPr>
          <w:p w14:paraId="5DC758D6" w14:textId="3C025082" w:rsidR="00EE74D3" w:rsidRPr="00EE74D3" w:rsidRDefault="000B3A92" w:rsidP="00F833ED">
            <w:pPr>
              <w:ind w:right="980"/>
              <w:jc w:val="right"/>
              <w:rPr>
                <w:rFonts w:asciiTheme="minorHAnsi" w:hAnsiTheme="minorHAnsi" w:cstheme="minorHAnsi"/>
                <w:b/>
                <w:bCs/>
                <w:iCs/>
                <w:color w:val="000000" w:themeColor="text1"/>
                <w:sz w:val="20"/>
              </w:rPr>
            </w:pPr>
            <w:r>
              <w:rPr>
                <w:rFonts w:asciiTheme="minorHAnsi" w:hAnsiTheme="minorHAnsi" w:cstheme="minorHAnsi"/>
                <w:b/>
                <w:bCs/>
                <w:iCs/>
                <w:color w:val="000000" w:themeColor="text1"/>
                <w:sz w:val="20"/>
              </w:rPr>
              <w:t>1 594 055</w:t>
            </w:r>
          </w:p>
        </w:tc>
        <w:tc>
          <w:tcPr>
            <w:tcW w:w="3024" w:type="dxa"/>
            <w:vAlign w:val="center"/>
          </w:tcPr>
          <w:p w14:paraId="1F8146E0" w14:textId="2AA78A5C" w:rsidR="00EE74D3" w:rsidRPr="00EE74D3" w:rsidRDefault="0028321B" w:rsidP="00F833ED">
            <w:pPr>
              <w:ind w:right="980"/>
              <w:jc w:val="right"/>
              <w:rPr>
                <w:rFonts w:asciiTheme="minorHAnsi" w:hAnsiTheme="minorHAnsi" w:cstheme="minorHAnsi"/>
                <w:b/>
                <w:bCs/>
                <w:iCs/>
                <w:color w:val="000000" w:themeColor="text1"/>
                <w:sz w:val="20"/>
              </w:rPr>
            </w:pPr>
            <w:r>
              <w:rPr>
                <w:rFonts w:asciiTheme="minorHAnsi" w:hAnsiTheme="minorHAnsi" w:cstheme="minorHAnsi"/>
                <w:b/>
                <w:bCs/>
                <w:iCs/>
                <w:color w:val="000000" w:themeColor="text1"/>
                <w:sz w:val="20"/>
              </w:rPr>
              <w:t>220 619</w:t>
            </w:r>
          </w:p>
        </w:tc>
      </w:tr>
    </w:tbl>
    <w:p w14:paraId="4A08156B" w14:textId="2E2BFF3A" w:rsidR="59451E5D" w:rsidRPr="00EE74D3" w:rsidRDefault="00EE74D3" w:rsidP="00F833ED">
      <w:pPr>
        <w:spacing w:before="40" w:after="0" w:line="240" w:lineRule="auto"/>
        <w:rPr>
          <w:sz w:val="20"/>
          <w:szCs w:val="20"/>
          <w:lang w:eastAsia="cs-CZ" w:bidi="cs-CZ"/>
        </w:rPr>
      </w:pPr>
      <w:r w:rsidRPr="00F833ED">
        <w:rPr>
          <w:b/>
          <w:bCs/>
          <w:sz w:val="20"/>
          <w:szCs w:val="20"/>
          <w:lang w:eastAsia="cs-CZ"/>
        </w:rPr>
        <w:t>Zdroj:</w:t>
      </w:r>
      <w:r w:rsidR="003514FD" w:rsidRPr="00F833ED">
        <w:rPr>
          <w:b/>
          <w:bCs/>
          <w:sz w:val="20"/>
          <w:szCs w:val="20"/>
          <w:lang w:eastAsia="cs-CZ"/>
        </w:rPr>
        <w:t xml:space="preserve"> </w:t>
      </w:r>
      <w:r w:rsidR="003514FD" w:rsidRPr="003514FD">
        <w:rPr>
          <w:sz w:val="20"/>
          <w:szCs w:val="20"/>
          <w:lang w:eastAsia="cs-CZ"/>
        </w:rPr>
        <w:t>vypracoval NKÚ na základě dat poskytnutých GŘC.</w:t>
      </w:r>
    </w:p>
    <w:p w14:paraId="5E35A9E7" w14:textId="73C4BC5C" w:rsidR="000B3A92" w:rsidRPr="00EE74D3" w:rsidRDefault="000B3A92" w:rsidP="00F833ED">
      <w:pPr>
        <w:spacing w:after="120" w:line="240" w:lineRule="auto"/>
        <w:ind w:left="567" w:hanging="567"/>
        <w:rPr>
          <w:sz w:val="20"/>
          <w:szCs w:val="20"/>
          <w:lang w:eastAsia="cs-CZ" w:bidi="cs-CZ"/>
        </w:rPr>
      </w:pPr>
      <w:r w:rsidRPr="00F833ED">
        <w:rPr>
          <w:b/>
          <w:bCs/>
          <w:sz w:val="20"/>
          <w:szCs w:val="20"/>
          <w:lang w:eastAsia="cs-CZ"/>
        </w:rPr>
        <w:t>Pozn</w:t>
      </w:r>
      <w:r w:rsidR="004D0793">
        <w:rPr>
          <w:b/>
          <w:bCs/>
          <w:sz w:val="20"/>
          <w:szCs w:val="20"/>
          <w:lang w:eastAsia="cs-CZ"/>
        </w:rPr>
        <w:t>.</w:t>
      </w:r>
      <w:r w:rsidRPr="00F833ED">
        <w:rPr>
          <w:b/>
          <w:bCs/>
          <w:sz w:val="20"/>
          <w:szCs w:val="20"/>
          <w:lang w:eastAsia="cs-CZ"/>
        </w:rPr>
        <w:t>:</w:t>
      </w:r>
      <w:r>
        <w:rPr>
          <w:sz w:val="20"/>
          <w:szCs w:val="20"/>
          <w:lang w:eastAsia="cs-CZ"/>
        </w:rPr>
        <w:t xml:space="preserve"> </w:t>
      </w:r>
      <w:r w:rsidR="007236EF">
        <w:rPr>
          <w:sz w:val="20"/>
          <w:szCs w:val="20"/>
          <w:lang w:eastAsia="cs-CZ"/>
        </w:rPr>
        <w:t>V tabulce n</w:t>
      </w:r>
      <w:r w:rsidR="00D754B2">
        <w:rPr>
          <w:sz w:val="20"/>
          <w:szCs w:val="20"/>
          <w:lang w:eastAsia="cs-CZ"/>
        </w:rPr>
        <w:t>ejsou zahrnuty</w:t>
      </w:r>
      <w:r>
        <w:rPr>
          <w:sz w:val="20"/>
          <w:szCs w:val="20"/>
          <w:lang w:eastAsia="cs-CZ"/>
        </w:rPr>
        <w:t xml:space="preserve"> údaje o justičních pohledávkách uložených Vězeňskou službou</w:t>
      </w:r>
      <w:r w:rsidR="00243271">
        <w:rPr>
          <w:sz w:val="20"/>
          <w:szCs w:val="20"/>
          <w:lang w:eastAsia="cs-CZ"/>
        </w:rPr>
        <w:t xml:space="preserve"> ČR</w:t>
      </w:r>
      <w:r w:rsidR="00712965">
        <w:rPr>
          <w:sz w:val="20"/>
          <w:szCs w:val="20"/>
          <w:lang w:eastAsia="cs-CZ"/>
        </w:rPr>
        <w:t xml:space="preserve"> a</w:t>
      </w:r>
      <w:r w:rsidR="00F833ED">
        <w:rPr>
          <w:sz w:val="20"/>
          <w:szCs w:val="20"/>
          <w:lang w:eastAsia="cs-CZ"/>
        </w:rPr>
        <w:t> </w:t>
      </w:r>
      <w:r w:rsidR="004D0793">
        <w:rPr>
          <w:sz w:val="20"/>
          <w:szCs w:val="20"/>
          <w:lang w:eastAsia="cs-CZ"/>
        </w:rPr>
        <w:t>s</w:t>
      </w:r>
      <w:r w:rsidR="00712965">
        <w:rPr>
          <w:sz w:val="20"/>
          <w:szCs w:val="20"/>
          <w:lang w:eastAsia="cs-CZ"/>
        </w:rPr>
        <w:t>tátním zastupitelstvím</w:t>
      </w:r>
      <w:r w:rsidR="00D754B2">
        <w:rPr>
          <w:sz w:val="20"/>
          <w:szCs w:val="20"/>
          <w:lang w:eastAsia="cs-CZ"/>
        </w:rPr>
        <w:t>.</w:t>
      </w:r>
    </w:p>
    <w:p w14:paraId="3403DB85" w14:textId="4BD3CE1F" w:rsidR="0AB811EA" w:rsidRDefault="00B4070E" w:rsidP="00C7584A">
      <w:pPr>
        <w:pStyle w:val="Zkladntext1"/>
        <w:widowControl/>
        <w:shd w:val="clear" w:color="auto" w:fill="auto"/>
        <w:spacing w:before="120" w:after="120" w:line="259" w:lineRule="auto"/>
        <w:rPr>
          <w:rFonts w:asciiTheme="minorHAnsi" w:hAnsiTheme="minorHAnsi" w:cstheme="minorBidi"/>
          <w:color w:val="000000" w:themeColor="text1"/>
          <w:lang w:eastAsia="cs-CZ" w:bidi="cs-CZ"/>
        </w:rPr>
      </w:pPr>
      <w:r>
        <w:rPr>
          <w:rFonts w:asciiTheme="minorHAnsi" w:hAnsiTheme="minorHAnsi" w:cstheme="minorBidi"/>
          <w:color w:val="000000" w:themeColor="text1"/>
          <w:lang w:eastAsia="cs-CZ" w:bidi="cs-CZ"/>
        </w:rPr>
        <w:t>Soudy</w:t>
      </w:r>
      <w:r w:rsidR="4250A602" w:rsidRPr="632E6EB4">
        <w:rPr>
          <w:rFonts w:asciiTheme="minorHAnsi" w:hAnsiTheme="minorHAnsi" w:cstheme="minorBidi"/>
          <w:color w:val="000000" w:themeColor="text1"/>
          <w:lang w:eastAsia="cs-CZ" w:bidi="cs-CZ"/>
        </w:rPr>
        <w:t xml:space="preserve"> zasílaly </w:t>
      </w:r>
      <w:r w:rsidR="00620718">
        <w:rPr>
          <w:rFonts w:asciiTheme="minorHAnsi" w:hAnsiTheme="minorHAnsi" w:cstheme="minorBidi"/>
          <w:color w:val="000000" w:themeColor="text1"/>
          <w:lang w:eastAsia="cs-CZ" w:bidi="cs-CZ"/>
        </w:rPr>
        <w:t>podklady k</w:t>
      </w:r>
      <w:r w:rsidR="00F833ED">
        <w:rPr>
          <w:rFonts w:asciiTheme="minorHAnsi" w:hAnsiTheme="minorHAnsi" w:cstheme="minorBidi"/>
          <w:color w:val="000000" w:themeColor="text1"/>
          <w:lang w:eastAsia="cs-CZ" w:bidi="cs-CZ"/>
        </w:rPr>
        <w:t> </w:t>
      </w:r>
      <w:r w:rsidR="004E5294">
        <w:rPr>
          <w:rFonts w:asciiTheme="minorHAnsi" w:hAnsiTheme="minorHAnsi" w:cstheme="minorBidi"/>
          <w:color w:val="000000" w:themeColor="text1"/>
          <w:lang w:eastAsia="cs-CZ" w:bidi="cs-CZ"/>
        </w:rPr>
        <w:t>vymáhání</w:t>
      </w:r>
      <w:r w:rsidR="00F833ED">
        <w:rPr>
          <w:rFonts w:asciiTheme="minorHAnsi" w:hAnsiTheme="minorHAnsi" w:cstheme="minorBidi"/>
          <w:color w:val="000000" w:themeColor="text1"/>
          <w:lang w:eastAsia="cs-CZ" w:bidi="cs-CZ"/>
        </w:rPr>
        <w:t xml:space="preserve"> </w:t>
      </w:r>
      <w:r w:rsidR="00620718">
        <w:rPr>
          <w:rFonts w:asciiTheme="minorHAnsi" w:hAnsiTheme="minorHAnsi" w:cstheme="minorBidi"/>
          <w:color w:val="000000" w:themeColor="text1"/>
          <w:lang w:eastAsia="cs-CZ" w:bidi="cs-CZ"/>
        </w:rPr>
        <w:t>justiční</w:t>
      </w:r>
      <w:r w:rsidR="004E5294">
        <w:rPr>
          <w:rFonts w:asciiTheme="minorHAnsi" w:hAnsiTheme="minorHAnsi" w:cstheme="minorBidi"/>
          <w:color w:val="000000" w:themeColor="text1"/>
          <w:lang w:eastAsia="cs-CZ" w:bidi="cs-CZ"/>
        </w:rPr>
        <w:t xml:space="preserve">ch </w:t>
      </w:r>
      <w:r w:rsidR="4250A602" w:rsidRPr="632E6EB4">
        <w:rPr>
          <w:rFonts w:asciiTheme="minorHAnsi" w:hAnsiTheme="minorHAnsi" w:cstheme="minorBidi"/>
          <w:color w:val="000000" w:themeColor="text1"/>
          <w:lang w:eastAsia="cs-CZ" w:bidi="cs-CZ"/>
        </w:rPr>
        <w:t>pohledáv</w:t>
      </w:r>
      <w:r w:rsidR="004E5294">
        <w:rPr>
          <w:rFonts w:asciiTheme="minorHAnsi" w:hAnsiTheme="minorHAnsi" w:cstheme="minorBidi"/>
          <w:color w:val="000000" w:themeColor="text1"/>
          <w:lang w:eastAsia="cs-CZ" w:bidi="cs-CZ"/>
        </w:rPr>
        <w:t>ek</w:t>
      </w:r>
      <w:r w:rsidR="4250A602" w:rsidRPr="632E6EB4">
        <w:rPr>
          <w:rFonts w:asciiTheme="minorHAnsi" w:hAnsiTheme="minorHAnsi" w:cstheme="minorBidi"/>
          <w:color w:val="000000" w:themeColor="text1"/>
          <w:lang w:eastAsia="cs-CZ" w:bidi="cs-CZ"/>
        </w:rPr>
        <w:t xml:space="preserve"> </w:t>
      </w:r>
      <w:r w:rsidR="2270C12F" w:rsidRPr="632E6EB4">
        <w:rPr>
          <w:rFonts w:asciiTheme="minorHAnsi" w:hAnsiTheme="minorHAnsi" w:cstheme="minorBidi"/>
          <w:color w:val="000000" w:themeColor="text1"/>
          <w:lang w:eastAsia="cs-CZ" w:bidi="cs-CZ"/>
        </w:rPr>
        <w:t>automatizovaně v</w:t>
      </w:r>
      <w:r w:rsidR="002D0ADD">
        <w:rPr>
          <w:rFonts w:asciiTheme="minorHAnsi" w:hAnsiTheme="minorHAnsi" w:cstheme="minorBidi"/>
          <w:color w:val="000000" w:themeColor="text1"/>
          <w:lang w:eastAsia="cs-CZ" w:bidi="cs-CZ"/>
        </w:rPr>
        <w:t> </w:t>
      </w:r>
      <w:r w:rsidR="2270C12F" w:rsidRPr="632E6EB4">
        <w:rPr>
          <w:rFonts w:asciiTheme="minorHAnsi" w:hAnsiTheme="minorHAnsi" w:cstheme="minorBidi"/>
          <w:color w:val="000000" w:themeColor="text1"/>
          <w:lang w:eastAsia="cs-CZ" w:bidi="cs-CZ"/>
        </w:rPr>
        <w:t xml:space="preserve">elektronické podobě ve stanoveném formátu a struktuře </w:t>
      </w:r>
      <w:r w:rsidR="4250A602" w:rsidRPr="632E6EB4">
        <w:rPr>
          <w:rFonts w:asciiTheme="minorHAnsi" w:hAnsiTheme="minorHAnsi" w:cstheme="minorBidi"/>
          <w:color w:val="000000" w:themeColor="text1"/>
          <w:lang w:eastAsia="cs-CZ" w:bidi="cs-CZ"/>
        </w:rPr>
        <w:t xml:space="preserve">prostřednictvím datové </w:t>
      </w:r>
      <w:r w:rsidR="1851A4F5" w:rsidRPr="632E6EB4">
        <w:rPr>
          <w:rFonts w:asciiTheme="minorHAnsi" w:hAnsiTheme="minorHAnsi" w:cstheme="minorBidi"/>
          <w:color w:val="000000" w:themeColor="text1"/>
          <w:lang w:eastAsia="cs-CZ" w:bidi="cs-CZ"/>
        </w:rPr>
        <w:t>schránky</w:t>
      </w:r>
      <w:r w:rsidR="4250A602" w:rsidRPr="632E6EB4">
        <w:rPr>
          <w:rFonts w:asciiTheme="minorHAnsi" w:hAnsiTheme="minorHAnsi" w:cstheme="minorBidi"/>
          <w:color w:val="000000" w:themeColor="text1"/>
          <w:lang w:eastAsia="cs-CZ" w:bidi="cs-CZ"/>
        </w:rPr>
        <w:t xml:space="preserve"> místně příslušnému </w:t>
      </w:r>
      <w:r w:rsidR="1168CF6F" w:rsidRPr="632E6EB4">
        <w:rPr>
          <w:rFonts w:asciiTheme="minorHAnsi" w:hAnsiTheme="minorHAnsi" w:cstheme="minorBidi"/>
          <w:color w:val="000000" w:themeColor="text1"/>
          <w:lang w:eastAsia="cs-CZ" w:bidi="cs-CZ"/>
        </w:rPr>
        <w:t xml:space="preserve">CÚ. Místně příslušným </w:t>
      </w:r>
      <w:r w:rsidR="2AD09BFA" w:rsidRPr="632E6EB4">
        <w:rPr>
          <w:rFonts w:asciiTheme="minorHAnsi" w:hAnsiTheme="minorHAnsi" w:cstheme="minorBidi"/>
          <w:color w:val="000000" w:themeColor="text1"/>
          <w:lang w:eastAsia="cs-CZ" w:bidi="cs-CZ"/>
        </w:rPr>
        <w:t xml:space="preserve">byl CÚ, v jehož územní působnosti se </w:t>
      </w:r>
      <w:r w:rsidR="3EED9910" w:rsidRPr="632E6EB4">
        <w:rPr>
          <w:rFonts w:asciiTheme="minorHAnsi" w:hAnsiTheme="minorHAnsi" w:cstheme="minorBidi"/>
          <w:color w:val="000000" w:themeColor="text1"/>
          <w:lang w:eastAsia="cs-CZ" w:bidi="cs-CZ"/>
        </w:rPr>
        <w:t>nacház</w:t>
      </w:r>
      <w:r w:rsidR="68C76B4B" w:rsidRPr="632E6EB4">
        <w:rPr>
          <w:rFonts w:asciiTheme="minorHAnsi" w:hAnsiTheme="minorHAnsi" w:cstheme="minorBidi"/>
          <w:color w:val="000000" w:themeColor="text1"/>
          <w:lang w:eastAsia="cs-CZ" w:bidi="cs-CZ"/>
        </w:rPr>
        <w:t>elo</w:t>
      </w:r>
      <w:r w:rsidR="2AD09BFA" w:rsidRPr="632E6EB4">
        <w:rPr>
          <w:rFonts w:asciiTheme="minorHAnsi" w:hAnsiTheme="minorHAnsi" w:cstheme="minorBidi"/>
          <w:color w:val="000000" w:themeColor="text1"/>
          <w:lang w:eastAsia="cs-CZ" w:bidi="cs-CZ"/>
        </w:rPr>
        <w:t xml:space="preserve"> sí</w:t>
      </w:r>
      <w:r w:rsidR="00620718">
        <w:rPr>
          <w:rFonts w:asciiTheme="minorHAnsi" w:hAnsiTheme="minorHAnsi" w:cstheme="minorBidi"/>
          <w:color w:val="000000" w:themeColor="text1"/>
          <w:lang w:eastAsia="cs-CZ" w:bidi="cs-CZ"/>
        </w:rPr>
        <w:t>d</w:t>
      </w:r>
      <w:r w:rsidR="2AD09BFA" w:rsidRPr="632E6EB4">
        <w:rPr>
          <w:rFonts w:asciiTheme="minorHAnsi" w:hAnsiTheme="minorHAnsi" w:cstheme="minorBidi"/>
          <w:color w:val="000000" w:themeColor="text1"/>
          <w:lang w:eastAsia="cs-CZ" w:bidi="cs-CZ"/>
        </w:rPr>
        <w:t xml:space="preserve">lo orgánu, který platební </w:t>
      </w:r>
      <w:r w:rsidR="6F4DAD8D" w:rsidRPr="632E6EB4">
        <w:rPr>
          <w:rFonts w:asciiTheme="minorHAnsi" w:hAnsiTheme="minorHAnsi" w:cstheme="minorBidi"/>
          <w:color w:val="000000" w:themeColor="text1"/>
          <w:lang w:eastAsia="cs-CZ" w:bidi="cs-CZ"/>
        </w:rPr>
        <w:t>povinnost</w:t>
      </w:r>
      <w:r w:rsidR="2AD09BFA" w:rsidRPr="632E6EB4">
        <w:rPr>
          <w:rFonts w:asciiTheme="minorHAnsi" w:hAnsiTheme="minorHAnsi" w:cstheme="minorBidi"/>
          <w:color w:val="000000" w:themeColor="text1"/>
          <w:lang w:eastAsia="cs-CZ" w:bidi="cs-CZ"/>
        </w:rPr>
        <w:t xml:space="preserve"> uložil, kromě peněžitých tr</w:t>
      </w:r>
      <w:r w:rsidR="0C4E39FC" w:rsidRPr="632E6EB4">
        <w:rPr>
          <w:rFonts w:asciiTheme="minorHAnsi" w:hAnsiTheme="minorHAnsi" w:cstheme="minorBidi"/>
          <w:color w:val="000000" w:themeColor="text1"/>
          <w:lang w:eastAsia="cs-CZ" w:bidi="cs-CZ"/>
        </w:rPr>
        <w:t>estů, je</w:t>
      </w:r>
      <w:r w:rsidR="2BF3C0B6" w:rsidRPr="632E6EB4">
        <w:rPr>
          <w:rFonts w:asciiTheme="minorHAnsi" w:hAnsiTheme="minorHAnsi" w:cstheme="minorBidi"/>
          <w:color w:val="000000" w:themeColor="text1"/>
          <w:lang w:eastAsia="cs-CZ" w:bidi="cs-CZ"/>
        </w:rPr>
        <w:t>jichž</w:t>
      </w:r>
      <w:r w:rsidR="0C4E39FC" w:rsidRPr="632E6EB4">
        <w:rPr>
          <w:rFonts w:asciiTheme="minorHAnsi" w:hAnsiTheme="minorHAnsi" w:cstheme="minorBidi"/>
          <w:color w:val="000000" w:themeColor="text1"/>
          <w:lang w:eastAsia="cs-CZ" w:bidi="cs-CZ"/>
        </w:rPr>
        <w:t xml:space="preserve"> </w:t>
      </w:r>
      <w:r w:rsidR="00243271">
        <w:rPr>
          <w:rFonts w:asciiTheme="minorHAnsi" w:hAnsiTheme="minorHAnsi" w:cstheme="minorBidi"/>
          <w:color w:val="000000" w:themeColor="text1"/>
          <w:lang w:eastAsia="cs-CZ" w:bidi="cs-CZ"/>
        </w:rPr>
        <w:t>vymáhání</w:t>
      </w:r>
      <w:r w:rsidR="00243271" w:rsidRPr="632E6EB4">
        <w:rPr>
          <w:rFonts w:asciiTheme="minorHAnsi" w:hAnsiTheme="minorHAnsi" w:cstheme="minorBidi"/>
          <w:color w:val="000000" w:themeColor="text1"/>
          <w:lang w:eastAsia="cs-CZ" w:bidi="cs-CZ"/>
        </w:rPr>
        <w:t xml:space="preserve"> </w:t>
      </w:r>
      <w:r w:rsidR="0C4E39FC" w:rsidRPr="632E6EB4">
        <w:rPr>
          <w:rFonts w:asciiTheme="minorHAnsi" w:hAnsiTheme="minorHAnsi" w:cstheme="minorBidi"/>
          <w:color w:val="000000" w:themeColor="text1"/>
          <w:lang w:eastAsia="cs-CZ" w:bidi="cs-CZ"/>
        </w:rPr>
        <w:t xml:space="preserve">vykonával </w:t>
      </w:r>
      <w:r w:rsidR="00620718">
        <w:rPr>
          <w:rFonts w:asciiTheme="minorHAnsi" w:hAnsiTheme="minorHAnsi" w:cstheme="minorBidi"/>
          <w:color w:val="000000" w:themeColor="text1"/>
          <w:lang w:eastAsia="cs-CZ" w:bidi="cs-CZ"/>
        </w:rPr>
        <w:t xml:space="preserve">výlučně </w:t>
      </w:r>
      <w:r w:rsidR="0C4E39FC" w:rsidRPr="632E6EB4">
        <w:rPr>
          <w:rFonts w:asciiTheme="minorHAnsi" w:hAnsiTheme="minorHAnsi" w:cstheme="minorBidi"/>
          <w:color w:val="000000" w:themeColor="text1"/>
          <w:lang w:eastAsia="cs-CZ" w:bidi="cs-CZ"/>
        </w:rPr>
        <w:t>CÚ pro JMK.</w:t>
      </w:r>
      <w:r w:rsidR="556F3A19" w:rsidRPr="632E6EB4">
        <w:rPr>
          <w:rFonts w:asciiTheme="minorHAnsi" w:hAnsiTheme="minorHAnsi" w:cstheme="minorBidi"/>
          <w:color w:val="000000" w:themeColor="text1"/>
          <w:lang w:eastAsia="cs-CZ" w:bidi="cs-CZ"/>
        </w:rPr>
        <w:t xml:space="preserve"> </w:t>
      </w:r>
      <w:r w:rsidR="53947315" w:rsidRPr="632E6EB4">
        <w:rPr>
          <w:rFonts w:asciiTheme="minorHAnsi" w:hAnsiTheme="minorHAnsi" w:cstheme="minorBidi"/>
          <w:color w:val="000000" w:themeColor="text1"/>
          <w:lang w:eastAsia="cs-CZ" w:bidi="cs-CZ"/>
        </w:rPr>
        <w:t xml:space="preserve">Datová zpráva obsahovala </w:t>
      </w:r>
      <w:r w:rsidR="25F8B79F" w:rsidRPr="632E6EB4">
        <w:rPr>
          <w:rFonts w:asciiTheme="minorHAnsi" w:hAnsiTheme="minorHAnsi" w:cstheme="minorBidi"/>
          <w:color w:val="000000" w:themeColor="text1"/>
          <w:lang w:eastAsia="cs-CZ" w:bidi="cs-CZ"/>
        </w:rPr>
        <w:t>kromě pravomocného exekučního titulu ve formátu PDF n</w:t>
      </w:r>
      <w:r w:rsidR="4D204E0A" w:rsidRPr="632E6EB4">
        <w:rPr>
          <w:rFonts w:asciiTheme="minorHAnsi" w:hAnsiTheme="minorHAnsi" w:cstheme="minorBidi"/>
          <w:color w:val="000000" w:themeColor="text1"/>
          <w:lang w:eastAsia="cs-CZ" w:bidi="cs-CZ"/>
        </w:rPr>
        <w:t>e</w:t>
      </w:r>
      <w:r w:rsidR="25F8B79F" w:rsidRPr="632E6EB4">
        <w:rPr>
          <w:rFonts w:asciiTheme="minorHAnsi" w:hAnsiTheme="minorHAnsi" w:cstheme="minorBidi"/>
          <w:color w:val="000000" w:themeColor="text1"/>
          <w:lang w:eastAsia="cs-CZ" w:bidi="cs-CZ"/>
        </w:rPr>
        <w:t xml:space="preserve">bo PDF/A i strojově čitelný soubor, který obsahoval souhrnné </w:t>
      </w:r>
      <w:r w:rsidR="3F52E368" w:rsidRPr="632E6EB4">
        <w:rPr>
          <w:rFonts w:asciiTheme="minorHAnsi" w:hAnsiTheme="minorHAnsi" w:cstheme="minorBidi"/>
          <w:color w:val="000000" w:themeColor="text1"/>
          <w:lang w:eastAsia="cs-CZ" w:bidi="cs-CZ"/>
        </w:rPr>
        <w:t>informace</w:t>
      </w:r>
      <w:r w:rsidR="25F8B79F" w:rsidRPr="632E6EB4">
        <w:rPr>
          <w:rFonts w:asciiTheme="minorHAnsi" w:hAnsiTheme="minorHAnsi" w:cstheme="minorBidi"/>
          <w:color w:val="000000" w:themeColor="text1"/>
          <w:lang w:eastAsia="cs-CZ" w:bidi="cs-CZ"/>
        </w:rPr>
        <w:t xml:space="preserve"> o</w:t>
      </w:r>
      <w:r w:rsidR="002D0ADD">
        <w:rPr>
          <w:rFonts w:asciiTheme="minorHAnsi" w:hAnsiTheme="minorHAnsi" w:cstheme="minorBidi"/>
          <w:color w:val="000000" w:themeColor="text1"/>
          <w:lang w:eastAsia="cs-CZ" w:bidi="cs-CZ"/>
        </w:rPr>
        <w:t> </w:t>
      </w:r>
      <w:r w:rsidR="25F8B79F" w:rsidRPr="632E6EB4">
        <w:rPr>
          <w:rFonts w:asciiTheme="minorHAnsi" w:hAnsiTheme="minorHAnsi" w:cstheme="minorBidi"/>
          <w:color w:val="000000" w:themeColor="text1"/>
          <w:lang w:eastAsia="cs-CZ" w:bidi="cs-CZ"/>
        </w:rPr>
        <w:t>pohledávce</w:t>
      </w:r>
      <w:r w:rsidR="7455876B" w:rsidRPr="632E6EB4">
        <w:rPr>
          <w:rFonts w:asciiTheme="minorHAnsi" w:hAnsiTheme="minorHAnsi" w:cstheme="minorBidi"/>
          <w:color w:val="000000" w:themeColor="text1"/>
          <w:lang w:eastAsia="cs-CZ" w:bidi="cs-CZ"/>
        </w:rPr>
        <w:t>.</w:t>
      </w:r>
    </w:p>
    <w:p w14:paraId="02D521AC" w14:textId="6E0E763E" w:rsidR="00B53558" w:rsidRPr="00ED66B5" w:rsidRDefault="0093232C" w:rsidP="00BE71FC">
      <w:pPr>
        <w:pStyle w:val="Nadpis1"/>
        <w:keepLines/>
        <w:numPr>
          <w:ilvl w:val="0"/>
          <w:numId w:val="0"/>
        </w:numPr>
        <w:overflowPunct/>
        <w:autoSpaceDE/>
        <w:autoSpaceDN/>
        <w:adjustRightInd/>
        <w:spacing w:before="720" w:after="240"/>
        <w:textAlignment w:val="auto"/>
        <w:rPr>
          <w:sz w:val="28"/>
          <w:szCs w:val="28"/>
        </w:rPr>
      </w:pPr>
      <w:r w:rsidRPr="00ED66B5">
        <w:rPr>
          <w:sz w:val="28"/>
          <w:szCs w:val="28"/>
        </w:rPr>
        <w:lastRenderedPageBreak/>
        <w:t>III. Rozsah kontroly</w:t>
      </w:r>
    </w:p>
    <w:p w14:paraId="2DD2601A" w14:textId="3DAEB5C2" w:rsidR="00727520" w:rsidRPr="00F328AA" w:rsidRDefault="008937AE" w:rsidP="00C7584A">
      <w:pPr>
        <w:spacing w:before="120" w:after="120" w:line="240" w:lineRule="auto"/>
        <w:rPr>
          <w:szCs w:val="24"/>
        </w:rPr>
      </w:pPr>
      <w:r w:rsidRPr="00F328AA">
        <w:rPr>
          <w:szCs w:val="24"/>
          <w:lang w:eastAsia="cs-CZ"/>
        </w:rPr>
        <w:t xml:space="preserve">Cílem kontrolní akce bylo prověřit, zda </w:t>
      </w:r>
      <w:r w:rsidR="00727520" w:rsidRPr="00F328AA">
        <w:rPr>
          <w:szCs w:val="24"/>
        </w:rPr>
        <w:t>jsou správa soudních poplatků a vymáhání justičních pohledávek prováděny v souladu s právními předpisy a zda jsou vybrané justiční pohledávky vymáhány efektivně.</w:t>
      </w:r>
    </w:p>
    <w:p w14:paraId="505A586D" w14:textId="7ACAF18B" w:rsidR="008937AE" w:rsidRPr="00F328AA" w:rsidRDefault="008937AE" w:rsidP="00BB2566">
      <w:pPr>
        <w:spacing w:after="0" w:line="240" w:lineRule="auto"/>
        <w:rPr>
          <w:szCs w:val="24"/>
          <w:lang w:eastAsia="cs-CZ"/>
        </w:rPr>
      </w:pPr>
      <w:r w:rsidRPr="00F328AA">
        <w:rPr>
          <w:szCs w:val="24"/>
          <w:lang w:eastAsia="cs-CZ"/>
        </w:rPr>
        <w:t>Za účelem naplnění cíle a předmětu kontroly NKÚ ověřoval:</w:t>
      </w:r>
    </w:p>
    <w:p w14:paraId="064AF781" w14:textId="0D67D164" w:rsidR="008937AE" w:rsidRPr="00F328AA" w:rsidRDefault="00A43F12" w:rsidP="00BB2566">
      <w:pPr>
        <w:pStyle w:val="Odstavecseseznamem"/>
        <w:numPr>
          <w:ilvl w:val="0"/>
          <w:numId w:val="9"/>
        </w:numPr>
        <w:spacing w:after="0" w:line="240" w:lineRule="auto"/>
        <w:ind w:left="425" w:hanging="357"/>
        <w:contextualSpacing w:val="0"/>
        <w:rPr>
          <w:szCs w:val="24"/>
          <w:lang w:eastAsia="cs-CZ"/>
        </w:rPr>
      </w:pPr>
      <w:r>
        <w:rPr>
          <w:szCs w:val="24"/>
          <w:lang w:eastAsia="cs-CZ"/>
        </w:rPr>
        <w:t>řízení soudů v oblasti správy soudních poplatků, vymáhání justičních pohledávek a</w:t>
      </w:r>
      <w:r w:rsidR="002D0ADD">
        <w:rPr>
          <w:szCs w:val="24"/>
          <w:lang w:eastAsia="cs-CZ"/>
        </w:rPr>
        <w:t> </w:t>
      </w:r>
      <w:r>
        <w:rPr>
          <w:szCs w:val="24"/>
          <w:lang w:eastAsia="cs-CZ"/>
        </w:rPr>
        <w:t xml:space="preserve">předávání justičních pohledávek k vymáhání na </w:t>
      </w:r>
      <w:r w:rsidR="00332B22">
        <w:rPr>
          <w:szCs w:val="24"/>
          <w:lang w:eastAsia="cs-CZ"/>
        </w:rPr>
        <w:t>CÚ</w:t>
      </w:r>
      <w:r>
        <w:rPr>
          <w:szCs w:val="24"/>
          <w:lang w:eastAsia="cs-CZ"/>
        </w:rPr>
        <w:t>;</w:t>
      </w:r>
    </w:p>
    <w:p w14:paraId="21AFF517" w14:textId="4EDA2DE2" w:rsidR="00753065" w:rsidRDefault="00205F41" w:rsidP="00BB2566">
      <w:pPr>
        <w:pStyle w:val="Odstavecseseznamem"/>
        <w:numPr>
          <w:ilvl w:val="0"/>
          <w:numId w:val="9"/>
        </w:numPr>
        <w:spacing w:after="0" w:line="240" w:lineRule="auto"/>
        <w:ind w:left="425" w:hanging="357"/>
        <w:contextualSpacing w:val="0"/>
        <w:rPr>
          <w:szCs w:val="24"/>
          <w:lang w:eastAsia="cs-CZ"/>
        </w:rPr>
      </w:pPr>
      <w:r w:rsidRPr="00F328AA">
        <w:rPr>
          <w:szCs w:val="24"/>
          <w:lang w:eastAsia="cs-CZ"/>
        </w:rPr>
        <w:t>postupy při vymáhání justičních pohledávek</w:t>
      </w:r>
      <w:r w:rsidR="008B728E">
        <w:rPr>
          <w:szCs w:val="24"/>
          <w:lang w:eastAsia="cs-CZ"/>
        </w:rPr>
        <w:t>;</w:t>
      </w:r>
    </w:p>
    <w:p w14:paraId="7FE9369D" w14:textId="674B6A6F" w:rsidR="008B728E" w:rsidRDefault="008B728E" w:rsidP="00BB2566">
      <w:pPr>
        <w:pStyle w:val="Odstavecseseznamem"/>
        <w:numPr>
          <w:ilvl w:val="0"/>
          <w:numId w:val="9"/>
        </w:numPr>
        <w:spacing w:after="0" w:line="240" w:lineRule="auto"/>
        <w:ind w:left="425" w:hanging="357"/>
        <w:contextualSpacing w:val="0"/>
        <w:rPr>
          <w:szCs w:val="24"/>
          <w:lang w:eastAsia="cs-CZ"/>
        </w:rPr>
      </w:pPr>
      <w:r>
        <w:rPr>
          <w:szCs w:val="24"/>
          <w:lang w:eastAsia="cs-CZ"/>
        </w:rPr>
        <w:t>kontrolní činnost prováděnou u soudů</w:t>
      </w:r>
      <w:r w:rsidR="00A95239">
        <w:rPr>
          <w:szCs w:val="24"/>
          <w:lang w:eastAsia="cs-CZ"/>
        </w:rPr>
        <w:t>;</w:t>
      </w:r>
    </w:p>
    <w:p w14:paraId="6DFCF761" w14:textId="09A50DF2" w:rsidR="00A95239" w:rsidRPr="00F328AA" w:rsidRDefault="3E0F85B7" w:rsidP="00BB2566">
      <w:pPr>
        <w:pStyle w:val="Odstavecseseznamem"/>
        <w:numPr>
          <w:ilvl w:val="0"/>
          <w:numId w:val="9"/>
        </w:numPr>
        <w:spacing w:after="120" w:line="240" w:lineRule="auto"/>
        <w:ind w:left="426"/>
        <w:contextualSpacing w:val="0"/>
        <w:rPr>
          <w:szCs w:val="24"/>
          <w:lang w:eastAsia="cs-CZ"/>
        </w:rPr>
      </w:pPr>
      <w:r w:rsidRPr="632E6EB4">
        <w:rPr>
          <w:lang w:eastAsia="cs-CZ"/>
        </w:rPr>
        <w:t>efektivnost vymáhání justičních pohledávek.</w:t>
      </w:r>
    </w:p>
    <w:p w14:paraId="206AF322" w14:textId="2EA632E1" w:rsidR="00656093" w:rsidRDefault="6603F631" w:rsidP="00C7584A">
      <w:pPr>
        <w:spacing w:after="0" w:line="240" w:lineRule="auto"/>
        <w:rPr>
          <w:lang w:eastAsia="cs-CZ"/>
        </w:rPr>
      </w:pPr>
      <w:r w:rsidRPr="632E6EB4">
        <w:rPr>
          <w:lang w:eastAsia="cs-CZ"/>
        </w:rPr>
        <w:t xml:space="preserve">Efektivnost vymáhání justičních pohledávek byla </w:t>
      </w:r>
      <w:r w:rsidR="00F92DD3">
        <w:rPr>
          <w:lang w:eastAsia="cs-CZ"/>
        </w:rPr>
        <w:t>posouzena</w:t>
      </w:r>
      <w:r w:rsidR="00F92DD3" w:rsidRPr="632E6EB4">
        <w:rPr>
          <w:lang w:eastAsia="cs-CZ"/>
        </w:rPr>
        <w:t xml:space="preserve"> </w:t>
      </w:r>
      <w:r w:rsidRPr="632E6EB4">
        <w:rPr>
          <w:lang w:eastAsia="cs-CZ"/>
        </w:rPr>
        <w:t>na základě</w:t>
      </w:r>
      <w:r w:rsidR="00656093">
        <w:rPr>
          <w:lang w:eastAsia="cs-CZ"/>
        </w:rPr>
        <w:t>:</w:t>
      </w:r>
    </w:p>
    <w:p w14:paraId="115771DD" w14:textId="08341F4A" w:rsidR="00656093" w:rsidRDefault="6603F631" w:rsidP="00C7584A">
      <w:pPr>
        <w:pStyle w:val="Odstavecseseznamem"/>
        <w:numPr>
          <w:ilvl w:val="0"/>
          <w:numId w:val="28"/>
        </w:numPr>
        <w:spacing w:after="120" w:line="240" w:lineRule="auto"/>
        <w:ind w:left="426"/>
        <w:rPr>
          <w:lang w:eastAsia="cs-CZ"/>
        </w:rPr>
      </w:pPr>
      <w:r w:rsidRPr="632E6EB4">
        <w:rPr>
          <w:lang w:eastAsia="cs-CZ"/>
        </w:rPr>
        <w:t xml:space="preserve">porovnání </w:t>
      </w:r>
      <w:r w:rsidR="00C82B9C" w:rsidRPr="632E6EB4">
        <w:rPr>
          <w:lang w:eastAsia="cs-CZ"/>
        </w:rPr>
        <w:t>úspěšnosti</w:t>
      </w:r>
      <w:r w:rsidR="003F3B5A">
        <w:rPr>
          <w:lang w:eastAsia="cs-CZ"/>
        </w:rPr>
        <w:t xml:space="preserve"> </w:t>
      </w:r>
      <w:r w:rsidRPr="632E6EB4">
        <w:rPr>
          <w:lang w:eastAsia="cs-CZ"/>
        </w:rPr>
        <w:t xml:space="preserve">vymáhání justičních pohledávek soudy (vč. soudů využívajících k vymáhání služeb soudního exekutora) a </w:t>
      </w:r>
      <w:r w:rsidR="00CF0563">
        <w:rPr>
          <w:lang w:eastAsia="cs-CZ"/>
        </w:rPr>
        <w:t>CÚ</w:t>
      </w:r>
      <w:r w:rsidR="00656093">
        <w:rPr>
          <w:lang w:eastAsia="cs-CZ"/>
        </w:rPr>
        <w:t>;</w:t>
      </w:r>
    </w:p>
    <w:p w14:paraId="5FB8FC8C" w14:textId="03F2A5D9" w:rsidR="00393400" w:rsidRDefault="00656093" w:rsidP="00C7584A">
      <w:pPr>
        <w:pStyle w:val="Odstavecseseznamem"/>
        <w:numPr>
          <w:ilvl w:val="0"/>
          <w:numId w:val="28"/>
        </w:numPr>
        <w:spacing w:after="120" w:line="240" w:lineRule="auto"/>
        <w:ind w:left="426"/>
        <w:rPr>
          <w:lang w:eastAsia="cs-CZ"/>
        </w:rPr>
      </w:pPr>
      <w:r>
        <w:rPr>
          <w:lang w:eastAsia="cs-CZ"/>
        </w:rPr>
        <w:t>porovnání peněžních prostředků vynaložených na platy zaměstnanců provádějící</w:t>
      </w:r>
      <w:r w:rsidR="00643840">
        <w:rPr>
          <w:lang w:eastAsia="cs-CZ"/>
        </w:rPr>
        <w:t>ch</w:t>
      </w:r>
      <w:r>
        <w:rPr>
          <w:lang w:eastAsia="cs-CZ"/>
        </w:rPr>
        <w:t xml:space="preserve"> činnosti v souvislosti s vymáháním justičních pohledávek u soudů a CÚ.</w:t>
      </w:r>
    </w:p>
    <w:p w14:paraId="5D4E95B4" w14:textId="0ED139DF" w:rsidR="00753065" w:rsidRPr="00C82B9C" w:rsidRDefault="005E4995" w:rsidP="00C7584A">
      <w:pPr>
        <w:spacing w:before="120" w:after="120" w:line="240" w:lineRule="auto"/>
        <w:rPr>
          <w:szCs w:val="24"/>
          <w:lang w:eastAsia="cs-CZ"/>
        </w:rPr>
      </w:pPr>
      <w:r>
        <w:rPr>
          <w:lang w:eastAsia="cs-CZ"/>
        </w:rPr>
        <w:t xml:space="preserve">V rámci </w:t>
      </w:r>
      <w:r w:rsidR="00F92DD3">
        <w:rPr>
          <w:lang w:eastAsia="cs-CZ"/>
        </w:rPr>
        <w:t xml:space="preserve">posouzení </w:t>
      </w:r>
      <w:r>
        <w:rPr>
          <w:lang w:eastAsia="cs-CZ"/>
        </w:rPr>
        <w:t>efektivnosti byl zjišťován</w:t>
      </w:r>
      <w:r w:rsidR="00683972">
        <w:rPr>
          <w:lang w:eastAsia="cs-CZ"/>
        </w:rPr>
        <w:t xml:space="preserve"> vliv</w:t>
      </w:r>
      <w:r w:rsidR="00EB274A" w:rsidRPr="00EB274A">
        <w:rPr>
          <w:rFonts w:ascii="Calibri" w:eastAsia="Calibri" w:hAnsi="Calibri" w:cs="Calibri"/>
          <w:szCs w:val="24"/>
        </w:rPr>
        <w:t xml:space="preserve"> </w:t>
      </w:r>
      <w:r w:rsidR="00EB274A" w:rsidRPr="632E6EB4">
        <w:rPr>
          <w:rFonts w:ascii="Calibri" w:eastAsia="Calibri" w:hAnsi="Calibri" w:cs="Calibri"/>
          <w:szCs w:val="24"/>
        </w:rPr>
        <w:t>elektronizace na administrativní a personální náročnost</w:t>
      </w:r>
      <w:r w:rsidR="008B69D6">
        <w:rPr>
          <w:rFonts w:ascii="Calibri" w:eastAsia="Calibri" w:hAnsi="Calibri" w:cs="Calibri"/>
          <w:szCs w:val="24"/>
        </w:rPr>
        <w:t xml:space="preserve"> u </w:t>
      </w:r>
      <w:r w:rsidR="006E07CA" w:rsidRPr="632E6EB4">
        <w:rPr>
          <w:rFonts w:ascii="Calibri" w:eastAsia="Calibri" w:hAnsi="Calibri" w:cs="Calibri"/>
          <w:szCs w:val="24"/>
        </w:rPr>
        <w:t xml:space="preserve">předávání </w:t>
      </w:r>
      <w:r w:rsidR="006E07CA">
        <w:rPr>
          <w:rFonts w:ascii="Calibri" w:eastAsia="Calibri" w:hAnsi="Calibri" w:cs="Calibri"/>
          <w:szCs w:val="24"/>
        </w:rPr>
        <w:t xml:space="preserve">a </w:t>
      </w:r>
      <w:r w:rsidR="00EB274A" w:rsidRPr="632E6EB4">
        <w:rPr>
          <w:rFonts w:ascii="Calibri" w:eastAsia="Calibri" w:hAnsi="Calibri" w:cs="Calibri"/>
          <w:szCs w:val="24"/>
        </w:rPr>
        <w:t>vymáhání justičních pohledávek</w:t>
      </w:r>
      <w:r w:rsidR="006E07CA">
        <w:rPr>
          <w:rFonts w:ascii="Calibri" w:eastAsia="Calibri" w:hAnsi="Calibri" w:cs="Calibri"/>
          <w:szCs w:val="24"/>
        </w:rPr>
        <w:t>.</w:t>
      </w:r>
    </w:p>
    <w:p w14:paraId="728F1AEC" w14:textId="23E696D3" w:rsidR="40240B07" w:rsidRDefault="40240B07" w:rsidP="00C7584A">
      <w:pPr>
        <w:spacing w:after="120" w:line="240" w:lineRule="auto"/>
        <w:rPr>
          <w:lang w:eastAsia="cs-CZ"/>
        </w:rPr>
      </w:pPr>
      <w:r w:rsidRPr="632E6EB4">
        <w:rPr>
          <w:lang w:eastAsia="cs-CZ"/>
        </w:rPr>
        <w:t xml:space="preserve">Postup soudů a celních úřadů </w:t>
      </w:r>
      <w:r w:rsidR="3A3EFB0A" w:rsidRPr="632E6EB4">
        <w:rPr>
          <w:lang w:eastAsia="cs-CZ"/>
        </w:rPr>
        <w:t xml:space="preserve">při správě a vymáhání justičních pohledávek </w:t>
      </w:r>
      <w:r w:rsidRPr="632E6EB4">
        <w:rPr>
          <w:lang w:eastAsia="cs-CZ"/>
        </w:rPr>
        <w:t>ověřoval NKÚ na kontrolních vzorcích</w:t>
      </w:r>
      <w:r w:rsidR="4A65E6F2" w:rsidRPr="632E6EB4">
        <w:rPr>
          <w:lang w:eastAsia="cs-CZ"/>
        </w:rPr>
        <w:t xml:space="preserve"> zahrnujících </w:t>
      </w:r>
      <w:r w:rsidR="282FA9F9" w:rsidRPr="632E6EB4">
        <w:rPr>
          <w:lang w:eastAsia="cs-CZ"/>
        </w:rPr>
        <w:t>cel</w:t>
      </w:r>
      <w:r w:rsidR="278AABA4" w:rsidRPr="632E6EB4">
        <w:rPr>
          <w:lang w:eastAsia="cs-CZ"/>
        </w:rPr>
        <w:t>ke</w:t>
      </w:r>
      <w:r w:rsidR="282FA9F9" w:rsidRPr="632E6EB4">
        <w:rPr>
          <w:lang w:eastAsia="cs-CZ"/>
        </w:rPr>
        <w:t>m 16</w:t>
      </w:r>
      <w:r w:rsidR="00494E72">
        <w:rPr>
          <w:lang w:eastAsia="cs-CZ"/>
        </w:rPr>
        <w:t>3</w:t>
      </w:r>
      <w:r w:rsidR="282FA9F9" w:rsidRPr="632E6EB4">
        <w:rPr>
          <w:lang w:eastAsia="cs-CZ"/>
        </w:rPr>
        <w:t xml:space="preserve"> </w:t>
      </w:r>
      <w:r w:rsidR="025123C4" w:rsidRPr="632E6EB4">
        <w:rPr>
          <w:lang w:eastAsia="cs-CZ"/>
        </w:rPr>
        <w:t xml:space="preserve">případů </w:t>
      </w:r>
      <w:r w:rsidR="282FA9F9" w:rsidRPr="632E6EB4">
        <w:rPr>
          <w:lang w:eastAsia="cs-CZ"/>
        </w:rPr>
        <w:t xml:space="preserve">justičních pohledávek, které </w:t>
      </w:r>
      <w:r w:rsidR="627F9F6F" w:rsidRPr="632E6EB4">
        <w:rPr>
          <w:lang w:eastAsia="cs-CZ"/>
        </w:rPr>
        <w:t xml:space="preserve">kontrolované </w:t>
      </w:r>
      <w:r w:rsidR="282FA9F9" w:rsidRPr="632E6EB4">
        <w:rPr>
          <w:lang w:eastAsia="cs-CZ"/>
        </w:rPr>
        <w:t>sou</w:t>
      </w:r>
      <w:r w:rsidR="4C8C09D1" w:rsidRPr="632E6EB4">
        <w:rPr>
          <w:lang w:eastAsia="cs-CZ"/>
        </w:rPr>
        <w:t>dy pře</w:t>
      </w:r>
      <w:r w:rsidR="0F799667" w:rsidRPr="632E6EB4">
        <w:rPr>
          <w:lang w:eastAsia="cs-CZ"/>
        </w:rPr>
        <w:t xml:space="preserve">daly k vymáhání na </w:t>
      </w:r>
      <w:r w:rsidR="30437F1A" w:rsidRPr="632E6EB4">
        <w:rPr>
          <w:lang w:eastAsia="cs-CZ"/>
        </w:rPr>
        <w:t xml:space="preserve">kontrolované </w:t>
      </w:r>
      <w:r w:rsidR="00CF0563">
        <w:rPr>
          <w:lang w:eastAsia="cs-CZ"/>
        </w:rPr>
        <w:t>CÚ</w:t>
      </w:r>
      <w:r w:rsidR="00101578">
        <w:rPr>
          <w:rStyle w:val="Znakapoznpodarou"/>
          <w:lang w:eastAsia="cs-CZ"/>
        </w:rPr>
        <w:footnoteReference w:id="19"/>
      </w:r>
      <w:r w:rsidR="716FAF2D" w:rsidRPr="632E6EB4">
        <w:rPr>
          <w:lang w:eastAsia="cs-CZ"/>
        </w:rPr>
        <w:t xml:space="preserve">, a 33 případů justičních pohledávek předaných </w:t>
      </w:r>
      <w:r w:rsidR="07DA7408" w:rsidRPr="632E6EB4">
        <w:rPr>
          <w:lang w:eastAsia="cs-CZ"/>
        </w:rPr>
        <w:t>KS O</w:t>
      </w:r>
      <w:r w:rsidR="009725A5">
        <w:rPr>
          <w:lang w:eastAsia="cs-CZ"/>
        </w:rPr>
        <w:t>s</w:t>
      </w:r>
      <w:r w:rsidR="07DA7408" w:rsidRPr="632E6EB4">
        <w:rPr>
          <w:lang w:eastAsia="cs-CZ"/>
        </w:rPr>
        <w:t>trava</w:t>
      </w:r>
      <w:r w:rsidR="425CB2B0" w:rsidRPr="632E6EB4">
        <w:rPr>
          <w:lang w:eastAsia="cs-CZ"/>
        </w:rPr>
        <w:t xml:space="preserve"> </w:t>
      </w:r>
      <w:r w:rsidR="716FAF2D" w:rsidRPr="632E6EB4">
        <w:rPr>
          <w:lang w:eastAsia="cs-CZ"/>
        </w:rPr>
        <w:t>k vymáhání soudnímu exekutorovi</w:t>
      </w:r>
      <w:r w:rsidR="494EBC33" w:rsidRPr="632E6EB4">
        <w:rPr>
          <w:lang w:eastAsia="cs-CZ"/>
        </w:rPr>
        <w:t>.</w:t>
      </w:r>
    </w:p>
    <w:p w14:paraId="2176BCB1" w14:textId="02046F51" w:rsidR="006E07CA" w:rsidRPr="00C82B9C" w:rsidRDefault="35689614" w:rsidP="00C7584A">
      <w:pPr>
        <w:spacing w:before="120" w:after="120" w:line="240" w:lineRule="auto"/>
        <w:rPr>
          <w:lang w:eastAsia="cs-CZ"/>
        </w:rPr>
      </w:pPr>
      <w:r w:rsidRPr="00595C1C">
        <w:rPr>
          <w:rFonts w:ascii="Calibri" w:eastAsia="Calibri" w:hAnsi="Calibri" w:cs="Calibri"/>
          <w:szCs w:val="24"/>
        </w:rPr>
        <w:t>S ohledem na skutečnost, že zaměstnanci C</w:t>
      </w:r>
      <w:r w:rsidR="00382699" w:rsidRPr="00595C1C">
        <w:rPr>
          <w:rFonts w:ascii="Calibri" w:eastAsia="Calibri" w:hAnsi="Calibri" w:cs="Calibri"/>
          <w:szCs w:val="24"/>
        </w:rPr>
        <w:t>Ú</w:t>
      </w:r>
      <w:r w:rsidRPr="00595C1C">
        <w:rPr>
          <w:rFonts w:ascii="Calibri" w:eastAsia="Calibri" w:hAnsi="Calibri" w:cs="Calibri"/>
          <w:szCs w:val="24"/>
        </w:rPr>
        <w:t xml:space="preserve"> provádě</w:t>
      </w:r>
      <w:r w:rsidR="00A47F7A">
        <w:rPr>
          <w:rFonts w:ascii="Calibri" w:eastAsia="Calibri" w:hAnsi="Calibri" w:cs="Calibri"/>
          <w:szCs w:val="24"/>
        </w:rPr>
        <w:t>li</w:t>
      </w:r>
      <w:r w:rsidR="0FD9B0F8" w:rsidRPr="00595C1C">
        <w:rPr>
          <w:rFonts w:ascii="Calibri" w:eastAsia="Calibri" w:hAnsi="Calibri" w:cs="Calibri"/>
          <w:szCs w:val="24"/>
        </w:rPr>
        <w:t xml:space="preserve"> agendy v rám</w:t>
      </w:r>
      <w:r w:rsidR="08CD2A81" w:rsidRPr="00595C1C">
        <w:rPr>
          <w:rFonts w:ascii="Calibri" w:eastAsia="Calibri" w:hAnsi="Calibri" w:cs="Calibri"/>
          <w:szCs w:val="24"/>
        </w:rPr>
        <w:t>c</w:t>
      </w:r>
      <w:r w:rsidR="0FD9B0F8" w:rsidRPr="00595C1C">
        <w:rPr>
          <w:rFonts w:ascii="Calibri" w:eastAsia="Calibri" w:hAnsi="Calibri" w:cs="Calibri"/>
          <w:szCs w:val="24"/>
        </w:rPr>
        <w:t>i vymáhání justičních pohledávek souhrnně v rá</w:t>
      </w:r>
      <w:r w:rsidR="2E5603AE" w:rsidRPr="00595C1C">
        <w:rPr>
          <w:rFonts w:ascii="Calibri" w:eastAsia="Calibri" w:hAnsi="Calibri" w:cs="Calibri"/>
          <w:szCs w:val="24"/>
        </w:rPr>
        <w:t>mc</w:t>
      </w:r>
      <w:r w:rsidR="0FD9B0F8" w:rsidRPr="00595C1C">
        <w:rPr>
          <w:rFonts w:ascii="Calibri" w:eastAsia="Calibri" w:hAnsi="Calibri" w:cs="Calibri"/>
          <w:szCs w:val="24"/>
        </w:rPr>
        <w:t xml:space="preserve">i dělené správy, použil NKÚ pro </w:t>
      </w:r>
      <w:r w:rsidR="3B7DF91B" w:rsidRPr="00595C1C">
        <w:rPr>
          <w:rFonts w:ascii="Calibri" w:eastAsia="Calibri" w:hAnsi="Calibri" w:cs="Calibri"/>
          <w:szCs w:val="24"/>
        </w:rPr>
        <w:t xml:space="preserve">stanovení počtu </w:t>
      </w:r>
      <w:r w:rsidR="20B33337" w:rsidRPr="00595C1C">
        <w:rPr>
          <w:rFonts w:ascii="Calibri" w:eastAsia="Calibri" w:hAnsi="Calibri" w:cs="Calibri"/>
          <w:szCs w:val="24"/>
        </w:rPr>
        <w:t>zaměstnanc</w:t>
      </w:r>
      <w:r w:rsidR="415C2C96" w:rsidRPr="00595C1C">
        <w:rPr>
          <w:rFonts w:ascii="Calibri" w:eastAsia="Calibri" w:hAnsi="Calibri" w:cs="Calibri"/>
          <w:szCs w:val="24"/>
        </w:rPr>
        <w:t>ů</w:t>
      </w:r>
      <w:r w:rsidR="20B33337" w:rsidRPr="00595C1C">
        <w:rPr>
          <w:rFonts w:ascii="Calibri" w:eastAsia="Calibri" w:hAnsi="Calibri" w:cs="Calibri"/>
          <w:szCs w:val="24"/>
        </w:rPr>
        <w:t xml:space="preserve"> zabývající</w:t>
      </w:r>
      <w:r w:rsidR="0B5BEA68" w:rsidRPr="00595C1C">
        <w:rPr>
          <w:rFonts w:ascii="Calibri" w:eastAsia="Calibri" w:hAnsi="Calibri" w:cs="Calibri"/>
          <w:szCs w:val="24"/>
        </w:rPr>
        <w:t>ch</w:t>
      </w:r>
      <w:r w:rsidR="20B33337" w:rsidRPr="00595C1C">
        <w:rPr>
          <w:rFonts w:ascii="Calibri" w:eastAsia="Calibri" w:hAnsi="Calibri" w:cs="Calibri"/>
          <w:szCs w:val="24"/>
        </w:rPr>
        <w:t xml:space="preserve"> se činnostmi souvisejícími s vymáháním justičních pohled</w:t>
      </w:r>
      <w:r w:rsidR="0A2D776A" w:rsidRPr="00595C1C">
        <w:rPr>
          <w:rFonts w:ascii="Calibri" w:eastAsia="Calibri" w:hAnsi="Calibri" w:cs="Calibri"/>
          <w:szCs w:val="24"/>
        </w:rPr>
        <w:t>á</w:t>
      </w:r>
      <w:r w:rsidR="20B33337" w:rsidRPr="00595C1C">
        <w:rPr>
          <w:rFonts w:ascii="Calibri" w:eastAsia="Calibri" w:hAnsi="Calibri" w:cs="Calibri"/>
          <w:szCs w:val="24"/>
        </w:rPr>
        <w:t xml:space="preserve">vek </w:t>
      </w:r>
      <w:r w:rsidR="0122BCB9" w:rsidRPr="00595C1C">
        <w:rPr>
          <w:rFonts w:ascii="Calibri" w:eastAsia="Calibri" w:hAnsi="Calibri" w:cs="Calibri"/>
          <w:szCs w:val="24"/>
        </w:rPr>
        <w:t xml:space="preserve">kvalifikovaný </w:t>
      </w:r>
      <w:r w:rsidR="3673E3F4" w:rsidRPr="00595C1C">
        <w:rPr>
          <w:rFonts w:ascii="Calibri" w:eastAsia="Calibri" w:hAnsi="Calibri" w:cs="Calibri"/>
          <w:szCs w:val="24"/>
        </w:rPr>
        <w:t>odhad</w:t>
      </w:r>
      <w:r w:rsidR="00AB000A">
        <w:rPr>
          <w:rStyle w:val="Znakapoznpodarou"/>
          <w:rFonts w:ascii="Calibri" w:eastAsia="Calibri" w:hAnsi="Calibri" w:cs="Calibri"/>
          <w:szCs w:val="24"/>
        </w:rPr>
        <w:footnoteReference w:id="20"/>
      </w:r>
      <w:r w:rsidR="21F16D15" w:rsidRPr="00595C1C">
        <w:rPr>
          <w:rFonts w:ascii="Calibri" w:eastAsia="Calibri" w:hAnsi="Calibri" w:cs="Calibri"/>
          <w:szCs w:val="24"/>
        </w:rPr>
        <w:t>.</w:t>
      </w:r>
      <w:r w:rsidR="00AB000A" w:rsidRPr="00AB000A">
        <w:rPr>
          <w:rStyle w:val="Znakapoznpodarou"/>
          <w:rFonts w:ascii="Calibri" w:eastAsia="Calibri" w:hAnsi="Calibri" w:cs="Calibri"/>
          <w:szCs w:val="24"/>
        </w:rPr>
        <w:t xml:space="preserve"> </w:t>
      </w:r>
      <w:r w:rsidR="21F16D15" w:rsidRPr="00595C1C">
        <w:rPr>
          <w:rFonts w:ascii="Calibri" w:eastAsia="Calibri" w:hAnsi="Calibri" w:cs="Calibri"/>
          <w:szCs w:val="24"/>
        </w:rPr>
        <w:t>Kvalifikovaný odhad byl zpracován na základě přepočtového koeficientu, který představoval procentní podíl předpisů justičních pohledávek</w:t>
      </w:r>
      <w:r w:rsidR="16101056" w:rsidRPr="00595C1C">
        <w:rPr>
          <w:rFonts w:ascii="Calibri" w:eastAsia="Calibri" w:hAnsi="Calibri" w:cs="Calibri"/>
          <w:szCs w:val="24"/>
        </w:rPr>
        <w:t xml:space="preserve"> v roce 2024 na celkovém počtu předpisů dělené správy na daném CÚ</w:t>
      </w:r>
      <w:r w:rsidR="0004417E" w:rsidRPr="00595C1C">
        <w:rPr>
          <w:rFonts w:ascii="Calibri" w:eastAsia="Calibri" w:hAnsi="Calibri" w:cs="Calibri"/>
          <w:szCs w:val="24"/>
        </w:rPr>
        <w:t>.</w:t>
      </w:r>
      <w:r w:rsidR="005510A4">
        <w:rPr>
          <w:rFonts w:ascii="Calibri" w:eastAsia="Calibri" w:hAnsi="Calibri" w:cs="Calibri"/>
          <w:szCs w:val="24"/>
        </w:rPr>
        <w:t xml:space="preserve"> </w:t>
      </w:r>
      <w:r w:rsidR="004D07EC">
        <w:rPr>
          <w:lang w:eastAsia="cs-CZ"/>
        </w:rPr>
        <w:t>NKÚ v</w:t>
      </w:r>
      <w:r w:rsidR="006B692E">
        <w:rPr>
          <w:lang w:eastAsia="cs-CZ"/>
        </w:rPr>
        <w:t xml:space="preserve"> rámci</w:t>
      </w:r>
      <w:r w:rsidR="006E07CA">
        <w:rPr>
          <w:lang w:eastAsia="cs-CZ"/>
        </w:rPr>
        <w:t xml:space="preserve"> kontroly </w:t>
      </w:r>
      <w:r w:rsidR="006B692E">
        <w:rPr>
          <w:lang w:eastAsia="cs-CZ"/>
        </w:rPr>
        <w:t>prověřoval pouze</w:t>
      </w:r>
      <w:r w:rsidR="006E07CA">
        <w:rPr>
          <w:lang w:eastAsia="cs-CZ"/>
        </w:rPr>
        <w:t xml:space="preserve"> daňové justiční pohledávky.</w:t>
      </w:r>
    </w:p>
    <w:p w14:paraId="0BDEB60C" w14:textId="0B684193" w:rsidR="0CF4BFE2" w:rsidRDefault="0CF4BFE2" w:rsidP="00C7584A">
      <w:pPr>
        <w:spacing w:before="120" w:after="120" w:line="240" w:lineRule="auto"/>
        <w:rPr>
          <w:rFonts w:ascii="Calibri" w:eastAsia="Calibri" w:hAnsi="Calibri" w:cs="Calibri"/>
          <w:szCs w:val="24"/>
        </w:rPr>
      </w:pPr>
      <w:r w:rsidRPr="632E6EB4">
        <w:rPr>
          <w:rFonts w:ascii="Calibri" w:eastAsia="Calibri" w:hAnsi="Calibri" w:cs="Calibri"/>
          <w:szCs w:val="24"/>
        </w:rPr>
        <w:t xml:space="preserve">Kontrolovaný objem </w:t>
      </w:r>
      <w:r w:rsidR="58AB8768" w:rsidRPr="632E6EB4">
        <w:rPr>
          <w:rFonts w:ascii="Calibri" w:eastAsia="Calibri" w:hAnsi="Calibri" w:cs="Calibri"/>
          <w:szCs w:val="24"/>
        </w:rPr>
        <w:t>č</w:t>
      </w:r>
      <w:r w:rsidR="0F1B6486" w:rsidRPr="632E6EB4">
        <w:rPr>
          <w:rFonts w:ascii="Calibri" w:eastAsia="Calibri" w:hAnsi="Calibri" w:cs="Calibri"/>
          <w:szCs w:val="24"/>
        </w:rPr>
        <w:t xml:space="preserve">inil </w:t>
      </w:r>
      <w:r w:rsidR="004D07EC">
        <w:rPr>
          <w:rFonts w:ascii="Calibri" w:eastAsia="Calibri" w:hAnsi="Calibri" w:cs="Calibri"/>
          <w:szCs w:val="24"/>
        </w:rPr>
        <w:t>cca</w:t>
      </w:r>
      <w:r w:rsidR="0F1B6486" w:rsidRPr="632E6EB4">
        <w:rPr>
          <w:rFonts w:ascii="Calibri" w:eastAsia="Calibri" w:hAnsi="Calibri" w:cs="Calibri"/>
          <w:szCs w:val="24"/>
        </w:rPr>
        <w:t xml:space="preserve"> 65</w:t>
      </w:r>
      <w:r w:rsidR="004A2D94">
        <w:rPr>
          <w:rFonts w:ascii="Calibri" w:eastAsia="Calibri" w:hAnsi="Calibri" w:cs="Calibri"/>
          <w:szCs w:val="24"/>
        </w:rPr>
        <w:t>7 </w:t>
      </w:r>
      <w:r w:rsidR="004D07EC">
        <w:rPr>
          <w:rFonts w:ascii="Calibri" w:eastAsia="Calibri" w:hAnsi="Calibri" w:cs="Calibri"/>
          <w:szCs w:val="24"/>
        </w:rPr>
        <w:t>mil.</w:t>
      </w:r>
      <w:r w:rsidR="00BB2566">
        <w:rPr>
          <w:rFonts w:ascii="Calibri" w:eastAsia="Calibri" w:hAnsi="Calibri" w:cs="Calibri"/>
          <w:szCs w:val="24"/>
        </w:rPr>
        <w:t> </w:t>
      </w:r>
      <w:r w:rsidR="0F1B6486" w:rsidRPr="009A03BB">
        <w:rPr>
          <w:rFonts w:ascii="Calibri" w:eastAsia="Calibri" w:hAnsi="Calibri" w:cs="Calibri"/>
          <w:szCs w:val="24"/>
        </w:rPr>
        <w:t>Kč</w:t>
      </w:r>
      <w:r w:rsidR="4CE872D0" w:rsidRPr="632E6EB4">
        <w:rPr>
          <w:rFonts w:ascii="Calibri" w:eastAsia="Calibri" w:hAnsi="Calibri" w:cs="Calibri"/>
          <w:szCs w:val="24"/>
        </w:rPr>
        <w:t>. Byl stanoven</w:t>
      </w:r>
      <w:r w:rsidR="00A00175">
        <w:rPr>
          <w:rFonts w:ascii="Calibri" w:eastAsia="Calibri" w:hAnsi="Calibri" w:cs="Calibri"/>
          <w:szCs w:val="24"/>
        </w:rPr>
        <w:t xml:space="preserve"> součtem</w:t>
      </w:r>
      <w:r w:rsidR="4D0B3622" w:rsidRPr="632E6EB4">
        <w:rPr>
          <w:rFonts w:ascii="Calibri" w:eastAsia="Calibri" w:hAnsi="Calibri" w:cs="Calibri"/>
          <w:szCs w:val="24"/>
        </w:rPr>
        <w:t xml:space="preserve"> výše </w:t>
      </w:r>
      <w:r w:rsidR="1E48DA75" w:rsidRPr="00AE0499">
        <w:rPr>
          <w:rFonts w:ascii="Calibri" w:eastAsia="Calibri" w:hAnsi="Calibri" w:cs="Calibri"/>
          <w:szCs w:val="24"/>
        </w:rPr>
        <w:t xml:space="preserve">peněžních prostředků vynaložených na </w:t>
      </w:r>
      <w:r w:rsidR="0001665E">
        <w:rPr>
          <w:rFonts w:ascii="Calibri" w:eastAsia="Calibri" w:hAnsi="Calibri" w:cs="Calibri"/>
          <w:szCs w:val="24"/>
        </w:rPr>
        <w:t>platy</w:t>
      </w:r>
      <w:r w:rsidR="1E48DA75" w:rsidRPr="00AE0499">
        <w:rPr>
          <w:rFonts w:ascii="Calibri" w:eastAsia="Calibri" w:hAnsi="Calibri" w:cs="Calibri"/>
          <w:szCs w:val="24"/>
        </w:rPr>
        <w:t xml:space="preserve"> zaměstnanc</w:t>
      </w:r>
      <w:r w:rsidR="0001665E">
        <w:rPr>
          <w:rFonts w:ascii="Calibri" w:eastAsia="Calibri" w:hAnsi="Calibri" w:cs="Calibri"/>
          <w:szCs w:val="24"/>
        </w:rPr>
        <w:t>ů</w:t>
      </w:r>
      <w:r w:rsidR="1E48DA75" w:rsidRPr="00AE0499">
        <w:rPr>
          <w:rFonts w:ascii="Calibri" w:eastAsia="Calibri" w:hAnsi="Calibri" w:cs="Calibri"/>
          <w:szCs w:val="24"/>
        </w:rPr>
        <w:t xml:space="preserve"> soudů </w:t>
      </w:r>
      <w:r w:rsidR="3A87E111" w:rsidRPr="00AE0499">
        <w:rPr>
          <w:rFonts w:ascii="Calibri" w:eastAsia="Calibri" w:hAnsi="Calibri" w:cs="Calibri"/>
          <w:szCs w:val="24"/>
        </w:rPr>
        <w:t>a C</w:t>
      </w:r>
      <w:r w:rsidR="00AA02E0">
        <w:rPr>
          <w:rFonts w:ascii="Calibri" w:eastAsia="Calibri" w:hAnsi="Calibri" w:cs="Calibri"/>
          <w:szCs w:val="24"/>
        </w:rPr>
        <w:t>Ú</w:t>
      </w:r>
      <w:r w:rsidR="3A87E111" w:rsidRPr="00AE0499">
        <w:rPr>
          <w:rFonts w:ascii="Calibri" w:eastAsia="Calibri" w:hAnsi="Calibri" w:cs="Calibri"/>
          <w:szCs w:val="24"/>
        </w:rPr>
        <w:t xml:space="preserve"> </w:t>
      </w:r>
      <w:r w:rsidR="1E48DA75" w:rsidRPr="00AE0499">
        <w:rPr>
          <w:rFonts w:ascii="Calibri" w:eastAsia="Calibri" w:hAnsi="Calibri" w:cs="Calibri"/>
          <w:szCs w:val="24"/>
        </w:rPr>
        <w:t>provádějící</w:t>
      </w:r>
      <w:r w:rsidR="00551AD4">
        <w:rPr>
          <w:rFonts w:ascii="Calibri" w:eastAsia="Calibri" w:hAnsi="Calibri" w:cs="Calibri"/>
          <w:szCs w:val="24"/>
        </w:rPr>
        <w:t>ch</w:t>
      </w:r>
      <w:r w:rsidR="1E48DA75" w:rsidRPr="00AE0499">
        <w:rPr>
          <w:rFonts w:ascii="Calibri" w:eastAsia="Calibri" w:hAnsi="Calibri" w:cs="Calibri"/>
          <w:szCs w:val="24"/>
        </w:rPr>
        <w:t xml:space="preserve"> činnosti v oblasti vymáhání justičních pohledávek </w:t>
      </w:r>
      <w:r w:rsidR="3295CFEC" w:rsidRPr="00AE0499">
        <w:rPr>
          <w:rFonts w:ascii="Calibri" w:eastAsia="Calibri" w:hAnsi="Calibri" w:cs="Calibri"/>
          <w:szCs w:val="24"/>
        </w:rPr>
        <w:t>v kontrolov</w:t>
      </w:r>
      <w:r w:rsidR="5BB282CB" w:rsidRPr="632E6EB4">
        <w:rPr>
          <w:rFonts w:ascii="Calibri" w:eastAsia="Calibri" w:hAnsi="Calibri" w:cs="Calibri"/>
          <w:szCs w:val="24"/>
        </w:rPr>
        <w:t>a</w:t>
      </w:r>
      <w:r w:rsidR="3295CFEC" w:rsidRPr="00AE0499">
        <w:rPr>
          <w:rFonts w:ascii="Calibri" w:eastAsia="Calibri" w:hAnsi="Calibri" w:cs="Calibri"/>
          <w:szCs w:val="24"/>
        </w:rPr>
        <w:t>ném období</w:t>
      </w:r>
      <w:r w:rsidR="007C7BC5">
        <w:rPr>
          <w:rFonts w:ascii="Calibri" w:eastAsia="Calibri" w:hAnsi="Calibri" w:cs="Calibri"/>
          <w:szCs w:val="24"/>
        </w:rPr>
        <w:t>,</w:t>
      </w:r>
      <w:r w:rsidR="004A2D94">
        <w:rPr>
          <w:rFonts w:ascii="Calibri" w:eastAsia="Calibri" w:hAnsi="Calibri" w:cs="Calibri"/>
          <w:szCs w:val="24"/>
        </w:rPr>
        <w:t xml:space="preserve"> nákladů na úpravu informačních systémů v důsledku rozšíření kompetence CS ČR o vymáhání justičních pohledávek </w:t>
      </w:r>
      <w:r w:rsidR="004A2D94" w:rsidRPr="00AE0499">
        <w:rPr>
          <w:rFonts w:ascii="Calibri" w:eastAsia="Calibri" w:hAnsi="Calibri" w:cs="Calibri"/>
          <w:szCs w:val="24"/>
        </w:rPr>
        <w:t>a</w:t>
      </w:r>
      <w:r w:rsidR="007C7BC5">
        <w:rPr>
          <w:rFonts w:ascii="Calibri" w:eastAsia="Calibri" w:hAnsi="Calibri" w:cs="Calibri"/>
          <w:szCs w:val="24"/>
        </w:rPr>
        <w:t xml:space="preserve"> </w:t>
      </w:r>
      <w:r w:rsidR="3295CFEC" w:rsidRPr="00AE0499">
        <w:rPr>
          <w:rFonts w:ascii="Calibri" w:eastAsia="Calibri" w:hAnsi="Calibri" w:cs="Calibri"/>
          <w:szCs w:val="24"/>
        </w:rPr>
        <w:t>v</w:t>
      </w:r>
      <w:r w:rsidR="01B63AF7" w:rsidRPr="632E6EB4">
        <w:rPr>
          <w:rFonts w:ascii="Calibri" w:eastAsia="Calibri" w:hAnsi="Calibri" w:cs="Calibri"/>
          <w:szCs w:val="24"/>
        </w:rPr>
        <w:t xml:space="preserve">ýše předpisů </w:t>
      </w:r>
      <w:r w:rsidR="74BF8B00" w:rsidRPr="632E6EB4">
        <w:rPr>
          <w:rFonts w:ascii="Calibri" w:eastAsia="Calibri" w:hAnsi="Calibri" w:cs="Calibri"/>
          <w:szCs w:val="24"/>
        </w:rPr>
        <w:t xml:space="preserve">justičních pohledávek </w:t>
      </w:r>
      <w:r w:rsidR="5858E3CE" w:rsidRPr="632E6EB4">
        <w:rPr>
          <w:rFonts w:ascii="Calibri" w:eastAsia="Calibri" w:hAnsi="Calibri" w:cs="Calibri"/>
          <w:szCs w:val="24"/>
        </w:rPr>
        <w:t>prověřovan</w:t>
      </w:r>
      <w:r w:rsidR="02DA33DF" w:rsidRPr="632E6EB4">
        <w:rPr>
          <w:rFonts w:ascii="Calibri" w:eastAsia="Calibri" w:hAnsi="Calibri" w:cs="Calibri"/>
          <w:szCs w:val="24"/>
        </w:rPr>
        <w:t>ých</w:t>
      </w:r>
      <w:r w:rsidR="5858E3CE" w:rsidRPr="632E6EB4">
        <w:rPr>
          <w:rFonts w:ascii="Calibri" w:eastAsia="Calibri" w:hAnsi="Calibri" w:cs="Calibri"/>
          <w:szCs w:val="24"/>
        </w:rPr>
        <w:t xml:space="preserve"> v rámci kontrolních vzorků</w:t>
      </w:r>
      <w:r w:rsidR="005E48AD">
        <w:rPr>
          <w:rFonts w:ascii="Calibri" w:eastAsia="Calibri" w:hAnsi="Calibri" w:cs="Calibri"/>
          <w:szCs w:val="24"/>
        </w:rPr>
        <w:t>.</w:t>
      </w:r>
    </w:p>
    <w:p w14:paraId="226AF3B1" w14:textId="78CA456F" w:rsidR="00903C9D" w:rsidRPr="00F328AA" w:rsidRDefault="00753065" w:rsidP="00C7584A">
      <w:pPr>
        <w:spacing w:after="120" w:line="240" w:lineRule="auto"/>
        <w:rPr>
          <w:rFonts w:cstheme="minorHAnsi"/>
          <w:b/>
          <w:bCs/>
          <w:szCs w:val="24"/>
        </w:rPr>
      </w:pPr>
      <w:r w:rsidRPr="00F328AA">
        <w:rPr>
          <w:szCs w:val="24"/>
          <w:lang w:eastAsia="cs-CZ"/>
        </w:rPr>
        <w:t>Kontrolováno bylo období od roku 2021 do roku 2024, v případě věcných souvislostí období předcházející a následující.</w:t>
      </w:r>
    </w:p>
    <w:p w14:paraId="5AB0B7CF" w14:textId="30425613" w:rsidR="006752F5" w:rsidRDefault="0093232C" w:rsidP="00C7584A">
      <w:pPr>
        <w:spacing w:before="480" w:after="120"/>
        <w:ind w:left="567" w:hanging="567"/>
        <w:rPr>
          <w:rFonts w:cstheme="minorHAnsi"/>
          <w:bCs/>
          <w:sz w:val="20"/>
          <w:szCs w:val="20"/>
        </w:rPr>
      </w:pPr>
      <w:r w:rsidRPr="00F328AA">
        <w:rPr>
          <w:rFonts w:cstheme="minorHAnsi"/>
          <w:b/>
          <w:bCs/>
          <w:sz w:val="20"/>
          <w:szCs w:val="20"/>
        </w:rPr>
        <w:t>Pozn.:</w:t>
      </w:r>
      <w:r w:rsidRPr="00F328AA">
        <w:rPr>
          <w:rFonts w:cstheme="minorHAnsi"/>
          <w:bCs/>
          <w:sz w:val="20"/>
          <w:szCs w:val="20"/>
        </w:rPr>
        <w:t xml:space="preserve"> </w:t>
      </w:r>
      <w:r w:rsidRPr="00F328AA">
        <w:rPr>
          <w:rFonts w:cstheme="minorHAnsi"/>
          <w:bCs/>
          <w:sz w:val="20"/>
          <w:szCs w:val="20"/>
        </w:rPr>
        <w:tab/>
        <w:t>Právní předpisy uvedené v tomto kontrolním závěru jsou aplikovány ve znění účinném pro kontrolované období</w:t>
      </w:r>
      <w:r w:rsidR="00AF0EFF" w:rsidRPr="00F328AA">
        <w:rPr>
          <w:rFonts w:cstheme="minorHAnsi"/>
          <w:bCs/>
          <w:sz w:val="20"/>
          <w:szCs w:val="20"/>
        </w:rPr>
        <w:t>.</w:t>
      </w:r>
    </w:p>
    <w:p w14:paraId="2DE0D36F" w14:textId="6508F40B" w:rsidR="006814F6" w:rsidRPr="00ED66B5" w:rsidRDefault="0097746B" w:rsidP="00802C2A">
      <w:pPr>
        <w:pStyle w:val="Nadpis1"/>
        <w:keepLines/>
        <w:numPr>
          <w:ilvl w:val="0"/>
          <w:numId w:val="0"/>
        </w:numPr>
        <w:overflowPunct/>
        <w:autoSpaceDE/>
        <w:autoSpaceDN/>
        <w:adjustRightInd/>
        <w:spacing w:before="720" w:after="240" w:line="259" w:lineRule="auto"/>
        <w:ind w:left="357"/>
        <w:textAlignment w:val="auto"/>
        <w:rPr>
          <w:sz w:val="28"/>
          <w:szCs w:val="28"/>
        </w:rPr>
      </w:pPr>
      <w:r w:rsidRPr="00ED66B5">
        <w:rPr>
          <w:sz w:val="28"/>
          <w:szCs w:val="28"/>
        </w:rPr>
        <w:lastRenderedPageBreak/>
        <w:t xml:space="preserve">IV. </w:t>
      </w:r>
      <w:r w:rsidR="0093232C" w:rsidRPr="00ED66B5">
        <w:rPr>
          <w:sz w:val="28"/>
          <w:szCs w:val="28"/>
        </w:rPr>
        <w:t>Podrobné skutečnosti zjištěné kontrolou</w:t>
      </w:r>
    </w:p>
    <w:p w14:paraId="7BDBCCD5" w14:textId="58D91A57" w:rsidR="003763E3" w:rsidRPr="00B9011E" w:rsidRDefault="00EF6712" w:rsidP="0072026C">
      <w:pPr>
        <w:pStyle w:val="Nadpis2"/>
        <w:numPr>
          <w:ilvl w:val="0"/>
          <w:numId w:val="26"/>
        </w:numPr>
        <w:spacing w:before="240"/>
        <w:ind w:left="284" w:hanging="284"/>
        <w:jc w:val="left"/>
        <w:rPr>
          <w:rFonts w:eastAsia="Calibri"/>
        </w:rPr>
      </w:pPr>
      <w:r w:rsidRPr="00B9011E">
        <w:rPr>
          <w:rFonts w:eastAsia="Calibri"/>
        </w:rPr>
        <w:t>Kontrolované</w:t>
      </w:r>
      <w:r w:rsidR="003763E3" w:rsidRPr="00B9011E">
        <w:rPr>
          <w:rFonts w:eastAsia="Calibri"/>
        </w:rPr>
        <w:t xml:space="preserve"> soudy</w:t>
      </w:r>
      <w:r w:rsidR="005D0B9A">
        <w:rPr>
          <w:rFonts w:eastAsia="Calibri"/>
        </w:rPr>
        <w:t xml:space="preserve"> v některých případech</w:t>
      </w:r>
      <w:r w:rsidR="003763E3" w:rsidRPr="00B9011E">
        <w:rPr>
          <w:rFonts w:eastAsia="Calibri"/>
        </w:rPr>
        <w:t xml:space="preserve"> nepostupovaly při</w:t>
      </w:r>
      <w:r w:rsidR="004545C3" w:rsidRPr="00B9011E">
        <w:rPr>
          <w:rFonts w:eastAsia="Calibri"/>
        </w:rPr>
        <w:t xml:space="preserve"> správě soudních poplatků a</w:t>
      </w:r>
      <w:r w:rsidR="0072026C">
        <w:rPr>
          <w:rFonts w:eastAsia="Calibri"/>
        </w:rPr>
        <w:t> </w:t>
      </w:r>
      <w:r w:rsidR="003763E3" w:rsidRPr="00B9011E">
        <w:rPr>
          <w:rFonts w:eastAsia="Calibri"/>
        </w:rPr>
        <w:t>vymáhání justičních pohledávek v souladu s právními předpisy</w:t>
      </w:r>
    </w:p>
    <w:p w14:paraId="5365AA89" w14:textId="40584BE2" w:rsidR="006E1778" w:rsidRDefault="006E1778" w:rsidP="00802C2A">
      <w:pPr>
        <w:pStyle w:val="Odstavecseseznamem"/>
        <w:spacing w:after="120"/>
        <w:ind w:left="0"/>
        <w:contextualSpacing w:val="0"/>
        <w:rPr>
          <w:rFonts w:ascii="Calibri" w:hAnsi="Calibri" w:cs="Calibri"/>
        </w:rPr>
      </w:pPr>
      <w:r w:rsidRPr="00936740">
        <w:rPr>
          <w:rFonts w:ascii="Calibri" w:hAnsi="Calibri" w:cs="Calibri"/>
        </w:rPr>
        <w:t>MSp v postavení ústředního orgánu státní správy soudů podle</w:t>
      </w:r>
      <w:r>
        <w:rPr>
          <w:rFonts w:ascii="Calibri" w:hAnsi="Calibri" w:cs="Calibri"/>
        </w:rPr>
        <w:t xml:space="preserve"> zákona o soudech</w:t>
      </w:r>
      <w:r w:rsidR="00A71DFA">
        <w:rPr>
          <w:rFonts w:ascii="Calibri" w:hAnsi="Calibri" w:cs="Calibri"/>
        </w:rPr>
        <w:t xml:space="preserve"> a</w:t>
      </w:r>
      <w:r>
        <w:rPr>
          <w:rFonts w:ascii="Calibri" w:hAnsi="Calibri" w:cs="Calibri"/>
        </w:rPr>
        <w:t xml:space="preserve"> soudcích</w:t>
      </w:r>
      <w:r>
        <w:rPr>
          <w:rStyle w:val="Znakapoznpodarou"/>
          <w:rFonts w:ascii="Calibri" w:hAnsi="Calibri" w:cs="Calibri"/>
        </w:rPr>
        <w:footnoteReference w:id="21"/>
      </w:r>
      <w:r w:rsidRPr="00936740">
        <w:rPr>
          <w:rFonts w:ascii="Calibri" w:hAnsi="Calibri" w:cs="Calibri"/>
        </w:rPr>
        <w:t xml:space="preserve"> v</w:t>
      </w:r>
      <w:r w:rsidR="00BB2566">
        <w:rPr>
          <w:rFonts w:ascii="Calibri" w:hAnsi="Calibri" w:cs="Calibri"/>
        </w:rPr>
        <w:t> </w:t>
      </w:r>
      <w:r w:rsidRPr="00936740">
        <w:rPr>
          <w:rFonts w:ascii="Calibri" w:hAnsi="Calibri" w:cs="Calibri"/>
        </w:rPr>
        <w:t>kontrolovaném období v rámci své řídící činnosti vyd</w:t>
      </w:r>
      <w:r w:rsidR="009E0A6F">
        <w:rPr>
          <w:rFonts w:ascii="Calibri" w:hAnsi="Calibri" w:cs="Calibri"/>
        </w:rPr>
        <w:t>alo</w:t>
      </w:r>
      <w:r w:rsidRPr="00936740">
        <w:rPr>
          <w:rFonts w:ascii="Calibri" w:hAnsi="Calibri" w:cs="Calibri"/>
        </w:rPr>
        <w:t xml:space="preserve"> </w:t>
      </w:r>
      <w:r w:rsidR="009E0A6F" w:rsidRPr="00936740">
        <w:rPr>
          <w:rFonts w:ascii="Calibri" w:hAnsi="Calibri" w:cs="Calibri"/>
        </w:rPr>
        <w:t>metodick</w:t>
      </w:r>
      <w:r w:rsidR="009E0A6F">
        <w:rPr>
          <w:rFonts w:ascii="Calibri" w:hAnsi="Calibri" w:cs="Calibri"/>
        </w:rPr>
        <w:t>é</w:t>
      </w:r>
      <w:r w:rsidR="009E0A6F" w:rsidRPr="00936740">
        <w:rPr>
          <w:rFonts w:ascii="Calibri" w:hAnsi="Calibri" w:cs="Calibri"/>
        </w:rPr>
        <w:t xml:space="preserve"> materiál</w:t>
      </w:r>
      <w:r w:rsidR="009E0A6F">
        <w:rPr>
          <w:rFonts w:ascii="Calibri" w:hAnsi="Calibri" w:cs="Calibri"/>
        </w:rPr>
        <w:t>y</w:t>
      </w:r>
      <w:r w:rsidR="009E0A6F" w:rsidRPr="00936740">
        <w:rPr>
          <w:rFonts w:ascii="Calibri" w:hAnsi="Calibri" w:cs="Calibri"/>
        </w:rPr>
        <w:t xml:space="preserve"> </w:t>
      </w:r>
      <w:r w:rsidR="00AB0D27" w:rsidRPr="00936740">
        <w:rPr>
          <w:rFonts w:ascii="Calibri" w:hAnsi="Calibri" w:cs="Calibri"/>
        </w:rPr>
        <w:t>účinn</w:t>
      </w:r>
      <w:r w:rsidR="00AB0D27">
        <w:rPr>
          <w:rFonts w:ascii="Calibri" w:hAnsi="Calibri" w:cs="Calibri"/>
        </w:rPr>
        <w:t>é</w:t>
      </w:r>
      <w:r w:rsidR="00AB0D27" w:rsidRPr="00936740">
        <w:rPr>
          <w:rFonts w:ascii="Calibri" w:hAnsi="Calibri" w:cs="Calibri"/>
        </w:rPr>
        <w:t xml:space="preserve"> </w:t>
      </w:r>
      <w:r w:rsidRPr="00936740">
        <w:rPr>
          <w:rFonts w:ascii="Calibri" w:hAnsi="Calibri" w:cs="Calibri"/>
        </w:rPr>
        <w:t>pro období let 2021 až 2024. Metodiky upravovaly postupy při nakládání s veškerými pohledávkami v rámci resortu, tzn. včetně správy soudních poplatků a vymáhání justičních pohledávek</w:t>
      </w:r>
      <w:r>
        <w:rPr>
          <w:rFonts w:ascii="Calibri" w:hAnsi="Calibri" w:cs="Calibri"/>
        </w:rPr>
        <w:t>.</w:t>
      </w:r>
    </w:p>
    <w:p w14:paraId="4ADC3F63" w14:textId="47A9BBAC" w:rsidR="006E1778" w:rsidRPr="00561F94" w:rsidRDefault="006E1778" w:rsidP="00802C2A">
      <w:pPr>
        <w:spacing w:before="120" w:after="120"/>
        <w:rPr>
          <w:rFonts w:ascii="Calibri" w:hAnsi="Calibri" w:cs="Calibri"/>
        </w:rPr>
      </w:pPr>
      <w:r w:rsidRPr="00561F94">
        <w:rPr>
          <w:rFonts w:ascii="Calibri" w:hAnsi="Calibri" w:cs="Calibri"/>
        </w:rPr>
        <w:t xml:space="preserve">Zákonem </w:t>
      </w:r>
      <w:r>
        <w:rPr>
          <w:rFonts w:ascii="Calibri" w:hAnsi="Calibri" w:cs="Calibri"/>
        </w:rPr>
        <w:t>o konsolidaci veřejných rozpočtů</w:t>
      </w:r>
      <w:r w:rsidRPr="00561F94">
        <w:rPr>
          <w:rFonts w:ascii="Calibri" w:hAnsi="Calibri" w:cs="Calibri"/>
        </w:rPr>
        <w:t xml:space="preserve"> došlo s účinností od 1. 1. 2024 mj. k novele zákona </w:t>
      </w:r>
      <w:r>
        <w:rPr>
          <w:rFonts w:ascii="Calibri" w:hAnsi="Calibri" w:cs="Calibri"/>
        </w:rPr>
        <w:t xml:space="preserve">o soudních poplatcích </w:t>
      </w:r>
      <w:r w:rsidRPr="00561F94">
        <w:rPr>
          <w:rFonts w:ascii="Calibri" w:hAnsi="Calibri" w:cs="Calibri"/>
        </w:rPr>
        <w:t xml:space="preserve">a k zavedení kompetenční dělené správy v případě justičních pohledávek, jejichž správa podléhá </w:t>
      </w:r>
      <w:r>
        <w:rPr>
          <w:rFonts w:ascii="Calibri" w:hAnsi="Calibri" w:cs="Calibri"/>
        </w:rPr>
        <w:t>daňovému řádu</w:t>
      </w:r>
      <w:r w:rsidRPr="00561F94">
        <w:rPr>
          <w:rFonts w:ascii="Calibri" w:hAnsi="Calibri" w:cs="Calibri"/>
        </w:rPr>
        <w:t>, tj. daňových justičních pohledávek. Soudy tak zůstaly příslušné k jejich vybrání (přijetí dobrovolné platby) a v případě nesplnění platební povinnosti docház</w:t>
      </w:r>
      <w:r w:rsidR="00F12959">
        <w:rPr>
          <w:rFonts w:ascii="Calibri" w:hAnsi="Calibri" w:cs="Calibri"/>
        </w:rPr>
        <w:t>elo</w:t>
      </w:r>
      <w:r w:rsidRPr="00561F94">
        <w:rPr>
          <w:rFonts w:ascii="Calibri" w:hAnsi="Calibri" w:cs="Calibri"/>
        </w:rPr>
        <w:t xml:space="preserve"> k jejich vymáhání CÚ.  </w:t>
      </w:r>
    </w:p>
    <w:p w14:paraId="7E788803" w14:textId="5B5A2183" w:rsidR="006E1778" w:rsidRDefault="006E1778" w:rsidP="00802C2A">
      <w:pPr>
        <w:pStyle w:val="Odstavecseseznamem"/>
        <w:spacing w:after="120"/>
        <w:ind w:left="0"/>
        <w:contextualSpacing w:val="0"/>
        <w:rPr>
          <w:rFonts w:ascii="Calibri" w:hAnsi="Calibri" w:cs="Calibri"/>
        </w:rPr>
      </w:pPr>
      <w:r>
        <w:rPr>
          <w:rFonts w:ascii="Calibri" w:hAnsi="Calibri" w:cs="Calibri"/>
        </w:rPr>
        <w:t xml:space="preserve">MF v rámci své pravomoci dohlíželo na nastavování metodických postupů v oblasti vymáhání daňových justičních pohledávek, když připomínkovalo metodiku, kterou vytvořilo GŘC pro CÚ. </w:t>
      </w:r>
      <w:r w:rsidRPr="00D6493F">
        <w:rPr>
          <w:rFonts w:ascii="Calibri" w:hAnsi="Calibri" w:cs="Calibri"/>
        </w:rPr>
        <w:t xml:space="preserve">NKÚ ověřil, že metodické postupy pro přebírání a vymáhání justičních pohledávek </w:t>
      </w:r>
      <w:r>
        <w:rPr>
          <w:rFonts w:ascii="Calibri" w:hAnsi="Calibri" w:cs="Calibri"/>
        </w:rPr>
        <w:t>nastavilo GŘC</w:t>
      </w:r>
      <w:r w:rsidRPr="00D6493F">
        <w:rPr>
          <w:rFonts w:ascii="Calibri" w:hAnsi="Calibri" w:cs="Calibri"/>
        </w:rPr>
        <w:t xml:space="preserve"> v souladu s</w:t>
      </w:r>
      <w:r>
        <w:rPr>
          <w:rFonts w:ascii="Calibri" w:hAnsi="Calibri" w:cs="Calibri"/>
        </w:rPr>
        <w:t> </w:t>
      </w:r>
      <w:r w:rsidRPr="00D6493F">
        <w:rPr>
          <w:rFonts w:ascii="Calibri" w:hAnsi="Calibri" w:cs="Calibri"/>
        </w:rPr>
        <w:t>právními</w:t>
      </w:r>
      <w:r>
        <w:rPr>
          <w:rFonts w:ascii="Calibri" w:hAnsi="Calibri" w:cs="Calibri"/>
        </w:rPr>
        <w:t xml:space="preserve"> </w:t>
      </w:r>
      <w:r w:rsidRPr="00D6493F">
        <w:rPr>
          <w:rFonts w:ascii="Calibri" w:hAnsi="Calibri" w:cs="Calibri"/>
        </w:rPr>
        <w:t>předpisy.</w:t>
      </w:r>
    </w:p>
    <w:p w14:paraId="7106CD21" w14:textId="2BC48E62" w:rsidR="006E1778" w:rsidRPr="00561F94" w:rsidRDefault="006E1778" w:rsidP="00802C2A">
      <w:pPr>
        <w:spacing w:before="120" w:after="120"/>
        <w:rPr>
          <w:rFonts w:ascii="Calibri" w:hAnsi="Calibri" w:cs="Calibri"/>
        </w:rPr>
      </w:pPr>
      <w:r>
        <w:rPr>
          <w:rFonts w:ascii="Calibri" w:hAnsi="Calibri" w:cs="Calibri"/>
        </w:rPr>
        <w:t>V</w:t>
      </w:r>
      <w:r w:rsidRPr="00561F94">
        <w:rPr>
          <w:rFonts w:ascii="Calibri" w:hAnsi="Calibri" w:cs="Calibri"/>
        </w:rPr>
        <w:t xml:space="preserve"> období od 7. 3. 2024 do 10. 4. 2024 </w:t>
      </w:r>
      <w:r>
        <w:rPr>
          <w:rFonts w:ascii="Calibri" w:hAnsi="Calibri" w:cs="Calibri"/>
        </w:rPr>
        <w:t>soudy</w:t>
      </w:r>
      <w:r w:rsidRPr="00561F94">
        <w:rPr>
          <w:rFonts w:ascii="Calibri" w:hAnsi="Calibri" w:cs="Calibri"/>
        </w:rPr>
        <w:t xml:space="preserve"> na CÚ </w:t>
      </w:r>
      <w:r>
        <w:rPr>
          <w:rFonts w:ascii="Calibri" w:hAnsi="Calibri" w:cs="Calibri"/>
        </w:rPr>
        <w:t>ne</w:t>
      </w:r>
      <w:r w:rsidRPr="00561F94">
        <w:rPr>
          <w:rFonts w:ascii="Calibri" w:hAnsi="Calibri" w:cs="Calibri"/>
        </w:rPr>
        <w:t>předáv</w:t>
      </w:r>
      <w:r>
        <w:rPr>
          <w:rFonts w:ascii="Calibri" w:hAnsi="Calibri" w:cs="Calibri"/>
        </w:rPr>
        <w:t>aly</w:t>
      </w:r>
      <w:r w:rsidRPr="00561F94">
        <w:rPr>
          <w:rFonts w:ascii="Calibri" w:hAnsi="Calibri" w:cs="Calibri"/>
        </w:rPr>
        <w:t xml:space="preserve"> justiční pohledávky z důvodu </w:t>
      </w:r>
      <w:r w:rsidR="000C4979">
        <w:rPr>
          <w:rFonts w:ascii="Calibri" w:hAnsi="Calibri" w:cs="Calibri"/>
        </w:rPr>
        <w:t>nevyjasněného</w:t>
      </w:r>
      <w:r w:rsidR="000C4979" w:rsidRPr="00561F94">
        <w:rPr>
          <w:rFonts w:ascii="Calibri" w:hAnsi="Calibri" w:cs="Calibri"/>
        </w:rPr>
        <w:t xml:space="preserve"> </w:t>
      </w:r>
      <w:r w:rsidRPr="00561F94">
        <w:rPr>
          <w:rFonts w:ascii="Calibri" w:hAnsi="Calibri" w:cs="Calibri"/>
        </w:rPr>
        <w:t xml:space="preserve">způsobu účtování o </w:t>
      </w:r>
      <w:r>
        <w:rPr>
          <w:rFonts w:ascii="Calibri" w:hAnsi="Calibri" w:cs="Calibri"/>
        </w:rPr>
        <w:t xml:space="preserve">předaných </w:t>
      </w:r>
      <w:r w:rsidRPr="00561F94">
        <w:rPr>
          <w:rFonts w:ascii="Calibri" w:hAnsi="Calibri" w:cs="Calibri"/>
        </w:rPr>
        <w:t>justiční</w:t>
      </w:r>
      <w:r>
        <w:rPr>
          <w:rFonts w:ascii="Calibri" w:hAnsi="Calibri" w:cs="Calibri"/>
        </w:rPr>
        <w:t>ch</w:t>
      </w:r>
      <w:r w:rsidRPr="00561F94">
        <w:rPr>
          <w:rFonts w:ascii="Calibri" w:hAnsi="Calibri" w:cs="Calibri"/>
        </w:rPr>
        <w:t xml:space="preserve"> pohledáv</w:t>
      </w:r>
      <w:r>
        <w:rPr>
          <w:rFonts w:ascii="Calibri" w:hAnsi="Calibri" w:cs="Calibri"/>
        </w:rPr>
        <w:t>kách.</w:t>
      </w:r>
      <w:r w:rsidRPr="00561F94">
        <w:rPr>
          <w:rFonts w:ascii="Calibri" w:hAnsi="Calibri" w:cs="Calibri"/>
        </w:rPr>
        <w:t xml:space="preserve"> MSp vzniklou situaci řešilo s MF a GŘC, kdy správnost dosavadního postupu MF svým stanoviskem potvrdilo</w:t>
      </w:r>
      <w:r w:rsidR="00707B6D">
        <w:rPr>
          <w:rFonts w:ascii="Calibri" w:hAnsi="Calibri" w:cs="Calibri"/>
        </w:rPr>
        <w:t>,</w:t>
      </w:r>
      <w:r w:rsidRPr="00561F94">
        <w:rPr>
          <w:rFonts w:ascii="Calibri" w:hAnsi="Calibri" w:cs="Calibri"/>
        </w:rPr>
        <w:t xml:space="preserve"> a MSp dne 10. 4. 2024 dalo pokyn ke znovuzahájení předávání pohledávek na CÚ.</w:t>
      </w:r>
    </w:p>
    <w:p w14:paraId="4112B917" w14:textId="601B5128" w:rsidR="003379F9" w:rsidRDefault="003379F9" w:rsidP="00802C2A">
      <w:pPr>
        <w:spacing w:before="120" w:after="120"/>
        <w:rPr>
          <w:rFonts w:ascii="Calibri" w:hAnsi="Calibri" w:cs="Calibri"/>
        </w:rPr>
      </w:pPr>
      <w:r w:rsidRPr="00A11AFB">
        <w:rPr>
          <w:rFonts w:ascii="Calibri" w:hAnsi="Calibri" w:cs="Calibri"/>
        </w:rPr>
        <w:t xml:space="preserve">Postup při správě soudních poplatků se řídil </w:t>
      </w:r>
      <w:r w:rsidR="00A901E0">
        <w:rPr>
          <w:rFonts w:ascii="Calibri" w:hAnsi="Calibri" w:cs="Calibri"/>
        </w:rPr>
        <w:t>zákonem</w:t>
      </w:r>
      <w:r w:rsidRPr="00A11AFB">
        <w:rPr>
          <w:rFonts w:ascii="Calibri" w:hAnsi="Calibri" w:cs="Calibri"/>
        </w:rPr>
        <w:t xml:space="preserve"> </w:t>
      </w:r>
      <w:r w:rsidR="00F03A66">
        <w:rPr>
          <w:rFonts w:ascii="Calibri" w:hAnsi="Calibri" w:cs="Calibri"/>
        </w:rPr>
        <w:t xml:space="preserve">o </w:t>
      </w:r>
      <w:r w:rsidR="004A5B98">
        <w:rPr>
          <w:rFonts w:ascii="Calibri" w:hAnsi="Calibri" w:cs="Calibri"/>
        </w:rPr>
        <w:t>soudních poplatcích</w:t>
      </w:r>
      <w:r w:rsidRPr="00A11AFB">
        <w:rPr>
          <w:rFonts w:ascii="Calibri" w:hAnsi="Calibri" w:cs="Calibri"/>
        </w:rPr>
        <w:t xml:space="preserve">, </w:t>
      </w:r>
      <w:r w:rsidR="004A5B98">
        <w:rPr>
          <w:rFonts w:ascii="Calibri" w:hAnsi="Calibri" w:cs="Calibri"/>
        </w:rPr>
        <w:t>daňov</w:t>
      </w:r>
      <w:r w:rsidR="00A901E0">
        <w:rPr>
          <w:rFonts w:ascii="Calibri" w:hAnsi="Calibri" w:cs="Calibri"/>
        </w:rPr>
        <w:t>ým</w:t>
      </w:r>
      <w:r w:rsidR="004A5B98">
        <w:rPr>
          <w:rFonts w:ascii="Calibri" w:hAnsi="Calibri" w:cs="Calibri"/>
        </w:rPr>
        <w:t xml:space="preserve"> řád</w:t>
      </w:r>
      <w:r w:rsidR="00A901E0">
        <w:rPr>
          <w:rFonts w:ascii="Calibri" w:hAnsi="Calibri" w:cs="Calibri"/>
        </w:rPr>
        <w:t>em</w:t>
      </w:r>
      <w:r w:rsidRPr="00A11AFB">
        <w:rPr>
          <w:rFonts w:ascii="Calibri" w:hAnsi="Calibri" w:cs="Calibri"/>
        </w:rPr>
        <w:t xml:space="preserve"> a podle resortních </w:t>
      </w:r>
      <w:r w:rsidR="003F3E42">
        <w:rPr>
          <w:rFonts w:ascii="Calibri" w:hAnsi="Calibri" w:cs="Calibri"/>
        </w:rPr>
        <w:t>metodických materiálů</w:t>
      </w:r>
      <w:r w:rsidR="00D91D1E">
        <w:rPr>
          <w:rStyle w:val="Znakapoznpodarou"/>
          <w:rFonts w:ascii="Calibri" w:hAnsi="Calibri" w:cs="Calibri"/>
        </w:rPr>
        <w:footnoteReference w:id="22"/>
      </w:r>
      <w:r w:rsidRPr="00A11AFB">
        <w:rPr>
          <w:rFonts w:ascii="Calibri" w:hAnsi="Calibri" w:cs="Calibri"/>
        </w:rPr>
        <w:t>.</w:t>
      </w:r>
      <w:r>
        <w:rPr>
          <w:rFonts w:ascii="Calibri" w:hAnsi="Calibri" w:cs="Calibri"/>
        </w:rPr>
        <w:t xml:space="preserve"> </w:t>
      </w:r>
    </w:p>
    <w:p w14:paraId="27F007D3" w14:textId="130561B2" w:rsidR="003F3E42" w:rsidRDefault="003F3E42" w:rsidP="00802C2A">
      <w:pPr>
        <w:spacing w:before="120" w:after="120"/>
        <w:rPr>
          <w:rFonts w:ascii="Calibri" w:hAnsi="Calibri" w:cs="Calibri"/>
        </w:rPr>
      </w:pPr>
      <w:r>
        <w:rPr>
          <w:rFonts w:ascii="Calibri" w:hAnsi="Calibri" w:cs="Calibri"/>
        </w:rPr>
        <w:t>Postup při vymáhání justičních pohledávek</w:t>
      </w:r>
      <w:r w:rsidR="00493370">
        <w:rPr>
          <w:rFonts w:ascii="Calibri" w:hAnsi="Calibri" w:cs="Calibri"/>
        </w:rPr>
        <w:t xml:space="preserve"> se řídil</w:t>
      </w:r>
      <w:r w:rsidR="00955A87">
        <w:rPr>
          <w:rFonts w:ascii="Calibri" w:hAnsi="Calibri" w:cs="Calibri"/>
        </w:rPr>
        <w:t xml:space="preserve"> </w:t>
      </w:r>
      <w:r w:rsidR="009F36EA">
        <w:rPr>
          <w:rFonts w:ascii="Calibri" w:hAnsi="Calibri" w:cs="Calibri"/>
        </w:rPr>
        <w:t xml:space="preserve">podle </w:t>
      </w:r>
      <w:r w:rsidR="004A5B98">
        <w:rPr>
          <w:rFonts w:ascii="Calibri" w:hAnsi="Calibri" w:cs="Calibri"/>
        </w:rPr>
        <w:t>daňového řádu</w:t>
      </w:r>
      <w:r w:rsidR="00077266">
        <w:rPr>
          <w:rFonts w:ascii="Calibri" w:hAnsi="Calibri" w:cs="Calibri"/>
        </w:rPr>
        <w:t xml:space="preserve"> a podle resortních metodických materiálů.</w:t>
      </w:r>
      <w:r w:rsidR="004F0677">
        <w:rPr>
          <w:rFonts w:ascii="Calibri" w:hAnsi="Calibri" w:cs="Calibri"/>
        </w:rPr>
        <w:t xml:space="preserve"> Soudy mohly</w:t>
      </w:r>
      <w:r w:rsidR="00B00911">
        <w:rPr>
          <w:rFonts w:ascii="Calibri" w:hAnsi="Calibri" w:cs="Calibri"/>
        </w:rPr>
        <w:t xml:space="preserve"> </w:t>
      </w:r>
      <w:r w:rsidR="00AD7B7C">
        <w:rPr>
          <w:rFonts w:ascii="Calibri" w:hAnsi="Calibri" w:cs="Calibri"/>
        </w:rPr>
        <w:t>vymáhat justiční pohledávky také prostřednictvím</w:t>
      </w:r>
      <w:r w:rsidR="002A4048">
        <w:rPr>
          <w:rFonts w:ascii="Calibri" w:hAnsi="Calibri" w:cs="Calibri"/>
        </w:rPr>
        <w:t xml:space="preserve"> soudního exekutora</w:t>
      </w:r>
      <w:r w:rsidR="00F44376">
        <w:rPr>
          <w:rFonts w:ascii="Calibri" w:hAnsi="Calibri" w:cs="Calibri"/>
        </w:rPr>
        <w:t xml:space="preserve"> v režimu </w:t>
      </w:r>
      <w:r w:rsidR="004A5B98">
        <w:rPr>
          <w:rFonts w:ascii="Calibri" w:hAnsi="Calibri" w:cs="Calibri"/>
        </w:rPr>
        <w:t>exekučního řádu</w:t>
      </w:r>
      <w:r w:rsidR="00FB3DB3">
        <w:rPr>
          <w:rStyle w:val="Znakapoznpodarou"/>
          <w:rFonts w:ascii="Calibri" w:hAnsi="Calibri" w:cs="Calibri"/>
        </w:rPr>
        <w:footnoteReference w:id="23"/>
      </w:r>
      <w:r w:rsidR="00FB3DB3">
        <w:rPr>
          <w:rFonts w:ascii="Calibri" w:hAnsi="Calibri" w:cs="Calibri"/>
        </w:rPr>
        <w:t>.</w:t>
      </w:r>
      <w:r w:rsidR="00343665">
        <w:rPr>
          <w:rFonts w:ascii="Calibri" w:hAnsi="Calibri" w:cs="Calibri"/>
        </w:rPr>
        <w:t xml:space="preserve"> </w:t>
      </w:r>
      <w:r w:rsidR="00D7450F">
        <w:rPr>
          <w:rFonts w:ascii="Calibri" w:hAnsi="Calibri" w:cs="Calibri"/>
        </w:rPr>
        <w:t xml:space="preserve">OS PM vymáhal justiční pohledávky vlastními </w:t>
      </w:r>
      <w:r w:rsidR="00EB6B94">
        <w:rPr>
          <w:rFonts w:ascii="Calibri" w:hAnsi="Calibri" w:cs="Calibri"/>
        </w:rPr>
        <w:t>zaměstnanci</w:t>
      </w:r>
      <w:r w:rsidR="00D7450F">
        <w:rPr>
          <w:rFonts w:ascii="Calibri" w:hAnsi="Calibri" w:cs="Calibri"/>
        </w:rPr>
        <w:t>, KS Ostrava využíval k vymáhání justičních pohledávek</w:t>
      </w:r>
      <w:r w:rsidR="009C07DA">
        <w:rPr>
          <w:rFonts w:ascii="Calibri" w:hAnsi="Calibri" w:cs="Calibri"/>
        </w:rPr>
        <w:t xml:space="preserve"> </w:t>
      </w:r>
      <w:r w:rsidR="005651CB">
        <w:rPr>
          <w:rFonts w:ascii="Calibri" w:hAnsi="Calibri" w:cs="Calibri"/>
        </w:rPr>
        <w:t>také</w:t>
      </w:r>
      <w:r w:rsidR="005C6F48">
        <w:rPr>
          <w:rFonts w:ascii="Calibri" w:hAnsi="Calibri" w:cs="Calibri"/>
        </w:rPr>
        <w:t xml:space="preserve"> služeb soudního exekutora.</w:t>
      </w:r>
    </w:p>
    <w:p w14:paraId="69618956" w14:textId="3DEB0255" w:rsidR="00C62DD4" w:rsidRDefault="00C62DD4" w:rsidP="00802C2A">
      <w:pPr>
        <w:spacing w:before="120" w:after="120"/>
        <w:rPr>
          <w:rFonts w:ascii="Calibri" w:hAnsi="Calibri" w:cs="Calibri"/>
        </w:rPr>
      </w:pPr>
      <w:r>
        <w:rPr>
          <w:rFonts w:ascii="Calibri" w:hAnsi="Calibri" w:cs="Calibri"/>
        </w:rPr>
        <w:t xml:space="preserve">KS Ostrava </w:t>
      </w:r>
      <w:r w:rsidR="00707B6D" w:rsidRPr="00D50F5F">
        <w:rPr>
          <w:rFonts w:ascii="Calibri" w:hAnsi="Calibri" w:cs="Calibri"/>
        </w:rPr>
        <w:t>uzavřel</w:t>
      </w:r>
      <w:r>
        <w:rPr>
          <w:rFonts w:ascii="Calibri" w:hAnsi="Calibri" w:cs="Calibri"/>
        </w:rPr>
        <w:t xml:space="preserve"> </w:t>
      </w:r>
      <w:r w:rsidRPr="00D50F5F">
        <w:rPr>
          <w:rFonts w:ascii="Calibri" w:hAnsi="Calibri" w:cs="Calibri"/>
        </w:rPr>
        <w:t xml:space="preserve">se soudním exekutorem </w:t>
      </w:r>
      <w:r w:rsidR="00CB13F1">
        <w:rPr>
          <w:rFonts w:ascii="Calibri" w:hAnsi="Calibri" w:cs="Calibri"/>
        </w:rPr>
        <w:t>r</w:t>
      </w:r>
      <w:r w:rsidRPr="00D50F5F">
        <w:rPr>
          <w:rFonts w:ascii="Calibri" w:hAnsi="Calibri" w:cs="Calibri"/>
        </w:rPr>
        <w:t>ámcovou smlouvu o provádění</w:t>
      </w:r>
      <w:r>
        <w:rPr>
          <w:rFonts w:ascii="Calibri" w:hAnsi="Calibri" w:cs="Calibri"/>
        </w:rPr>
        <w:t xml:space="preserve"> </w:t>
      </w:r>
      <w:r w:rsidRPr="00D50F5F">
        <w:rPr>
          <w:rFonts w:ascii="Calibri" w:hAnsi="Calibri" w:cs="Calibri"/>
        </w:rPr>
        <w:t>exekucí dle konkrétních exekučních titulů,</w:t>
      </w:r>
      <w:r>
        <w:rPr>
          <w:rFonts w:ascii="Calibri" w:hAnsi="Calibri" w:cs="Calibri"/>
        </w:rPr>
        <w:t xml:space="preserve"> </w:t>
      </w:r>
      <w:r w:rsidRPr="00D50F5F">
        <w:rPr>
          <w:rFonts w:ascii="Calibri" w:hAnsi="Calibri" w:cs="Calibri"/>
        </w:rPr>
        <w:t xml:space="preserve">kterými byly mj. daňové justiční pohledávky. </w:t>
      </w:r>
      <w:r>
        <w:rPr>
          <w:rFonts w:ascii="Calibri" w:hAnsi="Calibri" w:cs="Calibri"/>
        </w:rPr>
        <w:t>Podle</w:t>
      </w:r>
      <w:r w:rsidRPr="00D84048">
        <w:rPr>
          <w:rFonts w:ascii="Calibri" w:hAnsi="Calibri" w:cs="Calibri"/>
        </w:rPr>
        <w:t xml:space="preserve"> smlouvy měl K</w:t>
      </w:r>
      <w:r w:rsidR="00607404">
        <w:rPr>
          <w:rFonts w:ascii="Calibri" w:hAnsi="Calibri" w:cs="Calibri"/>
        </w:rPr>
        <w:t>S Ostrava</w:t>
      </w:r>
      <w:r w:rsidRPr="00D84048">
        <w:rPr>
          <w:rFonts w:ascii="Calibri" w:hAnsi="Calibri" w:cs="Calibri"/>
        </w:rPr>
        <w:t xml:space="preserve"> obdržet</w:t>
      </w:r>
      <w:r>
        <w:rPr>
          <w:rFonts w:ascii="Calibri" w:hAnsi="Calibri" w:cs="Calibri"/>
        </w:rPr>
        <w:t xml:space="preserve"> </w:t>
      </w:r>
      <w:r w:rsidRPr="00D84048">
        <w:rPr>
          <w:rFonts w:ascii="Calibri" w:hAnsi="Calibri" w:cs="Calibri"/>
        </w:rPr>
        <w:t>od soudního exekutora 100 %</w:t>
      </w:r>
      <w:r w:rsidR="006527BB">
        <w:rPr>
          <w:rFonts w:ascii="Calibri" w:hAnsi="Calibri" w:cs="Calibri"/>
        </w:rPr>
        <w:t xml:space="preserve"> exe</w:t>
      </w:r>
      <w:r w:rsidR="00C95ED0">
        <w:rPr>
          <w:rFonts w:ascii="Calibri" w:hAnsi="Calibri" w:cs="Calibri"/>
        </w:rPr>
        <w:t>k</w:t>
      </w:r>
      <w:r w:rsidR="006527BB">
        <w:rPr>
          <w:rFonts w:ascii="Calibri" w:hAnsi="Calibri" w:cs="Calibri"/>
        </w:rPr>
        <w:t>utorem</w:t>
      </w:r>
      <w:r w:rsidRPr="00D84048">
        <w:rPr>
          <w:rFonts w:ascii="Calibri" w:hAnsi="Calibri" w:cs="Calibri"/>
        </w:rPr>
        <w:t xml:space="preserve"> vymoženého plnění k</w:t>
      </w:r>
      <w:r w:rsidR="00F833ED">
        <w:rPr>
          <w:rFonts w:ascii="Calibri" w:hAnsi="Calibri" w:cs="Calibri"/>
        </w:rPr>
        <w:t> </w:t>
      </w:r>
      <w:r w:rsidRPr="00D84048">
        <w:rPr>
          <w:rFonts w:ascii="Calibri" w:hAnsi="Calibri" w:cs="Calibri"/>
        </w:rPr>
        <w:t>jednotlivým pohledávkám předaným</w:t>
      </w:r>
      <w:r>
        <w:rPr>
          <w:rFonts w:ascii="Calibri" w:hAnsi="Calibri" w:cs="Calibri"/>
        </w:rPr>
        <w:t xml:space="preserve"> </w:t>
      </w:r>
      <w:r w:rsidRPr="00D84048">
        <w:rPr>
          <w:rFonts w:ascii="Calibri" w:hAnsi="Calibri" w:cs="Calibri"/>
        </w:rPr>
        <w:t>k</w:t>
      </w:r>
      <w:r w:rsidR="00EC22B6">
        <w:rPr>
          <w:rFonts w:ascii="Calibri" w:hAnsi="Calibri" w:cs="Calibri"/>
        </w:rPr>
        <w:t> </w:t>
      </w:r>
      <w:r w:rsidRPr="00D84048">
        <w:rPr>
          <w:rFonts w:ascii="Calibri" w:hAnsi="Calibri" w:cs="Calibri"/>
        </w:rPr>
        <w:t>vymáhání</w:t>
      </w:r>
      <w:r w:rsidR="00EC22B6">
        <w:rPr>
          <w:rFonts w:ascii="Calibri" w:hAnsi="Calibri" w:cs="Calibri"/>
        </w:rPr>
        <w:t>;</w:t>
      </w:r>
      <w:r w:rsidRPr="00D84048">
        <w:rPr>
          <w:rFonts w:ascii="Calibri" w:hAnsi="Calibri" w:cs="Calibri"/>
        </w:rPr>
        <w:t xml:space="preserve"> soudní exekutor měl</w:t>
      </w:r>
      <w:r w:rsidR="006527BB">
        <w:rPr>
          <w:rFonts w:ascii="Calibri" w:hAnsi="Calibri" w:cs="Calibri"/>
        </w:rPr>
        <w:t xml:space="preserve"> až následně vymáhat</w:t>
      </w:r>
      <w:r w:rsidRPr="00D84048">
        <w:rPr>
          <w:rFonts w:ascii="Calibri" w:hAnsi="Calibri" w:cs="Calibri"/>
        </w:rPr>
        <w:t xml:space="preserve"> náklady </w:t>
      </w:r>
      <w:r w:rsidR="006527BB">
        <w:rPr>
          <w:rFonts w:ascii="Calibri" w:hAnsi="Calibri" w:cs="Calibri"/>
        </w:rPr>
        <w:t>exekuce</w:t>
      </w:r>
      <w:r w:rsidRPr="00D84048">
        <w:rPr>
          <w:rFonts w:ascii="Calibri" w:hAnsi="Calibri" w:cs="Calibri"/>
        </w:rPr>
        <w:t>.</w:t>
      </w:r>
    </w:p>
    <w:p w14:paraId="5DDE9EC7" w14:textId="18C353E5" w:rsidR="00C62DD4" w:rsidRPr="00D50F5F" w:rsidRDefault="00C62DD4" w:rsidP="00802C2A">
      <w:pPr>
        <w:spacing w:before="120" w:after="120"/>
        <w:rPr>
          <w:rFonts w:ascii="Calibri" w:hAnsi="Calibri" w:cs="Calibri"/>
        </w:rPr>
      </w:pPr>
      <w:r w:rsidRPr="0087559C">
        <w:rPr>
          <w:rFonts w:ascii="Calibri" w:hAnsi="Calibri" w:cs="Calibri"/>
        </w:rPr>
        <w:t>NKÚ zjistil, že KS</w:t>
      </w:r>
      <w:r w:rsidR="00FA1BD4" w:rsidRPr="0087559C">
        <w:rPr>
          <w:rFonts w:ascii="Calibri" w:hAnsi="Calibri" w:cs="Calibri"/>
        </w:rPr>
        <w:t xml:space="preserve"> Ostrava</w:t>
      </w:r>
      <w:r w:rsidRPr="0087559C">
        <w:rPr>
          <w:rFonts w:ascii="Calibri" w:hAnsi="Calibri" w:cs="Calibri"/>
        </w:rPr>
        <w:t xml:space="preserve"> neprováděl u soudního exekutora kontrolu nebo inventarizaci exekučních spisů předaných pohledávek a neměl zřízen dálkový přístup do těchto spisů, přestože toto oprávnění a možnosti kontroly v</w:t>
      </w:r>
      <w:r w:rsidR="00F03A66" w:rsidRPr="0087559C">
        <w:rPr>
          <w:rFonts w:ascii="Calibri" w:hAnsi="Calibri" w:cs="Calibri"/>
        </w:rPr>
        <w:t>e</w:t>
      </w:r>
      <w:r w:rsidR="00CB13F1">
        <w:rPr>
          <w:rFonts w:ascii="Calibri" w:hAnsi="Calibri" w:cs="Calibri"/>
        </w:rPr>
        <w:t xml:space="preserve"> </w:t>
      </w:r>
      <w:r w:rsidRPr="0087559C">
        <w:rPr>
          <w:rFonts w:ascii="Calibri" w:hAnsi="Calibri" w:cs="Calibri"/>
        </w:rPr>
        <w:t>smlouvě se soudním exekutorem sjednal.</w:t>
      </w:r>
    </w:p>
    <w:p w14:paraId="407E1FC5" w14:textId="09C0A1ED" w:rsidR="00C62DD4" w:rsidRPr="000357DB" w:rsidRDefault="00C62DD4" w:rsidP="00802C2A">
      <w:pPr>
        <w:spacing w:before="120" w:after="120"/>
        <w:rPr>
          <w:rFonts w:ascii="Calibri" w:hAnsi="Calibri" w:cs="Calibri"/>
        </w:rPr>
      </w:pPr>
      <w:r w:rsidRPr="00D84048">
        <w:rPr>
          <w:rFonts w:ascii="Calibri" w:hAnsi="Calibri" w:cs="Calibri"/>
        </w:rPr>
        <w:lastRenderedPageBreak/>
        <w:t xml:space="preserve">NKÚ </w:t>
      </w:r>
      <w:r w:rsidRPr="000357DB">
        <w:rPr>
          <w:rFonts w:ascii="Calibri" w:hAnsi="Calibri" w:cs="Calibri"/>
        </w:rPr>
        <w:t xml:space="preserve">dále </w:t>
      </w:r>
      <w:r w:rsidRPr="00D84048">
        <w:rPr>
          <w:rFonts w:ascii="Calibri" w:hAnsi="Calibri" w:cs="Calibri"/>
        </w:rPr>
        <w:t>zjistil, že systém vyúčtování vymoženého plnění k</w:t>
      </w:r>
      <w:r w:rsidRPr="000357DB">
        <w:rPr>
          <w:rFonts w:ascii="Calibri" w:hAnsi="Calibri" w:cs="Calibri"/>
        </w:rPr>
        <w:t> </w:t>
      </w:r>
      <w:r w:rsidRPr="00D84048">
        <w:rPr>
          <w:rFonts w:ascii="Calibri" w:hAnsi="Calibri" w:cs="Calibri"/>
        </w:rPr>
        <w:t>pohledávkám</w:t>
      </w:r>
      <w:r w:rsidRPr="000357DB">
        <w:rPr>
          <w:rFonts w:ascii="Calibri" w:hAnsi="Calibri" w:cs="Calibri"/>
        </w:rPr>
        <w:t xml:space="preserve"> </w:t>
      </w:r>
      <w:r w:rsidRPr="00D84048">
        <w:rPr>
          <w:rFonts w:ascii="Calibri" w:hAnsi="Calibri" w:cs="Calibri"/>
        </w:rPr>
        <w:t>předaným k</w:t>
      </w:r>
      <w:r w:rsidR="002D0ADD">
        <w:rPr>
          <w:rFonts w:ascii="Calibri" w:hAnsi="Calibri" w:cs="Calibri"/>
        </w:rPr>
        <w:t> </w:t>
      </w:r>
      <w:r w:rsidRPr="00D84048">
        <w:rPr>
          <w:rFonts w:ascii="Calibri" w:hAnsi="Calibri" w:cs="Calibri"/>
        </w:rPr>
        <w:t>vymáhání soudnímu exekutorovi K</w:t>
      </w:r>
      <w:r w:rsidRPr="000357DB">
        <w:rPr>
          <w:rFonts w:ascii="Calibri" w:hAnsi="Calibri" w:cs="Calibri"/>
        </w:rPr>
        <w:t>S</w:t>
      </w:r>
      <w:r w:rsidR="00D33B3C">
        <w:rPr>
          <w:rFonts w:ascii="Calibri" w:hAnsi="Calibri" w:cs="Calibri"/>
        </w:rPr>
        <w:t xml:space="preserve"> Ostrava</w:t>
      </w:r>
      <w:r w:rsidRPr="000357DB">
        <w:rPr>
          <w:rFonts w:ascii="Calibri" w:hAnsi="Calibri" w:cs="Calibri"/>
        </w:rPr>
        <w:t xml:space="preserve"> </w:t>
      </w:r>
      <w:r w:rsidRPr="00D84048">
        <w:rPr>
          <w:rFonts w:ascii="Calibri" w:hAnsi="Calibri" w:cs="Calibri"/>
        </w:rPr>
        <w:t>se soudním</w:t>
      </w:r>
      <w:r w:rsidRPr="000357DB">
        <w:rPr>
          <w:rFonts w:ascii="Calibri" w:hAnsi="Calibri" w:cs="Calibri"/>
        </w:rPr>
        <w:t xml:space="preserve"> exekutorem </w:t>
      </w:r>
      <w:r w:rsidR="00707B6D">
        <w:rPr>
          <w:rFonts w:ascii="Calibri" w:hAnsi="Calibri" w:cs="Calibri"/>
        </w:rPr>
        <w:t>nenastavil</w:t>
      </w:r>
      <w:r w:rsidR="00707B6D" w:rsidRPr="000357DB">
        <w:rPr>
          <w:rFonts w:ascii="Calibri" w:hAnsi="Calibri" w:cs="Calibri"/>
        </w:rPr>
        <w:t xml:space="preserve"> </w:t>
      </w:r>
      <w:r w:rsidRPr="000357DB">
        <w:rPr>
          <w:rFonts w:ascii="Calibri" w:hAnsi="Calibri" w:cs="Calibri"/>
        </w:rPr>
        <w:t>a</w:t>
      </w:r>
      <w:r w:rsidR="002D0ADD">
        <w:rPr>
          <w:rFonts w:ascii="Calibri" w:hAnsi="Calibri" w:cs="Calibri"/>
        </w:rPr>
        <w:t> </w:t>
      </w:r>
      <w:r w:rsidR="00707B6D">
        <w:rPr>
          <w:rFonts w:ascii="Calibri" w:hAnsi="Calibri" w:cs="Calibri"/>
        </w:rPr>
        <w:t>ne</w:t>
      </w:r>
      <w:r w:rsidRPr="000357DB">
        <w:rPr>
          <w:rFonts w:ascii="Calibri" w:hAnsi="Calibri" w:cs="Calibri"/>
        </w:rPr>
        <w:t>realizov</w:t>
      </w:r>
      <w:r w:rsidR="00707B6D">
        <w:rPr>
          <w:rFonts w:ascii="Calibri" w:hAnsi="Calibri" w:cs="Calibri"/>
        </w:rPr>
        <w:t>al</w:t>
      </w:r>
      <w:r w:rsidRPr="000357DB">
        <w:rPr>
          <w:rFonts w:ascii="Calibri" w:hAnsi="Calibri" w:cs="Calibri"/>
        </w:rPr>
        <w:t xml:space="preserve"> transparentně. </w:t>
      </w:r>
      <w:r w:rsidRPr="00D84048">
        <w:rPr>
          <w:rFonts w:ascii="Calibri" w:hAnsi="Calibri" w:cs="Calibri"/>
        </w:rPr>
        <w:t>K</w:t>
      </w:r>
      <w:r w:rsidRPr="000357DB">
        <w:rPr>
          <w:rFonts w:ascii="Calibri" w:hAnsi="Calibri" w:cs="Calibri"/>
        </w:rPr>
        <w:t>S</w:t>
      </w:r>
      <w:r w:rsidR="00D33B3C">
        <w:rPr>
          <w:rFonts w:ascii="Calibri" w:hAnsi="Calibri" w:cs="Calibri"/>
        </w:rPr>
        <w:t xml:space="preserve"> Ostrava</w:t>
      </w:r>
      <w:r w:rsidRPr="00D84048">
        <w:rPr>
          <w:rFonts w:ascii="Calibri" w:hAnsi="Calibri" w:cs="Calibri"/>
        </w:rPr>
        <w:t xml:space="preserve"> v kontrolovaném období přijímal od soudního exekutora platby</w:t>
      </w:r>
      <w:r w:rsidRPr="000357DB">
        <w:rPr>
          <w:rFonts w:ascii="Calibri" w:hAnsi="Calibri" w:cs="Calibri"/>
        </w:rPr>
        <w:t xml:space="preserve"> </w:t>
      </w:r>
      <w:r w:rsidRPr="00D84048">
        <w:rPr>
          <w:rFonts w:ascii="Calibri" w:hAnsi="Calibri" w:cs="Calibri"/>
        </w:rPr>
        <w:t>vymoženého plnění k pohledávkám předaným k vymáhání. Tyto platby K</w:t>
      </w:r>
      <w:r w:rsidRPr="000357DB">
        <w:rPr>
          <w:rFonts w:ascii="Calibri" w:hAnsi="Calibri" w:cs="Calibri"/>
        </w:rPr>
        <w:t>S</w:t>
      </w:r>
      <w:r w:rsidR="0001000F">
        <w:rPr>
          <w:rFonts w:ascii="Calibri" w:hAnsi="Calibri" w:cs="Calibri"/>
        </w:rPr>
        <w:t xml:space="preserve"> Ostrava</w:t>
      </w:r>
      <w:r w:rsidRPr="000357DB">
        <w:rPr>
          <w:rFonts w:ascii="Calibri" w:hAnsi="Calibri" w:cs="Calibri"/>
        </w:rPr>
        <w:t xml:space="preserve"> </w:t>
      </w:r>
      <w:r w:rsidRPr="00D84048">
        <w:rPr>
          <w:rFonts w:ascii="Calibri" w:hAnsi="Calibri" w:cs="Calibri"/>
        </w:rPr>
        <w:t xml:space="preserve">rozúčtoval k jednotlivým pohledávkám. </w:t>
      </w:r>
      <w:r w:rsidRPr="000357DB">
        <w:rPr>
          <w:rFonts w:ascii="Calibri" w:hAnsi="Calibri" w:cs="Calibri"/>
        </w:rPr>
        <w:t>KS</w:t>
      </w:r>
      <w:r w:rsidR="0001000F">
        <w:rPr>
          <w:rFonts w:ascii="Calibri" w:hAnsi="Calibri" w:cs="Calibri"/>
        </w:rPr>
        <w:t xml:space="preserve"> Ostrava</w:t>
      </w:r>
      <w:r w:rsidRPr="000357DB">
        <w:rPr>
          <w:rFonts w:ascii="Calibri" w:hAnsi="Calibri" w:cs="Calibri"/>
        </w:rPr>
        <w:t xml:space="preserve"> však od soudního exekutora neobdržel </w:t>
      </w:r>
      <w:r w:rsidRPr="00D84048">
        <w:rPr>
          <w:rFonts w:ascii="Calibri" w:hAnsi="Calibri" w:cs="Calibri"/>
        </w:rPr>
        <w:t>žádné podrobné přehledy nebo vyúčtování týkající se stavu vymáhání jednotlivých</w:t>
      </w:r>
      <w:r w:rsidRPr="000357DB">
        <w:rPr>
          <w:rFonts w:ascii="Calibri" w:hAnsi="Calibri" w:cs="Calibri"/>
        </w:rPr>
        <w:t xml:space="preserve"> předaných justičních pohledávek. Neměl tak </w:t>
      </w:r>
      <w:r w:rsidRPr="00D84048">
        <w:rPr>
          <w:rFonts w:ascii="Calibri" w:hAnsi="Calibri" w:cs="Calibri"/>
        </w:rPr>
        <w:t>k dispozici žádné podrobnější a konkrétní dokumenty s údaji o soudním</w:t>
      </w:r>
      <w:r w:rsidRPr="000357DB">
        <w:rPr>
          <w:rFonts w:ascii="Calibri" w:hAnsi="Calibri" w:cs="Calibri"/>
        </w:rPr>
        <w:t xml:space="preserve"> </w:t>
      </w:r>
      <w:r w:rsidRPr="00D84048">
        <w:rPr>
          <w:rFonts w:ascii="Calibri" w:hAnsi="Calibri" w:cs="Calibri"/>
        </w:rPr>
        <w:t>exekutorem vymoženém plnění k jednotlivým pohledávkám a</w:t>
      </w:r>
      <w:r w:rsidR="002D0ADD">
        <w:rPr>
          <w:rFonts w:ascii="Calibri" w:hAnsi="Calibri" w:cs="Calibri"/>
        </w:rPr>
        <w:t> </w:t>
      </w:r>
      <w:r w:rsidRPr="00D84048">
        <w:rPr>
          <w:rFonts w:ascii="Calibri" w:hAnsi="Calibri" w:cs="Calibri"/>
        </w:rPr>
        <w:t xml:space="preserve">způsobu jeho </w:t>
      </w:r>
      <w:r w:rsidRPr="004A5B98">
        <w:rPr>
          <w:rFonts w:ascii="Calibri" w:hAnsi="Calibri" w:cs="Calibri"/>
        </w:rPr>
        <w:t>rozúčtování mezi KS</w:t>
      </w:r>
      <w:r w:rsidR="0001000F" w:rsidRPr="004A5B98">
        <w:rPr>
          <w:rFonts w:ascii="Calibri" w:hAnsi="Calibri" w:cs="Calibri"/>
        </w:rPr>
        <w:t xml:space="preserve"> Ostrava</w:t>
      </w:r>
      <w:r w:rsidRPr="004A5B98">
        <w:rPr>
          <w:rFonts w:ascii="Calibri" w:hAnsi="Calibri" w:cs="Calibri"/>
        </w:rPr>
        <w:t xml:space="preserve"> a soudní</w:t>
      </w:r>
      <w:r w:rsidR="004A5B98" w:rsidRPr="004A5B98">
        <w:rPr>
          <w:rFonts w:ascii="Calibri" w:hAnsi="Calibri" w:cs="Calibri"/>
        </w:rPr>
        <w:t>m</w:t>
      </w:r>
      <w:r w:rsidRPr="004A5B98">
        <w:rPr>
          <w:rFonts w:ascii="Calibri" w:hAnsi="Calibri" w:cs="Calibri"/>
        </w:rPr>
        <w:t xml:space="preserve"> exekutor</w:t>
      </w:r>
      <w:r w:rsidR="004A5B98" w:rsidRPr="004A5B98">
        <w:rPr>
          <w:rFonts w:ascii="Calibri" w:hAnsi="Calibri" w:cs="Calibri"/>
        </w:rPr>
        <w:t>em</w:t>
      </w:r>
      <w:r w:rsidRPr="004A5B98">
        <w:rPr>
          <w:rFonts w:ascii="Calibri" w:hAnsi="Calibri" w:cs="Calibri"/>
        </w:rPr>
        <w:t xml:space="preserve">. S ohledem na uvedené skutečnosti </w:t>
      </w:r>
      <w:r w:rsidR="00CB13F1" w:rsidRPr="000357DB">
        <w:rPr>
          <w:rFonts w:ascii="Calibri" w:hAnsi="Calibri" w:cs="Calibri"/>
        </w:rPr>
        <w:t>nemohl</w:t>
      </w:r>
      <w:r w:rsidR="00CB13F1" w:rsidRPr="00D84048">
        <w:rPr>
          <w:rFonts w:ascii="Calibri" w:hAnsi="Calibri" w:cs="Calibri"/>
        </w:rPr>
        <w:t xml:space="preserve"> </w:t>
      </w:r>
      <w:r w:rsidRPr="004A5B98">
        <w:rPr>
          <w:rFonts w:ascii="Calibri" w:hAnsi="Calibri" w:cs="Calibri"/>
        </w:rPr>
        <w:t>KS</w:t>
      </w:r>
      <w:r w:rsidRPr="000357DB">
        <w:rPr>
          <w:rFonts w:ascii="Calibri" w:hAnsi="Calibri" w:cs="Calibri"/>
        </w:rPr>
        <w:t xml:space="preserve"> </w:t>
      </w:r>
      <w:r w:rsidR="00695B64">
        <w:rPr>
          <w:rFonts w:ascii="Calibri" w:hAnsi="Calibri" w:cs="Calibri"/>
        </w:rPr>
        <w:t xml:space="preserve">Ostrava </w:t>
      </w:r>
      <w:r w:rsidRPr="00D84048">
        <w:rPr>
          <w:rFonts w:ascii="Calibri" w:hAnsi="Calibri" w:cs="Calibri"/>
        </w:rPr>
        <w:t>ověřit, zda plnění</w:t>
      </w:r>
      <w:r w:rsidRPr="000357DB">
        <w:rPr>
          <w:rFonts w:ascii="Calibri" w:hAnsi="Calibri" w:cs="Calibri"/>
        </w:rPr>
        <w:t xml:space="preserve"> </w:t>
      </w:r>
      <w:r w:rsidRPr="00D84048">
        <w:rPr>
          <w:rFonts w:ascii="Calibri" w:hAnsi="Calibri" w:cs="Calibri"/>
        </w:rPr>
        <w:t>vymožené soudním exekutorem bylo rozděleno mezi K</w:t>
      </w:r>
      <w:r w:rsidRPr="000357DB">
        <w:rPr>
          <w:rFonts w:ascii="Calibri" w:hAnsi="Calibri" w:cs="Calibri"/>
        </w:rPr>
        <w:t>S</w:t>
      </w:r>
      <w:r w:rsidR="00695B64">
        <w:rPr>
          <w:rFonts w:ascii="Calibri" w:hAnsi="Calibri" w:cs="Calibri"/>
        </w:rPr>
        <w:t xml:space="preserve"> Ostrava</w:t>
      </w:r>
      <w:r w:rsidRPr="00D84048">
        <w:rPr>
          <w:rFonts w:ascii="Calibri" w:hAnsi="Calibri" w:cs="Calibri"/>
        </w:rPr>
        <w:t xml:space="preserve"> a soudního exekutora</w:t>
      </w:r>
      <w:r w:rsidRPr="000357DB">
        <w:rPr>
          <w:rFonts w:ascii="Calibri" w:hAnsi="Calibri" w:cs="Calibri"/>
        </w:rPr>
        <w:t xml:space="preserve"> </w:t>
      </w:r>
      <w:r w:rsidRPr="00D84048">
        <w:rPr>
          <w:rFonts w:ascii="Calibri" w:hAnsi="Calibri" w:cs="Calibri"/>
        </w:rPr>
        <w:t>v souladu s</w:t>
      </w:r>
      <w:r w:rsidR="00ED5E75">
        <w:rPr>
          <w:rFonts w:ascii="Calibri" w:hAnsi="Calibri" w:cs="Calibri"/>
        </w:rPr>
        <w:t>e</w:t>
      </w:r>
      <w:r w:rsidRPr="00D84048">
        <w:rPr>
          <w:rFonts w:ascii="Calibri" w:hAnsi="Calibri" w:cs="Calibri"/>
        </w:rPr>
        <w:t xml:space="preserve"> smlouvou, tj. zda K</w:t>
      </w:r>
      <w:r w:rsidRPr="000357DB">
        <w:rPr>
          <w:rFonts w:ascii="Calibri" w:hAnsi="Calibri" w:cs="Calibri"/>
        </w:rPr>
        <w:t>S</w:t>
      </w:r>
      <w:r w:rsidR="00695B64">
        <w:rPr>
          <w:rFonts w:ascii="Calibri" w:hAnsi="Calibri" w:cs="Calibri"/>
        </w:rPr>
        <w:t xml:space="preserve"> Ostrava</w:t>
      </w:r>
      <w:r w:rsidRPr="00D84048">
        <w:rPr>
          <w:rFonts w:ascii="Calibri" w:hAnsi="Calibri" w:cs="Calibri"/>
        </w:rPr>
        <w:t xml:space="preserve"> obdržel od soudního exekutora</w:t>
      </w:r>
      <w:r w:rsidRPr="000357DB">
        <w:rPr>
          <w:rFonts w:ascii="Calibri" w:hAnsi="Calibri" w:cs="Calibri"/>
        </w:rPr>
        <w:t xml:space="preserve"> </w:t>
      </w:r>
      <w:r w:rsidR="0067349A">
        <w:rPr>
          <w:rFonts w:ascii="Calibri" w:hAnsi="Calibri" w:cs="Calibri"/>
        </w:rPr>
        <w:t>vymožené plnění v celé výši</w:t>
      </w:r>
      <w:r w:rsidRPr="00D84048">
        <w:rPr>
          <w:rFonts w:ascii="Calibri" w:hAnsi="Calibri" w:cs="Calibri"/>
        </w:rPr>
        <w:t xml:space="preserve"> v souladu s touto smlouvou. </w:t>
      </w:r>
    </w:p>
    <w:p w14:paraId="137A81C2" w14:textId="3A1707FD" w:rsidR="005267B3" w:rsidRDefault="00959D6D" w:rsidP="00802C2A">
      <w:pPr>
        <w:spacing w:after="0"/>
        <w:rPr>
          <w:lang w:eastAsia="cs-CZ"/>
        </w:rPr>
      </w:pPr>
      <w:r w:rsidRPr="00C359E4">
        <w:rPr>
          <w:lang w:eastAsia="cs-CZ"/>
        </w:rPr>
        <w:t>NKÚ na</w:t>
      </w:r>
      <w:r w:rsidR="5114F511" w:rsidRPr="00C359E4">
        <w:rPr>
          <w:lang w:eastAsia="cs-CZ"/>
        </w:rPr>
        <w:t xml:space="preserve"> kontrolním</w:t>
      </w:r>
      <w:r w:rsidRPr="00C359E4">
        <w:rPr>
          <w:lang w:eastAsia="cs-CZ"/>
        </w:rPr>
        <w:t xml:space="preserve"> vzorku </w:t>
      </w:r>
      <w:r w:rsidR="00C96E1A">
        <w:rPr>
          <w:lang w:eastAsia="cs-CZ"/>
        </w:rPr>
        <w:t>156</w:t>
      </w:r>
      <w:r w:rsidR="00531030">
        <w:rPr>
          <w:rStyle w:val="Znakapoznpodarou"/>
          <w:lang w:eastAsia="cs-CZ"/>
        </w:rPr>
        <w:footnoteReference w:id="24"/>
      </w:r>
      <w:r w:rsidR="00C96E1A">
        <w:rPr>
          <w:lang w:eastAsia="cs-CZ"/>
        </w:rPr>
        <w:t xml:space="preserve"> justičních </w:t>
      </w:r>
      <w:r w:rsidR="79F82E62" w:rsidRPr="00C359E4">
        <w:rPr>
          <w:lang w:eastAsia="cs-CZ"/>
        </w:rPr>
        <w:t>pohledávek zjistil</w:t>
      </w:r>
      <w:r w:rsidR="0025411A">
        <w:rPr>
          <w:lang w:eastAsia="cs-CZ"/>
        </w:rPr>
        <w:t>, že kontrolované soudy</w:t>
      </w:r>
      <w:r w:rsidR="008C7390">
        <w:rPr>
          <w:lang w:eastAsia="cs-CZ"/>
        </w:rPr>
        <w:t>:</w:t>
      </w:r>
    </w:p>
    <w:p w14:paraId="721C4E7F" w14:textId="04448903" w:rsidR="00EC22B6" w:rsidRDefault="00EC22B6" w:rsidP="00802C2A">
      <w:pPr>
        <w:pStyle w:val="Odstavecseseznamem"/>
        <w:numPr>
          <w:ilvl w:val="0"/>
          <w:numId w:val="29"/>
        </w:numPr>
        <w:spacing w:after="0"/>
        <w:ind w:left="284" w:hanging="284"/>
        <w:contextualSpacing w:val="0"/>
        <w:rPr>
          <w:lang w:eastAsia="cs-CZ"/>
        </w:rPr>
      </w:pPr>
      <w:r>
        <w:rPr>
          <w:lang w:eastAsia="cs-CZ"/>
        </w:rPr>
        <w:t>ve 13 případech</w:t>
      </w:r>
      <w:r w:rsidR="00721E88">
        <w:rPr>
          <w:lang w:eastAsia="cs-CZ"/>
        </w:rPr>
        <w:t xml:space="preserve"> pohledávek v</w:t>
      </w:r>
      <w:r w:rsidR="001E544E">
        <w:rPr>
          <w:lang w:eastAsia="cs-CZ"/>
        </w:rPr>
        <w:t xml:space="preserve"> celkové </w:t>
      </w:r>
      <w:r w:rsidR="00721E88">
        <w:rPr>
          <w:lang w:eastAsia="cs-CZ"/>
        </w:rPr>
        <w:t>výši 1 382 tis. Kč</w:t>
      </w:r>
      <w:r>
        <w:rPr>
          <w:lang w:eastAsia="cs-CZ"/>
        </w:rPr>
        <w:t xml:space="preserve"> průběžně nesledovaly, zda dlužníci včas a řádně plnili své dluhy;</w:t>
      </w:r>
    </w:p>
    <w:p w14:paraId="4A6239AF" w14:textId="22D078EC" w:rsidR="00E94485" w:rsidRDefault="00301601" w:rsidP="00802C2A">
      <w:pPr>
        <w:pStyle w:val="Odstavecseseznamem"/>
        <w:numPr>
          <w:ilvl w:val="0"/>
          <w:numId w:val="29"/>
        </w:numPr>
        <w:spacing w:after="0"/>
        <w:ind w:left="284" w:hanging="284"/>
        <w:contextualSpacing w:val="0"/>
        <w:rPr>
          <w:lang w:eastAsia="cs-CZ"/>
        </w:rPr>
      </w:pPr>
      <w:r>
        <w:rPr>
          <w:lang w:eastAsia="cs-CZ"/>
        </w:rPr>
        <w:t>v </w:t>
      </w:r>
      <w:r w:rsidR="00824C78">
        <w:rPr>
          <w:lang w:eastAsia="cs-CZ"/>
        </w:rPr>
        <w:t>osmi</w:t>
      </w:r>
      <w:r>
        <w:rPr>
          <w:lang w:eastAsia="cs-CZ"/>
        </w:rPr>
        <w:t xml:space="preserve"> případech</w:t>
      </w:r>
      <w:r w:rsidR="00721E88">
        <w:rPr>
          <w:lang w:eastAsia="cs-CZ"/>
        </w:rPr>
        <w:t xml:space="preserve"> pohledávek v</w:t>
      </w:r>
      <w:r w:rsidR="001E544E">
        <w:rPr>
          <w:lang w:eastAsia="cs-CZ"/>
        </w:rPr>
        <w:t xml:space="preserve"> celkové</w:t>
      </w:r>
      <w:r w:rsidR="00721E88">
        <w:rPr>
          <w:lang w:eastAsia="cs-CZ"/>
        </w:rPr>
        <w:t xml:space="preserve"> výši 25 tis. Kč</w:t>
      </w:r>
      <w:r>
        <w:rPr>
          <w:lang w:eastAsia="cs-CZ"/>
        </w:rPr>
        <w:t xml:space="preserve"> </w:t>
      </w:r>
      <w:r w:rsidR="00043F0C">
        <w:rPr>
          <w:lang w:eastAsia="cs-CZ"/>
        </w:rPr>
        <w:t>neúčtovaly</w:t>
      </w:r>
      <w:r w:rsidR="00792D4B">
        <w:rPr>
          <w:lang w:eastAsia="cs-CZ"/>
        </w:rPr>
        <w:t xml:space="preserve"> </w:t>
      </w:r>
      <w:r w:rsidR="00F1472C">
        <w:rPr>
          <w:lang w:eastAsia="cs-CZ"/>
        </w:rPr>
        <w:t xml:space="preserve">o zaevidování nebo odpisech justičních pohledávek </w:t>
      </w:r>
      <w:r w:rsidR="00792D4B">
        <w:rPr>
          <w:lang w:eastAsia="cs-CZ"/>
        </w:rPr>
        <w:t>v</w:t>
      </w:r>
      <w:r w:rsidR="001072F7">
        <w:rPr>
          <w:lang w:eastAsia="cs-CZ"/>
        </w:rPr>
        <w:t> </w:t>
      </w:r>
      <w:r w:rsidR="00792D4B">
        <w:rPr>
          <w:lang w:eastAsia="cs-CZ"/>
        </w:rPr>
        <w:t>souladu</w:t>
      </w:r>
      <w:r w:rsidR="001072F7">
        <w:rPr>
          <w:lang w:eastAsia="cs-CZ"/>
        </w:rPr>
        <w:t xml:space="preserve"> </w:t>
      </w:r>
      <w:r w:rsidR="004A5B98">
        <w:rPr>
          <w:lang w:eastAsia="cs-CZ"/>
        </w:rPr>
        <w:t>se zákonem o účetnictví</w:t>
      </w:r>
      <w:r w:rsidR="00FB3DB3">
        <w:rPr>
          <w:rStyle w:val="Znakapoznpodarou"/>
          <w:lang w:eastAsia="cs-CZ"/>
        </w:rPr>
        <w:footnoteReference w:id="25"/>
      </w:r>
      <w:r w:rsidR="00F1472C">
        <w:rPr>
          <w:lang w:eastAsia="cs-CZ"/>
        </w:rPr>
        <w:t>, neboť neúčtovaly o</w:t>
      </w:r>
      <w:r w:rsidR="00F833ED">
        <w:rPr>
          <w:lang w:eastAsia="cs-CZ"/>
        </w:rPr>
        <w:t> </w:t>
      </w:r>
      <w:r w:rsidR="00F1472C">
        <w:rPr>
          <w:lang w:eastAsia="cs-CZ"/>
        </w:rPr>
        <w:t>těchto skutečnostech do účetního období, s nímž časově a věcně souvisely</w:t>
      </w:r>
      <w:r w:rsidR="008D2D9D">
        <w:rPr>
          <w:lang w:eastAsia="cs-CZ"/>
        </w:rPr>
        <w:t>;</w:t>
      </w:r>
    </w:p>
    <w:p w14:paraId="54274473" w14:textId="0DA71E29" w:rsidR="009D5B20" w:rsidRDefault="009D5B20" w:rsidP="00802C2A">
      <w:pPr>
        <w:pStyle w:val="Odstavecseseznamem"/>
        <w:numPr>
          <w:ilvl w:val="0"/>
          <w:numId w:val="29"/>
        </w:numPr>
        <w:spacing w:after="0"/>
        <w:ind w:left="284" w:hanging="284"/>
        <w:contextualSpacing w:val="0"/>
        <w:rPr>
          <w:lang w:eastAsia="cs-CZ"/>
        </w:rPr>
      </w:pPr>
      <w:r>
        <w:rPr>
          <w:lang w:eastAsia="cs-CZ"/>
        </w:rPr>
        <w:t>v sedmi případech</w:t>
      </w:r>
      <w:r w:rsidR="00C80D4E">
        <w:rPr>
          <w:lang w:eastAsia="cs-CZ"/>
        </w:rPr>
        <w:t xml:space="preserve"> pohledávek v</w:t>
      </w:r>
      <w:r w:rsidR="001E544E">
        <w:rPr>
          <w:lang w:eastAsia="cs-CZ"/>
        </w:rPr>
        <w:t xml:space="preserve"> celkové</w:t>
      </w:r>
      <w:r w:rsidR="00C80D4E">
        <w:rPr>
          <w:lang w:eastAsia="cs-CZ"/>
        </w:rPr>
        <w:t xml:space="preserve"> výši 184 tis. Kč</w:t>
      </w:r>
      <w:r w:rsidR="00CD0C29">
        <w:rPr>
          <w:lang w:eastAsia="cs-CZ"/>
        </w:rPr>
        <w:t xml:space="preserve"> nepostupoval</w:t>
      </w:r>
      <w:r w:rsidR="0099325E">
        <w:rPr>
          <w:lang w:eastAsia="cs-CZ"/>
        </w:rPr>
        <w:t>y</w:t>
      </w:r>
      <w:r w:rsidR="00CD0C29">
        <w:rPr>
          <w:lang w:eastAsia="cs-CZ"/>
        </w:rPr>
        <w:t xml:space="preserve"> v souladu s daňovým řádem</w:t>
      </w:r>
      <w:r w:rsidR="00CD0C29">
        <w:rPr>
          <w:rStyle w:val="Znakapoznpodarou"/>
          <w:lang w:eastAsia="cs-CZ"/>
        </w:rPr>
        <w:footnoteReference w:id="26"/>
      </w:r>
      <w:r w:rsidR="0099325E">
        <w:rPr>
          <w:lang w:eastAsia="cs-CZ"/>
        </w:rPr>
        <w:t xml:space="preserve"> tím, že</w:t>
      </w:r>
      <w:r w:rsidR="00CD0C29">
        <w:rPr>
          <w:lang w:eastAsia="cs-CZ"/>
        </w:rPr>
        <w:t xml:space="preserve"> nevydaly rozhodnutí o zastavení exekuce</w:t>
      </w:r>
      <w:r>
        <w:rPr>
          <w:lang w:eastAsia="cs-CZ"/>
        </w:rPr>
        <w:t>, přičemž dlužníci již byli několik let po smrti (od cca 1,5 roku až 8 let);</w:t>
      </w:r>
    </w:p>
    <w:p w14:paraId="6995D568" w14:textId="582C1AFB" w:rsidR="00887A6A" w:rsidRDefault="00F05B50" w:rsidP="00802C2A">
      <w:pPr>
        <w:pStyle w:val="Odstavecseseznamem"/>
        <w:numPr>
          <w:ilvl w:val="0"/>
          <w:numId w:val="29"/>
        </w:numPr>
        <w:spacing w:after="0"/>
        <w:ind w:left="284" w:hanging="284"/>
        <w:contextualSpacing w:val="0"/>
        <w:rPr>
          <w:lang w:eastAsia="cs-CZ"/>
        </w:rPr>
      </w:pPr>
      <w:r>
        <w:rPr>
          <w:lang w:eastAsia="cs-CZ"/>
        </w:rPr>
        <w:t>v pěti případech</w:t>
      </w:r>
      <w:r w:rsidR="002C6E5C">
        <w:rPr>
          <w:lang w:eastAsia="cs-CZ"/>
        </w:rPr>
        <w:t xml:space="preserve"> pohledávek v</w:t>
      </w:r>
      <w:r w:rsidR="001E544E">
        <w:rPr>
          <w:lang w:eastAsia="cs-CZ"/>
        </w:rPr>
        <w:t xml:space="preserve"> celkové</w:t>
      </w:r>
      <w:r w:rsidR="002C6E5C">
        <w:rPr>
          <w:lang w:eastAsia="cs-CZ"/>
        </w:rPr>
        <w:t xml:space="preserve"> výši 153 tis. Kč</w:t>
      </w:r>
      <w:r>
        <w:rPr>
          <w:lang w:eastAsia="cs-CZ"/>
        </w:rPr>
        <w:t xml:space="preserve"> nepostupovaly v</w:t>
      </w:r>
      <w:r w:rsidR="004A5B98">
        <w:rPr>
          <w:lang w:eastAsia="cs-CZ"/>
        </w:rPr>
        <w:t> </w:t>
      </w:r>
      <w:r>
        <w:rPr>
          <w:lang w:eastAsia="cs-CZ"/>
        </w:rPr>
        <w:t>souladu</w:t>
      </w:r>
      <w:r w:rsidR="004A5B98">
        <w:rPr>
          <w:lang w:eastAsia="cs-CZ"/>
        </w:rPr>
        <w:t xml:space="preserve"> s daňovým řádem</w:t>
      </w:r>
      <w:r w:rsidR="004A5B98">
        <w:rPr>
          <w:rStyle w:val="Znakapoznpodarou"/>
          <w:lang w:eastAsia="cs-CZ"/>
        </w:rPr>
        <w:footnoteReference w:id="27"/>
      </w:r>
      <w:r>
        <w:rPr>
          <w:lang w:eastAsia="cs-CZ"/>
        </w:rPr>
        <w:t xml:space="preserve"> </w:t>
      </w:r>
      <w:r w:rsidR="00887A6A">
        <w:rPr>
          <w:lang w:eastAsia="cs-CZ"/>
        </w:rPr>
        <w:t xml:space="preserve">tím, že </w:t>
      </w:r>
      <w:r w:rsidR="00483BCE">
        <w:rPr>
          <w:lang w:eastAsia="cs-CZ"/>
        </w:rPr>
        <w:t>ne</w:t>
      </w:r>
      <w:r w:rsidR="00C31B2F">
        <w:rPr>
          <w:lang w:eastAsia="cs-CZ"/>
        </w:rPr>
        <w:t>vydaly</w:t>
      </w:r>
      <w:r w:rsidR="00887A6A">
        <w:rPr>
          <w:lang w:eastAsia="cs-CZ"/>
        </w:rPr>
        <w:t xml:space="preserve"> rozhodnutí</w:t>
      </w:r>
      <w:r w:rsidR="009F44A4">
        <w:rPr>
          <w:lang w:eastAsia="cs-CZ"/>
        </w:rPr>
        <w:t xml:space="preserve"> o pozbytí účinnosti </w:t>
      </w:r>
      <w:r w:rsidR="006A0DA2">
        <w:rPr>
          <w:lang w:eastAsia="cs-CZ"/>
        </w:rPr>
        <w:t>rozhodnutí o</w:t>
      </w:r>
      <w:r w:rsidR="00F833ED">
        <w:rPr>
          <w:lang w:eastAsia="cs-CZ"/>
        </w:rPr>
        <w:t> </w:t>
      </w:r>
      <w:r w:rsidR="006A0DA2">
        <w:rPr>
          <w:lang w:eastAsia="cs-CZ"/>
        </w:rPr>
        <w:t>povolení splátek</w:t>
      </w:r>
      <w:r w:rsidR="00483BCE">
        <w:rPr>
          <w:lang w:eastAsia="cs-CZ"/>
        </w:rPr>
        <w:t xml:space="preserve"> nebo ho vydaly </w:t>
      </w:r>
      <w:r w:rsidR="00647ED4">
        <w:rPr>
          <w:lang w:eastAsia="cs-CZ"/>
        </w:rPr>
        <w:t>v průměru po třech letech;</w:t>
      </w:r>
    </w:p>
    <w:p w14:paraId="406DE68A" w14:textId="1EF1692A" w:rsidR="00E20068" w:rsidRDefault="00EC22B6" w:rsidP="00802C2A">
      <w:pPr>
        <w:pStyle w:val="Odstavecseseznamem"/>
        <w:numPr>
          <w:ilvl w:val="0"/>
          <w:numId w:val="29"/>
        </w:numPr>
        <w:ind w:left="284" w:hanging="284"/>
        <w:rPr>
          <w:lang w:eastAsia="cs-CZ"/>
        </w:rPr>
      </w:pPr>
      <w:r>
        <w:rPr>
          <w:lang w:eastAsia="cs-CZ"/>
        </w:rPr>
        <w:t>ve dvou případech</w:t>
      </w:r>
      <w:r w:rsidR="00962B5E">
        <w:rPr>
          <w:lang w:eastAsia="cs-CZ"/>
        </w:rPr>
        <w:t xml:space="preserve"> pohledávek v</w:t>
      </w:r>
      <w:r w:rsidR="001E544E">
        <w:rPr>
          <w:lang w:eastAsia="cs-CZ"/>
        </w:rPr>
        <w:t xml:space="preserve"> celkové</w:t>
      </w:r>
      <w:r w:rsidR="00962B5E">
        <w:rPr>
          <w:lang w:eastAsia="cs-CZ"/>
        </w:rPr>
        <w:t xml:space="preserve"> výši 82 tis. Kč</w:t>
      </w:r>
      <w:r>
        <w:rPr>
          <w:lang w:eastAsia="cs-CZ"/>
        </w:rPr>
        <w:t xml:space="preserve"> nepostupovaly v souladu s daňovým řádem</w:t>
      </w:r>
      <w:r>
        <w:rPr>
          <w:rStyle w:val="Znakapoznpodarou"/>
          <w:lang w:eastAsia="cs-CZ"/>
        </w:rPr>
        <w:footnoteReference w:id="28"/>
      </w:r>
      <w:r>
        <w:rPr>
          <w:lang w:eastAsia="cs-CZ"/>
        </w:rPr>
        <w:t xml:space="preserve"> tím, že povolily splácení pohledávek na dobu delší, než je lhůta pro placení daně</w:t>
      </w:r>
      <w:r w:rsidR="00790236">
        <w:rPr>
          <w:lang w:eastAsia="cs-CZ"/>
        </w:rPr>
        <w:t>.</w:t>
      </w:r>
    </w:p>
    <w:p w14:paraId="716F74DF" w14:textId="2E14A9F1" w:rsidR="00E80E42" w:rsidRDefault="00FE6FE7" w:rsidP="00802C2A">
      <w:pPr>
        <w:spacing w:after="120"/>
        <w:rPr>
          <w:lang w:eastAsia="cs-CZ"/>
        </w:rPr>
      </w:pPr>
      <w:r>
        <w:rPr>
          <w:lang w:eastAsia="cs-CZ"/>
        </w:rPr>
        <w:t xml:space="preserve">NKÚ </w:t>
      </w:r>
      <w:r w:rsidR="00E74613">
        <w:rPr>
          <w:lang w:eastAsia="cs-CZ"/>
        </w:rPr>
        <w:t>zjistil</w:t>
      </w:r>
      <w:r>
        <w:rPr>
          <w:lang w:eastAsia="cs-CZ"/>
        </w:rPr>
        <w:t>, že v</w:t>
      </w:r>
      <w:r w:rsidR="00054868">
        <w:rPr>
          <w:lang w:eastAsia="cs-CZ"/>
        </w:rPr>
        <w:t> </w:t>
      </w:r>
      <w:r w:rsidR="00D428C8">
        <w:rPr>
          <w:lang w:eastAsia="cs-CZ"/>
        </w:rPr>
        <w:t>důsledku</w:t>
      </w:r>
      <w:r w:rsidR="00054868">
        <w:rPr>
          <w:lang w:eastAsia="cs-CZ"/>
        </w:rPr>
        <w:t xml:space="preserve"> zjištěných</w:t>
      </w:r>
      <w:r w:rsidR="00D428C8">
        <w:rPr>
          <w:lang w:eastAsia="cs-CZ"/>
        </w:rPr>
        <w:t xml:space="preserve"> </w:t>
      </w:r>
      <w:r w:rsidR="00054868">
        <w:rPr>
          <w:lang w:eastAsia="cs-CZ"/>
        </w:rPr>
        <w:t>nedostatků v postupech</w:t>
      </w:r>
      <w:r w:rsidR="00054868" w:rsidRPr="007E59C5">
        <w:rPr>
          <w:lang w:eastAsia="cs-CZ"/>
        </w:rPr>
        <w:t xml:space="preserve"> </w:t>
      </w:r>
      <w:r w:rsidR="00C6033A" w:rsidRPr="007E59C5">
        <w:rPr>
          <w:lang w:eastAsia="cs-CZ"/>
        </w:rPr>
        <w:t>soud</w:t>
      </w:r>
      <w:r w:rsidR="00D428C8">
        <w:rPr>
          <w:lang w:eastAsia="cs-CZ"/>
        </w:rPr>
        <w:t>ů nebyl naplněn</w:t>
      </w:r>
      <w:r w:rsidR="004414EE">
        <w:rPr>
          <w:lang w:eastAsia="cs-CZ"/>
        </w:rPr>
        <w:t xml:space="preserve"> jeden z </w:t>
      </w:r>
      <w:r w:rsidR="00C6033A" w:rsidRPr="007E59C5">
        <w:rPr>
          <w:lang w:eastAsia="cs-CZ"/>
        </w:rPr>
        <w:t>cíl</w:t>
      </w:r>
      <w:r w:rsidR="004414EE">
        <w:rPr>
          <w:lang w:eastAsia="cs-CZ"/>
        </w:rPr>
        <w:t>ů</w:t>
      </w:r>
      <w:r w:rsidR="00C6033A" w:rsidRPr="007E59C5">
        <w:rPr>
          <w:lang w:eastAsia="cs-CZ"/>
        </w:rPr>
        <w:t xml:space="preserve"> správy daní, kterým</w:t>
      </w:r>
      <w:r w:rsidR="00C6033A">
        <w:rPr>
          <w:lang w:eastAsia="cs-CZ"/>
        </w:rPr>
        <w:t xml:space="preserve"> je zabezpečení jejich úhrady</w:t>
      </w:r>
      <w:r w:rsidR="007C67F1">
        <w:rPr>
          <w:rStyle w:val="Znakapoznpodarou"/>
          <w:lang w:eastAsia="cs-CZ"/>
        </w:rPr>
        <w:footnoteReference w:id="29"/>
      </w:r>
      <w:r w:rsidR="00C6033A">
        <w:rPr>
          <w:lang w:eastAsia="cs-CZ"/>
        </w:rPr>
        <w:t>.</w:t>
      </w:r>
      <w:r w:rsidR="009215C2">
        <w:rPr>
          <w:lang w:eastAsia="cs-CZ"/>
        </w:rPr>
        <w:t xml:space="preserve"> </w:t>
      </w:r>
    </w:p>
    <w:p w14:paraId="2B93F13C" w14:textId="2A13BB35" w:rsidR="009215C2" w:rsidRDefault="009215C2" w:rsidP="00802C2A">
      <w:pPr>
        <w:spacing w:after="120"/>
        <w:rPr>
          <w:lang w:eastAsia="cs-CZ"/>
        </w:rPr>
      </w:pPr>
      <w:r>
        <w:rPr>
          <w:lang w:eastAsia="cs-CZ"/>
        </w:rPr>
        <w:t xml:space="preserve">NKÚ ověřil, že </w:t>
      </w:r>
      <w:r w:rsidR="001F101A">
        <w:rPr>
          <w:lang w:eastAsia="cs-CZ"/>
        </w:rPr>
        <w:t xml:space="preserve">kontrolované </w:t>
      </w:r>
      <w:r>
        <w:rPr>
          <w:lang w:eastAsia="cs-CZ"/>
        </w:rPr>
        <w:t>CÚ postupovaly při vymáhání justičních pohledávek v souladu s právními předpisy.</w:t>
      </w:r>
    </w:p>
    <w:p w14:paraId="69806BC4" w14:textId="28AA221D" w:rsidR="003B7AB9" w:rsidRDefault="008A2121" w:rsidP="00802C2A">
      <w:pPr>
        <w:spacing w:after="120"/>
        <w:rPr>
          <w:lang w:eastAsia="cs-CZ"/>
        </w:rPr>
      </w:pPr>
      <w:r>
        <w:rPr>
          <w:lang w:eastAsia="cs-CZ"/>
        </w:rPr>
        <w:t>NKÚ porovnal na vzorku 4</w:t>
      </w:r>
      <w:r w:rsidR="00A879C5">
        <w:rPr>
          <w:lang w:eastAsia="cs-CZ"/>
        </w:rPr>
        <w:t>1</w:t>
      </w:r>
      <w:r>
        <w:rPr>
          <w:lang w:eastAsia="cs-CZ"/>
        </w:rPr>
        <w:t xml:space="preserve"> případů</w:t>
      </w:r>
      <w:r w:rsidR="008A0AD7">
        <w:rPr>
          <w:lang w:eastAsia="cs-CZ"/>
        </w:rPr>
        <w:t xml:space="preserve"> starých justičních pohledávek postup </w:t>
      </w:r>
      <w:r w:rsidR="0062350A">
        <w:rPr>
          <w:lang w:eastAsia="cs-CZ"/>
        </w:rPr>
        <w:t xml:space="preserve">kontrolovaných </w:t>
      </w:r>
      <w:r w:rsidR="00320089">
        <w:rPr>
          <w:lang w:eastAsia="cs-CZ"/>
        </w:rPr>
        <w:t xml:space="preserve">soudů a CÚ </w:t>
      </w:r>
      <w:r w:rsidR="008A0AD7">
        <w:rPr>
          <w:lang w:eastAsia="cs-CZ"/>
        </w:rPr>
        <w:t>při jejich vymáhání</w:t>
      </w:r>
      <w:r w:rsidR="00386A15">
        <w:rPr>
          <w:lang w:eastAsia="cs-CZ"/>
        </w:rPr>
        <w:t xml:space="preserve"> (viz tabulk</w:t>
      </w:r>
      <w:r w:rsidR="003A3AEB">
        <w:rPr>
          <w:lang w:eastAsia="cs-CZ"/>
        </w:rPr>
        <w:t>y</w:t>
      </w:r>
      <w:r w:rsidR="00386A15">
        <w:rPr>
          <w:lang w:eastAsia="cs-CZ"/>
        </w:rPr>
        <w:t xml:space="preserve"> č. 4 a 5)</w:t>
      </w:r>
      <w:r w:rsidR="008A0AD7">
        <w:rPr>
          <w:lang w:eastAsia="cs-CZ"/>
        </w:rPr>
        <w:t>.</w:t>
      </w:r>
    </w:p>
    <w:p w14:paraId="42265B0E" w14:textId="03FB3E22" w:rsidR="00E7278A" w:rsidRPr="004A5216" w:rsidRDefault="0041085E" w:rsidP="00C7584A">
      <w:pPr>
        <w:keepNext/>
        <w:spacing w:before="120" w:after="40" w:line="240" w:lineRule="auto"/>
        <w:rPr>
          <w:b/>
          <w:bCs/>
          <w:lang w:eastAsia="cs-CZ"/>
        </w:rPr>
      </w:pPr>
      <w:r w:rsidRPr="00FF056A">
        <w:rPr>
          <w:b/>
          <w:bCs/>
          <w:lang w:eastAsia="cs-CZ"/>
        </w:rPr>
        <w:lastRenderedPageBreak/>
        <w:t xml:space="preserve">Tabulka č. </w:t>
      </w:r>
      <w:r w:rsidR="00FB3DB3" w:rsidRPr="00FF056A">
        <w:rPr>
          <w:b/>
          <w:bCs/>
          <w:lang w:eastAsia="cs-CZ"/>
        </w:rPr>
        <w:t>4</w:t>
      </w:r>
      <w:r w:rsidRPr="00FF056A">
        <w:rPr>
          <w:b/>
          <w:bCs/>
          <w:lang w:eastAsia="cs-CZ"/>
        </w:rPr>
        <w:t>:</w:t>
      </w:r>
      <w:r w:rsidR="0062350A" w:rsidRPr="00FF056A">
        <w:rPr>
          <w:b/>
          <w:bCs/>
          <w:lang w:eastAsia="cs-CZ"/>
        </w:rPr>
        <w:t xml:space="preserve"> </w:t>
      </w:r>
      <w:r w:rsidR="006F3B8F" w:rsidRPr="00FF056A">
        <w:rPr>
          <w:b/>
          <w:bCs/>
          <w:lang w:eastAsia="cs-CZ"/>
        </w:rPr>
        <w:t>Porovnání postupu KS Ostrava a CÚ pro MSK</w:t>
      </w:r>
      <w:r w:rsidR="001E33C4">
        <w:rPr>
          <w:b/>
          <w:bCs/>
          <w:lang w:eastAsia="cs-CZ"/>
        </w:rPr>
        <w:t xml:space="preserve"> u 21 justičních pohledávek</w:t>
      </w:r>
    </w:p>
    <w:tbl>
      <w:tblPr>
        <w:tblStyle w:val="Mkatabulky"/>
        <w:tblW w:w="0" w:type="auto"/>
        <w:tblLook w:val="04A0" w:firstRow="1" w:lastRow="0" w:firstColumn="1" w:lastColumn="0" w:noHBand="0" w:noVBand="1"/>
      </w:tblPr>
      <w:tblGrid>
        <w:gridCol w:w="5382"/>
        <w:gridCol w:w="1839"/>
        <w:gridCol w:w="1840"/>
      </w:tblGrid>
      <w:tr w:rsidR="0008724E" w:rsidRPr="00222098" w14:paraId="7EAFE530" w14:textId="77777777" w:rsidTr="00B11C80">
        <w:trPr>
          <w:trHeight w:val="283"/>
        </w:trPr>
        <w:tc>
          <w:tcPr>
            <w:tcW w:w="5382" w:type="dxa"/>
            <w:shd w:val="clear" w:color="auto" w:fill="E6E6E6"/>
          </w:tcPr>
          <w:p w14:paraId="64E9095B" w14:textId="77777777" w:rsidR="0008724E" w:rsidRPr="00AC0AEC" w:rsidRDefault="0008724E" w:rsidP="00C7584A">
            <w:pPr>
              <w:keepNext/>
              <w:rPr>
                <w:rFonts w:ascii="Calibri" w:hAnsi="Calibri" w:cs="Calibri"/>
                <w:sz w:val="20"/>
                <w:szCs w:val="20"/>
              </w:rPr>
            </w:pPr>
          </w:p>
        </w:tc>
        <w:tc>
          <w:tcPr>
            <w:tcW w:w="1839" w:type="dxa"/>
            <w:shd w:val="clear" w:color="auto" w:fill="E6E6E6"/>
            <w:vAlign w:val="center"/>
          </w:tcPr>
          <w:p w14:paraId="5B18D753" w14:textId="77777777" w:rsidR="0008724E" w:rsidRPr="00222098" w:rsidRDefault="0008724E" w:rsidP="00C7584A">
            <w:pPr>
              <w:keepNext/>
              <w:jc w:val="center"/>
              <w:rPr>
                <w:rFonts w:ascii="Calibri" w:hAnsi="Calibri" w:cs="Calibri"/>
                <w:b/>
                <w:bCs/>
                <w:sz w:val="20"/>
                <w:szCs w:val="20"/>
              </w:rPr>
            </w:pPr>
            <w:r>
              <w:rPr>
                <w:rFonts w:ascii="Calibri" w:hAnsi="Calibri" w:cs="Calibri"/>
                <w:b/>
                <w:bCs/>
                <w:sz w:val="20"/>
                <w:szCs w:val="20"/>
              </w:rPr>
              <w:t>KS Ostrava</w:t>
            </w:r>
          </w:p>
        </w:tc>
        <w:tc>
          <w:tcPr>
            <w:tcW w:w="1840" w:type="dxa"/>
            <w:shd w:val="clear" w:color="auto" w:fill="E6E6E6"/>
            <w:vAlign w:val="center"/>
          </w:tcPr>
          <w:p w14:paraId="6309813D" w14:textId="77777777" w:rsidR="0008724E" w:rsidRPr="00222098" w:rsidRDefault="0008724E" w:rsidP="00C7584A">
            <w:pPr>
              <w:keepNext/>
              <w:jc w:val="center"/>
              <w:rPr>
                <w:rFonts w:ascii="Calibri" w:hAnsi="Calibri" w:cs="Calibri"/>
                <w:b/>
                <w:bCs/>
                <w:sz w:val="20"/>
                <w:szCs w:val="20"/>
              </w:rPr>
            </w:pPr>
            <w:r w:rsidRPr="00222098">
              <w:rPr>
                <w:rFonts w:ascii="Calibri" w:hAnsi="Calibri" w:cs="Calibri"/>
                <w:b/>
                <w:bCs/>
                <w:sz w:val="20"/>
                <w:szCs w:val="20"/>
              </w:rPr>
              <w:t xml:space="preserve">CÚ pro </w:t>
            </w:r>
            <w:r>
              <w:rPr>
                <w:rFonts w:ascii="Calibri" w:hAnsi="Calibri" w:cs="Calibri"/>
                <w:b/>
                <w:bCs/>
                <w:sz w:val="20"/>
                <w:szCs w:val="20"/>
              </w:rPr>
              <w:t>MSK</w:t>
            </w:r>
          </w:p>
        </w:tc>
      </w:tr>
      <w:tr w:rsidR="00FE6FE7" w:rsidRPr="00AC0AEC" w14:paraId="50D98F2F" w14:textId="77777777" w:rsidTr="00B11C80">
        <w:trPr>
          <w:trHeight w:val="283"/>
        </w:trPr>
        <w:tc>
          <w:tcPr>
            <w:tcW w:w="5382" w:type="dxa"/>
            <w:vAlign w:val="center"/>
          </w:tcPr>
          <w:p w14:paraId="0DE5DE0B" w14:textId="318BC7D3" w:rsidR="00FE6FE7" w:rsidRPr="00AC0AEC" w:rsidRDefault="00FE6FE7" w:rsidP="00C7584A">
            <w:pPr>
              <w:keepNext/>
              <w:jc w:val="left"/>
              <w:rPr>
                <w:rFonts w:ascii="Calibri" w:hAnsi="Calibri" w:cs="Calibri"/>
                <w:sz w:val="20"/>
                <w:szCs w:val="20"/>
              </w:rPr>
            </w:pPr>
            <w:r>
              <w:rPr>
                <w:rFonts w:ascii="Calibri" w:hAnsi="Calibri" w:cs="Calibri"/>
                <w:sz w:val="20"/>
                <w:szCs w:val="20"/>
              </w:rPr>
              <w:t>Doba vykonatelnosti* – maximální</w:t>
            </w:r>
          </w:p>
        </w:tc>
        <w:tc>
          <w:tcPr>
            <w:tcW w:w="1839" w:type="dxa"/>
            <w:vAlign w:val="center"/>
          </w:tcPr>
          <w:p w14:paraId="4683F4FB" w14:textId="178463AC" w:rsidR="00FE6FE7" w:rsidRPr="00AC0AEC" w:rsidRDefault="00FE6FE7" w:rsidP="00C7584A">
            <w:pPr>
              <w:keepNext/>
              <w:ind w:right="593"/>
              <w:jc w:val="right"/>
              <w:rPr>
                <w:rFonts w:ascii="Calibri" w:hAnsi="Calibri" w:cs="Calibri"/>
                <w:sz w:val="20"/>
                <w:szCs w:val="20"/>
              </w:rPr>
            </w:pPr>
            <w:r>
              <w:rPr>
                <w:rFonts w:ascii="Calibri" w:hAnsi="Calibri" w:cs="Calibri"/>
                <w:sz w:val="20"/>
                <w:szCs w:val="20"/>
              </w:rPr>
              <w:t xml:space="preserve">2 </w:t>
            </w:r>
            <w:r w:rsidR="00E74613">
              <w:rPr>
                <w:rFonts w:ascii="Calibri" w:hAnsi="Calibri" w:cs="Calibri"/>
                <w:sz w:val="20"/>
                <w:szCs w:val="20"/>
              </w:rPr>
              <w:t>307</w:t>
            </w:r>
          </w:p>
        </w:tc>
        <w:tc>
          <w:tcPr>
            <w:tcW w:w="1840" w:type="dxa"/>
            <w:vAlign w:val="center"/>
          </w:tcPr>
          <w:p w14:paraId="4F5A28BC" w14:textId="158B4A15" w:rsidR="00FE6FE7" w:rsidRPr="00AC0AEC" w:rsidRDefault="00E74613" w:rsidP="00C7584A">
            <w:pPr>
              <w:keepNext/>
              <w:ind w:right="593"/>
              <w:jc w:val="right"/>
              <w:rPr>
                <w:rFonts w:ascii="Calibri" w:hAnsi="Calibri" w:cs="Calibri"/>
                <w:sz w:val="20"/>
                <w:szCs w:val="20"/>
              </w:rPr>
            </w:pPr>
            <w:r>
              <w:rPr>
                <w:rFonts w:ascii="Calibri" w:hAnsi="Calibri" w:cs="Calibri"/>
                <w:sz w:val="20"/>
                <w:szCs w:val="20"/>
              </w:rPr>
              <w:t>353</w:t>
            </w:r>
          </w:p>
        </w:tc>
      </w:tr>
      <w:tr w:rsidR="00934712" w:rsidRPr="00AC0AEC" w14:paraId="110257AA" w14:textId="77777777" w:rsidTr="00B11C80">
        <w:trPr>
          <w:trHeight w:val="283"/>
        </w:trPr>
        <w:tc>
          <w:tcPr>
            <w:tcW w:w="5382" w:type="dxa"/>
            <w:vAlign w:val="center"/>
          </w:tcPr>
          <w:p w14:paraId="3CF84F16" w14:textId="13B717C2" w:rsidR="00934712" w:rsidRPr="00AC0AEC" w:rsidRDefault="006B692E" w:rsidP="00C7584A">
            <w:pPr>
              <w:keepNext/>
              <w:jc w:val="left"/>
              <w:rPr>
                <w:rFonts w:ascii="Calibri" w:hAnsi="Calibri" w:cs="Calibri"/>
                <w:sz w:val="20"/>
                <w:szCs w:val="20"/>
              </w:rPr>
            </w:pPr>
            <w:r>
              <w:rPr>
                <w:rFonts w:ascii="Calibri" w:hAnsi="Calibri" w:cs="Calibri"/>
                <w:sz w:val="20"/>
                <w:szCs w:val="20"/>
              </w:rPr>
              <w:t xml:space="preserve">Doba </w:t>
            </w:r>
            <w:r w:rsidR="007C67F1">
              <w:rPr>
                <w:rFonts w:ascii="Calibri" w:hAnsi="Calibri" w:cs="Calibri"/>
                <w:sz w:val="20"/>
                <w:szCs w:val="20"/>
              </w:rPr>
              <w:t>vykonatelnosti</w:t>
            </w:r>
            <w:r w:rsidR="000732FD">
              <w:rPr>
                <w:rFonts w:ascii="Calibri" w:hAnsi="Calibri" w:cs="Calibri"/>
                <w:sz w:val="20"/>
                <w:szCs w:val="20"/>
              </w:rPr>
              <w:t>*</w:t>
            </w:r>
            <w:r w:rsidR="007C67F1">
              <w:rPr>
                <w:rFonts w:ascii="Calibri" w:hAnsi="Calibri" w:cs="Calibri"/>
                <w:sz w:val="20"/>
                <w:szCs w:val="20"/>
              </w:rPr>
              <w:t xml:space="preserve"> – průměrná</w:t>
            </w:r>
          </w:p>
        </w:tc>
        <w:tc>
          <w:tcPr>
            <w:tcW w:w="1839" w:type="dxa"/>
            <w:vAlign w:val="center"/>
          </w:tcPr>
          <w:p w14:paraId="1CFEC128" w14:textId="7D715B69" w:rsidR="00934712" w:rsidRPr="00AC0AEC" w:rsidRDefault="00934712" w:rsidP="00C7584A">
            <w:pPr>
              <w:keepNext/>
              <w:ind w:right="593"/>
              <w:jc w:val="right"/>
              <w:rPr>
                <w:rFonts w:ascii="Calibri" w:hAnsi="Calibri" w:cs="Calibri"/>
                <w:sz w:val="20"/>
                <w:szCs w:val="20"/>
              </w:rPr>
            </w:pPr>
            <w:r>
              <w:rPr>
                <w:rFonts w:ascii="Calibri" w:hAnsi="Calibri" w:cs="Calibri"/>
                <w:sz w:val="20"/>
                <w:szCs w:val="20"/>
              </w:rPr>
              <w:t>1</w:t>
            </w:r>
            <w:r w:rsidR="002366D2">
              <w:rPr>
                <w:rFonts w:ascii="Calibri" w:hAnsi="Calibri" w:cs="Calibri"/>
                <w:sz w:val="20"/>
                <w:szCs w:val="20"/>
              </w:rPr>
              <w:t xml:space="preserve"> </w:t>
            </w:r>
            <w:r>
              <w:rPr>
                <w:rFonts w:ascii="Calibri" w:hAnsi="Calibri" w:cs="Calibri"/>
                <w:sz w:val="20"/>
                <w:szCs w:val="20"/>
              </w:rPr>
              <w:t>46</w:t>
            </w:r>
            <w:r w:rsidR="00E74613">
              <w:rPr>
                <w:rFonts w:ascii="Calibri" w:hAnsi="Calibri" w:cs="Calibri"/>
                <w:sz w:val="20"/>
                <w:szCs w:val="20"/>
              </w:rPr>
              <w:t>8</w:t>
            </w:r>
          </w:p>
        </w:tc>
        <w:tc>
          <w:tcPr>
            <w:tcW w:w="1840" w:type="dxa"/>
            <w:vAlign w:val="center"/>
          </w:tcPr>
          <w:p w14:paraId="7444DDEA" w14:textId="61F36AB8" w:rsidR="00934712" w:rsidRPr="00AC0AEC" w:rsidRDefault="00934712" w:rsidP="00C7584A">
            <w:pPr>
              <w:keepNext/>
              <w:ind w:right="593"/>
              <w:jc w:val="right"/>
              <w:rPr>
                <w:rFonts w:ascii="Calibri" w:hAnsi="Calibri" w:cs="Calibri"/>
                <w:sz w:val="20"/>
                <w:szCs w:val="20"/>
              </w:rPr>
            </w:pPr>
            <w:r>
              <w:rPr>
                <w:rFonts w:ascii="Calibri" w:hAnsi="Calibri" w:cs="Calibri"/>
                <w:sz w:val="20"/>
                <w:szCs w:val="20"/>
              </w:rPr>
              <w:t>25</w:t>
            </w:r>
            <w:r w:rsidR="00E74613">
              <w:rPr>
                <w:rFonts w:ascii="Calibri" w:hAnsi="Calibri" w:cs="Calibri"/>
                <w:sz w:val="20"/>
                <w:szCs w:val="20"/>
              </w:rPr>
              <w:t>9</w:t>
            </w:r>
          </w:p>
        </w:tc>
      </w:tr>
      <w:tr w:rsidR="00934712" w:rsidRPr="00AC0AEC" w14:paraId="1222382F" w14:textId="77777777" w:rsidTr="00B11C80">
        <w:trPr>
          <w:trHeight w:val="283"/>
        </w:trPr>
        <w:tc>
          <w:tcPr>
            <w:tcW w:w="5382" w:type="dxa"/>
            <w:vAlign w:val="center"/>
          </w:tcPr>
          <w:p w14:paraId="4689158C" w14:textId="72172F69" w:rsidR="00934712" w:rsidRPr="00AC0AEC" w:rsidRDefault="006B692E" w:rsidP="00C7584A">
            <w:pPr>
              <w:keepNext/>
              <w:jc w:val="left"/>
              <w:rPr>
                <w:rFonts w:ascii="Calibri" w:hAnsi="Calibri" w:cs="Calibri"/>
                <w:sz w:val="20"/>
                <w:szCs w:val="20"/>
              </w:rPr>
            </w:pPr>
            <w:r>
              <w:rPr>
                <w:rFonts w:ascii="Calibri" w:hAnsi="Calibri" w:cs="Calibri"/>
                <w:sz w:val="20"/>
                <w:szCs w:val="20"/>
              </w:rPr>
              <w:t>Doba vykonatelnosti</w:t>
            </w:r>
            <w:r w:rsidR="000732FD">
              <w:rPr>
                <w:rFonts w:ascii="Calibri" w:hAnsi="Calibri" w:cs="Calibri"/>
                <w:sz w:val="20"/>
                <w:szCs w:val="20"/>
              </w:rPr>
              <w:t>*</w:t>
            </w:r>
            <w:r>
              <w:rPr>
                <w:rFonts w:ascii="Calibri" w:hAnsi="Calibri" w:cs="Calibri"/>
                <w:sz w:val="20"/>
                <w:szCs w:val="20"/>
              </w:rPr>
              <w:t xml:space="preserve"> </w:t>
            </w:r>
            <w:r w:rsidR="007C67F1">
              <w:rPr>
                <w:rFonts w:ascii="Calibri" w:hAnsi="Calibri" w:cs="Calibri"/>
                <w:sz w:val="20"/>
                <w:szCs w:val="20"/>
              </w:rPr>
              <w:t>– minimální</w:t>
            </w:r>
          </w:p>
        </w:tc>
        <w:tc>
          <w:tcPr>
            <w:tcW w:w="1839" w:type="dxa"/>
            <w:vAlign w:val="center"/>
          </w:tcPr>
          <w:p w14:paraId="140C752D" w14:textId="77777777" w:rsidR="00934712" w:rsidRPr="00AC0AEC" w:rsidRDefault="00934712" w:rsidP="00C7584A">
            <w:pPr>
              <w:keepNext/>
              <w:ind w:right="593"/>
              <w:jc w:val="right"/>
              <w:rPr>
                <w:rFonts w:ascii="Calibri" w:hAnsi="Calibri" w:cs="Calibri"/>
                <w:sz w:val="20"/>
                <w:szCs w:val="20"/>
              </w:rPr>
            </w:pPr>
            <w:r>
              <w:rPr>
                <w:rFonts w:ascii="Calibri" w:hAnsi="Calibri" w:cs="Calibri"/>
                <w:sz w:val="20"/>
                <w:szCs w:val="20"/>
              </w:rPr>
              <w:t>142</w:t>
            </w:r>
          </w:p>
        </w:tc>
        <w:tc>
          <w:tcPr>
            <w:tcW w:w="1840" w:type="dxa"/>
            <w:vAlign w:val="center"/>
          </w:tcPr>
          <w:p w14:paraId="3CF8069B" w14:textId="77777777" w:rsidR="00934712" w:rsidRPr="00AC0AEC" w:rsidRDefault="00934712" w:rsidP="00C7584A">
            <w:pPr>
              <w:keepNext/>
              <w:ind w:right="593"/>
              <w:jc w:val="right"/>
              <w:rPr>
                <w:rFonts w:ascii="Calibri" w:hAnsi="Calibri" w:cs="Calibri"/>
                <w:sz w:val="20"/>
                <w:szCs w:val="20"/>
              </w:rPr>
            </w:pPr>
            <w:r>
              <w:rPr>
                <w:rFonts w:ascii="Calibri" w:hAnsi="Calibri" w:cs="Calibri"/>
                <w:sz w:val="20"/>
                <w:szCs w:val="20"/>
              </w:rPr>
              <w:t>66</w:t>
            </w:r>
          </w:p>
        </w:tc>
      </w:tr>
      <w:tr w:rsidR="00934712" w:rsidRPr="00AC0AEC" w14:paraId="2D19B5A5" w14:textId="77777777" w:rsidTr="00B11C80">
        <w:trPr>
          <w:trHeight w:val="283"/>
        </w:trPr>
        <w:tc>
          <w:tcPr>
            <w:tcW w:w="5382" w:type="dxa"/>
            <w:vAlign w:val="center"/>
          </w:tcPr>
          <w:p w14:paraId="45D22EAD" w14:textId="5B739A34" w:rsidR="00934712" w:rsidRDefault="00C558E8" w:rsidP="00C7584A">
            <w:pPr>
              <w:keepNext/>
              <w:jc w:val="left"/>
              <w:rPr>
                <w:rFonts w:ascii="Calibri" w:hAnsi="Calibri" w:cs="Calibri"/>
                <w:sz w:val="20"/>
                <w:szCs w:val="20"/>
              </w:rPr>
            </w:pPr>
            <w:r>
              <w:rPr>
                <w:rFonts w:ascii="Calibri" w:hAnsi="Calibri" w:cs="Calibri"/>
                <w:sz w:val="20"/>
                <w:szCs w:val="20"/>
              </w:rPr>
              <w:t>P</w:t>
            </w:r>
            <w:r w:rsidR="00934712">
              <w:rPr>
                <w:rFonts w:ascii="Calibri" w:hAnsi="Calibri" w:cs="Calibri"/>
                <w:sz w:val="20"/>
                <w:szCs w:val="20"/>
              </w:rPr>
              <w:t>růměrná doba do provedení 1. úkonu ve vymáhání</w:t>
            </w:r>
            <w:r w:rsidR="00AB6215">
              <w:rPr>
                <w:rFonts w:ascii="Calibri" w:hAnsi="Calibri" w:cs="Calibri"/>
                <w:sz w:val="20"/>
                <w:szCs w:val="20"/>
              </w:rPr>
              <w:t>**</w:t>
            </w:r>
          </w:p>
        </w:tc>
        <w:tc>
          <w:tcPr>
            <w:tcW w:w="1839" w:type="dxa"/>
            <w:vAlign w:val="center"/>
          </w:tcPr>
          <w:p w14:paraId="2B558741" w14:textId="1088633B" w:rsidR="00934712" w:rsidRDefault="00E31B16" w:rsidP="00C7584A">
            <w:pPr>
              <w:keepNext/>
              <w:ind w:right="593"/>
              <w:jc w:val="right"/>
              <w:rPr>
                <w:rFonts w:ascii="Calibri" w:hAnsi="Calibri" w:cs="Calibri"/>
                <w:sz w:val="20"/>
                <w:szCs w:val="20"/>
              </w:rPr>
            </w:pPr>
            <w:r>
              <w:rPr>
                <w:rFonts w:ascii="Calibri" w:hAnsi="Calibri" w:cs="Calibri"/>
                <w:sz w:val="20"/>
                <w:szCs w:val="20"/>
              </w:rPr>
              <w:t>576</w:t>
            </w:r>
          </w:p>
        </w:tc>
        <w:tc>
          <w:tcPr>
            <w:tcW w:w="1840" w:type="dxa"/>
            <w:vAlign w:val="center"/>
          </w:tcPr>
          <w:p w14:paraId="0B328B61" w14:textId="2618B529" w:rsidR="00934712" w:rsidRPr="00AC0AEC" w:rsidRDefault="00E74613" w:rsidP="00C7584A">
            <w:pPr>
              <w:keepNext/>
              <w:ind w:right="593"/>
              <w:jc w:val="right"/>
              <w:rPr>
                <w:rFonts w:ascii="Calibri" w:hAnsi="Calibri" w:cs="Calibri"/>
                <w:sz w:val="20"/>
                <w:szCs w:val="20"/>
              </w:rPr>
            </w:pPr>
            <w:r>
              <w:rPr>
                <w:rFonts w:ascii="Calibri" w:hAnsi="Calibri" w:cs="Calibri"/>
                <w:sz w:val="20"/>
                <w:szCs w:val="20"/>
              </w:rPr>
              <w:t>74</w:t>
            </w:r>
          </w:p>
        </w:tc>
      </w:tr>
      <w:tr w:rsidR="00934712" w:rsidRPr="00AC0AEC" w14:paraId="2E590B4A" w14:textId="77777777" w:rsidTr="00B11C80">
        <w:trPr>
          <w:trHeight w:val="283"/>
        </w:trPr>
        <w:tc>
          <w:tcPr>
            <w:tcW w:w="5382" w:type="dxa"/>
            <w:vAlign w:val="center"/>
          </w:tcPr>
          <w:p w14:paraId="4E5A57A1" w14:textId="5E95176D" w:rsidR="00934712" w:rsidRPr="00AC0AEC" w:rsidRDefault="00C558E8" w:rsidP="00C7584A">
            <w:pPr>
              <w:keepNext/>
              <w:jc w:val="left"/>
              <w:rPr>
                <w:rFonts w:ascii="Calibri" w:hAnsi="Calibri" w:cs="Calibri"/>
                <w:sz w:val="20"/>
                <w:szCs w:val="20"/>
              </w:rPr>
            </w:pPr>
            <w:r>
              <w:rPr>
                <w:rFonts w:ascii="Calibri" w:hAnsi="Calibri" w:cs="Calibri"/>
                <w:sz w:val="20"/>
                <w:szCs w:val="20"/>
              </w:rPr>
              <w:t>P</w:t>
            </w:r>
            <w:r w:rsidR="00934712">
              <w:rPr>
                <w:rFonts w:ascii="Calibri" w:hAnsi="Calibri" w:cs="Calibri"/>
                <w:sz w:val="20"/>
                <w:szCs w:val="20"/>
              </w:rPr>
              <w:t>růměrný počet součinnostních dotazů u jedné pohledávky</w:t>
            </w:r>
            <w:r w:rsidR="00212701">
              <w:rPr>
                <w:rFonts w:ascii="Calibri" w:hAnsi="Calibri" w:cs="Calibri"/>
                <w:sz w:val="20"/>
                <w:szCs w:val="20"/>
              </w:rPr>
              <w:t>***</w:t>
            </w:r>
          </w:p>
        </w:tc>
        <w:tc>
          <w:tcPr>
            <w:tcW w:w="1839" w:type="dxa"/>
            <w:vAlign w:val="center"/>
          </w:tcPr>
          <w:p w14:paraId="7AE08969" w14:textId="77777777" w:rsidR="00934712" w:rsidRPr="00AC0AEC" w:rsidRDefault="00934712" w:rsidP="00C7584A">
            <w:pPr>
              <w:keepNext/>
              <w:ind w:right="593"/>
              <w:jc w:val="right"/>
              <w:rPr>
                <w:rFonts w:ascii="Calibri" w:hAnsi="Calibri" w:cs="Calibri"/>
                <w:sz w:val="20"/>
                <w:szCs w:val="20"/>
              </w:rPr>
            </w:pPr>
            <w:r>
              <w:rPr>
                <w:rFonts w:ascii="Calibri" w:hAnsi="Calibri" w:cs="Calibri"/>
                <w:sz w:val="20"/>
                <w:szCs w:val="20"/>
              </w:rPr>
              <w:t>0</w:t>
            </w:r>
          </w:p>
        </w:tc>
        <w:tc>
          <w:tcPr>
            <w:tcW w:w="1840" w:type="dxa"/>
            <w:vAlign w:val="center"/>
          </w:tcPr>
          <w:p w14:paraId="13047DC1" w14:textId="22767CDC" w:rsidR="00934712" w:rsidRPr="00AC0AEC" w:rsidRDefault="00934712" w:rsidP="00C7584A">
            <w:pPr>
              <w:keepNext/>
              <w:ind w:right="593"/>
              <w:jc w:val="right"/>
              <w:rPr>
                <w:rFonts w:ascii="Calibri" w:hAnsi="Calibri" w:cs="Calibri"/>
                <w:sz w:val="20"/>
                <w:szCs w:val="20"/>
              </w:rPr>
            </w:pPr>
            <w:r>
              <w:rPr>
                <w:rFonts w:ascii="Calibri" w:hAnsi="Calibri" w:cs="Calibri"/>
                <w:sz w:val="20"/>
                <w:szCs w:val="20"/>
              </w:rPr>
              <w:t>2</w:t>
            </w:r>
            <w:r w:rsidR="00E74613">
              <w:rPr>
                <w:rFonts w:ascii="Calibri" w:hAnsi="Calibri" w:cs="Calibri"/>
                <w:sz w:val="20"/>
                <w:szCs w:val="20"/>
              </w:rPr>
              <w:t>5</w:t>
            </w:r>
          </w:p>
        </w:tc>
      </w:tr>
      <w:tr w:rsidR="00934712" w:rsidRPr="00AC0AEC" w14:paraId="3E775C42" w14:textId="77777777" w:rsidTr="00B11C80">
        <w:trPr>
          <w:trHeight w:val="283"/>
        </w:trPr>
        <w:tc>
          <w:tcPr>
            <w:tcW w:w="5382" w:type="dxa"/>
            <w:vAlign w:val="center"/>
          </w:tcPr>
          <w:p w14:paraId="2912D5E0" w14:textId="381FC35F" w:rsidR="00934712" w:rsidRDefault="00CB13F1" w:rsidP="00C7584A">
            <w:pPr>
              <w:keepNext/>
              <w:ind w:left="456"/>
              <w:jc w:val="left"/>
              <w:rPr>
                <w:rFonts w:ascii="Calibri" w:hAnsi="Calibri" w:cs="Calibri"/>
                <w:sz w:val="20"/>
                <w:szCs w:val="20"/>
              </w:rPr>
            </w:pPr>
            <w:r>
              <w:rPr>
                <w:rFonts w:ascii="Calibri" w:hAnsi="Calibri" w:cs="Calibri"/>
                <w:sz w:val="20"/>
                <w:szCs w:val="20"/>
              </w:rPr>
              <w:t xml:space="preserve">- </w:t>
            </w:r>
            <w:r w:rsidR="00934712">
              <w:rPr>
                <w:rFonts w:ascii="Calibri" w:hAnsi="Calibri" w:cs="Calibri"/>
                <w:sz w:val="20"/>
                <w:szCs w:val="20"/>
              </w:rPr>
              <w:t>z toho automatické</w:t>
            </w:r>
          </w:p>
        </w:tc>
        <w:tc>
          <w:tcPr>
            <w:tcW w:w="1839" w:type="dxa"/>
            <w:vAlign w:val="center"/>
          </w:tcPr>
          <w:p w14:paraId="52A3AA7F" w14:textId="77777777" w:rsidR="00934712" w:rsidRPr="00AC0AEC" w:rsidRDefault="00934712" w:rsidP="00C7584A">
            <w:pPr>
              <w:keepNext/>
              <w:ind w:right="593"/>
              <w:jc w:val="right"/>
              <w:rPr>
                <w:rFonts w:ascii="Calibri" w:hAnsi="Calibri" w:cs="Calibri"/>
                <w:sz w:val="20"/>
                <w:szCs w:val="20"/>
              </w:rPr>
            </w:pPr>
            <w:r>
              <w:rPr>
                <w:rFonts w:ascii="Calibri" w:hAnsi="Calibri" w:cs="Calibri"/>
                <w:sz w:val="20"/>
                <w:szCs w:val="20"/>
              </w:rPr>
              <w:t>0</w:t>
            </w:r>
          </w:p>
        </w:tc>
        <w:tc>
          <w:tcPr>
            <w:tcW w:w="1840" w:type="dxa"/>
            <w:vAlign w:val="center"/>
          </w:tcPr>
          <w:p w14:paraId="6BD0A5D9" w14:textId="4ABEC27B" w:rsidR="00934712" w:rsidRPr="00AC0AEC" w:rsidRDefault="00934712" w:rsidP="00C7584A">
            <w:pPr>
              <w:keepNext/>
              <w:ind w:right="593"/>
              <w:jc w:val="right"/>
              <w:rPr>
                <w:rFonts w:ascii="Calibri" w:hAnsi="Calibri" w:cs="Calibri"/>
                <w:sz w:val="20"/>
                <w:szCs w:val="20"/>
              </w:rPr>
            </w:pPr>
            <w:r>
              <w:rPr>
                <w:rFonts w:ascii="Calibri" w:hAnsi="Calibri" w:cs="Calibri"/>
                <w:sz w:val="20"/>
                <w:szCs w:val="20"/>
              </w:rPr>
              <w:t>2</w:t>
            </w:r>
            <w:r w:rsidR="00E74613">
              <w:rPr>
                <w:rFonts w:ascii="Calibri" w:hAnsi="Calibri" w:cs="Calibri"/>
                <w:sz w:val="20"/>
                <w:szCs w:val="20"/>
              </w:rPr>
              <w:t>5</w:t>
            </w:r>
          </w:p>
        </w:tc>
      </w:tr>
    </w:tbl>
    <w:p w14:paraId="47BB5668" w14:textId="68197C3F" w:rsidR="0041085E" w:rsidRDefault="007B44A5" w:rsidP="00C7584A">
      <w:pPr>
        <w:keepNext/>
        <w:spacing w:before="40" w:after="0" w:line="240" w:lineRule="auto"/>
        <w:rPr>
          <w:sz w:val="20"/>
          <w:szCs w:val="20"/>
          <w:lang w:eastAsia="cs-CZ"/>
        </w:rPr>
      </w:pPr>
      <w:r w:rsidRPr="00F833ED">
        <w:rPr>
          <w:b/>
          <w:bCs/>
          <w:sz w:val="20"/>
          <w:szCs w:val="20"/>
          <w:lang w:eastAsia="cs-CZ"/>
        </w:rPr>
        <w:t>Zdroj:</w:t>
      </w:r>
      <w:r w:rsidR="00C558E8" w:rsidRPr="00F833ED">
        <w:rPr>
          <w:b/>
          <w:bCs/>
          <w:sz w:val="20"/>
          <w:szCs w:val="20"/>
          <w:lang w:eastAsia="cs-CZ"/>
        </w:rPr>
        <w:t xml:space="preserve"> </w:t>
      </w:r>
      <w:r w:rsidR="00C558E8" w:rsidRPr="00C558E8">
        <w:rPr>
          <w:sz w:val="20"/>
          <w:szCs w:val="20"/>
          <w:lang w:eastAsia="cs-CZ"/>
        </w:rPr>
        <w:t>vypracoval NKÚ.</w:t>
      </w:r>
    </w:p>
    <w:p w14:paraId="0B1E1FEB" w14:textId="346E52F5" w:rsidR="00EF2781" w:rsidRPr="00F833ED" w:rsidRDefault="003571EE" w:rsidP="0062350A">
      <w:pPr>
        <w:spacing w:after="0" w:line="240" w:lineRule="auto"/>
        <w:rPr>
          <w:b/>
          <w:bCs/>
          <w:sz w:val="20"/>
          <w:szCs w:val="20"/>
          <w:lang w:eastAsia="cs-CZ"/>
        </w:rPr>
      </w:pPr>
      <w:r>
        <w:rPr>
          <w:b/>
          <w:bCs/>
          <w:sz w:val="20"/>
          <w:szCs w:val="20"/>
          <w:lang w:eastAsia="cs-CZ"/>
        </w:rPr>
        <w:t>Vysvětlivky</w:t>
      </w:r>
      <w:r w:rsidR="005F0A24" w:rsidRPr="00F833ED">
        <w:rPr>
          <w:b/>
          <w:bCs/>
          <w:sz w:val="20"/>
          <w:szCs w:val="20"/>
          <w:lang w:eastAsia="cs-CZ"/>
        </w:rPr>
        <w:t xml:space="preserve">: </w:t>
      </w:r>
    </w:p>
    <w:p w14:paraId="341BC608" w14:textId="077150BB" w:rsidR="005F0A24" w:rsidRDefault="00212701" w:rsidP="00F833ED">
      <w:pPr>
        <w:spacing w:after="0" w:line="240" w:lineRule="auto"/>
        <w:ind w:left="426" w:hanging="426"/>
        <w:rPr>
          <w:sz w:val="20"/>
          <w:szCs w:val="20"/>
          <w:lang w:eastAsia="cs-CZ"/>
        </w:rPr>
      </w:pPr>
      <w:r>
        <w:rPr>
          <w:sz w:val="20"/>
          <w:szCs w:val="20"/>
          <w:lang w:eastAsia="cs-CZ"/>
        </w:rPr>
        <w:t>*</w:t>
      </w:r>
      <w:r w:rsidR="00F833ED">
        <w:rPr>
          <w:sz w:val="20"/>
          <w:szCs w:val="20"/>
          <w:lang w:eastAsia="cs-CZ"/>
        </w:rPr>
        <w:t xml:space="preserve"> </w:t>
      </w:r>
      <w:r w:rsidR="00F833ED">
        <w:rPr>
          <w:sz w:val="20"/>
          <w:szCs w:val="20"/>
          <w:lang w:eastAsia="cs-CZ"/>
        </w:rPr>
        <w:tab/>
      </w:r>
      <w:r w:rsidR="00906B8B">
        <w:rPr>
          <w:sz w:val="20"/>
          <w:szCs w:val="20"/>
          <w:lang w:eastAsia="cs-CZ"/>
        </w:rPr>
        <w:t>Doba vykonatelnosti představ</w:t>
      </w:r>
      <w:r>
        <w:rPr>
          <w:sz w:val="20"/>
          <w:szCs w:val="20"/>
          <w:lang w:eastAsia="cs-CZ"/>
        </w:rPr>
        <w:t>ovala</w:t>
      </w:r>
      <w:r w:rsidR="00906B8B">
        <w:rPr>
          <w:sz w:val="20"/>
          <w:szCs w:val="20"/>
          <w:lang w:eastAsia="cs-CZ"/>
        </w:rPr>
        <w:t xml:space="preserve"> u soudu </w:t>
      </w:r>
      <w:r w:rsidR="00310E69">
        <w:rPr>
          <w:sz w:val="20"/>
          <w:szCs w:val="20"/>
          <w:lang w:eastAsia="cs-CZ"/>
        </w:rPr>
        <w:t>počet dnů</w:t>
      </w:r>
      <w:r w:rsidR="00906B8B">
        <w:rPr>
          <w:sz w:val="20"/>
          <w:szCs w:val="20"/>
          <w:lang w:eastAsia="cs-CZ"/>
        </w:rPr>
        <w:t xml:space="preserve"> mezi splatností pohledávky a jejím předáním na CÚ, u CÚ </w:t>
      </w:r>
      <w:r w:rsidR="00C007F2">
        <w:rPr>
          <w:sz w:val="20"/>
          <w:szCs w:val="20"/>
          <w:lang w:eastAsia="cs-CZ"/>
        </w:rPr>
        <w:t xml:space="preserve">počet dnů </w:t>
      </w:r>
      <w:r w:rsidR="00906B8B">
        <w:rPr>
          <w:sz w:val="20"/>
          <w:szCs w:val="20"/>
          <w:lang w:eastAsia="cs-CZ"/>
        </w:rPr>
        <w:t xml:space="preserve">mezi předáním </w:t>
      </w:r>
      <w:r>
        <w:rPr>
          <w:sz w:val="20"/>
          <w:szCs w:val="20"/>
          <w:lang w:eastAsia="cs-CZ"/>
        </w:rPr>
        <w:t xml:space="preserve">pohledávky </w:t>
      </w:r>
      <w:r w:rsidR="00906B8B">
        <w:rPr>
          <w:sz w:val="20"/>
          <w:szCs w:val="20"/>
          <w:lang w:eastAsia="cs-CZ"/>
        </w:rPr>
        <w:t xml:space="preserve">na CÚ </w:t>
      </w:r>
      <w:r>
        <w:rPr>
          <w:sz w:val="20"/>
          <w:szCs w:val="20"/>
          <w:lang w:eastAsia="cs-CZ"/>
        </w:rPr>
        <w:t>a její úhradou</w:t>
      </w:r>
      <w:r w:rsidR="00491817">
        <w:rPr>
          <w:sz w:val="20"/>
          <w:szCs w:val="20"/>
          <w:lang w:eastAsia="cs-CZ"/>
        </w:rPr>
        <w:t xml:space="preserve"> (</w:t>
      </w:r>
      <w:r w:rsidR="00CB13F1">
        <w:rPr>
          <w:sz w:val="20"/>
          <w:szCs w:val="20"/>
          <w:lang w:eastAsia="cs-CZ"/>
        </w:rPr>
        <w:t>čtyři</w:t>
      </w:r>
      <w:r w:rsidR="00491817">
        <w:rPr>
          <w:sz w:val="20"/>
          <w:szCs w:val="20"/>
          <w:lang w:eastAsia="cs-CZ"/>
        </w:rPr>
        <w:t xml:space="preserve"> případy)</w:t>
      </w:r>
      <w:r>
        <w:rPr>
          <w:sz w:val="20"/>
          <w:szCs w:val="20"/>
          <w:lang w:eastAsia="cs-CZ"/>
        </w:rPr>
        <w:t>, případně dnem</w:t>
      </w:r>
      <w:r w:rsidR="00491817">
        <w:rPr>
          <w:sz w:val="20"/>
          <w:szCs w:val="20"/>
          <w:lang w:eastAsia="cs-CZ"/>
        </w:rPr>
        <w:t xml:space="preserve"> 25. 4. 2025</w:t>
      </w:r>
      <w:r>
        <w:rPr>
          <w:sz w:val="20"/>
          <w:szCs w:val="20"/>
          <w:lang w:eastAsia="cs-CZ"/>
        </w:rPr>
        <w:t>, ke kterému NKÚ zjišťoval stav pohledávky (</w:t>
      </w:r>
      <w:r w:rsidR="00491817">
        <w:rPr>
          <w:sz w:val="20"/>
          <w:szCs w:val="20"/>
          <w:lang w:eastAsia="cs-CZ"/>
        </w:rPr>
        <w:t>17 případů</w:t>
      </w:r>
      <w:r w:rsidR="0062350A">
        <w:rPr>
          <w:sz w:val="20"/>
          <w:szCs w:val="20"/>
          <w:lang w:eastAsia="cs-CZ"/>
        </w:rPr>
        <w:t>)</w:t>
      </w:r>
      <w:r>
        <w:rPr>
          <w:sz w:val="20"/>
          <w:szCs w:val="20"/>
          <w:lang w:eastAsia="cs-CZ"/>
        </w:rPr>
        <w:t xml:space="preserve">. </w:t>
      </w:r>
    </w:p>
    <w:p w14:paraId="1C2F92AB" w14:textId="1B7D46A7" w:rsidR="00212701" w:rsidRDefault="00212701" w:rsidP="00F833ED">
      <w:pPr>
        <w:spacing w:after="0" w:line="240" w:lineRule="auto"/>
        <w:ind w:left="426" w:hanging="426"/>
        <w:rPr>
          <w:sz w:val="20"/>
          <w:szCs w:val="20"/>
          <w:lang w:eastAsia="cs-CZ"/>
        </w:rPr>
      </w:pPr>
      <w:r>
        <w:rPr>
          <w:sz w:val="20"/>
          <w:szCs w:val="20"/>
          <w:lang w:eastAsia="cs-CZ"/>
        </w:rPr>
        <w:t>**</w:t>
      </w:r>
      <w:r w:rsidR="0062350A">
        <w:rPr>
          <w:sz w:val="20"/>
          <w:szCs w:val="20"/>
          <w:lang w:eastAsia="cs-CZ"/>
        </w:rPr>
        <w:t xml:space="preserve"> </w:t>
      </w:r>
      <w:r w:rsidR="00F833ED">
        <w:rPr>
          <w:sz w:val="20"/>
          <w:szCs w:val="20"/>
          <w:lang w:eastAsia="cs-CZ"/>
        </w:rPr>
        <w:tab/>
      </w:r>
      <w:r w:rsidR="0062350A">
        <w:rPr>
          <w:sz w:val="20"/>
          <w:szCs w:val="20"/>
          <w:lang w:eastAsia="cs-CZ"/>
        </w:rPr>
        <w:t xml:space="preserve">U soudu se jedná o </w:t>
      </w:r>
      <w:r w:rsidR="00E93EF8">
        <w:rPr>
          <w:sz w:val="20"/>
          <w:szCs w:val="20"/>
          <w:lang w:eastAsia="cs-CZ"/>
        </w:rPr>
        <w:t>počet dnů</w:t>
      </w:r>
      <w:r w:rsidR="0062350A">
        <w:rPr>
          <w:sz w:val="20"/>
          <w:szCs w:val="20"/>
          <w:lang w:eastAsia="cs-CZ"/>
        </w:rPr>
        <w:t xml:space="preserve"> mezi splatností pohledávky a provedením prvního úkonu ve vymáhání, u CÚ se jedná o </w:t>
      </w:r>
      <w:r w:rsidR="006E4B43">
        <w:rPr>
          <w:sz w:val="20"/>
          <w:szCs w:val="20"/>
          <w:lang w:eastAsia="cs-CZ"/>
        </w:rPr>
        <w:t>počet dnů</w:t>
      </w:r>
      <w:r w:rsidR="0062350A">
        <w:rPr>
          <w:sz w:val="20"/>
          <w:szCs w:val="20"/>
          <w:lang w:eastAsia="cs-CZ"/>
        </w:rPr>
        <w:t xml:space="preserve"> mezi předáním pohledávky na CÚ a provedením prvního úkonu ve vymáhání.</w:t>
      </w:r>
    </w:p>
    <w:p w14:paraId="48963288" w14:textId="300C26DF" w:rsidR="00212701" w:rsidRDefault="00212701" w:rsidP="00F833ED">
      <w:pPr>
        <w:spacing w:after="120" w:line="240" w:lineRule="auto"/>
        <w:ind w:left="426" w:hanging="426"/>
        <w:rPr>
          <w:sz w:val="20"/>
          <w:szCs w:val="20"/>
          <w:lang w:eastAsia="cs-CZ"/>
        </w:rPr>
      </w:pPr>
      <w:r>
        <w:rPr>
          <w:sz w:val="20"/>
          <w:szCs w:val="20"/>
          <w:lang w:eastAsia="cs-CZ"/>
        </w:rPr>
        <w:t>***</w:t>
      </w:r>
      <w:r w:rsidR="00F833ED">
        <w:rPr>
          <w:sz w:val="20"/>
          <w:szCs w:val="20"/>
          <w:lang w:eastAsia="cs-CZ"/>
        </w:rPr>
        <w:t xml:space="preserve"> </w:t>
      </w:r>
      <w:r w:rsidR="00F833ED">
        <w:rPr>
          <w:sz w:val="20"/>
          <w:szCs w:val="20"/>
          <w:lang w:eastAsia="cs-CZ"/>
        </w:rPr>
        <w:tab/>
      </w:r>
      <w:r>
        <w:rPr>
          <w:sz w:val="20"/>
          <w:szCs w:val="20"/>
          <w:lang w:eastAsia="cs-CZ"/>
        </w:rPr>
        <w:t>Jedná se o průměrný počet součinnostních dotazů</w:t>
      </w:r>
      <w:r w:rsidR="003159A0">
        <w:rPr>
          <w:rStyle w:val="Znakapoznpodarou"/>
          <w:rFonts w:ascii="Calibri" w:hAnsi="Calibri" w:cs="Calibri"/>
        </w:rPr>
        <w:footnoteReference w:id="30"/>
      </w:r>
      <w:r>
        <w:rPr>
          <w:sz w:val="20"/>
          <w:szCs w:val="20"/>
          <w:lang w:eastAsia="cs-CZ"/>
        </w:rPr>
        <w:t xml:space="preserve"> provedených v době vykonatelnosti u </w:t>
      </w:r>
      <w:r w:rsidR="0062350A">
        <w:rPr>
          <w:sz w:val="20"/>
          <w:szCs w:val="20"/>
          <w:lang w:eastAsia="cs-CZ"/>
        </w:rPr>
        <w:t>příslušných kontrolovaných</w:t>
      </w:r>
      <w:r>
        <w:rPr>
          <w:sz w:val="20"/>
          <w:szCs w:val="20"/>
          <w:lang w:eastAsia="cs-CZ"/>
        </w:rPr>
        <w:t xml:space="preserve"> osob.</w:t>
      </w:r>
    </w:p>
    <w:p w14:paraId="39E9D773" w14:textId="2611E666" w:rsidR="00E80E42" w:rsidRDefault="00832A39" w:rsidP="00C7584A">
      <w:pPr>
        <w:spacing w:before="240" w:after="120" w:line="240" w:lineRule="auto"/>
        <w:rPr>
          <w:lang w:eastAsia="cs-CZ"/>
        </w:rPr>
      </w:pPr>
      <w:r>
        <w:rPr>
          <w:lang w:eastAsia="cs-CZ"/>
        </w:rPr>
        <w:t xml:space="preserve">NKÚ </w:t>
      </w:r>
      <w:r w:rsidR="002B20AC">
        <w:rPr>
          <w:lang w:eastAsia="cs-CZ"/>
        </w:rPr>
        <w:t>na kontrolní</w:t>
      </w:r>
      <w:r w:rsidR="003A150B">
        <w:rPr>
          <w:lang w:eastAsia="cs-CZ"/>
        </w:rPr>
        <w:t>m</w:t>
      </w:r>
      <w:r w:rsidR="002B20AC">
        <w:rPr>
          <w:lang w:eastAsia="cs-CZ"/>
        </w:rPr>
        <w:t xml:space="preserve"> vzorku </w:t>
      </w:r>
      <w:r>
        <w:rPr>
          <w:lang w:eastAsia="cs-CZ"/>
        </w:rPr>
        <w:t xml:space="preserve">21 justičních pohledávek </w:t>
      </w:r>
      <w:r w:rsidR="004356DE">
        <w:rPr>
          <w:lang w:eastAsia="cs-CZ"/>
        </w:rPr>
        <w:t xml:space="preserve">(nepředaných soudnímu exekutorovi k vymáhání) </w:t>
      </w:r>
      <w:r>
        <w:rPr>
          <w:lang w:eastAsia="cs-CZ"/>
        </w:rPr>
        <w:t>v celkové výši</w:t>
      </w:r>
      <w:r w:rsidR="00F41BF6">
        <w:rPr>
          <w:lang w:eastAsia="cs-CZ"/>
        </w:rPr>
        <w:t xml:space="preserve"> cca </w:t>
      </w:r>
      <w:r>
        <w:rPr>
          <w:lang w:eastAsia="cs-CZ"/>
        </w:rPr>
        <w:t>23</w:t>
      </w:r>
      <w:r w:rsidR="00F41BF6">
        <w:rPr>
          <w:lang w:eastAsia="cs-CZ"/>
        </w:rPr>
        <w:t>2 tis.</w:t>
      </w:r>
      <w:r>
        <w:rPr>
          <w:lang w:eastAsia="cs-CZ"/>
        </w:rPr>
        <w:t xml:space="preserve"> Kč</w:t>
      </w:r>
      <w:r w:rsidR="004356DE">
        <w:rPr>
          <w:lang w:eastAsia="cs-CZ"/>
        </w:rPr>
        <w:t xml:space="preserve"> </w:t>
      </w:r>
      <w:r w:rsidR="002B20AC">
        <w:rPr>
          <w:lang w:eastAsia="cs-CZ"/>
        </w:rPr>
        <w:t>zjistil, že</w:t>
      </w:r>
      <w:r w:rsidR="00F14F69">
        <w:rPr>
          <w:lang w:eastAsia="cs-CZ"/>
        </w:rPr>
        <w:t xml:space="preserve"> je</w:t>
      </w:r>
      <w:r>
        <w:rPr>
          <w:lang w:eastAsia="cs-CZ"/>
        </w:rPr>
        <w:t xml:space="preserve"> </w:t>
      </w:r>
      <w:r w:rsidR="002B20AC">
        <w:rPr>
          <w:lang w:eastAsia="cs-CZ"/>
        </w:rPr>
        <w:t>KS Ostrava</w:t>
      </w:r>
      <w:r w:rsidR="002130CB">
        <w:rPr>
          <w:lang w:eastAsia="cs-CZ"/>
        </w:rPr>
        <w:t xml:space="preserve"> </w:t>
      </w:r>
      <w:r w:rsidR="00841C09">
        <w:rPr>
          <w:lang w:eastAsia="cs-CZ"/>
        </w:rPr>
        <w:t>nevymáhal daňovou exekucí podle daňového řádu</w:t>
      </w:r>
      <w:r w:rsidR="003A150B">
        <w:rPr>
          <w:lang w:eastAsia="cs-CZ"/>
        </w:rPr>
        <w:t>.</w:t>
      </w:r>
      <w:r w:rsidR="002130CB">
        <w:rPr>
          <w:lang w:eastAsia="cs-CZ"/>
        </w:rPr>
        <w:t xml:space="preserve"> </w:t>
      </w:r>
      <w:r w:rsidR="003A150B">
        <w:rPr>
          <w:lang w:eastAsia="cs-CZ"/>
        </w:rPr>
        <w:t>V</w:t>
      </w:r>
      <w:r>
        <w:rPr>
          <w:lang w:eastAsia="cs-CZ"/>
        </w:rPr>
        <w:t>e dvou případech</w:t>
      </w:r>
      <w:r w:rsidR="00A96638">
        <w:rPr>
          <w:lang w:eastAsia="cs-CZ"/>
        </w:rPr>
        <w:t xml:space="preserve"> provedli dlužníci</w:t>
      </w:r>
      <w:r>
        <w:rPr>
          <w:lang w:eastAsia="cs-CZ"/>
        </w:rPr>
        <w:t xml:space="preserve"> </w:t>
      </w:r>
      <w:r w:rsidR="00A96638">
        <w:rPr>
          <w:lang w:eastAsia="cs-CZ"/>
        </w:rPr>
        <w:t xml:space="preserve">dobrovolnou </w:t>
      </w:r>
      <w:r>
        <w:rPr>
          <w:lang w:eastAsia="cs-CZ"/>
        </w:rPr>
        <w:t>částečnou úhradu pohledávek v celkové výši 11 tis. Kč.</w:t>
      </w:r>
      <w:r w:rsidR="0093600C" w:rsidRPr="0093600C">
        <w:rPr>
          <w:lang w:eastAsia="cs-CZ"/>
        </w:rPr>
        <w:t xml:space="preserve"> </w:t>
      </w:r>
      <w:r w:rsidR="0093600C">
        <w:rPr>
          <w:lang w:eastAsia="cs-CZ"/>
        </w:rPr>
        <w:t xml:space="preserve">Po jejich předání k vymáhání na </w:t>
      </w:r>
      <w:r w:rsidR="00906D87">
        <w:rPr>
          <w:lang w:eastAsia="cs-CZ"/>
        </w:rPr>
        <w:t>CÚ</w:t>
      </w:r>
      <w:r w:rsidR="0093600C">
        <w:rPr>
          <w:lang w:eastAsia="cs-CZ"/>
        </w:rPr>
        <w:t xml:space="preserve"> vymohl </w:t>
      </w:r>
      <w:r>
        <w:rPr>
          <w:lang w:eastAsia="cs-CZ"/>
        </w:rPr>
        <w:t xml:space="preserve">CÚ pro MSK v šesti případech </w:t>
      </w:r>
      <w:r w:rsidR="0014065C">
        <w:rPr>
          <w:lang w:eastAsia="cs-CZ"/>
        </w:rPr>
        <w:t xml:space="preserve">v průměru za necelých devět měsíců </w:t>
      </w:r>
      <w:r w:rsidR="002E7635">
        <w:rPr>
          <w:lang w:eastAsia="cs-CZ"/>
        </w:rPr>
        <w:t>celkem</w:t>
      </w:r>
      <w:r>
        <w:rPr>
          <w:lang w:eastAsia="cs-CZ"/>
        </w:rPr>
        <w:t xml:space="preserve"> 79 </w:t>
      </w:r>
      <w:r w:rsidR="001D4A0B">
        <w:rPr>
          <w:lang w:eastAsia="cs-CZ"/>
        </w:rPr>
        <w:t>tis.</w:t>
      </w:r>
      <w:r w:rsidR="00CB13F1">
        <w:rPr>
          <w:lang w:eastAsia="cs-CZ"/>
        </w:rPr>
        <w:t> </w:t>
      </w:r>
      <w:r>
        <w:rPr>
          <w:lang w:eastAsia="cs-CZ"/>
        </w:rPr>
        <w:t>Kč, z toho ve čtyřech případech byla pohledávka zcela uhrazena.</w:t>
      </w:r>
    </w:p>
    <w:p w14:paraId="0E213299" w14:textId="41139AA3" w:rsidR="0008724E" w:rsidRPr="004A5216" w:rsidRDefault="0008724E" w:rsidP="00BE71FC">
      <w:pPr>
        <w:spacing w:after="40" w:line="240" w:lineRule="auto"/>
        <w:rPr>
          <w:b/>
          <w:bCs/>
          <w:lang w:eastAsia="cs-CZ"/>
        </w:rPr>
      </w:pPr>
      <w:r w:rsidRPr="00FF056A">
        <w:rPr>
          <w:b/>
          <w:bCs/>
          <w:lang w:eastAsia="cs-CZ"/>
        </w:rPr>
        <w:t xml:space="preserve">Tabulka č. </w:t>
      </w:r>
      <w:r w:rsidR="00FB3DB3" w:rsidRPr="00FF056A">
        <w:rPr>
          <w:b/>
          <w:bCs/>
          <w:lang w:eastAsia="cs-CZ"/>
        </w:rPr>
        <w:t>5</w:t>
      </w:r>
      <w:r w:rsidRPr="00FF056A">
        <w:rPr>
          <w:b/>
          <w:bCs/>
          <w:lang w:eastAsia="cs-CZ"/>
        </w:rPr>
        <w:t>:</w:t>
      </w:r>
      <w:r w:rsidR="006F3B8F" w:rsidRPr="00FF056A">
        <w:rPr>
          <w:b/>
          <w:bCs/>
          <w:lang w:eastAsia="cs-CZ"/>
        </w:rPr>
        <w:t xml:space="preserve"> Porovnání postupu OS PM a CÚ pro PLK</w:t>
      </w:r>
      <w:r w:rsidR="001E33C4">
        <w:rPr>
          <w:b/>
          <w:bCs/>
          <w:lang w:eastAsia="cs-CZ"/>
        </w:rPr>
        <w:t xml:space="preserve"> u 20 justičních pohledávek</w:t>
      </w:r>
    </w:p>
    <w:tbl>
      <w:tblPr>
        <w:tblStyle w:val="Mkatabulky"/>
        <w:tblW w:w="0" w:type="auto"/>
        <w:tblLook w:val="04A0" w:firstRow="1" w:lastRow="0" w:firstColumn="1" w:lastColumn="0" w:noHBand="0" w:noVBand="1"/>
      </w:tblPr>
      <w:tblGrid>
        <w:gridCol w:w="5382"/>
        <w:gridCol w:w="1839"/>
        <w:gridCol w:w="1840"/>
      </w:tblGrid>
      <w:tr w:rsidR="007B44A5" w:rsidRPr="00222098" w14:paraId="393A92F0" w14:textId="77777777" w:rsidTr="00BE71FC">
        <w:trPr>
          <w:trHeight w:val="283"/>
        </w:trPr>
        <w:tc>
          <w:tcPr>
            <w:tcW w:w="5382" w:type="dxa"/>
            <w:shd w:val="clear" w:color="auto" w:fill="E6E6E6"/>
            <w:vAlign w:val="center"/>
          </w:tcPr>
          <w:p w14:paraId="45240856" w14:textId="77777777" w:rsidR="007B44A5" w:rsidRPr="00AC0AEC" w:rsidRDefault="007B44A5" w:rsidP="00BE71FC">
            <w:pPr>
              <w:jc w:val="left"/>
              <w:rPr>
                <w:rFonts w:ascii="Calibri" w:hAnsi="Calibri" w:cs="Calibri"/>
                <w:sz w:val="20"/>
                <w:szCs w:val="20"/>
              </w:rPr>
            </w:pPr>
          </w:p>
        </w:tc>
        <w:tc>
          <w:tcPr>
            <w:tcW w:w="1839" w:type="dxa"/>
            <w:shd w:val="clear" w:color="auto" w:fill="E6E6E6"/>
            <w:vAlign w:val="center"/>
          </w:tcPr>
          <w:p w14:paraId="1260A143" w14:textId="6D624C78" w:rsidR="007B44A5" w:rsidRPr="00222098" w:rsidRDefault="007B44A5" w:rsidP="00BE71FC">
            <w:pPr>
              <w:jc w:val="center"/>
              <w:rPr>
                <w:rFonts w:ascii="Calibri" w:hAnsi="Calibri" w:cs="Calibri"/>
                <w:b/>
                <w:bCs/>
                <w:sz w:val="20"/>
                <w:szCs w:val="20"/>
              </w:rPr>
            </w:pPr>
            <w:r>
              <w:rPr>
                <w:rFonts w:ascii="Calibri" w:hAnsi="Calibri" w:cs="Calibri"/>
                <w:b/>
                <w:bCs/>
                <w:sz w:val="20"/>
                <w:szCs w:val="20"/>
              </w:rPr>
              <w:t>OS P</w:t>
            </w:r>
            <w:r w:rsidR="004A5216">
              <w:rPr>
                <w:rFonts w:ascii="Calibri" w:hAnsi="Calibri" w:cs="Calibri"/>
                <w:b/>
                <w:bCs/>
                <w:sz w:val="20"/>
                <w:szCs w:val="20"/>
              </w:rPr>
              <w:t>M</w:t>
            </w:r>
          </w:p>
        </w:tc>
        <w:tc>
          <w:tcPr>
            <w:tcW w:w="1840" w:type="dxa"/>
            <w:shd w:val="clear" w:color="auto" w:fill="E6E6E6"/>
            <w:vAlign w:val="center"/>
          </w:tcPr>
          <w:p w14:paraId="20174EE6" w14:textId="221877DA" w:rsidR="007B44A5" w:rsidRPr="00222098" w:rsidRDefault="007B44A5" w:rsidP="00BE71FC">
            <w:pPr>
              <w:jc w:val="center"/>
              <w:rPr>
                <w:rFonts w:ascii="Calibri" w:hAnsi="Calibri" w:cs="Calibri"/>
                <w:b/>
                <w:bCs/>
                <w:sz w:val="20"/>
                <w:szCs w:val="20"/>
              </w:rPr>
            </w:pPr>
            <w:r w:rsidRPr="00222098">
              <w:rPr>
                <w:rFonts w:ascii="Calibri" w:hAnsi="Calibri" w:cs="Calibri"/>
                <w:b/>
                <w:bCs/>
                <w:sz w:val="20"/>
                <w:szCs w:val="20"/>
              </w:rPr>
              <w:t xml:space="preserve">CÚ pro </w:t>
            </w:r>
            <w:r w:rsidR="004A5216">
              <w:rPr>
                <w:rFonts w:ascii="Calibri" w:hAnsi="Calibri" w:cs="Calibri"/>
                <w:b/>
                <w:bCs/>
                <w:sz w:val="20"/>
                <w:szCs w:val="20"/>
              </w:rPr>
              <w:t>PLK</w:t>
            </w:r>
          </w:p>
        </w:tc>
      </w:tr>
      <w:tr w:rsidR="00FE6FE7" w:rsidRPr="00AC0AEC" w14:paraId="2DF8359D" w14:textId="77777777" w:rsidTr="00BE71FC">
        <w:trPr>
          <w:trHeight w:val="283"/>
        </w:trPr>
        <w:tc>
          <w:tcPr>
            <w:tcW w:w="5382" w:type="dxa"/>
            <w:vAlign w:val="center"/>
          </w:tcPr>
          <w:p w14:paraId="31005CB5" w14:textId="2DD85D67" w:rsidR="00FE6FE7" w:rsidRPr="00AC0AEC" w:rsidRDefault="00FE6FE7" w:rsidP="00BE71FC">
            <w:pPr>
              <w:jc w:val="left"/>
              <w:rPr>
                <w:rFonts w:ascii="Calibri" w:hAnsi="Calibri" w:cs="Calibri"/>
                <w:sz w:val="20"/>
                <w:szCs w:val="20"/>
              </w:rPr>
            </w:pPr>
            <w:r>
              <w:rPr>
                <w:rFonts w:ascii="Calibri" w:hAnsi="Calibri" w:cs="Calibri"/>
                <w:sz w:val="20"/>
                <w:szCs w:val="20"/>
              </w:rPr>
              <w:t>Doba vykonatelnosti* – maximální</w:t>
            </w:r>
          </w:p>
        </w:tc>
        <w:tc>
          <w:tcPr>
            <w:tcW w:w="1839" w:type="dxa"/>
            <w:vAlign w:val="center"/>
          </w:tcPr>
          <w:p w14:paraId="75F15D33" w14:textId="77777777" w:rsidR="00FE6FE7" w:rsidRPr="00AC0AEC" w:rsidRDefault="00FE6FE7" w:rsidP="00BE71FC">
            <w:pPr>
              <w:ind w:right="593"/>
              <w:jc w:val="right"/>
              <w:rPr>
                <w:rFonts w:ascii="Calibri" w:hAnsi="Calibri" w:cs="Calibri"/>
                <w:sz w:val="20"/>
                <w:szCs w:val="20"/>
              </w:rPr>
            </w:pPr>
            <w:r>
              <w:rPr>
                <w:rFonts w:ascii="Calibri" w:hAnsi="Calibri" w:cs="Calibri"/>
                <w:sz w:val="20"/>
                <w:szCs w:val="20"/>
              </w:rPr>
              <w:t>5 321</w:t>
            </w:r>
          </w:p>
        </w:tc>
        <w:tc>
          <w:tcPr>
            <w:tcW w:w="1840" w:type="dxa"/>
            <w:vAlign w:val="center"/>
          </w:tcPr>
          <w:p w14:paraId="47915860" w14:textId="77777777" w:rsidR="00FE6FE7" w:rsidRPr="00AC0AEC" w:rsidRDefault="00FE6FE7" w:rsidP="00BE71FC">
            <w:pPr>
              <w:ind w:right="593"/>
              <w:jc w:val="right"/>
              <w:rPr>
                <w:rFonts w:ascii="Calibri" w:hAnsi="Calibri" w:cs="Calibri"/>
                <w:sz w:val="20"/>
                <w:szCs w:val="20"/>
              </w:rPr>
            </w:pPr>
            <w:r>
              <w:rPr>
                <w:rFonts w:ascii="Calibri" w:hAnsi="Calibri" w:cs="Calibri"/>
                <w:sz w:val="20"/>
                <w:szCs w:val="20"/>
              </w:rPr>
              <w:t>406</w:t>
            </w:r>
          </w:p>
        </w:tc>
      </w:tr>
      <w:tr w:rsidR="00750DF3" w:rsidRPr="00AC0AEC" w14:paraId="782AEF6A" w14:textId="77777777" w:rsidTr="00BE71FC">
        <w:trPr>
          <w:trHeight w:val="283"/>
        </w:trPr>
        <w:tc>
          <w:tcPr>
            <w:tcW w:w="5382" w:type="dxa"/>
            <w:vAlign w:val="center"/>
          </w:tcPr>
          <w:p w14:paraId="1723E2AC" w14:textId="6083F422" w:rsidR="00750DF3" w:rsidRPr="00AC0AEC" w:rsidRDefault="00750DF3" w:rsidP="00BE71FC">
            <w:pPr>
              <w:jc w:val="left"/>
              <w:rPr>
                <w:rFonts w:ascii="Calibri" w:hAnsi="Calibri" w:cs="Calibri"/>
                <w:sz w:val="20"/>
                <w:szCs w:val="20"/>
              </w:rPr>
            </w:pPr>
            <w:r>
              <w:rPr>
                <w:rFonts w:ascii="Calibri" w:hAnsi="Calibri" w:cs="Calibri"/>
                <w:sz w:val="20"/>
                <w:szCs w:val="20"/>
              </w:rPr>
              <w:t>Doba vykonatelnosti</w:t>
            </w:r>
            <w:r w:rsidR="000732FD">
              <w:rPr>
                <w:rFonts w:ascii="Calibri" w:hAnsi="Calibri" w:cs="Calibri"/>
                <w:sz w:val="20"/>
                <w:szCs w:val="20"/>
              </w:rPr>
              <w:t>*</w:t>
            </w:r>
            <w:r>
              <w:rPr>
                <w:rFonts w:ascii="Calibri" w:hAnsi="Calibri" w:cs="Calibri"/>
                <w:sz w:val="20"/>
                <w:szCs w:val="20"/>
              </w:rPr>
              <w:t xml:space="preserve"> – průměrná</w:t>
            </w:r>
          </w:p>
        </w:tc>
        <w:tc>
          <w:tcPr>
            <w:tcW w:w="1839" w:type="dxa"/>
            <w:vAlign w:val="center"/>
          </w:tcPr>
          <w:p w14:paraId="56BBA006" w14:textId="5993D50D" w:rsidR="00750DF3" w:rsidRPr="00AC0AEC" w:rsidRDefault="00750DF3" w:rsidP="00BE71FC">
            <w:pPr>
              <w:ind w:right="593"/>
              <w:jc w:val="right"/>
              <w:rPr>
                <w:rFonts w:ascii="Calibri" w:hAnsi="Calibri" w:cs="Calibri"/>
                <w:sz w:val="20"/>
                <w:szCs w:val="20"/>
              </w:rPr>
            </w:pPr>
            <w:r>
              <w:rPr>
                <w:rFonts w:ascii="Calibri" w:hAnsi="Calibri" w:cs="Calibri"/>
                <w:sz w:val="20"/>
                <w:szCs w:val="20"/>
              </w:rPr>
              <w:t>3 07</w:t>
            </w:r>
            <w:r w:rsidR="00E74613">
              <w:rPr>
                <w:rFonts w:ascii="Calibri" w:hAnsi="Calibri" w:cs="Calibri"/>
                <w:sz w:val="20"/>
                <w:szCs w:val="20"/>
              </w:rPr>
              <w:t>4</w:t>
            </w:r>
          </w:p>
        </w:tc>
        <w:tc>
          <w:tcPr>
            <w:tcW w:w="1840" w:type="dxa"/>
            <w:vAlign w:val="center"/>
          </w:tcPr>
          <w:p w14:paraId="76F6E137" w14:textId="77777777" w:rsidR="00750DF3" w:rsidRPr="00AC0AEC" w:rsidRDefault="00750DF3" w:rsidP="00BE71FC">
            <w:pPr>
              <w:ind w:right="593"/>
              <w:jc w:val="right"/>
              <w:rPr>
                <w:rFonts w:ascii="Calibri" w:hAnsi="Calibri" w:cs="Calibri"/>
                <w:sz w:val="20"/>
                <w:szCs w:val="20"/>
              </w:rPr>
            </w:pPr>
            <w:r>
              <w:rPr>
                <w:rFonts w:ascii="Calibri" w:hAnsi="Calibri" w:cs="Calibri"/>
                <w:sz w:val="20"/>
                <w:szCs w:val="20"/>
              </w:rPr>
              <w:t>225</w:t>
            </w:r>
          </w:p>
        </w:tc>
      </w:tr>
      <w:tr w:rsidR="00750DF3" w:rsidRPr="00AC0AEC" w14:paraId="69949F1C" w14:textId="77777777" w:rsidTr="00BE71FC">
        <w:trPr>
          <w:trHeight w:val="283"/>
        </w:trPr>
        <w:tc>
          <w:tcPr>
            <w:tcW w:w="5382" w:type="dxa"/>
            <w:vAlign w:val="center"/>
          </w:tcPr>
          <w:p w14:paraId="0065FA26" w14:textId="4139B3A3" w:rsidR="00750DF3" w:rsidRPr="00AC0AEC" w:rsidRDefault="00750DF3" w:rsidP="00BE71FC">
            <w:pPr>
              <w:jc w:val="left"/>
              <w:rPr>
                <w:rFonts w:ascii="Calibri" w:hAnsi="Calibri" w:cs="Calibri"/>
                <w:sz w:val="20"/>
                <w:szCs w:val="20"/>
              </w:rPr>
            </w:pPr>
            <w:r>
              <w:rPr>
                <w:rFonts w:ascii="Calibri" w:hAnsi="Calibri" w:cs="Calibri"/>
                <w:sz w:val="20"/>
                <w:szCs w:val="20"/>
              </w:rPr>
              <w:t>Doba vykonatelnosti</w:t>
            </w:r>
            <w:r w:rsidR="000732FD">
              <w:rPr>
                <w:rFonts w:ascii="Calibri" w:hAnsi="Calibri" w:cs="Calibri"/>
                <w:sz w:val="20"/>
                <w:szCs w:val="20"/>
              </w:rPr>
              <w:t>*</w:t>
            </w:r>
            <w:r>
              <w:rPr>
                <w:rFonts w:ascii="Calibri" w:hAnsi="Calibri" w:cs="Calibri"/>
                <w:sz w:val="20"/>
                <w:szCs w:val="20"/>
              </w:rPr>
              <w:t xml:space="preserve"> – minimální</w:t>
            </w:r>
          </w:p>
        </w:tc>
        <w:tc>
          <w:tcPr>
            <w:tcW w:w="1839" w:type="dxa"/>
            <w:vAlign w:val="center"/>
          </w:tcPr>
          <w:p w14:paraId="633A44C4" w14:textId="77777777" w:rsidR="00750DF3" w:rsidRPr="00AC0AEC" w:rsidRDefault="00750DF3" w:rsidP="00BE71FC">
            <w:pPr>
              <w:ind w:right="593"/>
              <w:jc w:val="right"/>
              <w:rPr>
                <w:rFonts w:ascii="Calibri" w:hAnsi="Calibri" w:cs="Calibri"/>
                <w:sz w:val="20"/>
                <w:szCs w:val="20"/>
              </w:rPr>
            </w:pPr>
            <w:r>
              <w:rPr>
                <w:rFonts w:ascii="Calibri" w:hAnsi="Calibri" w:cs="Calibri"/>
                <w:sz w:val="20"/>
                <w:szCs w:val="20"/>
              </w:rPr>
              <w:t>304</w:t>
            </w:r>
          </w:p>
        </w:tc>
        <w:tc>
          <w:tcPr>
            <w:tcW w:w="1840" w:type="dxa"/>
            <w:vAlign w:val="center"/>
          </w:tcPr>
          <w:p w14:paraId="4D6CFF8D" w14:textId="77777777" w:rsidR="00750DF3" w:rsidRPr="00AC0AEC" w:rsidRDefault="00750DF3" w:rsidP="00BE71FC">
            <w:pPr>
              <w:ind w:right="593"/>
              <w:jc w:val="right"/>
              <w:rPr>
                <w:rFonts w:ascii="Calibri" w:hAnsi="Calibri" w:cs="Calibri"/>
                <w:sz w:val="20"/>
                <w:szCs w:val="20"/>
              </w:rPr>
            </w:pPr>
            <w:r>
              <w:rPr>
                <w:rFonts w:ascii="Calibri" w:hAnsi="Calibri" w:cs="Calibri"/>
                <w:sz w:val="20"/>
                <w:szCs w:val="20"/>
              </w:rPr>
              <w:t>18</w:t>
            </w:r>
          </w:p>
        </w:tc>
      </w:tr>
      <w:tr w:rsidR="00750DF3" w:rsidRPr="00AC0AEC" w14:paraId="450D90ED" w14:textId="77777777" w:rsidTr="00BE71FC">
        <w:trPr>
          <w:trHeight w:val="283"/>
        </w:trPr>
        <w:tc>
          <w:tcPr>
            <w:tcW w:w="5382" w:type="dxa"/>
            <w:vAlign w:val="center"/>
          </w:tcPr>
          <w:p w14:paraId="05A8DBAD" w14:textId="73214EA6" w:rsidR="00750DF3" w:rsidRDefault="00750DF3" w:rsidP="00BE71FC">
            <w:pPr>
              <w:jc w:val="left"/>
              <w:rPr>
                <w:rFonts w:ascii="Calibri" w:hAnsi="Calibri" w:cs="Calibri"/>
                <w:sz w:val="20"/>
                <w:szCs w:val="20"/>
              </w:rPr>
            </w:pPr>
            <w:r>
              <w:rPr>
                <w:rFonts w:ascii="Calibri" w:hAnsi="Calibri" w:cs="Calibri"/>
                <w:sz w:val="20"/>
                <w:szCs w:val="20"/>
              </w:rPr>
              <w:t>Průměrná doba do provedení 1. úkonu ve vymáhání</w:t>
            </w:r>
            <w:r w:rsidR="006F3B8F">
              <w:rPr>
                <w:rFonts w:ascii="Calibri" w:hAnsi="Calibri" w:cs="Calibri"/>
                <w:sz w:val="20"/>
                <w:szCs w:val="20"/>
              </w:rPr>
              <w:t>**</w:t>
            </w:r>
          </w:p>
        </w:tc>
        <w:tc>
          <w:tcPr>
            <w:tcW w:w="1839" w:type="dxa"/>
            <w:vAlign w:val="center"/>
          </w:tcPr>
          <w:p w14:paraId="3A0041E8" w14:textId="77777777" w:rsidR="00750DF3" w:rsidRDefault="00750DF3" w:rsidP="00BE71FC">
            <w:pPr>
              <w:ind w:right="593"/>
              <w:jc w:val="right"/>
              <w:rPr>
                <w:rFonts w:ascii="Calibri" w:hAnsi="Calibri" w:cs="Calibri"/>
                <w:sz w:val="20"/>
                <w:szCs w:val="20"/>
              </w:rPr>
            </w:pPr>
            <w:r>
              <w:rPr>
                <w:rFonts w:ascii="Calibri" w:hAnsi="Calibri" w:cs="Calibri"/>
                <w:sz w:val="20"/>
                <w:szCs w:val="20"/>
              </w:rPr>
              <w:t>65</w:t>
            </w:r>
          </w:p>
        </w:tc>
        <w:tc>
          <w:tcPr>
            <w:tcW w:w="1840" w:type="dxa"/>
            <w:vAlign w:val="center"/>
          </w:tcPr>
          <w:p w14:paraId="36ED34C1" w14:textId="77777777" w:rsidR="00750DF3" w:rsidRPr="00AC0AEC" w:rsidRDefault="00750DF3" w:rsidP="00BE71FC">
            <w:pPr>
              <w:ind w:right="593"/>
              <w:jc w:val="right"/>
              <w:rPr>
                <w:rFonts w:ascii="Calibri" w:hAnsi="Calibri" w:cs="Calibri"/>
                <w:sz w:val="20"/>
                <w:szCs w:val="20"/>
              </w:rPr>
            </w:pPr>
            <w:r>
              <w:rPr>
                <w:rFonts w:ascii="Calibri" w:hAnsi="Calibri" w:cs="Calibri"/>
                <w:sz w:val="20"/>
                <w:szCs w:val="20"/>
              </w:rPr>
              <w:t>23</w:t>
            </w:r>
          </w:p>
        </w:tc>
      </w:tr>
      <w:tr w:rsidR="00750DF3" w:rsidRPr="00AC0AEC" w14:paraId="72843DA7" w14:textId="77777777" w:rsidTr="00BE71FC">
        <w:trPr>
          <w:trHeight w:val="283"/>
        </w:trPr>
        <w:tc>
          <w:tcPr>
            <w:tcW w:w="5382" w:type="dxa"/>
            <w:vAlign w:val="center"/>
          </w:tcPr>
          <w:p w14:paraId="347DB282" w14:textId="6A593BBD" w:rsidR="00750DF3" w:rsidRPr="00AC0AEC" w:rsidRDefault="00750DF3" w:rsidP="00BE71FC">
            <w:pPr>
              <w:jc w:val="left"/>
              <w:rPr>
                <w:rFonts w:ascii="Calibri" w:hAnsi="Calibri" w:cs="Calibri"/>
                <w:sz w:val="20"/>
                <w:szCs w:val="20"/>
              </w:rPr>
            </w:pPr>
            <w:r>
              <w:rPr>
                <w:rFonts w:ascii="Calibri" w:hAnsi="Calibri" w:cs="Calibri"/>
                <w:sz w:val="20"/>
                <w:szCs w:val="20"/>
              </w:rPr>
              <w:t>Průměrný počet součinnostních dotazů u jedné pohledávky</w:t>
            </w:r>
            <w:r w:rsidR="006F3B8F">
              <w:rPr>
                <w:rFonts w:ascii="Calibri" w:hAnsi="Calibri" w:cs="Calibri"/>
                <w:sz w:val="20"/>
                <w:szCs w:val="20"/>
              </w:rPr>
              <w:t>***</w:t>
            </w:r>
          </w:p>
        </w:tc>
        <w:tc>
          <w:tcPr>
            <w:tcW w:w="1839" w:type="dxa"/>
            <w:vAlign w:val="center"/>
          </w:tcPr>
          <w:p w14:paraId="5535F9F8" w14:textId="17613535" w:rsidR="00750DF3" w:rsidRPr="00AC0AEC" w:rsidRDefault="00E74613" w:rsidP="00BE71FC">
            <w:pPr>
              <w:ind w:right="593"/>
              <w:jc w:val="right"/>
              <w:rPr>
                <w:rFonts w:ascii="Calibri" w:hAnsi="Calibri" w:cs="Calibri"/>
                <w:sz w:val="20"/>
                <w:szCs w:val="20"/>
              </w:rPr>
            </w:pPr>
            <w:r>
              <w:rPr>
                <w:rFonts w:ascii="Calibri" w:hAnsi="Calibri" w:cs="Calibri"/>
                <w:sz w:val="20"/>
                <w:szCs w:val="20"/>
              </w:rPr>
              <w:t>1</w:t>
            </w:r>
            <w:r w:rsidR="00750DF3">
              <w:rPr>
                <w:rFonts w:ascii="Calibri" w:hAnsi="Calibri" w:cs="Calibri"/>
                <w:sz w:val="20"/>
                <w:szCs w:val="20"/>
              </w:rPr>
              <w:t>9</w:t>
            </w:r>
          </w:p>
        </w:tc>
        <w:tc>
          <w:tcPr>
            <w:tcW w:w="1840" w:type="dxa"/>
            <w:vAlign w:val="center"/>
          </w:tcPr>
          <w:p w14:paraId="12C389A5" w14:textId="77777777" w:rsidR="00750DF3" w:rsidRPr="00AC0AEC" w:rsidRDefault="00750DF3" w:rsidP="00BE71FC">
            <w:pPr>
              <w:ind w:right="593"/>
              <w:jc w:val="right"/>
              <w:rPr>
                <w:rFonts w:ascii="Calibri" w:hAnsi="Calibri" w:cs="Calibri"/>
                <w:sz w:val="20"/>
                <w:szCs w:val="20"/>
              </w:rPr>
            </w:pPr>
            <w:r>
              <w:rPr>
                <w:rFonts w:ascii="Calibri" w:hAnsi="Calibri" w:cs="Calibri"/>
                <w:sz w:val="20"/>
                <w:szCs w:val="20"/>
              </w:rPr>
              <w:t>43</w:t>
            </w:r>
          </w:p>
        </w:tc>
      </w:tr>
      <w:tr w:rsidR="00750DF3" w:rsidRPr="00AC0AEC" w14:paraId="3BA8B667" w14:textId="77777777" w:rsidTr="00BE71FC">
        <w:trPr>
          <w:trHeight w:val="283"/>
        </w:trPr>
        <w:tc>
          <w:tcPr>
            <w:tcW w:w="5382" w:type="dxa"/>
            <w:vAlign w:val="center"/>
          </w:tcPr>
          <w:p w14:paraId="563E3125" w14:textId="6A49AFCB" w:rsidR="00750DF3" w:rsidRDefault="00CB13F1" w:rsidP="00BE71FC">
            <w:pPr>
              <w:ind w:left="456"/>
              <w:jc w:val="left"/>
              <w:rPr>
                <w:rFonts w:ascii="Calibri" w:hAnsi="Calibri" w:cs="Calibri"/>
                <w:sz w:val="20"/>
                <w:szCs w:val="20"/>
              </w:rPr>
            </w:pPr>
            <w:r>
              <w:rPr>
                <w:rFonts w:ascii="Calibri" w:hAnsi="Calibri" w:cs="Calibri"/>
                <w:sz w:val="20"/>
                <w:szCs w:val="20"/>
              </w:rPr>
              <w:t xml:space="preserve">- </w:t>
            </w:r>
            <w:r w:rsidR="00750DF3">
              <w:rPr>
                <w:rFonts w:ascii="Calibri" w:hAnsi="Calibri" w:cs="Calibri"/>
                <w:sz w:val="20"/>
                <w:szCs w:val="20"/>
              </w:rPr>
              <w:t>z toho automatické</w:t>
            </w:r>
          </w:p>
        </w:tc>
        <w:tc>
          <w:tcPr>
            <w:tcW w:w="1839" w:type="dxa"/>
            <w:vAlign w:val="center"/>
          </w:tcPr>
          <w:p w14:paraId="2AF02D7D" w14:textId="77777777" w:rsidR="00750DF3" w:rsidRPr="00AC0AEC" w:rsidRDefault="00750DF3" w:rsidP="00BE71FC">
            <w:pPr>
              <w:ind w:right="593"/>
              <w:jc w:val="right"/>
              <w:rPr>
                <w:rFonts w:ascii="Calibri" w:hAnsi="Calibri" w:cs="Calibri"/>
                <w:sz w:val="20"/>
                <w:szCs w:val="20"/>
              </w:rPr>
            </w:pPr>
            <w:r>
              <w:rPr>
                <w:rFonts w:ascii="Calibri" w:hAnsi="Calibri" w:cs="Calibri"/>
                <w:sz w:val="20"/>
                <w:szCs w:val="20"/>
              </w:rPr>
              <w:t>0</w:t>
            </w:r>
          </w:p>
        </w:tc>
        <w:tc>
          <w:tcPr>
            <w:tcW w:w="1840" w:type="dxa"/>
            <w:vAlign w:val="center"/>
          </w:tcPr>
          <w:p w14:paraId="5B0DCE1B" w14:textId="77777777" w:rsidR="00750DF3" w:rsidRPr="00AC0AEC" w:rsidRDefault="00750DF3" w:rsidP="00BE71FC">
            <w:pPr>
              <w:ind w:right="593"/>
              <w:jc w:val="right"/>
              <w:rPr>
                <w:rFonts w:ascii="Calibri" w:hAnsi="Calibri" w:cs="Calibri"/>
                <w:sz w:val="20"/>
                <w:szCs w:val="20"/>
              </w:rPr>
            </w:pPr>
            <w:r>
              <w:rPr>
                <w:rFonts w:ascii="Calibri" w:hAnsi="Calibri" w:cs="Calibri"/>
                <w:sz w:val="20"/>
                <w:szCs w:val="20"/>
              </w:rPr>
              <w:t>43</w:t>
            </w:r>
          </w:p>
        </w:tc>
      </w:tr>
    </w:tbl>
    <w:p w14:paraId="54E7072D" w14:textId="39D61C82" w:rsidR="0008724E" w:rsidRPr="007B44A5" w:rsidRDefault="007B44A5" w:rsidP="00BE71FC">
      <w:pPr>
        <w:spacing w:before="40" w:after="0" w:line="240" w:lineRule="auto"/>
        <w:rPr>
          <w:sz w:val="20"/>
          <w:szCs w:val="20"/>
          <w:lang w:eastAsia="cs-CZ"/>
        </w:rPr>
      </w:pPr>
      <w:r w:rsidRPr="007B4349">
        <w:rPr>
          <w:b/>
          <w:bCs/>
          <w:sz w:val="20"/>
          <w:szCs w:val="20"/>
          <w:lang w:eastAsia="cs-CZ"/>
        </w:rPr>
        <w:t>Zdroj:</w:t>
      </w:r>
      <w:r w:rsidR="00C558E8" w:rsidRPr="00C558E8">
        <w:rPr>
          <w:sz w:val="20"/>
          <w:szCs w:val="20"/>
          <w:lang w:eastAsia="cs-CZ"/>
        </w:rPr>
        <w:t xml:space="preserve"> vypracoval NKÚ.</w:t>
      </w:r>
    </w:p>
    <w:p w14:paraId="312B2BE2" w14:textId="2C480DB2" w:rsidR="00EF2781" w:rsidRPr="007B4349" w:rsidRDefault="003571EE" w:rsidP="00BE71FC">
      <w:pPr>
        <w:spacing w:after="0" w:line="240" w:lineRule="auto"/>
        <w:rPr>
          <w:b/>
          <w:bCs/>
          <w:sz w:val="20"/>
          <w:szCs w:val="20"/>
          <w:lang w:eastAsia="cs-CZ"/>
        </w:rPr>
      </w:pPr>
      <w:r>
        <w:rPr>
          <w:b/>
          <w:bCs/>
          <w:sz w:val="20"/>
          <w:szCs w:val="20"/>
          <w:lang w:eastAsia="cs-CZ"/>
        </w:rPr>
        <w:t>Vysvětlivky</w:t>
      </w:r>
      <w:r w:rsidR="006F3B8F" w:rsidRPr="007B4349">
        <w:rPr>
          <w:b/>
          <w:bCs/>
          <w:sz w:val="20"/>
          <w:szCs w:val="20"/>
          <w:lang w:eastAsia="cs-CZ"/>
        </w:rPr>
        <w:t xml:space="preserve">: </w:t>
      </w:r>
    </w:p>
    <w:p w14:paraId="0A5BF82A" w14:textId="634222A7" w:rsidR="006F3B8F" w:rsidRDefault="006F3B8F" w:rsidP="007B4349">
      <w:pPr>
        <w:spacing w:after="0" w:line="240" w:lineRule="auto"/>
        <w:ind w:left="426" w:hanging="426"/>
        <w:rPr>
          <w:sz w:val="20"/>
          <w:szCs w:val="20"/>
          <w:lang w:eastAsia="cs-CZ"/>
        </w:rPr>
      </w:pPr>
      <w:r>
        <w:rPr>
          <w:sz w:val="20"/>
          <w:szCs w:val="20"/>
          <w:lang w:eastAsia="cs-CZ"/>
        </w:rPr>
        <w:t>*</w:t>
      </w:r>
      <w:r w:rsidR="007B4349">
        <w:rPr>
          <w:sz w:val="20"/>
          <w:szCs w:val="20"/>
          <w:lang w:eastAsia="cs-CZ"/>
        </w:rPr>
        <w:t xml:space="preserve"> </w:t>
      </w:r>
      <w:r w:rsidR="007B4349">
        <w:rPr>
          <w:sz w:val="20"/>
          <w:szCs w:val="20"/>
          <w:lang w:eastAsia="cs-CZ"/>
        </w:rPr>
        <w:tab/>
      </w:r>
      <w:r>
        <w:rPr>
          <w:sz w:val="20"/>
          <w:szCs w:val="20"/>
          <w:lang w:eastAsia="cs-CZ"/>
        </w:rPr>
        <w:t xml:space="preserve">Doba vykonatelnosti představovala u soudu </w:t>
      </w:r>
      <w:r w:rsidR="00C007F2">
        <w:rPr>
          <w:sz w:val="20"/>
          <w:szCs w:val="20"/>
          <w:lang w:eastAsia="cs-CZ"/>
        </w:rPr>
        <w:t xml:space="preserve">počet dnů </w:t>
      </w:r>
      <w:r>
        <w:rPr>
          <w:sz w:val="20"/>
          <w:szCs w:val="20"/>
          <w:lang w:eastAsia="cs-CZ"/>
        </w:rPr>
        <w:t xml:space="preserve">mezi splatností pohledávky a jejím předáním na CÚ, u CÚ </w:t>
      </w:r>
      <w:r w:rsidR="00C007F2">
        <w:rPr>
          <w:sz w:val="20"/>
          <w:szCs w:val="20"/>
          <w:lang w:eastAsia="cs-CZ"/>
        </w:rPr>
        <w:t xml:space="preserve">počet dnů </w:t>
      </w:r>
      <w:r>
        <w:rPr>
          <w:sz w:val="20"/>
          <w:szCs w:val="20"/>
          <w:lang w:eastAsia="cs-CZ"/>
        </w:rPr>
        <w:t>mezi předáním pohledávky na CÚ a její úhradou</w:t>
      </w:r>
      <w:r w:rsidR="00491817">
        <w:rPr>
          <w:sz w:val="20"/>
          <w:szCs w:val="20"/>
          <w:lang w:eastAsia="cs-CZ"/>
        </w:rPr>
        <w:t xml:space="preserve"> (</w:t>
      </w:r>
      <w:r w:rsidR="00CB13F1">
        <w:rPr>
          <w:sz w:val="20"/>
          <w:szCs w:val="20"/>
          <w:lang w:eastAsia="cs-CZ"/>
        </w:rPr>
        <w:t>čtyři</w:t>
      </w:r>
      <w:r w:rsidR="00491817">
        <w:rPr>
          <w:sz w:val="20"/>
          <w:szCs w:val="20"/>
          <w:lang w:eastAsia="cs-CZ"/>
        </w:rPr>
        <w:t xml:space="preserve"> případy)</w:t>
      </w:r>
      <w:r>
        <w:rPr>
          <w:sz w:val="20"/>
          <w:szCs w:val="20"/>
          <w:lang w:eastAsia="cs-CZ"/>
        </w:rPr>
        <w:t>, případně dnem</w:t>
      </w:r>
      <w:r w:rsidR="00491817">
        <w:rPr>
          <w:sz w:val="20"/>
          <w:szCs w:val="20"/>
          <w:lang w:eastAsia="cs-CZ"/>
        </w:rPr>
        <w:t xml:space="preserve"> 25. 4. 2025</w:t>
      </w:r>
      <w:r>
        <w:rPr>
          <w:sz w:val="20"/>
          <w:szCs w:val="20"/>
          <w:lang w:eastAsia="cs-CZ"/>
        </w:rPr>
        <w:t>, ke kterému NKÚ zjišťoval stav pohledávky (</w:t>
      </w:r>
      <w:r w:rsidR="00491817">
        <w:rPr>
          <w:sz w:val="20"/>
          <w:szCs w:val="20"/>
          <w:lang w:eastAsia="cs-CZ"/>
        </w:rPr>
        <w:t>16 případů</w:t>
      </w:r>
      <w:r>
        <w:rPr>
          <w:sz w:val="20"/>
          <w:szCs w:val="20"/>
          <w:lang w:eastAsia="cs-CZ"/>
        </w:rPr>
        <w:t xml:space="preserve">). </w:t>
      </w:r>
    </w:p>
    <w:p w14:paraId="054C1B29" w14:textId="5292E2F0" w:rsidR="006F3B8F" w:rsidRDefault="006F3B8F" w:rsidP="007B4349">
      <w:pPr>
        <w:spacing w:after="0" w:line="240" w:lineRule="auto"/>
        <w:ind w:left="426" w:hanging="426"/>
        <w:rPr>
          <w:sz w:val="20"/>
          <w:szCs w:val="20"/>
          <w:lang w:eastAsia="cs-CZ"/>
        </w:rPr>
      </w:pPr>
      <w:r>
        <w:rPr>
          <w:sz w:val="20"/>
          <w:szCs w:val="20"/>
          <w:lang w:eastAsia="cs-CZ"/>
        </w:rPr>
        <w:t xml:space="preserve">** </w:t>
      </w:r>
      <w:r w:rsidR="007B4349">
        <w:rPr>
          <w:sz w:val="20"/>
          <w:szCs w:val="20"/>
          <w:lang w:eastAsia="cs-CZ"/>
        </w:rPr>
        <w:tab/>
      </w:r>
      <w:r>
        <w:rPr>
          <w:sz w:val="20"/>
          <w:szCs w:val="20"/>
          <w:lang w:eastAsia="cs-CZ"/>
        </w:rPr>
        <w:t xml:space="preserve">U soudu se jedná o </w:t>
      </w:r>
      <w:r w:rsidR="00C007F2">
        <w:rPr>
          <w:sz w:val="20"/>
          <w:szCs w:val="20"/>
          <w:lang w:eastAsia="cs-CZ"/>
        </w:rPr>
        <w:t xml:space="preserve">počet dnů </w:t>
      </w:r>
      <w:r>
        <w:rPr>
          <w:sz w:val="20"/>
          <w:szCs w:val="20"/>
          <w:lang w:eastAsia="cs-CZ"/>
        </w:rPr>
        <w:t xml:space="preserve">mezi splatností pohledávky a provedením prvního úkonu ve vymáhání, u CÚ se jedná o </w:t>
      </w:r>
      <w:r w:rsidR="00C007F2">
        <w:rPr>
          <w:sz w:val="20"/>
          <w:szCs w:val="20"/>
          <w:lang w:eastAsia="cs-CZ"/>
        </w:rPr>
        <w:t xml:space="preserve">počet dnů </w:t>
      </w:r>
      <w:r>
        <w:rPr>
          <w:sz w:val="20"/>
          <w:szCs w:val="20"/>
          <w:lang w:eastAsia="cs-CZ"/>
        </w:rPr>
        <w:t>mezi předáním pohledávky na CÚ a provedením prvního úkonu ve vymáhání.</w:t>
      </w:r>
    </w:p>
    <w:p w14:paraId="43AD427F" w14:textId="1FF47218" w:rsidR="006F3B8F" w:rsidRPr="007B44A5" w:rsidRDefault="006F3B8F" w:rsidP="007B4349">
      <w:pPr>
        <w:spacing w:after="120" w:line="240" w:lineRule="auto"/>
        <w:ind w:left="426" w:hanging="426"/>
        <w:rPr>
          <w:sz w:val="20"/>
          <w:szCs w:val="20"/>
          <w:lang w:eastAsia="cs-CZ"/>
        </w:rPr>
      </w:pPr>
      <w:r>
        <w:rPr>
          <w:sz w:val="20"/>
          <w:szCs w:val="20"/>
          <w:lang w:eastAsia="cs-CZ"/>
        </w:rPr>
        <w:t>***</w:t>
      </w:r>
      <w:r w:rsidR="007B4349">
        <w:rPr>
          <w:sz w:val="20"/>
          <w:szCs w:val="20"/>
          <w:lang w:eastAsia="cs-CZ"/>
        </w:rPr>
        <w:t xml:space="preserve"> </w:t>
      </w:r>
      <w:r w:rsidR="007B4349">
        <w:rPr>
          <w:sz w:val="20"/>
          <w:szCs w:val="20"/>
          <w:lang w:eastAsia="cs-CZ"/>
        </w:rPr>
        <w:tab/>
      </w:r>
      <w:r>
        <w:rPr>
          <w:sz w:val="20"/>
          <w:szCs w:val="20"/>
          <w:lang w:eastAsia="cs-CZ"/>
        </w:rPr>
        <w:t>Jedná se o průměrný počet součinnostních dotazů provedených v době vykonatelnosti u příslušných kontrolovaných osob.</w:t>
      </w:r>
    </w:p>
    <w:p w14:paraId="54D2A92B" w14:textId="367A8D18" w:rsidR="00E82E90" w:rsidRDefault="00E82E90" w:rsidP="00C7584A">
      <w:pPr>
        <w:spacing w:before="120" w:after="120" w:line="240" w:lineRule="auto"/>
        <w:rPr>
          <w:lang w:eastAsia="cs-CZ"/>
        </w:rPr>
      </w:pPr>
      <w:r>
        <w:rPr>
          <w:lang w:eastAsia="cs-CZ"/>
        </w:rPr>
        <w:t>NKÚ na kontrolním vzorku 20 justičních pohledávek v celkové výši</w:t>
      </w:r>
      <w:r w:rsidR="00E35C3E">
        <w:rPr>
          <w:lang w:eastAsia="cs-CZ"/>
        </w:rPr>
        <w:t xml:space="preserve"> cca</w:t>
      </w:r>
      <w:r>
        <w:rPr>
          <w:lang w:eastAsia="cs-CZ"/>
        </w:rPr>
        <w:t xml:space="preserve"> 21</w:t>
      </w:r>
      <w:r w:rsidR="00E35C3E">
        <w:rPr>
          <w:lang w:eastAsia="cs-CZ"/>
        </w:rPr>
        <w:t>5</w:t>
      </w:r>
      <w:r>
        <w:rPr>
          <w:lang w:eastAsia="cs-CZ"/>
        </w:rPr>
        <w:t> </w:t>
      </w:r>
      <w:r w:rsidR="00E35C3E">
        <w:rPr>
          <w:lang w:eastAsia="cs-CZ"/>
        </w:rPr>
        <w:t>tis.</w:t>
      </w:r>
      <w:r w:rsidR="00CB13F1">
        <w:rPr>
          <w:lang w:eastAsia="cs-CZ"/>
        </w:rPr>
        <w:t> </w:t>
      </w:r>
      <w:r>
        <w:rPr>
          <w:lang w:eastAsia="cs-CZ"/>
        </w:rPr>
        <w:t>Kč zjistil, že OS PM vymohl v devíti případech pohledávk</w:t>
      </w:r>
      <w:r w:rsidR="00C13C1A">
        <w:rPr>
          <w:lang w:eastAsia="cs-CZ"/>
        </w:rPr>
        <w:t>u částečně, a to</w:t>
      </w:r>
      <w:r>
        <w:rPr>
          <w:lang w:eastAsia="cs-CZ"/>
        </w:rPr>
        <w:t xml:space="preserve"> v celkové výši</w:t>
      </w:r>
      <w:r w:rsidR="00E35C3E">
        <w:rPr>
          <w:lang w:eastAsia="cs-CZ"/>
        </w:rPr>
        <w:t xml:space="preserve"> cca</w:t>
      </w:r>
      <w:r>
        <w:rPr>
          <w:lang w:eastAsia="cs-CZ"/>
        </w:rPr>
        <w:t xml:space="preserve"> 7</w:t>
      </w:r>
      <w:r w:rsidR="00E35C3E">
        <w:rPr>
          <w:lang w:eastAsia="cs-CZ"/>
        </w:rPr>
        <w:t>7</w:t>
      </w:r>
      <w:r>
        <w:rPr>
          <w:lang w:eastAsia="cs-CZ"/>
        </w:rPr>
        <w:t> </w:t>
      </w:r>
      <w:r w:rsidR="00E35C3E">
        <w:rPr>
          <w:lang w:eastAsia="cs-CZ"/>
        </w:rPr>
        <w:t>tis.</w:t>
      </w:r>
      <w:r w:rsidR="00CB13F1">
        <w:rPr>
          <w:lang w:eastAsia="cs-CZ"/>
        </w:rPr>
        <w:t> </w:t>
      </w:r>
      <w:r>
        <w:rPr>
          <w:lang w:eastAsia="cs-CZ"/>
        </w:rPr>
        <w:t>Kč</w:t>
      </w:r>
      <w:r w:rsidR="00AA6141">
        <w:rPr>
          <w:lang w:eastAsia="cs-CZ"/>
        </w:rPr>
        <w:t xml:space="preserve"> v průměru za více než osm let</w:t>
      </w:r>
      <w:r>
        <w:rPr>
          <w:lang w:eastAsia="cs-CZ"/>
        </w:rPr>
        <w:t xml:space="preserve">. Po jejich předání k vymáhání na </w:t>
      </w:r>
      <w:r w:rsidR="00906D87">
        <w:rPr>
          <w:lang w:eastAsia="cs-CZ"/>
        </w:rPr>
        <w:t>CÚ</w:t>
      </w:r>
      <w:r>
        <w:rPr>
          <w:lang w:eastAsia="cs-CZ"/>
        </w:rPr>
        <w:t xml:space="preserve"> vymohl CÚ pro PLK za zhruba půl roku v </w:t>
      </w:r>
      <w:r w:rsidR="00985F98">
        <w:rPr>
          <w:lang w:eastAsia="cs-CZ"/>
        </w:rPr>
        <w:t>šesti</w:t>
      </w:r>
      <w:r>
        <w:rPr>
          <w:lang w:eastAsia="cs-CZ"/>
        </w:rPr>
        <w:t xml:space="preserve"> případech celkem</w:t>
      </w:r>
      <w:r w:rsidR="00E35C3E">
        <w:rPr>
          <w:lang w:eastAsia="cs-CZ"/>
        </w:rPr>
        <w:t xml:space="preserve"> cca</w:t>
      </w:r>
      <w:r>
        <w:rPr>
          <w:lang w:eastAsia="cs-CZ"/>
        </w:rPr>
        <w:t xml:space="preserve"> 12 </w:t>
      </w:r>
      <w:r w:rsidR="00E35C3E">
        <w:rPr>
          <w:lang w:eastAsia="cs-CZ"/>
        </w:rPr>
        <w:t>tis.</w:t>
      </w:r>
      <w:r w:rsidR="00CB13F1">
        <w:rPr>
          <w:lang w:eastAsia="cs-CZ"/>
        </w:rPr>
        <w:t> </w:t>
      </w:r>
      <w:r>
        <w:rPr>
          <w:lang w:eastAsia="cs-CZ"/>
        </w:rPr>
        <w:t>Kč, z toho ve čtyřech případech byla pohledávka zcela uhrazena.</w:t>
      </w:r>
    </w:p>
    <w:p w14:paraId="1DCCE591" w14:textId="40E08BF5" w:rsidR="005435DF" w:rsidRDefault="00FB3F55" w:rsidP="0072026C">
      <w:pPr>
        <w:pStyle w:val="Nadpis2"/>
        <w:keepLines w:val="0"/>
        <w:spacing w:before="240" w:line="240" w:lineRule="auto"/>
        <w:ind w:left="284" w:hanging="284"/>
        <w:jc w:val="left"/>
        <w:rPr>
          <w:rFonts w:eastAsia="Calibri"/>
        </w:rPr>
      </w:pPr>
      <w:r>
        <w:rPr>
          <w:rFonts w:eastAsia="Calibri"/>
        </w:rPr>
        <w:lastRenderedPageBreak/>
        <w:t>Četnost ukládání peněžitých trestů se nenavýšila</w:t>
      </w:r>
    </w:p>
    <w:p w14:paraId="2EFE6DAF" w14:textId="77B15877" w:rsidR="00A23BD0" w:rsidRPr="002F2CE4" w:rsidRDefault="00780340" w:rsidP="00F00EC4">
      <w:pPr>
        <w:pStyle w:val="Odstavecseseznamem"/>
        <w:spacing w:after="120" w:line="240" w:lineRule="auto"/>
        <w:ind w:left="0"/>
        <w:rPr>
          <w:rFonts w:ascii="Calibri" w:hAnsi="Calibri" w:cs="Calibri"/>
        </w:rPr>
      </w:pPr>
      <w:r>
        <w:rPr>
          <w:rFonts w:ascii="Calibri" w:hAnsi="Calibri" w:cs="Calibri"/>
        </w:rPr>
        <w:t>MF ve spolupráci s MSp v d</w:t>
      </w:r>
      <w:r w:rsidR="009B0355" w:rsidRPr="002F2CE4">
        <w:rPr>
          <w:rFonts w:ascii="Calibri" w:hAnsi="Calibri" w:cs="Calibri"/>
        </w:rPr>
        <w:t>ůvodov</w:t>
      </w:r>
      <w:r>
        <w:rPr>
          <w:rFonts w:ascii="Calibri" w:hAnsi="Calibri" w:cs="Calibri"/>
        </w:rPr>
        <w:t>é</w:t>
      </w:r>
      <w:r w:rsidR="009B0355" w:rsidRPr="002F2CE4">
        <w:rPr>
          <w:rFonts w:ascii="Calibri" w:hAnsi="Calibri" w:cs="Calibri"/>
        </w:rPr>
        <w:t xml:space="preserve"> </w:t>
      </w:r>
      <w:r w:rsidRPr="002F2CE4">
        <w:rPr>
          <w:rFonts w:ascii="Calibri" w:hAnsi="Calibri" w:cs="Calibri"/>
        </w:rPr>
        <w:t>zpráv</w:t>
      </w:r>
      <w:r>
        <w:rPr>
          <w:rFonts w:ascii="Calibri" w:hAnsi="Calibri" w:cs="Calibri"/>
        </w:rPr>
        <w:t>ě</w:t>
      </w:r>
      <w:r w:rsidRPr="002F2CE4">
        <w:rPr>
          <w:rFonts w:ascii="Calibri" w:hAnsi="Calibri" w:cs="Calibri"/>
        </w:rPr>
        <w:t xml:space="preserve"> </w:t>
      </w:r>
      <w:r w:rsidR="009B0355" w:rsidRPr="002F2CE4">
        <w:rPr>
          <w:rFonts w:ascii="Calibri" w:hAnsi="Calibri" w:cs="Calibri"/>
        </w:rPr>
        <w:t xml:space="preserve">k zákonu </w:t>
      </w:r>
      <w:r w:rsidR="00200D83">
        <w:rPr>
          <w:rFonts w:ascii="Calibri" w:hAnsi="Calibri" w:cs="Calibri"/>
        </w:rPr>
        <w:t>o konsolidaci veřejných rozpočtů</w:t>
      </w:r>
      <w:r w:rsidR="009B0355" w:rsidRPr="002F2CE4">
        <w:rPr>
          <w:rFonts w:ascii="Calibri" w:hAnsi="Calibri" w:cs="Calibri"/>
        </w:rPr>
        <w:t xml:space="preserve"> ohledně peněžitých trestů </w:t>
      </w:r>
      <w:r>
        <w:rPr>
          <w:rFonts w:ascii="Calibri" w:hAnsi="Calibri" w:cs="Calibri"/>
        </w:rPr>
        <w:t>uvedlo</w:t>
      </w:r>
      <w:r w:rsidR="009B0355" w:rsidRPr="002F2CE4">
        <w:rPr>
          <w:rFonts w:ascii="Calibri" w:hAnsi="Calibri" w:cs="Calibri"/>
        </w:rPr>
        <w:t xml:space="preserve">, že převedení </w:t>
      </w:r>
      <w:r w:rsidR="00922259">
        <w:rPr>
          <w:rFonts w:ascii="Calibri" w:hAnsi="Calibri" w:cs="Calibri"/>
        </w:rPr>
        <w:t xml:space="preserve">kompetence </w:t>
      </w:r>
      <w:r w:rsidR="009B0355" w:rsidRPr="002F2CE4">
        <w:rPr>
          <w:rFonts w:ascii="Calibri" w:hAnsi="Calibri" w:cs="Calibri"/>
        </w:rPr>
        <w:t>k </w:t>
      </w:r>
      <w:r w:rsidR="00922259" w:rsidRPr="002F2CE4">
        <w:rPr>
          <w:rFonts w:ascii="Calibri" w:hAnsi="Calibri" w:cs="Calibri"/>
        </w:rPr>
        <w:t xml:space="preserve">jejich </w:t>
      </w:r>
      <w:r w:rsidR="009B0355" w:rsidRPr="002F2CE4">
        <w:rPr>
          <w:rFonts w:ascii="Calibri" w:hAnsi="Calibri" w:cs="Calibri"/>
        </w:rPr>
        <w:t xml:space="preserve">vymáhání na CS ČR </w:t>
      </w:r>
      <w:r w:rsidR="00906D87">
        <w:rPr>
          <w:rFonts w:ascii="Calibri" w:hAnsi="Calibri" w:cs="Calibri"/>
        </w:rPr>
        <w:t>přispěje</w:t>
      </w:r>
      <w:r w:rsidR="009B0355" w:rsidRPr="002F2CE4">
        <w:rPr>
          <w:rFonts w:ascii="Calibri" w:hAnsi="Calibri" w:cs="Calibri"/>
        </w:rPr>
        <w:t xml:space="preserve"> k častějšímu ukládání této sankce. Za výraznou okolnost, která měla vliv na ochotu soudů ukládat peněžité tresty, byla totiž</w:t>
      </w:r>
      <w:r>
        <w:rPr>
          <w:rFonts w:ascii="Calibri" w:hAnsi="Calibri" w:cs="Calibri"/>
        </w:rPr>
        <w:t xml:space="preserve"> v důvodové zprávě</w:t>
      </w:r>
      <w:r w:rsidR="009B0355" w:rsidRPr="002F2CE4">
        <w:rPr>
          <w:rFonts w:ascii="Calibri" w:hAnsi="Calibri" w:cs="Calibri"/>
        </w:rPr>
        <w:t xml:space="preserve"> považována povinnost soudu tento trest vymáhat. Institut vymáhání peněžitého trestu byl často hodnocen jako do značné míry náročný z důvodu vysoké administrativní zátěže pro soudy, prodlužující vykonávací řízení a</w:t>
      </w:r>
      <w:r w:rsidR="007B4349">
        <w:rPr>
          <w:rFonts w:ascii="Calibri" w:hAnsi="Calibri" w:cs="Calibri"/>
        </w:rPr>
        <w:t> </w:t>
      </w:r>
      <w:r w:rsidR="009B0355" w:rsidRPr="002F2CE4">
        <w:rPr>
          <w:rFonts w:ascii="Calibri" w:hAnsi="Calibri" w:cs="Calibri"/>
        </w:rPr>
        <w:t xml:space="preserve">vedoucí k tomu, že k přeměnám na jiné druhy trestu dochází se značným časovým odstupem. </w:t>
      </w:r>
      <w:r w:rsidR="00906D87">
        <w:rPr>
          <w:rFonts w:ascii="Calibri" w:hAnsi="Calibri" w:cs="Calibri"/>
        </w:rPr>
        <w:t>Argumentem</w:t>
      </w:r>
      <w:r w:rsidR="009B0355" w:rsidRPr="002F2CE4">
        <w:rPr>
          <w:rFonts w:ascii="Calibri" w:hAnsi="Calibri" w:cs="Calibri"/>
        </w:rPr>
        <w:t xml:space="preserve"> pro častější ukládání peněžitých trestů byl</w:t>
      </w:r>
      <w:r w:rsidR="00906D87">
        <w:rPr>
          <w:rFonts w:ascii="Calibri" w:hAnsi="Calibri" w:cs="Calibri"/>
        </w:rPr>
        <w:t>a potřeba</w:t>
      </w:r>
      <w:r w:rsidR="009B0355" w:rsidRPr="002F2CE4">
        <w:rPr>
          <w:rFonts w:ascii="Calibri" w:hAnsi="Calibri" w:cs="Calibri"/>
        </w:rPr>
        <w:t xml:space="preserve"> snížení aplikace krátkodobých nepodmíněných trestů odnětí svobody a snížení počtu vězněných osob </w:t>
      </w:r>
      <w:r w:rsidR="0072026C">
        <w:rPr>
          <w:rFonts w:ascii="Calibri" w:hAnsi="Calibri" w:cs="Calibri"/>
        </w:rPr>
        <w:t>a d</w:t>
      </w:r>
      <w:r w:rsidR="009B0355" w:rsidRPr="002F2CE4">
        <w:rPr>
          <w:rFonts w:ascii="Calibri" w:hAnsi="Calibri" w:cs="Calibri"/>
        </w:rPr>
        <w:t>ále také skutečnost, že podíl</w:t>
      </w:r>
      <w:r w:rsidR="00200D83">
        <w:rPr>
          <w:rFonts w:ascii="Calibri" w:hAnsi="Calibri" w:cs="Calibri"/>
        </w:rPr>
        <w:t xml:space="preserve"> počtu</w:t>
      </w:r>
      <w:r w:rsidR="009B0355" w:rsidRPr="002F2CE4">
        <w:rPr>
          <w:rFonts w:ascii="Calibri" w:hAnsi="Calibri" w:cs="Calibri"/>
        </w:rPr>
        <w:t xml:space="preserve"> uložených peněžitých trestů ve vztahu k počtu odsouzených osob v ČR nedosahoval úrovně obvyklé v jiných státech</w:t>
      </w:r>
      <w:r w:rsidR="00200D83">
        <w:rPr>
          <w:rFonts w:ascii="Calibri" w:hAnsi="Calibri" w:cs="Calibri"/>
        </w:rPr>
        <w:t>. Např. v roce 2021 tento podíl v ČR dosahoval 24,4 %, zatímco v Německu činil 80 % a ve Finsku a</w:t>
      </w:r>
      <w:r w:rsidR="002D0ADD">
        <w:rPr>
          <w:rFonts w:ascii="Calibri" w:hAnsi="Calibri" w:cs="Calibri"/>
        </w:rPr>
        <w:t> </w:t>
      </w:r>
      <w:r w:rsidR="00200D83">
        <w:rPr>
          <w:rFonts w:ascii="Calibri" w:hAnsi="Calibri" w:cs="Calibri"/>
        </w:rPr>
        <w:t>v Maďarsku 50 %.</w:t>
      </w:r>
      <w:r w:rsidR="00715834">
        <w:rPr>
          <w:rStyle w:val="Znakapoznpodarou"/>
          <w:rFonts w:ascii="Calibri" w:hAnsi="Calibri" w:cs="Calibri"/>
        </w:rPr>
        <w:footnoteReference w:id="31"/>
      </w:r>
    </w:p>
    <w:p w14:paraId="7D7AA9E3" w14:textId="0DFCE3A6" w:rsidR="009F405A" w:rsidRDefault="005538C4" w:rsidP="009E6C93">
      <w:pPr>
        <w:spacing w:line="240" w:lineRule="auto"/>
        <w:rPr>
          <w:rFonts w:ascii="Calibri" w:hAnsi="Calibri" w:cs="Calibri"/>
        </w:rPr>
      </w:pPr>
      <w:r>
        <w:rPr>
          <w:rFonts w:eastAsia="Calibri"/>
          <w:szCs w:val="24"/>
        </w:rPr>
        <w:t xml:space="preserve">NKÚ zjistil, že celkový počet uložených peněžitých trestů mezi roky 2023 a 2024 poklesl o </w:t>
      </w:r>
      <w:r w:rsidR="00203E02">
        <w:rPr>
          <w:rFonts w:eastAsia="Calibri"/>
          <w:szCs w:val="24"/>
        </w:rPr>
        <w:t>488</w:t>
      </w:r>
      <w:r>
        <w:rPr>
          <w:rFonts w:eastAsia="Calibri"/>
          <w:szCs w:val="24"/>
        </w:rPr>
        <w:t xml:space="preserve">, tj. o 3,2 %, a nebyl </w:t>
      </w:r>
      <w:r w:rsidR="00EE7D66">
        <w:rPr>
          <w:rFonts w:eastAsia="Calibri"/>
          <w:szCs w:val="24"/>
        </w:rPr>
        <w:t xml:space="preserve">tak </w:t>
      </w:r>
      <w:r>
        <w:rPr>
          <w:rFonts w:eastAsia="Calibri"/>
          <w:szCs w:val="24"/>
        </w:rPr>
        <w:t>naplněn</w:t>
      </w:r>
      <w:r w:rsidR="00780340">
        <w:rPr>
          <w:rFonts w:eastAsia="Calibri"/>
          <w:szCs w:val="24"/>
        </w:rPr>
        <w:t xml:space="preserve"> jeden z předpokládaných dopadů převedení agendy vymáhání na CÚ</w:t>
      </w:r>
      <w:r>
        <w:rPr>
          <w:rFonts w:eastAsia="Calibri"/>
          <w:szCs w:val="24"/>
        </w:rPr>
        <w:t>.</w:t>
      </w:r>
      <w:r w:rsidR="009D4598">
        <w:rPr>
          <w:rFonts w:eastAsia="Calibri"/>
          <w:szCs w:val="24"/>
        </w:rPr>
        <w:t xml:space="preserve"> </w:t>
      </w:r>
    </w:p>
    <w:p w14:paraId="2FD4ED53" w14:textId="18CCF825" w:rsidR="005538C4" w:rsidRDefault="005538C4" w:rsidP="009E6C93">
      <w:pPr>
        <w:spacing w:line="240" w:lineRule="auto"/>
        <w:rPr>
          <w:rFonts w:eastAsia="Calibri"/>
          <w:szCs w:val="24"/>
        </w:rPr>
      </w:pPr>
      <w:r>
        <w:rPr>
          <w:rFonts w:eastAsia="Calibri"/>
          <w:szCs w:val="24"/>
        </w:rPr>
        <w:t>NKÚ zjistil, že na počátku roku 202</w:t>
      </w:r>
      <w:r w:rsidR="00820DF4">
        <w:rPr>
          <w:rFonts w:eastAsia="Calibri"/>
          <w:szCs w:val="24"/>
        </w:rPr>
        <w:t>5</w:t>
      </w:r>
      <w:r>
        <w:rPr>
          <w:rFonts w:eastAsia="Calibri"/>
          <w:szCs w:val="24"/>
        </w:rPr>
        <w:t xml:space="preserve"> bylo u soudů vedeno k vymáhání přes </w:t>
      </w:r>
      <w:r w:rsidR="00693DE7">
        <w:rPr>
          <w:rFonts w:eastAsia="Calibri"/>
          <w:szCs w:val="24"/>
        </w:rPr>
        <w:t xml:space="preserve">9 000 </w:t>
      </w:r>
      <w:r>
        <w:rPr>
          <w:rFonts w:eastAsia="Calibri"/>
          <w:szCs w:val="24"/>
        </w:rPr>
        <w:t>peněžitých trestů. Podle pořádkové lhůty</w:t>
      </w:r>
      <w:r w:rsidR="00A60F7B">
        <w:rPr>
          <w:rStyle w:val="Znakapoznpodarou"/>
          <w:rFonts w:eastAsia="Calibri"/>
          <w:szCs w:val="24"/>
        </w:rPr>
        <w:footnoteReference w:id="32"/>
      </w:r>
      <w:r w:rsidR="00A60F7B">
        <w:rPr>
          <w:rFonts w:eastAsia="Calibri"/>
          <w:szCs w:val="24"/>
        </w:rPr>
        <w:t xml:space="preserve"> </w:t>
      </w:r>
      <w:r>
        <w:rPr>
          <w:rFonts w:eastAsia="Calibri"/>
          <w:szCs w:val="24"/>
        </w:rPr>
        <w:t xml:space="preserve">měly soudy veškeré pohledávky předat k vymáhání na </w:t>
      </w:r>
      <w:r w:rsidR="00906D87">
        <w:rPr>
          <w:rFonts w:eastAsia="Calibri"/>
          <w:szCs w:val="24"/>
        </w:rPr>
        <w:t>CÚ</w:t>
      </w:r>
      <w:r>
        <w:rPr>
          <w:rFonts w:eastAsia="Calibri"/>
          <w:szCs w:val="24"/>
        </w:rPr>
        <w:t xml:space="preserve"> do 31. prosince 2024. NKÚ dále zjistil</w:t>
      </w:r>
      <w:r w:rsidR="00500B27">
        <w:rPr>
          <w:rFonts w:eastAsia="Calibri"/>
          <w:szCs w:val="24"/>
        </w:rPr>
        <w:t xml:space="preserve"> u CÚ pro JMK</w:t>
      </w:r>
      <w:r>
        <w:rPr>
          <w:rFonts w:eastAsia="Calibri"/>
          <w:szCs w:val="24"/>
        </w:rPr>
        <w:t xml:space="preserve">, že 16 okresních soudů, tj. 18,6 % ze všech okresních soudů, nepředalo ke dni 18. března 2025 žádné peněžité tresty k vymáhání </w:t>
      </w:r>
      <w:r w:rsidR="00500B27">
        <w:rPr>
          <w:rFonts w:eastAsia="Calibri"/>
          <w:szCs w:val="24"/>
        </w:rPr>
        <w:t xml:space="preserve">tomuto </w:t>
      </w:r>
      <w:r w:rsidR="002B2225">
        <w:rPr>
          <w:rFonts w:eastAsia="Calibri"/>
          <w:szCs w:val="24"/>
        </w:rPr>
        <w:t>CÚ</w:t>
      </w:r>
      <w:r w:rsidR="00500B27">
        <w:rPr>
          <w:rFonts w:eastAsia="Calibri"/>
          <w:szCs w:val="24"/>
        </w:rPr>
        <w:t>.</w:t>
      </w:r>
      <w:r>
        <w:rPr>
          <w:rFonts w:eastAsia="Calibri"/>
          <w:szCs w:val="24"/>
        </w:rPr>
        <w:t xml:space="preserve"> MSp nem</w:t>
      </w:r>
      <w:r w:rsidR="002C1E4A">
        <w:rPr>
          <w:rFonts w:eastAsia="Calibri"/>
          <w:szCs w:val="24"/>
        </w:rPr>
        <w:t>ělo</w:t>
      </w:r>
      <w:r>
        <w:rPr>
          <w:rFonts w:eastAsia="Calibri"/>
          <w:szCs w:val="24"/>
        </w:rPr>
        <w:t xml:space="preserve"> informace o tom, že by soudy peněžité tresty k vymáhání </w:t>
      </w:r>
      <w:r w:rsidR="00916CE3">
        <w:rPr>
          <w:rFonts w:eastAsia="Calibri"/>
          <w:szCs w:val="24"/>
        </w:rPr>
        <w:t>nepředávaly</w:t>
      </w:r>
      <w:r w:rsidR="004A256C">
        <w:rPr>
          <w:rFonts w:eastAsia="Calibri"/>
          <w:szCs w:val="24"/>
        </w:rPr>
        <w:t>.</w:t>
      </w:r>
    </w:p>
    <w:p w14:paraId="7E6CEB92" w14:textId="0A586708" w:rsidR="006475F8" w:rsidRPr="004F155B" w:rsidRDefault="00295129" w:rsidP="007B4349">
      <w:pPr>
        <w:pStyle w:val="Nadpis3"/>
        <w:keepLines w:val="0"/>
        <w:spacing w:before="240"/>
        <w:ind w:left="425" w:hanging="425"/>
        <w:jc w:val="left"/>
        <w:rPr>
          <w:rFonts w:eastAsia="Calibri"/>
        </w:rPr>
      </w:pPr>
      <w:r>
        <w:rPr>
          <w:rFonts w:eastAsia="Calibri"/>
        </w:rPr>
        <w:t>Některé s</w:t>
      </w:r>
      <w:r w:rsidR="004F155B" w:rsidRPr="004F155B">
        <w:rPr>
          <w:rFonts w:eastAsia="Calibri"/>
        </w:rPr>
        <w:t>oudy n</w:t>
      </w:r>
      <w:r w:rsidR="00453E64" w:rsidRPr="004F155B">
        <w:rPr>
          <w:rFonts w:eastAsia="Calibri"/>
        </w:rPr>
        <w:t>evyužív</w:t>
      </w:r>
      <w:r w:rsidR="004F155B" w:rsidRPr="004F155B">
        <w:rPr>
          <w:rFonts w:eastAsia="Calibri"/>
        </w:rPr>
        <w:t>aly</w:t>
      </w:r>
      <w:r w:rsidR="006475F8" w:rsidRPr="004F155B">
        <w:rPr>
          <w:rFonts w:eastAsia="Calibri"/>
        </w:rPr>
        <w:t xml:space="preserve"> zajištěn</w:t>
      </w:r>
      <w:r w:rsidR="004F155B" w:rsidRPr="004F155B">
        <w:rPr>
          <w:rFonts w:eastAsia="Calibri"/>
        </w:rPr>
        <w:t>é</w:t>
      </w:r>
      <w:r w:rsidR="006475F8" w:rsidRPr="004F155B">
        <w:rPr>
          <w:rFonts w:eastAsia="Calibri"/>
        </w:rPr>
        <w:t xml:space="preserve"> peněžní prostředk</w:t>
      </w:r>
      <w:r w:rsidR="004F155B" w:rsidRPr="004F155B">
        <w:rPr>
          <w:rFonts w:eastAsia="Calibri"/>
        </w:rPr>
        <w:t>y</w:t>
      </w:r>
      <w:r w:rsidR="00693DE7">
        <w:rPr>
          <w:rFonts w:eastAsia="Calibri"/>
        </w:rPr>
        <w:t xml:space="preserve"> k úhradě peněžitých trestů</w:t>
      </w:r>
    </w:p>
    <w:p w14:paraId="475B5FE8" w14:textId="6E004141" w:rsidR="000257A3" w:rsidRPr="006475F8" w:rsidRDefault="000257A3" w:rsidP="004F155B">
      <w:pPr>
        <w:spacing w:line="240" w:lineRule="auto"/>
        <w:rPr>
          <w:rFonts w:eastAsia="Calibri"/>
          <w:szCs w:val="24"/>
        </w:rPr>
      </w:pPr>
      <w:r w:rsidRPr="006475F8">
        <w:rPr>
          <w:rFonts w:eastAsia="Calibri"/>
          <w:szCs w:val="24"/>
        </w:rPr>
        <w:t xml:space="preserve">Při zajištění peněžních prostředků soudem pro účely výkonu a vymáhání peněžitého trestu docházelo k předání </w:t>
      </w:r>
      <w:r w:rsidR="00F76E72">
        <w:rPr>
          <w:rFonts w:eastAsia="Calibri"/>
          <w:szCs w:val="24"/>
        </w:rPr>
        <w:t xml:space="preserve">pohledávek z </w:t>
      </w:r>
      <w:r w:rsidRPr="006475F8">
        <w:rPr>
          <w:rFonts w:eastAsia="Calibri"/>
          <w:szCs w:val="24"/>
        </w:rPr>
        <w:t xml:space="preserve">peněžitých trestů k vymáhání </w:t>
      </w:r>
      <w:r w:rsidR="00FF14A2">
        <w:rPr>
          <w:rFonts w:eastAsia="Calibri"/>
          <w:szCs w:val="24"/>
        </w:rPr>
        <w:t>CÚ pro JMK</w:t>
      </w:r>
      <w:r w:rsidRPr="006475F8">
        <w:rPr>
          <w:rFonts w:eastAsia="Calibri"/>
          <w:szCs w:val="24"/>
        </w:rPr>
        <w:t xml:space="preserve">, aniž by byly zajištěné peněžní prostředky soudem přednostně použity </w:t>
      </w:r>
      <w:r w:rsidR="00773FCA">
        <w:rPr>
          <w:rFonts w:eastAsia="Calibri"/>
          <w:szCs w:val="24"/>
        </w:rPr>
        <w:t xml:space="preserve">na úhradu </w:t>
      </w:r>
      <w:r w:rsidR="00F76E72">
        <w:rPr>
          <w:rFonts w:eastAsia="Calibri"/>
          <w:szCs w:val="24"/>
        </w:rPr>
        <w:t xml:space="preserve">těchto </w:t>
      </w:r>
      <w:r w:rsidR="00773FCA">
        <w:rPr>
          <w:rFonts w:eastAsia="Calibri"/>
          <w:szCs w:val="24"/>
        </w:rPr>
        <w:t xml:space="preserve">peněžitých trestů </w:t>
      </w:r>
      <w:r w:rsidRPr="006475F8">
        <w:rPr>
          <w:rFonts w:eastAsia="Calibri"/>
          <w:szCs w:val="24"/>
        </w:rPr>
        <w:t xml:space="preserve">a poukázány na předmětný účet resortu spravedlnosti nebo odvedeny do státního rozpočtu. V některých případech docházelo k předání vymáhání soudem i za situace, kdy součástí předané </w:t>
      </w:r>
      <w:r w:rsidR="00D10E14">
        <w:rPr>
          <w:rFonts w:eastAsia="Calibri"/>
          <w:szCs w:val="24"/>
        </w:rPr>
        <w:t>dokumentace</w:t>
      </w:r>
      <w:r w:rsidRPr="006475F8">
        <w:rPr>
          <w:rFonts w:eastAsia="Calibri"/>
          <w:szCs w:val="24"/>
        </w:rPr>
        <w:t xml:space="preserve"> byla žádost dlužníka směřovaná vůči soudu, aby tyto zajištěné peněžní prostředky byly použity právě na úhradu pravomocně uloženého peněžitého trestu.</w:t>
      </w:r>
    </w:p>
    <w:p w14:paraId="177B320F" w14:textId="554E6966" w:rsidR="000257A3" w:rsidRPr="001E1D11" w:rsidRDefault="000257A3" w:rsidP="00FB3DB3">
      <w:pPr>
        <w:spacing w:line="240" w:lineRule="auto"/>
        <w:rPr>
          <w:rFonts w:eastAsia="Calibri"/>
          <w:szCs w:val="24"/>
        </w:rPr>
      </w:pPr>
      <w:r w:rsidRPr="3B984AB8">
        <w:rPr>
          <w:rFonts w:eastAsia="Calibri"/>
        </w:rPr>
        <w:t>NKÚ</w:t>
      </w:r>
      <w:r>
        <w:rPr>
          <w:rFonts w:eastAsia="Calibri"/>
        </w:rPr>
        <w:t xml:space="preserve"> zjistil</w:t>
      </w:r>
      <w:r w:rsidRPr="3B984AB8">
        <w:rPr>
          <w:rFonts w:eastAsia="Calibri"/>
        </w:rPr>
        <w:t xml:space="preserve"> u CÚ pro </w:t>
      </w:r>
      <w:r>
        <w:rPr>
          <w:rFonts w:eastAsia="Calibri"/>
        </w:rPr>
        <w:t>JMK</w:t>
      </w:r>
      <w:r w:rsidRPr="3B984AB8">
        <w:rPr>
          <w:rFonts w:eastAsia="Calibri"/>
        </w:rPr>
        <w:t xml:space="preserve"> tři případy peněžitých trestů, ve kterých soud zajistil peněžní prostředky daňových subjektů na bankovních účtech (z toho v jednom případě i nemovitosti a</w:t>
      </w:r>
      <w:r w:rsidR="002D0ADD">
        <w:rPr>
          <w:rFonts w:eastAsia="Calibri"/>
        </w:rPr>
        <w:t> </w:t>
      </w:r>
      <w:r w:rsidRPr="3B984AB8">
        <w:rPr>
          <w:rFonts w:eastAsia="Calibri"/>
        </w:rPr>
        <w:t xml:space="preserve">uložené peněžité záruky) pro účely výkonu peněžitého trestu, a aniž by je soud přednostně použil na úhradu uložených peněžitých trestů, předal je k vymáhání na CÚ pro </w:t>
      </w:r>
      <w:r>
        <w:rPr>
          <w:rFonts w:eastAsia="Calibri"/>
        </w:rPr>
        <w:t>JMK</w:t>
      </w:r>
      <w:r w:rsidRPr="3B984AB8">
        <w:rPr>
          <w:rFonts w:eastAsia="Calibri"/>
        </w:rPr>
        <w:t>. Ve dvou případech soud</w:t>
      </w:r>
      <w:r w:rsidRPr="3B984AB8">
        <w:rPr>
          <w:rStyle w:val="Znakapoznpodarou"/>
          <w:rFonts w:eastAsia="Calibri"/>
        </w:rPr>
        <w:footnoteReference w:id="33"/>
      </w:r>
      <w:r w:rsidRPr="3B984AB8">
        <w:rPr>
          <w:rFonts w:eastAsia="Calibri"/>
        </w:rPr>
        <w:t xml:space="preserve"> celnímu úřadu neoznámil, že v daných případech </w:t>
      </w:r>
      <w:r w:rsidR="00A60F7B">
        <w:rPr>
          <w:rFonts w:eastAsia="Calibri"/>
        </w:rPr>
        <w:t>byly</w:t>
      </w:r>
      <w:r w:rsidRPr="3B984AB8">
        <w:rPr>
          <w:rFonts w:eastAsia="Calibri"/>
        </w:rPr>
        <w:t xml:space="preserve"> zajištěny peněžní prostředky pro výkon peněžitého trestu a CÚ tuto skutečnost zjistil až prostudováním zaslaných rozsudků. Předaný spisový materiál byl předán nekompletní a pracovníci CÚ musel</w:t>
      </w:r>
      <w:r w:rsidR="00F00EC4">
        <w:rPr>
          <w:rFonts w:eastAsia="Calibri"/>
        </w:rPr>
        <w:t>i</w:t>
      </w:r>
      <w:r w:rsidRPr="3B984AB8">
        <w:rPr>
          <w:rFonts w:eastAsia="Calibri"/>
        </w:rPr>
        <w:t xml:space="preserve"> vyzvat soudy k</w:t>
      </w:r>
      <w:r w:rsidR="009206F2">
        <w:rPr>
          <w:rFonts w:eastAsia="Calibri"/>
        </w:rPr>
        <w:t xml:space="preserve"> jeho</w:t>
      </w:r>
      <w:r w:rsidRPr="3B984AB8">
        <w:rPr>
          <w:rFonts w:eastAsia="Calibri"/>
        </w:rPr>
        <w:t xml:space="preserve"> doplnění. Tím, že CÚ v rámci vymáhání nařídil daňovou exekuci přikázáním pohledávky z bankovního účtu, na kterém se nacházely zajištěné peněžní prostředky, vznikly ve dvou případech daňovým subjektům exekuční náklady v celkové výši 144 </w:t>
      </w:r>
      <w:r w:rsidR="007D5AB0">
        <w:rPr>
          <w:rFonts w:eastAsia="Calibri"/>
        </w:rPr>
        <w:t>tis.</w:t>
      </w:r>
      <w:r w:rsidRPr="3B984AB8">
        <w:rPr>
          <w:rFonts w:eastAsia="Calibri"/>
        </w:rPr>
        <w:t xml:space="preserve"> Kč. V případě </w:t>
      </w:r>
      <w:r w:rsidRPr="3B984AB8">
        <w:rPr>
          <w:rFonts w:eastAsia="Calibri"/>
        </w:rPr>
        <w:lastRenderedPageBreak/>
        <w:t xml:space="preserve">převedení zajištěných peněžních prostředků na úhradu peněžitého trestu soudem ještě před jeho předáním k vymáhání CÚ exekuční náklady daňovým subjektům nevznikají. </w:t>
      </w:r>
    </w:p>
    <w:p w14:paraId="6C3C16B4" w14:textId="18C560F3" w:rsidR="000257A3" w:rsidRDefault="000257A3" w:rsidP="00FB3DB3">
      <w:pPr>
        <w:spacing w:line="240" w:lineRule="auto"/>
        <w:rPr>
          <w:rFonts w:eastAsia="Calibri"/>
        </w:rPr>
      </w:pPr>
      <w:r w:rsidRPr="3B984AB8">
        <w:rPr>
          <w:rFonts w:eastAsia="Calibri"/>
        </w:rPr>
        <w:t xml:space="preserve">Dle NKÚ byly výše uvedené postupy při předávání peněžitých trestů v rozporu se základními zásadami </w:t>
      </w:r>
      <w:r w:rsidR="00A60F7B">
        <w:rPr>
          <w:rFonts w:eastAsia="Calibri"/>
        </w:rPr>
        <w:t>daňového řádu</w:t>
      </w:r>
      <w:r w:rsidRPr="3B984AB8">
        <w:rPr>
          <w:rFonts w:eastAsia="Calibri"/>
        </w:rPr>
        <w:t>, tj</w:t>
      </w:r>
      <w:r>
        <w:rPr>
          <w:rFonts w:eastAsia="Calibri"/>
        </w:rPr>
        <w:t>.</w:t>
      </w:r>
      <w:r w:rsidRPr="3B984AB8">
        <w:rPr>
          <w:rFonts w:eastAsia="Calibri"/>
        </w:rPr>
        <w:t xml:space="preserve"> zásadami zdrženlivosti a přiměřenosti</w:t>
      </w:r>
      <w:r w:rsidRPr="3B984AB8">
        <w:rPr>
          <w:rStyle w:val="Znakapoznpodarou"/>
          <w:rFonts w:eastAsia="Calibri"/>
        </w:rPr>
        <w:footnoteReference w:id="34"/>
      </w:r>
      <w:r w:rsidRPr="3B984AB8">
        <w:rPr>
          <w:rFonts w:eastAsia="Calibri"/>
        </w:rPr>
        <w:t>, rychlosti</w:t>
      </w:r>
      <w:r w:rsidRPr="3B984AB8">
        <w:rPr>
          <w:rStyle w:val="Znakapoznpodarou"/>
          <w:rFonts w:eastAsia="Calibri"/>
        </w:rPr>
        <w:footnoteReference w:id="35"/>
      </w:r>
      <w:r w:rsidRPr="3B984AB8">
        <w:rPr>
          <w:rFonts w:eastAsia="Calibri"/>
        </w:rPr>
        <w:t xml:space="preserve"> a</w:t>
      </w:r>
      <w:r w:rsidR="002D0ADD">
        <w:rPr>
          <w:rFonts w:eastAsia="Calibri"/>
        </w:rPr>
        <w:t> </w:t>
      </w:r>
      <w:r w:rsidRPr="3B984AB8">
        <w:rPr>
          <w:rFonts w:eastAsia="Calibri"/>
        </w:rPr>
        <w:t>hospodárnosti</w:t>
      </w:r>
      <w:r w:rsidRPr="3B984AB8">
        <w:rPr>
          <w:rStyle w:val="Znakapoznpodarou"/>
          <w:rFonts w:eastAsia="Calibri"/>
        </w:rPr>
        <w:footnoteReference w:id="36"/>
      </w:r>
      <w:r w:rsidRPr="3B984AB8">
        <w:rPr>
          <w:rFonts w:eastAsia="Calibri"/>
        </w:rPr>
        <w:t xml:space="preserve">, neboť tento postup zvyšoval administrativní zátěž pracovníků na obou stranách v důsledku předávání dokumentů a komunikace ohledně uvolnění zajištěných peněžních prostředků a zároveň dlužníkům vznikly </w:t>
      </w:r>
      <w:r w:rsidR="001C7F6D">
        <w:rPr>
          <w:rFonts w:eastAsia="Calibri"/>
        </w:rPr>
        <w:t>nadbytečné</w:t>
      </w:r>
      <w:r w:rsidR="001C7F6D" w:rsidRPr="3B984AB8">
        <w:rPr>
          <w:rFonts w:eastAsia="Calibri"/>
        </w:rPr>
        <w:t xml:space="preserve"> </w:t>
      </w:r>
      <w:r w:rsidRPr="3B984AB8">
        <w:rPr>
          <w:rFonts w:eastAsia="Calibri"/>
        </w:rPr>
        <w:t>exekuční náklady.</w:t>
      </w:r>
    </w:p>
    <w:p w14:paraId="54C92488" w14:textId="58DAC41E" w:rsidR="004556B1" w:rsidRPr="007E6BC9" w:rsidRDefault="007E6BC9" w:rsidP="0088324E">
      <w:pPr>
        <w:pStyle w:val="Nadpis3"/>
        <w:keepLines w:val="0"/>
        <w:spacing w:before="240"/>
        <w:ind w:left="425" w:hanging="425"/>
        <w:jc w:val="left"/>
        <w:rPr>
          <w:rFonts w:eastAsia="Calibri"/>
        </w:rPr>
      </w:pPr>
      <w:r w:rsidRPr="007E6BC9">
        <w:rPr>
          <w:rFonts w:eastAsia="Calibri"/>
        </w:rPr>
        <w:t xml:space="preserve">Vyšší aktivita </w:t>
      </w:r>
      <w:r w:rsidR="002B6FA4">
        <w:rPr>
          <w:rFonts w:eastAsia="Calibri"/>
        </w:rPr>
        <w:t>celních úřadů</w:t>
      </w:r>
      <w:r w:rsidRPr="007E6BC9">
        <w:rPr>
          <w:rFonts w:eastAsia="Calibri"/>
        </w:rPr>
        <w:t xml:space="preserve"> kladně ovlivnila vymáhání peněžitých trestů</w:t>
      </w:r>
    </w:p>
    <w:p w14:paraId="27F402A4" w14:textId="75D19CFF" w:rsidR="00B6142D" w:rsidRDefault="00B6142D" w:rsidP="00B6142D">
      <w:pPr>
        <w:spacing w:before="120" w:after="120" w:line="240" w:lineRule="auto"/>
        <w:rPr>
          <w:rFonts w:ascii="Calibri" w:hAnsi="Calibri" w:cs="Calibri"/>
        </w:rPr>
      </w:pPr>
      <w:r>
        <w:rPr>
          <w:rFonts w:ascii="Calibri" w:hAnsi="Calibri" w:cs="Calibri"/>
        </w:rPr>
        <w:t xml:space="preserve">NKÚ zjistil, že </w:t>
      </w:r>
      <w:r w:rsidRPr="000C6ED7">
        <w:rPr>
          <w:rFonts w:ascii="Calibri" w:hAnsi="Calibri" w:cs="Calibri"/>
        </w:rPr>
        <w:t xml:space="preserve">CÚ pro JMK </w:t>
      </w:r>
      <w:r>
        <w:rPr>
          <w:rFonts w:ascii="Calibri" w:hAnsi="Calibri" w:cs="Calibri"/>
        </w:rPr>
        <w:t xml:space="preserve">v </w:t>
      </w:r>
      <w:r w:rsidRPr="000C6ED7">
        <w:rPr>
          <w:rFonts w:ascii="Calibri" w:hAnsi="Calibri" w:cs="Calibri"/>
        </w:rPr>
        <w:t>roce 2024 odepsal 80 případ</w:t>
      </w:r>
      <w:r>
        <w:rPr>
          <w:rFonts w:ascii="Calibri" w:hAnsi="Calibri" w:cs="Calibri"/>
        </w:rPr>
        <w:t>ů</w:t>
      </w:r>
      <w:r w:rsidR="00C80A27">
        <w:rPr>
          <w:rFonts w:ascii="Calibri" w:hAnsi="Calibri" w:cs="Calibri"/>
        </w:rPr>
        <w:t xml:space="preserve"> pohledávek z</w:t>
      </w:r>
      <w:r w:rsidRPr="000C6ED7">
        <w:rPr>
          <w:rFonts w:ascii="Calibri" w:hAnsi="Calibri" w:cs="Calibri"/>
        </w:rPr>
        <w:t xml:space="preserve"> peněžit</w:t>
      </w:r>
      <w:r>
        <w:rPr>
          <w:rFonts w:ascii="Calibri" w:hAnsi="Calibri" w:cs="Calibri"/>
        </w:rPr>
        <w:t>ých</w:t>
      </w:r>
      <w:r w:rsidRPr="000C6ED7">
        <w:rPr>
          <w:rFonts w:ascii="Calibri" w:hAnsi="Calibri" w:cs="Calibri"/>
        </w:rPr>
        <w:t xml:space="preserve"> trest</w:t>
      </w:r>
      <w:r>
        <w:rPr>
          <w:rFonts w:ascii="Calibri" w:hAnsi="Calibri" w:cs="Calibri"/>
        </w:rPr>
        <w:t>ů</w:t>
      </w:r>
      <w:r w:rsidRPr="000C6ED7">
        <w:rPr>
          <w:rFonts w:ascii="Calibri" w:hAnsi="Calibri" w:cs="Calibri"/>
        </w:rPr>
        <w:t xml:space="preserve"> v</w:t>
      </w:r>
      <w:r w:rsidR="00767C58">
        <w:rPr>
          <w:rFonts w:ascii="Calibri" w:hAnsi="Calibri" w:cs="Calibri"/>
        </w:rPr>
        <w:t> </w:t>
      </w:r>
      <w:r w:rsidRPr="000C6ED7">
        <w:rPr>
          <w:rFonts w:ascii="Calibri" w:hAnsi="Calibri" w:cs="Calibri"/>
        </w:rPr>
        <w:t>celkové výši 1</w:t>
      </w:r>
      <w:r w:rsidR="00957F83">
        <w:rPr>
          <w:rFonts w:ascii="Calibri" w:hAnsi="Calibri" w:cs="Calibri"/>
        </w:rPr>
        <w:t xml:space="preserve"> </w:t>
      </w:r>
      <w:r w:rsidRPr="000C6ED7">
        <w:rPr>
          <w:rFonts w:ascii="Calibri" w:hAnsi="Calibri" w:cs="Calibri"/>
        </w:rPr>
        <w:t>9</w:t>
      </w:r>
      <w:r w:rsidR="00957F83">
        <w:rPr>
          <w:rFonts w:ascii="Calibri" w:hAnsi="Calibri" w:cs="Calibri"/>
        </w:rPr>
        <w:t>46</w:t>
      </w:r>
      <w:r w:rsidR="00680605">
        <w:rPr>
          <w:rFonts w:ascii="Calibri" w:hAnsi="Calibri" w:cs="Calibri"/>
        </w:rPr>
        <w:t xml:space="preserve"> </w:t>
      </w:r>
      <w:r w:rsidR="00957F83">
        <w:rPr>
          <w:rFonts w:ascii="Calibri" w:hAnsi="Calibri" w:cs="Calibri"/>
        </w:rPr>
        <w:t>tis</w:t>
      </w:r>
      <w:r w:rsidR="00680605">
        <w:rPr>
          <w:rFonts w:ascii="Calibri" w:hAnsi="Calibri" w:cs="Calibri"/>
        </w:rPr>
        <w:t xml:space="preserve">. </w:t>
      </w:r>
      <w:r w:rsidRPr="000C6ED7">
        <w:rPr>
          <w:rFonts w:ascii="Calibri" w:hAnsi="Calibri" w:cs="Calibri"/>
        </w:rPr>
        <w:t>Kč, a to z důvodu přeměny peněžitého trestu v</w:t>
      </w:r>
      <w:r>
        <w:rPr>
          <w:rFonts w:ascii="Calibri" w:hAnsi="Calibri" w:cs="Calibri"/>
        </w:rPr>
        <w:t> </w:t>
      </w:r>
      <w:r w:rsidRPr="000C6ED7">
        <w:rPr>
          <w:rFonts w:ascii="Calibri" w:hAnsi="Calibri" w:cs="Calibri"/>
        </w:rPr>
        <w:t>trest</w:t>
      </w:r>
      <w:r>
        <w:rPr>
          <w:rFonts w:ascii="Calibri" w:hAnsi="Calibri" w:cs="Calibri"/>
        </w:rPr>
        <w:t xml:space="preserve"> </w:t>
      </w:r>
      <w:r w:rsidRPr="000C6ED7">
        <w:rPr>
          <w:rFonts w:ascii="Calibri" w:hAnsi="Calibri" w:cs="Calibri"/>
        </w:rPr>
        <w:t>odnětí svobody. Z</w:t>
      </w:r>
      <w:r w:rsidR="00767C58">
        <w:rPr>
          <w:rFonts w:ascii="Calibri" w:hAnsi="Calibri" w:cs="Calibri"/>
        </w:rPr>
        <w:t> </w:t>
      </w:r>
      <w:r w:rsidRPr="000C6ED7">
        <w:rPr>
          <w:rFonts w:ascii="Calibri" w:hAnsi="Calibri" w:cs="Calibri"/>
        </w:rPr>
        <w:t>toho byl</w:t>
      </w:r>
      <w:r w:rsidR="00C10290">
        <w:rPr>
          <w:rFonts w:ascii="Calibri" w:hAnsi="Calibri" w:cs="Calibri"/>
        </w:rPr>
        <w:t>o</w:t>
      </w:r>
      <w:r w:rsidR="000820C6">
        <w:rPr>
          <w:rFonts w:ascii="Calibri" w:hAnsi="Calibri" w:cs="Calibri"/>
        </w:rPr>
        <w:t xml:space="preserve"> </w:t>
      </w:r>
      <w:r w:rsidR="000C7DE4">
        <w:rPr>
          <w:rFonts w:ascii="Calibri" w:hAnsi="Calibri" w:cs="Calibri"/>
        </w:rPr>
        <w:t>následně</w:t>
      </w:r>
      <w:r w:rsidR="00C8569D">
        <w:rPr>
          <w:rFonts w:ascii="Calibri" w:hAnsi="Calibri" w:cs="Calibri"/>
        </w:rPr>
        <w:t xml:space="preserve"> </w:t>
      </w:r>
      <w:r>
        <w:rPr>
          <w:rFonts w:ascii="Calibri" w:hAnsi="Calibri" w:cs="Calibri"/>
        </w:rPr>
        <w:t xml:space="preserve">34 % případů </w:t>
      </w:r>
      <w:r w:rsidR="00C10290">
        <w:rPr>
          <w:rFonts w:ascii="Calibri" w:hAnsi="Calibri" w:cs="Calibri"/>
        </w:rPr>
        <w:t>uhrazeno</w:t>
      </w:r>
      <w:r w:rsidR="00634BDD">
        <w:rPr>
          <w:rFonts w:ascii="Calibri" w:hAnsi="Calibri" w:cs="Calibri"/>
        </w:rPr>
        <w:t xml:space="preserve"> před nabytím právní moci </w:t>
      </w:r>
      <w:r w:rsidR="00F844D2">
        <w:rPr>
          <w:rFonts w:ascii="Calibri" w:hAnsi="Calibri" w:cs="Calibri"/>
        </w:rPr>
        <w:t xml:space="preserve">usnesení o </w:t>
      </w:r>
      <w:r w:rsidR="00634BDD">
        <w:rPr>
          <w:rFonts w:ascii="Calibri" w:hAnsi="Calibri" w:cs="Calibri"/>
        </w:rPr>
        <w:t>výkonu trestu odnětí svobody</w:t>
      </w:r>
      <w:r w:rsidRPr="000C6ED7">
        <w:rPr>
          <w:rFonts w:ascii="Calibri" w:hAnsi="Calibri" w:cs="Calibri"/>
        </w:rPr>
        <w:t xml:space="preserve">. </w:t>
      </w:r>
    </w:p>
    <w:p w14:paraId="4CB81B42" w14:textId="1283F566" w:rsidR="005A563E" w:rsidRDefault="008E782E" w:rsidP="00B53B90">
      <w:pPr>
        <w:spacing w:after="0" w:line="240" w:lineRule="auto"/>
        <w:rPr>
          <w:rFonts w:ascii="Calibri" w:hAnsi="Calibri" w:cs="Calibri"/>
        </w:rPr>
      </w:pPr>
      <w:r>
        <w:rPr>
          <w:rFonts w:ascii="Calibri" w:hAnsi="Calibri" w:cs="Calibri"/>
        </w:rPr>
        <w:t xml:space="preserve">NKÚ porovnal postup </w:t>
      </w:r>
      <w:r w:rsidR="00846C81">
        <w:rPr>
          <w:rFonts w:ascii="Calibri" w:hAnsi="Calibri" w:cs="Calibri"/>
        </w:rPr>
        <w:t xml:space="preserve">OS PM a CÚ pro JMK při vymáhání </w:t>
      </w:r>
      <w:r w:rsidR="00567E36">
        <w:rPr>
          <w:rFonts w:ascii="Calibri" w:hAnsi="Calibri" w:cs="Calibri"/>
        </w:rPr>
        <w:t>devíti</w:t>
      </w:r>
      <w:r w:rsidR="005A563E">
        <w:rPr>
          <w:rFonts w:ascii="Calibri" w:hAnsi="Calibri" w:cs="Calibri"/>
        </w:rPr>
        <w:t xml:space="preserve"> starých peněžitých trestů</w:t>
      </w:r>
      <w:r w:rsidR="00BC2237">
        <w:rPr>
          <w:rFonts w:ascii="Calibri" w:hAnsi="Calibri" w:cs="Calibri"/>
        </w:rPr>
        <w:t xml:space="preserve"> a</w:t>
      </w:r>
      <w:r w:rsidR="002D0ADD">
        <w:rPr>
          <w:rFonts w:ascii="Calibri" w:hAnsi="Calibri" w:cs="Calibri"/>
        </w:rPr>
        <w:t> </w:t>
      </w:r>
      <w:r w:rsidR="005A563E">
        <w:rPr>
          <w:rFonts w:ascii="Calibri" w:hAnsi="Calibri" w:cs="Calibri"/>
        </w:rPr>
        <w:t>zjistil následující skutečnosti:</w:t>
      </w:r>
    </w:p>
    <w:p w14:paraId="4DFA9C66" w14:textId="569733AC" w:rsidR="005A563E" w:rsidRPr="001E4B59" w:rsidRDefault="005A563E" w:rsidP="0088324E">
      <w:pPr>
        <w:pStyle w:val="Odstavecseseznamem"/>
        <w:numPr>
          <w:ilvl w:val="0"/>
          <w:numId w:val="19"/>
        </w:numPr>
        <w:spacing w:line="240" w:lineRule="auto"/>
        <w:ind w:left="284" w:hanging="284"/>
        <w:rPr>
          <w:rFonts w:ascii="Calibri" w:hAnsi="Calibri" w:cs="Calibri"/>
        </w:rPr>
      </w:pPr>
      <w:r w:rsidRPr="001E4B59">
        <w:rPr>
          <w:rFonts w:ascii="Calibri" w:hAnsi="Calibri" w:cs="Calibri"/>
        </w:rPr>
        <w:t xml:space="preserve">OS </w:t>
      </w:r>
      <w:r w:rsidR="00450770" w:rsidRPr="001E4B59">
        <w:rPr>
          <w:rFonts w:ascii="Calibri" w:hAnsi="Calibri" w:cs="Calibri"/>
        </w:rPr>
        <w:t>PM</w:t>
      </w:r>
      <w:r w:rsidRPr="001E4B59">
        <w:rPr>
          <w:rFonts w:ascii="Calibri" w:hAnsi="Calibri" w:cs="Calibri"/>
        </w:rPr>
        <w:t xml:space="preserve"> </w:t>
      </w:r>
      <w:r w:rsidR="00C82147" w:rsidRPr="001E4B59">
        <w:rPr>
          <w:rFonts w:ascii="Calibri" w:hAnsi="Calibri" w:cs="Calibri"/>
        </w:rPr>
        <w:t>z</w:t>
      </w:r>
      <w:r w:rsidR="00AB66BE" w:rsidRPr="001E4B59">
        <w:rPr>
          <w:rFonts w:ascii="Calibri" w:hAnsi="Calibri" w:cs="Calibri"/>
        </w:rPr>
        <w:t> </w:t>
      </w:r>
      <w:r w:rsidR="00C82147" w:rsidRPr="001E4B59">
        <w:rPr>
          <w:rFonts w:ascii="Calibri" w:hAnsi="Calibri" w:cs="Calibri"/>
        </w:rPr>
        <w:t>devíti</w:t>
      </w:r>
      <w:r w:rsidR="00AB66BE" w:rsidRPr="001E4B59">
        <w:rPr>
          <w:rFonts w:ascii="Calibri" w:hAnsi="Calibri" w:cs="Calibri"/>
        </w:rPr>
        <w:t xml:space="preserve"> případů</w:t>
      </w:r>
      <w:r w:rsidRPr="001E4B59">
        <w:rPr>
          <w:rFonts w:ascii="Calibri" w:hAnsi="Calibri" w:cs="Calibri"/>
        </w:rPr>
        <w:t xml:space="preserve"> pohledávek v</w:t>
      </w:r>
      <w:r w:rsidR="002C2257" w:rsidRPr="001E4B59">
        <w:rPr>
          <w:rFonts w:ascii="Calibri" w:hAnsi="Calibri" w:cs="Calibri"/>
        </w:rPr>
        <w:t> </w:t>
      </w:r>
      <w:r w:rsidR="006B692E" w:rsidRPr="001E4B59">
        <w:rPr>
          <w:rFonts w:ascii="Calibri" w:hAnsi="Calibri" w:cs="Calibri"/>
        </w:rPr>
        <w:t>celkové</w:t>
      </w:r>
      <w:r w:rsidR="002C2257" w:rsidRPr="001E4B59">
        <w:rPr>
          <w:rFonts w:ascii="Calibri" w:hAnsi="Calibri" w:cs="Calibri"/>
        </w:rPr>
        <w:t xml:space="preserve"> </w:t>
      </w:r>
      <w:r w:rsidRPr="001E4B59">
        <w:rPr>
          <w:rFonts w:ascii="Calibri" w:hAnsi="Calibri" w:cs="Calibri"/>
        </w:rPr>
        <w:t>výši 103 </w:t>
      </w:r>
      <w:r w:rsidR="00F674B2">
        <w:rPr>
          <w:rFonts w:ascii="Calibri" w:hAnsi="Calibri" w:cs="Calibri"/>
        </w:rPr>
        <w:t>tis.</w:t>
      </w:r>
      <w:r w:rsidR="003571EE">
        <w:rPr>
          <w:rFonts w:ascii="Calibri" w:hAnsi="Calibri" w:cs="Calibri"/>
        </w:rPr>
        <w:t> </w:t>
      </w:r>
      <w:r w:rsidRPr="001E4B59">
        <w:rPr>
          <w:rFonts w:ascii="Calibri" w:hAnsi="Calibri" w:cs="Calibri"/>
        </w:rPr>
        <w:t>Kč vymohl ve čtyřech případech částečnou úhradu pohledávek v</w:t>
      </w:r>
      <w:r w:rsidR="0025544C">
        <w:rPr>
          <w:rFonts w:ascii="Calibri" w:hAnsi="Calibri" w:cs="Calibri"/>
        </w:rPr>
        <w:t xml:space="preserve"> celkové </w:t>
      </w:r>
      <w:r w:rsidRPr="001E4B59">
        <w:rPr>
          <w:rFonts w:ascii="Calibri" w:hAnsi="Calibri" w:cs="Calibri"/>
        </w:rPr>
        <w:t>výši 26 </w:t>
      </w:r>
      <w:r w:rsidR="00F674B2">
        <w:rPr>
          <w:rFonts w:ascii="Calibri" w:hAnsi="Calibri" w:cs="Calibri"/>
        </w:rPr>
        <w:t>tis.</w:t>
      </w:r>
      <w:r w:rsidR="003571EE">
        <w:rPr>
          <w:rFonts w:ascii="Calibri" w:hAnsi="Calibri" w:cs="Calibri"/>
        </w:rPr>
        <w:t> </w:t>
      </w:r>
      <w:r w:rsidRPr="001E4B59">
        <w:rPr>
          <w:rFonts w:ascii="Calibri" w:hAnsi="Calibri" w:cs="Calibri"/>
        </w:rPr>
        <w:t>Kč;</w:t>
      </w:r>
    </w:p>
    <w:p w14:paraId="224EE4B3" w14:textId="699BD6F2" w:rsidR="005A563E" w:rsidRDefault="005A563E" w:rsidP="0088324E">
      <w:pPr>
        <w:pStyle w:val="Odstavecseseznamem"/>
        <w:numPr>
          <w:ilvl w:val="0"/>
          <w:numId w:val="19"/>
        </w:numPr>
        <w:spacing w:line="240" w:lineRule="auto"/>
        <w:ind w:left="284" w:hanging="284"/>
        <w:rPr>
          <w:rFonts w:ascii="Calibri" w:hAnsi="Calibri" w:cs="Calibri"/>
        </w:rPr>
      </w:pPr>
      <w:r w:rsidRPr="001E4B59">
        <w:rPr>
          <w:rFonts w:ascii="Calibri" w:hAnsi="Calibri" w:cs="Calibri"/>
        </w:rPr>
        <w:t xml:space="preserve">CÚ pro JMK </w:t>
      </w:r>
      <w:r w:rsidR="001B2F9F" w:rsidRPr="001E4B59">
        <w:rPr>
          <w:rFonts w:ascii="Calibri" w:hAnsi="Calibri" w:cs="Calibri"/>
        </w:rPr>
        <w:t xml:space="preserve">bylo předáno </w:t>
      </w:r>
      <w:r w:rsidR="00B5527B" w:rsidRPr="001E4B59">
        <w:rPr>
          <w:rFonts w:ascii="Calibri" w:hAnsi="Calibri" w:cs="Calibri"/>
        </w:rPr>
        <w:t>všech</w:t>
      </w:r>
      <w:r w:rsidR="003571EE">
        <w:rPr>
          <w:rFonts w:ascii="Calibri" w:hAnsi="Calibri" w:cs="Calibri"/>
        </w:rPr>
        <w:t xml:space="preserve"> </w:t>
      </w:r>
      <w:r w:rsidR="001B2F9F" w:rsidRPr="001E4B59">
        <w:rPr>
          <w:rFonts w:ascii="Calibri" w:hAnsi="Calibri" w:cs="Calibri"/>
        </w:rPr>
        <w:t>devět</w:t>
      </w:r>
      <w:r w:rsidRPr="001E4B59">
        <w:rPr>
          <w:rFonts w:ascii="Calibri" w:hAnsi="Calibri" w:cs="Calibri"/>
        </w:rPr>
        <w:t xml:space="preserve"> případů pohledávek v</w:t>
      </w:r>
      <w:r w:rsidR="00B5527B" w:rsidRPr="001E4B59">
        <w:rPr>
          <w:rFonts w:ascii="Calibri" w:hAnsi="Calibri" w:cs="Calibri"/>
        </w:rPr>
        <w:t xml:space="preserve"> celkové</w:t>
      </w:r>
      <w:r w:rsidRPr="001E4B59">
        <w:rPr>
          <w:rFonts w:ascii="Calibri" w:hAnsi="Calibri" w:cs="Calibri"/>
        </w:rPr>
        <w:t xml:space="preserve"> výši 77 </w:t>
      </w:r>
      <w:r w:rsidR="00F674B2">
        <w:rPr>
          <w:rFonts w:ascii="Calibri" w:hAnsi="Calibri" w:cs="Calibri"/>
        </w:rPr>
        <w:t>tis.</w:t>
      </w:r>
      <w:r w:rsidR="003571EE">
        <w:rPr>
          <w:rFonts w:ascii="Calibri" w:hAnsi="Calibri" w:cs="Calibri"/>
        </w:rPr>
        <w:t> </w:t>
      </w:r>
      <w:r w:rsidRPr="001E4B59">
        <w:rPr>
          <w:rFonts w:ascii="Calibri" w:hAnsi="Calibri" w:cs="Calibri"/>
        </w:rPr>
        <w:t>Kč</w:t>
      </w:r>
      <w:r w:rsidR="001B2F9F" w:rsidRPr="001E4B59">
        <w:rPr>
          <w:rFonts w:ascii="Calibri" w:hAnsi="Calibri" w:cs="Calibri"/>
        </w:rPr>
        <w:t xml:space="preserve"> a</w:t>
      </w:r>
      <w:r w:rsidR="002D0ADD">
        <w:rPr>
          <w:rFonts w:ascii="Calibri" w:hAnsi="Calibri" w:cs="Calibri"/>
        </w:rPr>
        <w:t> </w:t>
      </w:r>
      <w:r w:rsidR="001B2F9F" w:rsidRPr="001E4B59">
        <w:rPr>
          <w:rFonts w:ascii="Calibri" w:hAnsi="Calibri" w:cs="Calibri"/>
        </w:rPr>
        <w:t>CÚ pro JMK</w:t>
      </w:r>
      <w:r w:rsidR="001261B0" w:rsidRPr="001E4B59">
        <w:rPr>
          <w:rFonts w:ascii="Calibri" w:hAnsi="Calibri" w:cs="Calibri"/>
        </w:rPr>
        <w:t xml:space="preserve"> z nich</w:t>
      </w:r>
      <w:r w:rsidRPr="001E4B59">
        <w:rPr>
          <w:rFonts w:ascii="Calibri" w:hAnsi="Calibri" w:cs="Calibri"/>
        </w:rPr>
        <w:t xml:space="preserve"> vymohl v pěti případech celou úhradu pohledávek </w:t>
      </w:r>
      <w:r w:rsidR="0025544C" w:rsidRPr="001E4B59">
        <w:rPr>
          <w:rFonts w:ascii="Calibri" w:hAnsi="Calibri" w:cs="Calibri"/>
        </w:rPr>
        <w:t>v</w:t>
      </w:r>
      <w:r w:rsidR="0025544C">
        <w:rPr>
          <w:rFonts w:ascii="Calibri" w:hAnsi="Calibri" w:cs="Calibri"/>
        </w:rPr>
        <w:t xml:space="preserve"> celkové</w:t>
      </w:r>
      <w:r w:rsidR="0025544C" w:rsidRPr="001E4B59">
        <w:rPr>
          <w:rFonts w:ascii="Calibri" w:hAnsi="Calibri" w:cs="Calibri"/>
        </w:rPr>
        <w:t xml:space="preserve"> </w:t>
      </w:r>
      <w:r w:rsidRPr="001E4B59">
        <w:rPr>
          <w:rFonts w:ascii="Calibri" w:hAnsi="Calibri" w:cs="Calibri"/>
        </w:rPr>
        <w:t>výši 30 </w:t>
      </w:r>
      <w:r w:rsidR="00F674B2">
        <w:rPr>
          <w:rFonts w:ascii="Calibri" w:hAnsi="Calibri" w:cs="Calibri"/>
        </w:rPr>
        <w:t>tis.</w:t>
      </w:r>
      <w:r w:rsidR="003571EE">
        <w:rPr>
          <w:rFonts w:ascii="Calibri" w:hAnsi="Calibri" w:cs="Calibri"/>
        </w:rPr>
        <w:t> </w:t>
      </w:r>
      <w:r>
        <w:rPr>
          <w:rFonts w:ascii="Calibri" w:hAnsi="Calibri" w:cs="Calibri"/>
        </w:rPr>
        <w:t>Kč</w:t>
      </w:r>
      <w:r w:rsidR="006D03D3">
        <w:rPr>
          <w:rFonts w:ascii="Calibri" w:hAnsi="Calibri" w:cs="Calibri"/>
        </w:rPr>
        <w:t>.</w:t>
      </w:r>
      <w:r>
        <w:rPr>
          <w:rFonts w:ascii="Calibri" w:hAnsi="Calibri" w:cs="Calibri"/>
        </w:rPr>
        <w:t xml:space="preserve"> </w:t>
      </w:r>
      <w:r w:rsidR="006D03D3">
        <w:rPr>
          <w:rFonts w:ascii="Calibri" w:hAnsi="Calibri" w:cs="Calibri"/>
        </w:rPr>
        <w:t>V</w:t>
      </w:r>
      <w:r>
        <w:rPr>
          <w:rFonts w:ascii="Calibri" w:hAnsi="Calibri" w:cs="Calibri"/>
        </w:rPr>
        <w:t xml:space="preserve">e zbývajících čtyřech případech byl </w:t>
      </w:r>
      <w:r w:rsidR="00B75A7B">
        <w:rPr>
          <w:rFonts w:ascii="Calibri" w:hAnsi="Calibri" w:cs="Calibri"/>
        </w:rPr>
        <w:t xml:space="preserve">po neúspěšném vymáhání CÚ pro JMK </w:t>
      </w:r>
      <w:r>
        <w:rPr>
          <w:rFonts w:ascii="Calibri" w:hAnsi="Calibri" w:cs="Calibri"/>
        </w:rPr>
        <w:t>peněžitý trest přeměněn na trest odnětí svobody</w:t>
      </w:r>
      <w:r w:rsidR="00060756">
        <w:rPr>
          <w:rFonts w:ascii="Calibri" w:hAnsi="Calibri" w:cs="Calibri"/>
        </w:rPr>
        <w:t>.</w:t>
      </w:r>
    </w:p>
    <w:p w14:paraId="5734CA66" w14:textId="692FEB23" w:rsidR="00C616D5" w:rsidRPr="00D307CB" w:rsidRDefault="00C616D5" w:rsidP="00BE71FC">
      <w:pPr>
        <w:spacing w:after="40" w:line="240" w:lineRule="auto"/>
        <w:rPr>
          <w:rFonts w:ascii="Calibri" w:hAnsi="Calibri" w:cs="Calibri"/>
          <w:b/>
          <w:bCs/>
        </w:rPr>
      </w:pPr>
      <w:r w:rsidRPr="00FF056A">
        <w:rPr>
          <w:rFonts w:ascii="Calibri" w:hAnsi="Calibri" w:cs="Calibri"/>
          <w:b/>
          <w:bCs/>
        </w:rPr>
        <w:t>Tabulka č.</w:t>
      </w:r>
      <w:r w:rsidR="00F16C0B" w:rsidRPr="00FF056A">
        <w:rPr>
          <w:rFonts w:ascii="Calibri" w:hAnsi="Calibri" w:cs="Calibri"/>
          <w:b/>
          <w:bCs/>
        </w:rPr>
        <w:t xml:space="preserve"> </w:t>
      </w:r>
      <w:r w:rsidR="00F16C0B" w:rsidRPr="00FF056A">
        <w:rPr>
          <w:rFonts w:ascii="Calibri" w:hAnsi="Calibri" w:cs="Calibri"/>
          <w:b/>
        </w:rPr>
        <w:t>6</w:t>
      </w:r>
      <w:r w:rsidRPr="00FF056A">
        <w:rPr>
          <w:rFonts w:ascii="Calibri" w:hAnsi="Calibri" w:cs="Calibri"/>
          <w:b/>
          <w:bCs/>
        </w:rPr>
        <w:t>:</w:t>
      </w:r>
      <w:r w:rsidR="002D0592" w:rsidRPr="00FF056A">
        <w:rPr>
          <w:rFonts w:ascii="Calibri" w:hAnsi="Calibri" w:cs="Calibri"/>
          <w:b/>
          <w:bCs/>
        </w:rPr>
        <w:t xml:space="preserve"> Porovnání postupu OS PM a CÚ pro JMK</w:t>
      </w:r>
      <w:r w:rsidR="00E20EFF">
        <w:rPr>
          <w:rFonts w:ascii="Calibri" w:hAnsi="Calibri" w:cs="Calibri"/>
          <w:b/>
          <w:bCs/>
        </w:rPr>
        <w:t xml:space="preserve"> u devíti peněžitých trestů</w:t>
      </w:r>
    </w:p>
    <w:tbl>
      <w:tblPr>
        <w:tblStyle w:val="Mkatabulky"/>
        <w:tblW w:w="0" w:type="auto"/>
        <w:tblLook w:val="04A0" w:firstRow="1" w:lastRow="0" w:firstColumn="1" w:lastColumn="0" w:noHBand="0" w:noVBand="1"/>
      </w:tblPr>
      <w:tblGrid>
        <w:gridCol w:w="5382"/>
        <w:gridCol w:w="1839"/>
        <w:gridCol w:w="1840"/>
      </w:tblGrid>
      <w:tr w:rsidR="00831968" w14:paraId="7DD6DF56" w14:textId="77777777" w:rsidTr="00B11C80">
        <w:trPr>
          <w:trHeight w:val="283"/>
        </w:trPr>
        <w:tc>
          <w:tcPr>
            <w:tcW w:w="5382" w:type="dxa"/>
            <w:shd w:val="clear" w:color="auto" w:fill="E6E6E6"/>
            <w:vAlign w:val="center"/>
          </w:tcPr>
          <w:p w14:paraId="3F83F3A1" w14:textId="77777777" w:rsidR="00831968" w:rsidRPr="00AC0AEC" w:rsidRDefault="00831968" w:rsidP="00BE71FC">
            <w:pPr>
              <w:jc w:val="left"/>
              <w:rPr>
                <w:rFonts w:ascii="Calibri" w:hAnsi="Calibri" w:cs="Calibri"/>
                <w:sz w:val="20"/>
                <w:szCs w:val="20"/>
              </w:rPr>
            </w:pPr>
          </w:p>
        </w:tc>
        <w:tc>
          <w:tcPr>
            <w:tcW w:w="1839" w:type="dxa"/>
            <w:shd w:val="clear" w:color="auto" w:fill="E6E6E6"/>
            <w:vAlign w:val="center"/>
          </w:tcPr>
          <w:p w14:paraId="44263ACF" w14:textId="0092422C" w:rsidR="00831968" w:rsidRPr="00222098" w:rsidRDefault="00831968" w:rsidP="00BE71FC">
            <w:pPr>
              <w:jc w:val="center"/>
              <w:rPr>
                <w:rFonts w:ascii="Calibri" w:hAnsi="Calibri" w:cs="Calibri"/>
                <w:b/>
                <w:bCs/>
                <w:sz w:val="20"/>
                <w:szCs w:val="20"/>
              </w:rPr>
            </w:pPr>
            <w:r w:rsidRPr="00222098">
              <w:rPr>
                <w:rFonts w:ascii="Calibri" w:hAnsi="Calibri" w:cs="Calibri"/>
                <w:b/>
                <w:bCs/>
                <w:sz w:val="20"/>
                <w:szCs w:val="20"/>
              </w:rPr>
              <w:t xml:space="preserve">OS </w:t>
            </w:r>
            <w:r w:rsidR="00556061">
              <w:rPr>
                <w:rFonts w:ascii="Calibri" w:hAnsi="Calibri" w:cs="Calibri"/>
                <w:b/>
                <w:bCs/>
                <w:sz w:val="20"/>
                <w:szCs w:val="20"/>
              </w:rPr>
              <w:t>PM</w:t>
            </w:r>
          </w:p>
        </w:tc>
        <w:tc>
          <w:tcPr>
            <w:tcW w:w="1840" w:type="dxa"/>
            <w:shd w:val="clear" w:color="auto" w:fill="E6E6E6"/>
            <w:vAlign w:val="center"/>
          </w:tcPr>
          <w:p w14:paraId="09AAF071" w14:textId="77777777" w:rsidR="00831968" w:rsidRPr="00222098" w:rsidRDefault="00831968" w:rsidP="00BE71FC">
            <w:pPr>
              <w:jc w:val="center"/>
              <w:rPr>
                <w:rFonts w:ascii="Calibri" w:hAnsi="Calibri" w:cs="Calibri"/>
                <w:b/>
                <w:bCs/>
                <w:sz w:val="20"/>
                <w:szCs w:val="20"/>
              </w:rPr>
            </w:pPr>
            <w:r w:rsidRPr="00222098">
              <w:rPr>
                <w:rFonts w:ascii="Calibri" w:hAnsi="Calibri" w:cs="Calibri"/>
                <w:b/>
                <w:bCs/>
                <w:sz w:val="20"/>
                <w:szCs w:val="20"/>
              </w:rPr>
              <w:t>CÚ pro JMK</w:t>
            </w:r>
          </w:p>
        </w:tc>
      </w:tr>
      <w:tr w:rsidR="00FE6FE7" w14:paraId="4143AD07" w14:textId="77777777" w:rsidTr="00B11C80">
        <w:trPr>
          <w:trHeight w:val="283"/>
        </w:trPr>
        <w:tc>
          <w:tcPr>
            <w:tcW w:w="5382" w:type="dxa"/>
            <w:vAlign w:val="center"/>
          </w:tcPr>
          <w:p w14:paraId="3E6FC7A3" w14:textId="5C51BC16" w:rsidR="00FE6FE7" w:rsidRPr="00AC0AEC" w:rsidRDefault="00FE6FE7" w:rsidP="00BE71FC">
            <w:pPr>
              <w:jc w:val="left"/>
              <w:rPr>
                <w:rFonts w:ascii="Calibri" w:hAnsi="Calibri" w:cs="Calibri"/>
                <w:sz w:val="20"/>
                <w:szCs w:val="20"/>
              </w:rPr>
            </w:pPr>
            <w:r>
              <w:rPr>
                <w:rFonts w:ascii="Calibri" w:hAnsi="Calibri" w:cs="Calibri"/>
                <w:sz w:val="20"/>
                <w:szCs w:val="20"/>
              </w:rPr>
              <w:t>Doba vykonatelnosti* – maximální</w:t>
            </w:r>
          </w:p>
        </w:tc>
        <w:tc>
          <w:tcPr>
            <w:tcW w:w="1839" w:type="dxa"/>
            <w:vAlign w:val="center"/>
          </w:tcPr>
          <w:p w14:paraId="614A7CB3" w14:textId="77777777" w:rsidR="00FE6FE7" w:rsidRPr="00AC0AEC" w:rsidRDefault="00FE6FE7" w:rsidP="00BE71FC">
            <w:pPr>
              <w:ind w:right="451"/>
              <w:jc w:val="right"/>
              <w:rPr>
                <w:rFonts w:ascii="Calibri" w:hAnsi="Calibri" w:cs="Calibri"/>
                <w:sz w:val="20"/>
                <w:szCs w:val="20"/>
              </w:rPr>
            </w:pPr>
            <w:r>
              <w:rPr>
                <w:rFonts w:ascii="Calibri" w:hAnsi="Calibri" w:cs="Calibri"/>
                <w:sz w:val="20"/>
                <w:szCs w:val="20"/>
              </w:rPr>
              <w:t>986</w:t>
            </w:r>
          </w:p>
        </w:tc>
        <w:tc>
          <w:tcPr>
            <w:tcW w:w="1840" w:type="dxa"/>
            <w:vAlign w:val="center"/>
          </w:tcPr>
          <w:p w14:paraId="019EB99F" w14:textId="77777777" w:rsidR="00FE6FE7" w:rsidRPr="00AC0AEC" w:rsidRDefault="00FE6FE7" w:rsidP="00BE71FC">
            <w:pPr>
              <w:ind w:right="451"/>
              <w:jc w:val="right"/>
              <w:rPr>
                <w:rFonts w:ascii="Calibri" w:hAnsi="Calibri" w:cs="Calibri"/>
                <w:sz w:val="20"/>
                <w:szCs w:val="20"/>
              </w:rPr>
            </w:pPr>
            <w:r>
              <w:rPr>
                <w:rFonts w:ascii="Calibri" w:hAnsi="Calibri" w:cs="Calibri"/>
                <w:sz w:val="20"/>
                <w:szCs w:val="20"/>
              </w:rPr>
              <w:t>293</w:t>
            </w:r>
          </w:p>
        </w:tc>
      </w:tr>
      <w:tr w:rsidR="00750DF3" w14:paraId="6380C5E6" w14:textId="77777777" w:rsidTr="00B11C80">
        <w:trPr>
          <w:trHeight w:val="283"/>
        </w:trPr>
        <w:tc>
          <w:tcPr>
            <w:tcW w:w="5382" w:type="dxa"/>
            <w:vAlign w:val="center"/>
          </w:tcPr>
          <w:p w14:paraId="3742E09A" w14:textId="5DAD54A5" w:rsidR="00750DF3" w:rsidRPr="00AC0AEC" w:rsidRDefault="00750DF3" w:rsidP="00BE71FC">
            <w:pPr>
              <w:jc w:val="left"/>
              <w:rPr>
                <w:rFonts w:ascii="Calibri" w:hAnsi="Calibri" w:cs="Calibri"/>
                <w:sz w:val="20"/>
                <w:szCs w:val="20"/>
              </w:rPr>
            </w:pPr>
            <w:r>
              <w:rPr>
                <w:rFonts w:ascii="Calibri" w:hAnsi="Calibri" w:cs="Calibri"/>
                <w:sz w:val="20"/>
                <w:szCs w:val="20"/>
              </w:rPr>
              <w:t>Doba vykonatelnosti</w:t>
            </w:r>
            <w:r w:rsidR="000732FD">
              <w:rPr>
                <w:rFonts w:ascii="Calibri" w:hAnsi="Calibri" w:cs="Calibri"/>
                <w:sz w:val="20"/>
                <w:szCs w:val="20"/>
              </w:rPr>
              <w:t>*</w:t>
            </w:r>
            <w:r>
              <w:rPr>
                <w:rFonts w:ascii="Calibri" w:hAnsi="Calibri" w:cs="Calibri"/>
                <w:sz w:val="20"/>
                <w:szCs w:val="20"/>
              </w:rPr>
              <w:t xml:space="preserve"> – průměrná</w:t>
            </w:r>
          </w:p>
        </w:tc>
        <w:tc>
          <w:tcPr>
            <w:tcW w:w="1839" w:type="dxa"/>
            <w:vAlign w:val="center"/>
          </w:tcPr>
          <w:p w14:paraId="1BAF3F40" w14:textId="77777777" w:rsidR="00750DF3" w:rsidRPr="00AC0AEC" w:rsidRDefault="00750DF3" w:rsidP="00BE71FC">
            <w:pPr>
              <w:ind w:right="451"/>
              <w:jc w:val="right"/>
              <w:rPr>
                <w:rFonts w:ascii="Calibri" w:hAnsi="Calibri" w:cs="Calibri"/>
                <w:sz w:val="20"/>
                <w:szCs w:val="20"/>
              </w:rPr>
            </w:pPr>
            <w:r>
              <w:rPr>
                <w:rFonts w:ascii="Calibri" w:hAnsi="Calibri" w:cs="Calibri"/>
                <w:sz w:val="20"/>
                <w:szCs w:val="20"/>
              </w:rPr>
              <w:t>679</w:t>
            </w:r>
          </w:p>
        </w:tc>
        <w:tc>
          <w:tcPr>
            <w:tcW w:w="1840" w:type="dxa"/>
            <w:vAlign w:val="center"/>
          </w:tcPr>
          <w:p w14:paraId="2D1A42C8" w14:textId="77777777" w:rsidR="00750DF3" w:rsidRPr="00AC0AEC" w:rsidRDefault="00750DF3" w:rsidP="00BE71FC">
            <w:pPr>
              <w:ind w:right="451"/>
              <w:jc w:val="right"/>
              <w:rPr>
                <w:rFonts w:ascii="Calibri" w:hAnsi="Calibri" w:cs="Calibri"/>
                <w:sz w:val="20"/>
                <w:szCs w:val="20"/>
              </w:rPr>
            </w:pPr>
            <w:r>
              <w:rPr>
                <w:rFonts w:ascii="Calibri" w:hAnsi="Calibri" w:cs="Calibri"/>
                <w:sz w:val="20"/>
                <w:szCs w:val="20"/>
              </w:rPr>
              <w:t>143</w:t>
            </w:r>
          </w:p>
        </w:tc>
      </w:tr>
      <w:tr w:rsidR="00750DF3" w14:paraId="47D169F5" w14:textId="77777777" w:rsidTr="00B11C80">
        <w:trPr>
          <w:trHeight w:val="283"/>
        </w:trPr>
        <w:tc>
          <w:tcPr>
            <w:tcW w:w="5382" w:type="dxa"/>
            <w:vAlign w:val="center"/>
          </w:tcPr>
          <w:p w14:paraId="6BF18ACF" w14:textId="5D953560" w:rsidR="00750DF3" w:rsidRPr="00AC0AEC" w:rsidRDefault="00750DF3" w:rsidP="00BE71FC">
            <w:pPr>
              <w:jc w:val="left"/>
              <w:rPr>
                <w:rFonts w:ascii="Calibri" w:hAnsi="Calibri" w:cs="Calibri"/>
                <w:sz w:val="20"/>
                <w:szCs w:val="20"/>
              </w:rPr>
            </w:pPr>
            <w:r>
              <w:rPr>
                <w:rFonts w:ascii="Calibri" w:hAnsi="Calibri" w:cs="Calibri"/>
                <w:sz w:val="20"/>
                <w:szCs w:val="20"/>
              </w:rPr>
              <w:t>Doba vykonatelnosti</w:t>
            </w:r>
            <w:r w:rsidR="000732FD">
              <w:rPr>
                <w:rFonts w:ascii="Calibri" w:hAnsi="Calibri" w:cs="Calibri"/>
                <w:sz w:val="20"/>
                <w:szCs w:val="20"/>
              </w:rPr>
              <w:t>*</w:t>
            </w:r>
            <w:r>
              <w:rPr>
                <w:rFonts w:ascii="Calibri" w:hAnsi="Calibri" w:cs="Calibri"/>
                <w:sz w:val="20"/>
                <w:szCs w:val="20"/>
              </w:rPr>
              <w:t xml:space="preserve"> – minimální</w:t>
            </w:r>
          </w:p>
        </w:tc>
        <w:tc>
          <w:tcPr>
            <w:tcW w:w="1839" w:type="dxa"/>
            <w:vAlign w:val="center"/>
          </w:tcPr>
          <w:p w14:paraId="2C67230F" w14:textId="77777777" w:rsidR="00750DF3" w:rsidRPr="00AC0AEC" w:rsidRDefault="00750DF3" w:rsidP="00BE71FC">
            <w:pPr>
              <w:ind w:right="451"/>
              <w:jc w:val="right"/>
              <w:rPr>
                <w:rFonts w:ascii="Calibri" w:hAnsi="Calibri" w:cs="Calibri"/>
                <w:sz w:val="20"/>
                <w:szCs w:val="20"/>
              </w:rPr>
            </w:pPr>
            <w:r>
              <w:rPr>
                <w:rFonts w:ascii="Calibri" w:hAnsi="Calibri" w:cs="Calibri"/>
                <w:sz w:val="20"/>
                <w:szCs w:val="20"/>
              </w:rPr>
              <w:t>260</w:t>
            </w:r>
          </w:p>
        </w:tc>
        <w:tc>
          <w:tcPr>
            <w:tcW w:w="1840" w:type="dxa"/>
            <w:vAlign w:val="center"/>
          </w:tcPr>
          <w:p w14:paraId="0BB8B3AB" w14:textId="77777777" w:rsidR="00750DF3" w:rsidRPr="00AC0AEC" w:rsidRDefault="00750DF3" w:rsidP="00BE71FC">
            <w:pPr>
              <w:ind w:right="451"/>
              <w:jc w:val="right"/>
              <w:rPr>
                <w:rFonts w:ascii="Calibri" w:hAnsi="Calibri" w:cs="Calibri"/>
                <w:sz w:val="20"/>
                <w:szCs w:val="20"/>
              </w:rPr>
            </w:pPr>
            <w:r>
              <w:rPr>
                <w:rFonts w:ascii="Calibri" w:hAnsi="Calibri" w:cs="Calibri"/>
                <w:sz w:val="20"/>
                <w:szCs w:val="20"/>
              </w:rPr>
              <w:t>22</w:t>
            </w:r>
          </w:p>
        </w:tc>
      </w:tr>
      <w:tr w:rsidR="00750DF3" w14:paraId="441F4B41" w14:textId="77777777" w:rsidTr="00B11C80">
        <w:trPr>
          <w:trHeight w:val="283"/>
        </w:trPr>
        <w:tc>
          <w:tcPr>
            <w:tcW w:w="5382" w:type="dxa"/>
            <w:vAlign w:val="center"/>
          </w:tcPr>
          <w:p w14:paraId="47DAB6BE" w14:textId="7DA123C0" w:rsidR="00750DF3" w:rsidRDefault="00750DF3" w:rsidP="00BE71FC">
            <w:pPr>
              <w:jc w:val="left"/>
              <w:rPr>
                <w:rFonts w:ascii="Calibri" w:hAnsi="Calibri" w:cs="Calibri"/>
                <w:sz w:val="20"/>
                <w:szCs w:val="20"/>
              </w:rPr>
            </w:pPr>
            <w:r>
              <w:rPr>
                <w:rFonts w:ascii="Calibri" w:hAnsi="Calibri" w:cs="Calibri"/>
                <w:sz w:val="20"/>
                <w:szCs w:val="20"/>
              </w:rPr>
              <w:t>Průměrná doba do provedení 1. úkonu ve vymáhání</w:t>
            </w:r>
            <w:r w:rsidR="006F3B8F">
              <w:rPr>
                <w:rFonts w:ascii="Calibri" w:hAnsi="Calibri" w:cs="Calibri"/>
                <w:sz w:val="20"/>
                <w:szCs w:val="20"/>
              </w:rPr>
              <w:t>**</w:t>
            </w:r>
          </w:p>
        </w:tc>
        <w:tc>
          <w:tcPr>
            <w:tcW w:w="1839" w:type="dxa"/>
            <w:vAlign w:val="center"/>
          </w:tcPr>
          <w:p w14:paraId="2CA16F97" w14:textId="77777777" w:rsidR="00750DF3" w:rsidRDefault="00750DF3" w:rsidP="00BE71FC">
            <w:pPr>
              <w:ind w:right="451"/>
              <w:jc w:val="right"/>
              <w:rPr>
                <w:rFonts w:ascii="Calibri" w:hAnsi="Calibri" w:cs="Calibri"/>
                <w:sz w:val="20"/>
                <w:szCs w:val="20"/>
              </w:rPr>
            </w:pPr>
            <w:r>
              <w:rPr>
                <w:rFonts w:ascii="Calibri" w:hAnsi="Calibri" w:cs="Calibri"/>
                <w:sz w:val="20"/>
                <w:szCs w:val="20"/>
              </w:rPr>
              <w:t>149</w:t>
            </w:r>
          </w:p>
        </w:tc>
        <w:tc>
          <w:tcPr>
            <w:tcW w:w="1840" w:type="dxa"/>
            <w:vAlign w:val="center"/>
          </w:tcPr>
          <w:p w14:paraId="4842C228" w14:textId="77777777" w:rsidR="00750DF3" w:rsidRPr="00AC0AEC" w:rsidRDefault="00750DF3" w:rsidP="00BE71FC">
            <w:pPr>
              <w:ind w:right="451"/>
              <w:jc w:val="right"/>
              <w:rPr>
                <w:rFonts w:ascii="Calibri" w:hAnsi="Calibri" w:cs="Calibri"/>
                <w:sz w:val="20"/>
                <w:szCs w:val="20"/>
              </w:rPr>
            </w:pPr>
            <w:r>
              <w:rPr>
                <w:rFonts w:ascii="Calibri" w:hAnsi="Calibri" w:cs="Calibri"/>
                <w:sz w:val="20"/>
                <w:szCs w:val="20"/>
              </w:rPr>
              <w:t>32</w:t>
            </w:r>
          </w:p>
        </w:tc>
      </w:tr>
      <w:tr w:rsidR="00750DF3" w14:paraId="0904FAA1" w14:textId="77777777" w:rsidTr="00B11C80">
        <w:trPr>
          <w:trHeight w:val="283"/>
        </w:trPr>
        <w:tc>
          <w:tcPr>
            <w:tcW w:w="5382" w:type="dxa"/>
            <w:vAlign w:val="center"/>
          </w:tcPr>
          <w:p w14:paraId="7F96C477" w14:textId="7421DE3D" w:rsidR="00750DF3" w:rsidRPr="00AC0AEC" w:rsidRDefault="00750DF3" w:rsidP="00BE71FC">
            <w:pPr>
              <w:jc w:val="left"/>
              <w:rPr>
                <w:rFonts w:ascii="Calibri" w:hAnsi="Calibri" w:cs="Calibri"/>
                <w:sz w:val="20"/>
                <w:szCs w:val="20"/>
              </w:rPr>
            </w:pPr>
            <w:r>
              <w:rPr>
                <w:rFonts w:ascii="Calibri" w:hAnsi="Calibri" w:cs="Calibri"/>
                <w:sz w:val="20"/>
                <w:szCs w:val="20"/>
              </w:rPr>
              <w:t>Průměrný počet součinnostních dotazů u jedné pohledávky</w:t>
            </w:r>
            <w:r w:rsidR="006F3B8F">
              <w:rPr>
                <w:rFonts w:ascii="Calibri" w:hAnsi="Calibri" w:cs="Calibri"/>
                <w:sz w:val="20"/>
                <w:szCs w:val="20"/>
              </w:rPr>
              <w:t>***</w:t>
            </w:r>
          </w:p>
        </w:tc>
        <w:tc>
          <w:tcPr>
            <w:tcW w:w="1839" w:type="dxa"/>
            <w:vAlign w:val="center"/>
          </w:tcPr>
          <w:p w14:paraId="421F4C58" w14:textId="36183C3F" w:rsidR="00750DF3" w:rsidRPr="00AC0AEC" w:rsidRDefault="00750DF3" w:rsidP="00BE71FC">
            <w:pPr>
              <w:ind w:right="451"/>
              <w:jc w:val="right"/>
              <w:rPr>
                <w:rFonts w:ascii="Calibri" w:hAnsi="Calibri" w:cs="Calibri"/>
                <w:sz w:val="20"/>
                <w:szCs w:val="20"/>
              </w:rPr>
            </w:pPr>
            <w:r>
              <w:rPr>
                <w:rFonts w:ascii="Calibri" w:hAnsi="Calibri" w:cs="Calibri"/>
                <w:sz w:val="20"/>
                <w:szCs w:val="20"/>
              </w:rPr>
              <w:t>3</w:t>
            </w:r>
          </w:p>
        </w:tc>
        <w:tc>
          <w:tcPr>
            <w:tcW w:w="1840" w:type="dxa"/>
            <w:vAlign w:val="center"/>
          </w:tcPr>
          <w:p w14:paraId="45C09AF1" w14:textId="77777777" w:rsidR="00750DF3" w:rsidRPr="00AC0AEC" w:rsidRDefault="00750DF3" w:rsidP="00BE71FC">
            <w:pPr>
              <w:ind w:right="451"/>
              <w:jc w:val="right"/>
              <w:rPr>
                <w:rFonts w:ascii="Calibri" w:hAnsi="Calibri" w:cs="Calibri"/>
                <w:sz w:val="20"/>
                <w:szCs w:val="20"/>
              </w:rPr>
            </w:pPr>
            <w:r>
              <w:rPr>
                <w:rFonts w:ascii="Calibri" w:hAnsi="Calibri" w:cs="Calibri"/>
                <w:sz w:val="20"/>
                <w:szCs w:val="20"/>
              </w:rPr>
              <w:t>63</w:t>
            </w:r>
          </w:p>
        </w:tc>
      </w:tr>
      <w:tr w:rsidR="00750DF3" w14:paraId="2A3F9436" w14:textId="77777777" w:rsidTr="00B11C80">
        <w:trPr>
          <w:trHeight w:val="283"/>
        </w:trPr>
        <w:tc>
          <w:tcPr>
            <w:tcW w:w="5382" w:type="dxa"/>
            <w:vAlign w:val="center"/>
          </w:tcPr>
          <w:p w14:paraId="1F0F9542" w14:textId="05AC1538" w:rsidR="00750DF3" w:rsidRDefault="003571EE" w:rsidP="00BE71FC">
            <w:pPr>
              <w:ind w:left="456"/>
              <w:jc w:val="left"/>
              <w:rPr>
                <w:rFonts w:ascii="Calibri" w:hAnsi="Calibri" w:cs="Calibri"/>
                <w:sz w:val="20"/>
                <w:szCs w:val="20"/>
              </w:rPr>
            </w:pPr>
            <w:r>
              <w:rPr>
                <w:rFonts w:ascii="Calibri" w:hAnsi="Calibri" w:cs="Calibri"/>
                <w:sz w:val="20"/>
                <w:szCs w:val="20"/>
              </w:rPr>
              <w:t xml:space="preserve">- </w:t>
            </w:r>
            <w:r w:rsidR="00750DF3">
              <w:rPr>
                <w:rFonts w:ascii="Calibri" w:hAnsi="Calibri" w:cs="Calibri"/>
                <w:sz w:val="20"/>
                <w:szCs w:val="20"/>
              </w:rPr>
              <w:t>z toho automatické</w:t>
            </w:r>
          </w:p>
        </w:tc>
        <w:tc>
          <w:tcPr>
            <w:tcW w:w="1839" w:type="dxa"/>
            <w:vAlign w:val="center"/>
          </w:tcPr>
          <w:p w14:paraId="33DDC33E" w14:textId="77777777" w:rsidR="00750DF3" w:rsidRPr="00AC0AEC" w:rsidRDefault="00750DF3" w:rsidP="00BE71FC">
            <w:pPr>
              <w:ind w:right="451"/>
              <w:jc w:val="right"/>
              <w:rPr>
                <w:rFonts w:ascii="Calibri" w:hAnsi="Calibri" w:cs="Calibri"/>
                <w:sz w:val="20"/>
                <w:szCs w:val="20"/>
              </w:rPr>
            </w:pPr>
            <w:r>
              <w:rPr>
                <w:rFonts w:ascii="Calibri" w:hAnsi="Calibri" w:cs="Calibri"/>
                <w:sz w:val="20"/>
                <w:szCs w:val="20"/>
              </w:rPr>
              <w:t>0</w:t>
            </w:r>
          </w:p>
        </w:tc>
        <w:tc>
          <w:tcPr>
            <w:tcW w:w="1840" w:type="dxa"/>
            <w:vAlign w:val="center"/>
          </w:tcPr>
          <w:p w14:paraId="5D97F930" w14:textId="77777777" w:rsidR="00750DF3" w:rsidRPr="00AC0AEC" w:rsidRDefault="00750DF3" w:rsidP="00BE71FC">
            <w:pPr>
              <w:ind w:right="451"/>
              <w:jc w:val="right"/>
              <w:rPr>
                <w:rFonts w:ascii="Calibri" w:hAnsi="Calibri" w:cs="Calibri"/>
                <w:sz w:val="20"/>
                <w:szCs w:val="20"/>
              </w:rPr>
            </w:pPr>
            <w:r>
              <w:rPr>
                <w:rFonts w:ascii="Calibri" w:hAnsi="Calibri" w:cs="Calibri"/>
                <w:sz w:val="20"/>
                <w:szCs w:val="20"/>
              </w:rPr>
              <w:t>63</w:t>
            </w:r>
          </w:p>
        </w:tc>
      </w:tr>
    </w:tbl>
    <w:p w14:paraId="1D45A24B" w14:textId="44AB834F" w:rsidR="000257A3" w:rsidRPr="004A256C" w:rsidRDefault="004F7D6E" w:rsidP="00BE71FC">
      <w:pPr>
        <w:spacing w:before="40" w:after="0" w:line="240" w:lineRule="auto"/>
        <w:rPr>
          <w:sz w:val="20"/>
          <w:szCs w:val="20"/>
          <w:lang w:eastAsia="cs-CZ"/>
        </w:rPr>
      </w:pPr>
      <w:r w:rsidRPr="0088324E">
        <w:rPr>
          <w:b/>
          <w:bCs/>
          <w:sz w:val="20"/>
          <w:szCs w:val="20"/>
          <w:lang w:eastAsia="cs-CZ"/>
        </w:rPr>
        <w:t>Zdroj:</w:t>
      </w:r>
      <w:r w:rsidRPr="004A256C">
        <w:rPr>
          <w:sz w:val="20"/>
          <w:szCs w:val="20"/>
          <w:lang w:eastAsia="cs-CZ"/>
        </w:rPr>
        <w:t xml:space="preserve"> </w:t>
      </w:r>
      <w:r w:rsidR="004A256C" w:rsidRPr="004A256C">
        <w:rPr>
          <w:sz w:val="20"/>
          <w:szCs w:val="20"/>
          <w:lang w:eastAsia="cs-CZ"/>
        </w:rPr>
        <w:t>vypracoval NKÚ.</w:t>
      </w:r>
    </w:p>
    <w:p w14:paraId="78DA6E83" w14:textId="5616AF93" w:rsidR="00EF2781" w:rsidRPr="0088324E" w:rsidRDefault="003571EE" w:rsidP="00BE71FC">
      <w:pPr>
        <w:spacing w:after="0" w:line="240" w:lineRule="auto"/>
        <w:rPr>
          <w:b/>
          <w:bCs/>
          <w:sz w:val="20"/>
          <w:szCs w:val="20"/>
          <w:lang w:eastAsia="cs-CZ"/>
        </w:rPr>
      </w:pPr>
      <w:r>
        <w:rPr>
          <w:b/>
          <w:bCs/>
          <w:sz w:val="20"/>
          <w:szCs w:val="20"/>
          <w:lang w:eastAsia="cs-CZ"/>
        </w:rPr>
        <w:t>Vysvětlivky</w:t>
      </w:r>
      <w:r w:rsidR="006F3B8F" w:rsidRPr="0088324E">
        <w:rPr>
          <w:b/>
          <w:bCs/>
          <w:sz w:val="20"/>
          <w:szCs w:val="20"/>
          <w:lang w:eastAsia="cs-CZ"/>
        </w:rPr>
        <w:t>:</w:t>
      </w:r>
      <w:r w:rsidR="00E76B38" w:rsidRPr="0088324E">
        <w:rPr>
          <w:b/>
          <w:bCs/>
          <w:sz w:val="20"/>
          <w:szCs w:val="20"/>
          <w:lang w:eastAsia="cs-CZ"/>
        </w:rPr>
        <w:t xml:space="preserve"> </w:t>
      </w:r>
    </w:p>
    <w:p w14:paraId="6A8183B4" w14:textId="5438D962" w:rsidR="006F3B8F" w:rsidRDefault="006F3B8F" w:rsidP="0088324E">
      <w:pPr>
        <w:spacing w:after="0" w:line="240" w:lineRule="auto"/>
        <w:ind w:left="426" w:hanging="426"/>
        <w:rPr>
          <w:sz w:val="20"/>
          <w:szCs w:val="20"/>
          <w:lang w:eastAsia="cs-CZ"/>
        </w:rPr>
      </w:pPr>
      <w:r>
        <w:rPr>
          <w:sz w:val="20"/>
          <w:szCs w:val="20"/>
          <w:lang w:eastAsia="cs-CZ"/>
        </w:rPr>
        <w:t>*</w:t>
      </w:r>
      <w:r w:rsidR="0088324E">
        <w:rPr>
          <w:sz w:val="20"/>
          <w:szCs w:val="20"/>
          <w:lang w:eastAsia="cs-CZ"/>
        </w:rPr>
        <w:t xml:space="preserve"> </w:t>
      </w:r>
      <w:r w:rsidR="0088324E">
        <w:rPr>
          <w:sz w:val="20"/>
          <w:szCs w:val="20"/>
          <w:lang w:eastAsia="cs-CZ"/>
        </w:rPr>
        <w:tab/>
      </w:r>
      <w:r>
        <w:rPr>
          <w:sz w:val="20"/>
          <w:szCs w:val="20"/>
          <w:lang w:eastAsia="cs-CZ"/>
        </w:rPr>
        <w:t xml:space="preserve">Doba vykonatelnosti představovala u soudu </w:t>
      </w:r>
      <w:r w:rsidR="00C007F2">
        <w:rPr>
          <w:sz w:val="20"/>
          <w:szCs w:val="20"/>
          <w:lang w:eastAsia="cs-CZ"/>
        </w:rPr>
        <w:t xml:space="preserve">počet dnů </w:t>
      </w:r>
      <w:r>
        <w:rPr>
          <w:sz w:val="20"/>
          <w:szCs w:val="20"/>
          <w:lang w:eastAsia="cs-CZ"/>
        </w:rPr>
        <w:t xml:space="preserve">mezi splatností pohledávky a jejím předáním na CÚ, u CÚ </w:t>
      </w:r>
      <w:r w:rsidR="00C007F2">
        <w:rPr>
          <w:sz w:val="20"/>
          <w:szCs w:val="20"/>
          <w:lang w:eastAsia="cs-CZ"/>
        </w:rPr>
        <w:t xml:space="preserve">počet dnů </w:t>
      </w:r>
      <w:r>
        <w:rPr>
          <w:sz w:val="20"/>
          <w:szCs w:val="20"/>
          <w:lang w:eastAsia="cs-CZ"/>
        </w:rPr>
        <w:t xml:space="preserve">mezi předáním pohledávky na CÚ a její úhradou, případně dnem, ke kterému NKÚ zjišťoval stav pohledávky (25. 4. 2025). </w:t>
      </w:r>
    </w:p>
    <w:p w14:paraId="05A69159" w14:textId="23F864D0" w:rsidR="006F3B8F" w:rsidRDefault="006F3B8F" w:rsidP="0088324E">
      <w:pPr>
        <w:spacing w:after="0" w:line="240" w:lineRule="auto"/>
        <w:ind w:left="426" w:hanging="426"/>
        <w:rPr>
          <w:sz w:val="20"/>
          <w:szCs w:val="20"/>
          <w:lang w:eastAsia="cs-CZ"/>
        </w:rPr>
      </w:pPr>
      <w:r>
        <w:rPr>
          <w:sz w:val="20"/>
          <w:szCs w:val="20"/>
          <w:lang w:eastAsia="cs-CZ"/>
        </w:rPr>
        <w:t xml:space="preserve">** </w:t>
      </w:r>
      <w:r w:rsidR="0088324E">
        <w:rPr>
          <w:sz w:val="20"/>
          <w:szCs w:val="20"/>
          <w:lang w:eastAsia="cs-CZ"/>
        </w:rPr>
        <w:tab/>
      </w:r>
      <w:r>
        <w:rPr>
          <w:sz w:val="20"/>
          <w:szCs w:val="20"/>
          <w:lang w:eastAsia="cs-CZ"/>
        </w:rPr>
        <w:t xml:space="preserve">U soudu se jedná o </w:t>
      </w:r>
      <w:r w:rsidR="00C007F2">
        <w:rPr>
          <w:sz w:val="20"/>
          <w:szCs w:val="20"/>
          <w:lang w:eastAsia="cs-CZ"/>
        </w:rPr>
        <w:t xml:space="preserve">počet dnů </w:t>
      </w:r>
      <w:r>
        <w:rPr>
          <w:sz w:val="20"/>
          <w:szCs w:val="20"/>
          <w:lang w:eastAsia="cs-CZ"/>
        </w:rPr>
        <w:t xml:space="preserve">mezi splatností pohledávky a provedením prvního úkonu ve vymáhání, u CÚ se jedná o </w:t>
      </w:r>
      <w:r w:rsidR="00C007F2">
        <w:rPr>
          <w:sz w:val="20"/>
          <w:szCs w:val="20"/>
          <w:lang w:eastAsia="cs-CZ"/>
        </w:rPr>
        <w:t xml:space="preserve">počet dnů </w:t>
      </w:r>
      <w:r>
        <w:rPr>
          <w:sz w:val="20"/>
          <w:szCs w:val="20"/>
          <w:lang w:eastAsia="cs-CZ"/>
        </w:rPr>
        <w:t>mezi předáním pohledávky na CÚ a provedením prvního úkonu ve vymáhání.</w:t>
      </w:r>
    </w:p>
    <w:p w14:paraId="5B9883D5" w14:textId="0B4052BD" w:rsidR="006F3B8F" w:rsidRPr="004A256C" w:rsidRDefault="006F3B8F" w:rsidP="0088324E">
      <w:pPr>
        <w:spacing w:line="240" w:lineRule="auto"/>
        <w:ind w:left="426" w:hanging="426"/>
        <w:rPr>
          <w:sz w:val="20"/>
          <w:szCs w:val="20"/>
          <w:lang w:eastAsia="cs-CZ"/>
        </w:rPr>
      </w:pPr>
      <w:r>
        <w:rPr>
          <w:sz w:val="20"/>
          <w:szCs w:val="20"/>
          <w:lang w:eastAsia="cs-CZ"/>
        </w:rPr>
        <w:t>***</w:t>
      </w:r>
      <w:r w:rsidR="0088324E">
        <w:rPr>
          <w:sz w:val="20"/>
          <w:szCs w:val="20"/>
          <w:lang w:eastAsia="cs-CZ"/>
        </w:rPr>
        <w:t xml:space="preserve"> </w:t>
      </w:r>
      <w:r w:rsidR="0088324E">
        <w:rPr>
          <w:sz w:val="20"/>
          <w:szCs w:val="20"/>
          <w:lang w:eastAsia="cs-CZ"/>
        </w:rPr>
        <w:tab/>
      </w:r>
      <w:r>
        <w:rPr>
          <w:sz w:val="20"/>
          <w:szCs w:val="20"/>
          <w:lang w:eastAsia="cs-CZ"/>
        </w:rPr>
        <w:t>Jedná se o průměrný počet součinnostních dotazů provedených v době vykonatelnosti u příslušných kontrolovaných osob.</w:t>
      </w:r>
    </w:p>
    <w:p w14:paraId="504A8E72" w14:textId="37759123" w:rsidR="0059174C" w:rsidRPr="00F62D3F" w:rsidDel="00E20EFF" w:rsidRDefault="00F44595" w:rsidP="00A247BE">
      <w:pPr>
        <w:rPr>
          <w:lang w:eastAsia="cs-CZ"/>
        </w:rPr>
      </w:pPr>
      <w:r w:rsidRPr="00F62D3F" w:rsidDel="00E20EFF">
        <w:rPr>
          <w:lang w:eastAsia="cs-CZ"/>
        </w:rPr>
        <w:t xml:space="preserve">NKÚ zjistil, </w:t>
      </w:r>
      <w:r w:rsidR="00C7661D" w:rsidRPr="00F62D3F" w:rsidDel="00E20EFF">
        <w:rPr>
          <w:lang w:eastAsia="cs-CZ"/>
        </w:rPr>
        <w:t>že</w:t>
      </w:r>
      <w:r w:rsidR="00442EB4" w:rsidRPr="00F62D3F" w:rsidDel="00E20EFF">
        <w:rPr>
          <w:lang w:eastAsia="cs-CZ"/>
        </w:rPr>
        <w:t xml:space="preserve"> úspěšnost</w:t>
      </w:r>
      <w:r w:rsidR="00494694" w:rsidDel="00E20EFF">
        <w:rPr>
          <w:lang w:eastAsia="cs-CZ"/>
        </w:rPr>
        <w:t xml:space="preserve"> a průměrná doba </w:t>
      </w:r>
      <w:r w:rsidR="00442EB4" w:rsidRPr="00F62D3F" w:rsidDel="00E20EFF">
        <w:rPr>
          <w:lang w:eastAsia="cs-CZ"/>
        </w:rPr>
        <w:t>vymáhání byla u CÚ pro JMK ovlivněna</w:t>
      </w:r>
      <w:r w:rsidR="00C7661D" w:rsidRPr="00F62D3F" w:rsidDel="00E20EFF">
        <w:rPr>
          <w:lang w:eastAsia="cs-CZ"/>
        </w:rPr>
        <w:t xml:space="preserve"> </w:t>
      </w:r>
      <w:r w:rsidR="002D0592" w:rsidDel="00E20EFF">
        <w:rPr>
          <w:lang w:eastAsia="cs-CZ"/>
        </w:rPr>
        <w:t xml:space="preserve">jeho </w:t>
      </w:r>
      <w:r w:rsidR="0059174C" w:rsidRPr="00F62D3F" w:rsidDel="00E20EFF">
        <w:rPr>
          <w:lang w:eastAsia="cs-CZ"/>
        </w:rPr>
        <w:t xml:space="preserve">vyšší aktivitou při vymáhání, kdy CÚ pro JMK provedl u </w:t>
      </w:r>
      <w:r w:rsidR="00F62D3F" w:rsidRPr="00F62D3F" w:rsidDel="00E20EFF">
        <w:rPr>
          <w:lang w:eastAsia="cs-CZ"/>
        </w:rPr>
        <w:t>jedné pohledávky průměrně 20krát více součinnostních dotazů než OS PM.</w:t>
      </w:r>
    </w:p>
    <w:p w14:paraId="243A5BEB" w14:textId="12BFE33A" w:rsidR="003763E3" w:rsidRDefault="00FF14A2" w:rsidP="0072026C">
      <w:pPr>
        <w:pStyle w:val="Nadpis2"/>
        <w:keepLines w:val="0"/>
        <w:spacing w:before="240"/>
        <w:ind w:left="284" w:hanging="284"/>
        <w:jc w:val="left"/>
        <w:rPr>
          <w:rFonts w:eastAsia="Calibri"/>
        </w:rPr>
      </w:pPr>
      <w:r>
        <w:rPr>
          <w:rFonts w:eastAsia="Calibri"/>
        </w:rPr>
        <w:lastRenderedPageBreak/>
        <w:t>C</w:t>
      </w:r>
      <w:r w:rsidR="007504EB">
        <w:rPr>
          <w:rFonts w:eastAsia="Calibri"/>
        </w:rPr>
        <w:t>elní úřady</w:t>
      </w:r>
      <w:r w:rsidR="000C181F">
        <w:rPr>
          <w:rFonts w:eastAsia="Calibri"/>
        </w:rPr>
        <w:t xml:space="preserve"> vymáhal</w:t>
      </w:r>
      <w:r>
        <w:rPr>
          <w:rFonts w:eastAsia="Calibri"/>
        </w:rPr>
        <w:t>y</w:t>
      </w:r>
      <w:r w:rsidR="000C181F">
        <w:rPr>
          <w:rFonts w:eastAsia="Calibri"/>
        </w:rPr>
        <w:t xml:space="preserve"> justiční pohledávky efektivněji než soudy</w:t>
      </w:r>
    </w:p>
    <w:p w14:paraId="5A5B960A" w14:textId="7CDBF3B0" w:rsidR="0056444A" w:rsidRDefault="0056444A" w:rsidP="008602DC">
      <w:pPr>
        <w:spacing w:before="120" w:after="120" w:line="240" w:lineRule="auto"/>
        <w:rPr>
          <w:rFonts w:ascii="Calibri" w:hAnsi="Calibri" w:cs="Calibri"/>
        </w:rPr>
      </w:pPr>
      <w:r w:rsidRPr="00AB5FEF">
        <w:rPr>
          <w:rFonts w:ascii="Calibri" w:hAnsi="Calibri" w:cs="Calibri"/>
        </w:rPr>
        <w:t xml:space="preserve">Správcem kapitoly 336 – </w:t>
      </w:r>
      <w:r w:rsidRPr="0032254D">
        <w:rPr>
          <w:rFonts w:ascii="Calibri" w:hAnsi="Calibri" w:cs="Calibri"/>
          <w:i/>
          <w:iCs/>
        </w:rPr>
        <w:t>Ministerstvo spravedlnosti</w:t>
      </w:r>
      <w:r w:rsidRPr="00AB5FEF">
        <w:rPr>
          <w:rFonts w:ascii="Calibri" w:hAnsi="Calibri" w:cs="Calibri"/>
        </w:rPr>
        <w:t xml:space="preserve"> je MSp. NKÚ zjistil, že MSp efektivnost </w:t>
      </w:r>
      <w:r>
        <w:rPr>
          <w:rFonts w:ascii="Calibri" w:hAnsi="Calibri" w:cs="Calibri"/>
        </w:rPr>
        <w:t>p</w:t>
      </w:r>
      <w:r w:rsidRPr="00AB5FEF">
        <w:rPr>
          <w:rFonts w:ascii="Calibri" w:hAnsi="Calibri" w:cs="Calibri"/>
        </w:rPr>
        <w:t xml:space="preserve">eněžních prostředků vynaložených v souvislosti s vymáháním justičních pohledávek soudy </w:t>
      </w:r>
      <w:r>
        <w:rPr>
          <w:rFonts w:ascii="Calibri" w:hAnsi="Calibri" w:cs="Calibri"/>
        </w:rPr>
        <w:t>p</w:t>
      </w:r>
      <w:r w:rsidRPr="00AB5FEF">
        <w:rPr>
          <w:rFonts w:ascii="Calibri" w:hAnsi="Calibri" w:cs="Calibri"/>
        </w:rPr>
        <w:t>odle</w:t>
      </w:r>
      <w:r>
        <w:rPr>
          <w:rFonts w:ascii="Calibri" w:hAnsi="Calibri" w:cs="Calibri"/>
        </w:rPr>
        <w:t xml:space="preserve"> rozpočtových pravidel</w:t>
      </w:r>
      <w:r>
        <w:rPr>
          <w:rStyle w:val="Znakapoznpodarou"/>
          <w:rFonts w:ascii="Calibri" w:hAnsi="Calibri" w:cs="Calibri"/>
        </w:rPr>
        <w:footnoteReference w:id="37"/>
      </w:r>
      <w:r w:rsidRPr="00AB5FEF">
        <w:rPr>
          <w:rFonts w:ascii="Calibri" w:hAnsi="Calibri" w:cs="Calibri"/>
        </w:rPr>
        <w:t xml:space="preserve"> v kontrolovaném období nesledovalo a nevyhodnocovalo. Nezjistilo tak nedostatky, ke kterým by MSp nebo soudy mohly případně přijmout nápravná opatření.</w:t>
      </w:r>
      <w:r w:rsidR="002E2B8E">
        <w:rPr>
          <w:rFonts w:ascii="Calibri" w:hAnsi="Calibri" w:cs="Calibri"/>
        </w:rPr>
        <w:t xml:space="preserve"> </w:t>
      </w:r>
      <w:r w:rsidRPr="00497A3C">
        <w:rPr>
          <w:rFonts w:ascii="Calibri" w:hAnsi="Calibri" w:cs="Calibri"/>
        </w:rPr>
        <w:t>MSp v postavení ústředního orgánu státní správy v kontrolovaném období analyzovalo oblast vymáhání justičních pohledávek za roky 2021 až 2023 v sumarizačních zprávách o vymáhání pohledávek v resortu MSp. Za rok 2024 již tuto oblast ani předávání justiční</w:t>
      </w:r>
      <w:r w:rsidR="00F0002B">
        <w:rPr>
          <w:rFonts w:ascii="Calibri" w:hAnsi="Calibri" w:cs="Calibri"/>
        </w:rPr>
        <w:t>ch</w:t>
      </w:r>
      <w:r w:rsidRPr="00497A3C">
        <w:rPr>
          <w:rFonts w:ascii="Calibri" w:hAnsi="Calibri" w:cs="Calibri"/>
        </w:rPr>
        <w:t xml:space="preserve"> pohledávek k vymáhání na </w:t>
      </w:r>
      <w:r>
        <w:rPr>
          <w:rFonts w:ascii="Calibri" w:hAnsi="Calibri" w:cs="Calibri"/>
        </w:rPr>
        <w:t>CÚ</w:t>
      </w:r>
      <w:r w:rsidRPr="00497A3C">
        <w:rPr>
          <w:rFonts w:ascii="Calibri" w:hAnsi="Calibri" w:cs="Calibri"/>
        </w:rPr>
        <w:t xml:space="preserve"> neanalyzovalo, stejně jako oblast správy soudních poplatků za celé kontrolované období.</w:t>
      </w:r>
    </w:p>
    <w:p w14:paraId="0697F200" w14:textId="5B1A8BDD" w:rsidR="0056444A" w:rsidRDefault="0056444A" w:rsidP="008602DC">
      <w:pPr>
        <w:spacing w:before="120" w:after="120" w:line="240" w:lineRule="auto"/>
        <w:rPr>
          <w:rFonts w:ascii="Calibri" w:hAnsi="Calibri" w:cs="Calibri"/>
        </w:rPr>
      </w:pPr>
      <w:r w:rsidRPr="003D53C4">
        <w:rPr>
          <w:rFonts w:ascii="Calibri" w:hAnsi="Calibri" w:cs="Calibri"/>
        </w:rPr>
        <w:t xml:space="preserve">NKÚ zjistil, že </w:t>
      </w:r>
      <w:r>
        <w:rPr>
          <w:rFonts w:ascii="Calibri" w:hAnsi="Calibri" w:cs="Calibri"/>
        </w:rPr>
        <w:t>KS Ostrava</w:t>
      </w:r>
      <w:r w:rsidRPr="003D53C4">
        <w:rPr>
          <w:rFonts w:ascii="Calibri" w:hAnsi="Calibri" w:cs="Calibri"/>
        </w:rPr>
        <w:t xml:space="preserve"> v let</w:t>
      </w:r>
      <w:r w:rsidR="00073E9C">
        <w:rPr>
          <w:rFonts w:ascii="Calibri" w:hAnsi="Calibri" w:cs="Calibri"/>
        </w:rPr>
        <w:t>ech</w:t>
      </w:r>
      <w:r w:rsidRPr="003D53C4">
        <w:rPr>
          <w:rFonts w:ascii="Calibri" w:hAnsi="Calibri" w:cs="Calibri"/>
        </w:rPr>
        <w:t xml:space="preserve"> 2021 až </w:t>
      </w:r>
      <w:r w:rsidR="00073E9C" w:rsidRPr="003D53C4">
        <w:rPr>
          <w:rFonts w:ascii="Calibri" w:hAnsi="Calibri" w:cs="Calibri"/>
        </w:rPr>
        <w:t>202</w:t>
      </w:r>
      <w:r w:rsidR="00073E9C">
        <w:rPr>
          <w:rFonts w:ascii="Calibri" w:hAnsi="Calibri" w:cs="Calibri"/>
        </w:rPr>
        <w:t>3</w:t>
      </w:r>
      <w:r w:rsidR="00073E9C" w:rsidRPr="003D53C4">
        <w:rPr>
          <w:rFonts w:ascii="Calibri" w:hAnsi="Calibri" w:cs="Calibri"/>
        </w:rPr>
        <w:t xml:space="preserve"> </w:t>
      </w:r>
      <w:r w:rsidRPr="003D53C4">
        <w:rPr>
          <w:rFonts w:ascii="Calibri" w:hAnsi="Calibri" w:cs="Calibri"/>
        </w:rPr>
        <w:t>nepostupoval</w:t>
      </w:r>
      <w:r>
        <w:rPr>
          <w:rFonts w:ascii="Calibri" w:hAnsi="Calibri" w:cs="Calibri"/>
        </w:rPr>
        <w:t xml:space="preserve"> </w:t>
      </w:r>
      <w:r w:rsidRPr="003D53C4">
        <w:rPr>
          <w:rFonts w:ascii="Calibri" w:hAnsi="Calibri" w:cs="Calibri"/>
        </w:rPr>
        <w:t xml:space="preserve">podle </w:t>
      </w:r>
      <w:r>
        <w:rPr>
          <w:rFonts w:ascii="Calibri" w:hAnsi="Calibri" w:cs="Calibri"/>
        </w:rPr>
        <w:t>zákona o finanční kontrole</w:t>
      </w:r>
      <w:r>
        <w:rPr>
          <w:rStyle w:val="Znakapoznpodarou"/>
          <w:rFonts w:ascii="Calibri" w:hAnsi="Calibri" w:cs="Calibri"/>
        </w:rPr>
        <w:footnoteReference w:id="38"/>
      </w:r>
      <w:r>
        <w:rPr>
          <w:rFonts w:ascii="Calibri" w:hAnsi="Calibri" w:cs="Calibri"/>
        </w:rPr>
        <w:t xml:space="preserve"> </w:t>
      </w:r>
      <w:r w:rsidRPr="003D53C4">
        <w:rPr>
          <w:rFonts w:ascii="Calibri" w:hAnsi="Calibri" w:cs="Calibri"/>
        </w:rPr>
        <w:t>tím, že nestanovil kritéria hodnocení</w:t>
      </w:r>
      <w:r>
        <w:rPr>
          <w:rFonts w:ascii="Calibri" w:hAnsi="Calibri" w:cs="Calibri"/>
        </w:rPr>
        <w:t xml:space="preserve"> </w:t>
      </w:r>
      <w:r w:rsidRPr="003D53C4">
        <w:rPr>
          <w:rFonts w:ascii="Calibri" w:hAnsi="Calibri" w:cs="Calibri"/>
        </w:rPr>
        <w:t xml:space="preserve">efektivnosti vymáhání justičních pohledávek. </w:t>
      </w:r>
      <w:r>
        <w:rPr>
          <w:rFonts w:ascii="Calibri" w:hAnsi="Calibri" w:cs="Calibri"/>
        </w:rPr>
        <w:t>KS Ostrava</w:t>
      </w:r>
      <w:r w:rsidRPr="003D53C4">
        <w:rPr>
          <w:rFonts w:ascii="Calibri" w:hAnsi="Calibri" w:cs="Calibri"/>
        </w:rPr>
        <w:t xml:space="preserve"> v rámci vnitřního kontrolního</w:t>
      </w:r>
      <w:r>
        <w:rPr>
          <w:rFonts w:ascii="Calibri" w:hAnsi="Calibri" w:cs="Calibri"/>
        </w:rPr>
        <w:t xml:space="preserve"> </w:t>
      </w:r>
      <w:r w:rsidRPr="003D53C4">
        <w:rPr>
          <w:rFonts w:ascii="Calibri" w:hAnsi="Calibri" w:cs="Calibri"/>
        </w:rPr>
        <w:t>systému neprověřoval efektivnost vymáhání justičních pohledávek.</w:t>
      </w:r>
    </w:p>
    <w:p w14:paraId="608D7D99" w14:textId="47914DE6" w:rsidR="00804F6C" w:rsidRDefault="00804F6C" w:rsidP="008602DC">
      <w:pPr>
        <w:spacing w:before="120" w:after="120" w:line="240" w:lineRule="auto"/>
        <w:rPr>
          <w:rFonts w:ascii="Calibri" w:hAnsi="Calibri" w:cs="Calibri"/>
        </w:rPr>
      </w:pPr>
      <w:r w:rsidRPr="001A2147">
        <w:rPr>
          <w:rFonts w:ascii="Calibri" w:hAnsi="Calibri" w:cs="Calibri"/>
        </w:rPr>
        <w:t>GŘC hodnotilo úspěšnost a efektivnost vymáhání justičních pohledávek dle potřeb řízení v této oblasti. Daňové justiční pohledávky sled</w:t>
      </w:r>
      <w:r w:rsidR="00EE6CA4">
        <w:rPr>
          <w:rFonts w:ascii="Calibri" w:hAnsi="Calibri" w:cs="Calibri"/>
        </w:rPr>
        <w:t>ovalo</w:t>
      </w:r>
      <w:r w:rsidRPr="001A2147">
        <w:rPr>
          <w:rFonts w:ascii="Calibri" w:hAnsi="Calibri" w:cs="Calibri"/>
        </w:rPr>
        <w:t xml:space="preserve"> GŘC kvartálně od druhého čtvrtletí 2024 a</w:t>
      </w:r>
      <w:r w:rsidR="0088324E">
        <w:rPr>
          <w:rFonts w:ascii="Calibri" w:hAnsi="Calibri" w:cs="Calibri"/>
        </w:rPr>
        <w:t> </w:t>
      </w:r>
      <w:r w:rsidRPr="001A2147">
        <w:rPr>
          <w:rFonts w:ascii="Calibri" w:hAnsi="Calibri" w:cs="Calibri"/>
        </w:rPr>
        <w:t>samostatně sled</w:t>
      </w:r>
      <w:r w:rsidR="00EE6CA4">
        <w:rPr>
          <w:rFonts w:ascii="Calibri" w:hAnsi="Calibri" w:cs="Calibri"/>
        </w:rPr>
        <w:t>ovalo</w:t>
      </w:r>
      <w:r w:rsidRPr="001A2147">
        <w:rPr>
          <w:rFonts w:ascii="Calibri" w:hAnsi="Calibri" w:cs="Calibri"/>
        </w:rPr>
        <w:t xml:space="preserve"> pohledávky splatné v roce 2024.</w:t>
      </w:r>
    </w:p>
    <w:p w14:paraId="40B45CD2" w14:textId="12317C91" w:rsidR="001A6E56" w:rsidRDefault="007D06D3" w:rsidP="008602DC">
      <w:pPr>
        <w:spacing w:before="120" w:line="240" w:lineRule="auto"/>
        <w:rPr>
          <w:rFonts w:ascii="Calibri" w:hAnsi="Calibri" w:cs="Calibri"/>
        </w:rPr>
      </w:pPr>
      <w:r>
        <w:rPr>
          <w:rFonts w:ascii="Calibri" w:hAnsi="Calibri" w:cs="Calibri"/>
        </w:rPr>
        <w:t>Do 31. 12. 2023 vymáhaly justiční pohledávky místně a věcně příslušné soudy.</w:t>
      </w:r>
      <w:r w:rsidR="00E55FBD">
        <w:rPr>
          <w:rFonts w:ascii="Calibri" w:hAnsi="Calibri" w:cs="Calibri"/>
        </w:rPr>
        <w:t xml:space="preserve"> MSp umožnilo soudům </w:t>
      </w:r>
      <w:r w:rsidR="004C1123">
        <w:rPr>
          <w:rFonts w:ascii="Calibri" w:hAnsi="Calibri" w:cs="Calibri"/>
        </w:rPr>
        <w:t>zvolit si</w:t>
      </w:r>
      <w:r w:rsidR="003E3F73">
        <w:rPr>
          <w:rFonts w:ascii="Calibri" w:hAnsi="Calibri" w:cs="Calibri"/>
        </w:rPr>
        <w:t xml:space="preserve"> variantu</w:t>
      </w:r>
      <w:r w:rsidR="00033889">
        <w:rPr>
          <w:rFonts w:ascii="Calibri" w:hAnsi="Calibri" w:cs="Calibri"/>
        </w:rPr>
        <w:t xml:space="preserve"> </w:t>
      </w:r>
      <w:r w:rsidR="00E55FBD">
        <w:rPr>
          <w:rFonts w:ascii="Calibri" w:hAnsi="Calibri" w:cs="Calibri"/>
        </w:rPr>
        <w:t>mezi vymáháním vlastními zaměstnanci nebo prostřednictvím soudního exekutora. NKÚ zjistil, že smlouvu o prov</w:t>
      </w:r>
      <w:r w:rsidR="00874F74">
        <w:rPr>
          <w:rFonts w:ascii="Calibri" w:hAnsi="Calibri" w:cs="Calibri"/>
        </w:rPr>
        <w:t>ádění</w:t>
      </w:r>
      <w:r w:rsidR="00E55FBD">
        <w:rPr>
          <w:rFonts w:ascii="Calibri" w:hAnsi="Calibri" w:cs="Calibri"/>
        </w:rPr>
        <w:t xml:space="preserve"> exekuc</w:t>
      </w:r>
      <w:r w:rsidR="00874F74">
        <w:rPr>
          <w:rFonts w:ascii="Calibri" w:hAnsi="Calibri" w:cs="Calibri"/>
        </w:rPr>
        <w:t>í</w:t>
      </w:r>
      <w:r w:rsidR="00E55FBD">
        <w:rPr>
          <w:rFonts w:ascii="Calibri" w:hAnsi="Calibri" w:cs="Calibri"/>
        </w:rPr>
        <w:t xml:space="preserve"> soudním exekutorem mělo ke dni 31. 12. 2023 uzavřeno 59 % z</w:t>
      </w:r>
      <w:r w:rsidR="003B2461">
        <w:rPr>
          <w:rFonts w:ascii="Calibri" w:hAnsi="Calibri" w:cs="Calibri"/>
        </w:rPr>
        <w:t> celkového počtu</w:t>
      </w:r>
      <w:r w:rsidR="00CF1D71">
        <w:rPr>
          <w:rFonts w:ascii="Calibri" w:hAnsi="Calibri" w:cs="Calibri"/>
        </w:rPr>
        <w:t xml:space="preserve"> </w:t>
      </w:r>
      <w:r w:rsidR="00E55FBD">
        <w:rPr>
          <w:rFonts w:ascii="Calibri" w:hAnsi="Calibri" w:cs="Calibri"/>
        </w:rPr>
        <w:t>98 soudů.</w:t>
      </w:r>
      <w:r w:rsidR="003910A7">
        <w:rPr>
          <w:rFonts w:ascii="Calibri" w:hAnsi="Calibri" w:cs="Calibri"/>
        </w:rPr>
        <w:t xml:space="preserve"> </w:t>
      </w:r>
      <w:r w:rsidR="001A6E56">
        <w:rPr>
          <w:rFonts w:ascii="Calibri" w:hAnsi="Calibri" w:cs="Calibri"/>
        </w:rPr>
        <w:t>Soudy prováděly evidenci justičních pohledávek v informačním systému IRES</w:t>
      </w:r>
      <w:r w:rsidR="009E4656" w:rsidRPr="00874555">
        <w:rPr>
          <w:rStyle w:val="Znakapoznpodarou"/>
          <w:rFonts w:eastAsia="Calibri"/>
          <w:sz w:val="20"/>
          <w:szCs w:val="20"/>
        </w:rPr>
        <w:footnoteReference w:id="39"/>
      </w:r>
      <w:r w:rsidR="001A6E56">
        <w:rPr>
          <w:rFonts w:ascii="Calibri" w:hAnsi="Calibri" w:cs="Calibri"/>
        </w:rPr>
        <w:t>. Současně s tím vedly spisy i</w:t>
      </w:r>
      <w:r w:rsidR="002D0ADD">
        <w:rPr>
          <w:rFonts w:ascii="Calibri" w:hAnsi="Calibri" w:cs="Calibri"/>
        </w:rPr>
        <w:t> </w:t>
      </w:r>
      <w:r w:rsidR="001A6E56">
        <w:rPr>
          <w:rFonts w:ascii="Calibri" w:hAnsi="Calibri" w:cs="Calibri"/>
        </w:rPr>
        <w:t>v listinné podobě, protože</w:t>
      </w:r>
      <w:r w:rsidR="00E12ACD">
        <w:rPr>
          <w:rFonts w:ascii="Calibri" w:hAnsi="Calibri" w:cs="Calibri"/>
        </w:rPr>
        <w:t xml:space="preserve"> dle </w:t>
      </w:r>
      <w:r w:rsidR="00CF1D71">
        <w:rPr>
          <w:rFonts w:ascii="Calibri" w:hAnsi="Calibri" w:cs="Calibri"/>
        </w:rPr>
        <w:t>i</w:t>
      </w:r>
      <w:r w:rsidR="00E12ACD">
        <w:rPr>
          <w:rFonts w:ascii="Calibri" w:hAnsi="Calibri" w:cs="Calibri"/>
        </w:rPr>
        <w:t xml:space="preserve">nstrukce </w:t>
      </w:r>
      <w:proofErr w:type="spellStart"/>
      <w:r w:rsidR="00E12ACD">
        <w:rPr>
          <w:rFonts w:ascii="Calibri" w:hAnsi="Calibri" w:cs="Calibri"/>
        </w:rPr>
        <w:t>MSp</w:t>
      </w:r>
      <w:proofErr w:type="spellEnd"/>
      <w:r w:rsidR="00E12ACD">
        <w:rPr>
          <w:rStyle w:val="Znakapoznpodarou"/>
          <w:rFonts w:ascii="Calibri" w:hAnsi="Calibri" w:cs="Calibri"/>
        </w:rPr>
        <w:footnoteReference w:id="40"/>
      </w:r>
      <w:r w:rsidR="001A6E56">
        <w:rPr>
          <w:rFonts w:ascii="Calibri" w:hAnsi="Calibri" w:cs="Calibri"/>
        </w:rPr>
        <w:t xml:space="preserve"> nelze vést spis s pohledávkou pouze elektronicky.</w:t>
      </w:r>
    </w:p>
    <w:p w14:paraId="7159BD31" w14:textId="77777777" w:rsidR="0095165F" w:rsidRPr="0028512D" w:rsidRDefault="0095165F" w:rsidP="0088324E">
      <w:pPr>
        <w:keepNext/>
        <w:spacing w:before="120" w:after="40" w:line="240" w:lineRule="auto"/>
        <w:ind w:left="1276" w:hanging="1276"/>
        <w:rPr>
          <w:rFonts w:ascii="Calibri" w:hAnsi="Calibri" w:cs="Calibri"/>
          <w:b/>
          <w:bCs/>
        </w:rPr>
      </w:pPr>
      <w:r w:rsidRPr="00FF056A">
        <w:rPr>
          <w:rFonts w:ascii="Calibri" w:hAnsi="Calibri" w:cs="Calibri"/>
          <w:b/>
          <w:bCs/>
        </w:rPr>
        <w:t>Tabulka č. 7: Počet vymáhaných a vymožených justičních pohledávek soudy v letech 2021 až</w:t>
      </w:r>
      <w:r>
        <w:rPr>
          <w:rFonts w:ascii="Calibri" w:hAnsi="Calibri" w:cs="Calibri"/>
          <w:b/>
          <w:bCs/>
        </w:rPr>
        <w:t xml:space="preserve"> 2023</w:t>
      </w:r>
    </w:p>
    <w:tbl>
      <w:tblPr>
        <w:tblStyle w:val="Mkatabulky"/>
        <w:tblW w:w="9067" w:type="dxa"/>
        <w:tblLayout w:type="fixed"/>
        <w:tblLook w:val="04A0" w:firstRow="1" w:lastRow="0" w:firstColumn="1" w:lastColumn="0" w:noHBand="0" w:noVBand="1"/>
      </w:tblPr>
      <w:tblGrid>
        <w:gridCol w:w="2830"/>
        <w:gridCol w:w="1039"/>
        <w:gridCol w:w="1040"/>
        <w:gridCol w:w="1039"/>
        <w:gridCol w:w="1040"/>
        <w:gridCol w:w="1039"/>
        <w:gridCol w:w="1040"/>
      </w:tblGrid>
      <w:tr w:rsidR="0095165F" w:rsidRPr="00D07A01" w14:paraId="26ED6152" w14:textId="77777777" w:rsidTr="00BE71FC">
        <w:trPr>
          <w:cantSplit/>
          <w:trHeight w:val="283"/>
        </w:trPr>
        <w:tc>
          <w:tcPr>
            <w:tcW w:w="2830" w:type="dxa"/>
            <w:vMerge w:val="restart"/>
            <w:shd w:val="clear" w:color="auto" w:fill="E6E6E6"/>
          </w:tcPr>
          <w:p w14:paraId="1ABBF65E" w14:textId="77777777" w:rsidR="0095165F" w:rsidRPr="00D07A01" w:rsidRDefault="0095165F" w:rsidP="0028539B">
            <w:pPr>
              <w:rPr>
                <w:rFonts w:cstheme="minorHAnsi"/>
                <w:b/>
                <w:bCs/>
                <w:sz w:val="20"/>
                <w:szCs w:val="20"/>
              </w:rPr>
            </w:pPr>
          </w:p>
        </w:tc>
        <w:tc>
          <w:tcPr>
            <w:tcW w:w="2079" w:type="dxa"/>
            <w:gridSpan w:val="2"/>
            <w:shd w:val="clear" w:color="auto" w:fill="E6E6E6"/>
            <w:vAlign w:val="center"/>
          </w:tcPr>
          <w:p w14:paraId="37E7277A" w14:textId="77777777" w:rsidR="0095165F" w:rsidRPr="00D07A01" w:rsidRDefault="0095165F" w:rsidP="007B4349">
            <w:pPr>
              <w:jc w:val="center"/>
              <w:rPr>
                <w:rFonts w:cstheme="minorHAnsi"/>
                <w:b/>
                <w:bCs/>
                <w:sz w:val="20"/>
                <w:szCs w:val="20"/>
              </w:rPr>
            </w:pPr>
            <w:r w:rsidRPr="00D07A01">
              <w:rPr>
                <w:rFonts w:cstheme="minorHAnsi"/>
                <w:b/>
                <w:bCs/>
                <w:sz w:val="20"/>
                <w:szCs w:val="20"/>
              </w:rPr>
              <w:t>2021</w:t>
            </w:r>
          </w:p>
        </w:tc>
        <w:tc>
          <w:tcPr>
            <w:tcW w:w="2079" w:type="dxa"/>
            <w:gridSpan w:val="2"/>
            <w:shd w:val="clear" w:color="auto" w:fill="E6E6E6"/>
            <w:vAlign w:val="center"/>
          </w:tcPr>
          <w:p w14:paraId="39E2370E" w14:textId="77777777" w:rsidR="0095165F" w:rsidRPr="00D07A01" w:rsidRDefault="0095165F" w:rsidP="007B4349">
            <w:pPr>
              <w:jc w:val="center"/>
              <w:rPr>
                <w:rFonts w:cstheme="minorHAnsi"/>
                <w:b/>
                <w:bCs/>
                <w:sz w:val="20"/>
                <w:szCs w:val="20"/>
              </w:rPr>
            </w:pPr>
            <w:r w:rsidRPr="00D07A01">
              <w:rPr>
                <w:rFonts w:cstheme="minorHAnsi"/>
                <w:b/>
                <w:bCs/>
                <w:sz w:val="20"/>
                <w:szCs w:val="20"/>
              </w:rPr>
              <w:t>2022</w:t>
            </w:r>
          </w:p>
        </w:tc>
        <w:tc>
          <w:tcPr>
            <w:tcW w:w="2079" w:type="dxa"/>
            <w:gridSpan w:val="2"/>
            <w:shd w:val="clear" w:color="auto" w:fill="E6E6E6"/>
            <w:vAlign w:val="center"/>
          </w:tcPr>
          <w:p w14:paraId="3666F5B8" w14:textId="77777777" w:rsidR="0095165F" w:rsidRPr="00D07A01" w:rsidRDefault="0095165F" w:rsidP="007B4349">
            <w:pPr>
              <w:jc w:val="center"/>
              <w:rPr>
                <w:rFonts w:cstheme="minorHAnsi"/>
                <w:b/>
                <w:bCs/>
                <w:sz w:val="20"/>
                <w:szCs w:val="20"/>
              </w:rPr>
            </w:pPr>
            <w:r w:rsidRPr="00D07A01">
              <w:rPr>
                <w:rFonts w:cstheme="minorHAnsi"/>
                <w:b/>
                <w:bCs/>
                <w:sz w:val="20"/>
                <w:szCs w:val="20"/>
              </w:rPr>
              <w:t>2023</w:t>
            </w:r>
          </w:p>
        </w:tc>
      </w:tr>
      <w:tr w:rsidR="0095165F" w:rsidRPr="00D07A01" w14:paraId="5CDF4AEA" w14:textId="77777777" w:rsidTr="00BE71FC">
        <w:trPr>
          <w:cantSplit/>
          <w:trHeight w:val="283"/>
        </w:trPr>
        <w:tc>
          <w:tcPr>
            <w:tcW w:w="2830" w:type="dxa"/>
            <w:vMerge/>
            <w:shd w:val="clear" w:color="auto" w:fill="E6E6E6"/>
          </w:tcPr>
          <w:p w14:paraId="7BBB5995" w14:textId="77777777" w:rsidR="0095165F" w:rsidRPr="00D07A01" w:rsidRDefault="0095165F" w:rsidP="0028539B">
            <w:pPr>
              <w:rPr>
                <w:rFonts w:cstheme="minorHAnsi"/>
                <w:sz w:val="20"/>
                <w:szCs w:val="20"/>
              </w:rPr>
            </w:pPr>
          </w:p>
        </w:tc>
        <w:tc>
          <w:tcPr>
            <w:tcW w:w="1039" w:type="dxa"/>
            <w:shd w:val="clear" w:color="auto" w:fill="E6E6E6"/>
            <w:vAlign w:val="center"/>
          </w:tcPr>
          <w:p w14:paraId="5D689E51" w14:textId="77777777" w:rsidR="0095165F" w:rsidRPr="0032254D" w:rsidRDefault="0095165F" w:rsidP="007B4349">
            <w:pPr>
              <w:jc w:val="center"/>
              <w:rPr>
                <w:rFonts w:cstheme="minorHAnsi"/>
                <w:b/>
                <w:bCs/>
                <w:sz w:val="16"/>
                <w:szCs w:val="16"/>
              </w:rPr>
            </w:pPr>
            <w:r w:rsidRPr="0032254D">
              <w:rPr>
                <w:rFonts w:cstheme="minorHAnsi"/>
                <w:b/>
                <w:bCs/>
                <w:sz w:val="16"/>
                <w:szCs w:val="16"/>
              </w:rPr>
              <w:t>Vymáhané</w:t>
            </w:r>
          </w:p>
        </w:tc>
        <w:tc>
          <w:tcPr>
            <w:tcW w:w="1040" w:type="dxa"/>
            <w:shd w:val="clear" w:color="auto" w:fill="E6E6E6"/>
            <w:vAlign w:val="center"/>
          </w:tcPr>
          <w:p w14:paraId="118E6691" w14:textId="77777777" w:rsidR="0095165F" w:rsidRPr="0032254D" w:rsidRDefault="0095165F" w:rsidP="007B4349">
            <w:pPr>
              <w:jc w:val="center"/>
              <w:rPr>
                <w:rFonts w:cstheme="minorHAnsi"/>
                <w:b/>
                <w:bCs/>
                <w:sz w:val="16"/>
                <w:szCs w:val="16"/>
              </w:rPr>
            </w:pPr>
            <w:r w:rsidRPr="0032254D">
              <w:rPr>
                <w:rFonts w:cstheme="minorHAnsi"/>
                <w:b/>
                <w:bCs/>
                <w:sz w:val="16"/>
                <w:szCs w:val="16"/>
              </w:rPr>
              <w:t>Vymožené</w:t>
            </w:r>
          </w:p>
        </w:tc>
        <w:tc>
          <w:tcPr>
            <w:tcW w:w="1039" w:type="dxa"/>
            <w:shd w:val="clear" w:color="auto" w:fill="E6E6E6"/>
            <w:vAlign w:val="center"/>
          </w:tcPr>
          <w:p w14:paraId="1F0173B0" w14:textId="77777777" w:rsidR="0095165F" w:rsidRPr="0032254D" w:rsidRDefault="0095165F" w:rsidP="007B4349">
            <w:pPr>
              <w:jc w:val="center"/>
              <w:rPr>
                <w:rFonts w:cstheme="minorHAnsi"/>
                <w:b/>
                <w:bCs/>
                <w:sz w:val="16"/>
                <w:szCs w:val="16"/>
              </w:rPr>
            </w:pPr>
            <w:r w:rsidRPr="0032254D">
              <w:rPr>
                <w:rFonts w:cstheme="minorHAnsi"/>
                <w:b/>
                <w:bCs/>
                <w:sz w:val="16"/>
                <w:szCs w:val="16"/>
              </w:rPr>
              <w:t>Vymáhané</w:t>
            </w:r>
          </w:p>
        </w:tc>
        <w:tc>
          <w:tcPr>
            <w:tcW w:w="1040" w:type="dxa"/>
            <w:shd w:val="clear" w:color="auto" w:fill="E6E6E6"/>
            <w:vAlign w:val="center"/>
          </w:tcPr>
          <w:p w14:paraId="15BFE475" w14:textId="77777777" w:rsidR="0095165F" w:rsidRPr="0032254D" w:rsidRDefault="0095165F" w:rsidP="007B4349">
            <w:pPr>
              <w:jc w:val="center"/>
              <w:rPr>
                <w:rFonts w:cstheme="minorHAnsi"/>
                <w:b/>
                <w:bCs/>
                <w:sz w:val="16"/>
                <w:szCs w:val="16"/>
              </w:rPr>
            </w:pPr>
            <w:r w:rsidRPr="0032254D">
              <w:rPr>
                <w:rFonts w:cstheme="minorHAnsi"/>
                <w:b/>
                <w:bCs/>
                <w:sz w:val="16"/>
                <w:szCs w:val="16"/>
              </w:rPr>
              <w:t>Vymožené</w:t>
            </w:r>
          </w:p>
        </w:tc>
        <w:tc>
          <w:tcPr>
            <w:tcW w:w="1039" w:type="dxa"/>
            <w:shd w:val="clear" w:color="auto" w:fill="E6E6E6"/>
            <w:vAlign w:val="center"/>
          </w:tcPr>
          <w:p w14:paraId="7DAC14D9" w14:textId="77777777" w:rsidR="0095165F" w:rsidRPr="0032254D" w:rsidRDefault="0095165F" w:rsidP="007B4349">
            <w:pPr>
              <w:jc w:val="center"/>
              <w:rPr>
                <w:rFonts w:cstheme="minorHAnsi"/>
                <w:b/>
                <w:bCs/>
                <w:sz w:val="16"/>
                <w:szCs w:val="16"/>
              </w:rPr>
            </w:pPr>
            <w:r w:rsidRPr="0032254D">
              <w:rPr>
                <w:rFonts w:cstheme="minorHAnsi"/>
                <w:b/>
                <w:bCs/>
                <w:sz w:val="16"/>
                <w:szCs w:val="16"/>
              </w:rPr>
              <w:t>Vymáhané</w:t>
            </w:r>
          </w:p>
        </w:tc>
        <w:tc>
          <w:tcPr>
            <w:tcW w:w="1040" w:type="dxa"/>
            <w:shd w:val="clear" w:color="auto" w:fill="E6E6E6"/>
            <w:vAlign w:val="center"/>
          </w:tcPr>
          <w:p w14:paraId="4DA8B973" w14:textId="77777777" w:rsidR="0095165F" w:rsidRPr="0032254D" w:rsidRDefault="0095165F" w:rsidP="007B4349">
            <w:pPr>
              <w:jc w:val="center"/>
              <w:rPr>
                <w:rFonts w:cstheme="minorHAnsi"/>
                <w:b/>
                <w:bCs/>
                <w:sz w:val="16"/>
                <w:szCs w:val="16"/>
              </w:rPr>
            </w:pPr>
            <w:r w:rsidRPr="0032254D">
              <w:rPr>
                <w:rFonts w:cstheme="minorHAnsi"/>
                <w:b/>
                <w:bCs/>
                <w:sz w:val="16"/>
                <w:szCs w:val="16"/>
              </w:rPr>
              <w:t>Vymožené</w:t>
            </w:r>
          </w:p>
        </w:tc>
      </w:tr>
      <w:tr w:rsidR="0095165F" w:rsidRPr="00D07A01" w14:paraId="7A35DBE3" w14:textId="77777777" w:rsidTr="00BE71FC">
        <w:trPr>
          <w:cantSplit/>
          <w:trHeight w:val="283"/>
        </w:trPr>
        <w:tc>
          <w:tcPr>
            <w:tcW w:w="2830" w:type="dxa"/>
            <w:vAlign w:val="center"/>
          </w:tcPr>
          <w:p w14:paraId="7D49E08D" w14:textId="77777777" w:rsidR="0095165F" w:rsidRPr="00D07A01" w:rsidRDefault="0095165F" w:rsidP="007B4349">
            <w:pPr>
              <w:jc w:val="left"/>
              <w:rPr>
                <w:rFonts w:cstheme="minorHAnsi"/>
                <w:sz w:val="20"/>
                <w:szCs w:val="20"/>
              </w:rPr>
            </w:pPr>
            <w:r>
              <w:rPr>
                <w:rFonts w:cstheme="minorHAnsi"/>
                <w:sz w:val="20"/>
                <w:szCs w:val="20"/>
              </w:rPr>
              <w:t>Soudy – smlouva s exekutorem</w:t>
            </w:r>
          </w:p>
        </w:tc>
        <w:tc>
          <w:tcPr>
            <w:tcW w:w="1039" w:type="dxa"/>
            <w:vAlign w:val="center"/>
          </w:tcPr>
          <w:p w14:paraId="1638707E" w14:textId="77777777" w:rsidR="0095165F" w:rsidRPr="00D07A01" w:rsidRDefault="0095165F" w:rsidP="007B4349">
            <w:pPr>
              <w:jc w:val="right"/>
              <w:rPr>
                <w:rFonts w:cstheme="minorHAnsi"/>
                <w:sz w:val="20"/>
                <w:szCs w:val="20"/>
              </w:rPr>
            </w:pPr>
            <w:r>
              <w:rPr>
                <w:rFonts w:cstheme="minorHAnsi"/>
                <w:sz w:val="20"/>
                <w:szCs w:val="20"/>
              </w:rPr>
              <w:t>640 717</w:t>
            </w:r>
          </w:p>
        </w:tc>
        <w:tc>
          <w:tcPr>
            <w:tcW w:w="1040" w:type="dxa"/>
            <w:vAlign w:val="center"/>
          </w:tcPr>
          <w:p w14:paraId="0E406193" w14:textId="77777777" w:rsidR="0095165F" w:rsidRPr="00D07A01" w:rsidRDefault="0095165F" w:rsidP="007B4349">
            <w:pPr>
              <w:jc w:val="right"/>
              <w:rPr>
                <w:rFonts w:cstheme="minorHAnsi"/>
                <w:sz w:val="20"/>
                <w:szCs w:val="20"/>
              </w:rPr>
            </w:pPr>
            <w:r>
              <w:rPr>
                <w:rFonts w:cstheme="minorHAnsi"/>
                <w:sz w:val="20"/>
                <w:szCs w:val="20"/>
              </w:rPr>
              <w:t>56 454</w:t>
            </w:r>
          </w:p>
        </w:tc>
        <w:tc>
          <w:tcPr>
            <w:tcW w:w="1039" w:type="dxa"/>
            <w:vAlign w:val="center"/>
          </w:tcPr>
          <w:p w14:paraId="56EC0909" w14:textId="77777777" w:rsidR="0095165F" w:rsidRPr="00D07A01" w:rsidRDefault="0095165F" w:rsidP="007B4349">
            <w:pPr>
              <w:jc w:val="right"/>
              <w:rPr>
                <w:rFonts w:cstheme="minorHAnsi"/>
                <w:sz w:val="20"/>
                <w:szCs w:val="20"/>
              </w:rPr>
            </w:pPr>
            <w:r>
              <w:rPr>
                <w:rFonts w:cstheme="minorHAnsi"/>
                <w:sz w:val="20"/>
                <w:szCs w:val="20"/>
              </w:rPr>
              <w:t>640 662</w:t>
            </w:r>
          </w:p>
        </w:tc>
        <w:tc>
          <w:tcPr>
            <w:tcW w:w="1040" w:type="dxa"/>
            <w:vAlign w:val="center"/>
          </w:tcPr>
          <w:p w14:paraId="382386CC" w14:textId="77777777" w:rsidR="0095165F" w:rsidRPr="00D07A01" w:rsidRDefault="0095165F" w:rsidP="007B4349">
            <w:pPr>
              <w:jc w:val="right"/>
              <w:rPr>
                <w:rFonts w:cstheme="minorHAnsi"/>
                <w:sz w:val="20"/>
                <w:szCs w:val="20"/>
              </w:rPr>
            </w:pPr>
            <w:r>
              <w:rPr>
                <w:rFonts w:cstheme="minorHAnsi"/>
                <w:sz w:val="20"/>
                <w:szCs w:val="20"/>
              </w:rPr>
              <w:t>57 343</w:t>
            </w:r>
          </w:p>
        </w:tc>
        <w:tc>
          <w:tcPr>
            <w:tcW w:w="1039" w:type="dxa"/>
            <w:vAlign w:val="center"/>
          </w:tcPr>
          <w:p w14:paraId="45F7027F" w14:textId="77777777" w:rsidR="0095165F" w:rsidRPr="00D07A01" w:rsidRDefault="0095165F" w:rsidP="007B4349">
            <w:pPr>
              <w:jc w:val="right"/>
              <w:rPr>
                <w:rFonts w:cstheme="minorHAnsi"/>
                <w:sz w:val="20"/>
                <w:szCs w:val="20"/>
              </w:rPr>
            </w:pPr>
            <w:r>
              <w:rPr>
                <w:rFonts w:cstheme="minorHAnsi"/>
                <w:sz w:val="20"/>
                <w:szCs w:val="20"/>
              </w:rPr>
              <w:t>643 149</w:t>
            </w:r>
          </w:p>
        </w:tc>
        <w:tc>
          <w:tcPr>
            <w:tcW w:w="1040" w:type="dxa"/>
            <w:vAlign w:val="center"/>
          </w:tcPr>
          <w:p w14:paraId="3027996E" w14:textId="77777777" w:rsidR="0095165F" w:rsidRPr="00D07A01" w:rsidRDefault="0095165F" w:rsidP="007B4349">
            <w:pPr>
              <w:jc w:val="right"/>
              <w:rPr>
                <w:rFonts w:cstheme="minorHAnsi"/>
                <w:sz w:val="20"/>
                <w:szCs w:val="20"/>
              </w:rPr>
            </w:pPr>
            <w:r>
              <w:rPr>
                <w:rFonts w:cstheme="minorHAnsi"/>
                <w:sz w:val="20"/>
                <w:szCs w:val="20"/>
              </w:rPr>
              <w:t>49 637</w:t>
            </w:r>
          </w:p>
        </w:tc>
      </w:tr>
      <w:tr w:rsidR="0095165F" w:rsidRPr="00D07A01" w14:paraId="1632690D" w14:textId="77777777" w:rsidTr="00BE71FC">
        <w:trPr>
          <w:cantSplit/>
          <w:trHeight w:val="283"/>
        </w:trPr>
        <w:tc>
          <w:tcPr>
            <w:tcW w:w="2830" w:type="dxa"/>
            <w:vAlign w:val="center"/>
          </w:tcPr>
          <w:p w14:paraId="7F4185E0" w14:textId="77777777" w:rsidR="0095165F" w:rsidRPr="00D07A01" w:rsidRDefault="0095165F" w:rsidP="007B4349">
            <w:pPr>
              <w:jc w:val="left"/>
              <w:rPr>
                <w:rFonts w:cstheme="minorHAnsi"/>
                <w:sz w:val="20"/>
                <w:szCs w:val="20"/>
              </w:rPr>
            </w:pPr>
            <w:r>
              <w:rPr>
                <w:rFonts w:cstheme="minorHAnsi"/>
                <w:sz w:val="20"/>
                <w:szCs w:val="20"/>
              </w:rPr>
              <w:t>Soudy – vlastní zaměstnanci</w:t>
            </w:r>
          </w:p>
        </w:tc>
        <w:tc>
          <w:tcPr>
            <w:tcW w:w="1039" w:type="dxa"/>
            <w:vAlign w:val="center"/>
          </w:tcPr>
          <w:p w14:paraId="0FB9F0AB" w14:textId="77777777" w:rsidR="0095165F" w:rsidRPr="00D07A01" w:rsidRDefault="0095165F" w:rsidP="007B4349">
            <w:pPr>
              <w:jc w:val="right"/>
              <w:rPr>
                <w:rFonts w:cstheme="minorHAnsi"/>
                <w:sz w:val="20"/>
                <w:szCs w:val="20"/>
              </w:rPr>
            </w:pPr>
            <w:r>
              <w:rPr>
                <w:rFonts w:cstheme="minorHAnsi"/>
                <w:sz w:val="20"/>
                <w:szCs w:val="20"/>
              </w:rPr>
              <w:t>445 264</w:t>
            </w:r>
          </w:p>
        </w:tc>
        <w:tc>
          <w:tcPr>
            <w:tcW w:w="1040" w:type="dxa"/>
            <w:vAlign w:val="center"/>
          </w:tcPr>
          <w:p w14:paraId="6B528132" w14:textId="77777777" w:rsidR="0095165F" w:rsidRPr="00D07A01" w:rsidRDefault="0095165F" w:rsidP="007B4349">
            <w:pPr>
              <w:jc w:val="right"/>
              <w:rPr>
                <w:rFonts w:cstheme="minorHAnsi"/>
                <w:sz w:val="20"/>
                <w:szCs w:val="20"/>
              </w:rPr>
            </w:pPr>
            <w:r>
              <w:rPr>
                <w:rFonts w:cstheme="minorHAnsi"/>
                <w:sz w:val="20"/>
                <w:szCs w:val="20"/>
              </w:rPr>
              <w:t>35 606</w:t>
            </w:r>
          </w:p>
        </w:tc>
        <w:tc>
          <w:tcPr>
            <w:tcW w:w="1039" w:type="dxa"/>
            <w:vAlign w:val="center"/>
          </w:tcPr>
          <w:p w14:paraId="57335A64" w14:textId="77777777" w:rsidR="0095165F" w:rsidRPr="00D07A01" w:rsidRDefault="0095165F" w:rsidP="007B4349">
            <w:pPr>
              <w:jc w:val="right"/>
              <w:rPr>
                <w:rFonts w:cstheme="minorHAnsi"/>
                <w:sz w:val="20"/>
                <w:szCs w:val="20"/>
              </w:rPr>
            </w:pPr>
            <w:r>
              <w:rPr>
                <w:rFonts w:cstheme="minorHAnsi"/>
                <w:sz w:val="20"/>
                <w:szCs w:val="20"/>
              </w:rPr>
              <w:t>438 085</w:t>
            </w:r>
          </w:p>
        </w:tc>
        <w:tc>
          <w:tcPr>
            <w:tcW w:w="1040" w:type="dxa"/>
            <w:vAlign w:val="center"/>
          </w:tcPr>
          <w:p w14:paraId="681F98A6" w14:textId="77777777" w:rsidR="0095165F" w:rsidRPr="00D07A01" w:rsidRDefault="0095165F" w:rsidP="007B4349">
            <w:pPr>
              <w:jc w:val="right"/>
              <w:rPr>
                <w:rFonts w:cstheme="minorHAnsi"/>
                <w:sz w:val="20"/>
                <w:szCs w:val="20"/>
              </w:rPr>
            </w:pPr>
            <w:r>
              <w:rPr>
                <w:rFonts w:cstheme="minorHAnsi"/>
                <w:sz w:val="20"/>
                <w:szCs w:val="20"/>
              </w:rPr>
              <w:t>36 735</w:t>
            </w:r>
          </w:p>
        </w:tc>
        <w:tc>
          <w:tcPr>
            <w:tcW w:w="1039" w:type="dxa"/>
            <w:vAlign w:val="center"/>
          </w:tcPr>
          <w:p w14:paraId="1F300ED8" w14:textId="77777777" w:rsidR="0095165F" w:rsidRPr="00D07A01" w:rsidRDefault="0095165F" w:rsidP="007B4349">
            <w:pPr>
              <w:jc w:val="right"/>
              <w:rPr>
                <w:rFonts w:cstheme="minorHAnsi"/>
                <w:sz w:val="20"/>
                <w:szCs w:val="20"/>
              </w:rPr>
            </w:pPr>
            <w:r>
              <w:rPr>
                <w:rFonts w:cstheme="minorHAnsi"/>
                <w:sz w:val="20"/>
                <w:szCs w:val="20"/>
              </w:rPr>
              <w:t>425 909</w:t>
            </w:r>
          </w:p>
        </w:tc>
        <w:tc>
          <w:tcPr>
            <w:tcW w:w="1040" w:type="dxa"/>
            <w:vAlign w:val="center"/>
          </w:tcPr>
          <w:p w14:paraId="11B63596" w14:textId="77777777" w:rsidR="0095165F" w:rsidRPr="00D07A01" w:rsidRDefault="0095165F" w:rsidP="007B4349">
            <w:pPr>
              <w:jc w:val="right"/>
              <w:rPr>
                <w:rFonts w:cstheme="minorHAnsi"/>
                <w:sz w:val="20"/>
                <w:szCs w:val="20"/>
              </w:rPr>
            </w:pPr>
            <w:r>
              <w:rPr>
                <w:rFonts w:cstheme="minorHAnsi"/>
                <w:sz w:val="20"/>
                <w:szCs w:val="20"/>
              </w:rPr>
              <w:t>33 924</w:t>
            </w:r>
          </w:p>
        </w:tc>
      </w:tr>
      <w:tr w:rsidR="0095165F" w:rsidRPr="00D07A01" w14:paraId="08F0EFDF" w14:textId="77777777" w:rsidTr="00BE71FC">
        <w:trPr>
          <w:cantSplit/>
          <w:trHeight w:val="283"/>
        </w:trPr>
        <w:tc>
          <w:tcPr>
            <w:tcW w:w="2830" w:type="dxa"/>
            <w:vAlign w:val="center"/>
          </w:tcPr>
          <w:p w14:paraId="26F4DBFC" w14:textId="77777777" w:rsidR="0095165F" w:rsidRPr="00D07A01" w:rsidRDefault="0095165F" w:rsidP="007B4349">
            <w:pPr>
              <w:jc w:val="left"/>
              <w:rPr>
                <w:rFonts w:cstheme="minorHAnsi"/>
                <w:b/>
                <w:bCs/>
                <w:sz w:val="20"/>
                <w:szCs w:val="20"/>
              </w:rPr>
            </w:pPr>
            <w:r w:rsidRPr="00D07A01">
              <w:rPr>
                <w:rFonts w:cstheme="minorHAnsi"/>
                <w:b/>
                <w:bCs/>
                <w:sz w:val="20"/>
                <w:szCs w:val="20"/>
              </w:rPr>
              <w:t>CELKEM</w:t>
            </w:r>
          </w:p>
        </w:tc>
        <w:tc>
          <w:tcPr>
            <w:tcW w:w="1039" w:type="dxa"/>
            <w:vAlign w:val="center"/>
          </w:tcPr>
          <w:p w14:paraId="1AA8183C" w14:textId="77777777" w:rsidR="0095165F" w:rsidRPr="00D07A01" w:rsidRDefault="0095165F" w:rsidP="007B4349">
            <w:pPr>
              <w:jc w:val="right"/>
              <w:rPr>
                <w:rFonts w:cstheme="minorHAnsi"/>
                <w:b/>
                <w:bCs/>
                <w:sz w:val="20"/>
                <w:szCs w:val="20"/>
              </w:rPr>
            </w:pPr>
            <w:r>
              <w:rPr>
                <w:rFonts w:cstheme="minorHAnsi"/>
                <w:b/>
                <w:bCs/>
                <w:sz w:val="20"/>
                <w:szCs w:val="20"/>
              </w:rPr>
              <w:t>1 085 981</w:t>
            </w:r>
          </w:p>
        </w:tc>
        <w:tc>
          <w:tcPr>
            <w:tcW w:w="1040" w:type="dxa"/>
            <w:vAlign w:val="center"/>
          </w:tcPr>
          <w:p w14:paraId="3DB6666D" w14:textId="77777777" w:rsidR="0095165F" w:rsidRPr="00D07A01" w:rsidRDefault="0095165F" w:rsidP="007B4349">
            <w:pPr>
              <w:jc w:val="right"/>
              <w:rPr>
                <w:rFonts w:cstheme="minorHAnsi"/>
                <w:b/>
                <w:bCs/>
                <w:sz w:val="20"/>
                <w:szCs w:val="20"/>
              </w:rPr>
            </w:pPr>
            <w:r>
              <w:rPr>
                <w:rFonts w:cstheme="minorHAnsi"/>
                <w:b/>
                <w:bCs/>
                <w:sz w:val="20"/>
                <w:szCs w:val="20"/>
              </w:rPr>
              <w:t>92 060</w:t>
            </w:r>
          </w:p>
        </w:tc>
        <w:tc>
          <w:tcPr>
            <w:tcW w:w="1039" w:type="dxa"/>
            <w:vAlign w:val="center"/>
          </w:tcPr>
          <w:p w14:paraId="19843905" w14:textId="77777777" w:rsidR="0095165F" w:rsidRPr="00D07A01" w:rsidRDefault="0095165F" w:rsidP="007B4349">
            <w:pPr>
              <w:jc w:val="right"/>
              <w:rPr>
                <w:rFonts w:cstheme="minorHAnsi"/>
                <w:b/>
                <w:bCs/>
                <w:sz w:val="20"/>
                <w:szCs w:val="20"/>
              </w:rPr>
            </w:pPr>
            <w:r>
              <w:rPr>
                <w:rFonts w:cstheme="minorHAnsi"/>
                <w:b/>
                <w:bCs/>
                <w:sz w:val="20"/>
                <w:szCs w:val="20"/>
              </w:rPr>
              <w:t>1 078 747</w:t>
            </w:r>
          </w:p>
        </w:tc>
        <w:tc>
          <w:tcPr>
            <w:tcW w:w="1040" w:type="dxa"/>
            <w:vAlign w:val="center"/>
          </w:tcPr>
          <w:p w14:paraId="008C2AFE" w14:textId="77777777" w:rsidR="0095165F" w:rsidRPr="00D07A01" w:rsidRDefault="0095165F" w:rsidP="007B4349">
            <w:pPr>
              <w:jc w:val="right"/>
              <w:rPr>
                <w:rFonts w:cstheme="minorHAnsi"/>
                <w:b/>
                <w:bCs/>
                <w:sz w:val="20"/>
                <w:szCs w:val="20"/>
              </w:rPr>
            </w:pPr>
            <w:r>
              <w:rPr>
                <w:rFonts w:cstheme="minorHAnsi"/>
                <w:b/>
                <w:bCs/>
                <w:sz w:val="20"/>
                <w:szCs w:val="20"/>
              </w:rPr>
              <w:t>94 078</w:t>
            </w:r>
          </w:p>
        </w:tc>
        <w:tc>
          <w:tcPr>
            <w:tcW w:w="1039" w:type="dxa"/>
            <w:vAlign w:val="center"/>
          </w:tcPr>
          <w:p w14:paraId="1C5A1244" w14:textId="77777777" w:rsidR="0095165F" w:rsidRPr="00D07A01" w:rsidRDefault="0095165F" w:rsidP="007B4349">
            <w:pPr>
              <w:jc w:val="right"/>
              <w:rPr>
                <w:rFonts w:cstheme="minorHAnsi"/>
                <w:b/>
                <w:bCs/>
                <w:sz w:val="20"/>
                <w:szCs w:val="20"/>
              </w:rPr>
            </w:pPr>
            <w:r>
              <w:rPr>
                <w:rFonts w:cstheme="minorHAnsi"/>
                <w:b/>
                <w:bCs/>
                <w:sz w:val="20"/>
                <w:szCs w:val="20"/>
              </w:rPr>
              <w:t>1 069 058</w:t>
            </w:r>
          </w:p>
        </w:tc>
        <w:tc>
          <w:tcPr>
            <w:tcW w:w="1040" w:type="dxa"/>
            <w:vAlign w:val="center"/>
          </w:tcPr>
          <w:p w14:paraId="467B72D3" w14:textId="77777777" w:rsidR="0095165F" w:rsidRPr="00D07A01" w:rsidRDefault="0095165F" w:rsidP="007B4349">
            <w:pPr>
              <w:jc w:val="right"/>
              <w:rPr>
                <w:rFonts w:cstheme="minorHAnsi"/>
                <w:b/>
                <w:bCs/>
                <w:sz w:val="20"/>
                <w:szCs w:val="20"/>
              </w:rPr>
            </w:pPr>
            <w:r>
              <w:rPr>
                <w:rFonts w:cstheme="minorHAnsi"/>
                <w:b/>
                <w:bCs/>
                <w:sz w:val="20"/>
                <w:szCs w:val="20"/>
              </w:rPr>
              <w:t>83 561</w:t>
            </w:r>
          </w:p>
        </w:tc>
      </w:tr>
    </w:tbl>
    <w:p w14:paraId="1E2EE653" w14:textId="77777777" w:rsidR="0095165F" w:rsidRPr="000B7D36" w:rsidRDefault="0095165F" w:rsidP="0088324E">
      <w:pPr>
        <w:spacing w:before="40" w:after="120" w:line="240" w:lineRule="auto"/>
        <w:rPr>
          <w:rFonts w:ascii="Calibri" w:hAnsi="Calibri" w:cs="Calibri"/>
          <w:sz w:val="20"/>
          <w:szCs w:val="20"/>
        </w:rPr>
      </w:pPr>
      <w:r w:rsidRPr="0088324E">
        <w:rPr>
          <w:rFonts w:ascii="Calibri" w:hAnsi="Calibri" w:cs="Calibri"/>
          <w:b/>
          <w:bCs/>
          <w:sz w:val="20"/>
          <w:szCs w:val="20"/>
        </w:rPr>
        <w:t>Zdroj:</w:t>
      </w:r>
      <w:r w:rsidRPr="000B7D36">
        <w:rPr>
          <w:rFonts w:ascii="Calibri" w:hAnsi="Calibri" w:cs="Calibri"/>
          <w:sz w:val="20"/>
          <w:szCs w:val="20"/>
        </w:rPr>
        <w:t xml:space="preserve"> vypracoval NKÚ na základě dat poskytnutých </w:t>
      </w:r>
      <w:r>
        <w:rPr>
          <w:rFonts w:ascii="Calibri" w:hAnsi="Calibri" w:cs="Calibri"/>
          <w:sz w:val="20"/>
          <w:szCs w:val="20"/>
        </w:rPr>
        <w:t>MSp</w:t>
      </w:r>
      <w:r w:rsidRPr="000B7D36">
        <w:rPr>
          <w:rFonts w:ascii="Calibri" w:hAnsi="Calibri" w:cs="Calibri"/>
          <w:sz w:val="20"/>
          <w:szCs w:val="20"/>
        </w:rPr>
        <w:t>.</w:t>
      </w:r>
    </w:p>
    <w:p w14:paraId="1F28AC3C" w14:textId="49551343" w:rsidR="001C751F" w:rsidRDefault="003910A7" w:rsidP="008602DC">
      <w:pPr>
        <w:spacing w:before="160" w:after="120"/>
        <w:rPr>
          <w:rFonts w:ascii="Calibri" w:hAnsi="Calibri" w:cs="Calibri"/>
        </w:rPr>
      </w:pPr>
      <w:r>
        <w:rPr>
          <w:rFonts w:ascii="Calibri" w:hAnsi="Calibri" w:cs="Calibri"/>
        </w:rPr>
        <w:t xml:space="preserve">Od 1. 1. 2024 </w:t>
      </w:r>
      <w:r w:rsidR="009E4656">
        <w:rPr>
          <w:rFonts w:ascii="Calibri" w:hAnsi="Calibri" w:cs="Calibri"/>
        </w:rPr>
        <w:t>vymáhaly</w:t>
      </w:r>
      <w:r>
        <w:rPr>
          <w:rFonts w:ascii="Calibri" w:hAnsi="Calibri" w:cs="Calibri"/>
        </w:rPr>
        <w:t xml:space="preserve"> </w:t>
      </w:r>
      <w:r w:rsidR="004F7F40">
        <w:rPr>
          <w:rFonts w:ascii="Calibri" w:hAnsi="Calibri" w:cs="Calibri"/>
        </w:rPr>
        <w:t xml:space="preserve">justiční </w:t>
      </w:r>
      <w:r w:rsidR="00804F6C">
        <w:rPr>
          <w:rFonts w:ascii="Calibri" w:hAnsi="Calibri" w:cs="Calibri"/>
        </w:rPr>
        <w:t>pohledávky</w:t>
      </w:r>
      <w:r w:rsidR="00804F6C" w:rsidRPr="00804F6C">
        <w:rPr>
          <w:rFonts w:ascii="Calibri" w:hAnsi="Calibri" w:cs="Calibri"/>
        </w:rPr>
        <w:t xml:space="preserve"> </w:t>
      </w:r>
      <w:r w:rsidR="00804F6C">
        <w:rPr>
          <w:rFonts w:ascii="Calibri" w:hAnsi="Calibri" w:cs="Calibri"/>
        </w:rPr>
        <w:t>CÚ. Soudy</w:t>
      </w:r>
      <w:r>
        <w:rPr>
          <w:rFonts w:ascii="Calibri" w:hAnsi="Calibri" w:cs="Calibri"/>
        </w:rPr>
        <w:t xml:space="preserve"> </w:t>
      </w:r>
      <w:r w:rsidR="00632D6B">
        <w:rPr>
          <w:rFonts w:ascii="Calibri" w:hAnsi="Calibri" w:cs="Calibri"/>
        </w:rPr>
        <w:t>jim</w:t>
      </w:r>
      <w:r w:rsidR="002617E7">
        <w:rPr>
          <w:rFonts w:ascii="Calibri" w:hAnsi="Calibri" w:cs="Calibri"/>
        </w:rPr>
        <w:t xml:space="preserve"> </w:t>
      </w:r>
      <w:r w:rsidR="00804F6C">
        <w:rPr>
          <w:rFonts w:ascii="Calibri" w:hAnsi="Calibri" w:cs="Calibri"/>
        </w:rPr>
        <w:t>je zasílaly v elektronické podobě prostřednictvím datové schránky.</w:t>
      </w:r>
      <w:r w:rsidR="00804F6C" w:rsidRPr="00804F6C">
        <w:rPr>
          <w:rFonts w:ascii="Calibri" w:hAnsi="Calibri" w:cs="Calibri"/>
        </w:rPr>
        <w:t xml:space="preserve"> </w:t>
      </w:r>
      <w:r w:rsidR="00804F6C">
        <w:rPr>
          <w:rFonts w:ascii="Calibri" w:hAnsi="Calibri" w:cs="Calibri"/>
        </w:rPr>
        <w:t>Pro evidenci pohledávek sloužila aplikace VSD</w:t>
      </w:r>
      <w:r w:rsidR="00804F6C">
        <w:rPr>
          <w:rStyle w:val="Znakapoznpodarou"/>
          <w:rFonts w:ascii="Calibri" w:hAnsi="Calibri" w:cs="Calibri"/>
        </w:rPr>
        <w:footnoteReference w:id="41"/>
      </w:r>
      <w:r w:rsidR="00804F6C">
        <w:rPr>
          <w:rFonts w:ascii="Calibri" w:hAnsi="Calibri" w:cs="Calibri"/>
        </w:rPr>
        <w:t>, do které se v případě nových pohledávek předvyplnilo maximum údajů automaticky. K vymáhání nedoplatků sloužila aplikace MED</w:t>
      </w:r>
      <w:r w:rsidR="00804F6C" w:rsidRPr="00874555">
        <w:rPr>
          <w:rStyle w:val="Znakapoznpodarou"/>
          <w:rFonts w:eastAsia="Calibri"/>
          <w:sz w:val="20"/>
          <w:szCs w:val="20"/>
        </w:rPr>
        <w:footnoteReference w:id="42"/>
      </w:r>
      <w:r w:rsidR="00804F6C">
        <w:rPr>
          <w:rFonts w:ascii="Calibri" w:hAnsi="Calibri" w:cs="Calibri"/>
        </w:rPr>
        <w:t>.</w:t>
      </w:r>
    </w:p>
    <w:p w14:paraId="374A797F" w14:textId="6652940C" w:rsidR="0056444A" w:rsidRPr="0028512D" w:rsidRDefault="0056444A" w:rsidP="007B4349">
      <w:pPr>
        <w:keepNext/>
        <w:spacing w:before="120" w:after="40" w:line="240" w:lineRule="auto"/>
        <w:rPr>
          <w:rFonts w:ascii="Calibri" w:hAnsi="Calibri" w:cs="Calibri"/>
          <w:b/>
          <w:bCs/>
        </w:rPr>
      </w:pPr>
      <w:r w:rsidRPr="00FF056A">
        <w:rPr>
          <w:rFonts w:ascii="Calibri" w:hAnsi="Calibri" w:cs="Calibri"/>
          <w:b/>
          <w:bCs/>
        </w:rPr>
        <w:lastRenderedPageBreak/>
        <w:t>Tabulka č. 8: Stav justičních pohledávek zaevidovaných CÚ v roce 2024</w:t>
      </w:r>
    </w:p>
    <w:tbl>
      <w:tblPr>
        <w:tblStyle w:val="Mkatabulky"/>
        <w:tblW w:w="0" w:type="auto"/>
        <w:tblLook w:val="04A0" w:firstRow="1" w:lastRow="0" w:firstColumn="1" w:lastColumn="0" w:noHBand="0" w:noVBand="1"/>
      </w:tblPr>
      <w:tblGrid>
        <w:gridCol w:w="3020"/>
        <w:gridCol w:w="3020"/>
        <w:gridCol w:w="3021"/>
      </w:tblGrid>
      <w:tr w:rsidR="0056444A" w:rsidRPr="0028512D" w14:paraId="05A756D2" w14:textId="77777777" w:rsidTr="00B11C80">
        <w:trPr>
          <w:trHeight w:val="283"/>
        </w:trPr>
        <w:tc>
          <w:tcPr>
            <w:tcW w:w="3020" w:type="dxa"/>
            <w:shd w:val="clear" w:color="auto" w:fill="E6E6E6"/>
            <w:vAlign w:val="center"/>
          </w:tcPr>
          <w:p w14:paraId="3F23DFF8" w14:textId="77777777" w:rsidR="0056444A" w:rsidRPr="0088324E" w:rsidRDefault="0056444A" w:rsidP="0088324E">
            <w:pPr>
              <w:jc w:val="center"/>
              <w:rPr>
                <w:rFonts w:ascii="Calibri" w:hAnsi="Calibri" w:cs="Calibri"/>
                <w:b/>
                <w:bCs/>
                <w:sz w:val="20"/>
                <w:szCs w:val="20"/>
              </w:rPr>
            </w:pPr>
            <w:r w:rsidRPr="0088324E">
              <w:rPr>
                <w:rFonts w:ascii="Calibri" w:hAnsi="Calibri" w:cs="Calibri"/>
                <w:b/>
                <w:bCs/>
                <w:sz w:val="20"/>
                <w:szCs w:val="20"/>
              </w:rPr>
              <w:t>Stav pohledávky</w:t>
            </w:r>
          </w:p>
        </w:tc>
        <w:tc>
          <w:tcPr>
            <w:tcW w:w="3020" w:type="dxa"/>
            <w:shd w:val="clear" w:color="auto" w:fill="E6E6E6"/>
          </w:tcPr>
          <w:p w14:paraId="5E53F6F9" w14:textId="77777777" w:rsidR="0056444A" w:rsidRPr="0088324E" w:rsidRDefault="0056444A" w:rsidP="00EA69A1">
            <w:pPr>
              <w:jc w:val="center"/>
              <w:rPr>
                <w:rFonts w:ascii="Calibri" w:hAnsi="Calibri" w:cs="Calibri"/>
                <w:b/>
                <w:bCs/>
                <w:sz w:val="20"/>
                <w:szCs w:val="20"/>
              </w:rPr>
            </w:pPr>
            <w:r w:rsidRPr="0088324E">
              <w:rPr>
                <w:rFonts w:ascii="Calibri" w:hAnsi="Calibri" w:cs="Calibri"/>
                <w:b/>
                <w:bCs/>
                <w:sz w:val="20"/>
                <w:szCs w:val="20"/>
              </w:rPr>
              <w:t>Počet předaných předpisů</w:t>
            </w:r>
          </w:p>
        </w:tc>
        <w:tc>
          <w:tcPr>
            <w:tcW w:w="3021" w:type="dxa"/>
            <w:shd w:val="clear" w:color="auto" w:fill="E6E6E6"/>
          </w:tcPr>
          <w:p w14:paraId="56368C0B" w14:textId="77777777" w:rsidR="0056444A" w:rsidRPr="0088324E" w:rsidRDefault="0056444A" w:rsidP="00EA69A1">
            <w:pPr>
              <w:jc w:val="center"/>
              <w:rPr>
                <w:rFonts w:ascii="Calibri" w:hAnsi="Calibri" w:cs="Calibri"/>
                <w:b/>
                <w:bCs/>
                <w:sz w:val="20"/>
                <w:szCs w:val="20"/>
              </w:rPr>
            </w:pPr>
            <w:r w:rsidRPr="0088324E">
              <w:rPr>
                <w:rFonts w:ascii="Calibri" w:hAnsi="Calibri" w:cs="Calibri"/>
                <w:b/>
                <w:bCs/>
                <w:sz w:val="20"/>
                <w:szCs w:val="20"/>
              </w:rPr>
              <w:t>Částka předpisů (v tis. Kč)</w:t>
            </w:r>
          </w:p>
        </w:tc>
      </w:tr>
      <w:tr w:rsidR="0056444A" w:rsidRPr="0028512D" w14:paraId="4D96C46D" w14:textId="77777777" w:rsidTr="00B11C80">
        <w:trPr>
          <w:trHeight w:val="283"/>
        </w:trPr>
        <w:tc>
          <w:tcPr>
            <w:tcW w:w="3020" w:type="dxa"/>
            <w:vAlign w:val="center"/>
          </w:tcPr>
          <w:p w14:paraId="7FBA5B13" w14:textId="77777777" w:rsidR="0056444A" w:rsidRPr="0028512D" w:rsidRDefault="0056444A" w:rsidP="0088324E">
            <w:pPr>
              <w:jc w:val="left"/>
              <w:rPr>
                <w:rFonts w:ascii="Calibri" w:hAnsi="Calibri" w:cs="Calibri"/>
                <w:sz w:val="20"/>
                <w:szCs w:val="20"/>
              </w:rPr>
            </w:pPr>
            <w:r w:rsidRPr="0028512D">
              <w:rPr>
                <w:rFonts w:ascii="Calibri" w:hAnsi="Calibri" w:cs="Calibri"/>
                <w:sz w:val="20"/>
                <w:szCs w:val="20"/>
              </w:rPr>
              <w:t>Uhrazené</w:t>
            </w:r>
          </w:p>
        </w:tc>
        <w:tc>
          <w:tcPr>
            <w:tcW w:w="3020" w:type="dxa"/>
            <w:vAlign w:val="center"/>
          </w:tcPr>
          <w:p w14:paraId="2B44EF39" w14:textId="209FE907" w:rsidR="0056444A" w:rsidRPr="0028512D" w:rsidRDefault="00D754B2" w:rsidP="0088324E">
            <w:pPr>
              <w:ind w:right="687"/>
              <w:jc w:val="right"/>
              <w:rPr>
                <w:rFonts w:ascii="Calibri" w:hAnsi="Calibri" w:cs="Calibri"/>
                <w:sz w:val="20"/>
                <w:szCs w:val="20"/>
              </w:rPr>
            </w:pPr>
            <w:r>
              <w:rPr>
                <w:rFonts w:ascii="Calibri" w:hAnsi="Calibri" w:cs="Calibri"/>
                <w:color w:val="000000"/>
                <w:sz w:val="20"/>
                <w:szCs w:val="20"/>
              </w:rPr>
              <w:t>19 361</w:t>
            </w:r>
          </w:p>
        </w:tc>
        <w:tc>
          <w:tcPr>
            <w:tcW w:w="3021" w:type="dxa"/>
            <w:vAlign w:val="center"/>
          </w:tcPr>
          <w:p w14:paraId="0E9A3959" w14:textId="00101C09" w:rsidR="0056444A" w:rsidRPr="0028512D" w:rsidRDefault="00D754B2" w:rsidP="0088324E">
            <w:pPr>
              <w:ind w:right="687"/>
              <w:jc w:val="right"/>
              <w:rPr>
                <w:rFonts w:ascii="Calibri" w:hAnsi="Calibri" w:cs="Calibri"/>
                <w:sz w:val="20"/>
                <w:szCs w:val="20"/>
              </w:rPr>
            </w:pPr>
            <w:r>
              <w:rPr>
                <w:rFonts w:ascii="Calibri" w:hAnsi="Calibri" w:cs="Calibri"/>
                <w:sz w:val="20"/>
                <w:szCs w:val="20"/>
              </w:rPr>
              <w:t>120 346</w:t>
            </w:r>
          </w:p>
        </w:tc>
      </w:tr>
      <w:tr w:rsidR="0056444A" w:rsidRPr="0028512D" w14:paraId="39AA775F" w14:textId="77777777" w:rsidTr="00B11C80">
        <w:trPr>
          <w:trHeight w:val="283"/>
        </w:trPr>
        <w:tc>
          <w:tcPr>
            <w:tcW w:w="3020" w:type="dxa"/>
            <w:vAlign w:val="center"/>
          </w:tcPr>
          <w:p w14:paraId="2BFA732C" w14:textId="77777777" w:rsidR="0056444A" w:rsidRPr="0028512D" w:rsidRDefault="0056444A" w:rsidP="0088324E">
            <w:pPr>
              <w:jc w:val="left"/>
              <w:rPr>
                <w:rFonts w:ascii="Calibri" w:hAnsi="Calibri" w:cs="Calibri"/>
                <w:sz w:val="20"/>
                <w:szCs w:val="20"/>
              </w:rPr>
            </w:pPr>
            <w:r w:rsidRPr="0028512D">
              <w:rPr>
                <w:rFonts w:ascii="Calibri" w:hAnsi="Calibri" w:cs="Calibri"/>
                <w:sz w:val="20"/>
                <w:szCs w:val="20"/>
              </w:rPr>
              <w:t>Částečné uhrazené</w:t>
            </w:r>
          </w:p>
        </w:tc>
        <w:tc>
          <w:tcPr>
            <w:tcW w:w="3020" w:type="dxa"/>
            <w:vAlign w:val="center"/>
          </w:tcPr>
          <w:p w14:paraId="42213633" w14:textId="020769FA" w:rsidR="0056444A" w:rsidRPr="0028512D" w:rsidRDefault="00D754B2" w:rsidP="0088324E">
            <w:pPr>
              <w:ind w:right="687"/>
              <w:jc w:val="right"/>
              <w:rPr>
                <w:rFonts w:ascii="Calibri" w:hAnsi="Calibri" w:cs="Calibri"/>
                <w:sz w:val="20"/>
                <w:szCs w:val="20"/>
              </w:rPr>
            </w:pPr>
            <w:r>
              <w:rPr>
                <w:rFonts w:ascii="Calibri" w:hAnsi="Calibri" w:cs="Calibri"/>
                <w:color w:val="000000"/>
                <w:sz w:val="20"/>
                <w:szCs w:val="20"/>
              </w:rPr>
              <w:t>4 544</w:t>
            </w:r>
          </w:p>
        </w:tc>
        <w:tc>
          <w:tcPr>
            <w:tcW w:w="3021" w:type="dxa"/>
            <w:vAlign w:val="center"/>
          </w:tcPr>
          <w:p w14:paraId="0F292CDB" w14:textId="051027BE" w:rsidR="0056444A" w:rsidRPr="0028512D" w:rsidRDefault="00D754B2" w:rsidP="0088324E">
            <w:pPr>
              <w:ind w:right="687"/>
              <w:jc w:val="right"/>
              <w:rPr>
                <w:rFonts w:ascii="Calibri" w:hAnsi="Calibri" w:cs="Calibri"/>
                <w:sz w:val="20"/>
                <w:szCs w:val="20"/>
              </w:rPr>
            </w:pPr>
            <w:r>
              <w:rPr>
                <w:rFonts w:ascii="Calibri" w:hAnsi="Calibri" w:cs="Calibri"/>
                <w:sz w:val="20"/>
                <w:szCs w:val="20"/>
              </w:rPr>
              <w:t>74 867</w:t>
            </w:r>
          </w:p>
        </w:tc>
      </w:tr>
      <w:tr w:rsidR="0056444A" w:rsidRPr="0028512D" w14:paraId="7505BF71" w14:textId="77777777" w:rsidTr="00B11C80">
        <w:trPr>
          <w:trHeight w:val="283"/>
        </w:trPr>
        <w:tc>
          <w:tcPr>
            <w:tcW w:w="3020" w:type="dxa"/>
            <w:vAlign w:val="center"/>
          </w:tcPr>
          <w:p w14:paraId="5BB2389F" w14:textId="77777777" w:rsidR="0056444A" w:rsidRPr="0028512D" w:rsidRDefault="0056444A" w:rsidP="0088324E">
            <w:pPr>
              <w:jc w:val="left"/>
              <w:rPr>
                <w:rFonts w:ascii="Calibri" w:hAnsi="Calibri" w:cs="Calibri"/>
                <w:sz w:val="20"/>
                <w:szCs w:val="20"/>
              </w:rPr>
            </w:pPr>
            <w:r w:rsidRPr="0028512D">
              <w:rPr>
                <w:rFonts w:ascii="Calibri" w:hAnsi="Calibri" w:cs="Calibri"/>
                <w:sz w:val="20"/>
                <w:szCs w:val="20"/>
              </w:rPr>
              <w:t>Neuhrazené</w:t>
            </w:r>
          </w:p>
        </w:tc>
        <w:tc>
          <w:tcPr>
            <w:tcW w:w="3020" w:type="dxa"/>
            <w:vAlign w:val="center"/>
          </w:tcPr>
          <w:p w14:paraId="5F33260B" w14:textId="5626054F" w:rsidR="0056444A" w:rsidRPr="0028512D" w:rsidRDefault="00D754B2" w:rsidP="0088324E">
            <w:pPr>
              <w:ind w:right="687"/>
              <w:jc w:val="right"/>
              <w:rPr>
                <w:rFonts w:ascii="Calibri" w:hAnsi="Calibri" w:cs="Calibri"/>
                <w:sz w:val="20"/>
                <w:szCs w:val="20"/>
              </w:rPr>
            </w:pPr>
            <w:r>
              <w:rPr>
                <w:rFonts w:ascii="Calibri" w:hAnsi="Calibri" w:cs="Calibri"/>
                <w:color w:val="000000"/>
                <w:sz w:val="20"/>
                <w:szCs w:val="20"/>
              </w:rPr>
              <w:t>185 159</w:t>
            </w:r>
          </w:p>
        </w:tc>
        <w:tc>
          <w:tcPr>
            <w:tcW w:w="3021" w:type="dxa"/>
            <w:vAlign w:val="center"/>
          </w:tcPr>
          <w:p w14:paraId="48475E9E" w14:textId="57D1466A" w:rsidR="0056444A" w:rsidRPr="0028512D" w:rsidRDefault="00D754B2" w:rsidP="0088324E">
            <w:pPr>
              <w:ind w:right="687"/>
              <w:jc w:val="right"/>
              <w:rPr>
                <w:rFonts w:ascii="Calibri" w:hAnsi="Calibri" w:cs="Calibri"/>
                <w:sz w:val="20"/>
                <w:szCs w:val="20"/>
              </w:rPr>
            </w:pPr>
            <w:r>
              <w:rPr>
                <w:rFonts w:ascii="Calibri" w:hAnsi="Calibri" w:cs="Calibri"/>
                <w:sz w:val="20"/>
                <w:szCs w:val="20"/>
              </w:rPr>
              <w:t>1 334 050</w:t>
            </w:r>
          </w:p>
        </w:tc>
      </w:tr>
      <w:tr w:rsidR="0056444A" w:rsidRPr="0028512D" w14:paraId="29C000ED" w14:textId="77777777" w:rsidTr="00B11C80">
        <w:trPr>
          <w:trHeight w:val="283"/>
        </w:trPr>
        <w:tc>
          <w:tcPr>
            <w:tcW w:w="3020" w:type="dxa"/>
            <w:vAlign w:val="center"/>
          </w:tcPr>
          <w:p w14:paraId="788E4F67" w14:textId="77777777" w:rsidR="0056444A" w:rsidRPr="0028512D" w:rsidRDefault="0056444A" w:rsidP="0088324E">
            <w:pPr>
              <w:jc w:val="left"/>
              <w:rPr>
                <w:rFonts w:ascii="Calibri" w:hAnsi="Calibri" w:cs="Calibri"/>
                <w:sz w:val="20"/>
                <w:szCs w:val="20"/>
              </w:rPr>
            </w:pPr>
            <w:r w:rsidRPr="0028512D">
              <w:rPr>
                <w:rFonts w:ascii="Calibri" w:hAnsi="Calibri" w:cs="Calibri"/>
                <w:sz w:val="20"/>
                <w:szCs w:val="20"/>
              </w:rPr>
              <w:t>Nedobytné</w:t>
            </w:r>
          </w:p>
        </w:tc>
        <w:tc>
          <w:tcPr>
            <w:tcW w:w="3020" w:type="dxa"/>
            <w:vAlign w:val="center"/>
          </w:tcPr>
          <w:p w14:paraId="06891E47" w14:textId="0E70D50C" w:rsidR="0056444A" w:rsidRPr="0028512D" w:rsidRDefault="00D754B2" w:rsidP="0088324E">
            <w:pPr>
              <w:ind w:right="687"/>
              <w:jc w:val="right"/>
              <w:rPr>
                <w:rFonts w:ascii="Calibri" w:hAnsi="Calibri" w:cs="Calibri"/>
                <w:sz w:val="20"/>
                <w:szCs w:val="20"/>
              </w:rPr>
            </w:pPr>
            <w:r>
              <w:rPr>
                <w:rFonts w:ascii="Calibri" w:hAnsi="Calibri" w:cs="Calibri"/>
                <w:color w:val="000000"/>
                <w:sz w:val="20"/>
                <w:szCs w:val="20"/>
              </w:rPr>
              <w:t>5 657</w:t>
            </w:r>
          </w:p>
        </w:tc>
        <w:tc>
          <w:tcPr>
            <w:tcW w:w="3021" w:type="dxa"/>
            <w:vAlign w:val="center"/>
          </w:tcPr>
          <w:p w14:paraId="555B4702" w14:textId="12874651" w:rsidR="0056444A" w:rsidRPr="0028512D" w:rsidRDefault="00D754B2" w:rsidP="0088324E">
            <w:pPr>
              <w:ind w:right="687"/>
              <w:jc w:val="right"/>
              <w:rPr>
                <w:rFonts w:ascii="Calibri" w:hAnsi="Calibri" w:cs="Calibri"/>
                <w:sz w:val="20"/>
                <w:szCs w:val="20"/>
              </w:rPr>
            </w:pPr>
            <w:r>
              <w:rPr>
                <w:rFonts w:ascii="Calibri" w:hAnsi="Calibri" w:cs="Calibri"/>
                <w:sz w:val="20"/>
                <w:szCs w:val="20"/>
              </w:rPr>
              <w:t>26 708</w:t>
            </w:r>
          </w:p>
        </w:tc>
      </w:tr>
      <w:tr w:rsidR="0056444A" w:rsidRPr="0028512D" w14:paraId="51A653B8" w14:textId="77777777" w:rsidTr="00B11C80">
        <w:trPr>
          <w:trHeight w:val="283"/>
        </w:trPr>
        <w:tc>
          <w:tcPr>
            <w:tcW w:w="3020" w:type="dxa"/>
            <w:vAlign w:val="center"/>
          </w:tcPr>
          <w:p w14:paraId="45F05ED6" w14:textId="77777777" w:rsidR="0056444A" w:rsidRPr="0028512D" w:rsidRDefault="0056444A" w:rsidP="0088324E">
            <w:pPr>
              <w:jc w:val="left"/>
              <w:rPr>
                <w:rFonts w:ascii="Calibri" w:hAnsi="Calibri" w:cs="Calibri"/>
                <w:sz w:val="20"/>
                <w:szCs w:val="20"/>
              </w:rPr>
            </w:pPr>
            <w:r w:rsidRPr="0028512D">
              <w:rPr>
                <w:rFonts w:ascii="Calibri" w:hAnsi="Calibri" w:cs="Calibri"/>
                <w:sz w:val="20"/>
                <w:szCs w:val="20"/>
              </w:rPr>
              <w:t>Prekludované</w:t>
            </w:r>
          </w:p>
        </w:tc>
        <w:tc>
          <w:tcPr>
            <w:tcW w:w="3020" w:type="dxa"/>
            <w:vAlign w:val="center"/>
          </w:tcPr>
          <w:p w14:paraId="3173104F" w14:textId="28425F77" w:rsidR="0056444A" w:rsidRPr="0028512D" w:rsidRDefault="00D754B2" w:rsidP="0088324E">
            <w:pPr>
              <w:ind w:right="687"/>
              <w:jc w:val="right"/>
              <w:rPr>
                <w:rFonts w:ascii="Calibri" w:hAnsi="Calibri" w:cs="Calibri"/>
                <w:sz w:val="20"/>
                <w:szCs w:val="20"/>
              </w:rPr>
            </w:pPr>
            <w:r>
              <w:rPr>
                <w:rFonts w:ascii="Calibri" w:hAnsi="Calibri" w:cs="Calibri"/>
                <w:color w:val="000000"/>
                <w:sz w:val="20"/>
                <w:szCs w:val="20"/>
              </w:rPr>
              <w:t>5 898</w:t>
            </w:r>
          </w:p>
        </w:tc>
        <w:tc>
          <w:tcPr>
            <w:tcW w:w="3021" w:type="dxa"/>
            <w:vAlign w:val="center"/>
          </w:tcPr>
          <w:p w14:paraId="26457500" w14:textId="6AA151B6" w:rsidR="0056444A" w:rsidRPr="0028512D" w:rsidRDefault="00D754B2" w:rsidP="0088324E">
            <w:pPr>
              <w:ind w:right="687"/>
              <w:jc w:val="right"/>
              <w:rPr>
                <w:rFonts w:ascii="Calibri" w:hAnsi="Calibri" w:cs="Calibri"/>
                <w:sz w:val="20"/>
                <w:szCs w:val="20"/>
              </w:rPr>
            </w:pPr>
            <w:r>
              <w:rPr>
                <w:rFonts w:ascii="Calibri" w:hAnsi="Calibri" w:cs="Calibri"/>
                <w:sz w:val="20"/>
                <w:szCs w:val="20"/>
              </w:rPr>
              <w:t>38 085</w:t>
            </w:r>
          </w:p>
        </w:tc>
      </w:tr>
      <w:tr w:rsidR="0056444A" w:rsidRPr="0028512D" w14:paraId="3066CCEA" w14:textId="77777777" w:rsidTr="00B11C80">
        <w:trPr>
          <w:trHeight w:val="283"/>
        </w:trPr>
        <w:tc>
          <w:tcPr>
            <w:tcW w:w="3020" w:type="dxa"/>
            <w:vAlign w:val="center"/>
          </w:tcPr>
          <w:p w14:paraId="74E6A80F" w14:textId="77777777" w:rsidR="0056444A" w:rsidRPr="002F3BDA" w:rsidRDefault="0056444A" w:rsidP="0088324E">
            <w:pPr>
              <w:jc w:val="left"/>
              <w:rPr>
                <w:rFonts w:ascii="Calibri" w:hAnsi="Calibri" w:cs="Calibri"/>
                <w:b/>
                <w:bCs/>
                <w:sz w:val="20"/>
                <w:szCs w:val="20"/>
              </w:rPr>
            </w:pPr>
            <w:r w:rsidRPr="002F3BDA">
              <w:rPr>
                <w:rFonts w:ascii="Calibri" w:hAnsi="Calibri" w:cs="Calibri"/>
                <w:b/>
                <w:bCs/>
                <w:sz w:val="20"/>
                <w:szCs w:val="20"/>
              </w:rPr>
              <w:t>CELKEM</w:t>
            </w:r>
          </w:p>
        </w:tc>
        <w:tc>
          <w:tcPr>
            <w:tcW w:w="3020" w:type="dxa"/>
            <w:vAlign w:val="center"/>
          </w:tcPr>
          <w:p w14:paraId="4FCA4F12" w14:textId="7B66E825" w:rsidR="0056444A" w:rsidRPr="002F3BDA" w:rsidRDefault="00D754B2" w:rsidP="0088324E">
            <w:pPr>
              <w:ind w:right="687"/>
              <w:jc w:val="right"/>
              <w:rPr>
                <w:rFonts w:ascii="Calibri" w:hAnsi="Calibri" w:cs="Calibri"/>
                <w:b/>
                <w:bCs/>
                <w:sz w:val="20"/>
                <w:szCs w:val="20"/>
              </w:rPr>
            </w:pPr>
            <w:r>
              <w:rPr>
                <w:rFonts w:ascii="Calibri" w:hAnsi="Calibri" w:cs="Calibri"/>
                <w:b/>
                <w:bCs/>
                <w:color w:val="000000"/>
                <w:sz w:val="20"/>
                <w:szCs w:val="20"/>
              </w:rPr>
              <w:t>220 619</w:t>
            </w:r>
          </w:p>
        </w:tc>
        <w:tc>
          <w:tcPr>
            <w:tcW w:w="3021" w:type="dxa"/>
            <w:vAlign w:val="center"/>
          </w:tcPr>
          <w:p w14:paraId="1F4836B0" w14:textId="49C8AD7A" w:rsidR="0056444A" w:rsidRPr="002F3BDA" w:rsidRDefault="00D754B2" w:rsidP="0088324E">
            <w:pPr>
              <w:ind w:right="687"/>
              <w:jc w:val="right"/>
              <w:rPr>
                <w:rFonts w:ascii="Calibri" w:hAnsi="Calibri" w:cs="Calibri"/>
                <w:b/>
                <w:bCs/>
                <w:sz w:val="20"/>
                <w:szCs w:val="20"/>
              </w:rPr>
            </w:pPr>
            <w:r>
              <w:rPr>
                <w:rFonts w:ascii="Calibri" w:hAnsi="Calibri" w:cs="Calibri"/>
                <w:b/>
                <w:bCs/>
                <w:sz w:val="20"/>
                <w:szCs w:val="20"/>
              </w:rPr>
              <w:t>1 594 056</w:t>
            </w:r>
          </w:p>
        </w:tc>
      </w:tr>
    </w:tbl>
    <w:p w14:paraId="72CFF1B7" w14:textId="77777777" w:rsidR="0056444A" w:rsidRPr="000B7D36" w:rsidRDefault="0056444A" w:rsidP="0088324E">
      <w:pPr>
        <w:spacing w:before="40" w:after="0" w:line="240" w:lineRule="auto"/>
        <w:rPr>
          <w:rFonts w:ascii="Calibri" w:hAnsi="Calibri" w:cs="Calibri"/>
          <w:sz w:val="20"/>
          <w:szCs w:val="20"/>
        </w:rPr>
      </w:pPr>
      <w:r w:rsidRPr="00C37A09">
        <w:rPr>
          <w:rFonts w:ascii="Calibri" w:hAnsi="Calibri" w:cs="Calibri"/>
          <w:b/>
          <w:bCs/>
          <w:sz w:val="20"/>
          <w:szCs w:val="20"/>
        </w:rPr>
        <w:t xml:space="preserve">Zdroj: </w:t>
      </w:r>
      <w:r w:rsidRPr="000B7D36">
        <w:rPr>
          <w:rFonts w:ascii="Calibri" w:hAnsi="Calibri" w:cs="Calibri"/>
          <w:sz w:val="20"/>
          <w:szCs w:val="20"/>
        </w:rPr>
        <w:t>vypracoval NKÚ na základě dat poskytnutých GŘC.</w:t>
      </w:r>
    </w:p>
    <w:p w14:paraId="1205FC41" w14:textId="2DB4F4C1" w:rsidR="00D754B2" w:rsidRPr="00EE74D3" w:rsidRDefault="00D754B2" w:rsidP="00C37A09">
      <w:pPr>
        <w:spacing w:after="120" w:line="240" w:lineRule="auto"/>
        <w:ind w:left="567" w:hanging="567"/>
        <w:rPr>
          <w:sz w:val="20"/>
          <w:szCs w:val="20"/>
          <w:lang w:eastAsia="cs-CZ" w:bidi="cs-CZ"/>
        </w:rPr>
      </w:pPr>
      <w:r w:rsidRPr="00C37A09">
        <w:rPr>
          <w:b/>
          <w:bCs/>
          <w:sz w:val="20"/>
          <w:szCs w:val="20"/>
          <w:lang w:eastAsia="cs-CZ"/>
        </w:rPr>
        <w:t>Pozn</w:t>
      </w:r>
      <w:r w:rsidR="00CF1D71">
        <w:rPr>
          <w:b/>
          <w:bCs/>
          <w:sz w:val="20"/>
          <w:szCs w:val="20"/>
          <w:lang w:eastAsia="cs-CZ"/>
        </w:rPr>
        <w:t>.</w:t>
      </w:r>
      <w:r w:rsidRPr="00C37A09">
        <w:rPr>
          <w:b/>
          <w:bCs/>
          <w:sz w:val="20"/>
          <w:szCs w:val="20"/>
          <w:lang w:eastAsia="cs-CZ"/>
        </w:rPr>
        <w:t>:</w:t>
      </w:r>
      <w:r>
        <w:rPr>
          <w:sz w:val="20"/>
          <w:szCs w:val="20"/>
          <w:lang w:eastAsia="cs-CZ"/>
        </w:rPr>
        <w:t xml:space="preserve"> </w:t>
      </w:r>
      <w:r w:rsidR="00804F6C">
        <w:rPr>
          <w:sz w:val="20"/>
          <w:szCs w:val="20"/>
          <w:lang w:eastAsia="cs-CZ"/>
        </w:rPr>
        <w:t>V tabulce n</w:t>
      </w:r>
      <w:r>
        <w:rPr>
          <w:sz w:val="20"/>
          <w:szCs w:val="20"/>
          <w:lang w:eastAsia="cs-CZ"/>
        </w:rPr>
        <w:t>ejsou zahrnuty údaje o justičních pohledávkách uložených Vězeňskou službou</w:t>
      </w:r>
      <w:r w:rsidR="007972A8">
        <w:rPr>
          <w:sz w:val="20"/>
          <w:szCs w:val="20"/>
          <w:lang w:eastAsia="cs-CZ"/>
        </w:rPr>
        <w:t xml:space="preserve"> ČR</w:t>
      </w:r>
      <w:r w:rsidR="00712965">
        <w:rPr>
          <w:sz w:val="20"/>
          <w:szCs w:val="20"/>
          <w:lang w:eastAsia="cs-CZ"/>
        </w:rPr>
        <w:t xml:space="preserve"> a</w:t>
      </w:r>
      <w:r w:rsidR="00C37A09">
        <w:rPr>
          <w:sz w:val="20"/>
          <w:szCs w:val="20"/>
          <w:lang w:eastAsia="cs-CZ"/>
        </w:rPr>
        <w:t> </w:t>
      </w:r>
      <w:r w:rsidR="00CF1D71">
        <w:rPr>
          <w:sz w:val="20"/>
          <w:szCs w:val="20"/>
          <w:lang w:eastAsia="cs-CZ"/>
        </w:rPr>
        <w:t>s</w:t>
      </w:r>
      <w:r w:rsidR="00712965">
        <w:rPr>
          <w:sz w:val="20"/>
          <w:szCs w:val="20"/>
          <w:lang w:eastAsia="cs-CZ"/>
        </w:rPr>
        <w:t>tátním zastupitelstvím</w:t>
      </w:r>
      <w:r>
        <w:rPr>
          <w:sz w:val="20"/>
          <w:szCs w:val="20"/>
          <w:lang w:eastAsia="cs-CZ"/>
        </w:rPr>
        <w:t>.</w:t>
      </w:r>
    </w:p>
    <w:p w14:paraId="25E19ACD" w14:textId="2A85FE1C" w:rsidR="0056444A" w:rsidRDefault="0033200A" w:rsidP="00A247BE">
      <w:pPr>
        <w:spacing w:before="240" w:after="120"/>
        <w:rPr>
          <w:rFonts w:eastAsia="Calibri"/>
          <w:szCs w:val="24"/>
        </w:rPr>
      </w:pPr>
      <w:r>
        <w:rPr>
          <w:rFonts w:eastAsia="Calibri"/>
          <w:szCs w:val="24"/>
        </w:rPr>
        <w:t>GŘC</w:t>
      </w:r>
      <w:r w:rsidR="0056444A">
        <w:rPr>
          <w:rFonts w:eastAsia="Calibri"/>
          <w:szCs w:val="24"/>
        </w:rPr>
        <w:t xml:space="preserve"> nemusel</w:t>
      </w:r>
      <w:r>
        <w:rPr>
          <w:rFonts w:eastAsia="Calibri"/>
          <w:szCs w:val="24"/>
        </w:rPr>
        <w:t>o</w:t>
      </w:r>
      <w:r w:rsidR="0056444A">
        <w:rPr>
          <w:rFonts w:eastAsia="Calibri"/>
          <w:szCs w:val="24"/>
        </w:rPr>
        <w:t xml:space="preserve"> v souvislosti s převedením </w:t>
      </w:r>
      <w:r w:rsidR="008B2CEE">
        <w:rPr>
          <w:rFonts w:eastAsia="Calibri"/>
          <w:szCs w:val="24"/>
        </w:rPr>
        <w:t>kompetence</w:t>
      </w:r>
      <w:r w:rsidR="0056444A">
        <w:rPr>
          <w:rFonts w:eastAsia="Calibri"/>
          <w:szCs w:val="24"/>
        </w:rPr>
        <w:t xml:space="preserve"> k vymáhání justičních pohledávek na C</w:t>
      </w:r>
      <w:r w:rsidR="00D96CA2">
        <w:rPr>
          <w:rFonts w:eastAsia="Calibri"/>
          <w:szCs w:val="24"/>
        </w:rPr>
        <w:t>S ČR</w:t>
      </w:r>
      <w:r w:rsidR="0056444A">
        <w:rPr>
          <w:rFonts w:eastAsia="Calibri"/>
          <w:szCs w:val="24"/>
        </w:rPr>
        <w:t xml:space="preserve"> zavádět nové IT systémy, ale upravil</w:t>
      </w:r>
      <w:r>
        <w:rPr>
          <w:rFonts w:eastAsia="Calibri"/>
          <w:szCs w:val="24"/>
        </w:rPr>
        <w:t>o</w:t>
      </w:r>
      <w:r w:rsidR="0056444A">
        <w:rPr>
          <w:rFonts w:eastAsia="Calibri"/>
          <w:szCs w:val="24"/>
        </w:rPr>
        <w:t xml:space="preserve"> ty stávající. GŘC vynaložilo na realizaci úprav stávajících IT systémů využívaných v rámci dělené správy celkovou částku ve výši 2</w:t>
      </w:r>
      <w:r w:rsidR="00EF5382">
        <w:rPr>
          <w:rFonts w:eastAsia="Calibri"/>
          <w:szCs w:val="24"/>
        </w:rPr>
        <w:t xml:space="preserve"> </w:t>
      </w:r>
      <w:r w:rsidR="0056444A">
        <w:rPr>
          <w:rFonts w:eastAsia="Calibri"/>
          <w:szCs w:val="24"/>
        </w:rPr>
        <w:t>2</w:t>
      </w:r>
      <w:r w:rsidR="00EF5382">
        <w:rPr>
          <w:rFonts w:eastAsia="Calibri"/>
          <w:szCs w:val="24"/>
        </w:rPr>
        <w:t>30</w:t>
      </w:r>
      <w:r w:rsidR="0056444A">
        <w:rPr>
          <w:rFonts w:eastAsia="Calibri"/>
          <w:szCs w:val="24"/>
        </w:rPr>
        <w:t xml:space="preserve"> </w:t>
      </w:r>
      <w:r w:rsidR="00EF5382">
        <w:rPr>
          <w:rFonts w:eastAsia="Calibri"/>
          <w:szCs w:val="24"/>
        </w:rPr>
        <w:t>tis</w:t>
      </w:r>
      <w:r w:rsidR="0056444A">
        <w:rPr>
          <w:rFonts w:eastAsia="Calibri"/>
          <w:szCs w:val="24"/>
        </w:rPr>
        <w:t>. Kč.</w:t>
      </w:r>
    </w:p>
    <w:p w14:paraId="398CAE84" w14:textId="47D2F4C1" w:rsidR="00900701" w:rsidRDefault="0056444A" w:rsidP="00A247BE">
      <w:pPr>
        <w:spacing w:after="120"/>
        <w:rPr>
          <w:rFonts w:eastAsia="Calibri"/>
          <w:szCs w:val="24"/>
        </w:rPr>
      </w:pPr>
      <w:r w:rsidRPr="00EE332A">
        <w:rPr>
          <w:rFonts w:eastAsia="Calibri"/>
          <w:szCs w:val="24"/>
        </w:rPr>
        <w:t xml:space="preserve">CS ČR </w:t>
      </w:r>
      <w:r>
        <w:rPr>
          <w:rFonts w:eastAsia="Calibri"/>
          <w:szCs w:val="24"/>
        </w:rPr>
        <w:t>v</w:t>
      </w:r>
      <w:r w:rsidRPr="00EE332A">
        <w:rPr>
          <w:rFonts w:eastAsia="Calibri"/>
          <w:szCs w:val="24"/>
        </w:rPr>
        <w:t xml:space="preserve">yužitím informačních a komunikačních technologií </w:t>
      </w:r>
      <w:r>
        <w:rPr>
          <w:rFonts w:eastAsia="Calibri"/>
          <w:szCs w:val="24"/>
        </w:rPr>
        <w:t>docílila</w:t>
      </w:r>
      <w:r w:rsidRPr="00EE332A">
        <w:rPr>
          <w:rFonts w:eastAsia="Calibri"/>
          <w:szCs w:val="24"/>
        </w:rPr>
        <w:t xml:space="preserve"> vysoké </w:t>
      </w:r>
      <w:r w:rsidR="0097580D">
        <w:rPr>
          <w:rFonts w:eastAsia="Calibri"/>
          <w:szCs w:val="24"/>
        </w:rPr>
        <w:t xml:space="preserve">míry </w:t>
      </w:r>
      <w:r w:rsidRPr="00EE332A">
        <w:rPr>
          <w:rFonts w:eastAsia="Calibri"/>
          <w:szCs w:val="24"/>
        </w:rPr>
        <w:t>elektronizace a</w:t>
      </w:r>
      <w:r w:rsidR="00C37A09">
        <w:rPr>
          <w:rFonts w:eastAsia="Calibri"/>
          <w:szCs w:val="24"/>
        </w:rPr>
        <w:t> </w:t>
      </w:r>
      <w:r w:rsidRPr="00EE332A">
        <w:rPr>
          <w:rFonts w:eastAsia="Calibri"/>
          <w:szCs w:val="24"/>
        </w:rPr>
        <w:t>automatizace postupů při vymáhání justičních pohledávek.</w:t>
      </w:r>
      <w:r>
        <w:rPr>
          <w:rFonts w:eastAsia="Calibri"/>
          <w:szCs w:val="24"/>
        </w:rPr>
        <w:t xml:space="preserve"> </w:t>
      </w:r>
      <w:r w:rsidRPr="00590E21">
        <w:rPr>
          <w:rFonts w:eastAsia="Calibri"/>
          <w:szCs w:val="24"/>
        </w:rPr>
        <w:t>Využívání</w:t>
      </w:r>
      <w:r>
        <w:rPr>
          <w:rFonts w:eastAsia="Calibri"/>
          <w:szCs w:val="24"/>
        </w:rPr>
        <w:t xml:space="preserve"> </w:t>
      </w:r>
      <w:r w:rsidRPr="00590E21">
        <w:rPr>
          <w:rFonts w:eastAsia="Calibri"/>
          <w:szCs w:val="24"/>
        </w:rPr>
        <w:t>automatizovaných dálkových přístupů prakticky do všech registrů, které tuto možnost</w:t>
      </w:r>
      <w:r>
        <w:rPr>
          <w:rFonts w:eastAsia="Calibri"/>
          <w:szCs w:val="24"/>
        </w:rPr>
        <w:t xml:space="preserve"> </w:t>
      </w:r>
      <w:r w:rsidRPr="00590E21">
        <w:rPr>
          <w:rFonts w:eastAsia="Calibri"/>
          <w:szCs w:val="24"/>
        </w:rPr>
        <w:t>nabízejí, značně snižuje administrativní zatížení při zjišťování exekvovatelného majetku a</w:t>
      </w:r>
      <w:r w:rsidR="002D0ADD">
        <w:rPr>
          <w:rFonts w:eastAsia="Calibri"/>
          <w:szCs w:val="24"/>
        </w:rPr>
        <w:t> </w:t>
      </w:r>
      <w:r w:rsidRPr="00590E21">
        <w:rPr>
          <w:rFonts w:eastAsia="Calibri"/>
          <w:szCs w:val="24"/>
        </w:rPr>
        <w:t>zvyšuje efektivnost vymáhání převzatých justičních pohledávek.</w:t>
      </w:r>
    </w:p>
    <w:p w14:paraId="550264A7" w14:textId="090677D7" w:rsidR="00B74CAF" w:rsidRDefault="00B74CAF" w:rsidP="007B4349">
      <w:pPr>
        <w:keepNext/>
        <w:spacing w:before="120" w:after="40" w:line="240" w:lineRule="auto"/>
        <w:rPr>
          <w:rFonts w:eastAsia="Calibri"/>
          <w:b/>
          <w:bCs/>
        </w:rPr>
      </w:pPr>
      <w:r w:rsidRPr="00FF056A">
        <w:rPr>
          <w:rFonts w:eastAsia="Calibri"/>
          <w:b/>
          <w:bCs/>
        </w:rPr>
        <w:lastRenderedPageBreak/>
        <w:t>Schéma č. 1: Faktory ovlivňující efektivnost vymáhání justičních pohledávek</w:t>
      </w:r>
    </w:p>
    <w:tbl>
      <w:tblPr>
        <w:tblStyle w:val="Mkatabulky"/>
        <w:tblW w:w="0" w:type="auto"/>
        <w:tblLook w:val="04A0" w:firstRow="1" w:lastRow="0" w:firstColumn="1" w:lastColumn="0" w:noHBand="0" w:noVBand="1"/>
      </w:tblPr>
      <w:tblGrid>
        <w:gridCol w:w="4248"/>
        <w:gridCol w:w="4813"/>
      </w:tblGrid>
      <w:tr w:rsidR="00B74CAF" w:rsidRPr="00C37A09" w14:paraId="4C5E46B7" w14:textId="77777777" w:rsidTr="008602DC">
        <w:trPr>
          <w:trHeight w:val="567"/>
        </w:trPr>
        <w:tc>
          <w:tcPr>
            <w:tcW w:w="4248" w:type="dxa"/>
            <w:shd w:val="clear" w:color="auto" w:fill="2EB3A1"/>
            <w:vAlign w:val="center"/>
          </w:tcPr>
          <w:p w14:paraId="57DC425E" w14:textId="77777777" w:rsidR="00B74CAF" w:rsidRPr="00C37A09" w:rsidRDefault="00B74CAF" w:rsidP="00AC73C7">
            <w:pPr>
              <w:keepNext/>
              <w:spacing w:before="40" w:after="40"/>
              <w:jc w:val="center"/>
              <w:rPr>
                <w:rFonts w:ascii="Calibri" w:eastAsia="Calibri" w:hAnsi="Calibri" w:cs="Calibri"/>
                <w:b/>
                <w:bCs/>
                <w:color w:val="FFFFFF" w:themeColor="background1"/>
                <w:sz w:val="20"/>
                <w:szCs w:val="20"/>
              </w:rPr>
            </w:pPr>
            <w:r w:rsidRPr="00C37A09">
              <w:rPr>
                <w:rFonts w:ascii="Calibri" w:eastAsia="Calibri" w:hAnsi="Calibri" w:cs="Calibri"/>
                <w:b/>
                <w:bCs/>
                <w:color w:val="FFFFFF" w:themeColor="background1"/>
                <w:sz w:val="20"/>
                <w:szCs w:val="20"/>
              </w:rPr>
              <w:t>POZITIVNÍ FAKTORY</w:t>
            </w:r>
          </w:p>
        </w:tc>
        <w:tc>
          <w:tcPr>
            <w:tcW w:w="4813" w:type="dxa"/>
            <w:shd w:val="clear" w:color="auto" w:fill="AF1953"/>
            <w:vAlign w:val="center"/>
          </w:tcPr>
          <w:p w14:paraId="37EAF8F9" w14:textId="77777777" w:rsidR="00B74CAF" w:rsidRPr="00C37A09" w:rsidRDefault="00B74CAF" w:rsidP="00AC73C7">
            <w:pPr>
              <w:keepNext/>
              <w:spacing w:before="40" w:after="40"/>
              <w:jc w:val="center"/>
              <w:rPr>
                <w:rFonts w:ascii="Calibri" w:eastAsia="Calibri" w:hAnsi="Calibri" w:cs="Calibri"/>
                <w:b/>
                <w:bCs/>
                <w:color w:val="FFFFFF" w:themeColor="background1"/>
                <w:sz w:val="20"/>
                <w:szCs w:val="20"/>
              </w:rPr>
            </w:pPr>
            <w:r w:rsidRPr="00C37A09">
              <w:rPr>
                <w:rFonts w:ascii="Calibri" w:eastAsia="Calibri" w:hAnsi="Calibri" w:cs="Calibri"/>
                <w:b/>
                <w:bCs/>
                <w:color w:val="FFFFFF" w:themeColor="background1"/>
                <w:sz w:val="20"/>
                <w:szCs w:val="20"/>
              </w:rPr>
              <w:t>NEGATIVNÍ FAKTORY</w:t>
            </w:r>
          </w:p>
        </w:tc>
      </w:tr>
      <w:tr w:rsidR="00B74CAF" w:rsidRPr="00C37A09" w14:paraId="6F0A630C" w14:textId="77777777" w:rsidTr="008602DC">
        <w:trPr>
          <w:trHeight w:val="283"/>
        </w:trPr>
        <w:tc>
          <w:tcPr>
            <w:tcW w:w="4248" w:type="dxa"/>
            <w:shd w:val="clear" w:color="auto" w:fill="E2F1EE"/>
            <w:vAlign w:val="center"/>
          </w:tcPr>
          <w:p w14:paraId="57CBC7A6" w14:textId="028E8C51" w:rsidR="00B74CAF" w:rsidRPr="00C37A09" w:rsidRDefault="00B74CAF" w:rsidP="00AC73C7">
            <w:pPr>
              <w:keepNext/>
              <w:spacing w:before="40" w:after="40"/>
              <w:jc w:val="left"/>
              <w:rPr>
                <w:rFonts w:ascii="Calibri" w:eastAsia="Calibri" w:hAnsi="Calibri" w:cs="Calibri"/>
                <w:b/>
                <w:bCs/>
                <w:sz w:val="20"/>
                <w:szCs w:val="20"/>
              </w:rPr>
            </w:pPr>
            <w:r w:rsidRPr="00C37A09">
              <w:rPr>
                <w:rFonts w:ascii="Calibri" w:eastAsia="Calibri" w:hAnsi="Calibri" w:cs="Calibri"/>
                <w:sz w:val="20"/>
                <w:szCs w:val="20"/>
              </w:rPr>
              <w:t xml:space="preserve">Automatické generování </w:t>
            </w:r>
            <w:r w:rsidR="00CF1D71">
              <w:rPr>
                <w:rFonts w:ascii="Calibri" w:eastAsia="Calibri" w:hAnsi="Calibri" w:cs="Calibri"/>
                <w:sz w:val="20"/>
                <w:szCs w:val="20"/>
              </w:rPr>
              <w:t>v</w:t>
            </w:r>
            <w:r w:rsidRPr="00C37A09">
              <w:rPr>
                <w:rFonts w:ascii="Calibri" w:eastAsia="Calibri" w:hAnsi="Calibri" w:cs="Calibri"/>
                <w:sz w:val="20"/>
                <w:szCs w:val="20"/>
              </w:rPr>
              <w:t>yrozumění o</w:t>
            </w:r>
            <w:r w:rsidR="007B4349">
              <w:rPr>
                <w:rFonts w:ascii="Calibri" w:eastAsia="Calibri" w:hAnsi="Calibri" w:cs="Calibri"/>
                <w:sz w:val="20"/>
                <w:szCs w:val="20"/>
              </w:rPr>
              <w:t> </w:t>
            </w:r>
            <w:r w:rsidRPr="00C37A09">
              <w:rPr>
                <w:rFonts w:ascii="Calibri" w:eastAsia="Calibri" w:hAnsi="Calibri" w:cs="Calibri"/>
                <w:sz w:val="20"/>
                <w:szCs w:val="20"/>
              </w:rPr>
              <w:t>nedoplatku u CÚ.</w:t>
            </w:r>
          </w:p>
        </w:tc>
        <w:tc>
          <w:tcPr>
            <w:tcW w:w="4813" w:type="dxa"/>
            <w:shd w:val="clear" w:color="auto" w:fill="EDD4D9"/>
            <w:vAlign w:val="center"/>
          </w:tcPr>
          <w:p w14:paraId="3FB71E18" w14:textId="046C8665" w:rsidR="00B74CAF" w:rsidRPr="00C37A09" w:rsidRDefault="00F94EEF" w:rsidP="00AC73C7">
            <w:pPr>
              <w:keepNext/>
              <w:spacing w:before="40" w:after="40"/>
              <w:jc w:val="left"/>
              <w:rPr>
                <w:rFonts w:ascii="Calibri" w:eastAsia="Calibri" w:hAnsi="Calibri" w:cs="Calibri"/>
                <w:b/>
                <w:bCs/>
                <w:sz w:val="20"/>
                <w:szCs w:val="20"/>
              </w:rPr>
            </w:pPr>
            <w:r w:rsidRPr="00C37A09">
              <w:rPr>
                <w:rFonts w:ascii="Calibri" w:eastAsia="Calibri" w:hAnsi="Calibri" w:cs="Calibri"/>
                <w:sz w:val="20"/>
                <w:szCs w:val="20"/>
              </w:rPr>
              <w:t>U soudů i</w:t>
            </w:r>
            <w:r w:rsidR="00B74CAF" w:rsidRPr="00C37A09">
              <w:rPr>
                <w:rFonts w:ascii="Calibri" w:eastAsia="Calibri" w:hAnsi="Calibri" w:cs="Calibri"/>
                <w:sz w:val="20"/>
                <w:szCs w:val="20"/>
              </w:rPr>
              <w:t>nformační systém IRES nedisponoval funkcemi, které by zajistily potřebnou automatizaci úkonů spojených s vymáháním</w:t>
            </w:r>
            <w:r w:rsidR="00B74CAF" w:rsidRPr="00C37A09">
              <w:rPr>
                <w:rStyle w:val="Znakapoznpodarou"/>
                <w:rFonts w:ascii="Calibri" w:eastAsia="Calibri" w:hAnsi="Calibri" w:cs="Calibri"/>
                <w:sz w:val="20"/>
                <w:szCs w:val="20"/>
              </w:rPr>
              <w:footnoteReference w:id="43"/>
            </w:r>
            <w:r w:rsidR="00B74CAF" w:rsidRPr="00C37A09">
              <w:rPr>
                <w:rFonts w:ascii="Calibri" w:eastAsia="Calibri" w:hAnsi="Calibri" w:cs="Calibri"/>
                <w:sz w:val="20"/>
                <w:szCs w:val="20"/>
              </w:rPr>
              <w:t>.</w:t>
            </w:r>
          </w:p>
        </w:tc>
      </w:tr>
      <w:tr w:rsidR="00B74CAF" w:rsidRPr="00C37A09" w14:paraId="162F4A99" w14:textId="77777777" w:rsidTr="008602DC">
        <w:trPr>
          <w:trHeight w:val="283"/>
        </w:trPr>
        <w:tc>
          <w:tcPr>
            <w:tcW w:w="4248" w:type="dxa"/>
            <w:shd w:val="clear" w:color="auto" w:fill="E2F1EE"/>
            <w:vAlign w:val="center"/>
          </w:tcPr>
          <w:p w14:paraId="7C86A583" w14:textId="526C9147" w:rsidR="00B74CAF" w:rsidRPr="00C37A09" w:rsidRDefault="00F94EEF" w:rsidP="00AC73C7">
            <w:pPr>
              <w:keepNext/>
              <w:spacing w:before="40" w:after="40"/>
              <w:jc w:val="left"/>
              <w:rPr>
                <w:rFonts w:ascii="Calibri" w:eastAsia="Calibri" w:hAnsi="Calibri" w:cs="Calibri"/>
                <w:b/>
                <w:bCs/>
                <w:sz w:val="20"/>
                <w:szCs w:val="20"/>
              </w:rPr>
            </w:pPr>
            <w:r w:rsidRPr="00C37A09">
              <w:rPr>
                <w:rFonts w:ascii="Calibri" w:eastAsia="Calibri" w:hAnsi="Calibri" w:cs="Calibri"/>
                <w:sz w:val="20"/>
                <w:szCs w:val="20"/>
              </w:rPr>
              <w:t>U CÚ a</w:t>
            </w:r>
            <w:r w:rsidR="00C56E09" w:rsidRPr="00C37A09">
              <w:rPr>
                <w:rFonts w:ascii="Calibri" w:eastAsia="Calibri" w:hAnsi="Calibri" w:cs="Calibri"/>
                <w:sz w:val="20"/>
                <w:szCs w:val="20"/>
              </w:rPr>
              <w:t>plikace MED byla automaticky propojena se základními registry.</w:t>
            </w:r>
          </w:p>
        </w:tc>
        <w:tc>
          <w:tcPr>
            <w:tcW w:w="4813" w:type="dxa"/>
            <w:shd w:val="clear" w:color="auto" w:fill="EDD4D9"/>
            <w:vAlign w:val="center"/>
          </w:tcPr>
          <w:p w14:paraId="548890FE" w14:textId="1BFF754C" w:rsidR="00B74CAF" w:rsidRPr="00C37A09" w:rsidRDefault="00B74CAF" w:rsidP="00AC73C7">
            <w:pPr>
              <w:keepNext/>
              <w:spacing w:before="40" w:after="40"/>
              <w:jc w:val="left"/>
              <w:rPr>
                <w:rFonts w:ascii="Calibri" w:eastAsia="Calibri" w:hAnsi="Calibri" w:cs="Calibri"/>
                <w:b/>
                <w:bCs/>
                <w:sz w:val="20"/>
                <w:szCs w:val="20"/>
              </w:rPr>
            </w:pPr>
            <w:r w:rsidRPr="00C37A09">
              <w:rPr>
                <w:rFonts w:ascii="Calibri" w:eastAsia="Calibri" w:hAnsi="Calibri" w:cs="Calibri"/>
                <w:sz w:val="20"/>
                <w:szCs w:val="20"/>
              </w:rPr>
              <w:t xml:space="preserve">KS Ostrava i OS PM v některých případech </w:t>
            </w:r>
            <w:r w:rsidR="00FD14D4" w:rsidRPr="00C37A09">
              <w:rPr>
                <w:rFonts w:ascii="Calibri" w:eastAsia="Calibri" w:hAnsi="Calibri" w:cs="Calibri"/>
                <w:sz w:val="20"/>
                <w:szCs w:val="20"/>
              </w:rPr>
              <w:t>ne</w:t>
            </w:r>
            <w:r w:rsidRPr="00C37A09">
              <w:rPr>
                <w:rFonts w:ascii="Calibri" w:eastAsia="Calibri" w:hAnsi="Calibri" w:cs="Calibri"/>
                <w:sz w:val="20"/>
                <w:szCs w:val="20"/>
              </w:rPr>
              <w:t>vymáh</w:t>
            </w:r>
            <w:r w:rsidR="00FD14D4" w:rsidRPr="00C37A09">
              <w:rPr>
                <w:rFonts w:ascii="Calibri" w:eastAsia="Calibri" w:hAnsi="Calibri" w:cs="Calibri"/>
                <w:sz w:val="20"/>
                <w:szCs w:val="20"/>
              </w:rPr>
              <w:t>aly</w:t>
            </w:r>
            <w:r w:rsidRPr="00C37A09">
              <w:rPr>
                <w:rFonts w:ascii="Calibri" w:eastAsia="Calibri" w:hAnsi="Calibri" w:cs="Calibri"/>
                <w:sz w:val="20"/>
                <w:szCs w:val="20"/>
              </w:rPr>
              <w:t xml:space="preserve"> justiční pohledáv</w:t>
            </w:r>
            <w:r w:rsidR="00FD14D4" w:rsidRPr="00C37A09">
              <w:rPr>
                <w:rFonts w:ascii="Calibri" w:eastAsia="Calibri" w:hAnsi="Calibri" w:cs="Calibri"/>
                <w:sz w:val="20"/>
                <w:szCs w:val="20"/>
              </w:rPr>
              <w:t>ky</w:t>
            </w:r>
            <w:r w:rsidRPr="00C37A09">
              <w:rPr>
                <w:rFonts w:ascii="Calibri" w:eastAsia="Calibri" w:hAnsi="Calibri" w:cs="Calibri"/>
                <w:sz w:val="20"/>
                <w:szCs w:val="20"/>
              </w:rPr>
              <w:t>.</w:t>
            </w:r>
          </w:p>
        </w:tc>
      </w:tr>
      <w:tr w:rsidR="00B74CAF" w:rsidRPr="00C37A09" w14:paraId="41FBF2C6" w14:textId="77777777" w:rsidTr="008602DC">
        <w:trPr>
          <w:trHeight w:val="283"/>
        </w:trPr>
        <w:tc>
          <w:tcPr>
            <w:tcW w:w="4248" w:type="dxa"/>
            <w:shd w:val="clear" w:color="auto" w:fill="E2F1EE"/>
            <w:vAlign w:val="center"/>
          </w:tcPr>
          <w:p w14:paraId="2F4D9FC2" w14:textId="2A0E40AA" w:rsidR="00B74CAF" w:rsidRPr="00C37A09" w:rsidRDefault="00F94EEF" w:rsidP="00AC73C7">
            <w:pPr>
              <w:keepNext/>
              <w:spacing w:before="40" w:after="40"/>
              <w:jc w:val="left"/>
              <w:rPr>
                <w:rFonts w:ascii="Calibri" w:eastAsia="Calibri" w:hAnsi="Calibri" w:cs="Calibri"/>
                <w:b/>
                <w:bCs/>
                <w:sz w:val="20"/>
                <w:szCs w:val="20"/>
              </w:rPr>
            </w:pPr>
            <w:r w:rsidRPr="00C37A09">
              <w:rPr>
                <w:rFonts w:ascii="Calibri" w:eastAsia="Calibri" w:hAnsi="Calibri" w:cs="Calibri"/>
                <w:sz w:val="20"/>
                <w:szCs w:val="20"/>
              </w:rPr>
              <w:t>U CÚ a</w:t>
            </w:r>
            <w:r w:rsidR="00B74CAF" w:rsidRPr="00C37A09">
              <w:rPr>
                <w:rFonts w:ascii="Calibri" w:eastAsia="Calibri" w:hAnsi="Calibri" w:cs="Calibri"/>
                <w:sz w:val="20"/>
                <w:szCs w:val="20"/>
              </w:rPr>
              <w:t>plikace MED automaticky nastavovala prekluzivní lhůty a upozorňovala na případný zánik nedoplatků.</w:t>
            </w:r>
          </w:p>
        </w:tc>
        <w:tc>
          <w:tcPr>
            <w:tcW w:w="4813" w:type="dxa"/>
            <w:shd w:val="clear" w:color="auto" w:fill="EDD4D9"/>
            <w:vAlign w:val="center"/>
          </w:tcPr>
          <w:p w14:paraId="4FF69697" w14:textId="551BE6C8" w:rsidR="00B74CAF" w:rsidRPr="00C37A09" w:rsidRDefault="00B74CAF" w:rsidP="00AC73C7">
            <w:pPr>
              <w:keepNext/>
              <w:spacing w:before="40" w:after="40"/>
              <w:jc w:val="left"/>
              <w:rPr>
                <w:rFonts w:ascii="Calibri" w:eastAsia="Calibri" w:hAnsi="Calibri" w:cs="Calibri"/>
                <w:b/>
                <w:bCs/>
                <w:sz w:val="20"/>
                <w:szCs w:val="20"/>
              </w:rPr>
            </w:pPr>
            <w:r w:rsidRPr="00C37A09">
              <w:rPr>
                <w:rFonts w:ascii="Calibri" w:eastAsia="Calibri" w:hAnsi="Calibri" w:cs="Calibri"/>
                <w:sz w:val="20"/>
                <w:szCs w:val="20"/>
              </w:rPr>
              <w:t xml:space="preserve">Více </w:t>
            </w:r>
            <w:r w:rsidR="00CF1D71">
              <w:rPr>
                <w:rFonts w:ascii="Calibri" w:eastAsia="Calibri" w:hAnsi="Calibri" w:cs="Calibri"/>
                <w:sz w:val="20"/>
                <w:szCs w:val="20"/>
              </w:rPr>
              <w:t>než</w:t>
            </w:r>
            <w:r w:rsidRPr="00C37A09">
              <w:rPr>
                <w:rFonts w:ascii="Calibri" w:eastAsia="Calibri" w:hAnsi="Calibri" w:cs="Calibri"/>
                <w:sz w:val="20"/>
                <w:szCs w:val="20"/>
              </w:rPr>
              <w:t xml:space="preserve"> 75 % z celkového množství pohledávek zaevidovaných CÚ v roce 2024 tvořily staré pohledávky. Průměrná doba stáří pohledávky</w:t>
            </w:r>
            <w:r w:rsidRPr="00C37A09">
              <w:rPr>
                <w:rStyle w:val="Znakapoznpodarou"/>
                <w:rFonts w:ascii="Calibri" w:eastAsia="Calibri" w:hAnsi="Calibri" w:cs="Calibri"/>
                <w:sz w:val="20"/>
                <w:szCs w:val="20"/>
              </w:rPr>
              <w:footnoteReference w:id="44"/>
            </w:r>
            <w:r w:rsidRPr="00C37A09">
              <w:rPr>
                <w:rFonts w:ascii="Calibri" w:eastAsia="Calibri" w:hAnsi="Calibri" w:cs="Calibri"/>
                <w:sz w:val="20"/>
                <w:szCs w:val="20"/>
              </w:rPr>
              <w:t xml:space="preserve"> činila 1 079 dní, tj.</w:t>
            </w:r>
            <w:r w:rsidR="00C37A09">
              <w:rPr>
                <w:rFonts w:ascii="Calibri" w:eastAsia="Calibri" w:hAnsi="Calibri" w:cs="Calibri"/>
                <w:sz w:val="20"/>
                <w:szCs w:val="20"/>
              </w:rPr>
              <w:t> </w:t>
            </w:r>
            <w:r w:rsidRPr="00C37A09">
              <w:rPr>
                <w:rFonts w:ascii="Calibri" w:eastAsia="Calibri" w:hAnsi="Calibri" w:cs="Calibri"/>
                <w:sz w:val="20"/>
                <w:szCs w:val="20"/>
              </w:rPr>
              <w:t>téměř tři roky.</w:t>
            </w:r>
          </w:p>
        </w:tc>
      </w:tr>
      <w:tr w:rsidR="00B74CAF" w:rsidRPr="00C37A09" w14:paraId="488D6735" w14:textId="77777777" w:rsidTr="008602DC">
        <w:trPr>
          <w:trHeight w:val="283"/>
        </w:trPr>
        <w:tc>
          <w:tcPr>
            <w:tcW w:w="4248" w:type="dxa"/>
            <w:shd w:val="clear" w:color="auto" w:fill="E2F1EE"/>
            <w:vAlign w:val="center"/>
          </w:tcPr>
          <w:p w14:paraId="799D808D" w14:textId="7AA20711" w:rsidR="00B74CAF" w:rsidRPr="00C37A09" w:rsidRDefault="00F94EEF" w:rsidP="00AC73C7">
            <w:pPr>
              <w:keepNext/>
              <w:spacing w:before="40" w:after="40"/>
              <w:jc w:val="left"/>
              <w:rPr>
                <w:rFonts w:ascii="Calibri" w:eastAsia="Calibri" w:hAnsi="Calibri" w:cs="Calibri"/>
                <w:b/>
                <w:bCs/>
                <w:sz w:val="20"/>
                <w:szCs w:val="20"/>
              </w:rPr>
            </w:pPr>
            <w:r w:rsidRPr="00C37A09">
              <w:rPr>
                <w:rFonts w:ascii="Calibri" w:eastAsia="Calibri" w:hAnsi="Calibri" w:cs="Calibri"/>
                <w:sz w:val="20"/>
                <w:szCs w:val="20"/>
              </w:rPr>
              <w:t>U CÚ a</w:t>
            </w:r>
            <w:r w:rsidR="00C56E09" w:rsidRPr="00C37A09">
              <w:rPr>
                <w:rFonts w:ascii="Calibri" w:eastAsia="Calibri" w:hAnsi="Calibri" w:cs="Calibri"/>
                <w:sz w:val="20"/>
                <w:szCs w:val="20"/>
              </w:rPr>
              <w:t>plikace MED prováděla automatické součinnostní dotazy podle nastavených priorit a</w:t>
            </w:r>
            <w:r w:rsidR="007B4349">
              <w:rPr>
                <w:rFonts w:ascii="Calibri" w:eastAsia="Calibri" w:hAnsi="Calibri" w:cs="Calibri"/>
                <w:sz w:val="20"/>
                <w:szCs w:val="20"/>
              </w:rPr>
              <w:t> </w:t>
            </w:r>
            <w:r w:rsidR="00C56E09" w:rsidRPr="00C37A09">
              <w:rPr>
                <w:rFonts w:ascii="Calibri" w:eastAsia="Calibri" w:hAnsi="Calibri" w:cs="Calibri"/>
                <w:sz w:val="20"/>
                <w:szCs w:val="20"/>
              </w:rPr>
              <w:t>odpovědi na ně se automatizovaně načítaly do této aplikace.</w:t>
            </w:r>
          </w:p>
        </w:tc>
        <w:tc>
          <w:tcPr>
            <w:tcW w:w="4813" w:type="dxa"/>
            <w:shd w:val="clear" w:color="auto" w:fill="EDD4D9"/>
            <w:vAlign w:val="center"/>
          </w:tcPr>
          <w:p w14:paraId="2A598D45" w14:textId="67A5CA13" w:rsidR="00B74CAF" w:rsidRPr="00C37A09" w:rsidRDefault="00B74CAF" w:rsidP="00AC73C7">
            <w:pPr>
              <w:keepNext/>
              <w:spacing w:before="40" w:after="40"/>
              <w:jc w:val="left"/>
              <w:rPr>
                <w:rFonts w:ascii="Calibri" w:eastAsia="Calibri" w:hAnsi="Calibri" w:cs="Calibri"/>
                <w:b/>
                <w:bCs/>
                <w:sz w:val="20"/>
                <w:szCs w:val="20"/>
              </w:rPr>
            </w:pPr>
            <w:r w:rsidRPr="00C37A09">
              <w:rPr>
                <w:rFonts w:ascii="Calibri" w:eastAsia="Calibri" w:hAnsi="Calibri" w:cs="Calibri"/>
                <w:sz w:val="20"/>
                <w:szCs w:val="20"/>
              </w:rPr>
              <w:t>Zvýšená administrativní zátěž při evidenci starých pohledávek z důvodu velkého množství soudy předávaných dokumentů</w:t>
            </w:r>
            <w:r w:rsidRPr="00C37A09">
              <w:rPr>
                <w:rStyle w:val="Znakapoznpodarou"/>
                <w:rFonts w:ascii="Calibri" w:eastAsia="Calibri" w:hAnsi="Calibri" w:cs="Calibri"/>
                <w:sz w:val="20"/>
                <w:szCs w:val="20"/>
              </w:rPr>
              <w:footnoteReference w:id="45"/>
            </w:r>
            <w:r w:rsidRPr="00C37A09">
              <w:rPr>
                <w:rFonts w:ascii="Calibri" w:eastAsia="Calibri" w:hAnsi="Calibri" w:cs="Calibri"/>
                <w:sz w:val="20"/>
                <w:szCs w:val="20"/>
              </w:rPr>
              <w:t xml:space="preserve">, příp. jejich nečitelnosti nebo </w:t>
            </w:r>
            <w:r w:rsidR="008E6002" w:rsidRPr="00C37A09">
              <w:rPr>
                <w:rFonts w:ascii="Calibri" w:eastAsia="Calibri" w:hAnsi="Calibri" w:cs="Calibri"/>
                <w:sz w:val="20"/>
                <w:szCs w:val="20"/>
              </w:rPr>
              <w:t>absence</w:t>
            </w:r>
            <w:r w:rsidRPr="00C37A09">
              <w:rPr>
                <w:rFonts w:ascii="Calibri" w:eastAsia="Calibri" w:hAnsi="Calibri" w:cs="Calibri"/>
                <w:sz w:val="20"/>
                <w:szCs w:val="20"/>
              </w:rPr>
              <w:t>.</w:t>
            </w:r>
          </w:p>
        </w:tc>
      </w:tr>
      <w:tr w:rsidR="00B74CAF" w:rsidRPr="00C37A09" w14:paraId="6F2A45E7" w14:textId="77777777" w:rsidTr="008602DC">
        <w:trPr>
          <w:trHeight w:val="283"/>
        </w:trPr>
        <w:tc>
          <w:tcPr>
            <w:tcW w:w="4248" w:type="dxa"/>
            <w:shd w:val="clear" w:color="auto" w:fill="E2F1EE"/>
          </w:tcPr>
          <w:p w14:paraId="73BD3F9B" w14:textId="34886576" w:rsidR="00B74CAF" w:rsidRPr="00C37A09" w:rsidRDefault="00B74CAF" w:rsidP="00AC73C7">
            <w:pPr>
              <w:keepNext/>
              <w:spacing w:before="40" w:after="40"/>
              <w:jc w:val="left"/>
              <w:rPr>
                <w:rFonts w:ascii="Calibri" w:eastAsia="Calibri" w:hAnsi="Calibri" w:cs="Calibri"/>
                <w:b/>
                <w:bCs/>
                <w:sz w:val="20"/>
                <w:szCs w:val="20"/>
              </w:rPr>
            </w:pPr>
          </w:p>
        </w:tc>
        <w:tc>
          <w:tcPr>
            <w:tcW w:w="4813" w:type="dxa"/>
            <w:shd w:val="clear" w:color="auto" w:fill="EDD4D9"/>
            <w:vAlign w:val="center"/>
          </w:tcPr>
          <w:p w14:paraId="3E3E17F7" w14:textId="583020A9" w:rsidR="00B74CAF" w:rsidRPr="00C37A09" w:rsidRDefault="00B74CAF" w:rsidP="00AC73C7">
            <w:pPr>
              <w:keepNext/>
              <w:spacing w:before="40" w:after="40"/>
              <w:jc w:val="left"/>
              <w:rPr>
                <w:rFonts w:ascii="Calibri" w:eastAsia="Calibri" w:hAnsi="Calibri" w:cs="Calibri"/>
                <w:b/>
                <w:bCs/>
                <w:sz w:val="20"/>
                <w:szCs w:val="20"/>
              </w:rPr>
            </w:pPr>
            <w:r w:rsidRPr="00C37A09">
              <w:rPr>
                <w:rFonts w:ascii="Calibri" w:eastAsia="Calibri" w:hAnsi="Calibri" w:cs="Calibri"/>
                <w:sz w:val="20"/>
                <w:szCs w:val="20"/>
              </w:rPr>
              <w:t>Soudy předávaly CÚ i justiční pohledávky, které již byly odepsány pro nedobytnost a byly evidovány na podrozvahových účtech. CÚ musely zjišťovat, zda jsou splněny podmínky pro nedobytnost</w:t>
            </w:r>
            <w:r w:rsidRPr="00C37A09">
              <w:rPr>
                <w:rStyle w:val="Znakapoznpodarou"/>
                <w:rFonts w:ascii="Calibri" w:eastAsia="Calibri" w:hAnsi="Calibri" w:cs="Calibri"/>
                <w:sz w:val="20"/>
                <w:szCs w:val="20"/>
              </w:rPr>
              <w:footnoteReference w:id="46"/>
            </w:r>
            <w:r w:rsidRPr="00C37A09">
              <w:rPr>
                <w:rFonts w:ascii="Calibri" w:eastAsia="Calibri" w:hAnsi="Calibri" w:cs="Calibri"/>
                <w:sz w:val="20"/>
                <w:szCs w:val="20"/>
              </w:rPr>
              <w:t xml:space="preserve">. </w:t>
            </w:r>
          </w:p>
        </w:tc>
      </w:tr>
      <w:tr w:rsidR="00B74CAF" w:rsidRPr="00C37A09" w14:paraId="41982A8B" w14:textId="77777777" w:rsidTr="008602DC">
        <w:trPr>
          <w:trHeight w:val="283"/>
        </w:trPr>
        <w:tc>
          <w:tcPr>
            <w:tcW w:w="4248" w:type="dxa"/>
            <w:shd w:val="clear" w:color="auto" w:fill="E2F1EE"/>
          </w:tcPr>
          <w:p w14:paraId="43C8B3B1" w14:textId="77777777" w:rsidR="00B74CAF" w:rsidRPr="00C37A09" w:rsidRDefault="00B74CAF" w:rsidP="00AC73C7">
            <w:pPr>
              <w:keepNext/>
              <w:spacing w:before="40" w:after="40"/>
              <w:jc w:val="left"/>
              <w:rPr>
                <w:rFonts w:ascii="Calibri" w:eastAsia="Calibri" w:hAnsi="Calibri" w:cs="Calibri"/>
                <w:b/>
                <w:bCs/>
                <w:sz w:val="20"/>
                <w:szCs w:val="20"/>
              </w:rPr>
            </w:pPr>
          </w:p>
        </w:tc>
        <w:tc>
          <w:tcPr>
            <w:tcW w:w="4813" w:type="dxa"/>
            <w:shd w:val="clear" w:color="auto" w:fill="EDD4D9"/>
            <w:vAlign w:val="center"/>
          </w:tcPr>
          <w:p w14:paraId="05A2620C" w14:textId="2A717567" w:rsidR="00B74CAF" w:rsidRPr="00C37A09" w:rsidRDefault="00B74CAF" w:rsidP="00AC73C7">
            <w:pPr>
              <w:keepNext/>
              <w:spacing w:before="40" w:after="40"/>
              <w:jc w:val="left"/>
              <w:rPr>
                <w:rFonts w:ascii="Calibri" w:eastAsia="Calibri" w:hAnsi="Calibri" w:cs="Calibri"/>
                <w:sz w:val="20"/>
                <w:szCs w:val="20"/>
              </w:rPr>
            </w:pPr>
            <w:r w:rsidRPr="00C37A09">
              <w:rPr>
                <w:rFonts w:ascii="Calibri" w:eastAsia="Calibri" w:hAnsi="Calibri" w:cs="Calibri"/>
                <w:sz w:val="20"/>
                <w:szCs w:val="20"/>
              </w:rPr>
              <w:t xml:space="preserve">Největší </w:t>
            </w:r>
            <w:r w:rsidR="00651A81" w:rsidRPr="00C37A09">
              <w:rPr>
                <w:rFonts w:ascii="Calibri" w:eastAsia="Calibri" w:hAnsi="Calibri" w:cs="Calibri"/>
                <w:sz w:val="20"/>
                <w:szCs w:val="20"/>
              </w:rPr>
              <w:t>objem</w:t>
            </w:r>
            <w:r w:rsidRPr="00C37A09">
              <w:rPr>
                <w:rFonts w:ascii="Calibri" w:eastAsia="Calibri" w:hAnsi="Calibri" w:cs="Calibri"/>
                <w:sz w:val="20"/>
                <w:szCs w:val="20"/>
              </w:rPr>
              <w:t xml:space="preserve"> justičních pohledávek </w:t>
            </w:r>
            <w:r w:rsidR="00651A81" w:rsidRPr="00C37A09">
              <w:rPr>
                <w:rFonts w:ascii="Calibri" w:eastAsia="Calibri" w:hAnsi="Calibri" w:cs="Calibri"/>
                <w:sz w:val="20"/>
                <w:szCs w:val="20"/>
              </w:rPr>
              <w:t xml:space="preserve">byl předán </w:t>
            </w:r>
            <w:r w:rsidRPr="00C37A09">
              <w:rPr>
                <w:rFonts w:ascii="Calibri" w:eastAsia="Calibri" w:hAnsi="Calibri" w:cs="Calibri"/>
                <w:sz w:val="20"/>
                <w:szCs w:val="20"/>
              </w:rPr>
              <w:t>v druhé polovině roku 2024</w:t>
            </w:r>
            <w:r w:rsidR="0062510C">
              <w:rPr>
                <w:rFonts w:ascii="Calibri" w:eastAsia="Calibri" w:hAnsi="Calibri" w:cs="Calibri"/>
                <w:sz w:val="20"/>
                <w:szCs w:val="20"/>
              </w:rPr>
              <w:t>,</w:t>
            </w:r>
            <w:r w:rsidRPr="00C37A09">
              <w:rPr>
                <w:rFonts w:ascii="Calibri" w:eastAsia="Calibri" w:hAnsi="Calibri" w:cs="Calibri"/>
                <w:sz w:val="20"/>
                <w:szCs w:val="20"/>
              </w:rPr>
              <w:t xml:space="preserve"> z toho důvodu neměly CÚ dostatečný časový prostor k provedení veškerých úkonů k vymáhání.</w:t>
            </w:r>
          </w:p>
        </w:tc>
      </w:tr>
    </w:tbl>
    <w:p w14:paraId="05A4FB94" w14:textId="77777777" w:rsidR="00B74CAF" w:rsidRPr="000D39C5" w:rsidRDefault="00B74CAF" w:rsidP="00C37A09">
      <w:pPr>
        <w:spacing w:before="40" w:after="120" w:line="240" w:lineRule="auto"/>
        <w:rPr>
          <w:rFonts w:eastAsia="Calibri"/>
          <w:sz w:val="20"/>
          <w:szCs w:val="20"/>
        </w:rPr>
      </w:pPr>
      <w:r w:rsidRPr="00C37A09">
        <w:rPr>
          <w:rFonts w:eastAsia="Calibri"/>
          <w:b/>
          <w:bCs/>
          <w:sz w:val="20"/>
          <w:szCs w:val="20"/>
        </w:rPr>
        <w:t>Zdroj:</w:t>
      </w:r>
      <w:r>
        <w:rPr>
          <w:rFonts w:eastAsia="Calibri"/>
          <w:sz w:val="20"/>
          <w:szCs w:val="20"/>
        </w:rPr>
        <w:t xml:space="preserve"> vypracoval NKÚ.</w:t>
      </w:r>
    </w:p>
    <w:p w14:paraId="76EB5D24" w14:textId="19DED535" w:rsidR="00B13811" w:rsidRDefault="001D3FA6" w:rsidP="00A247BE">
      <w:pPr>
        <w:spacing w:before="240" w:after="240"/>
        <w:rPr>
          <w:rFonts w:ascii="Calibri" w:hAnsi="Calibri" w:cs="Calibri"/>
        </w:rPr>
      </w:pPr>
      <w:r>
        <w:rPr>
          <w:rFonts w:eastAsia="Calibri"/>
        </w:rPr>
        <w:t xml:space="preserve">NKÚ </w:t>
      </w:r>
      <w:r w:rsidR="009B5E9D">
        <w:rPr>
          <w:rFonts w:eastAsia="Calibri"/>
        </w:rPr>
        <w:t>na základě analýzy</w:t>
      </w:r>
      <w:r w:rsidR="00E81044">
        <w:rPr>
          <w:rFonts w:eastAsia="Calibri"/>
        </w:rPr>
        <w:t xml:space="preserve"> statistických dat</w:t>
      </w:r>
      <w:r w:rsidR="00B13811" w:rsidRPr="008346CB">
        <w:rPr>
          <w:rFonts w:ascii="Calibri" w:hAnsi="Calibri" w:cs="Calibri"/>
        </w:rPr>
        <w:t xml:space="preserve"> </w:t>
      </w:r>
      <w:r w:rsidR="0067349A">
        <w:rPr>
          <w:rFonts w:ascii="Calibri" w:hAnsi="Calibri" w:cs="Calibri"/>
        </w:rPr>
        <w:t xml:space="preserve">provedl výpočet </w:t>
      </w:r>
      <w:r w:rsidR="00B13811" w:rsidRPr="008346CB">
        <w:rPr>
          <w:rFonts w:ascii="Calibri" w:hAnsi="Calibri" w:cs="Calibri"/>
        </w:rPr>
        <w:t>úspěšnost</w:t>
      </w:r>
      <w:r w:rsidR="008E1811">
        <w:rPr>
          <w:rFonts w:ascii="Calibri" w:hAnsi="Calibri" w:cs="Calibri"/>
        </w:rPr>
        <w:t>i</w:t>
      </w:r>
      <w:r w:rsidR="00B13811" w:rsidRPr="008346CB">
        <w:rPr>
          <w:rFonts w:ascii="Calibri" w:hAnsi="Calibri" w:cs="Calibri"/>
        </w:rPr>
        <w:t xml:space="preserve"> vymáhání daňových justičních pohledávek v jednotlivých letech kontrolovaného období u jednotlivých soudů a</w:t>
      </w:r>
      <w:r w:rsidR="00C37A09">
        <w:rPr>
          <w:rFonts w:ascii="Calibri" w:hAnsi="Calibri" w:cs="Calibri"/>
        </w:rPr>
        <w:t> </w:t>
      </w:r>
      <w:r w:rsidR="00B13811" w:rsidRPr="008346CB">
        <w:rPr>
          <w:rFonts w:ascii="Calibri" w:hAnsi="Calibri" w:cs="Calibri"/>
        </w:rPr>
        <w:t xml:space="preserve">podle způsobu vymáhání (soudy vymáhající vlastními </w:t>
      </w:r>
      <w:r w:rsidR="00B5527B">
        <w:rPr>
          <w:rFonts w:ascii="Calibri" w:hAnsi="Calibri" w:cs="Calibri"/>
        </w:rPr>
        <w:t>zaměstnanci</w:t>
      </w:r>
      <w:r w:rsidR="00B5527B" w:rsidRPr="008346CB">
        <w:rPr>
          <w:rFonts w:ascii="Calibri" w:hAnsi="Calibri" w:cs="Calibri"/>
        </w:rPr>
        <w:t xml:space="preserve"> </w:t>
      </w:r>
      <w:r w:rsidR="00B13811" w:rsidRPr="008346CB">
        <w:rPr>
          <w:rFonts w:ascii="Calibri" w:hAnsi="Calibri" w:cs="Calibri"/>
        </w:rPr>
        <w:t xml:space="preserve">nebo soudy s uzavřenou smlouvou o provedení exekucí se soudním exekutorem). </w:t>
      </w:r>
      <w:r w:rsidR="009B4258">
        <w:rPr>
          <w:rFonts w:ascii="Calibri" w:hAnsi="Calibri" w:cs="Calibri"/>
        </w:rPr>
        <w:t xml:space="preserve">Zároveň </w:t>
      </w:r>
      <w:r w:rsidR="008E1811">
        <w:rPr>
          <w:rFonts w:ascii="Calibri" w:hAnsi="Calibri" w:cs="Calibri"/>
        </w:rPr>
        <w:t>provedl výpočet</w:t>
      </w:r>
      <w:r w:rsidR="009B4258">
        <w:rPr>
          <w:rFonts w:ascii="Calibri" w:hAnsi="Calibri" w:cs="Calibri"/>
        </w:rPr>
        <w:t xml:space="preserve"> úspěšnost</w:t>
      </w:r>
      <w:r w:rsidR="008E1811">
        <w:rPr>
          <w:rFonts w:ascii="Calibri" w:hAnsi="Calibri" w:cs="Calibri"/>
        </w:rPr>
        <w:t>i</w:t>
      </w:r>
      <w:r w:rsidR="009B4258">
        <w:rPr>
          <w:rFonts w:ascii="Calibri" w:hAnsi="Calibri" w:cs="Calibri"/>
        </w:rPr>
        <w:t xml:space="preserve"> vymáhání justičních pohledávek předaných </w:t>
      </w:r>
      <w:r w:rsidR="001373FF">
        <w:rPr>
          <w:rFonts w:ascii="Calibri" w:hAnsi="Calibri" w:cs="Calibri"/>
        </w:rPr>
        <w:t xml:space="preserve">na </w:t>
      </w:r>
      <w:r w:rsidR="009B4258">
        <w:rPr>
          <w:rFonts w:ascii="Calibri" w:hAnsi="Calibri" w:cs="Calibri"/>
        </w:rPr>
        <w:t>CÚ v roce 2024 a v</w:t>
      </w:r>
      <w:r w:rsidR="00B13811" w:rsidRPr="008346CB">
        <w:rPr>
          <w:rFonts w:ascii="Calibri" w:hAnsi="Calibri" w:cs="Calibri"/>
        </w:rPr>
        <w:t xml:space="preserve">ýsledné hodnoty následně porovnal mezi </w:t>
      </w:r>
      <w:r w:rsidR="009B4258">
        <w:rPr>
          <w:rFonts w:ascii="Calibri" w:hAnsi="Calibri" w:cs="Calibri"/>
        </w:rPr>
        <w:t>sebou</w:t>
      </w:r>
      <w:r w:rsidR="00B13811" w:rsidRPr="008346CB">
        <w:rPr>
          <w:rFonts w:ascii="Calibri" w:hAnsi="Calibri" w:cs="Calibri"/>
        </w:rPr>
        <w:t>.</w:t>
      </w:r>
    </w:p>
    <w:p w14:paraId="4E8A1B6B" w14:textId="212CA78D" w:rsidR="00D37B21" w:rsidRPr="00691405" w:rsidRDefault="00D37B21" w:rsidP="00C37A09">
      <w:pPr>
        <w:keepNext/>
        <w:tabs>
          <w:tab w:val="left" w:pos="993"/>
        </w:tabs>
        <w:spacing w:after="0" w:line="240" w:lineRule="auto"/>
        <w:ind w:left="993" w:hanging="993"/>
        <w:rPr>
          <w:rFonts w:eastAsia="Calibri"/>
          <w:b/>
          <w:bCs/>
        </w:rPr>
      </w:pPr>
      <w:r w:rsidRPr="00691405">
        <w:rPr>
          <w:rFonts w:eastAsia="Calibri"/>
          <w:b/>
          <w:bCs/>
        </w:rPr>
        <w:lastRenderedPageBreak/>
        <w:t xml:space="preserve">Graf č. </w:t>
      </w:r>
      <w:r w:rsidR="00F53275">
        <w:rPr>
          <w:rFonts w:eastAsia="Calibri"/>
          <w:b/>
          <w:bCs/>
        </w:rPr>
        <w:t>1</w:t>
      </w:r>
      <w:r w:rsidRPr="00691405">
        <w:rPr>
          <w:rFonts w:eastAsia="Calibri"/>
          <w:b/>
          <w:bCs/>
        </w:rPr>
        <w:t xml:space="preserve">: </w:t>
      </w:r>
      <w:r w:rsidR="00C37A09">
        <w:rPr>
          <w:rFonts w:eastAsia="Calibri"/>
          <w:b/>
          <w:bCs/>
        </w:rPr>
        <w:tab/>
      </w:r>
      <w:r>
        <w:rPr>
          <w:rFonts w:eastAsia="Calibri"/>
          <w:b/>
          <w:bCs/>
        </w:rPr>
        <w:t>Úspěšnost způsobů vymáhání justičních pohledávek u soudů v letech 2021 až 2023 (v %)</w:t>
      </w:r>
    </w:p>
    <w:p w14:paraId="234AB28A" w14:textId="77777777" w:rsidR="00D37B21" w:rsidRPr="003F29E9" w:rsidRDefault="00D37B21" w:rsidP="00D37B21">
      <w:pPr>
        <w:spacing w:after="120" w:line="240" w:lineRule="auto"/>
        <w:rPr>
          <w:rFonts w:eastAsia="Calibri"/>
          <w:sz w:val="20"/>
          <w:szCs w:val="20"/>
        </w:rPr>
      </w:pPr>
      <w:r>
        <w:rPr>
          <w:noProof/>
        </w:rPr>
        <w:drawing>
          <wp:inline distT="0" distB="0" distL="0" distR="0" wp14:anchorId="15F077DF" wp14:editId="5E0DE9D1">
            <wp:extent cx="5731510" cy="2395392"/>
            <wp:effectExtent l="0" t="0" r="2540" b="5080"/>
            <wp:docPr id="691406407" name="Graf 1">
              <a:extLst xmlns:a="http://schemas.openxmlformats.org/drawingml/2006/main">
                <a:ext uri="{FF2B5EF4-FFF2-40B4-BE49-F238E27FC236}">
                  <a16:creationId xmlns:a16="http://schemas.microsoft.com/office/drawing/2014/main" id="{69EEB00B-00B8-37DA-8592-3D485F146F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C37A09">
        <w:rPr>
          <w:rFonts w:eastAsia="Calibri"/>
          <w:b/>
          <w:bCs/>
          <w:sz w:val="20"/>
          <w:szCs w:val="20"/>
        </w:rPr>
        <w:t xml:space="preserve">Zdroj: </w:t>
      </w:r>
      <w:r w:rsidRPr="003F29E9">
        <w:rPr>
          <w:rFonts w:eastAsia="Calibri"/>
          <w:sz w:val="20"/>
          <w:szCs w:val="20"/>
        </w:rPr>
        <w:t>vypracoval NKÚ na základě dat poskytnutých MSp.</w:t>
      </w:r>
    </w:p>
    <w:p w14:paraId="03B01A60" w14:textId="369F5CEA" w:rsidR="00D37B21" w:rsidRDefault="00D37B21" w:rsidP="00AC73C7">
      <w:pPr>
        <w:spacing w:before="240" w:after="240"/>
        <w:rPr>
          <w:rFonts w:eastAsia="Calibri"/>
        </w:rPr>
      </w:pPr>
      <w:r w:rsidRPr="008F1F07">
        <w:rPr>
          <w:rFonts w:eastAsia="Calibri"/>
          <w:szCs w:val="24"/>
        </w:rPr>
        <w:t>Soudy využívající k vymáhání justičních pohledávek soudního exekutora dosahovaly v průměru o 0,</w:t>
      </w:r>
      <w:r>
        <w:rPr>
          <w:rFonts w:eastAsia="Calibri"/>
          <w:szCs w:val="24"/>
        </w:rPr>
        <w:t>4</w:t>
      </w:r>
      <w:r w:rsidRPr="008F1F07">
        <w:rPr>
          <w:rFonts w:eastAsia="Calibri"/>
          <w:szCs w:val="24"/>
        </w:rPr>
        <w:t xml:space="preserve"> p. b. lepší úspěšnost vymáhání než soudy vymáhající pohledávky vlastními </w:t>
      </w:r>
      <w:r>
        <w:rPr>
          <w:rFonts w:eastAsia="Calibri"/>
          <w:szCs w:val="24"/>
        </w:rPr>
        <w:t xml:space="preserve">zaměstnanci. MSp nezjistilo, že </w:t>
      </w:r>
      <w:r w:rsidR="0062510C">
        <w:rPr>
          <w:rFonts w:eastAsia="Calibri"/>
          <w:szCs w:val="24"/>
        </w:rPr>
        <w:t xml:space="preserve">by </w:t>
      </w:r>
      <w:r>
        <w:rPr>
          <w:rFonts w:eastAsia="Calibri"/>
          <w:szCs w:val="24"/>
        </w:rPr>
        <w:t>se úspěšnost podle jednotlivých způsobů vymáhání lišila.</w:t>
      </w:r>
    </w:p>
    <w:p w14:paraId="0F7AB5AE" w14:textId="217EB76F" w:rsidR="007B0DE6" w:rsidRDefault="007B0DE6" w:rsidP="00AC73C7">
      <w:pPr>
        <w:spacing w:before="360" w:after="120" w:line="240" w:lineRule="auto"/>
        <w:rPr>
          <w:rFonts w:ascii="Calibri" w:hAnsi="Calibri" w:cs="Calibri"/>
          <w:b/>
          <w:bCs/>
        </w:rPr>
      </w:pPr>
      <w:r w:rsidRPr="007B0DE6">
        <w:rPr>
          <w:rFonts w:ascii="Calibri" w:hAnsi="Calibri" w:cs="Calibri"/>
          <w:b/>
          <w:bCs/>
        </w:rPr>
        <w:t xml:space="preserve">Graf č. </w:t>
      </w:r>
      <w:r w:rsidR="00F53275">
        <w:rPr>
          <w:rFonts w:ascii="Calibri" w:hAnsi="Calibri" w:cs="Calibri"/>
          <w:b/>
          <w:bCs/>
        </w:rPr>
        <w:t>2</w:t>
      </w:r>
      <w:r w:rsidRPr="007B0DE6">
        <w:rPr>
          <w:rFonts w:ascii="Calibri" w:hAnsi="Calibri" w:cs="Calibri"/>
          <w:b/>
          <w:bCs/>
        </w:rPr>
        <w:t xml:space="preserve">: </w:t>
      </w:r>
      <w:r>
        <w:rPr>
          <w:rFonts w:ascii="Calibri" w:hAnsi="Calibri" w:cs="Calibri"/>
          <w:b/>
          <w:bCs/>
        </w:rPr>
        <w:t>Úspěšnost vymáhání justičních pohledávek v letech 2021 až 2024 (v %)</w:t>
      </w:r>
    </w:p>
    <w:p w14:paraId="624D1D5E" w14:textId="49CD5B54" w:rsidR="0074782D" w:rsidRDefault="00691405" w:rsidP="00CF4F95">
      <w:pPr>
        <w:spacing w:after="0" w:line="240" w:lineRule="auto"/>
        <w:rPr>
          <w:rFonts w:ascii="Calibri" w:hAnsi="Calibri" w:cs="Calibri"/>
          <w:sz w:val="20"/>
          <w:szCs w:val="20"/>
        </w:rPr>
      </w:pPr>
      <w:r>
        <w:rPr>
          <w:noProof/>
        </w:rPr>
        <w:drawing>
          <wp:inline distT="0" distB="0" distL="0" distR="0" wp14:anchorId="1CA8E046" wp14:editId="44DD9D47">
            <wp:extent cx="5749290" cy="2552466"/>
            <wp:effectExtent l="0" t="0" r="3810" b="635"/>
            <wp:docPr id="2146799689" name="Graf 1">
              <a:extLst xmlns:a="http://schemas.openxmlformats.org/drawingml/2006/main">
                <a:ext uri="{FF2B5EF4-FFF2-40B4-BE49-F238E27FC236}">
                  <a16:creationId xmlns:a16="http://schemas.microsoft.com/office/drawing/2014/main" id="{35ECDA20-D364-4DA4-9989-8BE4461767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7B0DE6" w:rsidRPr="00C37A09">
        <w:rPr>
          <w:rFonts w:ascii="Calibri" w:hAnsi="Calibri" w:cs="Calibri"/>
          <w:b/>
          <w:bCs/>
          <w:sz w:val="20"/>
          <w:szCs w:val="20"/>
        </w:rPr>
        <w:t>Zdroj:</w:t>
      </w:r>
      <w:r w:rsidR="007B0DE6" w:rsidRPr="007B0DE6">
        <w:rPr>
          <w:rFonts w:ascii="Calibri" w:hAnsi="Calibri" w:cs="Calibri"/>
          <w:sz w:val="20"/>
          <w:szCs w:val="20"/>
        </w:rPr>
        <w:t xml:space="preserve"> </w:t>
      </w:r>
      <w:r w:rsidR="003F29E9">
        <w:rPr>
          <w:rFonts w:ascii="Calibri" w:hAnsi="Calibri" w:cs="Calibri"/>
          <w:sz w:val="20"/>
          <w:szCs w:val="20"/>
        </w:rPr>
        <w:t>vypracoval</w:t>
      </w:r>
      <w:r w:rsidR="007B0DE6" w:rsidRPr="007B0DE6">
        <w:rPr>
          <w:rFonts w:ascii="Calibri" w:hAnsi="Calibri" w:cs="Calibri"/>
          <w:sz w:val="20"/>
          <w:szCs w:val="20"/>
        </w:rPr>
        <w:t xml:space="preserve"> NKÚ</w:t>
      </w:r>
      <w:r w:rsidR="00DE7089">
        <w:rPr>
          <w:rFonts w:ascii="Calibri" w:hAnsi="Calibri" w:cs="Calibri"/>
          <w:sz w:val="20"/>
          <w:szCs w:val="20"/>
        </w:rPr>
        <w:t xml:space="preserve"> na základě dat uvedených v tabulce č. 7 a 8.</w:t>
      </w:r>
    </w:p>
    <w:p w14:paraId="7FE1934A" w14:textId="0C00A3AF" w:rsidR="00CF4F95" w:rsidRPr="007B0DE6" w:rsidRDefault="00CF4F95" w:rsidP="00C37A09">
      <w:pPr>
        <w:spacing w:line="240" w:lineRule="auto"/>
        <w:ind w:left="567" w:hanging="567"/>
        <w:rPr>
          <w:rFonts w:ascii="Calibri" w:hAnsi="Calibri" w:cs="Calibri"/>
          <w:sz w:val="20"/>
          <w:szCs w:val="20"/>
        </w:rPr>
      </w:pPr>
      <w:r w:rsidRPr="00C37A09">
        <w:rPr>
          <w:rFonts w:ascii="Calibri" w:hAnsi="Calibri" w:cs="Calibri"/>
          <w:b/>
          <w:bCs/>
          <w:sz w:val="20"/>
          <w:szCs w:val="20"/>
        </w:rPr>
        <w:t>Pozn</w:t>
      </w:r>
      <w:r w:rsidR="00A6669F">
        <w:rPr>
          <w:rFonts w:ascii="Calibri" w:hAnsi="Calibri" w:cs="Calibri"/>
          <w:b/>
          <w:bCs/>
          <w:sz w:val="20"/>
          <w:szCs w:val="20"/>
        </w:rPr>
        <w:t>.</w:t>
      </w:r>
      <w:r w:rsidRPr="00C37A09">
        <w:rPr>
          <w:rFonts w:ascii="Calibri" w:hAnsi="Calibri" w:cs="Calibri"/>
          <w:b/>
          <w:bCs/>
          <w:sz w:val="20"/>
          <w:szCs w:val="20"/>
        </w:rPr>
        <w:t>:</w:t>
      </w:r>
      <w:r>
        <w:rPr>
          <w:rFonts w:ascii="Calibri" w:hAnsi="Calibri" w:cs="Calibri"/>
          <w:sz w:val="20"/>
          <w:szCs w:val="20"/>
        </w:rPr>
        <w:t xml:space="preserve"> Úspěšnost vymáhání představovala poměr mezi vymoženými a vymáhanými justičními pohledávkami.</w:t>
      </w:r>
      <w:r w:rsidR="00941916">
        <w:rPr>
          <w:rFonts w:ascii="Calibri" w:hAnsi="Calibri" w:cs="Calibri"/>
          <w:sz w:val="20"/>
          <w:szCs w:val="20"/>
        </w:rPr>
        <w:t xml:space="preserve"> </w:t>
      </w:r>
      <w:r w:rsidR="00941916">
        <w:rPr>
          <w:sz w:val="20"/>
          <w:szCs w:val="20"/>
          <w:lang w:eastAsia="cs-CZ"/>
        </w:rPr>
        <w:t>V grafu nejsou zahrnuty údaje o justičních pohledávkách uložených Vězeňskou službou ČR</w:t>
      </w:r>
      <w:r w:rsidR="00712965">
        <w:rPr>
          <w:sz w:val="20"/>
          <w:szCs w:val="20"/>
          <w:lang w:eastAsia="cs-CZ"/>
        </w:rPr>
        <w:t xml:space="preserve"> a </w:t>
      </w:r>
      <w:r w:rsidR="000D3688">
        <w:rPr>
          <w:sz w:val="20"/>
          <w:szCs w:val="20"/>
          <w:lang w:eastAsia="cs-CZ"/>
        </w:rPr>
        <w:t>s</w:t>
      </w:r>
      <w:r w:rsidR="00712965">
        <w:rPr>
          <w:sz w:val="20"/>
          <w:szCs w:val="20"/>
          <w:lang w:eastAsia="cs-CZ"/>
        </w:rPr>
        <w:t>tátním zastupitelstvím</w:t>
      </w:r>
      <w:r w:rsidR="00941916">
        <w:rPr>
          <w:sz w:val="20"/>
          <w:szCs w:val="20"/>
          <w:lang w:eastAsia="cs-CZ"/>
        </w:rPr>
        <w:t>.</w:t>
      </w:r>
    </w:p>
    <w:p w14:paraId="1512AD38" w14:textId="352F0494" w:rsidR="002C446F" w:rsidRDefault="5DA25004" w:rsidP="00AC73C7">
      <w:pPr>
        <w:spacing w:before="240" w:after="120"/>
        <w:rPr>
          <w:rFonts w:ascii="Calibri" w:eastAsia="Calibri" w:hAnsi="Calibri" w:cs="Calibri"/>
          <w:szCs w:val="24"/>
        </w:rPr>
      </w:pPr>
      <w:r w:rsidRPr="3B984AB8">
        <w:rPr>
          <w:rFonts w:eastAsia="Calibri"/>
        </w:rPr>
        <w:t xml:space="preserve">NKÚ </w:t>
      </w:r>
      <w:r w:rsidR="00541AF3">
        <w:rPr>
          <w:rFonts w:eastAsia="Calibri"/>
        </w:rPr>
        <w:t>na základě</w:t>
      </w:r>
      <w:r w:rsidR="007B4349">
        <w:rPr>
          <w:rFonts w:eastAsia="Calibri"/>
        </w:rPr>
        <w:t xml:space="preserve"> </w:t>
      </w:r>
      <w:r w:rsidR="008B2F97">
        <w:rPr>
          <w:rFonts w:eastAsia="Calibri"/>
        </w:rPr>
        <w:t xml:space="preserve">výpočtů úspěšnosti vymáhání </w:t>
      </w:r>
      <w:r w:rsidRPr="3B984AB8">
        <w:rPr>
          <w:rFonts w:eastAsia="Calibri"/>
        </w:rPr>
        <w:t xml:space="preserve">zjistil, že </w:t>
      </w:r>
      <w:r w:rsidR="00D210A7" w:rsidRPr="001E0E02">
        <w:rPr>
          <w:rFonts w:eastAsia="Calibri"/>
        </w:rPr>
        <w:t>celní úřady vymáhaly justiční pohledávky efektivněji než soudy.</w:t>
      </w:r>
      <w:r w:rsidR="001E0E02">
        <w:rPr>
          <w:rFonts w:eastAsia="Calibri"/>
        </w:rPr>
        <w:t xml:space="preserve"> Ú</w:t>
      </w:r>
      <w:r w:rsidRPr="3B984AB8">
        <w:rPr>
          <w:rFonts w:eastAsia="Calibri"/>
        </w:rPr>
        <w:t>spěšnost vymáhání daňových justičních pohledávek za všechny soudy dosahovala v letech 2021</w:t>
      </w:r>
      <w:r w:rsidR="003E791D">
        <w:rPr>
          <w:rFonts w:eastAsia="Calibri"/>
        </w:rPr>
        <w:t xml:space="preserve"> </w:t>
      </w:r>
      <w:r w:rsidR="00A031CF">
        <w:rPr>
          <w:rFonts w:eastAsia="Calibri"/>
        </w:rPr>
        <w:t xml:space="preserve">až </w:t>
      </w:r>
      <w:r w:rsidRPr="3B984AB8">
        <w:rPr>
          <w:rFonts w:eastAsia="Calibri"/>
        </w:rPr>
        <w:t>2023 průměrné hodnoty 8,3 %. Úspěšnost vymáhání justičních pohledávek</w:t>
      </w:r>
      <w:r w:rsidR="00051F67">
        <w:rPr>
          <w:rFonts w:eastAsia="Calibri"/>
        </w:rPr>
        <w:t xml:space="preserve"> předaných C</w:t>
      </w:r>
      <w:r w:rsidR="00AB7017">
        <w:rPr>
          <w:rFonts w:eastAsia="Calibri"/>
        </w:rPr>
        <w:t>Ú</w:t>
      </w:r>
      <w:r w:rsidR="00051F67">
        <w:rPr>
          <w:rFonts w:eastAsia="Calibri"/>
        </w:rPr>
        <w:t xml:space="preserve"> v roce 2024</w:t>
      </w:r>
      <w:r w:rsidRPr="3B984AB8">
        <w:rPr>
          <w:rFonts w:eastAsia="Calibri"/>
        </w:rPr>
        <w:t xml:space="preserve"> dosáhla </w:t>
      </w:r>
      <w:r w:rsidR="00051F67">
        <w:rPr>
          <w:rFonts w:eastAsia="Calibri"/>
        </w:rPr>
        <w:t>ke dni</w:t>
      </w:r>
      <w:r w:rsidRPr="3B984AB8">
        <w:rPr>
          <w:rFonts w:eastAsia="Calibri"/>
        </w:rPr>
        <w:t xml:space="preserve"> 15.</w:t>
      </w:r>
      <w:r w:rsidR="00C37A09">
        <w:rPr>
          <w:rFonts w:eastAsia="Calibri"/>
        </w:rPr>
        <w:t> </w:t>
      </w:r>
      <w:r w:rsidRPr="3B984AB8">
        <w:rPr>
          <w:rFonts w:eastAsia="Calibri"/>
        </w:rPr>
        <w:t>4.</w:t>
      </w:r>
      <w:r w:rsidR="00C37A09">
        <w:rPr>
          <w:rFonts w:eastAsia="Calibri"/>
        </w:rPr>
        <w:t> </w:t>
      </w:r>
      <w:r w:rsidRPr="3B984AB8">
        <w:rPr>
          <w:rFonts w:eastAsia="Calibri"/>
        </w:rPr>
        <w:t xml:space="preserve">2025 průměrné hodnoty 8,8 %. </w:t>
      </w:r>
      <w:r w:rsidR="000D2227" w:rsidRPr="00BD2579">
        <w:rPr>
          <w:rFonts w:ascii="Calibri" w:eastAsia="Calibri" w:hAnsi="Calibri" w:cs="Calibri"/>
          <w:szCs w:val="24"/>
        </w:rPr>
        <w:t>NKÚ zjistil, že</w:t>
      </w:r>
      <w:r w:rsidR="000D2227">
        <w:rPr>
          <w:rFonts w:ascii="Calibri" w:eastAsia="Calibri" w:hAnsi="Calibri" w:cs="Calibri"/>
          <w:szCs w:val="24"/>
        </w:rPr>
        <w:t xml:space="preserve"> úspěšnost vymáhání justičních pohledávek CÚ v čase rostla; k 30. 4. 2025 se zvýšila oproti stavu k 28.</w:t>
      </w:r>
      <w:r w:rsidR="00C37A09">
        <w:rPr>
          <w:rFonts w:ascii="Calibri" w:eastAsia="Calibri" w:hAnsi="Calibri" w:cs="Calibri"/>
          <w:szCs w:val="24"/>
        </w:rPr>
        <w:t> </w:t>
      </w:r>
      <w:r w:rsidR="000D2227">
        <w:rPr>
          <w:rFonts w:ascii="Calibri" w:eastAsia="Calibri" w:hAnsi="Calibri" w:cs="Calibri"/>
          <w:szCs w:val="24"/>
        </w:rPr>
        <w:t>2.</w:t>
      </w:r>
      <w:r w:rsidR="00C37A09">
        <w:rPr>
          <w:rFonts w:ascii="Calibri" w:eastAsia="Calibri" w:hAnsi="Calibri" w:cs="Calibri"/>
          <w:szCs w:val="24"/>
        </w:rPr>
        <w:t> </w:t>
      </w:r>
      <w:r w:rsidR="000D2227">
        <w:rPr>
          <w:rFonts w:ascii="Calibri" w:eastAsia="Calibri" w:hAnsi="Calibri" w:cs="Calibri"/>
          <w:szCs w:val="24"/>
        </w:rPr>
        <w:t>2025</w:t>
      </w:r>
      <w:r w:rsidR="000D2227" w:rsidRPr="00BD2579">
        <w:rPr>
          <w:rFonts w:ascii="Calibri" w:eastAsia="Calibri" w:hAnsi="Calibri" w:cs="Calibri"/>
          <w:szCs w:val="24"/>
        </w:rPr>
        <w:t xml:space="preserve"> o cca </w:t>
      </w:r>
      <w:r w:rsidR="000D2227">
        <w:rPr>
          <w:rFonts w:ascii="Calibri" w:eastAsia="Calibri" w:hAnsi="Calibri" w:cs="Calibri"/>
          <w:szCs w:val="24"/>
        </w:rPr>
        <w:t xml:space="preserve">jeden </w:t>
      </w:r>
      <w:r w:rsidR="000D2227" w:rsidRPr="00BD2579">
        <w:rPr>
          <w:rFonts w:ascii="Calibri" w:eastAsia="Calibri" w:hAnsi="Calibri" w:cs="Calibri"/>
          <w:szCs w:val="24"/>
        </w:rPr>
        <w:t>procentní bod.</w:t>
      </w:r>
    </w:p>
    <w:p w14:paraId="2801EC28" w14:textId="6268E8A1" w:rsidR="003763E3" w:rsidRPr="003E791D" w:rsidRDefault="00F92293" w:rsidP="00AC73C7">
      <w:pPr>
        <w:pStyle w:val="Nadpis3"/>
        <w:keepLines w:val="0"/>
        <w:spacing w:before="240" w:line="259" w:lineRule="auto"/>
        <w:ind w:left="425" w:hanging="425"/>
        <w:jc w:val="left"/>
      </w:pPr>
      <w:r w:rsidRPr="003E791D">
        <w:lastRenderedPageBreak/>
        <w:t>M</w:t>
      </w:r>
      <w:r w:rsidR="007504EB">
        <w:t>inisterstvo financí</w:t>
      </w:r>
      <w:r w:rsidRPr="003E791D">
        <w:t xml:space="preserve"> </w:t>
      </w:r>
      <w:r w:rsidR="00DF2BEB" w:rsidRPr="003E791D">
        <w:t>upravovalo stavy</w:t>
      </w:r>
      <w:r w:rsidRPr="003E791D">
        <w:t xml:space="preserve"> systemizovan</w:t>
      </w:r>
      <w:r w:rsidR="00DF2BEB" w:rsidRPr="003E791D">
        <w:t>ých</w:t>
      </w:r>
      <w:r w:rsidRPr="003E791D">
        <w:t xml:space="preserve"> míst bez </w:t>
      </w:r>
      <w:r w:rsidR="00DF2BEB" w:rsidRPr="003E791D">
        <w:t xml:space="preserve">provedení </w:t>
      </w:r>
      <w:r w:rsidRPr="003E791D">
        <w:t>analýzy a</w:t>
      </w:r>
      <w:r w:rsidR="00C37A09">
        <w:t> </w:t>
      </w:r>
      <w:r w:rsidRPr="003E791D">
        <w:t>kvantifikac</w:t>
      </w:r>
      <w:r w:rsidR="00334C8D" w:rsidRPr="003E791D">
        <w:t>e</w:t>
      </w:r>
      <w:r w:rsidRPr="003E791D">
        <w:t xml:space="preserve"> úspor </w:t>
      </w:r>
    </w:p>
    <w:p w14:paraId="350EAA6A" w14:textId="602A837F" w:rsidR="00491B3B" w:rsidRDefault="00474283" w:rsidP="00AC73C7">
      <w:pPr>
        <w:pStyle w:val="Odstavecseseznamem"/>
        <w:spacing w:after="120"/>
        <w:ind w:left="0"/>
        <w:contextualSpacing w:val="0"/>
        <w:rPr>
          <w:rFonts w:ascii="Calibri" w:eastAsia="Calibri" w:hAnsi="Calibri" w:cs="Calibri"/>
          <w:szCs w:val="24"/>
        </w:rPr>
      </w:pPr>
      <w:r>
        <w:rPr>
          <w:rFonts w:ascii="Calibri" w:hAnsi="Calibri" w:cs="Calibri"/>
        </w:rPr>
        <w:t>MF ve spolupráci s MSp v</w:t>
      </w:r>
      <w:r w:rsidR="00D54CE0" w:rsidRPr="0032254D">
        <w:rPr>
          <w:rFonts w:ascii="Calibri" w:hAnsi="Calibri" w:cs="Calibri"/>
        </w:rPr>
        <w:t xml:space="preserve"> </w:t>
      </w:r>
      <w:r w:rsidR="00D54CE0" w:rsidRPr="00D54CE0">
        <w:rPr>
          <w:rFonts w:ascii="Calibri" w:hAnsi="Calibri" w:cs="Calibri"/>
        </w:rPr>
        <w:t>d</w:t>
      </w:r>
      <w:r w:rsidR="00491B3B" w:rsidRPr="00D54CE0">
        <w:rPr>
          <w:rFonts w:ascii="Calibri" w:hAnsi="Calibri" w:cs="Calibri"/>
        </w:rPr>
        <w:t>ůvodov</w:t>
      </w:r>
      <w:r w:rsidR="00D54CE0" w:rsidRPr="00D54CE0">
        <w:rPr>
          <w:rFonts w:ascii="Calibri" w:hAnsi="Calibri" w:cs="Calibri"/>
        </w:rPr>
        <w:t>é</w:t>
      </w:r>
      <w:r w:rsidR="00491B3B" w:rsidRPr="00D54CE0">
        <w:rPr>
          <w:rFonts w:ascii="Calibri" w:hAnsi="Calibri" w:cs="Calibri"/>
        </w:rPr>
        <w:t xml:space="preserve"> zpráv</w:t>
      </w:r>
      <w:r w:rsidR="00D54CE0" w:rsidRPr="00D54CE0">
        <w:rPr>
          <w:rFonts w:ascii="Calibri" w:hAnsi="Calibri" w:cs="Calibri"/>
        </w:rPr>
        <w:t>ě</w:t>
      </w:r>
      <w:r w:rsidR="00491B3B" w:rsidRPr="00D54CE0">
        <w:rPr>
          <w:rFonts w:ascii="Calibri" w:hAnsi="Calibri" w:cs="Calibri"/>
        </w:rPr>
        <w:t xml:space="preserve"> k zákonu </w:t>
      </w:r>
      <w:r w:rsidR="00D54CE0" w:rsidRPr="00D54CE0">
        <w:rPr>
          <w:rFonts w:ascii="Calibri" w:hAnsi="Calibri" w:cs="Calibri"/>
        </w:rPr>
        <w:t>o konsolidaci veřejných rozpočtů</w:t>
      </w:r>
      <w:r w:rsidR="00491B3B" w:rsidRPr="00561F94">
        <w:rPr>
          <w:rFonts w:ascii="Calibri" w:hAnsi="Calibri" w:cs="Calibri"/>
        </w:rPr>
        <w:t xml:space="preserve"> </w:t>
      </w:r>
      <w:r>
        <w:rPr>
          <w:rFonts w:ascii="Calibri" w:hAnsi="Calibri" w:cs="Calibri"/>
        </w:rPr>
        <w:t>uvedlo</w:t>
      </w:r>
      <w:r w:rsidR="00491B3B" w:rsidRPr="00561F94">
        <w:rPr>
          <w:rFonts w:ascii="Calibri" w:hAnsi="Calibri" w:cs="Calibri"/>
        </w:rPr>
        <w:t>, že vlivem vymáhání daňových justičních pohledávek prostřednictvím CÚ na straně státního rozpočtu doj</w:t>
      </w:r>
      <w:r w:rsidR="00D54CE0">
        <w:rPr>
          <w:rFonts w:ascii="Calibri" w:hAnsi="Calibri" w:cs="Calibri"/>
        </w:rPr>
        <w:t>de</w:t>
      </w:r>
      <w:r w:rsidR="00491B3B" w:rsidRPr="00561F94">
        <w:rPr>
          <w:rFonts w:ascii="Calibri" w:hAnsi="Calibri" w:cs="Calibri"/>
        </w:rPr>
        <w:t xml:space="preserve"> </w:t>
      </w:r>
      <w:r w:rsidR="00E470E9">
        <w:rPr>
          <w:rFonts w:ascii="Calibri" w:hAnsi="Calibri" w:cs="Calibri"/>
        </w:rPr>
        <w:t>díky</w:t>
      </w:r>
      <w:r w:rsidR="000438A8">
        <w:rPr>
          <w:rFonts w:ascii="Calibri" w:hAnsi="Calibri" w:cs="Calibri"/>
        </w:rPr>
        <w:t xml:space="preserve"> </w:t>
      </w:r>
      <w:r w:rsidR="00491B3B" w:rsidRPr="00561F94">
        <w:rPr>
          <w:rFonts w:ascii="Calibri" w:hAnsi="Calibri" w:cs="Calibri"/>
        </w:rPr>
        <w:t>zefektivnění</w:t>
      </w:r>
      <w:r w:rsidR="00E470E9">
        <w:rPr>
          <w:rFonts w:ascii="Calibri" w:hAnsi="Calibri" w:cs="Calibri"/>
        </w:rPr>
        <w:t xml:space="preserve"> </w:t>
      </w:r>
      <w:r w:rsidR="00491B3B" w:rsidRPr="00561F94">
        <w:rPr>
          <w:rFonts w:ascii="Calibri" w:hAnsi="Calibri" w:cs="Calibri"/>
        </w:rPr>
        <w:t>k úspoře v podobě personálních a souvisejících nákladů v</w:t>
      </w:r>
      <w:r w:rsidR="00C37A09">
        <w:rPr>
          <w:rFonts w:ascii="Calibri" w:hAnsi="Calibri" w:cs="Calibri"/>
        </w:rPr>
        <w:t> </w:t>
      </w:r>
      <w:r w:rsidR="00491B3B" w:rsidRPr="00561F94">
        <w:rPr>
          <w:rFonts w:ascii="Calibri" w:hAnsi="Calibri" w:cs="Calibri"/>
        </w:rPr>
        <w:t>re</w:t>
      </w:r>
      <w:r w:rsidR="00491B3B">
        <w:rPr>
          <w:rFonts w:ascii="Calibri" w:hAnsi="Calibri" w:cs="Calibri"/>
        </w:rPr>
        <w:t>s</w:t>
      </w:r>
      <w:r w:rsidR="00491B3B" w:rsidRPr="00561F94">
        <w:rPr>
          <w:rFonts w:ascii="Calibri" w:hAnsi="Calibri" w:cs="Calibri"/>
        </w:rPr>
        <w:t xml:space="preserve">ortu </w:t>
      </w:r>
      <w:r w:rsidR="00491B3B">
        <w:rPr>
          <w:rFonts w:ascii="Calibri" w:hAnsi="Calibri" w:cs="Calibri"/>
        </w:rPr>
        <w:t>MSp</w:t>
      </w:r>
      <w:r w:rsidR="00491B3B" w:rsidRPr="00561F94">
        <w:rPr>
          <w:rFonts w:ascii="Calibri" w:hAnsi="Calibri" w:cs="Calibri"/>
        </w:rPr>
        <w:t xml:space="preserve"> při současném dílčím navýšení personálních a souvisejících nákladů v re</w:t>
      </w:r>
      <w:r w:rsidR="00491B3B">
        <w:rPr>
          <w:rFonts w:ascii="Calibri" w:hAnsi="Calibri" w:cs="Calibri"/>
        </w:rPr>
        <w:t>s</w:t>
      </w:r>
      <w:r w:rsidR="00491B3B" w:rsidRPr="00561F94">
        <w:rPr>
          <w:rFonts w:ascii="Calibri" w:hAnsi="Calibri" w:cs="Calibri"/>
        </w:rPr>
        <w:t>ortu M</w:t>
      </w:r>
      <w:r w:rsidR="00491B3B">
        <w:rPr>
          <w:rFonts w:ascii="Calibri" w:hAnsi="Calibri" w:cs="Calibri"/>
        </w:rPr>
        <w:t>F</w:t>
      </w:r>
      <w:r w:rsidR="00491B3B" w:rsidRPr="00561F94">
        <w:rPr>
          <w:rFonts w:ascii="Calibri" w:hAnsi="Calibri" w:cs="Calibri"/>
        </w:rPr>
        <w:t>, pod které orgány C</w:t>
      </w:r>
      <w:r w:rsidR="00491B3B">
        <w:rPr>
          <w:rFonts w:ascii="Calibri" w:hAnsi="Calibri" w:cs="Calibri"/>
        </w:rPr>
        <w:t xml:space="preserve">S ČR </w:t>
      </w:r>
      <w:r w:rsidR="00491B3B" w:rsidRPr="00561F94">
        <w:rPr>
          <w:rFonts w:ascii="Calibri" w:hAnsi="Calibri" w:cs="Calibri"/>
        </w:rPr>
        <w:t xml:space="preserve">spadají. </w:t>
      </w:r>
      <w:r w:rsidR="00206B86">
        <w:rPr>
          <w:rFonts w:ascii="Calibri" w:hAnsi="Calibri" w:cs="Calibri"/>
        </w:rPr>
        <w:t>Důvodová z</w:t>
      </w:r>
      <w:r w:rsidR="00491B3B" w:rsidRPr="00561F94">
        <w:rPr>
          <w:rFonts w:ascii="Calibri" w:hAnsi="Calibri" w:cs="Calibri"/>
        </w:rPr>
        <w:t>práva</w:t>
      </w:r>
      <w:r w:rsidR="00206B86">
        <w:rPr>
          <w:rFonts w:ascii="Calibri" w:hAnsi="Calibri" w:cs="Calibri"/>
        </w:rPr>
        <w:t xml:space="preserve"> a</w:t>
      </w:r>
      <w:r w:rsidR="00636C21">
        <w:rPr>
          <w:rFonts w:ascii="Calibri" w:hAnsi="Calibri" w:cs="Calibri"/>
        </w:rPr>
        <w:t>ni RIA</w:t>
      </w:r>
      <w:r w:rsidR="00636C21">
        <w:rPr>
          <w:rStyle w:val="Znakapoznpodarou"/>
          <w:rFonts w:ascii="Calibri" w:hAnsi="Calibri" w:cs="Calibri"/>
        </w:rPr>
        <w:footnoteReference w:id="47"/>
      </w:r>
      <w:r w:rsidR="00491B3B" w:rsidRPr="00561F94">
        <w:rPr>
          <w:rFonts w:ascii="Calibri" w:hAnsi="Calibri" w:cs="Calibri"/>
        </w:rPr>
        <w:t xml:space="preserve"> však neobsahovala žádnou analýzu ani kvantifikaci úspory </w:t>
      </w:r>
      <w:r w:rsidR="00491B3B" w:rsidRPr="009E4EC6">
        <w:rPr>
          <w:rFonts w:ascii="Calibri" w:hAnsi="Calibri" w:cs="Calibri"/>
        </w:rPr>
        <w:t>personálních a souvisejících nákladů</w:t>
      </w:r>
      <w:r w:rsidR="00491B3B" w:rsidRPr="00561F94">
        <w:rPr>
          <w:rFonts w:ascii="Calibri" w:hAnsi="Calibri" w:cs="Calibri"/>
        </w:rPr>
        <w:t>, k níž mělo v resortu MSp dojít</w:t>
      </w:r>
      <w:r w:rsidR="00FA0046">
        <w:rPr>
          <w:rFonts w:ascii="Calibri" w:hAnsi="Calibri" w:cs="Calibri"/>
        </w:rPr>
        <w:t xml:space="preserve">, </w:t>
      </w:r>
      <w:r w:rsidR="00FA0046" w:rsidRPr="00DA5CA5">
        <w:rPr>
          <w:rFonts w:ascii="Calibri" w:eastAsia="Calibri" w:hAnsi="Calibri" w:cs="Calibri"/>
          <w:szCs w:val="24"/>
        </w:rPr>
        <w:t>ani kvantifikaci dílčího navýšení v resortu MF</w:t>
      </w:r>
      <w:r w:rsidR="009147CB">
        <w:rPr>
          <w:rFonts w:ascii="Calibri" w:eastAsia="Calibri" w:hAnsi="Calibri" w:cs="Calibri"/>
          <w:szCs w:val="24"/>
        </w:rPr>
        <w:t>.</w:t>
      </w:r>
    </w:p>
    <w:p w14:paraId="2493FFC4" w14:textId="36DFDA3C" w:rsidR="003763E3" w:rsidRPr="00DA5CA5" w:rsidRDefault="003763E3" w:rsidP="00AC73C7">
      <w:pPr>
        <w:pStyle w:val="Odstavecseseznamem"/>
        <w:spacing w:after="120"/>
        <w:ind w:left="0"/>
        <w:contextualSpacing w:val="0"/>
        <w:rPr>
          <w:rFonts w:ascii="Calibri" w:eastAsia="Calibri" w:hAnsi="Calibri" w:cs="Calibri"/>
          <w:szCs w:val="24"/>
        </w:rPr>
      </w:pPr>
      <w:r w:rsidRPr="00DA5CA5">
        <w:rPr>
          <w:rFonts w:ascii="Calibri" w:eastAsia="Calibri" w:hAnsi="Calibri" w:cs="Calibri"/>
          <w:szCs w:val="24"/>
        </w:rPr>
        <w:t xml:space="preserve">NKÚ zjistil, že v důsledku převedení </w:t>
      </w:r>
      <w:r w:rsidR="0074339B">
        <w:rPr>
          <w:rFonts w:ascii="Calibri" w:eastAsia="Calibri" w:hAnsi="Calibri" w:cs="Calibri"/>
          <w:szCs w:val="24"/>
        </w:rPr>
        <w:t>kompetence</w:t>
      </w:r>
      <w:r w:rsidRPr="00DA5CA5">
        <w:rPr>
          <w:rFonts w:ascii="Calibri" w:eastAsia="Calibri" w:hAnsi="Calibri" w:cs="Calibri"/>
          <w:szCs w:val="24"/>
        </w:rPr>
        <w:t xml:space="preserve"> k vymáhání justičních pohledávek ze soudů na </w:t>
      </w:r>
      <w:r w:rsidR="00DF2BEB">
        <w:rPr>
          <w:rFonts w:ascii="Calibri" w:eastAsia="Calibri" w:hAnsi="Calibri" w:cs="Calibri"/>
          <w:szCs w:val="24"/>
        </w:rPr>
        <w:t>C</w:t>
      </w:r>
      <w:r w:rsidR="00357367">
        <w:rPr>
          <w:rFonts w:ascii="Calibri" w:eastAsia="Calibri" w:hAnsi="Calibri" w:cs="Calibri"/>
          <w:szCs w:val="24"/>
        </w:rPr>
        <w:t>S ČR</w:t>
      </w:r>
      <w:r w:rsidRPr="00DA5CA5">
        <w:rPr>
          <w:rFonts w:ascii="Calibri" w:eastAsia="Calibri" w:hAnsi="Calibri" w:cs="Calibri"/>
          <w:szCs w:val="24"/>
        </w:rPr>
        <w:t xml:space="preserve"> došlo v rámci kapitoly 336 – </w:t>
      </w:r>
      <w:r w:rsidRPr="0032254D">
        <w:rPr>
          <w:rFonts w:ascii="Calibri" w:eastAsia="Calibri" w:hAnsi="Calibri" w:cs="Calibri"/>
          <w:i/>
          <w:iCs/>
          <w:szCs w:val="24"/>
        </w:rPr>
        <w:t>Ministerstvo spravedlnosti</w:t>
      </w:r>
      <w:r w:rsidRPr="00DA5CA5">
        <w:rPr>
          <w:rFonts w:ascii="Calibri" w:eastAsia="Calibri" w:hAnsi="Calibri" w:cs="Calibri"/>
          <w:szCs w:val="24"/>
        </w:rPr>
        <w:t xml:space="preserve"> ke dni 1. ledna 2024 ke zrušení 120 systemizovaných míst a k současnému navýšení systemizovaných míst u C</w:t>
      </w:r>
      <w:r w:rsidR="00DF2BEB">
        <w:rPr>
          <w:rFonts w:ascii="Calibri" w:eastAsia="Calibri" w:hAnsi="Calibri" w:cs="Calibri"/>
          <w:szCs w:val="24"/>
        </w:rPr>
        <w:t>S</w:t>
      </w:r>
      <w:r w:rsidRPr="00DA5CA5">
        <w:rPr>
          <w:rFonts w:ascii="Calibri" w:eastAsia="Calibri" w:hAnsi="Calibri" w:cs="Calibri"/>
          <w:szCs w:val="24"/>
        </w:rPr>
        <w:t xml:space="preserve"> ČR o</w:t>
      </w:r>
      <w:r w:rsidR="002D0ADD">
        <w:rPr>
          <w:rFonts w:ascii="Calibri" w:eastAsia="Calibri" w:hAnsi="Calibri" w:cs="Calibri"/>
          <w:szCs w:val="24"/>
        </w:rPr>
        <w:t> </w:t>
      </w:r>
      <w:r w:rsidRPr="00DA5CA5">
        <w:rPr>
          <w:rFonts w:ascii="Calibri" w:eastAsia="Calibri" w:hAnsi="Calibri" w:cs="Calibri"/>
          <w:szCs w:val="24"/>
        </w:rPr>
        <w:t>10 míst</w:t>
      </w:r>
      <w:r w:rsidR="00297F35">
        <w:rPr>
          <w:rFonts w:ascii="Calibri" w:eastAsia="Calibri" w:hAnsi="Calibri" w:cs="Calibri"/>
          <w:szCs w:val="24"/>
        </w:rPr>
        <w:t xml:space="preserve"> včetně objemu peněžních prostředků na platy</w:t>
      </w:r>
      <w:r w:rsidRPr="00DA5CA5">
        <w:rPr>
          <w:rFonts w:ascii="Calibri" w:eastAsia="Calibri" w:hAnsi="Calibri" w:cs="Calibri"/>
          <w:szCs w:val="24"/>
        </w:rPr>
        <w:t>.</w:t>
      </w:r>
      <w:r w:rsidR="00750FB5">
        <w:rPr>
          <w:rFonts w:ascii="Calibri" w:eastAsia="Calibri" w:hAnsi="Calibri" w:cs="Calibri"/>
          <w:szCs w:val="24"/>
        </w:rPr>
        <w:t xml:space="preserve"> </w:t>
      </w:r>
      <w:r w:rsidR="00187FD8" w:rsidRPr="00187FD8">
        <w:rPr>
          <w:rFonts w:ascii="Calibri" w:eastAsia="Calibri" w:hAnsi="Calibri" w:cs="Calibri"/>
          <w:szCs w:val="24"/>
        </w:rPr>
        <w:t>Zrušení realizov</w:t>
      </w:r>
      <w:r w:rsidR="00DF2BEB">
        <w:rPr>
          <w:rFonts w:ascii="Calibri" w:eastAsia="Calibri" w:hAnsi="Calibri" w:cs="Calibri"/>
          <w:szCs w:val="24"/>
        </w:rPr>
        <w:t>al</w:t>
      </w:r>
      <w:r w:rsidR="00187FD8" w:rsidRPr="00187FD8">
        <w:rPr>
          <w:rFonts w:ascii="Calibri" w:eastAsia="Calibri" w:hAnsi="Calibri" w:cs="Calibri"/>
          <w:szCs w:val="24"/>
        </w:rPr>
        <w:t>o MF v rámci pracovní instrukce ministra financí k sestavení návrhu státního rozpočtu na rok 2024</w:t>
      </w:r>
      <w:r w:rsidR="00187FD8" w:rsidRPr="00464D1A">
        <w:rPr>
          <w:rFonts w:ascii="Calibri" w:eastAsia="Calibri" w:hAnsi="Calibri" w:cs="Calibri"/>
          <w:szCs w:val="24"/>
        </w:rPr>
        <w:t>.</w:t>
      </w:r>
      <w:r w:rsidR="00233B48" w:rsidRPr="00464D1A">
        <w:rPr>
          <w:rFonts w:ascii="Calibri" w:eastAsia="Calibri" w:hAnsi="Calibri" w:cs="Calibri"/>
          <w:szCs w:val="24"/>
        </w:rPr>
        <w:t xml:space="preserve"> </w:t>
      </w:r>
    </w:p>
    <w:p w14:paraId="4FB15B7E" w14:textId="019E259D" w:rsidR="000B1D61" w:rsidRPr="00561F94" w:rsidRDefault="000B1D61" w:rsidP="00AC73C7">
      <w:pPr>
        <w:spacing w:before="120" w:after="120"/>
        <w:rPr>
          <w:rFonts w:ascii="Calibri" w:hAnsi="Calibri" w:cs="Calibri"/>
        </w:rPr>
      </w:pPr>
      <w:r w:rsidRPr="00561F94">
        <w:rPr>
          <w:rFonts w:ascii="Calibri" w:hAnsi="Calibri" w:cs="Calibri"/>
        </w:rPr>
        <w:t>MSp nesouhlasilo s tím, aby se</w:t>
      </w:r>
      <w:r>
        <w:rPr>
          <w:rFonts w:ascii="Calibri" w:hAnsi="Calibri" w:cs="Calibri"/>
        </w:rPr>
        <w:t xml:space="preserve"> v resortu spravedlnosti</w:t>
      </w:r>
      <w:r w:rsidRPr="00561F94">
        <w:rPr>
          <w:rFonts w:ascii="Calibri" w:hAnsi="Calibri" w:cs="Calibri"/>
        </w:rPr>
        <w:t xml:space="preserve"> jakákoliv systemizovaná místa odebírala</w:t>
      </w:r>
      <w:r>
        <w:rPr>
          <w:rFonts w:ascii="Calibri" w:hAnsi="Calibri" w:cs="Calibri"/>
        </w:rPr>
        <w:t xml:space="preserve">, což uvedlo již v podkladech zaslaných MF pro účely přípravy návrhu zákona </w:t>
      </w:r>
      <w:r w:rsidR="00D54CE0" w:rsidRPr="00D54CE0">
        <w:rPr>
          <w:rFonts w:ascii="Calibri" w:hAnsi="Calibri" w:cs="Calibri"/>
        </w:rPr>
        <w:t>o</w:t>
      </w:r>
      <w:r w:rsidR="002D0ADD">
        <w:rPr>
          <w:rFonts w:ascii="Calibri" w:hAnsi="Calibri" w:cs="Calibri"/>
        </w:rPr>
        <w:t> </w:t>
      </w:r>
      <w:r w:rsidR="00D54CE0" w:rsidRPr="00D54CE0">
        <w:rPr>
          <w:rFonts w:ascii="Calibri" w:hAnsi="Calibri" w:cs="Calibri"/>
        </w:rPr>
        <w:t>konsolidaci veřejných rozpočtů</w:t>
      </w:r>
      <w:r w:rsidR="00D54CE0">
        <w:rPr>
          <w:rFonts w:ascii="Calibri" w:hAnsi="Calibri" w:cs="Calibri"/>
        </w:rPr>
        <w:t>.</w:t>
      </w:r>
      <w:r w:rsidR="00D54CE0" w:rsidRPr="00561F94">
        <w:rPr>
          <w:rFonts w:ascii="Calibri" w:hAnsi="Calibri" w:cs="Calibri"/>
        </w:rPr>
        <w:t xml:space="preserve"> </w:t>
      </w:r>
      <w:r>
        <w:rPr>
          <w:rFonts w:ascii="Calibri" w:hAnsi="Calibri" w:cs="Calibri"/>
        </w:rPr>
        <w:t>Důvodem bylo, že s</w:t>
      </w:r>
      <w:r w:rsidRPr="00561F94">
        <w:rPr>
          <w:rFonts w:ascii="Calibri" w:hAnsi="Calibri" w:cs="Calibri"/>
        </w:rPr>
        <w:t xml:space="preserve">oudy se </w:t>
      </w:r>
      <w:r>
        <w:rPr>
          <w:rFonts w:ascii="Calibri" w:hAnsi="Calibri" w:cs="Calibri"/>
        </w:rPr>
        <w:t>musely p</w:t>
      </w:r>
      <w:r w:rsidRPr="00561F94">
        <w:rPr>
          <w:rFonts w:ascii="Calibri" w:hAnsi="Calibri" w:cs="Calibri"/>
        </w:rPr>
        <w:t xml:space="preserve">otýkat s nedostatkem </w:t>
      </w:r>
      <w:r w:rsidR="001C31B6">
        <w:rPr>
          <w:rFonts w:ascii="Calibri" w:hAnsi="Calibri" w:cs="Calibri"/>
        </w:rPr>
        <w:t>zaměstnanců</w:t>
      </w:r>
      <w:r w:rsidR="001C31B6" w:rsidRPr="00561F94">
        <w:rPr>
          <w:rFonts w:ascii="Calibri" w:hAnsi="Calibri" w:cs="Calibri"/>
        </w:rPr>
        <w:t xml:space="preserve"> </w:t>
      </w:r>
      <w:r w:rsidRPr="00561F94">
        <w:rPr>
          <w:rFonts w:ascii="Calibri" w:hAnsi="Calibri" w:cs="Calibri"/>
        </w:rPr>
        <w:t xml:space="preserve">k realizaci agendy předávání pohledávek </w:t>
      </w:r>
      <w:r w:rsidR="0074339B">
        <w:rPr>
          <w:rFonts w:ascii="Calibri" w:hAnsi="Calibri" w:cs="Calibri"/>
        </w:rPr>
        <w:t xml:space="preserve">na </w:t>
      </w:r>
      <w:r w:rsidRPr="00561F94">
        <w:rPr>
          <w:rFonts w:ascii="Calibri" w:hAnsi="Calibri" w:cs="Calibri"/>
        </w:rPr>
        <w:t>C</w:t>
      </w:r>
      <w:r>
        <w:rPr>
          <w:rFonts w:ascii="Calibri" w:hAnsi="Calibri" w:cs="Calibri"/>
        </w:rPr>
        <w:t xml:space="preserve">Ú a zároveň řešit </w:t>
      </w:r>
      <w:r w:rsidRPr="00561F94">
        <w:rPr>
          <w:rFonts w:ascii="Calibri" w:hAnsi="Calibri" w:cs="Calibri"/>
        </w:rPr>
        <w:t>agendu zastavování marných bagatelních exekucí</w:t>
      </w:r>
      <w:r>
        <w:rPr>
          <w:rFonts w:ascii="Calibri" w:hAnsi="Calibri" w:cs="Calibri"/>
        </w:rPr>
        <w:t xml:space="preserve"> spolu s vyplácením </w:t>
      </w:r>
      <w:r w:rsidRPr="00561F94">
        <w:rPr>
          <w:rFonts w:ascii="Calibri" w:hAnsi="Calibri" w:cs="Calibri"/>
        </w:rPr>
        <w:t>paušálních náhrad soudním exekutorům</w:t>
      </w:r>
      <w:r>
        <w:rPr>
          <w:rFonts w:ascii="Calibri" w:hAnsi="Calibri" w:cs="Calibri"/>
        </w:rPr>
        <w:t>. P</w:t>
      </w:r>
      <w:r w:rsidRPr="00561F94">
        <w:rPr>
          <w:rFonts w:ascii="Calibri" w:hAnsi="Calibri" w:cs="Calibri"/>
        </w:rPr>
        <w:t>odle odhadů Exekutorské komory Č</w:t>
      </w:r>
      <w:r>
        <w:rPr>
          <w:rFonts w:ascii="Calibri" w:hAnsi="Calibri" w:cs="Calibri"/>
        </w:rPr>
        <w:t>R</w:t>
      </w:r>
      <w:r w:rsidRPr="00561F94">
        <w:rPr>
          <w:rFonts w:ascii="Calibri" w:hAnsi="Calibri" w:cs="Calibri"/>
        </w:rPr>
        <w:t xml:space="preserve"> </w:t>
      </w:r>
      <w:r>
        <w:rPr>
          <w:rFonts w:ascii="Calibri" w:hAnsi="Calibri" w:cs="Calibri"/>
        </w:rPr>
        <w:t xml:space="preserve">se měla tato agenda </w:t>
      </w:r>
      <w:r w:rsidRPr="00561F94">
        <w:rPr>
          <w:rFonts w:ascii="Calibri" w:hAnsi="Calibri" w:cs="Calibri"/>
        </w:rPr>
        <w:t>týkat přibližně jednoho milionu exekucí</w:t>
      </w:r>
      <w:r w:rsidRPr="00091135">
        <w:rPr>
          <w:rFonts w:ascii="Calibri" w:hAnsi="Calibri" w:cs="Calibri"/>
        </w:rPr>
        <w:t xml:space="preserve"> </w:t>
      </w:r>
      <w:r>
        <w:rPr>
          <w:rFonts w:ascii="Calibri" w:hAnsi="Calibri" w:cs="Calibri"/>
        </w:rPr>
        <w:t xml:space="preserve">během následujících </w:t>
      </w:r>
      <w:r w:rsidRPr="00561F94">
        <w:rPr>
          <w:rFonts w:ascii="Calibri" w:hAnsi="Calibri" w:cs="Calibri"/>
        </w:rPr>
        <w:t>let</w:t>
      </w:r>
      <w:r>
        <w:rPr>
          <w:rFonts w:ascii="Calibri" w:hAnsi="Calibri" w:cs="Calibri"/>
        </w:rPr>
        <w:t xml:space="preserve">. </w:t>
      </w:r>
    </w:p>
    <w:p w14:paraId="048ABD68" w14:textId="5A0381AB" w:rsidR="003763E3" w:rsidRDefault="003763E3" w:rsidP="00AC73C7">
      <w:pPr>
        <w:pStyle w:val="Odstavecseseznamem"/>
        <w:spacing w:after="120"/>
        <w:ind w:left="0"/>
        <w:contextualSpacing w:val="0"/>
        <w:rPr>
          <w:rFonts w:ascii="Calibri" w:eastAsia="Calibri" w:hAnsi="Calibri" w:cs="Calibri"/>
          <w:szCs w:val="24"/>
        </w:rPr>
      </w:pPr>
      <w:r w:rsidRPr="00480CD9">
        <w:rPr>
          <w:rFonts w:ascii="Calibri" w:eastAsia="Calibri" w:hAnsi="Calibri" w:cs="Calibri"/>
          <w:szCs w:val="24"/>
        </w:rPr>
        <w:t>G</w:t>
      </w:r>
      <w:r w:rsidRPr="008B36BF">
        <w:rPr>
          <w:rFonts w:ascii="Calibri" w:eastAsia="Calibri" w:hAnsi="Calibri" w:cs="Calibri"/>
          <w:szCs w:val="24"/>
        </w:rPr>
        <w:t xml:space="preserve">ŘC v rámci uplatnění připomínek k návrhu zákona </w:t>
      </w:r>
      <w:r w:rsidR="00D54CE0" w:rsidRPr="00D54CE0">
        <w:rPr>
          <w:rFonts w:ascii="Calibri" w:hAnsi="Calibri" w:cs="Calibri"/>
        </w:rPr>
        <w:t>o konsolidaci veřejných rozpočtů</w:t>
      </w:r>
      <w:r w:rsidRPr="008B36BF">
        <w:rPr>
          <w:rFonts w:ascii="Calibri" w:eastAsia="Calibri" w:hAnsi="Calibri" w:cs="Calibri"/>
          <w:szCs w:val="24"/>
        </w:rPr>
        <w:t xml:space="preserve"> upozornilo</w:t>
      </w:r>
      <w:r w:rsidR="006B6597">
        <w:rPr>
          <w:rFonts w:ascii="Calibri" w:eastAsia="Calibri" w:hAnsi="Calibri" w:cs="Calibri"/>
          <w:szCs w:val="24"/>
        </w:rPr>
        <w:t xml:space="preserve"> MF</w:t>
      </w:r>
      <w:r w:rsidRPr="008B36BF">
        <w:rPr>
          <w:rFonts w:ascii="Calibri" w:eastAsia="Calibri" w:hAnsi="Calibri" w:cs="Calibri"/>
          <w:szCs w:val="24"/>
        </w:rPr>
        <w:t xml:space="preserve"> na nutnost nákladů na úpravu systémů a nutnost vyčíslení personálního posílení na straně </w:t>
      </w:r>
      <w:r w:rsidR="00DF2BEB">
        <w:rPr>
          <w:rFonts w:ascii="Calibri" w:eastAsia="Calibri" w:hAnsi="Calibri" w:cs="Calibri"/>
          <w:szCs w:val="24"/>
        </w:rPr>
        <w:t>CÚ</w:t>
      </w:r>
      <w:r w:rsidRPr="008B36BF">
        <w:rPr>
          <w:rFonts w:ascii="Calibri" w:eastAsia="Calibri" w:hAnsi="Calibri" w:cs="Calibri"/>
          <w:szCs w:val="24"/>
        </w:rPr>
        <w:t>.</w:t>
      </w:r>
      <w:r w:rsidR="003A1D41">
        <w:rPr>
          <w:rFonts w:ascii="Calibri" w:eastAsia="Calibri" w:hAnsi="Calibri" w:cs="Calibri"/>
          <w:szCs w:val="24"/>
        </w:rPr>
        <w:t xml:space="preserve"> Dále </w:t>
      </w:r>
      <w:r w:rsidR="003620A0">
        <w:rPr>
          <w:rFonts w:ascii="Calibri" w:eastAsia="Calibri" w:hAnsi="Calibri" w:cs="Calibri"/>
          <w:szCs w:val="24"/>
        </w:rPr>
        <w:t xml:space="preserve">GŘC </w:t>
      </w:r>
      <w:r w:rsidR="003A1D41">
        <w:rPr>
          <w:rFonts w:ascii="Calibri" w:eastAsia="Calibri" w:hAnsi="Calibri" w:cs="Calibri"/>
          <w:szCs w:val="24"/>
        </w:rPr>
        <w:t xml:space="preserve">v rámci </w:t>
      </w:r>
      <w:r w:rsidR="000438A8">
        <w:rPr>
          <w:rFonts w:ascii="Calibri" w:eastAsia="Calibri" w:hAnsi="Calibri" w:cs="Calibri"/>
          <w:szCs w:val="24"/>
        </w:rPr>
        <w:t>k</w:t>
      </w:r>
      <w:r w:rsidR="00CE2859" w:rsidRPr="00CE2859">
        <w:rPr>
          <w:rFonts w:ascii="Calibri" w:eastAsia="Calibri" w:hAnsi="Calibri" w:cs="Calibri"/>
          <w:szCs w:val="24"/>
        </w:rPr>
        <w:t>omentáře k návrhu rozpočtu na rok 2024 požadovalo kvůli nárůstu agendy</w:t>
      </w:r>
      <w:r w:rsidR="00CE2859">
        <w:rPr>
          <w:rFonts w:ascii="Calibri" w:eastAsia="Calibri" w:hAnsi="Calibri" w:cs="Calibri"/>
          <w:szCs w:val="24"/>
        </w:rPr>
        <w:t xml:space="preserve"> </w:t>
      </w:r>
      <w:r w:rsidR="00CE2859" w:rsidRPr="00CE2859">
        <w:rPr>
          <w:rFonts w:ascii="Calibri" w:eastAsia="Calibri" w:hAnsi="Calibri" w:cs="Calibri"/>
          <w:szCs w:val="24"/>
        </w:rPr>
        <w:t>vymáhání „</w:t>
      </w:r>
      <w:r w:rsidR="00610CC5">
        <w:t>… </w:t>
      </w:r>
      <w:r w:rsidR="00CE2859" w:rsidRPr="00CE2859">
        <w:rPr>
          <w:rFonts w:ascii="Calibri" w:eastAsia="Calibri" w:hAnsi="Calibri" w:cs="Calibri"/>
          <w:i/>
          <w:iCs/>
          <w:szCs w:val="24"/>
        </w:rPr>
        <w:t>navýšení limitu funkčních míst celní správy o</w:t>
      </w:r>
      <w:r w:rsidR="00610CC5">
        <w:rPr>
          <w:rFonts w:ascii="Calibri" w:eastAsia="Calibri" w:hAnsi="Calibri" w:cs="Calibri"/>
          <w:i/>
          <w:iCs/>
          <w:szCs w:val="24"/>
        </w:rPr>
        <w:t> </w:t>
      </w:r>
      <w:r w:rsidR="00CE2859" w:rsidRPr="00CE2859">
        <w:rPr>
          <w:rFonts w:ascii="Calibri" w:eastAsia="Calibri" w:hAnsi="Calibri" w:cs="Calibri"/>
          <w:i/>
          <w:iCs/>
          <w:szCs w:val="24"/>
        </w:rPr>
        <w:t>50</w:t>
      </w:r>
      <w:r w:rsidR="00610CC5">
        <w:rPr>
          <w:rFonts w:ascii="Calibri" w:eastAsia="Calibri" w:hAnsi="Calibri" w:cs="Calibri"/>
          <w:i/>
          <w:iCs/>
          <w:szCs w:val="24"/>
        </w:rPr>
        <w:t> </w:t>
      </w:r>
      <w:r w:rsidR="00CE2859" w:rsidRPr="00CE2859">
        <w:rPr>
          <w:rFonts w:ascii="Calibri" w:eastAsia="Calibri" w:hAnsi="Calibri" w:cs="Calibri"/>
          <w:i/>
          <w:iCs/>
          <w:szCs w:val="24"/>
        </w:rPr>
        <w:t>funkčních míst, za účelem dosažení požadovaného počtu 60 funkčních míst pro zajištění řádného výkonu přebírané agendy justičních pohledávek</w:t>
      </w:r>
      <w:r w:rsidR="00CE2859">
        <w:rPr>
          <w:rFonts w:ascii="Calibri" w:eastAsia="Calibri" w:hAnsi="Calibri" w:cs="Calibri"/>
          <w:szCs w:val="24"/>
        </w:rPr>
        <w:t>“.</w:t>
      </w:r>
      <w:r w:rsidR="00EB58C5">
        <w:rPr>
          <w:rFonts w:ascii="Calibri" w:eastAsia="Calibri" w:hAnsi="Calibri" w:cs="Calibri"/>
          <w:szCs w:val="24"/>
        </w:rPr>
        <w:t xml:space="preserve"> MF </w:t>
      </w:r>
      <w:r w:rsidR="001C31B6">
        <w:rPr>
          <w:rFonts w:ascii="Calibri" w:eastAsia="Calibri" w:hAnsi="Calibri" w:cs="Calibri"/>
          <w:szCs w:val="24"/>
        </w:rPr>
        <w:t xml:space="preserve">požadavku GŘC </w:t>
      </w:r>
      <w:r w:rsidR="00B5527B">
        <w:rPr>
          <w:rFonts w:ascii="Calibri" w:eastAsia="Calibri" w:hAnsi="Calibri" w:cs="Calibri"/>
          <w:szCs w:val="24"/>
        </w:rPr>
        <w:t>ne</w:t>
      </w:r>
      <w:r w:rsidR="00EB58C5">
        <w:rPr>
          <w:rFonts w:ascii="Calibri" w:eastAsia="Calibri" w:hAnsi="Calibri" w:cs="Calibri"/>
          <w:szCs w:val="24"/>
        </w:rPr>
        <w:t>vyhově</w:t>
      </w:r>
      <w:r w:rsidR="00B5527B">
        <w:rPr>
          <w:rFonts w:ascii="Calibri" w:eastAsia="Calibri" w:hAnsi="Calibri" w:cs="Calibri"/>
          <w:szCs w:val="24"/>
        </w:rPr>
        <w:t>l</w:t>
      </w:r>
      <w:r w:rsidR="00EB58C5">
        <w:rPr>
          <w:rFonts w:ascii="Calibri" w:eastAsia="Calibri" w:hAnsi="Calibri" w:cs="Calibri"/>
          <w:szCs w:val="24"/>
        </w:rPr>
        <w:t>o.</w:t>
      </w:r>
      <w:r w:rsidR="00E404AA" w:rsidRPr="00E404AA">
        <w:rPr>
          <w:rFonts w:ascii="Calibri" w:eastAsia="Calibri" w:hAnsi="Calibri" w:cs="Calibri"/>
          <w:szCs w:val="24"/>
        </w:rPr>
        <w:t xml:space="preserve"> </w:t>
      </w:r>
      <w:r w:rsidR="009E7721">
        <w:rPr>
          <w:rFonts w:ascii="Calibri" w:eastAsia="Calibri" w:hAnsi="Calibri" w:cs="Calibri"/>
          <w:szCs w:val="24"/>
        </w:rPr>
        <w:t xml:space="preserve">Přitom </w:t>
      </w:r>
      <w:r w:rsidR="00E404AA">
        <w:rPr>
          <w:rFonts w:ascii="Calibri" w:eastAsia="Calibri" w:hAnsi="Calibri" w:cs="Calibri"/>
          <w:szCs w:val="24"/>
        </w:rPr>
        <w:t>NKÚ zjistil, že v</w:t>
      </w:r>
      <w:r w:rsidR="00E404AA" w:rsidRPr="3B984AB8">
        <w:rPr>
          <w:rFonts w:ascii="Calibri" w:eastAsia="Calibri" w:hAnsi="Calibri" w:cs="Calibri"/>
        </w:rPr>
        <w:t xml:space="preserve"> souvislosti s převodem agendy vymáhání justičních pohledávek </w:t>
      </w:r>
      <w:r w:rsidR="009E7721">
        <w:rPr>
          <w:rFonts w:ascii="Calibri" w:eastAsia="Calibri" w:hAnsi="Calibri" w:cs="Calibri"/>
        </w:rPr>
        <w:t>vzrostla mezi roky 2023 a</w:t>
      </w:r>
      <w:r w:rsidR="00C37A09">
        <w:rPr>
          <w:rFonts w:ascii="Calibri" w:eastAsia="Calibri" w:hAnsi="Calibri" w:cs="Calibri"/>
        </w:rPr>
        <w:t> </w:t>
      </w:r>
      <w:r w:rsidR="00E404AA" w:rsidRPr="3B984AB8">
        <w:rPr>
          <w:rFonts w:ascii="Calibri" w:eastAsia="Calibri" w:hAnsi="Calibri" w:cs="Calibri"/>
        </w:rPr>
        <w:t xml:space="preserve">2024 </w:t>
      </w:r>
      <w:r w:rsidR="009E7721" w:rsidRPr="3B984AB8">
        <w:rPr>
          <w:rFonts w:ascii="Calibri" w:eastAsia="Calibri" w:hAnsi="Calibri" w:cs="Calibri"/>
        </w:rPr>
        <w:t xml:space="preserve">zatíženost zaměstnanců </w:t>
      </w:r>
      <w:r w:rsidR="00E404AA" w:rsidRPr="3B984AB8">
        <w:rPr>
          <w:rFonts w:ascii="Calibri" w:eastAsia="Calibri" w:hAnsi="Calibri" w:cs="Calibri"/>
        </w:rPr>
        <w:t>oddělení správy příjmů</w:t>
      </w:r>
      <w:r w:rsidR="00E404AA">
        <w:rPr>
          <w:rFonts w:ascii="Calibri" w:eastAsia="Calibri" w:hAnsi="Calibri" w:cs="Calibri"/>
        </w:rPr>
        <w:t xml:space="preserve"> CÚ</w:t>
      </w:r>
      <w:r w:rsidR="00E404AA" w:rsidRPr="3B984AB8">
        <w:rPr>
          <w:rFonts w:ascii="Calibri" w:eastAsia="Calibri" w:hAnsi="Calibri" w:cs="Calibri"/>
        </w:rPr>
        <w:t xml:space="preserve"> o</w:t>
      </w:r>
      <w:r w:rsidR="008D5F93">
        <w:rPr>
          <w:rFonts w:ascii="Calibri" w:eastAsia="Calibri" w:hAnsi="Calibri" w:cs="Calibri"/>
        </w:rPr>
        <w:t> </w:t>
      </w:r>
      <w:r w:rsidR="00E404AA" w:rsidRPr="3B984AB8">
        <w:rPr>
          <w:rFonts w:ascii="Calibri" w:eastAsia="Calibri" w:hAnsi="Calibri" w:cs="Calibri"/>
        </w:rPr>
        <w:t>67,2</w:t>
      </w:r>
      <w:r w:rsidR="008D5F93">
        <w:rPr>
          <w:rFonts w:ascii="Calibri" w:eastAsia="Calibri" w:hAnsi="Calibri" w:cs="Calibri"/>
        </w:rPr>
        <w:t> </w:t>
      </w:r>
      <w:r w:rsidR="00E404AA" w:rsidRPr="3B984AB8">
        <w:rPr>
          <w:rFonts w:ascii="Calibri" w:eastAsia="Calibri" w:hAnsi="Calibri" w:cs="Calibri"/>
        </w:rPr>
        <w:t>%.</w:t>
      </w:r>
      <w:r w:rsidR="00BF576E">
        <w:rPr>
          <w:rFonts w:ascii="Calibri" w:eastAsia="Calibri" w:hAnsi="Calibri" w:cs="Calibri"/>
        </w:rPr>
        <w:t xml:space="preserve"> </w:t>
      </w:r>
    </w:p>
    <w:p w14:paraId="6FBB1847" w14:textId="4ED30380" w:rsidR="00DF3718" w:rsidRDefault="009F371D" w:rsidP="00AC73C7">
      <w:pPr>
        <w:pStyle w:val="Odstavecseseznamem"/>
        <w:spacing w:after="120"/>
        <w:ind w:left="0"/>
        <w:contextualSpacing w:val="0"/>
        <w:rPr>
          <w:rFonts w:ascii="Calibri" w:eastAsia="Calibri" w:hAnsi="Calibri" w:cs="Calibri"/>
          <w:szCs w:val="24"/>
        </w:rPr>
      </w:pPr>
      <w:r>
        <w:rPr>
          <w:rFonts w:ascii="Calibri" w:eastAsia="Calibri" w:hAnsi="Calibri" w:cs="Calibri"/>
          <w:szCs w:val="24"/>
        </w:rPr>
        <w:t xml:space="preserve">NKÚ zjistil, že </w:t>
      </w:r>
      <w:r w:rsidR="00B267B5">
        <w:rPr>
          <w:rFonts w:ascii="Calibri" w:eastAsia="Calibri" w:hAnsi="Calibri" w:cs="Calibri"/>
          <w:szCs w:val="24"/>
        </w:rPr>
        <w:t>soudy meziročně vynakládaly více peněžních prostředků na zaměstnance provádějící činnosti v rámci vymáhání justičních pohledávek.</w:t>
      </w:r>
      <w:r>
        <w:rPr>
          <w:rFonts w:ascii="Calibri" w:eastAsia="Calibri" w:hAnsi="Calibri" w:cs="Calibri"/>
          <w:szCs w:val="24"/>
        </w:rPr>
        <w:t xml:space="preserve"> </w:t>
      </w:r>
      <w:r w:rsidR="00B267B5">
        <w:rPr>
          <w:rFonts w:ascii="Calibri" w:eastAsia="Calibri" w:hAnsi="Calibri" w:cs="Calibri"/>
          <w:szCs w:val="24"/>
        </w:rPr>
        <w:t>V </w:t>
      </w:r>
      <w:r>
        <w:rPr>
          <w:rFonts w:ascii="Calibri" w:eastAsia="Calibri" w:hAnsi="Calibri" w:cs="Calibri"/>
          <w:szCs w:val="24"/>
        </w:rPr>
        <w:t xml:space="preserve">letech 2021 až 2023 na </w:t>
      </w:r>
      <w:r w:rsidR="00B267B5">
        <w:rPr>
          <w:rFonts w:ascii="Calibri" w:eastAsia="Calibri" w:hAnsi="Calibri" w:cs="Calibri"/>
          <w:szCs w:val="24"/>
        </w:rPr>
        <w:t xml:space="preserve">jejich </w:t>
      </w:r>
      <w:r>
        <w:rPr>
          <w:rFonts w:ascii="Calibri" w:eastAsia="Calibri" w:hAnsi="Calibri" w:cs="Calibri"/>
          <w:szCs w:val="24"/>
        </w:rPr>
        <w:t xml:space="preserve">platy </w:t>
      </w:r>
      <w:r w:rsidR="00B267B5">
        <w:rPr>
          <w:rFonts w:ascii="Calibri" w:eastAsia="Calibri" w:hAnsi="Calibri" w:cs="Calibri"/>
          <w:szCs w:val="24"/>
        </w:rPr>
        <w:t>vynaložily</w:t>
      </w:r>
      <w:r>
        <w:rPr>
          <w:rFonts w:ascii="Calibri" w:eastAsia="Calibri" w:hAnsi="Calibri" w:cs="Calibri"/>
          <w:szCs w:val="24"/>
        </w:rPr>
        <w:t xml:space="preserve"> celkem 417 mil. Kč</w:t>
      </w:r>
      <w:r w:rsidR="00B267B5">
        <w:rPr>
          <w:rFonts w:ascii="Calibri" w:eastAsia="Calibri" w:hAnsi="Calibri" w:cs="Calibri"/>
          <w:szCs w:val="24"/>
        </w:rPr>
        <w:t>.</w:t>
      </w:r>
      <w:r>
        <w:rPr>
          <w:rFonts w:ascii="Calibri" w:eastAsia="Calibri" w:hAnsi="Calibri" w:cs="Calibri"/>
          <w:szCs w:val="24"/>
        </w:rPr>
        <w:t xml:space="preserve"> </w:t>
      </w:r>
      <w:r w:rsidR="00DF3718">
        <w:rPr>
          <w:rFonts w:ascii="Calibri" w:eastAsia="Calibri" w:hAnsi="Calibri" w:cs="Calibri"/>
          <w:szCs w:val="24"/>
        </w:rPr>
        <w:t xml:space="preserve">V roce 2024 vynaložila </w:t>
      </w:r>
      <w:r>
        <w:rPr>
          <w:rFonts w:ascii="Calibri" w:eastAsia="Calibri" w:hAnsi="Calibri" w:cs="Calibri"/>
          <w:szCs w:val="24"/>
        </w:rPr>
        <w:t>CS ČR na platy zaměstnanců</w:t>
      </w:r>
      <w:r w:rsidR="00DF3718">
        <w:rPr>
          <w:rFonts w:ascii="Calibri" w:eastAsia="Calibri" w:hAnsi="Calibri" w:cs="Calibri"/>
          <w:szCs w:val="24"/>
        </w:rPr>
        <w:t xml:space="preserve"> v souvislosti s vymáháním justičních pohledávek </w:t>
      </w:r>
      <w:r>
        <w:rPr>
          <w:rFonts w:ascii="Calibri" w:eastAsia="Calibri" w:hAnsi="Calibri" w:cs="Calibri"/>
          <w:szCs w:val="24"/>
        </w:rPr>
        <w:t xml:space="preserve">výdaje </w:t>
      </w:r>
      <w:r w:rsidR="00DF3718">
        <w:rPr>
          <w:rFonts w:ascii="Calibri" w:eastAsia="Calibri" w:hAnsi="Calibri" w:cs="Calibri"/>
          <w:szCs w:val="24"/>
        </w:rPr>
        <w:t>ve výši cca 94 mil. Kč</w:t>
      </w:r>
      <w:r w:rsidR="00032AFD">
        <w:rPr>
          <w:rStyle w:val="Znakapoznpodarou"/>
          <w:rFonts w:ascii="Calibri" w:eastAsia="Calibri" w:hAnsi="Calibri" w:cs="Calibri"/>
          <w:szCs w:val="24"/>
        </w:rPr>
        <w:footnoteReference w:id="48"/>
      </w:r>
      <w:r>
        <w:rPr>
          <w:rFonts w:ascii="Calibri" w:eastAsia="Calibri" w:hAnsi="Calibri" w:cs="Calibri"/>
          <w:szCs w:val="24"/>
        </w:rPr>
        <w:t>, což bylo o</w:t>
      </w:r>
      <w:r w:rsidR="00C37A09">
        <w:rPr>
          <w:rFonts w:ascii="Calibri" w:eastAsia="Calibri" w:hAnsi="Calibri" w:cs="Calibri"/>
          <w:szCs w:val="24"/>
        </w:rPr>
        <w:t> </w:t>
      </w:r>
      <w:r w:rsidR="00090310">
        <w:rPr>
          <w:rFonts w:ascii="Calibri" w:eastAsia="Calibri" w:hAnsi="Calibri" w:cs="Calibri"/>
          <w:szCs w:val="24"/>
        </w:rPr>
        <w:t>45</w:t>
      </w:r>
      <w:r w:rsidR="00C32CCD">
        <w:rPr>
          <w:rFonts w:ascii="Calibri" w:eastAsia="Calibri" w:hAnsi="Calibri" w:cs="Calibri"/>
          <w:szCs w:val="24"/>
        </w:rPr>
        <w:t> </w:t>
      </w:r>
      <w:r>
        <w:rPr>
          <w:rFonts w:ascii="Calibri" w:eastAsia="Calibri" w:hAnsi="Calibri" w:cs="Calibri"/>
          <w:szCs w:val="24"/>
        </w:rPr>
        <w:t>mil.</w:t>
      </w:r>
      <w:r w:rsidR="00610CC5">
        <w:rPr>
          <w:rFonts w:ascii="Calibri" w:eastAsia="Calibri" w:hAnsi="Calibri" w:cs="Calibri"/>
          <w:szCs w:val="24"/>
        </w:rPr>
        <w:t> </w:t>
      </w:r>
      <w:r w:rsidR="0074339B">
        <w:rPr>
          <w:rFonts w:ascii="Calibri" w:eastAsia="Calibri" w:hAnsi="Calibri" w:cs="Calibri"/>
          <w:szCs w:val="24"/>
        </w:rPr>
        <w:t>Kč</w:t>
      </w:r>
      <w:r>
        <w:rPr>
          <w:rFonts w:ascii="Calibri" w:eastAsia="Calibri" w:hAnsi="Calibri" w:cs="Calibri"/>
          <w:szCs w:val="24"/>
        </w:rPr>
        <w:t xml:space="preserve"> méně, než </w:t>
      </w:r>
      <w:r w:rsidR="00090310">
        <w:rPr>
          <w:rFonts w:ascii="Calibri" w:eastAsia="Calibri" w:hAnsi="Calibri" w:cs="Calibri"/>
          <w:szCs w:val="24"/>
        </w:rPr>
        <w:t xml:space="preserve">vynaložily </w:t>
      </w:r>
      <w:r>
        <w:rPr>
          <w:rFonts w:ascii="Calibri" w:eastAsia="Calibri" w:hAnsi="Calibri" w:cs="Calibri"/>
          <w:szCs w:val="24"/>
        </w:rPr>
        <w:t>soudy</w:t>
      </w:r>
      <w:r w:rsidR="00090310">
        <w:rPr>
          <w:rFonts w:ascii="Calibri" w:eastAsia="Calibri" w:hAnsi="Calibri" w:cs="Calibri"/>
          <w:szCs w:val="24"/>
        </w:rPr>
        <w:t xml:space="preserve"> průměrně</w:t>
      </w:r>
      <w:r>
        <w:rPr>
          <w:rFonts w:ascii="Calibri" w:eastAsia="Calibri" w:hAnsi="Calibri" w:cs="Calibri"/>
          <w:szCs w:val="24"/>
        </w:rPr>
        <w:t xml:space="preserve"> v</w:t>
      </w:r>
      <w:r w:rsidR="00090310">
        <w:rPr>
          <w:rFonts w:ascii="Calibri" w:eastAsia="Calibri" w:hAnsi="Calibri" w:cs="Calibri"/>
          <w:szCs w:val="24"/>
        </w:rPr>
        <w:t> letech 2021 až</w:t>
      </w:r>
      <w:r>
        <w:rPr>
          <w:rFonts w:ascii="Calibri" w:eastAsia="Calibri" w:hAnsi="Calibri" w:cs="Calibri"/>
          <w:szCs w:val="24"/>
        </w:rPr>
        <w:t xml:space="preserve"> 2023.</w:t>
      </w:r>
      <w:r w:rsidR="00D648B5">
        <w:rPr>
          <w:rFonts w:ascii="Calibri" w:eastAsia="Calibri" w:hAnsi="Calibri" w:cs="Calibri"/>
          <w:szCs w:val="24"/>
        </w:rPr>
        <w:t xml:space="preserve"> </w:t>
      </w:r>
    </w:p>
    <w:p w14:paraId="3392D677" w14:textId="2C88339E" w:rsidR="00CB5F3B" w:rsidRPr="001347A1" w:rsidRDefault="00875EEA" w:rsidP="00AC73C7">
      <w:pPr>
        <w:pStyle w:val="Nadpis3"/>
        <w:keepLines w:val="0"/>
        <w:spacing w:before="240" w:line="259" w:lineRule="auto"/>
        <w:ind w:left="425" w:hanging="425"/>
        <w:jc w:val="left"/>
      </w:pPr>
      <w:r w:rsidRPr="001347A1">
        <w:lastRenderedPageBreak/>
        <w:t xml:space="preserve">Soudní poplatek za zrušení a likvidaci </w:t>
      </w:r>
      <w:r w:rsidR="00C70726" w:rsidRPr="001347A1">
        <w:t>právnických osob</w:t>
      </w:r>
      <w:r w:rsidRPr="001347A1">
        <w:t xml:space="preserve"> z moci úřední</w:t>
      </w:r>
      <w:r w:rsidR="00C70726" w:rsidRPr="001347A1">
        <w:t xml:space="preserve"> je prakticky nevymahatelný</w:t>
      </w:r>
    </w:p>
    <w:p w14:paraId="22F462A1" w14:textId="7A712370" w:rsidR="00C70726" w:rsidRPr="001347A1" w:rsidRDefault="00C70726" w:rsidP="00AC73C7">
      <w:pPr>
        <w:spacing w:before="120" w:after="120"/>
        <w:rPr>
          <w:rFonts w:ascii="Calibri" w:hAnsi="Calibri" w:cs="Calibri"/>
        </w:rPr>
      </w:pPr>
      <w:r w:rsidRPr="001347A1">
        <w:rPr>
          <w:rFonts w:ascii="Calibri" w:eastAsia="Calibri" w:hAnsi="Calibri" w:cs="Calibri"/>
          <w:szCs w:val="24"/>
        </w:rPr>
        <w:t>Krajský soud je rejstříkovým soudem, tzn. že vede veřejné rejstříky. V případě zrušení a</w:t>
      </w:r>
      <w:r w:rsidR="00C37A09">
        <w:rPr>
          <w:rFonts w:ascii="Calibri" w:eastAsia="Calibri" w:hAnsi="Calibri" w:cs="Calibri"/>
          <w:szCs w:val="24"/>
        </w:rPr>
        <w:t> </w:t>
      </w:r>
      <w:r w:rsidRPr="001347A1">
        <w:rPr>
          <w:rFonts w:ascii="Calibri" w:eastAsia="Calibri" w:hAnsi="Calibri" w:cs="Calibri"/>
          <w:szCs w:val="24"/>
        </w:rPr>
        <w:t xml:space="preserve">likvidace právnické osoby nařízené soudem z moci úřední následuje výmaz z veřejného rejstříku, kterým dochází k jejímu zániku. Toto řízení se nejčastěji týká tzv. neaktivních </w:t>
      </w:r>
      <w:r w:rsidR="005618ED">
        <w:rPr>
          <w:rFonts w:ascii="Calibri" w:eastAsia="Calibri" w:hAnsi="Calibri" w:cs="Calibri"/>
          <w:szCs w:val="24"/>
        </w:rPr>
        <w:t xml:space="preserve">obchodních </w:t>
      </w:r>
      <w:r w:rsidRPr="001347A1">
        <w:rPr>
          <w:rFonts w:ascii="Calibri" w:eastAsia="Calibri" w:hAnsi="Calibri" w:cs="Calibri"/>
          <w:szCs w:val="24"/>
        </w:rPr>
        <w:t>společností. V souvislosti s tímto řízením soud stanoví rušeným právnickým osobám soudní poplatek dle zákona o soudních poplatcích</w:t>
      </w:r>
      <w:r w:rsidRPr="00C11C9B">
        <w:rPr>
          <w:rStyle w:val="Znakapoznpodarou"/>
          <w:rFonts w:ascii="Calibri" w:eastAsia="Calibri" w:hAnsi="Calibri" w:cs="Calibri"/>
          <w:szCs w:val="24"/>
        </w:rPr>
        <w:footnoteReference w:id="49"/>
      </w:r>
      <w:r w:rsidRPr="001347A1">
        <w:rPr>
          <w:rFonts w:ascii="Calibri" w:eastAsia="Calibri" w:hAnsi="Calibri" w:cs="Calibri"/>
          <w:szCs w:val="24"/>
        </w:rPr>
        <w:t xml:space="preserve"> ve výši 2</w:t>
      </w:r>
      <w:r w:rsidR="00610CC5">
        <w:rPr>
          <w:rFonts w:ascii="Calibri" w:eastAsia="Calibri" w:hAnsi="Calibri" w:cs="Calibri"/>
          <w:szCs w:val="24"/>
        </w:rPr>
        <w:t> </w:t>
      </w:r>
      <w:r w:rsidRPr="001347A1">
        <w:rPr>
          <w:rFonts w:ascii="Calibri" w:eastAsia="Calibri" w:hAnsi="Calibri" w:cs="Calibri"/>
          <w:szCs w:val="24"/>
        </w:rPr>
        <w:t>000</w:t>
      </w:r>
      <w:r w:rsidR="00610CC5">
        <w:rPr>
          <w:rFonts w:ascii="Calibri" w:eastAsia="Calibri" w:hAnsi="Calibri" w:cs="Calibri"/>
          <w:szCs w:val="24"/>
        </w:rPr>
        <w:t> </w:t>
      </w:r>
      <w:r w:rsidRPr="001347A1">
        <w:rPr>
          <w:rFonts w:ascii="Calibri" w:eastAsia="Calibri" w:hAnsi="Calibri" w:cs="Calibri"/>
          <w:szCs w:val="24"/>
        </w:rPr>
        <w:t xml:space="preserve">Kč. </w:t>
      </w:r>
      <w:r w:rsidRPr="001347A1">
        <w:rPr>
          <w:rFonts w:ascii="Calibri" w:hAnsi="Calibri" w:cs="Calibri"/>
        </w:rPr>
        <w:t>KS Ostrava k</w:t>
      </w:r>
      <w:r w:rsidR="00C37A09">
        <w:rPr>
          <w:rFonts w:ascii="Calibri" w:hAnsi="Calibri" w:cs="Calibri"/>
        </w:rPr>
        <w:t> </w:t>
      </w:r>
      <w:r w:rsidRPr="001347A1">
        <w:rPr>
          <w:rFonts w:ascii="Calibri" w:hAnsi="Calibri" w:cs="Calibri"/>
        </w:rPr>
        <w:t>31. 12. let 2021 až 2024 evidoval cca 5</w:t>
      </w:r>
      <w:r w:rsidR="00610CC5">
        <w:rPr>
          <w:rFonts w:ascii="Calibri" w:hAnsi="Calibri" w:cs="Calibri"/>
        </w:rPr>
        <w:t> </w:t>
      </w:r>
      <w:r w:rsidRPr="001347A1">
        <w:rPr>
          <w:rFonts w:ascii="Calibri" w:hAnsi="Calibri" w:cs="Calibri"/>
        </w:rPr>
        <w:t>439 pohledávek ve výši 10,9</w:t>
      </w:r>
      <w:r w:rsidR="00610CC5">
        <w:rPr>
          <w:rFonts w:ascii="Calibri" w:hAnsi="Calibri" w:cs="Calibri"/>
        </w:rPr>
        <w:t> </w:t>
      </w:r>
      <w:r w:rsidRPr="001347A1">
        <w:rPr>
          <w:rFonts w:ascii="Calibri" w:hAnsi="Calibri" w:cs="Calibri"/>
        </w:rPr>
        <w:t>mil.</w:t>
      </w:r>
      <w:r w:rsidR="00610CC5">
        <w:rPr>
          <w:rFonts w:ascii="Calibri" w:hAnsi="Calibri" w:cs="Calibri"/>
        </w:rPr>
        <w:t> </w:t>
      </w:r>
      <w:r w:rsidRPr="001347A1">
        <w:rPr>
          <w:rFonts w:ascii="Calibri" w:hAnsi="Calibri" w:cs="Calibri"/>
        </w:rPr>
        <w:t xml:space="preserve">Kč ze soudních poplatků, které byly stanoveny v souvislosti se zrušením právnických osob a nařízením jejich likvidace soudem z moci úřední. </w:t>
      </w:r>
    </w:p>
    <w:p w14:paraId="14787C94" w14:textId="3EC596E3" w:rsidR="00C70726" w:rsidRPr="008B36BF" w:rsidRDefault="00C70726" w:rsidP="00AC73C7">
      <w:pPr>
        <w:spacing w:before="120" w:after="120"/>
        <w:rPr>
          <w:rFonts w:ascii="Calibri" w:eastAsia="Calibri" w:hAnsi="Calibri" w:cs="Calibri"/>
          <w:szCs w:val="24"/>
        </w:rPr>
      </w:pPr>
      <w:r w:rsidRPr="001347A1">
        <w:rPr>
          <w:rFonts w:ascii="Calibri" w:eastAsia="Calibri" w:hAnsi="Calibri" w:cs="Calibri"/>
          <w:szCs w:val="24"/>
        </w:rPr>
        <w:t>Předmětné pohledávky soudy předávaly k vymáhání na CÚ, nicméně jsou de facto nevymahatelné, jelikož se jedná o neaktivní společnosti, bez statutárního orgánu a</w:t>
      </w:r>
      <w:r w:rsidR="00C37A09">
        <w:rPr>
          <w:rFonts w:ascii="Calibri" w:eastAsia="Calibri" w:hAnsi="Calibri" w:cs="Calibri"/>
          <w:szCs w:val="24"/>
        </w:rPr>
        <w:t> </w:t>
      </w:r>
      <w:r w:rsidRPr="001347A1">
        <w:rPr>
          <w:rFonts w:ascii="Calibri" w:eastAsia="Calibri" w:hAnsi="Calibri" w:cs="Calibri"/>
          <w:szCs w:val="24"/>
        </w:rPr>
        <w:t xml:space="preserve">nedisponující peněžními prostředky a majetkem. </w:t>
      </w:r>
    </w:p>
    <w:p w14:paraId="53A5EEA0" w14:textId="0400E14A" w:rsidR="007504EB" w:rsidRPr="00DA5CA5" w:rsidRDefault="007504EB" w:rsidP="0072026C">
      <w:pPr>
        <w:pStyle w:val="Nadpis2"/>
        <w:keepLines w:val="0"/>
        <w:spacing w:before="240"/>
        <w:ind w:left="284" w:hanging="284"/>
        <w:jc w:val="left"/>
        <w:rPr>
          <w:rFonts w:eastAsia="Calibri"/>
        </w:rPr>
      </w:pPr>
      <w:r w:rsidRPr="00DA5CA5">
        <w:rPr>
          <w:rFonts w:eastAsia="Calibri"/>
        </w:rPr>
        <w:t>M</w:t>
      </w:r>
      <w:r>
        <w:rPr>
          <w:rFonts w:eastAsia="Calibri"/>
        </w:rPr>
        <w:t>inisterstvo spravedlnosti</w:t>
      </w:r>
      <w:r w:rsidRPr="00DA5CA5">
        <w:rPr>
          <w:rFonts w:eastAsia="Calibri"/>
        </w:rPr>
        <w:t xml:space="preserve"> </w:t>
      </w:r>
      <w:r>
        <w:rPr>
          <w:rFonts w:eastAsia="Calibri"/>
        </w:rPr>
        <w:t>neprovádělo kontrolu soudů při správě soudních poplatků a</w:t>
      </w:r>
      <w:r w:rsidR="0072026C">
        <w:rPr>
          <w:rFonts w:eastAsia="Calibri"/>
        </w:rPr>
        <w:t> </w:t>
      </w:r>
      <w:r>
        <w:rPr>
          <w:rFonts w:eastAsia="Calibri"/>
        </w:rPr>
        <w:t>vymáhání justičních pohledávek</w:t>
      </w:r>
    </w:p>
    <w:p w14:paraId="583F00CE" w14:textId="1DEEED05" w:rsidR="00CB12FF" w:rsidRPr="00FC34AC" w:rsidRDefault="00CB12FF" w:rsidP="00AC73C7">
      <w:pPr>
        <w:spacing w:before="120" w:after="120"/>
        <w:rPr>
          <w:rFonts w:ascii="Calibri" w:hAnsi="Calibri" w:cs="Calibri"/>
        </w:rPr>
      </w:pPr>
      <w:r w:rsidRPr="00FC34AC">
        <w:rPr>
          <w:rFonts w:ascii="Calibri" w:hAnsi="Calibri" w:cs="Calibri"/>
        </w:rPr>
        <w:t>MSp v postavení ústředního orgánu státní správy soudů</w:t>
      </w:r>
      <w:r w:rsidRPr="00FC34AC">
        <w:rPr>
          <w:rStyle w:val="Znakapoznpodarou"/>
          <w:rFonts w:ascii="Calibri" w:eastAsiaTheme="majorEastAsia" w:hAnsi="Calibri" w:cs="Calibri"/>
          <w:shd w:val="clear" w:color="auto" w:fill="FFFFFF"/>
        </w:rPr>
        <w:footnoteReference w:id="50"/>
      </w:r>
      <w:r w:rsidRPr="00FC34AC">
        <w:rPr>
          <w:rFonts w:ascii="Calibri" w:hAnsi="Calibri" w:cs="Calibri"/>
        </w:rPr>
        <w:t xml:space="preserve"> vykonává</w:t>
      </w:r>
      <w:r w:rsidR="00BE6500">
        <w:rPr>
          <w:rFonts w:ascii="Calibri" w:hAnsi="Calibri" w:cs="Calibri"/>
        </w:rPr>
        <w:t xml:space="preserve"> dle zákona o soudech</w:t>
      </w:r>
      <w:r w:rsidR="00A71DFA">
        <w:rPr>
          <w:rFonts w:ascii="Calibri" w:hAnsi="Calibri" w:cs="Calibri"/>
        </w:rPr>
        <w:t xml:space="preserve"> a</w:t>
      </w:r>
      <w:r w:rsidR="002D0ADD">
        <w:rPr>
          <w:rFonts w:ascii="Calibri" w:hAnsi="Calibri" w:cs="Calibri"/>
        </w:rPr>
        <w:t> </w:t>
      </w:r>
      <w:r w:rsidR="00BE6500">
        <w:rPr>
          <w:rFonts w:ascii="Calibri" w:hAnsi="Calibri" w:cs="Calibri"/>
        </w:rPr>
        <w:t>soudcích</w:t>
      </w:r>
      <w:r w:rsidR="00BE6500" w:rsidRPr="00FC34AC">
        <w:rPr>
          <w:rFonts w:ascii="Calibri" w:hAnsi="Calibri" w:cs="Calibri"/>
        </w:rPr>
        <w:t xml:space="preserve"> </w:t>
      </w:r>
      <w:r w:rsidRPr="00FC34AC">
        <w:rPr>
          <w:rFonts w:ascii="Calibri" w:hAnsi="Calibri" w:cs="Calibri"/>
        </w:rPr>
        <w:t>státní správu soudů ve věcech majetku státu a státního rozpočtu prostřednictvím předsedů soudů</w:t>
      </w:r>
      <w:r w:rsidRPr="00FC34AC">
        <w:rPr>
          <w:rStyle w:val="Znakapoznpodarou"/>
          <w:rFonts w:ascii="Calibri" w:eastAsiaTheme="majorEastAsia" w:hAnsi="Calibri" w:cs="Calibri"/>
        </w:rPr>
        <w:footnoteReference w:id="51"/>
      </w:r>
      <w:r w:rsidRPr="00FC34AC">
        <w:rPr>
          <w:rFonts w:ascii="Calibri" w:hAnsi="Calibri" w:cs="Calibri"/>
        </w:rPr>
        <w:t>, kdy MSp mj.</w:t>
      </w:r>
      <w:r w:rsidRPr="00FC34AC">
        <w:rPr>
          <w:rFonts w:ascii="Calibri" w:hAnsi="Calibri" w:cs="Calibri"/>
          <w:shd w:val="clear" w:color="auto" w:fill="FFFFFF"/>
        </w:rPr>
        <w:t xml:space="preserve"> provádí kontroly hospodaření</w:t>
      </w:r>
      <w:r w:rsidRPr="00FC34AC">
        <w:rPr>
          <w:rStyle w:val="Znakapoznpodarou"/>
          <w:rFonts w:ascii="Calibri" w:eastAsiaTheme="majorEastAsia" w:hAnsi="Calibri" w:cs="Calibri"/>
          <w:shd w:val="clear" w:color="auto" w:fill="FFFFFF"/>
        </w:rPr>
        <w:footnoteReference w:id="52"/>
      </w:r>
      <w:r w:rsidRPr="00FC34AC">
        <w:rPr>
          <w:rFonts w:ascii="Calibri" w:hAnsi="Calibri" w:cs="Calibri"/>
          <w:shd w:val="clear" w:color="auto" w:fill="FFFFFF"/>
        </w:rPr>
        <w:t>. Dále kontroluje výkon státní správy prováděný předsedy soudů ve věcech majetku státu a státního rozpočtu a stanoví působnost k výkonu státní správy soudů prováděnému předsedy soudů v ostatních věcech</w:t>
      </w:r>
      <w:r w:rsidRPr="00FC34AC">
        <w:rPr>
          <w:rStyle w:val="Znakapoznpodarou"/>
          <w:rFonts w:ascii="Calibri" w:eastAsiaTheme="majorEastAsia" w:hAnsi="Calibri" w:cs="Calibri"/>
          <w:shd w:val="clear" w:color="auto" w:fill="FFFFFF"/>
        </w:rPr>
        <w:footnoteReference w:id="53"/>
      </w:r>
      <w:r w:rsidRPr="00FC34AC">
        <w:rPr>
          <w:rFonts w:ascii="Calibri" w:hAnsi="Calibri" w:cs="Calibri"/>
          <w:shd w:val="clear" w:color="auto" w:fill="FFFFFF"/>
        </w:rPr>
        <w:t>.</w:t>
      </w:r>
      <w:r w:rsidRPr="00FC34AC">
        <w:rPr>
          <w:rFonts w:ascii="Calibri" w:hAnsi="Calibri" w:cs="Calibri"/>
        </w:rPr>
        <w:t xml:space="preserve"> </w:t>
      </w:r>
    </w:p>
    <w:p w14:paraId="2E0C5466" w14:textId="15EEAF52" w:rsidR="003763E3" w:rsidRDefault="00CB12FF" w:rsidP="00AC73C7">
      <w:pPr>
        <w:pStyle w:val="Odstavecseseznamem"/>
        <w:spacing w:after="120"/>
        <w:ind w:left="0"/>
        <w:contextualSpacing w:val="0"/>
        <w:rPr>
          <w:rFonts w:ascii="Calibri" w:eastAsia="Calibri" w:hAnsi="Calibri" w:cs="Calibri"/>
          <w:szCs w:val="24"/>
        </w:rPr>
      </w:pPr>
      <w:r w:rsidRPr="00FC34AC">
        <w:rPr>
          <w:rFonts w:ascii="Calibri" w:hAnsi="Calibri" w:cs="Calibri"/>
          <w:shd w:val="clear" w:color="auto" w:fill="FFFFFF"/>
        </w:rPr>
        <w:t xml:space="preserve">MSp stanoví </w:t>
      </w:r>
      <w:r w:rsidRPr="00FC34AC">
        <w:rPr>
          <w:rFonts w:ascii="Calibri" w:hAnsi="Calibri" w:cs="Calibri"/>
        </w:rPr>
        <w:t>formy a metody kontrolní činnosti předsedů soudů při výkonu jejich správních funkcí a prověřuje jejich dodržování.</w:t>
      </w:r>
      <w:r w:rsidR="002D7392">
        <w:rPr>
          <w:rFonts w:ascii="Calibri" w:hAnsi="Calibri" w:cs="Calibri"/>
        </w:rPr>
        <w:t xml:space="preserve"> </w:t>
      </w:r>
      <w:r w:rsidR="003763E3" w:rsidRPr="00AD3E3D">
        <w:rPr>
          <w:rFonts w:ascii="Calibri" w:eastAsia="Calibri" w:hAnsi="Calibri" w:cs="Calibri"/>
          <w:szCs w:val="24"/>
        </w:rPr>
        <w:t>NKÚ zjistil, že MSp v postavení ústředního orgánu státní správy soudů v kontrolovaném období nepostupovalo v souladu s</w:t>
      </w:r>
      <w:r w:rsidR="00BE6500">
        <w:rPr>
          <w:rFonts w:ascii="Calibri" w:eastAsia="Calibri" w:hAnsi="Calibri" w:cs="Calibri"/>
          <w:szCs w:val="24"/>
        </w:rPr>
        <w:t xml:space="preserve">e zákonem </w:t>
      </w:r>
      <w:r w:rsidR="00BE6500">
        <w:rPr>
          <w:rFonts w:ascii="Calibri" w:hAnsi="Calibri" w:cs="Calibri"/>
        </w:rPr>
        <w:t>o soudech</w:t>
      </w:r>
      <w:r w:rsidR="00A71DFA">
        <w:rPr>
          <w:rFonts w:ascii="Calibri" w:hAnsi="Calibri" w:cs="Calibri"/>
        </w:rPr>
        <w:t xml:space="preserve"> a</w:t>
      </w:r>
      <w:r w:rsidR="00C37A09">
        <w:rPr>
          <w:rFonts w:ascii="Calibri" w:hAnsi="Calibri" w:cs="Calibri"/>
        </w:rPr>
        <w:t> </w:t>
      </w:r>
      <w:r w:rsidR="00BE6500">
        <w:rPr>
          <w:rFonts w:ascii="Calibri" w:hAnsi="Calibri" w:cs="Calibri"/>
        </w:rPr>
        <w:t>soudcích</w:t>
      </w:r>
      <w:r w:rsidR="00BE6500">
        <w:rPr>
          <w:rStyle w:val="Znakapoznpodarou"/>
          <w:rFonts w:ascii="Calibri" w:hAnsi="Calibri" w:cs="Calibri"/>
        </w:rPr>
        <w:footnoteReference w:id="54"/>
      </w:r>
      <w:r w:rsidR="003763E3" w:rsidRPr="00AD3E3D">
        <w:rPr>
          <w:rFonts w:ascii="Calibri" w:eastAsia="Calibri" w:hAnsi="Calibri" w:cs="Calibri"/>
          <w:szCs w:val="24"/>
        </w:rPr>
        <w:t>, když nekontrolovalo, zda soudy při správě majetku státu, resp. při správě soudních poplatků a vymáhání justičních pohledávek, postupovaly v souladu s právními předpisy a metodickými postupy</w:t>
      </w:r>
      <w:r w:rsidR="00512AE4">
        <w:rPr>
          <w:rFonts w:ascii="Calibri" w:eastAsia="Calibri" w:hAnsi="Calibri" w:cs="Calibri"/>
          <w:szCs w:val="24"/>
        </w:rPr>
        <w:t>, které MSp samo nastavilo</w:t>
      </w:r>
      <w:r w:rsidR="003763E3" w:rsidRPr="00AD3E3D">
        <w:rPr>
          <w:rFonts w:ascii="Calibri" w:eastAsia="Calibri" w:hAnsi="Calibri" w:cs="Calibri"/>
          <w:szCs w:val="24"/>
        </w:rPr>
        <w:t>. Nemohlo tak ověřit, zda soudy v</w:t>
      </w:r>
      <w:r w:rsidR="00C37A09">
        <w:rPr>
          <w:rFonts w:ascii="Calibri" w:eastAsia="Calibri" w:hAnsi="Calibri" w:cs="Calibri"/>
          <w:szCs w:val="24"/>
        </w:rPr>
        <w:t> </w:t>
      </w:r>
      <w:r w:rsidR="003763E3" w:rsidRPr="00AD3E3D">
        <w:rPr>
          <w:rFonts w:ascii="Calibri" w:eastAsia="Calibri" w:hAnsi="Calibri" w:cs="Calibri"/>
          <w:szCs w:val="24"/>
        </w:rPr>
        <w:t>postavení organizačních složek</w:t>
      </w:r>
      <w:r w:rsidR="00B70CE8">
        <w:rPr>
          <w:rFonts w:ascii="Calibri" w:eastAsia="Calibri" w:hAnsi="Calibri" w:cs="Calibri"/>
          <w:szCs w:val="24"/>
        </w:rPr>
        <w:t xml:space="preserve"> státu</w:t>
      </w:r>
      <w:r w:rsidR="003763E3" w:rsidRPr="00AD3E3D">
        <w:rPr>
          <w:rFonts w:ascii="Calibri" w:eastAsia="Calibri" w:hAnsi="Calibri" w:cs="Calibri"/>
          <w:szCs w:val="24"/>
        </w:rPr>
        <w:t xml:space="preserve"> sledovaly, </w:t>
      </w:r>
      <w:r w:rsidR="00D0220A">
        <w:rPr>
          <w:rFonts w:ascii="Calibri" w:eastAsia="Calibri" w:hAnsi="Calibri" w:cs="Calibri"/>
          <w:szCs w:val="24"/>
        </w:rPr>
        <w:t>jestli</w:t>
      </w:r>
      <w:r w:rsidR="003763E3" w:rsidRPr="00AD3E3D">
        <w:rPr>
          <w:rFonts w:ascii="Calibri" w:eastAsia="Calibri" w:hAnsi="Calibri" w:cs="Calibri"/>
          <w:szCs w:val="24"/>
        </w:rPr>
        <w:t xml:space="preserve"> dlužníci včas a řádně plnil</w:t>
      </w:r>
      <w:r w:rsidR="00512AE4">
        <w:rPr>
          <w:rFonts w:ascii="Calibri" w:eastAsia="Calibri" w:hAnsi="Calibri" w:cs="Calibri"/>
          <w:szCs w:val="24"/>
        </w:rPr>
        <w:t>i</w:t>
      </w:r>
      <w:r w:rsidR="003763E3" w:rsidRPr="00AD3E3D">
        <w:rPr>
          <w:rFonts w:ascii="Calibri" w:eastAsia="Calibri" w:hAnsi="Calibri" w:cs="Calibri"/>
          <w:szCs w:val="24"/>
        </w:rPr>
        <w:t xml:space="preserve"> své dluhy</w:t>
      </w:r>
      <w:r w:rsidR="00BE6500">
        <w:rPr>
          <w:rFonts w:ascii="Calibri" w:eastAsia="Calibri" w:hAnsi="Calibri" w:cs="Calibri"/>
          <w:szCs w:val="24"/>
        </w:rPr>
        <w:t xml:space="preserve">. </w:t>
      </w:r>
      <w:r w:rsidR="00FA5079">
        <w:rPr>
          <w:rFonts w:ascii="Calibri" w:eastAsia="Calibri" w:hAnsi="Calibri" w:cs="Calibri"/>
          <w:szCs w:val="24"/>
        </w:rPr>
        <w:t>MSp dále nezjistilo,</w:t>
      </w:r>
      <w:r w:rsidR="001628E9">
        <w:rPr>
          <w:rFonts w:ascii="Calibri" w:eastAsia="Calibri" w:hAnsi="Calibri" w:cs="Calibri"/>
          <w:szCs w:val="24"/>
        </w:rPr>
        <w:t xml:space="preserve"> resp. s ohledem na absenci kontrolní činnosti nemohlo zjistit,</w:t>
      </w:r>
      <w:r w:rsidR="00FA5079">
        <w:rPr>
          <w:rFonts w:ascii="Calibri" w:eastAsia="Calibri" w:hAnsi="Calibri" w:cs="Calibri"/>
          <w:szCs w:val="24"/>
        </w:rPr>
        <w:t xml:space="preserve"> </w:t>
      </w:r>
      <w:r w:rsidR="00F70BD0">
        <w:rPr>
          <w:rFonts w:ascii="Calibri" w:eastAsia="Calibri" w:hAnsi="Calibri" w:cs="Calibri"/>
          <w:szCs w:val="24"/>
        </w:rPr>
        <w:t xml:space="preserve">že </w:t>
      </w:r>
      <w:r w:rsidR="00FA5079" w:rsidRPr="00D934A3">
        <w:rPr>
          <w:rFonts w:ascii="Calibri" w:hAnsi="Calibri" w:cs="Calibri"/>
        </w:rPr>
        <w:t>KS Ostrava nastavil systém vyúčtování vymoženého plnění k pohledávkám předaným k vymáhání soudnímu exekutorovi netransparentně a neprováděl u soudního exekutora kontrolu nebo inventarizaci exekučních spisů předaných pohledávek</w:t>
      </w:r>
      <w:r w:rsidR="00D0220A" w:rsidRPr="00D934A3">
        <w:rPr>
          <w:rFonts w:ascii="Calibri" w:hAnsi="Calibri" w:cs="Calibri"/>
        </w:rPr>
        <w:t>.</w:t>
      </w:r>
    </w:p>
    <w:p w14:paraId="083E7F89" w14:textId="574EEA33" w:rsidR="00F01F3E" w:rsidRDefault="003763E3" w:rsidP="00AC73C7">
      <w:pPr>
        <w:spacing w:before="120" w:after="0"/>
        <w:rPr>
          <w:lang w:eastAsia="cs-CZ"/>
        </w:rPr>
      </w:pPr>
      <w:r w:rsidRPr="0002787D">
        <w:rPr>
          <w:rFonts w:ascii="Calibri" w:eastAsia="Calibri" w:hAnsi="Calibri" w:cs="Calibri"/>
          <w:szCs w:val="24"/>
        </w:rPr>
        <w:t xml:space="preserve">MSp </w:t>
      </w:r>
      <w:r w:rsidR="00FA2BAF" w:rsidRPr="0002787D">
        <w:rPr>
          <w:rFonts w:ascii="Calibri" w:eastAsia="Calibri" w:hAnsi="Calibri" w:cs="Calibri"/>
          <w:szCs w:val="24"/>
        </w:rPr>
        <w:t xml:space="preserve">nekontrolovalo soudy </w:t>
      </w:r>
      <w:r w:rsidR="00FA2BAF">
        <w:rPr>
          <w:rFonts w:ascii="Calibri" w:eastAsia="Calibri" w:hAnsi="Calibri" w:cs="Calibri"/>
          <w:szCs w:val="24"/>
        </w:rPr>
        <w:t>ani</w:t>
      </w:r>
      <w:r w:rsidRPr="0002787D">
        <w:rPr>
          <w:rFonts w:ascii="Calibri" w:eastAsia="Calibri" w:hAnsi="Calibri" w:cs="Calibri"/>
          <w:szCs w:val="24"/>
        </w:rPr>
        <w:t xml:space="preserve"> podle zákona </w:t>
      </w:r>
      <w:r w:rsidR="00961861">
        <w:rPr>
          <w:rFonts w:ascii="Calibri" w:eastAsia="Calibri" w:hAnsi="Calibri" w:cs="Calibri"/>
          <w:szCs w:val="24"/>
        </w:rPr>
        <w:t>o soudních poplatcích</w:t>
      </w:r>
      <w:r w:rsidR="00961861">
        <w:rPr>
          <w:rStyle w:val="Znakapoznpodarou"/>
          <w:rFonts w:ascii="Calibri" w:eastAsia="Calibri" w:hAnsi="Calibri" w:cs="Calibri"/>
          <w:szCs w:val="24"/>
        </w:rPr>
        <w:footnoteReference w:id="55"/>
      </w:r>
      <w:r w:rsidR="00512AE4">
        <w:rPr>
          <w:rFonts w:ascii="Calibri" w:eastAsia="Calibri" w:hAnsi="Calibri" w:cs="Calibri"/>
          <w:szCs w:val="24"/>
        </w:rPr>
        <w:t xml:space="preserve">. </w:t>
      </w:r>
      <w:r w:rsidRPr="0002787D">
        <w:rPr>
          <w:rFonts w:ascii="Calibri" w:eastAsia="Calibri" w:hAnsi="Calibri" w:cs="Calibri"/>
          <w:szCs w:val="24"/>
        </w:rPr>
        <w:t xml:space="preserve">MF </w:t>
      </w:r>
      <w:r w:rsidR="00930AF0">
        <w:rPr>
          <w:rFonts w:ascii="Calibri" w:eastAsia="Calibri" w:hAnsi="Calibri" w:cs="Calibri"/>
          <w:szCs w:val="24"/>
        </w:rPr>
        <w:t xml:space="preserve">podle tohoto zákona </w:t>
      </w:r>
      <w:r w:rsidRPr="0002787D">
        <w:rPr>
          <w:rFonts w:ascii="Calibri" w:eastAsia="Calibri" w:hAnsi="Calibri" w:cs="Calibri"/>
          <w:szCs w:val="24"/>
        </w:rPr>
        <w:t xml:space="preserve">provádělo kontrolní činnost v oblasti soudních poplatků prostřednictvím jemu podřízených orgánů. </w:t>
      </w:r>
      <w:r w:rsidR="005F2450" w:rsidRPr="009939CD">
        <w:rPr>
          <w:rFonts w:ascii="Calibri" w:eastAsia="Calibri" w:hAnsi="Calibri" w:cs="Calibri"/>
          <w:szCs w:val="24"/>
        </w:rPr>
        <w:t xml:space="preserve">Ze strany finančních úřadů nebyly v letech 2021 až 2024 </w:t>
      </w:r>
      <w:r w:rsidR="00B70CE8">
        <w:rPr>
          <w:rFonts w:ascii="Calibri" w:eastAsia="Calibri" w:hAnsi="Calibri" w:cs="Calibri"/>
          <w:szCs w:val="24"/>
        </w:rPr>
        <w:t>zpravidla</w:t>
      </w:r>
      <w:r w:rsidR="00B70CE8" w:rsidRPr="009939CD">
        <w:rPr>
          <w:rFonts w:ascii="Calibri" w:eastAsia="Calibri" w:hAnsi="Calibri" w:cs="Calibri"/>
          <w:szCs w:val="24"/>
        </w:rPr>
        <w:t xml:space="preserve"> </w:t>
      </w:r>
      <w:r w:rsidR="005F2450" w:rsidRPr="009939CD">
        <w:rPr>
          <w:rFonts w:ascii="Calibri" w:eastAsia="Calibri" w:hAnsi="Calibri" w:cs="Calibri"/>
          <w:szCs w:val="24"/>
        </w:rPr>
        <w:t>zjištěny žádné nedostatky a</w:t>
      </w:r>
      <w:r w:rsidR="009939CD" w:rsidRPr="009939CD">
        <w:rPr>
          <w:rFonts w:ascii="Calibri" w:eastAsia="Calibri" w:hAnsi="Calibri" w:cs="Calibri"/>
          <w:szCs w:val="24"/>
        </w:rPr>
        <w:t>ni</w:t>
      </w:r>
      <w:r w:rsidR="005F2450" w:rsidRPr="009939CD">
        <w:rPr>
          <w:rFonts w:ascii="Calibri" w:eastAsia="Calibri" w:hAnsi="Calibri" w:cs="Calibri"/>
          <w:szCs w:val="24"/>
        </w:rPr>
        <w:t xml:space="preserve"> uložena nápravná opatření.</w:t>
      </w:r>
      <w:r w:rsidR="009939CD">
        <w:rPr>
          <w:rFonts w:ascii="Calibri" w:eastAsia="Calibri" w:hAnsi="Calibri" w:cs="Calibri"/>
          <w:szCs w:val="24"/>
        </w:rPr>
        <w:t xml:space="preserve"> </w:t>
      </w:r>
      <w:r w:rsidR="00A15245" w:rsidRPr="0002787D">
        <w:rPr>
          <w:rFonts w:ascii="Calibri" w:eastAsia="Calibri" w:hAnsi="Calibri" w:cs="Calibri"/>
          <w:szCs w:val="24"/>
        </w:rPr>
        <w:t>Z</w:t>
      </w:r>
      <w:r w:rsidR="00E31C95" w:rsidRPr="0002787D">
        <w:rPr>
          <w:rFonts w:ascii="Calibri" w:eastAsia="Calibri" w:hAnsi="Calibri" w:cs="Calibri"/>
          <w:szCs w:val="24"/>
        </w:rPr>
        <w:t> </w:t>
      </w:r>
      <w:r w:rsidR="00A15245" w:rsidRPr="0002787D">
        <w:rPr>
          <w:rFonts w:ascii="Calibri" w:eastAsia="Calibri" w:hAnsi="Calibri" w:cs="Calibri"/>
          <w:szCs w:val="24"/>
        </w:rPr>
        <w:t>protokolů</w:t>
      </w:r>
      <w:r w:rsidR="00E31C95" w:rsidRPr="0002787D">
        <w:rPr>
          <w:rFonts w:ascii="Calibri" w:eastAsia="Calibri" w:hAnsi="Calibri" w:cs="Calibri"/>
          <w:szCs w:val="24"/>
        </w:rPr>
        <w:t xml:space="preserve"> o kontrolách provedených</w:t>
      </w:r>
      <w:r w:rsidR="00C11F92">
        <w:rPr>
          <w:rFonts w:ascii="Calibri" w:eastAsia="Calibri" w:hAnsi="Calibri" w:cs="Calibri"/>
          <w:szCs w:val="24"/>
        </w:rPr>
        <w:t xml:space="preserve"> finančními </w:t>
      </w:r>
      <w:r w:rsidR="00C11F92">
        <w:rPr>
          <w:rFonts w:ascii="Calibri" w:eastAsia="Calibri" w:hAnsi="Calibri" w:cs="Calibri"/>
          <w:szCs w:val="24"/>
        </w:rPr>
        <w:lastRenderedPageBreak/>
        <w:t>úřady</w:t>
      </w:r>
      <w:r w:rsidR="00EB401A" w:rsidRPr="0002787D">
        <w:rPr>
          <w:rFonts w:ascii="Calibri" w:eastAsia="Calibri" w:hAnsi="Calibri" w:cs="Calibri"/>
          <w:szCs w:val="24"/>
        </w:rPr>
        <w:t xml:space="preserve"> </w:t>
      </w:r>
      <w:r w:rsidR="00E31C95" w:rsidRPr="0002787D">
        <w:rPr>
          <w:rFonts w:ascii="Calibri" w:eastAsia="Calibri" w:hAnsi="Calibri" w:cs="Calibri"/>
          <w:szCs w:val="24"/>
        </w:rPr>
        <w:t>u</w:t>
      </w:r>
      <w:r w:rsidR="00777F4D" w:rsidRPr="0002787D">
        <w:rPr>
          <w:rFonts w:ascii="Calibri" w:eastAsia="Calibri" w:hAnsi="Calibri" w:cs="Calibri"/>
          <w:szCs w:val="24"/>
        </w:rPr>
        <w:t xml:space="preserve"> KS Ostrava</w:t>
      </w:r>
      <w:r w:rsidR="00CA5940" w:rsidRPr="0002787D">
        <w:rPr>
          <w:rFonts w:ascii="Calibri" w:eastAsia="Calibri" w:hAnsi="Calibri" w:cs="Calibri"/>
          <w:szCs w:val="24"/>
        </w:rPr>
        <w:t xml:space="preserve"> vyplývá, že</w:t>
      </w:r>
      <w:r w:rsidR="00EB4CF6" w:rsidRPr="0002787D">
        <w:rPr>
          <w:rFonts w:ascii="Calibri" w:eastAsia="Calibri" w:hAnsi="Calibri" w:cs="Calibri"/>
          <w:szCs w:val="24"/>
        </w:rPr>
        <w:t xml:space="preserve"> se </w:t>
      </w:r>
      <w:r w:rsidR="00462153">
        <w:rPr>
          <w:rFonts w:ascii="Calibri" w:eastAsia="Calibri" w:hAnsi="Calibri" w:cs="Calibri"/>
          <w:szCs w:val="24"/>
        </w:rPr>
        <w:t>finanční úřady</w:t>
      </w:r>
      <w:r w:rsidR="00EB4CF6" w:rsidRPr="0002787D">
        <w:rPr>
          <w:rFonts w:ascii="Calibri" w:eastAsia="Calibri" w:hAnsi="Calibri" w:cs="Calibri"/>
          <w:szCs w:val="24"/>
        </w:rPr>
        <w:t xml:space="preserve"> zabývaly zejména kontrolou </w:t>
      </w:r>
      <w:r w:rsidR="00930AF0">
        <w:rPr>
          <w:rFonts w:ascii="Calibri" w:eastAsia="Calibri" w:hAnsi="Calibri" w:cs="Calibri"/>
          <w:szCs w:val="24"/>
        </w:rPr>
        <w:t xml:space="preserve">uhrazených </w:t>
      </w:r>
      <w:r w:rsidR="00EB4CF6" w:rsidRPr="0002787D">
        <w:rPr>
          <w:rFonts w:ascii="Calibri" w:eastAsia="Calibri" w:hAnsi="Calibri" w:cs="Calibri"/>
          <w:szCs w:val="24"/>
        </w:rPr>
        <w:t>soudních poplatků</w:t>
      </w:r>
      <w:r w:rsidR="00930AF0">
        <w:rPr>
          <w:rFonts w:ascii="Calibri" w:eastAsia="Calibri" w:hAnsi="Calibri" w:cs="Calibri"/>
          <w:szCs w:val="24"/>
        </w:rPr>
        <w:t>.</w:t>
      </w:r>
      <w:r w:rsidR="00D763AB" w:rsidRPr="0002787D">
        <w:rPr>
          <w:rFonts w:ascii="Calibri" w:eastAsia="Calibri" w:hAnsi="Calibri" w:cs="Calibri"/>
          <w:szCs w:val="24"/>
        </w:rPr>
        <w:t xml:space="preserve"> K vymáhání neuhrazených soudních poplatků v protokolech uv</w:t>
      </w:r>
      <w:r w:rsidR="00930AF0">
        <w:rPr>
          <w:rFonts w:ascii="Calibri" w:eastAsia="Calibri" w:hAnsi="Calibri" w:cs="Calibri"/>
          <w:szCs w:val="24"/>
        </w:rPr>
        <w:t>áděly</w:t>
      </w:r>
      <w:r w:rsidR="00D763AB" w:rsidRPr="0002787D">
        <w:rPr>
          <w:rFonts w:ascii="Calibri" w:eastAsia="Calibri" w:hAnsi="Calibri" w:cs="Calibri"/>
          <w:szCs w:val="24"/>
        </w:rPr>
        <w:t xml:space="preserve"> obecné informace</w:t>
      </w:r>
      <w:r w:rsidR="00F3163B" w:rsidRPr="0002787D">
        <w:rPr>
          <w:rFonts w:ascii="Calibri" w:eastAsia="Calibri" w:hAnsi="Calibri" w:cs="Calibri"/>
          <w:szCs w:val="24"/>
        </w:rPr>
        <w:t xml:space="preserve"> ohledně </w:t>
      </w:r>
      <w:r w:rsidR="00CC72B2" w:rsidRPr="0002787D">
        <w:rPr>
          <w:rFonts w:ascii="Calibri" w:eastAsia="Calibri" w:hAnsi="Calibri" w:cs="Calibri"/>
          <w:szCs w:val="24"/>
        </w:rPr>
        <w:t xml:space="preserve">prováděných </w:t>
      </w:r>
      <w:r w:rsidR="00911DD3" w:rsidRPr="0002787D">
        <w:rPr>
          <w:rFonts w:ascii="Calibri" w:eastAsia="Calibri" w:hAnsi="Calibri" w:cs="Calibri"/>
          <w:szCs w:val="24"/>
        </w:rPr>
        <w:t xml:space="preserve">součinnostních </w:t>
      </w:r>
      <w:r w:rsidR="00CC72B2" w:rsidRPr="0002787D">
        <w:rPr>
          <w:rFonts w:ascii="Calibri" w:eastAsia="Calibri" w:hAnsi="Calibri" w:cs="Calibri"/>
          <w:szCs w:val="24"/>
        </w:rPr>
        <w:t>úkonů</w:t>
      </w:r>
      <w:r w:rsidR="00911DD3" w:rsidRPr="0002787D">
        <w:rPr>
          <w:rFonts w:ascii="Calibri" w:eastAsia="Calibri" w:hAnsi="Calibri" w:cs="Calibri"/>
          <w:szCs w:val="24"/>
        </w:rPr>
        <w:t xml:space="preserve"> s orgány státní správy před vydáním exekučního příkazu</w:t>
      </w:r>
      <w:r w:rsidR="003229C9">
        <w:rPr>
          <w:rFonts w:ascii="Calibri" w:eastAsia="Calibri" w:hAnsi="Calibri" w:cs="Calibri"/>
          <w:szCs w:val="24"/>
        </w:rPr>
        <w:t xml:space="preserve">. </w:t>
      </w:r>
      <w:r w:rsidR="00EB4923">
        <w:rPr>
          <w:rFonts w:ascii="Calibri" w:eastAsia="Calibri" w:hAnsi="Calibri" w:cs="Calibri"/>
          <w:szCs w:val="24"/>
        </w:rPr>
        <w:t xml:space="preserve">NKÚ zjistil, že </w:t>
      </w:r>
      <w:r w:rsidR="00462153">
        <w:rPr>
          <w:rFonts w:ascii="Calibri" w:eastAsia="Calibri" w:hAnsi="Calibri" w:cs="Calibri"/>
          <w:szCs w:val="24"/>
        </w:rPr>
        <w:t>finanční úřady</w:t>
      </w:r>
      <w:r w:rsidR="00930AF0">
        <w:rPr>
          <w:rFonts w:ascii="Calibri" w:eastAsia="Calibri" w:hAnsi="Calibri" w:cs="Calibri"/>
          <w:szCs w:val="24"/>
        </w:rPr>
        <w:t xml:space="preserve"> prováděly pouze formální </w:t>
      </w:r>
      <w:r w:rsidR="00EB4923">
        <w:rPr>
          <w:rFonts w:ascii="Calibri" w:eastAsia="Calibri" w:hAnsi="Calibri" w:cs="Calibri"/>
          <w:szCs w:val="24"/>
        </w:rPr>
        <w:t xml:space="preserve">kontroly </w:t>
      </w:r>
      <w:r w:rsidR="00930AF0">
        <w:rPr>
          <w:rFonts w:ascii="Calibri" w:eastAsia="Calibri" w:hAnsi="Calibri" w:cs="Calibri"/>
          <w:szCs w:val="24"/>
        </w:rPr>
        <w:t>soudů a</w:t>
      </w:r>
      <w:r w:rsidR="002D0ADD">
        <w:rPr>
          <w:rFonts w:ascii="Calibri" w:eastAsia="Calibri" w:hAnsi="Calibri" w:cs="Calibri"/>
          <w:szCs w:val="24"/>
        </w:rPr>
        <w:t> </w:t>
      </w:r>
      <w:r w:rsidR="00930AF0">
        <w:rPr>
          <w:rFonts w:ascii="Calibri" w:eastAsia="Calibri" w:hAnsi="Calibri" w:cs="Calibri"/>
          <w:szCs w:val="24"/>
        </w:rPr>
        <w:t xml:space="preserve">MF tuto skutečnost nezjistilo. </w:t>
      </w:r>
      <w:r w:rsidR="000D6F79" w:rsidRPr="00BB0EA5">
        <w:rPr>
          <w:rFonts w:ascii="Calibri" w:eastAsia="Calibri" w:hAnsi="Calibri" w:cs="Calibri"/>
          <w:szCs w:val="24"/>
        </w:rPr>
        <w:t xml:space="preserve">MSp ani MF </w:t>
      </w:r>
      <w:r w:rsidR="005846CD">
        <w:rPr>
          <w:rFonts w:ascii="Calibri" w:eastAsia="Calibri" w:hAnsi="Calibri" w:cs="Calibri"/>
          <w:szCs w:val="24"/>
        </w:rPr>
        <w:t xml:space="preserve">tak </w:t>
      </w:r>
      <w:r w:rsidR="000D6F79" w:rsidRPr="00BB0EA5">
        <w:rPr>
          <w:rFonts w:ascii="Calibri" w:eastAsia="Calibri" w:hAnsi="Calibri" w:cs="Calibri"/>
          <w:szCs w:val="24"/>
        </w:rPr>
        <w:t>nezjisti</w:t>
      </w:r>
      <w:r w:rsidR="005A0E2A" w:rsidRPr="00BB0EA5">
        <w:rPr>
          <w:rFonts w:ascii="Calibri" w:eastAsia="Calibri" w:hAnsi="Calibri" w:cs="Calibri"/>
          <w:szCs w:val="24"/>
        </w:rPr>
        <w:t xml:space="preserve">ly, že </w:t>
      </w:r>
      <w:r w:rsidR="00C658FA">
        <w:rPr>
          <w:rFonts w:ascii="Calibri" w:eastAsia="Calibri" w:hAnsi="Calibri" w:cs="Calibri"/>
          <w:szCs w:val="24"/>
        </w:rPr>
        <w:t xml:space="preserve">kontrolované </w:t>
      </w:r>
      <w:r w:rsidR="005A0E2A" w:rsidRPr="00BB0EA5">
        <w:rPr>
          <w:rFonts w:ascii="Calibri" w:eastAsia="Calibri" w:hAnsi="Calibri" w:cs="Calibri"/>
          <w:szCs w:val="24"/>
        </w:rPr>
        <w:t>soudy</w:t>
      </w:r>
      <w:r w:rsidR="00A75028">
        <w:rPr>
          <w:rFonts w:ascii="Calibri" w:eastAsia="Calibri" w:hAnsi="Calibri" w:cs="Calibri"/>
          <w:szCs w:val="24"/>
        </w:rPr>
        <w:t xml:space="preserve"> v některých případech</w:t>
      </w:r>
      <w:r w:rsidR="00FA02F3">
        <w:rPr>
          <w:rFonts w:ascii="Calibri" w:eastAsia="Calibri" w:hAnsi="Calibri" w:cs="Calibri"/>
          <w:szCs w:val="24"/>
        </w:rPr>
        <w:t xml:space="preserve"> nenaplnily jeden z cílů správy daní, </w:t>
      </w:r>
      <w:r w:rsidR="00FA02F3" w:rsidRPr="007E59C5">
        <w:rPr>
          <w:lang w:eastAsia="cs-CZ"/>
        </w:rPr>
        <w:t>kterým</w:t>
      </w:r>
      <w:r w:rsidR="00FA02F3">
        <w:rPr>
          <w:lang w:eastAsia="cs-CZ"/>
        </w:rPr>
        <w:t xml:space="preserve"> je zabezpečení jejich </w:t>
      </w:r>
      <w:r w:rsidR="00361366">
        <w:rPr>
          <w:lang w:eastAsia="cs-CZ"/>
        </w:rPr>
        <w:t>úhrady, jak jim ukládá daňový řád. Dále nezjistil</w:t>
      </w:r>
      <w:r w:rsidR="001E4B1A">
        <w:rPr>
          <w:lang w:eastAsia="cs-CZ"/>
        </w:rPr>
        <w:t>y</w:t>
      </w:r>
      <w:r w:rsidR="00361366">
        <w:rPr>
          <w:lang w:eastAsia="cs-CZ"/>
        </w:rPr>
        <w:t>, že nepostupovaly v souladu se zákonem o účetnictví. Podrobn</w:t>
      </w:r>
      <w:r w:rsidR="00CA1E38">
        <w:rPr>
          <w:lang w:eastAsia="cs-CZ"/>
        </w:rPr>
        <w:t>osti jsou</w:t>
      </w:r>
      <w:r w:rsidR="00361366">
        <w:rPr>
          <w:lang w:eastAsia="cs-CZ"/>
        </w:rPr>
        <w:t xml:space="preserve"> uveden</w:t>
      </w:r>
      <w:r w:rsidR="00CA1E38">
        <w:rPr>
          <w:lang w:eastAsia="cs-CZ"/>
        </w:rPr>
        <w:t>y</w:t>
      </w:r>
      <w:r w:rsidR="00361366">
        <w:rPr>
          <w:lang w:eastAsia="cs-CZ"/>
        </w:rPr>
        <w:t xml:space="preserve"> v kapitole </w:t>
      </w:r>
      <w:r w:rsidR="00D44677">
        <w:rPr>
          <w:lang w:eastAsia="cs-CZ"/>
        </w:rPr>
        <w:t>IV</w:t>
      </w:r>
      <w:r w:rsidR="00C7158B">
        <w:rPr>
          <w:lang w:eastAsia="cs-CZ"/>
        </w:rPr>
        <w:t xml:space="preserve">. bod </w:t>
      </w:r>
      <w:r w:rsidR="00361366">
        <w:rPr>
          <w:lang w:eastAsia="cs-CZ"/>
        </w:rPr>
        <w:t>1.</w:t>
      </w:r>
    </w:p>
    <w:p w14:paraId="327370DC" w14:textId="11BD73C1" w:rsidR="00F01F3E" w:rsidRDefault="00F01F3E">
      <w:pPr>
        <w:jc w:val="left"/>
        <w:rPr>
          <w:lang w:eastAsia="cs-CZ"/>
        </w:rPr>
      </w:pPr>
      <w:r>
        <w:rPr>
          <w:lang w:eastAsia="cs-CZ"/>
        </w:rPr>
        <w:br w:type="page"/>
      </w:r>
    </w:p>
    <w:p w14:paraId="68DCCFBA" w14:textId="4C81598C" w:rsidR="004C1775" w:rsidRPr="00B14516" w:rsidRDefault="0093232C" w:rsidP="009E6C93">
      <w:pPr>
        <w:pStyle w:val="Nadpis1"/>
        <w:numPr>
          <w:ilvl w:val="0"/>
          <w:numId w:val="0"/>
        </w:numPr>
        <w:spacing w:before="600"/>
        <w:jc w:val="both"/>
        <w:rPr>
          <w:sz w:val="28"/>
          <w:szCs w:val="28"/>
        </w:rPr>
      </w:pPr>
      <w:r w:rsidRPr="00B14516">
        <w:rPr>
          <w:sz w:val="28"/>
          <w:szCs w:val="28"/>
        </w:rPr>
        <w:lastRenderedPageBreak/>
        <w:t>Seznam zkratek</w:t>
      </w:r>
    </w:p>
    <w:tbl>
      <w:tblPr>
        <w:tblStyle w:val="Mkatabul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6226"/>
      </w:tblGrid>
      <w:tr w:rsidR="00FE729B" w:rsidRPr="000A68DF" w14:paraId="05D51BFD" w14:textId="77777777" w:rsidTr="00A94F55">
        <w:tc>
          <w:tcPr>
            <w:tcW w:w="2982" w:type="dxa"/>
          </w:tcPr>
          <w:p w14:paraId="6BFB3D11" w14:textId="77777777" w:rsidR="00C90865" w:rsidRPr="00CB7A45" w:rsidRDefault="00C90865" w:rsidP="00985A41">
            <w:pPr>
              <w:spacing w:before="20" w:after="80"/>
              <w:ind w:left="45"/>
              <w:jc w:val="left"/>
              <w:rPr>
                <w:rFonts w:ascii="Calibri" w:eastAsia="Times New Roman" w:hAnsi="Calibri" w:cs="Calibri"/>
                <w:color w:val="000000" w:themeColor="text1"/>
                <w:szCs w:val="24"/>
                <w:lang w:eastAsia="cs-CZ"/>
              </w:rPr>
            </w:pPr>
            <w:r w:rsidRPr="00CB7A45">
              <w:rPr>
                <w:rFonts w:ascii="Calibri" w:eastAsia="Times New Roman" w:hAnsi="Calibri" w:cs="Calibri"/>
                <w:color w:val="000000" w:themeColor="text1"/>
                <w:szCs w:val="24"/>
                <w:lang w:eastAsia="cs-CZ"/>
              </w:rPr>
              <w:t>CS ČR</w:t>
            </w:r>
          </w:p>
        </w:tc>
        <w:tc>
          <w:tcPr>
            <w:tcW w:w="6226" w:type="dxa"/>
          </w:tcPr>
          <w:p w14:paraId="2062B561" w14:textId="77777777" w:rsidR="00C90865" w:rsidRPr="000A68DF" w:rsidRDefault="00C90865" w:rsidP="00985A41">
            <w:pPr>
              <w:spacing w:before="20" w:after="80"/>
              <w:jc w:val="left"/>
              <w:rPr>
                <w:rFonts w:ascii="Calibri" w:eastAsia="Times New Roman" w:hAnsi="Calibri" w:cs="Calibri"/>
                <w:color w:val="000000"/>
                <w:szCs w:val="24"/>
                <w:lang w:eastAsia="cs-CZ"/>
              </w:rPr>
            </w:pPr>
            <w:r w:rsidRPr="000A68DF">
              <w:rPr>
                <w:rFonts w:ascii="Calibri" w:eastAsia="Times New Roman" w:hAnsi="Calibri" w:cs="Calibri"/>
                <w:color w:val="000000"/>
                <w:szCs w:val="24"/>
                <w:lang w:eastAsia="cs-CZ"/>
              </w:rPr>
              <w:t>Celní správa ČR</w:t>
            </w:r>
          </w:p>
        </w:tc>
      </w:tr>
      <w:tr w:rsidR="00FE729B" w:rsidRPr="000A68DF" w14:paraId="3FD0BA18" w14:textId="77777777" w:rsidTr="00A94F55">
        <w:tc>
          <w:tcPr>
            <w:tcW w:w="2982" w:type="dxa"/>
          </w:tcPr>
          <w:p w14:paraId="5B9F72E7" w14:textId="77777777" w:rsidR="00C90865" w:rsidRPr="00CB7A45" w:rsidRDefault="00C90865" w:rsidP="00985A41">
            <w:pPr>
              <w:spacing w:before="20" w:after="80"/>
              <w:ind w:left="45"/>
              <w:jc w:val="left"/>
              <w:rPr>
                <w:rFonts w:ascii="Calibri" w:eastAsia="Times New Roman" w:hAnsi="Calibri" w:cs="Calibri"/>
                <w:color w:val="000000" w:themeColor="text1"/>
                <w:szCs w:val="24"/>
                <w:lang w:eastAsia="cs-CZ"/>
              </w:rPr>
            </w:pPr>
            <w:r w:rsidRPr="00CB7A45">
              <w:rPr>
                <w:rFonts w:ascii="Calibri" w:eastAsia="Times New Roman" w:hAnsi="Calibri" w:cs="Calibri"/>
                <w:color w:val="000000" w:themeColor="text1"/>
                <w:szCs w:val="24"/>
                <w:lang w:eastAsia="cs-CZ"/>
              </w:rPr>
              <w:t>CÚ</w:t>
            </w:r>
          </w:p>
        </w:tc>
        <w:tc>
          <w:tcPr>
            <w:tcW w:w="6226" w:type="dxa"/>
          </w:tcPr>
          <w:p w14:paraId="0F07F863" w14:textId="28FD1349" w:rsidR="00C90865" w:rsidRPr="000A68DF" w:rsidRDefault="00C90865" w:rsidP="00985A41">
            <w:pPr>
              <w:spacing w:before="20" w:after="80"/>
              <w:jc w:val="left"/>
              <w:rPr>
                <w:rFonts w:ascii="Calibri" w:eastAsia="Times New Roman" w:hAnsi="Calibri" w:cs="Calibri"/>
                <w:color w:val="000000"/>
                <w:szCs w:val="24"/>
                <w:lang w:eastAsia="cs-CZ"/>
              </w:rPr>
            </w:pPr>
            <w:r w:rsidRPr="000A68DF">
              <w:rPr>
                <w:rFonts w:ascii="Calibri" w:eastAsia="Times New Roman" w:hAnsi="Calibri" w:cs="Calibri"/>
                <w:color w:val="000000"/>
                <w:szCs w:val="24"/>
                <w:lang w:eastAsia="cs-CZ"/>
              </w:rPr>
              <w:t>celní úřad</w:t>
            </w:r>
            <w:r>
              <w:rPr>
                <w:rFonts w:ascii="Calibri" w:eastAsia="Times New Roman" w:hAnsi="Calibri" w:cs="Calibri"/>
                <w:color w:val="000000"/>
                <w:szCs w:val="24"/>
                <w:lang w:eastAsia="cs-CZ"/>
              </w:rPr>
              <w:t>/y</w:t>
            </w:r>
          </w:p>
        </w:tc>
      </w:tr>
      <w:tr w:rsidR="00FE729B" w:rsidRPr="000A68DF" w14:paraId="2C96BD85" w14:textId="77777777" w:rsidTr="00A94F55">
        <w:tc>
          <w:tcPr>
            <w:tcW w:w="2982" w:type="dxa"/>
          </w:tcPr>
          <w:p w14:paraId="457FF32D" w14:textId="77777777" w:rsidR="00C90865" w:rsidRPr="00CB7A45" w:rsidRDefault="00C90865" w:rsidP="00985A41">
            <w:pPr>
              <w:spacing w:before="20" w:after="80"/>
              <w:ind w:left="45"/>
              <w:jc w:val="left"/>
              <w:rPr>
                <w:rFonts w:ascii="Calibri" w:eastAsia="Times New Roman" w:hAnsi="Calibri" w:cs="Calibri"/>
                <w:color w:val="000000" w:themeColor="text1"/>
                <w:szCs w:val="24"/>
                <w:lang w:eastAsia="cs-CZ"/>
              </w:rPr>
            </w:pPr>
            <w:r w:rsidRPr="00CB7A45">
              <w:rPr>
                <w:rFonts w:ascii="Calibri" w:eastAsia="Times New Roman" w:hAnsi="Calibri" w:cs="Calibri"/>
                <w:color w:val="000000" w:themeColor="text1"/>
                <w:szCs w:val="24"/>
                <w:lang w:eastAsia="cs-CZ"/>
              </w:rPr>
              <w:t>CÚ pro JMK</w:t>
            </w:r>
          </w:p>
        </w:tc>
        <w:tc>
          <w:tcPr>
            <w:tcW w:w="6226" w:type="dxa"/>
          </w:tcPr>
          <w:p w14:paraId="58A0D1A0" w14:textId="77777777" w:rsidR="00C90865" w:rsidRPr="000A68DF" w:rsidRDefault="00C90865" w:rsidP="00985A41">
            <w:pPr>
              <w:spacing w:before="20" w:after="80"/>
              <w:jc w:val="left"/>
              <w:rPr>
                <w:rFonts w:ascii="Calibri" w:eastAsia="Times New Roman" w:hAnsi="Calibri" w:cs="Calibri"/>
                <w:color w:val="000000"/>
                <w:szCs w:val="24"/>
                <w:lang w:eastAsia="cs-CZ"/>
              </w:rPr>
            </w:pPr>
            <w:r w:rsidRPr="000A68DF">
              <w:rPr>
                <w:rFonts w:ascii="Calibri" w:eastAsia="Times New Roman" w:hAnsi="Calibri" w:cs="Calibri"/>
                <w:color w:val="000000"/>
                <w:szCs w:val="24"/>
                <w:lang w:eastAsia="cs-CZ"/>
              </w:rPr>
              <w:t>Celní úřad pro Jihomoravský kraj</w:t>
            </w:r>
          </w:p>
        </w:tc>
      </w:tr>
      <w:tr w:rsidR="00FE729B" w:rsidRPr="000A68DF" w14:paraId="03BE8F1A" w14:textId="77777777" w:rsidTr="00A94F55">
        <w:tc>
          <w:tcPr>
            <w:tcW w:w="2982" w:type="dxa"/>
          </w:tcPr>
          <w:p w14:paraId="2DF15B5A" w14:textId="77777777" w:rsidR="00C90865" w:rsidRPr="00CB7A45" w:rsidRDefault="00C90865" w:rsidP="00985A41">
            <w:pPr>
              <w:spacing w:before="20" w:after="80"/>
              <w:ind w:left="45"/>
              <w:jc w:val="left"/>
              <w:rPr>
                <w:rFonts w:ascii="Calibri" w:eastAsia="Times New Roman" w:hAnsi="Calibri" w:cs="Calibri"/>
                <w:color w:val="000000" w:themeColor="text1"/>
                <w:szCs w:val="24"/>
                <w:lang w:eastAsia="cs-CZ"/>
              </w:rPr>
            </w:pPr>
            <w:r w:rsidRPr="00CB7A45">
              <w:rPr>
                <w:rFonts w:ascii="Calibri" w:eastAsia="Times New Roman" w:hAnsi="Calibri" w:cs="Calibri"/>
                <w:color w:val="000000" w:themeColor="text1"/>
                <w:szCs w:val="24"/>
                <w:lang w:eastAsia="cs-CZ"/>
              </w:rPr>
              <w:t>CÚ pro MSK</w:t>
            </w:r>
          </w:p>
        </w:tc>
        <w:tc>
          <w:tcPr>
            <w:tcW w:w="6226" w:type="dxa"/>
          </w:tcPr>
          <w:p w14:paraId="1F4A62D7" w14:textId="77777777" w:rsidR="00C90865" w:rsidRPr="000A68DF" w:rsidRDefault="00C90865" w:rsidP="00985A41">
            <w:pPr>
              <w:spacing w:before="20" w:after="80"/>
              <w:jc w:val="left"/>
              <w:rPr>
                <w:rFonts w:ascii="Calibri" w:eastAsia="Times New Roman" w:hAnsi="Calibri" w:cs="Calibri"/>
                <w:color w:val="000000"/>
                <w:szCs w:val="24"/>
                <w:lang w:eastAsia="cs-CZ"/>
              </w:rPr>
            </w:pPr>
            <w:r w:rsidRPr="000A68DF">
              <w:rPr>
                <w:rFonts w:ascii="Calibri" w:eastAsia="Times New Roman" w:hAnsi="Calibri" w:cs="Calibri"/>
                <w:color w:val="000000"/>
                <w:szCs w:val="24"/>
                <w:lang w:eastAsia="cs-CZ"/>
              </w:rPr>
              <w:t>Celní úřad pro Moravskoslezský kraj</w:t>
            </w:r>
          </w:p>
        </w:tc>
      </w:tr>
      <w:tr w:rsidR="00FE729B" w:rsidRPr="000A68DF" w14:paraId="79ED0942" w14:textId="77777777" w:rsidTr="00A94F55">
        <w:tc>
          <w:tcPr>
            <w:tcW w:w="2982" w:type="dxa"/>
          </w:tcPr>
          <w:p w14:paraId="40848660" w14:textId="77777777" w:rsidR="00C90865" w:rsidRPr="00CB7A45" w:rsidRDefault="00C90865" w:rsidP="00985A41">
            <w:pPr>
              <w:spacing w:before="20" w:after="80"/>
              <w:ind w:left="45"/>
              <w:jc w:val="left"/>
              <w:rPr>
                <w:rFonts w:ascii="Calibri" w:eastAsia="Times New Roman" w:hAnsi="Calibri" w:cs="Calibri"/>
                <w:color w:val="000000" w:themeColor="text1"/>
                <w:szCs w:val="24"/>
                <w:lang w:eastAsia="cs-CZ"/>
              </w:rPr>
            </w:pPr>
            <w:r w:rsidRPr="00CB7A45">
              <w:rPr>
                <w:rFonts w:ascii="Calibri" w:eastAsia="Times New Roman" w:hAnsi="Calibri" w:cs="Calibri"/>
                <w:color w:val="000000" w:themeColor="text1"/>
                <w:szCs w:val="24"/>
                <w:lang w:eastAsia="cs-CZ"/>
              </w:rPr>
              <w:t>CÚ pro PLK</w:t>
            </w:r>
          </w:p>
        </w:tc>
        <w:tc>
          <w:tcPr>
            <w:tcW w:w="6226" w:type="dxa"/>
          </w:tcPr>
          <w:p w14:paraId="3723F7FA" w14:textId="77777777" w:rsidR="00C90865" w:rsidRPr="000A68DF" w:rsidRDefault="00C90865" w:rsidP="00985A41">
            <w:pPr>
              <w:spacing w:before="20" w:after="80"/>
              <w:jc w:val="left"/>
              <w:rPr>
                <w:rFonts w:ascii="Calibri" w:eastAsia="Times New Roman" w:hAnsi="Calibri" w:cs="Calibri"/>
                <w:color w:val="000000"/>
                <w:szCs w:val="24"/>
                <w:lang w:eastAsia="cs-CZ"/>
              </w:rPr>
            </w:pPr>
            <w:r w:rsidRPr="000A68DF">
              <w:rPr>
                <w:rFonts w:ascii="Calibri" w:eastAsia="Times New Roman" w:hAnsi="Calibri" w:cs="Calibri"/>
                <w:color w:val="000000"/>
                <w:szCs w:val="24"/>
                <w:lang w:eastAsia="cs-CZ"/>
              </w:rPr>
              <w:t>Celní úřad pro Plzeňský kraj</w:t>
            </w:r>
          </w:p>
        </w:tc>
      </w:tr>
      <w:tr w:rsidR="00985A41" w:rsidRPr="000A68DF" w14:paraId="6BB6C8DB" w14:textId="77777777" w:rsidTr="00A94F55">
        <w:tc>
          <w:tcPr>
            <w:tcW w:w="2982" w:type="dxa"/>
          </w:tcPr>
          <w:p w14:paraId="4E537E40" w14:textId="34D047B8" w:rsidR="00985A41" w:rsidRPr="00CB7A45" w:rsidRDefault="00985A41" w:rsidP="00985A41">
            <w:pPr>
              <w:spacing w:before="20" w:after="80"/>
              <w:ind w:left="45"/>
              <w:jc w:val="left"/>
              <w:rPr>
                <w:rFonts w:ascii="Calibri" w:eastAsia="Times New Roman" w:hAnsi="Calibri" w:cs="Calibri"/>
                <w:color w:val="000000" w:themeColor="text1"/>
                <w:szCs w:val="24"/>
                <w:lang w:eastAsia="cs-CZ"/>
              </w:rPr>
            </w:pPr>
            <w:r w:rsidRPr="00CB7A45">
              <w:rPr>
                <w:rFonts w:ascii="Calibri" w:eastAsia="Times New Roman" w:hAnsi="Calibri" w:cs="Calibri"/>
                <w:color w:val="000000" w:themeColor="text1"/>
                <w:szCs w:val="24"/>
                <w:lang w:eastAsia="cs-CZ"/>
              </w:rPr>
              <w:t>exekvovatelný majetek</w:t>
            </w:r>
          </w:p>
        </w:tc>
        <w:tc>
          <w:tcPr>
            <w:tcW w:w="6226" w:type="dxa"/>
          </w:tcPr>
          <w:p w14:paraId="741F3164" w14:textId="25D60068" w:rsidR="00985A41" w:rsidRPr="000A68DF" w:rsidRDefault="00985A41" w:rsidP="00985A41">
            <w:pPr>
              <w:spacing w:before="20" w:after="80"/>
              <w:jc w:val="left"/>
              <w:rPr>
                <w:rFonts w:ascii="Calibri" w:eastAsia="Times New Roman" w:hAnsi="Calibri" w:cs="Calibri"/>
                <w:szCs w:val="24"/>
                <w:lang w:eastAsia="cs-CZ"/>
              </w:rPr>
            </w:pPr>
            <w:r>
              <w:rPr>
                <w:rFonts w:ascii="Calibri" w:eastAsia="Times New Roman" w:hAnsi="Calibri" w:cs="Calibri"/>
                <w:szCs w:val="24"/>
                <w:lang w:eastAsia="cs-CZ"/>
              </w:rPr>
              <w:t>majetek, který lze exekučně zabavit</w:t>
            </w:r>
          </w:p>
        </w:tc>
      </w:tr>
      <w:tr w:rsidR="00FE729B" w:rsidRPr="000A68DF" w14:paraId="707228D3" w14:textId="77777777" w:rsidTr="00A94F55">
        <w:tc>
          <w:tcPr>
            <w:tcW w:w="2982" w:type="dxa"/>
          </w:tcPr>
          <w:p w14:paraId="1552318C" w14:textId="77777777" w:rsidR="00C90865" w:rsidRPr="00CB7A45" w:rsidRDefault="00C90865" w:rsidP="00985A41">
            <w:pPr>
              <w:spacing w:before="20" w:after="80"/>
              <w:ind w:left="45"/>
              <w:jc w:val="left"/>
              <w:rPr>
                <w:rFonts w:ascii="Calibri" w:eastAsia="Times New Roman" w:hAnsi="Calibri" w:cs="Calibri"/>
                <w:color w:val="000000" w:themeColor="text1"/>
                <w:szCs w:val="24"/>
                <w:lang w:eastAsia="cs-CZ"/>
              </w:rPr>
            </w:pPr>
            <w:r w:rsidRPr="00CB7A45">
              <w:rPr>
                <w:rFonts w:ascii="Calibri" w:eastAsia="Times New Roman" w:hAnsi="Calibri" w:cs="Calibri"/>
                <w:color w:val="000000" w:themeColor="text1"/>
                <w:szCs w:val="24"/>
                <w:lang w:eastAsia="cs-CZ"/>
              </w:rPr>
              <w:t>GŘC</w:t>
            </w:r>
          </w:p>
        </w:tc>
        <w:tc>
          <w:tcPr>
            <w:tcW w:w="6226" w:type="dxa"/>
          </w:tcPr>
          <w:p w14:paraId="0D43787E" w14:textId="77777777" w:rsidR="00C90865" w:rsidRPr="000A68DF" w:rsidRDefault="00C90865" w:rsidP="00985A41">
            <w:pPr>
              <w:spacing w:before="20" w:after="80"/>
              <w:jc w:val="left"/>
              <w:rPr>
                <w:rFonts w:ascii="Calibri" w:eastAsia="Times New Roman" w:hAnsi="Calibri" w:cs="Calibri"/>
                <w:color w:val="000000"/>
                <w:szCs w:val="24"/>
                <w:lang w:eastAsia="cs-CZ"/>
              </w:rPr>
            </w:pPr>
            <w:r w:rsidRPr="000A68DF">
              <w:rPr>
                <w:rFonts w:ascii="Calibri" w:eastAsia="Times New Roman" w:hAnsi="Calibri" w:cs="Calibri"/>
                <w:color w:val="000000"/>
                <w:szCs w:val="24"/>
                <w:lang w:eastAsia="cs-CZ"/>
              </w:rPr>
              <w:t>Generální ředitelství cel</w:t>
            </w:r>
          </w:p>
        </w:tc>
      </w:tr>
      <w:tr w:rsidR="00985A41" w:rsidRPr="000A68DF" w14:paraId="12386F62" w14:textId="77777777" w:rsidTr="00A94F55">
        <w:tc>
          <w:tcPr>
            <w:tcW w:w="2982" w:type="dxa"/>
          </w:tcPr>
          <w:p w14:paraId="78109ABF" w14:textId="468D6713" w:rsidR="00985A41" w:rsidRPr="00CB7A45" w:rsidRDefault="00985A41" w:rsidP="00985A41">
            <w:pPr>
              <w:spacing w:before="20" w:after="80"/>
              <w:ind w:left="45"/>
              <w:jc w:val="left"/>
              <w:rPr>
                <w:rFonts w:ascii="Calibri" w:eastAsia="Times New Roman" w:hAnsi="Calibri" w:cs="Calibri"/>
                <w:color w:val="000000" w:themeColor="text1"/>
                <w:szCs w:val="24"/>
                <w:lang w:eastAsia="cs-CZ"/>
              </w:rPr>
            </w:pPr>
            <w:r w:rsidRPr="00CB7A45">
              <w:rPr>
                <w:rFonts w:ascii="Calibri" w:eastAsia="Times New Roman" w:hAnsi="Calibri" w:cs="Calibri"/>
                <w:color w:val="000000" w:themeColor="text1"/>
                <w:szCs w:val="24"/>
                <w:lang w:eastAsia="cs-CZ"/>
              </w:rPr>
              <w:t>IRES</w:t>
            </w:r>
          </w:p>
        </w:tc>
        <w:tc>
          <w:tcPr>
            <w:tcW w:w="6226" w:type="dxa"/>
          </w:tcPr>
          <w:p w14:paraId="300D8873" w14:textId="434C6C1C" w:rsidR="00985A41" w:rsidRPr="0032254D" w:rsidRDefault="00985A41" w:rsidP="00985A41">
            <w:pPr>
              <w:spacing w:before="20" w:after="80"/>
              <w:jc w:val="left"/>
              <w:rPr>
                <w:rFonts w:ascii="Calibri" w:eastAsia="Times New Roman" w:hAnsi="Calibri" w:cs="Calibri"/>
                <w:i/>
                <w:iCs/>
                <w:color w:val="000000"/>
                <w:szCs w:val="24"/>
                <w:lang w:eastAsia="cs-CZ"/>
              </w:rPr>
            </w:pPr>
            <w:r w:rsidRPr="0032254D">
              <w:rPr>
                <w:rFonts w:ascii="Calibri" w:eastAsia="Times New Roman" w:hAnsi="Calibri" w:cs="Calibri"/>
                <w:i/>
                <w:iCs/>
                <w:color w:val="000000"/>
                <w:szCs w:val="24"/>
                <w:lang w:eastAsia="cs-CZ"/>
              </w:rPr>
              <w:t>Informační, rozpočtový a ekonomický systém</w:t>
            </w:r>
          </w:p>
        </w:tc>
      </w:tr>
      <w:tr w:rsidR="00FE729B" w:rsidRPr="000A68DF" w14:paraId="44EE81C2" w14:textId="77777777" w:rsidTr="00A94F55">
        <w:tc>
          <w:tcPr>
            <w:tcW w:w="2982" w:type="dxa"/>
          </w:tcPr>
          <w:p w14:paraId="6695298D" w14:textId="77777777" w:rsidR="00C90865" w:rsidRPr="00CB7A45" w:rsidRDefault="00C90865" w:rsidP="00985A41">
            <w:pPr>
              <w:spacing w:before="20" w:after="80"/>
              <w:ind w:left="45"/>
              <w:jc w:val="left"/>
              <w:rPr>
                <w:rFonts w:ascii="Calibri" w:eastAsia="Times New Roman" w:hAnsi="Calibri" w:cs="Calibri"/>
                <w:color w:val="000000" w:themeColor="text1"/>
                <w:szCs w:val="24"/>
                <w:lang w:eastAsia="cs-CZ"/>
              </w:rPr>
            </w:pPr>
            <w:r w:rsidRPr="00CB7A45">
              <w:rPr>
                <w:rFonts w:ascii="Calibri" w:eastAsia="Times New Roman" w:hAnsi="Calibri" w:cs="Calibri"/>
                <w:color w:val="000000" w:themeColor="text1"/>
                <w:szCs w:val="24"/>
                <w:lang w:eastAsia="cs-CZ"/>
              </w:rPr>
              <w:t>KS Ostrava</w:t>
            </w:r>
          </w:p>
        </w:tc>
        <w:tc>
          <w:tcPr>
            <w:tcW w:w="6226" w:type="dxa"/>
          </w:tcPr>
          <w:p w14:paraId="0367ECA7" w14:textId="77777777" w:rsidR="00C90865" w:rsidRPr="000A68DF" w:rsidRDefault="00C90865" w:rsidP="00985A41">
            <w:pPr>
              <w:spacing w:before="20" w:after="80"/>
              <w:jc w:val="left"/>
              <w:rPr>
                <w:rFonts w:ascii="Calibri" w:eastAsia="Times New Roman" w:hAnsi="Calibri" w:cs="Calibri"/>
                <w:color w:val="000000"/>
                <w:szCs w:val="24"/>
                <w:lang w:eastAsia="cs-CZ"/>
              </w:rPr>
            </w:pPr>
            <w:r w:rsidRPr="000A68DF">
              <w:rPr>
                <w:rFonts w:ascii="Calibri" w:eastAsia="Times New Roman" w:hAnsi="Calibri" w:cs="Calibri"/>
                <w:color w:val="000000"/>
                <w:szCs w:val="24"/>
                <w:lang w:eastAsia="cs-CZ"/>
              </w:rPr>
              <w:t>Krajský soud v Ostravě</w:t>
            </w:r>
          </w:p>
        </w:tc>
      </w:tr>
      <w:tr w:rsidR="00FE729B" w:rsidRPr="000A68DF" w14:paraId="16D601C1" w14:textId="77777777" w:rsidTr="00A94F55">
        <w:tc>
          <w:tcPr>
            <w:tcW w:w="2982" w:type="dxa"/>
          </w:tcPr>
          <w:p w14:paraId="0CF4C712" w14:textId="77777777" w:rsidR="00C90865" w:rsidRPr="00CB7A45" w:rsidRDefault="00C90865" w:rsidP="00985A41">
            <w:pPr>
              <w:spacing w:before="20" w:after="80"/>
              <w:ind w:left="45"/>
              <w:jc w:val="left"/>
              <w:rPr>
                <w:rFonts w:ascii="Calibri" w:eastAsia="Times New Roman" w:hAnsi="Calibri" w:cs="Calibri"/>
                <w:color w:val="000000" w:themeColor="text1"/>
                <w:szCs w:val="24"/>
                <w:lang w:eastAsia="cs-CZ"/>
              </w:rPr>
            </w:pPr>
            <w:r w:rsidRPr="00CB7A45">
              <w:rPr>
                <w:rFonts w:ascii="Calibri" w:eastAsia="Times New Roman" w:hAnsi="Calibri" w:cs="Calibri"/>
                <w:color w:val="000000" w:themeColor="text1"/>
                <w:szCs w:val="24"/>
                <w:lang w:eastAsia="cs-CZ"/>
              </w:rPr>
              <w:t>MED</w:t>
            </w:r>
          </w:p>
        </w:tc>
        <w:tc>
          <w:tcPr>
            <w:tcW w:w="6226" w:type="dxa"/>
          </w:tcPr>
          <w:p w14:paraId="2585BDFB" w14:textId="77777777" w:rsidR="00C90865" w:rsidRPr="000A68DF" w:rsidRDefault="00C90865" w:rsidP="00985A41">
            <w:pPr>
              <w:spacing w:before="20" w:after="80"/>
              <w:jc w:val="left"/>
              <w:rPr>
                <w:rFonts w:ascii="Calibri" w:eastAsia="Times New Roman" w:hAnsi="Calibri" w:cs="Calibri"/>
                <w:color w:val="000000"/>
                <w:szCs w:val="24"/>
                <w:lang w:eastAsia="cs-CZ"/>
              </w:rPr>
            </w:pPr>
            <w:r w:rsidRPr="000A68DF">
              <w:rPr>
                <w:rFonts w:ascii="Calibri" w:eastAsia="Times New Roman" w:hAnsi="Calibri" w:cs="Calibri"/>
                <w:szCs w:val="24"/>
                <w:lang w:eastAsia="cs-CZ"/>
              </w:rPr>
              <w:t xml:space="preserve">aplikace </w:t>
            </w:r>
            <w:r w:rsidRPr="0032254D">
              <w:rPr>
                <w:rFonts w:ascii="Calibri" w:eastAsia="Times New Roman" w:hAnsi="Calibri" w:cs="Calibri"/>
                <w:i/>
                <w:iCs/>
                <w:color w:val="000000"/>
                <w:szCs w:val="24"/>
                <w:lang w:eastAsia="cs-CZ"/>
              </w:rPr>
              <w:t>Modul exekucí a dražeb</w:t>
            </w:r>
          </w:p>
        </w:tc>
      </w:tr>
      <w:tr w:rsidR="00FE729B" w:rsidRPr="000A68DF" w14:paraId="09E3F9CE" w14:textId="77777777" w:rsidTr="00A94F55">
        <w:tc>
          <w:tcPr>
            <w:tcW w:w="2982" w:type="dxa"/>
          </w:tcPr>
          <w:p w14:paraId="2B0E0C1A" w14:textId="77777777" w:rsidR="00C90865" w:rsidRPr="00CB7A45" w:rsidRDefault="00C90865" w:rsidP="00985A41">
            <w:pPr>
              <w:spacing w:before="20" w:after="80"/>
              <w:ind w:left="45"/>
              <w:jc w:val="left"/>
              <w:rPr>
                <w:rFonts w:ascii="Calibri" w:eastAsia="Times New Roman" w:hAnsi="Calibri" w:cs="Calibri"/>
                <w:color w:val="000000" w:themeColor="text1"/>
                <w:szCs w:val="24"/>
                <w:lang w:eastAsia="cs-CZ"/>
              </w:rPr>
            </w:pPr>
            <w:r w:rsidRPr="00CB7A45">
              <w:rPr>
                <w:rFonts w:ascii="Calibri" w:eastAsia="Times New Roman" w:hAnsi="Calibri" w:cs="Calibri"/>
                <w:color w:val="000000" w:themeColor="text1"/>
                <w:szCs w:val="24"/>
                <w:lang w:eastAsia="cs-CZ"/>
              </w:rPr>
              <w:t>MF</w:t>
            </w:r>
          </w:p>
        </w:tc>
        <w:tc>
          <w:tcPr>
            <w:tcW w:w="6226" w:type="dxa"/>
          </w:tcPr>
          <w:p w14:paraId="54F303C2" w14:textId="77777777" w:rsidR="00C90865" w:rsidRPr="000A68DF" w:rsidRDefault="00C90865" w:rsidP="00985A41">
            <w:pPr>
              <w:spacing w:before="20" w:after="80"/>
              <w:jc w:val="left"/>
              <w:rPr>
                <w:rFonts w:ascii="Calibri" w:eastAsia="Times New Roman" w:hAnsi="Calibri" w:cs="Calibri"/>
                <w:color w:val="000000"/>
                <w:szCs w:val="24"/>
                <w:lang w:eastAsia="cs-CZ"/>
              </w:rPr>
            </w:pPr>
            <w:r w:rsidRPr="000A68DF">
              <w:rPr>
                <w:rFonts w:ascii="Calibri" w:eastAsia="Times New Roman" w:hAnsi="Calibri" w:cs="Calibri"/>
                <w:color w:val="000000"/>
                <w:szCs w:val="24"/>
                <w:lang w:eastAsia="cs-CZ"/>
              </w:rPr>
              <w:t>Ministerstvo financí</w:t>
            </w:r>
          </w:p>
        </w:tc>
      </w:tr>
      <w:tr w:rsidR="00FE729B" w:rsidRPr="000A68DF" w14:paraId="0F1FCA6F" w14:textId="77777777" w:rsidTr="00A94F55">
        <w:tc>
          <w:tcPr>
            <w:tcW w:w="2982" w:type="dxa"/>
          </w:tcPr>
          <w:p w14:paraId="09F2FC87" w14:textId="77777777" w:rsidR="00C90865" w:rsidRPr="00CB7A45" w:rsidRDefault="00C90865" w:rsidP="00985A41">
            <w:pPr>
              <w:spacing w:before="20" w:after="80"/>
              <w:ind w:left="45"/>
              <w:jc w:val="left"/>
              <w:rPr>
                <w:rFonts w:ascii="Calibri" w:eastAsia="Times New Roman" w:hAnsi="Calibri" w:cs="Calibri"/>
                <w:color w:val="000000" w:themeColor="text1"/>
                <w:szCs w:val="24"/>
                <w:lang w:eastAsia="cs-CZ"/>
              </w:rPr>
            </w:pPr>
            <w:r w:rsidRPr="00CB7A45">
              <w:rPr>
                <w:rFonts w:ascii="Calibri" w:eastAsia="Times New Roman" w:hAnsi="Calibri" w:cs="Calibri"/>
                <w:color w:val="000000" w:themeColor="text1"/>
                <w:szCs w:val="24"/>
                <w:lang w:eastAsia="cs-CZ"/>
              </w:rPr>
              <w:t>MSp</w:t>
            </w:r>
          </w:p>
        </w:tc>
        <w:tc>
          <w:tcPr>
            <w:tcW w:w="6226" w:type="dxa"/>
          </w:tcPr>
          <w:p w14:paraId="49CE6C5B" w14:textId="77777777" w:rsidR="00C90865" w:rsidRPr="000A68DF" w:rsidRDefault="00C90865" w:rsidP="00985A41">
            <w:pPr>
              <w:spacing w:before="20" w:after="80"/>
              <w:jc w:val="left"/>
              <w:rPr>
                <w:rFonts w:ascii="Calibri" w:eastAsia="Times New Roman" w:hAnsi="Calibri" w:cs="Calibri"/>
                <w:color w:val="000000"/>
                <w:szCs w:val="24"/>
                <w:lang w:eastAsia="cs-CZ"/>
              </w:rPr>
            </w:pPr>
            <w:r w:rsidRPr="000A68DF">
              <w:rPr>
                <w:rFonts w:ascii="Calibri" w:eastAsia="Times New Roman" w:hAnsi="Calibri" w:cs="Calibri"/>
                <w:color w:val="000000"/>
                <w:szCs w:val="24"/>
                <w:lang w:eastAsia="cs-CZ"/>
              </w:rPr>
              <w:t>Ministerstvo spravedlnosti</w:t>
            </w:r>
          </w:p>
        </w:tc>
      </w:tr>
      <w:tr w:rsidR="00FE729B" w:rsidRPr="000A68DF" w14:paraId="1B92D78B" w14:textId="77777777" w:rsidTr="00A94F55">
        <w:tc>
          <w:tcPr>
            <w:tcW w:w="2982" w:type="dxa"/>
          </w:tcPr>
          <w:p w14:paraId="51A5C2F7" w14:textId="77777777" w:rsidR="00C90865" w:rsidRPr="00CB7A45" w:rsidRDefault="00C90865" w:rsidP="00985A41">
            <w:pPr>
              <w:spacing w:before="20" w:after="80"/>
              <w:ind w:left="45"/>
              <w:jc w:val="left"/>
              <w:rPr>
                <w:rFonts w:ascii="Calibri" w:eastAsia="Times New Roman" w:hAnsi="Calibri" w:cs="Calibri"/>
                <w:color w:val="000000" w:themeColor="text1"/>
                <w:szCs w:val="24"/>
                <w:lang w:eastAsia="cs-CZ"/>
              </w:rPr>
            </w:pPr>
            <w:r w:rsidRPr="00CB7A45">
              <w:rPr>
                <w:rFonts w:ascii="Calibri" w:eastAsia="Times New Roman" w:hAnsi="Calibri" w:cs="Calibri"/>
                <w:color w:val="000000" w:themeColor="text1"/>
                <w:szCs w:val="24"/>
                <w:lang w:eastAsia="cs-CZ"/>
              </w:rPr>
              <w:t>NKÚ</w:t>
            </w:r>
          </w:p>
        </w:tc>
        <w:tc>
          <w:tcPr>
            <w:tcW w:w="6226" w:type="dxa"/>
          </w:tcPr>
          <w:p w14:paraId="5F3551E0" w14:textId="77777777" w:rsidR="00C90865" w:rsidRPr="000A68DF" w:rsidRDefault="00C90865" w:rsidP="00985A41">
            <w:pPr>
              <w:spacing w:before="20" w:after="80"/>
              <w:jc w:val="left"/>
              <w:rPr>
                <w:rFonts w:ascii="Calibri" w:eastAsia="Times New Roman" w:hAnsi="Calibri" w:cs="Calibri"/>
                <w:color w:val="000000"/>
                <w:szCs w:val="24"/>
                <w:lang w:eastAsia="cs-CZ"/>
              </w:rPr>
            </w:pPr>
            <w:r w:rsidRPr="000A68DF">
              <w:rPr>
                <w:rFonts w:ascii="Calibri" w:eastAsia="Times New Roman" w:hAnsi="Calibri" w:cs="Calibri"/>
                <w:color w:val="000000"/>
                <w:szCs w:val="24"/>
                <w:lang w:eastAsia="cs-CZ"/>
              </w:rPr>
              <w:t>Nejvyšší kontrolní úřad</w:t>
            </w:r>
          </w:p>
        </w:tc>
      </w:tr>
      <w:tr w:rsidR="00FE729B" w:rsidRPr="000A68DF" w14:paraId="449C9AD9" w14:textId="77777777" w:rsidTr="00A94F55">
        <w:tc>
          <w:tcPr>
            <w:tcW w:w="2982" w:type="dxa"/>
          </w:tcPr>
          <w:p w14:paraId="6B63A8D0" w14:textId="77777777" w:rsidR="00C90865" w:rsidRPr="00CB7A45" w:rsidRDefault="00C90865" w:rsidP="00985A41">
            <w:pPr>
              <w:spacing w:before="20" w:after="80"/>
              <w:ind w:left="45"/>
              <w:jc w:val="left"/>
              <w:rPr>
                <w:rFonts w:ascii="Calibri" w:eastAsia="Times New Roman" w:hAnsi="Calibri" w:cs="Calibri"/>
                <w:color w:val="000000" w:themeColor="text1"/>
                <w:szCs w:val="24"/>
                <w:lang w:eastAsia="cs-CZ"/>
              </w:rPr>
            </w:pPr>
            <w:r w:rsidRPr="00CB7A45">
              <w:rPr>
                <w:rFonts w:ascii="Calibri" w:eastAsia="Times New Roman" w:hAnsi="Calibri" w:cs="Calibri"/>
                <w:color w:val="000000" w:themeColor="text1"/>
                <w:szCs w:val="24"/>
                <w:lang w:eastAsia="cs-CZ"/>
              </w:rPr>
              <w:t>nové pohledávky</w:t>
            </w:r>
          </w:p>
        </w:tc>
        <w:tc>
          <w:tcPr>
            <w:tcW w:w="6226" w:type="dxa"/>
          </w:tcPr>
          <w:p w14:paraId="6950320A" w14:textId="4A260099" w:rsidR="00C90865" w:rsidRPr="000A68DF" w:rsidRDefault="00C90865" w:rsidP="00985A41">
            <w:pPr>
              <w:spacing w:before="20" w:after="80"/>
              <w:jc w:val="left"/>
              <w:rPr>
                <w:rFonts w:ascii="Calibri" w:eastAsia="Times New Roman" w:hAnsi="Calibri" w:cs="Calibri"/>
                <w:color w:val="000000"/>
                <w:szCs w:val="24"/>
                <w:lang w:eastAsia="cs-CZ"/>
              </w:rPr>
            </w:pPr>
            <w:r w:rsidRPr="000A68DF">
              <w:rPr>
                <w:rFonts w:ascii="Calibri" w:eastAsia="Times New Roman" w:hAnsi="Calibri" w:cs="Calibri"/>
                <w:color w:val="000000"/>
                <w:szCs w:val="24"/>
                <w:lang w:eastAsia="cs-CZ"/>
              </w:rPr>
              <w:t xml:space="preserve">justiční pohledávky vzniklé </w:t>
            </w:r>
            <w:r w:rsidR="00985A41">
              <w:rPr>
                <w:rFonts w:ascii="Calibri" w:eastAsia="Times New Roman" w:hAnsi="Calibri" w:cs="Calibri"/>
                <w:color w:val="000000"/>
                <w:szCs w:val="24"/>
                <w:lang w:eastAsia="cs-CZ"/>
              </w:rPr>
              <w:t>od</w:t>
            </w:r>
            <w:r w:rsidR="00985A41" w:rsidRPr="000A68DF">
              <w:rPr>
                <w:rFonts w:ascii="Calibri" w:eastAsia="Times New Roman" w:hAnsi="Calibri" w:cs="Calibri"/>
                <w:color w:val="000000"/>
                <w:szCs w:val="24"/>
                <w:lang w:eastAsia="cs-CZ"/>
              </w:rPr>
              <w:t xml:space="preserve"> </w:t>
            </w:r>
            <w:r w:rsidRPr="000A68DF">
              <w:rPr>
                <w:rFonts w:ascii="Calibri" w:eastAsia="Times New Roman" w:hAnsi="Calibri" w:cs="Calibri"/>
                <w:color w:val="000000"/>
                <w:szCs w:val="24"/>
                <w:lang w:eastAsia="cs-CZ"/>
              </w:rPr>
              <w:t>1. 1. 2024</w:t>
            </w:r>
          </w:p>
        </w:tc>
      </w:tr>
      <w:tr w:rsidR="00FE729B" w:rsidRPr="000A68DF" w14:paraId="01AF143B" w14:textId="77777777" w:rsidTr="00A94F55">
        <w:tc>
          <w:tcPr>
            <w:tcW w:w="2982" w:type="dxa"/>
          </w:tcPr>
          <w:p w14:paraId="46ED6247" w14:textId="77777777" w:rsidR="00C90865" w:rsidRPr="00CB7A45" w:rsidRDefault="00C90865" w:rsidP="00985A41">
            <w:pPr>
              <w:spacing w:before="20" w:after="80"/>
              <w:ind w:left="45"/>
              <w:jc w:val="left"/>
              <w:rPr>
                <w:rFonts w:ascii="Calibri" w:eastAsia="Times New Roman" w:hAnsi="Calibri" w:cs="Calibri"/>
                <w:color w:val="000000" w:themeColor="text1"/>
                <w:szCs w:val="24"/>
                <w:lang w:eastAsia="cs-CZ"/>
              </w:rPr>
            </w:pPr>
            <w:r w:rsidRPr="00CB7A45">
              <w:rPr>
                <w:rFonts w:ascii="Calibri" w:eastAsia="Times New Roman" w:hAnsi="Calibri" w:cs="Calibri"/>
                <w:color w:val="000000" w:themeColor="text1"/>
                <w:szCs w:val="24"/>
                <w:lang w:eastAsia="cs-CZ"/>
              </w:rPr>
              <w:t>OS PM</w:t>
            </w:r>
          </w:p>
        </w:tc>
        <w:tc>
          <w:tcPr>
            <w:tcW w:w="6226" w:type="dxa"/>
          </w:tcPr>
          <w:p w14:paraId="1BE029C4" w14:textId="689BE62F" w:rsidR="00C90865" w:rsidRPr="000A68DF" w:rsidRDefault="00C90865" w:rsidP="00985A41">
            <w:pPr>
              <w:spacing w:before="20" w:after="80"/>
              <w:jc w:val="left"/>
              <w:rPr>
                <w:rFonts w:ascii="Calibri" w:eastAsia="Times New Roman" w:hAnsi="Calibri" w:cs="Calibri"/>
                <w:color w:val="000000"/>
                <w:szCs w:val="24"/>
                <w:lang w:eastAsia="cs-CZ"/>
              </w:rPr>
            </w:pPr>
            <w:r w:rsidRPr="000A68DF">
              <w:rPr>
                <w:rFonts w:ascii="Calibri" w:eastAsia="Times New Roman" w:hAnsi="Calibri" w:cs="Calibri"/>
                <w:color w:val="000000"/>
                <w:szCs w:val="24"/>
                <w:lang w:eastAsia="cs-CZ"/>
              </w:rPr>
              <w:t xml:space="preserve">Okresní soud </w:t>
            </w:r>
            <w:r w:rsidR="00985A41">
              <w:rPr>
                <w:rFonts w:ascii="Calibri" w:eastAsia="Times New Roman" w:hAnsi="Calibri" w:cs="Calibri"/>
                <w:color w:val="000000"/>
                <w:szCs w:val="24"/>
                <w:lang w:eastAsia="cs-CZ"/>
              </w:rPr>
              <w:t>Plzeň</w:t>
            </w:r>
            <w:r w:rsidR="00115DC2">
              <w:rPr>
                <w:rFonts w:ascii="Calibri" w:eastAsia="Times New Roman" w:hAnsi="Calibri" w:cs="Calibri"/>
                <w:color w:val="000000"/>
                <w:szCs w:val="24"/>
                <w:lang w:eastAsia="cs-CZ"/>
              </w:rPr>
              <w:t>-</w:t>
            </w:r>
            <w:r w:rsidR="00985A41">
              <w:rPr>
                <w:rFonts w:ascii="Calibri" w:eastAsia="Times New Roman" w:hAnsi="Calibri" w:cs="Calibri"/>
                <w:color w:val="000000"/>
                <w:szCs w:val="24"/>
                <w:lang w:eastAsia="cs-CZ"/>
              </w:rPr>
              <w:t>město</w:t>
            </w:r>
          </w:p>
        </w:tc>
      </w:tr>
      <w:tr w:rsidR="00FE729B" w:rsidRPr="000A68DF" w14:paraId="76F2C155" w14:textId="77777777" w:rsidTr="00A94F55">
        <w:tc>
          <w:tcPr>
            <w:tcW w:w="2982" w:type="dxa"/>
          </w:tcPr>
          <w:p w14:paraId="636685A3" w14:textId="77777777" w:rsidR="00C90865" w:rsidRPr="00CB7A45" w:rsidRDefault="00C90865" w:rsidP="00985A41">
            <w:pPr>
              <w:spacing w:before="20" w:after="80"/>
              <w:ind w:left="45"/>
              <w:jc w:val="left"/>
              <w:rPr>
                <w:rFonts w:ascii="Calibri" w:eastAsia="Times New Roman" w:hAnsi="Calibri" w:cs="Calibri"/>
                <w:color w:val="000000" w:themeColor="text1"/>
                <w:szCs w:val="24"/>
                <w:lang w:eastAsia="cs-CZ"/>
              </w:rPr>
            </w:pPr>
            <w:r w:rsidRPr="00CB7A45">
              <w:rPr>
                <w:rFonts w:ascii="Calibri" w:eastAsia="Times New Roman" w:hAnsi="Calibri" w:cs="Calibri"/>
                <w:color w:val="000000" w:themeColor="text1"/>
                <w:szCs w:val="24"/>
                <w:lang w:eastAsia="cs-CZ"/>
              </w:rPr>
              <w:t>staré pohledávky</w:t>
            </w:r>
          </w:p>
        </w:tc>
        <w:tc>
          <w:tcPr>
            <w:tcW w:w="6226" w:type="dxa"/>
          </w:tcPr>
          <w:p w14:paraId="6F2198E0" w14:textId="5710037C" w:rsidR="00C90865" w:rsidRPr="000A68DF" w:rsidRDefault="00C90865" w:rsidP="00985A41">
            <w:pPr>
              <w:spacing w:before="20" w:after="80"/>
              <w:jc w:val="left"/>
              <w:rPr>
                <w:rFonts w:ascii="Calibri" w:eastAsia="Times New Roman" w:hAnsi="Calibri" w:cs="Calibri"/>
                <w:color w:val="000000"/>
                <w:szCs w:val="24"/>
                <w:lang w:eastAsia="cs-CZ"/>
              </w:rPr>
            </w:pPr>
            <w:r w:rsidRPr="000A68DF">
              <w:rPr>
                <w:rFonts w:ascii="Calibri" w:eastAsia="Times New Roman" w:hAnsi="Calibri" w:cs="Calibri"/>
                <w:color w:val="000000"/>
                <w:szCs w:val="24"/>
                <w:lang w:eastAsia="cs-CZ"/>
              </w:rPr>
              <w:t>justiční pohledávky vzniklé do 31. 12.</w:t>
            </w:r>
            <w:r w:rsidR="00CB7A45">
              <w:rPr>
                <w:rFonts w:ascii="Calibri" w:eastAsia="Times New Roman" w:hAnsi="Calibri" w:cs="Calibri"/>
                <w:color w:val="000000"/>
                <w:szCs w:val="24"/>
                <w:lang w:eastAsia="cs-CZ"/>
              </w:rPr>
              <w:t> </w:t>
            </w:r>
            <w:r w:rsidRPr="000A68DF">
              <w:rPr>
                <w:rFonts w:ascii="Calibri" w:eastAsia="Times New Roman" w:hAnsi="Calibri" w:cs="Calibri"/>
                <w:color w:val="000000"/>
                <w:szCs w:val="24"/>
                <w:lang w:eastAsia="cs-CZ"/>
              </w:rPr>
              <w:t>2023</w:t>
            </w:r>
          </w:p>
        </w:tc>
      </w:tr>
      <w:tr w:rsidR="00FE729B" w:rsidRPr="000A68DF" w14:paraId="235460DB" w14:textId="77777777" w:rsidTr="00A94F55">
        <w:tc>
          <w:tcPr>
            <w:tcW w:w="2982" w:type="dxa"/>
          </w:tcPr>
          <w:p w14:paraId="609B9C07" w14:textId="77777777" w:rsidR="00C90865" w:rsidRPr="00CB7A45" w:rsidRDefault="00C90865" w:rsidP="00985A41">
            <w:pPr>
              <w:spacing w:before="20" w:after="80"/>
              <w:ind w:left="45"/>
              <w:jc w:val="left"/>
              <w:rPr>
                <w:rFonts w:ascii="Calibri" w:eastAsia="Times New Roman" w:hAnsi="Calibri" w:cs="Calibri"/>
                <w:color w:val="000000" w:themeColor="text1"/>
                <w:szCs w:val="24"/>
                <w:lang w:eastAsia="cs-CZ"/>
              </w:rPr>
            </w:pPr>
            <w:r w:rsidRPr="00CB7A45">
              <w:rPr>
                <w:rFonts w:ascii="Calibri" w:eastAsia="Times New Roman" w:hAnsi="Calibri" w:cs="Calibri"/>
                <w:color w:val="000000" w:themeColor="text1"/>
                <w:szCs w:val="24"/>
                <w:lang w:eastAsia="cs-CZ"/>
              </w:rPr>
              <w:t>VSD</w:t>
            </w:r>
          </w:p>
        </w:tc>
        <w:tc>
          <w:tcPr>
            <w:tcW w:w="6226" w:type="dxa"/>
          </w:tcPr>
          <w:p w14:paraId="4CBDAAF5" w14:textId="77777777" w:rsidR="00C90865" w:rsidRPr="000A68DF" w:rsidRDefault="00C90865" w:rsidP="00985A41">
            <w:pPr>
              <w:spacing w:before="20" w:after="80"/>
              <w:jc w:val="left"/>
              <w:rPr>
                <w:rFonts w:ascii="Calibri" w:eastAsia="Times New Roman" w:hAnsi="Calibri" w:cs="Calibri"/>
                <w:szCs w:val="24"/>
                <w:lang w:eastAsia="cs-CZ"/>
              </w:rPr>
            </w:pPr>
            <w:r w:rsidRPr="000A68DF">
              <w:rPr>
                <w:rFonts w:ascii="Calibri" w:eastAsia="Times New Roman" w:hAnsi="Calibri" w:cs="Calibri"/>
                <w:szCs w:val="24"/>
                <w:lang w:eastAsia="cs-CZ"/>
              </w:rPr>
              <w:t xml:space="preserve">aplikace </w:t>
            </w:r>
            <w:r w:rsidRPr="0032254D">
              <w:rPr>
                <w:rFonts w:ascii="Calibri" w:eastAsia="Times New Roman" w:hAnsi="Calibri" w:cs="Calibri"/>
                <w:i/>
                <w:iCs/>
                <w:szCs w:val="24"/>
                <w:lang w:eastAsia="cs-CZ"/>
              </w:rPr>
              <w:t>Vnitrostátní daně</w:t>
            </w:r>
          </w:p>
        </w:tc>
      </w:tr>
      <w:tr w:rsidR="00FE729B" w:rsidRPr="000A68DF" w14:paraId="34BEFC39" w14:textId="77777777" w:rsidTr="00A94F55">
        <w:tc>
          <w:tcPr>
            <w:tcW w:w="2982" w:type="dxa"/>
          </w:tcPr>
          <w:p w14:paraId="43FE2B0B" w14:textId="77777777" w:rsidR="00C90865" w:rsidRPr="00CB7A45" w:rsidRDefault="00C90865" w:rsidP="00985A41">
            <w:pPr>
              <w:spacing w:before="20" w:after="80"/>
              <w:ind w:left="45"/>
              <w:jc w:val="left"/>
              <w:rPr>
                <w:rFonts w:ascii="Calibri" w:eastAsia="Times New Roman" w:hAnsi="Calibri" w:cs="Calibri"/>
                <w:color w:val="000000" w:themeColor="text1"/>
                <w:szCs w:val="24"/>
                <w:lang w:eastAsia="cs-CZ"/>
              </w:rPr>
            </w:pPr>
            <w:r w:rsidRPr="00CB7A45">
              <w:rPr>
                <w:rFonts w:ascii="Calibri" w:eastAsia="Times New Roman" w:hAnsi="Calibri" w:cs="Calibri"/>
                <w:color w:val="000000" w:themeColor="text1"/>
                <w:szCs w:val="24"/>
                <w:lang w:eastAsia="cs-CZ"/>
              </w:rPr>
              <w:t>zákon o konsolidaci veřejných rozpočtů</w:t>
            </w:r>
          </w:p>
        </w:tc>
        <w:tc>
          <w:tcPr>
            <w:tcW w:w="6226" w:type="dxa"/>
          </w:tcPr>
          <w:p w14:paraId="08C6267B" w14:textId="77777777" w:rsidR="00C90865" w:rsidRPr="000A68DF" w:rsidRDefault="00C90865" w:rsidP="00985A41">
            <w:pPr>
              <w:spacing w:before="20" w:after="80"/>
              <w:jc w:val="left"/>
              <w:rPr>
                <w:rFonts w:ascii="Calibri" w:eastAsia="Times New Roman" w:hAnsi="Calibri" w:cs="Calibri"/>
                <w:szCs w:val="24"/>
                <w:lang w:eastAsia="cs-CZ"/>
              </w:rPr>
            </w:pPr>
            <w:r w:rsidRPr="000A68DF">
              <w:rPr>
                <w:rFonts w:ascii="Calibri" w:eastAsia="Times New Roman" w:hAnsi="Calibri" w:cs="Calibri"/>
                <w:szCs w:val="24"/>
                <w:lang w:eastAsia="cs-CZ"/>
              </w:rPr>
              <w:t>zákon č. 349/2023 Sb., kterým se mění některé zákony v</w:t>
            </w:r>
            <w:r>
              <w:rPr>
                <w:rFonts w:ascii="Calibri" w:eastAsia="Times New Roman" w:hAnsi="Calibri" w:cs="Calibri"/>
                <w:szCs w:val="24"/>
                <w:lang w:eastAsia="cs-CZ"/>
              </w:rPr>
              <w:t> </w:t>
            </w:r>
            <w:r w:rsidRPr="000A68DF">
              <w:rPr>
                <w:rFonts w:ascii="Calibri" w:eastAsia="Times New Roman" w:hAnsi="Calibri" w:cs="Calibri"/>
                <w:szCs w:val="24"/>
                <w:lang w:eastAsia="cs-CZ"/>
              </w:rPr>
              <w:t>souvislosti s konsolidací veřejných rozpočtů</w:t>
            </w:r>
          </w:p>
        </w:tc>
      </w:tr>
    </w:tbl>
    <w:p w14:paraId="10857C38" w14:textId="77777777" w:rsidR="00C90865" w:rsidRDefault="00C90865" w:rsidP="00B20CAF">
      <w:pPr>
        <w:tabs>
          <w:tab w:val="left" w:leader="dot" w:pos="4536"/>
        </w:tabs>
        <w:spacing w:before="20" w:after="20" w:line="240" w:lineRule="auto"/>
        <w:ind w:left="4536" w:hanging="4536"/>
        <w:rPr>
          <w:rFonts w:ascii="Calibri" w:eastAsia="Times New Roman" w:hAnsi="Calibri" w:cs="Calibri"/>
          <w:color w:val="000000"/>
          <w:szCs w:val="24"/>
          <w:lang w:eastAsia="cs-CZ"/>
        </w:rPr>
      </w:pPr>
    </w:p>
    <w:sectPr w:rsidR="00C90865" w:rsidSect="00831941">
      <w:footerReference w:type="even" r:id="rId15"/>
      <w:footerReference w:type="default" r:id="rId16"/>
      <w:footerReference w:type="first" r:id="rId17"/>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EB0AA" w14:textId="77777777" w:rsidR="00A61D49" w:rsidRDefault="00A61D49">
      <w:pPr>
        <w:spacing w:after="0" w:line="240" w:lineRule="auto"/>
      </w:pPr>
      <w:r>
        <w:separator/>
      </w:r>
    </w:p>
    <w:p w14:paraId="69AC3EB9" w14:textId="77777777" w:rsidR="00A61D49" w:rsidRDefault="00A61D49"/>
  </w:endnote>
  <w:endnote w:type="continuationSeparator" w:id="0">
    <w:p w14:paraId="6843B21C" w14:textId="77777777" w:rsidR="00A61D49" w:rsidRDefault="00A61D49">
      <w:pPr>
        <w:spacing w:after="0" w:line="240" w:lineRule="auto"/>
      </w:pPr>
      <w:r>
        <w:continuationSeparator/>
      </w:r>
    </w:p>
    <w:p w14:paraId="0814B86A" w14:textId="77777777" w:rsidR="00A61D49" w:rsidRDefault="00A61D49"/>
  </w:endnote>
  <w:endnote w:type="continuationNotice" w:id="1">
    <w:p w14:paraId="1C81E8BC" w14:textId="77777777" w:rsidR="00A61D49" w:rsidRDefault="00A61D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655A" w14:textId="0625B0E0" w:rsidR="00DD2484" w:rsidRDefault="00016F4E">
    <w:pPr>
      <w:pStyle w:val="Zpat"/>
    </w:pPr>
    <w:r>
      <w:rPr>
        <w:noProof/>
      </w:rPr>
      <mc:AlternateContent>
        <mc:Choice Requires="wps">
          <w:drawing>
            <wp:anchor distT="0" distB="0" distL="0" distR="0" simplePos="0" relativeHeight="251659264" behindDoc="0" locked="0" layoutInCell="1" allowOverlap="1" wp14:anchorId="6EFF46FB" wp14:editId="40C1DE2C">
              <wp:simplePos x="635" y="635"/>
              <wp:positionH relativeFrom="page">
                <wp:align>left</wp:align>
              </wp:positionH>
              <wp:positionV relativeFrom="page">
                <wp:align>bottom</wp:align>
              </wp:positionV>
              <wp:extent cx="983615" cy="391160"/>
              <wp:effectExtent l="0" t="0" r="6985" b="0"/>
              <wp:wrapNone/>
              <wp:docPr id="749303462" name="Textové pole 8"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3615" cy="391160"/>
                      </a:xfrm>
                      <a:prstGeom prst="rect">
                        <a:avLst/>
                      </a:prstGeom>
                      <a:noFill/>
                      <a:ln>
                        <a:noFill/>
                      </a:ln>
                    </wps:spPr>
                    <wps:txbx>
                      <w:txbxContent>
                        <w:p w14:paraId="55701794" w14:textId="484564ED" w:rsidR="00016F4E" w:rsidRPr="00016F4E" w:rsidRDefault="00016F4E" w:rsidP="00016F4E">
                          <w:pPr>
                            <w:spacing w:after="0"/>
                            <w:rPr>
                              <w:rFonts w:ascii="Aptos" w:eastAsia="Aptos" w:hAnsi="Aptos" w:cs="Aptos"/>
                              <w:noProof/>
                              <w:color w:val="828282"/>
                              <w:szCs w:val="24"/>
                            </w:rPr>
                          </w:pPr>
                          <w:r w:rsidRPr="00016F4E">
                            <w:rPr>
                              <w:rFonts w:ascii="Aptos" w:eastAsia="Aptos" w:hAnsi="Aptos" w:cs="Aptos"/>
                              <w:noProof/>
                              <w:color w:val="828282"/>
                              <w:szCs w:val="24"/>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FF46FB" id="_x0000_t202" coordsize="21600,21600" o:spt="202" path="m,l,21600r21600,l21600,xe">
              <v:stroke joinstyle="miter"/>
              <v:path gradientshapeok="t" o:connecttype="rect"/>
            </v:shapetype>
            <v:shape id="Textové pole 8" o:spid="_x0000_s1026" type="#_x0000_t202" alt="TLP:CLEAR" style="position:absolute;left:0;text-align:left;margin-left:0;margin-top:0;width:77.45pt;height:30.8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" filled="f" stroked="f">
              <v:textbox style="mso-fit-shape-to-text:t" inset="20pt,0,0,15pt">
                <w:txbxContent>
                  <w:p w14:paraId="55701794" w14:textId="484564ED" w:rsidR="00016F4E" w:rsidRPr="00016F4E" w:rsidRDefault="00016F4E" w:rsidP="00016F4E">
                    <w:pPr>
                      <w:spacing w:after="0"/>
                      <w:rPr>
                        <w:rFonts w:ascii="Aptos" w:eastAsia="Aptos" w:hAnsi="Aptos" w:cs="Aptos"/>
                        <w:noProof/>
                        <w:color w:val="828282"/>
                        <w:szCs w:val="24"/>
                      </w:rPr>
                    </w:pPr>
                    <w:r w:rsidRPr="00016F4E">
                      <w:rPr>
                        <w:rFonts w:ascii="Aptos" w:eastAsia="Aptos" w:hAnsi="Aptos" w:cs="Aptos"/>
                        <w:noProof/>
                        <w:color w:val="828282"/>
                        <w:szCs w:val="24"/>
                      </w:rPr>
                      <w:t>TLP:CLEAR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EEAC" w14:textId="7075DBEF" w:rsidR="00DD2484" w:rsidRDefault="00016F4E" w:rsidP="00272009">
    <w:pPr>
      <w:pStyle w:val="Zpat"/>
      <w:jc w:val="center"/>
    </w:pPr>
    <w:r>
      <w:rPr>
        <w:noProof/>
      </w:rPr>
      <mc:AlternateContent>
        <mc:Choice Requires="wps">
          <w:drawing>
            <wp:anchor distT="0" distB="0" distL="0" distR="0" simplePos="0" relativeHeight="251660288" behindDoc="0" locked="0" layoutInCell="1" allowOverlap="1" wp14:anchorId="74834187" wp14:editId="6DFAB9A7">
              <wp:simplePos x="635" y="635"/>
              <wp:positionH relativeFrom="page">
                <wp:align>left</wp:align>
              </wp:positionH>
              <wp:positionV relativeFrom="page">
                <wp:align>bottom</wp:align>
              </wp:positionV>
              <wp:extent cx="983615" cy="391160"/>
              <wp:effectExtent l="0" t="0" r="6985" b="0"/>
              <wp:wrapNone/>
              <wp:docPr id="801700785" name="Textové pole 9"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3615" cy="391160"/>
                      </a:xfrm>
                      <a:prstGeom prst="rect">
                        <a:avLst/>
                      </a:prstGeom>
                      <a:noFill/>
                      <a:ln>
                        <a:noFill/>
                      </a:ln>
                    </wps:spPr>
                    <wps:txbx>
                      <w:txbxContent>
                        <w:p w14:paraId="7B37F114" w14:textId="2C288820" w:rsidR="00016F4E" w:rsidRPr="00016F4E" w:rsidRDefault="00016F4E" w:rsidP="00016F4E">
                          <w:pPr>
                            <w:spacing w:after="0"/>
                            <w:rPr>
                              <w:rFonts w:ascii="Aptos" w:eastAsia="Aptos" w:hAnsi="Aptos" w:cs="Aptos"/>
                              <w:noProof/>
                              <w:color w:val="828282"/>
                              <w:szCs w:val="24"/>
                            </w:rPr>
                          </w:pPr>
                          <w:r w:rsidRPr="00016F4E">
                            <w:rPr>
                              <w:rFonts w:ascii="Aptos" w:eastAsia="Aptos" w:hAnsi="Aptos" w:cs="Aptos"/>
                              <w:noProof/>
                              <w:color w:val="828282"/>
                              <w:szCs w:val="24"/>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834187" id="_x0000_t202" coordsize="21600,21600" o:spt="202" path="m,l,21600r21600,l21600,xe">
              <v:stroke joinstyle="miter"/>
              <v:path gradientshapeok="t" o:connecttype="rect"/>
            </v:shapetype>
            <v:shape id="Textové pole 9" o:spid="_x0000_s1027" type="#_x0000_t202" alt="TLP:CLEAR" style="position:absolute;left:0;text-align:left;margin-left:0;margin-top:0;width:77.45pt;height:30.8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" filled="f" stroked="f">
              <v:textbox style="mso-fit-shape-to-text:t" inset="20pt,0,0,15pt">
                <w:txbxContent>
                  <w:p w14:paraId="7B37F114" w14:textId="2C288820" w:rsidR="00016F4E" w:rsidRPr="00016F4E" w:rsidRDefault="00016F4E" w:rsidP="00016F4E">
                    <w:pPr>
                      <w:spacing w:after="0"/>
                      <w:rPr>
                        <w:rFonts w:ascii="Aptos" w:eastAsia="Aptos" w:hAnsi="Aptos" w:cs="Aptos"/>
                        <w:noProof/>
                        <w:color w:val="828282"/>
                        <w:szCs w:val="24"/>
                      </w:rPr>
                    </w:pPr>
                    <w:r w:rsidRPr="00016F4E">
                      <w:rPr>
                        <w:rFonts w:ascii="Aptos" w:eastAsia="Aptos" w:hAnsi="Aptos" w:cs="Aptos"/>
                        <w:noProof/>
                        <w:color w:val="828282"/>
                        <w:szCs w:val="24"/>
                      </w:rPr>
                      <w:t>TLP:CLEAR</w:t>
                    </w:r>
                  </w:p>
                </w:txbxContent>
              </v:textbox>
              <w10:wrap anchorx="page" anchory="page"/>
            </v:shape>
          </w:pict>
        </mc:Fallback>
      </mc:AlternateContent>
    </w:r>
    <w:sdt>
      <w:sdtPr>
        <w:id w:val="747228985"/>
        <w:docPartObj>
          <w:docPartGallery w:val="Page Numbers (Bottom of Page)"/>
          <w:docPartUnique/>
        </w:docPartObj>
      </w:sdtPr>
      <w:sdtEndPr/>
      <w:sdtContent>
        <w:r w:rsidR="001365EB">
          <w:fldChar w:fldCharType="begin"/>
        </w:r>
        <w:r w:rsidR="001365EB">
          <w:instrText>PAGE   \* MERGEFORMAT</w:instrText>
        </w:r>
        <w:r w:rsidR="001365EB">
          <w:fldChar w:fldCharType="separate"/>
        </w:r>
        <w:r w:rsidR="001365EB">
          <w:t>2</w:t>
        </w:r>
        <w:r w:rsidR="001365EB">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C2BF" w14:textId="588AADEB" w:rsidR="00DD2484" w:rsidRDefault="00016F4E">
    <w:pPr>
      <w:pStyle w:val="Zpat"/>
    </w:pPr>
    <w:r>
      <w:rPr>
        <w:noProof/>
      </w:rPr>
      <mc:AlternateContent>
        <mc:Choice Requires="wps">
          <w:drawing>
            <wp:anchor distT="0" distB="0" distL="0" distR="0" simplePos="0" relativeHeight="251658240" behindDoc="0" locked="0" layoutInCell="1" allowOverlap="1" wp14:anchorId="5B3EF5F9" wp14:editId="56D177E2">
              <wp:simplePos x="635" y="635"/>
              <wp:positionH relativeFrom="page">
                <wp:align>left</wp:align>
              </wp:positionH>
              <wp:positionV relativeFrom="page">
                <wp:align>bottom</wp:align>
              </wp:positionV>
              <wp:extent cx="983615" cy="391160"/>
              <wp:effectExtent l="0" t="0" r="6985" b="0"/>
              <wp:wrapNone/>
              <wp:docPr id="1484250274" name="Textové pole 7"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3615" cy="391160"/>
                      </a:xfrm>
                      <a:prstGeom prst="rect">
                        <a:avLst/>
                      </a:prstGeom>
                      <a:noFill/>
                      <a:ln>
                        <a:noFill/>
                      </a:ln>
                    </wps:spPr>
                    <wps:txbx>
                      <w:txbxContent>
                        <w:p w14:paraId="5A9D401B" w14:textId="5DB12E7D" w:rsidR="00016F4E" w:rsidRPr="00016F4E" w:rsidRDefault="00016F4E" w:rsidP="00016F4E">
                          <w:pPr>
                            <w:spacing w:after="0"/>
                            <w:rPr>
                              <w:rFonts w:ascii="Aptos" w:eastAsia="Aptos" w:hAnsi="Aptos" w:cs="Aptos"/>
                              <w:noProof/>
                              <w:color w:val="828282"/>
                              <w:szCs w:val="24"/>
                            </w:rPr>
                          </w:pPr>
                          <w:r w:rsidRPr="00016F4E">
                            <w:rPr>
                              <w:rFonts w:ascii="Aptos" w:eastAsia="Aptos" w:hAnsi="Aptos" w:cs="Aptos"/>
                              <w:noProof/>
                              <w:color w:val="828282"/>
                              <w:szCs w:val="24"/>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3EF5F9" id="_x0000_t202" coordsize="21600,21600" o:spt="202" path="m,l,21600r21600,l21600,xe">
              <v:stroke joinstyle="miter"/>
              <v:path gradientshapeok="t" o:connecttype="rect"/>
            </v:shapetype>
            <v:shape id="Textové pole 7" o:spid="_x0000_s1028" type="#_x0000_t202" alt="TLP:CLEAR" style="position:absolute;left:0;text-align:left;margin-left:0;margin-top:0;width:77.45pt;height:30.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" filled="f" stroked="f">
              <v:textbox style="mso-fit-shape-to-text:t" inset="20pt,0,0,15pt">
                <w:txbxContent>
                  <w:p w14:paraId="5A9D401B" w14:textId="5DB12E7D" w:rsidR="00016F4E" w:rsidRPr="00016F4E" w:rsidRDefault="00016F4E" w:rsidP="00016F4E">
                    <w:pPr>
                      <w:spacing w:after="0"/>
                      <w:rPr>
                        <w:rFonts w:ascii="Aptos" w:eastAsia="Aptos" w:hAnsi="Aptos" w:cs="Aptos"/>
                        <w:noProof/>
                        <w:color w:val="828282"/>
                        <w:szCs w:val="24"/>
                      </w:rPr>
                    </w:pPr>
                    <w:r w:rsidRPr="00016F4E">
                      <w:rPr>
                        <w:rFonts w:ascii="Aptos" w:eastAsia="Aptos" w:hAnsi="Aptos" w:cs="Aptos"/>
                        <w:noProof/>
                        <w:color w:val="828282"/>
                        <w:szCs w:val="24"/>
                      </w:rPr>
                      <w:t>TLP:CLEAR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E46C8" w14:textId="77777777" w:rsidR="00A61D49" w:rsidRDefault="00A61D49" w:rsidP="004058E2">
      <w:pPr>
        <w:spacing w:after="0" w:line="240" w:lineRule="auto"/>
      </w:pPr>
      <w:r>
        <w:separator/>
      </w:r>
    </w:p>
  </w:footnote>
  <w:footnote w:type="continuationSeparator" w:id="0">
    <w:p w14:paraId="0BBD7515" w14:textId="77777777" w:rsidR="00A61D49" w:rsidRDefault="00A61D49" w:rsidP="004058E2">
      <w:pPr>
        <w:spacing w:after="0" w:line="240" w:lineRule="auto"/>
      </w:pPr>
      <w:r>
        <w:continuationSeparator/>
      </w:r>
    </w:p>
    <w:p w14:paraId="7E416C89" w14:textId="77777777" w:rsidR="00A61D49" w:rsidRDefault="00A61D49"/>
  </w:footnote>
  <w:footnote w:type="continuationNotice" w:id="1">
    <w:p w14:paraId="6F78FC2C" w14:textId="77777777" w:rsidR="00A61D49" w:rsidRDefault="00A61D49">
      <w:pPr>
        <w:spacing w:after="0" w:line="240" w:lineRule="auto"/>
      </w:pPr>
    </w:p>
  </w:footnote>
  <w:footnote w:id="2">
    <w:p w14:paraId="7E5C6838" w14:textId="7B9FAB9B" w:rsidR="00365D5A" w:rsidRPr="00365D5A" w:rsidRDefault="00365D5A" w:rsidP="00272009">
      <w:pPr>
        <w:pStyle w:val="Textpoznpodarou"/>
        <w:ind w:left="284" w:hanging="284"/>
        <w:rPr>
          <w:rFonts w:asciiTheme="minorHAnsi" w:hAnsiTheme="minorHAnsi" w:cstheme="minorHAnsi"/>
        </w:rPr>
      </w:pPr>
      <w:r w:rsidRPr="00365D5A">
        <w:rPr>
          <w:rStyle w:val="Znakapoznpodarou"/>
          <w:rFonts w:asciiTheme="minorHAnsi" w:hAnsiTheme="minorHAnsi" w:cstheme="minorHAnsi"/>
        </w:rPr>
        <w:footnoteRef/>
      </w:r>
      <w:r w:rsidRPr="00365D5A">
        <w:rPr>
          <w:rFonts w:asciiTheme="minorHAnsi" w:hAnsiTheme="minorHAnsi" w:cstheme="minorHAnsi"/>
        </w:rPr>
        <w:t xml:space="preserve"> </w:t>
      </w:r>
      <w:r w:rsidR="00272009">
        <w:rPr>
          <w:rFonts w:asciiTheme="minorHAnsi" w:hAnsiTheme="minorHAnsi" w:cstheme="minorHAnsi"/>
        </w:rPr>
        <w:tab/>
      </w:r>
      <w:r w:rsidRPr="00365D5A">
        <w:rPr>
          <w:rFonts w:asciiTheme="minorHAnsi" w:hAnsiTheme="minorHAnsi" w:cstheme="minorHAnsi"/>
        </w:rPr>
        <w:t>Zákon</w:t>
      </w:r>
      <w:r w:rsidR="00471DE8">
        <w:rPr>
          <w:rFonts w:asciiTheme="minorHAnsi" w:hAnsiTheme="minorHAnsi" w:cstheme="minorHAnsi"/>
        </w:rPr>
        <w:t xml:space="preserve"> České národní rady</w:t>
      </w:r>
      <w:r w:rsidRPr="00365D5A">
        <w:rPr>
          <w:rFonts w:asciiTheme="minorHAnsi" w:hAnsiTheme="minorHAnsi" w:cstheme="minorHAnsi"/>
        </w:rPr>
        <w:t xml:space="preserve"> č. 549/1991 Sb., o soudních poplatcích.</w:t>
      </w:r>
    </w:p>
  </w:footnote>
  <w:footnote w:id="3">
    <w:p w14:paraId="2B328AF7" w14:textId="378762E1" w:rsidR="00EF46D5" w:rsidRPr="0022052A" w:rsidRDefault="00EF46D5" w:rsidP="00272009">
      <w:pPr>
        <w:pStyle w:val="Textpoznpodarou"/>
        <w:ind w:left="284" w:hanging="284"/>
        <w:rPr>
          <w:rFonts w:ascii="Calibri" w:hAnsi="Calibri" w:cs="Calibri"/>
        </w:rPr>
      </w:pPr>
      <w:r w:rsidRPr="0022052A">
        <w:rPr>
          <w:rStyle w:val="Znakapoznpodarou"/>
          <w:rFonts w:ascii="Calibri" w:hAnsi="Calibri" w:cs="Calibri"/>
        </w:rPr>
        <w:footnoteRef/>
      </w:r>
      <w:r w:rsidRPr="0022052A">
        <w:rPr>
          <w:rFonts w:ascii="Calibri" w:hAnsi="Calibri" w:cs="Calibri"/>
        </w:rPr>
        <w:t xml:space="preserve"> </w:t>
      </w:r>
      <w:r w:rsidR="00272009">
        <w:rPr>
          <w:rFonts w:ascii="Calibri" w:hAnsi="Calibri" w:cs="Calibri"/>
        </w:rPr>
        <w:tab/>
      </w:r>
      <w:r w:rsidRPr="0022052A">
        <w:rPr>
          <w:rFonts w:ascii="Calibri" w:hAnsi="Calibri" w:cs="Calibri"/>
        </w:rPr>
        <w:t>Bez příjmů z povinného pojistného na sociální zabezpečení a příspěvku na státní politiku zaměstnanosti.</w:t>
      </w:r>
    </w:p>
  </w:footnote>
  <w:footnote w:id="4">
    <w:p w14:paraId="3B1F5B4F" w14:textId="5FE91818" w:rsidR="00733BB3" w:rsidRPr="002B4E6A" w:rsidRDefault="00733BB3" w:rsidP="00272009">
      <w:pPr>
        <w:pStyle w:val="Textpoznpodarou"/>
        <w:ind w:left="284" w:hanging="284"/>
        <w:rPr>
          <w:rFonts w:ascii="Calibri" w:hAnsi="Calibri" w:cs="Calibri"/>
        </w:rPr>
      </w:pPr>
      <w:r w:rsidRPr="002B4E6A">
        <w:rPr>
          <w:rStyle w:val="Znakapoznpodarou"/>
          <w:rFonts w:ascii="Calibri" w:hAnsi="Calibri" w:cs="Calibri"/>
        </w:rPr>
        <w:footnoteRef/>
      </w:r>
      <w:r w:rsidRPr="002B4E6A">
        <w:rPr>
          <w:rFonts w:ascii="Calibri" w:hAnsi="Calibri" w:cs="Calibri"/>
        </w:rPr>
        <w:t xml:space="preserve"> </w:t>
      </w:r>
      <w:r w:rsidR="00272009">
        <w:rPr>
          <w:rFonts w:ascii="Calibri" w:hAnsi="Calibri" w:cs="Calibri"/>
        </w:rPr>
        <w:tab/>
      </w:r>
      <w:r w:rsidR="007176AA">
        <w:rPr>
          <w:rFonts w:ascii="Calibri" w:hAnsi="Calibri" w:cs="Calibri"/>
        </w:rPr>
        <w:t>Mezi poplatky ve vězeňství patří n</w:t>
      </w:r>
      <w:r w:rsidRPr="002B4E6A">
        <w:rPr>
          <w:rFonts w:ascii="Calibri" w:hAnsi="Calibri" w:cs="Calibri"/>
        </w:rPr>
        <w:t>áhrady nákladů výkonu a nákladů spojených s výkonem vazby nebo trestu odnětí svobody a náhrady škody vzniklé při výkonu vazby, trestu odnětí svobody nebo zabezpečovací detence.</w:t>
      </w:r>
    </w:p>
  </w:footnote>
  <w:footnote w:id="5">
    <w:p w14:paraId="7B2BD8AC" w14:textId="0C4E4011" w:rsidR="00E71B52" w:rsidRPr="00E71B52" w:rsidRDefault="00E71B52" w:rsidP="00272009">
      <w:pPr>
        <w:pStyle w:val="Textpoznpodarou"/>
        <w:ind w:left="284" w:hanging="284"/>
        <w:rPr>
          <w:rFonts w:asciiTheme="minorHAnsi" w:hAnsiTheme="minorHAnsi" w:cstheme="minorHAnsi"/>
        </w:rPr>
      </w:pPr>
      <w:r w:rsidRPr="00E71B52">
        <w:rPr>
          <w:rStyle w:val="Znakapoznpodarou"/>
          <w:rFonts w:asciiTheme="minorHAnsi" w:hAnsiTheme="minorHAnsi" w:cstheme="minorHAnsi"/>
        </w:rPr>
        <w:footnoteRef/>
      </w:r>
      <w:r w:rsidRPr="00E71B52">
        <w:rPr>
          <w:rFonts w:asciiTheme="minorHAnsi" w:hAnsiTheme="minorHAnsi" w:cstheme="minorHAnsi"/>
        </w:rPr>
        <w:t xml:space="preserve"> </w:t>
      </w:r>
      <w:r w:rsidR="00272009">
        <w:rPr>
          <w:rFonts w:asciiTheme="minorHAnsi" w:hAnsiTheme="minorHAnsi" w:cstheme="minorHAnsi"/>
        </w:rPr>
        <w:tab/>
      </w:r>
      <w:r w:rsidRPr="00E71B52">
        <w:rPr>
          <w:rFonts w:asciiTheme="minorHAnsi" w:hAnsiTheme="minorHAnsi" w:cstheme="minorHAnsi"/>
        </w:rPr>
        <w:t>Zákon č. 280/2009 Sb., daňový řád.</w:t>
      </w:r>
    </w:p>
  </w:footnote>
  <w:footnote w:id="6">
    <w:p w14:paraId="26FA0837" w14:textId="30FC7C81" w:rsidR="00A942B0" w:rsidRPr="00A942B0" w:rsidRDefault="00A942B0" w:rsidP="00272009">
      <w:pPr>
        <w:pStyle w:val="Textpoznpodarou"/>
        <w:ind w:left="284" w:hanging="284"/>
        <w:rPr>
          <w:rFonts w:asciiTheme="minorHAnsi" w:hAnsiTheme="minorHAnsi" w:cstheme="minorHAnsi"/>
        </w:rPr>
      </w:pPr>
      <w:r w:rsidRPr="00D0220A">
        <w:rPr>
          <w:rStyle w:val="Znakapoznpodarou"/>
          <w:rFonts w:asciiTheme="minorHAnsi" w:hAnsiTheme="minorHAnsi" w:cstheme="minorHAnsi"/>
        </w:rPr>
        <w:footnoteRef/>
      </w:r>
      <w:r w:rsidRPr="00D0220A">
        <w:rPr>
          <w:rFonts w:asciiTheme="minorHAnsi" w:hAnsiTheme="minorHAnsi" w:cstheme="minorHAnsi"/>
        </w:rPr>
        <w:t xml:space="preserve"> </w:t>
      </w:r>
      <w:r w:rsidR="00272009">
        <w:rPr>
          <w:rFonts w:asciiTheme="minorHAnsi" w:hAnsiTheme="minorHAnsi" w:cstheme="minorHAnsi"/>
        </w:rPr>
        <w:tab/>
      </w:r>
      <w:r w:rsidRPr="00D0220A">
        <w:rPr>
          <w:rFonts w:asciiTheme="minorHAnsi" w:hAnsiTheme="minorHAnsi" w:cstheme="minorHAnsi"/>
        </w:rPr>
        <w:t xml:space="preserve">Zákon č. 349/2023 Sb., </w:t>
      </w:r>
      <w:r w:rsidR="0022052A" w:rsidRPr="00D0220A">
        <w:rPr>
          <w:rFonts w:asciiTheme="minorHAnsi" w:hAnsiTheme="minorHAnsi" w:cstheme="minorHAnsi"/>
        </w:rPr>
        <w:t>kterým se mění některé zákony v souvislosti s konsolidací veřejných rozpočtů.</w:t>
      </w:r>
    </w:p>
  </w:footnote>
  <w:footnote w:id="7">
    <w:p w14:paraId="51241747" w14:textId="614140C5" w:rsidR="00C813AD" w:rsidRPr="00EA7A97" w:rsidRDefault="00C813AD" w:rsidP="00272009">
      <w:pPr>
        <w:pStyle w:val="Textpoznpodarou"/>
        <w:ind w:left="284" w:hanging="284"/>
        <w:rPr>
          <w:rFonts w:asciiTheme="minorHAnsi" w:hAnsiTheme="minorHAnsi" w:cstheme="minorHAnsi"/>
        </w:rPr>
      </w:pPr>
      <w:r w:rsidRPr="00EA7A97">
        <w:rPr>
          <w:rStyle w:val="Znakapoznpodarou"/>
          <w:rFonts w:asciiTheme="minorHAnsi" w:hAnsiTheme="minorHAnsi" w:cstheme="minorHAnsi"/>
        </w:rPr>
        <w:footnoteRef/>
      </w:r>
      <w:r w:rsidRPr="00EA7A97">
        <w:rPr>
          <w:rFonts w:asciiTheme="minorHAnsi" w:hAnsiTheme="minorHAnsi" w:cstheme="minorHAnsi"/>
        </w:rPr>
        <w:t xml:space="preserve"> </w:t>
      </w:r>
      <w:r w:rsidR="00272009">
        <w:rPr>
          <w:rFonts w:asciiTheme="minorHAnsi" w:hAnsiTheme="minorHAnsi" w:cstheme="minorHAnsi"/>
        </w:rPr>
        <w:tab/>
      </w:r>
      <w:r w:rsidRPr="00EA7A97">
        <w:rPr>
          <w:rFonts w:asciiTheme="minorHAnsi" w:hAnsiTheme="minorHAnsi" w:cstheme="minorHAnsi"/>
        </w:rPr>
        <w:t>Bez pohledávek přihlášených do veřejné dražby, insolvenčního řízení, pohledávek již vymáhaných soudním exekutorem.</w:t>
      </w:r>
    </w:p>
  </w:footnote>
  <w:footnote w:id="8">
    <w:p w14:paraId="02369220" w14:textId="1F5EB297" w:rsidR="00204D0A" w:rsidRPr="00C806D2" w:rsidRDefault="00204D0A" w:rsidP="00272009">
      <w:pPr>
        <w:pStyle w:val="Textpoznpodarou"/>
        <w:ind w:left="284" w:hanging="284"/>
        <w:rPr>
          <w:rFonts w:asciiTheme="minorHAnsi" w:hAnsiTheme="minorHAnsi" w:cstheme="minorHAnsi"/>
        </w:rPr>
      </w:pPr>
      <w:r w:rsidRPr="00C806D2">
        <w:rPr>
          <w:rStyle w:val="Znakapoznpodarou"/>
          <w:rFonts w:asciiTheme="minorHAnsi" w:hAnsiTheme="minorHAnsi" w:cstheme="minorHAnsi"/>
        </w:rPr>
        <w:footnoteRef/>
      </w:r>
      <w:r w:rsidRPr="00C806D2">
        <w:rPr>
          <w:rFonts w:asciiTheme="minorHAnsi" w:hAnsiTheme="minorHAnsi" w:cstheme="minorHAnsi"/>
        </w:rPr>
        <w:t xml:space="preserve"> </w:t>
      </w:r>
      <w:r w:rsidR="00272009">
        <w:rPr>
          <w:rFonts w:asciiTheme="minorHAnsi" w:hAnsiTheme="minorHAnsi" w:cstheme="minorHAnsi"/>
        </w:rPr>
        <w:tab/>
      </w:r>
      <w:r w:rsidR="00C806D2" w:rsidRPr="00C806D2">
        <w:rPr>
          <w:rFonts w:asciiTheme="minorHAnsi" w:hAnsiTheme="minorHAnsi" w:cstheme="minorHAnsi"/>
        </w:rPr>
        <w:t xml:space="preserve">Důvodová zpráva k zákonu </w:t>
      </w:r>
      <w:r w:rsidR="00BD0E18">
        <w:rPr>
          <w:rFonts w:asciiTheme="minorHAnsi" w:hAnsiTheme="minorHAnsi" w:cstheme="minorHAnsi"/>
        </w:rPr>
        <w:t>č. 349/2023 Sb</w:t>
      </w:r>
      <w:r w:rsidR="00C806D2" w:rsidRPr="00C806D2">
        <w:rPr>
          <w:rFonts w:asciiTheme="minorHAnsi" w:hAnsiTheme="minorHAnsi" w:cstheme="minorHAnsi"/>
        </w:rPr>
        <w:t>.</w:t>
      </w:r>
    </w:p>
  </w:footnote>
  <w:footnote w:id="9">
    <w:p w14:paraId="4F26B901" w14:textId="0BF8D06A" w:rsidR="005F6016" w:rsidRPr="009A54C0" w:rsidRDefault="005F6016" w:rsidP="00272009">
      <w:pPr>
        <w:pStyle w:val="Textpoznpodarou"/>
        <w:ind w:left="284" w:hanging="284"/>
        <w:rPr>
          <w:rFonts w:asciiTheme="minorHAnsi" w:hAnsiTheme="minorHAnsi" w:cstheme="minorHAnsi"/>
        </w:rPr>
      </w:pPr>
      <w:r w:rsidRPr="009A54C0">
        <w:rPr>
          <w:rStyle w:val="Znakapoznpodarou"/>
          <w:rFonts w:asciiTheme="minorHAnsi" w:hAnsiTheme="minorHAnsi" w:cstheme="minorHAnsi"/>
        </w:rPr>
        <w:footnoteRef/>
      </w:r>
      <w:r w:rsidRPr="009A54C0">
        <w:rPr>
          <w:rFonts w:asciiTheme="minorHAnsi" w:hAnsiTheme="minorHAnsi" w:cstheme="minorHAnsi"/>
        </w:rPr>
        <w:t xml:space="preserve"> </w:t>
      </w:r>
      <w:r w:rsidR="00272009">
        <w:rPr>
          <w:rFonts w:asciiTheme="minorHAnsi" w:hAnsiTheme="minorHAnsi" w:cstheme="minorHAnsi"/>
        </w:rPr>
        <w:tab/>
      </w:r>
      <w:r w:rsidR="00955191">
        <w:rPr>
          <w:rFonts w:asciiTheme="minorHAnsi" w:hAnsiTheme="minorHAnsi" w:cstheme="minorHAnsi"/>
        </w:rPr>
        <w:t>Devět pohledávek vedených KS Ostrava a čtyři pohledávky vedené OS PM z kontrolního vzorku</w:t>
      </w:r>
      <w:r w:rsidR="001A7FAE">
        <w:rPr>
          <w:rFonts w:asciiTheme="minorHAnsi" w:hAnsiTheme="minorHAnsi" w:cstheme="minorHAnsi"/>
        </w:rPr>
        <w:t xml:space="preserve"> 63 pohledávek o</w:t>
      </w:r>
      <w:r w:rsidR="00272009">
        <w:rPr>
          <w:rFonts w:asciiTheme="minorHAnsi" w:hAnsiTheme="minorHAnsi" w:cstheme="minorHAnsi"/>
        </w:rPr>
        <w:t> </w:t>
      </w:r>
      <w:r w:rsidR="001A7FAE">
        <w:rPr>
          <w:rFonts w:asciiTheme="minorHAnsi" w:hAnsiTheme="minorHAnsi" w:cstheme="minorHAnsi"/>
        </w:rPr>
        <w:t>celkovém objemu 4,9 mil. Kč</w:t>
      </w:r>
      <w:r w:rsidR="00955191">
        <w:rPr>
          <w:rFonts w:asciiTheme="minorHAnsi" w:hAnsiTheme="minorHAnsi" w:cstheme="minorHAnsi"/>
        </w:rPr>
        <w:t>.</w:t>
      </w:r>
    </w:p>
  </w:footnote>
  <w:footnote w:id="10">
    <w:p w14:paraId="57394AEB" w14:textId="0FD1618B" w:rsidR="005F6016" w:rsidRPr="00217843" w:rsidRDefault="005F6016" w:rsidP="00272009">
      <w:pPr>
        <w:pStyle w:val="Textpoznpodarou"/>
        <w:ind w:left="284" w:hanging="284"/>
        <w:rPr>
          <w:rFonts w:asciiTheme="minorHAnsi" w:hAnsiTheme="minorHAnsi" w:cstheme="minorHAnsi"/>
        </w:rPr>
      </w:pPr>
      <w:r w:rsidRPr="00217843">
        <w:rPr>
          <w:rStyle w:val="Znakapoznpodarou"/>
          <w:rFonts w:asciiTheme="minorHAnsi" w:hAnsiTheme="minorHAnsi" w:cstheme="minorHAnsi"/>
        </w:rPr>
        <w:footnoteRef/>
      </w:r>
      <w:r w:rsidRPr="00217843">
        <w:rPr>
          <w:rFonts w:asciiTheme="minorHAnsi" w:hAnsiTheme="minorHAnsi" w:cstheme="minorHAnsi"/>
        </w:rPr>
        <w:t xml:space="preserve"> </w:t>
      </w:r>
      <w:r w:rsidR="00272009">
        <w:rPr>
          <w:rFonts w:asciiTheme="minorHAnsi" w:hAnsiTheme="minorHAnsi" w:cstheme="minorHAnsi"/>
        </w:rPr>
        <w:tab/>
      </w:r>
      <w:r w:rsidRPr="00217843">
        <w:rPr>
          <w:rFonts w:asciiTheme="minorHAnsi" w:hAnsiTheme="minorHAnsi" w:cstheme="minorHAnsi"/>
          <w:lang w:eastAsia="cs-CZ"/>
        </w:rPr>
        <w:t>Ustanovení § 1 odst. 2 zákona č. 280/2009 Sb.</w:t>
      </w:r>
    </w:p>
  </w:footnote>
  <w:footnote w:id="11">
    <w:p w14:paraId="2FE55A75" w14:textId="6E97CC89" w:rsidR="002B1304" w:rsidRPr="00470840" w:rsidRDefault="002B1304" w:rsidP="00272009">
      <w:pPr>
        <w:pStyle w:val="Textpoznpodarou"/>
        <w:ind w:left="284" w:hanging="284"/>
        <w:rPr>
          <w:rFonts w:asciiTheme="minorHAnsi" w:hAnsiTheme="minorHAnsi" w:cstheme="minorHAnsi"/>
        </w:rPr>
      </w:pPr>
      <w:r w:rsidRPr="00470840">
        <w:rPr>
          <w:rStyle w:val="Znakapoznpodarou"/>
          <w:rFonts w:asciiTheme="minorHAnsi" w:hAnsiTheme="minorHAnsi" w:cstheme="minorHAnsi"/>
        </w:rPr>
        <w:footnoteRef/>
      </w:r>
      <w:r w:rsidRPr="00470840">
        <w:rPr>
          <w:rFonts w:asciiTheme="minorHAnsi" w:hAnsiTheme="minorHAnsi" w:cstheme="minorHAnsi"/>
        </w:rPr>
        <w:t xml:space="preserve"> </w:t>
      </w:r>
      <w:r w:rsidR="00272009">
        <w:rPr>
          <w:rFonts w:asciiTheme="minorHAnsi" w:hAnsiTheme="minorHAnsi" w:cstheme="minorHAnsi"/>
        </w:rPr>
        <w:tab/>
      </w:r>
      <w:r w:rsidR="00470840">
        <w:rPr>
          <w:rFonts w:asciiTheme="minorHAnsi" w:hAnsiTheme="minorHAnsi" w:cstheme="minorHAnsi"/>
        </w:rPr>
        <w:t xml:space="preserve">Ustanovení </w:t>
      </w:r>
      <w:r w:rsidR="00470840" w:rsidRPr="00470840">
        <w:rPr>
          <w:rFonts w:asciiTheme="minorHAnsi" w:hAnsiTheme="minorHAnsi" w:cstheme="minorHAnsi"/>
        </w:rPr>
        <w:t>§ 156</w:t>
      </w:r>
      <w:r w:rsidR="00E30423">
        <w:rPr>
          <w:rFonts w:asciiTheme="minorHAnsi" w:hAnsiTheme="minorHAnsi" w:cstheme="minorHAnsi"/>
        </w:rPr>
        <w:t xml:space="preserve"> odst. 5</w:t>
      </w:r>
      <w:r w:rsidR="00470840" w:rsidRPr="00470840">
        <w:rPr>
          <w:rFonts w:asciiTheme="minorHAnsi" w:hAnsiTheme="minorHAnsi" w:cstheme="minorHAnsi"/>
        </w:rPr>
        <w:t>, § 157</w:t>
      </w:r>
      <w:r w:rsidR="00E30423">
        <w:rPr>
          <w:rFonts w:asciiTheme="minorHAnsi" w:hAnsiTheme="minorHAnsi" w:cstheme="minorHAnsi"/>
        </w:rPr>
        <w:t xml:space="preserve"> odst. 5</w:t>
      </w:r>
      <w:r w:rsidR="00374A93">
        <w:rPr>
          <w:rFonts w:asciiTheme="minorHAnsi" w:hAnsiTheme="minorHAnsi" w:cstheme="minorHAnsi"/>
        </w:rPr>
        <w:t xml:space="preserve"> (ve znění účinném do 31. 12. 2020), § 157 odst. 1 (ve znění účinném od 1. 1. 2021)</w:t>
      </w:r>
      <w:r w:rsidR="00470840" w:rsidRPr="00470840">
        <w:rPr>
          <w:rFonts w:asciiTheme="minorHAnsi" w:hAnsiTheme="minorHAnsi" w:cstheme="minorHAnsi"/>
        </w:rPr>
        <w:t>, § 158</w:t>
      </w:r>
      <w:r w:rsidR="00E30423">
        <w:rPr>
          <w:rFonts w:asciiTheme="minorHAnsi" w:hAnsiTheme="minorHAnsi" w:cstheme="minorHAnsi"/>
        </w:rPr>
        <w:t xml:space="preserve"> odst. 1</w:t>
      </w:r>
      <w:r w:rsidR="00470840" w:rsidRPr="00470840">
        <w:rPr>
          <w:rFonts w:asciiTheme="minorHAnsi" w:hAnsiTheme="minorHAnsi" w:cstheme="minorHAnsi"/>
        </w:rPr>
        <w:t>, § 1</w:t>
      </w:r>
      <w:r w:rsidR="00470840">
        <w:rPr>
          <w:rFonts w:asciiTheme="minorHAnsi" w:hAnsiTheme="minorHAnsi" w:cstheme="minorHAnsi"/>
        </w:rPr>
        <w:t>81</w:t>
      </w:r>
      <w:r w:rsidR="00470840" w:rsidRPr="00470840">
        <w:rPr>
          <w:rFonts w:asciiTheme="minorHAnsi" w:hAnsiTheme="minorHAnsi" w:cstheme="minorHAnsi"/>
        </w:rPr>
        <w:t xml:space="preserve"> </w:t>
      </w:r>
      <w:r w:rsidR="00374A93">
        <w:rPr>
          <w:rFonts w:asciiTheme="minorHAnsi" w:hAnsiTheme="minorHAnsi" w:cstheme="minorHAnsi"/>
        </w:rPr>
        <w:t xml:space="preserve">odst. 2 písm. i) </w:t>
      </w:r>
      <w:r w:rsidR="00470840" w:rsidRPr="00470840">
        <w:rPr>
          <w:rFonts w:asciiTheme="minorHAnsi" w:hAnsiTheme="minorHAnsi" w:cstheme="minorHAnsi"/>
        </w:rPr>
        <w:t>zákona č. 280/2009 Sb.</w:t>
      </w:r>
    </w:p>
  </w:footnote>
  <w:footnote w:id="12">
    <w:p w14:paraId="53D7B99C" w14:textId="12139803" w:rsidR="002B1304" w:rsidRPr="004D07EC" w:rsidRDefault="002B1304" w:rsidP="00272009">
      <w:pPr>
        <w:pStyle w:val="Textpoznpodarou"/>
        <w:ind w:left="284" w:hanging="284"/>
        <w:rPr>
          <w:rFonts w:asciiTheme="minorHAnsi" w:hAnsiTheme="minorHAnsi" w:cstheme="minorHAnsi"/>
        </w:rPr>
      </w:pPr>
      <w:r w:rsidRPr="004D07EC">
        <w:rPr>
          <w:rStyle w:val="Znakapoznpodarou"/>
          <w:rFonts w:asciiTheme="minorHAnsi" w:hAnsiTheme="minorHAnsi" w:cstheme="minorHAnsi"/>
        </w:rPr>
        <w:footnoteRef/>
      </w:r>
      <w:r w:rsidRPr="004D07EC">
        <w:rPr>
          <w:rFonts w:asciiTheme="minorHAnsi" w:hAnsiTheme="minorHAnsi" w:cstheme="minorHAnsi"/>
        </w:rPr>
        <w:t xml:space="preserve"> </w:t>
      </w:r>
      <w:r w:rsidR="00272009">
        <w:rPr>
          <w:rFonts w:asciiTheme="minorHAnsi" w:hAnsiTheme="minorHAnsi" w:cstheme="minorHAnsi"/>
        </w:rPr>
        <w:tab/>
      </w:r>
      <w:r w:rsidRPr="004D07EC">
        <w:rPr>
          <w:rFonts w:asciiTheme="minorHAnsi" w:eastAsia="Calibri" w:hAnsiTheme="minorHAnsi" w:cstheme="minorHAnsi"/>
          <w:szCs w:val="24"/>
        </w:rPr>
        <w:t xml:space="preserve">Ustanovení § </w:t>
      </w:r>
      <w:r w:rsidRPr="004D07EC">
        <w:rPr>
          <w:rFonts w:asciiTheme="minorHAnsi" w:hAnsiTheme="minorHAnsi" w:cstheme="minorHAnsi"/>
          <w:lang w:eastAsia="cs-CZ"/>
        </w:rPr>
        <w:t>3 odst. 1 zákona č. 563/1991 Sb., o účetnictví.</w:t>
      </w:r>
    </w:p>
  </w:footnote>
  <w:footnote w:id="13">
    <w:p w14:paraId="0A6914FF" w14:textId="14BB781E" w:rsidR="00D260F3" w:rsidRPr="00DA4A64" w:rsidRDefault="00D260F3" w:rsidP="00272009">
      <w:pPr>
        <w:pStyle w:val="Textpoznpodarou"/>
        <w:ind w:left="284" w:hanging="284"/>
        <w:rPr>
          <w:rFonts w:asciiTheme="minorHAnsi" w:hAnsiTheme="minorHAnsi" w:cstheme="minorHAnsi"/>
        </w:rPr>
      </w:pPr>
      <w:r w:rsidRPr="00DA4A64">
        <w:rPr>
          <w:rStyle w:val="Znakapoznpodarou"/>
          <w:rFonts w:asciiTheme="minorHAnsi" w:hAnsiTheme="minorHAnsi" w:cstheme="minorHAnsi"/>
        </w:rPr>
        <w:footnoteRef/>
      </w:r>
      <w:r w:rsidRPr="00DA4A64">
        <w:rPr>
          <w:rFonts w:asciiTheme="minorHAnsi" w:hAnsiTheme="minorHAnsi" w:cstheme="minorHAnsi"/>
        </w:rPr>
        <w:t xml:space="preserve"> </w:t>
      </w:r>
      <w:r w:rsidR="00272009">
        <w:rPr>
          <w:rFonts w:asciiTheme="minorHAnsi" w:hAnsiTheme="minorHAnsi" w:cstheme="minorHAnsi"/>
        </w:rPr>
        <w:tab/>
      </w:r>
      <w:r w:rsidRPr="00DA4A64">
        <w:rPr>
          <w:rFonts w:asciiTheme="minorHAnsi" w:hAnsiTheme="minorHAnsi" w:cstheme="minorHAnsi"/>
        </w:rPr>
        <w:t>Důvodová zpráva k zákonu č. 349/2023 Sb.</w:t>
      </w:r>
    </w:p>
  </w:footnote>
  <w:footnote w:id="14">
    <w:p w14:paraId="0ACB4E02" w14:textId="76FBE63F" w:rsidR="00052ED6" w:rsidRPr="00052ED6" w:rsidRDefault="00052ED6" w:rsidP="00272009">
      <w:pPr>
        <w:pStyle w:val="Textpoznpodarou"/>
        <w:ind w:left="284" w:hanging="284"/>
        <w:rPr>
          <w:rFonts w:asciiTheme="minorHAnsi" w:hAnsiTheme="minorHAnsi" w:cstheme="minorHAnsi"/>
        </w:rPr>
      </w:pPr>
      <w:r w:rsidRPr="00052ED6">
        <w:rPr>
          <w:rStyle w:val="Znakapoznpodarou"/>
          <w:rFonts w:asciiTheme="minorHAnsi" w:hAnsiTheme="minorHAnsi" w:cstheme="minorHAnsi"/>
        </w:rPr>
        <w:footnoteRef/>
      </w:r>
      <w:r w:rsidRPr="00052ED6">
        <w:rPr>
          <w:rFonts w:asciiTheme="minorHAnsi" w:hAnsiTheme="minorHAnsi" w:cstheme="minorHAnsi"/>
        </w:rPr>
        <w:t xml:space="preserve"> </w:t>
      </w:r>
      <w:r w:rsidR="00272009">
        <w:rPr>
          <w:rFonts w:asciiTheme="minorHAnsi" w:hAnsiTheme="minorHAnsi" w:cstheme="minorHAnsi"/>
        </w:rPr>
        <w:tab/>
      </w:r>
      <w:r w:rsidRPr="00052ED6">
        <w:rPr>
          <w:rFonts w:asciiTheme="minorHAnsi" w:eastAsia="Calibri" w:hAnsiTheme="minorHAnsi" w:cstheme="minorHAnsi"/>
          <w:szCs w:val="24"/>
        </w:rPr>
        <w:t>Ustanovení § 2 odst. 1 písm. e) zákona č. 549/1991 Sb.</w:t>
      </w:r>
    </w:p>
  </w:footnote>
  <w:footnote w:id="15">
    <w:p w14:paraId="27935BC1" w14:textId="38BCE670" w:rsidR="0089623F" w:rsidRPr="008A6E5B" w:rsidRDefault="0089623F" w:rsidP="00272009">
      <w:pPr>
        <w:pStyle w:val="Textpoznpodarou"/>
        <w:ind w:left="284" w:hanging="284"/>
        <w:rPr>
          <w:rFonts w:asciiTheme="minorHAnsi" w:hAnsiTheme="minorHAnsi" w:cstheme="minorHAnsi"/>
        </w:rPr>
      </w:pPr>
      <w:r w:rsidRPr="008A6E5B">
        <w:rPr>
          <w:rStyle w:val="Znakapoznpodarou"/>
          <w:rFonts w:asciiTheme="minorHAnsi" w:hAnsiTheme="minorHAnsi" w:cstheme="minorHAnsi"/>
        </w:rPr>
        <w:footnoteRef/>
      </w:r>
      <w:r w:rsidRPr="008A6E5B">
        <w:rPr>
          <w:rFonts w:asciiTheme="minorHAnsi" w:hAnsiTheme="minorHAnsi" w:cstheme="minorHAnsi"/>
        </w:rPr>
        <w:t xml:space="preserve"> </w:t>
      </w:r>
      <w:r w:rsidR="00272009">
        <w:rPr>
          <w:rFonts w:asciiTheme="minorHAnsi" w:hAnsiTheme="minorHAnsi" w:cstheme="minorHAnsi"/>
        </w:rPr>
        <w:tab/>
      </w:r>
      <w:r>
        <w:rPr>
          <w:rFonts w:asciiTheme="minorHAnsi" w:hAnsiTheme="minorHAnsi" w:cstheme="minorHAnsi"/>
        </w:rPr>
        <w:t>Ustanovení § 123 odst. 1 písm. e) z</w:t>
      </w:r>
      <w:r w:rsidRPr="008A6E5B">
        <w:rPr>
          <w:rFonts w:asciiTheme="minorHAnsi" w:hAnsiTheme="minorHAnsi" w:cstheme="minorHAnsi"/>
        </w:rPr>
        <w:t>ákon</w:t>
      </w:r>
      <w:r>
        <w:rPr>
          <w:rFonts w:asciiTheme="minorHAnsi" w:hAnsiTheme="minorHAnsi" w:cstheme="minorHAnsi"/>
        </w:rPr>
        <w:t>a</w:t>
      </w:r>
      <w:r w:rsidRPr="008A6E5B">
        <w:rPr>
          <w:rFonts w:asciiTheme="minorHAnsi" w:hAnsiTheme="minorHAnsi" w:cstheme="minorHAnsi"/>
        </w:rPr>
        <w:t xml:space="preserve"> č. 6/20</w:t>
      </w:r>
      <w:r>
        <w:rPr>
          <w:rFonts w:asciiTheme="minorHAnsi" w:hAnsiTheme="minorHAnsi" w:cstheme="minorHAnsi"/>
        </w:rPr>
        <w:t>0</w:t>
      </w:r>
      <w:r w:rsidRPr="008A6E5B">
        <w:rPr>
          <w:rFonts w:asciiTheme="minorHAnsi" w:hAnsiTheme="minorHAnsi" w:cstheme="minorHAnsi"/>
        </w:rPr>
        <w:t>2</w:t>
      </w:r>
      <w:r w:rsidR="00245127">
        <w:rPr>
          <w:rFonts w:asciiTheme="minorHAnsi" w:hAnsiTheme="minorHAnsi" w:cstheme="minorHAnsi"/>
        </w:rPr>
        <w:t xml:space="preserve"> Sb.</w:t>
      </w:r>
      <w:r w:rsidRPr="008A6E5B">
        <w:rPr>
          <w:rFonts w:asciiTheme="minorHAnsi" w:hAnsiTheme="minorHAnsi" w:cstheme="minorHAnsi"/>
        </w:rPr>
        <w:t xml:space="preserve">, </w:t>
      </w:r>
      <w:r w:rsidR="00245127">
        <w:rPr>
          <w:rFonts w:asciiTheme="minorHAnsi" w:hAnsiTheme="minorHAnsi" w:cstheme="minorHAnsi"/>
        </w:rPr>
        <w:t xml:space="preserve">o </w:t>
      </w:r>
      <w:r w:rsidRPr="008A6E5B">
        <w:rPr>
          <w:rFonts w:asciiTheme="minorHAnsi" w:hAnsiTheme="minorHAnsi" w:cstheme="minorHAnsi"/>
        </w:rPr>
        <w:t>soudech, soudcích, přísedících a státní správě soudů a o změně některých dalších zákonů (zákon o soudech a soudcích)</w:t>
      </w:r>
      <w:r>
        <w:rPr>
          <w:rFonts w:asciiTheme="minorHAnsi" w:hAnsiTheme="minorHAnsi" w:cstheme="minorHAnsi"/>
        </w:rPr>
        <w:t>.</w:t>
      </w:r>
    </w:p>
  </w:footnote>
  <w:footnote w:id="16">
    <w:p w14:paraId="45782F17" w14:textId="55D556E0" w:rsidR="002D064A" w:rsidRPr="002D064A" w:rsidRDefault="002D064A" w:rsidP="00272009">
      <w:pPr>
        <w:pStyle w:val="Textpoznpodarou"/>
        <w:ind w:left="284" w:hanging="284"/>
        <w:rPr>
          <w:rFonts w:asciiTheme="minorHAnsi" w:hAnsiTheme="minorHAnsi" w:cstheme="minorHAnsi"/>
        </w:rPr>
      </w:pPr>
      <w:r w:rsidRPr="002D064A">
        <w:rPr>
          <w:rStyle w:val="Znakapoznpodarou"/>
          <w:rFonts w:asciiTheme="minorHAnsi" w:hAnsiTheme="minorHAnsi" w:cstheme="minorHAnsi"/>
        </w:rPr>
        <w:footnoteRef/>
      </w:r>
      <w:r w:rsidRPr="002D064A">
        <w:rPr>
          <w:rFonts w:asciiTheme="minorHAnsi" w:hAnsiTheme="minorHAnsi" w:cstheme="minorHAnsi"/>
        </w:rPr>
        <w:t xml:space="preserve"> </w:t>
      </w:r>
      <w:r w:rsidR="00272009">
        <w:rPr>
          <w:rFonts w:asciiTheme="minorHAnsi" w:hAnsiTheme="minorHAnsi" w:cstheme="minorHAnsi"/>
        </w:rPr>
        <w:tab/>
      </w:r>
      <w:r w:rsidRPr="002D064A">
        <w:rPr>
          <w:rFonts w:asciiTheme="minorHAnsi" w:hAnsiTheme="minorHAnsi" w:cstheme="minorHAnsi"/>
        </w:rPr>
        <w:t>Ustanovení § 1 zákona č. 549/1991 Sb.</w:t>
      </w:r>
    </w:p>
  </w:footnote>
  <w:footnote w:id="17">
    <w:p w14:paraId="5360D4EE" w14:textId="7472B1AE" w:rsidR="00502C57" w:rsidRPr="00502C57" w:rsidRDefault="00502C57" w:rsidP="00272009">
      <w:pPr>
        <w:pStyle w:val="Textpoznpodarou"/>
        <w:ind w:left="284" w:hanging="284"/>
        <w:rPr>
          <w:rFonts w:asciiTheme="minorHAnsi" w:hAnsiTheme="minorHAnsi" w:cstheme="minorHAnsi"/>
        </w:rPr>
      </w:pPr>
      <w:r w:rsidRPr="00502C57">
        <w:rPr>
          <w:rStyle w:val="Znakapoznpodarou"/>
          <w:rFonts w:asciiTheme="minorHAnsi" w:hAnsiTheme="minorHAnsi" w:cstheme="minorHAnsi"/>
        </w:rPr>
        <w:footnoteRef/>
      </w:r>
      <w:r w:rsidRPr="00502C57">
        <w:rPr>
          <w:rFonts w:asciiTheme="minorHAnsi" w:hAnsiTheme="minorHAnsi" w:cstheme="minorHAnsi"/>
        </w:rPr>
        <w:t xml:space="preserve"> </w:t>
      </w:r>
      <w:r w:rsidR="00272009">
        <w:rPr>
          <w:rFonts w:asciiTheme="minorHAnsi" w:hAnsiTheme="minorHAnsi" w:cstheme="minorHAnsi"/>
        </w:rPr>
        <w:tab/>
      </w:r>
      <w:r w:rsidRPr="00502C57">
        <w:rPr>
          <w:rFonts w:asciiTheme="minorHAnsi" w:hAnsiTheme="minorHAnsi" w:cstheme="minorHAnsi"/>
        </w:rPr>
        <w:t xml:space="preserve">Dle ustanovení </w:t>
      </w:r>
      <w:r w:rsidR="00667E38">
        <w:rPr>
          <w:rFonts w:asciiTheme="minorHAnsi" w:hAnsiTheme="minorHAnsi" w:cstheme="minorHAnsi"/>
        </w:rPr>
        <w:t xml:space="preserve">§ 8 odst. 1 ve spojení s ustanovením </w:t>
      </w:r>
      <w:r w:rsidRPr="00502C57">
        <w:rPr>
          <w:rFonts w:asciiTheme="minorHAnsi" w:hAnsiTheme="minorHAnsi" w:cstheme="minorHAnsi"/>
        </w:rPr>
        <w:t>§ 3 zákona č. 549/1991 Sb.</w:t>
      </w:r>
    </w:p>
  </w:footnote>
  <w:footnote w:id="18">
    <w:p w14:paraId="58A302C9" w14:textId="6F174609" w:rsidR="004D07EC" w:rsidRPr="004D07EC" w:rsidRDefault="004D07EC" w:rsidP="00272009">
      <w:pPr>
        <w:pStyle w:val="Textpoznpodarou"/>
        <w:ind w:left="284" w:hanging="284"/>
        <w:rPr>
          <w:rFonts w:asciiTheme="minorHAnsi" w:hAnsiTheme="minorHAnsi" w:cstheme="minorHAnsi"/>
        </w:rPr>
      </w:pPr>
      <w:r w:rsidRPr="004D07EC">
        <w:rPr>
          <w:rStyle w:val="Znakapoznpodarou"/>
          <w:rFonts w:asciiTheme="minorHAnsi" w:hAnsiTheme="minorHAnsi" w:cstheme="minorHAnsi"/>
        </w:rPr>
        <w:footnoteRef/>
      </w:r>
      <w:r w:rsidRPr="004D07EC">
        <w:rPr>
          <w:rFonts w:asciiTheme="minorHAnsi" w:hAnsiTheme="minorHAnsi" w:cstheme="minorHAnsi"/>
        </w:rPr>
        <w:t xml:space="preserve"> </w:t>
      </w:r>
      <w:r w:rsidR="00272009">
        <w:rPr>
          <w:rFonts w:asciiTheme="minorHAnsi" w:hAnsiTheme="minorHAnsi" w:cstheme="minorHAnsi"/>
        </w:rPr>
        <w:tab/>
      </w:r>
      <w:r w:rsidRPr="004D07EC">
        <w:rPr>
          <w:rFonts w:asciiTheme="minorHAnsi" w:hAnsiTheme="minorHAnsi" w:cstheme="minorHAnsi"/>
          <w:lang w:eastAsia="cs-CZ"/>
        </w:rPr>
        <w:t>Ustanovení § 161 zákona č. 280/2009 Sb.</w:t>
      </w:r>
    </w:p>
  </w:footnote>
  <w:footnote w:id="19">
    <w:p w14:paraId="03575D14" w14:textId="60977C04" w:rsidR="00101578" w:rsidRPr="00101578" w:rsidRDefault="00101578" w:rsidP="00272009">
      <w:pPr>
        <w:pStyle w:val="Textpoznpodarou"/>
        <w:ind w:left="284" w:hanging="284"/>
        <w:rPr>
          <w:rFonts w:asciiTheme="minorHAnsi" w:hAnsiTheme="minorHAnsi" w:cstheme="minorHAnsi"/>
        </w:rPr>
      </w:pPr>
      <w:r w:rsidRPr="00101578">
        <w:rPr>
          <w:rStyle w:val="Znakapoznpodarou"/>
          <w:rFonts w:asciiTheme="minorHAnsi" w:hAnsiTheme="minorHAnsi" w:cstheme="minorHAnsi"/>
        </w:rPr>
        <w:footnoteRef/>
      </w:r>
      <w:r w:rsidRPr="00101578">
        <w:rPr>
          <w:rFonts w:asciiTheme="minorHAnsi" w:hAnsiTheme="minorHAnsi" w:cstheme="minorHAnsi"/>
        </w:rPr>
        <w:t xml:space="preserve"> </w:t>
      </w:r>
      <w:r w:rsidR="00272009">
        <w:rPr>
          <w:rFonts w:asciiTheme="minorHAnsi" w:hAnsiTheme="minorHAnsi" w:cstheme="minorHAnsi"/>
        </w:rPr>
        <w:tab/>
      </w:r>
      <w:r w:rsidRPr="00101578">
        <w:rPr>
          <w:rFonts w:asciiTheme="minorHAnsi" w:hAnsiTheme="minorHAnsi" w:cstheme="minorHAnsi"/>
        </w:rPr>
        <w:t>Kontrolní vzorek obsahoval 4</w:t>
      </w:r>
      <w:r w:rsidR="00494E72">
        <w:rPr>
          <w:rFonts w:asciiTheme="minorHAnsi" w:hAnsiTheme="minorHAnsi" w:cstheme="minorHAnsi"/>
        </w:rPr>
        <w:t>3</w:t>
      </w:r>
      <w:r w:rsidRPr="00101578">
        <w:rPr>
          <w:rFonts w:asciiTheme="minorHAnsi" w:hAnsiTheme="minorHAnsi" w:cstheme="minorHAnsi"/>
        </w:rPr>
        <w:t xml:space="preserve"> starých pohledávek, 40 nových pohledávek, 40 nedobytných pohledávek, které byly soudy odepsány, a 40 peněžitých trestů</w:t>
      </w:r>
      <w:r w:rsidR="00B909D2">
        <w:rPr>
          <w:rFonts w:asciiTheme="minorHAnsi" w:hAnsiTheme="minorHAnsi" w:cstheme="minorHAnsi"/>
        </w:rPr>
        <w:t>.</w:t>
      </w:r>
    </w:p>
  </w:footnote>
  <w:footnote w:id="20">
    <w:p w14:paraId="1AC9E001" w14:textId="2E7DA25C" w:rsidR="00AB000A" w:rsidRPr="00AB000A" w:rsidRDefault="00AB000A" w:rsidP="00272009">
      <w:pPr>
        <w:pStyle w:val="Textpoznpodarou"/>
        <w:ind w:left="284" w:hanging="284"/>
        <w:rPr>
          <w:rFonts w:asciiTheme="minorHAnsi" w:hAnsiTheme="minorHAnsi" w:cstheme="minorHAnsi"/>
        </w:rPr>
      </w:pPr>
      <w:r w:rsidRPr="00F326FA">
        <w:rPr>
          <w:rStyle w:val="Znakapoznpodarou"/>
          <w:rFonts w:asciiTheme="minorHAnsi" w:hAnsiTheme="minorHAnsi" w:cstheme="minorHAnsi"/>
        </w:rPr>
        <w:footnoteRef/>
      </w:r>
      <w:r w:rsidRPr="00F326FA">
        <w:rPr>
          <w:rFonts w:asciiTheme="minorHAnsi" w:hAnsiTheme="minorHAnsi" w:cstheme="minorHAnsi"/>
        </w:rPr>
        <w:t xml:space="preserve"> </w:t>
      </w:r>
      <w:r w:rsidR="00272009">
        <w:rPr>
          <w:rFonts w:asciiTheme="minorHAnsi" w:hAnsiTheme="minorHAnsi" w:cstheme="minorHAnsi"/>
        </w:rPr>
        <w:tab/>
      </w:r>
      <w:r w:rsidR="00891B10">
        <w:rPr>
          <w:rFonts w:asciiTheme="minorHAnsi" w:hAnsiTheme="minorHAnsi" w:cstheme="minorHAnsi"/>
        </w:rPr>
        <w:t>P</w:t>
      </w:r>
      <w:r w:rsidR="00371C1E">
        <w:rPr>
          <w:rFonts w:asciiTheme="minorHAnsi" w:hAnsiTheme="minorHAnsi" w:cstheme="minorHAnsi"/>
        </w:rPr>
        <w:t xml:space="preserve">ostup NKÚ k </w:t>
      </w:r>
      <w:r w:rsidR="00766615">
        <w:rPr>
          <w:rFonts w:asciiTheme="minorHAnsi" w:hAnsiTheme="minorHAnsi" w:cstheme="minorHAnsi"/>
        </w:rPr>
        <w:t>provedení</w:t>
      </w:r>
      <w:r w:rsidR="00F326FA" w:rsidRPr="00F326FA">
        <w:rPr>
          <w:rFonts w:asciiTheme="minorHAnsi" w:hAnsiTheme="minorHAnsi" w:cstheme="minorHAnsi"/>
        </w:rPr>
        <w:t xml:space="preserve"> kvalifikovan</w:t>
      </w:r>
      <w:r w:rsidR="00766615">
        <w:rPr>
          <w:rFonts w:asciiTheme="minorHAnsi" w:hAnsiTheme="minorHAnsi" w:cstheme="minorHAnsi"/>
        </w:rPr>
        <w:t>ého</w:t>
      </w:r>
      <w:r w:rsidR="00F326FA" w:rsidRPr="00F326FA">
        <w:rPr>
          <w:rFonts w:asciiTheme="minorHAnsi" w:hAnsiTheme="minorHAnsi" w:cstheme="minorHAnsi"/>
        </w:rPr>
        <w:t xml:space="preserve"> </w:t>
      </w:r>
      <w:r w:rsidRPr="00F326FA">
        <w:rPr>
          <w:rFonts w:asciiTheme="minorHAnsi" w:hAnsiTheme="minorHAnsi" w:cstheme="minorHAnsi"/>
        </w:rPr>
        <w:t>odhad</w:t>
      </w:r>
      <w:r w:rsidR="00766615">
        <w:rPr>
          <w:rFonts w:asciiTheme="minorHAnsi" w:hAnsiTheme="minorHAnsi" w:cstheme="minorHAnsi"/>
        </w:rPr>
        <w:t>u</w:t>
      </w:r>
      <w:r w:rsidR="00891B10">
        <w:rPr>
          <w:rFonts w:asciiTheme="minorHAnsi" w:hAnsiTheme="minorHAnsi" w:cstheme="minorHAnsi"/>
        </w:rPr>
        <w:t xml:space="preserve"> vycházel z metodiky GŘC</w:t>
      </w:r>
      <w:r w:rsidRPr="00F326FA">
        <w:rPr>
          <w:rFonts w:asciiTheme="minorHAnsi" w:hAnsiTheme="minorHAnsi" w:cstheme="minorHAnsi"/>
        </w:rPr>
        <w:t>.</w:t>
      </w:r>
    </w:p>
  </w:footnote>
  <w:footnote w:id="21">
    <w:p w14:paraId="2CF85683" w14:textId="24CA7565" w:rsidR="006E1778" w:rsidRPr="004B5668" w:rsidRDefault="006E1778" w:rsidP="00272009">
      <w:pPr>
        <w:pStyle w:val="Textpoznpodarou"/>
        <w:ind w:left="284" w:hanging="284"/>
        <w:rPr>
          <w:rFonts w:asciiTheme="minorHAnsi" w:hAnsiTheme="minorHAnsi" w:cstheme="minorHAnsi"/>
        </w:rPr>
      </w:pPr>
      <w:r w:rsidRPr="004B5668">
        <w:rPr>
          <w:rStyle w:val="Znakapoznpodarou"/>
          <w:rFonts w:asciiTheme="minorHAnsi" w:hAnsiTheme="minorHAnsi" w:cstheme="minorHAnsi"/>
        </w:rPr>
        <w:footnoteRef/>
      </w:r>
      <w:r w:rsidRPr="004B5668">
        <w:rPr>
          <w:rFonts w:asciiTheme="minorHAnsi" w:hAnsiTheme="minorHAnsi" w:cstheme="minorHAnsi"/>
        </w:rPr>
        <w:t xml:space="preserve"> </w:t>
      </w:r>
      <w:r w:rsidR="00272009">
        <w:rPr>
          <w:rFonts w:asciiTheme="minorHAnsi" w:hAnsiTheme="minorHAnsi" w:cstheme="minorHAnsi"/>
        </w:rPr>
        <w:tab/>
      </w:r>
      <w:r w:rsidRPr="004B5668">
        <w:rPr>
          <w:rFonts w:asciiTheme="minorHAnsi" w:hAnsiTheme="minorHAnsi" w:cstheme="minorHAnsi"/>
        </w:rPr>
        <w:t>Ustanovení § 119 odst. 1 zákona č. 6/2002 Sb.</w:t>
      </w:r>
    </w:p>
  </w:footnote>
  <w:footnote w:id="22">
    <w:p w14:paraId="14823239" w14:textId="626FFD29" w:rsidR="00D91D1E" w:rsidRPr="0087559C" w:rsidRDefault="00D91D1E" w:rsidP="00272009">
      <w:pPr>
        <w:pStyle w:val="Textpoznpodarou"/>
        <w:ind w:left="284" w:hanging="284"/>
        <w:rPr>
          <w:rFonts w:asciiTheme="minorHAnsi" w:hAnsiTheme="minorHAnsi" w:cstheme="minorHAnsi"/>
        </w:rPr>
      </w:pPr>
      <w:r w:rsidRPr="0087559C">
        <w:rPr>
          <w:rStyle w:val="Znakapoznpodarou"/>
          <w:rFonts w:asciiTheme="minorHAnsi" w:hAnsiTheme="minorHAnsi" w:cstheme="minorHAnsi"/>
        </w:rPr>
        <w:footnoteRef/>
      </w:r>
      <w:r w:rsidRPr="0087559C">
        <w:rPr>
          <w:rFonts w:asciiTheme="minorHAnsi" w:hAnsiTheme="minorHAnsi" w:cstheme="minorHAnsi"/>
        </w:rPr>
        <w:t xml:space="preserve"> </w:t>
      </w:r>
      <w:r w:rsidR="00272009">
        <w:rPr>
          <w:rFonts w:asciiTheme="minorHAnsi" w:hAnsiTheme="minorHAnsi" w:cstheme="minorHAnsi"/>
        </w:rPr>
        <w:tab/>
      </w:r>
      <w:r w:rsidRPr="0087559C">
        <w:rPr>
          <w:rFonts w:asciiTheme="minorHAnsi" w:hAnsiTheme="minorHAnsi" w:cstheme="minorHAnsi"/>
        </w:rPr>
        <w:t>Metodické materiály vydané MSp a soudy.</w:t>
      </w:r>
    </w:p>
  </w:footnote>
  <w:footnote w:id="23">
    <w:p w14:paraId="547A6505" w14:textId="7D4FF5F7" w:rsidR="00FB3DB3" w:rsidRPr="004A5B98" w:rsidRDefault="00FB3DB3" w:rsidP="00272009">
      <w:pPr>
        <w:pStyle w:val="Textpoznpodarou"/>
        <w:ind w:left="284" w:hanging="284"/>
        <w:rPr>
          <w:rFonts w:asciiTheme="minorHAnsi" w:hAnsiTheme="minorHAnsi" w:cstheme="minorHAnsi"/>
        </w:rPr>
      </w:pPr>
      <w:r w:rsidRPr="004A5B98">
        <w:rPr>
          <w:rStyle w:val="Znakapoznpodarou"/>
          <w:rFonts w:asciiTheme="minorHAnsi" w:hAnsiTheme="minorHAnsi" w:cstheme="minorHAnsi"/>
        </w:rPr>
        <w:footnoteRef/>
      </w:r>
      <w:r w:rsidRPr="004A5B98">
        <w:rPr>
          <w:rFonts w:asciiTheme="minorHAnsi" w:hAnsiTheme="minorHAnsi" w:cstheme="minorHAnsi"/>
        </w:rPr>
        <w:t xml:space="preserve"> </w:t>
      </w:r>
      <w:r w:rsidR="00272009">
        <w:rPr>
          <w:rFonts w:asciiTheme="minorHAnsi" w:hAnsiTheme="minorHAnsi" w:cstheme="minorHAnsi"/>
        </w:rPr>
        <w:tab/>
      </w:r>
      <w:r w:rsidRPr="004A5B98">
        <w:rPr>
          <w:rFonts w:asciiTheme="minorHAnsi" w:hAnsiTheme="minorHAnsi" w:cstheme="minorHAnsi"/>
        </w:rPr>
        <w:t>Zákon č. 120/2001 Sb.,</w:t>
      </w:r>
      <w:r w:rsidR="00320089" w:rsidRPr="004A5B98">
        <w:rPr>
          <w:rFonts w:asciiTheme="minorHAnsi" w:hAnsiTheme="minorHAnsi" w:cstheme="minorHAnsi"/>
        </w:rPr>
        <w:t xml:space="preserve"> o soudních exekutorech a exekuční činnosti (</w:t>
      </w:r>
      <w:r w:rsidR="00C558E8" w:rsidRPr="004A5B98">
        <w:rPr>
          <w:rFonts w:asciiTheme="minorHAnsi" w:hAnsiTheme="minorHAnsi" w:cstheme="minorHAnsi"/>
        </w:rPr>
        <w:t>exekuční řád</w:t>
      </w:r>
      <w:r w:rsidR="00320089" w:rsidRPr="004A5B98">
        <w:rPr>
          <w:rFonts w:asciiTheme="minorHAnsi" w:hAnsiTheme="minorHAnsi" w:cstheme="minorHAnsi"/>
        </w:rPr>
        <w:t>) a o změně dalších zákonů.</w:t>
      </w:r>
    </w:p>
  </w:footnote>
  <w:footnote w:id="24">
    <w:p w14:paraId="209A39C6" w14:textId="7F9C1065" w:rsidR="00531030" w:rsidRPr="007F11FF" w:rsidRDefault="00531030" w:rsidP="00272009">
      <w:pPr>
        <w:pStyle w:val="Textpoznpodarou"/>
        <w:ind w:left="284" w:hanging="284"/>
        <w:rPr>
          <w:rFonts w:asciiTheme="minorHAnsi" w:hAnsiTheme="minorHAnsi" w:cstheme="minorHAnsi"/>
        </w:rPr>
      </w:pPr>
      <w:r w:rsidRPr="007F11FF">
        <w:rPr>
          <w:rStyle w:val="Znakapoznpodarou"/>
          <w:rFonts w:asciiTheme="minorHAnsi" w:hAnsiTheme="minorHAnsi" w:cstheme="minorHAnsi"/>
        </w:rPr>
        <w:footnoteRef/>
      </w:r>
      <w:r w:rsidRPr="007F11FF">
        <w:rPr>
          <w:rFonts w:asciiTheme="minorHAnsi" w:hAnsiTheme="minorHAnsi" w:cstheme="minorHAnsi"/>
        </w:rPr>
        <w:t xml:space="preserve"> </w:t>
      </w:r>
      <w:r w:rsidR="00272009">
        <w:rPr>
          <w:rFonts w:asciiTheme="minorHAnsi" w:hAnsiTheme="minorHAnsi" w:cstheme="minorHAnsi"/>
        </w:rPr>
        <w:tab/>
      </w:r>
      <w:r w:rsidRPr="007F11FF">
        <w:rPr>
          <w:rFonts w:asciiTheme="minorHAnsi" w:hAnsiTheme="minorHAnsi" w:cstheme="minorHAnsi"/>
        </w:rPr>
        <w:t>Jednalo se o 43 starých pohledávek, 40 nových pohledávek, 40 nedobytných pohledávek, které byly soudy odepsány a 33 pohledávek předaných k vymáhání soudnímu exekutorovi.</w:t>
      </w:r>
    </w:p>
  </w:footnote>
  <w:footnote w:id="25">
    <w:p w14:paraId="60A06265" w14:textId="212DE2B6" w:rsidR="00FB3DB3" w:rsidRPr="007F11FF" w:rsidRDefault="00FB3DB3" w:rsidP="00272009">
      <w:pPr>
        <w:pStyle w:val="Textpoznpodarou"/>
        <w:ind w:left="284" w:hanging="284"/>
        <w:rPr>
          <w:rFonts w:asciiTheme="minorHAnsi" w:hAnsiTheme="minorHAnsi" w:cstheme="minorHAnsi"/>
        </w:rPr>
      </w:pPr>
      <w:r w:rsidRPr="007F11FF">
        <w:rPr>
          <w:rStyle w:val="Znakapoznpodarou"/>
          <w:rFonts w:asciiTheme="minorHAnsi" w:hAnsiTheme="minorHAnsi" w:cstheme="minorHAnsi"/>
        </w:rPr>
        <w:footnoteRef/>
      </w:r>
      <w:r w:rsidRPr="007F11FF">
        <w:rPr>
          <w:rFonts w:asciiTheme="minorHAnsi" w:hAnsiTheme="minorHAnsi" w:cstheme="minorHAnsi"/>
        </w:rPr>
        <w:t xml:space="preserve"> </w:t>
      </w:r>
      <w:r w:rsidR="00272009">
        <w:rPr>
          <w:rFonts w:asciiTheme="minorHAnsi" w:hAnsiTheme="minorHAnsi" w:cstheme="minorHAnsi"/>
        </w:rPr>
        <w:tab/>
      </w:r>
      <w:r w:rsidR="004A5B98" w:rsidRPr="007F11FF">
        <w:rPr>
          <w:rFonts w:asciiTheme="minorHAnsi" w:hAnsiTheme="minorHAnsi" w:cstheme="minorHAnsi"/>
        </w:rPr>
        <w:t>U</w:t>
      </w:r>
      <w:r w:rsidR="004A5B98" w:rsidRPr="007F11FF">
        <w:rPr>
          <w:rFonts w:asciiTheme="minorHAnsi" w:hAnsiTheme="minorHAnsi" w:cstheme="minorHAnsi"/>
          <w:lang w:eastAsia="cs-CZ"/>
        </w:rPr>
        <w:t>stanovení § 3 odst. 1 z</w:t>
      </w:r>
      <w:r w:rsidRPr="007F11FF">
        <w:rPr>
          <w:rFonts w:asciiTheme="minorHAnsi" w:hAnsiTheme="minorHAnsi" w:cstheme="minorHAnsi"/>
          <w:lang w:eastAsia="cs-CZ"/>
        </w:rPr>
        <w:t>ákon</w:t>
      </w:r>
      <w:r w:rsidR="004A5B98" w:rsidRPr="007F11FF">
        <w:rPr>
          <w:rFonts w:asciiTheme="minorHAnsi" w:hAnsiTheme="minorHAnsi" w:cstheme="minorHAnsi"/>
          <w:lang w:eastAsia="cs-CZ"/>
        </w:rPr>
        <w:t>a</w:t>
      </w:r>
      <w:r w:rsidRPr="007F11FF">
        <w:rPr>
          <w:rFonts w:asciiTheme="minorHAnsi" w:hAnsiTheme="minorHAnsi" w:cstheme="minorHAnsi"/>
          <w:lang w:eastAsia="cs-CZ"/>
        </w:rPr>
        <w:t xml:space="preserve"> č. 563/1991 Sb</w:t>
      </w:r>
      <w:r w:rsidR="00C558E8" w:rsidRPr="007F11FF">
        <w:rPr>
          <w:rFonts w:asciiTheme="minorHAnsi" w:hAnsiTheme="minorHAnsi" w:cstheme="minorHAnsi"/>
          <w:lang w:eastAsia="cs-CZ"/>
        </w:rPr>
        <w:t>.</w:t>
      </w:r>
    </w:p>
  </w:footnote>
  <w:footnote w:id="26">
    <w:p w14:paraId="13F0A8CB" w14:textId="785F28DF" w:rsidR="00CD0C29" w:rsidRPr="007F11FF" w:rsidRDefault="00CD0C29" w:rsidP="00272009">
      <w:pPr>
        <w:pStyle w:val="Textpoznpodarou"/>
        <w:ind w:left="284" w:hanging="284"/>
        <w:rPr>
          <w:rFonts w:asciiTheme="minorHAnsi" w:hAnsiTheme="minorHAnsi" w:cstheme="minorHAnsi"/>
        </w:rPr>
      </w:pPr>
      <w:r w:rsidRPr="007F11FF">
        <w:rPr>
          <w:rStyle w:val="Znakapoznpodarou"/>
          <w:rFonts w:asciiTheme="minorHAnsi" w:hAnsiTheme="minorHAnsi" w:cstheme="minorHAnsi"/>
        </w:rPr>
        <w:footnoteRef/>
      </w:r>
      <w:r w:rsidRPr="007F11FF">
        <w:rPr>
          <w:rFonts w:asciiTheme="minorHAnsi" w:hAnsiTheme="minorHAnsi" w:cstheme="minorHAnsi"/>
        </w:rPr>
        <w:t xml:space="preserve"> </w:t>
      </w:r>
      <w:r w:rsidR="00272009">
        <w:rPr>
          <w:rFonts w:asciiTheme="minorHAnsi" w:hAnsiTheme="minorHAnsi" w:cstheme="minorHAnsi"/>
        </w:rPr>
        <w:tab/>
      </w:r>
      <w:r w:rsidRPr="007F11FF">
        <w:rPr>
          <w:rFonts w:asciiTheme="minorHAnsi" w:hAnsiTheme="minorHAnsi" w:cstheme="minorHAnsi"/>
        </w:rPr>
        <w:t xml:space="preserve">Ustanovení § 181 </w:t>
      </w:r>
      <w:r w:rsidR="00962B6D">
        <w:rPr>
          <w:rFonts w:asciiTheme="minorHAnsi" w:hAnsiTheme="minorHAnsi" w:cstheme="minorHAnsi"/>
        </w:rPr>
        <w:t xml:space="preserve">odst. 2 písm. i) </w:t>
      </w:r>
      <w:r w:rsidR="0099325E" w:rsidRPr="007F11FF">
        <w:rPr>
          <w:rFonts w:asciiTheme="minorHAnsi" w:hAnsiTheme="minorHAnsi" w:cstheme="minorHAnsi"/>
        </w:rPr>
        <w:t>zákona č. 280/2009 Sb.</w:t>
      </w:r>
    </w:p>
  </w:footnote>
  <w:footnote w:id="27">
    <w:p w14:paraId="3DBD821F" w14:textId="35BA41A5" w:rsidR="004A5B98" w:rsidRPr="007F11FF" w:rsidRDefault="004A5B98" w:rsidP="005D78D2">
      <w:pPr>
        <w:pStyle w:val="Textpoznpodarou"/>
        <w:ind w:left="284" w:hanging="284"/>
        <w:rPr>
          <w:rFonts w:asciiTheme="minorHAnsi" w:hAnsiTheme="minorHAnsi" w:cstheme="minorHAnsi"/>
        </w:rPr>
      </w:pPr>
      <w:r w:rsidRPr="007F11FF">
        <w:rPr>
          <w:rStyle w:val="Znakapoznpodarou"/>
          <w:rFonts w:asciiTheme="minorHAnsi" w:hAnsiTheme="minorHAnsi" w:cstheme="minorHAnsi"/>
        </w:rPr>
        <w:footnoteRef/>
      </w:r>
      <w:r w:rsidRPr="007F11FF">
        <w:rPr>
          <w:rFonts w:asciiTheme="minorHAnsi" w:hAnsiTheme="minorHAnsi" w:cstheme="minorHAnsi"/>
        </w:rPr>
        <w:t xml:space="preserve"> </w:t>
      </w:r>
      <w:r w:rsidR="005D78D2">
        <w:rPr>
          <w:rFonts w:asciiTheme="minorHAnsi" w:hAnsiTheme="minorHAnsi" w:cstheme="minorHAnsi"/>
        </w:rPr>
        <w:tab/>
      </w:r>
      <w:r w:rsidRPr="007F11FF">
        <w:rPr>
          <w:rFonts w:asciiTheme="minorHAnsi" w:hAnsiTheme="minorHAnsi" w:cstheme="minorHAnsi"/>
          <w:lang w:eastAsia="cs-CZ"/>
        </w:rPr>
        <w:t xml:space="preserve">Ustanovení § 157 odst. 5 </w:t>
      </w:r>
      <w:r w:rsidR="00962B6D">
        <w:rPr>
          <w:rFonts w:asciiTheme="minorHAnsi" w:hAnsiTheme="minorHAnsi" w:cstheme="minorHAnsi"/>
          <w:lang w:eastAsia="cs-CZ"/>
        </w:rPr>
        <w:t xml:space="preserve">(ve znění účinném do 31. 12. 2020) a ustanovení § 157 odst. 1 (ve znění účinném od 1. 1. 2021) </w:t>
      </w:r>
      <w:r w:rsidRPr="007F11FF">
        <w:rPr>
          <w:rFonts w:asciiTheme="minorHAnsi" w:hAnsiTheme="minorHAnsi" w:cstheme="minorHAnsi"/>
          <w:lang w:eastAsia="cs-CZ"/>
        </w:rPr>
        <w:t>zákona č. 280/2009 Sb.</w:t>
      </w:r>
    </w:p>
  </w:footnote>
  <w:footnote w:id="28">
    <w:p w14:paraId="4AAC84CE" w14:textId="45752012" w:rsidR="00EC22B6" w:rsidRPr="007F11FF" w:rsidRDefault="00EC22B6" w:rsidP="005D78D2">
      <w:pPr>
        <w:pStyle w:val="Textpoznpodarou"/>
        <w:ind w:left="284" w:hanging="284"/>
        <w:rPr>
          <w:rFonts w:asciiTheme="minorHAnsi" w:hAnsiTheme="minorHAnsi" w:cstheme="minorHAnsi"/>
        </w:rPr>
      </w:pPr>
      <w:r w:rsidRPr="007F11FF">
        <w:rPr>
          <w:rStyle w:val="Znakapoznpodarou"/>
          <w:rFonts w:asciiTheme="minorHAnsi" w:hAnsiTheme="minorHAnsi" w:cstheme="minorHAnsi"/>
        </w:rPr>
        <w:footnoteRef/>
      </w:r>
      <w:r w:rsidRPr="007F11FF">
        <w:rPr>
          <w:rFonts w:asciiTheme="minorHAnsi" w:hAnsiTheme="minorHAnsi" w:cstheme="minorHAnsi"/>
        </w:rPr>
        <w:t xml:space="preserve"> </w:t>
      </w:r>
      <w:r w:rsidR="005D78D2">
        <w:rPr>
          <w:rFonts w:asciiTheme="minorHAnsi" w:hAnsiTheme="minorHAnsi" w:cstheme="minorHAnsi"/>
        </w:rPr>
        <w:tab/>
      </w:r>
      <w:r w:rsidRPr="007F11FF">
        <w:rPr>
          <w:rFonts w:asciiTheme="minorHAnsi" w:hAnsiTheme="minorHAnsi" w:cstheme="minorHAnsi"/>
          <w:lang w:eastAsia="cs-CZ"/>
        </w:rPr>
        <w:t>Ustanovení § 156 odst. 5 zákona č. 280/2009 Sb.</w:t>
      </w:r>
    </w:p>
  </w:footnote>
  <w:footnote w:id="29">
    <w:p w14:paraId="661037E5" w14:textId="395C372B" w:rsidR="007C67F1" w:rsidRPr="007F11FF" w:rsidRDefault="007C67F1" w:rsidP="005D78D2">
      <w:pPr>
        <w:pStyle w:val="Textpoznpodarou"/>
        <w:ind w:left="284" w:hanging="284"/>
        <w:rPr>
          <w:rFonts w:asciiTheme="minorHAnsi" w:hAnsiTheme="minorHAnsi" w:cstheme="minorHAnsi"/>
        </w:rPr>
      </w:pPr>
      <w:r w:rsidRPr="007F11FF">
        <w:rPr>
          <w:rStyle w:val="Znakapoznpodarou"/>
          <w:rFonts w:asciiTheme="minorHAnsi" w:hAnsiTheme="minorHAnsi" w:cstheme="minorHAnsi"/>
        </w:rPr>
        <w:footnoteRef/>
      </w:r>
      <w:r w:rsidRPr="007F11FF">
        <w:rPr>
          <w:rFonts w:asciiTheme="minorHAnsi" w:hAnsiTheme="minorHAnsi" w:cstheme="minorHAnsi"/>
        </w:rPr>
        <w:t xml:space="preserve"> </w:t>
      </w:r>
      <w:r w:rsidR="005D78D2">
        <w:rPr>
          <w:rFonts w:asciiTheme="minorHAnsi" w:hAnsiTheme="minorHAnsi" w:cstheme="minorHAnsi"/>
        </w:rPr>
        <w:tab/>
      </w:r>
      <w:r w:rsidRPr="007F11FF">
        <w:rPr>
          <w:rFonts w:asciiTheme="minorHAnsi" w:hAnsiTheme="minorHAnsi" w:cstheme="minorHAnsi"/>
          <w:lang w:eastAsia="cs-CZ"/>
        </w:rPr>
        <w:t>Ustanovení § 1 odst. 2 zákona č. 280/2009 Sb.</w:t>
      </w:r>
    </w:p>
  </w:footnote>
  <w:footnote w:id="30">
    <w:p w14:paraId="0764CD18" w14:textId="21BD444A" w:rsidR="003159A0" w:rsidRPr="00434C4A" w:rsidRDefault="003159A0" w:rsidP="005D78D2">
      <w:pPr>
        <w:pStyle w:val="Textpoznpodarou"/>
        <w:ind w:left="284" w:hanging="284"/>
        <w:rPr>
          <w:rFonts w:asciiTheme="minorHAnsi" w:hAnsiTheme="minorHAnsi" w:cstheme="minorHAnsi"/>
        </w:rPr>
      </w:pPr>
      <w:r w:rsidRPr="00434C4A">
        <w:rPr>
          <w:rStyle w:val="Znakapoznpodarou"/>
          <w:rFonts w:asciiTheme="minorHAnsi" w:hAnsiTheme="minorHAnsi" w:cstheme="minorHAnsi"/>
        </w:rPr>
        <w:footnoteRef/>
      </w:r>
      <w:r w:rsidRPr="00434C4A">
        <w:rPr>
          <w:rFonts w:asciiTheme="minorHAnsi" w:hAnsiTheme="minorHAnsi" w:cstheme="minorHAnsi"/>
        </w:rPr>
        <w:t xml:space="preserve"> </w:t>
      </w:r>
      <w:r w:rsidR="005D78D2">
        <w:rPr>
          <w:rFonts w:asciiTheme="minorHAnsi" w:hAnsiTheme="minorHAnsi" w:cstheme="minorHAnsi"/>
        </w:rPr>
        <w:tab/>
      </w:r>
      <w:r w:rsidRPr="00434C4A">
        <w:rPr>
          <w:rFonts w:asciiTheme="minorHAnsi" w:hAnsiTheme="minorHAnsi" w:cstheme="minorHAnsi"/>
        </w:rPr>
        <w:t>Součinnostní dotaz je formální žádost o spolupráci, kterou veřejný orgán adresuje jiné instituci, organizaci nebo osobě ke zjištění majetku dlužníka</w:t>
      </w:r>
      <w:r w:rsidR="00040ACE">
        <w:rPr>
          <w:rFonts w:asciiTheme="minorHAnsi" w:hAnsiTheme="minorHAnsi" w:cstheme="minorHAnsi"/>
        </w:rPr>
        <w:t>, který lze exekučně zabavit (dále také „exekvovatelný majetek“)</w:t>
      </w:r>
      <w:r w:rsidRPr="00434C4A">
        <w:rPr>
          <w:rFonts w:asciiTheme="minorHAnsi" w:hAnsiTheme="minorHAnsi" w:cstheme="minorHAnsi"/>
        </w:rPr>
        <w:t>.</w:t>
      </w:r>
    </w:p>
  </w:footnote>
  <w:footnote w:id="31">
    <w:p w14:paraId="606DD1FE" w14:textId="06B4C9CE" w:rsidR="00715834" w:rsidRPr="00E47C93" w:rsidRDefault="00715834" w:rsidP="005D78D2">
      <w:pPr>
        <w:pStyle w:val="Textpoznpodarou"/>
        <w:ind w:left="284" w:hanging="284"/>
        <w:rPr>
          <w:rFonts w:asciiTheme="minorHAnsi" w:hAnsiTheme="minorHAnsi" w:cstheme="minorHAnsi"/>
        </w:rPr>
      </w:pPr>
      <w:r w:rsidRPr="00E47C93">
        <w:rPr>
          <w:rStyle w:val="Znakapoznpodarou"/>
          <w:rFonts w:asciiTheme="minorHAnsi" w:hAnsiTheme="minorHAnsi" w:cstheme="minorHAnsi"/>
        </w:rPr>
        <w:footnoteRef/>
      </w:r>
      <w:r w:rsidRPr="00E47C93">
        <w:rPr>
          <w:rFonts w:asciiTheme="minorHAnsi" w:hAnsiTheme="minorHAnsi" w:cstheme="minorHAnsi"/>
        </w:rPr>
        <w:t xml:space="preserve"> </w:t>
      </w:r>
      <w:r w:rsidR="005D78D2">
        <w:rPr>
          <w:rFonts w:asciiTheme="minorHAnsi" w:hAnsiTheme="minorHAnsi" w:cstheme="minorHAnsi"/>
        </w:rPr>
        <w:tab/>
      </w:r>
      <w:r w:rsidRPr="00E47C93">
        <w:rPr>
          <w:rFonts w:asciiTheme="minorHAnsi" w:hAnsiTheme="minorHAnsi" w:cstheme="minorHAnsi"/>
        </w:rPr>
        <w:t>Důvodová zpráva k návrhu zákona č. 349/2023 Sb.</w:t>
      </w:r>
    </w:p>
  </w:footnote>
  <w:footnote w:id="32">
    <w:p w14:paraId="75BAEA85" w14:textId="60AE979C" w:rsidR="00A60F7B" w:rsidRPr="00A60F7B" w:rsidRDefault="00A60F7B" w:rsidP="005D78D2">
      <w:pPr>
        <w:pStyle w:val="Textpoznpodarou"/>
        <w:ind w:left="284" w:hanging="284"/>
        <w:rPr>
          <w:rFonts w:asciiTheme="minorHAnsi" w:hAnsiTheme="minorHAnsi" w:cstheme="minorHAnsi"/>
        </w:rPr>
      </w:pPr>
      <w:r w:rsidRPr="00A60F7B">
        <w:rPr>
          <w:rStyle w:val="Znakapoznpodarou"/>
          <w:rFonts w:asciiTheme="minorHAnsi" w:hAnsiTheme="minorHAnsi" w:cstheme="minorHAnsi"/>
        </w:rPr>
        <w:footnoteRef/>
      </w:r>
      <w:r w:rsidRPr="00A60F7B">
        <w:rPr>
          <w:rFonts w:asciiTheme="minorHAnsi" w:hAnsiTheme="minorHAnsi" w:cstheme="minorHAnsi"/>
        </w:rPr>
        <w:t xml:space="preserve"> </w:t>
      </w:r>
      <w:r w:rsidR="005D78D2">
        <w:rPr>
          <w:rFonts w:asciiTheme="minorHAnsi" w:hAnsiTheme="minorHAnsi" w:cstheme="minorHAnsi"/>
        </w:rPr>
        <w:tab/>
      </w:r>
      <w:r w:rsidRPr="00A60F7B">
        <w:rPr>
          <w:rFonts w:asciiTheme="minorHAnsi" w:hAnsiTheme="minorHAnsi" w:cstheme="minorHAnsi"/>
        </w:rPr>
        <w:t>Č</w:t>
      </w:r>
      <w:r w:rsidRPr="00A60F7B">
        <w:rPr>
          <w:rFonts w:asciiTheme="minorHAnsi" w:eastAsia="Calibri" w:hAnsiTheme="minorHAnsi" w:cstheme="minorHAnsi"/>
          <w:szCs w:val="24"/>
        </w:rPr>
        <w:t xml:space="preserve">l. </w:t>
      </w:r>
      <w:r w:rsidR="00D4128F">
        <w:rPr>
          <w:rFonts w:asciiTheme="minorHAnsi" w:eastAsia="Calibri" w:hAnsiTheme="minorHAnsi" w:cstheme="minorHAnsi"/>
          <w:szCs w:val="24"/>
        </w:rPr>
        <w:t>I</w:t>
      </w:r>
      <w:r w:rsidR="008F6908">
        <w:rPr>
          <w:rFonts w:asciiTheme="minorHAnsi" w:eastAsia="Calibri" w:hAnsiTheme="minorHAnsi" w:cstheme="minorHAnsi"/>
          <w:szCs w:val="24"/>
        </w:rPr>
        <w:t>I</w:t>
      </w:r>
      <w:r w:rsidRPr="00A60F7B">
        <w:rPr>
          <w:rFonts w:asciiTheme="minorHAnsi" w:eastAsia="Calibri" w:hAnsiTheme="minorHAnsi" w:cstheme="minorHAnsi"/>
          <w:szCs w:val="24"/>
        </w:rPr>
        <w:t>. odst. 3 zákona č. 349/2023 Sb.</w:t>
      </w:r>
    </w:p>
  </w:footnote>
  <w:footnote w:id="33">
    <w:p w14:paraId="583FEC81" w14:textId="0BB05281" w:rsidR="000257A3" w:rsidRPr="00A60F7B" w:rsidRDefault="000257A3" w:rsidP="005D78D2">
      <w:pPr>
        <w:pStyle w:val="Textpoznpodarou"/>
        <w:ind w:left="284" w:hanging="284"/>
        <w:rPr>
          <w:rFonts w:asciiTheme="minorHAnsi" w:hAnsiTheme="minorHAnsi" w:cstheme="minorHAnsi"/>
        </w:rPr>
      </w:pPr>
      <w:r w:rsidRPr="00A60F7B">
        <w:rPr>
          <w:rStyle w:val="Znakapoznpodarou"/>
          <w:rFonts w:asciiTheme="minorHAnsi" w:hAnsiTheme="minorHAnsi" w:cstheme="minorHAnsi"/>
        </w:rPr>
        <w:footnoteRef/>
      </w:r>
      <w:r w:rsidRPr="00A60F7B">
        <w:rPr>
          <w:rFonts w:asciiTheme="minorHAnsi" w:hAnsiTheme="minorHAnsi" w:cstheme="minorHAnsi"/>
        </w:rPr>
        <w:t xml:space="preserve"> </w:t>
      </w:r>
      <w:r w:rsidR="005D78D2">
        <w:rPr>
          <w:rFonts w:asciiTheme="minorHAnsi" w:hAnsiTheme="minorHAnsi" w:cstheme="minorHAnsi"/>
        </w:rPr>
        <w:tab/>
      </w:r>
      <w:r w:rsidR="00A60F7B" w:rsidRPr="00A60F7B">
        <w:rPr>
          <w:rFonts w:asciiTheme="minorHAnsi" w:hAnsiTheme="minorHAnsi" w:cstheme="minorHAnsi"/>
        </w:rPr>
        <w:t>V</w:t>
      </w:r>
      <w:r w:rsidR="00A60F7B" w:rsidRPr="00A60F7B">
        <w:rPr>
          <w:rFonts w:asciiTheme="minorHAnsi" w:eastAsia="Calibri" w:hAnsiTheme="minorHAnsi" w:cstheme="minorHAnsi"/>
        </w:rPr>
        <w:t xml:space="preserve">e smyslu ustanovení § 343a odst. 1 </w:t>
      </w:r>
      <w:r w:rsidR="00A60F7B" w:rsidRPr="00A60F7B">
        <w:rPr>
          <w:rFonts w:asciiTheme="minorHAnsi" w:hAnsiTheme="minorHAnsi" w:cstheme="minorHAnsi"/>
        </w:rPr>
        <w:t>z</w:t>
      </w:r>
      <w:r w:rsidRPr="00A60F7B">
        <w:rPr>
          <w:rFonts w:asciiTheme="minorHAnsi" w:hAnsiTheme="minorHAnsi" w:cstheme="minorHAnsi"/>
        </w:rPr>
        <w:t>ákon</w:t>
      </w:r>
      <w:r w:rsidR="00A60F7B" w:rsidRPr="00A60F7B">
        <w:rPr>
          <w:rFonts w:asciiTheme="minorHAnsi" w:hAnsiTheme="minorHAnsi" w:cstheme="minorHAnsi"/>
        </w:rPr>
        <w:t>a</w:t>
      </w:r>
      <w:r w:rsidRPr="00A60F7B">
        <w:rPr>
          <w:rFonts w:asciiTheme="minorHAnsi" w:hAnsiTheme="minorHAnsi" w:cstheme="minorHAnsi"/>
        </w:rPr>
        <w:t xml:space="preserve"> č. 141/1961 Sb.</w:t>
      </w:r>
    </w:p>
  </w:footnote>
  <w:footnote w:id="34">
    <w:p w14:paraId="2760E71C" w14:textId="0659E06E" w:rsidR="000257A3" w:rsidRPr="00084C65" w:rsidRDefault="000257A3" w:rsidP="005D78D2">
      <w:pPr>
        <w:pStyle w:val="Textpoznpodarou"/>
        <w:ind w:left="284" w:hanging="284"/>
        <w:rPr>
          <w:rFonts w:asciiTheme="minorHAnsi" w:hAnsiTheme="minorHAnsi" w:cstheme="minorHAnsi"/>
        </w:rPr>
      </w:pPr>
      <w:r w:rsidRPr="00084C65">
        <w:rPr>
          <w:rStyle w:val="Znakapoznpodarou"/>
          <w:rFonts w:asciiTheme="minorHAnsi" w:hAnsiTheme="minorHAnsi" w:cstheme="minorHAnsi"/>
        </w:rPr>
        <w:footnoteRef/>
      </w:r>
      <w:r w:rsidRPr="00084C65">
        <w:rPr>
          <w:rFonts w:asciiTheme="minorHAnsi" w:hAnsiTheme="minorHAnsi" w:cstheme="minorHAnsi"/>
        </w:rPr>
        <w:t xml:space="preserve"> </w:t>
      </w:r>
      <w:r w:rsidR="005D78D2">
        <w:rPr>
          <w:rFonts w:asciiTheme="minorHAnsi" w:hAnsiTheme="minorHAnsi" w:cstheme="minorHAnsi"/>
        </w:rPr>
        <w:tab/>
      </w:r>
      <w:r w:rsidRPr="00084C65">
        <w:rPr>
          <w:rFonts w:asciiTheme="minorHAnsi" w:hAnsiTheme="minorHAnsi" w:cstheme="minorHAnsi"/>
        </w:rPr>
        <w:t xml:space="preserve">Dle ustanovení § 5 odst. </w:t>
      </w:r>
      <w:r w:rsidR="00203E02">
        <w:rPr>
          <w:rFonts w:asciiTheme="minorHAnsi" w:hAnsiTheme="minorHAnsi" w:cstheme="minorHAnsi"/>
        </w:rPr>
        <w:t>3</w:t>
      </w:r>
      <w:r w:rsidR="00203E02" w:rsidRPr="00084C65">
        <w:rPr>
          <w:rFonts w:asciiTheme="minorHAnsi" w:hAnsiTheme="minorHAnsi" w:cstheme="minorHAnsi"/>
        </w:rPr>
        <w:t xml:space="preserve"> </w:t>
      </w:r>
      <w:r w:rsidRPr="00084C65">
        <w:rPr>
          <w:rFonts w:asciiTheme="minorHAnsi" w:hAnsiTheme="minorHAnsi" w:cstheme="minorHAnsi"/>
        </w:rPr>
        <w:t>zákona č. 280/2009 Sb.</w:t>
      </w:r>
    </w:p>
  </w:footnote>
  <w:footnote w:id="35">
    <w:p w14:paraId="4B8ED345" w14:textId="41038CF7" w:rsidR="000257A3" w:rsidRPr="00084C65" w:rsidRDefault="000257A3" w:rsidP="005D78D2">
      <w:pPr>
        <w:pStyle w:val="Textpoznpodarou"/>
        <w:ind w:left="284" w:hanging="284"/>
        <w:rPr>
          <w:rFonts w:asciiTheme="minorHAnsi" w:hAnsiTheme="minorHAnsi" w:cstheme="minorHAnsi"/>
        </w:rPr>
      </w:pPr>
      <w:r w:rsidRPr="00084C65">
        <w:rPr>
          <w:rStyle w:val="Znakapoznpodarou"/>
          <w:rFonts w:asciiTheme="minorHAnsi" w:hAnsiTheme="minorHAnsi" w:cstheme="minorHAnsi"/>
        </w:rPr>
        <w:footnoteRef/>
      </w:r>
      <w:r w:rsidRPr="00084C65">
        <w:rPr>
          <w:rFonts w:asciiTheme="minorHAnsi" w:hAnsiTheme="minorHAnsi" w:cstheme="minorHAnsi"/>
        </w:rPr>
        <w:t xml:space="preserve"> </w:t>
      </w:r>
      <w:r w:rsidR="005D78D2">
        <w:rPr>
          <w:rFonts w:asciiTheme="minorHAnsi" w:hAnsiTheme="minorHAnsi" w:cstheme="minorHAnsi"/>
        </w:rPr>
        <w:tab/>
      </w:r>
      <w:r w:rsidRPr="00084C65">
        <w:rPr>
          <w:rFonts w:asciiTheme="minorHAnsi" w:hAnsiTheme="minorHAnsi" w:cstheme="minorHAnsi"/>
        </w:rPr>
        <w:t>Dle ustanovení § 7 odst. 1 zákona č. 280/2009 Sb.</w:t>
      </w:r>
    </w:p>
  </w:footnote>
  <w:footnote w:id="36">
    <w:p w14:paraId="414BDD73" w14:textId="4043B1A1" w:rsidR="000257A3" w:rsidRPr="00084C65" w:rsidRDefault="000257A3" w:rsidP="005D78D2">
      <w:pPr>
        <w:pStyle w:val="Textpoznpodarou"/>
        <w:ind w:left="284" w:hanging="284"/>
        <w:rPr>
          <w:rFonts w:asciiTheme="minorHAnsi" w:hAnsiTheme="minorHAnsi" w:cstheme="minorHAnsi"/>
        </w:rPr>
      </w:pPr>
      <w:r w:rsidRPr="00084C65">
        <w:rPr>
          <w:rStyle w:val="Znakapoznpodarou"/>
          <w:rFonts w:asciiTheme="minorHAnsi" w:hAnsiTheme="minorHAnsi" w:cstheme="minorHAnsi"/>
        </w:rPr>
        <w:footnoteRef/>
      </w:r>
      <w:r w:rsidRPr="00084C65">
        <w:rPr>
          <w:rFonts w:asciiTheme="minorHAnsi" w:hAnsiTheme="minorHAnsi" w:cstheme="minorHAnsi"/>
        </w:rPr>
        <w:t xml:space="preserve"> </w:t>
      </w:r>
      <w:r w:rsidR="005D78D2">
        <w:rPr>
          <w:rFonts w:asciiTheme="minorHAnsi" w:hAnsiTheme="minorHAnsi" w:cstheme="minorHAnsi"/>
        </w:rPr>
        <w:tab/>
      </w:r>
      <w:r w:rsidRPr="00084C65">
        <w:rPr>
          <w:rFonts w:asciiTheme="minorHAnsi" w:hAnsiTheme="minorHAnsi" w:cstheme="minorHAnsi"/>
        </w:rPr>
        <w:t>Dle ustanovení § 7 odst. 2 zákona č. 280/2009 Sb.</w:t>
      </w:r>
    </w:p>
  </w:footnote>
  <w:footnote w:id="37">
    <w:p w14:paraId="0E2BA0DA" w14:textId="231DE1E4" w:rsidR="0056444A" w:rsidRPr="00F2586A" w:rsidRDefault="0056444A" w:rsidP="005D78D2">
      <w:pPr>
        <w:pStyle w:val="Textpoznpodarou"/>
        <w:ind w:left="284" w:hanging="284"/>
        <w:rPr>
          <w:rFonts w:asciiTheme="minorHAnsi" w:hAnsiTheme="minorHAnsi" w:cstheme="minorHAnsi"/>
        </w:rPr>
      </w:pPr>
      <w:r w:rsidRPr="00F2586A">
        <w:rPr>
          <w:rStyle w:val="Znakapoznpodarou"/>
          <w:rFonts w:asciiTheme="minorHAnsi" w:hAnsiTheme="minorHAnsi" w:cstheme="minorHAnsi"/>
        </w:rPr>
        <w:footnoteRef/>
      </w:r>
      <w:r>
        <w:rPr>
          <w:rFonts w:ascii="Calibri" w:hAnsi="Calibri" w:cs="Calibri"/>
        </w:rPr>
        <w:t xml:space="preserve"> </w:t>
      </w:r>
      <w:r w:rsidR="005D78D2">
        <w:rPr>
          <w:rFonts w:ascii="Calibri" w:hAnsi="Calibri" w:cs="Calibri"/>
        </w:rPr>
        <w:tab/>
      </w:r>
      <w:r>
        <w:rPr>
          <w:rFonts w:ascii="Calibri" w:hAnsi="Calibri" w:cs="Calibri"/>
        </w:rPr>
        <w:t>U</w:t>
      </w:r>
      <w:r w:rsidRPr="00AB5FEF">
        <w:rPr>
          <w:rFonts w:ascii="Calibri" w:hAnsi="Calibri" w:cs="Calibri"/>
        </w:rPr>
        <w:t>stanovení § 39 odst. 3 zákona č. 218/2000 Sb.</w:t>
      </w:r>
      <w:r w:rsidRPr="00F2586A">
        <w:rPr>
          <w:rFonts w:asciiTheme="minorHAnsi" w:hAnsiTheme="minorHAnsi" w:cstheme="minorHAnsi"/>
        </w:rPr>
        <w:t>, o </w:t>
      </w:r>
      <w:r w:rsidRPr="003F60C4">
        <w:rPr>
          <w:rFonts w:asciiTheme="minorHAnsi" w:hAnsiTheme="minorHAnsi" w:cstheme="minorHAnsi"/>
        </w:rPr>
        <w:t>rozpočtových pravidlech</w:t>
      </w:r>
      <w:r w:rsidR="00CF1D71">
        <w:rPr>
          <w:rFonts w:asciiTheme="minorHAnsi" w:hAnsiTheme="minorHAnsi" w:cstheme="minorHAnsi"/>
        </w:rPr>
        <w:t xml:space="preserve"> </w:t>
      </w:r>
      <w:r w:rsidRPr="00F2586A">
        <w:rPr>
          <w:rFonts w:asciiTheme="minorHAnsi" w:hAnsiTheme="minorHAnsi" w:cstheme="minorHAnsi"/>
        </w:rPr>
        <w:t>a o změně některých souvisejících zákonů (</w:t>
      </w:r>
      <w:r w:rsidRPr="003F60C4">
        <w:rPr>
          <w:rFonts w:asciiTheme="minorHAnsi" w:hAnsiTheme="minorHAnsi" w:cstheme="minorHAnsi"/>
        </w:rPr>
        <w:t>rozpočtová pravidla</w:t>
      </w:r>
      <w:r w:rsidRPr="00F2586A">
        <w:rPr>
          <w:rFonts w:asciiTheme="minorHAnsi" w:hAnsiTheme="minorHAnsi" w:cstheme="minorHAnsi"/>
        </w:rPr>
        <w:t>).</w:t>
      </w:r>
    </w:p>
  </w:footnote>
  <w:footnote w:id="38">
    <w:p w14:paraId="3AC67D2C" w14:textId="32141343" w:rsidR="0056444A" w:rsidRPr="00804F6C" w:rsidRDefault="0056444A" w:rsidP="005D78D2">
      <w:pPr>
        <w:pStyle w:val="Textpoznpodarou"/>
        <w:ind w:left="284" w:hanging="284"/>
        <w:rPr>
          <w:rFonts w:asciiTheme="minorHAnsi" w:hAnsiTheme="minorHAnsi" w:cstheme="minorHAnsi"/>
        </w:rPr>
      </w:pPr>
      <w:r w:rsidRPr="00804F6C">
        <w:rPr>
          <w:rStyle w:val="Znakapoznpodarou"/>
          <w:rFonts w:asciiTheme="minorHAnsi" w:hAnsiTheme="minorHAnsi" w:cstheme="minorHAnsi"/>
        </w:rPr>
        <w:footnoteRef/>
      </w:r>
      <w:r w:rsidRPr="00804F6C">
        <w:rPr>
          <w:rFonts w:asciiTheme="minorHAnsi" w:hAnsiTheme="minorHAnsi" w:cstheme="minorHAnsi"/>
        </w:rPr>
        <w:t xml:space="preserve"> </w:t>
      </w:r>
      <w:r w:rsidR="005D78D2">
        <w:rPr>
          <w:rFonts w:asciiTheme="minorHAnsi" w:hAnsiTheme="minorHAnsi" w:cstheme="minorHAnsi"/>
        </w:rPr>
        <w:tab/>
      </w:r>
      <w:r w:rsidRPr="00804F6C">
        <w:rPr>
          <w:rFonts w:asciiTheme="minorHAnsi" w:hAnsiTheme="minorHAnsi" w:cstheme="minorHAnsi"/>
        </w:rPr>
        <w:t>Ustanovení § 4 odst. 2 zákona č. 320/2001 Sb., o finanční kontrole ve veřejné správě a o změně některých zákonů (zákon o finanční kontrole).</w:t>
      </w:r>
    </w:p>
  </w:footnote>
  <w:footnote w:id="39">
    <w:p w14:paraId="6C246EBA" w14:textId="4733B54D" w:rsidR="009E4656" w:rsidRPr="00804F6C" w:rsidRDefault="009E4656" w:rsidP="005D78D2">
      <w:pPr>
        <w:pStyle w:val="Textpoznpodarou"/>
        <w:ind w:left="284" w:hanging="284"/>
        <w:rPr>
          <w:rFonts w:asciiTheme="minorHAnsi" w:hAnsiTheme="minorHAnsi" w:cstheme="minorHAnsi"/>
        </w:rPr>
      </w:pPr>
      <w:r w:rsidRPr="00804F6C">
        <w:rPr>
          <w:rStyle w:val="Znakapoznpodarou"/>
          <w:rFonts w:asciiTheme="minorHAnsi" w:hAnsiTheme="minorHAnsi" w:cstheme="minorHAnsi"/>
        </w:rPr>
        <w:footnoteRef/>
      </w:r>
      <w:r w:rsidRPr="00804F6C">
        <w:rPr>
          <w:rFonts w:asciiTheme="minorHAnsi" w:hAnsiTheme="minorHAnsi" w:cstheme="minorHAnsi"/>
        </w:rPr>
        <w:t xml:space="preserve"> </w:t>
      </w:r>
      <w:r w:rsidR="005D78D2">
        <w:rPr>
          <w:rFonts w:asciiTheme="minorHAnsi" w:hAnsiTheme="minorHAnsi" w:cstheme="minorHAnsi"/>
        </w:rPr>
        <w:tab/>
      </w:r>
      <w:r w:rsidRPr="0032254D">
        <w:rPr>
          <w:rFonts w:asciiTheme="minorHAnsi" w:hAnsiTheme="minorHAnsi" w:cstheme="minorHAnsi"/>
          <w:i/>
          <w:iCs/>
        </w:rPr>
        <w:t>Informační, rozpočtový a ekonomický systém</w:t>
      </w:r>
      <w:r w:rsidRPr="00804F6C">
        <w:rPr>
          <w:rFonts w:asciiTheme="minorHAnsi" w:hAnsiTheme="minorHAnsi" w:cstheme="minorHAnsi"/>
        </w:rPr>
        <w:t>.</w:t>
      </w:r>
    </w:p>
  </w:footnote>
  <w:footnote w:id="40">
    <w:p w14:paraId="5A697BF7" w14:textId="5FC377CB" w:rsidR="00E12ACD" w:rsidRPr="00804F6C" w:rsidRDefault="00E12ACD" w:rsidP="005D78D2">
      <w:pPr>
        <w:pStyle w:val="Textpoznpodarou"/>
        <w:ind w:left="284" w:hanging="284"/>
        <w:rPr>
          <w:rFonts w:asciiTheme="minorHAnsi" w:hAnsiTheme="minorHAnsi" w:cstheme="minorHAnsi"/>
        </w:rPr>
      </w:pPr>
      <w:r w:rsidRPr="00804F6C">
        <w:rPr>
          <w:rStyle w:val="Znakapoznpodarou"/>
          <w:rFonts w:asciiTheme="minorHAnsi" w:hAnsiTheme="minorHAnsi" w:cstheme="minorHAnsi"/>
        </w:rPr>
        <w:footnoteRef/>
      </w:r>
      <w:r w:rsidRPr="00804F6C">
        <w:rPr>
          <w:rFonts w:asciiTheme="minorHAnsi" w:hAnsiTheme="minorHAnsi" w:cstheme="minorHAnsi"/>
        </w:rPr>
        <w:t xml:space="preserve"> </w:t>
      </w:r>
      <w:r w:rsidR="005D78D2">
        <w:rPr>
          <w:rFonts w:asciiTheme="minorHAnsi" w:hAnsiTheme="minorHAnsi" w:cstheme="minorHAnsi"/>
        </w:rPr>
        <w:tab/>
      </w:r>
      <w:r w:rsidRPr="00804F6C">
        <w:rPr>
          <w:rFonts w:asciiTheme="minorHAnsi" w:hAnsiTheme="minorHAnsi" w:cstheme="minorHAnsi"/>
        </w:rPr>
        <w:t xml:space="preserve">Instrukce </w:t>
      </w:r>
      <w:r w:rsidR="00874F74">
        <w:rPr>
          <w:rFonts w:asciiTheme="minorHAnsi" w:hAnsiTheme="minorHAnsi" w:cstheme="minorHAnsi"/>
        </w:rPr>
        <w:t xml:space="preserve">Ministerstva spravedlnosti </w:t>
      </w:r>
      <w:r w:rsidRPr="00804F6C">
        <w:rPr>
          <w:rFonts w:asciiTheme="minorHAnsi" w:hAnsiTheme="minorHAnsi" w:cstheme="minorHAnsi"/>
        </w:rPr>
        <w:t xml:space="preserve">ze dne 3. </w:t>
      </w:r>
      <w:r w:rsidR="00A358AE">
        <w:rPr>
          <w:rFonts w:asciiTheme="minorHAnsi" w:hAnsiTheme="minorHAnsi" w:cstheme="minorHAnsi"/>
        </w:rPr>
        <w:t>prosince</w:t>
      </w:r>
      <w:r w:rsidRPr="00804F6C">
        <w:rPr>
          <w:rFonts w:asciiTheme="minorHAnsi" w:hAnsiTheme="minorHAnsi" w:cstheme="minorHAnsi"/>
        </w:rPr>
        <w:t xml:space="preserve"> 2001</w:t>
      </w:r>
      <w:r w:rsidR="00A358AE">
        <w:rPr>
          <w:rFonts w:asciiTheme="minorHAnsi" w:hAnsiTheme="minorHAnsi" w:cstheme="minorHAnsi"/>
        </w:rPr>
        <w:t>,</w:t>
      </w:r>
      <w:r w:rsidRPr="00804F6C">
        <w:rPr>
          <w:rFonts w:asciiTheme="minorHAnsi" w:hAnsiTheme="minorHAnsi" w:cstheme="minorHAnsi"/>
        </w:rPr>
        <w:t xml:space="preserve"> č. j. 505/2001–Org, </w:t>
      </w:r>
      <w:r w:rsidR="00A358AE">
        <w:rPr>
          <w:rFonts w:asciiTheme="minorHAnsi" w:hAnsiTheme="minorHAnsi" w:cstheme="minorHAnsi"/>
        </w:rPr>
        <w:t xml:space="preserve">kterou se vydává </w:t>
      </w:r>
      <w:r w:rsidRPr="00804F6C">
        <w:rPr>
          <w:rFonts w:asciiTheme="minorHAnsi" w:hAnsiTheme="minorHAnsi" w:cstheme="minorHAnsi"/>
        </w:rPr>
        <w:t>vnitřní a</w:t>
      </w:r>
      <w:r w:rsidR="007B4349">
        <w:rPr>
          <w:rFonts w:asciiTheme="minorHAnsi" w:hAnsiTheme="minorHAnsi" w:cstheme="minorHAnsi"/>
        </w:rPr>
        <w:t> </w:t>
      </w:r>
      <w:r w:rsidRPr="00804F6C">
        <w:rPr>
          <w:rFonts w:asciiTheme="minorHAnsi" w:hAnsiTheme="minorHAnsi" w:cstheme="minorHAnsi"/>
        </w:rPr>
        <w:t>kancelářský řád pro okresní, krajské a vrchní soudy.</w:t>
      </w:r>
    </w:p>
  </w:footnote>
  <w:footnote w:id="41">
    <w:p w14:paraId="693E5381" w14:textId="47D0C3E9" w:rsidR="00804F6C" w:rsidRPr="00804F6C" w:rsidRDefault="00804F6C" w:rsidP="005D78D2">
      <w:pPr>
        <w:pStyle w:val="Textpoznpodarou"/>
        <w:ind w:left="284" w:hanging="284"/>
        <w:rPr>
          <w:rFonts w:asciiTheme="minorHAnsi" w:hAnsiTheme="minorHAnsi" w:cstheme="minorHAnsi"/>
        </w:rPr>
      </w:pPr>
      <w:r w:rsidRPr="00804F6C">
        <w:rPr>
          <w:rStyle w:val="Znakapoznpodarou"/>
          <w:rFonts w:asciiTheme="minorHAnsi" w:hAnsiTheme="minorHAnsi" w:cstheme="minorHAnsi"/>
        </w:rPr>
        <w:footnoteRef/>
      </w:r>
      <w:r w:rsidRPr="00804F6C">
        <w:rPr>
          <w:rFonts w:asciiTheme="minorHAnsi" w:hAnsiTheme="minorHAnsi" w:cstheme="minorHAnsi"/>
        </w:rPr>
        <w:t xml:space="preserve"> </w:t>
      </w:r>
      <w:r w:rsidR="005D78D2">
        <w:rPr>
          <w:rFonts w:asciiTheme="minorHAnsi" w:hAnsiTheme="minorHAnsi" w:cstheme="minorHAnsi"/>
        </w:rPr>
        <w:tab/>
      </w:r>
      <w:r w:rsidRPr="00804F6C">
        <w:rPr>
          <w:rFonts w:asciiTheme="minorHAnsi" w:hAnsiTheme="minorHAnsi" w:cstheme="minorHAnsi"/>
        </w:rPr>
        <w:t xml:space="preserve">Aplikace </w:t>
      </w:r>
      <w:r w:rsidRPr="0032254D">
        <w:rPr>
          <w:rFonts w:asciiTheme="minorHAnsi" w:hAnsiTheme="minorHAnsi" w:cstheme="minorHAnsi"/>
          <w:i/>
          <w:iCs/>
        </w:rPr>
        <w:t>Vnitrostátní daně</w:t>
      </w:r>
      <w:r w:rsidRPr="00804F6C">
        <w:rPr>
          <w:rFonts w:asciiTheme="minorHAnsi" w:hAnsiTheme="minorHAnsi" w:cstheme="minorHAnsi"/>
        </w:rPr>
        <w:t>.</w:t>
      </w:r>
    </w:p>
  </w:footnote>
  <w:footnote w:id="42">
    <w:p w14:paraId="1229C989" w14:textId="2EF89FAE" w:rsidR="00804F6C" w:rsidRPr="00804F6C" w:rsidRDefault="00804F6C" w:rsidP="005D78D2">
      <w:pPr>
        <w:pStyle w:val="Textpoznpodarou"/>
        <w:ind w:left="284" w:hanging="284"/>
        <w:rPr>
          <w:rFonts w:asciiTheme="minorHAnsi" w:hAnsiTheme="minorHAnsi" w:cstheme="minorHAnsi"/>
        </w:rPr>
      </w:pPr>
      <w:r w:rsidRPr="00804F6C">
        <w:rPr>
          <w:rStyle w:val="Znakapoznpodarou"/>
          <w:rFonts w:asciiTheme="minorHAnsi" w:hAnsiTheme="minorHAnsi" w:cstheme="minorHAnsi"/>
        </w:rPr>
        <w:footnoteRef/>
      </w:r>
      <w:r w:rsidRPr="00804F6C">
        <w:rPr>
          <w:rFonts w:asciiTheme="minorHAnsi" w:hAnsiTheme="minorHAnsi" w:cstheme="minorHAnsi"/>
        </w:rPr>
        <w:t xml:space="preserve"> </w:t>
      </w:r>
      <w:r w:rsidR="005D78D2">
        <w:rPr>
          <w:rFonts w:asciiTheme="minorHAnsi" w:hAnsiTheme="minorHAnsi" w:cstheme="minorHAnsi"/>
        </w:rPr>
        <w:tab/>
      </w:r>
      <w:r w:rsidRPr="00804F6C">
        <w:rPr>
          <w:rFonts w:asciiTheme="minorHAnsi" w:hAnsiTheme="minorHAnsi" w:cstheme="minorHAnsi"/>
        </w:rPr>
        <w:t xml:space="preserve">Aplikace </w:t>
      </w:r>
      <w:r w:rsidRPr="0032254D">
        <w:rPr>
          <w:rFonts w:asciiTheme="minorHAnsi" w:hAnsiTheme="minorHAnsi" w:cstheme="minorHAnsi"/>
          <w:i/>
          <w:iCs/>
        </w:rPr>
        <w:t>Modul exekucí a dražeb</w:t>
      </w:r>
      <w:r w:rsidRPr="00804F6C">
        <w:rPr>
          <w:rFonts w:asciiTheme="minorHAnsi" w:hAnsiTheme="minorHAnsi" w:cstheme="minorHAnsi"/>
        </w:rPr>
        <w:t>.</w:t>
      </w:r>
    </w:p>
  </w:footnote>
  <w:footnote w:id="43">
    <w:p w14:paraId="22D1C0EE" w14:textId="77AABDD0" w:rsidR="00B74CAF" w:rsidRPr="00D42DCD" w:rsidRDefault="00B74CAF" w:rsidP="005D78D2">
      <w:pPr>
        <w:pStyle w:val="Textpoznpodarou"/>
        <w:ind w:left="284" w:hanging="284"/>
        <w:rPr>
          <w:rFonts w:asciiTheme="minorHAnsi" w:hAnsiTheme="minorHAnsi" w:cstheme="minorHAnsi"/>
        </w:rPr>
      </w:pPr>
      <w:r w:rsidRPr="00D42DCD">
        <w:rPr>
          <w:rStyle w:val="Znakapoznpodarou"/>
          <w:rFonts w:asciiTheme="minorHAnsi" w:hAnsiTheme="minorHAnsi" w:cstheme="minorHAnsi"/>
        </w:rPr>
        <w:footnoteRef/>
      </w:r>
      <w:r w:rsidRPr="00D42DCD">
        <w:rPr>
          <w:rFonts w:asciiTheme="minorHAnsi" w:hAnsiTheme="minorHAnsi" w:cstheme="minorHAnsi"/>
        </w:rPr>
        <w:t xml:space="preserve"> </w:t>
      </w:r>
      <w:r w:rsidR="005D78D2">
        <w:rPr>
          <w:rFonts w:asciiTheme="minorHAnsi" w:hAnsiTheme="minorHAnsi" w:cstheme="minorHAnsi"/>
        </w:rPr>
        <w:tab/>
      </w:r>
      <w:r w:rsidRPr="00D42DCD">
        <w:rPr>
          <w:rFonts w:asciiTheme="minorHAnsi" w:hAnsiTheme="minorHAnsi" w:cstheme="minorHAnsi"/>
        </w:rPr>
        <w:t>Nedocházelo k realizaci automatizovaných součinnostních dotazů na příslušné subjekty za účelem zjišťování majetkové situace dlužníků, nebyl propojen s dalšími evidencemi, neumožňoval automatické hlídání stanovených lhůt.</w:t>
      </w:r>
    </w:p>
  </w:footnote>
  <w:footnote w:id="44">
    <w:p w14:paraId="63E3202F" w14:textId="6C40DFA1" w:rsidR="00B74CAF" w:rsidRPr="0095066F" w:rsidRDefault="00B74CAF" w:rsidP="005D78D2">
      <w:pPr>
        <w:pStyle w:val="Textpoznpodarou"/>
        <w:ind w:left="284" w:hanging="284"/>
        <w:rPr>
          <w:rFonts w:asciiTheme="minorHAnsi" w:hAnsiTheme="minorHAnsi" w:cstheme="minorHAnsi"/>
        </w:rPr>
      </w:pPr>
      <w:r w:rsidRPr="0095066F">
        <w:rPr>
          <w:rStyle w:val="Znakapoznpodarou"/>
          <w:rFonts w:asciiTheme="minorHAnsi" w:hAnsiTheme="minorHAnsi" w:cstheme="minorHAnsi"/>
        </w:rPr>
        <w:footnoteRef/>
      </w:r>
      <w:r w:rsidRPr="0095066F">
        <w:rPr>
          <w:rFonts w:asciiTheme="minorHAnsi" w:hAnsiTheme="minorHAnsi" w:cstheme="minorHAnsi"/>
        </w:rPr>
        <w:t xml:space="preserve"> </w:t>
      </w:r>
      <w:r w:rsidR="005D78D2">
        <w:rPr>
          <w:rFonts w:asciiTheme="minorHAnsi" w:hAnsiTheme="minorHAnsi" w:cstheme="minorHAnsi"/>
        </w:rPr>
        <w:tab/>
      </w:r>
      <w:r w:rsidRPr="0095066F">
        <w:rPr>
          <w:rFonts w:asciiTheme="minorHAnsi" w:eastAsia="Calibri" w:hAnsiTheme="minorHAnsi" w:cstheme="minorHAnsi"/>
        </w:rPr>
        <w:t>Doba mezi datem splatnosti pohledávky a jejím zaevidováním u CÚ.</w:t>
      </w:r>
    </w:p>
  </w:footnote>
  <w:footnote w:id="45">
    <w:p w14:paraId="1B568DFB" w14:textId="5DC6A239" w:rsidR="00B74CAF" w:rsidRPr="0095066F" w:rsidRDefault="00B74CAF" w:rsidP="005D78D2">
      <w:pPr>
        <w:pStyle w:val="Textpoznpodarou"/>
        <w:ind w:left="284" w:hanging="284"/>
        <w:rPr>
          <w:rFonts w:asciiTheme="minorHAnsi" w:hAnsiTheme="minorHAnsi" w:cstheme="minorHAnsi"/>
        </w:rPr>
      </w:pPr>
      <w:r w:rsidRPr="0095066F">
        <w:rPr>
          <w:rStyle w:val="Znakapoznpodarou"/>
          <w:rFonts w:asciiTheme="minorHAnsi" w:hAnsiTheme="minorHAnsi" w:cstheme="minorHAnsi"/>
        </w:rPr>
        <w:footnoteRef/>
      </w:r>
      <w:r w:rsidRPr="0095066F">
        <w:rPr>
          <w:rFonts w:asciiTheme="minorHAnsi" w:hAnsiTheme="minorHAnsi" w:cstheme="minorHAnsi"/>
        </w:rPr>
        <w:t xml:space="preserve"> </w:t>
      </w:r>
      <w:r w:rsidR="005D78D2">
        <w:rPr>
          <w:rFonts w:asciiTheme="minorHAnsi" w:hAnsiTheme="minorHAnsi" w:cstheme="minorHAnsi"/>
        </w:rPr>
        <w:tab/>
      </w:r>
      <w:r w:rsidRPr="0095066F">
        <w:rPr>
          <w:rFonts w:asciiTheme="minorHAnsi" w:hAnsiTheme="minorHAnsi" w:cstheme="minorHAnsi"/>
        </w:rPr>
        <w:t>Soudy předávaly celním úřadům veškeré dokumenty, které s vymáháním souvisely vč</w:t>
      </w:r>
      <w:r w:rsidR="0062510C">
        <w:rPr>
          <w:rFonts w:asciiTheme="minorHAnsi" w:hAnsiTheme="minorHAnsi" w:cstheme="minorHAnsi"/>
        </w:rPr>
        <w:t>etně</w:t>
      </w:r>
      <w:r w:rsidRPr="0095066F">
        <w:rPr>
          <w:rFonts w:asciiTheme="minorHAnsi" w:hAnsiTheme="minorHAnsi" w:cstheme="minorHAnsi"/>
        </w:rPr>
        <w:t xml:space="preserve"> vydaných exekučních příkazů a exekučních nákladů.</w:t>
      </w:r>
    </w:p>
  </w:footnote>
  <w:footnote w:id="46">
    <w:p w14:paraId="6291A708" w14:textId="39EE48FC" w:rsidR="00B74CAF" w:rsidRPr="008F0521" w:rsidRDefault="00B74CAF" w:rsidP="005D78D2">
      <w:pPr>
        <w:pStyle w:val="Textpoznpodarou"/>
        <w:ind w:left="284" w:hanging="284"/>
        <w:rPr>
          <w:rFonts w:asciiTheme="minorHAnsi" w:hAnsiTheme="minorHAnsi" w:cstheme="minorHAnsi"/>
        </w:rPr>
      </w:pPr>
      <w:r w:rsidRPr="008F0521">
        <w:rPr>
          <w:rStyle w:val="Znakapoznpodarou"/>
          <w:rFonts w:asciiTheme="minorHAnsi" w:hAnsiTheme="minorHAnsi" w:cstheme="minorHAnsi"/>
        </w:rPr>
        <w:footnoteRef/>
      </w:r>
      <w:r w:rsidRPr="008F0521">
        <w:rPr>
          <w:rFonts w:asciiTheme="minorHAnsi" w:hAnsiTheme="minorHAnsi" w:cstheme="minorHAnsi"/>
        </w:rPr>
        <w:t xml:space="preserve"> </w:t>
      </w:r>
      <w:r w:rsidR="005D78D2">
        <w:rPr>
          <w:rFonts w:asciiTheme="minorHAnsi" w:hAnsiTheme="minorHAnsi" w:cstheme="minorHAnsi"/>
        </w:rPr>
        <w:tab/>
      </w:r>
      <w:r w:rsidRPr="008F0521">
        <w:rPr>
          <w:rFonts w:asciiTheme="minorHAnsi" w:hAnsiTheme="minorHAnsi" w:cstheme="minorHAnsi"/>
        </w:rPr>
        <w:t>V souladu s</w:t>
      </w:r>
      <w:r>
        <w:rPr>
          <w:rFonts w:asciiTheme="minorHAnsi" w:hAnsiTheme="minorHAnsi" w:cstheme="minorHAnsi"/>
        </w:rPr>
        <w:t xml:space="preserve"> ustanovením</w:t>
      </w:r>
      <w:r w:rsidRPr="008F0521">
        <w:rPr>
          <w:rFonts w:asciiTheme="minorHAnsi" w:hAnsiTheme="minorHAnsi" w:cstheme="minorHAnsi"/>
        </w:rPr>
        <w:t xml:space="preserve"> § 158 zákona č. 280/2009 Sb.</w:t>
      </w:r>
    </w:p>
  </w:footnote>
  <w:footnote w:id="47">
    <w:p w14:paraId="1083EEEA" w14:textId="39119718" w:rsidR="00636C21" w:rsidRPr="003D4FB7" w:rsidRDefault="00636C21" w:rsidP="005D78D2">
      <w:pPr>
        <w:pStyle w:val="Textpoznpodarou"/>
        <w:ind w:left="284" w:hanging="284"/>
        <w:rPr>
          <w:rFonts w:asciiTheme="minorHAnsi" w:hAnsiTheme="minorHAnsi" w:cstheme="minorHAnsi"/>
        </w:rPr>
      </w:pPr>
      <w:r w:rsidRPr="003D4FB7">
        <w:rPr>
          <w:rStyle w:val="Znakapoznpodarou"/>
          <w:rFonts w:asciiTheme="minorHAnsi" w:hAnsiTheme="minorHAnsi" w:cstheme="minorHAnsi"/>
        </w:rPr>
        <w:footnoteRef/>
      </w:r>
      <w:r w:rsidRPr="003D4FB7">
        <w:rPr>
          <w:rFonts w:asciiTheme="minorHAnsi" w:hAnsiTheme="minorHAnsi" w:cstheme="minorHAnsi"/>
        </w:rPr>
        <w:t xml:space="preserve"> </w:t>
      </w:r>
      <w:r w:rsidR="005D78D2">
        <w:rPr>
          <w:rFonts w:asciiTheme="minorHAnsi" w:hAnsiTheme="minorHAnsi" w:cstheme="minorHAnsi"/>
        </w:rPr>
        <w:tab/>
      </w:r>
      <w:r w:rsidRPr="003D4FB7">
        <w:rPr>
          <w:rFonts w:asciiTheme="minorHAnsi" w:hAnsiTheme="minorHAnsi" w:cstheme="minorHAnsi"/>
        </w:rPr>
        <w:t>Závěrečná zpráva z hodnocení dopadů regulace (RIA) k návrhu zákona č. 349/2023 Sb.</w:t>
      </w:r>
    </w:p>
  </w:footnote>
  <w:footnote w:id="48">
    <w:p w14:paraId="221716BD" w14:textId="6C2CA847" w:rsidR="00032AFD" w:rsidRPr="00036D18" w:rsidRDefault="00032AFD" w:rsidP="005D78D2">
      <w:pPr>
        <w:pStyle w:val="Textpoznpodarou"/>
        <w:ind w:left="284" w:hanging="284"/>
        <w:rPr>
          <w:rFonts w:asciiTheme="minorHAnsi" w:hAnsiTheme="minorHAnsi" w:cstheme="minorHAnsi"/>
        </w:rPr>
      </w:pPr>
      <w:r w:rsidRPr="00036D18">
        <w:rPr>
          <w:rStyle w:val="Znakapoznpodarou"/>
          <w:rFonts w:asciiTheme="minorHAnsi" w:hAnsiTheme="minorHAnsi" w:cstheme="minorHAnsi"/>
        </w:rPr>
        <w:footnoteRef/>
      </w:r>
      <w:r w:rsidRPr="00036D18">
        <w:rPr>
          <w:rFonts w:asciiTheme="minorHAnsi" w:hAnsiTheme="minorHAnsi" w:cstheme="minorHAnsi"/>
        </w:rPr>
        <w:t xml:space="preserve"> </w:t>
      </w:r>
      <w:r w:rsidR="005D78D2">
        <w:rPr>
          <w:rFonts w:asciiTheme="minorHAnsi" w:hAnsiTheme="minorHAnsi" w:cstheme="minorHAnsi"/>
        </w:rPr>
        <w:tab/>
      </w:r>
      <w:r w:rsidR="00435BB6" w:rsidRPr="00036D18">
        <w:rPr>
          <w:rFonts w:asciiTheme="minorHAnsi" w:hAnsiTheme="minorHAnsi" w:cstheme="minorHAnsi"/>
        </w:rPr>
        <w:t>NKÚ provedl výpočet počtu zaměstnanců provádějících vymáhání justičních pohledávek na základě přepočtu skutečně obsazených systemizovaných míst zaměstnanců zabývajících se dělenou správou pomocí podílu předpisů justičních pohledávek na předpisech dělené správy jako celku</w:t>
      </w:r>
      <w:r w:rsidR="00235909" w:rsidRPr="00036D18">
        <w:rPr>
          <w:rFonts w:asciiTheme="minorHAnsi" w:hAnsiTheme="minorHAnsi" w:cstheme="minorHAnsi"/>
        </w:rPr>
        <w:t xml:space="preserve">. Počet zaměstnanců provádějících vymáhání justičních pohledávek NKÚ následně vynásobil průměrnými </w:t>
      </w:r>
      <w:r w:rsidR="003C6779" w:rsidRPr="00036D18">
        <w:rPr>
          <w:rFonts w:asciiTheme="minorHAnsi" w:hAnsiTheme="minorHAnsi" w:cstheme="minorHAnsi"/>
        </w:rPr>
        <w:t xml:space="preserve">ročními </w:t>
      </w:r>
      <w:r w:rsidR="00235909" w:rsidRPr="00036D18">
        <w:rPr>
          <w:rFonts w:asciiTheme="minorHAnsi" w:hAnsiTheme="minorHAnsi" w:cstheme="minorHAnsi"/>
        </w:rPr>
        <w:t>výdaji na platy těchto zaměstnanců.</w:t>
      </w:r>
    </w:p>
  </w:footnote>
  <w:footnote w:id="49">
    <w:p w14:paraId="6D4FF52E" w14:textId="084091C6" w:rsidR="00C70726" w:rsidRPr="00036D18" w:rsidRDefault="00C70726" w:rsidP="005D78D2">
      <w:pPr>
        <w:pStyle w:val="Textpoznpodarou"/>
        <w:ind w:left="284" w:hanging="284"/>
        <w:rPr>
          <w:rFonts w:asciiTheme="minorHAnsi" w:hAnsiTheme="minorHAnsi" w:cstheme="minorHAnsi"/>
        </w:rPr>
      </w:pPr>
      <w:r w:rsidRPr="00036D18">
        <w:rPr>
          <w:rStyle w:val="Znakapoznpodarou"/>
          <w:rFonts w:asciiTheme="minorHAnsi" w:hAnsiTheme="minorHAnsi" w:cstheme="minorHAnsi"/>
        </w:rPr>
        <w:footnoteRef/>
      </w:r>
      <w:r w:rsidRPr="00036D18">
        <w:rPr>
          <w:rFonts w:asciiTheme="minorHAnsi" w:hAnsiTheme="minorHAnsi" w:cstheme="minorHAnsi"/>
        </w:rPr>
        <w:t xml:space="preserve"> </w:t>
      </w:r>
      <w:r w:rsidR="005D78D2">
        <w:rPr>
          <w:rFonts w:asciiTheme="minorHAnsi" w:hAnsiTheme="minorHAnsi" w:cstheme="minorHAnsi"/>
        </w:rPr>
        <w:tab/>
      </w:r>
      <w:r w:rsidRPr="00036D18">
        <w:rPr>
          <w:rFonts w:asciiTheme="minorHAnsi" w:eastAsia="Calibri" w:hAnsiTheme="minorHAnsi" w:cstheme="minorHAnsi"/>
          <w:szCs w:val="24"/>
        </w:rPr>
        <w:t>Ustanovení § 2 odst. 1 písm. e) zákona č. 549/1991 Sb.</w:t>
      </w:r>
    </w:p>
  </w:footnote>
  <w:footnote w:id="50">
    <w:p w14:paraId="472DEFB9" w14:textId="302514A6" w:rsidR="00CB12FF" w:rsidRPr="00036D18" w:rsidRDefault="00CB12FF" w:rsidP="005D78D2">
      <w:pPr>
        <w:pStyle w:val="Textpoznpodarou"/>
        <w:ind w:left="284" w:hanging="284"/>
        <w:rPr>
          <w:rFonts w:asciiTheme="minorHAnsi" w:hAnsiTheme="minorHAnsi" w:cstheme="minorHAnsi"/>
        </w:rPr>
      </w:pPr>
      <w:r w:rsidRPr="00036D18">
        <w:rPr>
          <w:rStyle w:val="Znakapoznpodarou"/>
          <w:rFonts w:asciiTheme="minorHAnsi" w:eastAsiaTheme="majorEastAsia" w:hAnsiTheme="minorHAnsi" w:cstheme="minorHAnsi"/>
        </w:rPr>
        <w:footnoteRef/>
      </w:r>
      <w:r w:rsidRPr="00036D18">
        <w:rPr>
          <w:rFonts w:asciiTheme="minorHAnsi" w:hAnsiTheme="minorHAnsi" w:cstheme="minorHAnsi"/>
        </w:rPr>
        <w:t xml:space="preserve"> </w:t>
      </w:r>
      <w:r w:rsidR="005D78D2">
        <w:rPr>
          <w:rFonts w:asciiTheme="minorHAnsi" w:hAnsiTheme="minorHAnsi" w:cstheme="minorHAnsi"/>
        </w:rPr>
        <w:tab/>
      </w:r>
      <w:r w:rsidRPr="00036D18">
        <w:rPr>
          <w:rFonts w:asciiTheme="minorHAnsi" w:hAnsiTheme="minorHAnsi" w:cstheme="minorHAnsi"/>
        </w:rPr>
        <w:t>Ustanovení § 119 odst. 1 zákona č. 6/2002 Sb.</w:t>
      </w:r>
    </w:p>
  </w:footnote>
  <w:footnote w:id="51">
    <w:p w14:paraId="48525CE8" w14:textId="1995F53B" w:rsidR="00CB12FF" w:rsidRPr="00961861" w:rsidRDefault="00CB12FF" w:rsidP="005D78D2">
      <w:pPr>
        <w:pStyle w:val="Textpoznpodarou"/>
        <w:ind w:left="284" w:hanging="284"/>
        <w:rPr>
          <w:rFonts w:asciiTheme="minorHAnsi" w:hAnsiTheme="minorHAnsi" w:cstheme="minorHAnsi"/>
        </w:rPr>
      </w:pPr>
      <w:r w:rsidRPr="00961861">
        <w:rPr>
          <w:rStyle w:val="Znakapoznpodarou"/>
          <w:rFonts w:asciiTheme="minorHAnsi" w:eastAsiaTheme="majorEastAsia" w:hAnsiTheme="minorHAnsi" w:cstheme="minorHAnsi"/>
        </w:rPr>
        <w:footnoteRef/>
      </w:r>
      <w:r w:rsidRPr="00961861">
        <w:rPr>
          <w:rFonts w:asciiTheme="minorHAnsi" w:hAnsiTheme="minorHAnsi" w:cstheme="minorHAnsi"/>
        </w:rPr>
        <w:t xml:space="preserve"> </w:t>
      </w:r>
      <w:r w:rsidR="005D78D2">
        <w:rPr>
          <w:rFonts w:asciiTheme="minorHAnsi" w:hAnsiTheme="minorHAnsi" w:cstheme="minorHAnsi"/>
        </w:rPr>
        <w:tab/>
      </w:r>
      <w:r w:rsidRPr="00961861">
        <w:rPr>
          <w:rFonts w:asciiTheme="minorHAnsi" w:hAnsiTheme="minorHAnsi" w:cstheme="minorHAnsi"/>
        </w:rPr>
        <w:t>Ustanovení § 120 odst. 4 zákona č. 6/2002 Sb.</w:t>
      </w:r>
    </w:p>
  </w:footnote>
  <w:footnote w:id="52">
    <w:p w14:paraId="1AC2FBD0" w14:textId="28ED9281" w:rsidR="00CB12FF" w:rsidRPr="00961861" w:rsidRDefault="00CB12FF" w:rsidP="005D78D2">
      <w:pPr>
        <w:pStyle w:val="Textpoznpodarou"/>
        <w:ind w:left="284" w:hanging="284"/>
        <w:rPr>
          <w:rFonts w:asciiTheme="minorHAnsi" w:hAnsiTheme="minorHAnsi" w:cstheme="minorHAnsi"/>
        </w:rPr>
      </w:pPr>
      <w:r w:rsidRPr="00961861">
        <w:rPr>
          <w:rStyle w:val="Znakapoznpodarou"/>
          <w:rFonts w:asciiTheme="minorHAnsi" w:eastAsiaTheme="majorEastAsia" w:hAnsiTheme="minorHAnsi" w:cstheme="minorHAnsi"/>
        </w:rPr>
        <w:footnoteRef/>
      </w:r>
      <w:r w:rsidRPr="00961861">
        <w:rPr>
          <w:rFonts w:asciiTheme="minorHAnsi" w:hAnsiTheme="minorHAnsi" w:cstheme="minorHAnsi"/>
        </w:rPr>
        <w:t xml:space="preserve"> </w:t>
      </w:r>
      <w:r w:rsidR="005D78D2">
        <w:rPr>
          <w:rFonts w:asciiTheme="minorHAnsi" w:hAnsiTheme="minorHAnsi" w:cstheme="minorHAnsi"/>
        </w:rPr>
        <w:tab/>
      </w:r>
      <w:r w:rsidRPr="00961861">
        <w:rPr>
          <w:rFonts w:asciiTheme="minorHAnsi" w:hAnsiTheme="minorHAnsi" w:cstheme="minorHAnsi"/>
        </w:rPr>
        <w:t>Ustanovení § 123 odst. 1 písm. c) zákona č. 6/2002 Sb.</w:t>
      </w:r>
    </w:p>
  </w:footnote>
  <w:footnote w:id="53">
    <w:p w14:paraId="454311A3" w14:textId="4FD159BE" w:rsidR="00CB12FF" w:rsidRPr="00961861" w:rsidRDefault="00CB12FF" w:rsidP="005D78D2">
      <w:pPr>
        <w:pStyle w:val="Textpoznpodarou"/>
        <w:ind w:left="284" w:hanging="284"/>
        <w:rPr>
          <w:rFonts w:asciiTheme="minorHAnsi" w:hAnsiTheme="minorHAnsi" w:cstheme="minorHAnsi"/>
        </w:rPr>
      </w:pPr>
      <w:r w:rsidRPr="00961861">
        <w:rPr>
          <w:rStyle w:val="Znakapoznpodarou"/>
          <w:rFonts w:asciiTheme="minorHAnsi" w:eastAsiaTheme="majorEastAsia" w:hAnsiTheme="minorHAnsi" w:cstheme="minorHAnsi"/>
        </w:rPr>
        <w:footnoteRef/>
      </w:r>
      <w:r w:rsidRPr="00961861">
        <w:rPr>
          <w:rFonts w:asciiTheme="minorHAnsi" w:hAnsiTheme="minorHAnsi" w:cstheme="minorHAnsi"/>
        </w:rPr>
        <w:t xml:space="preserve"> </w:t>
      </w:r>
      <w:r w:rsidR="005D78D2">
        <w:rPr>
          <w:rFonts w:asciiTheme="minorHAnsi" w:hAnsiTheme="minorHAnsi" w:cstheme="minorHAnsi"/>
        </w:rPr>
        <w:tab/>
      </w:r>
      <w:r w:rsidRPr="00961861">
        <w:rPr>
          <w:rFonts w:asciiTheme="minorHAnsi" w:hAnsiTheme="minorHAnsi" w:cstheme="minorHAnsi"/>
        </w:rPr>
        <w:t>Ustanovení § 123 odst. 1 písm. e) zákona č. 6/2002 Sb.</w:t>
      </w:r>
    </w:p>
  </w:footnote>
  <w:footnote w:id="54">
    <w:p w14:paraId="0F181D63" w14:textId="2D6CBF3E" w:rsidR="00BE6500" w:rsidRPr="00961861" w:rsidRDefault="00BE6500" w:rsidP="005D78D2">
      <w:pPr>
        <w:pStyle w:val="Textpoznpodarou"/>
        <w:ind w:left="284" w:hanging="284"/>
        <w:rPr>
          <w:rFonts w:asciiTheme="minorHAnsi" w:hAnsiTheme="minorHAnsi" w:cstheme="minorHAnsi"/>
        </w:rPr>
      </w:pPr>
      <w:r w:rsidRPr="00961861">
        <w:rPr>
          <w:rStyle w:val="Znakapoznpodarou"/>
          <w:rFonts w:asciiTheme="minorHAnsi" w:hAnsiTheme="minorHAnsi" w:cstheme="minorHAnsi"/>
        </w:rPr>
        <w:footnoteRef/>
      </w:r>
      <w:r w:rsidRPr="00961861">
        <w:rPr>
          <w:rFonts w:asciiTheme="minorHAnsi" w:hAnsiTheme="minorHAnsi" w:cstheme="minorHAnsi"/>
        </w:rPr>
        <w:t xml:space="preserve"> </w:t>
      </w:r>
      <w:r w:rsidR="005D78D2">
        <w:rPr>
          <w:rFonts w:asciiTheme="minorHAnsi" w:hAnsiTheme="minorHAnsi" w:cstheme="minorHAnsi"/>
        </w:rPr>
        <w:tab/>
      </w:r>
      <w:r w:rsidRPr="00961861">
        <w:rPr>
          <w:rFonts w:asciiTheme="minorHAnsi" w:eastAsia="Calibri" w:hAnsiTheme="minorHAnsi" w:cstheme="minorHAnsi"/>
          <w:szCs w:val="24"/>
        </w:rPr>
        <w:t>Ustanovení § 123 odst. 1 písm. e) zákona č. 6/2002 Sb.</w:t>
      </w:r>
    </w:p>
  </w:footnote>
  <w:footnote w:id="55">
    <w:p w14:paraId="00671488" w14:textId="3FF1729C" w:rsidR="00961861" w:rsidRPr="00961861" w:rsidRDefault="00961861" w:rsidP="005D78D2">
      <w:pPr>
        <w:pStyle w:val="Textpoznpodarou"/>
        <w:ind w:left="284" w:hanging="284"/>
        <w:rPr>
          <w:rFonts w:asciiTheme="minorHAnsi" w:hAnsiTheme="minorHAnsi" w:cstheme="minorHAnsi"/>
        </w:rPr>
      </w:pPr>
      <w:r w:rsidRPr="00961861">
        <w:rPr>
          <w:rStyle w:val="Znakapoznpodarou"/>
          <w:rFonts w:asciiTheme="minorHAnsi" w:hAnsiTheme="minorHAnsi" w:cstheme="minorHAnsi"/>
        </w:rPr>
        <w:footnoteRef/>
      </w:r>
      <w:r w:rsidRPr="00961861">
        <w:rPr>
          <w:rFonts w:asciiTheme="minorHAnsi" w:hAnsiTheme="minorHAnsi" w:cstheme="minorHAnsi"/>
        </w:rPr>
        <w:t xml:space="preserve"> </w:t>
      </w:r>
      <w:r w:rsidR="005D78D2">
        <w:rPr>
          <w:rFonts w:asciiTheme="minorHAnsi" w:hAnsiTheme="minorHAnsi" w:cstheme="minorHAnsi"/>
        </w:rPr>
        <w:tab/>
      </w:r>
      <w:r w:rsidRPr="00961861">
        <w:rPr>
          <w:rFonts w:asciiTheme="minorHAnsi" w:eastAsia="Calibri" w:hAnsiTheme="minorHAnsi" w:cstheme="minorHAnsi"/>
          <w:szCs w:val="24"/>
        </w:rPr>
        <w:t>Ustanovení § 17 zákona č. 549/1991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AA7"/>
    <w:multiLevelType w:val="hybridMultilevel"/>
    <w:tmpl w:val="EB722A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606141"/>
    <w:multiLevelType w:val="hybridMultilevel"/>
    <w:tmpl w:val="717AF68C"/>
    <w:lvl w:ilvl="0" w:tplc="19E4A702">
      <w:start w:val="1"/>
      <w:numFmt w:val="bullet"/>
      <w:lvlText w:val=""/>
      <w:lvlJc w:val="left"/>
      <w:pPr>
        <w:ind w:left="720" w:hanging="360"/>
      </w:pPr>
      <w:rPr>
        <w:rFonts w:ascii="Symbol" w:hAnsi="Symbol"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447DAD"/>
    <w:multiLevelType w:val="hybridMultilevel"/>
    <w:tmpl w:val="04D4852A"/>
    <w:lvl w:ilvl="0" w:tplc="DC4CFFC6">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3F06FA"/>
    <w:multiLevelType w:val="hybridMultilevel"/>
    <w:tmpl w:val="87703F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5E3B1E"/>
    <w:multiLevelType w:val="multilevel"/>
    <w:tmpl w:val="76041D7C"/>
    <w:lvl w:ilvl="0">
      <w:start w:val="1"/>
      <w:numFmt w:val="decimal"/>
      <w:pStyle w:val="Nadpis2"/>
      <w:lvlText w:val="%1."/>
      <w:lvlJc w:val="left"/>
      <w:pPr>
        <w:ind w:left="720" w:hanging="360"/>
      </w:pPr>
      <w:rPr>
        <w:rFonts w:hint="default"/>
      </w:rPr>
    </w:lvl>
    <w:lvl w:ilvl="1">
      <w:start w:val="1"/>
      <w:numFmt w:val="decimal"/>
      <w:pStyle w:val="Nadpis3"/>
      <w:isLgl/>
      <w:lvlText w:val="%1.%2"/>
      <w:lvlJc w:val="left"/>
      <w:pPr>
        <w:ind w:left="929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A26D99"/>
    <w:multiLevelType w:val="hybridMultilevel"/>
    <w:tmpl w:val="859655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60104D"/>
    <w:multiLevelType w:val="hybridMultilevel"/>
    <w:tmpl w:val="DC740170"/>
    <w:lvl w:ilvl="0" w:tplc="BDB2C5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585499"/>
    <w:multiLevelType w:val="hybridMultilevel"/>
    <w:tmpl w:val="108041A8"/>
    <w:lvl w:ilvl="0" w:tplc="6F92C018">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28129E8"/>
    <w:multiLevelType w:val="hybridMultilevel"/>
    <w:tmpl w:val="C15A1D0A"/>
    <w:lvl w:ilvl="0" w:tplc="4C782E98">
      <w:start w:val="1"/>
      <w:numFmt w:val="bullet"/>
      <w:lvlText w:val=""/>
      <w:lvlJc w:val="left"/>
      <w:pPr>
        <w:ind w:left="720" w:hanging="360"/>
      </w:pPr>
      <w:rPr>
        <w:rFonts w:ascii="Symbol" w:hAnsi="Symbol" w:hint="default"/>
      </w:rPr>
    </w:lvl>
    <w:lvl w:ilvl="1" w:tplc="0A42F68C">
      <w:start w:val="1"/>
      <w:numFmt w:val="bullet"/>
      <w:lvlText w:val="o"/>
      <w:lvlJc w:val="left"/>
      <w:pPr>
        <w:ind w:left="1440" w:hanging="360"/>
      </w:pPr>
      <w:rPr>
        <w:rFonts w:ascii="Courier New" w:hAnsi="Courier New" w:hint="default"/>
      </w:rPr>
    </w:lvl>
    <w:lvl w:ilvl="2" w:tplc="E8D60BE6">
      <w:start w:val="1"/>
      <w:numFmt w:val="bullet"/>
      <w:lvlText w:val=""/>
      <w:lvlJc w:val="left"/>
      <w:pPr>
        <w:ind w:left="2160" w:hanging="360"/>
      </w:pPr>
      <w:rPr>
        <w:rFonts w:ascii="Wingdings" w:hAnsi="Wingdings" w:hint="default"/>
      </w:rPr>
    </w:lvl>
    <w:lvl w:ilvl="3" w:tplc="D0E2280A">
      <w:start w:val="1"/>
      <w:numFmt w:val="bullet"/>
      <w:lvlText w:val=""/>
      <w:lvlJc w:val="left"/>
      <w:pPr>
        <w:ind w:left="2880" w:hanging="360"/>
      </w:pPr>
      <w:rPr>
        <w:rFonts w:ascii="Symbol" w:hAnsi="Symbol" w:hint="default"/>
      </w:rPr>
    </w:lvl>
    <w:lvl w:ilvl="4" w:tplc="73F4F516">
      <w:start w:val="1"/>
      <w:numFmt w:val="bullet"/>
      <w:lvlText w:val="o"/>
      <w:lvlJc w:val="left"/>
      <w:pPr>
        <w:ind w:left="3600" w:hanging="360"/>
      </w:pPr>
      <w:rPr>
        <w:rFonts w:ascii="Courier New" w:hAnsi="Courier New" w:hint="default"/>
      </w:rPr>
    </w:lvl>
    <w:lvl w:ilvl="5" w:tplc="D9D2D588">
      <w:start w:val="1"/>
      <w:numFmt w:val="bullet"/>
      <w:lvlText w:val=""/>
      <w:lvlJc w:val="left"/>
      <w:pPr>
        <w:ind w:left="4320" w:hanging="360"/>
      </w:pPr>
      <w:rPr>
        <w:rFonts w:ascii="Wingdings" w:hAnsi="Wingdings" w:hint="default"/>
      </w:rPr>
    </w:lvl>
    <w:lvl w:ilvl="6" w:tplc="6AEAE9B0">
      <w:start w:val="1"/>
      <w:numFmt w:val="bullet"/>
      <w:lvlText w:val=""/>
      <w:lvlJc w:val="left"/>
      <w:pPr>
        <w:ind w:left="5040" w:hanging="360"/>
      </w:pPr>
      <w:rPr>
        <w:rFonts w:ascii="Symbol" w:hAnsi="Symbol" w:hint="default"/>
      </w:rPr>
    </w:lvl>
    <w:lvl w:ilvl="7" w:tplc="A6CEC5C0">
      <w:start w:val="1"/>
      <w:numFmt w:val="bullet"/>
      <w:lvlText w:val="o"/>
      <w:lvlJc w:val="left"/>
      <w:pPr>
        <w:ind w:left="5760" w:hanging="360"/>
      </w:pPr>
      <w:rPr>
        <w:rFonts w:ascii="Courier New" w:hAnsi="Courier New" w:hint="default"/>
      </w:rPr>
    </w:lvl>
    <w:lvl w:ilvl="8" w:tplc="E402B7C0">
      <w:start w:val="1"/>
      <w:numFmt w:val="bullet"/>
      <w:lvlText w:val=""/>
      <w:lvlJc w:val="left"/>
      <w:pPr>
        <w:ind w:left="6480" w:hanging="360"/>
      </w:pPr>
      <w:rPr>
        <w:rFonts w:ascii="Wingdings" w:hAnsi="Wingdings" w:hint="default"/>
      </w:rPr>
    </w:lvl>
  </w:abstractNum>
  <w:abstractNum w:abstractNumId="9" w15:restartNumberingAfterBreak="0">
    <w:nsid w:val="39CAC47A"/>
    <w:multiLevelType w:val="hybridMultilevel"/>
    <w:tmpl w:val="FA34326A"/>
    <w:lvl w:ilvl="0" w:tplc="4C782E98">
      <w:start w:val="1"/>
      <w:numFmt w:val="bullet"/>
      <w:lvlText w:val=""/>
      <w:lvlJc w:val="left"/>
      <w:pPr>
        <w:ind w:left="720" w:hanging="360"/>
      </w:pPr>
      <w:rPr>
        <w:rFonts w:ascii="Symbol" w:hAnsi="Symbol" w:hint="default"/>
      </w:rPr>
    </w:lvl>
    <w:lvl w:ilvl="1" w:tplc="624A2826">
      <w:start w:val="1"/>
      <w:numFmt w:val="bullet"/>
      <w:lvlText w:val="o"/>
      <w:lvlJc w:val="left"/>
      <w:pPr>
        <w:ind w:left="1440" w:hanging="360"/>
      </w:pPr>
      <w:rPr>
        <w:rFonts w:ascii="Courier New" w:hAnsi="Courier New" w:hint="default"/>
      </w:rPr>
    </w:lvl>
    <w:lvl w:ilvl="2" w:tplc="B0A436B2">
      <w:start w:val="1"/>
      <w:numFmt w:val="bullet"/>
      <w:lvlText w:val=""/>
      <w:lvlJc w:val="left"/>
      <w:pPr>
        <w:ind w:left="2160" w:hanging="360"/>
      </w:pPr>
      <w:rPr>
        <w:rFonts w:ascii="Wingdings" w:hAnsi="Wingdings" w:hint="default"/>
      </w:rPr>
    </w:lvl>
    <w:lvl w:ilvl="3" w:tplc="C04E1DD6">
      <w:start w:val="1"/>
      <w:numFmt w:val="bullet"/>
      <w:lvlText w:val=""/>
      <w:lvlJc w:val="left"/>
      <w:pPr>
        <w:ind w:left="2880" w:hanging="360"/>
      </w:pPr>
      <w:rPr>
        <w:rFonts w:ascii="Symbol" w:hAnsi="Symbol" w:hint="default"/>
      </w:rPr>
    </w:lvl>
    <w:lvl w:ilvl="4" w:tplc="0CD6C0C0">
      <w:start w:val="1"/>
      <w:numFmt w:val="bullet"/>
      <w:lvlText w:val="o"/>
      <w:lvlJc w:val="left"/>
      <w:pPr>
        <w:ind w:left="3600" w:hanging="360"/>
      </w:pPr>
      <w:rPr>
        <w:rFonts w:ascii="Courier New" w:hAnsi="Courier New" w:hint="default"/>
      </w:rPr>
    </w:lvl>
    <w:lvl w:ilvl="5" w:tplc="1592EAEA">
      <w:start w:val="1"/>
      <w:numFmt w:val="bullet"/>
      <w:lvlText w:val=""/>
      <w:lvlJc w:val="left"/>
      <w:pPr>
        <w:ind w:left="4320" w:hanging="360"/>
      </w:pPr>
      <w:rPr>
        <w:rFonts w:ascii="Wingdings" w:hAnsi="Wingdings" w:hint="default"/>
      </w:rPr>
    </w:lvl>
    <w:lvl w:ilvl="6" w:tplc="97028D26">
      <w:start w:val="1"/>
      <w:numFmt w:val="bullet"/>
      <w:lvlText w:val=""/>
      <w:lvlJc w:val="left"/>
      <w:pPr>
        <w:ind w:left="5040" w:hanging="360"/>
      </w:pPr>
      <w:rPr>
        <w:rFonts w:ascii="Symbol" w:hAnsi="Symbol" w:hint="default"/>
      </w:rPr>
    </w:lvl>
    <w:lvl w:ilvl="7" w:tplc="82B0FAF6">
      <w:start w:val="1"/>
      <w:numFmt w:val="bullet"/>
      <w:lvlText w:val="o"/>
      <w:lvlJc w:val="left"/>
      <w:pPr>
        <w:ind w:left="5760" w:hanging="360"/>
      </w:pPr>
      <w:rPr>
        <w:rFonts w:ascii="Courier New" w:hAnsi="Courier New" w:hint="default"/>
      </w:rPr>
    </w:lvl>
    <w:lvl w:ilvl="8" w:tplc="42AA01F0">
      <w:start w:val="1"/>
      <w:numFmt w:val="bullet"/>
      <w:lvlText w:val=""/>
      <w:lvlJc w:val="left"/>
      <w:pPr>
        <w:ind w:left="6480" w:hanging="360"/>
      </w:pPr>
      <w:rPr>
        <w:rFonts w:ascii="Wingdings" w:hAnsi="Wingdings" w:hint="default"/>
      </w:rPr>
    </w:lvl>
  </w:abstractNum>
  <w:abstractNum w:abstractNumId="10" w15:restartNumberingAfterBreak="0">
    <w:nsid w:val="3D7907FE"/>
    <w:multiLevelType w:val="hybridMultilevel"/>
    <w:tmpl w:val="A1D04064"/>
    <w:lvl w:ilvl="0" w:tplc="2ED0529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6B72C5F"/>
    <w:multiLevelType w:val="hybridMultilevel"/>
    <w:tmpl w:val="6F349BBA"/>
    <w:lvl w:ilvl="0" w:tplc="F4AE4E1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7292837"/>
    <w:multiLevelType w:val="hybridMultilevel"/>
    <w:tmpl w:val="04B272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06A4A4E"/>
    <w:multiLevelType w:val="hybridMultilevel"/>
    <w:tmpl w:val="A9021D4E"/>
    <w:lvl w:ilvl="0" w:tplc="7DAE0F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BC197D"/>
    <w:multiLevelType w:val="hybridMultilevel"/>
    <w:tmpl w:val="E004871E"/>
    <w:lvl w:ilvl="0" w:tplc="3F94A2EC">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4650044"/>
    <w:multiLevelType w:val="hybridMultilevel"/>
    <w:tmpl w:val="A64ADF72"/>
    <w:lvl w:ilvl="0" w:tplc="BBF2C416">
      <w:start w:val="1"/>
      <w:numFmt w:val="bullet"/>
      <w:pStyle w:val="Odrka1"/>
      <w:lvlText w:val=""/>
      <w:lvlJc w:val="left"/>
      <w:pPr>
        <w:ind w:left="720" w:hanging="360"/>
      </w:pPr>
      <w:rPr>
        <w:rFonts w:ascii="Symbol" w:hAnsi="Symbol" w:hint="default"/>
      </w:rPr>
    </w:lvl>
    <w:lvl w:ilvl="1" w:tplc="21540E84" w:tentative="1">
      <w:start w:val="1"/>
      <w:numFmt w:val="bullet"/>
      <w:lvlText w:val="o"/>
      <w:lvlJc w:val="left"/>
      <w:pPr>
        <w:ind w:left="1440" w:hanging="360"/>
      </w:pPr>
      <w:rPr>
        <w:rFonts w:ascii="Courier New" w:hAnsi="Courier New" w:cs="Courier New" w:hint="default"/>
      </w:rPr>
    </w:lvl>
    <w:lvl w:ilvl="2" w:tplc="5184BBCC">
      <w:start w:val="1"/>
      <w:numFmt w:val="bullet"/>
      <w:lvlText w:val=""/>
      <w:lvlJc w:val="left"/>
      <w:pPr>
        <w:ind w:left="2160" w:hanging="360"/>
      </w:pPr>
      <w:rPr>
        <w:rFonts w:ascii="Wingdings" w:hAnsi="Wingdings" w:hint="default"/>
      </w:rPr>
    </w:lvl>
    <w:lvl w:ilvl="3" w:tplc="FB962F3A" w:tentative="1">
      <w:start w:val="1"/>
      <w:numFmt w:val="bullet"/>
      <w:lvlText w:val=""/>
      <w:lvlJc w:val="left"/>
      <w:pPr>
        <w:ind w:left="2880" w:hanging="360"/>
      </w:pPr>
      <w:rPr>
        <w:rFonts w:ascii="Symbol" w:hAnsi="Symbol" w:hint="default"/>
      </w:rPr>
    </w:lvl>
    <w:lvl w:ilvl="4" w:tplc="5332FB18" w:tentative="1">
      <w:start w:val="1"/>
      <w:numFmt w:val="bullet"/>
      <w:lvlText w:val="o"/>
      <w:lvlJc w:val="left"/>
      <w:pPr>
        <w:ind w:left="3600" w:hanging="360"/>
      </w:pPr>
      <w:rPr>
        <w:rFonts w:ascii="Courier New" w:hAnsi="Courier New" w:cs="Courier New" w:hint="default"/>
      </w:rPr>
    </w:lvl>
    <w:lvl w:ilvl="5" w:tplc="585C1D96" w:tentative="1">
      <w:start w:val="1"/>
      <w:numFmt w:val="bullet"/>
      <w:lvlText w:val=""/>
      <w:lvlJc w:val="left"/>
      <w:pPr>
        <w:ind w:left="4320" w:hanging="360"/>
      </w:pPr>
      <w:rPr>
        <w:rFonts w:ascii="Wingdings" w:hAnsi="Wingdings" w:hint="default"/>
      </w:rPr>
    </w:lvl>
    <w:lvl w:ilvl="6" w:tplc="824061D0" w:tentative="1">
      <w:start w:val="1"/>
      <w:numFmt w:val="bullet"/>
      <w:lvlText w:val=""/>
      <w:lvlJc w:val="left"/>
      <w:pPr>
        <w:ind w:left="5040" w:hanging="360"/>
      </w:pPr>
      <w:rPr>
        <w:rFonts w:ascii="Symbol" w:hAnsi="Symbol" w:hint="default"/>
      </w:rPr>
    </w:lvl>
    <w:lvl w:ilvl="7" w:tplc="D416DB58" w:tentative="1">
      <w:start w:val="1"/>
      <w:numFmt w:val="bullet"/>
      <w:lvlText w:val="o"/>
      <w:lvlJc w:val="left"/>
      <w:pPr>
        <w:ind w:left="5760" w:hanging="360"/>
      </w:pPr>
      <w:rPr>
        <w:rFonts w:ascii="Courier New" w:hAnsi="Courier New" w:cs="Courier New" w:hint="default"/>
      </w:rPr>
    </w:lvl>
    <w:lvl w:ilvl="8" w:tplc="3F087CF6" w:tentative="1">
      <w:start w:val="1"/>
      <w:numFmt w:val="bullet"/>
      <w:lvlText w:val=""/>
      <w:lvlJc w:val="left"/>
      <w:pPr>
        <w:ind w:left="6480" w:hanging="360"/>
      </w:pPr>
      <w:rPr>
        <w:rFonts w:ascii="Wingdings" w:hAnsi="Wingdings" w:hint="default"/>
      </w:rPr>
    </w:lvl>
  </w:abstractNum>
  <w:abstractNum w:abstractNumId="16" w15:restartNumberingAfterBreak="0">
    <w:nsid w:val="59B71CD6"/>
    <w:multiLevelType w:val="multilevel"/>
    <w:tmpl w:val="6B5039CA"/>
    <w:lvl w:ilvl="0">
      <w:start w:val="1"/>
      <w:numFmt w:val="upperRoman"/>
      <w:pStyle w:val="Nadpis1"/>
      <w:lvlText w:val="%1."/>
      <w:lvlJc w:val="right"/>
      <w:pPr>
        <w:ind w:left="360" w:hanging="360"/>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621405B8"/>
    <w:multiLevelType w:val="hybridMultilevel"/>
    <w:tmpl w:val="82B60918"/>
    <w:lvl w:ilvl="0" w:tplc="3C88AD6E">
      <w:start w:val="1"/>
      <w:numFmt w:val="bullet"/>
      <w:lvlText w:val=""/>
      <w:lvlJc w:val="left"/>
      <w:pPr>
        <w:ind w:left="720" w:hanging="360"/>
      </w:pPr>
      <w:rPr>
        <w:rFonts w:ascii="Symbol" w:hAnsi="Symbol" w:hint="default"/>
      </w:rPr>
    </w:lvl>
    <w:lvl w:ilvl="1" w:tplc="01128FB4">
      <w:start w:val="1"/>
      <w:numFmt w:val="bullet"/>
      <w:lvlText w:val="o"/>
      <w:lvlJc w:val="left"/>
      <w:pPr>
        <w:ind w:left="1440" w:hanging="360"/>
      </w:pPr>
      <w:rPr>
        <w:rFonts w:ascii="Courier New" w:hAnsi="Courier New" w:hint="default"/>
      </w:rPr>
    </w:lvl>
    <w:lvl w:ilvl="2" w:tplc="8542BDF6">
      <w:start w:val="1"/>
      <w:numFmt w:val="bullet"/>
      <w:lvlText w:val=""/>
      <w:lvlJc w:val="left"/>
      <w:pPr>
        <w:ind w:left="2160" w:hanging="360"/>
      </w:pPr>
      <w:rPr>
        <w:rFonts w:ascii="Wingdings" w:hAnsi="Wingdings" w:hint="default"/>
      </w:rPr>
    </w:lvl>
    <w:lvl w:ilvl="3" w:tplc="09FA1AF6">
      <w:start w:val="1"/>
      <w:numFmt w:val="bullet"/>
      <w:lvlText w:val=""/>
      <w:lvlJc w:val="left"/>
      <w:pPr>
        <w:ind w:left="2880" w:hanging="360"/>
      </w:pPr>
      <w:rPr>
        <w:rFonts w:ascii="Symbol" w:hAnsi="Symbol" w:hint="default"/>
      </w:rPr>
    </w:lvl>
    <w:lvl w:ilvl="4" w:tplc="A9247F4A">
      <w:start w:val="1"/>
      <w:numFmt w:val="bullet"/>
      <w:lvlText w:val="o"/>
      <w:lvlJc w:val="left"/>
      <w:pPr>
        <w:ind w:left="3600" w:hanging="360"/>
      </w:pPr>
      <w:rPr>
        <w:rFonts w:ascii="Courier New" w:hAnsi="Courier New" w:hint="default"/>
      </w:rPr>
    </w:lvl>
    <w:lvl w:ilvl="5" w:tplc="BB74E4EE">
      <w:start w:val="1"/>
      <w:numFmt w:val="bullet"/>
      <w:lvlText w:val=""/>
      <w:lvlJc w:val="left"/>
      <w:pPr>
        <w:ind w:left="4320" w:hanging="360"/>
      </w:pPr>
      <w:rPr>
        <w:rFonts w:ascii="Wingdings" w:hAnsi="Wingdings" w:hint="default"/>
      </w:rPr>
    </w:lvl>
    <w:lvl w:ilvl="6" w:tplc="15A6CDE0">
      <w:start w:val="1"/>
      <w:numFmt w:val="bullet"/>
      <w:lvlText w:val=""/>
      <w:lvlJc w:val="left"/>
      <w:pPr>
        <w:ind w:left="5040" w:hanging="360"/>
      </w:pPr>
      <w:rPr>
        <w:rFonts w:ascii="Symbol" w:hAnsi="Symbol" w:hint="default"/>
      </w:rPr>
    </w:lvl>
    <w:lvl w:ilvl="7" w:tplc="C9BA6C34">
      <w:start w:val="1"/>
      <w:numFmt w:val="bullet"/>
      <w:lvlText w:val="o"/>
      <w:lvlJc w:val="left"/>
      <w:pPr>
        <w:ind w:left="5760" w:hanging="360"/>
      </w:pPr>
      <w:rPr>
        <w:rFonts w:ascii="Courier New" w:hAnsi="Courier New" w:hint="default"/>
      </w:rPr>
    </w:lvl>
    <w:lvl w:ilvl="8" w:tplc="6C661F98">
      <w:start w:val="1"/>
      <w:numFmt w:val="bullet"/>
      <w:lvlText w:val=""/>
      <w:lvlJc w:val="left"/>
      <w:pPr>
        <w:ind w:left="6480" w:hanging="360"/>
      </w:pPr>
      <w:rPr>
        <w:rFonts w:ascii="Wingdings" w:hAnsi="Wingdings" w:hint="default"/>
      </w:rPr>
    </w:lvl>
  </w:abstractNum>
  <w:abstractNum w:abstractNumId="18" w15:restartNumberingAfterBreak="0">
    <w:nsid w:val="70F53277"/>
    <w:multiLevelType w:val="hybridMultilevel"/>
    <w:tmpl w:val="14C88C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81D381D"/>
    <w:multiLevelType w:val="hybridMultilevel"/>
    <w:tmpl w:val="89E0BDD4"/>
    <w:lvl w:ilvl="0" w:tplc="2ED0529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95851486">
    <w:abstractNumId w:val="8"/>
  </w:num>
  <w:num w:numId="2" w16cid:durableId="490294512">
    <w:abstractNumId w:val="17"/>
  </w:num>
  <w:num w:numId="3" w16cid:durableId="364522828">
    <w:abstractNumId w:val="9"/>
  </w:num>
  <w:num w:numId="4" w16cid:durableId="423262611">
    <w:abstractNumId w:val="16"/>
  </w:num>
  <w:num w:numId="5" w16cid:durableId="821115507">
    <w:abstractNumId w:val="15"/>
  </w:num>
  <w:num w:numId="6" w16cid:durableId="434791871">
    <w:abstractNumId w:val="1"/>
  </w:num>
  <w:num w:numId="7" w16cid:durableId="958875318">
    <w:abstractNumId w:val="4"/>
  </w:num>
  <w:num w:numId="8" w16cid:durableId="774595264">
    <w:abstractNumId w:val="7"/>
  </w:num>
  <w:num w:numId="9" w16cid:durableId="1811163924">
    <w:abstractNumId w:val="12"/>
  </w:num>
  <w:num w:numId="10" w16cid:durableId="1736735624">
    <w:abstractNumId w:val="0"/>
  </w:num>
  <w:num w:numId="11" w16cid:durableId="1585409925">
    <w:abstractNumId w:val="14"/>
  </w:num>
  <w:num w:numId="12" w16cid:durableId="637416955">
    <w:abstractNumId w:val="4"/>
  </w:num>
  <w:num w:numId="13" w16cid:durableId="496265523">
    <w:abstractNumId w:val="10"/>
  </w:num>
  <w:num w:numId="14" w16cid:durableId="145242517">
    <w:abstractNumId w:val="19"/>
  </w:num>
  <w:num w:numId="15" w16cid:durableId="231700271">
    <w:abstractNumId w:val="18"/>
  </w:num>
  <w:num w:numId="16" w16cid:durableId="1302153019">
    <w:abstractNumId w:val="4"/>
  </w:num>
  <w:num w:numId="17" w16cid:durableId="1383863173">
    <w:abstractNumId w:val="11"/>
  </w:num>
  <w:num w:numId="18" w16cid:durableId="916591310">
    <w:abstractNumId w:val="3"/>
  </w:num>
  <w:num w:numId="19" w16cid:durableId="1633055622">
    <w:abstractNumId w:val="5"/>
  </w:num>
  <w:num w:numId="20" w16cid:durableId="1772166395">
    <w:abstractNumId w:val="2"/>
  </w:num>
  <w:num w:numId="21" w16cid:durableId="196355071">
    <w:abstractNumId w:val="4"/>
  </w:num>
  <w:num w:numId="22" w16cid:durableId="1404793670">
    <w:abstractNumId w:val="4"/>
  </w:num>
  <w:num w:numId="23" w16cid:durableId="1797067741">
    <w:abstractNumId w:val="4"/>
  </w:num>
  <w:num w:numId="24" w16cid:durableId="663627160">
    <w:abstractNumId w:val="4"/>
  </w:num>
  <w:num w:numId="25" w16cid:durableId="1638217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16960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5489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688862">
    <w:abstractNumId w:val="6"/>
  </w:num>
  <w:num w:numId="29" w16cid:durableId="176464740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activeWritingStyle w:appName="MSWord" w:lang="cs-CZ"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445"/>
    <w:rsid w:val="0000046E"/>
    <w:rsid w:val="000005FA"/>
    <w:rsid w:val="000008B5"/>
    <w:rsid w:val="00000B43"/>
    <w:rsid w:val="000013DE"/>
    <w:rsid w:val="0000144C"/>
    <w:rsid w:val="000015A2"/>
    <w:rsid w:val="00001E41"/>
    <w:rsid w:val="00002BE8"/>
    <w:rsid w:val="00003050"/>
    <w:rsid w:val="0000380D"/>
    <w:rsid w:val="00003CEA"/>
    <w:rsid w:val="00003D30"/>
    <w:rsid w:val="0000483C"/>
    <w:rsid w:val="00004849"/>
    <w:rsid w:val="000058DC"/>
    <w:rsid w:val="000062E1"/>
    <w:rsid w:val="0000656A"/>
    <w:rsid w:val="000068A3"/>
    <w:rsid w:val="00007101"/>
    <w:rsid w:val="00007A6C"/>
    <w:rsid w:val="0001000F"/>
    <w:rsid w:val="0001025F"/>
    <w:rsid w:val="000105D5"/>
    <w:rsid w:val="00010913"/>
    <w:rsid w:val="00010AC1"/>
    <w:rsid w:val="00010E63"/>
    <w:rsid w:val="00010FFF"/>
    <w:rsid w:val="000113DF"/>
    <w:rsid w:val="00011553"/>
    <w:rsid w:val="000119C8"/>
    <w:rsid w:val="00012044"/>
    <w:rsid w:val="000121B1"/>
    <w:rsid w:val="00012218"/>
    <w:rsid w:val="000125B3"/>
    <w:rsid w:val="000126D9"/>
    <w:rsid w:val="00012778"/>
    <w:rsid w:val="00012B5F"/>
    <w:rsid w:val="00013553"/>
    <w:rsid w:val="000136DA"/>
    <w:rsid w:val="00014752"/>
    <w:rsid w:val="00014A0E"/>
    <w:rsid w:val="00014A79"/>
    <w:rsid w:val="00014F63"/>
    <w:rsid w:val="0001564C"/>
    <w:rsid w:val="00015DF4"/>
    <w:rsid w:val="0001665E"/>
    <w:rsid w:val="000166C5"/>
    <w:rsid w:val="00016F35"/>
    <w:rsid w:val="00016F38"/>
    <w:rsid w:val="00016F4E"/>
    <w:rsid w:val="00017BC7"/>
    <w:rsid w:val="00020202"/>
    <w:rsid w:val="000203A8"/>
    <w:rsid w:val="0002049B"/>
    <w:rsid w:val="000205AA"/>
    <w:rsid w:val="000205B1"/>
    <w:rsid w:val="00020B1D"/>
    <w:rsid w:val="0002167D"/>
    <w:rsid w:val="00021B07"/>
    <w:rsid w:val="00021DF2"/>
    <w:rsid w:val="00021FF6"/>
    <w:rsid w:val="000221EE"/>
    <w:rsid w:val="000223ED"/>
    <w:rsid w:val="00022C43"/>
    <w:rsid w:val="00022D6F"/>
    <w:rsid w:val="00022F4B"/>
    <w:rsid w:val="000234AB"/>
    <w:rsid w:val="00023A6A"/>
    <w:rsid w:val="00023C30"/>
    <w:rsid w:val="00024404"/>
    <w:rsid w:val="00024758"/>
    <w:rsid w:val="0002494F"/>
    <w:rsid w:val="000249AA"/>
    <w:rsid w:val="00024D96"/>
    <w:rsid w:val="000257A3"/>
    <w:rsid w:val="00025C05"/>
    <w:rsid w:val="00025CFC"/>
    <w:rsid w:val="00025DA9"/>
    <w:rsid w:val="00025DD6"/>
    <w:rsid w:val="000260A7"/>
    <w:rsid w:val="000263F7"/>
    <w:rsid w:val="00026667"/>
    <w:rsid w:val="00026856"/>
    <w:rsid w:val="00026E45"/>
    <w:rsid w:val="000274E3"/>
    <w:rsid w:val="0002787D"/>
    <w:rsid w:val="0003016D"/>
    <w:rsid w:val="0003064C"/>
    <w:rsid w:val="00030B76"/>
    <w:rsid w:val="00030BCD"/>
    <w:rsid w:val="0003108A"/>
    <w:rsid w:val="000310E2"/>
    <w:rsid w:val="000311D2"/>
    <w:rsid w:val="00031E19"/>
    <w:rsid w:val="00031EE7"/>
    <w:rsid w:val="00031F34"/>
    <w:rsid w:val="00032055"/>
    <w:rsid w:val="000321B1"/>
    <w:rsid w:val="0003254A"/>
    <w:rsid w:val="000325C8"/>
    <w:rsid w:val="00032882"/>
    <w:rsid w:val="00032AFD"/>
    <w:rsid w:val="00033889"/>
    <w:rsid w:val="00034028"/>
    <w:rsid w:val="0003423D"/>
    <w:rsid w:val="000346D5"/>
    <w:rsid w:val="0003479E"/>
    <w:rsid w:val="00035320"/>
    <w:rsid w:val="000355C1"/>
    <w:rsid w:val="00035857"/>
    <w:rsid w:val="00035C78"/>
    <w:rsid w:val="00036D18"/>
    <w:rsid w:val="00037071"/>
    <w:rsid w:val="0003749E"/>
    <w:rsid w:val="00037970"/>
    <w:rsid w:val="00037EFD"/>
    <w:rsid w:val="0004026A"/>
    <w:rsid w:val="00040ACE"/>
    <w:rsid w:val="00040C34"/>
    <w:rsid w:val="00040E1E"/>
    <w:rsid w:val="00041267"/>
    <w:rsid w:val="00041497"/>
    <w:rsid w:val="0004172D"/>
    <w:rsid w:val="00041864"/>
    <w:rsid w:val="000421F4"/>
    <w:rsid w:val="000426DE"/>
    <w:rsid w:val="000427EB"/>
    <w:rsid w:val="00042A64"/>
    <w:rsid w:val="00043109"/>
    <w:rsid w:val="00043388"/>
    <w:rsid w:val="00043497"/>
    <w:rsid w:val="000438A8"/>
    <w:rsid w:val="00043A3A"/>
    <w:rsid w:val="00043A92"/>
    <w:rsid w:val="00043D83"/>
    <w:rsid w:val="00043F0C"/>
    <w:rsid w:val="0004417E"/>
    <w:rsid w:val="00044439"/>
    <w:rsid w:val="000447B2"/>
    <w:rsid w:val="00045081"/>
    <w:rsid w:val="0004512E"/>
    <w:rsid w:val="0004549D"/>
    <w:rsid w:val="000457E8"/>
    <w:rsid w:val="00045B12"/>
    <w:rsid w:val="0004702E"/>
    <w:rsid w:val="0004754C"/>
    <w:rsid w:val="000478D8"/>
    <w:rsid w:val="00047D98"/>
    <w:rsid w:val="00047DD8"/>
    <w:rsid w:val="000503AF"/>
    <w:rsid w:val="00051D86"/>
    <w:rsid w:val="00051F67"/>
    <w:rsid w:val="00052ED6"/>
    <w:rsid w:val="0005354F"/>
    <w:rsid w:val="0005365D"/>
    <w:rsid w:val="00053CFC"/>
    <w:rsid w:val="000540D2"/>
    <w:rsid w:val="000545AF"/>
    <w:rsid w:val="0005479F"/>
    <w:rsid w:val="00054868"/>
    <w:rsid w:val="00054ACA"/>
    <w:rsid w:val="00054F77"/>
    <w:rsid w:val="00055745"/>
    <w:rsid w:val="00055C9A"/>
    <w:rsid w:val="0005618D"/>
    <w:rsid w:val="000563D9"/>
    <w:rsid w:val="0005688A"/>
    <w:rsid w:val="0005698C"/>
    <w:rsid w:val="00056FA0"/>
    <w:rsid w:val="00057749"/>
    <w:rsid w:val="00060431"/>
    <w:rsid w:val="000604E1"/>
    <w:rsid w:val="00060575"/>
    <w:rsid w:val="00060756"/>
    <w:rsid w:val="0006083F"/>
    <w:rsid w:val="00060B2A"/>
    <w:rsid w:val="00060BD5"/>
    <w:rsid w:val="00060D02"/>
    <w:rsid w:val="00060E98"/>
    <w:rsid w:val="00061037"/>
    <w:rsid w:val="000613A9"/>
    <w:rsid w:val="00061EEA"/>
    <w:rsid w:val="00061FDE"/>
    <w:rsid w:val="00061FFD"/>
    <w:rsid w:val="0006206A"/>
    <w:rsid w:val="00062435"/>
    <w:rsid w:val="00062464"/>
    <w:rsid w:val="0006254C"/>
    <w:rsid w:val="000631A8"/>
    <w:rsid w:val="00063323"/>
    <w:rsid w:val="00063396"/>
    <w:rsid w:val="00064089"/>
    <w:rsid w:val="0006432B"/>
    <w:rsid w:val="000644A7"/>
    <w:rsid w:val="00064A5E"/>
    <w:rsid w:val="00064E4D"/>
    <w:rsid w:val="000651A8"/>
    <w:rsid w:val="00065247"/>
    <w:rsid w:val="000655F6"/>
    <w:rsid w:val="0006588E"/>
    <w:rsid w:val="00065A90"/>
    <w:rsid w:val="00065D95"/>
    <w:rsid w:val="00065DE4"/>
    <w:rsid w:val="000662BF"/>
    <w:rsid w:val="00066447"/>
    <w:rsid w:val="00066516"/>
    <w:rsid w:val="00066852"/>
    <w:rsid w:val="00066868"/>
    <w:rsid w:val="00066AA8"/>
    <w:rsid w:val="0006714C"/>
    <w:rsid w:val="000672D2"/>
    <w:rsid w:val="00067596"/>
    <w:rsid w:val="0007069F"/>
    <w:rsid w:val="00070B31"/>
    <w:rsid w:val="00070DB8"/>
    <w:rsid w:val="0007120C"/>
    <w:rsid w:val="00071930"/>
    <w:rsid w:val="00071BD7"/>
    <w:rsid w:val="0007206E"/>
    <w:rsid w:val="0007211A"/>
    <w:rsid w:val="00072A10"/>
    <w:rsid w:val="000732FD"/>
    <w:rsid w:val="000734CB"/>
    <w:rsid w:val="00073807"/>
    <w:rsid w:val="00073ACE"/>
    <w:rsid w:val="00073E9C"/>
    <w:rsid w:val="00074094"/>
    <w:rsid w:val="00074150"/>
    <w:rsid w:val="000743E6"/>
    <w:rsid w:val="00074DD4"/>
    <w:rsid w:val="00075201"/>
    <w:rsid w:val="00075D43"/>
    <w:rsid w:val="00075DC8"/>
    <w:rsid w:val="00075E0B"/>
    <w:rsid w:val="00075E5B"/>
    <w:rsid w:val="00075ED3"/>
    <w:rsid w:val="00076446"/>
    <w:rsid w:val="00076469"/>
    <w:rsid w:val="00076518"/>
    <w:rsid w:val="00076AF4"/>
    <w:rsid w:val="00076DFD"/>
    <w:rsid w:val="00076F49"/>
    <w:rsid w:val="00076FF7"/>
    <w:rsid w:val="00077266"/>
    <w:rsid w:val="00077C57"/>
    <w:rsid w:val="0008055A"/>
    <w:rsid w:val="000806D5"/>
    <w:rsid w:val="00080B26"/>
    <w:rsid w:val="00081539"/>
    <w:rsid w:val="00081548"/>
    <w:rsid w:val="000817A0"/>
    <w:rsid w:val="00081874"/>
    <w:rsid w:val="00081A7A"/>
    <w:rsid w:val="00081B9E"/>
    <w:rsid w:val="00081D37"/>
    <w:rsid w:val="0008202B"/>
    <w:rsid w:val="000820C6"/>
    <w:rsid w:val="0008224E"/>
    <w:rsid w:val="000827E5"/>
    <w:rsid w:val="00082A5F"/>
    <w:rsid w:val="00082C0A"/>
    <w:rsid w:val="00082D2B"/>
    <w:rsid w:val="00083414"/>
    <w:rsid w:val="00083F18"/>
    <w:rsid w:val="000845B2"/>
    <w:rsid w:val="0008472F"/>
    <w:rsid w:val="00084C30"/>
    <w:rsid w:val="00084C65"/>
    <w:rsid w:val="00085415"/>
    <w:rsid w:val="0008556F"/>
    <w:rsid w:val="00085677"/>
    <w:rsid w:val="00085A74"/>
    <w:rsid w:val="00085E25"/>
    <w:rsid w:val="00085FE8"/>
    <w:rsid w:val="000860D6"/>
    <w:rsid w:val="000862EB"/>
    <w:rsid w:val="000866FA"/>
    <w:rsid w:val="00086745"/>
    <w:rsid w:val="00087101"/>
    <w:rsid w:val="0008724E"/>
    <w:rsid w:val="000874AC"/>
    <w:rsid w:val="00087910"/>
    <w:rsid w:val="00087D12"/>
    <w:rsid w:val="000901CF"/>
    <w:rsid w:val="000902CB"/>
    <w:rsid w:val="00090310"/>
    <w:rsid w:val="000909F0"/>
    <w:rsid w:val="000910B7"/>
    <w:rsid w:val="000912EF"/>
    <w:rsid w:val="00091A5D"/>
    <w:rsid w:val="00091FB9"/>
    <w:rsid w:val="00092026"/>
    <w:rsid w:val="00092B29"/>
    <w:rsid w:val="000939A2"/>
    <w:rsid w:val="00093A65"/>
    <w:rsid w:val="00093A90"/>
    <w:rsid w:val="00093D9B"/>
    <w:rsid w:val="00094E19"/>
    <w:rsid w:val="00095346"/>
    <w:rsid w:val="00095846"/>
    <w:rsid w:val="00095EF1"/>
    <w:rsid w:val="0009647B"/>
    <w:rsid w:val="0009687B"/>
    <w:rsid w:val="000968BD"/>
    <w:rsid w:val="00096DAD"/>
    <w:rsid w:val="000970B4"/>
    <w:rsid w:val="0009744F"/>
    <w:rsid w:val="00097737"/>
    <w:rsid w:val="0009795F"/>
    <w:rsid w:val="00097AE2"/>
    <w:rsid w:val="000A0583"/>
    <w:rsid w:val="000A0710"/>
    <w:rsid w:val="000A08DE"/>
    <w:rsid w:val="000A090D"/>
    <w:rsid w:val="000A0B0A"/>
    <w:rsid w:val="000A134C"/>
    <w:rsid w:val="000A163C"/>
    <w:rsid w:val="000A186C"/>
    <w:rsid w:val="000A23E3"/>
    <w:rsid w:val="000A2A7E"/>
    <w:rsid w:val="000A2C41"/>
    <w:rsid w:val="000A3A6E"/>
    <w:rsid w:val="000A3B12"/>
    <w:rsid w:val="000A3B9C"/>
    <w:rsid w:val="000A3E97"/>
    <w:rsid w:val="000A3EF3"/>
    <w:rsid w:val="000A40C6"/>
    <w:rsid w:val="000A4408"/>
    <w:rsid w:val="000A455C"/>
    <w:rsid w:val="000A4649"/>
    <w:rsid w:val="000A4AB6"/>
    <w:rsid w:val="000A4CF3"/>
    <w:rsid w:val="000A562B"/>
    <w:rsid w:val="000A609A"/>
    <w:rsid w:val="000A6300"/>
    <w:rsid w:val="000A68EA"/>
    <w:rsid w:val="000A6FBF"/>
    <w:rsid w:val="000A725B"/>
    <w:rsid w:val="000A76CD"/>
    <w:rsid w:val="000A76F1"/>
    <w:rsid w:val="000A7DAD"/>
    <w:rsid w:val="000B07FA"/>
    <w:rsid w:val="000B0951"/>
    <w:rsid w:val="000B0E1D"/>
    <w:rsid w:val="000B11D4"/>
    <w:rsid w:val="000B16D2"/>
    <w:rsid w:val="000B1B89"/>
    <w:rsid w:val="000B1D61"/>
    <w:rsid w:val="000B2306"/>
    <w:rsid w:val="000B2547"/>
    <w:rsid w:val="000B2C4E"/>
    <w:rsid w:val="000B33EA"/>
    <w:rsid w:val="000B3650"/>
    <w:rsid w:val="000B3A6F"/>
    <w:rsid w:val="000B3A92"/>
    <w:rsid w:val="000B3CAD"/>
    <w:rsid w:val="000B3FD4"/>
    <w:rsid w:val="000B462A"/>
    <w:rsid w:val="000B4653"/>
    <w:rsid w:val="000B505A"/>
    <w:rsid w:val="000B524F"/>
    <w:rsid w:val="000B5BC7"/>
    <w:rsid w:val="000B65F1"/>
    <w:rsid w:val="000B7453"/>
    <w:rsid w:val="000B74E2"/>
    <w:rsid w:val="000B7D36"/>
    <w:rsid w:val="000B7E54"/>
    <w:rsid w:val="000B7F10"/>
    <w:rsid w:val="000C0FFF"/>
    <w:rsid w:val="000C181F"/>
    <w:rsid w:val="000C1E89"/>
    <w:rsid w:val="000C20BF"/>
    <w:rsid w:val="000C35A7"/>
    <w:rsid w:val="000C3B9C"/>
    <w:rsid w:val="000C3DA5"/>
    <w:rsid w:val="000C46D5"/>
    <w:rsid w:val="000C4979"/>
    <w:rsid w:val="000C4F02"/>
    <w:rsid w:val="000C5003"/>
    <w:rsid w:val="000C516B"/>
    <w:rsid w:val="000C537B"/>
    <w:rsid w:val="000C57A0"/>
    <w:rsid w:val="000C6290"/>
    <w:rsid w:val="000C62F7"/>
    <w:rsid w:val="000C669A"/>
    <w:rsid w:val="000C675F"/>
    <w:rsid w:val="000C6CBF"/>
    <w:rsid w:val="000C726D"/>
    <w:rsid w:val="000C751C"/>
    <w:rsid w:val="000C754A"/>
    <w:rsid w:val="000C7DE4"/>
    <w:rsid w:val="000D06DB"/>
    <w:rsid w:val="000D0E07"/>
    <w:rsid w:val="000D0F73"/>
    <w:rsid w:val="000D1C0B"/>
    <w:rsid w:val="000D1F18"/>
    <w:rsid w:val="000D1FD5"/>
    <w:rsid w:val="000D2227"/>
    <w:rsid w:val="000D2385"/>
    <w:rsid w:val="000D23F6"/>
    <w:rsid w:val="000D2443"/>
    <w:rsid w:val="000D2530"/>
    <w:rsid w:val="000D2D20"/>
    <w:rsid w:val="000D2FAF"/>
    <w:rsid w:val="000D308B"/>
    <w:rsid w:val="000D31FB"/>
    <w:rsid w:val="000D3688"/>
    <w:rsid w:val="000D39C5"/>
    <w:rsid w:val="000D3D2C"/>
    <w:rsid w:val="000D3E08"/>
    <w:rsid w:val="000D412E"/>
    <w:rsid w:val="000D45B4"/>
    <w:rsid w:val="000D514B"/>
    <w:rsid w:val="000D5BF2"/>
    <w:rsid w:val="000D5DBA"/>
    <w:rsid w:val="000D5F5F"/>
    <w:rsid w:val="000D6767"/>
    <w:rsid w:val="000D682F"/>
    <w:rsid w:val="000D6BA7"/>
    <w:rsid w:val="000D6F79"/>
    <w:rsid w:val="000D7611"/>
    <w:rsid w:val="000D7BE0"/>
    <w:rsid w:val="000E0774"/>
    <w:rsid w:val="000E0898"/>
    <w:rsid w:val="000E0A50"/>
    <w:rsid w:val="000E0BD6"/>
    <w:rsid w:val="000E12AE"/>
    <w:rsid w:val="000E142D"/>
    <w:rsid w:val="000E163D"/>
    <w:rsid w:val="000E1B6D"/>
    <w:rsid w:val="000E216C"/>
    <w:rsid w:val="000E2897"/>
    <w:rsid w:val="000E29A1"/>
    <w:rsid w:val="000E29A2"/>
    <w:rsid w:val="000E3326"/>
    <w:rsid w:val="000E3DE8"/>
    <w:rsid w:val="000E443D"/>
    <w:rsid w:val="000E47A6"/>
    <w:rsid w:val="000E4FED"/>
    <w:rsid w:val="000E527B"/>
    <w:rsid w:val="000E5727"/>
    <w:rsid w:val="000E5A51"/>
    <w:rsid w:val="000E641B"/>
    <w:rsid w:val="000E64F2"/>
    <w:rsid w:val="000E6732"/>
    <w:rsid w:val="000E6D3E"/>
    <w:rsid w:val="000E6DA8"/>
    <w:rsid w:val="000E7256"/>
    <w:rsid w:val="000E74FC"/>
    <w:rsid w:val="000E75FD"/>
    <w:rsid w:val="000E7A72"/>
    <w:rsid w:val="000E7C5B"/>
    <w:rsid w:val="000E7FD6"/>
    <w:rsid w:val="000F00B1"/>
    <w:rsid w:val="000F0317"/>
    <w:rsid w:val="000F0447"/>
    <w:rsid w:val="000F05D0"/>
    <w:rsid w:val="000F177A"/>
    <w:rsid w:val="000F198A"/>
    <w:rsid w:val="000F2357"/>
    <w:rsid w:val="000F24AB"/>
    <w:rsid w:val="000F24B9"/>
    <w:rsid w:val="000F2FA7"/>
    <w:rsid w:val="000F307F"/>
    <w:rsid w:val="000F31BC"/>
    <w:rsid w:val="000F37F6"/>
    <w:rsid w:val="000F3DD3"/>
    <w:rsid w:val="000F405B"/>
    <w:rsid w:val="000F4137"/>
    <w:rsid w:val="000F41E0"/>
    <w:rsid w:val="000F424D"/>
    <w:rsid w:val="000F43BC"/>
    <w:rsid w:val="000F4490"/>
    <w:rsid w:val="000F45CE"/>
    <w:rsid w:val="000F4718"/>
    <w:rsid w:val="000F4779"/>
    <w:rsid w:val="000F47D2"/>
    <w:rsid w:val="000F4907"/>
    <w:rsid w:val="000F4AEE"/>
    <w:rsid w:val="000F4B5D"/>
    <w:rsid w:val="000F4E1A"/>
    <w:rsid w:val="000F5068"/>
    <w:rsid w:val="000F50B8"/>
    <w:rsid w:val="000F52BB"/>
    <w:rsid w:val="000F5E94"/>
    <w:rsid w:val="000F5F3F"/>
    <w:rsid w:val="000F60B7"/>
    <w:rsid w:val="000F61E0"/>
    <w:rsid w:val="000F6304"/>
    <w:rsid w:val="000F6FA4"/>
    <w:rsid w:val="000F6FCC"/>
    <w:rsid w:val="000F702E"/>
    <w:rsid w:val="000F7D86"/>
    <w:rsid w:val="000F7E5F"/>
    <w:rsid w:val="001002E3"/>
    <w:rsid w:val="0010046C"/>
    <w:rsid w:val="00100676"/>
    <w:rsid w:val="00101034"/>
    <w:rsid w:val="00101578"/>
    <w:rsid w:val="00101D46"/>
    <w:rsid w:val="00101D4E"/>
    <w:rsid w:val="001025E3"/>
    <w:rsid w:val="00102858"/>
    <w:rsid w:val="00102C2E"/>
    <w:rsid w:val="00103295"/>
    <w:rsid w:val="00103D35"/>
    <w:rsid w:val="00103D8A"/>
    <w:rsid w:val="00103DBF"/>
    <w:rsid w:val="001042BE"/>
    <w:rsid w:val="00104386"/>
    <w:rsid w:val="00104A9A"/>
    <w:rsid w:val="00104E8E"/>
    <w:rsid w:val="001053DB"/>
    <w:rsid w:val="00105793"/>
    <w:rsid w:val="001058E3"/>
    <w:rsid w:val="0010595A"/>
    <w:rsid w:val="00105BCB"/>
    <w:rsid w:val="001063BA"/>
    <w:rsid w:val="00106851"/>
    <w:rsid w:val="00106CEF"/>
    <w:rsid w:val="001072F7"/>
    <w:rsid w:val="00107AD4"/>
    <w:rsid w:val="00107DAB"/>
    <w:rsid w:val="00107F17"/>
    <w:rsid w:val="001101D4"/>
    <w:rsid w:val="001106E9"/>
    <w:rsid w:val="00110823"/>
    <w:rsid w:val="00110B0E"/>
    <w:rsid w:val="00110BDE"/>
    <w:rsid w:val="00110DE1"/>
    <w:rsid w:val="00110F60"/>
    <w:rsid w:val="001114FD"/>
    <w:rsid w:val="0011152B"/>
    <w:rsid w:val="0011176F"/>
    <w:rsid w:val="001119E3"/>
    <w:rsid w:val="00111FE8"/>
    <w:rsid w:val="001129F8"/>
    <w:rsid w:val="00112CB0"/>
    <w:rsid w:val="001136B8"/>
    <w:rsid w:val="00113A35"/>
    <w:rsid w:val="00113CD1"/>
    <w:rsid w:val="00113F4F"/>
    <w:rsid w:val="00114085"/>
    <w:rsid w:val="00114425"/>
    <w:rsid w:val="00114747"/>
    <w:rsid w:val="00114E71"/>
    <w:rsid w:val="00115DC2"/>
    <w:rsid w:val="00115E77"/>
    <w:rsid w:val="00115EFB"/>
    <w:rsid w:val="00115F0C"/>
    <w:rsid w:val="00116BF5"/>
    <w:rsid w:val="00116EA8"/>
    <w:rsid w:val="00116EAB"/>
    <w:rsid w:val="0011726D"/>
    <w:rsid w:val="00117B71"/>
    <w:rsid w:val="001208C8"/>
    <w:rsid w:val="00120FCB"/>
    <w:rsid w:val="00121266"/>
    <w:rsid w:val="00121311"/>
    <w:rsid w:val="00121FE5"/>
    <w:rsid w:val="0012268D"/>
    <w:rsid w:val="00122FFB"/>
    <w:rsid w:val="00123225"/>
    <w:rsid w:val="0012325D"/>
    <w:rsid w:val="00123653"/>
    <w:rsid w:val="00123676"/>
    <w:rsid w:val="00123DCB"/>
    <w:rsid w:val="001243DE"/>
    <w:rsid w:val="00124DFD"/>
    <w:rsid w:val="001261B0"/>
    <w:rsid w:val="0012651E"/>
    <w:rsid w:val="00126B48"/>
    <w:rsid w:val="00126B59"/>
    <w:rsid w:val="00126B88"/>
    <w:rsid w:val="00126B8B"/>
    <w:rsid w:val="00127048"/>
    <w:rsid w:val="001271AA"/>
    <w:rsid w:val="00127906"/>
    <w:rsid w:val="00127DD1"/>
    <w:rsid w:val="0013023B"/>
    <w:rsid w:val="0013028D"/>
    <w:rsid w:val="0013037C"/>
    <w:rsid w:val="001309DD"/>
    <w:rsid w:val="00130AD9"/>
    <w:rsid w:val="00131614"/>
    <w:rsid w:val="00131A9D"/>
    <w:rsid w:val="00132360"/>
    <w:rsid w:val="00132CC6"/>
    <w:rsid w:val="00133258"/>
    <w:rsid w:val="00133339"/>
    <w:rsid w:val="00133BCF"/>
    <w:rsid w:val="00133DA4"/>
    <w:rsid w:val="00133F3E"/>
    <w:rsid w:val="001341AE"/>
    <w:rsid w:val="00134260"/>
    <w:rsid w:val="001347A1"/>
    <w:rsid w:val="00135231"/>
    <w:rsid w:val="00135C6F"/>
    <w:rsid w:val="001365EB"/>
    <w:rsid w:val="00136EAF"/>
    <w:rsid w:val="00136FCA"/>
    <w:rsid w:val="001370B8"/>
    <w:rsid w:val="001373FF"/>
    <w:rsid w:val="001375D7"/>
    <w:rsid w:val="001379DA"/>
    <w:rsid w:val="00137A41"/>
    <w:rsid w:val="00137DA6"/>
    <w:rsid w:val="0014065C"/>
    <w:rsid w:val="001410B3"/>
    <w:rsid w:val="001412DA"/>
    <w:rsid w:val="0014181F"/>
    <w:rsid w:val="00141D0D"/>
    <w:rsid w:val="001428C5"/>
    <w:rsid w:val="00142BB1"/>
    <w:rsid w:val="00142BD2"/>
    <w:rsid w:val="00142E1B"/>
    <w:rsid w:val="00143462"/>
    <w:rsid w:val="0014350B"/>
    <w:rsid w:val="001436F9"/>
    <w:rsid w:val="0014396B"/>
    <w:rsid w:val="00144335"/>
    <w:rsid w:val="00144B22"/>
    <w:rsid w:val="00144BB2"/>
    <w:rsid w:val="00144F3F"/>
    <w:rsid w:val="00144FC7"/>
    <w:rsid w:val="001452E4"/>
    <w:rsid w:val="00145A0A"/>
    <w:rsid w:val="00145E30"/>
    <w:rsid w:val="00145FE0"/>
    <w:rsid w:val="0014665A"/>
    <w:rsid w:val="0014679B"/>
    <w:rsid w:val="00146FBF"/>
    <w:rsid w:val="00147532"/>
    <w:rsid w:val="00147C2B"/>
    <w:rsid w:val="00150094"/>
    <w:rsid w:val="001502B1"/>
    <w:rsid w:val="00150AE6"/>
    <w:rsid w:val="00151785"/>
    <w:rsid w:val="0015190A"/>
    <w:rsid w:val="00151EDA"/>
    <w:rsid w:val="00152014"/>
    <w:rsid w:val="001531D6"/>
    <w:rsid w:val="00153D18"/>
    <w:rsid w:val="00153FB6"/>
    <w:rsid w:val="00154052"/>
    <w:rsid w:val="001548E5"/>
    <w:rsid w:val="00154C14"/>
    <w:rsid w:val="00155261"/>
    <w:rsid w:val="00155411"/>
    <w:rsid w:val="001554CA"/>
    <w:rsid w:val="00155588"/>
    <w:rsid w:val="00155659"/>
    <w:rsid w:val="00155760"/>
    <w:rsid w:val="00155E0D"/>
    <w:rsid w:val="00155E9B"/>
    <w:rsid w:val="00156150"/>
    <w:rsid w:val="00156263"/>
    <w:rsid w:val="001566CE"/>
    <w:rsid w:val="00156899"/>
    <w:rsid w:val="00156ADA"/>
    <w:rsid w:val="00156E10"/>
    <w:rsid w:val="0015725D"/>
    <w:rsid w:val="001577D7"/>
    <w:rsid w:val="0015789A"/>
    <w:rsid w:val="00157D40"/>
    <w:rsid w:val="0016002A"/>
    <w:rsid w:val="00160289"/>
    <w:rsid w:val="00160496"/>
    <w:rsid w:val="00160ABC"/>
    <w:rsid w:val="00161157"/>
    <w:rsid w:val="001611E5"/>
    <w:rsid w:val="00161B4A"/>
    <w:rsid w:val="00161FEA"/>
    <w:rsid w:val="001624C9"/>
    <w:rsid w:val="001628E9"/>
    <w:rsid w:val="00162A2E"/>
    <w:rsid w:val="00162E65"/>
    <w:rsid w:val="00162F17"/>
    <w:rsid w:val="00163547"/>
    <w:rsid w:val="00163A41"/>
    <w:rsid w:val="00163A54"/>
    <w:rsid w:val="00163D17"/>
    <w:rsid w:val="00163D57"/>
    <w:rsid w:val="00163F9B"/>
    <w:rsid w:val="001642BA"/>
    <w:rsid w:val="00164349"/>
    <w:rsid w:val="0016444A"/>
    <w:rsid w:val="0016445F"/>
    <w:rsid w:val="0016503F"/>
    <w:rsid w:val="00165489"/>
    <w:rsid w:val="001656BA"/>
    <w:rsid w:val="00165845"/>
    <w:rsid w:val="001659FA"/>
    <w:rsid w:val="00165DA2"/>
    <w:rsid w:val="00166632"/>
    <w:rsid w:val="001671EF"/>
    <w:rsid w:val="00167671"/>
    <w:rsid w:val="0016791F"/>
    <w:rsid w:val="00167D00"/>
    <w:rsid w:val="00167FE4"/>
    <w:rsid w:val="00170148"/>
    <w:rsid w:val="001703FC"/>
    <w:rsid w:val="00170F1F"/>
    <w:rsid w:val="00171098"/>
    <w:rsid w:val="001711E2"/>
    <w:rsid w:val="0017146B"/>
    <w:rsid w:val="001716DB"/>
    <w:rsid w:val="00171C8B"/>
    <w:rsid w:val="00171D00"/>
    <w:rsid w:val="00171DDD"/>
    <w:rsid w:val="00171EC0"/>
    <w:rsid w:val="00171FDE"/>
    <w:rsid w:val="0017253A"/>
    <w:rsid w:val="00172864"/>
    <w:rsid w:val="001729FF"/>
    <w:rsid w:val="00172B02"/>
    <w:rsid w:val="0017337F"/>
    <w:rsid w:val="0017414E"/>
    <w:rsid w:val="001742B9"/>
    <w:rsid w:val="00174687"/>
    <w:rsid w:val="0017468E"/>
    <w:rsid w:val="0017471C"/>
    <w:rsid w:val="00175427"/>
    <w:rsid w:val="00175D9D"/>
    <w:rsid w:val="00176B8A"/>
    <w:rsid w:val="00176EF5"/>
    <w:rsid w:val="00177771"/>
    <w:rsid w:val="0017784A"/>
    <w:rsid w:val="00177DB8"/>
    <w:rsid w:val="00177F75"/>
    <w:rsid w:val="001800BD"/>
    <w:rsid w:val="0018025B"/>
    <w:rsid w:val="0018081F"/>
    <w:rsid w:val="00180D78"/>
    <w:rsid w:val="0018153F"/>
    <w:rsid w:val="001815F5"/>
    <w:rsid w:val="00181776"/>
    <w:rsid w:val="00181AA7"/>
    <w:rsid w:val="00181C87"/>
    <w:rsid w:val="0018284D"/>
    <w:rsid w:val="00182B4D"/>
    <w:rsid w:val="00182CAE"/>
    <w:rsid w:val="00182D7A"/>
    <w:rsid w:val="00182E38"/>
    <w:rsid w:val="001840F8"/>
    <w:rsid w:val="0018428D"/>
    <w:rsid w:val="0018447F"/>
    <w:rsid w:val="0018478C"/>
    <w:rsid w:val="001847D2"/>
    <w:rsid w:val="00185318"/>
    <w:rsid w:val="00185A9C"/>
    <w:rsid w:val="00185EAC"/>
    <w:rsid w:val="00185ECE"/>
    <w:rsid w:val="00185EFA"/>
    <w:rsid w:val="00185F51"/>
    <w:rsid w:val="001862E7"/>
    <w:rsid w:val="001867CC"/>
    <w:rsid w:val="00186980"/>
    <w:rsid w:val="0018765C"/>
    <w:rsid w:val="0018768B"/>
    <w:rsid w:val="001876E5"/>
    <w:rsid w:val="00187FD8"/>
    <w:rsid w:val="001902B5"/>
    <w:rsid w:val="0019069E"/>
    <w:rsid w:val="001909E5"/>
    <w:rsid w:val="00190AB8"/>
    <w:rsid w:val="00191799"/>
    <w:rsid w:val="00191B91"/>
    <w:rsid w:val="00191BFF"/>
    <w:rsid w:val="00191FFD"/>
    <w:rsid w:val="00192074"/>
    <w:rsid w:val="001924E5"/>
    <w:rsid w:val="00192FE7"/>
    <w:rsid w:val="0019318A"/>
    <w:rsid w:val="001933F1"/>
    <w:rsid w:val="00193490"/>
    <w:rsid w:val="001940C5"/>
    <w:rsid w:val="001942C3"/>
    <w:rsid w:val="001943B9"/>
    <w:rsid w:val="001946EC"/>
    <w:rsid w:val="00194A70"/>
    <w:rsid w:val="00194EDC"/>
    <w:rsid w:val="001955F2"/>
    <w:rsid w:val="00195639"/>
    <w:rsid w:val="001956D5"/>
    <w:rsid w:val="001961E8"/>
    <w:rsid w:val="00197248"/>
    <w:rsid w:val="00197362"/>
    <w:rsid w:val="001974B0"/>
    <w:rsid w:val="00197683"/>
    <w:rsid w:val="001979CF"/>
    <w:rsid w:val="001A00E7"/>
    <w:rsid w:val="001A0796"/>
    <w:rsid w:val="001A09FB"/>
    <w:rsid w:val="001A0C83"/>
    <w:rsid w:val="001A0D86"/>
    <w:rsid w:val="001A120C"/>
    <w:rsid w:val="001A131F"/>
    <w:rsid w:val="001A14AF"/>
    <w:rsid w:val="001A1C31"/>
    <w:rsid w:val="001A1EE4"/>
    <w:rsid w:val="001A21D5"/>
    <w:rsid w:val="001A290C"/>
    <w:rsid w:val="001A33FE"/>
    <w:rsid w:val="001A36DF"/>
    <w:rsid w:val="001A3D8B"/>
    <w:rsid w:val="001A3DE7"/>
    <w:rsid w:val="001A424E"/>
    <w:rsid w:val="001A4BF2"/>
    <w:rsid w:val="001A515E"/>
    <w:rsid w:val="001A638F"/>
    <w:rsid w:val="001A6903"/>
    <w:rsid w:val="001A6A42"/>
    <w:rsid w:val="001A6BE5"/>
    <w:rsid w:val="001A6E56"/>
    <w:rsid w:val="001A71BD"/>
    <w:rsid w:val="001A7FAE"/>
    <w:rsid w:val="001B0179"/>
    <w:rsid w:val="001B0182"/>
    <w:rsid w:val="001B03E7"/>
    <w:rsid w:val="001B067D"/>
    <w:rsid w:val="001B0872"/>
    <w:rsid w:val="001B0BBB"/>
    <w:rsid w:val="001B10BF"/>
    <w:rsid w:val="001B1E44"/>
    <w:rsid w:val="001B2618"/>
    <w:rsid w:val="001B28E0"/>
    <w:rsid w:val="001B2F9F"/>
    <w:rsid w:val="001B3145"/>
    <w:rsid w:val="001B3516"/>
    <w:rsid w:val="001B3559"/>
    <w:rsid w:val="001B3B15"/>
    <w:rsid w:val="001B3E03"/>
    <w:rsid w:val="001B4471"/>
    <w:rsid w:val="001B45FC"/>
    <w:rsid w:val="001B4930"/>
    <w:rsid w:val="001B5396"/>
    <w:rsid w:val="001B5500"/>
    <w:rsid w:val="001B5A56"/>
    <w:rsid w:val="001B6038"/>
    <w:rsid w:val="001B64DD"/>
    <w:rsid w:val="001B7948"/>
    <w:rsid w:val="001B7969"/>
    <w:rsid w:val="001B7E7F"/>
    <w:rsid w:val="001C015D"/>
    <w:rsid w:val="001C0436"/>
    <w:rsid w:val="001C05CD"/>
    <w:rsid w:val="001C133C"/>
    <w:rsid w:val="001C19A4"/>
    <w:rsid w:val="001C1AB3"/>
    <w:rsid w:val="001C1E4D"/>
    <w:rsid w:val="001C2F59"/>
    <w:rsid w:val="001C3058"/>
    <w:rsid w:val="001C31B6"/>
    <w:rsid w:val="001C3AA8"/>
    <w:rsid w:val="001C4C39"/>
    <w:rsid w:val="001C4EEB"/>
    <w:rsid w:val="001C5161"/>
    <w:rsid w:val="001C567C"/>
    <w:rsid w:val="001C57A7"/>
    <w:rsid w:val="001C58E7"/>
    <w:rsid w:val="001C591D"/>
    <w:rsid w:val="001C5AEA"/>
    <w:rsid w:val="001C5FC1"/>
    <w:rsid w:val="001C65AE"/>
    <w:rsid w:val="001C69C4"/>
    <w:rsid w:val="001C6D56"/>
    <w:rsid w:val="001C71BE"/>
    <w:rsid w:val="001C72E8"/>
    <w:rsid w:val="001C751F"/>
    <w:rsid w:val="001C7F6D"/>
    <w:rsid w:val="001D0611"/>
    <w:rsid w:val="001D067E"/>
    <w:rsid w:val="001D06E6"/>
    <w:rsid w:val="001D0DA5"/>
    <w:rsid w:val="001D1866"/>
    <w:rsid w:val="001D1EAF"/>
    <w:rsid w:val="001D23C1"/>
    <w:rsid w:val="001D2F4C"/>
    <w:rsid w:val="001D3C9F"/>
    <w:rsid w:val="001D3F5B"/>
    <w:rsid w:val="001D3FA6"/>
    <w:rsid w:val="001D4856"/>
    <w:rsid w:val="001D49B1"/>
    <w:rsid w:val="001D4A0B"/>
    <w:rsid w:val="001D4B28"/>
    <w:rsid w:val="001D4F0F"/>
    <w:rsid w:val="001D50C0"/>
    <w:rsid w:val="001D53C3"/>
    <w:rsid w:val="001D58B2"/>
    <w:rsid w:val="001D5A59"/>
    <w:rsid w:val="001D5D4E"/>
    <w:rsid w:val="001D5FB3"/>
    <w:rsid w:val="001D6279"/>
    <w:rsid w:val="001D7100"/>
    <w:rsid w:val="001D71C4"/>
    <w:rsid w:val="001D7359"/>
    <w:rsid w:val="001D7A61"/>
    <w:rsid w:val="001E03AD"/>
    <w:rsid w:val="001E0924"/>
    <w:rsid w:val="001E09A5"/>
    <w:rsid w:val="001E0D04"/>
    <w:rsid w:val="001E0E02"/>
    <w:rsid w:val="001E119E"/>
    <w:rsid w:val="001E1368"/>
    <w:rsid w:val="001E14EE"/>
    <w:rsid w:val="001E1D11"/>
    <w:rsid w:val="001E1F6F"/>
    <w:rsid w:val="001E2278"/>
    <w:rsid w:val="001E2896"/>
    <w:rsid w:val="001E2973"/>
    <w:rsid w:val="001E2F39"/>
    <w:rsid w:val="001E331D"/>
    <w:rsid w:val="001E33C4"/>
    <w:rsid w:val="001E36CA"/>
    <w:rsid w:val="001E3CCA"/>
    <w:rsid w:val="001E4B1A"/>
    <w:rsid w:val="001E4B59"/>
    <w:rsid w:val="001E4B76"/>
    <w:rsid w:val="001E4B81"/>
    <w:rsid w:val="001E4C28"/>
    <w:rsid w:val="001E544E"/>
    <w:rsid w:val="001E5BDA"/>
    <w:rsid w:val="001E5E10"/>
    <w:rsid w:val="001E615B"/>
    <w:rsid w:val="001E6499"/>
    <w:rsid w:val="001E695F"/>
    <w:rsid w:val="001E6A85"/>
    <w:rsid w:val="001E6D92"/>
    <w:rsid w:val="001E707E"/>
    <w:rsid w:val="001E7A9C"/>
    <w:rsid w:val="001F00E9"/>
    <w:rsid w:val="001F08B7"/>
    <w:rsid w:val="001F09CC"/>
    <w:rsid w:val="001F0B94"/>
    <w:rsid w:val="001F0CD5"/>
    <w:rsid w:val="001F101A"/>
    <w:rsid w:val="001F136D"/>
    <w:rsid w:val="001F1CFE"/>
    <w:rsid w:val="001F1F1A"/>
    <w:rsid w:val="001F2821"/>
    <w:rsid w:val="001F2841"/>
    <w:rsid w:val="001F2E4B"/>
    <w:rsid w:val="001F2FFB"/>
    <w:rsid w:val="001F3024"/>
    <w:rsid w:val="001F326C"/>
    <w:rsid w:val="001F3500"/>
    <w:rsid w:val="001F3719"/>
    <w:rsid w:val="001F3B4E"/>
    <w:rsid w:val="001F3B68"/>
    <w:rsid w:val="001F3E90"/>
    <w:rsid w:val="001F3F3E"/>
    <w:rsid w:val="001F40A8"/>
    <w:rsid w:val="001F43DC"/>
    <w:rsid w:val="001F476F"/>
    <w:rsid w:val="001F4F14"/>
    <w:rsid w:val="001F54D5"/>
    <w:rsid w:val="001F5677"/>
    <w:rsid w:val="001F58BB"/>
    <w:rsid w:val="001F5D92"/>
    <w:rsid w:val="001F6657"/>
    <w:rsid w:val="001F7324"/>
    <w:rsid w:val="001F73E7"/>
    <w:rsid w:val="001F75E7"/>
    <w:rsid w:val="001F7CF7"/>
    <w:rsid w:val="00200890"/>
    <w:rsid w:val="00200B3F"/>
    <w:rsid w:val="00200D83"/>
    <w:rsid w:val="00201B7C"/>
    <w:rsid w:val="00201F2B"/>
    <w:rsid w:val="00201FFE"/>
    <w:rsid w:val="0020252A"/>
    <w:rsid w:val="00202F71"/>
    <w:rsid w:val="0020370F"/>
    <w:rsid w:val="00203873"/>
    <w:rsid w:val="00203E02"/>
    <w:rsid w:val="00204061"/>
    <w:rsid w:val="0020469F"/>
    <w:rsid w:val="00204D0A"/>
    <w:rsid w:val="00205408"/>
    <w:rsid w:val="002055DC"/>
    <w:rsid w:val="00205B61"/>
    <w:rsid w:val="00205F41"/>
    <w:rsid w:val="002064D8"/>
    <w:rsid w:val="00206B65"/>
    <w:rsid w:val="00206B86"/>
    <w:rsid w:val="00206E16"/>
    <w:rsid w:val="00206EB3"/>
    <w:rsid w:val="00207035"/>
    <w:rsid w:val="00207165"/>
    <w:rsid w:val="00207868"/>
    <w:rsid w:val="002102BE"/>
    <w:rsid w:val="00210372"/>
    <w:rsid w:val="00211A62"/>
    <w:rsid w:val="00211BB7"/>
    <w:rsid w:val="00211DA6"/>
    <w:rsid w:val="00211DC7"/>
    <w:rsid w:val="00212109"/>
    <w:rsid w:val="00212218"/>
    <w:rsid w:val="0021233B"/>
    <w:rsid w:val="00212701"/>
    <w:rsid w:val="00212C50"/>
    <w:rsid w:val="002130CB"/>
    <w:rsid w:val="0021328C"/>
    <w:rsid w:val="00213721"/>
    <w:rsid w:val="00214768"/>
    <w:rsid w:val="0021479B"/>
    <w:rsid w:val="00215075"/>
    <w:rsid w:val="002150D5"/>
    <w:rsid w:val="00215840"/>
    <w:rsid w:val="0021618E"/>
    <w:rsid w:val="0021619F"/>
    <w:rsid w:val="0021622E"/>
    <w:rsid w:val="0021670F"/>
    <w:rsid w:val="00216969"/>
    <w:rsid w:val="00216B64"/>
    <w:rsid w:val="00216E1C"/>
    <w:rsid w:val="002172A3"/>
    <w:rsid w:val="00217482"/>
    <w:rsid w:val="00217843"/>
    <w:rsid w:val="00217CD2"/>
    <w:rsid w:val="00217E5F"/>
    <w:rsid w:val="00220287"/>
    <w:rsid w:val="002202BE"/>
    <w:rsid w:val="00220385"/>
    <w:rsid w:val="00220512"/>
    <w:rsid w:val="0022052A"/>
    <w:rsid w:val="0022081A"/>
    <w:rsid w:val="00221DD1"/>
    <w:rsid w:val="002221B6"/>
    <w:rsid w:val="002226AC"/>
    <w:rsid w:val="00222768"/>
    <w:rsid w:val="0022298C"/>
    <w:rsid w:val="0022336C"/>
    <w:rsid w:val="002233BB"/>
    <w:rsid w:val="002237E7"/>
    <w:rsid w:val="002238CE"/>
    <w:rsid w:val="00223A6B"/>
    <w:rsid w:val="0022467D"/>
    <w:rsid w:val="0022473E"/>
    <w:rsid w:val="00224CE3"/>
    <w:rsid w:val="002251A1"/>
    <w:rsid w:val="002252E7"/>
    <w:rsid w:val="00225506"/>
    <w:rsid w:val="0022557F"/>
    <w:rsid w:val="002257B6"/>
    <w:rsid w:val="00225B12"/>
    <w:rsid w:val="00225BAA"/>
    <w:rsid w:val="0022627B"/>
    <w:rsid w:val="0022635E"/>
    <w:rsid w:val="0022670F"/>
    <w:rsid w:val="0022672E"/>
    <w:rsid w:val="002267DE"/>
    <w:rsid w:val="00226BFC"/>
    <w:rsid w:val="002274AF"/>
    <w:rsid w:val="002278E8"/>
    <w:rsid w:val="00227A6B"/>
    <w:rsid w:val="00230AEA"/>
    <w:rsid w:val="00230F9F"/>
    <w:rsid w:val="00230FF5"/>
    <w:rsid w:val="002312DE"/>
    <w:rsid w:val="0023130B"/>
    <w:rsid w:val="00231591"/>
    <w:rsid w:val="002315F3"/>
    <w:rsid w:val="002317E6"/>
    <w:rsid w:val="00231EE2"/>
    <w:rsid w:val="00232119"/>
    <w:rsid w:val="002321A9"/>
    <w:rsid w:val="00232563"/>
    <w:rsid w:val="002329CC"/>
    <w:rsid w:val="00232C1D"/>
    <w:rsid w:val="002333ED"/>
    <w:rsid w:val="0023345E"/>
    <w:rsid w:val="002335CD"/>
    <w:rsid w:val="0023369E"/>
    <w:rsid w:val="00233B48"/>
    <w:rsid w:val="00233C53"/>
    <w:rsid w:val="002341BF"/>
    <w:rsid w:val="00234AF7"/>
    <w:rsid w:val="00234FAB"/>
    <w:rsid w:val="00235865"/>
    <w:rsid w:val="00235909"/>
    <w:rsid w:val="00235985"/>
    <w:rsid w:val="00236272"/>
    <w:rsid w:val="002366D2"/>
    <w:rsid w:val="00236720"/>
    <w:rsid w:val="002372CB"/>
    <w:rsid w:val="00237530"/>
    <w:rsid w:val="00237941"/>
    <w:rsid w:val="00237CC5"/>
    <w:rsid w:val="00237F67"/>
    <w:rsid w:val="002407BA"/>
    <w:rsid w:val="00240EEB"/>
    <w:rsid w:val="002417B1"/>
    <w:rsid w:val="00241ABD"/>
    <w:rsid w:val="00241AD4"/>
    <w:rsid w:val="00241C15"/>
    <w:rsid w:val="00242318"/>
    <w:rsid w:val="002425BD"/>
    <w:rsid w:val="002425E0"/>
    <w:rsid w:val="00242E1D"/>
    <w:rsid w:val="00243271"/>
    <w:rsid w:val="002435F1"/>
    <w:rsid w:val="00243C6D"/>
    <w:rsid w:val="00243E3F"/>
    <w:rsid w:val="00244E35"/>
    <w:rsid w:val="00244E4F"/>
    <w:rsid w:val="00245127"/>
    <w:rsid w:val="002452C7"/>
    <w:rsid w:val="00245419"/>
    <w:rsid w:val="0024586D"/>
    <w:rsid w:val="00245E13"/>
    <w:rsid w:val="00245EC4"/>
    <w:rsid w:val="0024627B"/>
    <w:rsid w:val="002468CE"/>
    <w:rsid w:val="0024693E"/>
    <w:rsid w:val="00247373"/>
    <w:rsid w:val="00250043"/>
    <w:rsid w:val="0025101A"/>
    <w:rsid w:val="002511B9"/>
    <w:rsid w:val="00251796"/>
    <w:rsid w:val="00251DD8"/>
    <w:rsid w:val="0025253D"/>
    <w:rsid w:val="00252773"/>
    <w:rsid w:val="002528FA"/>
    <w:rsid w:val="00252FDC"/>
    <w:rsid w:val="00253179"/>
    <w:rsid w:val="00253742"/>
    <w:rsid w:val="00253BEF"/>
    <w:rsid w:val="00254036"/>
    <w:rsid w:val="0025411A"/>
    <w:rsid w:val="0025544C"/>
    <w:rsid w:val="0025564F"/>
    <w:rsid w:val="002560BD"/>
    <w:rsid w:val="002563DD"/>
    <w:rsid w:val="002567C7"/>
    <w:rsid w:val="00256856"/>
    <w:rsid w:val="002568EB"/>
    <w:rsid w:val="00256E38"/>
    <w:rsid w:val="00256E9F"/>
    <w:rsid w:val="00257322"/>
    <w:rsid w:val="0025746C"/>
    <w:rsid w:val="00257778"/>
    <w:rsid w:val="00257949"/>
    <w:rsid w:val="00257D5F"/>
    <w:rsid w:val="00260022"/>
    <w:rsid w:val="002608B7"/>
    <w:rsid w:val="002608BB"/>
    <w:rsid w:val="00260C58"/>
    <w:rsid w:val="00261168"/>
    <w:rsid w:val="002617E7"/>
    <w:rsid w:val="0026185E"/>
    <w:rsid w:val="00261905"/>
    <w:rsid w:val="002627DB"/>
    <w:rsid w:val="00262A8D"/>
    <w:rsid w:val="00262DC9"/>
    <w:rsid w:val="00262E39"/>
    <w:rsid w:val="00262F94"/>
    <w:rsid w:val="0026305E"/>
    <w:rsid w:val="00263921"/>
    <w:rsid w:val="002639C4"/>
    <w:rsid w:val="00263A1E"/>
    <w:rsid w:val="00263EA8"/>
    <w:rsid w:val="00264431"/>
    <w:rsid w:val="00264734"/>
    <w:rsid w:val="00264977"/>
    <w:rsid w:val="00265093"/>
    <w:rsid w:val="00265413"/>
    <w:rsid w:val="00265A29"/>
    <w:rsid w:val="002660BD"/>
    <w:rsid w:val="002660E1"/>
    <w:rsid w:val="00266123"/>
    <w:rsid w:val="0026667F"/>
    <w:rsid w:val="00266801"/>
    <w:rsid w:val="00266A03"/>
    <w:rsid w:val="00266B1A"/>
    <w:rsid w:val="00266D09"/>
    <w:rsid w:val="00266DE2"/>
    <w:rsid w:val="00266FA1"/>
    <w:rsid w:val="00266FD2"/>
    <w:rsid w:val="002678CC"/>
    <w:rsid w:val="00267945"/>
    <w:rsid w:val="00267996"/>
    <w:rsid w:val="00267DBC"/>
    <w:rsid w:val="00270344"/>
    <w:rsid w:val="00270A71"/>
    <w:rsid w:val="00270CB8"/>
    <w:rsid w:val="00270D6F"/>
    <w:rsid w:val="00271521"/>
    <w:rsid w:val="002716BE"/>
    <w:rsid w:val="00271CC3"/>
    <w:rsid w:val="00271EA2"/>
    <w:rsid w:val="00272009"/>
    <w:rsid w:val="002725D9"/>
    <w:rsid w:val="00272785"/>
    <w:rsid w:val="00272B9B"/>
    <w:rsid w:val="00272DB5"/>
    <w:rsid w:val="002733E5"/>
    <w:rsid w:val="002734B6"/>
    <w:rsid w:val="00274525"/>
    <w:rsid w:val="00274B80"/>
    <w:rsid w:val="002753BA"/>
    <w:rsid w:val="0027567A"/>
    <w:rsid w:val="00275B66"/>
    <w:rsid w:val="00275DA9"/>
    <w:rsid w:val="0027620A"/>
    <w:rsid w:val="00276234"/>
    <w:rsid w:val="002764C4"/>
    <w:rsid w:val="002768BA"/>
    <w:rsid w:val="002769AB"/>
    <w:rsid w:val="002770E8"/>
    <w:rsid w:val="00277366"/>
    <w:rsid w:val="00277870"/>
    <w:rsid w:val="00277B60"/>
    <w:rsid w:val="00277F3D"/>
    <w:rsid w:val="002806AC"/>
    <w:rsid w:val="002808F8"/>
    <w:rsid w:val="00280934"/>
    <w:rsid w:val="00280EC1"/>
    <w:rsid w:val="00281070"/>
    <w:rsid w:val="0028108B"/>
    <w:rsid w:val="002810C0"/>
    <w:rsid w:val="002812CC"/>
    <w:rsid w:val="00281615"/>
    <w:rsid w:val="00281ADB"/>
    <w:rsid w:val="00281AF3"/>
    <w:rsid w:val="00281B34"/>
    <w:rsid w:val="00282D1C"/>
    <w:rsid w:val="0028321B"/>
    <w:rsid w:val="002837BE"/>
    <w:rsid w:val="00283E11"/>
    <w:rsid w:val="00283F03"/>
    <w:rsid w:val="00284758"/>
    <w:rsid w:val="00284903"/>
    <w:rsid w:val="00284C4C"/>
    <w:rsid w:val="0028512D"/>
    <w:rsid w:val="00285A14"/>
    <w:rsid w:val="00285C7B"/>
    <w:rsid w:val="00285E97"/>
    <w:rsid w:val="002866BE"/>
    <w:rsid w:val="00286A02"/>
    <w:rsid w:val="00287248"/>
    <w:rsid w:val="002873C5"/>
    <w:rsid w:val="0028761D"/>
    <w:rsid w:val="00287711"/>
    <w:rsid w:val="00287881"/>
    <w:rsid w:val="00287A9F"/>
    <w:rsid w:val="00287E67"/>
    <w:rsid w:val="0029053C"/>
    <w:rsid w:val="0029094D"/>
    <w:rsid w:val="00290AD3"/>
    <w:rsid w:val="00290C94"/>
    <w:rsid w:val="002919E8"/>
    <w:rsid w:val="00291B45"/>
    <w:rsid w:val="00291EA0"/>
    <w:rsid w:val="00291EBD"/>
    <w:rsid w:val="00292EAF"/>
    <w:rsid w:val="00293A91"/>
    <w:rsid w:val="00293FF9"/>
    <w:rsid w:val="00294423"/>
    <w:rsid w:val="0029447F"/>
    <w:rsid w:val="002945FF"/>
    <w:rsid w:val="00294FC7"/>
    <w:rsid w:val="00295129"/>
    <w:rsid w:val="002955A3"/>
    <w:rsid w:val="00295612"/>
    <w:rsid w:val="00295C9C"/>
    <w:rsid w:val="002960E4"/>
    <w:rsid w:val="002963DD"/>
    <w:rsid w:val="00296524"/>
    <w:rsid w:val="00296705"/>
    <w:rsid w:val="00296A46"/>
    <w:rsid w:val="00296A49"/>
    <w:rsid w:val="00296ACF"/>
    <w:rsid w:val="00297020"/>
    <w:rsid w:val="002970FB"/>
    <w:rsid w:val="00297250"/>
    <w:rsid w:val="00297343"/>
    <w:rsid w:val="002975F0"/>
    <w:rsid w:val="00297B61"/>
    <w:rsid w:val="00297F35"/>
    <w:rsid w:val="002A08F0"/>
    <w:rsid w:val="002A0CB1"/>
    <w:rsid w:val="002A13BC"/>
    <w:rsid w:val="002A1D49"/>
    <w:rsid w:val="002A1D75"/>
    <w:rsid w:val="002A2B17"/>
    <w:rsid w:val="002A3570"/>
    <w:rsid w:val="002A38F9"/>
    <w:rsid w:val="002A4048"/>
    <w:rsid w:val="002A42D7"/>
    <w:rsid w:val="002A4332"/>
    <w:rsid w:val="002A434D"/>
    <w:rsid w:val="002A47F8"/>
    <w:rsid w:val="002A48C9"/>
    <w:rsid w:val="002A4F5F"/>
    <w:rsid w:val="002A5ACB"/>
    <w:rsid w:val="002A5CF7"/>
    <w:rsid w:val="002A6122"/>
    <w:rsid w:val="002A62CB"/>
    <w:rsid w:val="002A705A"/>
    <w:rsid w:val="002A7C7B"/>
    <w:rsid w:val="002B0020"/>
    <w:rsid w:val="002B0062"/>
    <w:rsid w:val="002B0BE0"/>
    <w:rsid w:val="002B0DFB"/>
    <w:rsid w:val="002B1304"/>
    <w:rsid w:val="002B1CE3"/>
    <w:rsid w:val="002B20AC"/>
    <w:rsid w:val="002B2225"/>
    <w:rsid w:val="002B22A4"/>
    <w:rsid w:val="002B29CA"/>
    <w:rsid w:val="002B2AC3"/>
    <w:rsid w:val="002B31DB"/>
    <w:rsid w:val="002B3895"/>
    <w:rsid w:val="002B3D7A"/>
    <w:rsid w:val="002B3F87"/>
    <w:rsid w:val="002B404D"/>
    <w:rsid w:val="002B4451"/>
    <w:rsid w:val="002B4AA8"/>
    <w:rsid w:val="002B4E6A"/>
    <w:rsid w:val="002B50BB"/>
    <w:rsid w:val="002B5205"/>
    <w:rsid w:val="002B5365"/>
    <w:rsid w:val="002B5376"/>
    <w:rsid w:val="002B54A8"/>
    <w:rsid w:val="002B5B76"/>
    <w:rsid w:val="002B5CA4"/>
    <w:rsid w:val="002B6562"/>
    <w:rsid w:val="002B6AE7"/>
    <w:rsid w:val="002B6F2C"/>
    <w:rsid w:val="002B6FA4"/>
    <w:rsid w:val="002B71AD"/>
    <w:rsid w:val="002B71B7"/>
    <w:rsid w:val="002B7614"/>
    <w:rsid w:val="002B7B9F"/>
    <w:rsid w:val="002B7CCD"/>
    <w:rsid w:val="002B7CD7"/>
    <w:rsid w:val="002B7CF6"/>
    <w:rsid w:val="002C00AC"/>
    <w:rsid w:val="002C0BEC"/>
    <w:rsid w:val="002C1507"/>
    <w:rsid w:val="002C1E4A"/>
    <w:rsid w:val="002C2257"/>
    <w:rsid w:val="002C2558"/>
    <w:rsid w:val="002C269A"/>
    <w:rsid w:val="002C2ABD"/>
    <w:rsid w:val="002C3589"/>
    <w:rsid w:val="002C3951"/>
    <w:rsid w:val="002C446F"/>
    <w:rsid w:val="002C4EF8"/>
    <w:rsid w:val="002C4F60"/>
    <w:rsid w:val="002C5932"/>
    <w:rsid w:val="002C616F"/>
    <w:rsid w:val="002C66D7"/>
    <w:rsid w:val="002C6747"/>
    <w:rsid w:val="002C6A96"/>
    <w:rsid w:val="002C6E5C"/>
    <w:rsid w:val="002C6FEA"/>
    <w:rsid w:val="002C74A3"/>
    <w:rsid w:val="002C7543"/>
    <w:rsid w:val="002C76B3"/>
    <w:rsid w:val="002D0592"/>
    <w:rsid w:val="002D064A"/>
    <w:rsid w:val="002D0ADD"/>
    <w:rsid w:val="002D13CF"/>
    <w:rsid w:val="002D27FE"/>
    <w:rsid w:val="002D286C"/>
    <w:rsid w:val="002D297A"/>
    <w:rsid w:val="002D3672"/>
    <w:rsid w:val="002D3C07"/>
    <w:rsid w:val="002D404E"/>
    <w:rsid w:val="002D443E"/>
    <w:rsid w:val="002D4625"/>
    <w:rsid w:val="002D470C"/>
    <w:rsid w:val="002D48A4"/>
    <w:rsid w:val="002D4BB2"/>
    <w:rsid w:val="002D5308"/>
    <w:rsid w:val="002D58C6"/>
    <w:rsid w:val="002D62E3"/>
    <w:rsid w:val="002D6A81"/>
    <w:rsid w:val="002D6AA8"/>
    <w:rsid w:val="002D6AF9"/>
    <w:rsid w:val="002D6B15"/>
    <w:rsid w:val="002D6EBC"/>
    <w:rsid w:val="002D7392"/>
    <w:rsid w:val="002D7C75"/>
    <w:rsid w:val="002D7DCC"/>
    <w:rsid w:val="002D7E84"/>
    <w:rsid w:val="002E202B"/>
    <w:rsid w:val="002E24BE"/>
    <w:rsid w:val="002E25BC"/>
    <w:rsid w:val="002E2668"/>
    <w:rsid w:val="002E2B8E"/>
    <w:rsid w:val="002E2CC4"/>
    <w:rsid w:val="002E2E2C"/>
    <w:rsid w:val="002E32D7"/>
    <w:rsid w:val="002E330D"/>
    <w:rsid w:val="002E335D"/>
    <w:rsid w:val="002E35E8"/>
    <w:rsid w:val="002E3688"/>
    <w:rsid w:val="002E36A0"/>
    <w:rsid w:val="002E3752"/>
    <w:rsid w:val="002E3D59"/>
    <w:rsid w:val="002E3EE9"/>
    <w:rsid w:val="002E41B3"/>
    <w:rsid w:val="002E48B2"/>
    <w:rsid w:val="002E49C7"/>
    <w:rsid w:val="002E4D67"/>
    <w:rsid w:val="002E4DF2"/>
    <w:rsid w:val="002E5590"/>
    <w:rsid w:val="002E5ECB"/>
    <w:rsid w:val="002E6314"/>
    <w:rsid w:val="002E6A71"/>
    <w:rsid w:val="002E6E1E"/>
    <w:rsid w:val="002E7635"/>
    <w:rsid w:val="002E7E70"/>
    <w:rsid w:val="002F01C7"/>
    <w:rsid w:val="002F0260"/>
    <w:rsid w:val="002F02FC"/>
    <w:rsid w:val="002F09E1"/>
    <w:rsid w:val="002F12AB"/>
    <w:rsid w:val="002F1BA8"/>
    <w:rsid w:val="002F1DB3"/>
    <w:rsid w:val="002F23AA"/>
    <w:rsid w:val="002F25A6"/>
    <w:rsid w:val="002F2A2A"/>
    <w:rsid w:val="002F2CE4"/>
    <w:rsid w:val="002F3550"/>
    <w:rsid w:val="002F356F"/>
    <w:rsid w:val="002F36AC"/>
    <w:rsid w:val="002F3BDA"/>
    <w:rsid w:val="002F3CB2"/>
    <w:rsid w:val="002F3DF9"/>
    <w:rsid w:val="002F4CEB"/>
    <w:rsid w:val="002F4D36"/>
    <w:rsid w:val="002F55A4"/>
    <w:rsid w:val="002F561F"/>
    <w:rsid w:val="002F5DEA"/>
    <w:rsid w:val="002F6195"/>
    <w:rsid w:val="002F6765"/>
    <w:rsid w:val="002F7259"/>
    <w:rsid w:val="002F7343"/>
    <w:rsid w:val="002F760E"/>
    <w:rsid w:val="002F77C4"/>
    <w:rsid w:val="002F7C82"/>
    <w:rsid w:val="002F7F00"/>
    <w:rsid w:val="0030026A"/>
    <w:rsid w:val="00300385"/>
    <w:rsid w:val="0030088C"/>
    <w:rsid w:val="00300929"/>
    <w:rsid w:val="003009B0"/>
    <w:rsid w:val="003011AA"/>
    <w:rsid w:val="00301601"/>
    <w:rsid w:val="00301C5D"/>
    <w:rsid w:val="00301F18"/>
    <w:rsid w:val="00301FF2"/>
    <w:rsid w:val="0030203F"/>
    <w:rsid w:val="00302BE0"/>
    <w:rsid w:val="00302EA5"/>
    <w:rsid w:val="00303640"/>
    <w:rsid w:val="003038B7"/>
    <w:rsid w:val="003046EB"/>
    <w:rsid w:val="00304F2F"/>
    <w:rsid w:val="0030549D"/>
    <w:rsid w:val="0030571D"/>
    <w:rsid w:val="003059A6"/>
    <w:rsid w:val="00305D7D"/>
    <w:rsid w:val="00305E7D"/>
    <w:rsid w:val="00306216"/>
    <w:rsid w:val="0030622C"/>
    <w:rsid w:val="00307817"/>
    <w:rsid w:val="00307980"/>
    <w:rsid w:val="003079EE"/>
    <w:rsid w:val="00307F6A"/>
    <w:rsid w:val="00307F89"/>
    <w:rsid w:val="00307FED"/>
    <w:rsid w:val="00310185"/>
    <w:rsid w:val="00310400"/>
    <w:rsid w:val="00310E69"/>
    <w:rsid w:val="003112EA"/>
    <w:rsid w:val="0031212D"/>
    <w:rsid w:val="00312179"/>
    <w:rsid w:val="0031277F"/>
    <w:rsid w:val="00312861"/>
    <w:rsid w:val="00312FDE"/>
    <w:rsid w:val="00313D29"/>
    <w:rsid w:val="00313E52"/>
    <w:rsid w:val="00313E68"/>
    <w:rsid w:val="00313F68"/>
    <w:rsid w:val="00314579"/>
    <w:rsid w:val="0031491C"/>
    <w:rsid w:val="00314AC0"/>
    <w:rsid w:val="00314F1B"/>
    <w:rsid w:val="00315139"/>
    <w:rsid w:val="003152CE"/>
    <w:rsid w:val="003156A0"/>
    <w:rsid w:val="003156B7"/>
    <w:rsid w:val="003159A0"/>
    <w:rsid w:val="00315C63"/>
    <w:rsid w:val="00315D4C"/>
    <w:rsid w:val="003162ED"/>
    <w:rsid w:val="0031640D"/>
    <w:rsid w:val="00317135"/>
    <w:rsid w:val="0031769F"/>
    <w:rsid w:val="00317775"/>
    <w:rsid w:val="00320061"/>
    <w:rsid w:val="00320089"/>
    <w:rsid w:val="0032032F"/>
    <w:rsid w:val="00320693"/>
    <w:rsid w:val="00320730"/>
    <w:rsid w:val="00320A98"/>
    <w:rsid w:val="00321310"/>
    <w:rsid w:val="0032195A"/>
    <w:rsid w:val="00322458"/>
    <w:rsid w:val="0032254D"/>
    <w:rsid w:val="00322556"/>
    <w:rsid w:val="003225DC"/>
    <w:rsid w:val="003229C9"/>
    <w:rsid w:val="0032350B"/>
    <w:rsid w:val="00323E15"/>
    <w:rsid w:val="003240D3"/>
    <w:rsid w:val="003242D3"/>
    <w:rsid w:val="00324C2A"/>
    <w:rsid w:val="00324ED1"/>
    <w:rsid w:val="00325403"/>
    <w:rsid w:val="003257D6"/>
    <w:rsid w:val="0032582A"/>
    <w:rsid w:val="00325AD8"/>
    <w:rsid w:val="00325C56"/>
    <w:rsid w:val="00325D97"/>
    <w:rsid w:val="00326428"/>
    <w:rsid w:val="0032657E"/>
    <w:rsid w:val="003269A2"/>
    <w:rsid w:val="003270D7"/>
    <w:rsid w:val="0032764D"/>
    <w:rsid w:val="003278E4"/>
    <w:rsid w:val="00327A96"/>
    <w:rsid w:val="00327EC5"/>
    <w:rsid w:val="00330E40"/>
    <w:rsid w:val="003314DF"/>
    <w:rsid w:val="0033200A"/>
    <w:rsid w:val="003320C9"/>
    <w:rsid w:val="003322A4"/>
    <w:rsid w:val="00332456"/>
    <w:rsid w:val="00332511"/>
    <w:rsid w:val="003326FD"/>
    <w:rsid w:val="00332B22"/>
    <w:rsid w:val="00332DB9"/>
    <w:rsid w:val="00333539"/>
    <w:rsid w:val="00333982"/>
    <w:rsid w:val="00333C8A"/>
    <w:rsid w:val="00333CD6"/>
    <w:rsid w:val="00333CF7"/>
    <w:rsid w:val="00334C8D"/>
    <w:rsid w:val="00334E2D"/>
    <w:rsid w:val="00334EDC"/>
    <w:rsid w:val="003352F5"/>
    <w:rsid w:val="003355C2"/>
    <w:rsid w:val="0033586F"/>
    <w:rsid w:val="00335D44"/>
    <w:rsid w:val="003362F3"/>
    <w:rsid w:val="00336B43"/>
    <w:rsid w:val="003370CC"/>
    <w:rsid w:val="00337256"/>
    <w:rsid w:val="0033753A"/>
    <w:rsid w:val="00337788"/>
    <w:rsid w:val="003379A1"/>
    <w:rsid w:val="003379F9"/>
    <w:rsid w:val="00337FED"/>
    <w:rsid w:val="00340191"/>
    <w:rsid w:val="00340E83"/>
    <w:rsid w:val="003410B3"/>
    <w:rsid w:val="003417A1"/>
    <w:rsid w:val="00342576"/>
    <w:rsid w:val="00342B57"/>
    <w:rsid w:val="00343600"/>
    <w:rsid w:val="0034361C"/>
    <w:rsid w:val="00343665"/>
    <w:rsid w:val="00343A63"/>
    <w:rsid w:val="00343B4D"/>
    <w:rsid w:val="00344DA8"/>
    <w:rsid w:val="00345394"/>
    <w:rsid w:val="00345489"/>
    <w:rsid w:val="00345973"/>
    <w:rsid w:val="00345C50"/>
    <w:rsid w:val="00346A32"/>
    <w:rsid w:val="00346EA9"/>
    <w:rsid w:val="0034732F"/>
    <w:rsid w:val="00347870"/>
    <w:rsid w:val="00347E21"/>
    <w:rsid w:val="0035051F"/>
    <w:rsid w:val="0035095E"/>
    <w:rsid w:val="00351009"/>
    <w:rsid w:val="00351055"/>
    <w:rsid w:val="003514FD"/>
    <w:rsid w:val="00351607"/>
    <w:rsid w:val="003516FE"/>
    <w:rsid w:val="00351744"/>
    <w:rsid w:val="00351C12"/>
    <w:rsid w:val="00351F9B"/>
    <w:rsid w:val="003524D6"/>
    <w:rsid w:val="00352E68"/>
    <w:rsid w:val="003530A2"/>
    <w:rsid w:val="00353100"/>
    <w:rsid w:val="0035338E"/>
    <w:rsid w:val="003533B7"/>
    <w:rsid w:val="00353425"/>
    <w:rsid w:val="0035392E"/>
    <w:rsid w:val="00353FD6"/>
    <w:rsid w:val="00354110"/>
    <w:rsid w:val="00354547"/>
    <w:rsid w:val="0035609C"/>
    <w:rsid w:val="003566D8"/>
    <w:rsid w:val="00357069"/>
    <w:rsid w:val="003571EE"/>
    <w:rsid w:val="00357367"/>
    <w:rsid w:val="00357FAB"/>
    <w:rsid w:val="003600C0"/>
    <w:rsid w:val="003604F3"/>
    <w:rsid w:val="00360E68"/>
    <w:rsid w:val="00360FD7"/>
    <w:rsid w:val="00361366"/>
    <w:rsid w:val="00361801"/>
    <w:rsid w:val="00361967"/>
    <w:rsid w:val="00361FCE"/>
    <w:rsid w:val="00362038"/>
    <w:rsid w:val="003620A0"/>
    <w:rsid w:val="00362368"/>
    <w:rsid w:val="00362A79"/>
    <w:rsid w:val="00362C6E"/>
    <w:rsid w:val="00363562"/>
    <w:rsid w:val="00364C8F"/>
    <w:rsid w:val="00364CAA"/>
    <w:rsid w:val="003650C6"/>
    <w:rsid w:val="00365215"/>
    <w:rsid w:val="00365545"/>
    <w:rsid w:val="00365783"/>
    <w:rsid w:val="003657C9"/>
    <w:rsid w:val="00365C77"/>
    <w:rsid w:val="00365D5A"/>
    <w:rsid w:val="00365E8F"/>
    <w:rsid w:val="00365F68"/>
    <w:rsid w:val="003663B3"/>
    <w:rsid w:val="0036645B"/>
    <w:rsid w:val="00366576"/>
    <w:rsid w:val="00366867"/>
    <w:rsid w:val="00366A53"/>
    <w:rsid w:val="0036700F"/>
    <w:rsid w:val="003671EA"/>
    <w:rsid w:val="003677C2"/>
    <w:rsid w:val="00367A10"/>
    <w:rsid w:val="003701E5"/>
    <w:rsid w:val="00370E6D"/>
    <w:rsid w:val="00370FD4"/>
    <w:rsid w:val="003713E3"/>
    <w:rsid w:val="00371596"/>
    <w:rsid w:val="00371789"/>
    <w:rsid w:val="00371A41"/>
    <w:rsid w:val="00371B92"/>
    <w:rsid w:val="00371B9D"/>
    <w:rsid w:val="00371C1E"/>
    <w:rsid w:val="003721AA"/>
    <w:rsid w:val="00372263"/>
    <w:rsid w:val="003725AC"/>
    <w:rsid w:val="0037278C"/>
    <w:rsid w:val="00372871"/>
    <w:rsid w:val="00372EBD"/>
    <w:rsid w:val="003730E6"/>
    <w:rsid w:val="00373875"/>
    <w:rsid w:val="00373AEA"/>
    <w:rsid w:val="00373C0C"/>
    <w:rsid w:val="0037409D"/>
    <w:rsid w:val="003740F1"/>
    <w:rsid w:val="003744C0"/>
    <w:rsid w:val="003749A2"/>
    <w:rsid w:val="00374A93"/>
    <w:rsid w:val="00374C74"/>
    <w:rsid w:val="00374D3C"/>
    <w:rsid w:val="00375565"/>
    <w:rsid w:val="00375C9C"/>
    <w:rsid w:val="00376018"/>
    <w:rsid w:val="003761C4"/>
    <w:rsid w:val="00376326"/>
    <w:rsid w:val="003763E3"/>
    <w:rsid w:val="0037656B"/>
    <w:rsid w:val="00376ABA"/>
    <w:rsid w:val="00376B53"/>
    <w:rsid w:val="00377330"/>
    <w:rsid w:val="003778A7"/>
    <w:rsid w:val="00377C3E"/>
    <w:rsid w:val="003805A2"/>
    <w:rsid w:val="003805D4"/>
    <w:rsid w:val="0038084D"/>
    <w:rsid w:val="00381EC1"/>
    <w:rsid w:val="0038263F"/>
    <w:rsid w:val="00382699"/>
    <w:rsid w:val="0038287C"/>
    <w:rsid w:val="00382886"/>
    <w:rsid w:val="00382C17"/>
    <w:rsid w:val="0038334A"/>
    <w:rsid w:val="00383811"/>
    <w:rsid w:val="003838AC"/>
    <w:rsid w:val="0038443D"/>
    <w:rsid w:val="0038448C"/>
    <w:rsid w:val="0038461D"/>
    <w:rsid w:val="00384792"/>
    <w:rsid w:val="003847F6"/>
    <w:rsid w:val="00384E27"/>
    <w:rsid w:val="00384EE3"/>
    <w:rsid w:val="0038598E"/>
    <w:rsid w:val="00385A64"/>
    <w:rsid w:val="00385FD8"/>
    <w:rsid w:val="003864CA"/>
    <w:rsid w:val="003865EA"/>
    <w:rsid w:val="00386A15"/>
    <w:rsid w:val="00386A94"/>
    <w:rsid w:val="00386D0B"/>
    <w:rsid w:val="00386D95"/>
    <w:rsid w:val="003870AD"/>
    <w:rsid w:val="003905CD"/>
    <w:rsid w:val="00390DE2"/>
    <w:rsid w:val="00390EAF"/>
    <w:rsid w:val="003910A7"/>
    <w:rsid w:val="00391193"/>
    <w:rsid w:val="00391A9D"/>
    <w:rsid w:val="0039233E"/>
    <w:rsid w:val="00392596"/>
    <w:rsid w:val="00393400"/>
    <w:rsid w:val="00393A99"/>
    <w:rsid w:val="00393AFA"/>
    <w:rsid w:val="00393DFA"/>
    <w:rsid w:val="003943BF"/>
    <w:rsid w:val="0039477A"/>
    <w:rsid w:val="0039493C"/>
    <w:rsid w:val="00394A03"/>
    <w:rsid w:val="00395639"/>
    <w:rsid w:val="003958D3"/>
    <w:rsid w:val="00395A13"/>
    <w:rsid w:val="00395BED"/>
    <w:rsid w:val="00396526"/>
    <w:rsid w:val="00396659"/>
    <w:rsid w:val="00396A92"/>
    <w:rsid w:val="00397866"/>
    <w:rsid w:val="00397B05"/>
    <w:rsid w:val="00397D60"/>
    <w:rsid w:val="003A0119"/>
    <w:rsid w:val="003A0461"/>
    <w:rsid w:val="003A0472"/>
    <w:rsid w:val="003A08C1"/>
    <w:rsid w:val="003A09AA"/>
    <w:rsid w:val="003A1324"/>
    <w:rsid w:val="003A133A"/>
    <w:rsid w:val="003A150B"/>
    <w:rsid w:val="003A15C9"/>
    <w:rsid w:val="003A1D41"/>
    <w:rsid w:val="003A1E9C"/>
    <w:rsid w:val="003A2160"/>
    <w:rsid w:val="003A24F0"/>
    <w:rsid w:val="003A28D0"/>
    <w:rsid w:val="003A2CDC"/>
    <w:rsid w:val="003A38A3"/>
    <w:rsid w:val="003A3AEB"/>
    <w:rsid w:val="003A3CB0"/>
    <w:rsid w:val="003A3DF9"/>
    <w:rsid w:val="003A3F1A"/>
    <w:rsid w:val="003A3FD0"/>
    <w:rsid w:val="003A421E"/>
    <w:rsid w:val="003A4834"/>
    <w:rsid w:val="003A4994"/>
    <w:rsid w:val="003A4B45"/>
    <w:rsid w:val="003A4CFD"/>
    <w:rsid w:val="003A4E55"/>
    <w:rsid w:val="003A553F"/>
    <w:rsid w:val="003A57E3"/>
    <w:rsid w:val="003A6381"/>
    <w:rsid w:val="003A6616"/>
    <w:rsid w:val="003A69CB"/>
    <w:rsid w:val="003A6BFC"/>
    <w:rsid w:val="003A71AD"/>
    <w:rsid w:val="003A74C6"/>
    <w:rsid w:val="003A7627"/>
    <w:rsid w:val="003A7CCB"/>
    <w:rsid w:val="003A7F76"/>
    <w:rsid w:val="003B03EB"/>
    <w:rsid w:val="003B051D"/>
    <w:rsid w:val="003B08AC"/>
    <w:rsid w:val="003B0A82"/>
    <w:rsid w:val="003B110B"/>
    <w:rsid w:val="003B1CD5"/>
    <w:rsid w:val="003B1DB7"/>
    <w:rsid w:val="003B200F"/>
    <w:rsid w:val="003B2434"/>
    <w:rsid w:val="003B2461"/>
    <w:rsid w:val="003B2A11"/>
    <w:rsid w:val="003B2DD9"/>
    <w:rsid w:val="003B2EB7"/>
    <w:rsid w:val="003B30FF"/>
    <w:rsid w:val="003B3975"/>
    <w:rsid w:val="003B3E35"/>
    <w:rsid w:val="003B40EA"/>
    <w:rsid w:val="003B4307"/>
    <w:rsid w:val="003B4585"/>
    <w:rsid w:val="003B522C"/>
    <w:rsid w:val="003B5562"/>
    <w:rsid w:val="003B56EB"/>
    <w:rsid w:val="003B6256"/>
    <w:rsid w:val="003B6633"/>
    <w:rsid w:val="003B6735"/>
    <w:rsid w:val="003B6879"/>
    <w:rsid w:val="003B70D8"/>
    <w:rsid w:val="003B79B4"/>
    <w:rsid w:val="003B7AB9"/>
    <w:rsid w:val="003C045A"/>
    <w:rsid w:val="003C06FD"/>
    <w:rsid w:val="003C0D9E"/>
    <w:rsid w:val="003C1930"/>
    <w:rsid w:val="003C1D35"/>
    <w:rsid w:val="003C1F38"/>
    <w:rsid w:val="003C1F99"/>
    <w:rsid w:val="003C1FC4"/>
    <w:rsid w:val="003C2A0B"/>
    <w:rsid w:val="003C2D56"/>
    <w:rsid w:val="003C2F98"/>
    <w:rsid w:val="003C3214"/>
    <w:rsid w:val="003C4E7F"/>
    <w:rsid w:val="003C5873"/>
    <w:rsid w:val="003C5F23"/>
    <w:rsid w:val="003C6779"/>
    <w:rsid w:val="003C68D0"/>
    <w:rsid w:val="003C6B17"/>
    <w:rsid w:val="003C6B7C"/>
    <w:rsid w:val="003C6F0D"/>
    <w:rsid w:val="003C743E"/>
    <w:rsid w:val="003C7777"/>
    <w:rsid w:val="003C7A55"/>
    <w:rsid w:val="003C7C91"/>
    <w:rsid w:val="003D0053"/>
    <w:rsid w:val="003D04B6"/>
    <w:rsid w:val="003D0977"/>
    <w:rsid w:val="003D1343"/>
    <w:rsid w:val="003D1D22"/>
    <w:rsid w:val="003D1D50"/>
    <w:rsid w:val="003D200C"/>
    <w:rsid w:val="003D21AD"/>
    <w:rsid w:val="003D23BA"/>
    <w:rsid w:val="003D267E"/>
    <w:rsid w:val="003D28D0"/>
    <w:rsid w:val="003D2D86"/>
    <w:rsid w:val="003D301C"/>
    <w:rsid w:val="003D33A0"/>
    <w:rsid w:val="003D34DC"/>
    <w:rsid w:val="003D3572"/>
    <w:rsid w:val="003D3912"/>
    <w:rsid w:val="003D3A4F"/>
    <w:rsid w:val="003D4FB7"/>
    <w:rsid w:val="003D63BB"/>
    <w:rsid w:val="003D690F"/>
    <w:rsid w:val="003D6B42"/>
    <w:rsid w:val="003D7339"/>
    <w:rsid w:val="003D7F5A"/>
    <w:rsid w:val="003E10E5"/>
    <w:rsid w:val="003E1178"/>
    <w:rsid w:val="003E162B"/>
    <w:rsid w:val="003E1A65"/>
    <w:rsid w:val="003E217E"/>
    <w:rsid w:val="003E260C"/>
    <w:rsid w:val="003E2882"/>
    <w:rsid w:val="003E29E9"/>
    <w:rsid w:val="003E2F70"/>
    <w:rsid w:val="003E3248"/>
    <w:rsid w:val="003E3526"/>
    <w:rsid w:val="003E39BD"/>
    <w:rsid w:val="003E3F73"/>
    <w:rsid w:val="003E446E"/>
    <w:rsid w:val="003E4601"/>
    <w:rsid w:val="003E5129"/>
    <w:rsid w:val="003E55FB"/>
    <w:rsid w:val="003E56C4"/>
    <w:rsid w:val="003E57B6"/>
    <w:rsid w:val="003E5938"/>
    <w:rsid w:val="003E5B20"/>
    <w:rsid w:val="003E615E"/>
    <w:rsid w:val="003E61F0"/>
    <w:rsid w:val="003E64F7"/>
    <w:rsid w:val="003E68B0"/>
    <w:rsid w:val="003E70AB"/>
    <w:rsid w:val="003E71CF"/>
    <w:rsid w:val="003E791D"/>
    <w:rsid w:val="003E7FAE"/>
    <w:rsid w:val="003F0164"/>
    <w:rsid w:val="003F0686"/>
    <w:rsid w:val="003F0C56"/>
    <w:rsid w:val="003F0DBF"/>
    <w:rsid w:val="003F0F17"/>
    <w:rsid w:val="003F167F"/>
    <w:rsid w:val="003F2495"/>
    <w:rsid w:val="003F249C"/>
    <w:rsid w:val="003F25B9"/>
    <w:rsid w:val="003F26AE"/>
    <w:rsid w:val="003F29E9"/>
    <w:rsid w:val="003F2C6D"/>
    <w:rsid w:val="003F2CA0"/>
    <w:rsid w:val="003F2FC4"/>
    <w:rsid w:val="003F33D2"/>
    <w:rsid w:val="003F33D9"/>
    <w:rsid w:val="003F36B5"/>
    <w:rsid w:val="003F3B5A"/>
    <w:rsid w:val="003F3E42"/>
    <w:rsid w:val="003F3FA5"/>
    <w:rsid w:val="003F4951"/>
    <w:rsid w:val="003F4B80"/>
    <w:rsid w:val="003F4CD2"/>
    <w:rsid w:val="003F5221"/>
    <w:rsid w:val="003F5764"/>
    <w:rsid w:val="003F5D13"/>
    <w:rsid w:val="003F5E29"/>
    <w:rsid w:val="003F60C4"/>
    <w:rsid w:val="003F6626"/>
    <w:rsid w:val="003F6CE1"/>
    <w:rsid w:val="003F6CE3"/>
    <w:rsid w:val="003F7089"/>
    <w:rsid w:val="003F708B"/>
    <w:rsid w:val="003F7150"/>
    <w:rsid w:val="003F7420"/>
    <w:rsid w:val="0040012B"/>
    <w:rsid w:val="004002DA"/>
    <w:rsid w:val="00400A36"/>
    <w:rsid w:val="00400FCD"/>
    <w:rsid w:val="0040128D"/>
    <w:rsid w:val="00401457"/>
    <w:rsid w:val="00401716"/>
    <w:rsid w:val="0040176C"/>
    <w:rsid w:val="004018C5"/>
    <w:rsid w:val="00401CD3"/>
    <w:rsid w:val="004022D4"/>
    <w:rsid w:val="00402525"/>
    <w:rsid w:val="0040265C"/>
    <w:rsid w:val="00402A9A"/>
    <w:rsid w:val="00402E07"/>
    <w:rsid w:val="00402E28"/>
    <w:rsid w:val="0040331F"/>
    <w:rsid w:val="0040344F"/>
    <w:rsid w:val="00404337"/>
    <w:rsid w:val="0040477C"/>
    <w:rsid w:val="004047BE"/>
    <w:rsid w:val="0040489D"/>
    <w:rsid w:val="004049C5"/>
    <w:rsid w:val="00404D47"/>
    <w:rsid w:val="004051EA"/>
    <w:rsid w:val="004058E2"/>
    <w:rsid w:val="00405955"/>
    <w:rsid w:val="00405AD9"/>
    <w:rsid w:val="00405F2E"/>
    <w:rsid w:val="00406401"/>
    <w:rsid w:val="004066D8"/>
    <w:rsid w:val="00407C4B"/>
    <w:rsid w:val="00407E89"/>
    <w:rsid w:val="0041041F"/>
    <w:rsid w:val="0041085E"/>
    <w:rsid w:val="00410AE3"/>
    <w:rsid w:val="00410DA1"/>
    <w:rsid w:val="004114DB"/>
    <w:rsid w:val="004118D8"/>
    <w:rsid w:val="00411E54"/>
    <w:rsid w:val="00411F68"/>
    <w:rsid w:val="004124BB"/>
    <w:rsid w:val="00412C43"/>
    <w:rsid w:val="0041380F"/>
    <w:rsid w:val="00413937"/>
    <w:rsid w:val="004147CC"/>
    <w:rsid w:val="00414B0C"/>
    <w:rsid w:val="004152C8"/>
    <w:rsid w:val="0041534F"/>
    <w:rsid w:val="0041570B"/>
    <w:rsid w:val="00415E2A"/>
    <w:rsid w:val="00416335"/>
    <w:rsid w:val="0041675D"/>
    <w:rsid w:val="004169DD"/>
    <w:rsid w:val="00416CEB"/>
    <w:rsid w:val="00416FED"/>
    <w:rsid w:val="004172D6"/>
    <w:rsid w:val="004177C9"/>
    <w:rsid w:val="00417FBC"/>
    <w:rsid w:val="00420874"/>
    <w:rsid w:val="0042180D"/>
    <w:rsid w:val="00421E5E"/>
    <w:rsid w:val="004226A6"/>
    <w:rsid w:val="00422B0C"/>
    <w:rsid w:val="00422B37"/>
    <w:rsid w:val="00422C6A"/>
    <w:rsid w:val="00422CE4"/>
    <w:rsid w:val="00422EF8"/>
    <w:rsid w:val="00423780"/>
    <w:rsid w:val="00423C34"/>
    <w:rsid w:val="004245FC"/>
    <w:rsid w:val="0042499D"/>
    <w:rsid w:val="00424B78"/>
    <w:rsid w:val="00424ED3"/>
    <w:rsid w:val="004250BB"/>
    <w:rsid w:val="004255CC"/>
    <w:rsid w:val="00426580"/>
    <w:rsid w:val="0042673D"/>
    <w:rsid w:val="004267D8"/>
    <w:rsid w:val="0042691B"/>
    <w:rsid w:val="0042692D"/>
    <w:rsid w:val="00427124"/>
    <w:rsid w:val="004272CC"/>
    <w:rsid w:val="004275F2"/>
    <w:rsid w:val="004276D4"/>
    <w:rsid w:val="0042774B"/>
    <w:rsid w:val="0042774E"/>
    <w:rsid w:val="00427757"/>
    <w:rsid w:val="00427759"/>
    <w:rsid w:val="00427D15"/>
    <w:rsid w:val="00427FE5"/>
    <w:rsid w:val="004303E2"/>
    <w:rsid w:val="004303F7"/>
    <w:rsid w:val="004305C8"/>
    <w:rsid w:val="004305E5"/>
    <w:rsid w:val="00430762"/>
    <w:rsid w:val="004307C1"/>
    <w:rsid w:val="004311C2"/>
    <w:rsid w:val="00431283"/>
    <w:rsid w:val="00431915"/>
    <w:rsid w:val="00431FFA"/>
    <w:rsid w:val="0043209A"/>
    <w:rsid w:val="0043214F"/>
    <w:rsid w:val="00432403"/>
    <w:rsid w:val="00432550"/>
    <w:rsid w:val="00432760"/>
    <w:rsid w:val="00433188"/>
    <w:rsid w:val="00433461"/>
    <w:rsid w:val="004337E4"/>
    <w:rsid w:val="00433B62"/>
    <w:rsid w:val="00433DFB"/>
    <w:rsid w:val="00433F86"/>
    <w:rsid w:val="00434C34"/>
    <w:rsid w:val="00434C4A"/>
    <w:rsid w:val="00434D0B"/>
    <w:rsid w:val="00434FC3"/>
    <w:rsid w:val="00435067"/>
    <w:rsid w:val="004351AD"/>
    <w:rsid w:val="004351C4"/>
    <w:rsid w:val="0043539E"/>
    <w:rsid w:val="004354B4"/>
    <w:rsid w:val="00435640"/>
    <w:rsid w:val="004356DE"/>
    <w:rsid w:val="00435993"/>
    <w:rsid w:val="00435BB6"/>
    <w:rsid w:val="00435DDF"/>
    <w:rsid w:val="0043617A"/>
    <w:rsid w:val="00436692"/>
    <w:rsid w:val="004366A1"/>
    <w:rsid w:val="004367DE"/>
    <w:rsid w:val="00436C65"/>
    <w:rsid w:val="00436FFC"/>
    <w:rsid w:val="004374C4"/>
    <w:rsid w:val="00437A11"/>
    <w:rsid w:val="00437F55"/>
    <w:rsid w:val="0044036F"/>
    <w:rsid w:val="004406A2"/>
    <w:rsid w:val="00440900"/>
    <w:rsid w:val="00440C36"/>
    <w:rsid w:val="00441234"/>
    <w:rsid w:val="004414EE"/>
    <w:rsid w:val="004417E1"/>
    <w:rsid w:val="0044183D"/>
    <w:rsid w:val="00441FA6"/>
    <w:rsid w:val="0044264B"/>
    <w:rsid w:val="00442EB4"/>
    <w:rsid w:val="004430AE"/>
    <w:rsid w:val="004431FE"/>
    <w:rsid w:val="00443ADA"/>
    <w:rsid w:val="00444146"/>
    <w:rsid w:val="00444324"/>
    <w:rsid w:val="00444A81"/>
    <w:rsid w:val="00444B55"/>
    <w:rsid w:val="00444C37"/>
    <w:rsid w:val="004457F9"/>
    <w:rsid w:val="004465DB"/>
    <w:rsid w:val="0044688B"/>
    <w:rsid w:val="00446A1C"/>
    <w:rsid w:val="00446D67"/>
    <w:rsid w:val="00447B51"/>
    <w:rsid w:val="00450114"/>
    <w:rsid w:val="00450378"/>
    <w:rsid w:val="004503E4"/>
    <w:rsid w:val="004505A1"/>
    <w:rsid w:val="004505D0"/>
    <w:rsid w:val="00450770"/>
    <w:rsid w:val="00450DB5"/>
    <w:rsid w:val="00450FFF"/>
    <w:rsid w:val="004522A0"/>
    <w:rsid w:val="004523E5"/>
    <w:rsid w:val="00452A4E"/>
    <w:rsid w:val="00453500"/>
    <w:rsid w:val="00453E64"/>
    <w:rsid w:val="00453F43"/>
    <w:rsid w:val="004542A6"/>
    <w:rsid w:val="004542D9"/>
    <w:rsid w:val="004545C3"/>
    <w:rsid w:val="0045486C"/>
    <w:rsid w:val="00454EAD"/>
    <w:rsid w:val="00454F23"/>
    <w:rsid w:val="004556B1"/>
    <w:rsid w:val="00455CA1"/>
    <w:rsid w:val="00455FB3"/>
    <w:rsid w:val="004560D6"/>
    <w:rsid w:val="004562AD"/>
    <w:rsid w:val="00456335"/>
    <w:rsid w:val="004566AB"/>
    <w:rsid w:val="0045693E"/>
    <w:rsid w:val="00456B24"/>
    <w:rsid w:val="00456F4F"/>
    <w:rsid w:val="00456FD0"/>
    <w:rsid w:val="00457019"/>
    <w:rsid w:val="004570BE"/>
    <w:rsid w:val="00457C9C"/>
    <w:rsid w:val="00460510"/>
    <w:rsid w:val="0046080E"/>
    <w:rsid w:val="00460987"/>
    <w:rsid w:val="00460AC3"/>
    <w:rsid w:val="00462153"/>
    <w:rsid w:val="004629F4"/>
    <w:rsid w:val="00462AD2"/>
    <w:rsid w:val="00463792"/>
    <w:rsid w:val="004638A2"/>
    <w:rsid w:val="00464866"/>
    <w:rsid w:val="0046497A"/>
    <w:rsid w:val="00464D1A"/>
    <w:rsid w:val="00464DA6"/>
    <w:rsid w:val="004655A7"/>
    <w:rsid w:val="004659EB"/>
    <w:rsid w:val="00465A68"/>
    <w:rsid w:val="00465AD5"/>
    <w:rsid w:val="00466CDC"/>
    <w:rsid w:val="00466DC3"/>
    <w:rsid w:val="00466E37"/>
    <w:rsid w:val="00467164"/>
    <w:rsid w:val="004671ED"/>
    <w:rsid w:val="004677E9"/>
    <w:rsid w:val="00467845"/>
    <w:rsid w:val="00470130"/>
    <w:rsid w:val="00470173"/>
    <w:rsid w:val="004706E5"/>
    <w:rsid w:val="00470840"/>
    <w:rsid w:val="0047172D"/>
    <w:rsid w:val="00471B73"/>
    <w:rsid w:val="00471C38"/>
    <w:rsid w:val="00471CF1"/>
    <w:rsid w:val="00471DE8"/>
    <w:rsid w:val="00471F04"/>
    <w:rsid w:val="0047209E"/>
    <w:rsid w:val="004720FF"/>
    <w:rsid w:val="00472CE7"/>
    <w:rsid w:val="00472E0B"/>
    <w:rsid w:val="00472FBE"/>
    <w:rsid w:val="0047312B"/>
    <w:rsid w:val="004731B8"/>
    <w:rsid w:val="00473366"/>
    <w:rsid w:val="004737A1"/>
    <w:rsid w:val="00473A33"/>
    <w:rsid w:val="00474003"/>
    <w:rsid w:val="00474283"/>
    <w:rsid w:val="004745EC"/>
    <w:rsid w:val="00474DAD"/>
    <w:rsid w:val="004751A3"/>
    <w:rsid w:val="00475416"/>
    <w:rsid w:val="004760BA"/>
    <w:rsid w:val="004760C6"/>
    <w:rsid w:val="004760C7"/>
    <w:rsid w:val="004769C5"/>
    <w:rsid w:val="00476C09"/>
    <w:rsid w:val="00477997"/>
    <w:rsid w:val="00477F66"/>
    <w:rsid w:val="004800F8"/>
    <w:rsid w:val="004803AF"/>
    <w:rsid w:val="004803CD"/>
    <w:rsid w:val="0048082A"/>
    <w:rsid w:val="00480CD9"/>
    <w:rsid w:val="00481298"/>
    <w:rsid w:val="00481B3F"/>
    <w:rsid w:val="00481C31"/>
    <w:rsid w:val="004821DC"/>
    <w:rsid w:val="00483B06"/>
    <w:rsid w:val="00483BCE"/>
    <w:rsid w:val="00483CB7"/>
    <w:rsid w:val="004841D1"/>
    <w:rsid w:val="004844DB"/>
    <w:rsid w:val="004849A0"/>
    <w:rsid w:val="00484BF4"/>
    <w:rsid w:val="004853A8"/>
    <w:rsid w:val="0048562A"/>
    <w:rsid w:val="00485FF0"/>
    <w:rsid w:val="004862AC"/>
    <w:rsid w:val="00486380"/>
    <w:rsid w:val="00486E17"/>
    <w:rsid w:val="004873D0"/>
    <w:rsid w:val="00487683"/>
    <w:rsid w:val="0048A242"/>
    <w:rsid w:val="004904B5"/>
    <w:rsid w:val="004904FD"/>
    <w:rsid w:val="00490A2B"/>
    <w:rsid w:val="00490C8B"/>
    <w:rsid w:val="00490D3E"/>
    <w:rsid w:val="00490E16"/>
    <w:rsid w:val="00490EEE"/>
    <w:rsid w:val="004917A4"/>
    <w:rsid w:val="00491817"/>
    <w:rsid w:val="00491B3B"/>
    <w:rsid w:val="00491DFE"/>
    <w:rsid w:val="00491F8F"/>
    <w:rsid w:val="00492BCB"/>
    <w:rsid w:val="00492FEE"/>
    <w:rsid w:val="00493217"/>
    <w:rsid w:val="00493370"/>
    <w:rsid w:val="004936C3"/>
    <w:rsid w:val="004936F4"/>
    <w:rsid w:val="00493DCF"/>
    <w:rsid w:val="0049434E"/>
    <w:rsid w:val="004943E4"/>
    <w:rsid w:val="00494694"/>
    <w:rsid w:val="004947BE"/>
    <w:rsid w:val="00494E4E"/>
    <w:rsid w:val="00494E72"/>
    <w:rsid w:val="0049521C"/>
    <w:rsid w:val="00495495"/>
    <w:rsid w:val="00496169"/>
    <w:rsid w:val="004961F5"/>
    <w:rsid w:val="0049640A"/>
    <w:rsid w:val="00496935"/>
    <w:rsid w:val="004970EC"/>
    <w:rsid w:val="00497726"/>
    <w:rsid w:val="00497985"/>
    <w:rsid w:val="00497A3C"/>
    <w:rsid w:val="00497DC8"/>
    <w:rsid w:val="004A0040"/>
    <w:rsid w:val="004A0662"/>
    <w:rsid w:val="004A0CAB"/>
    <w:rsid w:val="004A106A"/>
    <w:rsid w:val="004A10E9"/>
    <w:rsid w:val="004A179C"/>
    <w:rsid w:val="004A1A75"/>
    <w:rsid w:val="004A21B7"/>
    <w:rsid w:val="004A256C"/>
    <w:rsid w:val="004A283B"/>
    <w:rsid w:val="004A2D94"/>
    <w:rsid w:val="004A2ECB"/>
    <w:rsid w:val="004A36CA"/>
    <w:rsid w:val="004A3ED4"/>
    <w:rsid w:val="004A469A"/>
    <w:rsid w:val="004A4CA2"/>
    <w:rsid w:val="004A5216"/>
    <w:rsid w:val="004A5B98"/>
    <w:rsid w:val="004A61D5"/>
    <w:rsid w:val="004A63C8"/>
    <w:rsid w:val="004A642E"/>
    <w:rsid w:val="004A6736"/>
    <w:rsid w:val="004A67D7"/>
    <w:rsid w:val="004A6946"/>
    <w:rsid w:val="004A6C15"/>
    <w:rsid w:val="004A7A0C"/>
    <w:rsid w:val="004A7BE6"/>
    <w:rsid w:val="004A7FC0"/>
    <w:rsid w:val="004B01C2"/>
    <w:rsid w:val="004B0886"/>
    <w:rsid w:val="004B08F1"/>
    <w:rsid w:val="004B0939"/>
    <w:rsid w:val="004B0AC6"/>
    <w:rsid w:val="004B0F89"/>
    <w:rsid w:val="004B1164"/>
    <w:rsid w:val="004B1AD8"/>
    <w:rsid w:val="004B2085"/>
    <w:rsid w:val="004B20FA"/>
    <w:rsid w:val="004B2A85"/>
    <w:rsid w:val="004B2CC4"/>
    <w:rsid w:val="004B2FDB"/>
    <w:rsid w:val="004B3478"/>
    <w:rsid w:val="004B34A8"/>
    <w:rsid w:val="004B3640"/>
    <w:rsid w:val="004B424B"/>
    <w:rsid w:val="004B4A8C"/>
    <w:rsid w:val="004B4B06"/>
    <w:rsid w:val="004B4CC4"/>
    <w:rsid w:val="004B5334"/>
    <w:rsid w:val="004B5668"/>
    <w:rsid w:val="004B5B03"/>
    <w:rsid w:val="004B5EE8"/>
    <w:rsid w:val="004B6215"/>
    <w:rsid w:val="004B6831"/>
    <w:rsid w:val="004B6891"/>
    <w:rsid w:val="004B6976"/>
    <w:rsid w:val="004B71B9"/>
    <w:rsid w:val="004B77FA"/>
    <w:rsid w:val="004B7F76"/>
    <w:rsid w:val="004C036E"/>
    <w:rsid w:val="004C0799"/>
    <w:rsid w:val="004C1076"/>
    <w:rsid w:val="004C1123"/>
    <w:rsid w:val="004C1124"/>
    <w:rsid w:val="004C1775"/>
    <w:rsid w:val="004C178B"/>
    <w:rsid w:val="004C1ABE"/>
    <w:rsid w:val="004C2124"/>
    <w:rsid w:val="004C21AF"/>
    <w:rsid w:val="004C2223"/>
    <w:rsid w:val="004C245B"/>
    <w:rsid w:val="004C266A"/>
    <w:rsid w:val="004C3FF7"/>
    <w:rsid w:val="004C40DA"/>
    <w:rsid w:val="004C4231"/>
    <w:rsid w:val="004C4BE9"/>
    <w:rsid w:val="004C4FBE"/>
    <w:rsid w:val="004C550F"/>
    <w:rsid w:val="004C5D73"/>
    <w:rsid w:val="004C5DE9"/>
    <w:rsid w:val="004C5E22"/>
    <w:rsid w:val="004C5FAE"/>
    <w:rsid w:val="004C61D2"/>
    <w:rsid w:val="004C62C7"/>
    <w:rsid w:val="004C62DD"/>
    <w:rsid w:val="004C63A6"/>
    <w:rsid w:val="004C6528"/>
    <w:rsid w:val="004C67AA"/>
    <w:rsid w:val="004C68F7"/>
    <w:rsid w:val="004C6A40"/>
    <w:rsid w:val="004C6C87"/>
    <w:rsid w:val="004C72C3"/>
    <w:rsid w:val="004C734E"/>
    <w:rsid w:val="004C7616"/>
    <w:rsid w:val="004C769B"/>
    <w:rsid w:val="004C77E2"/>
    <w:rsid w:val="004C7DCA"/>
    <w:rsid w:val="004C7E4D"/>
    <w:rsid w:val="004C7FA7"/>
    <w:rsid w:val="004D055F"/>
    <w:rsid w:val="004D06C1"/>
    <w:rsid w:val="004D0793"/>
    <w:rsid w:val="004D07EC"/>
    <w:rsid w:val="004D1308"/>
    <w:rsid w:val="004D13A7"/>
    <w:rsid w:val="004D17D3"/>
    <w:rsid w:val="004D228C"/>
    <w:rsid w:val="004D24EB"/>
    <w:rsid w:val="004D2EF2"/>
    <w:rsid w:val="004D3180"/>
    <w:rsid w:val="004D4072"/>
    <w:rsid w:val="004D422B"/>
    <w:rsid w:val="004D4DBA"/>
    <w:rsid w:val="004D559A"/>
    <w:rsid w:val="004D58C3"/>
    <w:rsid w:val="004D5985"/>
    <w:rsid w:val="004D5D9B"/>
    <w:rsid w:val="004D5E6E"/>
    <w:rsid w:val="004D5ECA"/>
    <w:rsid w:val="004D5EE4"/>
    <w:rsid w:val="004D61D1"/>
    <w:rsid w:val="004D6E50"/>
    <w:rsid w:val="004D73BB"/>
    <w:rsid w:val="004E02EE"/>
    <w:rsid w:val="004E0597"/>
    <w:rsid w:val="004E062A"/>
    <w:rsid w:val="004E0D95"/>
    <w:rsid w:val="004E121B"/>
    <w:rsid w:val="004E1278"/>
    <w:rsid w:val="004E13DD"/>
    <w:rsid w:val="004E1652"/>
    <w:rsid w:val="004E1CBC"/>
    <w:rsid w:val="004E1EED"/>
    <w:rsid w:val="004E1F09"/>
    <w:rsid w:val="004E20D7"/>
    <w:rsid w:val="004E23E2"/>
    <w:rsid w:val="004E33F6"/>
    <w:rsid w:val="004E35E0"/>
    <w:rsid w:val="004E3742"/>
    <w:rsid w:val="004E396A"/>
    <w:rsid w:val="004E397A"/>
    <w:rsid w:val="004E3B58"/>
    <w:rsid w:val="004E475D"/>
    <w:rsid w:val="004E47E4"/>
    <w:rsid w:val="004E4981"/>
    <w:rsid w:val="004E5294"/>
    <w:rsid w:val="004E536B"/>
    <w:rsid w:val="004E539C"/>
    <w:rsid w:val="004E5549"/>
    <w:rsid w:val="004E5679"/>
    <w:rsid w:val="004E5A17"/>
    <w:rsid w:val="004E5AE6"/>
    <w:rsid w:val="004E5FC7"/>
    <w:rsid w:val="004E6124"/>
    <w:rsid w:val="004E61AF"/>
    <w:rsid w:val="004E6336"/>
    <w:rsid w:val="004E6552"/>
    <w:rsid w:val="004E6700"/>
    <w:rsid w:val="004E692D"/>
    <w:rsid w:val="004E6A20"/>
    <w:rsid w:val="004E6B35"/>
    <w:rsid w:val="004E7073"/>
    <w:rsid w:val="004E730C"/>
    <w:rsid w:val="004E7874"/>
    <w:rsid w:val="004E7FB9"/>
    <w:rsid w:val="004F05D1"/>
    <w:rsid w:val="004F0677"/>
    <w:rsid w:val="004F0A53"/>
    <w:rsid w:val="004F0BF8"/>
    <w:rsid w:val="004F155B"/>
    <w:rsid w:val="004F15A7"/>
    <w:rsid w:val="004F196B"/>
    <w:rsid w:val="004F19BD"/>
    <w:rsid w:val="004F1B46"/>
    <w:rsid w:val="004F1BDE"/>
    <w:rsid w:val="004F1FDB"/>
    <w:rsid w:val="004F22A7"/>
    <w:rsid w:val="004F236A"/>
    <w:rsid w:val="004F2664"/>
    <w:rsid w:val="004F26C8"/>
    <w:rsid w:val="004F2A05"/>
    <w:rsid w:val="004F2A83"/>
    <w:rsid w:val="004F2B0F"/>
    <w:rsid w:val="004F2CDC"/>
    <w:rsid w:val="004F2FD4"/>
    <w:rsid w:val="004F384C"/>
    <w:rsid w:val="004F3DF1"/>
    <w:rsid w:val="004F4038"/>
    <w:rsid w:val="004F4AD4"/>
    <w:rsid w:val="004F51B5"/>
    <w:rsid w:val="004F5987"/>
    <w:rsid w:val="004F59C7"/>
    <w:rsid w:val="004F6B7C"/>
    <w:rsid w:val="004F6F40"/>
    <w:rsid w:val="004F7003"/>
    <w:rsid w:val="004F731B"/>
    <w:rsid w:val="004F7A0B"/>
    <w:rsid w:val="004F7BB2"/>
    <w:rsid w:val="004F7D6E"/>
    <w:rsid w:val="004F7E39"/>
    <w:rsid w:val="004F7F40"/>
    <w:rsid w:val="00500509"/>
    <w:rsid w:val="005009D8"/>
    <w:rsid w:val="00500B27"/>
    <w:rsid w:val="00500E96"/>
    <w:rsid w:val="00501121"/>
    <w:rsid w:val="00501430"/>
    <w:rsid w:val="00501894"/>
    <w:rsid w:val="005022F2"/>
    <w:rsid w:val="00502361"/>
    <w:rsid w:val="00502508"/>
    <w:rsid w:val="00502A09"/>
    <w:rsid w:val="00502BF6"/>
    <w:rsid w:val="00502C57"/>
    <w:rsid w:val="005030C3"/>
    <w:rsid w:val="00503387"/>
    <w:rsid w:val="005040E2"/>
    <w:rsid w:val="005043CA"/>
    <w:rsid w:val="00504731"/>
    <w:rsid w:val="005047C6"/>
    <w:rsid w:val="00504863"/>
    <w:rsid w:val="00504BB3"/>
    <w:rsid w:val="00504C72"/>
    <w:rsid w:val="00504F09"/>
    <w:rsid w:val="00505794"/>
    <w:rsid w:val="00506396"/>
    <w:rsid w:val="005064DB"/>
    <w:rsid w:val="00506536"/>
    <w:rsid w:val="00506860"/>
    <w:rsid w:val="00506B9A"/>
    <w:rsid w:val="005070AC"/>
    <w:rsid w:val="00507737"/>
    <w:rsid w:val="0050784D"/>
    <w:rsid w:val="00507CEC"/>
    <w:rsid w:val="0051055C"/>
    <w:rsid w:val="00510BB6"/>
    <w:rsid w:val="00510ECD"/>
    <w:rsid w:val="00510F55"/>
    <w:rsid w:val="00511038"/>
    <w:rsid w:val="00511272"/>
    <w:rsid w:val="00511A98"/>
    <w:rsid w:val="00511CFA"/>
    <w:rsid w:val="00512AE4"/>
    <w:rsid w:val="005133CB"/>
    <w:rsid w:val="005142B7"/>
    <w:rsid w:val="00514458"/>
    <w:rsid w:val="00515A5B"/>
    <w:rsid w:val="00515B7D"/>
    <w:rsid w:val="00515CBA"/>
    <w:rsid w:val="00515F00"/>
    <w:rsid w:val="00516442"/>
    <w:rsid w:val="00516A3C"/>
    <w:rsid w:val="00516F78"/>
    <w:rsid w:val="00516FB1"/>
    <w:rsid w:val="0051714C"/>
    <w:rsid w:val="0051778C"/>
    <w:rsid w:val="00517C2B"/>
    <w:rsid w:val="00517C51"/>
    <w:rsid w:val="0052001F"/>
    <w:rsid w:val="00521A40"/>
    <w:rsid w:val="00521ADD"/>
    <w:rsid w:val="0052249D"/>
    <w:rsid w:val="00523168"/>
    <w:rsid w:val="0052367D"/>
    <w:rsid w:val="0052372E"/>
    <w:rsid w:val="005239C9"/>
    <w:rsid w:val="00523C86"/>
    <w:rsid w:val="005241FD"/>
    <w:rsid w:val="00524277"/>
    <w:rsid w:val="00524BE2"/>
    <w:rsid w:val="00524CE5"/>
    <w:rsid w:val="00524EC1"/>
    <w:rsid w:val="00524FC7"/>
    <w:rsid w:val="00525123"/>
    <w:rsid w:val="005257FF"/>
    <w:rsid w:val="00525A43"/>
    <w:rsid w:val="00525C33"/>
    <w:rsid w:val="00525CD7"/>
    <w:rsid w:val="00525D64"/>
    <w:rsid w:val="00526451"/>
    <w:rsid w:val="005265B0"/>
    <w:rsid w:val="005266D2"/>
    <w:rsid w:val="005267B3"/>
    <w:rsid w:val="00526A92"/>
    <w:rsid w:val="00526FA7"/>
    <w:rsid w:val="0052712D"/>
    <w:rsid w:val="00527D65"/>
    <w:rsid w:val="005309B6"/>
    <w:rsid w:val="00530DD6"/>
    <w:rsid w:val="00530E39"/>
    <w:rsid w:val="00531030"/>
    <w:rsid w:val="00531186"/>
    <w:rsid w:val="0053158B"/>
    <w:rsid w:val="00531A63"/>
    <w:rsid w:val="005320BE"/>
    <w:rsid w:val="005324E7"/>
    <w:rsid w:val="0053256B"/>
    <w:rsid w:val="005325A7"/>
    <w:rsid w:val="005327BD"/>
    <w:rsid w:val="00532F0E"/>
    <w:rsid w:val="00533517"/>
    <w:rsid w:val="00533C7B"/>
    <w:rsid w:val="00533D2E"/>
    <w:rsid w:val="005342F8"/>
    <w:rsid w:val="005348DD"/>
    <w:rsid w:val="00534D4D"/>
    <w:rsid w:val="00534EB0"/>
    <w:rsid w:val="00534EF5"/>
    <w:rsid w:val="005350E5"/>
    <w:rsid w:val="005352EE"/>
    <w:rsid w:val="00535308"/>
    <w:rsid w:val="0053639D"/>
    <w:rsid w:val="0053642E"/>
    <w:rsid w:val="0053647A"/>
    <w:rsid w:val="005365D5"/>
    <w:rsid w:val="005372D5"/>
    <w:rsid w:val="00537850"/>
    <w:rsid w:val="00537BA3"/>
    <w:rsid w:val="00537BD7"/>
    <w:rsid w:val="005400FA"/>
    <w:rsid w:val="005405D8"/>
    <w:rsid w:val="0054071B"/>
    <w:rsid w:val="00540975"/>
    <w:rsid w:val="00540A77"/>
    <w:rsid w:val="00540C68"/>
    <w:rsid w:val="00541AD1"/>
    <w:rsid w:val="00541AF3"/>
    <w:rsid w:val="00541F09"/>
    <w:rsid w:val="005420C3"/>
    <w:rsid w:val="0054212D"/>
    <w:rsid w:val="005426F8"/>
    <w:rsid w:val="00542EF2"/>
    <w:rsid w:val="00542FBA"/>
    <w:rsid w:val="00543058"/>
    <w:rsid w:val="00543070"/>
    <w:rsid w:val="005435DF"/>
    <w:rsid w:val="00544312"/>
    <w:rsid w:val="005443CD"/>
    <w:rsid w:val="00544B75"/>
    <w:rsid w:val="00545882"/>
    <w:rsid w:val="00545C15"/>
    <w:rsid w:val="005467E6"/>
    <w:rsid w:val="005468C4"/>
    <w:rsid w:val="005469B1"/>
    <w:rsid w:val="00546B7A"/>
    <w:rsid w:val="005474AD"/>
    <w:rsid w:val="00547505"/>
    <w:rsid w:val="005475B6"/>
    <w:rsid w:val="005475DF"/>
    <w:rsid w:val="00547770"/>
    <w:rsid w:val="00547BD4"/>
    <w:rsid w:val="00550951"/>
    <w:rsid w:val="00550BEE"/>
    <w:rsid w:val="005510A4"/>
    <w:rsid w:val="005511D5"/>
    <w:rsid w:val="00551AD4"/>
    <w:rsid w:val="00551F06"/>
    <w:rsid w:val="005523E8"/>
    <w:rsid w:val="00552420"/>
    <w:rsid w:val="0055271C"/>
    <w:rsid w:val="00552972"/>
    <w:rsid w:val="005529E0"/>
    <w:rsid w:val="00552E79"/>
    <w:rsid w:val="00553172"/>
    <w:rsid w:val="005535B3"/>
    <w:rsid w:val="00553825"/>
    <w:rsid w:val="005538C4"/>
    <w:rsid w:val="00553BA5"/>
    <w:rsid w:val="00554456"/>
    <w:rsid w:val="0055445D"/>
    <w:rsid w:val="0055468B"/>
    <w:rsid w:val="005546D6"/>
    <w:rsid w:val="0055511D"/>
    <w:rsid w:val="00555128"/>
    <w:rsid w:val="00555224"/>
    <w:rsid w:val="00555318"/>
    <w:rsid w:val="00555B21"/>
    <w:rsid w:val="00555F43"/>
    <w:rsid w:val="00556061"/>
    <w:rsid w:val="005563D9"/>
    <w:rsid w:val="0055654B"/>
    <w:rsid w:val="0055697D"/>
    <w:rsid w:val="00556CD4"/>
    <w:rsid w:val="00556F92"/>
    <w:rsid w:val="00557186"/>
    <w:rsid w:val="0055731A"/>
    <w:rsid w:val="00557DD9"/>
    <w:rsid w:val="00560640"/>
    <w:rsid w:val="005608E8"/>
    <w:rsid w:val="0056113C"/>
    <w:rsid w:val="00561459"/>
    <w:rsid w:val="00561555"/>
    <w:rsid w:val="00561778"/>
    <w:rsid w:val="005618ED"/>
    <w:rsid w:val="00561DB0"/>
    <w:rsid w:val="00561E3D"/>
    <w:rsid w:val="00561F73"/>
    <w:rsid w:val="00563043"/>
    <w:rsid w:val="005634A6"/>
    <w:rsid w:val="005635F1"/>
    <w:rsid w:val="005637EE"/>
    <w:rsid w:val="0056381F"/>
    <w:rsid w:val="0056439F"/>
    <w:rsid w:val="0056444A"/>
    <w:rsid w:val="005645EA"/>
    <w:rsid w:val="0056461B"/>
    <w:rsid w:val="00564A0B"/>
    <w:rsid w:val="00564B9C"/>
    <w:rsid w:val="00564C1E"/>
    <w:rsid w:val="00565087"/>
    <w:rsid w:val="005651CB"/>
    <w:rsid w:val="00565BE5"/>
    <w:rsid w:val="00565FCE"/>
    <w:rsid w:val="00566287"/>
    <w:rsid w:val="0056632D"/>
    <w:rsid w:val="005663CC"/>
    <w:rsid w:val="00566572"/>
    <w:rsid w:val="005667F9"/>
    <w:rsid w:val="005669E0"/>
    <w:rsid w:val="00566B85"/>
    <w:rsid w:val="00566DDA"/>
    <w:rsid w:val="00567793"/>
    <w:rsid w:val="005679F2"/>
    <w:rsid w:val="00567E13"/>
    <w:rsid w:val="00567E36"/>
    <w:rsid w:val="0057002C"/>
    <w:rsid w:val="0057043C"/>
    <w:rsid w:val="005706D2"/>
    <w:rsid w:val="00570E25"/>
    <w:rsid w:val="005713F7"/>
    <w:rsid w:val="0057144E"/>
    <w:rsid w:val="00571BA3"/>
    <w:rsid w:val="005721EF"/>
    <w:rsid w:val="005723AE"/>
    <w:rsid w:val="0057271D"/>
    <w:rsid w:val="00572B20"/>
    <w:rsid w:val="005730E2"/>
    <w:rsid w:val="00573BF4"/>
    <w:rsid w:val="00573E85"/>
    <w:rsid w:val="00574008"/>
    <w:rsid w:val="00574996"/>
    <w:rsid w:val="00574B61"/>
    <w:rsid w:val="00575013"/>
    <w:rsid w:val="005750A7"/>
    <w:rsid w:val="005757E4"/>
    <w:rsid w:val="00575E76"/>
    <w:rsid w:val="00576050"/>
    <w:rsid w:val="00576663"/>
    <w:rsid w:val="00576BEB"/>
    <w:rsid w:val="0057728D"/>
    <w:rsid w:val="005774D8"/>
    <w:rsid w:val="00577B05"/>
    <w:rsid w:val="0058087E"/>
    <w:rsid w:val="00580CD1"/>
    <w:rsid w:val="005810B2"/>
    <w:rsid w:val="00581846"/>
    <w:rsid w:val="00581EBE"/>
    <w:rsid w:val="00581F03"/>
    <w:rsid w:val="00582BC2"/>
    <w:rsid w:val="00582FBF"/>
    <w:rsid w:val="00583889"/>
    <w:rsid w:val="00583C89"/>
    <w:rsid w:val="00583CE0"/>
    <w:rsid w:val="00583ED4"/>
    <w:rsid w:val="00583FE2"/>
    <w:rsid w:val="005846CD"/>
    <w:rsid w:val="00584A88"/>
    <w:rsid w:val="00584CBC"/>
    <w:rsid w:val="00584E44"/>
    <w:rsid w:val="00584EF4"/>
    <w:rsid w:val="00586767"/>
    <w:rsid w:val="005869F3"/>
    <w:rsid w:val="00586A74"/>
    <w:rsid w:val="005871FA"/>
    <w:rsid w:val="00587278"/>
    <w:rsid w:val="00587710"/>
    <w:rsid w:val="00587BA5"/>
    <w:rsid w:val="00587DA0"/>
    <w:rsid w:val="00587DE5"/>
    <w:rsid w:val="005902C1"/>
    <w:rsid w:val="005904AD"/>
    <w:rsid w:val="00590A90"/>
    <w:rsid w:val="00590E0D"/>
    <w:rsid w:val="00590E11"/>
    <w:rsid w:val="00590E21"/>
    <w:rsid w:val="005914E8"/>
    <w:rsid w:val="0059174C"/>
    <w:rsid w:val="005917B4"/>
    <w:rsid w:val="005919ED"/>
    <w:rsid w:val="0059214C"/>
    <w:rsid w:val="005924A4"/>
    <w:rsid w:val="00592A31"/>
    <w:rsid w:val="00592FB5"/>
    <w:rsid w:val="005937BA"/>
    <w:rsid w:val="00593C0B"/>
    <w:rsid w:val="00593E17"/>
    <w:rsid w:val="00594203"/>
    <w:rsid w:val="00594619"/>
    <w:rsid w:val="00594BED"/>
    <w:rsid w:val="0059536E"/>
    <w:rsid w:val="00595859"/>
    <w:rsid w:val="00595B19"/>
    <w:rsid w:val="00595C1C"/>
    <w:rsid w:val="0059637C"/>
    <w:rsid w:val="00596C88"/>
    <w:rsid w:val="005971C4"/>
    <w:rsid w:val="005974AA"/>
    <w:rsid w:val="0059775F"/>
    <w:rsid w:val="005977E7"/>
    <w:rsid w:val="0059797A"/>
    <w:rsid w:val="005979DD"/>
    <w:rsid w:val="005A0823"/>
    <w:rsid w:val="005A0E2A"/>
    <w:rsid w:val="005A1206"/>
    <w:rsid w:val="005A1566"/>
    <w:rsid w:val="005A1593"/>
    <w:rsid w:val="005A17CC"/>
    <w:rsid w:val="005A21F6"/>
    <w:rsid w:val="005A228F"/>
    <w:rsid w:val="005A25BC"/>
    <w:rsid w:val="005A2621"/>
    <w:rsid w:val="005A2CA3"/>
    <w:rsid w:val="005A2FAD"/>
    <w:rsid w:val="005A3717"/>
    <w:rsid w:val="005A3FDD"/>
    <w:rsid w:val="005A409F"/>
    <w:rsid w:val="005A4ED7"/>
    <w:rsid w:val="005A5380"/>
    <w:rsid w:val="005A54FE"/>
    <w:rsid w:val="005A563E"/>
    <w:rsid w:val="005A646C"/>
    <w:rsid w:val="005A6514"/>
    <w:rsid w:val="005A65C0"/>
    <w:rsid w:val="005A6ADA"/>
    <w:rsid w:val="005A6C88"/>
    <w:rsid w:val="005A6D58"/>
    <w:rsid w:val="005A73F0"/>
    <w:rsid w:val="005B0236"/>
    <w:rsid w:val="005B0277"/>
    <w:rsid w:val="005B0398"/>
    <w:rsid w:val="005B0A57"/>
    <w:rsid w:val="005B15AE"/>
    <w:rsid w:val="005B1818"/>
    <w:rsid w:val="005B2280"/>
    <w:rsid w:val="005B2391"/>
    <w:rsid w:val="005B2F9C"/>
    <w:rsid w:val="005B3169"/>
    <w:rsid w:val="005B3496"/>
    <w:rsid w:val="005B368F"/>
    <w:rsid w:val="005B37EA"/>
    <w:rsid w:val="005B3E22"/>
    <w:rsid w:val="005B40F0"/>
    <w:rsid w:val="005B415F"/>
    <w:rsid w:val="005B46A4"/>
    <w:rsid w:val="005B4752"/>
    <w:rsid w:val="005B4CDF"/>
    <w:rsid w:val="005B4F85"/>
    <w:rsid w:val="005B536C"/>
    <w:rsid w:val="005B58B8"/>
    <w:rsid w:val="005B5BA7"/>
    <w:rsid w:val="005B64DD"/>
    <w:rsid w:val="005B683B"/>
    <w:rsid w:val="005B7BDD"/>
    <w:rsid w:val="005B7DF1"/>
    <w:rsid w:val="005C00FD"/>
    <w:rsid w:val="005C05E3"/>
    <w:rsid w:val="005C0CD9"/>
    <w:rsid w:val="005C10CB"/>
    <w:rsid w:val="005C1750"/>
    <w:rsid w:val="005C1D6B"/>
    <w:rsid w:val="005C2349"/>
    <w:rsid w:val="005C257A"/>
    <w:rsid w:val="005C2BD7"/>
    <w:rsid w:val="005C2D50"/>
    <w:rsid w:val="005C2DA6"/>
    <w:rsid w:val="005C34AF"/>
    <w:rsid w:val="005C3504"/>
    <w:rsid w:val="005C3E29"/>
    <w:rsid w:val="005C4229"/>
    <w:rsid w:val="005C4DB1"/>
    <w:rsid w:val="005C568F"/>
    <w:rsid w:val="005C58B7"/>
    <w:rsid w:val="005C6207"/>
    <w:rsid w:val="005C6293"/>
    <w:rsid w:val="005C6824"/>
    <w:rsid w:val="005C6DBD"/>
    <w:rsid w:val="005C6F48"/>
    <w:rsid w:val="005C7195"/>
    <w:rsid w:val="005C728A"/>
    <w:rsid w:val="005C7635"/>
    <w:rsid w:val="005C7728"/>
    <w:rsid w:val="005C78F3"/>
    <w:rsid w:val="005C79E0"/>
    <w:rsid w:val="005D020E"/>
    <w:rsid w:val="005D0959"/>
    <w:rsid w:val="005D0B9A"/>
    <w:rsid w:val="005D14EB"/>
    <w:rsid w:val="005D1690"/>
    <w:rsid w:val="005D1C98"/>
    <w:rsid w:val="005D2953"/>
    <w:rsid w:val="005D3029"/>
    <w:rsid w:val="005D3071"/>
    <w:rsid w:val="005D338A"/>
    <w:rsid w:val="005D3E5C"/>
    <w:rsid w:val="005D3F27"/>
    <w:rsid w:val="005D443B"/>
    <w:rsid w:val="005D45E3"/>
    <w:rsid w:val="005D46C1"/>
    <w:rsid w:val="005D515E"/>
    <w:rsid w:val="005D519C"/>
    <w:rsid w:val="005D5385"/>
    <w:rsid w:val="005D5704"/>
    <w:rsid w:val="005D5DDE"/>
    <w:rsid w:val="005D68B4"/>
    <w:rsid w:val="005D6903"/>
    <w:rsid w:val="005D6F1F"/>
    <w:rsid w:val="005D7255"/>
    <w:rsid w:val="005D7360"/>
    <w:rsid w:val="005D78D2"/>
    <w:rsid w:val="005D7B89"/>
    <w:rsid w:val="005D7ED2"/>
    <w:rsid w:val="005D7F19"/>
    <w:rsid w:val="005E08ED"/>
    <w:rsid w:val="005E0E3D"/>
    <w:rsid w:val="005E133C"/>
    <w:rsid w:val="005E170B"/>
    <w:rsid w:val="005E1BF8"/>
    <w:rsid w:val="005E2041"/>
    <w:rsid w:val="005E26D1"/>
    <w:rsid w:val="005E2C16"/>
    <w:rsid w:val="005E31A7"/>
    <w:rsid w:val="005E4496"/>
    <w:rsid w:val="005E48AD"/>
    <w:rsid w:val="005E4929"/>
    <w:rsid w:val="005E4995"/>
    <w:rsid w:val="005E56CA"/>
    <w:rsid w:val="005E56D3"/>
    <w:rsid w:val="005E5937"/>
    <w:rsid w:val="005E63C8"/>
    <w:rsid w:val="005E6557"/>
    <w:rsid w:val="005E6E8D"/>
    <w:rsid w:val="005E7217"/>
    <w:rsid w:val="005E7390"/>
    <w:rsid w:val="005E76F5"/>
    <w:rsid w:val="005E7F62"/>
    <w:rsid w:val="005F0183"/>
    <w:rsid w:val="005F0A24"/>
    <w:rsid w:val="005F0C54"/>
    <w:rsid w:val="005F161A"/>
    <w:rsid w:val="005F1B20"/>
    <w:rsid w:val="005F1E4E"/>
    <w:rsid w:val="005F1F6B"/>
    <w:rsid w:val="005F2450"/>
    <w:rsid w:val="005F2830"/>
    <w:rsid w:val="005F2C7E"/>
    <w:rsid w:val="005F2F79"/>
    <w:rsid w:val="005F342D"/>
    <w:rsid w:val="005F39C0"/>
    <w:rsid w:val="005F3A67"/>
    <w:rsid w:val="005F444E"/>
    <w:rsid w:val="005F45AF"/>
    <w:rsid w:val="005F4AA6"/>
    <w:rsid w:val="005F4B7A"/>
    <w:rsid w:val="005F4DEC"/>
    <w:rsid w:val="005F5393"/>
    <w:rsid w:val="005F5B76"/>
    <w:rsid w:val="005F6016"/>
    <w:rsid w:val="005F60A8"/>
    <w:rsid w:val="005F6678"/>
    <w:rsid w:val="005F6688"/>
    <w:rsid w:val="005F6840"/>
    <w:rsid w:val="005F6BEA"/>
    <w:rsid w:val="005F7009"/>
    <w:rsid w:val="005F7506"/>
    <w:rsid w:val="005F75D6"/>
    <w:rsid w:val="005F7988"/>
    <w:rsid w:val="006002DA"/>
    <w:rsid w:val="00600A73"/>
    <w:rsid w:val="00600B3E"/>
    <w:rsid w:val="00600CBB"/>
    <w:rsid w:val="0060181F"/>
    <w:rsid w:val="0060235F"/>
    <w:rsid w:val="00602484"/>
    <w:rsid w:val="00602942"/>
    <w:rsid w:val="006029E7"/>
    <w:rsid w:val="00602BDA"/>
    <w:rsid w:val="00602FDE"/>
    <w:rsid w:val="00603130"/>
    <w:rsid w:val="00603464"/>
    <w:rsid w:val="006034F2"/>
    <w:rsid w:val="006035DA"/>
    <w:rsid w:val="00603B82"/>
    <w:rsid w:val="00604DB6"/>
    <w:rsid w:val="00605137"/>
    <w:rsid w:val="006051A7"/>
    <w:rsid w:val="0060565C"/>
    <w:rsid w:val="0060588E"/>
    <w:rsid w:val="00606B82"/>
    <w:rsid w:val="006070F4"/>
    <w:rsid w:val="0060723B"/>
    <w:rsid w:val="00607404"/>
    <w:rsid w:val="0060775A"/>
    <w:rsid w:val="0060777E"/>
    <w:rsid w:val="00610AE5"/>
    <w:rsid w:val="00610CC5"/>
    <w:rsid w:val="00610ED7"/>
    <w:rsid w:val="006114AB"/>
    <w:rsid w:val="00611A9A"/>
    <w:rsid w:val="00612547"/>
    <w:rsid w:val="00612C55"/>
    <w:rsid w:val="00612F4D"/>
    <w:rsid w:val="0061398B"/>
    <w:rsid w:val="00613A42"/>
    <w:rsid w:val="00613D14"/>
    <w:rsid w:val="006140C9"/>
    <w:rsid w:val="00614647"/>
    <w:rsid w:val="006146BB"/>
    <w:rsid w:val="00614F79"/>
    <w:rsid w:val="0061558D"/>
    <w:rsid w:val="0061561A"/>
    <w:rsid w:val="00616377"/>
    <w:rsid w:val="00616C1B"/>
    <w:rsid w:val="00617DAF"/>
    <w:rsid w:val="00617DBA"/>
    <w:rsid w:val="00620718"/>
    <w:rsid w:val="0062086F"/>
    <w:rsid w:val="00620A25"/>
    <w:rsid w:val="00620BDF"/>
    <w:rsid w:val="00620F31"/>
    <w:rsid w:val="00621B95"/>
    <w:rsid w:val="00621C90"/>
    <w:rsid w:val="00622267"/>
    <w:rsid w:val="00622403"/>
    <w:rsid w:val="00622537"/>
    <w:rsid w:val="00622EEA"/>
    <w:rsid w:val="00623131"/>
    <w:rsid w:val="0062350A"/>
    <w:rsid w:val="00623556"/>
    <w:rsid w:val="00623925"/>
    <w:rsid w:val="00623BAA"/>
    <w:rsid w:val="00624083"/>
    <w:rsid w:val="00624367"/>
    <w:rsid w:val="00624761"/>
    <w:rsid w:val="00624BBF"/>
    <w:rsid w:val="00624D28"/>
    <w:rsid w:val="0062510C"/>
    <w:rsid w:val="006252E3"/>
    <w:rsid w:val="00626748"/>
    <w:rsid w:val="00626B43"/>
    <w:rsid w:val="00626B57"/>
    <w:rsid w:val="006271AA"/>
    <w:rsid w:val="00627678"/>
    <w:rsid w:val="006276D9"/>
    <w:rsid w:val="00627B05"/>
    <w:rsid w:val="00627EF8"/>
    <w:rsid w:val="00630077"/>
    <w:rsid w:val="006301A5"/>
    <w:rsid w:val="006301B5"/>
    <w:rsid w:val="0063092B"/>
    <w:rsid w:val="0063106A"/>
    <w:rsid w:val="00631231"/>
    <w:rsid w:val="006312A5"/>
    <w:rsid w:val="006316D0"/>
    <w:rsid w:val="0063172E"/>
    <w:rsid w:val="006317BA"/>
    <w:rsid w:val="006326DA"/>
    <w:rsid w:val="00632BE1"/>
    <w:rsid w:val="00632C3E"/>
    <w:rsid w:val="00632D6B"/>
    <w:rsid w:val="0063361A"/>
    <w:rsid w:val="006337EB"/>
    <w:rsid w:val="006339E8"/>
    <w:rsid w:val="00634BDD"/>
    <w:rsid w:val="00634F16"/>
    <w:rsid w:val="00635610"/>
    <w:rsid w:val="006357A2"/>
    <w:rsid w:val="00635960"/>
    <w:rsid w:val="00635DF3"/>
    <w:rsid w:val="006360BC"/>
    <w:rsid w:val="00636153"/>
    <w:rsid w:val="00636C21"/>
    <w:rsid w:val="00636DC6"/>
    <w:rsid w:val="00636E67"/>
    <w:rsid w:val="00637189"/>
    <w:rsid w:val="006372AE"/>
    <w:rsid w:val="0063737B"/>
    <w:rsid w:val="006378B5"/>
    <w:rsid w:val="00637BC1"/>
    <w:rsid w:val="00637D87"/>
    <w:rsid w:val="00637EB5"/>
    <w:rsid w:val="00640791"/>
    <w:rsid w:val="00640814"/>
    <w:rsid w:val="00640BA0"/>
    <w:rsid w:val="0064101D"/>
    <w:rsid w:val="00641428"/>
    <w:rsid w:val="00641566"/>
    <w:rsid w:val="0064220A"/>
    <w:rsid w:val="00642298"/>
    <w:rsid w:val="006429B6"/>
    <w:rsid w:val="00642E30"/>
    <w:rsid w:val="00643072"/>
    <w:rsid w:val="00643840"/>
    <w:rsid w:val="006438A5"/>
    <w:rsid w:val="006443B1"/>
    <w:rsid w:val="00644821"/>
    <w:rsid w:val="00644CFD"/>
    <w:rsid w:val="00644EE3"/>
    <w:rsid w:val="00645742"/>
    <w:rsid w:val="00645D7D"/>
    <w:rsid w:val="00646218"/>
    <w:rsid w:val="00646353"/>
    <w:rsid w:val="006464DF"/>
    <w:rsid w:val="00646B29"/>
    <w:rsid w:val="00647128"/>
    <w:rsid w:val="00647326"/>
    <w:rsid w:val="00647455"/>
    <w:rsid w:val="006475F8"/>
    <w:rsid w:val="00647ED4"/>
    <w:rsid w:val="00647F0F"/>
    <w:rsid w:val="00647F54"/>
    <w:rsid w:val="0065022C"/>
    <w:rsid w:val="00650AC4"/>
    <w:rsid w:val="00650DD1"/>
    <w:rsid w:val="00650FCC"/>
    <w:rsid w:val="00651899"/>
    <w:rsid w:val="00651A81"/>
    <w:rsid w:val="00651EFF"/>
    <w:rsid w:val="0065205A"/>
    <w:rsid w:val="006521D0"/>
    <w:rsid w:val="006527BB"/>
    <w:rsid w:val="00652AAE"/>
    <w:rsid w:val="0065436F"/>
    <w:rsid w:val="006544E4"/>
    <w:rsid w:val="00655065"/>
    <w:rsid w:val="00655ACD"/>
    <w:rsid w:val="00655F72"/>
    <w:rsid w:val="00656093"/>
    <w:rsid w:val="00656DCC"/>
    <w:rsid w:val="00657644"/>
    <w:rsid w:val="00657884"/>
    <w:rsid w:val="00657933"/>
    <w:rsid w:val="00657DC4"/>
    <w:rsid w:val="00657E1E"/>
    <w:rsid w:val="006602D5"/>
    <w:rsid w:val="006604C3"/>
    <w:rsid w:val="006607BC"/>
    <w:rsid w:val="00660A80"/>
    <w:rsid w:val="00660E30"/>
    <w:rsid w:val="00661182"/>
    <w:rsid w:val="006613C9"/>
    <w:rsid w:val="00662010"/>
    <w:rsid w:val="00662358"/>
    <w:rsid w:val="00662BF9"/>
    <w:rsid w:val="006632A0"/>
    <w:rsid w:val="006638D4"/>
    <w:rsid w:val="006638E1"/>
    <w:rsid w:val="00663C2C"/>
    <w:rsid w:val="00663CC6"/>
    <w:rsid w:val="006643E8"/>
    <w:rsid w:val="00664AC2"/>
    <w:rsid w:val="00664B9A"/>
    <w:rsid w:val="00664C83"/>
    <w:rsid w:val="00665216"/>
    <w:rsid w:val="00665B00"/>
    <w:rsid w:val="006660A5"/>
    <w:rsid w:val="00666164"/>
    <w:rsid w:val="006667A0"/>
    <w:rsid w:val="00666828"/>
    <w:rsid w:val="00666949"/>
    <w:rsid w:val="00666C32"/>
    <w:rsid w:val="0066703B"/>
    <w:rsid w:val="00667264"/>
    <w:rsid w:val="0066738A"/>
    <w:rsid w:val="006679CB"/>
    <w:rsid w:val="00667CBB"/>
    <w:rsid w:val="00667E38"/>
    <w:rsid w:val="00667F17"/>
    <w:rsid w:val="00667F6B"/>
    <w:rsid w:val="0067004F"/>
    <w:rsid w:val="006706E7"/>
    <w:rsid w:val="006708F1"/>
    <w:rsid w:val="00670BC6"/>
    <w:rsid w:val="0067120F"/>
    <w:rsid w:val="0067196C"/>
    <w:rsid w:val="00671F57"/>
    <w:rsid w:val="00672322"/>
    <w:rsid w:val="00672509"/>
    <w:rsid w:val="00672AE3"/>
    <w:rsid w:val="00672C7B"/>
    <w:rsid w:val="00672D1A"/>
    <w:rsid w:val="006730F2"/>
    <w:rsid w:val="006732DB"/>
    <w:rsid w:val="0067349A"/>
    <w:rsid w:val="006752F5"/>
    <w:rsid w:val="006753B0"/>
    <w:rsid w:val="006754B3"/>
    <w:rsid w:val="006755DE"/>
    <w:rsid w:val="00675A97"/>
    <w:rsid w:val="00675B16"/>
    <w:rsid w:val="00676313"/>
    <w:rsid w:val="00677215"/>
    <w:rsid w:val="0067722A"/>
    <w:rsid w:val="00677A9C"/>
    <w:rsid w:val="0067892C"/>
    <w:rsid w:val="00680205"/>
    <w:rsid w:val="006804B4"/>
    <w:rsid w:val="00680605"/>
    <w:rsid w:val="00680610"/>
    <w:rsid w:val="0068079B"/>
    <w:rsid w:val="00680B14"/>
    <w:rsid w:val="006814F6"/>
    <w:rsid w:val="00681729"/>
    <w:rsid w:val="00681770"/>
    <w:rsid w:val="00682016"/>
    <w:rsid w:val="0068209F"/>
    <w:rsid w:val="00682205"/>
    <w:rsid w:val="006823BF"/>
    <w:rsid w:val="006824DF"/>
    <w:rsid w:val="00682BA2"/>
    <w:rsid w:val="00683525"/>
    <w:rsid w:val="00683972"/>
    <w:rsid w:val="00684CE7"/>
    <w:rsid w:val="0068582C"/>
    <w:rsid w:val="00685CC5"/>
    <w:rsid w:val="00685D57"/>
    <w:rsid w:val="00685FBA"/>
    <w:rsid w:val="006867E4"/>
    <w:rsid w:val="006868DE"/>
    <w:rsid w:val="006869B1"/>
    <w:rsid w:val="006873DF"/>
    <w:rsid w:val="0068761C"/>
    <w:rsid w:val="00687A8C"/>
    <w:rsid w:val="00687CFB"/>
    <w:rsid w:val="00687E99"/>
    <w:rsid w:val="00690311"/>
    <w:rsid w:val="00690690"/>
    <w:rsid w:val="006906CF"/>
    <w:rsid w:val="00690902"/>
    <w:rsid w:val="00691405"/>
    <w:rsid w:val="0069142C"/>
    <w:rsid w:val="00691F75"/>
    <w:rsid w:val="00692470"/>
    <w:rsid w:val="006924C6"/>
    <w:rsid w:val="00692625"/>
    <w:rsid w:val="00693154"/>
    <w:rsid w:val="006931C6"/>
    <w:rsid w:val="00693B7A"/>
    <w:rsid w:val="00693DE7"/>
    <w:rsid w:val="0069414F"/>
    <w:rsid w:val="006945B3"/>
    <w:rsid w:val="00694F56"/>
    <w:rsid w:val="006950BF"/>
    <w:rsid w:val="00695130"/>
    <w:rsid w:val="006952B3"/>
    <w:rsid w:val="0069539C"/>
    <w:rsid w:val="006955F1"/>
    <w:rsid w:val="00695B64"/>
    <w:rsid w:val="00696BE7"/>
    <w:rsid w:val="0069766B"/>
    <w:rsid w:val="00697AC3"/>
    <w:rsid w:val="00697C96"/>
    <w:rsid w:val="00697EAE"/>
    <w:rsid w:val="006A01C0"/>
    <w:rsid w:val="006A065D"/>
    <w:rsid w:val="006A0DA2"/>
    <w:rsid w:val="006A13B3"/>
    <w:rsid w:val="006A1754"/>
    <w:rsid w:val="006A17EF"/>
    <w:rsid w:val="006A1E57"/>
    <w:rsid w:val="006A1F43"/>
    <w:rsid w:val="006A261B"/>
    <w:rsid w:val="006A26A6"/>
    <w:rsid w:val="006A288C"/>
    <w:rsid w:val="006A2AEA"/>
    <w:rsid w:val="006A307D"/>
    <w:rsid w:val="006A30CF"/>
    <w:rsid w:val="006A32F6"/>
    <w:rsid w:val="006A3772"/>
    <w:rsid w:val="006A43B2"/>
    <w:rsid w:val="006A443F"/>
    <w:rsid w:val="006A4649"/>
    <w:rsid w:val="006A486B"/>
    <w:rsid w:val="006A4912"/>
    <w:rsid w:val="006A4EC2"/>
    <w:rsid w:val="006A57EB"/>
    <w:rsid w:val="006A5A48"/>
    <w:rsid w:val="006A5C3A"/>
    <w:rsid w:val="006A5E0E"/>
    <w:rsid w:val="006A5EF1"/>
    <w:rsid w:val="006A63E1"/>
    <w:rsid w:val="006A6839"/>
    <w:rsid w:val="006A6E8C"/>
    <w:rsid w:val="006A7EB8"/>
    <w:rsid w:val="006B049C"/>
    <w:rsid w:val="006B1225"/>
    <w:rsid w:val="006B1900"/>
    <w:rsid w:val="006B202D"/>
    <w:rsid w:val="006B2309"/>
    <w:rsid w:val="006B256E"/>
    <w:rsid w:val="006B2CCC"/>
    <w:rsid w:val="006B2F5B"/>
    <w:rsid w:val="006B3206"/>
    <w:rsid w:val="006B3331"/>
    <w:rsid w:val="006B364E"/>
    <w:rsid w:val="006B37A7"/>
    <w:rsid w:val="006B3994"/>
    <w:rsid w:val="006B3D8B"/>
    <w:rsid w:val="006B40B5"/>
    <w:rsid w:val="006B41BC"/>
    <w:rsid w:val="006B43B7"/>
    <w:rsid w:val="006B4C4C"/>
    <w:rsid w:val="006B4E2A"/>
    <w:rsid w:val="006B5064"/>
    <w:rsid w:val="006B51D8"/>
    <w:rsid w:val="006B5564"/>
    <w:rsid w:val="006B5A1D"/>
    <w:rsid w:val="006B5EF8"/>
    <w:rsid w:val="006B5F92"/>
    <w:rsid w:val="006B64A5"/>
    <w:rsid w:val="006B6597"/>
    <w:rsid w:val="006B6836"/>
    <w:rsid w:val="006B692E"/>
    <w:rsid w:val="006B6A1F"/>
    <w:rsid w:val="006B6B1B"/>
    <w:rsid w:val="006B763A"/>
    <w:rsid w:val="006B7AFC"/>
    <w:rsid w:val="006B7CF1"/>
    <w:rsid w:val="006B7E87"/>
    <w:rsid w:val="006B7FBD"/>
    <w:rsid w:val="006C00DD"/>
    <w:rsid w:val="006C0122"/>
    <w:rsid w:val="006C0182"/>
    <w:rsid w:val="006C037B"/>
    <w:rsid w:val="006C0EFA"/>
    <w:rsid w:val="006C1283"/>
    <w:rsid w:val="006C131E"/>
    <w:rsid w:val="006C1621"/>
    <w:rsid w:val="006C1786"/>
    <w:rsid w:val="006C24A8"/>
    <w:rsid w:val="006C2CBB"/>
    <w:rsid w:val="006C3170"/>
    <w:rsid w:val="006C3291"/>
    <w:rsid w:val="006C3663"/>
    <w:rsid w:val="006C37C2"/>
    <w:rsid w:val="006C38BB"/>
    <w:rsid w:val="006C3DE4"/>
    <w:rsid w:val="006C45C9"/>
    <w:rsid w:val="006C4A65"/>
    <w:rsid w:val="006C4A66"/>
    <w:rsid w:val="006C4CAE"/>
    <w:rsid w:val="006C4EB7"/>
    <w:rsid w:val="006C50D9"/>
    <w:rsid w:val="006C5336"/>
    <w:rsid w:val="006C58DB"/>
    <w:rsid w:val="006C5BEF"/>
    <w:rsid w:val="006C62A0"/>
    <w:rsid w:val="006C62BD"/>
    <w:rsid w:val="006C6690"/>
    <w:rsid w:val="006C6E2B"/>
    <w:rsid w:val="006C6E7A"/>
    <w:rsid w:val="006C711B"/>
    <w:rsid w:val="006C7290"/>
    <w:rsid w:val="006C7729"/>
    <w:rsid w:val="006C78A7"/>
    <w:rsid w:val="006C7F1D"/>
    <w:rsid w:val="006D00EF"/>
    <w:rsid w:val="006D03D3"/>
    <w:rsid w:val="006D073D"/>
    <w:rsid w:val="006D0C74"/>
    <w:rsid w:val="006D0DA0"/>
    <w:rsid w:val="006D0DD8"/>
    <w:rsid w:val="006D0F9F"/>
    <w:rsid w:val="006D16D7"/>
    <w:rsid w:val="006D21B4"/>
    <w:rsid w:val="006D2880"/>
    <w:rsid w:val="006D2BB6"/>
    <w:rsid w:val="006D2CF9"/>
    <w:rsid w:val="006D311F"/>
    <w:rsid w:val="006D3453"/>
    <w:rsid w:val="006D34D9"/>
    <w:rsid w:val="006D370A"/>
    <w:rsid w:val="006D3D09"/>
    <w:rsid w:val="006D4076"/>
    <w:rsid w:val="006D4654"/>
    <w:rsid w:val="006D48C7"/>
    <w:rsid w:val="006D4AC1"/>
    <w:rsid w:val="006D4B19"/>
    <w:rsid w:val="006D4DCB"/>
    <w:rsid w:val="006D4EE8"/>
    <w:rsid w:val="006D4F18"/>
    <w:rsid w:val="006D56A1"/>
    <w:rsid w:val="006D5B20"/>
    <w:rsid w:val="006D5E63"/>
    <w:rsid w:val="006D6CDE"/>
    <w:rsid w:val="006D6E6D"/>
    <w:rsid w:val="006D6E8D"/>
    <w:rsid w:val="006D76C0"/>
    <w:rsid w:val="006E05B3"/>
    <w:rsid w:val="006E068A"/>
    <w:rsid w:val="006E0788"/>
    <w:rsid w:val="006E07CA"/>
    <w:rsid w:val="006E1485"/>
    <w:rsid w:val="006E1778"/>
    <w:rsid w:val="006E2152"/>
    <w:rsid w:val="006E22B1"/>
    <w:rsid w:val="006E22C8"/>
    <w:rsid w:val="006E2DC8"/>
    <w:rsid w:val="006E2DFE"/>
    <w:rsid w:val="006E340E"/>
    <w:rsid w:val="006E3587"/>
    <w:rsid w:val="006E41D3"/>
    <w:rsid w:val="006E4B43"/>
    <w:rsid w:val="006E4B50"/>
    <w:rsid w:val="006E4D86"/>
    <w:rsid w:val="006E5026"/>
    <w:rsid w:val="006E55D4"/>
    <w:rsid w:val="006E571D"/>
    <w:rsid w:val="006E5BF1"/>
    <w:rsid w:val="006E5C3B"/>
    <w:rsid w:val="006E62BE"/>
    <w:rsid w:val="006E6649"/>
    <w:rsid w:val="006E6BCB"/>
    <w:rsid w:val="006E77E9"/>
    <w:rsid w:val="006E7A71"/>
    <w:rsid w:val="006E7A82"/>
    <w:rsid w:val="006F0139"/>
    <w:rsid w:val="006F04D7"/>
    <w:rsid w:val="006F0FB0"/>
    <w:rsid w:val="006F139A"/>
    <w:rsid w:val="006F1AA8"/>
    <w:rsid w:val="006F27CA"/>
    <w:rsid w:val="006F3184"/>
    <w:rsid w:val="006F339B"/>
    <w:rsid w:val="006F3B8F"/>
    <w:rsid w:val="006F4601"/>
    <w:rsid w:val="006F56F6"/>
    <w:rsid w:val="006F6225"/>
    <w:rsid w:val="006F64C7"/>
    <w:rsid w:val="006F6ACC"/>
    <w:rsid w:val="006F6C58"/>
    <w:rsid w:val="006F6F73"/>
    <w:rsid w:val="006F7523"/>
    <w:rsid w:val="006F762A"/>
    <w:rsid w:val="006F7BF2"/>
    <w:rsid w:val="006F7EE4"/>
    <w:rsid w:val="00700C64"/>
    <w:rsid w:val="007011BE"/>
    <w:rsid w:val="007018FA"/>
    <w:rsid w:val="00701F20"/>
    <w:rsid w:val="0070240F"/>
    <w:rsid w:val="00702D79"/>
    <w:rsid w:val="00702F83"/>
    <w:rsid w:val="007031FE"/>
    <w:rsid w:val="00703B7A"/>
    <w:rsid w:val="00704009"/>
    <w:rsid w:val="00704C68"/>
    <w:rsid w:val="00705DEA"/>
    <w:rsid w:val="00705F4C"/>
    <w:rsid w:val="00706009"/>
    <w:rsid w:val="00706324"/>
    <w:rsid w:val="00706452"/>
    <w:rsid w:val="00706840"/>
    <w:rsid w:val="00706FC1"/>
    <w:rsid w:val="007070A7"/>
    <w:rsid w:val="007070CC"/>
    <w:rsid w:val="00707B6D"/>
    <w:rsid w:val="0071012D"/>
    <w:rsid w:val="0071031B"/>
    <w:rsid w:val="007103DB"/>
    <w:rsid w:val="007113D6"/>
    <w:rsid w:val="0071146E"/>
    <w:rsid w:val="007122F9"/>
    <w:rsid w:val="0071269F"/>
    <w:rsid w:val="007128F3"/>
    <w:rsid w:val="00712965"/>
    <w:rsid w:val="00712977"/>
    <w:rsid w:val="00712C3B"/>
    <w:rsid w:val="00712D43"/>
    <w:rsid w:val="007130A2"/>
    <w:rsid w:val="007133C6"/>
    <w:rsid w:val="00713550"/>
    <w:rsid w:val="007137A4"/>
    <w:rsid w:val="00713B92"/>
    <w:rsid w:val="007149A0"/>
    <w:rsid w:val="00715834"/>
    <w:rsid w:val="00715C11"/>
    <w:rsid w:val="00715C64"/>
    <w:rsid w:val="00716184"/>
    <w:rsid w:val="00716290"/>
    <w:rsid w:val="007164BE"/>
    <w:rsid w:val="00716528"/>
    <w:rsid w:val="007167BB"/>
    <w:rsid w:val="007169DF"/>
    <w:rsid w:val="007172E8"/>
    <w:rsid w:val="007173F0"/>
    <w:rsid w:val="007176AA"/>
    <w:rsid w:val="007179CF"/>
    <w:rsid w:val="007200E7"/>
    <w:rsid w:val="0072026C"/>
    <w:rsid w:val="00720D24"/>
    <w:rsid w:val="00720DC9"/>
    <w:rsid w:val="00720E21"/>
    <w:rsid w:val="007214DA"/>
    <w:rsid w:val="0072174D"/>
    <w:rsid w:val="0072184F"/>
    <w:rsid w:val="00721855"/>
    <w:rsid w:val="00721E88"/>
    <w:rsid w:val="007222E6"/>
    <w:rsid w:val="007229C5"/>
    <w:rsid w:val="00722A90"/>
    <w:rsid w:val="00722C4B"/>
    <w:rsid w:val="007236EF"/>
    <w:rsid w:val="0072397B"/>
    <w:rsid w:val="007239AB"/>
    <w:rsid w:val="007249AA"/>
    <w:rsid w:val="00724EFE"/>
    <w:rsid w:val="0072503D"/>
    <w:rsid w:val="00725226"/>
    <w:rsid w:val="00725911"/>
    <w:rsid w:val="0072607D"/>
    <w:rsid w:val="00726203"/>
    <w:rsid w:val="00726F17"/>
    <w:rsid w:val="00727520"/>
    <w:rsid w:val="007277AB"/>
    <w:rsid w:val="00727E39"/>
    <w:rsid w:val="007306F9"/>
    <w:rsid w:val="007308B0"/>
    <w:rsid w:val="00730E00"/>
    <w:rsid w:val="00731195"/>
    <w:rsid w:val="00731EBA"/>
    <w:rsid w:val="007325BA"/>
    <w:rsid w:val="007328D2"/>
    <w:rsid w:val="00732A19"/>
    <w:rsid w:val="0073340E"/>
    <w:rsid w:val="0073349F"/>
    <w:rsid w:val="00733573"/>
    <w:rsid w:val="00733A89"/>
    <w:rsid w:val="00733BB3"/>
    <w:rsid w:val="00733D53"/>
    <w:rsid w:val="007340A7"/>
    <w:rsid w:val="007344FD"/>
    <w:rsid w:val="00734FBD"/>
    <w:rsid w:val="007360BB"/>
    <w:rsid w:val="0073612A"/>
    <w:rsid w:val="0073645A"/>
    <w:rsid w:val="007366D5"/>
    <w:rsid w:val="00736D34"/>
    <w:rsid w:val="007371E0"/>
    <w:rsid w:val="0073724D"/>
    <w:rsid w:val="007378E6"/>
    <w:rsid w:val="00737F9A"/>
    <w:rsid w:val="00740CEE"/>
    <w:rsid w:val="00740E67"/>
    <w:rsid w:val="00741772"/>
    <w:rsid w:val="00741C23"/>
    <w:rsid w:val="00741E99"/>
    <w:rsid w:val="00742485"/>
    <w:rsid w:val="007427A7"/>
    <w:rsid w:val="0074339B"/>
    <w:rsid w:val="00743A11"/>
    <w:rsid w:val="00744321"/>
    <w:rsid w:val="00744478"/>
    <w:rsid w:val="0074497A"/>
    <w:rsid w:val="00744B2F"/>
    <w:rsid w:val="00745589"/>
    <w:rsid w:val="00745AB5"/>
    <w:rsid w:val="00746335"/>
    <w:rsid w:val="0074671B"/>
    <w:rsid w:val="00746AAC"/>
    <w:rsid w:val="0074706F"/>
    <w:rsid w:val="0074782D"/>
    <w:rsid w:val="007504EB"/>
    <w:rsid w:val="007506B2"/>
    <w:rsid w:val="00750DF3"/>
    <w:rsid w:val="00750F8F"/>
    <w:rsid w:val="00750FB5"/>
    <w:rsid w:val="00751219"/>
    <w:rsid w:val="00753065"/>
    <w:rsid w:val="0075324C"/>
    <w:rsid w:val="0075395A"/>
    <w:rsid w:val="00753B4F"/>
    <w:rsid w:val="0075405D"/>
    <w:rsid w:val="00754312"/>
    <w:rsid w:val="0075439F"/>
    <w:rsid w:val="007546C5"/>
    <w:rsid w:val="00754707"/>
    <w:rsid w:val="00754773"/>
    <w:rsid w:val="00754FD1"/>
    <w:rsid w:val="00755069"/>
    <w:rsid w:val="00755A19"/>
    <w:rsid w:val="00755FBD"/>
    <w:rsid w:val="00756894"/>
    <w:rsid w:val="00756CB1"/>
    <w:rsid w:val="00756FEE"/>
    <w:rsid w:val="00757B7B"/>
    <w:rsid w:val="00757C10"/>
    <w:rsid w:val="00757CF2"/>
    <w:rsid w:val="00757EDF"/>
    <w:rsid w:val="007614C7"/>
    <w:rsid w:val="007620A7"/>
    <w:rsid w:val="007625EC"/>
    <w:rsid w:val="0076260E"/>
    <w:rsid w:val="00762FD8"/>
    <w:rsid w:val="00763064"/>
    <w:rsid w:val="007633E4"/>
    <w:rsid w:val="00763425"/>
    <w:rsid w:val="007634E8"/>
    <w:rsid w:val="007635DE"/>
    <w:rsid w:val="007640D5"/>
    <w:rsid w:val="007647CE"/>
    <w:rsid w:val="007649AD"/>
    <w:rsid w:val="007649D7"/>
    <w:rsid w:val="00764AF0"/>
    <w:rsid w:val="00764BE5"/>
    <w:rsid w:val="00764C4F"/>
    <w:rsid w:val="00765CDB"/>
    <w:rsid w:val="00766001"/>
    <w:rsid w:val="00766615"/>
    <w:rsid w:val="00766A68"/>
    <w:rsid w:val="007671E7"/>
    <w:rsid w:val="007675B4"/>
    <w:rsid w:val="007676D8"/>
    <w:rsid w:val="00767AA7"/>
    <w:rsid w:val="00767C58"/>
    <w:rsid w:val="00767EBB"/>
    <w:rsid w:val="00770167"/>
    <w:rsid w:val="00770F8A"/>
    <w:rsid w:val="0077121A"/>
    <w:rsid w:val="0077249C"/>
    <w:rsid w:val="007727CC"/>
    <w:rsid w:val="007728DC"/>
    <w:rsid w:val="0077396E"/>
    <w:rsid w:val="00773E55"/>
    <w:rsid w:val="00773FCA"/>
    <w:rsid w:val="007748A1"/>
    <w:rsid w:val="00775AD3"/>
    <w:rsid w:val="00775CDB"/>
    <w:rsid w:val="00776733"/>
    <w:rsid w:val="00776EEE"/>
    <w:rsid w:val="00777022"/>
    <w:rsid w:val="007770CD"/>
    <w:rsid w:val="007771FA"/>
    <w:rsid w:val="00777F26"/>
    <w:rsid w:val="00777F4D"/>
    <w:rsid w:val="00780340"/>
    <w:rsid w:val="00780432"/>
    <w:rsid w:val="00780481"/>
    <w:rsid w:val="00780900"/>
    <w:rsid w:val="00780C1D"/>
    <w:rsid w:val="00780C55"/>
    <w:rsid w:val="00780FFD"/>
    <w:rsid w:val="0078182F"/>
    <w:rsid w:val="00781E77"/>
    <w:rsid w:val="007824E3"/>
    <w:rsid w:val="0078262E"/>
    <w:rsid w:val="00782A16"/>
    <w:rsid w:val="00783938"/>
    <w:rsid w:val="00784223"/>
    <w:rsid w:val="00784497"/>
    <w:rsid w:val="00784669"/>
    <w:rsid w:val="0078479E"/>
    <w:rsid w:val="00784821"/>
    <w:rsid w:val="007859EA"/>
    <w:rsid w:val="00785AEE"/>
    <w:rsid w:val="00785B0C"/>
    <w:rsid w:val="00785CD6"/>
    <w:rsid w:val="00785D55"/>
    <w:rsid w:val="007865F5"/>
    <w:rsid w:val="00786F43"/>
    <w:rsid w:val="00790236"/>
    <w:rsid w:val="007902E9"/>
    <w:rsid w:val="00790433"/>
    <w:rsid w:val="00790696"/>
    <w:rsid w:val="007907F6"/>
    <w:rsid w:val="007910E1"/>
    <w:rsid w:val="00791577"/>
    <w:rsid w:val="0079166B"/>
    <w:rsid w:val="00791978"/>
    <w:rsid w:val="0079227E"/>
    <w:rsid w:val="007928AC"/>
    <w:rsid w:val="00792D4B"/>
    <w:rsid w:val="007933FA"/>
    <w:rsid w:val="00793861"/>
    <w:rsid w:val="00793ED7"/>
    <w:rsid w:val="00794010"/>
    <w:rsid w:val="00794A1E"/>
    <w:rsid w:val="00794DCC"/>
    <w:rsid w:val="007953C2"/>
    <w:rsid w:val="007956BD"/>
    <w:rsid w:val="007957A3"/>
    <w:rsid w:val="00795DC5"/>
    <w:rsid w:val="007963B2"/>
    <w:rsid w:val="0079642E"/>
    <w:rsid w:val="007969D1"/>
    <w:rsid w:val="00796B78"/>
    <w:rsid w:val="00796C42"/>
    <w:rsid w:val="00796E02"/>
    <w:rsid w:val="007972A8"/>
    <w:rsid w:val="00797326"/>
    <w:rsid w:val="007973CB"/>
    <w:rsid w:val="00797B89"/>
    <w:rsid w:val="00797DF1"/>
    <w:rsid w:val="00797E99"/>
    <w:rsid w:val="007A03F6"/>
    <w:rsid w:val="007A0CB5"/>
    <w:rsid w:val="007A0F40"/>
    <w:rsid w:val="007A0F93"/>
    <w:rsid w:val="007A1279"/>
    <w:rsid w:val="007A13E4"/>
    <w:rsid w:val="007A178F"/>
    <w:rsid w:val="007A1AB7"/>
    <w:rsid w:val="007A1E6C"/>
    <w:rsid w:val="007A22CE"/>
    <w:rsid w:val="007A261A"/>
    <w:rsid w:val="007A2918"/>
    <w:rsid w:val="007A3045"/>
    <w:rsid w:val="007A30D5"/>
    <w:rsid w:val="007A3571"/>
    <w:rsid w:val="007A3616"/>
    <w:rsid w:val="007A3BAB"/>
    <w:rsid w:val="007A445E"/>
    <w:rsid w:val="007A4464"/>
    <w:rsid w:val="007A44EA"/>
    <w:rsid w:val="007A458B"/>
    <w:rsid w:val="007A46BB"/>
    <w:rsid w:val="007A480E"/>
    <w:rsid w:val="007A4E7D"/>
    <w:rsid w:val="007A61AB"/>
    <w:rsid w:val="007A66A9"/>
    <w:rsid w:val="007A6752"/>
    <w:rsid w:val="007A6793"/>
    <w:rsid w:val="007A6888"/>
    <w:rsid w:val="007A6902"/>
    <w:rsid w:val="007A6A9C"/>
    <w:rsid w:val="007A6B08"/>
    <w:rsid w:val="007A6C8E"/>
    <w:rsid w:val="007A6EB9"/>
    <w:rsid w:val="007A76CE"/>
    <w:rsid w:val="007A7850"/>
    <w:rsid w:val="007A7E36"/>
    <w:rsid w:val="007B0041"/>
    <w:rsid w:val="007B01FB"/>
    <w:rsid w:val="007B02FC"/>
    <w:rsid w:val="007B0402"/>
    <w:rsid w:val="007B0A11"/>
    <w:rsid w:val="007B0A3F"/>
    <w:rsid w:val="007B0DE6"/>
    <w:rsid w:val="007B0F5B"/>
    <w:rsid w:val="007B1035"/>
    <w:rsid w:val="007B1099"/>
    <w:rsid w:val="007B120D"/>
    <w:rsid w:val="007B127E"/>
    <w:rsid w:val="007B1F09"/>
    <w:rsid w:val="007B233C"/>
    <w:rsid w:val="007B2572"/>
    <w:rsid w:val="007B2A8D"/>
    <w:rsid w:val="007B2CF6"/>
    <w:rsid w:val="007B2D1E"/>
    <w:rsid w:val="007B2E7E"/>
    <w:rsid w:val="007B3069"/>
    <w:rsid w:val="007B323D"/>
    <w:rsid w:val="007B38A7"/>
    <w:rsid w:val="007B3D2B"/>
    <w:rsid w:val="007B4349"/>
    <w:rsid w:val="007B44A5"/>
    <w:rsid w:val="007B4DCF"/>
    <w:rsid w:val="007B4E25"/>
    <w:rsid w:val="007B50AF"/>
    <w:rsid w:val="007B55DE"/>
    <w:rsid w:val="007B592D"/>
    <w:rsid w:val="007B5AA3"/>
    <w:rsid w:val="007B5B57"/>
    <w:rsid w:val="007B74AA"/>
    <w:rsid w:val="007B7543"/>
    <w:rsid w:val="007B7BF5"/>
    <w:rsid w:val="007B7CA4"/>
    <w:rsid w:val="007C0198"/>
    <w:rsid w:val="007C01FB"/>
    <w:rsid w:val="007C0401"/>
    <w:rsid w:val="007C0520"/>
    <w:rsid w:val="007C0535"/>
    <w:rsid w:val="007C1150"/>
    <w:rsid w:val="007C13D7"/>
    <w:rsid w:val="007C219D"/>
    <w:rsid w:val="007C21D1"/>
    <w:rsid w:val="007C28D3"/>
    <w:rsid w:val="007C304C"/>
    <w:rsid w:val="007C371D"/>
    <w:rsid w:val="007C3E56"/>
    <w:rsid w:val="007C409A"/>
    <w:rsid w:val="007C419A"/>
    <w:rsid w:val="007C4502"/>
    <w:rsid w:val="007C481F"/>
    <w:rsid w:val="007C4BA7"/>
    <w:rsid w:val="007C4D1D"/>
    <w:rsid w:val="007C5716"/>
    <w:rsid w:val="007C58C1"/>
    <w:rsid w:val="007C5BA4"/>
    <w:rsid w:val="007C60EA"/>
    <w:rsid w:val="007C614E"/>
    <w:rsid w:val="007C65A7"/>
    <w:rsid w:val="007C67F1"/>
    <w:rsid w:val="007C6A5A"/>
    <w:rsid w:val="007C7087"/>
    <w:rsid w:val="007C728E"/>
    <w:rsid w:val="007C741D"/>
    <w:rsid w:val="007C7870"/>
    <w:rsid w:val="007C7A83"/>
    <w:rsid w:val="007C7BC5"/>
    <w:rsid w:val="007C7BE2"/>
    <w:rsid w:val="007C7D1A"/>
    <w:rsid w:val="007D0018"/>
    <w:rsid w:val="007D0250"/>
    <w:rsid w:val="007D06D3"/>
    <w:rsid w:val="007D09BB"/>
    <w:rsid w:val="007D0D45"/>
    <w:rsid w:val="007D0DFF"/>
    <w:rsid w:val="007D1133"/>
    <w:rsid w:val="007D113E"/>
    <w:rsid w:val="007D13E8"/>
    <w:rsid w:val="007D18F3"/>
    <w:rsid w:val="007D1EF2"/>
    <w:rsid w:val="007D20D0"/>
    <w:rsid w:val="007D22A9"/>
    <w:rsid w:val="007D2B3F"/>
    <w:rsid w:val="007D2D54"/>
    <w:rsid w:val="007D2DCD"/>
    <w:rsid w:val="007D2F8F"/>
    <w:rsid w:val="007D33EB"/>
    <w:rsid w:val="007D35B0"/>
    <w:rsid w:val="007D387B"/>
    <w:rsid w:val="007D3882"/>
    <w:rsid w:val="007D3A70"/>
    <w:rsid w:val="007D434A"/>
    <w:rsid w:val="007D44C0"/>
    <w:rsid w:val="007D4BA2"/>
    <w:rsid w:val="007D4C30"/>
    <w:rsid w:val="007D4D36"/>
    <w:rsid w:val="007D4D51"/>
    <w:rsid w:val="007D4F31"/>
    <w:rsid w:val="007D53F2"/>
    <w:rsid w:val="007D58B2"/>
    <w:rsid w:val="007D5AB0"/>
    <w:rsid w:val="007D637A"/>
    <w:rsid w:val="007D65BD"/>
    <w:rsid w:val="007D6F93"/>
    <w:rsid w:val="007D7162"/>
    <w:rsid w:val="007D7565"/>
    <w:rsid w:val="007D7F67"/>
    <w:rsid w:val="007E039F"/>
    <w:rsid w:val="007E045A"/>
    <w:rsid w:val="007E05C7"/>
    <w:rsid w:val="007E0812"/>
    <w:rsid w:val="007E132E"/>
    <w:rsid w:val="007E1382"/>
    <w:rsid w:val="007E14E6"/>
    <w:rsid w:val="007E1568"/>
    <w:rsid w:val="007E1642"/>
    <w:rsid w:val="007E2264"/>
    <w:rsid w:val="007E2675"/>
    <w:rsid w:val="007E2AD8"/>
    <w:rsid w:val="007E2F33"/>
    <w:rsid w:val="007E3139"/>
    <w:rsid w:val="007E3763"/>
    <w:rsid w:val="007E3DB7"/>
    <w:rsid w:val="007E415C"/>
    <w:rsid w:val="007E49ED"/>
    <w:rsid w:val="007E4F05"/>
    <w:rsid w:val="007E554F"/>
    <w:rsid w:val="007E57CD"/>
    <w:rsid w:val="007E59C5"/>
    <w:rsid w:val="007E59DA"/>
    <w:rsid w:val="007E5DF1"/>
    <w:rsid w:val="007E5FF2"/>
    <w:rsid w:val="007E606D"/>
    <w:rsid w:val="007E6221"/>
    <w:rsid w:val="007E632F"/>
    <w:rsid w:val="007E6BC9"/>
    <w:rsid w:val="007E70B3"/>
    <w:rsid w:val="007E7425"/>
    <w:rsid w:val="007E7630"/>
    <w:rsid w:val="007E7A45"/>
    <w:rsid w:val="007E7BDA"/>
    <w:rsid w:val="007E7BFC"/>
    <w:rsid w:val="007E7C6B"/>
    <w:rsid w:val="007F017E"/>
    <w:rsid w:val="007F02D7"/>
    <w:rsid w:val="007F0611"/>
    <w:rsid w:val="007F0D74"/>
    <w:rsid w:val="007F0E6F"/>
    <w:rsid w:val="007F1073"/>
    <w:rsid w:val="007F1127"/>
    <w:rsid w:val="007F11FF"/>
    <w:rsid w:val="007F13A5"/>
    <w:rsid w:val="007F1A68"/>
    <w:rsid w:val="007F1D4C"/>
    <w:rsid w:val="007F257C"/>
    <w:rsid w:val="007F29A9"/>
    <w:rsid w:val="007F2E1D"/>
    <w:rsid w:val="007F3455"/>
    <w:rsid w:val="007F35FD"/>
    <w:rsid w:val="007F370A"/>
    <w:rsid w:val="007F4075"/>
    <w:rsid w:val="007F4126"/>
    <w:rsid w:val="007F43D3"/>
    <w:rsid w:val="007F43E1"/>
    <w:rsid w:val="007F4B41"/>
    <w:rsid w:val="007F4C51"/>
    <w:rsid w:val="007F55EE"/>
    <w:rsid w:val="007F5773"/>
    <w:rsid w:val="007F5C8E"/>
    <w:rsid w:val="007F68CA"/>
    <w:rsid w:val="007F6B8B"/>
    <w:rsid w:val="007F7934"/>
    <w:rsid w:val="007F7BBE"/>
    <w:rsid w:val="007F7FC9"/>
    <w:rsid w:val="00800301"/>
    <w:rsid w:val="00800325"/>
    <w:rsid w:val="00800413"/>
    <w:rsid w:val="008004B9"/>
    <w:rsid w:val="008004E4"/>
    <w:rsid w:val="008004F7"/>
    <w:rsid w:val="00800755"/>
    <w:rsid w:val="00800819"/>
    <w:rsid w:val="00800A83"/>
    <w:rsid w:val="00800BC8"/>
    <w:rsid w:val="00800CC3"/>
    <w:rsid w:val="008014B9"/>
    <w:rsid w:val="00801FCC"/>
    <w:rsid w:val="00802833"/>
    <w:rsid w:val="008028DC"/>
    <w:rsid w:val="00802C2A"/>
    <w:rsid w:val="00803430"/>
    <w:rsid w:val="0080355E"/>
    <w:rsid w:val="008042A0"/>
    <w:rsid w:val="00804316"/>
    <w:rsid w:val="008043AF"/>
    <w:rsid w:val="008044AE"/>
    <w:rsid w:val="00804614"/>
    <w:rsid w:val="0080465F"/>
    <w:rsid w:val="00804707"/>
    <w:rsid w:val="00804BA9"/>
    <w:rsid w:val="00804F6C"/>
    <w:rsid w:val="00805256"/>
    <w:rsid w:val="00805754"/>
    <w:rsid w:val="00805B9F"/>
    <w:rsid w:val="00806188"/>
    <w:rsid w:val="00806EF3"/>
    <w:rsid w:val="00806F24"/>
    <w:rsid w:val="00807206"/>
    <w:rsid w:val="00807C3D"/>
    <w:rsid w:val="00811143"/>
    <w:rsid w:val="00811199"/>
    <w:rsid w:val="008111F9"/>
    <w:rsid w:val="00811C8A"/>
    <w:rsid w:val="00811EDC"/>
    <w:rsid w:val="00812E02"/>
    <w:rsid w:val="00812E11"/>
    <w:rsid w:val="00812E57"/>
    <w:rsid w:val="00812E77"/>
    <w:rsid w:val="0081301C"/>
    <w:rsid w:val="008133F7"/>
    <w:rsid w:val="00813AB2"/>
    <w:rsid w:val="00814121"/>
    <w:rsid w:val="00814652"/>
    <w:rsid w:val="00814A00"/>
    <w:rsid w:val="00814EB6"/>
    <w:rsid w:val="00814FDD"/>
    <w:rsid w:val="0081533A"/>
    <w:rsid w:val="00815408"/>
    <w:rsid w:val="00815569"/>
    <w:rsid w:val="00815AD8"/>
    <w:rsid w:val="008163F1"/>
    <w:rsid w:val="008171E1"/>
    <w:rsid w:val="00817A24"/>
    <w:rsid w:val="00820856"/>
    <w:rsid w:val="00820AA0"/>
    <w:rsid w:val="00820B05"/>
    <w:rsid w:val="00820BDD"/>
    <w:rsid w:val="00820DF4"/>
    <w:rsid w:val="00821AAE"/>
    <w:rsid w:val="00821C91"/>
    <w:rsid w:val="008220FA"/>
    <w:rsid w:val="00822FBA"/>
    <w:rsid w:val="00823367"/>
    <w:rsid w:val="00823602"/>
    <w:rsid w:val="008240E4"/>
    <w:rsid w:val="00824284"/>
    <w:rsid w:val="008242AA"/>
    <w:rsid w:val="0082442B"/>
    <w:rsid w:val="00824B9E"/>
    <w:rsid w:val="00824BF0"/>
    <w:rsid w:val="00824C78"/>
    <w:rsid w:val="00824CE5"/>
    <w:rsid w:val="00824F03"/>
    <w:rsid w:val="0082565C"/>
    <w:rsid w:val="008257C9"/>
    <w:rsid w:val="008259B8"/>
    <w:rsid w:val="00825BF1"/>
    <w:rsid w:val="00825D25"/>
    <w:rsid w:val="00825F0F"/>
    <w:rsid w:val="008262F4"/>
    <w:rsid w:val="00826973"/>
    <w:rsid w:val="00826C12"/>
    <w:rsid w:val="00826C26"/>
    <w:rsid w:val="00826FE6"/>
    <w:rsid w:val="008270FA"/>
    <w:rsid w:val="008271B0"/>
    <w:rsid w:val="00827420"/>
    <w:rsid w:val="0082780F"/>
    <w:rsid w:val="00827A5C"/>
    <w:rsid w:val="00827B25"/>
    <w:rsid w:val="00827B8A"/>
    <w:rsid w:val="00827B9E"/>
    <w:rsid w:val="00827D90"/>
    <w:rsid w:val="00830484"/>
    <w:rsid w:val="008313D2"/>
    <w:rsid w:val="0083164F"/>
    <w:rsid w:val="0083177A"/>
    <w:rsid w:val="00831941"/>
    <w:rsid w:val="00831968"/>
    <w:rsid w:val="00831B7A"/>
    <w:rsid w:val="00831CF9"/>
    <w:rsid w:val="008320CE"/>
    <w:rsid w:val="00832611"/>
    <w:rsid w:val="008326DD"/>
    <w:rsid w:val="00832855"/>
    <w:rsid w:val="00832A13"/>
    <w:rsid w:val="00832A39"/>
    <w:rsid w:val="00833390"/>
    <w:rsid w:val="008334FD"/>
    <w:rsid w:val="00833F94"/>
    <w:rsid w:val="008346C3"/>
    <w:rsid w:val="00835559"/>
    <w:rsid w:val="0083556C"/>
    <w:rsid w:val="008357B4"/>
    <w:rsid w:val="00835F99"/>
    <w:rsid w:val="00835FDD"/>
    <w:rsid w:val="008362F8"/>
    <w:rsid w:val="008363B4"/>
    <w:rsid w:val="00836AE7"/>
    <w:rsid w:val="00836C99"/>
    <w:rsid w:val="00836E4D"/>
    <w:rsid w:val="00836E82"/>
    <w:rsid w:val="00837A14"/>
    <w:rsid w:val="00837C0D"/>
    <w:rsid w:val="00837E2A"/>
    <w:rsid w:val="00837E9E"/>
    <w:rsid w:val="00840045"/>
    <w:rsid w:val="008411A6"/>
    <w:rsid w:val="0084175C"/>
    <w:rsid w:val="00841A00"/>
    <w:rsid w:val="00841B6F"/>
    <w:rsid w:val="00841C09"/>
    <w:rsid w:val="00841DB2"/>
    <w:rsid w:val="00842047"/>
    <w:rsid w:val="0084264E"/>
    <w:rsid w:val="00842C3C"/>
    <w:rsid w:val="00842E43"/>
    <w:rsid w:val="00842EF0"/>
    <w:rsid w:val="00842EFB"/>
    <w:rsid w:val="008432AB"/>
    <w:rsid w:val="00844164"/>
    <w:rsid w:val="00844C12"/>
    <w:rsid w:val="0084630B"/>
    <w:rsid w:val="00846991"/>
    <w:rsid w:val="00846C81"/>
    <w:rsid w:val="00847074"/>
    <w:rsid w:val="008471E9"/>
    <w:rsid w:val="0084742A"/>
    <w:rsid w:val="008476AD"/>
    <w:rsid w:val="008477D9"/>
    <w:rsid w:val="008477EA"/>
    <w:rsid w:val="008478FE"/>
    <w:rsid w:val="008501CE"/>
    <w:rsid w:val="0085046F"/>
    <w:rsid w:val="008507BB"/>
    <w:rsid w:val="00850B7E"/>
    <w:rsid w:val="008511AD"/>
    <w:rsid w:val="0085120F"/>
    <w:rsid w:val="008514D2"/>
    <w:rsid w:val="0085204D"/>
    <w:rsid w:val="008522CA"/>
    <w:rsid w:val="00852A24"/>
    <w:rsid w:val="00853838"/>
    <w:rsid w:val="00853C46"/>
    <w:rsid w:val="00853D62"/>
    <w:rsid w:val="0085425E"/>
    <w:rsid w:val="0085438B"/>
    <w:rsid w:val="008547A5"/>
    <w:rsid w:val="00854BC5"/>
    <w:rsid w:val="00854E05"/>
    <w:rsid w:val="00855759"/>
    <w:rsid w:val="00855FF3"/>
    <w:rsid w:val="0085682D"/>
    <w:rsid w:val="00856894"/>
    <w:rsid w:val="00857829"/>
    <w:rsid w:val="00857C66"/>
    <w:rsid w:val="008602DC"/>
    <w:rsid w:val="008603FA"/>
    <w:rsid w:val="0086053B"/>
    <w:rsid w:val="00860803"/>
    <w:rsid w:val="00860813"/>
    <w:rsid w:val="008609BB"/>
    <w:rsid w:val="00860FDE"/>
    <w:rsid w:val="00861145"/>
    <w:rsid w:val="0086177E"/>
    <w:rsid w:val="00861911"/>
    <w:rsid w:val="00861E9F"/>
    <w:rsid w:val="00861F04"/>
    <w:rsid w:val="00861FE0"/>
    <w:rsid w:val="008626DC"/>
    <w:rsid w:val="00862A9C"/>
    <w:rsid w:val="00862EA6"/>
    <w:rsid w:val="008632CC"/>
    <w:rsid w:val="00864026"/>
    <w:rsid w:val="008640AD"/>
    <w:rsid w:val="0086414A"/>
    <w:rsid w:val="0086488D"/>
    <w:rsid w:val="00864B4A"/>
    <w:rsid w:val="00865126"/>
    <w:rsid w:val="008656B4"/>
    <w:rsid w:val="00865CF7"/>
    <w:rsid w:val="00866AC6"/>
    <w:rsid w:val="0086751C"/>
    <w:rsid w:val="008679D1"/>
    <w:rsid w:val="00867AB5"/>
    <w:rsid w:val="008707D0"/>
    <w:rsid w:val="00870822"/>
    <w:rsid w:val="00871133"/>
    <w:rsid w:val="008711E8"/>
    <w:rsid w:val="0087122C"/>
    <w:rsid w:val="00871310"/>
    <w:rsid w:val="00871672"/>
    <w:rsid w:val="00871860"/>
    <w:rsid w:val="00871AF1"/>
    <w:rsid w:val="00871C4A"/>
    <w:rsid w:val="00871F0F"/>
    <w:rsid w:val="00872058"/>
    <w:rsid w:val="008725B2"/>
    <w:rsid w:val="008731A1"/>
    <w:rsid w:val="0087372B"/>
    <w:rsid w:val="008737F3"/>
    <w:rsid w:val="00873F35"/>
    <w:rsid w:val="0087425C"/>
    <w:rsid w:val="00874555"/>
    <w:rsid w:val="00874F74"/>
    <w:rsid w:val="0087552D"/>
    <w:rsid w:val="0087559C"/>
    <w:rsid w:val="00875DA4"/>
    <w:rsid w:val="00875E22"/>
    <w:rsid w:val="00875E3F"/>
    <w:rsid w:val="00875EEA"/>
    <w:rsid w:val="0087715A"/>
    <w:rsid w:val="008771C7"/>
    <w:rsid w:val="008775C2"/>
    <w:rsid w:val="00877806"/>
    <w:rsid w:val="0087799E"/>
    <w:rsid w:val="00877A81"/>
    <w:rsid w:val="00877C4C"/>
    <w:rsid w:val="0088043D"/>
    <w:rsid w:val="00881739"/>
    <w:rsid w:val="008823B7"/>
    <w:rsid w:val="00882635"/>
    <w:rsid w:val="008829FF"/>
    <w:rsid w:val="00882D3A"/>
    <w:rsid w:val="00882F0D"/>
    <w:rsid w:val="0088324E"/>
    <w:rsid w:val="00883258"/>
    <w:rsid w:val="008836DB"/>
    <w:rsid w:val="00883AD7"/>
    <w:rsid w:val="00883C92"/>
    <w:rsid w:val="00883E57"/>
    <w:rsid w:val="008846BA"/>
    <w:rsid w:val="008849F0"/>
    <w:rsid w:val="0088513A"/>
    <w:rsid w:val="00885392"/>
    <w:rsid w:val="008857B7"/>
    <w:rsid w:val="0088580B"/>
    <w:rsid w:val="00885E46"/>
    <w:rsid w:val="00885FB1"/>
    <w:rsid w:val="008863B6"/>
    <w:rsid w:val="00886C42"/>
    <w:rsid w:val="00886C59"/>
    <w:rsid w:val="00887275"/>
    <w:rsid w:val="00887A6A"/>
    <w:rsid w:val="00887B4C"/>
    <w:rsid w:val="00887B6B"/>
    <w:rsid w:val="008900BC"/>
    <w:rsid w:val="008902DF"/>
    <w:rsid w:val="008907F2"/>
    <w:rsid w:val="00890D08"/>
    <w:rsid w:val="00891251"/>
    <w:rsid w:val="00891514"/>
    <w:rsid w:val="00891B10"/>
    <w:rsid w:val="00891D74"/>
    <w:rsid w:val="00891FE3"/>
    <w:rsid w:val="008920F9"/>
    <w:rsid w:val="0089218D"/>
    <w:rsid w:val="00892B7B"/>
    <w:rsid w:val="00892D6F"/>
    <w:rsid w:val="00892F31"/>
    <w:rsid w:val="00893005"/>
    <w:rsid w:val="0089346D"/>
    <w:rsid w:val="008934A8"/>
    <w:rsid w:val="008936EB"/>
    <w:rsid w:val="008937AE"/>
    <w:rsid w:val="00893CDC"/>
    <w:rsid w:val="00893D8C"/>
    <w:rsid w:val="00893FC7"/>
    <w:rsid w:val="0089432C"/>
    <w:rsid w:val="00894A91"/>
    <w:rsid w:val="0089623F"/>
    <w:rsid w:val="00896689"/>
    <w:rsid w:val="00896A3F"/>
    <w:rsid w:val="00896C75"/>
    <w:rsid w:val="00897042"/>
    <w:rsid w:val="008970B8"/>
    <w:rsid w:val="0089750D"/>
    <w:rsid w:val="008976A2"/>
    <w:rsid w:val="00897D54"/>
    <w:rsid w:val="00897EA3"/>
    <w:rsid w:val="008A039D"/>
    <w:rsid w:val="008A094D"/>
    <w:rsid w:val="008A0A4F"/>
    <w:rsid w:val="008A0A5A"/>
    <w:rsid w:val="008A0AD7"/>
    <w:rsid w:val="008A0FD6"/>
    <w:rsid w:val="008A1125"/>
    <w:rsid w:val="008A1481"/>
    <w:rsid w:val="008A1E51"/>
    <w:rsid w:val="008A1F52"/>
    <w:rsid w:val="008A2121"/>
    <w:rsid w:val="008A21C5"/>
    <w:rsid w:val="008A2850"/>
    <w:rsid w:val="008A297B"/>
    <w:rsid w:val="008A2A07"/>
    <w:rsid w:val="008A31D8"/>
    <w:rsid w:val="008A3252"/>
    <w:rsid w:val="008A3EB8"/>
    <w:rsid w:val="008A4074"/>
    <w:rsid w:val="008A4EDE"/>
    <w:rsid w:val="008A4F18"/>
    <w:rsid w:val="008A50C7"/>
    <w:rsid w:val="008A5DC6"/>
    <w:rsid w:val="008A61A9"/>
    <w:rsid w:val="008A61D0"/>
    <w:rsid w:val="008A6661"/>
    <w:rsid w:val="008A66F5"/>
    <w:rsid w:val="008A69AE"/>
    <w:rsid w:val="008A6B13"/>
    <w:rsid w:val="008A781E"/>
    <w:rsid w:val="008A7AFF"/>
    <w:rsid w:val="008A7E0F"/>
    <w:rsid w:val="008A7E39"/>
    <w:rsid w:val="008A7FE7"/>
    <w:rsid w:val="008B0272"/>
    <w:rsid w:val="008B03F1"/>
    <w:rsid w:val="008B07C8"/>
    <w:rsid w:val="008B0AE7"/>
    <w:rsid w:val="008B0C2E"/>
    <w:rsid w:val="008B0C89"/>
    <w:rsid w:val="008B19AC"/>
    <w:rsid w:val="008B1D6E"/>
    <w:rsid w:val="008B20BB"/>
    <w:rsid w:val="008B2587"/>
    <w:rsid w:val="008B2863"/>
    <w:rsid w:val="008B2CDE"/>
    <w:rsid w:val="008B2CEE"/>
    <w:rsid w:val="008B2F19"/>
    <w:rsid w:val="008B2F97"/>
    <w:rsid w:val="008B3150"/>
    <w:rsid w:val="008B31F0"/>
    <w:rsid w:val="008B331A"/>
    <w:rsid w:val="008B3613"/>
    <w:rsid w:val="008B36BF"/>
    <w:rsid w:val="008B4764"/>
    <w:rsid w:val="008B4855"/>
    <w:rsid w:val="008B489C"/>
    <w:rsid w:val="008B4A22"/>
    <w:rsid w:val="008B5228"/>
    <w:rsid w:val="008B54E0"/>
    <w:rsid w:val="008B55DC"/>
    <w:rsid w:val="008B5A37"/>
    <w:rsid w:val="008B5C02"/>
    <w:rsid w:val="008B5C69"/>
    <w:rsid w:val="008B60E1"/>
    <w:rsid w:val="008B625E"/>
    <w:rsid w:val="008B635F"/>
    <w:rsid w:val="008B6728"/>
    <w:rsid w:val="008B6949"/>
    <w:rsid w:val="008B69D6"/>
    <w:rsid w:val="008B6CA4"/>
    <w:rsid w:val="008B6F75"/>
    <w:rsid w:val="008B728E"/>
    <w:rsid w:val="008B73A4"/>
    <w:rsid w:val="008B7976"/>
    <w:rsid w:val="008B79EB"/>
    <w:rsid w:val="008B7A0A"/>
    <w:rsid w:val="008B7C4B"/>
    <w:rsid w:val="008C0276"/>
    <w:rsid w:val="008C0821"/>
    <w:rsid w:val="008C10ED"/>
    <w:rsid w:val="008C114B"/>
    <w:rsid w:val="008C11BA"/>
    <w:rsid w:val="008C1CE4"/>
    <w:rsid w:val="008C2306"/>
    <w:rsid w:val="008C2788"/>
    <w:rsid w:val="008C2820"/>
    <w:rsid w:val="008C2D5B"/>
    <w:rsid w:val="008C316E"/>
    <w:rsid w:val="008C3A88"/>
    <w:rsid w:val="008C3D6F"/>
    <w:rsid w:val="008C3DE6"/>
    <w:rsid w:val="008C4334"/>
    <w:rsid w:val="008C461E"/>
    <w:rsid w:val="008C47F9"/>
    <w:rsid w:val="008C4950"/>
    <w:rsid w:val="008C49AC"/>
    <w:rsid w:val="008C49B7"/>
    <w:rsid w:val="008C4BE9"/>
    <w:rsid w:val="008C4D1C"/>
    <w:rsid w:val="008C566D"/>
    <w:rsid w:val="008C6496"/>
    <w:rsid w:val="008C67FA"/>
    <w:rsid w:val="008C7229"/>
    <w:rsid w:val="008C7390"/>
    <w:rsid w:val="008C7444"/>
    <w:rsid w:val="008C7A09"/>
    <w:rsid w:val="008C7FB5"/>
    <w:rsid w:val="008D0862"/>
    <w:rsid w:val="008D0D71"/>
    <w:rsid w:val="008D0F23"/>
    <w:rsid w:val="008D0FB8"/>
    <w:rsid w:val="008D201D"/>
    <w:rsid w:val="008D2589"/>
    <w:rsid w:val="008D273E"/>
    <w:rsid w:val="008D28FE"/>
    <w:rsid w:val="008D2D7E"/>
    <w:rsid w:val="008D2D9D"/>
    <w:rsid w:val="008D5302"/>
    <w:rsid w:val="008D59DF"/>
    <w:rsid w:val="008D5AF6"/>
    <w:rsid w:val="008D5E48"/>
    <w:rsid w:val="008D5F93"/>
    <w:rsid w:val="008D6672"/>
    <w:rsid w:val="008D66B5"/>
    <w:rsid w:val="008D674E"/>
    <w:rsid w:val="008D6D9B"/>
    <w:rsid w:val="008D6FE0"/>
    <w:rsid w:val="008D7465"/>
    <w:rsid w:val="008D75A8"/>
    <w:rsid w:val="008D7B2F"/>
    <w:rsid w:val="008D7C48"/>
    <w:rsid w:val="008D7D76"/>
    <w:rsid w:val="008D7FA7"/>
    <w:rsid w:val="008E015A"/>
    <w:rsid w:val="008E039B"/>
    <w:rsid w:val="008E096F"/>
    <w:rsid w:val="008E098F"/>
    <w:rsid w:val="008E0CF1"/>
    <w:rsid w:val="008E10F7"/>
    <w:rsid w:val="008E14EB"/>
    <w:rsid w:val="008E1811"/>
    <w:rsid w:val="008E1A5B"/>
    <w:rsid w:val="008E1EA4"/>
    <w:rsid w:val="008E204F"/>
    <w:rsid w:val="008E20BD"/>
    <w:rsid w:val="008E2329"/>
    <w:rsid w:val="008E270E"/>
    <w:rsid w:val="008E2DE9"/>
    <w:rsid w:val="008E3160"/>
    <w:rsid w:val="008E3AF6"/>
    <w:rsid w:val="008E3B15"/>
    <w:rsid w:val="008E3CCB"/>
    <w:rsid w:val="008E3D60"/>
    <w:rsid w:val="008E4039"/>
    <w:rsid w:val="008E435F"/>
    <w:rsid w:val="008E4916"/>
    <w:rsid w:val="008E4B42"/>
    <w:rsid w:val="008E4CDF"/>
    <w:rsid w:val="008E4DB7"/>
    <w:rsid w:val="008E4FC7"/>
    <w:rsid w:val="008E500F"/>
    <w:rsid w:val="008E51BC"/>
    <w:rsid w:val="008E56EC"/>
    <w:rsid w:val="008E5A1D"/>
    <w:rsid w:val="008E5EC6"/>
    <w:rsid w:val="008E5EF2"/>
    <w:rsid w:val="008E6002"/>
    <w:rsid w:val="008E6395"/>
    <w:rsid w:val="008E6B45"/>
    <w:rsid w:val="008E7508"/>
    <w:rsid w:val="008E782E"/>
    <w:rsid w:val="008E7833"/>
    <w:rsid w:val="008E788D"/>
    <w:rsid w:val="008E7B43"/>
    <w:rsid w:val="008F0521"/>
    <w:rsid w:val="008F1CEA"/>
    <w:rsid w:val="008F1F07"/>
    <w:rsid w:val="008F2000"/>
    <w:rsid w:val="008F2330"/>
    <w:rsid w:val="008F2738"/>
    <w:rsid w:val="008F29F7"/>
    <w:rsid w:val="008F2B06"/>
    <w:rsid w:val="008F2D4D"/>
    <w:rsid w:val="008F2F5A"/>
    <w:rsid w:val="008F3802"/>
    <w:rsid w:val="008F4232"/>
    <w:rsid w:val="008F4B53"/>
    <w:rsid w:val="008F4C12"/>
    <w:rsid w:val="008F5159"/>
    <w:rsid w:val="008F583F"/>
    <w:rsid w:val="008F5C96"/>
    <w:rsid w:val="008F5CF0"/>
    <w:rsid w:val="008F62C3"/>
    <w:rsid w:val="008F6908"/>
    <w:rsid w:val="008F6956"/>
    <w:rsid w:val="008F69BB"/>
    <w:rsid w:val="008F70F2"/>
    <w:rsid w:val="008F72CA"/>
    <w:rsid w:val="008F74C3"/>
    <w:rsid w:val="008F7A11"/>
    <w:rsid w:val="0090063D"/>
    <w:rsid w:val="0090063E"/>
    <w:rsid w:val="00900701"/>
    <w:rsid w:val="00900C14"/>
    <w:rsid w:val="00900D65"/>
    <w:rsid w:val="00900E29"/>
    <w:rsid w:val="00900F2C"/>
    <w:rsid w:val="009010C4"/>
    <w:rsid w:val="009010DD"/>
    <w:rsid w:val="0090209E"/>
    <w:rsid w:val="00902616"/>
    <w:rsid w:val="0090262D"/>
    <w:rsid w:val="00902747"/>
    <w:rsid w:val="00902B7F"/>
    <w:rsid w:val="00902F1C"/>
    <w:rsid w:val="009038BA"/>
    <w:rsid w:val="0090391B"/>
    <w:rsid w:val="00903C2E"/>
    <w:rsid w:val="00903C44"/>
    <w:rsid w:val="00903C9D"/>
    <w:rsid w:val="00904328"/>
    <w:rsid w:val="0090493B"/>
    <w:rsid w:val="009050F8"/>
    <w:rsid w:val="009054DB"/>
    <w:rsid w:val="009054E7"/>
    <w:rsid w:val="00905763"/>
    <w:rsid w:val="009057E0"/>
    <w:rsid w:val="00905EFB"/>
    <w:rsid w:val="0090624D"/>
    <w:rsid w:val="00906935"/>
    <w:rsid w:val="00906B35"/>
    <w:rsid w:val="00906B8B"/>
    <w:rsid w:val="00906D87"/>
    <w:rsid w:val="00907152"/>
    <w:rsid w:val="0090759A"/>
    <w:rsid w:val="00907851"/>
    <w:rsid w:val="009109DB"/>
    <w:rsid w:val="00911164"/>
    <w:rsid w:val="00911445"/>
    <w:rsid w:val="00911AEE"/>
    <w:rsid w:val="00911DD3"/>
    <w:rsid w:val="00911F42"/>
    <w:rsid w:val="009129BC"/>
    <w:rsid w:val="009129F7"/>
    <w:rsid w:val="00912B84"/>
    <w:rsid w:val="00912D10"/>
    <w:rsid w:val="00913020"/>
    <w:rsid w:val="009135B8"/>
    <w:rsid w:val="009138F5"/>
    <w:rsid w:val="009138F8"/>
    <w:rsid w:val="00914293"/>
    <w:rsid w:val="009147CB"/>
    <w:rsid w:val="00914E24"/>
    <w:rsid w:val="00915603"/>
    <w:rsid w:val="009156B4"/>
    <w:rsid w:val="00915885"/>
    <w:rsid w:val="00915C6D"/>
    <w:rsid w:val="00915C83"/>
    <w:rsid w:val="00916753"/>
    <w:rsid w:val="00916AE1"/>
    <w:rsid w:val="00916CE3"/>
    <w:rsid w:val="00916FB1"/>
    <w:rsid w:val="00917124"/>
    <w:rsid w:val="00917EA9"/>
    <w:rsid w:val="009201E8"/>
    <w:rsid w:val="0092034F"/>
    <w:rsid w:val="00920400"/>
    <w:rsid w:val="009206F2"/>
    <w:rsid w:val="00920870"/>
    <w:rsid w:val="009214BC"/>
    <w:rsid w:val="009215C2"/>
    <w:rsid w:val="00921771"/>
    <w:rsid w:val="00921B8B"/>
    <w:rsid w:val="00921DFF"/>
    <w:rsid w:val="00921E84"/>
    <w:rsid w:val="00922259"/>
    <w:rsid w:val="009230B0"/>
    <w:rsid w:val="00923394"/>
    <w:rsid w:val="00923490"/>
    <w:rsid w:val="00923617"/>
    <w:rsid w:val="009237C7"/>
    <w:rsid w:val="00923A2B"/>
    <w:rsid w:val="00923A7E"/>
    <w:rsid w:val="00923D45"/>
    <w:rsid w:val="00923F3C"/>
    <w:rsid w:val="00924342"/>
    <w:rsid w:val="00925EDC"/>
    <w:rsid w:val="0092639D"/>
    <w:rsid w:val="009263DE"/>
    <w:rsid w:val="00926DD5"/>
    <w:rsid w:val="00927430"/>
    <w:rsid w:val="00927A54"/>
    <w:rsid w:val="00927C30"/>
    <w:rsid w:val="00930212"/>
    <w:rsid w:val="0093055B"/>
    <w:rsid w:val="009309A1"/>
    <w:rsid w:val="00930AF0"/>
    <w:rsid w:val="0093116D"/>
    <w:rsid w:val="009314AC"/>
    <w:rsid w:val="00931AB9"/>
    <w:rsid w:val="00932060"/>
    <w:rsid w:val="0093232C"/>
    <w:rsid w:val="0093271E"/>
    <w:rsid w:val="00932D56"/>
    <w:rsid w:val="00933080"/>
    <w:rsid w:val="00933945"/>
    <w:rsid w:val="00933A00"/>
    <w:rsid w:val="00933B05"/>
    <w:rsid w:val="00933E45"/>
    <w:rsid w:val="009340B4"/>
    <w:rsid w:val="0093435F"/>
    <w:rsid w:val="009345AE"/>
    <w:rsid w:val="009346BA"/>
    <w:rsid w:val="00934712"/>
    <w:rsid w:val="009349AA"/>
    <w:rsid w:val="00934C16"/>
    <w:rsid w:val="00934FAB"/>
    <w:rsid w:val="00935036"/>
    <w:rsid w:val="009350EE"/>
    <w:rsid w:val="00935594"/>
    <w:rsid w:val="00935697"/>
    <w:rsid w:val="00935E07"/>
    <w:rsid w:val="0093600C"/>
    <w:rsid w:val="00936353"/>
    <w:rsid w:val="00936425"/>
    <w:rsid w:val="009369B9"/>
    <w:rsid w:val="00937400"/>
    <w:rsid w:val="00937553"/>
    <w:rsid w:val="00937EC9"/>
    <w:rsid w:val="00937F31"/>
    <w:rsid w:val="00940212"/>
    <w:rsid w:val="0094022C"/>
    <w:rsid w:val="00940DE5"/>
    <w:rsid w:val="00941014"/>
    <w:rsid w:val="00941821"/>
    <w:rsid w:val="00941916"/>
    <w:rsid w:val="00941E9E"/>
    <w:rsid w:val="00941FE8"/>
    <w:rsid w:val="009427F9"/>
    <w:rsid w:val="00942BA4"/>
    <w:rsid w:val="00943645"/>
    <w:rsid w:val="0094391C"/>
    <w:rsid w:val="00943C4F"/>
    <w:rsid w:val="0094446A"/>
    <w:rsid w:val="009444B7"/>
    <w:rsid w:val="00944630"/>
    <w:rsid w:val="00946776"/>
    <w:rsid w:val="0094686B"/>
    <w:rsid w:val="00946E5D"/>
    <w:rsid w:val="00947585"/>
    <w:rsid w:val="009476EA"/>
    <w:rsid w:val="00947B44"/>
    <w:rsid w:val="00950B33"/>
    <w:rsid w:val="00950DED"/>
    <w:rsid w:val="0095165F"/>
    <w:rsid w:val="00951778"/>
    <w:rsid w:val="00952180"/>
    <w:rsid w:val="00952359"/>
    <w:rsid w:val="009524D6"/>
    <w:rsid w:val="00952C29"/>
    <w:rsid w:val="00953355"/>
    <w:rsid w:val="009535ED"/>
    <w:rsid w:val="009537BE"/>
    <w:rsid w:val="0095384E"/>
    <w:rsid w:val="009538CB"/>
    <w:rsid w:val="00953A07"/>
    <w:rsid w:val="009542AE"/>
    <w:rsid w:val="00954F5B"/>
    <w:rsid w:val="00955021"/>
    <w:rsid w:val="00955100"/>
    <w:rsid w:val="00955191"/>
    <w:rsid w:val="0095566E"/>
    <w:rsid w:val="00955A43"/>
    <w:rsid w:val="00955A71"/>
    <w:rsid w:val="00955A87"/>
    <w:rsid w:val="00955AF6"/>
    <w:rsid w:val="00955E9E"/>
    <w:rsid w:val="00956596"/>
    <w:rsid w:val="009566BD"/>
    <w:rsid w:val="0095693C"/>
    <w:rsid w:val="00956C90"/>
    <w:rsid w:val="00956E85"/>
    <w:rsid w:val="00956F44"/>
    <w:rsid w:val="009573E8"/>
    <w:rsid w:val="009578D4"/>
    <w:rsid w:val="00957F83"/>
    <w:rsid w:val="00959D6D"/>
    <w:rsid w:val="00960241"/>
    <w:rsid w:val="00960CD0"/>
    <w:rsid w:val="00961861"/>
    <w:rsid w:val="00961E54"/>
    <w:rsid w:val="00962261"/>
    <w:rsid w:val="00962B5E"/>
    <w:rsid w:val="00962B6D"/>
    <w:rsid w:val="00962D61"/>
    <w:rsid w:val="00962EB2"/>
    <w:rsid w:val="00962FCB"/>
    <w:rsid w:val="00962FD5"/>
    <w:rsid w:val="00963066"/>
    <w:rsid w:val="009630A0"/>
    <w:rsid w:val="009630E5"/>
    <w:rsid w:val="0096319F"/>
    <w:rsid w:val="00963570"/>
    <w:rsid w:val="00963970"/>
    <w:rsid w:val="00963C1C"/>
    <w:rsid w:val="009644CF"/>
    <w:rsid w:val="00964E3E"/>
    <w:rsid w:val="009651F9"/>
    <w:rsid w:val="00965643"/>
    <w:rsid w:val="009656C5"/>
    <w:rsid w:val="009659D8"/>
    <w:rsid w:val="00965AEB"/>
    <w:rsid w:val="00965B2A"/>
    <w:rsid w:val="00965F1F"/>
    <w:rsid w:val="0096681E"/>
    <w:rsid w:val="0096685C"/>
    <w:rsid w:val="00966971"/>
    <w:rsid w:val="00966CB5"/>
    <w:rsid w:val="0096752D"/>
    <w:rsid w:val="0096774C"/>
    <w:rsid w:val="0097002E"/>
    <w:rsid w:val="0097011D"/>
    <w:rsid w:val="009705EE"/>
    <w:rsid w:val="009706EC"/>
    <w:rsid w:val="009707FD"/>
    <w:rsid w:val="0097087F"/>
    <w:rsid w:val="00971103"/>
    <w:rsid w:val="00971308"/>
    <w:rsid w:val="00971C1B"/>
    <w:rsid w:val="009725A5"/>
    <w:rsid w:val="00972842"/>
    <w:rsid w:val="00972DF3"/>
    <w:rsid w:val="00972F9B"/>
    <w:rsid w:val="00973341"/>
    <w:rsid w:val="009735C0"/>
    <w:rsid w:val="00973A69"/>
    <w:rsid w:val="009742C5"/>
    <w:rsid w:val="009743C3"/>
    <w:rsid w:val="00974462"/>
    <w:rsid w:val="00974944"/>
    <w:rsid w:val="0097580D"/>
    <w:rsid w:val="00975B9D"/>
    <w:rsid w:val="00975F9C"/>
    <w:rsid w:val="00976778"/>
    <w:rsid w:val="00976BD8"/>
    <w:rsid w:val="00976C35"/>
    <w:rsid w:val="00976EB7"/>
    <w:rsid w:val="0097702A"/>
    <w:rsid w:val="00977137"/>
    <w:rsid w:val="0097746B"/>
    <w:rsid w:val="009779AC"/>
    <w:rsid w:val="00977F73"/>
    <w:rsid w:val="00980596"/>
    <w:rsid w:val="00980676"/>
    <w:rsid w:val="00980876"/>
    <w:rsid w:val="009809BB"/>
    <w:rsid w:val="00980CA9"/>
    <w:rsid w:val="009821D1"/>
    <w:rsid w:val="00983001"/>
    <w:rsid w:val="00983190"/>
    <w:rsid w:val="00983A33"/>
    <w:rsid w:val="00983A45"/>
    <w:rsid w:val="00983FC0"/>
    <w:rsid w:val="00985289"/>
    <w:rsid w:val="00985A41"/>
    <w:rsid w:val="00985B30"/>
    <w:rsid w:val="00985E4F"/>
    <w:rsid w:val="00985F98"/>
    <w:rsid w:val="00986013"/>
    <w:rsid w:val="0098621D"/>
    <w:rsid w:val="00986ADD"/>
    <w:rsid w:val="00986BDA"/>
    <w:rsid w:val="00986EF2"/>
    <w:rsid w:val="0098723B"/>
    <w:rsid w:val="00987E98"/>
    <w:rsid w:val="00990492"/>
    <w:rsid w:val="0099078E"/>
    <w:rsid w:val="0099085A"/>
    <w:rsid w:val="00990890"/>
    <w:rsid w:val="00991073"/>
    <w:rsid w:val="00991A87"/>
    <w:rsid w:val="00991B40"/>
    <w:rsid w:val="00992A7A"/>
    <w:rsid w:val="0099303B"/>
    <w:rsid w:val="009931AB"/>
    <w:rsid w:val="009931AF"/>
    <w:rsid w:val="0099325E"/>
    <w:rsid w:val="0099355B"/>
    <w:rsid w:val="009939CD"/>
    <w:rsid w:val="00994388"/>
    <w:rsid w:val="00995893"/>
    <w:rsid w:val="009959E4"/>
    <w:rsid w:val="00995AB9"/>
    <w:rsid w:val="00996F6F"/>
    <w:rsid w:val="00997E01"/>
    <w:rsid w:val="00997FC8"/>
    <w:rsid w:val="009A033A"/>
    <w:rsid w:val="009A03BB"/>
    <w:rsid w:val="009A0482"/>
    <w:rsid w:val="009A0770"/>
    <w:rsid w:val="009A0BAE"/>
    <w:rsid w:val="009A0D25"/>
    <w:rsid w:val="009A0FA3"/>
    <w:rsid w:val="009A1B7B"/>
    <w:rsid w:val="009A1BCE"/>
    <w:rsid w:val="009A1C4C"/>
    <w:rsid w:val="009A24DA"/>
    <w:rsid w:val="009A2908"/>
    <w:rsid w:val="009A2A19"/>
    <w:rsid w:val="009A31EA"/>
    <w:rsid w:val="009A3459"/>
    <w:rsid w:val="009A3F28"/>
    <w:rsid w:val="009A42C9"/>
    <w:rsid w:val="009A4903"/>
    <w:rsid w:val="009A4957"/>
    <w:rsid w:val="009A5513"/>
    <w:rsid w:val="009A5A55"/>
    <w:rsid w:val="009A5B8E"/>
    <w:rsid w:val="009A5DFA"/>
    <w:rsid w:val="009A5EDA"/>
    <w:rsid w:val="009A5FE7"/>
    <w:rsid w:val="009A62D9"/>
    <w:rsid w:val="009A634A"/>
    <w:rsid w:val="009A6705"/>
    <w:rsid w:val="009A673E"/>
    <w:rsid w:val="009A677E"/>
    <w:rsid w:val="009A6A38"/>
    <w:rsid w:val="009A6AFC"/>
    <w:rsid w:val="009A7C10"/>
    <w:rsid w:val="009B031A"/>
    <w:rsid w:val="009B0355"/>
    <w:rsid w:val="009B04F6"/>
    <w:rsid w:val="009B0FFD"/>
    <w:rsid w:val="009B1419"/>
    <w:rsid w:val="009B1AC3"/>
    <w:rsid w:val="009B1F81"/>
    <w:rsid w:val="009B1FC3"/>
    <w:rsid w:val="009B207A"/>
    <w:rsid w:val="009B20A4"/>
    <w:rsid w:val="009B221D"/>
    <w:rsid w:val="009B23DA"/>
    <w:rsid w:val="009B2607"/>
    <w:rsid w:val="009B27D5"/>
    <w:rsid w:val="009B28D4"/>
    <w:rsid w:val="009B2C85"/>
    <w:rsid w:val="009B3623"/>
    <w:rsid w:val="009B3718"/>
    <w:rsid w:val="009B382F"/>
    <w:rsid w:val="009B3A42"/>
    <w:rsid w:val="009B4258"/>
    <w:rsid w:val="009B4E40"/>
    <w:rsid w:val="009B53BF"/>
    <w:rsid w:val="009B53E5"/>
    <w:rsid w:val="009B5B1A"/>
    <w:rsid w:val="009B5E9D"/>
    <w:rsid w:val="009B5EA2"/>
    <w:rsid w:val="009B6105"/>
    <w:rsid w:val="009B63AB"/>
    <w:rsid w:val="009B6689"/>
    <w:rsid w:val="009B6D96"/>
    <w:rsid w:val="009B7429"/>
    <w:rsid w:val="009B74F1"/>
    <w:rsid w:val="009B78A8"/>
    <w:rsid w:val="009B7EC8"/>
    <w:rsid w:val="009C0003"/>
    <w:rsid w:val="009C01D4"/>
    <w:rsid w:val="009C0505"/>
    <w:rsid w:val="009C07DA"/>
    <w:rsid w:val="009C1026"/>
    <w:rsid w:val="009C1132"/>
    <w:rsid w:val="009C16A3"/>
    <w:rsid w:val="009C191A"/>
    <w:rsid w:val="009C1ADE"/>
    <w:rsid w:val="009C267D"/>
    <w:rsid w:val="009C271A"/>
    <w:rsid w:val="009C2797"/>
    <w:rsid w:val="009C2D3F"/>
    <w:rsid w:val="009C3892"/>
    <w:rsid w:val="009C4B4E"/>
    <w:rsid w:val="009C65A6"/>
    <w:rsid w:val="009C6784"/>
    <w:rsid w:val="009C708A"/>
    <w:rsid w:val="009C77B4"/>
    <w:rsid w:val="009C7ECE"/>
    <w:rsid w:val="009D0760"/>
    <w:rsid w:val="009D0830"/>
    <w:rsid w:val="009D09FE"/>
    <w:rsid w:val="009D0A0B"/>
    <w:rsid w:val="009D1238"/>
    <w:rsid w:val="009D1F9D"/>
    <w:rsid w:val="009D238A"/>
    <w:rsid w:val="009D2AD0"/>
    <w:rsid w:val="009D2B95"/>
    <w:rsid w:val="009D4598"/>
    <w:rsid w:val="009D466C"/>
    <w:rsid w:val="009D46A0"/>
    <w:rsid w:val="009D470B"/>
    <w:rsid w:val="009D479B"/>
    <w:rsid w:val="009D49F8"/>
    <w:rsid w:val="009D5B20"/>
    <w:rsid w:val="009D69F8"/>
    <w:rsid w:val="009D6AC1"/>
    <w:rsid w:val="009D6EEA"/>
    <w:rsid w:val="009D775C"/>
    <w:rsid w:val="009D7A36"/>
    <w:rsid w:val="009D7B15"/>
    <w:rsid w:val="009D7C41"/>
    <w:rsid w:val="009D7D15"/>
    <w:rsid w:val="009D7E7F"/>
    <w:rsid w:val="009D7EFF"/>
    <w:rsid w:val="009E035D"/>
    <w:rsid w:val="009E0A6F"/>
    <w:rsid w:val="009E1B98"/>
    <w:rsid w:val="009E1CB6"/>
    <w:rsid w:val="009E281C"/>
    <w:rsid w:val="009E2E88"/>
    <w:rsid w:val="009E2FB3"/>
    <w:rsid w:val="009E3AC8"/>
    <w:rsid w:val="009E42DC"/>
    <w:rsid w:val="009E43C6"/>
    <w:rsid w:val="009E4656"/>
    <w:rsid w:val="009E47A9"/>
    <w:rsid w:val="009E47CC"/>
    <w:rsid w:val="009E4EC6"/>
    <w:rsid w:val="009E5027"/>
    <w:rsid w:val="009E52A8"/>
    <w:rsid w:val="009E5524"/>
    <w:rsid w:val="009E56B9"/>
    <w:rsid w:val="009E5AC5"/>
    <w:rsid w:val="009E63CB"/>
    <w:rsid w:val="009E6C65"/>
    <w:rsid w:val="009E6C93"/>
    <w:rsid w:val="009E7395"/>
    <w:rsid w:val="009E7721"/>
    <w:rsid w:val="009E7A5E"/>
    <w:rsid w:val="009F0211"/>
    <w:rsid w:val="009F02C4"/>
    <w:rsid w:val="009F0676"/>
    <w:rsid w:val="009F070C"/>
    <w:rsid w:val="009F0AEA"/>
    <w:rsid w:val="009F14F2"/>
    <w:rsid w:val="009F22F1"/>
    <w:rsid w:val="009F2C3E"/>
    <w:rsid w:val="009F31EF"/>
    <w:rsid w:val="009F36EA"/>
    <w:rsid w:val="009F371D"/>
    <w:rsid w:val="009F3749"/>
    <w:rsid w:val="009F405A"/>
    <w:rsid w:val="009F44A4"/>
    <w:rsid w:val="009F4D38"/>
    <w:rsid w:val="009F5A4F"/>
    <w:rsid w:val="009F5B1E"/>
    <w:rsid w:val="009F5BF5"/>
    <w:rsid w:val="009F5FBC"/>
    <w:rsid w:val="009F645B"/>
    <w:rsid w:val="009F68F1"/>
    <w:rsid w:val="009F6D60"/>
    <w:rsid w:val="009F7437"/>
    <w:rsid w:val="009F75BB"/>
    <w:rsid w:val="009F7B5A"/>
    <w:rsid w:val="009F7EC4"/>
    <w:rsid w:val="00A00175"/>
    <w:rsid w:val="00A0062A"/>
    <w:rsid w:val="00A00923"/>
    <w:rsid w:val="00A00ABB"/>
    <w:rsid w:val="00A00B33"/>
    <w:rsid w:val="00A015AE"/>
    <w:rsid w:val="00A01D98"/>
    <w:rsid w:val="00A0201A"/>
    <w:rsid w:val="00A023FF"/>
    <w:rsid w:val="00A028D6"/>
    <w:rsid w:val="00A02AC3"/>
    <w:rsid w:val="00A02CAC"/>
    <w:rsid w:val="00A031CF"/>
    <w:rsid w:val="00A037BC"/>
    <w:rsid w:val="00A03D2E"/>
    <w:rsid w:val="00A04D71"/>
    <w:rsid w:val="00A056EA"/>
    <w:rsid w:val="00A0578A"/>
    <w:rsid w:val="00A05AA3"/>
    <w:rsid w:val="00A06108"/>
    <w:rsid w:val="00A064DE"/>
    <w:rsid w:val="00A068BE"/>
    <w:rsid w:val="00A06D0B"/>
    <w:rsid w:val="00A07249"/>
    <w:rsid w:val="00A07AD1"/>
    <w:rsid w:val="00A10025"/>
    <w:rsid w:val="00A10A2C"/>
    <w:rsid w:val="00A10A7A"/>
    <w:rsid w:val="00A10D92"/>
    <w:rsid w:val="00A11197"/>
    <w:rsid w:val="00A111FB"/>
    <w:rsid w:val="00A1140B"/>
    <w:rsid w:val="00A115E4"/>
    <w:rsid w:val="00A11C52"/>
    <w:rsid w:val="00A11FE3"/>
    <w:rsid w:val="00A120EE"/>
    <w:rsid w:val="00A129FD"/>
    <w:rsid w:val="00A12A8F"/>
    <w:rsid w:val="00A1394D"/>
    <w:rsid w:val="00A14648"/>
    <w:rsid w:val="00A1520E"/>
    <w:rsid w:val="00A15245"/>
    <w:rsid w:val="00A15340"/>
    <w:rsid w:val="00A15429"/>
    <w:rsid w:val="00A154DE"/>
    <w:rsid w:val="00A15C51"/>
    <w:rsid w:val="00A15F27"/>
    <w:rsid w:val="00A16278"/>
    <w:rsid w:val="00A16AA1"/>
    <w:rsid w:val="00A1758E"/>
    <w:rsid w:val="00A20571"/>
    <w:rsid w:val="00A20C32"/>
    <w:rsid w:val="00A216F9"/>
    <w:rsid w:val="00A218A9"/>
    <w:rsid w:val="00A21B74"/>
    <w:rsid w:val="00A21B7D"/>
    <w:rsid w:val="00A21BB1"/>
    <w:rsid w:val="00A221CD"/>
    <w:rsid w:val="00A22524"/>
    <w:rsid w:val="00A229B2"/>
    <w:rsid w:val="00A229DF"/>
    <w:rsid w:val="00A22F78"/>
    <w:rsid w:val="00A23BD0"/>
    <w:rsid w:val="00A23D86"/>
    <w:rsid w:val="00A240B8"/>
    <w:rsid w:val="00A240BD"/>
    <w:rsid w:val="00A247BE"/>
    <w:rsid w:val="00A24AF4"/>
    <w:rsid w:val="00A24B20"/>
    <w:rsid w:val="00A24C0D"/>
    <w:rsid w:val="00A2527B"/>
    <w:rsid w:val="00A256F1"/>
    <w:rsid w:val="00A25B99"/>
    <w:rsid w:val="00A26513"/>
    <w:rsid w:val="00A26569"/>
    <w:rsid w:val="00A26DD2"/>
    <w:rsid w:val="00A270E0"/>
    <w:rsid w:val="00A2796E"/>
    <w:rsid w:val="00A30AC6"/>
    <w:rsid w:val="00A3150A"/>
    <w:rsid w:val="00A31785"/>
    <w:rsid w:val="00A31942"/>
    <w:rsid w:val="00A3195D"/>
    <w:rsid w:val="00A31A44"/>
    <w:rsid w:val="00A31C69"/>
    <w:rsid w:val="00A31F84"/>
    <w:rsid w:val="00A321BA"/>
    <w:rsid w:val="00A3220D"/>
    <w:rsid w:val="00A32BFC"/>
    <w:rsid w:val="00A33383"/>
    <w:rsid w:val="00A33DFD"/>
    <w:rsid w:val="00A34321"/>
    <w:rsid w:val="00A3447D"/>
    <w:rsid w:val="00A34B29"/>
    <w:rsid w:val="00A34DAD"/>
    <w:rsid w:val="00A34DC6"/>
    <w:rsid w:val="00A3529E"/>
    <w:rsid w:val="00A358AE"/>
    <w:rsid w:val="00A35E78"/>
    <w:rsid w:val="00A36080"/>
    <w:rsid w:val="00A360CF"/>
    <w:rsid w:val="00A361C4"/>
    <w:rsid w:val="00A3640D"/>
    <w:rsid w:val="00A366D2"/>
    <w:rsid w:val="00A36779"/>
    <w:rsid w:val="00A36BDD"/>
    <w:rsid w:val="00A3736E"/>
    <w:rsid w:val="00A374D9"/>
    <w:rsid w:val="00A3797B"/>
    <w:rsid w:val="00A379C0"/>
    <w:rsid w:val="00A37D95"/>
    <w:rsid w:val="00A37EF9"/>
    <w:rsid w:val="00A37F29"/>
    <w:rsid w:val="00A40159"/>
    <w:rsid w:val="00A40200"/>
    <w:rsid w:val="00A40412"/>
    <w:rsid w:val="00A40570"/>
    <w:rsid w:val="00A406DA"/>
    <w:rsid w:val="00A40949"/>
    <w:rsid w:val="00A40A5A"/>
    <w:rsid w:val="00A40BF7"/>
    <w:rsid w:val="00A40C6C"/>
    <w:rsid w:val="00A40F75"/>
    <w:rsid w:val="00A40FC7"/>
    <w:rsid w:val="00A413DD"/>
    <w:rsid w:val="00A417EE"/>
    <w:rsid w:val="00A420E6"/>
    <w:rsid w:val="00A42254"/>
    <w:rsid w:val="00A42401"/>
    <w:rsid w:val="00A427D0"/>
    <w:rsid w:val="00A42B39"/>
    <w:rsid w:val="00A4322C"/>
    <w:rsid w:val="00A4323C"/>
    <w:rsid w:val="00A4398A"/>
    <w:rsid w:val="00A43E1E"/>
    <w:rsid w:val="00A43E71"/>
    <w:rsid w:val="00A43F12"/>
    <w:rsid w:val="00A44069"/>
    <w:rsid w:val="00A4484D"/>
    <w:rsid w:val="00A44AE7"/>
    <w:rsid w:val="00A44B3B"/>
    <w:rsid w:val="00A44F64"/>
    <w:rsid w:val="00A44FEF"/>
    <w:rsid w:val="00A458B3"/>
    <w:rsid w:val="00A45B95"/>
    <w:rsid w:val="00A45C7F"/>
    <w:rsid w:val="00A46272"/>
    <w:rsid w:val="00A4676F"/>
    <w:rsid w:val="00A46833"/>
    <w:rsid w:val="00A46BFD"/>
    <w:rsid w:val="00A471C0"/>
    <w:rsid w:val="00A471CA"/>
    <w:rsid w:val="00A47BD0"/>
    <w:rsid w:val="00A47DAA"/>
    <w:rsid w:val="00A47F7A"/>
    <w:rsid w:val="00A50520"/>
    <w:rsid w:val="00A5067D"/>
    <w:rsid w:val="00A508D9"/>
    <w:rsid w:val="00A516A6"/>
    <w:rsid w:val="00A51B9B"/>
    <w:rsid w:val="00A523DB"/>
    <w:rsid w:val="00A52790"/>
    <w:rsid w:val="00A528CF"/>
    <w:rsid w:val="00A52CE6"/>
    <w:rsid w:val="00A52D95"/>
    <w:rsid w:val="00A53AA6"/>
    <w:rsid w:val="00A53FF9"/>
    <w:rsid w:val="00A54002"/>
    <w:rsid w:val="00A540F6"/>
    <w:rsid w:val="00A54E05"/>
    <w:rsid w:val="00A55233"/>
    <w:rsid w:val="00A554EF"/>
    <w:rsid w:val="00A555DE"/>
    <w:rsid w:val="00A55689"/>
    <w:rsid w:val="00A55918"/>
    <w:rsid w:val="00A55A7F"/>
    <w:rsid w:val="00A56379"/>
    <w:rsid w:val="00A568C7"/>
    <w:rsid w:val="00A56EA2"/>
    <w:rsid w:val="00A57494"/>
    <w:rsid w:val="00A57C0A"/>
    <w:rsid w:val="00A6014E"/>
    <w:rsid w:val="00A6032E"/>
    <w:rsid w:val="00A604DE"/>
    <w:rsid w:val="00A60C61"/>
    <w:rsid w:val="00A60F7B"/>
    <w:rsid w:val="00A61448"/>
    <w:rsid w:val="00A61B6B"/>
    <w:rsid w:val="00A61C5A"/>
    <w:rsid w:val="00A61D49"/>
    <w:rsid w:val="00A6292A"/>
    <w:rsid w:val="00A62D61"/>
    <w:rsid w:val="00A630EE"/>
    <w:rsid w:val="00A6319B"/>
    <w:rsid w:val="00A632F3"/>
    <w:rsid w:val="00A636A0"/>
    <w:rsid w:val="00A63F0C"/>
    <w:rsid w:val="00A6434D"/>
    <w:rsid w:val="00A6531B"/>
    <w:rsid w:val="00A65632"/>
    <w:rsid w:val="00A65A52"/>
    <w:rsid w:val="00A65B07"/>
    <w:rsid w:val="00A65C58"/>
    <w:rsid w:val="00A65CE3"/>
    <w:rsid w:val="00A6669F"/>
    <w:rsid w:val="00A666BB"/>
    <w:rsid w:val="00A66B6D"/>
    <w:rsid w:val="00A6781A"/>
    <w:rsid w:val="00A704DC"/>
    <w:rsid w:val="00A705EA"/>
    <w:rsid w:val="00A70BAC"/>
    <w:rsid w:val="00A70C7B"/>
    <w:rsid w:val="00A714C3"/>
    <w:rsid w:val="00A71582"/>
    <w:rsid w:val="00A71B83"/>
    <w:rsid w:val="00A71DFA"/>
    <w:rsid w:val="00A71E9D"/>
    <w:rsid w:val="00A723F9"/>
    <w:rsid w:val="00A72835"/>
    <w:rsid w:val="00A72973"/>
    <w:rsid w:val="00A73711"/>
    <w:rsid w:val="00A73BF9"/>
    <w:rsid w:val="00A73CCB"/>
    <w:rsid w:val="00A73D08"/>
    <w:rsid w:val="00A73E18"/>
    <w:rsid w:val="00A73F6B"/>
    <w:rsid w:val="00A747BE"/>
    <w:rsid w:val="00A74982"/>
    <w:rsid w:val="00A74A2E"/>
    <w:rsid w:val="00A74E22"/>
    <w:rsid w:val="00A75028"/>
    <w:rsid w:val="00A7514A"/>
    <w:rsid w:val="00A75377"/>
    <w:rsid w:val="00A753D8"/>
    <w:rsid w:val="00A75C69"/>
    <w:rsid w:val="00A76278"/>
    <w:rsid w:val="00A76295"/>
    <w:rsid w:val="00A7733E"/>
    <w:rsid w:val="00A77819"/>
    <w:rsid w:val="00A778AF"/>
    <w:rsid w:val="00A7798F"/>
    <w:rsid w:val="00A77CE6"/>
    <w:rsid w:val="00A77D8F"/>
    <w:rsid w:val="00A80439"/>
    <w:rsid w:val="00A808C8"/>
    <w:rsid w:val="00A808F6"/>
    <w:rsid w:val="00A80BE2"/>
    <w:rsid w:val="00A80CC8"/>
    <w:rsid w:val="00A80D3F"/>
    <w:rsid w:val="00A81C73"/>
    <w:rsid w:val="00A81DC9"/>
    <w:rsid w:val="00A81F7C"/>
    <w:rsid w:val="00A82075"/>
    <w:rsid w:val="00A82600"/>
    <w:rsid w:val="00A826CA"/>
    <w:rsid w:val="00A8278E"/>
    <w:rsid w:val="00A8319F"/>
    <w:rsid w:val="00A832E7"/>
    <w:rsid w:val="00A838E1"/>
    <w:rsid w:val="00A83B36"/>
    <w:rsid w:val="00A84F7B"/>
    <w:rsid w:val="00A850AD"/>
    <w:rsid w:val="00A85389"/>
    <w:rsid w:val="00A854A5"/>
    <w:rsid w:val="00A85B85"/>
    <w:rsid w:val="00A85CBD"/>
    <w:rsid w:val="00A85EB8"/>
    <w:rsid w:val="00A85FF1"/>
    <w:rsid w:val="00A8655E"/>
    <w:rsid w:val="00A86B6E"/>
    <w:rsid w:val="00A86DCE"/>
    <w:rsid w:val="00A86F87"/>
    <w:rsid w:val="00A87320"/>
    <w:rsid w:val="00A879C5"/>
    <w:rsid w:val="00A87BB1"/>
    <w:rsid w:val="00A901E0"/>
    <w:rsid w:val="00A9021C"/>
    <w:rsid w:val="00A90470"/>
    <w:rsid w:val="00A90F4A"/>
    <w:rsid w:val="00A91380"/>
    <w:rsid w:val="00A91824"/>
    <w:rsid w:val="00A918B6"/>
    <w:rsid w:val="00A91FBD"/>
    <w:rsid w:val="00A92BAF"/>
    <w:rsid w:val="00A92C18"/>
    <w:rsid w:val="00A92D09"/>
    <w:rsid w:val="00A92DF0"/>
    <w:rsid w:val="00A9317C"/>
    <w:rsid w:val="00A93286"/>
    <w:rsid w:val="00A935EC"/>
    <w:rsid w:val="00A93C69"/>
    <w:rsid w:val="00A942B0"/>
    <w:rsid w:val="00A942F4"/>
    <w:rsid w:val="00A949A4"/>
    <w:rsid w:val="00A94DF9"/>
    <w:rsid w:val="00A95239"/>
    <w:rsid w:val="00A957E0"/>
    <w:rsid w:val="00A95A36"/>
    <w:rsid w:val="00A95A48"/>
    <w:rsid w:val="00A95E1B"/>
    <w:rsid w:val="00A96638"/>
    <w:rsid w:val="00A96B21"/>
    <w:rsid w:val="00A971E1"/>
    <w:rsid w:val="00A97364"/>
    <w:rsid w:val="00A97CE8"/>
    <w:rsid w:val="00AA00A5"/>
    <w:rsid w:val="00AA02D9"/>
    <w:rsid w:val="00AA02E0"/>
    <w:rsid w:val="00AA08B5"/>
    <w:rsid w:val="00AA1C90"/>
    <w:rsid w:val="00AA225D"/>
    <w:rsid w:val="00AA2DED"/>
    <w:rsid w:val="00AA2E29"/>
    <w:rsid w:val="00AA2EB5"/>
    <w:rsid w:val="00AA331A"/>
    <w:rsid w:val="00AA33B0"/>
    <w:rsid w:val="00AA357C"/>
    <w:rsid w:val="00AA35CD"/>
    <w:rsid w:val="00AA36CB"/>
    <w:rsid w:val="00AA3730"/>
    <w:rsid w:val="00AA3979"/>
    <w:rsid w:val="00AA39A8"/>
    <w:rsid w:val="00AA3B54"/>
    <w:rsid w:val="00AA3DBA"/>
    <w:rsid w:val="00AA44BD"/>
    <w:rsid w:val="00AA464F"/>
    <w:rsid w:val="00AA4861"/>
    <w:rsid w:val="00AA54A7"/>
    <w:rsid w:val="00AA5976"/>
    <w:rsid w:val="00AA5E7E"/>
    <w:rsid w:val="00AA6141"/>
    <w:rsid w:val="00AA639A"/>
    <w:rsid w:val="00AA6449"/>
    <w:rsid w:val="00AA6C99"/>
    <w:rsid w:val="00AA6F3A"/>
    <w:rsid w:val="00AA6FC2"/>
    <w:rsid w:val="00AA715C"/>
    <w:rsid w:val="00AA749B"/>
    <w:rsid w:val="00AA74AB"/>
    <w:rsid w:val="00AA74B9"/>
    <w:rsid w:val="00AB000A"/>
    <w:rsid w:val="00AB028C"/>
    <w:rsid w:val="00AB0D27"/>
    <w:rsid w:val="00AB1093"/>
    <w:rsid w:val="00AB1399"/>
    <w:rsid w:val="00AB16E2"/>
    <w:rsid w:val="00AB1F77"/>
    <w:rsid w:val="00AB1FF4"/>
    <w:rsid w:val="00AB20CF"/>
    <w:rsid w:val="00AB3151"/>
    <w:rsid w:val="00AB3227"/>
    <w:rsid w:val="00AB378F"/>
    <w:rsid w:val="00AB4DDD"/>
    <w:rsid w:val="00AB4FFE"/>
    <w:rsid w:val="00AB5407"/>
    <w:rsid w:val="00AB5463"/>
    <w:rsid w:val="00AB5784"/>
    <w:rsid w:val="00AB5B27"/>
    <w:rsid w:val="00AB5CF6"/>
    <w:rsid w:val="00AB6215"/>
    <w:rsid w:val="00AB66BE"/>
    <w:rsid w:val="00AB66C6"/>
    <w:rsid w:val="00AB7017"/>
    <w:rsid w:val="00AB7205"/>
    <w:rsid w:val="00AB7EE1"/>
    <w:rsid w:val="00AB7FB6"/>
    <w:rsid w:val="00AC031C"/>
    <w:rsid w:val="00AC0879"/>
    <w:rsid w:val="00AC09E0"/>
    <w:rsid w:val="00AC0FB0"/>
    <w:rsid w:val="00AC111F"/>
    <w:rsid w:val="00AC11EC"/>
    <w:rsid w:val="00AC1C05"/>
    <w:rsid w:val="00AC1FEA"/>
    <w:rsid w:val="00AC207D"/>
    <w:rsid w:val="00AC23D9"/>
    <w:rsid w:val="00AC24F3"/>
    <w:rsid w:val="00AC25E2"/>
    <w:rsid w:val="00AC2BE1"/>
    <w:rsid w:val="00AC2FC3"/>
    <w:rsid w:val="00AC316F"/>
    <w:rsid w:val="00AC3381"/>
    <w:rsid w:val="00AC3721"/>
    <w:rsid w:val="00AC4282"/>
    <w:rsid w:val="00AC4DA5"/>
    <w:rsid w:val="00AC4FE9"/>
    <w:rsid w:val="00AC5337"/>
    <w:rsid w:val="00AC6AD5"/>
    <w:rsid w:val="00AC73C7"/>
    <w:rsid w:val="00AC750F"/>
    <w:rsid w:val="00AC799A"/>
    <w:rsid w:val="00ACF0CA"/>
    <w:rsid w:val="00AD0444"/>
    <w:rsid w:val="00AD08F5"/>
    <w:rsid w:val="00AD0955"/>
    <w:rsid w:val="00AD0D21"/>
    <w:rsid w:val="00AD0F46"/>
    <w:rsid w:val="00AD23C3"/>
    <w:rsid w:val="00AD2433"/>
    <w:rsid w:val="00AD262B"/>
    <w:rsid w:val="00AD302A"/>
    <w:rsid w:val="00AD316E"/>
    <w:rsid w:val="00AD341F"/>
    <w:rsid w:val="00AD3464"/>
    <w:rsid w:val="00AD3A19"/>
    <w:rsid w:val="00AD3BC1"/>
    <w:rsid w:val="00AD3E3D"/>
    <w:rsid w:val="00AD48A0"/>
    <w:rsid w:val="00AD4A0A"/>
    <w:rsid w:val="00AD584F"/>
    <w:rsid w:val="00AD58BD"/>
    <w:rsid w:val="00AD62EB"/>
    <w:rsid w:val="00AD669A"/>
    <w:rsid w:val="00AD67EC"/>
    <w:rsid w:val="00AD6D1A"/>
    <w:rsid w:val="00AD6F89"/>
    <w:rsid w:val="00AD7034"/>
    <w:rsid w:val="00AD769A"/>
    <w:rsid w:val="00AD7902"/>
    <w:rsid w:val="00AD7B7C"/>
    <w:rsid w:val="00AD7D4B"/>
    <w:rsid w:val="00AE0370"/>
    <w:rsid w:val="00AE0499"/>
    <w:rsid w:val="00AE0727"/>
    <w:rsid w:val="00AE0ECE"/>
    <w:rsid w:val="00AE10D2"/>
    <w:rsid w:val="00AE1133"/>
    <w:rsid w:val="00AE170B"/>
    <w:rsid w:val="00AE177A"/>
    <w:rsid w:val="00AE18E1"/>
    <w:rsid w:val="00AE2CCA"/>
    <w:rsid w:val="00AE328E"/>
    <w:rsid w:val="00AE4A76"/>
    <w:rsid w:val="00AE5205"/>
    <w:rsid w:val="00AE527B"/>
    <w:rsid w:val="00AE536C"/>
    <w:rsid w:val="00AE5676"/>
    <w:rsid w:val="00AE6223"/>
    <w:rsid w:val="00AE6DB5"/>
    <w:rsid w:val="00AE6F9D"/>
    <w:rsid w:val="00AE7765"/>
    <w:rsid w:val="00AF0CBF"/>
    <w:rsid w:val="00AF0EFF"/>
    <w:rsid w:val="00AF104C"/>
    <w:rsid w:val="00AF1296"/>
    <w:rsid w:val="00AF1727"/>
    <w:rsid w:val="00AF177C"/>
    <w:rsid w:val="00AF1FDC"/>
    <w:rsid w:val="00AF21A0"/>
    <w:rsid w:val="00AF231F"/>
    <w:rsid w:val="00AF2699"/>
    <w:rsid w:val="00AF2CA1"/>
    <w:rsid w:val="00AF32C1"/>
    <w:rsid w:val="00AF33A0"/>
    <w:rsid w:val="00AF36BA"/>
    <w:rsid w:val="00AF36C4"/>
    <w:rsid w:val="00AF3801"/>
    <w:rsid w:val="00AF3FF2"/>
    <w:rsid w:val="00AF4143"/>
    <w:rsid w:val="00AF41DB"/>
    <w:rsid w:val="00AF4606"/>
    <w:rsid w:val="00AF4EB8"/>
    <w:rsid w:val="00AF4FED"/>
    <w:rsid w:val="00AF5167"/>
    <w:rsid w:val="00AF5691"/>
    <w:rsid w:val="00AF5A27"/>
    <w:rsid w:val="00AF5DA1"/>
    <w:rsid w:val="00AF5E6B"/>
    <w:rsid w:val="00AF6248"/>
    <w:rsid w:val="00AF6286"/>
    <w:rsid w:val="00AF6335"/>
    <w:rsid w:val="00AF6A66"/>
    <w:rsid w:val="00AF7935"/>
    <w:rsid w:val="00B001EA"/>
    <w:rsid w:val="00B00280"/>
    <w:rsid w:val="00B00493"/>
    <w:rsid w:val="00B00759"/>
    <w:rsid w:val="00B00911"/>
    <w:rsid w:val="00B00B0A"/>
    <w:rsid w:val="00B00D43"/>
    <w:rsid w:val="00B010D0"/>
    <w:rsid w:val="00B01611"/>
    <w:rsid w:val="00B016C5"/>
    <w:rsid w:val="00B01CE8"/>
    <w:rsid w:val="00B01D0A"/>
    <w:rsid w:val="00B01D8D"/>
    <w:rsid w:val="00B0280F"/>
    <w:rsid w:val="00B02F39"/>
    <w:rsid w:val="00B03244"/>
    <w:rsid w:val="00B0332E"/>
    <w:rsid w:val="00B0333E"/>
    <w:rsid w:val="00B03903"/>
    <w:rsid w:val="00B03A98"/>
    <w:rsid w:val="00B03BBC"/>
    <w:rsid w:val="00B04316"/>
    <w:rsid w:val="00B045F5"/>
    <w:rsid w:val="00B046ED"/>
    <w:rsid w:val="00B047AB"/>
    <w:rsid w:val="00B04DDD"/>
    <w:rsid w:val="00B052BF"/>
    <w:rsid w:val="00B057FE"/>
    <w:rsid w:val="00B05815"/>
    <w:rsid w:val="00B05F3E"/>
    <w:rsid w:val="00B05F6A"/>
    <w:rsid w:val="00B069FF"/>
    <w:rsid w:val="00B07123"/>
    <w:rsid w:val="00B07190"/>
    <w:rsid w:val="00B07333"/>
    <w:rsid w:val="00B075C5"/>
    <w:rsid w:val="00B077F7"/>
    <w:rsid w:val="00B07FA0"/>
    <w:rsid w:val="00B10018"/>
    <w:rsid w:val="00B106D9"/>
    <w:rsid w:val="00B10A38"/>
    <w:rsid w:val="00B115DE"/>
    <w:rsid w:val="00B11B21"/>
    <w:rsid w:val="00B11B45"/>
    <w:rsid w:val="00B11C22"/>
    <w:rsid w:val="00B11C80"/>
    <w:rsid w:val="00B11CF2"/>
    <w:rsid w:val="00B11D1D"/>
    <w:rsid w:val="00B11EFE"/>
    <w:rsid w:val="00B12573"/>
    <w:rsid w:val="00B1273C"/>
    <w:rsid w:val="00B12EB2"/>
    <w:rsid w:val="00B1374E"/>
    <w:rsid w:val="00B13811"/>
    <w:rsid w:val="00B13FF0"/>
    <w:rsid w:val="00B1437D"/>
    <w:rsid w:val="00B143C9"/>
    <w:rsid w:val="00B14516"/>
    <w:rsid w:val="00B14F86"/>
    <w:rsid w:val="00B1517F"/>
    <w:rsid w:val="00B1519A"/>
    <w:rsid w:val="00B15728"/>
    <w:rsid w:val="00B15C4D"/>
    <w:rsid w:val="00B15E2F"/>
    <w:rsid w:val="00B16604"/>
    <w:rsid w:val="00B16F17"/>
    <w:rsid w:val="00B176D6"/>
    <w:rsid w:val="00B20AF7"/>
    <w:rsid w:val="00B20C56"/>
    <w:rsid w:val="00B20CAF"/>
    <w:rsid w:val="00B20F2E"/>
    <w:rsid w:val="00B21038"/>
    <w:rsid w:val="00B21265"/>
    <w:rsid w:val="00B2136B"/>
    <w:rsid w:val="00B2167F"/>
    <w:rsid w:val="00B21C32"/>
    <w:rsid w:val="00B21FB0"/>
    <w:rsid w:val="00B22DAA"/>
    <w:rsid w:val="00B22DCA"/>
    <w:rsid w:val="00B23C08"/>
    <w:rsid w:val="00B242BE"/>
    <w:rsid w:val="00B24738"/>
    <w:rsid w:val="00B247F1"/>
    <w:rsid w:val="00B24AE0"/>
    <w:rsid w:val="00B24E4C"/>
    <w:rsid w:val="00B24EAE"/>
    <w:rsid w:val="00B253E8"/>
    <w:rsid w:val="00B25704"/>
    <w:rsid w:val="00B2589E"/>
    <w:rsid w:val="00B25E30"/>
    <w:rsid w:val="00B25E62"/>
    <w:rsid w:val="00B26181"/>
    <w:rsid w:val="00B261DF"/>
    <w:rsid w:val="00B262DB"/>
    <w:rsid w:val="00B265C8"/>
    <w:rsid w:val="00B267B5"/>
    <w:rsid w:val="00B26855"/>
    <w:rsid w:val="00B2686B"/>
    <w:rsid w:val="00B26A9F"/>
    <w:rsid w:val="00B26BD6"/>
    <w:rsid w:val="00B26E2F"/>
    <w:rsid w:val="00B26FAF"/>
    <w:rsid w:val="00B271C4"/>
    <w:rsid w:val="00B27640"/>
    <w:rsid w:val="00B27AF5"/>
    <w:rsid w:val="00B27D1F"/>
    <w:rsid w:val="00B3003E"/>
    <w:rsid w:val="00B304D1"/>
    <w:rsid w:val="00B3059F"/>
    <w:rsid w:val="00B30864"/>
    <w:rsid w:val="00B3090E"/>
    <w:rsid w:val="00B3091D"/>
    <w:rsid w:val="00B30D11"/>
    <w:rsid w:val="00B30FD3"/>
    <w:rsid w:val="00B3260E"/>
    <w:rsid w:val="00B32D31"/>
    <w:rsid w:val="00B33648"/>
    <w:rsid w:val="00B33750"/>
    <w:rsid w:val="00B339B2"/>
    <w:rsid w:val="00B33A44"/>
    <w:rsid w:val="00B33AE6"/>
    <w:rsid w:val="00B33D66"/>
    <w:rsid w:val="00B33E36"/>
    <w:rsid w:val="00B34060"/>
    <w:rsid w:val="00B34659"/>
    <w:rsid w:val="00B346A9"/>
    <w:rsid w:val="00B3482C"/>
    <w:rsid w:val="00B34E9A"/>
    <w:rsid w:val="00B34F95"/>
    <w:rsid w:val="00B351DB"/>
    <w:rsid w:val="00B35576"/>
    <w:rsid w:val="00B3558A"/>
    <w:rsid w:val="00B358F6"/>
    <w:rsid w:val="00B35B45"/>
    <w:rsid w:val="00B35C66"/>
    <w:rsid w:val="00B36B29"/>
    <w:rsid w:val="00B37093"/>
    <w:rsid w:val="00B371BB"/>
    <w:rsid w:val="00B37E4B"/>
    <w:rsid w:val="00B4029D"/>
    <w:rsid w:val="00B402AA"/>
    <w:rsid w:val="00B4070E"/>
    <w:rsid w:val="00B41C1D"/>
    <w:rsid w:val="00B41D33"/>
    <w:rsid w:val="00B42441"/>
    <w:rsid w:val="00B42908"/>
    <w:rsid w:val="00B42B9B"/>
    <w:rsid w:val="00B42D65"/>
    <w:rsid w:val="00B42E58"/>
    <w:rsid w:val="00B42F5E"/>
    <w:rsid w:val="00B431C0"/>
    <w:rsid w:val="00B43ABD"/>
    <w:rsid w:val="00B43E1F"/>
    <w:rsid w:val="00B443AE"/>
    <w:rsid w:val="00B44C0B"/>
    <w:rsid w:val="00B44CAA"/>
    <w:rsid w:val="00B44CC7"/>
    <w:rsid w:val="00B4567F"/>
    <w:rsid w:val="00B457CF"/>
    <w:rsid w:val="00B45A0D"/>
    <w:rsid w:val="00B463D8"/>
    <w:rsid w:val="00B46868"/>
    <w:rsid w:val="00B46E5A"/>
    <w:rsid w:val="00B4703E"/>
    <w:rsid w:val="00B47819"/>
    <w:rsid w:val="00B47E8B"/>
    <w:rsid w:val="00B50C83"/>
    <w:rsid w:val="00B5188F"/>
    <w:rsid w:val="00B51C03"/>
    <w:rsid w:val="00B5269F"/>
    <w:rsid w:val="00B530D3"/>
    <w:rsid w:val="00B533C4"/>
    <w:rsid w:val="00B53407"/>
    <w:rsid w:val="00B53558"/>
    <w:rsid w:val="00B53940"/>
    <w:rsid w:val="00B539F6"/>
    <w:rsid w:val="00B53B90"/>
    <w:rsid w:val="00B53E0C"/>
    <w:rsid w:val="00B54AB9"/>
    <w:rsid w:val="00B54FB4"/>
    <w:rsid w:val="00B5527B"/>
    <w:rsid w:val="00B553B1"/>
    <w:rsid w:val="00B55425"/>
    <w:rsid w:val="00B55661"/>
    <w:rsid w:val="00B556D9"/>
    <w:rsid w:val="00B55D50"/>
    <w:rsid w:val="00B5613E"/>
    <w:rsid w:val="00B561EC"/>
    <w:rsid w:val="00B56531"/>
    <w:rsid w:val="00B566E1"/>
    <w:rsid w:val="00B56EFC"/>
    <w:rsid w:val="00B574FA"/>
    <w:rsid w:val="00B57B7C"/>
    <w:rsid w:val="00B57D57"/>
    <w:rsid w:val="00B57D78"/>
    <w:rsid w:val="00B57E79"/>
    <w:rsid w:val="00B57ED1"/>
    <w:rsid w:val="00B60460"/>
    <w:rsid w:val="00B60624"/>
    <w:rsid w:val="00B60D9D"/>
    <w:rsid w:val="00B60E2D"/>
    <w:rsid w:val="00B61345"/>
    <w:rsid w:val="00B6140D"/>
    <w:rsid w:val="00B6142D"/>
    <w:rsid w:val="00B619C6"/>
    <w:rsid w:val="00B61C68"/>
    <w:rsid w:val="00B621DF"/>
    <w:rsid w:val="00B62F8A"/>
    <w:rsid w:val="00B6354B"/>
    <w:rsid w:val="00B6391F"/>
    <w:rsid w:val="00B6397A"/>
    <w:rsid w:val="00B63A69"/>
    <w:rsid w:val="00B641E4"/>
    <w:rsid w:val="00B648BC"/>
    <w:rsid w:val="00B64DF2"/>
    <w:rsid w:val="00B64E27"/>
    <w:rsid w:val="00B64E83"/>
    <w:rsid w:val="00B64F61"/>
    <w:rsid w:val="00B650FA"/>
    <w:rsid w:val="00B6517F"/>
    <w:rsid w:val="00B6595D"/>
    <w:rsid w:val="00B661A2"/>
    <w:rsid w:val="00B6637A"/>
    <w:rsid w:val="00B66407"/>
    <w:rsid w:val="00B66659"/>
    <w:rsid w:val="00B66ECC"/>
    <w:rsid w:val="00B671FB"/>
    <w:rsid w:val="00B67C7E"/>
    <w:rsid w:val="00B67F9E"/>
    <w:rsid w:val="00B70044"/>
    <w:rsid w:val="00B704D4"/>
    <w:rsid w:val="00B708E4"/>
    <w:rsid w:val="00B70A82"/>
    <w:rsid w:val="00B70CE8"/>
    <w:rsid w:val="00B70D43"/>
    <w:rsid w:val="00B71739"/>
    <w:rsid w:val="00B71809"/>
    <w:rsid w:val="00B71A53"/>
    <w:rsid w:val="00B71D9D"/>
    <w:rsid w:val="00B71DDC"/>
    <w:rsid w:val="00B72235"/>
    <w:rsid w:val="00B726AC"/>
    <w:rsid w:val="00B72A6C"/>
    <w:rsid w:val="00B72AE9"/>
    <w:rsid w:val="00B72B9B"/>
    <w:rsid w:val="00B72FAC"/>
    <w:rsid w:val="00B73229"/>
    <w:rsid w:val="00B73310"/>
    <w:rsid w:val="00B736E0"/>
    <w:rsid w:val="00B7397F"/>
    <w:rsid w:val="00B73EF9"/>
    <w:rsid w:val="00B74C0E"/>
    <w:rsid w:val="00B74CAF"/>
    <w:rsid w:val="00B74D10"/>
    <w:rsid w:val="00B75A7B"/>
    <w:rsid w:val="00B761F5"/>
    <w:rsid w:val="00B76339"/>
    <w:rsid w:val="00B7654A"/>
    <w:rsid w:val="00B76F40"/>
    <w:rsid w:val="00B77981"/>
    <w:rsid w:val="00B77F83"/>
    <w:rsid w:val="00B80E0F"/>
    <w:rsid w:val="00B814AF"/>
    <w:rsid w:val="00B819A0"/>
    <w:rsid w:val="00B81C3B"/>
    <w:rsid w:val="00B820AA"/>
    <w:rsid w:val="00B82785"/>
    <w:rsid w:val="00B82B69"/>
    <w:rsid w:val="00B82E79"/>
    <w:rsid w:val="00B835D3"/>
    <w:rsid w:val="00B838EC"/>
    <w:rsid w:val="00B8535F"/>
    <w:rsid w:val="00B855C2"/>
    <w:rsid w:val="00B855CE"/>
    <w:rsid w:val="00B8598A"/>
    <w:rsid w:val="00B85A4D"/>
    <w:rsid w:val="00B85B62"/>
    <w:rsid w:val="00B85EB0"/>
    <w:rsid w:val="00B85F7B"/>
    <w:rsid w:val="00B86C8F"/>
    <w:rsid w:val="00B8787D"/>
    <w:rsid w:val="00B87CBB"/>
    <w:rsid w:val="00B87DEA"/>
    <w:rsid w:val="00B87EB2"/>
    <w:rsid w:val="00B87ED6"/>
    <w:rsid w:val="00B9007D"/>
    <w:rsid w:val="00B9011E"/>
    <w:rsid w:val="00B902B9"/>
    <w:rsid w:val="00B909D2"/>
    <w:rsid w:val="00B90A42"/>
    <w:rsid w:val="00B90BD4"/>
    <w:rsid w:val="00B90D06"/>
    <w:rsid w:val="00B90DF4"/>
    <w:rsid w:val="00B9193A"/>
    <w:rsid w:val="00B91992"/>
    <w:rsid w:val="00B91D8B"/>
    <w:rsid w:val="00B91EE2"/>
    <w:rsid w:val="00B92208"/>
    <w:rsid w:val="00B92571"/>
    <w:rsid w:val="00B927FE"/>
    <w:rsid w:val="00B92B92"/>
    <w:rsid w:val="00B92F81"/>
    <w:rsid w:val="00B930B9"/>
    <w:rsid w:val="00B93380"/>
    <w:rsid w:val="00B93C0A"/>
    <w:rsid w:val="00B93C69"/>
    <w:rsid w:val="00B93E98"/>
    <w:rsid w:val="00B93FAC"/>
    <w:rsid w:val="00B93FB0"/>
    <w:rsid w:val="00B9457C"/>
    <w:rsid w:val="00B9465A"/>
    <w:rsid w:val="00B94C82"/>
    <w:rsid w:val="00B952D7"/>
    <w:rsid w:val="00B95506"/>
    <w:rsid w:val="00B9556C"/>
    <w:rsid w:val="00B95D7A"/>
    <w:rsid w:val="00B96084"/>
    <w:rsid w:val="00B960B4"/>
    <w:rsid w:val="00B963FE"/>
    <w:rsid w:val="00B96424"/>
    <w:rsid w:val="00B96FB8"/>
    <w:rsid w:val="00B973D9"/>
    <w:rsid w:val="00B97A07"/>
    <w:rsid w:val="00B97C86"/>
    <w:rsid w:val="00B97D1A"/>
    <w:rsid w:val="00B97D7C"/>
    <w:rsid w:val="00B97FBB"/>
    <w:rsid w:val="00BA07C8"/>
    <w:rsid w:val="00BA0908"/>
    <w:rsid w:val="00BA109A"/>
    <w:rsid w:val="00BA11A7"/>
    <w:rsid w:val="00BA14AA"/>
    <w:rsid w:val="00BA1A34"/>
    <w:rsid w:val="00BA1C2F"/>
    <w:rsid w:val="00BA215D"/>
    <w:rsid w:val="00BA2191"/>
    <w:rsid w:val="00BA22A6"/>
    <w:rsid w:val="00BA281D"/>
    <w:rsid w:val="00BA2C6E"/>
    <w:rsid w:val="00BA305F"/>
    <w:rsid w:val="00BA3770"/>
    <w:rsid w:val="00BA3910"/>
    <w:rsid w:val="00BA5231"/>
    <w:rsid w:val="00BA52F1"/>
    <w:rsid w:val="00BA549F"/>
    <w:rsid w:val="00BA58BB"/>
    <w:rsid w:val="00BA59B4"/>
    <w:rsid w:val="00BA5AAF"/>
    <w:rsid w:val="00BA64F1"/>
    <w:rsid w:val="00BA74D4"/>
    <w:rsid w:val="00BA7FBF"/>
    <w:rsid w:val="00BB046E"/>
    <w:rsid w:val="00BB0EA5"/>
    <w:rsid w:val="00BB1144"/>
    <w:rsid w:val="00BB1486"/>
    <w:rsid w:val="00BB1635"/>
    <w:rsid w:val="00BB1720"/>
    <w:rsid w:val="00BB1807"/>
    <w:rsid w:val="00BB1B07"/>
    <w:rsid w:val="00BB1DCC"/>
    <w:rsid w:val="00BB1E6E"/>
    <w:rsid w:val="00BB221B"/>
    <w:rsid w:val="00BB2265"/>
    <w:rsid w:val="00BB2430"/>
    <w:rsid w:val="00BB2566"/>
    <w:rsid w:val="00BB279A"/>
    <w:rsid w:val="00BB2ABA"/>
    <w:rsid w:val="00BB30E0"/>
    <w:rsid w:val="00BB318C"/>
    <w:rsid w:val="00BB33E7"/>
    <w:rsid w:val="00BB3748"/>
    <w:rsid w:val="00BB37DF"/>
    <w:rsid w:val="00BB3970"/>
    <w:rsid w:val="00BB400E"/>
    <w:rsid w:val="00BB445A"/>
    <w:rsid w:val="00BB4723"/>
    <w:rsid w:val="00BB4818"/>
    <w:rsid w:val="00BB4AE3"/>
    <w:rsid w:val="00BB4DFF"/>
    <w:rsid w:val="00BB549E"/>
    <w:rsid w:val="00BB56E4"/>
    <w:rsid w:val="00BB5787"/>
    <w:rsid w:val="00BB5C56"/>
    <w:rsid w:val="00BB5DFA"/>
    <w:rsid w:val="00BB5F2D"/>
    <w:rsid w:val="00BB5FA8"/>
    <w:rsid w:val="00BB6A4F"/>
    <w:rsid w:val="00BB6A68"/>
    <w:rsid w:val="00BB6B09"/>
    <w:rsid w:val="00BB6EA5"/>
    <w:rsid w:val="00BB6F90"/>
    <w:rsid w:val="00BB7001"/>
    <w:rsid w:val="00BB723E"/>
    <w:rsid w:val="00BB7945"/>
    <w:rsid w:val="00BB7BC6"/>
    <w:rsid w:val="00BB7C96"/>
    <w:rsid w:val="00BB7EF8"/>
    <w:rsid w:val="00BC0798"/>
    <w:rsid w:val="00BC0D9F"/>
    <w:rsid w:val="00BC0DE1"/>
    <w:rsid w:val="00BC1308"/>
    <w:rsid w:val="00BC1509"/>
    <w:rsid w:val="00BC150D"/>
    <w:rsid w:val="00BC1A6D"/>
    <w:rsid w:val="00BC1B58"/>
    <w:rsid w:val="00BC1D34"/>
    <w:rsid w:val="00BC2237"/>
    <w:rsid w:val="00BC2428"/>
    <w:rsid w:val="00BC26E0"/>
    <w:rsid w:val="00BC2A35"/>
    <w:rsid w:val="00BC2CE9"/>
    <w:rsid w:val="00BC30C9"/>
    <w:rsid w:val="00BC311D"/>
    <w:rsid w:val="00BC340E"/>
    <w:rsid w:val="00BC4347"/>
    <w:rsid w:val="00BC4390"/>
    <w:rsid w:val="00BC43BB"/>
    <w:rsid w:val="00BC43FB"/>
    <w:rsid w:val="00BC4885"/>
    <w:rsid w:val="00BC494C"/>
    <w:rsid w:val="00BC4A61"/>
    <w:rsid w:val="00BC52DC"/>
    <w:rsid w:val="00BC5361"/>
    <w:rsid w:val="00BC54CD"/>
    <w:rsid w:val="00BC562E"/>
    <w:rsid w:val="00BC57E4"/>
    <w:rsid w:val="00BC5A7C"/>
    <w:rsid w:val="00BC5C4B"/>
    <w:rsid w:val="00BC613E"/>
    <w:rsid w:val="00BC61C0"/>
    <w:rsid w:val="00BC62E3"/>
    <w:rsid w:val="00BC6440"/>
    <w:rsid w:val="00BC6FE3"/>
    <w:rsid w:val="00BC74FD"/>
    <w:rsid w:val="00BC779A"/>
    <w:rsid w:val="00BC7C63"/>
    <w:rsid w:val="00BC7C8D"/>
    <w:rsid w:val="00BD05E4"/>
    <w:rsid w:val="00BD06D6"/>
    <w:rsid w:val="00BD08AB"/>
    <w:rsid w:val="00BD0E18"/>
    <w:rsid w:val="00BD1590"/>
    <w:rsid w:val="00BD1853"/>
    <w:rsid w:val="00BD1C49"/>
    <w:rsid w:val="00BD2579"/>
    <w:rsid w:val="00BD27A8"/>
    <w:rsid w:val="00BD29E7"/>
    <w:rsid w:val="00BD2B4C"/>
    <w:rsid w:val="00BD3375"/>
    <w:rsid w:val="00BD3555"/>
    <w:rsid w:val="00BD360C"/>
    <w:rsid w:val="00BD39E3"/>
    <w:rsid w:val="00BD456B"/>
    <w:rsid w:val="00BD464B"/>
    <w:rsid w:val="00BD4A2F"/>
    <w:rsid w:val="00BD4A3E"/>
    <w:rsid w:val="00BD4D3A"/>
    <w:rsid w:val="00BD5338"/>
    <w:rsid w:val="00BD5C11"/>
    <w:rsid w:val="00BD5E42"/>
    <w:rsid w:val="00BD6289"/>
    <w:rsid w:val="00BD62CD"/>
    <w:rsid w:val="00BD6950"/>
    <w:rsid w:val="00BD72CF"/>
    <w:rsid w:val="00BD768B"/>
    <w:rsid w:val="00BE00E1"/>
    <w:rsid w:val="00BE042C"/>
    <w:rsid w:val="00BE07B2"/>
    <w:rsid w:val="00BE0960"/>
    <w:rsid w:val="00BE0D4A"/>
    <w:rsid w:val="00BE13E0"/>
    <w:rsid w:val="00BE19A0"/>
    <w:rsid w:val="00BE1AD0"/>
    <w:rsid w:val="00BE2C74"/>
    <w:rsid w:val="00BE306A"/>
    <w:rsid w:val="00BE31C0"/>
    <w:rsid w:val="00BE3A19"/>
    <w:rsid w:val="00BE3D7F"/>
    <w:rsid w:val="00BE3DBC"/>
    <w:rsid w:val="00BE4302"/>
    <w:rsid w:val="00BE452A"/>
    <w:rsid w:val="00BE4E62"/>
    <w:rsid w:val="00BE5192"/>
    <w:rsid w:val="00BE63AD"/>
    <w:rsid w:val="00BE6500"/>
    <w:rsid w:val="00BE652C"/>
    <w:rsid w:val="00BE6955"/>
    <w:rsid w:val="00BE699C"/>
    <w:rsid w:val="00BE6C19"/>
    <w:rsid w:val="00BE6D47"/>
    <w:rsid w:val="00BE6EA3"/>
    <w:rsid w:val="00BE71FC"/>
    <w:rsid w:val="00BE766A"/>
    <w:rsid w:val="00BE774B"/>
    <w:rsid w:val="00BE7BE6"/>
    <w:rsid w:val="00BE7CBC"/>
    <w:rsid w:val="00BE7F64"/>
    <w:rsid w:val="00BF03A7"/>
    <w:rsid w:val="00BF05C6"/>
    <w:rsid w:val="00BF0908"/>
    <w:rsid w:val="00BF0B59"/>
    <w:rsid w:val="00BF10D0"/>
    <w:rsid w:val="00BF128B"/>
    <w:rsid w:val="00BF1B5F"/>
    <w:rsid w:val="00BF234B"/>
    <w:rsid w:val="00BF23C0"/>
    <w:rsid w:val="00BF2796"/>
    <w:rsid w:val="00BF2B70"/>
    <w:rsid w:val="00BF2EC1"/>
    <w:rsid w:val="00BF3333"/>
    <w:rsid w:val="00BF3492"/>
    <w:rsid w:val="00BF351C"/>
    <w:rsid w:val="00BF3984"/>
    <w:rsid w:val="00BF3D70"/>
    <w:rsid w:val="00BF4366"/>
    <w:rsid w:val="00BF443C"/>
    <w:rsid w:val="00BF45A1"/>
    <w:rsid w:val="00BF4D79"/>
    <w:rsid w:val="00BF52D6"/>
    <w:rsid w:val="00BF575E"/>
    <w:rsid w:val="00BF576E"/>
    <w:rsid w:val="00BF592A"/>
    <w:rsid w:val="00BF59FF"/>
    <w:rsid w:val="00BF5B7A"/>
    <w:rsid w:val="00BF5C69"/>
    <w:rsid w:val="00BF5F4C"/>
    <w:rsid w:val="00BF6ECD"/>
    <w:rsid w:val="00BF6F7B"/>
    <w:rsid w:val="00BF76EC"/>
    <w:rsid w:val="00BF7748"/>
    <w:rsid w:val="00BF7D35"/>
    <w:rsid w:val="00C001A7"/>
    <w:rsid w:val="00C00258"/>
    <w:rsid w:val="00C007F2"/>
    <w:rsid w:val="00C00B6F"/>
    <w:rsid w:val="00C00D1B"/>
    <w:rsid w:val="00C00FC4"/>
    <w:rsid w:val="00C01128"/>
    <w:rsid w:val="00C012AD"/>
    <w:rsid w:val="00C01560"/>
    <w:rsid w:val="00C01799"/>
    <w:rsid w:val="00C01904"/>
    <w:rsid w:val="00C01B9F"/>
    <w:rsid w:val="00C01D97"/>
    <w:rsid w:val="00C02402"/>
    <w:rsid w:val="00C028E5"/>
    <w:rsid w:val="00C02906"/>
    <w:rsid w:val="00C02A4E"/>
    <w:rsid w:val="00C02C15"/>
    <w:rsid w:val="00C02C84"/>
    <w:rsid w:val="00C02E21"/>
    <w:rsid w:val="00C03040"/>
    <w:rsid w:val="00C030AD"/>
    <w:rsid w:val="00C030CA"/>
    <w:rsid w:val="00C03BDA"/>
    <w:rsid w:val="00C0407C"/>
    <w:rsid w:val="00C0444A"/>
    <w:rsid w:val="00C04C73"/>
    <w:rsid w:val="00C04D49"/>
    <w:rsid w:val="00C05852"/>
    <w:rsid w:val="00C0587B"/>
    <w:rsid w:val="00C05D95"/>
    <w:rsid w:val="00C05DBC"/>
    <w:rsid w:val="00C05EAA"/>
    <w:rsid w:val="00C060BB"/>
    <w:rsid w:val="00C062F5"/>
    <w:rsid w:val="00C0647C"/>
    <w:rsid w:val="00C06B3A"/>
    <w:rsid w:val="00C06D96"/>
    <w:rsid w:val="00C06E16"/>
    <w:rsid w:val="00C07E4A"/>
    <w:rsid w:val="00C1017B"/>
    <w:rsid w:val="00C10290"/>
    <w:rsid w:val="00C1061D"/>
    <w:rsid w:val="00C111B2"/>
    <w:rsid w:val="00C11A29"/>
    <w:rsid w:val="00C11C9B"/>
    <w:rsid w:val="00C11DC6"/>
    <w:rsid w:val="00C11F92"/>
    <w:rsid w:val="00C1220D"/>
    <w:rsid w:val="00C12979"/>
    <w:rsid w:val="00C12DAF"/>
    <w:rsid w:val="00C12EC5"/>
    <w:rsid w:val="00C12F3A"/>
    <w:rsid w:val="00C1382F"/>
    <w:rsid w:val="00C13930"/>
    <w:rsid w:val="00C13BAB"/>
    <w:rsid w:val="00C13C1A"/>
    <w:rsid w:val="00C13D89"/>
    <w:rsid w:val="00C143D9"/>
    <w:rsid w:val="00C14A6F"/>
    <w:rsid w:val="00C15170"/>
    <w:rsid w:val="00C15DBF"/>
    <w:rsid w:val="00C15E24"/>
    <w:rsid w:val="00C15F12"/>
    <w:rsid w:val="00C16840"/>
    <w:rsid w:val="00C1686C"/>
    <w:rsid w:val="00C16F19"/>
    <w:rsid w:val="00C172F5"/>
    <w:rsid w:val="00C1743C"/>
    <w:rsid w:val="00C17CBC"/>
    <w:rsid w:val="00C17E8E"/>
    <w:rsid w:val="00C20458"/>
    <w:rsid w:val="00C20B36"/>
    <w:rsid w:val="00C20D2D"/>
    <w:rsid w:val="00C2144D"/>
    <w:rsid w:val="00C2179F"/>
    <w:rsid w:val="00C217EA"/>
    <w:rsid w:val="00C2185F"/>
    <w:rsid w:val="00C21F02"/>
    <w:rsid w:val="00C22201"/>
    <w:rsid w:val="00C22F1F"/>
    <w:rsid w:val="00C231ED"/>
    <w:rsid w:val="00C239B5"/>
    <w:rsid w:val="00C23C15"/>
    <w:rsid w:val="00C241EB"/>
    <w:rsid w:val="00C25BA2"/>
    <w:rsid w:val="00C26020"/>
    <w:rsid w:val="00C2694B"/>
    <w:rsid w:val="00C269C0"/>
    <w:rsid w:val="00C26EF5"/>
    <w:rsid w:val="00C2718E"/>
    <w:rsid w:val="00C27365"/>
    <w:rsid w:val="00C27614"/>
    <w:rsid w:val="00C2768A"/>
    <w:rsid w:val="00C27788"/>
    <w:rsid w:val="00C27C3E"/>
    <w:rsid w:val="00C27E13"/>
    <w:rsid w:val="00C27FC9"/>
    <w:rsid w:val="00C300B6"/>
    <w:rsid w:val="00C30AE7"/>
    <w:rsid w:val="00C30BE7"/>
    <w:rsid w:val="00C30D6B"/>
    <w:rsid w:val="00C31586"/>
    <w:rsid w:val="00C31A83"/>
    <w:rsid w:val="00C31B2F"/>
    <w:rsid w:val="00C31FE3"/>
    <w:rsid w:val="00C321D2"/>
    <w:rsid w:val="00C32CCD"/>
    <w:rsid w:val="00C32DA0"/>
    <w:rsid w:val="00C33CB6"/>
    <w:rsid w:val="00C33D43"/>
    <w:rsid w:val="00C33E6A"/>
    <w:rsid w:val="00C33E7B"/>
    <w:rsid w:val="00C3435A"/>
    <w:rsid w:val="00C34CA9"/>
    <w:rsid w:val="00C34ED1"/>
    <w:rsid w:val="00C35021"/>
    <w:rsid w:val="00C351A3"/>
    <w:rsid w:val="00C35262"/>
    <w:rsid w:val="00C35396"/>
    <w:rsid w:val="00C3563A"/>
    <w:rsid w:val="00C359E4"/>
    <w:rsid w:val="00C359F4"/>
    <w:rsid w:val="00C35E17"/>
    <w:rsid w:val="00C36024"/>
    <w:rsid w:val="00C360EA"/>
    <w:rsid w:val="00C36466"/>
    <w:rsid w:val="00C36551"/>
    <w:rsid w:val="00C366C0"/>
    <w:rsid w:val="00C367C6"/>
    <w:rsid w:val="00C367D2"/>
    <w:rsid w:val="00C371A3"/>
    <w:rsid w:val="00C3768E"/>
    <w:rsid w:val="00C3786B"/>
    <w:rsid w:val="00C37A09"/>
    <w:rsid w:val="00C37A55"/>
    <w:rsid w:val="00C37D67"/>
    <w:rsid w:val="00C37FD2"/>
    <w:rsid w:val="00C402D6"/>
    <w:rsid w:val="00C40CEE"/>
    <w:rsid w:val="00C41437"/>
    <w:rsid w:val="00C414A0"/>
    <w:rsid w:val="00C41C06"/>
    <w:rsid w:val="00C41ECA"/>
    <w:rsid w:val="00C4229A"/>
    <w:rsid w:val="00C422BF"/>
    <w:rsid w:val="00C42679"/>
    <w:rsid w:val="00C43127"/>
    <w:rsid w:val="00C432B7"/>
    <w:rsid w:val="00C43A91"/>
    <w:rsid w:val="00C43E4C"/>
    <w:rsid w:val="00C44111"/>
    <w:rsid w:val="00C44565"/>
    <w:rsid w:val="00C448DD"/>
    <w:rsid w:val="00C44910"/>
    <w:rsid w:val="00C44E43"/>
    <w:rsid w:val="00C44EB1"/>
    <w:rsid w:val="00C4505E"/>
    <w:rsid w:val="00C45245"/>
    <w:rsid w:val="00C456DA"/>
    <w:rsid w:val="00C45740"/>
    <w:rsid w:val="00C459BC"/>
    <w:rsid w:val="00C46B82"/>
    <w:rsid w:val="00C46E75"/>
    <w:rsid w:val="00C4710C"/>
    <w:rsid w:val="00C471A8"/>
    <w:rsid w:val="00C47287"/>
    <w:rsid w:val="00C472DC"/>
    <w:rsid w:val="00C47846"/>
    <w:rsid w:val="00C479C5"/>
    <w:rsid w:val="00C505FB"/>
    <w:rsid w:val="00C508C0"/>
    <w:rsid w:val="00C50C01"/>
    <w:rsid w:val="00C50C40"/>
    <w:rsid w:val="00C50D23"/>
    <w:rsid w:val="00C50EAD"/>
    <w:rsid w:val="00C511A1"/>
    <w:rsid w:val="00C51512"/>
    <w:rsid w:val="00C517DB"/>
    <w:rsid w:val="00C51A3F"/>
    <w:rsid w:val="00C51B05"/>
    <w:rsid w:val="00C52289"/>
    <w:rsid w:val="00C5295C"/>
    <w:rsid w:val="00C52DDB"/>
    <w:rsid w:val="00C534A2"/>
    <w:rsid w:val="00C5387B"/>
    <w:rsid w:val="00C53BF1"/>
    <w:rsid w:val="00C53C69"/>
    <w:rsid w:val="00C53E4A"/>
    <w:rsid w:val="00C540E4"/>
    <w:rsid w:val="00C5436E"/>
    <w:rsid w:val="00C54470"/>
    <w:rsid w:val="00C54ED5"/>
    <w:rsid w:val="00C550AF"/>
    <w:rsid w:val="00C550E4"/>
    <w:rsid w:val="00C55249"/>
    <w:rsid w:val="00C5582E"/>
    <w:rsid w:val="00C55843"/>
    <w:rsid w:val="00C558E8"/>
    <w:rsid w:val="00C55933"/>
    <w:rsid w:val="00C561B1"/>
    <w:rsid w:val="00C56A3B"/>
    <w:rsid w:val="00C56E09"/>
    <w:rsid w:val="00C57567"/>
    <w:rsid w:val="00C5779B"/>
    <w:rsid w:val="00C57B12"/>
    <w:rsid w:val="00C57E74"/>
    <w:rsid w:val="00C6033A"/>
    <w:rsid w:val="00C60A23"/>
    <w:rsid w:val="00C60E70"/>
    <w:rsid w:val="00C60F52"/>
    <w:rsid w:val="00C61270"/>
    <w:rsid w:val="00C616D5"/>
    <w:rsid w:val="00C618B4"/>
    <w:rsid w:val="00C61958"/>
    <w:rsid w:val="00C61A74"/>
    <w:rsid w:val="00C61A91"/>
    <w:rsid w:val="00C61AD6"/>
    <w:rsid w:val="00C61F24"/>
    <w:rsid w:val="00C61F6B"/>
    <w:rsid w:val="00C620C7"/>
    <w:rsid w:val="00C621C6"/>
    <w:rsid w:val="00C627E9"/>
    <w:rsid w:val="00C62B4E"/>
    <w:rsid w:val="00C62BD7"/>
    <w:rsid w:val="00C62D35"/>
    <w:rsid w:val="00C62DD4"/>
    <w:rsid w:val="00C63000"/>
    <w:rsid w:val="00C6308C"/>
    <w:rsid w:val="00C6383A"/>
    <w:rsid w:val="00C6390F"/>
    <w:rsid w:val="00C63FD7"/>
    <w:rsid w:val="00C645AE"/>
    <w:rsid w:val="00C6486F"/>
    <w:rsid w:val="00C64B85"/>
    <w:rsid w:val="00C64DBA"/>
    <w:rsid w:val="00C65376"/>
    <w:rsid w:val="00C653BF"/>
    <w:rsid w:val="00C6564D"/>
    <w:rsid w:val="00C658FA"/>
    <w:rsid w:val="00C660EE"/>
    <w:rsid w:val="00C66AE1"/>
    <w:rsid w:val="00C66C30"/>
    <w:rsid w:val="00C673B3"/>
    <w:rsid w:val="00C6768F"/>
    <w:rsid w:val="00C678DB"/>
    <w:rsid w:val="00C70323"/>
    <w:rsid w:val="00C7051E"/>
    <w:rsid w:val="00C70726"/>
    <w:rsid w:val="00C7090C"/>
    <w:rsid w:val="00C70DD6"/>
    <w:rsid w:val="00C70EC6"/>
    <w:rsid w:val="00C712AE"/>
    <w:rsid w:val="00C7135D"/>
    <w:rsid w:val="00C7158B"/>
    <w:rsid w:val="00C71593"/>
    <w:rsid w:val="00C71A65"/>
    <w:rsid w:val="00C72179"/>
    <w:rsid w:val="00C72AD7"/>
    <w:rsid w:val="00C73196"/>
    <w:rsid w:val="00C73886"/>
    <w:rsid w:val="00C7409B"/>
    <w:rsid w:val="00C74797"/>
    <w:rsid w:val="00C7479C"/>
    <w:rsid w:val="00C74A27"/>
    <w:rsid w:val="00C7504E"/>
    <w:rsid w:val="00C7584A"/>
    <w:rsid w:val="00C75C33"/>
    <w:rsid w:val="00C75DCD"/>
    <w:rsid w:val="00C7613E"/>
    <w:rsid w:val="00C76148"/>
    <w:rsid w:val="00C76414"/>
    <w:rsid w:val="00C7661D"/>
    <w:rsid w:val="00C76BDA"/>
    <w:rsid w:val="00C76D61"/>
    <w:rsid w:val="00C77190"/>
    <w:rsid w:val="00C775D6"/>
    <w:rsid w:val="00C77692"/>
    <w:rsid w:val="00C77D18"/>
    <w:rsid w:val="00C77F5C"/>
    <w:rsid w:val="00C80263"/>
    <w:rsid w:val="00C804EE"/>
    <w:rsid w:val="00C806D2"/>
    <w:rsid w:val="00C80A27"/>
    <w:rsid w:val="00C80B79"/>
    <w:rsid w:val="00C80C66"/>
    <w:rsid w:val="00C80D4E"/>
    <w:rsid w:val="00C80EA0"/>
    <w:rsid w:val="00C81103"/>
    <w:rsid w:val="00C813AD"/>
    <w:rsid w:val="00C81725"/>
    <w:rsid w:val="00C81B64"/>
    <w:rsid w:val="00C81BF0"/>
    <w:rsid w:val="00C82017"/>
    <w:rsid w:val="00C8213F"/>
    <w:rsid w:val="00C82147"/>
    <w:rsid w:val="00C82486"/>
    <w:rsid w:val="00C8282E"/>
    <w:rsid w:val="00C82B9C"/>
    <w:rsid w:val="00C82F7C"/>
    <w:rsid w:val="00C83284"/>
    <w:rsid w:val="00C832A5"/>
    <w:rsid w:val="00C83706"/>
    <w:rsid w:val="00C83F33"/>
    <w:rsid w:val="00C842BB"/>
    <w:rsid w:val="00C84BC1"/>
    <w:rsid w:val="00C84EF2"/>
    <w:rsid w:val="00C85003"/>
    <w:rsid w:val="00C852D3"/>
    <w:rsid w:val="00C8569D"/>
    <w:rsid w:val="00C856EF"/>
    <w:rsid w:val="00C85B91"/>
    <w:rsid w:val="00C85C6F"/>
    <w:rsid w:val="00C86460"/>
    <w:rsid w:val="00C865C9"/>
    <w:rsid w:val="00C8666F"/>
    <w:rsid w:val="00C871E0"/>
    <w:rsid w:val="00C87505"/>
    <w:rsid w:val="00C877A8"/>
    <w:rsid w:val="00C8793C"/>
    <w:rsid w:val="00C87CE2"/>
    <w:rsid w:val="00C900F1"/>
    <w:rsid w:val="00C9045E"/>
    <w:rsid w:val="00C90865"/>
    <w:rsid w:val="00C9105D"/>
    <w:rsid w:val="00C914CA"/>
    <w:rsid w:val="00C915C9"/>
    <w:rsid w:val="00C91AB3"/>
    <w:rsid w:val="00C91AFF"/>
    <w:rsid w:val="00C91C27"/>
    <w:rsid w:val="00C91D5A"/>
    <w:rsid w:val="00C91EAB"/>
    <w:rsid w:val="00C92F19"/>
    <w:rsid w:val="00C92F33"/>
    <w:rsid w:val="00C93824"/>
    <w:rsid w:val="00C93AFD"/>
    <w:rsid w:val="00C94266"/>
    <w:rsid w:val="00C95350"/>
    <w:rsid w:val="00C95395"/>
    <w:rsid w:val="00C953A0"/>
    <w:rsid w:val="00C9542C"/>
    <w:rsid w:val="00C95617"/>
    <w:rsid w:val="00C959CE"/>
    <w:rsid w:val="00C95BAA"/>
    <w:rsid w:val="00C95ED0"/>
    <w:rsid w:val="00C9678C"/>
    <w:rsid w:val="00C96804"/>
    <w:rsid w:val="00C96B84"/>
    <w:rsid w:val="00C96D25"/>
    <w:rsid w:val="00C96E1A"/>
    <w:rsid w:val="00C96E45"/>
    <w:rsid w:val="00C97109"/>
    <w:rsid w:val="00C97443"/>
    <w:rsid w:val="00C974F3"/>
    <w:rsid w:val="00C97DFF"/>
    <w:rsid w:val="00C97F43"/>
    <w:rsid w:val="00CA0B7D"/>
    <w:rsid w:val="00CA0F68"/>
    <w:rsid w:val="00CA129E"/>
    <w:rsid w:val="00CA1567"/>
    <w:rsid w:val="00CA167C"/>
    <w:rsid w:val="00CA1BDF"/>
    <w:rsid w:val="00CA1E38"/>
    <w:rsid w:val="00CA1EA3"/>
    <w:rsid w:val="00CA1F0E"/>
    <w:rsid w:val="00CA2267"/>
    <w:rsid w:val="00CA2712"/>
    <w:rsid w:val="00CA29E5"/>
    <w:rsid w:val="00CA2DD3"/>
    <w:rsid w:val="00CA2F3A"/>
    <w:rsid w:val="00CA335D"/>
    <w:rsid w:val="00CA397C"/>
    <w:rsid w:val="00CA3BFD"/>
    <w:rsid w:val="00CA4116"/>
    <w:rsid w:val="00CA4502"/>
    <w:rsid w:val="00CA454F"/>
    <w:rsid w:val="00CA48D1"/>
    <w:rsid w:val="00CA4A11"/>
    <w:rsid w:val="00CA4D78"/>
    <w:rsid w:val="00CA50D9"/>
    <w:rsid w:val="00CA53EC"/>
    <w:rsid w:val="00CA5496"/>
    <w:rsid w:val="00CA5625"/>
    <w:rsid w:val="00CA5940"/>
    <w:rsid w:val="00CA5E43"/>
    <w:rsid w:val="00CA62BE"/>
    <w:rsid w:val="00CA62F1"/>
    <w:rsid w:val="00CA6328"/>
    <w:rsid w:val="00CA652E"/>
    <w:rsid w:val="00CA669B"/>
    <w:rsid w:val="00CA66C3"/>
    <w:rsid w:val="00CA6DF4"/>
    <w:rsid w:val="00CA7BD9"/>
    <w:rsid w:val="00CA7D12"/>
    <w:rsid w:val="00CB00DB"/>
    <w:rsid w:val="00CB028C"/>
    <w:rsid w:val="00CB04E9"/>
    <w:rsid w:val="00CB12FF"/>
    <w:rsid w:val="00CB13F1"/>
    <w:rsid w:val="00CB1B62"/>
    <w:rsid w:val="00CB2335"/>
    <w:rsid w:val="00CB28D3"/>
    <w:rsid w:val="00CB2971"/>
    <w:rsid w:val="00CB3055"/>
    <w:rsid w:val="00CB3334"/>
    <w:rsid w:val="00CB34EE"/>
    <w:rsid w:val="00CB383B"/>
    <w:rsid w:val="00CB4449"/>
    <w:rsid w:val="00CB4887"/>
    <w:rsid w:val="00CB4930"/>
    <w:rsid w:val="00CB4D85"/>
    <w:rsid w:val="00CB5206"/>
    <w:rsid w:val="00CB5AAF"/>
    <w:rsid w:val="00CB5BB3"/>
    <w:rsid w:val="00CB5F3B"/>
    <w:rsid w:val="00CB5F71"/>
    <w:rsid w:val="00CB6140"/>
    <w:rsid w:val="00CB6209"/>
    <w:rsid w:val="00CB6250"/>
    <w:rsid w:val="00CB67B1"/>
    <w:rsid w:val="00CB69BC"/>
    <w:rsid w:val="00CB6B86"/>
    <w:rsid w:val="00CB6CE2"/>
    <w:rsid w:val="00CB6E05"/>
    <w:rsid w:val="00CB7346"/>
    <w:rsid w:val="00CB7A45"/>
    <w:rsid w:val="00CB7C77"/>
    <w:rsid w:val="00CB7EEB"/>
    <w:rsid w:val="00CC0192"/>
    <w:rsid w:val="00CC0A8C"/>
    <w:rsid w:val="00CC0ABF"/>
    <w:rsid w:val="00CC106B"/>
    <w:rsid w:val="00CC14F0"/>
    <w:rsid w:val="00CC1684"/>
    <w:rsid w:val="00CC16DA"/>
    <w:rsid w:val="00CC1860"/>
    <w:rsid w:val="00CC22B5"/>
    <w:rsid w:val="00CC25B0"/>
    <w:rsid w:val="00CC2B98"/>
    <w:rsid w:val="00CC39DD"/>
    <w:rsid w:val="00CC3AE8"/>
    <w:rsid w:val="00CC3C0F"/>
    <w:rsid w:val="00CC3C81"/>
    <w:rsid w:val="00CC3E81"/>
    <w:rsid w:val="00CC4A4F"/>
    <w:rsid w:val="00CC4E24"/>
    <w:rsid w:val="00CC51C1"/>
    <w:rsid w:val="00CC55E5"/>
    <w:rsid w:val="00CC6562"/>
    <w:rsid w:val="00CC72B2"/>
    <w:rsid w:val="00CC7360"/>
    <w:rsid w:val="00CC7948"/>
    <w:rsid w:val="00CC7AF8"/>
    <w:rsid w:val="00CC7B8E"/>
    <w:rsid w:val="00CD0282"/>
    <w:rsid w:val="00CD036D"/>
    <w:rsid w:val="00CD0763"/>
    <w:rsid w:val="00CD0877"/>
    <w:rsid w:val="00CD0C29"/>
    <w:rsid w:val="00CD0E89"/>
    <w:rsid w:val="00CD1332"/>
    <w:rsid w:val="00CD16D3"/>
    <w:rsid w:val="00CD17BA"/>
    <w:rsid w:val="00CD18F9"/>
    <w:rsid w:val="00CD2037"/>
    <w:rsid w:val="00CD21C5"/>
    <w:rsid w:val="00CD227F"/>
    <w:rsid w:val="00CD25C9"/>
    <w:rsid w:val="00CD26DB"/>
    <w:rsid w:val="00CD31F8"/>
    <w:rsid w:val="00CD3572"/>
    <w:rsid w:val="00CD385B"/>
    <w:rsid w:val="00CD394F"/>
    <w:rsid w:val="00CD3ADB"/>
    <w:rsid w:val="00CD3F83"/>
    <w:rsid w:val="00CD460F"/>
    <w:rsid w:val="00CD4903"/>
    <w:rsid w:val="00CD4995"/>
    <w:rsid w:val="00CD5429"/>
    <w:rsid w:val="00CD5DFE"/>
    <w:rsid w:val="00CD6033"/>
    <w:rsid w:val="00CD6D9A"/>
    <w:rsid w:val="00CD6E87"/>
    <w:rsid w:val="00CD780F"/>
    <w:rsid w:val="00CD7926"/>
    <w:rsid w:val="00CE0212"/>
    <w:rsid w:val="00CE06D9"/>
    <w:rsid w:val="00CE0988"/>
    <w:rsid w:val="00CE0C3C"/>
    <w:rsid w:val="00CE0EBA"/>
    <w:rsid w:val="00CE1018"/>
    <w:rsid w:val="00CE244F"/>
    <w:rsid w:val="00CE257E"/>
    <w:rsid w:val="00CE2859"/>
    <w:rsid w:val="00CE299C"/>
    <w:rsid w:val="00CE342E"/>
    <w:rsid w:val="00CE3811"/>
    <w:rsid w:val="00CE3876"/>
    <w:rsid w:val="00CE4913"/>
    <w:rsid w:val="00CE4A0D"/>
    <w:rsid w:val="00CE4AC1"/>
    <w:rsid w:val="00CE54AD"/>
    <w:rsid w:val="00CE566E"/>
    <w:rsid w:val="00CE5716"/>
    <w:rsid w:val="00CE6CBB"/>
    <w:rsid w:val="00CE6D75"/>
    <w:rsid w:val="00CE7093"/>
    <w:rsid w:val="00CE7924"/>
    <w:rsid w:val="00CE7ABB"/>
    <w:rsid w:val="00CF01F6"/>
    <w:rsid w:val="00CF047C"/>
    <w:rsid w:val="00CF0563"/>
    <w:rsid w:val="00CF0A5A"/>
    <w:rsid w:val="00CF0AF4"/>
    <w:rsid w:val="00CF0E71"/>
    <w:rsid w:val="00CF1284"/>
    <w:rsid w:val="00CF1D71"/>
    <w:rsid w:val="00CF2824"/>
    <w:rsid w:val="00CF2943"/>
    <w:rsid w:val="00CF2A50"/>
    <w:rsid w:val="00CF31AD"/>
    <w:rsid w:val="00CF37D1"/>
    <w:rsid w:val="00CF3A4F"/>
    <w:rsid w:val="00CF3B7D"/>
    <w:rsid w:val="00CF3D99"/>
    <w:rsid w:val="00CF4365"/>
    <w:rsid w:val="00CF4567"/>
    <w:rsid w:val="00CF45C3"/>
    <w:rsid w:val="00CF4DF9"/>
    <w:rsid w:val="00CF4F95"/>
    <w:rsid w:val="00CF546B"/>
    <w:rsid w:val="00CF55EC"/>
    <w:rsid w:val="00CF577A"/>
    <w:rsid w:val="00CF59A4"/>
    <w:rsid w:val="00CF5C07"/>
    <w:rsid w:val="00CF5D6C"/>
    <w:rsid w:val="00CF5D9C"/>
    <w:rsid w:val="00CF609E"/>
    <w:rsid w:val="00CF65AA"/>
    <w:rsid w:val="00CF6FB3"/>
    <w:rsid w:val="00CF6FED"/>
    <w:rsid w:val="00CF719D"/>
    <w:rsid w:val="00D00319"/>
    <w:rsid w:val="00D00458"/>
    <w:rsid w:val="00D005FE"/>
    <w:rsid w:val="00D00B7B"/>
    <w:rsid w:val="00D00C58"/>
    <w:rsid w:val="00D01614"/>
    <w:rsid w:val="00D0169B"/>
    <w:rsid w:val="00D016A6"/>
    <w:rsid w:val="00D01D97"/>
    <w:rsid w:val="00D01E4B"/>
    <w:rsid w:val="00D0210B"/>
    <w:rsid w:val="00D0220A"/>
    <w:rsid w:val="00D022C6"/>
    <w:rsid w:val="00D027CD"/>
    <w:rsid w:val="00D02F69"/>
    <w:rsid w:val="00D03823"/>
    <w:rsid w:val="00D03E90"/>
    <w:rsid w:val="00D03F3F"/>
    <w:rsid w:val="00D043EC"/>
    <w:rsid w:val="00D04A3B"/>
    <w:rsid w:val="00D04AF0"/>
    <w:rsid w:val="00D0500F"/>
    <w:rsid w:val="00D05037"/>
    <w:rsid w:val="00D050DA"/>
    <w:rsid w:val="00D0525B"/>
    <w:rsid w:val="00D053B3"/>
    <w:rsid w:val="00D058CD"/>
    <w:rsid w:val="00D05F29"/>
    <w:rsid w:val="00D060D6"/>
    <w:rsid w:val="00D062F4"/>
    <w:rsid w:val="00D063E1"/>
    <w:rsid w:val="00D066F7"/>
    <w:rsid w:val="00D06C7D"/>
    <w:rsid w:val="00D06CA9"/>
    <w:rsid w:val="00D07122"/>
    <w:rsid w:val="00D07A01"/>
    <w:rsid w:val="00D07B96"/>
    <w:rsid w:val="00D07EFC"/>
    <w:rsid w:val="00D10DF6"/>
    <w:rsid w:val="00D10E14"/>
    <w:rsid w:val="00D10EFB"/>
    <w:rsid w:val="00D118D1"/>
    <w:rsid w:val="00D11983"/>
    <w:rsid w:val="00D11C4F"/>
    <w:rsid w:val="00D1207A"/>
    <w:rsid w:val="00D128AF"/>
    <w:rsid w:val="00D12BA5"/>
    <w:rsid w:val="00D130C8"/>
    <w:rsid w:val="00D13366"/>
    <w:rsid w:val="00D13408"/>
    <w:rsid w:val="00D13A75"/>
    <w:rsid w:val="00D14821"/>
    <w:rsid w:val="00D15188"/>
    <w:rsid w:val="00D15651"/>
    <w:rsid w:val="00D158FA"/>
    <w:rsid w:val="00D15C06"/>
    <w:rsid w:val="00D1653B"/>
    <w:rsid w:val="00D16688"/>
    <w:rsid w:val="00D16B4F"/>
    <w:rsid w:val="00D17A64"/>
    <w:rsid w:val="00D2028A"/>
    <w:rsid w:val="00D20364"/>
    <w:rsid w:val="00D20685"/>
    <w:rsid w:val="00D210A7"/>
    <w:rsid w:val="00D21565"/>
    <w:rsid w:val="00D21971"/>
    <w:rsid w:val="00D219DC"/>
    <w:rsid w:val="00D22513"/>
    <w:rsid w:val="00D22D1B"/>
    <w:rsid w:val="00D2326F"/>
    <w:rsid w:val="00D23496"/>
    <w:rsid w:val="00D2352D"/>
    <w:rsid w:val="00D239D7"/>
    <w:rsid w:val="00D239DE"/>
    <w:rsid w:val="00D23F4F"/>
    <w:rsid w:val="00D24A42"/>
    <w:rsid w:val="00D25048"/>
    <w:rsid w:val="00D25A6B"/>
    <w:rsid w:val="00D260F3"/>
    <w:rsid w:val="00D26240"/>
    <w:rsid w:val="00D26516"/>
    <w:rsid w:val="00D26712"/>
    <w:rsid w:val="00D268FE"/>
    <w:rsid w:val="00D26D48"/>
    <w:rsid w:val="00D27512"/>
    <w:rsid w:val="00D279C8"/>
    <w:rsid w:val="00D307CB"/>
    <w:rsid w:val="00D30A35"/>
    <w:rsid w:val="00D30E5D"/>
    <w:rsid w:val="00D30EA6"/>
    <w:rsid w:val="00D31131"/>
    <w:rsid w:val="00D314E7"/>
    <w:rsid w:val="00D3188D"/>
    <w:rsid w:val="00D31914"/>
    <w:rsid w:val="00D31B60"/>
    <w:rsid w:val="00D32656"/>
    <w:rsid w:val="00D326FB"/>
    <w:rsid w:val="00D32819"/>
    <w:rsid w:val="00D328FB"/>
    <w:rsid w:val="00D32CD6"/>
    <w:rsid w:val="00D32EC7"/>
    <w:rsid w:val="00D32ECD"/>
    <w:rsid w:val="00D33774"/>
    <w:rsid w:val="00D33862"/>
    <w:rsid w:val="00D33B3C"/>
    <w:rsid w:val="00D33D2C"/>
    <w:rsid w:val="00D33D55"/>
    <w:rsid w:val="00D33DFA"/>
    <w:rsid w:val="00D33EFB"/>
    <w:rsid w:val="00D343F3"/>
    <w:rsid w:val="00D34A05"/>
    <w:rsid w:val="00D34C31"/>
    <w:rsid w:val="00D34C63"/>
    <w:rsid w:val="00D3537D"/>
    <w:rsid w:val="00D35423"/>
    <w:rsid w:val="00D35D43"/>
    <w:rsid w:val="00D364CA"/>
    <w:rsid w:val="00D36AFF"/>
    <w:rsid w:val="00D373D4"/>
    <w:rsid w:val="00D375F0"/>
    <w:rsid w:val="00D37A37"/>
    <w:rsid w:val="00D37AEE"/>
    <w:rsid w:val="00D37B21"/>
    <w:rsid w:val="00D40828"/>
    <w:rsid w:val="00D408C7"/>
    <w:rsid w:val="00D40D1B"/>
    <w:rsid w:val="00D4128F"/>
    <w:rsid w:val="00D415C5"/>
    <w:rsid w:val="00D41F2D"/>
    <w:rsid w:val="00D41FF8"/>
    <w:rsid w:val="00D4273D"/>
    <w:rsid w:val="00D428C8"/>
    <w:rsid w:val="00D42B58"/>
    <w:rsid w:val="00D4325D"/>
    <w:rsid w:val="00D434AA"/>
    <w:rsid w:val="00D439E1"/>
    <w:rsid w:val="00D44063"/>
    <w:rsid w:val="00D44103"/>
    <w:rsid w:val="00D44677"/>
    <w:rsid w:val="00D44DF8"/>
    <w:rsid w:val="00D45008"/>
    <w:rsid w:val="00D454FF"/>
    <w:rsid w:val="00D455D9"/>
    <w:rsid w:val="00D457BF"/>
    <w:rsid w:val="00D45B8B"/>
    <w:rsid w:val="00D45F9B"/>
    <w:rsid w:val="00D46A09"/>
    <w:rsid w:val="00D46D2B"/>
    <w:rsid w:val="00D4716B"/>
    <w:rsid w:val="00D47B91"/>
    <w:rsid w:val="00D47D1D"/>
    <w:rsid w:val="00D47D78"/>
    <w:rsid w:val="00D504CD"/>
    <w:rsid w:val="00D51358"/>
    <w:rsid w:val="00D51A27"/>
    <w:rsid w:val="00D51E44"/>
    <w:rsid w:val="00D521E8"/>
    <w:rsid w:val="00D52244"/>
    <w:rsid w:val="00D5298B"/>
    <w:rsid w:val="00D52C1D"/>
    <w:rsid w:val="00D52DAC"/>
    <w:rsid w:val="00D52F80"/>
    <w:rsid w:val="00D53592"/>
    <w:rsid w:val="00D536C8"/>
    <w:rsid w:val="00D53B53"/>
    <w:rsid w:val="00D53E5F"/>
    <w:rsid w:val="00D53F6D"/>
    <w:rsid w:val="00D5489A"/>
    <w:rsid w:val="00D54A9B"/>
    <w:rsid w:val="00D54CE0"/>
    <w:rsid w:val="00D54E2F"/>
    <w:rsid w:val="00D5517F"/>
    <w:rsid w:val="00D55D9E"/>
    <w:rsid w:val="00D5672B"/>
    <w:rsid w:val="00D56822"/>
    <w:rsid w:val="00D56A82"/>
    <w:rsid w:val="00D56C8D"/>
    <w:rsid w:val="00D5732F"/>
    <w:rsid w:val="00D57BE9"/>
    <w:rsid w:val="00D57CB9"/>
    <w:rsid w:val="00D57CC6"/>
    <w:rsid w:val="00D57F9B"/>
    <w:rsid w:val="00D60270"/>
    <w:rsid w:val="00D60A8F"/>
    <w:rsid w:val="00D6172B"/>
    <w:rsid w:val="00D61D9C"/>
    <w:rsid w:val="00D62047"/>
    <w:rsid w:val="00D62622"/>
    <w:rsid w:val="00D62F71"/>
    <w:rsid w:val="00D62FEE"/>
    <w:rsid w:val="00D63099"/>
    <w:rsid w:val="00D63343"/>
    <w:rsid w:val="00D63BFF"/>
    <w:rsid w:val="00D64061"/>
    <w:rsid w:val="00D648B5"/>
    <w:rsid w:val="00D6491F"/>
    <w:rsid w:val="00D64E50"/>
    <w:rsid w:val="00D6501B"/>
    <w:rsid w:val="00D6530A"/>
    <w:rsid w:val="00D653B4"/>
    <w:rsid w:val="00D657BE"/>
    <w:rsid w:val="00D65B7C"/>
    <w:rsid w:val="00D65D1B"/>
    <w:rsid w:val="00D666DB"/>
    <w:rsid w:val="00D66EDA"/>
    <w:rsid w:val="00D66F6B"/>
    <w:rsid w:val="00D673D6"/>
    <w:rsid w:val="00D678FC"/>
    <w:rsid w:val="00D704FB"/>
    <w:rsid w:val="00D7071E"/>
    <w:rsid w:val="00D71220"/>
    <w:rsid w:val="00D7142D"/>
    <w:rsid w:val="00D71896"/>
    <w:rsid w:val="00D7236D"/>
    <w:rsid w:val="00D72521"/>
    <w:rsid w:val="00D72A7C"/>
    <w:rsid w:val="00D72D21"/>
    <w:rsid w:val="00D730AE"/>
    <w:rsid w:val="00D73240"/>
    <w:rsid w:val="00D737CE"/>
    <w:rsid w:val="00D73B27"/>
    <w:rsid w:val="00D73DBB"/>
    <w:rsid w:val="00D741F3"/>
    <w:rsid w:val="00D74265"/>
    <w:rsid w:val="00D7450F"/>
    <w:rsid w:val="00D74950"/>
    <w:rsid w:val="00D74A95"/>
    <w:rsid w:val="00D74C48"/>
    <w:rsid w:val="00D74F19"/>
    <w:rsid w:val="00D7506A"/>
    <w:rsid w:val="00D75090"/>
    <w:rsid w:val="00D7513C"/>
    <w:rsid w:val="00D754B2"/>
    <w:rsid w:val="00D754E9"/>
    <w:rsid w:val="00D760B2"/>
    <w:rsid w:val="00D761AE"/>
    <w:rsid w:val="00D76350"/>
    <w:rsid w:val="00D763AB"/>
    <w:rsid w:val="00D764BC"/>
    <w:rsid w:val="00D765E6"/>
    <w:rsid w:val="00D7694F"/>
    <w:rsid w:val="00D773F2"/>
    <w:rsid w:val="00D80447"/>
    <w:rsid w:val="00D807C5"/>
    <w:rsid w:val="00D80922"/>
    <w:rsid w:val="00D80B9B"/>
    <w:rsid w:val="00D80C48"/>
    <w:rsid w:val="00D811FA"/>
    <w:rsid w:val="00D81278"/>
    <w:rsid w:val="00D813D2"/>
    <w:rsid w:val="00D813DB"/>
    <w:rsid w:val="00D81DF0"/>
    <w:rsid w:val="00D81E87"/>
    <w:rsid w:val="00D822D1"/>
    <w:rsid w:val="00D82B3A"/>
    <w:rsid w:val="00D82C02"/>
    <w:rsid w:val="00D831BF"/>
    <w:rsid w:val="00D8327F"/>
    <w:rsid w:val="00D83290"/>
    <w:rsid w:val="00D832B9"/>
    <w:rsid w:val="00D83B77"/>
    <w:rsid w:val="00D84136"/>
    <w:rsid w:val="00D8438A"/>
    <w:rsid w:val="00D85AC5"/>
    <w:rsid w:val="00D862D1"/>
    <w:rsid w:val="00D862EA"/>
    <w:rsid w:val="00D86340"/>
    <w:rsid w:val="00D864BD"/>
    <w:rsid w:val="00D86501"/>
    <w:rsid w:val="00D86ED6"/>
    <w:rsid w:val="00D872CF"/>
    <w:rsid w:val="00D87552"/>
    <w:rsid w:val="00D87BB2"/>
    <w:rsid w:val="00D87BC1"/>
    <w:rsid w:val="00D909C3"/>
    <w:rsid w:val="00D91032"/>
    <w:rsid w:val="00D91186"/>
    <w:rsid w:val="00D9177A"/>
    <w:rsid w:val="00D9182D"/>
    <w:rsid w:val="00D91D1E"/>
    <w:rsid w:val="00D91E2E"/>
    <w:rsid w:val="00D91F28"/>
    <w:rsid w:val="00D9232E"/>
    <w:rsid w:val="00D92453"/>
    <w:rsid w:val="00D9255F"/>
    <w:rsid w:val="00D926DF"/>
    <w:rsid w:val="00D934A3"/>
    <w:rsid w:val="00D935AF"/>
    <w:rsid w:val="00D9395D"/>
    <w:rsid w:val="00D93960"/>
    <w:rsid w:val="00D93A37"/>
    <w:rsid w:val="00D93A55"/>
    <w:rsid w:val="00D93A9C"/>
    <w:rsid w:val="00D93E92"/>
    <w:rsid w:val="00D94281"/>
    <w:rsid w:val="00D951E4"/>
    <w:rsid w:val="00D95450"/>
    <w:rsid w:val="00D955E1"/>
    <w:rsid w:val="00D95CED"/>
    <w:rsid w:val="00D95D90"/>
    <w:rsid w:val="00D95F99"/>
    <w:rsid w:val="00D95FF9"/>
    <w:rsid w:val="00D9676A"/>
    <w:rsid w:val="00D96AEA"/>
    <w:rsid w:val="00D96CA2"/>
    <w:rsid w:val="00D96F44"/>
    <w:rsid w:val="00D975EA"/>
    <w:rsid w:val="00D97879"/>
    <w:rsid w:val="00D978E2"/>
    <w:rsid w:val="00DA012A"/>
    <w:rsid w:val="00DA04DB"/>
    <w:rsid w:val="00DA07A5"/>
    <w:rsid w:val="00DA0F38"/>
    <w:rsid w:val="00DA0FF5"/>
    <w:rsid w:val="00DA14BE"/>
    <w:rsid w:val="00DA1FE0"/>
    <w:rsid w:val="00DA238A"/>
    <w:rsid w:val="00DA26D9"/>
    <w:rsid w:val="00DA2A50"/>
    <w:rsid w:val="00DA2EC3"/>
    <w:rsid w:val="00DA311F"/>
    <w:rsid w:val="00DA331C"/>
    <w:rsid w:val="00DA3486"/>
    <w:rsid w:val="00DA430A"/>
    <w:rsid w:val="00DA447C"/>
    <w:rsid w:val="00DA48D9"/>
    <w:rsid w:val="00DA49A5"/>
    <w:rsid w:val="00DA4A64"/>
    <w:rsid w:val="00DA4C48"/>
    <w:rsid w:val="00DA4EC0"/>
    <w:rsid w:val="00DA5282"/>
    <w:rsid w:val="00DA5438"/>
    <w:rsid w:val="00DA547F"/>
    <w:rsid w:val="00DA59B4"/>
    <w:rsid w:val="00DA5CA5"/>
    <w:rsid w:val="00DA5FCB"/>
    <w:rsid w:val="00DA6486"/>
    <w:rsid w:val="00DA6A06"/>
    <w:rsid w:val="00DA6B4A"/>
    <w:rsid w:val="00DA6CAB"/>
    <w:rsid w:val="00DA6E21"/>
    <w:rsid w:val="00DA76C2"/>
    <w:rsid w:val="00DA78A8"/>
    <w:rsid w:val="00DB0117"/>
    <w:rsid w:val="00DB02D2"/>
    <w:rsid w:val="00DB0395"/>
    <w:rsid w:val="00DB09CE"/>
    <w:rsid w:val="00DB0D6D"/>
    <w:rsid w:val="00DB13E1"/>
    <w:rsid w:val="00DB1C66"/>
    <w:rsid w:val="00DB1E6D"/>
    <w:rsid w:val="00DB3004"/>
    <w:rsid w:val="00DB30B6"/>
    <w:rsid w:val="00DB325B"/>
    <w:rsid w:val="00DB34EA"/>
    <w:rsid w:val="00DB390F"/>
    <w:rsid w:val="00DB4330"/>
    <w:rsid w:val="00DB449A"/>
    <w:rsid w:val="00DB48AF"/>
    <w:rsid w:val="00DB4F51"/>
    <w:rsid w:val="00DB5168"/>
    <w:rsid w:val="00DB571C"/>
    <w:rsid w:val="00DB5D3F"/>
    <w:rsid w:val="00DB5EC5"/>
    <w:rsid w:val="00DB6081"/>
    <w:rsid w:val="00DB620A"/>
    <w:rsid w:val="00DB6220"/>
    <w:rsid w:val="00DB6587"/>
    <w:rsid w:val="00DB66DE"/>
    <w:rsid w:val="00DB6FE8"/>
    <w:rsid w:val="00DB70BF"/>
    <w:rsid w:val="00DB779E"/>
    <w:rsid w:val="00DB7CF1"/>
    <w:rsid w:val="00DC02AC"/>
    <w:rsid w:val="00DC042A"/>
    <w:rsid w:val="00DC097E"/>
    <w:rsid w:val="00DC1481"/>
    <w:rsid w:val="00DC1BC9"/>
    <w:rsid w:val="00DC1E1F"/>
    <w:rsid w:val="00DC2191"/>
    <w:rsid w:val="00DC23DB"/>
    <w:rsid w:val="00DC2E3A"/>
    <w:rsid w:val="00DC31BE"/>
    <w:rsid w:val="00DC326D"/>
    <w:rsid w:val="00DC3B7C"/>
    <w:rsid w:val="00DC3FD9"/>
    <w:rsid w:val="00DC4AB1"/>
    <w:rsid w:val="00DC559C"/>
    <w:rsid w:val="00DC5D6F"/>
    <w:rsid w:val="00DC60B5"/>
    <w:rsid w:val="00DC60F0"/>
    <w:rsid w:val="00DC616C"/>
    <w:rsid w:val="00DC628A"/>
    <w:rsid w:val="00DC671E"/>
    <w:rsid w:val="00DC684D"/>
    <w:rsid w:val="00DC70E7"/>
    <w:rsid w:val="00DC7BDF"/>
    <w:rsid w:val="00DC7DA0"/>
    <w:rsid w:val="00DD0F9C"/>
    <w:rsid w:val="00DD117C"/>
    <w:rsid w:val="00DD1271"/>
    <w:rsid w:val="00DD1395"/>
    <w:rsid w:val="00DD2484"/>
    <w:rsid w:val="00DD25A3"/>
    <w:rsid w:val="00DD2732"/>
    <w:rsid w:val="00DD33C1"/>
    <w:rsid w:val="00DD3513"/>
    <w:rsid w:val="00DD3706"/>
    <w:rsid w:val="00DD37DA"/>
    <w:rsid w:val="00DD3E1B"/>
    <w:rsid w:val="00DD3FDC"/>
    <w:rsid w:val="00DD443F"/>
    <w:rsid w:val="00DD4AAB"/>
    <w:rsid w:val="00DD4AFB"/>
    <w:rsid w:val="00DD55B1"/>
    <w:rsid w:val="00DD5B4F"/>
    <w:rsid w:val="00DD5CAA"/>
    <w:rsid w:val="00DD6636"/>
    <w:rsid w:val="00DD6E33"/>
    <w:rsid w:val="00DD6F1B"/>
    <w:rsid w:val="00DD721E"/>
    <w:rsid w:val="00DD74BB"/>
    <w:rsid w:val="00DD7700"/>
    <w:rsid w:val="00DD78E3"/>
    <w:rsid w:val="00DE0591"/>
    <w:rsid w:val="00DE0610"/>
    <w:rsid w:val="00DE088F"/>
    <w:rsid w:val="00DE0B82"/>
    <w:rsid w:val="00DE0D56"/>
    <w:rsid w:val="00DE1301"/>
    <w:rsid w:val="00DE13E9"/>
    <w:rsid w:val="00DE17F9"/>
    <w:rsid w:val="00DE18B1"/>
    <w:rsid w:val="00DE1AD1"/>
    <w:rsid w:val="00DE1DDC"/>
    <w:rsid w:val="00DE1E4D"/>
    <w:rsid w:val="00DE1E62"/>
    <w:rsid w:val="00DE219B"/>
    <w:rsid w:val="00DE256E"/>
    <w:rsid w:val="00DE2941"/>
    <w:rsid w:val="00DE2AF4"/>
    <w:rsid w:val="00DE2E61"/>
    <w:rsid w:val="00DE3563"/>
    <w:rsid w:val="00DE373B"/>
    <w:rsid w:val="00DE41E3"/>
    <w:rsid w:val="00DE43F4"/>
    <w:rsid w:val="00DE4592"/>
    <w:rsid w:val="00DE46C3"/>
    <w:rsid w:val="00DE53C1"/>
    <w:rsid w:val="00DE5869"/>
    <w:rsid w:val="00DE5D07"/>
    <w:rsid w:val="00DE5DB4"/>
    <w:rsid w:val="00DE5E5C"/>
    <w:rsid w:val="00DE5FD7"/>
    <w:rsid w:val="00DE602D"/>
    <w:rsid w:val="00DE67BC"/>
    <w:rsid w:val="00DE6884"/>
    <w:rsid w:val="00DE68D8"/>
    <w:rsid w:val="00DE6CF2"/>
    <w:rsid w:val="00DE6DB1"/>
    <w:rsid w:val="00DE6DC4"/>
    <w:rsid w:val="00DE7089"/>
    <w:rsid w:val="00DE7BC4"/>
    <w:rsid w:val="00DF08A6"/>
    <w:rsid w:val="00DF10C1"/>
    <w:rsid w:val="00DF14EB"/>
    <w:rsid w:val="00DF1662"/>
    <w:rsid w:val="00DF18B5"/>
    <w:rsid w:val="00DF19A3"/>
    <w:rsid w:val="00DF1D20"/>
    <w:rsid w:val="00DF2913"/>
    <w:rsid w:val="00DF2BEB"/>
    <w:rsid w:val="00DF2E1C"/>
    <w:rsid w:val="00DF31FF"/>
    <w:rsid w:val="00DF3718"/>
    <w:rsid w:val="00DF3820"/>
    <w:rsid w:val="00DF3D5D"/>
    <w:rsid w:val="00DF3FF1"/>
    <w:rsid w:val="00DF4793"/>
    <w:rsid w:val="00DF53A6"/>
    <w:rsid w:val="00DF54B6"/>
    <w:rsid w:val="00DF6264"/>
    <w:rsid w:val="00DF6434"/>
    <w:rsid w:val="00DF66C8"/>
    <w:rsid w:val="00DF6B97"/>
    <w:rsid w:val="00DF76FE"/>
    <w:rsid w:val="00E000B0"/>
    <w:rsid w:val="00E00710"/>
    <w:rsid w:val="00E00CDC"/>
    <w:rsid w:val="00E00E16"/>
    <w:rsid w:val="00E0153C"/>
    <w:rsid w:val="00E01815"/>
    <w:rsid w:val="00E01B59"/>
    <w:rsid w:val="00E020ED"/>
    <w:rsid w:val="00E02AAC"/>
    <w:rsid w:val="00E02C2F"/>
    <w:rsid w:val="00E02D2D"/>
    <w:rsid w:val="00E035B0"/>
    <w:rsid w:val="00E03925"/>
    <w:rsid w:val="00E03C01"/>
    <w:rsid w:val="00E03F54"/>
    <w:rsid w:val="00E04BE7"/>
    <w:rsid w:val="00E04DC7"/>
    <w:rsid w:val="00E04F01"/>
    <w:rsid w:val="00E051DE"/>
    <w:rsid w:val="00E0553E"/>
    <w:rsid w:val="00E05701"/>
    <w:rsid w:val="00E059D7"/>
    <w:rsid w:val="00E05A74"/>
    <w:rsid w:val="00E05AB3"/>
    <w:rsid w:val="00E05FC3"/>
    <w:rsid w:val="00E06164"/>
    <w:rsid w:val="00E06277"/>
    <w:rsid w:val="00E06515"/>
    <w:rsid w:val="00E06EB2"/>
    <w:rsid w:val="00E0744D"/>
    <w:rsid w:val="00E10148"/>
    <w:rsid w:val="00E1020D"/>
    <w:rsid w:val="00E10823"/>
    <w:rsid w:val="00E10CEC"/>
    <w:rsid w:val="00E116D2"/>
    <w:rsid w:val="00E11870"/>
    <w:rsid w:val="00E11D06"/>
    <w:rsid w:val="00E11F5F"/>
    <w:rsid w:val="00E12846"/>
    <w:rsid w:val="00E12ACD"/>
    <w:rsid w:val="00E1331A"/>
    <w:rsid w:val="00E1394C"/>
    <w:rsid w:val="00E13AAA"/>
    <w:rsid w:val="00E140FF"/>
    <w:rsid w:val="00E141DE"/>
    <w:rsid w:val="00E14268"/>
    <w:rsid w:val="00E1429F"/>
    <w:rsid w:val="00E144E4"/>
    <w:rsid w:val="00E14507"/>
    <w:rsid w:val="00E14822"/>
    <w:rsid w:val="00E14D9B"/>
    <w:rsid w:val="00E150FF"/>
    <w:rsid w:val="00E1544B"/>
    <w:rsid w:val="00E15572"/>
    <w:rsid w:val="00E15708"/>
    <w:rsid w:val="00E15933"/>
    <w:rsid w:val="00E15A76"/>
    <w:rsid w:val="00E15E4E"/>
    <w:rsid w:val="00E16169"/>
    <w:rsid w:val="00E168C4"/>
    <w:rsid w:val="00E16943"/>
    <w:rsid w:val="00E1699B"/>
    <w:rsid w:val="00E16FC1"/>
    <w:rsid w:val="00E17066"/>
    <w:rsid w:val="00E17468"/>
    <w:rsid w:val="00E17952"/>
    <w:rsid w:val="00E17AB0"/>
    <w:rsid w:val="00E20068"/>
    <w:rsid w:val="00E2033D"/>
    <w:rsid w:val="00E206D7"/>
    <w:rsid w:val="00E20BFB"/>
    <w:rsid w:val="00E20EFF"/>
    <w:rsid w:val="00E210C5"/>
    <w:rsid w:val="00E217E6"/>
    <w:rsid w:val="00E22071"/>
    <w:rsid w:val="00E2209C"/>
    <w:rsid w:val="00E2219A"/>
    <w:rsid w:val="00E22266"/>
    <w:rsid w:val="00E22432"/>
    <w:rsid w:val="00E22D43"/>
    <w:rsid w:val="00E22D98"/>
    <w:rsid w:val="00E23989"/>
    <w:rsid w:val="00E23E3D"/>
    <w:rsid w:val="00E23F7D"/>
    <w:rsid w:val="00E2421D"/>
    <w:rsid w:val="00E246B0"/>
    <w:rsid w:val="00E24C81"/>
    <w:rsid w:val="00E2501E"/>
    <w:rsid w:val="00E253B6"/>
    <w:rsid w:val="00E259E5"/>
    <w:rsid w:val="00E25C42"/>
    <w:rsid w:val="00E25D4A"/>
    <w:rsid w:val="00E26600"/>
    <w:rsid w:val="00E27AFF"/>
    <w:rsid w:val="00E30205"/>
    <w:rsid w:val="00E30423"/>
    <w:rsid w:val="00E30974"/>
    <w:rsid w:val="00E31751"/>
    <w:rsid w:val="00E318ED"/>
    <w:rsid w:val="00E31B16"/>
    <w:rsid w:val="00E31C95"/>
    <w:rsid w:val="00E31E4C"/>
    <w:rsid w:val="00E31F27"/>
    <w:rsid w:val="00E32EB8"/>
    <w:rsid w:val="00E32FFD"/>
    <w:rsid w:val="00E33703"/>
    <w:rsid w:val="00E33C37"/>
    <w:rsid w:val="00E33C39"/>
    <w:rsid w:val="00E34210"/>
    <w:rsid w:val="00E3445A"/>
    <w:rsid w:val="00E346B6"/>
    <w:rsid w:val="00E347EA"/>
    <w:rsid w:val="00E34B47"/>
    <w:rsid w:val="00E3524C"/>
    <w:rsid w:val="00E35BA8"/>
    <w:rsid w:val="00E35C3E"/>
    <w:rsid w:val="00E3619F"/>
    <w:rsid w:val="00E366A0"/>
    <w:rsid w:val="00E36793"/>
    <w:rsid w:val="00E36D96"/>
    <w:rsid w:val="00E371D1"/>
    <w:rsid w:val="00E37D37"/>
    <w:rsid w:val="00E37E40"/>
    <w:rsid w:val="00E403DB"/>
    <w:rsid w:val="00E404AA"/>
    <w:rsid w:val="00E40553"/>
    <w:rsid w:val="00E40715"/>
    <w:rsid w:val="00E409FD"/>
    <w:rsid w:val="00E40A39"/>
    <w:rsid w:val="00E40E32"/>
    <w:rsid w:val="00E4110E"/>
    <w:rsid w:val="00E41562"/>
    <w:rsid w:val="00E41E41"/>
    <w:rsid w:val="00E427C2"/>
    <w:rsid w:val="00E428E3"/>
    <w:rsid w:val="00E42E2B"/>
    <w:rsid w:val="00E4395C"/>
    <w:rsid w:val="00E43FD4"/>
    <w:rsid w:val="00E44079"/>
    <w:rsid w:val="00E44BCC"/>
    <w:rsid w:val="00E44C4C"/>
    <w:rsid w:val="00E44D6C"/>
    <w:rsid w:val="00E44E32"/>
    <w:rsid w:val="00E451B6"/>
    <w:rsid w:val="00E45810"/>
    <w:rsid w:val="00E45821"/>
    <w:rsid w:val="00E45A6C"/>
    <w:rsid w:val="00E45BD9"/>
    <w:rsid w:val="00E46070"/>
    <w:rsid w:val="00E46180"/>
    <w:rsid w:val="00E46A70"/>
    <w:rsid w:val="00E46A98"/>
    <w:rsid w:val="00E4704F"/>
    <w:rsid w:val="00E470E9"/>
    <w:rsid w:val="00E47220"/>
    <w:rsid w:val="00E473BD"/>
    <w:rsid w:val="00E47917"/>
    <w:rsid w:val="00E4799F"/>
    <w:rsid w:val="00E47C93"/>
    <w:rsid w:val="00E50126"/>
    <w:rsid w:val="00E50432"/>
    <w:rsid w:val="00E50F04"/>
    <w:rsid w:val="00E519F1"/>
    <w:rsid w:val="00E51CAE"/>
    <w:rsid w:val="00E51F6C"/>
    <w:rsid w:val="00E52E98"/>
    <w:rsid w:val="00E53DED"/>
    <w:rsid w:val="00E5408D"/>
    <w:rsid w:val="00E542B0"/>
    <w:rsid w:val="00E54E12"/>
    <w:rsid w:val="00E54FB8"/>
    <w:rsid w:val="00E55FBD"/>
    <w:rsid w:val="00E561C0"/>
    <w:rsid w:val="00E56688"/>
    <w:rsid w:val="00E5694A"/>
    <w:rsid w:val="00E56A1F"/>
    <w:rsid w:val="00E572DE"/>
    <w:rsid w:val="00E5763C"/>
    <w:rsid w:val="00E5767D"/>
    <w:rsid w:val="00E57EDA"/>
    <w:rsid w:val="00E600F2"/>
    <w:rsid w:val="00E60107"/>
    <w:rsid w:val="00E6019E"/>
    <w:rsid w:val="00E605FA"/>
    <w:rsid w:val="00E60C5B"/>
    <w:rsid w:val="00E612E7"/>
    <w:rsid w:val="00E61411"/>
    <w:rsid w:val="00E61541"/>
    <w:rsid w:val="00E615BB"/>
    <w:rsid w:val="00E62280"/>
    <w:rsid w:val="00E62C99"/>
    <w:rsid w:val="00E62EAB"/>
    <w:rsid w:val="00E63556"/>
    <w:rsid w:val="00E63B6F"/>
    <w:rsid w:val="00E63D81"/>
    <w:rsid w:val="00E64182"/>
    <w:rsid w:val="00E64386"/>
    <w:rsid w:val="00E6457E"/>
    <w:rsid w:val="00E648DD"/>
    <w:rsid w:val="00E64E10"/>
    <w:rsid w:val="00E64F36"/>
    <w:rsid w:val="00E6543F"/>
    <w:rsid w:val="00E66104"/>
    <w:rsid w:val="00E66474"/>
    <w:rsid w:val="00E665AC"/>
    <w:rsid w:val="00E66AEC"/>
    <w:rsid w:val="00E66D61"/>
    <w:rsid w:val="00E66F9E"/>
    <w:rsid w:val="00E67059"/>
    <w:rsid w:val="00E674BE"/>
    <w:rsid w:val="00E67777"/>
    <w:rsid w:val="00E678F3"/>
    <w:rsid w:val="00E67B5C"/>
    <w:rsid w:val="00E67C00"/>
    <w:rsid w:val="00E67EF8"/>
    <w:rsid w:val="00E67FD7"/>
    <w:rsid w:val="00E70288"/>
    <w:rsid w:val="00E70590"/>
    <w:rsid w:val="00E70EA1"/>
    <w:rsid w:val="00E70F2D"/>
    <w:rsid w:val="00E71B52"/>
    <w:rsid w:val="00E71DD1"/>
    <w:rsid w:val="00E72036"/>
    <w:rsid w:val="00E72039"/>
    <w:rsid w:val="00E72461"/>
    <w:rsid w:val="00E725A4"/>
    <w:rsid w:val="00E7278A"/>
    <w:rsid w:val="00E7298A"/>
    <w:rsid w:val="00E72BD3"/>
    <w:rsid w:val="00E73022"/>
    <w:rsid w:val="00E731EB"/>
    <w:rsid w:val="00E733DD"/>
    <w:rsid w:val="00E739EC"/>
    <w:rsid w:val="00E73A82"/>
    <w:rsid w:val="00E73D42"/>
    <w:rsid w:val="00E73F94"/>
    <w:rsid w:val="00E7410B"/>
    <w:rsid w:val="00E74613"/>
    <w:rsid w:val="00E7535F"/>
    <w:rsid w:val="00E760EA"/>
    <w:rsid w:val="00E762C2"/>
    <w:rsid w:val="00E764D8"/>
    <w:rsid w:val="00E7695C"/>
    <w:rsid w:val="00E76A62"/>
    <w:rsid w:val="00E76B38"/>
    <w:rsid w:val="00E76DFF"/>
    <w:rsid w:val="00E77971"/>
    <w:rsid w:val="00E80E42"/>
    <w:rsid w:val="00E80F1B"/>
    <w:rsid w:val="00E80FAC"/>
    <w:rsid w:val="00E81044"/>
    <w:rsid w:val="00E81133"/>
    <w:rsid w:val="00E81599"/>
    <w:rsid w:val="00E81E40"/>
    <w:rsid w:val="00E828FB"/>
    <w:rsid w:val="00E82E90"/>
    <w:rsid w:val="00E82FEA"/>
    <w:rsid w:val="00E835C3"/>
    <w:rsid w:val="00E83971"/>
    <w:rsid w:val="00E83D3C"/>
    <w:rsid w:val="00E84AF0"/>
    <w:rsid w:val="00E84BB8"/>
    <w:rsid w:val="00E84BD3"/>
    <w:rsid w:val="00E84D1E"/>
    <w:rsid w:val="00E85385"/>
    <w:rsid w:val="00E8541C"/>
    <w:rsid w:val="00E854C1"/>
    <w:rsid w:val="00E8715A"/>
    <w:rsid w:val="00E8793B"/>
    <w:rsid w:val="00E9000E"/>
    <w:rsid w:val="00E90089"/>
    <w:rsid w:val="00E902FE"/>
    <w:rsid w:val="00E903CF"/>
    <w:rsid w:val="00E91468"/>
    <w:rsid w:val="00E914AF"/>
    <w:rsid w:val="00E91BC6"/>
    <w:rsid w:val="00E91C8C"/>
    <w:rsid w:val="00E91E71"/>
    <w:rsid w:val="00E92751"/>
    <w:rsid w:val="00E9321F"/>
    <w:rsid w:val="00E9344D"/>
    <w:rsid w:val="00E934E5"/>
    <w:rsid w:val="00E9385B"/>
    <w:rsid w:val="00E93EF8"/>
    <w:rsid w:val="00E94254"/>
    <w:rsid w:val="00E94370"/>
    <w:rsid w:val="00E94485"/>
    <w:rsid w:val="00E945AD"/>
    <w:rsid w:val="00E95064"/>
    <w:rsid w:val="00E9514E"/>
    <w:rsid w:val="00E95366"/>
    <w:rsid w:val="00E95731"/>
    <w:rsid w:val="00E96546"/>
    <w:rsid w:val="00E96553"/>
    <w:rsid w:val="00E96B03"/>
    <w:rsid w:val="00E96E5B"/>
    <w:rsid w:val="00E96FB5"/>
    <w:rsid w:val="00E97395"/>
    <w:rsid w:val="00E97F80"/>
    <w:rsid w:val="00EA0170"/>
    <w:rsid w:val="00EA02DD"/>
    <w:rsid w:val="00EA0373"/>
    <w:rsid w:val="00EA04CE"/>
    <w:rsid w:val="00EA07C2"/>
    <w:rsid w:val="00EA129F"/>
    <w:rsid w:val="00EA143F"/>
    <w:rsid w:val="00EA194A"/>
    <w:rsid w:val="00EA1CA7"/>
    <w:rsid w:val="00EA25E6"/>
    <w:rsid w:val="00EA27A8"/>
    <w:rsid w:val="00EA3324"/>
    <w:rsid w:val="00EA37A9"/>
    <w:rsid w:val="00EA4537"/>
    <w:rsid w:val="00EA45D3"/>
    <w:rsid w:val="00EA4BDA"/>
    <w:rsid w:val="00EA4E9C"/>
    <w:rsid w:val="00EA4ED7"/>
    <w:rsid w:val="00EA5089"/>
    <w:rsid w:val="00EA54DB"/>
    <w:rsid w:val="00EA56FF"/>
    <w:rsid w:val="00EA5704"/>
    <w:rsid w:val="00EA606D"/>
    <w:rsid w:val="00EA60D6"/>
    <w:rsid w:val="00EA60FB"/>
    <w:rsid w:val="00EA64E7"/>
    <w:rsid w:val="00EA7060"/>
    <w:rsid w:val="00EA74A4"/>
    <w:rsid w:val="00EA75AE"/>
    <w:rsid w:val="00EA782C"/>
    <w:rsid w:val="00EA7A97"/>
    <w:rsid w:val="00EA7DD5"/>
    <w:rsid w:val="00EB01FB"/>
    <w:rsid w:val="00EB03E7"/>
    <w:rsid w:val="00EB0789"/>
    <w:rsid w:val="00EB09F4"/>
    <w:rsid w:val="00EB0D68"/>
    <w:rsid w:val="00EB0FF5"/>
    <w:rsid w:val="00EB1175"/>
    <w:rsid w:val="00EB18F4"/>
    <w:rsid w:val="00EB274A"/>
    <w:rsid w:val="00EB2BED"/>
    <w:rsid w:val="00EB2E6B"/>
    <w:rsid w:val="00EB401A"/>
    <w:rsid w:val="00EB41CA"/>
    <w:rsid w:val="00EB42DA"/>
    <w:rsid w:val="00EB42E3"/>
    <w:rsid w:val="00EB4923"/>
    <w:rsid w:val="00EB4974"/>
    <w:rsid w:val="00EB4CF6"/>
    <w:rsid w:val="00EB58C5"/>
    <w:rsid w:val="00EB5C79"/>
    <w:rsid w:val="00EB623D"/>
    <w:rsid w:val="00EB654D"/>
    <w:rsid w:val="00EB69EF"/>
    <w:rsid w:val="00EB6B94"/>
    <w:rsid w:val="00EB6DAF"/>
    <w:rsid w:val="00EB6E38"/>
    <w:rsid w:val="00EB75FB"/>
    <w:rsid w:val="00EB7B2B"/>
    <w:rsid w:val="00EC0864"/>
    <w:rsid w:val="00EC0902"/>
    <w:rsid w:val="00EC1A3E"/>
    <w:rsid w:val="00EC1E4D"/>
    <w:rsid w:val="00EC1F22"/>
    <w:rsid w:val="00EC1F5D"/>
    <w:rsid w:val="00EC22B6"/>
    <w:rsid w:val="00EC2562"/>
    <w:rsid w:val="00EC2727"/>
    <w:rsid w:val="00EC29C1"/>
    <w:rsid w:val="00EC2F7F"/>
    <w:rsid w:val="00EC30AC"/>
    <w:rsid w:val="00EC37B3"/>
    <w:rsid w:val="00EC39AE"/>
    <w:rsid w:val="00EC39CA"/>
    <w:rsid w:val="00EC40D3"/>
    <w:rsid w:val="00EC45D4"/>
    <w:rsid w:val="00EC49B0"/>
    <w:rsid w:val="00EC4AB9"/>
    <w:rsid w:val="00EC4EAA"/>
    <w:rsid w:val="00EC50E8"/>
    <w:rsid w:val="00EC5306"/>
    <w:rsid w:val="00EC5C45"/>
    <w:rsid w:val="00EC5EF2"/>
    <w:rsid w:val="00EC624F"/>
    <w:rsid w:val="00EC666B"/>
    <w:rsid w:val="00EC686E"/>
    <w:rsid w:val="00EC6A16"/>
    <w:rsid w:val="00EC6A7A"/>
    <w:rsid w:val="00EC6C8B"/>
    <w:rsid w:val="00EC7540"/>
    <w:rsid w:val="00EC7C82"/>
    <w:rsid w:val="00EC7FCC"/>
    <w:rsid w:val="00ED1031"/>
    <w:rsid w:val="00ED1221"/>
    <w:rsid w:val="00ED14CB"/>
    <w:rsid w:val="00ED15D9"/>
    <w:rsid w:val="00ED17AE"/>
    <w:rsid w:val="00ED19F5"/>
    <w:rsid w:val="00ED1A07"/>
    <w:rsid w:val="00ED1C64"/>
    <w:rsid w:val="00ED226F"/>
    <w:rsid w:val="00ED2A81"/>
    <w:rsid w:val="00ED2A88"/>
    <w:rsid w:val="00ED2B11"/>
    <w:rsid w:val="00ED34F2"/>
    <w:rsid w:val="00ED380C"/>
    <w:rsid w:val="00ED3821"/>
    <w:rsid w:val="00ED3E59"/>
    <w:rsid w:val="00ED3F4C"/>
    <w:rsid w:val="00ED4319"/>
    <w:rsid w:val="00ED47B8"/>
    <w:rsid w:val="00ED48B8"/>
    <w:rsid w:val="00ED4EC6"/>
    <w:rsid w:val="00ED564F"/>
    <w:rsid w:val="00ED5AC1"/>
    <w:rsid w:val="00ED5E75"/>
    <w:rsid w:val="00ED66B5"/>
    <w:rsid w:val="00ED6BA8"/>
    <w:rsid w:val="00ED6D08"/>
    <w:rsid w:val="00ED6EAB"/>
    <w:rsid w:val="00ED6F93"/>
    <w:rsid w:val="00ED737E"/>
    <w:rsid w:val="00ED7703"/>
    <w:rsid w:val="00ED7E23"/>
    <w:rsid w:val="00EE036A"/>
    <w:rsid w:val="00EE0428"/>
    <w:rsid w:val="00EE047D"/>
    <w:rsid w:val="00EE06C0"/>
    <w:rsid w:val="00EE0ED4"/>
    <w:rsid w:val="00EE0F94"/>
    <w:rsid w:val="00EE15DF"/>
    <w:rsid w:val="00EE16D3"/>
    <w:rsid w:val="00EE186D"/>
    <w:rsid w:val="00EE1BC8"/>
    <w:rsid w:val="00EE1F33"/>
    <w:rsid w:val="00EE1F80"/>
    <w:rsid w:val="00EE2A94"/>
    <w:rsid w:val="00EE2AD3"/>
    <w:rsid w:val="00EE325C"/>
    <w:rsid w:val="00EE332A"/>
    <w:rsid w:val="00EE3578"/>
    <w:rsid w:val="00EE3A49"/>
    <w:rsid w:val="00EE3D54"/>
    <w:rsid w:val="00EE3E19"/>
    <w:rsid w:val="00EE4440"/>
    <w:rsid w:val="00EE523B"/>
    <w:rsid w:val="00EE5E11"/>
    <w:rsid w:val="00EE5F8D"/>
    <w:rsid w:val="00EE5FF9"/>
    <w:rsid w:val="00EE6225"/>
    <w:rsid w:val="00EE6903"/>
    <w:rsid w:val="00EE6917"/>
    <w:rsid w:val="00EE6CA4"/>
    <w:rsid w:val="00EE6DE7"/>
    <w:rsid w:val="00EE74D3"/>
    <w:rsid w:val="00EE74E3"/>
    <w:rsid w:val="00EE760B"/>
    <w:rsid w:val="00EE7757"/>
    <w:rsid w:val="00EE7784"/>
    <w:rsid w:val="00EE77FE"/>
    <w:rsid w:val="00EE7D66"/>
    <w:rsid w:val="00EE7F39"/>
    <w:rsid w:val="00EF06A9"/>
    <w:rsid w:val="00EF095C"/>
    <w:rsid w:val="00EF0CE7"/>
    <w:rsid w:val="00EF149D"/>
    <w:rsid w:val="00EF1A67"/>
    <w:rsid w:val="00EF1BA6"/>
    <w:rsid w:val="00EF1EC1"/>
    <w:rsid w:val="00EF2434"/>
    <w:rsid w:val="00EF2781"/>
    <w:rsid w:val="00EF2903"/>
    <w:rsid w:val="00EF2B8D"/>
    <w:rsid w:val="00EF2F5C"/>
    <w:rsid w:val="00EF3230"/>
    <w:rsid w:val="00EF348D"/>
    <w:rsid w:val="00EF34DF"/>
    <w:rsid w:val="00EF37AA"/>
    <w:rsid w:val="00EF3882"/>
    <w:rsid w:val="00EF3CE0"/>
    <w:rsid w:val="00EF4189"/>
    <w:rsid w:val="00EF424F"/>
    <w:rsid w:val="00EF46D5"/>
    <w:rsid w:val="00EF47D6"/>
    <w:rsid w:val="00EF4D6C"/>
    <w:rsid w:val="00EF5095"/>
    <w:rsid w:val="00EF5382"/>
    <w:rsid w:val="00EF5D27"/>
    <w:rsid w:val="00EF5DFD"/>
    <w:rsid w:val="00EF6712"/>
    <w:rsid w:val="00EF6889"/>
    <w:rsid w:val="00EF6AC0"/>
    <w:rsid w:val="00EF6BD5"/>
    <w:rsid w:val="00EF6D92"/>
    <w:rsid w:val="00EF763C"/>
    <w:rsid w:val="00EF775F"/>
    <w:rsid w:val="00EF7AF4"/>
    <w:rsid w:val="00EF7D02"/>
    <w:rsid w:val="00EF7EE6"/>
    <w:rsid w:val="00F0002B"/>
    <w:rsid w:val="00F00836"/>
    <w:rsid w:val="00F00C8F"/>
    <w:rsid w:val="00F00EC4"/>
    <w:rsid w:val="00F01002"/>
    <w:rsid w:val="00F01253"/>
    <w:rsid w:val="00F012C3"/>
    <w:rsid w:val="00F01C89"/>
    <w:rsid w:val="00F01F3E"/>
    <w:rsid w:val="00F01F5D"/>
    <w:rsid w:val="00F02047"/>
    <w:rsid w:val="00F02464"/>
    <w:rsid w:val="00F0248E"/>
    <w:rsid w:val="00F024D9"/>
    <w:rsid w:val="00F02E8E"/>
    <w:rsid w:val="00F03A66"/>
    <w:rsid w:val="00F04279"/>
    <w:rsid w:val="00F04393"/>
    <w:rsid w:val="00F049A3"/>
    <w:rsid w:val="00F04C11"/>
    <w:rsid w:val="00F04D71"/>
    <w:rsid w:val="00F04D76"/>
    <w:rsid w:val="00F04D7C"/>
    <w:rsid w:val="00F05288"/>
    <w:rsid w:val="00F059EB"/>
    <w:rsid w:val="00F05B50"/>
    <w:rsid w:val="00F05EC4"/>
    <w:rsid w:val="00F064BD"/>
    <w:rsid w:val="00F06562"/>
    <w:rsid w:val="00F067E8"/>
    <w:rsid w:val="00F067F8"/>
    <w:rsid w:val="00F06CC5"/>
    <w:rsid w:val="00F076D5"/>
    <w:rsid w:val="00F079D8"/>
    <w:rsid w:val="00F07D18"/>
    <w:rsid w:val="00F10461"/>
    <w:rsid w:val="00F10544"/>
    <w:rsid w:val="00F1129E"/>
    <w:rsid w:val="00F1154E"/>
    <w:rsid w:val="00F118DB"/>
    <w:rsid w:val="00F12350"/>
    <w:rsid w:val="00F1249C"/>
    <w:rsid w:val="00F12959"/>
    <w:rsid w:val="00F12A56"/>
    <w:rsid w:val="00F12D33"/>
    <w:rsid w:val="00F1306A"/>
    <w:rsid w:val="00F13854"/>
    <w:rsid w:val="00F13DCA"/>
    <w:rsid w:val="00F1472C"/>
    <w:rsid w:val="00F1487C"/>
    <w:rsid w:val="00F14974"/>
    <w:rsid w:val="00F14AB2"/>
    <w:rsid w:val="00F14AEF"/>
    <w:rsid w:val="00F14F69"/>
    <w:rsid w:val="00F14F79"/>
    <w:rsid w:val="00F14FAE"/>
    <w:rsid w:val="00F1509E"/>
    <w:rsid w:val="00F155B8"/>
    <w:rsid w:val="00F15761"/>
    <w:rsid w:val="00F15788"/>
    <w:rsid w:val="00F15AB0"/>
    <w:rsid w:val="00F160F6"/>
    <w:rsid w:val="00F16C0B"/>
    <w:rsid w:val="00F1781A"/>
    <w:rsid w:val="00F17FA1"/>
    <w:rsid w:val="00F20383"/>
    <w:rsid w:val="00F207F4"/>
    <w:rsid w:val="00F2080A"/>
    <w:rsid w:val="00F20CB4"/>
    <w:rsid w:val="00F20D4C"/>
    <w:rsid w:val="00F20D7A"/>
    <w:rsid w:val="00F20F90"/>
    <w:rsid w:val="00F20F9A"/>
    <w:rsid w:val="00F210DB"/>
    <w:rsid w:val="00F2121D"/>
    <w:rsid w:val="00F21540"/>
    <w:rsid w:val="00F21EBF"/>
    <w:rsid w:val="00F22D25"/>
    <w:rsid w:val="00F235F5"/>
    <w:rsid w:val="00F23A2F"/>
    <w:rsid w:val="00F23A7F"/>
    <w:rsid w:val="00F23D4A"/>
    <w:rsid w:val="00F24214"/>
    <w:rsid w:val="00F24349"/>
    <w:rsid w:val="00F243D7"/>
    <w:rsid w:val="00F24EC7"/>
    <w:rsid w:val="00F25327"/>
    <w:rsid w:val="00F25346"/>
    <w:rsid w:val="00F253C7"/>
    <w:rsid w:val="00F2575C"/>
    <w:rsid w:val="00F2586A"/>
    <w:rsid w:val="00F26831"/>
    <w:rsid w:val="00F26D46"/>
    <w:rsid w:val="00F26F1F"/>
    <w:rsid w:val="00F277FB"/>
    <w:rsid w:val="00F30091"/>
    <w:rsid w:val="00F302D4"/>
    <w:rsid w:val="00F30403"/>
    <w:rsid w:val="00F30916"/>
    <w:rsid w:val="00F31389"/>
    <w:rsid w:val="00F3163B"/>
    <w:rsid w:val="00F31892"/>
    <w:rsid w:val="00F31928"/>
    <w:rsid w:val="00F31CBD"/>
    <w:rsid w:val="00F31D13"/>
    <w:rsid w:val="00F32200"/>
    <w:rsid w:val="00F32483"/>
    <w:rsid w:val="00F326FA"/>
    <w:rsid w:val="00F32705"/>
    <w:rsid w:val="00F328AA"/>
    <w:rsid w:val="00F33501"/>
    <w:rsid w:val="00F3407C"/>
    <w:rsid w:val="00F34289"/>
    <w:rsid w:val="00F34CCA"/>
    <w:rsid w:val="00F35323"/>
    <w:rsid w:val="00F35331"/>
    <w:rsid w:val="00F35426"/>
    <w:rsid w:val="00F36209"/>
    <w:rsid w:val="00F3634D"/>
    <w:rsid w:val="00F36DCA"/>
    <w:rsid w:val="00F37430"/>
    <w:rsid w:val="00F37909"/>
    <w:rsid w:val="00F37A49"/>
    <w:rsid w:val="00F41337"/>
    <w:rsid w:val="00F41BF6"/>
    <w:rsid w:val="00F422B4"/>
    <w:rsid w:val="00F4274A"/>
    <w:rsid w:val="00F427EC"/>
    <w:rsid w:val="00F4283F"/>
    <w:rsid w:val="00F42B76"/>
    <w:rsid w:val="00F42BFA"/>
    <w:rsid w:val="00F430C2"/>
    <w:rsid w:val="00F4312F"/>
    <w:rsid w:val="00F43AB6"/>
    <w:rsid w:val="00F44376"/>
    <w:rsid w:val="00F44595"/>
    <w:rsid w:val="00F44728"/>
    <w:rsid w:val="00F44856"/>
    <w:rsid w:val="00F44A0E"/>
    <w:rsid w:val="00F44CEF"/>
    <w:rsid w:val="00F44E89"/>
    <w:rsid w:val="00F45591"/>
    <w:rsid w:val="00F457D1"/>
    <w:rsid w:val="00F46F1C"/>
    <w:rsid w:val="00F47AC6"/>
    <w:rsid w:val="00F47AF6"/>
    <w:rsid w:val="00F501CC"/>
    <w:rsid w:val="00F506B1"/>
    <w:rsid w:val="00F5081E"/>
    <w:rsid w:val="00F50837"/>
    <w:rsid w:val="00F50C40"/>
    <w:rsid w:val="00F50C6E"/>
    <w:rsid w:val="00F5201E"/>
    <w:rsid w:val="00F529E7"/>
    <w:rsid w:val="00F52A57"/>
    <w:rsid w:val="00F52C5A"/>
    <w:rsid w:val="00F52E36"/>
    <w:rsid w:val="00F53177"/>
    <w:rsid w:val="00F53275"/>
    <w:rsid w:val="00F533A2"/>
    <w:rsid w:val="00F53428"/>
    <w:rsid w:val="00F538CB"/>
    <w:rsid w:val="00F53A87"/>
    <w:rsid w:val="00F53DAD"/>
    <w:rsid w:val="00F5455F"/>
    <w:rsid w:val="00F54592"/>
    <w:rsid w:val="00F55911"/>
    <w:rsid w:val="00F55D38"/>
    <w:rsid w:val="00F55F0F"/>
    <w:rsid w:val="00F55F3D"/>
    <w:rsid w:val="00F55FE6"/>
    <w:rsid w:val="00F568EC"/>
    <w:rsid w:val="00F57652"/>
    <w:rsid w:val="00F57705"/>
    <w:rsid w:val="00F57CC0"/>
    <w:rsid w:val="00F61165"/>
    <w:rsid w:val="00F613F8"/>
    <w:rsid w:val="00F61A57"/>
    <w:rsid w:val="00F61D32"/>
    <w:rsid w:val="00F61EEE"/>
    <w:rsid w:val="00F61F09"/>
    <w:rsid w:val="00F62A9E"/>
    <w:rsid w:val="00F62D3F"/>
    <w:rsid w:val="00F62D58"/>
    <w:rsid w:val="00F62E67"/>
    <w:rsid w:val="00F62F58"/>
    <w:rsid w:val="00F6314D"/>
    <w:rsid w:val="00F63447"/>
    <w:rsid w:val="00F636C1"/>
    <w:rsid w:val="00F6373B"/>
    <w:rsid w:val="00F6386F"/>
    <w:rsid w:val="00F6396F"/>
    <w:rsid w:val="00F63C45"/>
    <w:rsid w:val="00F6423A"/>
    <w:rsid w:val="00F64486"/>
    <w:rsid w:val="00F646FE"/>
    <w:rsid w:val="00F647F0"/>
    <w:rsid w:val="00F65810"/>
    <w:rsid w:val="00F65915"/>
    <w:rsid w:val="00F65B99"/>
    <w:rsid w:val="00F65DB2"/>
    <w:rsid w:val="00F65F1E"/>
    <w:rsid w:val="00F66B91"/>
    <w:rsid w:val="00F66FCF"/>
    <w:rsid w:val="00F674B2"/>
    <w:rsid w:val="00F67CFF"/>
    <w:rsid w:val="00F67FA9"/>
    <w:rsid w:val="00F7015B"/>
    <w:rsid w:val="00F7030D"/>
    <w:rsid w:val="00F70BD0"/>
    <w:rsid w:val="00F70C33"/>
    <w:rsid w:val="00F70E32"/>
    <w:rsid w:val="00F71F57"/>
    <w:rsid w:val="00F72530"/>
    <w:rsid w:val="00F72873"/>
    <w:rsid w:val="00F72C43"/>
    <w:rsid w:val="00F734CF"/>
    <w:rsid w:val="00F73AF5"/>
    <w:rsid w:val="00F73CB7"/>
    <w:rsid w:val="00F746F2"/>
    <w:rsid w:val="00F74B02"/>
    <w:rsid w:val="00F74DC1"/>
    <w:rsid w:val="00F74F5E"/>
    <w:rsid w:val="00F75300"/>
    <w:rsid w:val="00F75B2E"/>
    <w:rsid w:val="00F75BB1"/>
    <w:rsid w:val="00F76511"/>
    <w:rsid w:val="00F7660B"/>
    <w:rsid w:val="00F76A84"/>
    <w:rsid w:val="00F76C7E"/>
    <w:rsid w:val="00F76D19"/>
    <w:rsid w:val="00F76E72"/>
    <w:rsid w:val="00F77155"/>
    <w:rsid w:val="00F77890"/>
    <w:rsid w:val="00F77C95"/>
    <w:rsid w:val="00F800EB"/>
    <w:rsid w:val="00F80234"/>
    <w:rsid w:val="00F80306"/>
    <w:rsid w:val="00F808C2"/>
    <w:rsid w:val="00F80BE8"/>
    <w:rsid w:val="00F80C38"/>
    <w:rsid w:val="00F80D9B"/>
    <w:rsid w:val="00F81385"/>
    <w:rsid w:val="00F8156C"/>
    <w:rsid w:val="00F826E4"/>
    <w:rsid w:val="00F8294C"/>
    <w:rsid w:val="00F82EB3"/>
    <w:rsid w:val="00F833ED"/>
    <w:rsid w:val="00F83611"/>
    <w:rsid w:val="00F83982"/>
    <w:rsid w:val="00F83C82"/>
    <w:rsid w:val="00F8443F"/>
    <w:rsid w:val="00F844D2"/>
    <w:rsid w:val="00F84769"/>
    <w:rsid w:val="00F856D0"/>
    <w:rsid w:val="00F85A91"/>
    <w:rsid w:val="00F85B6F"/>
    <w:rsid w:val="00F85DDE"/>
    <w:rsid w:val="00F863F9"/>
    <w:rsid w:val="00F867B1"/>
    <w:rsid w:val="00F86F6D"/>
    <w:rsid w:val="00F87847"/>
    <w:rsid w:val="00F879F2"/>
    <w:rsid w:val="00F90301"/>
    <w:rsid w:val="00F905B3"/>
    <w:rsid w:val="00F905FF"/>
    <w:rsid w:val="00F90749"/>
    <w:rsid w:val="00F9097B"/>
    <w:rsid w:val="00F9098D"/>
    <w:rsid w:val="00F90F0C"/>
    <w:rsid w:val="00F91301"/>
    <w:rsid w:val="00F91339"/>
    <w:rsid w:val="00F91359"/>
    <w:rsid w:val="00F91386"/>
    <w:rsid w:val="00F91420"/>
    <w:rsid w:val="00F91E08"/>
    <w:rsid w:val="00F92293"/>
    <w:rsid w:val="00F92DD3"/>
    <w:rsid w:val="00F930F4"/>
    <w:rsid w:val="00F93C70"/>
    <w:rsid w:val="00F93E07"/>
    <w:rsid w:val="00F941A5"/>
    <w:rsid w:val="00F94B3D"/>
    <w:rsid w:val="00F94EEF"/>
    <w:rsid w:val="00F94FC0"/>
    <w:rsid w:val="00F953D7"/>
    <w:rsid w:val="00F95597"/>
    <w:rsid w:val="00F959A0"/>
    <w:rsid w:val="00F95A31"/>
    <w:rsid w:val="00F95C63"/>
    <w:rsid w:val="00F96028"/>
    <w:rsid w:val="00F960F4"/>
    <w:rsid w:val="00F96A8A"/>
    <w:rsid w:val="00F973BE"/>
    <w:rsid w:val="00F975F0"/>
    <w:rsid w:val="00F97848"/>
    <w:rsid w:val="00F97A13"/>
    <w:rsid w:val="00FA0046"/>
    <w:rsid w:val="00FA02F3"/>
    <w:rsid w:val="00FA08A8"/>
    <w:rsid w:val="00FA0B99"/>
    <w:rsid w:val="00FA0E73"/>
    <w:rsid w:val="00FA1695"/>
    <w:rsid w:val="00FA1BD4"/>
    <w:rsid w:val="00FA2380"/>
    <w:rsid w:val="00FA241B"/>
    <w:rsid w:val="00FA2B88"/>
    <w:rsid w:val="00FA2BAF"/>
    <w:rsid w:val="00FA2DFF"/>
    <w:rsid w:val="00FA2EB9"/>
    <w:rsid w:val="00FA2EC3"/>
    <w:rsid w:val="00FA3026"/>
    <w:rsid w:val="00FA3171"/>
    <w:rsid w:val="00FA38FD"/>
    <w:rsid w:val="00FA3C2B"/>
    <w:rsid w:val="00FA4439"/>
    <w:rsid w:val="00FA484C"/>
    <w:rsid w:val="00FA48FC"/>
    <w:rsid w:val="00FA4933"/>
    <w:rsid w:val="00FA4CCB"/>
    <w:rsid w:val="00FA4E36"/>
    <w:rsid w:val="00FA502F"/>
    <w:rsid w:val="00FA5079"/>
    <w:rsid w:val="00FA50F6"/>
    <w:rsid w:val="00FA53B1"/>
    <w:rsid w:val="00FA544A"/>
    <w:rsid w:val="00FA5587"/>
    <w:rsid w:val="00FA5C6E"/>
    <w:rsid w:val="00FA5EE6"/>
    <w:rsid w:val="00FA6C8F"/>
    <w:rsid w:val="00FA6CC7"/>
    <w:rsid w:val="00FA6E85"/>
    <w:rsid w:val="00FA723A"/>
    <w:rsid w:val="00FA74F3"/>
    <w:rsid w:val="00FA77D8"/>
    <w:rsid w:val="00FA7EEA"/>
    <w:rsid w:val="00FB0A65"/>
    <w:rsid w:val="00FB0C66"/>
    <w:rsid w:val="00FB0F15"/>
    <w:rsid w:val="00FB1A69"/>
    <w:rsid w:val="00FB1DF2"/>
    <w:rsid w:val="00FB20F0"/>
    <w:rsid w:val="00FB2144"/>
    <w:rsid w:val="00FB23B0"/>
    <w:rsid w:val="00FB3130"/>
    <w:rsid w:val="00FB3DB3"/>
    <w:rsid w:val="00FB3F55"/>
    <w:rsid w:val="00FB42E8"/>
    <w:rsid w:val="00FB49C5"/>
    <w:rsid w:val="00FB4DEC"/>
    <w:rsid w:val="00FB5919"/>
    <w:rsid w:val="00FB5E32"/>
    <w:rsid w:val="00FB6018"/>
    <w:rsid w:val="00FB61EF"/>
    <w:rsid w:val="00FB68DC"/>
    <w:rsid w:val="00FB6AA4"/>
    <w:rsid w:val="00FB6D4A"/>
    <w:rsid w:val="00FB721F"/>
    <w:rsid w:val="00FB78C7"/>
    <w:rsid w:val="00FB7AB4"/>
    <w:rsid w:val="00FB7DB8"/>
    <w:rsid w:val="00FB7EFF"/>
    <w:rsid w:val="00FC002D"/>
    <w:rsid w:val="00FC0462"/>
    <w:rsid w:val="00FC08BA"/>
    <w:rsid w:val="00FC0AB6"/>
    <w:rsid w:val="00FC12CC"/>
    <w:rsid w:val="00FC135F"/>
    <w:rsid w:val="00FC13ED"/>
    <w:rsid w:val="00FC1613"/>
    <w:rsid w:val="00FC1B60"/>
    <w:rsid w:val="00FC2B36"/>
    <w:rsid w:val="00FC2C57"/>
    <w:rsid w:val="00FC39DF"/>
    <w:rsid w:val="00FC3CF5"/>
    <w:rsid w:val="00FC448E"/>
    <w:rsid w:val="00FC4CFD"/>
    <w:rsid w:val="00FC51E8"/>
    <w:rsid w:val="00FC5216"/>
    <w:rsid w:val="00FC54B6"/>
    <w:rsid w:val="00FC6F18"/>
    <w:rsid w:val="00FC7135"/>
    <w:rsid w:val="00FD0D6D"/>
    <w:rsid w:val="00FD14D4"/>
    <w:rsid w:val="00FD182C"/>
    <w:rsid w:val="00FD23B5"/>
    <w:rsid w:val="00FD2891"/>
    <w:rsid w:val="00FD3057"/>
    <w:rsid w:val="00FD41F7"/>
    <w:rsid w:val="00FD4602"/>
    <w:rsid w:val="00FD472B"/>
    <w:rsid w:val="00FD4E07"/>
    <w:rsid w:val="00FD508D"/>
    <w:rsid w:val="00FD588F"/>
    <w:rsid w:val="00FD5B64"/>
    <w:rsid w:val="00FD5BD3"/>
    <w:rsid w:val="00FD677D"/>
    <w:rsid w:val="00FD678D"/>
    <w:rsid w:val="00FD67A5"/>
    <w:rsid w:val="00FD6A6D"/>
    <w:rsid w:val="00FD6AA3"/>
    <w:rsid w:val="00FD6B70"/>
    <w:rsid w:val="00FD6FE1"/>
    <w:rsid w:val="00FD7944"/>
    <w:rsid w:val="00FE0037"/>
    <w:rsid w:val="00FE004B"/>
    <w:rsid w:val="00FE05A2"/>
    <w:rsid w:val="00FE076A"/>
    <w:rsid w:val="00FE0E87"/>
    <w:rsid w:val="00FE110F"/>
    <w:rsid w:val="00FE12AF"/>
    <w:rsid w:val="00FE168A"/>
    <w:rsid w:val="00FE1A0F"/>
    <w:rsid w:val="00FE2554"/>
    <w:rsid w:val="00FE2B3C"/>
    <w:rsid w:val="00FE3280"/>
    <w:rsid w:val="00FE363F"/>
    <w:rsid w:val="00FE3BDC"/>
    <w:rsid w:val="00FE40A2"/>
    <w:rsid w:val="00FE40EF"/>
    <w:rsid w:val="00FE426C"/>
    <w:rsid w:val="00FE429C"/>
    <w:rsid w:val="00FE4570"/>
    <w:rsid w:val="00FE4899"/>
    <w:rsid w:val="00FE4B6F"/>
    <w:rsid w:val="00FE5081"/>
    <w:rsid w:val="00FE52B5"/>
    <w:rsid w:val="00FE5E9A"/>
    <w:rsid w:val="00FE5FDF"/>
    <w:rsid w:val="00FE61B1"/>
    <w:rsid w:val="00FE6887"/>
    <w:rsid w:val="00FE6E99"/>
    <w:rsid w:val="00FE6FE7"/>
    <w:rsid w:val="00FE7135"/>
    <w:rsid w:val="00FE729B"/>
    <w:rsid w:val="00FE748A"/>
    <w:rsid w:val="00FE7748"/>
    <w:rsid w:val="00FE7824"/>
    <w:rsid w:val="00FE7868"/>
    <w:rsid w:val="00FE79E2"/>
    <w:rsid w:val="00FF056A"/>
    <w:rsid w:val="00FF0A9F"/>
    <w:rsid w:val="00FF1331"/>
    <w:rsid w:val="00FF14A2"/>
    <w:rsid w:val="00FF15B0"/>
    <w:rsid w:val="00FF1907"/>
    <w:rsid w:val="00FF1B77"/>
    <w:rsid w:val="00FF2461"/>
    <w:rsid w:val="00FF2595"/>
    <w:rsid w:val="00FF26F4"/>
    <w:rsid w:val="00FF27CD"/>
    <w:rsid w:val="00FF2A6B"/>
    <w:rsid w:val="00FF371D"/>
    <w:rsid w:val="00FF3FB1"/>
    <w:rsid w:val="00FF496F"/>
    <w:rsid w:val="00FF49D6"/>
    <w:rsid w:val="00FF512D"/>
    <w:rsid w:val="00FF57B2"/>
    <w:rsid w:val="00FF5E58"/>
    <w:rsid w:val="00FF62C9"/>
    <w:rsid w:val="00FF6704"/>
    <w:rsid w:val="00FF6780"/>
    <w:rsid w:val="00FF7091"/>
    <w:rsid w:val="00FF70A7"/>
    <w:rsid w:val="00FF7DF9"/>
    <w:rsid w:val="0122BCB9"/>
    <w:rsid w:val="0197A01D"/>
    <w:rsid w:val="01B63AF7"/>
    <w:rsid w:val="01CC7390"/>
    <w:rsid w:val="020222AF"/>
    <w:rsid w:val="023C7E67"/>
    <w:rsid w:val="025123C4"/>
    <w:rsid w:val="02DA33DF"/>
    <w:rsid w:val="02FB8546"/>
    <w:rsid w:val="03560F63"/>
    <w:rsid w:val="037D4A77"/>
    <w:rsid w:val="03A3A5AA"/>
    <w:rsid w:val="040746F9"/>
    <w:rsid w:val="044A72C1"/>
    <w:rsid w:val="0549379E"/>
    <w:rsid w:val="0550A413"/>
    <w:rsid w:val="05740EFC"/>
    <w:rsid w:val="05F60703"/>
    <w:rsid w:val="05FF7338"/>
    <w:rsid w:val="07123B2C"/>
    <w:rsid w:val="0727BAE3"/>
    <w:rsid w:val="07DA7408"/>
    <w:rsid w:val="07EE9CBF"/>
    <w:rsid w:val="080D1659"/>
    <w:rsid w:val="085E8B7F"/>
    <w:rsid w:val="0882FCD4"/>
    <w:rsid w:val="08AF79F7"/>
    <w:rsid w:val="08BBCBA2"/>
    <w:rsid w:val="08CD2A81"/>
    <w:rsid w:val="08D5851C"/>
    <w:rsid w:val="09431C83"/>
    <w:rsid w:val="09B35B11"/>
    <w:rsid w:val="0A2D776A"/>
    <w:rsid w:val="0AA3D0AB"/>
    <w:rsid w:val="0AB811EA"/>
    <w:rsid w:val="0ADDA33A"/>
    <w:rsid w:val="0AF6F2FD"/>
    <w:rsid w:val="0B0FE675"/>
    <w:rsid w:val="0B53A785"/>
    <w:rsid w:val="0B5BEA68"/>
    <w:rsid w:val="0B9DB452"/>
    <w:rsid w:val="0BE17EC6"/>
    <w:rsid w:val="0C4E39FC"/>
    <w:rsid w:val="0CA52619"/>
    <w:rsid w:val="0CC0F3E8"/>
    <w:rsid w:val="0CF4BFE2"/>
    <w:rsid w:val="0D5E4D97"/>
    <w:rsid w:val="0DE3BEFA"/>
    <w:rsid w:val="0E3AB1D3"/>
    <w:rsid w:val="0E7B209E"/>
    <w:rsid w:val="0EA8AC39"/>
    <w:rsid w:val="0EB8E04B"/>
    <w:rsid w:val="0EE87A4C"/>
    <w:rsid w:val="0F1B6486"/>
    <w:rsid w:val="0F295892"/>
    <w:rsid w:val="0F799667"/>
    <w:rsid w:val="0FD50448"/>
    <w:rsid w:val="0FD9B0F8"/>
    <w:rsid w:val="102FDC50"/>
    <w:rsid w:val="103775DA"/>
    <w:rsid w:val="109FCED9"/>
    <w:rsid w:val="1168CF6F"/>
    <w:rsid w:val="11BA5936"/>
    <w:rsid w:val="12251AF7"/>
    <w:rsid w:val="122CA26D"/>
    <w:rsid w:val="124AC83A"/>
    <w:rsid w:val="133E70A4"/>
    <w:rsid w:val="134D50DF"/>
    <w:rsid w:val="137BBB87"/>
    <w:rsid w:val="1389B678"/>
    <w:rsid w:val="13EB243E"/>
    <w:rsid w:val="13FBD106"/>
    <w:rsid w:val="1455649C"/>
    <w:rsid w:val="158DA623"/>
    <w:rsid w:val="15A43E00"/>
    <w:rsid w:val="15CD93B5"/>
    <w:rsid w:val="16101056"/>
    <w:rsid w:val="16357C19"/>
    <w:rsid w:val="165B9B08"/>
    <w:rsid w:val="16CA7B79"/>
    <w:rsid w:val="17367918"/>
    <w:rsid w:val="173A8341"/>
    <w:rsid w:val="176BCF3B"/>
    <w:rsid w:val="1851A4F5"/>
    <w:rsid w:val="194B8DD3"/>
    <w:rsid w:val="195C10A3"/>
    <w:rsid w:val="1A7B0939"/>
    <w:rsid w:val="1AB0F08D"/>
    <w:rsid w:val="1B3BE153"/>
    <w:rsid w:val="1B815D58"/>
    <w:rsid w:val="1B85239E"/>
    <w:rsid w:val="1BE36B90"/>
    <w:rsid w:val="1C394F3F"/>
    <w:rsid w:val="1C74CE10"/>
    <w:rsid w:val="1DDD9BE2"/>
    <w:rsid w:val="1DEC3F6A"/>
    <w:rsid w:val="1E003B76"/>
    <w:rsid w:val="1E48DA75"/>
    <w:rsid w:val="1E594073"/>
    <w:rsid w:val="1E63168D"/>
    <w:rsid w:val="1E6C283E"/>
    <w:rsid w:val="1E8DC3AE"/>
    <w:rsid w:val="1F013A0B"/>
    <w:rsid w:val="1F575626"/>
    <w:rsid w:val="1F9AE822"/>
    <w:rsid w:val="1FDE8ED0"/>
    <w:rsid w:val="2063A5BD"/>
    <w:rsid w:val="2080F30F"/>
    <w:rsid w:val="20B33337"/>
    <w:rsid w:val="20E919E4"/>
    <w:rsid w:val="20FFA9CF"/>
    <w:rsid w:val="213B9308"/>
    <w:rsid w:val="214C0330"/>
    <w:rsid w:val="21A19F19"/>
    <w:rsid w:val="21B791CC"/>
    <w:rsid w:val="21F16D15"/>
    <w:rsid w:val="221440BE"/>
    <w:rsid w:val="222A229A"/>
    <w:rsid w:val="222CF203"/>
    <w:rsid w:val="2270C12F"/>
    <w:rsid w:val="2276EF17"/>
    <w:rsid w:val="22809003"/>
    <w:rsid w:val="22FFC0AB"/>
    <w:rsid w:val="2310948F"/>
    <w:rsid w:val="241F826A"/>
    <w:rsid w:val="2429A28E"/>
    <w:rsid w:val="24F96320"/>
    <w:rsid w:val="25F8B79F"/>
    <w:rsid w:val="2650F7AC"/>
    <w:rsid w:val="2658A77F"/>
    <w:rsid w:val="27366E0E"/>
    <w:rsid w:val="278AABA4"/>
    <w:rsid w:val="282FA9F9"/>
    <w:rsid w:val="28627803"/>
    <w:rsid w:val="288F4CF3"/>
    <w:rsid w:val="289915E4"/>
    <w:rsid w:val="28D2DE9E"/>
    <w:rsid w:val="29641553"/>
    <w:rsid w:val="2965C727"/>
    <w:rsid w:val="297258A6"/>
    <w:rsid w:val="299E26A4"/>
    <w:rsid w:val="29D91CC3"/>
    <w:rsid w:val="2A5B8CE1"/>
    <w:rsid w:val="2A939349"/>
    <w:rsid w:val="2AAF88F7"/>
    <w:rsid w:val="2AD09BFA"/>
    <w:rsid w:val="2AF37F49"/>
    <w:rsid w:val="2B1F818A"/>
    <w:rsid w:val="2B997B01"/>
    <w:rsid w:val="2BC71604"/>
    <w:rsid w:val="2BF3C0B6"/>
    <w:rsid w:val="2C401B38"/>
    <w:rsid w:val="2D3BB8A1"/>
    <w:rsid w:val="2D791EB2"/>
    <w:rsid w:val="2D835B1C"/>
    <w:rsid w:val="2D934378"/>
    <w:rsid w:val="2DBF777D"/>
    <w:rsid w:val="2DD41C4C"/>
    <w:rsid w:val="2E3B200A"/>
    <w:rsid w:val="2E417797"/>
    <w:rsid w:val="2E5603AE"/>
    <w:rsid w:val="2EA7A8C9"/>
    <w:rsid w:val="2EEA7E09"/>
    <w:rsid w:val="2EFF560E"/>
    <w:rsid w:val="2F58B3E4"/>
    <w:rsid w:val="2F7AD3C1"/>
    <w:rsid w:val="2F850167"/>
    <w:rsid w:val="2F994B25"/>
    <w:rsid w:val="30437F1A"/>
    <w:rsid w:val="304CB008"/>
    <w:rsid w:val="309AEE07"/>
    <w:rsid w:val="30F1AB04"/>
    <w:rsid w:val="3215864B"/>
    <w:rsid w:val="32425F1B"/>
    <w:rsid w:val="325F2DC8"/>
    <w:rsid w:val="3295CFEC"/>
    <w:rsid w:val="32C370ED"/>
    <w:rsid w:val="32C87AD8"/>
    <w:rsid w:val="32DA1C91"/>
    <w:rsid w:val="3321237C"/>
    <w:rsid w:val="337711A8"/>
    <w:rsid w:val="33923BFC"/>
    <w:rsid w:val="3407947A"/>
    <w:rsid w:val="3444D3B8"/>
    <w:rsid w:val="3452F8DD"/>
    <w:rsid w:val="346CE163"/>
    <w:rsid w:val="3481B8D4"/>
    <w:rsid w:val="34870CFD"/>
    <w:rsid w:val="34E18F8D"/>
    <w:rsid w:val="34FC8737"/>
    <w:rsid w:val="34FFE8C3"/>
    <w:rsid w:val="3512C048"/>
    <w:rsid w:val="35341543"/>
    <w:rsid w:val="35689614"/>
    <w:rsid w:val="35736DD5"/>
    <w:rsid w:val="35B89619"/>
    <w:rsid w:val="361567F4"/>
    <w:rsid w:val="3673E3F4"/>
    <w:rsid w:val="3763283C"/>
    <w:rsid w:val="377501D5"/>
    <w:rsid w:val="377FF780"/>
    <w:rsid w:val="38C7D833"/>
    <w:rsid w:val="3905F3A7"/>
    <w:rsid w:val="3950DA49"/>
    <w:rsid w:val="39EB0ED6"/>
    <w:rsid w:val="3A2028E8"/>
    <w:rsid w:val="3A286505"/>
    <w:rsid w:val="3A3EFB0A"/>
    <w:rsid w:val="3A488111"/>
    <w:rsid w:val="3A6D6573"/>
    <w:rsid w:val="3A87E111"/>
    <w:rsid w:val="3AA8114B"/>
    <w:rsid w:val="3AFBCFD2"/>
    <w:rsid w:val="3B075A16"/>
    <w:rsid w:val="3B631576"/>
    <w:rsid w:val="3B7DF91B"/>
    <w:rsid w:val="3B7E6440"/>
    <w:rsid w:val="3B984AB8"/>
    <w:rsid w:val="3BE5A0AC"/>
    <w:rsid w:val="3C3AB58E"/>
    <w:rsid w:val="3C824597"/>
    <w:rsid w:val="3D8BC3E8"/>
    <w:rsid w:val="3E0F85B7"/>
    <w:rsid w:val="3ECE1787"/>
    <w:rsid w:val="3EED9910"/>
    <w:rsid w:val="3F52E368"/>
    <w:rsid w:val="3F7EA5D0"/>
    <w:rsid w:val="3FD92AB4"/>
    <w:rsid w:val="40240B07"/>
    <w:rsid w:val="40A1CC13"/>
    <w:rsid w:val="415C2C96"/>
    <w:rsid w:val="41CBA04E"/>
    <w:rsid w:val="424F1A99"/>
    <w:rsid w:val="4250A602"/>
    <w:rsid w:val="425CB2B0"/>
    <w:rsid w:val="427EAAEC"/>
    <w:rsid w:val="43782046"/>
    <w:rsid w:val="43CEB331"/>
    <w:rsid w:val="4432F657"/>
    <w:rsid w:val="443F08A0"/>
    <w:rsid w:val="44BABEE8"/>
    <w:rsid w:val="452FC17D"/>
    <w:rsid w:val="456BFB2B"/>
    <w:rsid w:val="460C63C7"/>
    <w:rsid w:val="4672186E"/>
    <w:rsid w:val="46A897DE"/>
    <w:rsid w:val="47682014"/>
    <w:rsid w:val="47CBDCC8"/>
    <w:rsid w:val="4802E2C9"/>
    <w:rsid w:val="48638F74"/>
    <w:rsid w:val="488EE638"/>
    <w:rsid w:val="48DBF9CF"/>
    <w:rsid w:val="492B72A8"/>
    <w:rsid w:val="494EBC33"/>
    <w:rsid w:val="495010C4"/>
    <w:rsid w:val="49547403"/>
    <w:rsid w:val="49DF241B"/>
    <w:rsid w:val="4A46C763"/>
    <w:rsid w:val="4A65E6F2"/>
    <w:rsid w:val="4C8C09D1"/>
    <w:rsid w:val="4CE872D0"/>
    <w:rsid w:val="4D0B3622"/>
    <w:rsid w:val="4D204E0A"/>
    <w:rsid w:val="4D3E7453"/>
    <w:rsid w:val="4DC7F7B2"/>
    <w:rsid w:val="4DD622C2"/>
    <w:rsid w:val="4DE8AAB1"/>
    <w:rsid w:val="4E375A89"/>
    <w:rsid w:val="4E6E2185"/>
    <w:rsid w:val="4E81B099"/>
    <w:rsid w:val="4F089828"/>
    <w:rsid w:val="4F4ED376"/>
    <w:rsid w:val="50574977"/>
    <w:rsid w:val="5114F511"/>
    <w:rsid w:val="513728C5"/>
    <w:rsid w:val="517BDECE"/>
    <w:rsid w:val="522BDA4A"/>
    <w:rsid w:val="5259737C"/>
    <w:rsid w:val="530B0505"/>
    <w:rsid w:val="5312919B"/>
    <w:rsid w:val="5325A579"/>
    <w:rsid w:val="53947315"/>
    <w:rsid w:val="53AF9167"/>
    <w:rsid w:val="54B1D2A7"/>
    <w:rsid w:val="556F3A19"/>
    <w:rsid w:val="55C601DA"/>
    <w:rsid w:val="56B2EC59"/>
    <w:rsid w:val="56B3FBBE"/>
    <w:rsid w:val="56CD286E"/>
    <w:rsid w:val="56FFE9C5"/>
    <w:rsid w:val="5731E08D"/>
    <w:rsid w:val="5736CE8D"/>
    <w:rsid w:val="57531A4C"/>
    <w:rsid w:val="578AF78E"/>
    <w:rsid w:val="579B2478"/>
    <w:rsid w:val="5840DC8E"/>
    <w:rsid w:val="58470B92"/>
    <w:rsid w:val="5858E3CE"/>
    <w:rsid w:val="58638370"/>
    <w:rsid w:val="587B3182"/>
    <w:rsid w:val="5894231E"/>
    <w:rsid w:val="58AB8768"/>
    <w:rsid w:val="58EB7E76"/>
    <w:rsid w:val="590F494C"/>
    <w:rsid w:val="5920C1E7"/>
    <w:rsid w:val="59451E5D"/>
    <w:rsid w:val="598B96A9"/>
    <w:rsid w:val="59AA8928"/>
    <w:rsid w:val="59CA19B4"/>
    <w:rsid w:val="5A8C57B8"/>
    <w:rsid w:val="5AA1D415"/>
    <w:rsid w:val="5ABC33F5"/>
    <w:rsid w:val="5AC7964E"/>
    <w:rsid w:val="5AE7BECB"/>
    <w:rsid w:val="5B29A0BE"/>
    <w:rsid w:val="5B3747CE"/>
    <w:rsid w:val="5B85710E"/>
    <w:rsid w:val="5BB282CB"/>
    <w:rsid w:val="5BC68D6A"/>
    <w:rsid w:val="5BEA180E"/>
    <w:rsid w:val="5C389D69"/>
    <w:rsid w:val="5CD881EF"/>
    <w:rsid w:val="5D0E429B"/>
    <w:rsid w:val="5D183D86"/>
    <w:rsid w:val="5DA25004"/>
    <w:rsid w:val="5ECA2D9E"/>
    <w:rsid w:val="5FE8C0A0"/>
    <w:rsid w:val="6047B7FC"/>
    <w:rsid w:val="60B9278A"/>
    <w:rsid w:val="611E4D03"/>
    <w:rsid w:val="615C2062"/>
    <w:rsid w:val="61D962EA"/>
    <w:rsid w:val="622B0F96"/>
    <w:rsid w:val="6234361E"/>
    <w:rsid w:val="627F9F6F"/>
    <w:rsid w:val="62B4C09E"/>
    <w:rsid w:val="632E6EB4"/>
    <w:rsid w:val="6461E3DE"/>
    <w:rsid w:val="646580EE"/>
    <w:rsid w:val="64A56FCC"/>
    <w:rsid w:val="64D099F4"/>
    <w:rsid w:val="64F00B6A"/>
    <w:rsid w:val="65869661"/>
    <w:rsid w:val="65B25F4A"/>
    <w:rsid w:val="65CED90F"/>
    <w:rsid w:val="6603F631"/>
    <w:rsid w:val="67598E78"/>
    <w:rsid w:val="677AEB79"/>
    <w:rsid w:val="681B15E7"/>
    <w:rsid w:val="68922A46"/>
    <w:rsid w:val="68AC4DED"/>
    <w:rsid w:val="68C76B4B"/>
    <w:rsid w:val="698795EB"/>
    <w:rsid w:val="6A0014CA"/>
    <w:rsid w:val="6A7A3F41"/>
    <w:rsid w:val="6AA6923C"/>
    <w:rsid w:val="6AAB2486"/>
    <w:rsid w:val="6AE3E48F"/>
    <w:rsid w:val="6B0F1714"/>
    <w:rsid w:val="6B447FD7"/>
    <w:rsid w:val="6C1EA896"/>
    <w:rsid w:val="6CAAD161"/>
    <w:rsid w:val="6D49537D"/>
    <w:rsid w:val="6D84136F"/>
    <w:rsid w:val="6E213381"/>
    <w:rsid w:val="6E511551"/>
    <w:rsid w:val="6F3E4A84"/>
    <w:rsid w:val="6F4DAD8D"/>
    <w:rsid w:val="6FA0E331"/>
    <w:rsid w:val="6FC8AAA8"/>
    <w:rsid w:val="7041A4EE"/>
    <w:rsid w:val="70B1EDDC"/>
    <w:rsid w:val="716FAF2D"/>
    <w:rsid w:val="717AEF9A"/>
    <w:rsid w:val="71CBC9BF"/>
    <w:rsid w:val="7222CD3E"/>
    <w:rsid w:val="7254F5FA"/>
    <w:rsid w:val="72FBAFEB"/>
    <w:rsid w:val="72FCC9B7"/>
    <w:rsid w:val="73501A1D"/>
    <w:rsid w:val="73D1D474"/>
    <w:rsid w:val="73FE6552"/>
    <w:rsid w:val="741A3541"/>
    <w:rsid w:val="7455876B"/>
    <w:rsid w:val="74BF8B00"/>
    <w:rsid w:val="7512FC06"/>
    <w:rsid w:val="752099AB"/>
    <w:rsid w:val="756BF168"/>
    <w:rsid w:val="75AE461E"/>
    <w:rsid w:val="75D6B82A"/>
    <w:rsid w:val="763C1912"/>
    <w:rsid w:val="764644E6"/>
    <w:rsid w:val="76AD01B2"/>
    <w:rsid w:val="76E4514C"/>
    <w:rsid w:val="77257579"/>
    <w:rsid w:val="77713E56"/>
    <w:rsid w:val="78430653"/>
    <w:rsid w:val="794532C9"/>
    <w:rsid w:val="79A96A1F"/>
    <w:rsid w:val="79DF7975"/>
    <w:rsid w:val="79F56A01"/>
    <w:rsid w:val="79F82E62"/>
    <w:rsid w:val="7A099FBA"/>
    <w:rsid w:val="7A346576"/>
    <w:rsid w:val="7B10AD41"/>
    <w:rsid w:val="7BBD6A84"/>
    <w:rsid w:val="7BF29BFF"/>
    <w:rsid w:val="7C0F370E"/>
    <w:rsid w:val="7C890D77"/>
    <w:rsid w:val="7CAA1A0B"/>
    <w:rsid w:val="7D6BD579"/>
    <w:rsid w:val="7DB96CB8"/>
    <w:rsid w:val="7DD70502"/>
    <w:rsid w:val="7DD76380"/>
    <w:rsid w:val="7ED1667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D0CF2"/>
  <w15:chartTrackingRefBased/>
  <w15:docId w15:val="{BDB32A5C-7486-492E-A17C-9DA20730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1D98"/>
    <w:pPr>
      <w:jc w:val="both"/>
    </w:pPr>
    <w:rPr>
      <w:sz w:val="24"/>
    </w:rPr>
  </w:style>
  <w:style w:type="paragraph" w:styleId="Nadpis1">
    <w:name w:val="heading 1"/>
    <w:basedOn w:val="Normln"/>
    <w:next w:val="Normln"/>
    <w:link w:val="Nadpis1Char"/>
    <w:uiPriority w:val="9"/>
    <w:qFormat/>
    <w:rsid w:val="00911445"/>
    <w:pPr>
      <w:keepNext/>
      <w:numPr>
        <w:numId w:val="4"/>
      </w:numPr>
      <w:overflowPunct w:val="0"/>
      <w:autoSpaceDE w:val="0"/>
      <w:autoSpaceDN w:val="0"/>
      <w:adjustRightInd w:val="0"/>
      <w:spacing w:before="480" w:after="120" w:line="240" w:lineRule="auto"/>
      <w:jc w:val="center"/>
      <w:textAlignment w:val="baseline"/>
      <w:outlineLvl w:val="0"/>
    </w:pPr>
    <w:rPr>
      <w:rFonts w:eastAsia="Times New Roman" w:cstheme="minorHAnsi"/>
      <w:b/>
      <w:color w:val="000000"/>
      <w:szCs w:val="20"/>
      <w:lang w:eastAsia="cs-CZ"/>
    </w:rPr>
  </w:style>
  <w:style w:type="paragraph" w:styleId="Nadpis2">
    <w:name w:val="heading 2"/>
    <w:basedOn w:val="Normln"/>
    <w:next w:val="Normln"/>
    <w:link w:val="Nadpis2Char"/>
    <w:uiPriority w:val="9"/>
    <w:unhideWhenUsed/>
    <w:qFormat/>
    <w:rsid w:val="00F2080A"/>
    <w:pPr>
      <w:keepNext/>
      <w:keepLines/>
      <w:numPr>
        <w:numId w:val="7"/>
      </w:numPr>
      <w:spacing w:before="40" w:after="120"/>
      <w:outlineLvl w:val="1"/>
    </w:pPr>
    <w:rPr>
      <w:rFonts w:eastAsiaTheme="majorEastAsia" w:cstheme="majorBidi"/>
      <w:b/>
      <w:szCs w:val="26"/>
      <w:lang w:eastAsia="cs-CZ"/>
    </w:rPr>
  </w:style>
  <w:style w:type="paragraph" w:styleId="Nadpis3">
    <w:name w:val="heading 3"/>
    <w:basedOn w:val="Normln"/>
    <w:next w:val="Normln"/>
    <w:link w:val="Nadpis3Char"/>
    <w:uiPriority w:val="9"/>
    <w:unhideWhenUsed/>
    <w:qFormat/>
    <w:rsid w:val="001974B0"/>
    <w:pPr>
      <w:keepNext/>
      <w:keepLines/>
      <w:numPr>
        <w:ilvl w:val="1"/>
        <w:numId w:val="7"/>
      </w:numPr>
      <w:spacing w:before="40" w:after="120" w:line="240" w:lineRule="auto"/>
      <w:ind w:left="720"/>
      <w:outlineLvl w:val="2"/>
    </w:pPr>
    <w:rPr>
      <w:rFonts w:eastAsiaTheme="majorEastAsia" w:cstheme="majorBidi"/>
      <w:b/>
      <w:bCs/>
      <w:color w:val="000000"/>
      <w:szCs w:val="24"/>
      <w:lang w:eastAsia="cs-CZ"/>
    </w:rPr>
  </w:style>
  <w:style w:type="paragraph" w:styleId="Nadpis4">
    <w:name w:val="heading 4"/>
    <w:basedOn w:val="Normln"/>
    <w:next w:val="Normln"/>
    <w:link w:val="Nadpis4Char"/>
    <w:uiPriority w:val="9"/>
    <w:unhideWhenUsed/>
    <w:qFormat/>
    <w:rsid w:val="00A1758E"/>
    <w:pPr>
      <w:keepNext/>
      <w:keepLines/>
      <w:spacing w:after="240" w:line="240" w:lineRule="auto"/>
      <w:ind w:left="862" w:hanging="862"/>
      <w:outlineLvl w:val="3"/>
    </w:pPr>
    <w:rPr>
      <w:rFonts w:eastAsiaTheme="majorEastAsia" w:cstheme="minorHAnsi"/>
      <w:b/>
      <w:iCs/>
      <w:color w:val="000000" w:themeColor="text1"/>
      <w:szCs w:val="24"/>
    </w:rPr>
  </w:style>
  <w:style w:type="paragraph" w:styleId="Nadpis5">
    <w:name w:val="heading 5"/>
    <w:basedOn w:val="Normln"/>
    <w:next w:val="Normln"/>
    <w:link w:val="Nadpis5Char"/>
    <w:uiPriority w:val="9"/>
    <w:semiHidden/>
    <w:unhideWhenUsed/>
    <w:qFormat/>
    <w:rsid w:val="00911445"/>
    <w:pPr>
      <w:keepNext/>
      <w:keepLines/>
      <w:numPr>
        <w:ilvl w:val="4"/>
        <w:numId w:val="4"/>
      </w:numPr>
      <w:spacing w:before="40" w:after="0" w:line="240" w:lineRule="auto"/>
      <w:outlineLvl w:val="4"/>
    </w:pPr>
    <w:rPr>
      <w:rFonts w:asciiTheme="majorHAnsi" w:eastAsiaTheme="majorEastAsia" w:hAnsiTheme="majorHAnsi" w:cstheme="majorBidi"/>
      <w:color w:val="2E74B5" w:themeColor="accent1" w:themeShade="BF"/>
      <w:szCs w:val="24"/>
    </w:rPr>
  </w:style>
  <w:style w:type="paragraph" w:styleId="Nadpis6">
    <w:name w:val="heading 6"/>
    <w:basedOn w:val="Normln"/>
    <w:next w:val="Normln"/>
    <w:link w:val="Nadpis6Char"/>
    <w:uiPriority w:val="9"/>
    <w:semiHidden/>
    <w:unhideWhenUsed/>
    <w:qFormat/>
    <w:rsid w:val="00911445"/>
    <w:pPr>
      <w:keepNext/>
      <w:keepLines/>
      <w:numPr>
        <w:ilvl w:val="5"/>
        <w:numId w:val="4"/>
      </w:numPr>
      <w:spacing w:before="40" w:after="0" w:line="240" w:lineRule="auto"/>
      <w:outlineLvl w:val="5"/>
    </w:pPr>
    <w:rPr>
      <w:rFonts w:asciiTheme="majorHAnsi" w:eastAsiaTheme="majorEastAsia" w:hAnsiTheme="majorHAnsi" w:cstheme="majorBidi"/>
      <w:color w:val="1F4D78" w:themeColor="accent1" w:themeShade="7F"/>
      <w:szCs w:val="24"/>
    </w:rPr>
  </w:style>
  <w:style w:type="paragraph" w:styleId="Nadpis7">
    <w:name w:val="heading 7"/>
    <w:basedOn w:val="Normln"/>
    <w:next w:val="Normln"/>
    <w:link w:val="Nadpis7Char"/>
    <w:uiPriority w:val="9"/>
    <w:semiHidden/>
    <w:unhideWhenUsed/>
    <w:qFormat/>
    <w:rsid w:val="00911445"/>
    <w:pPr>
      <w:keepNext/>
      <w:keepLines/>
      <w:numPr>
        <w:ilvl w:val="6"/>
        <w:numId w:val="4"/>
      </w:numPr>
      <w:spacing w:before="40" w:after="0" w:line="240" w:lineRule="auto"/>
      <w:outlineLvl w:val="6"/>
    </w:pPr>
    <w:rPr>
      <w:rFonts w:asciiTheme="majorHAnsi" w:eastAsiaTheme="majorEastAsia" w:hAnsiTheme="majorHAnsi" w:cstheme="majorBidi"/>
      <w:i/>
      <w:iCs/>
      <w:color w:val="1F4D78" w:themeColor="accent1" w:themeShade="7F"/>
      <w:szCs w:val="24"/>
    </w:rPr>
  </w:style>
  <w:style w:type="paragraph" w:styleId="Nadpis8">
    <w:name w:val="heading 8"/>
    <w:basedOn w:val="Normln"/>
    <w:next w:val="Normln"/>
    <w:link w:val="Nadpis8Char"/>
    <w:uiPriority w:val="9"/>
    <w:semiHidden/>
    <w:unhideWhenUsed/>
    <w:qFormat/>
    <w:rsid w:val="00911445"/>
    <w:pPr>
      <w:keepNext/>
      <w:keepLines/>
      <w:numPr>
        <w:ilvl w:val="7"/>
        <w:numId w:val="4"/>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11445"/>
    <w:pPr>
      <w:keepNext/>
      <w:keepLines/>
      <w:numPr>
        <w:ilvl w:val="8"/>
        <w:numId w:val="4"/>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1445"/>
    <w:rPr>
      <w:rFonts w:eastAsia="Times New Roman" w:cstheme="minorHAnsi"/>
      <w:b/>
      <w:color w:val="000000"/>
      <w:sz w:val="24"/>
      <w:szCs w:val="20"/>
      <w:lang w:eastAsia="cs-CZ"/>
    </w:rPr>
  </w:style>
  <w:style w:type="character" w:customStyle="1" w:styleId="Nadpis3Char">
    <w:name w:val="Nadpis 3 Char"/>
    <w:basedOn w:val="Standardnpsmoodstavce"/>
    <w:link w:val="Nadpis3"/>
    <w:uiPriority w:val="9"/>
    <w:rsid w:val="001974B0"/>
    <w:rPr>
      <w:rFonts w:eastAsiaTheme="majorEastAsia" w:cstheme="majorBidi"/>
      <w:b/>
      <w:bCs/>
      <w:color w:val="000000"/>
      <w:sz w:val="24"/>
      <w:szCs w:val="24"/>
      <w:lang w:eastAsia="cs-CZ"/>
    </w:rPr>
  </w:style>
  <w:style w:type="character" w:customStyle="1" w:styleId="Nadpis4Char">
    <w:name w:val="Nadpis 4 Char"/>
    <w:basedOn w:val="Standardnpsmoodstavce"/>
    <w:link w:val="Nadpis4"/>
    <w:uiPriority w:val="9"/>
    <w:rsid w:val="00A1758E"/>
    <w:rPr>
      <w:rFonts w:eastAsiaTheme="majorEastAsia" w:cstheme="minorHAnsi"/>
      <w:b/>
      <w:iCs/>
      <w:color w:val="000000" w:themeColor="text1"/>
      <w:sz w:val="24"/>
      <w:szCs w:val="24"/>
    </w:rPr>
  </w:style>
  <w:style w:type="character" w:customStyle="1" w:styleId="Nadpis5Char">
    <w:name w:val="Nadpis 5 Char"/>
    <w:basedOn w:val="Standardnpsmoodstavce"/>
    <w:link w:val="Nadpis5"/>
    <w:uiPriority w:val="9"/>
    <w:semiHidden/>
    <w:rsid w:val="00911445"/>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sid w:val="00911445"/>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911445"/>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91144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11445"/>
    <w:rPr>
      <w:rFonts w:asciiTheme="majorHAnsi" w:eastAsiaTheme="majorEastAsia" w:hAnsiTheme="majorHAnsi" w:cstheme="majorBidi"/>
      <w:i/>
      <w:iCs/>
      <w:color w:val="272727" w:themeColor="text1" w:themeTint="D8"/>
      <w:sz w:val="21"/>
      <w:szCs w:val="21"/>
    </w:rPr>
  </w:style>
  <w:style w:type="paragraph" w:styleId="Textpoznpodarou">
    <w:name w:val="footnote text"/>
    <w:aliases w:val="Text pozn. pod čarou Char Char,Text pozn. pod čarou Char Char Char Char,Text pozn. pod čarou Char1,Text pozn. pod čarou Char1 Char Char,Text pozn. pod čarou Char1 Char Char Char Char,poznamky_pod_carou,studie-poznámka pod čarou,Char"/>
    <w:basedOn w:val="Normln"/>
    <w:link w:val="TextpoznpodarouChar"/>
    <w:uiPriority w:val="99"/>
    <w:unhideWhenUsed/>
    <w:qFormat/>
    <w:rsid w:val="004058E2"/>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aliases w:val="Text pozn. pod čarou Char Char Char,Text pozn. pod čarou Char Char Char Char Char,Text pozn. pod čarou Char1 Char,Text pozn. pod čarou Char1 Char Char Char,Text pozn. pod čarou Char1 Char Char Char Char Char,Char Char"/>
    <w:basedOn w:val="Standardnpsmoodstavce"/>
    <w:link w:val="Textpoznpodarou"/>
    <w:uiPriority w:val="99"/>
    <w:qFormat/>
    <w:rsid w:val="004058E2"/>
    <w:rPr>
      <w:rFonts w:ascii="Times New Roman" w:eastAsia="Times New Roman" w:hAnsi="Times New Roman" w:cs="Times New Roman"/>
      <w:sz w:val="20"/>
      <w:szCs w:val="20"/>
    </w:rPr>
  </w:style>
  <w:style w:type="character" w:styleId="Znakapoznpodarou">
    <w:name w:val="footnote reference"/>
    <w:aliases w:val=" Char1,Char1,EN Footnote Reference,EN Footnote text,Exposant 3 Point,Footnote,Footnote Refernece,Footnote number,Footnote reference number,Footnote symbol,Fussnota,Nota,Ref,SUPERS,Times 10 Point,de nota al pie,note TESI,4_G,12 b."/>
    <w:basedOn w:val="Standardnpsmoodstavce"/>
    <w:link w:val="BVIfnrCharChar"/>
    <w:uiPriority w:val="99"/>
    <w:unhideWhenUsed/>
    <w:qFormat/>
    <w:rsid w:val="004058E2"/>
    <w:rPr>
      <w:vertAlign w:val="superscript"/>
    </w:rPr>
  </w:style>
  <w:style w:type="paragraph" w:customStyle="1" w:styleId="Odrka1">
    <w:name w:val="Odrážka 1"/>
    <w:basedOn w:val="Normln"/>
    <w:qFormat/>
    <w:rsid w:val="00647F54"/>
    <w:pPr>
      <w:numPr>
        <w:numId w:val="5"/>
      </w:numPr>
      <w:spacing w:after="120" w:line="240" w:lineRule="auto"/>
    </w:pPr>
    <w:rPr>
      <w:rFonts w:ascii="Calibri" w:hAnsi="Calibri"/>
    </w:rPr>
  </w:style>
  <w:style w:type="paragraph" w:styleId="Odstavecseseznamem">
    <w:name w:val="List Paragraph"/>
    <w:aliases w:val="Bullet List,Bullet Number,Conclusion de partie,FooterText,List Paragraph1,List Paragraph_0,NAKIT List Paragraph,Nad,Nadpis pro KZ,Název grafu,Odstavec_muj,Paragraphe de liste1,cp_Odstavec se seznamem,nad 1,numbered,odrážky,列出段落,Nad1"/>
    <w:basedOn w:val="Normln"/>
    <w:link w:val="OdstavecseseznamemChar"/>
    <w:uiPriority w:val="34"/>
    <w:qFormat/>
    <w:rsid w:val="00647F54"/>
    <w:pPr>
      <w:ind w:left="720"/>
      <w:contextualSpacing/>
    </w:pPr>
  </w:style>
  <w:style w:type="paragraph" w:styleId="Textbubliny">
    <w:name w:val="Balloon Text"/>
    <w:basedOn w:val="Normln"/>
    <w:link w:val="TextbublinyChar"/>
    <w:uiPriority w:val="99"/>
    <w:semiHidden/>
    <w:unhideWhenUsed/>
    <w:rsid w:val="008A5D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5DC6"/>
    <w:rPr>
      <w:rFonts w:ascii="Segoe UI" w:hAnsi="Segoe UI" w:cs="Segoe UI"/>
      <w:sz w:val="18"/>
      <w:szCs w:val="18"/>
    </w:rPr>
  </w:style>
  <w:style w:type="paragraph" w:styleId="Zhlav">
    <w:name w:val="header"/>
    <w:basedOn w:val="Normln"/>
    <w:link w:val="ZhlavChar"/>
    <w:uiPriority w:val="99"/>
    <w:unhideWhenUsed/>
    <w:rsid w:val="00755FB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5FBD"/>
  </w:style>
  <w:style w:type="paragraph" w:styleId="Zpat">
    <w:name w:val="footer"/>
    <w:basedOn w:val="Normln"/>
    <w:link w:val="ZpatChar"/>
    <w:uiPriority w:val="99"/>
    <w:unhideWhenUsed/>
    <w:rsid w:val="00755FBD"/>
    <w:pPr>
      <w:tabs>
        <w:tab w:val="center" w:pos="4536"/>
        <w:tab w:val="right" w:pos="9072"/>
      </w:tabs>
      <w:spacing w:after="0" w:line="240" w:lineRule="auto"/>
    </w:pPr>
  </w:style>
  <w:style w:type="character" w:customStyle="1" w:styleId="ZpatChar">
    <w:name w:val="Zápatí Char"/>
    <w:basedOn w:val="Standardnpsmoodstavce"/>
    <w:link w:val="Zpat"/>
    <w:uiPriority w:val="99"/>
    <w:rsid w:val="00755FBD"/>
  </w:style>
  <w:style w:type="paragraph" w:styleId="Normlnweb">
    <w:name w:val="Normal (Web)"/>
    <w:basedOn w:val="Normln"/>
    <w:uiPriority w:val="99"/>
    <w:semiHidden/>
    <w:unhideWhenUsed/>
    <w:rsid w:val="00731EBA"/>
    <w:pPr>
      <w:spacing w:before="100" w:beforeAutospacing="1" w:after="100" w:afterAutospacing="1" w:line="240" w:lineRule="auto"/>
    </w:pPr>
    <w:rPr>
      <w:rFonts w:ascii="Times New Roman" w:eastAsia="Times New Roman" w:hAnsi="Times New Roman" w:cs="Times New Roman"/>
      <w:szCs w:val="24"/>
      <w:lang w:eastAsia="cs-CZ"/>
    </w:rPr>
  </w:style>
  <w:style w:type="character" w:customStyle="1" w:styleId="Zkladntext">
    <w:name w:val="Základní text_"/>
    <w:basedOn w:val="Standardnpsmoodstavce"/>
    <w:link w:val="Zkladntext1"/>
    <w:rsid w:val="00C9542C"/>
    <w:rPr>
      <w:rFonts w:ascii="Calibri" w:eastAsia="Calibri" w:hAnsi="Calibri" w:cs="Calibri"/>
      <w:sz w:val="24"/>
      <w:szCs w:val="24"/>
      <w:shd w:val="clear" w:color="auto" w:fill="FFFFFF"/>
    </w:rPr>
  </w:style>
  <w:style w:type="paragraph" w:customStyle="1" w:styleId="Zkladntext1">
    <w:name w:val="Základní text1"/>
    <w:basedOn w:val="Normln"/>
    <w:link w:val="Zkladntext"/>
    <w:rsid w:val="00C9542C"/>
    <w:pPr>
      <w:widowControl w:val="0"/>
      <w:shd w:val="clear" w:color="auto" w:fill="FFFFFF"/>
      <w:spacing w:after="100" w:line="240" w:lineRule="auto"/>
    </w:pPr>
    <w:rPr>
      <w:rFonts w:ascii="Calibri" w:eastAsia="Calibri" w:hAnsi="Calibri" w:cs="Calibri"/>
      <w:szCs w:val="24"/>
    </w:rPr>
  </w:style>
  <w:style w:type="character" w:customStyle="1" w:styleId="Zkladntext4">
    <w:name w:val="Základní text (4)_"/>
    <w:basedOn w:val="Standardnpsmoodstavce"/>
    <w:link w:val="Zkladntext40"/>
    <w:rsid w:val="00266DE2"/>
    <w:rPr>
      <w:rFonts w:ascii="Times New Roman" w:eastAsia="Times New Roman" w:hAnsi="Times New Roman" w:cs="Times New Roman"/>
      <w:color w:val="403871"/>
      <w:sz w:val="92"/>
      <w:szCs w:val="92"/>
      <w:shd w:val="clear" w:color="auto" w:fill="FFFFFF"/>
    </w:rPr>
  </w:style>
  <w:style w:type="paragraph" w:customStyle="1" w:styleId="Zkladntext40">
    <w:name w:val="Základní text (4)"/>
    <w:basedOn w:val="Normln"/>
    <w:link w:val="Zkladntext4"/>
    <w:rsid w:val="00266DE2"/>
    <w:pPr>
      <w:widowControl w:val="0"/>
      <w:shd w:val="clear" w:color="auto" w:fill="FFFFFF"/>
      <w:spacing w:after="0" w:line="240" w:lineRule="auto"/>
    </w:pPr>
    <w:rPr>
      <w:rFonts w:ascii="Times New Roman" w:eastAsia="Times New Roman" w:hAnsi="Times New Roman" w:cs="Times New Roman"/>
      <w:color w:val="403871"/>
      <w:sz w:val="92"/>
      <w:szCs w:val="92"/>
    </w:rPr>
  </w:style>
  <w:style w:type="character" w:styleId="Odkaznakoment">
    <w:name w:val="annotation reference"/>
    <w:basedOn w:val="Standardnpsmoodstavce"/>
    <w:uiPriority w:val="99"/>
    <w:semiHidden/>
    <w:unhideWhenUsed/>
    <w:rsid w:val="00227A6B"/>
    <w:rPr>
      <w:sz w:val="16"/>
      <w:szCs w:val="16"/>
    </w:rPr>
  </w:style>
  <w:style w:type="paragraph" w:styleId="Textkomente">
    <w:name w:val="annotation text"/>
    <w:basedOn w:val="Normln"/>
    <w:link w:val="TextkomenteChar"/>
    <w:uiPriority w:val="99"/>
    <w:unhideWhenUsed/>
    <w:rsid w:val="00227A6B"/>
    <w:pPr>
      <w:spacing w:line="240" w:lineRule="auto"/>
    </w:pPr>
    <w:rPr>
      <w:sz w:val="20"/>
      <w:szCs w:val="20"/>
    </w:rPr>
  </w:style>
  <w:style w:type="character" w:customStyle="1" w:styleId="TextkomenteChar">
    <w:name w:val="Text komentáře Char"/>
    <w:basedOn w:val="Standardnpsmoodstavce"/>
    <w:link w:val="Textkomente"/>
    <w:uiPriority w:val="99"/>
    <w:rsid w:val="00227A6B"/>
    <w:rPr>
      <w:sz w:val="20"/>
      <w:szCs w:val="20"/>
    </w:rPr>
  </w:style>
  <w:style w:type="paragraph" w:styleId="Pedmtkomente">
    <w:name w:val="annotation subject"/>
    <w:basedOn w:val="Textkomente"/>
    <w:next w:val="Textkomente"/>
    <w:link w:val="PedmtkomenteChar"/>
    <w:uiPriority w:val="99"/>
    <w:semiHidden/>
    <w:unhideWhenUsed/>
    <w:rsid w:val="00227A6B"/>
    <w:rPr>
      <w:b/>
      <w:bCs/>
    </w:rPr>
  </w:style>
  <w:style w:type="character" w:customStyle="1" w:styleId="PedmtkomenteChar">
    <w:name w:val="Předmět komentáře Char"/>
    <w:basedOn w:val="TextkomenteChar"/>
    <w:link w:val="Pedmtkomente"/>
    <w:uiPriority w:val="99"/>
    <w:semiHidden/>
    <w:rsid w:val="00227A6B"/>
    <w:rPr>
      <w:b/>
      <w:bCs/>
      <w:sz w:val="20"/>
      <w:szCs w:val="20"/>
    </w:rPr>
  </w:style>
  <w:style w:type="character" w:customStyle="1" w:styleId="OdstavecseseznamemChar">
    <w:name w:val="Odstavec se seznamem Char"/>
    <w:aliases w:val="Bullet List Char,Bullet Number Char,Conclusion de partie Char,FooterText Char,List Paragraph1 Char,List Paragraph_0 Char,NAKIT List Paragraph Char,Nad Char,Nadpis pro KZ Char,Název grafu Char,Odstavec_muj Char,nad 1 Char"/>
    <w:link w:val="Odstavecseseznamem"/>
    <w:uiPriority w:val="34"/>
    <w:rsid w:val="00BC1D34"/>
  </w:style>
  <w:style w:type="table" w:styleId="Mkatabulky">
    <w:name w:val="Table Grid"/>
    <w:basedOn w:val="Normlntabulka"/>
    <w:uiPriority w:val="59"/>
    <w:rsid w:val="00B53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F97848"/>
    <w:pPr>
      <w:spacing w:after="200" w:line="240" w:lineRule="auto"/>
    </w:pPr>
    <w:rPr>
      <w:i/>
      <w:iCs/>
      <w:color w:val="44546A" w:themeColor="text2"/>
      <w:sz w:val="18"/>
      <w:szCs w:val="18"/>
    </w:rPr>
  </w:style>
  <w:style w:type="character" w:customStyle="1" w:styleId="Nadpis2Char">
    <w:name w:val="Nadpis 2 Char"/>
    <w:basedOn w:val="Standardnpsmoodstavce"/>
    <w:link w:val="Nadpis2"/>
    <w:uiPriority w:val="9"/>
    <w:rsid w:val="00F2080A"/>
    <w:rPr>
      <w:rFonts w:eastAsiaTheme="majorEastAsia" w:cstheme="majorBidi"/>
      <w:b/>
      <w:sz w:val="24"/>
      <w:szCs w:val="26"/>
      <w:lang w:eastAsia="cs-CZ"/>
    </w:rPr>
  </w:style>
  <w:style w:type="character" w:styleId="Hypertextovodkaz">
    <w:name w:val="Hyperlink"/>
    <w:basedOn w:val="Standardnpsmoodstavce"/>
    <w:uiPriority w:val="99"/>
    <w:unhideWhenUsed/>
    <w:rsid w:val="002919E8"/>
    <w:rPr>
      <w:color w:val="0563C1" w:themeColor="hyperlink"/>
      <w:u w:val="single"/>
    </w:rPr>
  </w:style>
  <w:style w:type="character" w:styleId="Nevyeenzmnka">
    <w:name w:val="Unresolved Mention"/>
    <w:basedOn w:val="Standardnpsmoodstavce"/>
    <w:uiPriority w:val="99"/>
    <w:semiHidden/>
    <w:unhideWhenUsed/>
    <w:rsid w:val="002919E8"/>
    <w:rPr>
      <w:color w:val="605E5C"/>
      <w:shd w:val="clear" w:color="auto" w:fill="E1DFDD"/>
    </w:rPr>
  </w:style>
  <w:style w:type="paragraph" w:customStyle="1" w:styleId="Tabulka">
    <w:name w:val="Tabulka č."/>
    <w:basedOn w:val="Normln"/>
    <w:link w:val="TabulkaChar"/>
    <w:autoRedefine/>
    <w:qFormat/>
    <w:rsid w:val="007179CF"/>
    <w:pPr>
      <w:keepNext/>
      <w:spacing w:before="120" w:after="120"/>
    </w:pPr>
    <w:rPr>
      <w:rFonts w:ascii="Calibri" w:eastAsia="Calibri" w:hAnsi="Calibri"/>
      <w:b/>
      <w:szCs w:val="24"/>
    </w:rPr>
  </w:style>
  <w:style w:type="character" w:customStyle="1" w:styleId="TabulkaChar">
    <w:name w:val="Tabulka č. Char"/>
    <w:basedOn w:val="Standardnpsmoodstavce"/>
    <w:link w:val="Tabulka"/>
    <w:rsid w:val="007179CF"/>
    <w:rPr>
      <w:rFonts w:ascii="Calibri" w:eastAsia="Calibri" w:hAnsi="Calibri"/>
      <w:b/>
      <w:sz w:val="24"/>
      <w:szCs w:val="24"/>
    </w:rPr>
  </w:style>
  <w:style w:type="paragraph" w:customStyle="1" w:styleId="BVIfnrCharChar">
    <w:name w:val="BVI fnr Char Char"/>
    <w:aliases w:val="Char1 Char Char,Exposant 3 Point Char Char,Footnote Char Char,Footnote reference number Char Char,Footnote symbol Char Char,Ref Char Char,Times 10 Point Char Char,de nota al pie Char Char"/>
    <w:basedOn w:val="Normln"/>
    <w:link w:val="Znakapoznpodarou"/>
    <w:uiPriority w:val="99"/>
    <w:rsid w:val="00662358"/>
    <w:pPr>
      <w:spacing w:line="240" w:lineRule="exact"/>
    </w:pPr>
    <w:rPr>
      <w:vertAlign w:val="superscript"/>
    </w:rPr>
  </w:style>
  <w:style w:type="character" w:customStyle="1" w:styleId="A1">
    <w:name w:val="A1"/>
    <w:uiPriority w:val="99"/>
    <w:rsid w:val="00662358"/>
    <w:rPr>
      <w:color w:val="000000"/>
      <w:sz w:val="28"/>
      <w:szCs w:val="28"/>
    </w:rPr>
  </w:style>
  <w:style w:type="character" w:styleId="Siln">
    <w:name w:val="Strong"/>
    <w:basedOn w:val="Standardnpsmoodstavce"/>
    <w:uiPriority w:val="22"/>
    <w:qFormat/>
    <w:rsid w:val="001E6A85"/>
    <w:rPr>
      <w:b/>
      <w:bCs/>
    </w:rPr>
  </w:style>
  <w:style w:type="paragraph" w:styleId="Revize">
    <w:name w:val="Revision"/>
    <w:hidden/>
    <w:uiPriority w:val="99"/>
    <w:semiHidden/>
    <w:rsid w:val="00C15DBF"/>
    <w:pPr>
      <w:spacing w:after="0" w:line="240" w:lineRule="auto"/>
    </w:pPr>
  </w:style>
  <w:style w:type="paragraph" w:customStyle="1" w:styleId="Default">
    <w:name w:val="Default"/>
    <w:rsid w:val="006C3291"/>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bold">
    <w:name w:val="bold"/>
    <w:basedOn w:val="Standardnpsmoodstavce"/>
    <w:rsid w:val="00777022"/>
  </w:style>
  <w:style w:type="character" w:styleId="Sledovanodkaz">
    <w:name w:val="FollowedHyperlink"/>
    <w:basedOn w:val="Standardnpsmoodstavce"/>
    <w:uiPriority w:val="99"/>
    <w:semiHidden/>
    <w:unhideWhenUsed/>
    <w:rsid w:val="00777022"/>
    <w:rPr>
      <w:color w:val="954F72" w:themeColor="followedHyperlink"/>
      <w:u w:val="single"/>
    </w:rPr>
  </w:style>
  <w:style w:type="table" w:customStyle="1" w:styleId="Mkatabulky1">
    <w:name w:val="Mřížka tabulky1"/>
    <w:basedOn w:val="Normlntabulka"/>
    <w:next w:val="Mkatabulky"/>
    <w:uiPriority w:val="59"/>
    <w:rsid w:val="0043539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basedOn w:val="Normln"/>
    <w:uiPriority w:val="1"/>
    <w:qFormat/>
    <w:rsid w:val="00831941"/>
    <w:pPr>
      <w:spacing w:after="0" w:line="240" w:lineRule="auto"/>
    </w:pPr>
    <w:rPr>
      <w:rFonts w:ascii="Calibri" w:eastAsia="Times New Roman" w:hAnsi="Calibri" w:cstheme="minorHAnsi"/>
      <w:color w:val="000000" w:themeColor="text1"/>
      <w:szCs w:val="24"/>
      <w:lang w:eastAsia="cs-CZ"/>
    </w:rPr>
  </w:style>
  <w:style w:type="paragraph" w:styleId="Podnadpis">
    <w:name w:val="Subtitle"/>
    <w:basedOn w:val="Normln"/>
    <w:next w:val="Normln"/>
    <w:link w:val="PodnadpisChar"/>
    <w:uiPriority w:val="11"/>
    <w:qFormat/>
    <w:rsid w:val="00550BEE"/>
    <w:pPr>
      <w:numPr>
        <w:ilvl w:val="1"/>
      </w:numPr>
      <w:spacing w:line="278"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550BEE"/>
    <w:rPr>
      <w:rFonts w:eastAsiaTheme="majorEastAsia" w:cstheme="majorBidi"/>
      <w:color w:val="595959" w:themeColor="text1" w:themeTint="A6"/>
      <w:spacing w:val="15"/>
      <w:kern w:val="2"/>
      <w:sz w:val="28"/>
      <w:szCs w:val="28"/>
      <w14:ligatures w14:val="standardContextual"/>
    </w:rPr>
  </w:style>
  <w:style w:type="paragraph" w:customStyle="1" w:styleId="Pa18">
    <w:name w:val="Pa18"/>
    <w:basedOn w:val="Normln"/>
    <w:next w:val="Normln"/>
    <w:uiPriority w:val="99"/>
    <w:rsid w:val="00EF46D5"/>
    <w:pPr>
      <w:autoSpaceDE w:val="0"/>
      <w:autoSpaceDN w:val="0"/>
      <w:adjustRightInd w:val="0"/>
      <w:spacing w:after="0" w:line="211" w:lineRule="atLeast"/>
      <w:jc w:val="left"/>
    </w:pPr>
    <w:rPr>
      <w:rFonts w:ascii="Calibri" w:eastAsia="Times New Roman" w:hAnsi="Calibri" w:cs="Times New Roman"/>
      <w:szCs w:val="24"/>
      <w:lang w:eastAsia="cs-CZ"/>
    </w:rPr>
  </w:style>
  <w:style w:type="paragraph" w:customStyle="1" w:styleId="Pa19">
    <w:name w:val="Pa19"/>
    <w:basedOn w:val="Normln"/>
    <w:next w:val="Normln"/>
    <w:uiPriority w:val="99"/>
    <w:rsid w:val="00EF46D5"/>
    <w:pPr>
      <w:autoSpaceDE w:val="0"/>
      <w:autoSpaceDN w:val="0"/>
      <w:adjustRightInd w:val="0"/>
      <w:spacing w:after="0" w:line="211" w:lineRule="atLeast"/>
      <w:jc w:val="left"/>
    </w:pPr>
    <w:rPr>
      <w:rFonts w:ascii="Calibri" w:eastAsia="Times New Roman" w:hAnsi="Calibri" w:cs="Times New Roman"/>
      <w:szCs w:val="24"/>
      <w:lang w:eastAsia="cs-CZ"/>
    </w:rPr>
  </w:style>
  <w:style w:type="character" w:customStyle="1" w:styleId="A14">
    <w:name w:val="A14"/>
    <w:uiPriority w:val="99"/>
    <w:rsid w:val="00EF46D5"/>
    <w:rPr>
      <w:b/>
      <w:bCs w:val="0"/>
      <w:color w:val="000000"/>
      <w:sz w:val="54"/>
    </w:rPr>
  </w:style>
  <w:style w:type="paragraph" w:customStyle="1" w:styleId="NormlnKZ">
    <w:name w:val="Normální KZ"/>
    <w:basedOn w:val="Normln"/>
    <w:rsid w:val="00EF46D5"/>
    <w:pPr>
      <w:spacing w:after="120" w:line="240" w:lineRule="auto"/>
      <w:ind w:firstLine="425"/>
    </w:pPr>
    <w:rPr>
      <w:rFonts w:ascii="Calibri Light" w:eastAsia="Times New Roman" w:hAnsi="Calibri Light" w:cs="Times New Roman"/>
      <w:color w:val="000000" w:themeColor="text1"/>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231">
      <w:bodyDiv w:val="1"/>
      <w:marLeft w:val="0"/>
      <w:marRight w:val="0"/>
      <w:marTop w:val="0"/>
      <w:marBottom w:val="0"/>
      <w:divBdr>
        <w:top w:val="none" w:sz="0" w:space="0" w:color="auto"/>
        <w:left w:val="none" w:sz="0" w:space="0" w:color="auto"/>
        <w:bottom w:val="none" w:sz="0" w:space="0" w:color="auto"/>
        <w:right w:val="none" w:sz="0" w:space="0" w:color="auto"/>
      </w:divBdr>
    </w:div>
    <w:div w:id="92016391">
      <w:bodyDiv w:val="1"/>
      <w:marLeft w:val="0"/>
      <w:marRight w:val="0"/>
      <w:marTop w:val="0"/>
      <w:marBottom w:val="0"/>
      <w:divBdr>
        <w:top w:val="none" w:sz="0" w:space="0" w:color="auto"/>
        <w:left w:val="none" w:sz="0" w:space="0" w:color="auto"/>
        <w:bottom w:val="none" w:sz="0" w:space="0" w:color="auto"/>
        <w:right w:val="none" w:sz="0" w:space="0" w:color="auto"/>
      </w:divBdr>
    </w:div>
    <w:div w:id="172377134">
      <w:bodyDiv w:val="1"/>
      <w:marLeft w:val="0"/>
      <w:marRight w:val="0"/>
      <w:marTop w:val="0"/>
      <w:marBottom w:val="0"/>
      <w:divBdr>
        <w:top w:val="none" w:sz="0" w:space="0" w:color="auto"/>
        <w:left w:val="none" w:sz="0" w:space="0" w:color="auto"/>
        <w:bottom w:val="none" w:sz="0" w:space="0" w:color="auto"/>
        <w:right w:val="none" w:sz="0" w:space="0" w:color="auto"/>
      </w:divBdr>
    </w:div>
    <w:div w:id="383798102">
      <w:bodyDiv w:val="1"/>
      <w:marLeft w:val="0"/>
      <w:marRight w:val="0"/>
      <w:marTop w:val="0"/>
      <w:marBottom w:val="0"/>
      <w:divBdr>
        <w:top w:val="none" w:sz="0" w:space="0" w:color="auto"/>
        <w:left w:val="none" w:sz="0" w:space="0" w:color="auto"/>
        <w:bottom w:val="none" w:sz="0" w:space="0" w:color="auto"/>
        <w:right w:val="none" w:sz="0" w:space="0" w:color="auto"/>
      </w:divBdr>
    </w:div>
    <w:div w:id="405687686">
      <w:bodyDiv w:val="1"/>
      <w:marLeft w:val="0"/>
      <w:marRight w:val="0"/>
      <w:marTop w:val="0"/>
      <w:marBottom w:val="0"/>
      <w:divBdr>
        <w:top w:val="none" w:sz="0" w:space="0" w:color="auto"/>
        <w:left w:val="none" w:sz="0" w:space="0" w:color="auto"/>
        <w:bottom w:val="none" w:sz="0" w:space="0" w:color="auto"/>
        <w:right w:val="none" w:sz="0" w:space="0" w:color="auto"/>
      </w:divBdr>
    </w:div>
    <w:div w:id="460852174">
      <w:bodyDiv w:val="1"/>
      <w:marLeft w:val="0"/>
      <w:marRight w:val="0"/>
      <w:marTop w:val="0"/>
      <w:marBottom w:val="0"/>
      <w:divBdr>
        <w:top w:val="none" w:sz="0" w:space="0" w:color="auto"/>
        <w:left w:val="none" w:sz="0" w:space="0" w:color="auto"/>
        <w:bottom w:val="none" w:sz="0" w:space="0" w:color="auto"/>
        <w:right w:val="none" w:sz="0" w:space="0" w:color="auto"/>
      </w:divBdr>
    </w:div>
    <w:div w:id="505050301">
      <w:bodyDiv w:val="1"/>
      <w:marLeft w:val="0"/>
      <w:marRight w:val="0"/>
      <w:marTop w:val="0"/>
      <w:marBottom w:val="0"/>
      <w:divBdr>
        <w:top w:val="none" w:sz="0" w:space="0" w:color="auto"/>
        <w:left w:val="none" w:sz="0" w:space="0" w:color="auto"/>
        <w:bottom w:val="none" w:sz="0" w:space="0" w:color="auto"/>
        <w:right w:val="none" w:sz="0" w:space="0" w:color="auto"/>
      </w:divBdr>
    </w:div>
    <w:div w:id="538467761">
      <w:bodyDiv w:val="1"/>
      <w:marLeft w:val="0"/>
      <w:marRight w:val="0"/>
      <w:marTop w:val="0"/>
      <w:marBottom w:val="0"/>
      <w:divBdr>
        <w:top w:val="none" w:sz="0" w:space="0" w:color="auto"/>
        <w:left w:val="none" w:sz="0" w:space="0" w:color="auto"/>
        <w:bottom w:val="none" w:sz="0" w:space="0" w:color="auto"/>
        <w:right w:val="none" w:sz="0" w:space="0" w:color="auto"/>
      </w:divBdr>
    </w:div>
    <w:div w:id="541745947">
      <w:bodyDiv w:val="1"/>
      <w:marLeft w:val="0"/>
      <w:marRight w:val="0"/>
      <w:marTop w:val="0"/>
      <w:marBottom w:val="0"/>
      <w:divBdr>
        <w:top w:val="none" w:sz="0" w:space="0" w:color="auto"/>
        <w:left w:val="none" w:sz="0" w:space="0" w:color="auto"/>
        <w:bottom w:val="none" w:sz="0" w:space="0" w:color="auto"/>
        <w:right w:val="none" w:sz="0" w:space="0" w:color="auto"/>
      </w:divBdr>
    </w:div>
    <w:div w:id="569540160">
      <w:bodyDiv w:val="1"/>
      <w:marLeft w:val="0"/>
      <w:marRight w:val="0"/>
      <w:marTop w:val="0"/>
      <w:marBottom w:val="0"/>
      <w:divBdr>
        <w:top w:val="none" w:sz="0" w:space="0" w:color="auto"/>
        <w:left w:val="none" w:sz="0" w:space="0" w:color="auto"/>
        <w:bottom w:val="none" w:sz="0" w:space="0" w:color="auto"/>
        <w:right w:val="none" w:sz="0" w:space="0" w:color="auto"/>
      </w:divBdr>
    </w:div>
    <w:div w:id="612636774">
      <w:bodyDiv w:val="1"/>
      <w:marLeft w:val="0"/>
      <w:marRight w:val="0"/>
      <w:marTop w:val="0"/>
      <w:marBottom w:val="0"/>
      <w:divBdr>
        <w:top w:val="none" w:sz="0" w:space="0" w:color="auto"/>
        <w:left w:val="none" w:sz="0" w:space="0" w:color="auto"/>
        <w:bottom w:val="none" w:sz="0" w:space="0" w:color="auto"/>
        <w:right w:val="none" w:sz="0" w:space="0" w:color="auto"/>
      </w:divBdr>
    </w:div>
    <w:div w:id="770517689">
      <w:bodyDiv w:val="1"/>
      <w:marLeft w:val="0"/>
      <w:marRight w:val="0"/>
      <w:marTop w:val="0"/>
      <w:marBottom w:val="0"/>
      <w:divBdr>
        <w:top w:val="none" w:sz="0" w:space="0" w:color="auto"/>
        <w:left w:val="none" w:sz="0" w:space="0" w:color="auto"/>
        <w:bottom w:val="none" w:sz="0" w:space="0" w:color="auto"/>
        <w:right w:val="none" w:sz="0" w:space="0" w:color="auto"/>
      </w:divBdr>
    </w:div>
    <w:div w:id="879827279">
      <w:bodyDiv w:val="1"/>
      <w:marLeft w:val="0"/>
      <w:marRight w:val="0"/>
      <w:marTop w:val="0"/>
      <w:marBottom w:val="0"/>
      <w:divBdr>
        <w:top w:val="none" w:sz="0" w:space="0" w:color="auto"/>
        <w:left w:val="none" w:sz="0" w:space="0" w:color="auto"/>
        <w:bottom w:val="none" w:sz="0" w:space="0" w:color="auto"/>
        <w:right w:val="none" w:sz="0" w:space="0" w:color="auto"/>
      </w:divBdr>
    </w:div>
    <w:div w:id="982735840">
      <w:bodyDiv w:val="1"/>
      <w:marLeft w:val="0"/>
      <w:marRight w:val="0"/>
      <w:marTop w:val="0"/>
      <w:marBottom w:val="0"/>
      <w:divBdr>
        <w:top w:val="none" w:sz="0" w:space="0" w:color="auto"/>
        <w:left w:val="none" w:sz="0" w:space="0" w:color="auto"/>
        <w:bottom w:val="none" w:sz="0" w:space="0" w:color="auto"/>
        <w:right w:val="none" w:sz="0" w:space="0" w:color="auto"/>
      </w:divBdr>
    </w:div>
    <w:div w:id="1000351335">
      <w:bodyDiv w:val="1"/>
      <w:marLeft w:val="0"/>
      <w:marRight w:val="0"/>
      <w:marTop w:val="0"/>
      <w:marBottom w:val="0"/>
      <w:divBdr>
        <w:top w:val="none" w:sz="0" w:space="0" w:color="auto"/>
        <w:left w:val="none" w:sz="0" w:space="0" w:color="auto"/>
        <w:bottom w:val="none" w:sz="0" w:space="0" w:color="auto"/>
        <w:right w:val="none" w:sz="0" w:space="0" w:color="auto"/>
      </w:divBdr>
    </w:div>
    <w:div w:id="1024137352">
      <w:bodyDiv w:val="1"/>
      <w:marLeft w:val="0"/>
      <w:marRight w:val="0"/>
      <w:marTop w:val="0"/>
      <w:marBottom w:val="0"/>
      <w:divBdr>
        <w:top w:val="none" w:sz="0" w:space="0" w:color="auto"/>
        <w:left w:val="none" w:sz="0" w:space="0" w:color="auto"/>
        <w:bottom w:val="none" w:sz="0" w:space="0" w:color="auto"/>
        <w:right w:val="none" w:sz="0" w:space="0" w:color="auto"/>
      </w:divBdr>
    </w:div>
    <w:div w:id="1255823611">
      <w:bodyDiv w:val="1"/>
      <w:marLeft w:val="0"/>
      <w:marRight w:val="0"/>
      <w:marTop w:val="0"/>
      <w:marBottom w:val="0"/>
      <w:divBdr>
        <w:top w:val="none" w:sz="0" w:space="0" w:color="auto"/>
        <w:left w:val="none" w:sz="0" w:space="0" w:color="auto"/>
        <w:bottom w:val="none" w:sz="0" w:space="0" w:color="auto"/>
        <w:right w:val="none" w:sz="0" w:space="0" w:color="auto"/>
      </w:divBdr>
    </w:div>
    <w:div w:id="1330256667">
      <w:bodyDiv w:val="1"/>
      <w:marLeft w:val="0"/>
      <w:marRight w:val="0"/>
      <w:marTop w:val="0"/>
      <w:marBottom w:val="0"/>
      <w:divBdr>
        <w:top w:val="none" w:sz="0" w:space="0" w:color="auto"/>
        <w:left w:val="none" w:sz="0" w:space="0" w:color="auto"/>
        <w:bottom w:val="none" w:sz="0" w:space="0" w:color="auto"/>
        <w:right w:val="none" w:sz="0" w:space="0" w:color="auto"/>
      </w:divBdr>
    </w:div>
    <w:div w:id="1561938918">
      <w:bodyDiv w:val="1"/>
      <w:marLeft w:val="0"/>
      <w:marRight w:val="0"/>
      <w:marTop w:val="0"/>
      <w:marBottom w:val="0"/>
      <w:divBdr>
        <w:top w:val="none" w:sz="0" w:space="0" w:color="auto"/>
        <w:left w:val="none" w:sz="0" w:space="0" w:color="auto"/>
        <w:bottom w:val="none" w:sz="0" w:space="0" w:color="auto"/>
        <w:right w:val="none" w:sz="0" w:space="0" w:color="auto"/>
      </w:divBdr>
    </w:div>
    <w:div w:id="1623001646">
      <w:bodyDiv w:val="1"/>
      <w:marLeft w:val="0"/>
      <w:marRight w:val="0"/>
      <w:marTop w:val="0"/>
      <w:marBottom w:val="0"/>
      <w:divBdr>
        <w:top w:val="none" w:sz="0" w:space="0" w:color="auto"/>
        <w:left w:val="none" w:sz="0" w:space="0" w:color="auto"/>
        <w:bottom w:val="none" w:sz="0" w:space="0" w:color="auto"/>
        <w:right w:val="none" w:sz="0" w:space="0" w:color="auto"/>
      </w:divBdr>
    </w:div>
    <w:div w:id="1647858457">
      <w:bodyDiv w:val="1"/>
      <w:marLeft w:val="0"/>
      <w:marRight w:val="0"/>
      <w:marTop w:val="0"/>
      <w:marBottom w:val="0"/>
      <w:divBdr>
        <w:top w:val="none" w:sz="0" w:space="0" w:color="auto"/>
        <w:left w:val="none" w:sz="0" w:space="0" w:color="auto"/>
        <w:bottom w:val="none" w:sz="0" w:space="0" w:color="auto"/>
        <w:right w:val="none" w:sz="0" w:space="0" w:color="auto"/>
      </w:divBdr>
    </w:div>
    <w:div w:id="1868595135">
      <w:bodyDiv w:val="1"/>
      <w:marLeft w:val="0"/>
      <w:marRight w:val="0"/>
      <w:marTop w:val="0"/>
      <w:marBottom w:val="0"/>
      <w:divBdr>
        <w:top w:val="none" w:sz="0" w:space="0" w:color="auto"/>
        <w:left w:val="none" w:sz="0" w:space="0" w:color="auto"/>
        <w:bottom w:val="none" w:sz="0" w:space="0" w:color="auto"/>
        <w:right w:val="none" w:sz="0" w:space="0" w:color="auto"/>
      </w:divBdr>
    </w:div>
    <w:div w:id="1871139541">
      <w:bodyDiv w:val="1"/>
      <w:marLeft w:val="0"/>
      <w:marRight w:val="0"/>
      <w:marTop w:val="0"/>
      <w:marBottom w:val="0"/>
      <w:divBdr>
        <w:top w:val="none" w:sz="0" w:space="0" w:color="auto"/>
        <w:left w:val="none" w:sz="0" w:space="0" w:color="auto"/>
        <w:bottom w:val="none" w:sz="0" w:space="0" w:color="auto"/>
        <w:right w:val="none" w:sz="0" w:space="0" w:color="auto"/>
      </w:divBdr>
    </w:div>
    <w:div w:id="21180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F1\GURAJOVA\00%20NK&#218;\24_31_SOUDN&#205;%20POPLATKY\Z&#193;V&#282;R\Graf%20&#250;sp&#283;&#353;nost%20&#8211;%20od%20R&#225;d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1\GURAJOVA\00%20NK&#218;\24_31_SOUDN&#205;%20POPLATKY\Z&#193;V&#282;R\Graf%20&#250;sp&#283;&#353;nost%20&#8211;%20od%20R&#225;d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1\GURAJOVA\00%20NK&#218;\24_31_SOUDN&#205;%20POPLATKY\Z&#193;V&#282;R\Graf%20&#250;sp&#283;&#353;nost%20&#8211;%20od%20R&#225;di.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cs-CZ" sz="1200" b="1">
                <a:solidFill>
                  <a:sysClr val="windowText" lastClr="000000"/>
                </a:solidFill>
                <a:latin typeface="Calibri" panose="020F0502020204030204" pitchFamily="34" charset="0"/>
                <a:ea typeface="Calibri" panose="020F0502020204030204" pitchFamily="34" charset="0"/>
                <a:cs typeface="Calibri" panose="020F0502020204030204" pitchFamily="34" charset="0"/>
              </a:rPr>
              <a:t>Počet uložených peněžitých trestů</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cs-CZ"/>
        </a:p>
      </c:txPr>
    </c:title>
    <c:autoTitleDeleted val="0"/>
    <c:plotArea>
      <c:layout>
        <c:manualLayout>
          <c:layoutTarget val="inner"/>
          <c:xMode val="edge"/>
          <c:yMode val="edge"/>
          <c:x val="2.6268656716417909E-2"/>
          <c:y val="0.17232997191140584"/>
          <c:w val="0.94746268656716415"/>
          <c:h val="0.69276646151961907"/>
        </c:manualLayout>
      </c:layout>
      <c:barChart>
        <c:barDir val="col"/>
        <c:grouping val="clustered"/>
        <c:varyColors val="0"/>
        <c:ser>
          <c:idx val="1"/>
          <c:order val="0"/>
          <c:tx>
            <c:strRef>
              <c:f>List2!$A$5</c:f>
              <c:strCache>
                <c:ptCount val="1"/>
                <c:pt idx="0">
                  <c:v>Počet uložených peněžitých trestů</c:v>
                </c:pt>
              </c:strCache>
            </c:strRef>
          </c:tx>
          <c:spPr>
            <a:solidFill>
              <a:srgbClr val="2EB3A1"/>
            </a:solidFill>
            <a:ln>
              <a:noFill/>
            </a:ln>
            <a:effectLst/>
          </c:spPr>
          <c:invertIfNegative val="0"/>
          <c:dPt>
            <c:idx val="0"/>
            <c:invertIfNegative val="0"/>
            <c:bubble3D val="0"/>
            <c:spPr>
              <a:solidFill>
                <a:srgbClr val="2EB3A1"/>
              </a:solidFill>
              <a:ln>
                <a:noFill/>
              </a:ln>
              <a:effectLst/>
            </c:spPr>
            <c:extLst>
              <c:ext xmlns:c16="http://schemas.microsoft.com/office/drawing/2014/chart" uri="{C3380CC4-5D6E-409C-BE32-E72D297353CC}">
                <c16:uniqueId val="{00000001-4EDF-45EC-B88B-660EF0A7789B}"/>
              </c:ext>
            </c:extLst>
          </c:dPt>
          <c:dPt>
            <c:idx val="3"/>
            <c:invertIfNegative val="0"/>
            <c:bubble3D val="0"/>
            <c:spPr>
              <a:solidFill>
                <a:srgbClr val="2EB3A1"/>
              </a:solidFill>
              <a:ln>
                <a:noFill/>
              </a:ln>
              <a:effectLst/>
            </c:spPr>
            <c:extLst>
              <c:ext xmlns:c16="http://schemas.microsoft.com/office/drawing/2014/chart" uri="{C3380CC4-5D6E-409C-BE32-E72D297353CC}">
                <c16:uniqueId val="{00000003-4EDF-45EC-B88B-660EF0A7789B}"/>
              </c:ext>
            </c:extLst>
          </c:dPt>
          <c:dLbls>
            <c:spPr>
              <a:noFill/>
              <a:ln>
                <a:noFill/>
              </a:ln>
              <a:effectLst/>
            </c:spPr>
            <c:txPr>
              <a:bodyPr rot="-5400000" spcFirstLastPara="1" vertOverflow="ellipsis" wrap="square" lIns="38100" tIns="19050" rIns="38100" bIns="19050" anchor="ctr" anchorCtr="1">
                <a:spAutoFit/>
              </a:bodyPr>
              <a:lstStyle/>
              <a:p>
                <a:pPr>
                  <a:defRPr sz="1200" b="1" i="0" u="none" strike="noStrike" kern="1200" baseline="0">
                    <a:solidFill>
                      <a:schemeClr val="bg1"/>
                    </a:solidFill>
                    <a:latin typeface="Calibri" panose="020F0502020204030204" pitchFamily="34" charset="0"/>
                    <a:ea typeface="Calibri" panose="020F0502020204030204" pitchFamily="34" charset="0"/>
                    <a:cs typeface="Calibri" panose="020F0502020204030204" pitchFamily="34" charset="0"/>
                  </a:defRPr>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List2!$B$2:$E$2</c:f>
              <c:numCache>
                <c:formatCode>General</c:formatCode>
                <c:ptCount val="4"/>
                <c:pt idx="0">
                  <c:v>2021</c:v>
                </c:pt>
                <c:pt idx="1">
                  <c:v>2022</c:v>
                </c:pt>
                <c:pt idx="2">
                  <c:v>2023</c:v>
                </c:pt>
                <c:pt idx="3">
                  <c:v>2024</c:v>
                </c:pt>
              </c:numCache>
            </c:numRef>
          </c:cat>
          <c:val>
            <c:numRef>
              <c:f>List2!$B$5:$E$5</c:f>
              <c:numCache>
                <c:formatCode>#,##0</c:formatCode>
                <c:ptCount val="4"/>
                <c:pt idx="0">
                  <c:v>13790</c:v>
                </c:pt>
                <c:pt idx="1">
                  <c:v>15153</c:v>
                </c:pt>
                <c:pt idx="2">
                  <c:v>15237</c:v>
                </c:pt>
                <c:pt idx="3">
                  <c:v>14749</c:v>
                </c:pt>
              </c:numCache>
            </c:numRef>
          </c:val>
          <c:extLst>
            <c:ext xmlns:c16="http://schemas.microsoft.com/office/drawing/2014/chart" uri="{C3380CC4-5D6E-409C-BE32-E72D297353CC}">
              <c16:uniqueId val="{00000004-4EDF-45EC-B88B-660EF0A7789B}"/>
            </c:ext>
          </c:extLst>
        </c:ser>
        <c:dLbls>
          <c:showLegendKey val="0"/>
          <c:showVal val="0"/>
          <c:showCatName val="0"/>
          <c:showSerName val="0"/>
          <c:showPercent val="0"/>
          <c:showBubbleSize val="0"/>
        </c:dLbls>
        <c:gapWidth val="185"/>
        <c:axId val="1028347408"/>
        <c:axId val="1028322928"/>
      </c:barChart>
      <c:catAx>
        <c:axId val="1028347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cs-CZ"/>
          </a:p>
        </c:txPr>
        <c:crossAx val="1028322928"/>
        <c:crosses val="autoZero"/>
        <c:auto val="1"/>
        <c:lblAlgn val="ctr"/>
        <c:lblOffset val="100"/>
        <c:noMultiLvlLbl val="0"/>
      </c:catAx>
      <c:valAx>
        <c:axId val="1028322928"/>
        <c:scaling>
          <c:orientation val="minMax"/>
          <c:max val="15500"/>
          <c:min val="12000"/>
        </c:scaling>
        <c:delete val="0"/>
        <c:axPos val="l"/>
        <c:numFmt formatCode="#,##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0283474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025371828521438E-2"/>
          <c:y val="5.0925925925925923E-2"/>
          <c:w val="0.89527611397345552"/>
          <c:h val="0.78417537945853433"/>
        </c:manualLayout>
      </c:layout>
      <c:barChart>
        <c:barDir val="bar"/>
        <c:grouping val="clustered"/>
        <c:varyColors val="0"/>
        <c:ser>
          <c:idx val="0"/>
          <c:order val="0"/>
          <c:tx>
            <c:strRef>
              <c:f>List1!$A$3</c:f>
              <c:strCache>
                <c:ptCount val="1"/>
                <c:pt idx="0">
                  <c:v>Soudy – smlouva s exekutorem</c:v>
                </c:pt>
              </c:strCache>
            </c:strRef>
          </c:tx>
          <c:spPr>
            <a:solidFill>
              <a:srgbClr val="FDC3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List1!$B$1:$D$1</c:f>
              <c:numCache>
                <c:formatCode>General</c:formatCode>
                <c:ptCount val="3"/>
                <c:pt idx="0">
                  <c:v>2021</c:v>
                </c:pt>
                <c:pt idx="1">
                  <c:v>2022</c:v>
                </c:pt>
                <c:pt idx="2">
                  <c:v>2023</c:v>
                </c:pt>
              </c:numCache>
            </c:numRef>
          </c:cat>
          <c:val>
            <c:numRef>
              <c:f>List1!$B$3:$D$3</c:f>
              <c:numCache>
                <c:formatCode>0.00</c:formatCode>
                <c:ptCount val="3"/>
                <c:pt idx="0">
                  <c:v>8.81</c:v>
                </c:pt>
                <c:pt idx="1">
                  <c:v>8.9499999999999993</c:v>
                </c:pt>
                <c:pt idx="2">
                  <c:v>7.72</c:v>
                </c:pt>
              </c:numCache>
            </c:numRef>
          </c:val>
          <c:extLst>
            <c:ext xmlns:c16="http://schemas.microsoft.com/office/drawing/2014/chart" uri="{C3380CC4-5D6E-409C-BE32-E72D297353CC}">
              <c16:uniqueId val="{00000000-4F3D-404D-BFBD-BA5B04BFC631}"/>
            </c:ext>
          </c:extLst>
        </c:ser>
        <c:ser>
          <c:idx val="1"/>
          <c:order val="1"/>
          <c:tx>
            <c:strRef>
              <c:f>List1!$A$4</c:f>
              <c:strCache>
                <c:ptCount val="1"/>
                <c:pt idx="0">
                  <c:v>Soudy – vlastními zaměstnanci</c:v>
                </c:pt>
              </c:strCache>
            </c:strRef>
          </c:tx>
          <c:spPr>
            <a:solidFill>
              <a:srgbClr val="AF19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List1!$B$1:$D$1</c:f>
              <c:numCache>
                <c:formatCode>General</c:formatCode>
                <c:ptCount val="3"/>
                <c:pt idx="0">
                  <c:v>2021</c:v>
                </c:pt>
                <c:pt idx="1">
                  <c:v>2022</c:v>
                </c:pt>
                <c:pt idx="2">
                  <c:v>2023</c:v>
                </c:pt>
              </c:numCache>
            </c:numRef>
          </c:cat>
          <c:val>
            <c:numRef>
              <c:f>List1!$B$4:$D$4</c:f>
              <c:numCache>
                <c:formatCode>0.00</c:formatCode>
                <c:ptCount val="3"/>
                <c:pt idx="0">
                  <c:v>8</c:v>
                </c:pt>
                <c:pt idx="1">
                  <c:v>8.39</c:v>
                </c:pt>
                <c:pt idx="2">
                  <c:v>7.97</c:v>
                </c:pt>
              </c:numCache>
            </c:numRef>
          </c:val>
          <c:extLst>
            <c:ext xmlns:c16="http://schemas.microsoft.com/office/drawing/2014/chart" uri="{C3380CC4-5D6E-409C-BE32-E72D297353CC}">
              <c16:uniqueId val="{00000001-4F3D-404D-BFBD-BA5B04BFC631}"/>
            </c:ext>
          </c:extLst>
        </c:ser>
        <c:dLbls>
          <c:showLegendKey val="0"/>
          <c:showVal val="0"/>
          <c:showCatName val="0"/>
          <c:showSerName val="0"/>
          <c:showPercent val="0"/>
          <c:showBubbleSize val="0"/>
        </c:dLbls>
        <c:gapWidth val="182"/>
        <c:axId val="1645061696"/>
        <c:axId val="1645043936"/>
      </c:barChart>
      <c:catAx>
        <c:axId val="16450616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cs-CZ"/>
          </a:p>
        </c:txPr>
        <c:crossAx val="1645043936"/>
        <c:crosses val="autoZero"/>
        <c:auto val="1"/>
        <c:lblAlgn val="ctr"/>
        <c:lblOffset val="100"/>
        <c:noMultiLvlLbl val="0"/>
      </c:catAx>
      <c:valAx>
        <c:axId val="1645043936"/>
        <c:scaling>
          <c:orientation val="minMax"/>
          <c:min val="0"/>
        </c:scaling>
        <c:delete val="1"/>
        <c:axPos val="b"/>
        <c:numFmt formatCode="0.00" sourceLinked="1"/>
        <c:majorTickMark val="none"/>
        <c:minorTickMark val="none"/>
        <c:tickLblPos val="nextTo"/>
        <c:crossAx val="1645061696"/>
        <c:crosses val="autoZero"/>
        <c:crossBetween val="between"/>
        <c:majorUnit val="2"/>
        <c:minorUnit val="1"/>
      </c:valAx>
      <c:spPr>
        <a:noFill/>
        <a:ln>
          <a:noFill/>
        </a:ln>
        <a:effectLst/>
      </c:spPr>
    </c:plotArea>
    <c:legend>
      <c:legendPos val="b"/>
      <c:layout>
        <c:manualLayout>
          <c:xMode val="edge"/>
          <c:yMode val="edge"/>
          <c:x val="0.17451020760672145"/>
          <c:y val="0.8887020740054552"/>
          <c:w val="0.64211612646580041"/>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3729382236763146E-2"/>
          <c:y val="2.5428331875182269E-2"/>
          <c:w val="0.93298807330992173"/>
          <c:h val="0.70361681968177225"/>
        </c:manualLayout>
      </c:layout>
      <c:barChart>
        <c:barDir val="col"/>
        <c:grouping val="clustered"/>
        <c:varyColors val="0"/>
        <c:ser>
          <c:idx val="0"/>
          <c:order val="0"/>
          <c:tx>
            <c:strRef>
              <c:f>List1!$A$2</c:f>
              <c:strCache>
                <c:ptCount val="1"/>
                <c:pt idx="0">
                  <c:v>Soudy oběma způsoby</c:v>
                </c:pt>
              </c:strCache>
            </c:strRef>
          </c:tx>
          <c:spPr>
            <a:solidFill>
              <a:srgbClr val="AF195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200" b="1" i="0" u="none" strike="noStrike" kern="1200" baseline="0">
                    <a:solidFill>
                      <a:schemeClr val="bg1"/>
                    </a:solidFill>
                    <a:latin typeface="Calibri" panose="020F0502020204030204" pitchFamily="34" charset="0"/>
                    <a:ea typeface="Calibri" panose="020F0502020204030204" pitchFamily="34" charset="0"/>
                    <a:cs typeface="Calibri" panose="020F0502020204030204" pitchFamily="34" charset="0"/>
                  </a:defRPr>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List1!$B$1:$E$1</c:f>
              <c:numCache>
                <c:formatCode>General</c:formatCode>
                <c:ptCount val="4"/>
                <c:pt idx="0">
                  <c:v>2021</c:v>
                </c:pt>
                <c:pt idx="1">
                  <c:v>2022</c:v>
                </c:pt>
                <c:pt idx="2">
                  <c:v>2023</c:v>
                </c:pt>
                <c:pt idx="3">
                  <c:v>2024</c:v>
                </c:pt>
              </c:numCache>
            </c:numRef>
          </c:cat>
          <c:val>
            <c:numRef>
              <c:f>List1!$B$2:$D$2</c:f>
              <c:numCache>
                <c:formatCode>0.00</c:formatCode>
                <c:ptCount val="3"/>
                <c:pt idx="0">
                  <c:v>8.48</c:v>
                </c:pt>
                <c:pt idx="1">
                  <c:v>8.7200000000000006</c:v>
                </c:pt>
                <c:pt idx="2">
                  <c:v>7.82</c:v>
                </c:pt>
              </c:numCache>
            </c:numRef>
          </c:val>
          <c:extLst>
            <c:ext xmlns:c16="http://schemas.microsoft.com/office/drawing/2014/chart" uri="{C3380CC4-5D6E-409C-BE32-E72D297353CC}">
              <c16:uniqueId val="{00000003-8AD4-4294-ADA7-2DB7D718E4C3}"/>
            </c:ext>
          </c:extLst>
        </c:ser>
        <c:dLbls>
          <c:showLegendKey val="0"/>
          <c:showVal val="0"/>
          <c:showCatName val="0"/>
          <c:showSerName val="0"/>
          <c:showPercent val="0"/>
          <c:showBubbleSize val="0"/>
        </c:dLbls>
        <c:gapWidth val="110"/>
        <c:axId val="690513151"/>
        <c:axId val="690514591"/>
      </c:barChart>
      <c:barChart>
        <c:barDir val="col"/>
        <c:grouping val="clustered"/>
        <c:varyColors val="0"/>
        <c:ser>
          <c:idx val="3"/>
          <c:order val="1"/>
          <c:tx>
            <c:strRef>
              <c:f>List1!$A$5</c:f>
              <c:strCache>
                <c:ptCount val="1"/>
                <c:pt idx="0">
                  <c:v>Celní úřady – celkem bez ohledu na rok vzniku pohledávky</c:v>
                </c:pt>
              </c:strCache>
            </c:strRef>
          </c:tx>
          <c:spPr>
            <a:solidFill>
              <a:srgbClr val="9DD3C7"/>
            </a:solidFill>
            <a:ln>
              <a:noFill/>
            </a:ln>
            <a:effectLst/>
          </c:spPr>
          <c:invertIfNegative val="0"/>
          <c:dPt>
            <c:idx val="3"/>
            <c:invertIfNegative val="0"/>
            <c:bubble3D val="0"/>
            <c:spPr>
              <a:solidFill>
                <a:srgbClr val="2EB3A1"/>
              </a:solidFill>
              <a:ln>
                <a:noFill/>
              </a:ln>
              <a:effectLst/>
            </c:spPr>
            <c:extLst>
              <c:ext xmlns:c16="http://schemas.microsoft.com/office/drawing/2014/chart" uri="{C3380CC4-5D6E-409C-BE32-E72D297353CC}">
                <c16:uniqueId val="{00000000-6CBC-4925-9342-8228C75679F7}"/>
              </c:ext>
            </c:extLst>
          </c:dPt>
          <c:dLbls>
            <c:spPr>
              <a:noFill/>
              <a:ln>
                <a:noFill/>
              </a:ln>
              <a:effectLst/>
            </c:spPr>
            <c:txPr>
              <a:bodyPr rot="-5400000" spcFirstLastPara="1" vertOverflow="ellipsis" wrap="square" lIns="38100" tIns="19050" rIns="38100" bIns="19050" anchor="ctr" anchorCtr="1">
                <a:spAutoFit/>
              </a:bodyPr>
              <a:lstStyle/>
              <a:p>
                <a:pPr>
                  <a:defRPr sz="12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List1!$B$1:$E$1</c:f>
              <c:numCache>
                <c:formatCode>General</c:formatCode>
                <c:ptCount val="4"/>
                <c:pt idx="0">
                  <c:v>2021</c:v>
                </c:pt>
                <c:pt idx="1">
                  <c:v>2022</c:v>
                </c:pt>
                <c:pt idx="2">
                  <c:v>2023</c:v>
                </c:pt>
                <c:pt idx="3">
                  <c:v>2024</c:v>
                </c:pt>
              </c:numCache>
            </c:numRef>
          </c:cat>
          <c:val>
            <c:numRef>
              <c:f>List1!$B$5:$E$5</c:f>
              <c:numCache>
                <c:formatCode>General</c:formatCode>
                <c:ptCount val="4"/>
                <c:pt idx="3" formatCode="0.00">
                  <c:v>8.7799999999999994</c:v>
                </c:pt>
              </c:numCache>
            </c:numRef>
          </c:val>
          <c:extLst>
            <c:ext xmlns:c16="http://schemas.microsoft.com/office/drawing/2014/chart" uri="{C3380CC4-5D6E-409C-BE32-E72D297353CC}">
              <c16:uniqueId val="{00000000-8AD4-4294-ADA7-2DB7D718E4C3}"/>
            </c:ext>
          </c:extLst>
        </c:ser>
        <c:dLbls>
          <c:showLegendKey val="0"/>
          <c:showVal val="0"/>
          <c:showCatName val="0"/>
          <c:showSerName val="0"/>
          <c:showPercent val="0"/>
          <c:showBubbleSize val="0"/>
        </c:dLbls>
        <c:gapWidth val="110"/>
        <c:axId val="1512428512"/>
        <c:axId val="1512437152"/>
      </c:barChart>
      <c:catAx>
        <c:axId val="6905131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cs-CZ"/>
          </a:p>
        </c:txPr>
        <c:crossAx val="690514591"/>
        <c:crosses val="autoZero"/>
        <c:auto val="1"/>
        <c:lblAlgn val="ctr"/>
        <c:lblOffset val="100"/>
        <c:noMultiLvlLbl val="0"/>
      </c:catAx>
      <c:valAx>
        <c:axId val="690514591"/>
        <c:scaling>
          <c:orientation val="minMax"/>
          <c:max val="10"/>
          <c:min val="0"/>
        </c:scaling>
        <c:delete val="0"/>
        <c:axPos val="l"/>
        <c:numFmt formatCode="0.00" sourceLinked="1"/>
        <c:majorTickMark val="none"/>
        <c:minorTickMark val="none"/>
        <c:tickLblPos val="none"/>
        <c:spPr>
          <a:solidFill>
            <a:schemeClr val="bg1"/>
          </a:solid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690513151"/>
        <c:crosses val="autoZero"/>
        <c:crossBetween val="between"/>
        <c:majorUnit val="1"/>
        <c:minorUnit val="0.2"/>
      </c:valAx>
      <c:valAx>
        <c:axId val="151243715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cs-CZ"/>
          </a:p>
        </c:txPr>
        <c:crossAx val="1512428512"/>
        <c:crosses val="max"/>
        <c:crossBetween val="between"/>
      </c:valAx>
      <c:catAx>
        <c:axId val="1512428512"/>
        <c:scaling>
          <c:orientation val="minMax"/>
        </c:scaling>
        <c:delete val="1"/>
        <c:axPos val="b"/>
        <c:numFmt formatCode="General" sourceLinked="1"/>
        <c:majorTickMark val="out"/>
        <c:minorTickMark val="none"/>
        <c:tickLblPos val="nextTo"/>
        <c:crossAx val="1512437152"/>
        <c:crosses val="autoZero"/>
        <c:auto val="1"/>
        <c:lblAlgn val="ctr"/>
        <c:lblOffset val="100"/>
        <c:noMultiLvlLbl val="0"/>
      </c:catAx>
      <c:spPr>
        <a:noFill/>
        <a:ln>
          <a:noFill/>
        </a:ln>
        <a:effectLst/>
      </c:spPr>
    </c:plotArea>
    <c:legend>
      <c:legendPos val="b"/>
      <c:layout>
        <c:manualLayout>
          <c:xMode val="edge"/>
          <c:yMode val="edge"/>
          <c:x val="1.4839571494915025E-2"/>
          <c:y val="0.86783851188725891"/>
          <c:w val="0.9649311600699908"/>
          <c:h val="0.114377321092124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DF7D9B5ADCC094C8CA6054B8E89E2D7" ma:contentTypeVersion="3" ma:contentTypeDescription="Vytvoří nový dokument" ma:contentTypeScope="" ma:versionID="e8ec850441b5da9fd3fcb75298bb5821">
  <xsd:schema xmlns:xsd="http://www.w3.org/2001/XMLSchema" xmlns:xs="http://www.w3.org/2001/XMLSchema" xmlns:p="http://schemas.microsoft.com/office/2006/metadata/properties" xmlns:ns1="http://schemas.microsoft.com/sharepoint/v3" xmlns:ns2="1c99e073-dc47-479d-b1e3-8b2a7230acc5" targetNamespace="http://schemas.microsoft.com/office/2006/metadata/properties" ma:root="true" ma:fieldsID="d14e206d84264b7ec91e4c73820e2fe6" ns1:_="" ns2:_="">
    <xsd:import namespace="http://schemas.microsoft.com/sharepoint/v3"/>
    <xsd:import namespace="1c99e073-dc47-479d-b1e3-8b2a7230acc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99e073-dc47-479d-b1e3-8b2a7230acc5"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1c99e073-dc47-479d-b1e3-8b2a7230acc5">
      <UserInfo>
        <DisplayName>FREUNDOVÁ Lucie</DisplayName>
        <AccountId>409</AccountId>
        <AccountType/>
      </UserInfo>
      <UserInfo>
        <DisplayName>PLOSOVÁ Radka</DisplayName>
        <AccountId>176</AccountId>
        <AccountType/>
      </UserInfo>
    </SharedWithUsers>
  </documentManagement>
</p:properties>
</file>

<file path=customXml/itemProps1.xml><?xml version="1.0" encoding="utf-8"?>
<ds:datastoreItem xmlns:ds="http://schemas.openxmlformats.org/officeDocument/2006/customXml" ds:itemID="{4778F1B2-DCC4-4AF2-A694-30875346727C}">
  <ds:schemaRefs>
    <ds:schemaRef ds:uri="http://schemas.microsoft.com/sharepoint/v3/contenttype/forms"/>
  </ds:schemaRefs>
</ds:datastoreItem>
</file>

<file path=customXml/itemProps2.xml><?xml version="1.0" encoding="utf-8"?>
<ds:datastoreItem xmlns:ds="http://schemas.openxmlformats.org/officeDocument/2006/customXml" ds:itemID="{12AFC38C-AC33-448B-A3FF-C2EE1C73C41F}">
  <ds:schemaRefs>
    <ds:schemaRef ds:uri="http://schemas.openxmlformats.org/officeDocument/2006/bibliography"/>
  </ds:schemaRefs>
</ds:datastoreItem>
</file>

<file path=customXml/itemProps3.xml><?xml version="1.0" encoding="utf-8"?>
<ds:datastoreItem xmlns:ds="http://schemas.openxmlformats.org/officeDocument/2006/customXml" ds:itemID="{0B77EDAE-713F-4AB3-809F-4FB703D8F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99e073-dc47-479d-b1e3-8b2a7230a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A6082F-280D-43E7-8123-957A36FDEEF4}">
  <ds:schemaRefs>
    <ds:schemaRef ds:uri="http://schemas.microsoft.com/office/infopath/2007/PartnerControls"/>
    <ds:schemaRef ds:uri="http://schemas.microsoft.com/office/2006/metadata/properties"/>
    <ds:schemaRef ds:uri="http://schemas.microsoft.com/sharepoint/v3"/>
    <ds:schemaRef ds:uri="http://www.w3.org/XML/1998/namespace"/>
    <ds:schemaRef ds:uri="http://purl.org/dc/elements/1.1/"/>
    <ds:schemaRef ds:uri="http://schemas.microsoft.com/office/2006/documentManagement/types"/>
    <ds:schemaRef ds:uri="http://schemas.openxmlformats.org/package/2006/metadata/core-properties"/>
    <ds:schemaRef ds:uri="1c99e073-dc47-479d-b1e3-8b2a7230acc5"/>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6416</Words>
  <Characters>36770</Characters>
  <Application>Microsoft Office Word</Application>
  <DocSecurity>0</DocSecurity>
  <Lines>799</Lines>
  <Paragraphs>445</Paragraphs>
  <ScaleCrop>false</ScaleCrop>
  <HeadingPairs>
    <vt:vector size="2" baseType="variant">
      <vt:variant>
        <vt:lpstr>Název</vt:lpstr>
      </vt:variant>
      <vt:variant>
        <vt:i4>1</vt:i4>
      </vt:variant>
    </vt:vector>
  </HeadingPairs>
  <TitlesOfParts>
    <vt:vector size="1" baseType="lpstr">
      <vt:lpstr>Kontrolní závěr z kontrolní akce NKÚ č. 24/31 - Správa soudních poplatků a vymáhání justičních pohledávek</vt:lpstr>
    </vt:vector>
  </TitlesOfParts>
  <Company>NKU</Company>
  <LinksUpToDate>false</LinksUpToDate>
  <CharactersWithSpaces>42741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24/31 - Správa soudních poplatků a vymáhání justičních pohledávek</dc:title>
  <dc:subject>Kontrolní závěr z kontrolní akce NKÚ č. 24/31 - Správa soudních poplatků a vymáhání justičních pohledávek</dc:subject>
  <dc:creator>nku@NKU.cz</dc:creator>
  <cp:keywords>kontrolní závěr; soudní poplatky; soudy; justiční pohledávky</cp:keywords>
  <cp:lastModifiedBy>KOKRDA Daniel</cp:lastModifiedBy>
  <cp:revision>4</cp:revision>
  <cp:lastPrinted>2025-07-15T17:02:00Z</cp:lastPrinted>
  <dcterms:created xsi:type="dcterms:W3CDTF">2025-11-12T09:52:00Z</dcterms:created>
  <dcterms:modified xsi:type="dcterms:W3CDTF">2025-11-20T06:04:00Z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179/22-NKU200/525/22</vt:lpwstr>
  </property>
  <property fmtid="{D5CDD505-2E9C-101B-9397-08002B2CF9AE}" pid="5" name="CJ_PostaDoruc_PisemnostOdpovedNa_Pisemnost">
    <vt:lpwstr>XXX-XXX-XXX</vt:lpwstr>
  </property>
  <property fmtid="{D5CDD505-2E9C-101B-9397-08002B2CF9AE}" pid="6" name="CJ_Spis_Pisemnost">
    <vt:lpwstr>200/3/22</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6.10.2022</vt:lpwstr>
  </property>
  <property fmtid="{D5CDD505-2E9C-101B-9397-08002B2CF9AE}" pid="12" name="DisplayName_CisloObalky_PostaOdes">
    <vt:lpwstr>ČÍSLO OBÁLKY</vt:lpwstr>
  </property>
  <property fmtid="{D5CDD505-2E9C-101B-9397-08002B2CF9AE}" pid="13" name="DisplayName_CJCol">
    <vt:lpwstr>&lt;TABLE&gt;&lt;TR&gt;&lt;TD&gt;Č.j.:&lt;/TD&gt;&lt;TD&gt;179/22-NKU200/525/22&lt;/TD&gt;&lt;/TR&gt;&lt;TR&gt;&lt;TD&gt;&lt;/TD&gt;&lt;TD&gt;&lt;/TD&gt;&lt;/TR&gt;&lt;/TABLE&gt;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Sekce kontrolní</vt:lpwstr>
  </property>
  <property fmtid="{D5CDD505-2E9C-101B-9397-08002B2CF9AE}" pid="16" name="DisplayName_UserPoriz_Pisemnost">
    <vt:lpwstr>Ivana Růžičková</vt:lpwstr>
  </property>
  <property fmtid="{D5CDD505-2E9C-101B-9397-08002B2CF9AE}" pid="17" name="DuvodZmeny_SlozkaStupenUtajeniCollection_Slozka_Pisemnost">
    <vt:lpwstr/>
  </property>
  <property fmtid="{D5CDD505-2E9C-101B-9397-08002B2CF9AE}" pid="18" name="EC_Pisemnost">
    <vt:lpwstr>22-13415/NKU</vt:lpwstr>
  </property>
  <property fmtid="{D5CDD505-2E9C-101B-9397-08002B2CF9AE}" pid="19" name="Key_BarCode_Pisemnost">
    <vt:lpwstr>*B000419890*</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POČET PŘÍLOH</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22-13415/NKU</vt:lpwstr>
  </property>
  <property fmtid="{D5CDD505-2E9C-101B-9397-08002B2CF9AE}" pid="33" name="RC">
    <vt:lpwstr/>
  </property>
  <property fmtid="{D5CDD505-2E9C-101B-9397-08002B2CF9AE}" pid="34" name="SkartacniZnakLhuta_PisemnostZnak">
    <vt:lpwstr>?/?</vt:lpwstr>
  </property>
  <property fmtid="{D5CDD505-2E9C-101B-9397-08002B2CF9AE}" pid="35" name="SmlouvaCislo">
    <vt:lpwstr>ČÍSLO SMLOUVY</vt:lpwstr>
  </property>
  <property fmtid="{D5CDD505-2E9C-101B-9397-08002B2CF9AE}" pid="36" name="SZ_Spis_Pisemnost">
    <vt:lpwstr>179/22</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KZ 21/23 - připomínkové řízení</vt:lpwstr>
  </property>
  <property fmtid="{D5CDD505-2E9C-101B-9397-08002B2CF9AE}" pid="41" name="Zkratka_SpisovyUzel_PoziceZodpo_Pisemnost">
    <vt:lpwstr>200</vt:lpwstr>
  </property>
  <property fmtid="{D5CDD505-2E9C-101B-9397-08002B2CF9AE}" pid="42" name="ContentTypeId">
    <vt:lpwstr>0x0101002DF7D9B5ADCC094C8CA6054B8E89E2D7</vt:lpwstr>
  </property>
  <property fmtid="{D5CDD505-2E9C-101B-9397-08002B2CF9AE}" pid="43" name="ClassificationContentMarkingFooterShapeIds">
    <vt:lpwstr>dc52ec5,5877dca2,2ca976a6,2fc8fbb1</vt:lpwstr>
  </property>
  <property fmtid="{D5CDD505-2E9C-101B-9397-08002B2CF9AE}" pid="44" name="ClassificationContentMarkingFooterFontProps">
    <vt:lpwstr>#828282,12,Aptos</vt:lpwstr>
  </property>
  <property fmtid="{D5CDD505-2E9C-101B-9397-08002B2CF9AE}" pid="45" name="ClassificationContentMarkingFooterText">
    <vt:lpwstr>TLP:CLEAR</vt:lpwstr>
  </property>
  <property fmtid="{D5CDD505-2E9C-101B-9397-08002B2CF9AE}" pid="46" name="MSIP_Label_2a5ca00b-f9dd-452b-9d75-e1b2c69cf7c5_Enabled">
    <vt:lpwstr>true</vt:lpwstr>
  </property>
  <property fmtid="{D5CDD505-2E9C-101B-9397-08002B2CF9AE}" pid="47" name="MSIP_Label_2a5ca00b-f9dd-452b-9d75-e1b2c69cf7c5_SetDate">
    <vt:lpwstr>2025-11-12T09:52:12Z</vt:lpwstr>
  </property>
  <property fmtid="{D5CDD505-2E9C-101B-9397-08002B2CF9AE}" pid="48" name="MSIP_Label_2a5ca00b-f9dd-452b-9d75-e1b2c69cf7c5_Method">
    <vt:lpwstr>Privileged</vt:lpwstr>
  </property>
  <property fmtid="{D5CDD505-2E9C-101B-9397-08002B2CF9AE}" pid="49" name="MSIP_Label_2a5ca00b-f9dd-452b-9d75-e1b2c69cf7c5_Name">
    <vt:lpwstr>Nízká</vt:lpwstr>
  </property>
  <property fmtid="{D5CDD505-2E9C-101B-9397-08002B2CF9AE}" pid="50" name="MSIP_Label_2a5ca00b-f9dd-452b-9d75-e1b2c69cf7c5_SiteId">
    <vt:lpwstr>e6d36204-fa0a-4bdb-9b60-80f84bb090cf</vt:lpwstr>
  </property>
  <property fmtid="{D5CDD505-2E9C-101B-9397-08002B2CF9AE}" pid="51" name="MSIP_Label_2a5ca00b-f9dd-452b-9d75-e1b2c69cf7c5_ActionId">
    <vt:lpwstr>8cdb333a-1e37-48e6-bbf5-133048a2b0c9</vt:lpwstr>
  </property>
  <property fmtid="{D5CDD505-2E9C-101B-9397-08002B2CF9AE}" pid="52" name="MSIP_Label_2a5ca00b-f9dd-452b-9d75-e1b2c69cf7c5_ContentBits">
    <vt:lpwstr>2</vt:lpwstr>
  </property>
  <property fmtid="{D5CDD505-2E9C-101B-9397-08002B2CF9AE}" pid="53" name="MSIP_Label_2a5ca00b-f9dd-452b-9d75-e1b2c69cf7c5_Tag">
    <vt:lpwstr>10, 0, 1, 1</vt:lpwstr>
  </property>
</Properties>
</file>