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D523" w14:textId="77777777" w:rsidR="00291417" w:rsidRPr="004F6F5D" w:rsidRDefault="00035012" w:rsidP="00AA65B4">
      <w:pPr>
        <w:tabs>
          <w:tab w:val="center" w:pos="11650"/>
          <w:tab w:val="left" w:pos="19110"/>
        </w:tabs>
        <w:spacing w:after="0"/>
        <w:jc w:val="center"/>
      </w:pPr>
      <w:r>
        <w:rPr>
          <w:noProof/>
        </w:rPr>
        <w:drawing>
          <wp:inline distT="0" distB="0" distL="0" distR="0" wp14:anchorId="5DB09DD4" wp14:editId="5BA3A588">
            <wp:extent cx="827405" cy="713740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B8624" w14:textId="77777777" w:rsidR="00291417" w:rsidRPr="004F6F5D" w:rsidRDefault="00291417" w:rsidP="00291417">
      <w:pPr>
        <w:spacing w:after="0"/>
        <w:jc w:val="center"/>
      </w:pPr>
    </w:p>
    <w:p w14:paraId="4F95F888" w14:textId="77777777" w:rsidR="00291417" w:rsidRDefault="00291417" w:rsidP="00291417">
      <w:pPr>
        <w:spacing w:after="0"/>
        <w:jc w:val="center"/>
      </w:pPr>
    </w:p>
    <w:p w14:paraId="476C50FF" w14:textId="77777777" w:rsidR="00D0329E" w:rsidRPr="004F6F5D" w:rsidRDefault="00D0329E" w:rsidP="00291417">
      <w:pPr>
        <w:spacing w:after="0"/>
        <w:jc w:val="center"/>
      </w:pPr>
    </w:p>
    <w:p w14:paraId="216C2D71" w14:textId="77777777" w:rsidR="00291417" w:rsidRPr="002F6ECE" w:rsidRDefault="00035012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2F6ECE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4E18039E" w14:textId="77777777" w:rsidR="00031FF6" w:rsidRPr="002F6ECE" w:rsidRDefault="00031FF6" w:rsidP="00031FF6">
      <w:pPr>
        <w:spacing w:after="0"/>
        <w:jc w:val="center"/>
        <w:rPr>
          <w:highlight w:val="green"/>
        </w:rPr>
      </w:pPr>
    </w:p>
    <w:p w14:paraId="0A4FADC0" w14:textId="77777777" w:rsidR="00EC3A0D" w:rsidRPr="002F6ECE" w:rsidRDefault="00035012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2F6ECE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2F6ECE" w:rsidRPr="002F6ECE">
        <w:rPr>
          <w:rFonts w:asciiTheme="minorHAnsi" w:eastAsiaTheme="minorHAnsi" w:hAnsiTheme="minorHAnsi" w:cstheme="minorHAnsi"/>
          <w:b/>
          <w:sz w:val="28"/>
          <w:szCs w:val="28"/>
        </w:rPr>
        <w:t>4</w:t>
      </w:r>
      <w:r w:rsidR="007A67D6" w:rsidRPr="002F6ECE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Pr="002F6ECE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2F6ECE" w:rsidRPr="002F6ECE">
        <w:rPr>
          <w:rFonts w:asciiTheme="minorHAnsi" w:eastAsiaTheme="minorHAnsi" w:hAnsiTheme="minorHAnsi" w:cstheme="minorHAnsi"/>
          <w:b/>
          <w:sz w:val="28"/>
          <w:szCs w:val="28"/>
        </w:rPr>
        <w:t>2</w:t>
      </w:r>
    </w:p>
    <w:p w14:paraId="2DC96110" w14:textId="77777777" w:rsidR="00031FF6" w:rsidRPr="002F6ECE" w:rsidRDefault="00031FF6" w:rsidP="00031FF6">
      <w:pPr>
        <w:spacing w:after="0"/>
        <w:jc w:val="center"/>
        <w:rPr>
          <w:highlight w:val="green"/>
        </w:rPr>
      </w:pPr>
    </w:p>
    <w:p w14:paraId="219D7323" w14:textId="77777777" w:rsidR="000849FE" w:rsidRPr="002F6ECE" w:rsidRDefault="00035012" w:rsidP="000849FE">
      <w:pPr>
        <w:spacing w:line="2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F6ECE">
        <w:rPr>
          <w:rFonts w:ascii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="002F6ECE" w:rsidRPr="002F6ECE">
        <w:rPr>
          <w:rFonts w:asciiTheme="minorHAnsi" w:hAnsiTheme="minorHAnsi" w:cstheme="minorHAnsi"/>
          <w:b/>
          <w:i/>
          <w:sz w:val="28"/>
          <w:szCs w:val="28"/>
        </w:rPr>
        <w:t>Národní sportovní agentura</w:t>
      </w:r>
      <w:r w:rsidRPr="002F6ECE">
        <w:rPr>
          <w:rFonts w:asciiTheme="minorHAnsi" w:hAnsiTheme="minorHAnsi" w:cstheme="minorHAnsi"/>
          <w:b/>
          <w:sz w:val="28"/>
          <w:szCs w:val="28"/>
        </w:rPr>
        <w:t xml:space="preserve"> za rok 202</w:t>
      </w:r>
      <w:r w:rsidR="002F6ECE" w:rsidRPr="002F6ECE">
        <w:rPr>
          <w:rFonts w:asciiTheme="minorHAnsi" w:hAnsiTheme="minorHAnsi" w:cstheme="minorHAnsi"/>
          <w:b/>
          <w:sz w:val="28"/>
          <w:szCs w:val="28"/>
        </w:rPr>
        <w:t>4</w:t>
      </w:r>
      <w:r w:rsidRPr="002F6ECE">
        <w:rPr>
          <w:rFonts w:asciiTheme="minorHAnsi" w:hAnsiTheme="minorHAnsi" w:cstheme="minorHAnsi"/>
          <w:b/>
          <w:sz w:val="28"/>
          <w:szCs w:val="28"/>
        </w:rPr>
        <w:t xml:space="preserve">, účetní závěrka </w:t>
      </w:r>
      <w:r w:rsidR="002F6ECE" w:rsidRPr="002F6ECE">
        <w:rPr>
          <w:rFonts w:asciiTheme="minorHAnsi" w:hAnsiTheme="minorHAnsi" w:cstheme="minorHAnsi"/>
          <w:b/>
          <w:sz w:val="28"/>
          <w:szCs w:val="28"/>
        </w:rPr>
        <w:t>Národní sportovní agentury</w:t>
      </w:r>
      <w:r w:rsidRPr="002F6ECE">
        <w:rPr>
          <w:rFonts w:asciiTheme="minorHAnsi" w:hAnsiTheme="minorHAnsi" w:cstheme="minorHAnsi"/>
          <w:b/>
          <w:sz w:val="28"/>
          <w:szCs w:val="28"/>
        </w:rPr>
        <w:t xml:space="preserve"> za rok 202</w:t>
      </w:r>
      <w:r w:rsidR="002F6ECE" w:rsidRPr="002F6ECE">
        <w:rPr>
          <w:rFonts w:asciiTheme="minorHAnsi" w:hAnsiTheme="minorHAnsi" w:cstheme="minorHAnsi"/>
          <w:b/>
          <w:sz w:val="28"/>
          <w:szCs w:val="28"/>
        </w:rPr>
        <w:t>4</w:t>
      </w:r>
      <w:r w:rsidRPr="002F6ECE">
        <w:rPr>
          <w:rFonts w:asciiTheme="minorHAnsi" w:hAnsiTheme="minorHAnsi" w:cstheme="minorHAnsi"/>
          <w:b/>
          <w:sz w:val="28"/>
          <w:szCs w:val="28"/>
        </w:rPr>
        <w:t xml:space="preserve"> a údaje předkládané </w:t>
      </w:r>
      <w:r w:rsidR="002F6ECE" w:rsidRPr="002F6ECE">
        <w:rPr>
          <w:rFonts w:asciiTheme="minorHAnsi" w:hAnsiTheme="minorHAnsi" w:cstheme="minorHAnsi"/>
          <w:b/>
          <w:sz w:val="28"/>
          <w:szCs w:val="28"/>
        </w:rPr>
        <w:t>Národní sportovní agenturou</w:t>
      </w:r>
      <w:r w:rsidRPr="002F6ECE">
        <w:rPr>
          <w:rFonts w:asciiTheme="minorHAnsi" w:hAnsiTheme="minorHAnsi" w:cstheme="minorHAnsi"/>
          <w:b/>
          <w:sz w:val="28"/>
          <w:szCs w:val="28"/>
        </w:rPr>
        <w:t xml:space="preserve"> pro hodnocení plnění státního rozpočtu za rok 202</w:t>
      </w:r>
      <w:r w:rsidR="002F6ECE" w:rsidRPr="002F6ECE">
        <w:rPr>
          <w:rFonts w:asciiTheme="minorHAnsi" w:hAnsiTheme="minorHAnsi" w:cstheme="minorHAnsi"/>
          <w:b/>
          <w:sz w:val="28"/>
          <w:szCs w:val="28"/>
        </w:rPr>
        <w:t>4</w:t>
      </w:r>
    </w:p>
    <w:p w14:paraId="3056D4C4" w14:textId="77777777" w:rsidR="000849FE" w:rsidRPr="002F6ECE" w:rsidRDefault="000849FE" w:rsidP="000849FE">
      <w:pPr>
        <w:spacing w:after="0"/>
        <w:jc w:val="both"/>
      </w:pPr>
    </w:p>
    <w:p w14:paraId="0E2D2EE2" w14:textId="77777777" w:rsidR="000849FE" w:rsidRPr="002F6ECE" w:rsidRDefault="000849FE" w:rsidP="000849FE">
      <w:pPr>
        <w:spacing w:after="0"/>
        <w:jc w:val="both"/>
        <w:rPr>
          <w:highlight w:val="green"/>
        </w:rPr>
      </w:pPr>
    </w:p>
    <w:p w14:paraId="766C591C" w14:textId="77777777" w:rsidR="000849FE" w:rsidRPr="002F6ECE" w:rsidRDefault="00035012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2F6ECE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také „NKÚ“) na rok </w:t>
      </w:r>
      <w:r w:rsidR="002F6ECE" w:rsidRPr="002F6ECE">
        <w:rPr>
          <w:rFonts w:asciiTheme="minorHAnsi" w:eastAsiaTheme="minorHAnsi" w:hAnsiTheme="minorHAnsi" w:cstheme="minorHAnsi"/>
        </w:rPr>
        <w:t>2024</w:t>
      </w:r>
      <w:r w:rsidRPr="002F6ECE">
        <w:rPr>
          <w:rFonts w:asciiTheme="minorHAnsi" w:eastAsiaTheme="minorHAnsi" w:hAnsiTheme="minorHAnsi" w:cstheme="minorHAnsi"/>
        </w:rPr>
        <w:t xml:space="preserve"> pod číslem 2</w:t>
      </w:r>
      <w:r w:rsidR="002F6ECE" w:rsidRPr="002F6ECE">
        <w:rPr>
          <w:rFonts w:asciiTheme="minorHAnsi" w:eastAsiaTheme="minorHAnsi" w:hAnsiTheme="minorHAnsi" w:cstheme="minorHAnsi"/>
        </w:rPr>
        <w:t>4</w:t>
      </w:r>
      <w:r w:rsidRPr="002F6ECE">
        <w:rPr>
          <w:rFonts w:asciiTheme="minorHAnsi" w:eastAsiaTheme="minorHAnsi" w:hAnsiTheme="minorHAnsi" w:cstheme="minorHAnsi"/>
        </w:rPr>
        <w:t>/</w:t>
      </w:r>
      <w:r w:rsidR="00AA65B4" w:rsidRPr="002F6ECE">
        <w:rPr>
          <w:rFonts w:asciiTheme="minorHAnsi" w:eastAsiaTheme="minorHAnsi" w:hAnsiTheme="minorHAnsi" w:cstheme="minorHAnsi"/>
        </w:rPr>
        <w:t>2</w:t>
      </w:r>
      <w:r w:rsidR="002F6ECE" w:rsidRPr="002F6ECE">
        <w:rPr>
          <w:rFonts w:asciiTheme="minorHAnsi" w:eastAsiaTheme="minorHAnsi" w:hAnsiTheme="minorHAnsi" w:cstheme="minorHAnsi"/>
        </w:rPr>
        <w:t>2</w:t>
      </w:r>
      <w:r w:rsidRPr="002F6ECE">
        <w:rPr>
          <w:rFonts w:asciiTheme="minorHAnsi" w:eastAsiaTheme="minorHAnsi" w:hAnsiTheme="minorHAnsi" w:cstheme="minorHAnsi"/>
        </w:rPr>
        <w:t xml:space="preserve">. Kontrolní akci řídila a kontrolní závěr vypracovala členka NKÚ Ing. Jaromíra </w:t>
      </w:r>
      <w:proofErr w:type="spellStart"/>
      <w:r w:rsidRPr="002F6ECE">
        <w:rPr>
          <w:rFonts w:asciiTheme="minorHAnsi" w:eastAsiaTheme="minorHAnsi" w:hAnsiTheme="minorHAnsi" w:cstheme="minorHAnsi"/>
        </w:rPr>
        <w:t>Steidlová</w:t>
      </w:r>
      <w:proofErr w:type="spellEnd"/>
      <w:r w:rsidRPr="002F6ECE">
        <w:rPr>
          <w:rFonts w:asciiTheme="minorHAnsi" w:eastAsiaTheme="minorHAnsi" w:hAnsiTheme="minorHAnsi" w:cstheme="minorHAnsi"/>
        </w:rPr>
        <w:t>.</w:t>
      </w:r>
    </w:p>
    <w:p w14:paraId="35A36C2D" w14:textId="77777777" w:rsidR="000849FE" w:rsidRPr="002F6ECE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green"/>
        </w:rPr>
      </w:pPr>
    </w:p>
    <w:p w14:paraId="5979CE7E" w14:textId="77777777" w:rsidR="000849FE" w:rsidRPr="00B211AB" w:rsidRDefault="00035012" w:rsidP="000849FE">
      <w:pPr>
        <w:spacing w:before="120" w:line="200" w:lineRule="atLeast"/>
        <w:jc w:val="both"/>
        <w:rPr>
          <w:rFonts w:asciiTheme="minorHAnsi" w:hAnsiTheme="minorHAnsi" w:cstheme="minorHAnsi"/>
          <w:bCs/>
        </w:rPr>
      </w:pPr>
      <w:r w:rsidRPr="002F6ECE">
        <w:rPr>
          <w:rFonts w:asciiTheme="minorHAnsi" w:eastAsiaTheme="minorHAnsi" w:hAnsiTheme="minorHAnsi" w:cstheme="minorHAnsi"/>
        </w:rPr>
        <w:t xml:space="preserve">Cílem kontroly bylo prověřit, </w:t>
      </w:r>
      <w:bookmarkStart w:id="0" w:name="_Hlk134018975"/>
      <w:r w:rsidRPr="002F6ECE">
        <w:rPr>
          <w:rFonts w:asciiTheme="minorHAnsi" w:hAnsiTheme="minorHAnsi" w:cstheme="minorHAnsi"/>
          <w:bCs/>
        </w:rPr>
        <w:t xml:space="preserve">zda </w:t>
      </w:r>
      <w:r w:rsidR="002F6ECE">
        <w:rPr>
          <w:rFonts w:asciiTheme="minorHAnsi" w:hAnsiTheme="minorHAnsi" w:cstheme="minorHAnsi"/>
          <w:bCs/>
        </w:rPr>
        <w:t xml:space="preserve">Národní sportovní </w:t>
      </w:r>
      <w:r w:rsidR="002F6ECE" w:rsidRPr="00B211AB">
        <w:rPr>
          <w:rFonts w:asciiTheme="minorHAnsi" w:hAnsiTheme="minorHAnsi" w:cstheme="minorHAnsi"/>
          <w:bCs/>
        </w:rPr>
        <w:t>agentura</w:t>
      </w:r>
      <w:r w:rsidR="00AA65B4" w:rsidRPr="00B211AB">
        <w:rPr>
          <w:rFonts w:asciiTheme="minorHAnsi" w:hAnsiTheme="minorHAnsi" w:cstheme="minorHAnsi"/>
          <w:bCs/>
        </w:rPr>
        <w:t xml:space="preserve"> při sestavení závěrečného účtu a při vedení účetnictví a sestavení účetní závěrky a předkládání údajů pro hodnocení plnění státního rozpočtu za rok </w:t>
      </w:r>
      <w:r w:rsidR="00B211AB" w:rsidRPr="00B211AB">
        <w:rPr>
          <w:rFonts w:asciiTheme="minorHAnsi" w:hAnsiTheme="minorHAnsi" w:cstheme="minorHAnsi"/>
          <w:bCs/>
        </w:rPr>
        <w:t>2024</w:t>
      </w:r>
      <w:r w:rsidR="00AA65B4" w:rsidRPr="00B211AB">
        <w:rPr>
          <w:rFonts w:asciiTheme="minorHAnsi" w:hAnsiTheme="minorHAnsi" w:cstheme="minorHAnsi"/>
          <w:bCs/>
        </w:rPr>
        <w:t xml:space="preserve"> postupoval</w:t>
      </w:r>
      <w:r w:rsidR="00B211AB" w:rsidRPr="00B211AB">
        <w:rPr>
          <w:rFonts w:asciiTheme="minorHAnsi" w:hAnsiTheme="minorHAnsi" w:cstheme="minorHAnsi"/>
          <w:bCs/>
        </w:rPr>
        <w:t>a</w:t>
      </w:r>
      <w:r w:rsidR="00AA65B4" w:rsidRPr="00B211AB">
        <w:rPr>
          <w:rFonts w:asciiTheme="minorHAnsi" w:hAnsiTheme="minorHAnsi" w:cstheme="minorHAnsi"/>
          <w:bCs/>
        </w:rPr>
        <w:t xml:space="preserve"> v souladu s příslušnými právními předpisy.</w:t>
      </w:r>
    </w:p>
    <w:bookmarkEnd w:id="0"/>
    <w:p w14:paraId="30F390F0" w14:textId="77777777" w:rsidR="000849FE" w:rsidRPr="002F6ECE" w:rsidRDefault="000849FE" w:rsidP="000849FE">
      <w:pPr>
        <w:spacing w:after="0"/>
        <w:jc w:val="both"/>
        <w:rPr>
          <w:rFonts w:asciiTheme="minorHAnsi" w:eastAsiaTheme="minorHAnsi" w:hAnsiTheme="minorHAnsi" w:cstheme="minorHAnsi"/>
          <w:bCs/>
          <w:highlight w:val="green"/>
        </w:rPr>
      </w:pPr>
    </w:p>
    <w:p w14:paraId="0B0C26E0" w14:textId="77777777" w:rsidR="000849FE" w:rsidRPr="002F6ECE" w:rsidRDefault="00035012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2F6ECE">
        <w:rPr>
          <w:rFonts w:asciiTheme="minorHAnsi" w:eastAsiaTheme="minorHAnsi" w:hAnsiTheme="minorHAnsi" w:cstheme="minorHAnsi"/>
          <w:b/>
        </w:rPr>
        <w:t>Kontrolovaná osoba:</w:t>
      </w:r>
    </w:p>
    <w:p w14:paraId="6C3C1120" w14:textId="77777777" w:rsidR="000849FE" w:rsidRPr="002F6ECE" w:rsidRDefault="00035012" w:rsidP="000849FE">
      <w:pPr>
        <w:rPr>
          <w:rFonts w:cs="Calibri"/>
        </w:rPr>
      </w:pPr>
      <w:r w:rsidRPr="002F6ECE">
        <w:rPr>
          <w:rFonts w:cs="Calibri"/>
          <w:iCs/>
        </w:rPr>
        <w:t>Národní sportovní agentura</w:t>
      </w:r>
      <w:r w:rsidR="00B82816">
        <w:rPr>
          <w:rFonts w:cs="Calibri"/>
          <w:iCs/>
        </w:rPr>
        <w:t>, Praha</w:t>
      </w:r>
      <w:r w:rsidRPr="002F6ECE">
        <w:rPr>
          <w:rFonts w:cs="Calibri"/>
        </w:rPr>
        <w:t xml:space="preserve"> (dále také „NSA“).</w:t>
      </w:r>
    </w:p>
    <w:p w14:paraId="5769E9D7" w14:textId="77777777" w:rsidR="000849FE" w:rsidRPr="002F6ECE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53CC8A1" w14:textId="77777777" w:rsidR="000849FE" w:rsidRPr="002F6ECE" w:rsidRDefault="00035012" w:rsidP="00DF6AD0">
      <w:pPr>
        <w:jc w:val="both"/>
        <w:rPr>
          <w:rFonts w:asciiTheme="minorHAnsi" w:eastAsiaTheme="minorHAnsi" w:hAnsiTheme="minorHAnsi" w:cstheme="minorHAnsi"/>
        </w:rPr>
      </w:pPr>
      <w:r w:rsidRPr="002F6ECE">
        <w:rPr>
          <w:rFonts w:asciiTheme="minorHAnsi" w:eastAsiaTheme="minorHAnsi" w:hAnsiTheme="minorHAnsi" w:cstheme="minorHAnsi"/>
        </w:rPr>
        <w:t xml:space="preserve">Kontrolováno bylo období roku </w:t>
      </w:r>
      <w:r w:rsidR="002F6ECE" w:rsidRPr="002F6ECE">
        <w:rPr>
          <w:rFonts w:asciiTheme="minorHAnsi" w:eastAsiaTheme="minorHAnsi" w:hAnsiTheme="minorHAnsi" w:cstheme="minorHAnsi"/>
        </w:rPr>
        <w:t>2024</w:t>
      </w:r>
      <w:r w:rsidRPr="002F6ECE">
        <w:rPr>
          <w:rFonts w:asciiTheme="minorHAnsi" w:eastAsiaTheme="minorHAnsi" w:hAnsiTheme="minorHAnsi" w:cstheme="minorHAnsi"/>
        </w:rPr>
        <w:t xml:space="preserve"> včetně souvisejících skutečností </w:t>
      </w:r>
      <w:r w:rsidRPr="002F6ECE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2F6ECE">
        <w:rPr>
          <w:rFonts w:asciiTheme="minorHAnsi" w:eastAsiaTheme="minorHAnsi" w:hAnsiTheme="minorHAnsi" w:cstheme="minorHAnsi"/>
        </w:rPr>
        <w:t>.</w:t>
      </w:r>
    </w:p>
    <w:p w14:paraId="57E99510" w14:textId="77777777" w:rsidR="000849FE" w:rsidRPr="002F6ECE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green"/>
        </w:rPr>
      </w:pPr>
    </w:p>
    <w:p w14:paraId="37087914" w14:textId="77777777" w:rsidR="000849FE" w:rsidRPr="00B211AB" w:rsidRDefault="00035012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B211AB">
        <w:rPr>
          <w:rFonts w:asciiTheme="minorHAnsi" w:eastAsiaTheme="minorHAnsi" w:hAnsiTheme="minorHAnsi" w:cstheme="minorHAnsi"/>
        </w:rPr>
        <w:t xml:space="preserve">Kontrola byla prováděna u kontrolované osoby v době od </w:t>
      </w:r>
      <w:r w:rsidR="002F6ECE" w:rsidRPr="00B211AB">
        <w:rPr>
          <w:rFonts w:asciiTheme="minorHAnsi" w:eastAsiaTheme="minorHAnsi" w:hAnsiTheme="minorHAnsi" w:cstheme="minorHAnsi"/>
        </w:rPr>
        <w:t>září</w:t>
      </w:r>
      <w:r w:rsidRPr="00B211AB">
        <w:rPr>
          <w:rFonts w:asciiTheme="minorHAnsi" w:eastAsiaTheme="minorHAnsi" w:hAnsiTheme="minorHAnsi" w:cstheme="minorHAnsi"/>
        </w:rPr>
        <w:t xml:space="preserve"> </w:t>
      </w:r>
      <w:r w:rsidR="00AA65B4" w:rsidRPr="00B211AB">
        <w:rPr>
          <w:rFonts w:asciiTheme="minorHAnsi" w:eastAsiaTheme="minorHAnsi" w:hAnsiTheme="minorHAnsi" w:cstheme="minorHAnsi"/>
        </w:rPr>
        <w:t>202</w:t>
      </w:r>
      <w:r w:rsidR="002F6ECE" w:rsidRPr="00B211AB">
        <w:rPr>
          <w:rFonts w:asciiTheme="minorHAnsi" w:eastAsiaTheme="minorHAnsi" w:hAnsiTheme="minorHAnsi" w:cstheme="minorHAnsi"/>
        </w:rPr>
        <w:t>4</w:t>
      </w:r>
      <w:r w:rsidRPr="00B211AB">
        <w:rPr>
          <w:rFonts w:asciiTheme="minorHAnsi" w:eastAsiaTheme="minorHAnsi" w:hAnsiTheme="minorHAnsi" w:cstheme="minorHAnsi"/>
        </w:rPr>
        <w:t xml:space="preserve"> do </w:t>
      </w:r>
      <w:r w:rsidR="001E57AB">
        <w:rPr>
          <w:rFonts w:asciiTheme="minorHAnsi" w:eastAsiaTheme="minorHAnsi" w:hAnsiTheme="minorHAnsi" w:cstheme="minorHAnsi"/>
        </w:rPr>
        <w:t>května</w:t>
      </w:r>
      <w:r w:rsidRPr="00B211AB">
        <w:rPr>
          <w:rFonts w:asciiTheme="minorHAnsi" w:eastAsiaTheme="minorHAnsi" w:hAnsiTheme="minorHAnsi" w:cstheme="minorHAnsi"/>
        </w:rPr>
        <w:t xml:space="preserve"> </w:t>
      </w:r>
      <w:r w:rsidR="002F6ECE" w:rsidRPr="00B211AB">
        <w:rPr>
          <w:rFonts w:asciiTheme="minorHAnsi" w:eastAsiaTheme="minorHAnsi" w:hAnsiTheme="minorHAnsi" w:cstheme="minorHAnsi"/>
        </w:rPr>
        <w:t>2025</w:t>
      </w:r>
      <w:r w:rsidRPr="00B211AB">
        <w:rPr>
          <w:rFonts w:asciiTheme="minorHAnsi" w:eastAsiaTheme="minorHAnsi" w:hAnsiTheme="minorHAnsi" w:cstheme="minorHAnsi"/>
        </w:rPr>
        <w:t>.</w:t>
      </w:r>
    </w:p>
    <w:p w14:paraId="5B19CE2E" w14:textId="77777777" w:rsidR="000849FE" w:rsidRPr="002F6ECE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green"/>
        </w:rPr>
      </w:pPr>
    </w:p>
    <w:p w14:paraId="0807935B" w14:textId="77777777" w:rsidR="000849FE" w:rsidRPr="002F6ECE" w:rsidRDefault="000849FE" w:rsidP="000849FE">
      <w:pPr>
        <w:spacing w:after="0"/>
        <w:jc w:val="both"/>
        <w:rPr>
          <w:rFonts w:asciiTheme="minorHAnsi" w:eastAsiaTheme="minorHAnsi" w:hAnsiTheme="minorHAnsi" w:cstheme="minorHAnsi"/>
          <w:highlight w:val="green"/>
        </w:rPr>
      </w:pPr>
    </w:p>
    <w:p w14:paraId="25ACB8F7" w14:textId="5CF2F9DE" w:rsidR="000849FE" w:rsidRPr="002F6ECE" w:rsidRDefault="00035012" w:rsidP="000849FE">
      <w:pPr>
        <w:spacing w:line="259" w:lineRule="auto"/>
        <w:jc w:val="both"/>
        <w:rPr>
          <w:rFonts w:asciiTheme="minorHAnsi" w:eastAsiaTheme="minorHAnsi" w:hAnsiTheme="minorHAnsi" w:cstheme="minorHAnsi"/>
          <w:highlight w:val="green"/>
        </w:rPr>
      </w:pPr>
      <w:r w:rsidRPr="00B211A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B211A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B211A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B211AB">
        <w:rPr>
          <w:rFonts w:asciiTheme="minorHAnsi" w:eastAsiaTheme="minorHAnsi" w:hAnsiTheme="minorHAnsi" w:cstheme="minorHAnsi"/>
        </w:rPr>
        <w:t xml:space="preserve">   na svém </w:t>
      </w:r>
      <w:r w:rsidR="00A500AB" w:rsidRPr="00A500AB">
        <w:rPr>
          <w:rFonts w:asciiTheme="minorHAnsi" w:eastAsiaTheme="minorHAnsi" w:hAnsiTheme="minorHAnsi" w:cstheme="minorHAnsi"/>
        </w:rPr>
        <w:t>IX</w:t>
      </w:r>
      <w:r w:rsidRPr="00A500AB">
        <w:rPr>
          <w:rFonts w:asciiTheme="minorHAnsi" w:eastAsiaTheme="minorHAnsi" w:hAnsiTheme="minorHAnsi" w:cstheme="minorHAnsi"/>
        </w:rPr>
        <w:t xml:space="preserve">. jednání, které se konalo dne </w:t>
      </w:r>
      <w:r w:rsidR="00A500AB" w:rsidRPr="00A500AB">
        <w:rPr>
          <w:rFonts w:asciiTheme="minorHAnsi" w:eastAsiaTheme="minorHAnsi" w:hAnsiTheme="minorHAnsi" w:cstheme="minorHAnsi"/>
        </w:rPr>
        <w:t>23</w:t>
      </w:r>
      <w:r w:rsidR="00AA65B4" w:rsidRPr="00A500AB">
        <w:rPr>
          <w:rFonts w:asciiTheme="minorHAnsi" w:eastAsiaTheme="minorHAnsi" w:hAnsiTheme="minorHAnsi" w:cstheme="minorHAnsi"/>
        </w:rPr>
        <w:t xml:space="preserve">. </w:t>
      </w:r>
      <w:r w:rsidR="00A500AB" w:rsidRPr="00A500AB">
        <w:rPr>
          <w:rFonts w:asciiTheme="minorHAnsi" w:eastAsiaTheme="minorHAnsi" w:hAnsiTheme="minorHAnsi" w:cstheme="minorHAnsi"/>
        </w:rPr>
        <w:t>června</w:t>
      </w:r>
      <w:r w:rsidR="00094EF0" w:rsidRPr="00A500AB">
        <w:rPr>
          <w:rFonts w:asciiTheme="minorHAnsi" w:eastAsiaTheme="minorHAnsi" w:hAnsiTheme="minorHAnsi" w:cstheme="minorHAnsi"/>
        </w:rPr>
        <w:t xml:space="preserve"> </w:t>
      </w:r>
      <w:r w:rsidR="00B211AB" w:rsidRPr="00A500AB">
        <w:rPr>
          <w:rFonts w:asciiTheme="minorHAnsi" w:eastAsiaTheme="minorHAnsi" w:hAnsiTheme="minorHAnsi" w:cstheme="minorHAnsi"/>
        </w:rPr>
        <w:t>2025</w:t>
      </w:r>
      <w:r w:rsidRPr="00A500AB">
        <w:rPr>
          <w:rFonts w:asciiTheme="minorHAnsi" w:eastAsiaTheme="minorHAnsi" w:hAnsiTheme="minorHAnsi" w:cstheme="minorHAnsi"/>
        </w:rPr>
        <w:t>,</w:t>
      </w:r>
    </w:p>
    <w:p w14:paraId="6E40AA54" w14:textId="35E922CE" w:rsidR="000849FE" w:rsidRPr="002F6ECE" w:rsidRDefault="00035012" w:rsidP="000849FE">
      <w:pPr>
        <w:spacing w:line="259" w:lineRule="auto"/>
        <w:jc w:val="both"/>
        <w:rPr>
          <w:rFonts w:asciiTheme="minorHAnsi" w:eastAsiaTheme="minorHAnsi" w:hAnsiTheme="minorHAnsi" w:cstheme="minorHAnsi"/>
          <w:highlight w:val="green"/>
        </w:rPr>
      </w:pPr>
      <w:r w:rsidRPr="00B211A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B211AB">
        <w:rPr>
          <w:rFonts w:asciiTheme="minorHAnsi" w:eastAsiaTheme="minorHAnsi" w:hAnsiTheme="minorHAnsi" w:cstheme="minorHAnsi"/>
        </w:rPr>
        <w:t xml:space="preserve">   usnesením č</w:t>
      </w:r>
      <w:r w:rsidR="00094EF0" w:rsidRPr="00B211AB">
        <w:rPr>
          <w:rFonts w:asciiTheme="minorHAnsi" w:eastAsiaTheme="minorHAnsi" w:hAnsiTheme="minorHAnsi" w:cstheme="minorHAnsi"/>
        </w:rPr>
        <w:t xml:space="preserve">. </w:t>
      </w:r>
      <w:r w:rsidR="00DF6F44">
        <w:rPr>
          <w:rFonts w:asciiTheme="minorHAnsi" w:eastAsiaTheme="minorHAnsi" w:hAnsiTheme="minorHAnsi" w:cstheme="minorHAnsi"/>
        </w:rPr>
        <w:t>8</w:t>
      </w:r>
      <w:r w:rsidR="00094EF0" w:rsidRPr="00A500AB">
        <w:rPr>
          <w:rFonts w:asciiTheme="minorHAnsi" w:eastAsiaTheme="minorHAnsi" w:hAnsiTheme="minorHAnsi" w:cstheme="minorHAnsi"/>
        </w:rPr>
        <w:t>/</w:t>
      </w:r>
      <w:r w:rsidR="00A500AB" w:rsidRPr="00A500AB">
        <w:rPr>
          <w:rFonts w:asciiTheme="minorHAnsi" w:eastAsiaTheme="minorHAnsi" w:hAnsiTheme="minorHAnsi" w:cstheme="minorHAnsi"/>
        </w:rPr>
        <w:t>IX</w:t>
      </w:r>
      <w:r w:rsidR="00094EF0" w:rsidRPr="00A500AB">
        <w:rPr>
          <w:rFonts w:asciiTheme="minorHAnsi" w:eastAsiaTheme="minorHAnsi" w:hAnsiTheme="minorHAnsi" w:cstheme="minorHAnsi"/>
        </w:rPr>
        <w:t>/202</w:t>
      </w:r>
      <w:r w:rsidR="00B211AB" w:rsidRPr="00A500AB">
        <w:rPr>
          <w:rFonts w:asciiTheme="minorHAnsi" w:eastAsiaTheme="minorHAnsi" w:hAnsiTheme="minorHAnsi" w:cstheme="minorHAnsi"/>
        </w:rPr>
        <w:t>5</w:t>
      </w:r>
    </w:p>
    <w:p w14:paraId="41D3471C" w14:textId="77777777" w:rsidR="000849FE" w:rsidRPr="002F6ECE" w:rsidRDefault="00035012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2F6ECE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2F6ECE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2F6ECE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2F6ECE">
        <w:rPr>
          <w:rFonts w:asciiTheme="minorHAnsi" w:eastAsiaTheme="minorHAnsi" w:hAnsiTheme="minorHAnsi" w:cstheme="minorHAnsi"/>
        </w:rPr>
        <w:t xml:space="preserve">   v tomto znění:</w:t>
      </w:r>
    </w:p>
    <w:p w14:paraId="615BDAE8" w14:textId="77777777" w:rsidR="00CA5B95" w:rsidRPr="002F6ECE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green"/>
        </w:rPr>
      </w:pPr>
    </w:p>
    <w:p w14:paraId="1BE9D90A" w14:textId="77777777" w:rsidR="00F20716" w:rsidRPr="002F6ECE" w:rsidRDefault="00035012" w:rsidP="00AF15FA">
      <w:pPr>
        <w:jc w:val="center"/>
        <w:rPr>
          <w:rStyle w:val="A4"/>
          <w:rFonts w:eastAsiaTheme="majorEastAsia"/>
          <w:b/>
          <w:sz w:val="32"/>
          <w:szCs w:val="32"/>
          <w:highlight w:val="green"/>
        </w:rPr>
      </w:pPr>
      <w:r w:rsidRPr="002F6ECE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green"/>
        </w:rPr>
        <w:br w:type="page"/>
      </w:r>
      <w:r w:rsidRPr="002F6ECE">
        <w:rPr>
          <w:rStyle w:val="A4"/>
          <w:rFonts w:eastAsiaTheme="majorEastAsia"/>
          <w:b/>
          <w:sz w:val="32"/>
          <w:szCs w:val="32"/>
        </w:rPr>
        <w:lastRenderedPageBreak/>
        <w:t>Účetní závěrka, výkaz pro hodnocení plnění rozpočtu</w:t>
      </w:r>
      <w:r w:rsidR="00AA65B4" w:rsidRPr="002F6ECE">
        <w:rPr>
          <w:rStyle w:val="A4"/>
          <w:rFonts w:eastAsiaTheme="majorEastAsia"/>
          <w:b/>
          <w:sz w:val="32"/>
          <w:szCs w:val="32"/>
        </w:rPr>
        <w:t>, závěrečný účet</w:t>
      </w:r>
      <w:r w:rsidR="005006B3" w:rsidRPr="002F6ECE">
        <w:rPr>
          <w:rStyle w:val="A4"/>
          <w:rFonts w:eastAsiaTheme="majorEastAsia"/>
          <w:b/>
          <w:sz w:val="32"/>
          <w:szCs w:val="32"/>
        </w:rPr>
        <w:t xml:space="preserve"> </w:t>
      </w:r>
      <w:r w:rsidRPr="002F6ECE">
        <w:rPr>
          <w:rStyle w:val="A4"/>
          <w:rFonts w:eastAsiaTheme="majorEastAsia"/>
          <w:b/>
          <w:sz w:val="32"/>
          <w:szCs w:val="32"/>
        </w:rPr>
        <w:t xml:space="preserve">a vnitřní kontrolní systém </w:t>
      </w:r>
      <w:r w:rsidR="002F6ECE" w:rsidRPr="002F6ECE">
        <w:rPr>
          <w:rStyle w:val="A4"/>
          <w:rFonts w:eastAsiaTheme="majorEastAsia"/>
          <w:b/>
          <w:sz w:val="32"/>
          <w:szCs w:val="32"/>
        </w:rPr>
        <w:t>NSA</w:t>
      </w:r>
      <w:r w:rsidRPr="002F6ECE">
        <w:rPr>
          <w:rStyle w:val="A4"/>
          <w:rFonts w:eastAsiaTheme="majorEastAsia"/>
          <w:b/>
          <w:sz w:val="32"/>
          <w:szCs w:val="32"/>
        </w:rPr>
        <w:t xml:space="preserve"> za rok 202</w:t>
      </w:r>
      <w:r w:rsidR="002F6ECE" w:rsidRPr="002F6ECE">
        <w:rPr>
          <w:rStyle w:val="A4"/>
          <w:rFonts w:eastAsiaTheme="majorEastAsia"/>
          <w:b/>
          <w:sz w:val="32"/>
          <w:szCs w:val="32"/>
        </w:rPr>
        <w:t>4</w:t>
      </w:r>
    </w:p>
    <w:p w14:paraId="7538178A" w14:textId="77777777" w:rsidR="00F20716" w:rsidRPr="002F6ECE" w:rsidRDefault="00F20716" w:rsidP="00F20716">
      <w:pPr>
        <w:jc w:val="center"/>
        <w:rPr>
          <w:rStyle w:val="A5"/>
          <w:rFonts w:cs="Calibri"/>
          <w:sz w:val="32"/>
          <w:szCs w:val="32"/>
          <w:highlight w:val="green"/>
        </w:rPr>
      </w:pPr>
    </w:p>
    <w:p w14:paraId="03EC1135" w14:textId="77777777" w:rsidR="00F20716" w:rsidRPr="002F6ECE" w:rsidRDefault="00035012" w:rsidP="006E0AFD">
      <w:pPr>
        <w:jc w:val="both"/>
        <w:rPr>
          <w:rStyle w:val="A4"/>
          <w:rFonts w:eastAsiaTheme="majorEastAsia"/>
          <w:sz w:val="24"/>
          <w:szCs w:val="24"/>
        </w:rPr>
      </w:pPr>
      <w:r w:rsidRPr="002F6ECE">
        <w:rPr>
          <w:rStyle w:val="A5"/>
          <w:rFonts w:cs="Calibri"/>
          <w:sz w:val="24"/>
          <w:szCs w:val="24"/>
        </w:rPr>
        <w:t xml:space="preserve">NKÚ zahájil kontrolu </w:t>
      </w:r>
      <w:r w:rsidR="001B6F75" w:rsidRPr="002F6ECE">
        <w:rPr>
          <w:rStyle w:val="A5"/>
          <w:rFonts w:cs="Calibri"/>
          <w:sz w:val="24"/>
          <w:szCs w:val="24"/>
        </w:rPr>
        <w:t>v průběhu kontrolovaného období</w:t>
      </w:r>
      <w:r w:rsidR="00D0329E" w:rsidRPr="002F6ECE">
        <w:rPr>
          <w:rStyle w:val="A5"/>
          <w:rFonts w:cs="Calibri"/>
          <w:sz w:val="24"/>
          <w:szCs w:val="24"/>
        </w:rPr>
        <w:t xml:space="preserve"> </w:t>
      </w:r>
      <w:r w:rsidR="002F6ECE" w:rsidRPr="002F6ECE">
        <w:rPr>
          <w:rStyle w:val="A5"/>
          <w:rFonts w:cs="Calibri"/>
          <w:sz w:val="24"/>
          <w:szCs w:val="24"/>
        </w:rPr>
        <w:t>2024</w:t>
      </w:r>
      <w:r w:rsidR="002F321A" w:rsidRPr="002F6ECE">
        <w:rPr>
          <w:rStyle w:val="A5"/>
          <w:rFonts w:cs="Calibri"/>
          <w:sz w:val="24"/>
          <w:szCs w:val="24"/>
        </w:rPr>
        <w:t xml:space="preserve">. </w:t>
      </w:r>
      <w:r w:rsidR="002F6ECE" w:rsidRPr="002F6ECE">
        <w:rPr>
          <w:rStyle w:val="A5"/>
          <w:rFonts w:cs="Calibri"/>
          <w:sz w:val="24"/>
          <w:szCs w:val="24"/>
        </w:rPr>
        <w:t xml:space="preserve">Národní sportovní agentura </w:t>
      </w:r>
      <w:r w:rsidRPr="002F6ECE">
        <w:rPr>
          <w:rStyle w:val="A5"/>
          <w:rFonts w:cs="Calibri"/>
          <w:sz w:val="24"/>
          <w:szCs w:val="24"/>
        </w:rPr>
        <w:t>tak mohl</w:t>
      </w:r>
      <w:r w:rsidR="002F6ECE" w:rsidRPr="002F6ECE">
        <w:rPr>
          <w:rStyle w:val="A5"/>
          <w:rFonts w:cs="Calibri"/>
          <w:sz w:val="24"/>
          <w:szCs w:val="24"/>
        </w:rPr>
        <w:t>a</w:t>
      </w:r>
      <w:r w:rsidRPr="002F6ECE">
        <w:rPr>
          <w:rStyle w:val="A5"/>
          <w:rFonts w:cs="Calibri"/>
          <w:sz w:val="24"/>
          <w:szCs w:val="24"/>
        </w:rPr>
        <w:t xml:space="preserve"> zjištěné nedostatky průběžně opravovat.</w:t>
      </w:r>
    </w:p>
    <w:p w14:paraId="125CCC57" w14:textId="77777777" w:rsidR="002F321A" w:rsidRPr="002F6ECE" w:rsidRDefault="002F321A" w:rsidP="002F321A">
      <w:pPr>
        <w:rPr>
          <w:rFonts w:asciiTheme="minorHAnsi" w:hAnsiTheme="minorHAnsi"/>
          <w:szCs w:val="22"/>
          <w:highlight w:val="green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B07849" w14:paraId="3D9C6863" w14:textId="77777777" w:rsidTr="002F321A">
        <w:tc>
          <w:tcPr>
            <w:tcW w:w="2835" w:type="dxa"/>
            <w:vAlign w:val="center"/>
          </w:tcPr>
          <w:p w14:paraId="0D17CDEC" w14:textId="77777777" w:rsidR="002F321A" w:rsidRPr="002F6ECE" w:rsidRDefault="002F321A">
            <w:pPr>
              <w:spacing w:after="0"/>
              <w:rPr>
                <w:b/>
                <w:sz w:val="2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14:paraId="65437F91" w14:textId="77777777" w:rsidR="002F321A" w:rsidRPr="002F6ECE" w:rsidRDefault="002F321A">
            <w:pPr>
              <w:rPr>
                <w:b/>
                <w:highlight w:val="green"/>
              </w:rPr>
            </w:pPr>
          </w:p>
        </w:tc>
        <w:tc>
          <w:tcPr>
            <w:tcW w:w="2405" w:type="dxa"/>
            <w:vAlign w:val="center"/>
            <w:hideMark/>
          </w:tcPr>
          <w:p w14:paraId="6981DDA7" w14:textId="77777777" w:rsidR="002F321A" w:rsidRPr="002F6ECE" w:rsidRDefault="00035012">
            <w:pPr>
              <w:spacing w:after="240"/>
              <w:jc w:val="center"/>
              <w:rPr>
                <w:b/>
                <w:sz w:val="28"/>
              </w:rPr>
            </w:pPr>
            <w:r w:rsidRPr="002F6ECE">
              <w:rPr>
                <w:b/>
              </w:rPr>
              <w:t xml:space="preserve">Opravy v průběhu </w:t>
            </w:r>
            <w:r w:rsidRPr="002F6ECE"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362132CD" w14:textId="77777777" w:rsidR="002F321A" w:rsidRPr="002F6ECE" w:rsidRDefault="002F321A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32A6A1DD" w14:textId="77777777" w:rsidR="002F321A" w:rsidRPr="002F6ECE" w:rsidRDefault="00035012">
            <w:pPr>
              <w:spacing w:after="240"/>
              <w:jc w:val="center"/>
              <w:rPr>
                <w:b/>
              </w:rPr>
            </w:pPr>
            <w:r w:rsidRPr="002F6ECE">
              <w:rPr>
                <w:b/>
              </w:rPr>
              <w:t>Výsledný stav po provedených opravách</w:t>
            </w:r>
          </w:p>
        </w:tc>
      </w:tr>
    </w:tbl>
    <w:p w14:paraId="345D7449" w14:textId="77777777" w:rsidR="002F321A" w:rsidRPr="00D26F6C" w:rsidRDefault="00035012" w:rsidP="002F321A">
      <w:pPr>
        <w:rPr>
          <w:rFonts w:asciiTheme="minorHAnsi" w:hAnsiTheme="minorHAnsi" w:cstheme="minorBidi"/>
          <w:sz w:val="22"/>
          <w:szCs w:val="22"/>
        </w:rPr>
      </w:pPr>
      <w:r w:rsidRPr="00D26F6C">
        <w:rPr>
          <w:noProof/>
        </w:rPr>
        <w:drawing>
          <wp:inline distT="0" distB="0" distL="0" distR="0" wp14:anchorId="3012323E" wp14:editId="451E3436">
            <wp:extent cx="5771515" cy="716915"/>
            <wp:effectExtent l="38100" t="0" r="19685" b="2603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042D197" w14:textId="77777777" w:rsidR="002F321A" w:rsidRPr="00D26F6C" w:rsidRDefault="00035012" w:rsidP="002F321A">
      <w:r w:rsidRPr="00D26F6C">
        <w:rPr>
          <w:noProof/>
        </w:rPr>
        <w:drawing>
          <wp:inline distT="0" distB="0" distL="0" distR="0" wp14:anchorId="32C5E498" wp14:editId="6CDF610D">
            <wp:extent cx="5771515" cy="716915"/>
            <wp:effectExtent l="38100" t="0" r="19685" b="26035"/>
            <wp:docPr id="68686639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1E6F42C2" w14:textId="77777777" w:rsidR="002F321A" w:rsidRPr="00D26F6C" w:rsidRDefault="00035012" w:rsidP="002F321A">
      <w:r w:rsidRPr="00D26F6C">
        <w:rPr>
          <w:noProof/>
        </w:rPr>
        <w:drawing>
          <wp:inline distT="0" distB="0" distL="0" distR="0" wp14:anchorId="509B14A6" wp14:editId="687417EB">
            <wp:extent cx="5771515" cy="716915"/>
            <wp:effectExtent l="38100" t="0" r="19685" b="2603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2D60C919" w14:textId="77777777" w:rsidR="0001734F" w:rsidRPr="00D26F6C" w:rsidRDefault="00035012" w:rsidP="0001734F">
      <w:r w:rsidRPr="00D26F6C">
        <w:rPr>
          <w:noProof/>
        </w:rPr>
        <w:drawing>
          <wp:inline distT="0" distB="0" distL="0" distR="0" wp14:anchorId="48C676A0" wp14:editId="5D9A5878">
            <wp:extent cx="5771515" cy="716915"/>
            <wp:effectExtent l="38100" t="38100" r="19685" b="6413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750F83EB" w14:textId="77777777" w:rsidR="002F321A" w:rsidRPr="002F6ECE" w:rsidRDefault="002F321A" w:rsidP="002F321A">
      <w:pPr>
        <w:rPr>
          <w:b/>
          <w:highlight w:val="green"/>
        </w:rPr>
      </w:pPr>
    </w:p>
    <w:p w14:paraId="6F44C548" w14:textId="77777777" w:rsidR="002F321A" w:rsidRPr="002F6ECE" w:rsidRDefault="00035012" w:rsidP="003B7324">
      <w:r w:rsidRPr="002F6E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08E014" wp14:editId="498914D7">
                <wp:simplePos x="0" y="0"/>
                <wp:positionH relativeFrom="column">
                  <wp:posOffset>-3175</wp:posOffset>
                </wp:positionH>
                <wp:positionV relativeFrom="paragraph">
                  <wp:posOffset>3175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ACDFB" id="Obdélník: se zakulacenými rohy 10" o:spid="_x0000_s1026" style="position:absolute;margin-left:-.25pt;margin-top:.25pt;width:14.1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" fillcolor="#2eb3a1" stroked="f" strokeweight="1pt">
                <v:stroke joinstyle="miter"/>
                <w10:wrap type="tight"/>
              </v:roundrect>
            </w:pict>
          </mc:Fallback>
        </mc:AlternateContent>
      </w:r>
      <w:r w:rsidRPr="002F6ECE">
        <w:t>Nebyly zjištěny významné nesprávnosti</w:t>
      </w:r>
      <w:r w:rsidR="00814E30" w:rsidRPr="002F6ECE">
        <w:t>/nedostatky</w:t>
      </w:r>
      <w:r w:rsidR="00BA7667" w:rsidRPr="002F6ECE">
        <w:t>.</w:t>
      </w:r>
    </w:p>
    <w:p w14:paraId="3C513F30" w14:textId="77777777" w:rsidR="002F321A" w:rsidRPr="002F6ECE" w:rsidRDefault="00035012">
      <w:r w:rsidRPr="002F6E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F15C94" wp14:editId="08795B1B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871BA4" id="Obdélník: se zakulacenými rohy 6" o:spid="_x0000_s1026" style="position:absolute;margin-left:-.35pt;margin-top:.35pt;width:14.1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" fillcolor="#fdc300" stroked="f" strokeweight="1pt">
                <v:stroke joinstyle="miter"/>
                <w10:wrap type="tight"/>
              </v:roundrect>
            </w:pict>
          </mc:Fallback>
        </mc:AlternateContent>
      </w:r>
      <w:r w:rsidRPr="002F6ECE">
        <w:t>Byly zjištěny významné nesprávnosti</w:t>
      </w:r>
      <w:r w:rsidR="00814E30" w:rsidRPr="002F6ECE">
        <w:t>/nedostatky</w:t>
      </w:r>
      <w:r w:rsidR="00B61D07" w:rsidRPr="002F6ECE">
        <w:t>.</w:t>
      </w:r>
    </w:p>
    <w:p w14:paraId="13F1DACC" w14:textId="77777777" w:rsidR="002F321A" w:rsidRPr="002F6ECE" w:rsidRDefault="00035012" w:rsidP="00B61D07">
      <w:pPr>
        <w:jc w:val="both"/>
      </w:pPr>
      <w:r w:rsidRPr="002F6ECE"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A8DD45" wp14:editId="133D7E54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E7665" id="Obdélník: se zakulacenými rohy 7" o:spid="_x0000_s1026" style="position:absolute;margin-left:-.35pt;margin-top:-.2pt;width:14.1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" fillcolor="#af1953" stroked="f" strokeweight="1pt">
                <v:stroke joinstyle="miter"/>
                <w10:wrap type="tight"/>
              </v:roundrect>
            </w:pict>
          </mc:Fallback>
        </mc:AlternateContent>
      </w:r>
      <w:r w:rsidRPr="002F6ECE">
        <w:rPr>
          <w:spacing w:val="-2"/>
        </w:rPr>
        <w:t>Byly zjištěny významné nesprávnosti</w:t>
      </w:r>
      <w:r w:rsidR="00814E30" w:rsidRPr="002F6ECE">
        <w:rPr>
          <w:spacing w:val="-2"/>
        </w:rPr>
        <w:t>/nedostatky</w:t>
      </w:r>
      <w:r w:rsidRPr="002F6ECE">
        <w:rPr>
          <w:spacing w:val="-2"/>
        </w:rPr>
        <w:t xml:space="preserve"> s rozsáhlým dopadem na oblast</w:t>
      </w:r>
      <w:r w:rsidR="003B7324" w:rsidRPr="002F6ECE">
        <w:rPr>
          <w:spacing w:val="-2"/>
        </w:rPr>
        <w:t xml:space="preserve"> </w:t>
      </w:r>
      <w:r w:rsidRPr="002F6ECE">
        <w:rPr>
          <w:spacing w:val="-2"/>
        </w:rPr>
        <w:t>kontrol</w:t>
      </w:r>
      <w:r w:rsidR="003B7324" w:rsidRPr="002F6ECE">
        <w:rPr>
          <w:spacing w:val="-2"/>
        </w:rPr>
        <w:t>y</w:t>
      </w:r>
      <w:r w:rsidR="00B61D07" w:rsidRPr="002F6ECE">
        <w:t>.</w:t>
      </w:r>
    </w:p>
    <w:p w14:paraId="40638D17" w14:textId="77777777" w:rsidR="00F20716" w:rsidRPr="002F6ECE" w:rsidRDefault="00F20716" w:rsidP="00876A96">
      <w:pPr>
        <w:spacing w:after="160" w:line="259" w:lineRule="auto"/>
        <w:rPr>
          <w:highlight w:val="green"/>
        </w:rPr>
      </w:pPr>
    </w:p>
    <w:p w14:paraId="4628820C" w14:textId="77777777" w:rsidR="00F20716" w:rsidRPr="002F6ECE" w:rsidRDefault="00F20716" w:rsidP="00876A96">
      <w:pPr>
        <w:spacing w:after="160" w:line="259" w:lineRule="auto"/>
        <w:rPr>
          <w:highlight w:val="green"/>
        </w:rPr>
      </w:pPr>
    </w:p>
    <w:p w14:paraId="1B11E645" w14:textId="77777777" w:rsidR="00752399" w:rsidRPr="002F6ECE" w:rsidRDefault="00035012" w:rsidP="00876A96">
      <w:pPr>
        <w:spacing w:after="160" w:line="259" w:lineRule="auto"/>
        <w:rPr>
          <w:highlight w:val="green"/>
        </w:rPr>
      </w:pPr>
      <w:r w:rsidRPr="002F6ECE">
        <w:rPr>
          <w:highlight w:val="green"/>
        </w:rPr>
        <w:br w:type="page"/>
      </w:r>
    </w:p>
    <w:p w14:paraId="18BBABBA" w14:textId="77777777" w:rsidR="0033466E" w:rsidRPr="00B211AB" w:rsidRDefault="00035012" w:rsidP="00C97383">
      <w:pPr>
        <w:pStyle w:val="Styl1"/>
        <w:spacing w:after="240"/>
        <w:ind w:left="414" w:hanging="57"/>
      </w:pPr>
      <w:r w:rsidRPr="00B211AB">
        <w:lastRenderedPageBreak/>
        <w:t>Shrnutí a vyhodnocení</w:t>
      </w:r>
    </w:p>
    <w:p w14:paraId="0DDCD506" w14:textId="522DBCE9" w:rsidR="003E3D74" w:rsidRPr="002F6ECE" w:rsidRDefault="00035012" w:rsidP="005F4282">
      <w:pPr>
        <w:spacing w:before="120" w:line="200" w:lineRule="atLeast"/>
        <w:jc w:val="both"/>
        <w:rPr>
          <w:rFonts w:asciiTheme="minorHAnsi" w:hAnsiTheme="minorHAnsi" w:cstheme="minorHAnsi"/>
          <w:bCs/>
          <w:highlight w:val="green"/>
        </w:rPr>
      </w:pPr>
      <w:r w:rsidRPr="00B211AB">
        <w:rPr>
          <w:rFonts w:asciiTheme="minorHAnsi" w:eastAsiaTheme="minorHAnsi" w:hAnsiTheme="minorHAnsi" w:cstheme="minorHAnsi"/>
        </w:rPr>
        <w:t xml:space="preserve">Cílem kontroly bylo prověřit, zda </w:t>
      </w:r>
      <w:r w:rsidR="00B211AB" w:rsidRPr="00B211AB">
        <w:rPr>
          <w:rFonts w:asciiTheme="minorHAnsi" w:eastAsiaTheme="minorHAnsi" w:hAnsiTheme="minorHAnsi" w:cstheme="minorHAnsi"/>
        </w:rPr>
        <w:t>NSA</w:t>
      </w:r>
      <w:r w:rsidR="001E3826" w:rsidRPr="00B211AB">
        <w:rPr>
          <w:rFonts w:asciiTheme="minorHAnsi" w:eastAsiaTheme="minorHAnsi" w:hAnsiTheme="minorHAnsi" w:cstheme="minorHAnsi"/>
        </w:rPr>
        <w:t xml:space="preserve"> při sestavení závěrečného účtu</w:t>
      </w:r>
      <w:r w:rsidR="00B75F34" w:rsidRPr="00B211AB">
        <w:rPr>
          <w:rFonts w:asciiTheme="minorHAnsi" w:eastAsiaTheme="minorHAnsi" w:hAnsiTheme="minorHAnsi" w:cstheme="minorHAnsi"/>
        </w:rPr>
        <w:t xml:space="preserve"> a</w:t>
      </w:r>
      <w:r w:rsidR="001E3826" w:rsidRPr="00B211AB">
        <w:rPr>
          <w:rFonts w:asciiTheme="minorHAnsi" w:eastAsiaTheme="minorHAnsi" w:hAnsiTheme="minorHAnsi" w:cstheme="minorHAnsi"/>
        </w:rPr>
        <w:t xml:space="preserve"> při vedení účetnictví</w:t>
      </w:r>
      <w:r w:rsidR="00B75F34" w:rsidRPr="00B211AB">
        <w:rPr>
          <w:rFonts w:asciiTheme="minorHAnsi" w:eastAsiaTheme="minorHAnsi" w:hAnsiTheme="minorHAnsi" w:cstheme="minorHAnsi"/>
        </w:rPr>
        <w:t xml:space="preserve"> a</w:t>
      </w:r>
      <w:r w:rsidR="00C97383">
        <w:rPr>
          <w:rFonts w:asciiTheme="minorHAnsi" w:eastAsiaTheme="minorHAnsi" w:hAnsiTheme="minorHAnsi" w:cstheme="minorHAnsi"/>
        </w:rPr>
        <w:t> </w:t>
      </w:r>
      <w:r w:rsidR="001E3826" w:rsidRPr="00B211AB">
        <w:rPr>
          <w:rFonts w:asciiTheme="minorHAnsi" w:eastAsiaTheme="minorHAnsi" w:hAnsiTheme="minorHAnsi" w:cstheme="minorHAnsi"/>
        </w:rPr>
        <w:t>sestavení účetní závěrky a předkládání údajů pro hodnocení plnění státního rozpočtu za rok 202</w:t>
      </w:r>
      <w:r w:rsidR="00B211AB" w:rsidRPr="00B211AB">
        <w:rPr>
          <w:rFonts w:asciiTheme="minorHAnsi" w:eastAsiaTheme="minorHAnsi" w:hAnsiTheme="minorHAnsi" w:cstheme="minorHAnsi"/>
        </w:rPr>
        <w:t>4</w:t>
      </w:r>
      <w:r w:rsidR="001E3826" w:rsidRPr="00B211AB">
        <w:rPr>
          <w:rFonts w:asciiTheme="minorHAnsi" w:eastAsiaTheme="minorHAnsi" w:hAnsiTheme="minorHAnsi" w:cstheme="minorHAnsi"/>
        </w:rPr>
        <w:t xml:space="preserve"> postupoval</w:t>
      </w:r>
      <w:r w:rsidR="00B211AB" w:rsidRPr="00B211AB">
        <w:rPr>
          <w:rFonts w:asciiTheme="minorHAnsi" w:eastAsiaTheme="minorHAnsi" w:hAnsiTheme="minorHAnsi" w:cstheme="minorHAnsi"/>
        </w:rPr>
        <w:t>a</w:t>
      </w:r>
      <w:r w:rsidR="001E3826" w:rsidRPr="00B211AB">
        <w:rPr>
          <w:rFonts w:asciiTheme="minorHAnsi" w:eastAsiaTheme="minorHAnsi" w:hAnsiTheme="minorHAnsi" w:cstheme="minorHAnsi"/>
        </w:rPr>
        <w:t xml:space="preserve"> v souladu s příslušnými právními předpisy.</w:t>
      </w:r>
    </w:p>
    <w:p w14:paraId="6BE5024C" w14:textId="77777777" w:rsidR="00EA4390" w:rsidRPr="00B211AB" w:rsidRDefault="00035012" w:rsidP="005F4282">
      <w:pPr>
        <w:spacing w:before="120" w:after="0"/>
        <w:jc w:val="both"/>
        <w:rPr>
          <w:rFonts w:eastAsiaTheme="minorHAnsi" w:cs="Calibri"/>
        </w:rPr>
      </w:pPr>
      <w:r w:rsidRPr="00B211AB">
        <w:rPr>
          <w:rFonts w:eastAsiaTheme="minorHAnsi" w:cs="Calibri"/>
        </w:rPr>
        <w:t>K</w:t>
      </w:r>
      <w:r w:rsidR="005006B3" w:rsidRPr="00B211AB">
        <w:rPr>
          <w:rFonts w:eastAsiaTheme="minorHAnsi" w:cs="Calibri"/>
        </w:rPr>
        <w:t>ontrolní akce</w:t>
      </w:r>
      <w:r w:rsidR="00F7140E" w:rsidRPr="00B211AB">
        <w:rPr>
          <w:rFonts w:eastAsiaTheme="minorHAnsi" w:cs="Calibri"/>
        </w:rPr>
        <w:t xml:space="preserve"> byla zahájena v průběhu kontrolovaného účetního a rozpočtového období </w:t>
      </w:r>
      <w:r w:rsidR="001E3826" w:rsidRPr="00B211AB">
        <w:rPr>
          <w:rFonts w:eastAsiaTheme="minorHAnsi" w:cs="Calibri"/>
        </w:rPr>
        <w:t>202</w:t>
      </w:r>
      <w:r w:rsidR="00B211AB" w:rsidRPr="00B211AB">
        <w:rPr>
          <w:rFonts w:eastAsiaTheme="minorHAnsi" w:cs="Calibri"/>
        </w:rPr>
        <w:t>4</w:t>
      </w:r>
      <w:r w:rsidR="00F7140E" w:rsidRPr="00B211AB">
        <w:rPr>
          <w:rFonts w:eastAsiaTheme="minorHAnsi" w:cs="Calibri"/>
        </w:rPr>
        <w:t>.</w:t>
      </w:r>
      <w:r w:rsidRPr="00B211AB">
        <w:rPr>
          <w:rFonts w:eastAsiaTheme="minorHAnsi" w:cs="Calibri"/>
        </w:rPr>
        <w:t xml:space="preserve"> </w:t>
      </w:r>
    </w:p>
    <w:p w14:paraId="551193A0" w14:textId="799AABEC" w:rsidR="001B1A20" w:rsidRDefault="00703365" w:rsidP="00703365">
      <w:pPr>
        <w:pStyle w:val="Styl2"/>
        <w:numPr>
          <w:ilvl w:val="0"/>
          <w:numId w:val="0"/>
        </w:numPr>
        <w:spacing w:before="240" w:after="120"/>
      </w:pPr>
      <w:r>
        <w:t xml:space="preserve">1. </w:t>
      </w:r>
      <w:r w:rsidR="00035012" w:rsidRPr="00B211AB">
        <w:t>Vedení účetnictví</w:t>
      </w:r>
      <w:r w:rsidR="00E45844" w:rsidRPr="00B211AB">
        <w:t xml:space="preserve"> a účetní závěrka</w:t>
      </w:r>
    </w:p>
    <w:p w14:paraId="1E595591" w14:textId="77777777" w:rsidR="001B1A20" w:rsidRDefault="00035012" w:rsidP="00062A05">
      <w:pPr>
        <w:jc w:val="both"/>
        <w:rPr>
          <w:rFonts w:eastAsiaTheme="minorHAnsi" w:cs="Calibri"/>
        </w:rPr>
      </w:pPr>
      <w:r w:rsidRPr="001B1A20">
        <w:rPr>
          <w:rFonts w:eastAsiaTheme="minorHAnsi" w:cs="Calibri"/>
        </w:rPr>
        <w:t xml:space="preserve">NKÚ provedl kontrolu </w:t>
      </w:r>
      <w:r>
        <w:rPr>
          <w:rFonts w:eastAsiaTheme="minorHAnsi" w:cs="Calibri"/>
        </w:rPr>
        <w:t>účetní závěrky NSA</w:t>
      </w:r>
      <w:r w:rsidRPr="001B1A20">
        <w:rPr>
          <w:rFonts w:eastAsiaTheme="minorHAnsi" w:cs="Calibri"/>
        </w:rPr>
        <w:t xml:space="preserve"> sestavené k 31. prosinci 2024</w:t>
      </w:r>
      <w:r>
        <w:rPr>
          <w:rFonts w:eastAsiaTheme="minorHAnsi" w:cs="Calibri"/>
        </w:rPr>
        <w:t xml:space="preserve"> (dále také „ÚZ“)</w:t>
      </w:r>
      <w:r>
        <w:rPr>
          <w:rStyle w:val="Znakapoznpodarou"/>
          <w:rFonts w:eastAsiaTheme="minorHAnsi" w:cs="Calibri"/>
        </w:rPr>
        <w:footnoteReference w:id="2"/>
      </w:r>
      <w:r w:rsidRPr="001B1A20">
        <w:rPr>
          <w:rFonts w:eastAsiaTheme="minorHAnsi" w:cs="Calibri"/>
        </w:rPr>
        <w:t>, která se skládá z rozvahy, výkazu zisku a ztráty a přílohy.</w:t>
      </w:r>
    </w:p>
    <w:tbl>
      <w:tblPr>
        <w:tblStyle w:val="Mkatabulky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84"/>
      </w:tblGrid>
      <w:tr w:rsidR="00B07849" w14:paraId="475A0AFE" w14:textId="77777777" w:rsidTr="00076416">
        <w:trPr>
          <w:trHeight w:val="1189"/>
        </w:trPr>
        <w:tc>
          <w:tcPr>
            <w:tcW w:w="9084" w:type="dxa"/>
            <w:shd w:val="clear" w:color="auto" w:fill="E6E6E6"/>
            <w:tcMar>
              <w:left w:w="142" w:type="dxa"/>
              <w:right w:w="227" w:type="dxa"/>
            </w:tcMar>
          </w:tcPr>
          <w:p w14:paraId="6434597D" w14:textId="209F52B6" w:rsidR="00487F34" w:rsidRPr="002F6ECE" w:rsidRDefault="00035012">
            <w:pPr>
              <w:spacing w:before="120"/>
              <w:ind w:right="-102"/>
              <w:jc w:val="both"/>
              <w:rPr>
                <w:rFonts w:asciiTheme="minorHAnsi" w:hAnsiTheme="minorHAnsi" w:cs="Calibri"/>
                <w:b/>
                <w:highlight w:val="green"/>
              </w:rPr>
            </w:pPr>
            <w:bookmarkStart w:id="1" w:name="_Hlk79663883"/>
            <w:r w:rsidRPr="00B211AB">
              <w:rPr>
                <w:rFonts w:asciiTheme="minorHAnsi" w:hAnsiTheme="minorHAnsi" w:cs="Calibri"/>
                <w:b/>
              </w:rPr>
              <w:t xml:space="preserve">Účetní závěrka </w:t>
            </w:r>
            <w:r w:rsidR="00B211AB" w:rsidRPr="00B211AB">
              <w:rPr>
                <w:rFonts w:asciiTheme="minorHAnsi" w:hAnsiTheme="minorHAnsi" w:cs="Calibri"/>
                <w:b/>
              </w:rPr>
              <w:t>NSA</w:t>
            </w:r>
            <w:r w:rsidRPr="00B211AB">
              <w:rPr>
                <w:rFonts w:asciiTheme="minorHAnsi" w:hAnsiTheme="minorHAnsi" w:cs="Calibri"/>
                <w:b/>
              </w:rPr>
              <w:t xml:space="preserve"> </w:t>
            </w:r>
            <w:r w:rsidR="00C51529">
              <w:rPr>
                <w:rFonts w:asciiTheme="minorHAnsi" w:hAnsiTheme="minorHAnsi" w:cs="Calibri"/>
                <w:b/>
              </w:rPr>
              <w:t xml:space="preserve">sestavená </w:t>
            </w:r>
            <w:r w:rsidRPr="00B211AB">
              <w:rPr>
                <w:rFonts w:asciiTheme="minorHAnsi" w:hAnsiTheme="minorHAnsi" w:cs="Calibri"/>
                <w:b/>
              </w:rPr>
              <w:t>k 31. prosinci 202</w:t>
            </w:r>
            <w:r w:rsidR="00B211AB" w:rsidRPr="00B211AB">
              <w:rPr>
                <w:rFonts w:asciiTheme="minorHAnsi" w:hAnsiTheme="minorHAnsi" w:cs="Calibri"/>
                <w:b/>
              </w:rPr>
              <w:t>4</w:t>
            </w:r>
            <w:r w:rsidR="00A53EBF" w:rsidRPr="00B211AB">
              <w:rPr>
                <w:rFonts w:asciiTheme="minorHAnsi" w:hAnsiTheme="minorHAnsi" w:cs="Calibri"/>
                <w:b/>
              </w:rPr>
              <w:t xml:space="preserve"> </w:t>
            </w:r>
            <w:r w:rsidRPr="00B211AB">
              <w:rPr>
                <w:rFonts w:asciiTheme="minorHAnsi" w:hAnsiTheme="minorHAnsi" w:cs="Calibri"/>
                <w:b/>
              </w:rPr>
              <w:t>podává dle NKÚ ve všech významných ohledech věrný a poctivý obraz předmětu účetnictví a finanční situace účetní jednotky</w:t>
            </w:r>
            <w:r w:rsidR="000878BC" w:rsidRPr="00B211AB">
              <w:rPr>
                <w:rFonts w:asciiTheme="minorHAnsi" w:hAnsiTheme="minorHAnsi" w:cs="Calibri"/>
                <w:b/>
              </w:rPr>
              <w:t>, a</w:t>
            </w:r>
            <w:r w:rsidR="00C97383">
              <w:rPr>
                <w:rFonts w:asciiTheme="minorHAnsi" w:hAnsiTheme="minorHAnsi" w:cs="Calibri"/>
                <w:b/>
              </w:rPr>
              <w:t> </w:t>
            </w:r>
            <w:r w:rsidR="000878BC" w:rsidRPr="00B211AB">
              <w:rPr>
                <w:rFonts w:asciiTheme="minorHAnsi" w:hAnsiTheme="minorHAnsi" w:cs="Calibri"/>
                <w:b/>
              </w:rPr>
              <w:t>to</w:t>
            </w:r>
            <w:r w:rsidRPr="00B211AB">
              <w:rPr>
                <w:rFonts w:asciiTheme="minorHAnsi" w:hAnsiTheme="minorHAnsi" w:cs="Calibri"/>
                <w:b/>
              </w:rPr>
              <w:t xml:space="preserve"> dle účetních předpisů pro některé vybrané účetní jednotky</w:t>
            </w:r>
            <w:r>
              <w:rPr>
                <w:rStyle w:val="Znakapoznpodarou"/>
                <w:rFonts w:asciiTheme="minorHAnsi" w:hAnsiTheme="minorHAnsi" w:cs="Calibri"/>
                <w:b/>
              </w:rPr>
              <w:footnoteReference w:id="3"/>
            </w:r>
            <w:r w:rsidRPr="00B211AB">
              <w:rPr>
                <w:rFonts w:asciiTheme="minorHAnsi" w:hAnsiTheme="minorHAnsi" w:cs="Calibri"/>
                <w:b/>
              </w:rPr>
              <w:t>.</w:t>
            </w:r>
          </w:p>
        </w:tc>
      </w:tr>
    </w:tbl>
    <w:p w14:paraId="64649268" w14:textId="77777777" w:rsidR="00743A4E" w:rsidRPr="002F6ECE" w:rsidRDefault="00035012" w:rsidP="005F4282">
      <w:pPr>
        <w:pStyle w:val="Odstavecseseznamem"/>
        <w:spacing w:before="120" w:after="0"/>
        <w:ind w:left="0"/>
        <w:contextualSpacing w:val="0"/>
        <w:jc w:val="both"/>
        <w:rPr>
          <w:rFonts w:eastAsiaTheme="minorHAnsi" w:cs="Calibri"/>
          <w:highlight w:val="green"/>
        </w:rPr>
      </w:pPr>
      <w:bookmarkStart w:id="2" w:name="_Hlk198029890"/>
      <w:bookmarkEnd w:id="1"/>
      <w:r w:rsidRPr="00B211AB">
        <w:rPr>
          <w:rFonts w:eastAsiaTheme="minorHAnsi" w:cs="Calibri"/>
        </w:rPr>
        <w:t>NKÚ v průběhu kontroly identifikoval nedostatky ve vedení účetnictví</w:t>
      </w:r>
      <w:r w:rsidR="00C51529">
        <w:rPr>
          <w:rFonts w:eastAsiaTheme="minorHAnsi" w:cs="Calibri"/>
        </w:rPr>
        <w:t xml:space="preserve"> NSA</w:t>
      </w:r>
      <w:r w:rsidR="00B20632" w:rsidRPr="00B211AB">
        <w:rPr>
          <w:rFonts w:eastAsiaTheme="minorHAnsi" w:cs="Calibri"/>
        </w:rPr>
        <w:t>. Tyto nedostatky</w:t>
      </w:r>
      <w:r w:rsidRPr="00B211AB">
        <w:rPr>
          <w:rFonts w:eastAsiaTheme="minorHAnsi" w:cs="Calibri"/>
        </w:rPr>
        <w:t xml:space="preserve"> </w:t>
      </w:r>
      <w:r w:rsidR="00C51529" w:rsidRPr="00B211AB">
        <w:rPr>
          <w:rFonts w:eastAsiaTheme="minorHAnsi" w:cs="Calibri"/>
        </w:rPr>
        <w:t xml:space="preserve">ve výši </w:t>
      </w:r>
      <w:r w:rsidR="00C51529">
        <w:rPr>
          <w:rFonts w:eastAsiaTheme="minorHAnsi" w:cs="Calibri"/>
        </w:rPr>
        <w:t>911</w:t>
      </w:r>
      <w:r w:rsidR="00C51529" w:rsidRPr="006314B3">
        <w:rPr>
          <w:rFonts w:eastAsiaTheme="minorHAnsi" w:cs="Calibri"/>
        </w:rPr>
        <w:t>,8 mil. Kč</w:t>
      </w:r>
      <w:r w:rsidR="00C51529" w:rsidRPr="00B211AB">
        <w:rPr>
          <w:rFonts w:eastAsiaTheme="minorHAnsi" w:cs="Calibri"/>
        </w:rPr>
        <w:t xml:space="preserve"> </w:t>
      </w:r>
      <w:r w:rsidRPr="00B211AB">
        <w:rPr>
          <w:rFonts w:eastAsiaTheme="minorHAnsi" w:cs="Calibri"/>
        </w:rPr>
        <w:t xml:space="preserve">by </w:t>
      </w:r>
      <w:r w:rsidRPr="006314B3">
        <w:rPr>
          <w:rFonts w:eastAsiaTheme="minorHAnsi" w:cs="Calibri"/>
        </w:rPr>
        <w:t xml:space="preserve">měly </w:t>
      </w:r>
      <w:r w:rsidR="00166166" w:rsidRPr="006314B3">
        <w:rPr>
          <w:rFonts w:eastAsiaTheme="minorHAnsi" w:cs="Calibri"/>
        </w:rPr>
        <w:t xml:space="preserve">významný </w:t>
      </w:r>
      <w:r w:rsidR="00B20632" w:rsidRPr="006314B3">
        <w:rPr>
          <w:rFonts w:eastAsiaTheme="minorHAnsi" w:cs="Calibri"/>
        </w:rPr>
        <w:t>vliv</w:t>
      </w:r>
      <w:r w:rsidR="00B20632" w:rsidRPr="00B211AB">
        <w:rPr>
          <w:rFonts w:eastAsiaTheme="minorHAnsi" w:cs="Calibri"/>
        </w:rPr>
        <w:t xml:space="preserve"> </w:t>
      </w:r>
      <w:r w:rsidRPr="00B211AB">
        <w:rPr>
          <w:rFonts w:eastAsiaTheme="minorHAnsi" w:cs="Calibri"/>
        </w:rPr>
        <w:t xml:space="preserve">na zůstatky položek účetní závěrky </w:t>
      </w:r>
      <w:r w:rsidR="00B211AB" w:rsidRPr="00B211AB">
        <w:rPr>
          <w:rFonts w:eastAsiaTheme="minorHAnsi" w:cs="Calibri"/>
        </w:rPr>
        <w:t>NSA</w:t>
      </w:r>
      <w:r w:rsidRPr="00B211AB">
        <w:rPr>
          <w:rFonts w:eastAsiaTheme="minorHAnsi" w:cs="Calibri"/>
        </w:rPr>
        <w:t xml:space="preserve"> za rok 202</w:t>
      </w:r>
      <w:r w:rsidR="00B211AB" w:rsidRPr="00B211AB">
        <w:rPr>
          <w:rFonts w:eastAsiaTheme="minorHAnsi" w:cs="Calibri"/>
        </w:rPr>
        <w:t>4</w:t>
      </w:r>
      <w:r w:rsidRPr="006314B3">
        <w:rPr>
          <w:rFonts w:eastAsiaTheme="minorHAnsi" w:cs="Calibri"/>
        </w:rPr>
        <w:t>.</w:t>
      </w:r>
      <w:r w:rsidR="00166166" w:rsidRPr="006314B3">
        <w:rPr>
          <w:rFonts w:eastAsiaTheme="minorHAnsi" w:cs="Calibri"/>
        </w:rPr>
        <w:t xml:space="preserve"> </w:t>
      </w:r>
      <w:r w:rsidR="006314B3" w:rsidRPr="00CA696D">
        <w:rPr>
          <w:rFonts w:eastAsiaTheme="minorHAnsi" w:cs="Calibri"/>
        </w:rPr>
        <w:t>NSA tyto zjištěné nedostatky opravila ještě před sestavením ÚZ</w:t>
      </w:r>
      <w:r w:rsidR="00CA696D" w:rsidRPr="00CA696D">
        <w:rPr>
          <w:rFonts w:eastAsiaTheme="minorHAnsi" w:cs="Calibri"/>
        </w:rPr>
        <w:t xml:space="preserve"> </w:t>
      </w:r>
      <w:r w:rsidRPr="00CA696D">
        <w:rPr>
          <w:rFonts w:eastAsiaTheme="minorHAnsi" w:cs="Calibri"/>
        </w:rPr>
        <w:t xml:space="preserve">(viz </w:t>
      </w:r>
      <w:r w:rsidRPr="00D43D0C">
        <w:rPr>
          <w:rFonts w:eastAsiaTheme="minorHAnsi" w:cs="Calibri"/>
        </w:rPr>
        <w:t>část IV.1.</w:t>
      </w:r>
      <w:r w:rsidR="00D43D0C">
        <w:rPr>
          <w:rFonts w:eastAsiaTheme="minorHAnsi" w:cs="Calibri"/>
        </w:rPr>
        <w:t>1</w:t>
      </w:r>
      <w:r w:rsidR="00743FD4" w:rsidRPr="00D43D0C">
        <w:rPr>
          <w:rFonts w:eastAsiaTheme="minorHAnsi" w:cs="Calibri"/>
        </w:rPr>
        <w:t xml:space="preserve"> tohoto</w:t>
      </w:r>
      <w:r w:rsidR="00743FD4" w:rsidRPr="00CA696D">
        <w:rPr>
          <w:rFonts w:eastAsiaTheme="minorHAnsi" w:cs="Calibri"/>
        </w:rPr>
        <w:t xml:space="preserve"> kontrolního závěru</w:t>
      </w:r>
      <w:r w:rsidRPr="00CA696D">
        <w:rPr>
          <w:rFonts w:eastAsiaTheme="minorHAnsi" w:cs="Calibri"/>
        </w:rPr>
        <w:t>).</w:t>
      </w:r>
      <w:bookmarkEnd w:id="2"/>
    </w:p>
    <w:p w14:paraId="01517B59" w14:textId="5401E3F8" w:rsidR="00603A22" w:rsidRPr="002F6ECE" w:rsidRDefault="00035012" w:rsidP="005F4282">
      <w:pPr>
        <w:pStyle w:val="Odstavecseseznamem"/>
        <w:spacing w:before="120" w:after="0"/>
        <w:ind w:left="0"/>
        <w:contextualSpacing w:val="0"/>
        <w:jc w:val="both"/>
        <w:rPr>
          <w:rFonts w:asciiTheme="minorHAnsi" w:hAnsiTheme="minorHAnsi" w:cs="Calibri"/>
          <w:highlight w:val="green"/>
        </w:rPr>
      </w:pPr>
      <w:r w:rsidRPr="00B211AB">
        <w:rPr>
          <w:rFonts w:eastAsiaTheme="minorHAnsi" w:cs="Calibri"/>
        </w:rPr>
        <w:t>V důsledku provedení účetních oprav</w:t>
      </w:r>
      <w:r w:rsidR="00743A4E" w:rsidRPr="00B211AB">
        <w:rPr>
          <w:rFonts w:eastAsiaTheme="minorHAnsi" w:cs="Calibri"/>
        </w:rPr>
        <w:t xml:space="preserve"> </w:t>
      </w:r>
      <w:r w:rsidRPr="00B211AB">
        <w:rPr>
          <w:rFonts w:eastAsiaTheme="minorHAnsi" w:cs="Calibri"/>
        </w:rPr>
        <w:t>a</w:t>
      </w:r>
      <w:r w:rsidR="00A53481" w:rsidRPr="00B211AB">
        <w:rPr>
          <w:rFonts w:eastAsiaTheme="minorHAnsi" w:cs="Calibri"/>
        </w:rPr>
        <w:t xml:space="preserve"> </w:t>
      </w:r>
      <w:r w:rsidRPr="00B211AB">
        <w:rPr>
          <w:rFonts w:eastAsiaTheme="minorHAnsi" w:cs="Calibri"/>
        </w:rPr>
        <w:t>realizace potřebných opatření k</w:t>
      </w:r>
      <w:r w:rsidR="00DF6AD0" w:rsidRPr="00B211AB">
        <w:rPr>
          <w:rFonts w:eastAsiaTheme="minorHAnsi" w:cs="Calibri"/>
        </w:rPr>
        <w:t xml:space="preserve"> </w:t>
      </w:r>
      <w:r w:rsidRPr="00B211AB">
        <w:rPr>
          <w:rFonts w:eastAsiaTheme="minorHAnsi" w:cs="Calibri"/>
        </w:rPr>
        <w:t>eliminaci systémových nedostatků</w:t>
      </w:r>
      <w:r w:rsidR="00A53481" w:rsidRPr="00B211AB">
        <w:rPr>
          <w:rFonts w:eastAsiaTheme="minorHAnsi" w:cs="Calibri"/>
        </w:rPr>
        <w:t xml:space="preserve"> ještě</w:t>
      </w:r>
      <w:r w:rsidRPr="00B211AB">
        <w:rPr>
          <w:rFonts w:eastAsiaTheme="minorHAnsi" w:cs="Calibri"/>
        </w:rPr>
        <w:t xml:space="preserve"> </w:t>
      </w:r>
      <w:r w:rsidR="0053144D" w:rsidRPr="00B211AB">
        <w:rPr>
          <w:rFonts w:eastAsiaTheme="minorHAnsi" w:cs="Calibri"/>
        </w:rPr>
        <w:t xml:space="preserve">v průběhu kontroly </w:t>
      </w:r>
      <w:r w:rsidR="000A509C">
        <w:rPr>
          <w:rFonts w:eastAsiaTheme="minorHAnsi" w:cs="Calibri"/>
        </w:rPr>
        <w:t xml:space="preserve">konstatuje </w:t>
      </w:r>
      <w:r w:rsidR="0053144D" w:rsidRPr="00B211AB">
        <w:rPr>
          <w:rFonts w:eastAsiaTheme="minorHAnsi" w:cs="Calibri"/>
        </w:rPr>
        <w:t>NKÚ</w:t>
      </w:r>
      <w:r w:rsidR="00BA4F7D">
        <w:rPr>
          <w:rFonts w:eastAsiaTheme="minorHAnsi" w:cs="Calibri"/>
        </w:rPr>
        <w:t>, že</w:t>
      </w:r>
      <w:r w:rsidRPr="00B211AB">
        <w:rPr>
          <w:rFonts w:eastAsiaTheme="minorHAnsi" w:cs="Calibri"/>
        </w:rPr>
        <w:t xml:space="preserve"> účetnictví</w:t>
      </w:r>
      <w:r w:rsidR="00743A4E" w:rsidRPr="00B211AB">
        <w:rPr>
          <w:rFonts w:eastAsiaTheme="minorHAnsi" w:cs="Calibri"/>
        </w:rPr>
        <w:t xml:space="preserve"> </w:t>
      </w:r>
      <w:r w:rsidR="00B211AB" w:rsidRPr="00B211AB">
        <w:rPr>
          <w:rFonts w:eastAsiaTheme="minorHAnsi" w:cs="Calibri"/>
        </w:rPr>
        <w:t>NSA</w:t>
      </w:r>
      <w:r w:rsidRPr="00B211AB">
        <w:rPr>
          <w:rFonts w:asciiTheme="minorHAnsi" w:hAnsiTheme="minorHAnsi" w:cs="Calibri"/>
        </w:rPr>
        <w:t xml:space="preserve"> v</w:t>
      </w:r>
      <w:r w:rsidR="00DF6AD0" w:rsidRPr="00B211AB">
        <w:rPr>
          <w:rFonts w:asciiTheme="minorHAnsi" w:hAnsiTheme="minorHAnsi" w:cs="Calibri"/>
        </w:rPr>
        <w:t xml:space="preserve"> </w:t>
      </w:r>
      <w:r w:rsidRPr="00B211AB">
        <w:rPr>
          <w:rFonts w:asciiTheme="minorHAnsi" w:hAnsiTheme="minorHAnsi" w:cs="Calibri"/>
        </w:rPr>
        <w:t>roce 202</w:t>
      </w:r>
      <w:r w:rsidR="00B211AB" w:rsidRPr="00B211AB">
        <w:rPr>
          <w:rFonts w:asciiTheme="minorHAnsi" w:hAnsiTheme="minorHAnsi" w:cs="Calibri"/>
        </w:rPr>
        <w:t>4</w:t>
      </w:r>
      <w:r w:rsidR="00BA4F7D">
        <w:rPr>
          <w:rFonts w:asciiTheme="minorHAnsi" w:hAnsiTheme="minorHAnsi" w:cs="Calibri"/>
        </w:rPr>
        <w:t xml:space="preserve"> bylo </w:t>
      </w:r>
      <w:r w:rsidRPr="00B211AB">
        <w:rPr>
          <w:rFonts w:asciiTheme="minorHAnsi" w:hAnsiTheme="minorHAnsi" w:cs="Calibri"/>
        </w:rPr>
        <w:t>vedeno v</w:t>
      </w:r>
      <w:r w:rsidR="00DF6AD0" w:rsidRPr="00B211AB">
        <w:rPr>
          <w:rFonts w:asciiTheme="minorHAnsi" w:hAnsiTheme="minorHAnsi" w:cs="Calibri"/>
        </w:rPr>
        <w:t xml:space="preserve"> </w:t>
      </w:r>
      <w:r w:rsidRPr="00B211AB">
        <w:rPr>
          <w:rFonts w:asciiTheme="minorHAnsi" w:hAnsiTheme="minorHAnsi" w:cs="Calibri"/>
        </w:rPr>
        <w:t>souladu s</w:t>
      </w:r>
      <w:r w:rsidR="00DF6AD0" w:rsidRPr="00B211AB">
        <w:rPr>
          <w:rFonts w:asciiTheme="minorHAnsi" w:hAnsiTheme="minorHAnsi" w:cs="Calibri"/>
        </w:rPr>
        <w:t xml:space="preserve"> </w:t>
      </w:r>
      <w:r w:rsidRPr="00B211AB">
        <w:rPr>
          <w:rFonts w:asciiTheme="minorHAnsi" w:hAnsiTheme="minorHAnsi" w:cs="Calibri"/>
        </w:rPr>
        <w:t>příslušnými právními předpisy</w:t>
      </w:r>
      <w:r>
        <w:rPr>
          <w:rStyle w:val="Znakapoznpodarou"/>
          <w:rFonts w:asciiTheme="minorHAnsi" w:hAnsiTheme="minorHAnsi" w:cs="Calibri"/>
        </w:rPr>
        <w:footnoteReference w:id="4"/>
      </w:r>
      <w:r w:rsidR="00703D90" w:rsidRPr="00B211AB">
        <w:rPr>
          <w:rFonts w:asciiTheme="minorHAnsi" w:hAnsiTheme="minorHAnsi" w:cs="Calibri"/>
        </w:rPr>
        <w:t xml:space="preserve"> (viz </w:t>
      </w:r>
      <w:r w:rsidR="00703D90" w:rsidRPr="00D43D0C">
        <w:rPr>
          <w:rFonts w:asciiTheme="minorHAnsi" w:hAnsiTheme="minorHAnsi" w:cs="Calibri"/>
        </w:rPr>
        <w:t>část IV.1.</w:t>
      </w:r>
      <w:r w:rsidR="00D43D0C" w:rsidRPr="00D43D0C">
        <w:rPr>
          <w:rFonts w:asciiTheme="minorHAnsi" w:hAnsiTheme="minorHAnsi" w:cs="Calibri"/>
        </w:rPr>
        <w:t>2</w:t>
      </w:r>
      <w:r w:rsidR="00B61D07" w:rsidRPr="00D43D0C">
        <w:rPr>
          <w:rFonts w:asciiTheme="minorHAnsi" w:hAnsiTheme="minorHAnsi" w:cs="Calibri"/>
        </w:rPr>
        <w:t xml:space="preserve"> tohoto</w:t>
      </w:r>
      <w:r w:rsidR="00B61D07" w:rsidRPr="00B211AB">
        <w:rPr>
          <w:rFonts w:asciiTheme="minorHAnsi" w:hAnsiTheme="minorHAnsi" w:cs="Calibri"/>
        </w:rPr>
        <w:t xml:space="preserve"> kontrolního závěru</w:t>
      </w:r>
      <w:r w:rsidR="00703D90" w:rsidRPr="00B211AB">
        <w:rPr>
          <w:rFonts w:asciiTheme="minorHAnsi" w:hAnsiTheme="minorHAnsi" w:cs="Calibri"/>
        </w:rPr>
        <w:t>)</w:t>
      </w:r>
      <w:r w:rsidRPr="00B211AB">
        <w:rPr>
          <w:rFonts w:asciiTheme="minorHAnsi" w:hAnsiTheme="minorHAnsi" w:cs="Calibri"/>
        </w:rPr>
        <w:t>.</w:t>
      </w:r>
    </w:p>
    <w:p w14:paraId="2DF5B776" w14:textId="5609244F" w:rsidR="00FA317B" w:rsidRPr="002F6ECE" w:rsidRDefault="00035012" w:rsidP="005F4282">
      <w:pPr>
        <w:spacing w:before="120" w:after="0"/>
        <w:jc w:val="both"/>
        <w:rPr>
          <w:highlight w:val="green"/>
        </w:rPr>
      </w:pPr>
      <w:r w:rsidRPr="007F3296">
        <w:t>P</w:t>
      </w:r>
      <w:r w:rsidR="0076351C" w:rsidRPr="007F3296">
        <w:t>ro</w:t>
      </w:r>
      <w:r w:rsidR="005F4282" w:rsidRPr="007F3296">
        <w:t>v</w:t>
      </w:r>
      <w:r w:rsidR="0076351C" w:rsidRPr="007F3296">
        <w:t>edené účetní opravy promítl</w:t>
      </w:r>
      <w:r w:rsidR="007F3296" w:rsidRPr="007F3296">
        <w:t>a</w:t>
      </w:r>
      <w:r w:rsidR="0076351C" w:rsidRPr="007F3296">
        <w:t xml:space="preserve"> </w:t>
      </w:r>
      <w:r w:rsidR="007F3296" w:rsidRPr="007F3296">
        <w:t xml:space="preserve">NSA </w:t>
      </w:r>
      <w:r w:rsidR="0076351C" w:rsidRPr="007F3296">
        <w:t xml:space="preserve">i do úprav svých účetních a jiných postupů </w:t>
      </w:r>
      <w:r w:rsidR="001F3934" w:rsidRPr="007F3296">
        <w:t xml:space="preserve">nastavených </w:t>
      </w:r>
      <w:r w:rsidR="0076351C" w:rsidRPr="007F3296">
        <w:t>v rámci vnitřního kontrolního systému (dále také „VKS“) v těch případech, kdy se jednalo o</w:t>
      </w:r>
      <w:r w:rsidR="00C97383">
        <w:t> </w:t>
      </w:r>
      <w:r w:rsidR="0076351C" w:rsidRPr="007F3296">
        <w:t xml:space="preserve">systémové </w:t>
      </w:r>
      <w:r w:rsidR="0076351C" w:rsidRPr="00CA696D">
        <w:t xml:space="preserve">nedostatky (viz </w:t>
      </w:r>
      <w:r w:rsidR="0076351C" w:rsidRPr="00D43D0C">
        <w:t xml:space="preserve">část </w:t>
      </w:r>
      <w:r w:rsidR="00487F34" w:rsidRPr="00D43D0C">
        <w:t>IV.1.</w:t>
      </w:r>
      <w:r w:rsidR="00D43D0C" w:rsidRPr="00D43D0C">
        <w:t>1</w:t>
      </w:r>
      <w:r w:rsidR="00B61D07" w:rsidRPr="00D43D0C">
        <w:t xml:space="preserve"> tohoto</w:t>
      </w:r>
      <w:r w:rsidR="00B61D07" w:rsidRPr="00CA696D">
        <w:t xml:space="preserve"> kontrolního závěru</w:t>
      </w:r>
      <w:r w:rsidR="0076351C" w:rsidRPr="00CA696D">
        <w:t>).</w:t>
      </w:r>
    </w:p>
    <w:p w14:paraId="01B113E0" w14:textId="0A8EADAB" w:rsidR="00F37FEB" w:rsidRDefault="00703365" w:rsidP="00703365">
      <w:pPr>
        <w:pStyle w:val="Styl2"/>
        <w:numPr>
          <w:ilvl w:val="0"/>
          <w:numId w:val="0"/>
        </w:numPr>
        <w:spacing w:before="240" w:after="120"/>
        <w:jc w:val="both"/>
      </w:pPr>
      <w:r>
        <w:t xml:space="preserve">2. </w:t>
      </w:r>
      <w:r w:rsidR="00035012" w:rsidRPr="007F3296">
        <w:t xml:space="preserve">Údaje </w:t>
      </w:r>
      <w:r w:rsidR="002352D7" w:rsidRPr="007F3296">
        <w:t xml:space="preserve">předkládané </w:t>
      </w:r>
      <w:r w:rsidR="007F3296" w:rsidRPr="007F3296">
        <w:t>Národní sportovní agenturou</w:t>
      </w:r>
      <w:r w:rsidR="00F94732" w:rsidRPr="007F3296">
        <w:t xml:space="preserve"> </w:t>
      </w:r>
      <w:r w:rsidR="00035012" w:rsidRPr="007F3296">
        <w:t xml:space="preserve">pro hodnocení plnění </w:t>
      </w:r>
      <w:r w:rsidR="0087086A" w:rsidRPr="007F3296">
        <w:t xml:space="preserve">státního </w:t>
      </w:r>
      <w:r w:rsidR="00035012" w:rsidRPr="007F3296">
        <w:t>rozpočtu</w:t>
      </w:r>
    </w:p>
    <w:p w14:paraId="0154282F" w14:textId="77777777" w:rsidR="001B1A20" w:rsidRDefault="00035012" w:rsidP="00062A05">
      <w:pPr>
        <w:spacing w:before="120"/>
        <w:jc w:val="both"/>
      </w:pPr>
      <w:r w:rsidRPr="007F3296">
        <w:t>NKÚ provedl ve výkazu pro hodnocení plnění rozpočtu NSA sestaveném k 31. prosinci 2024</w:t>
      </w:r>
      <w:r>
        <w:rPr>
          <w:rStyle w:val="Znakapoznpodarou"/>
        </w:rPr>
        <w:footnoteReference w:id="5"/>
      </w:r>
      <w:r w:rsidRPr="007F3296">
        <w:t xml:space="preserve"> </w:t>
      </w:r>
      <w:r w:rsidRPr="001B1A20">
        <w:rPr>
          <w:rFonts w:cs="Calibri"/>
        </w:rPr>
        <w:t xml:space="preserve">(dále také „výkaz FIN 1-12 OSS“) </w:t>
      </w:r>
      <w:r w:rsidRPr="007F3296">
        <w:t xml:space="preserve">u údajů o příjmech a výdajích ve sloupci </w:t>
      </w:r>
      <w:r w:rsidRPr="001B1A20">
        <w:rPr>
          <w:i/>
        </w:rPr>
        <w:t>Skutečnost</w:t>
      </w:r>
      <w:r w:rsidRPr="007F3296">
        <w:t xml:space="preserve"> kontrolu správnosti jejich třídění z hlediska druhového, odvětvového a prostorového dle rozpočtové skladby.</w:t>
      </w:r>
    </w:p>
    <w:tbl>
      <w:tblPr>
        <w:tblStyle w:val="Mkatabulky"/>
        <w:tblpPr w:leftFromText="141" w:rightFromText="141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B07849" w14:paraId="6376BF64" w14:textId="77777777" w:rsidTr="00076416">
        <w:trPr>
          <w:trHeight w:val="665"/>
        </w:trPr>
        <w:tc>
          <w:tcPr>
            <w:tcW w:w="9060" w:type="dxa"/>
            <w:shd w:val="clear" w:color="auto" w:fill="E6E6E6"/>
          </w:tcPr>
          <w:p w14:paraId="14964236" w14:textId="7209CF18" w:rsidR="00603A22" w:rsidRPr="002F6ECE" w:rsidRDefault="00035012" w:rsidP="00603A22">
            <w:pPr>
              <w:spacing w:before="120"/>
              <w:jc w:val="both"/>
              <w:rPr>
                <w:rFonts w:eastAsiaTheme="minorHAnsi" w:cs="Calibri"/>
                <w:b/>
                <w:highlight w:val="green"/>
              </w:rPr>
            </w:pPr>
            <w:r>
              <w:rPr>
                <w:rFonts w:eastAsiaTheme="minorHAnsi" w:cs="Calibri"/>
                <w:b/>
              </w:rPr>
              <w:t>Podle NKÚ byl v</w:t>
            </w:r>
            <w:r w:rsidRPr="00A76947">
              <w:rPr>
                <w:rFonts w:eastAsiaTheme="minorHAnsi" w:cs="Calibri"/>
                <w:b/>
              </w:rPr>
              <w:t>ýkaz pro hodnocení plnění rozpočtu</w:t>
            </w:r>
            <w:r w:rsidR="009363E2" w:rsidRPr="00A76947">
              <w:rPr>
                <w:rFonts w:eastAsiaTheme="minorHAnsi" w:cs="Calibri"/>
                <w:b/>
              </w:rPr>
              <w:t xml:space="preserve"> </w:t>
            </w:r>
            <w:r w:rsidR="007F3296" w:rsidRPr="00A76947">
              <w:rPr>
                <w:rFonts w:eastAsiaTheme="minorHAnsi" w:cs="Calibri"/>
                <w:b/>
              </w:rPr>
              <w:t>NSA</w:t>
            </w:r>
            <w:r w:rsidR="009363E2" w:rsidRPr="00A76947">
              <w:rPr>
                <w:rFonts w:eastAsiaTheme="minorHAnsi" w:cs="Calibri"/>
                <w:b/>
              </w:rPr>
              <w:t xml:space="preserve"> za rok 202</w:t>
            </w:r>
            <w:r w:rsidR="007F3296" w:rsidRPr="00A76947">
              <w:rPr>
                <w:rFonts w:eastAsiaTheme="minorHAnsi" w:cs="Calibri"/>
                <w:b/>
              </w:rPr>
              <w:t>4</w:t>
            </w:r>
            <w:r w:rsidR="00D1386E">
              <w:rPr>
                <w:rFonts w:eastAsiaTheme="minorHAnsi" w:cs="Calibri"/>
                <w:b/>
              </w:rPr>
              <w:t xml:space="preserve"> </w:t>
            </w:r>
            <w:r w:rsidRPr="00A76947">
              <w:rPr>
                <w:rFonts w:eastAsiaTheme="minorHAnsi" w:cs="Calibri"/>
                <w:b/>
              </w:rPr>
              <w:t>ve všech významných ohledech sestaven v souladu s příslušnými právními předpisy.</w:t>
            </w:r>
          </w:p>
        </w:tc>
      </w:tr>
    </w:tbl>
    <w:p w14:paraId="5D994BBB" w14:textId="7914A107" w:rsidR="00A76947" w:rsidRPr="007F3296" w:rsidRDefault="00035012" w:rsidP="005F4282">
      <w:pPr>
        <w:spacing w:before="120" w:after="0"/>
        <w:jc w:val="both"/>
        <w:rPr>
          <w:rFonts w:asciiTheme="minorHAnsi" w:hAnsiTheme="minorHAnsi" w:cstheme="minorHAnsi"/>
        </w:rPr>
      </w:pPr>
      <w:r w:rsidRPr="00A76947">
        <w:rPr>
          <w:rFonts w:asciiTheme="minorHAnsi" w:hAnsiTheme="minorHAnsi" w:cstheme="minorHAnsi"/>
        </w:rPr>
        <w:t>NKÚ v průběhu kontroly identifikoval nedostatky v</w:t>
      </w:r>
      <w:r>
        <w:rPr>
          <w:rFonts w:asciiTheme="minorHAnsi" w:hAnsiTheme="minorHAnsi" w:cstheme="minorHAnsi"/>
        </w:rPr>
        <w:t> klasifikaci rozpočtových příjmů a výdajů</w:t>
      </w:r>
      <w:r w:rsidRPr="00A76947">
        <w:rPr>
          <w:rFonts w:asciiTheme="minorHAnsi" w:hAnsiTheme="minorHAnsi" w:cstheme="minorHAnsi"/>
        </w:rPr>
        <w:t xml:space="preserve">. Tyto nedostatky </w:t>
      </w:r>
      <w:r>
        <w:rPr>
          <w:rFonts w:asciiTheme="minorHAnsi" w:hAnsiTheme="minorHAnsi" w:cstheme="minorHAnsi"/>
        </w:rPr>
        <w:t>ve výši 1 431,1</w:t>
      </w:r>
      <w:r w:rsidR="0062509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mil.</w:t>
      </w:r>
      <w:r w:rsidR="0062509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Kč </w:t>
      </w:r>
      <w:r w:rsidRPr="00A76947">
        <w:rPr>
          <w:rFonts w:asciiTheme="minorHAnsi" w:hAnsiTheme="minorHAnsi" w:cstheme="minorHAnsi"/>
        </w:rPr>
        <w:t xml:space="preserve">by měly významný vliv na </w:t>
      </w:r>
      <w:r>
        <w:rPr>
          <w:rFonts w:asciiTheme="minorHAnsi" w:hAnsiTheme="minorHAnsi" w:cstheme="minorHAnsi"/>
        </w:rPr>
        <w:t>výkaz FIN 1-12 OSS</w:t>
      </w:r>
      <w:r w:rsidRPr="00A76947">
        <w:rPr>
          <w:rFonts w:asciiTheme="minorHAnsi" w:hAnsiTheme="minorHAnsi" w:cstheme="minorHAnsi"/>
        </w:rPr>
        <w:t xml:space="preserve">. NSA tyto </w:t>
      </w:r>
      <w:r w:rsidRPr="00A76947">
        <w:rPr>
          <w:rFonts w:asciiTheme="minorHAnsi" w:hAnsiTheme="minorHAnsi" w:cstheme="minorHAnsi"/>
        </w:rPr>
        <w:lastRenderedPageBreak/>
        <w:t xml:space="preserve">zjištěné nedostatky opravila ještě před </w:t>
      </w:r>
      <w:r>
        <w:rPr>
          <w:rFonts w:asciiTheme="minorHAnsi" w:hAnsiTheme="minorHAnsi" w:cstheme="minorHAnsi"/>
        </w:rPr>
        <w:t>s</w:t>
      </w:r>
      <w:r w:rsidRPr="00A76947">
        <w:rPr>
          <w:rFonts w:asciiTheme="minorHAnsi" w:hAnsiTheme="minorHAnsi" w:cstheme="minorHAnsi"/>
        </w:rPr>
        <w:t xml:space="preserve">estavením </w:t>
      </w:r>
      <w:r>
        <w:rPr>
          <w:rFonts w:asciiTheme="minorHAnsi" w:hAnsiTheme="minorHAnsi" w:cstheme="minorHAnsi"/>
        </w:rPr>
        <w:t>výkazu FIN 1-12 OSS</w:t>
      </w:r>
      <w:r w:rsidRPr="00A76947">
        <w:rPr>
          <w:rFonts w:asciiTheme="minorHAnsi" w:hAnsiTheme="minorHAnsi" w:cstheme="minorHAnsi"/>
        </w:rPr>
        <w:t xml:space="preserve"> (viz </w:t>
      </w:r>
      <w:r w:rsidRPr="006F1A1E">
        <w:rPr>
          <w:rFonts w:asciiTheme="minorHAnsi" w:hAnsiTheme="minorHAnsi" w:cstheme="minorHAnsi"/>
        </w:rPr>
        <w:t>část IV.</w:t>
      </w:r>
      <w:r w:rsidR="006F1A1E" w:rsidRPr="006F1A1E">
        <w:rPr>
          <w:rFonts w:asciiTheme="minorHAnsi" w:hAnsiTheme="minorHAnsi" w:cstheme="minorHAnsi"/>
        </w:rPr>
        <w:t>2</w:t>
      </w:r>
      <w:r w:rsidRPr="006F1A1E">
        <w:rPr>
          <w:rFonts w:asciiTheme="minorHAnsi" w:hAnsiTheme="minorHAnsi" w:cstheme="minorHAnsi"/>
        </w:rPr>
        <w:t>.</w:t>
      </w:r>
      <w:r w:rsidR="006F1A1E" w:rsidRPr="006F1A1E">
        <w:rPr>
          <w:rFonts w:asciiTheme="minorHAnsi" w:hAnsiTheme="minorHAnsi" w:cstheme="minorHAnsi"/>
        </w:rPr>
        <w:t>1</w:t>
      </w:r>
      <w:r w:rsidRPr="006F1A1E">
        <w:rPr>
          <w:rFonts w:asciiTheme="minorHAnsi" w:hAnsiTheme="minorHAnsi" w:cstheme="minorHAnsi"/>
        </w:rPr>
        <w:t xml:space="preserve"> tohoto</w:t>
      </w:r>
      <w:r w:rsidRPr="00A76947">
        <w:rPr>
          <w:rFonts w:asciiTheme="minorHAnsi" w:hAnsiTheme="minorHAnsi" w:cstheme="minorHAnsi"/>
        </w:rPr>
        <w:t xml:space="preserve"> kontrolního závěru).</w:t>
      </w:r>
    </w:p>
    <w:p w14:paraId="5CFB2045" w14:textId="77777777" w:rsidR="00A76947" w:rsidRPr="00A76947" w:rsidRDefault="00035012" w:rsidP="00A76947">
      <w:pPr>
        <w:spacing w:before="120" w:after="0"/>
        <w:jc w:val="both"/>
        <w:rPr>
          <w:rFonts w:cs="Calibri"/>
          <w:bCs/>
          <w:highlight w:val="green"/>
        </w:rPr>
      </w:pPr>
      <w:r w:rsidRPr="00A76947">
        <w:rPr>
          <w:rFonts w:cs="Calibri"/>
          <w:bCs/>
        </w:rPr>
        <w:t xml:space="preserve">Po přijetí a realizaci opatření k eliminaci systémových nedostatků a po provedení oprav všech nedostatků v rozpočtové klasifikaci identifikovaných </w:t>
      </w:r>
      <w:r w:rsidR="00A05AA7">
        <w:rPr>
          <w:rFonts w:cs="Calibri"/>
          <w:bCs/>
        </w:rPr>
        <w:t>NKÚ</w:t>
      </w:r>
      <w:r w:rsidRPr="00A76947">
        <w:rPr>
          <w:rFonts w:cs="Calibri"/>
          <w:bCs/>
        </w:rPr>
        <w:t xml:space="preserve"> v průběhu kontroly lze konstatovat, že NSA při třídění příjmů a výdajů postupovala v souladu s vyhláškou č. 412/2021 Sb.</w:t>
      </w:r>
      <w:r>
        <w:rPr>
          <w:rStyle w:val="Znakapoznpodarou"/>
          <w:rFonts w:cs="Calibri"/>
          <w:bCs/>
        </w:rPr>
        <w:footnoteReference w:id="6"/>
      </w:r>
      <w:r w:rsidR="00DE3794">
        <w:rPr>
          <w:rFonts w:cs="Calibri"/>
          <w:bCs/>
        </w:rPr>
        <w:t xml:space="preserve"> (viz část IV.2.2 tohoto kontrolního závěru).</w:t>
      </w:r>
    </w:p>
    <w:p w14:paraId="2DF22A26" w14:textId="2A5BC05C" w:rsidR="00766099" w:rsidRPr="00062A05" w:rsidRDefault="00703365" w:rsidP="00703365">
      <w:pPr>
        <w:keepNext/>
        <w:spacing w:before="240"/>
        <w:outlineLvl w:val="1"/>
        <w:rPr>
          <w:rFonts w:eastAsia="Calibri" w:cs="Calibri"/>
          <w:b/>
        </w:rPr>
      </w:pPr>
      <w:bookmarkStart w:id="4" w:name="_Hlk166763260"/>
      <w:r>
        <w:rPr>
          <w:rFonts w:eastAsia="Calibri" w:cs="Calibri"/>
          <w:b/>
        </w:rPr>
        <w:t xml:space="preserve">3. </w:t>
      </w:r>
      <w:r w:rsidR="00035012" w:rsidRPr="007F3296">
        <w:rPr>
          <w:rFonts w:eastAsia="Calibri" w:cs="Calibri"/>
          <w:b/>
        </w:rPr>
        <w:t xml:space="preserve">Závěrečný účet kapitoly státního rozpočtu </w:t>
      </w:r>
      <w:r w:rsidR="007F3296" w:rsidRPr="007F3296">
        <w:rPr>
          <w:rFonts w:eastAsia="Calibri" w:cs="Calibri"/>
          <w:b/>
        </w:rPr>
        <w:t>362</w:t>
      </w:r>
      <w:r w:rsidR="00035012" w:rsidRPr="007F3296">
        <w:rPr>
          <w:rFonts w:eastAsia="Calibri" w:cs="Calibri"/>
          <w:b/>
        </w:rPr>
        <w:t xml:space="preserve"> – </w:t>
      </w:r>
      <w:bookmarkEnd w:id="4"/>
      <w:r w:rsidR="007F3296" w:rsidRPr="007F3296">
        <w:rPr>
          <w:rFonts w:eastAsia="Calibri" w:cs="Calibri"/>
          <w:b/>
          <w:i/>
        </w:rPr>
        <w:t>Národní sportovní agentura</w:t>
      </w:r>
    </w:p>
    <w:p w14:paraId="3E47C986" w14:textId="7F26DA03" w:rsidR="00A9036B" w:rsidRPr="00062A05" w:rsidRDefault="00035012" w:rsidP="00062A05">
      <w:pPr>
        <w:spacing w:before="120"/>
        <w:jc w:val="both"/>
        <w:rPr>
          <w:rFonts w:eastAsia="Calibri"/>
        </w:rPr>
      </w:pPr>
      <w:r w:rsidRPr="00A9036B">
        <w:rPr>
          <w:rFonts w:eastAsia="Calibri"/>
        </w:rPr>
        <w:t xml:space="preserve">NKÚ prověřil soulad sestavení závěrečného účtu kapitoly státního rozpočtu 362 – </w:t>
      </w:r>
      <w:r w:rsidRPr="00A9036B">
        <w:rPr>
          <w:rFonts w:eastAsia="Calibri"/>
          <w:i/>
        </w:rPr>
        <w:t>Národní sportovní agentura</w:t>
      </w:r>
      <w:r w:rsidRPr="00A9036B">
        <w:rPr>
          <w:rFonts w:eastAsia="Calibri"/>
        </w:rPr>
        <w:t xml:space="preserve"> za rok 2024 (dále také „ZÚ za rok 2024“) s vyhláškou č. 419/2001 Sb.</w:t>
      </w:r>
      <w:r>
        <w:rPr>
          <w:rStyle w:val="Znakapoznpodarou"/>
          <w:rFonts w:eastAsiaTheme="minorHAnsi" w:cs="Calibri"/>
          <w:bCs/>
        </w:rPr>
        <w:footnoteReference w:id="7"/>
      </w:r>
      <w:r w:rsidRPr="00A9036B">
        <w:rPr>
          <w:rFonts w:eastAsia="Calibri"/>
        </w:rPr>
        <w:t xml:space="preserve"> a</w:t>
      </w:r>
      <w:r w:rsidR="00767246">
        <w:rPr>
          <w:rFonts w:eastAsia="Calibri"/>
        </w:rPr>
        <w:t> </w:t>
      </w:r>
      <w:r w:rsidRPr="00A9036B">
        <w:rPr>
          <w:rFonts w:eastAsia="Calibri"/>
        </w:rPr>
        <w:t>shodu informací v něm uvedených se vstupními údaji v rozpočtovém systému, s finančními výkazy a údaji dalších evidencí (viz část IV.3. tohoto kontrolního závěru).</w:t>
      </w:r>
    </w:p>
    <w:tbl>
      <w:tblPr>
        <w:tblStyle w:val="Mkatabulky"/>
        <w:tblpPr w:leftFromText="141" w:rightFromText="141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B07849" w14:paraId="6F42501C" w14:textId="77777777" w:rsidTr="00163A06">
        <w:trPr>
          <w:trHeight w:val="4532"/>
        </w:trPr>
        <w:tc>
          <w:tcPr>
            <w:tcW w:w="9060" w:type="dxa"/>
            <w:shd w:val="clear" w:color="auto" w:fill="E6E6E6"/>
          </w:tcPr>
          <w:p w14:paraId="630AEBB9" w14:textId="0B9161AE" w:rsidR="009C4E9F" w:rsidRDefault="00035012" w:rsidP="00703365">
            <w:pPr>
              <w:spacing w:before="120" w:after="0"/>
              <w:jc w:val="both"/>
              <w:rPr>
                <w:rFonts w:eastAsiaTheme="minorHAnsi" w:cs="Calibri"/>
                <w:b/>
              </w:rPr>
            </w:pPr>
            <w:r>
              <w:rPr>
                <w:rFonts w:eastAsiaTheme="minorHAnsi" w:cs="Calibri"/>
                <w:b/>
              </w:rPr>
              <w:t>Dle NKÚ je z</w:t>
            </w:r>
            <w:r w:rsidR="00492B01" w:rsidRPr="009C4E9F">
              <w:rPr>
                <w:rFonts w:eastAsiaTheme="minorHAnsi" w:cs="Calibri"/>
                <w:b/>
              </w:rPr>
              <w:t xml:space="preserve">ávěrečný účet kapitoly státního rozpočtu </w:t>
            </w:r>
            <w:r w:rsidRPr="009C4E9F">
              <w:rPr>
                <w:rFonts w:eastAsiaTheme="minorHAnsi" w:cs="Calibri"/>
                <w:b/>
              </w:rPr>
              <w:t>362</w:t>
            </w:r>
            <w:r w:rsidR="00492B01" w:rsidRPr="009C4E9F">
              <w:rPr>
                <w:rFonts w:eastAsiaTheme="minorHAnsi" w:cs="Calibri"/>
                <w:b/>
              </w:rPr>
              <w:t xml:space="preserve"> – </w:t>
            </w:r>
            <w:r w:rsidRPr="009C4E9F">
              <w:rPr>
                <w:rFonts w:eastAsiaTheme="minorHAnsi" w:cs="Calibri"/>
                <w:b/>
                <w:i/>
                <w:iCs/>
              </w:rPr>
              <w:t>Národní sportovní agentura</w:t>
            </w:r>
            <w:r w:rsidR="00B7054F" w:rsidRPr="009C4E9F">
              <w:rPr>
                <w:rFonts w:eastAsiaTheme="minorHAnsi" w:cs="Calibri"/>
                <w:b/>
                <w:i/>
              </w:rPr>
              <w:t xml:space="preserve"> </w:t>
            </w:r>
            <w:r w:rsidR="00B7054F" w:rsidRPr="009C4E9F">
              <w:rPr>
                <w:rFonts w:eastAsiaTheme="minorHAnsi" w:cs="Calibri"/>
                <w:b/>
              </w:rPr>
              <w:t xml:space="preserve">za rok </w:t>
            </w:r>
            <w:r w:rsidRPr="009C4E9F">
              <w:rPr>
                <w:rFonts w:eastAsiaTheme="minorHAnsi" w:cs="Calibri"/>
                <w:b/>
              </w:rPr>
              <w:t>2024</w:t>
            </w:r>
            <w:r w:rsidR="00805A35">
              <w:rPr>
                <w:rFonts w:eastAsiaTheme="minorHAnsi" w:cs="Calibri"/>
                <w:b/>
              </w:rPr>
              <w:t xml:space="preserve"> </w:t>
            </w:r>
            <w:r w:rsidRPr="009C4E9F">
              <w:rPr>
                <w:rFonts w:eastAsiaTheme="minorHAnsi" w:cs="Calibri"/>
                <w:b/>
              </w:rPr>
              <w:t xml:space="preserve">kromě níže uvedených skutečností </w:t>
            </w:r>
            <w:r w:rsidR="00B7054F" w:rsidRPr="009C4E9F">
              <w:rPr>
                <w:rFonts w:eastAsiaTheme="minorHAnsi" w:cs="Calibri"/>
                <w:b/>
              </w:rPr>
              <w:t>sestaven v rozsahu dle vyhlášky č.</w:t>
            </w:r>
            <w:r w:rsidR="00703365">
              <w:rPr>
                <w:rFonts w:eastAsiaTheme="minorHAnsi" w:cs="Calibri"/>
                <w:b/>
              </w:rPr>
              <w:t> </w:t>
            </w:r>
            <w:r w:rsidR="00B7054F" w:rsidRPr="009C4E9F">
              <w:rPr>
                <w:rFonts w:eastAsiaTheme="minorHAnsi" w:cs="Calibri"/>
                <w:b/>
              </w:rPr>
              <w:t>419/2001 Sb. a informace v něm uvedené</w:t>
            </w:r>
            <w:r w:rsidR="009F271E" w:rsidRPr="009C4E9F">
              <w:rPr>
                <w:rFonts w:eastAsiaTheme="minorHAnsi" w:cs="Calibri"/>
                <w:b/>
              </w:rPr>
              <w:t xml:space="preserve"> odpovídají údajům</w:t>
            </w:r>
            <w:r w:rsidR="00B7054F" w:rsidRPr="009C4E9F">
              <w:rPr>
                <w:rFonts w:eastAsiaTheme="minorHAnsi" w:cs="Calibri"/>
                <w:b/>
              </w:rPr>
              <w:t xml:space="preserve"> v rozpočtovém systému, finančním výkaz</w:t>
            </w:r>
            <w:r w:rsidR="009F271E" w:rsidRPr="009C4E9F">
              <w:rPr>
                <w:rFonts w:eastAsiaTheme="minorHAnsi" w:cs="Calibri"/>
                <w:b/>
              </w:rPr>
              <w:t>ům</w:t>
            </w:r>
            <w:r w:rsidR="00B7054F" w:rsidRPr="009C4E9F">
              <w:rPr>
                <w:rFonts w:eastAsiaTheme="minorHAnsi" w:cs="Calibri"/>
                <w:b/>
              </w:rPr>
              <w:t xml:space="preserve"> a </w:t>
            </w:r>
            <w:r w:rsidR="009F271E" w:rsidRPr="009C4E9F">
              <w:rPr>
                <w:rFonts w:eastAsiaTheme="minorHAnsi" w:cs="Calibri"/>
                <w:b/>
              </w:rPr>
              <w:t>údajům</w:t>
            </w:r>
            <w:r w:rsidR="00B7054F" w:rsidRPr="009C4E9F">
              <w:rPr>
                <w:rFonts w:eastAsiaTheme="minorHAnsi" w:cs="Calibri"/>
                <w:b/>
              </w:rPr>
              <w:t xml:space="preserve"> </w:t>
            </w:r>
            <w:r w:rsidR="009F271E" w:rsidRPr="009C4E9F">
              <w:rPr>
                <w:rFonts w:eastAsiaTheme="minorHAnsi" w:cs="Calibri"/>
                <w:b/>
              </w:rPr>
              <w:t xml:space="preserve">z </w:t>
            </w:r>
            <w:r w:rsidR="00B7054F" w:rsidRPr="009C4E9F">
              <w:rPr>
                <w:rFonts w:eastAsiaTheme="minorHAnsi" w:cs="Calibri"/>
                <w:b/>
              </w:rPr>
              <w:t>dalších evidencí</w:t>
            </w:r>
            <w:r w:rsidR="00766099" w:rsidRPr="009C4E9F">
              <w:rPr>
                <w:rFonts w:eastAsiaTheme="minorHAnsi" w:cs="Calibri"/>
                <w:b/>
              </w:rPr>
              <w:t>.</w:t>
            </w:r>
            <w:r>
              <w:rPr>
                <w:rFonts w:eastAsiaTheme="minorHAnsi" w:cs="Calibri"/>
                <w:b/>
              </w:rPr>
              <w:t xml:space="preserve"> </w:t>
            </w:r>
            <w:r w:rsidRPr="009C4E9F">
              <w:rPr>
                <w:b/>
                <w:bCs/>
              </w:rPr>
              <w:t>Z</w:t>
            </w:r>
            <w:r w:rsidRPr="009C4E9F">
              <w:rPr>
                <w:rFonts w:eastAsiaTheme="minorHAnsi" w:cs="Calibri"/>
                <w:b/>
              </w:rPr>
              <w:t xml:space="preserve">ávěrečný účet kapitoly státního rozpočtu 362 – </w:t>
            </w:r>
            <w:r w:rsidRPr="009C4E9F">
              <w:rPr>
                <w:rFonts w:eastAsiaTheme="minorHAnsi" w:cs="Calibri"/>
                <w:b/>
                <w:i/>
                <w:iCs/>
              </w:rPr>
              <w:t>Národní sportovní agentura</w:t>
            </w:r>
            <w:r w:rsidRPr="009C4E9F">
              <w:rPr>
                <w:rFonts w:eastAsiaTheme="minorHAnsi" w:cs="Calibri"/>
                <w:b/>
              </w:rPr>
              <w:t xml:space="preserve"> za rok 2024</w:t>
            </w:r>
            <w:r>
              <w:rPr>
                <w:rFonts w:eastAsiaTheme="minorHAnsi" w:cs="Calibri"/>
                <w:b/>
              </w:rPr>
              <w:t xml:space="preserve"> </w:t>
            </w:r>
            <w:r w:rsidRPr="009C4E9F">
              <w:rPr>
                <w:rFonts w:eastAsiaTheme="minorHAnsi" w:cs="Calibri"/>
                <w:b/>
              </w:rPr>
              <w:t>v rozporu s vyhláškou č.</w:t>
            </w:r>
            <w:r w:rsidR="00703365">
              <w:rPr>
                <w:rFonts w:eastAsiaTheme="minorHAnsi" w:cs="Calibri"/>
                <w:b/>
              </w:rPr>
              <w:t> </w:t>
            </w:r>
            <w:r w:rsidRPr="009C4E9F">
              <w:rPr>
                <w:rFonts w:eastAsiaTheme="minorHAnsi" w:cs="Calibri"/>
                <w:b/>
              </w:rPr>
              <w:t>419/2001</w:t>
            </w:r>
            <w:r w:rsidR="00703365">
              <w:rPr>
                <w:rFonts w:eastAsiaTheme="minorHAnsi" w:cs="Calibri"/>
                <w:b/>
              </w:rPr>
              <w:t> </w:t>
            </w:r>
            <w:r w:rsidRPr="009C4E9F">
              <w:rPr>
                <w:rFonts w:eastAsiaTheme="minorHAnsi" w:cs="Calibri"/>
                <w:b/>
              </w:rPr>
              <w:t>Sb.</w:t>
            </w:r>
            <w:r>
              <w:rPr>
                <w:rFonts w:eastAsiaTheme="minorHAnsi" w:cs="Calibri"/>
                <w:b/>
              </w:rPr>
              <w:t xml:space="preserve"> neobsahuje:</w:t>
            </w:r>
          </w:p>
          <w:p w14:paraId="35021470" w14:textId="657E8550" w:rsidR="009C4E9F" w:rsidRDefault="00035012" w:rsidP="00703365">
            <w:pPr>
              <w:pStyle w:val="Odstavecseseznamem"/>
              <w:numPr>
                <w:ilvl w:val="0"/>
                <w:numId w:val="19"/>
              </w:numPr>
              <w:spacing w:after="0"/>
              <w:ind w:left="314" w:hanging="284"/>
              <w:contextualSpacing w:val="0"/>
              <w:jc w:val="both"/>
              <w:rPr>
                <w:rFonts w:asciiTheme="minorHAnsi" w:hAnsiTheme="minorHAnsi" w:cstheme="minorHAnsi"/>
                <w:b/>
                <w:lang w:eastAsia="cs-CZ"/>
              </w:rPr>
            </w:pPr>
            <w:r w:rsidRPr="00E04A64">
              <w:rPr>
                <w:rFonts w:asciiTheme="minorHAnsi" w:hAnsiTheme="minorHAnsi" w:cstheme="minorHAnsi"/>
                <w:b/>
                <w:lang w:eastAsia="cs-CZ"/>
              </w:rPr>
              <w:t xml:space="preserve">u programů vedených v modulech </w:t>
            </w:r>
            <w:r w:rsidR="008C3241">
              <w:rPr>
                <w:rFonts w:asciiTheme="minorHAnsi" w:hAnsiTheme="minorHAnsi" w:cstheme="minorHAnsi"/>
                <w:b/>
                <w:lang w:eastAsia="cs-CZ"/>
              </w:rPr>
              <w:t>informačního systému „Evidenční dotační systém“ (dále také „EDS“) a „Správa majetku ve vlastnictví státu“ (dále také „</w:t>
            </w:r>
            <w:r w:rsidRPr="00E04A64">
              <w:rPr>
                <w:rFonts w:asciiTheme="minorHAnsi" w:hAnsiTheme="minorHAnsi" w:cstheme="minorHAnsi"/>
                <w:b/>
                <w:lang w:eastAsia="cs-CZ"/>
              </w:rPr>
              <w:t>SMVS</w:t>
            </w:r>
            <w:r w:rsidR="008C3241">
              <w:rPr>
                <w:rFonts w:asciiTheme="minorHAnsi" w:hAnsiTheme="minorHAnsi" w:cstheme="minorHAnsi"/>
                <w:b/>
                <w:lang w:eastAsia="cs-CZ"/>
              </w:rPr>
              <w:t>“)</w:t>
            </w:r>
            <w:r w:rsidRPr="00E04A64">
              <w:rPr>
                <w:rFonts w:asciiTheme="minorHAnsi" w:hAnsiTheme="minorHAnsi" w:cstheme="minorHAnsi"/>
                <w:b/>
                <w:lang w:eastAsia="cs-CZ"/>
              </w:rPr>
              <w:t xml:space="preserve"> údaj o</w:t>
            </w:r>
            <w:r w:rsidR="00703365">
              <w:rPr>
                <w:rFonts w:asciiTheme="minorHAnsi" w:hAnsiTheme="minorHAnsi" w:cstheme="minorHAnsi"/>
                <w:b/>
                <w:lang w:eastAsia="cs-CZ"/>
              </w:rPr>
              <w:t> </w:t>
            </w:r>
            <w:r w:rsidRPr="00E04A64">
              <w:rPr>
                <w:rFonts w:asciiTheme="minorHAnsi" w:hAnsiTheme="minorHAnsi" w:cstheme="minorHAnsi"/>
                <w:b/>
                <w:lang w:eastAsia="cs-CZ"/>
              </w:rPr>
              <w:t>dosavadním celkovém čerpání programu, stav plnění cílů programu a informace o</w:t>
            </w:r>
            <w:r w:rsidR="00703365">
              <w:rPr>
                <w:rFonts w:asciiTheme="minorHAnsi" w:hAnsiTheme="minorHAnsi" w:cstheme="minorHAnsi"/>
                <w:b/>
                <w:lang w:eastAsia="cs-CZ"/>
              </w:rPr>
              <w:t> </w:t>
            </w:r>
            <w:r w:rsidRPr="00E04A64">
              <w:rPr>
                <w:rFonts w:asciiTheme="minorHAnsi" w:hAnsiTheme="minorHAnsi" w:cstheme="minorHAnsi"/>
                <w:b/>
                <w:lang w:eastAsia="cs-CZ"/>
              </w:rPr>
              <w:t>předpokladech jeho další realizace</w:t>
            </w:r>
            <w:r w:rsidR="008E46C5">
              <w:rPr>
                <w:rFonts w:asciiTheme="minorHAnsi" w:hAnsiTheme="minorHAnsi" w:cstheme="minorHAnsi"/>
                <w:bCs/>
                <w:lang w:eastAsia="cs-CZ"/>
              </w:rPr>
              <w:t xml:space="preserve"> (viz část IV.3.2 tohoto kontrolního závěru</w:t>
            </w:r>
            <w:r w:rsidR="008E46C5" w:rsidRPr="008E46C5">
              <w:rPr>
                <w:rFonts w:asciiTheme="minorHAnsi" w:hAnsiTheme="minorHAnsi" w:cstheme="minorHAnsi"/>
                <w:bCs/>
                <w:lang w:eastAsia="cs-CZ"/>
              </w:rPr>
              <w:t>)</w:t>
            </w:r>
            <w:r w:rsidRPr="00CE7471">
              <w:rPr>
                <w:rFonts w:asciiTheme="minorHAnsi" w:hAnsiTheme="minorHAnsi" w:cstheme="minorHAnsi"/>
                <w:bCs/>
                <w:lang w:eastAsia="cs-CZ"/>
              </w:rPr>
              <w:t>;</w:t>
            </w:r>
          </w:p>
          <w:p w14:paraId="2BD6ECAC" w14:textId="79663938" w:rsidR="00766099" w:rsidRPr="009C4E9F" w:rsidRDefault="00035012" w:rsidP="00703365">
            <w:pPr>
              <w:pStyle w:val="Odstavecseseznamem"/>
              <w:numPr>
                <w:ilvl w:val="0"/>
                <w:numId w:val="19"/>
              </w:numPr>
              <w:ind w:left="314" w:hanging="284"/>
              <w:contextualSpacing w:val="0"/>
              <w:jc w:val="both"/>
              <w:rPr>
                <w:rFonts w:asciiTheme="minorHAnsi" w:hAnsiTheme="minorHAnsi" w:cstheme="minorHAnsi"/>
                <w:b/>
                <w:lang w:eastAsia="cs-CZ"/>
              </w:rPr>
            </w:pPr>
            <w:r w:rsidRPr="00E04A64">
              <w:rPr>
                <w:rFonts w:asciiTheme="minorHAnsi" w:hAnsiTheme="minorHAnsi" w:cstheme="minorHAnsi"/>
                <w:b/>
                <w:lang w:eastAsia="cs-CZ"/>
              </w:rPr>
              <w:t>u hodnocení jednotlivých dotačních programů, které kapitola spravovala v</w:t>
            </w:r>
            <w:r w:rsidR="00767246">
              <w:rPr>
                <w:rFonts w:asciiTheme="minorHAnsi" w:hAnsiTheme="minorHAnsi" w:cstheme="minorHAnsi"/>
                <w:b/>
                <w:lang w:eastAsia="cs-CZ"/>
              </w:rPr>
              <w:t> </w:t>
            </w:r>
            <w:r w:rsidRPr="00E04A64">
              <w:rPr>
                <w:rFonts w:asciiTheme="minorHAnsi" w:hAnsiTheme="minorHAnsi" w:cstheme="minorHAnsi"/>
                <w:b/>
                <w:lang w:eastAsia="cs-CZ"/>
              </w:rPr>
              <w:t xml:space="preserve">hodnoceném roce,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informace o</w:t>
            </w:r>
            <w:r w:rsidRPr="00E04A64">
              <w:rPr>
                <w:rFonts w:asciiTheme="minorHAnsi" w:hAnsiTheme="minorHAnsi" w:cstheme="minorHAnsi"/>
                <w:b/>
                <w:lang w:eastAsia="cs-CZ"/>
              </w:rPr>
              <w:t xml:space="preserve"> naplňování principů hospodárnosti, efektivnosti a</w:t>
            </w:r>
            <w:r w:rsidR="00703365">
              <w:rPr>
                <w:rFonts w:asciiTheme="minorHAnsi" w:hAnsiTheme="minorHAnsi" w:cstheme="minorHAnsi"/>
                <w:b/>
                <w:lang w:eastAsia="cs-CZ"/>
              </w:rPr>
              <w:t> </w:t>
            </w:r>
            <w:r w:rsidRPr="00E04A64">
              <w:rPr>
                <w:rFonts w:asciiTheme="minorHAnsi" w:hAnsiTheme="minorHAnsi" w:cstheme="minorHAnsi"/>
                <w:b/>
                <w:lang w:eastAsia="cs-CZ"/>
              </w:rPr>
              <w:t>účelnosti. Také není uvedena informace o naplňování účelu dotačního programu, dosažení stanovených cílů, závazných výstupů a přínosů v měřitelných hodnotách</w:t>
            </w:r>
            <w:r w:rsidR="00600228">
              <w:rPr>
                <w:rFonts w:asciiTheme="minorHAnsi" w:hAnsiTheme="minorHAnsi" w:cstheme="minorHAnsi"/>
                <w:b/>
                <w:lang w:eastAsia="cs-CZ"/>
              </w:rPr>
              <w:t xml:space="preserve"> </w:t>
            </w:r>
            <w:r w:rsidR="00600228">
              <w:rPr>
                <w:rFonts w:asciiTheme="minorHAnsi" w:hAnsiTheme="minorHAnsi" w:cstheme="minorHAnsi"/>
                <w:bCs/>
                <w:lang w:eastAsia="cs-CZ"/>
              </w:rPr>
              <w:t xml:space="preserve">(viz část IV.3.2 tohoto kontrolního </w:t>
            </w:r>
            <w:r w:rsidR="00600228" w:rsidRPr="00600228">
              <w:rPr>
                <w:rFonts w:asciiTheme="minorHAnsi" w:hAnsiTheme="minorHAnsi" w:cstheme="minorHAnsi"/>
                <w:bCs/>
                <w:lang w:eastAsia="cs-CZ"/>
              </w:rPr>
              <w:t>závěru)</w:t>
            </w:r>
            <w:r w:rsidRPr="00CE7471">
              <w:rPr>
                <w:rFonts w:asciiTheme="minorHAnsi" w:hAnsiTheme="minorHAnsi" w:cstheme="minorHAnsi"/>
                <w:bCs/>
                <w:lang w:eastAsia="cs-CZ"/>
              </w:rPr>
              <w:t>.</w:t>
            </w:r>
          </w:p>
        </w:tc>
      </w:tr>
    </w:tbl>
    <w:p w14:paraId="5E0822E7" w14:textId="63126D7C" w:rsidR="009F57B8" w:rsidRPr="003401EF" w:rsidRDefault="00035012" w:rsidP="00062A05">
      <w:pPr>
        <w:spacing w:before="120" w:after="0"/>
        <w:jc w:val="both"/>
        <w:rPr>
          <w:rFonts w:eastAsia="Calibri"/>
        </w:rPr>
      </w:pPr>
      <w:r>
        <w:rPr>
          <w:rFonts w:eastAsia="Calibri"/>
        </w:rPr>
        <w:t xml:space="preserve">NKÚ v průběhu kontroly </w:t>
      </w:r>
      <w:r w:rsidR="00D1386E">
        <w:rPr>
          <w:rFonts w:eastAsia="Calibri"/>
        </w:rPr>
        <w:t xml:space="preserve">nejdříve </w:t>
      </w:r>
      <w:r>
        <w:rPr>
          <w:rFonts w:eastAsia="Calibri"/>
        </w:rPr>
        <w:t xml:space="preserve">identifikoval nedostatky v </w:t>
      </w:r>
      <w:r>
        <w:rPr>
          <w:rFonts w:asciiTheme="minorHAnsi" w:hAnsiTheme="minorHAnsi" w:cstheme="minorHAnsi"/>
          <w:lang w:eastAsia="cs-CZ"/>
        </w:rPr>
        <w:t xml:space="preserve">závěrečném účtu </w:t>
      </w:r>
      <w:r w:rsidRPr="005E6A46">
        <w:rPr>
          <w:rFonts w:asciiTheme="minorHAnsi" w:hAnsiTheme="minorHAnsi" w:cstheme="minorHAnsi"/>
          <w:lang w:eastAsia="cs-CZ"/>
        </w:rPr>
        <w:t xml:space="preserve">kapitoly státního rozpočtu 362 </w:t>
      </w:r>
      <w:r w:rsidR="008C3241" w:rsidRPr="003401EF">
        <w:rPr>
          <w:rFonts w:eastAsia="Calibri"/>
        </w:rPr>
        <w:t>–</w:t>
      </w:r>
      <w:r w:rsidR="008C3241">
        <w:rPr>
          <w:rFonts w:eastAsia="Calibri"/>
        </w:rPr>
        <w:t xml:space="preserve"> </w:t>
      </w:r>
      <w:r w:rsidRPr="001718B3">
        <w:rPr>
          <w:rFonts w:asciiTheme="minorHAnsi" w:hAnsiTheme="minorHAnsi" w:cstheme="minorHAnsi"/>
          <w:i/>
          <w:iCs/>
          <w:lang w:eastAsia="cs-CZ"/>
        </w:rPr>
        <w:t>Národní sportovní agentura</w:t>
      </w:r>
      <w:r w:rsidRPr="005E6A46">
        <w:rPr>
          <w:rFonts w:asciiTheme="minorHAnsi" w:hAnsiTheme="minorHAnsi" w:cstheme="minorHAnsi"/>
          <w:lang w:eastAsia="cs-CZ"/>
        </w:rPr>
        <w:t xml:space="preserve"> </w:t>
      </w:r>
      <w:r w:rsidRPr="001718B3">
        <w:rPr>
          <w:rFonts w:asciiTheme="minorHAnsi" w:hAnsiTheme="minorHAnsi" w:cstheme="minorHAnsi"/>
          <w:b/>
          <w:bCs/>
          <w:lang w:eastAsia="cs-CZ"/>
        </w:rPr>
        <w:t>za rok 2023</w:t>
      </w:r>
      <w:r w:rsidRPr="009F57B8">
        <w:rPr>
          <w:rFonts w:asciiTheme="minorHAnsi" w:hAnsiTheme="minorHAnsi" w:cstheme="minorHAnsi"/>
          <w:lang w:eastAsia="cs-CZ"/>
        </w:rPr>
        <w:t xml:space="preserve"> (dále „ZÚ za rok 2023“)</w:t>
      </w:r>
      <w:r w:rsidR="008C455F">
        <w:rPr>
          <w:rFonts w:asciiTheme="minorHAnsi" w:hAnsiTheme="minorHAnsi" w:cstheme="minorHAnsi"/>
          <w:lang w:eastAsia="cs-CZ"/>
        </w:rPr>
        <w:t xml:space="preserve">. NSA některé nedostatky odstranila při přípravě ZÚ za rok 2024. </w:t>
      </w:r>
      <w:r w:rsidR="008C455F" w:rsidRPr="008C455F">
        <w:rPr>
          <w:rFonts w:asciiTheme="minorHAnsi" w:hAnsiTheme="minorHAnsi" w:cstheme="minorHAnsi"/>
          <w:lang w:eastAsia="cs-CZ"/>
        </w:rPr>
        <w:t xml:space="preserve">V ZÚ za rok 2024 však NSA nedoplnila </w:t>
      </w:r>
      <w:r w:rsidR="00BD1580">
        <w:rPr>
          <w:rFonts w:asciiTheme="minorHAnsi" w:hAnsiTheme="minorHAnsi" w:cstheme="minorHAnsi"/>
          <w:lang w:eastAsia="cs-CZ"/>
        </w:rPr>
        <w:t>významné</w:t>
      </w:r>
      <w:r w:rsidR="00BD1580" w:rsidRPr="008C455F">
        <w:rPr>
          <w:rFonts w:asciiTheme="minorHAnsi" w:hAnsiTheme="minorHAnsi" w:cstheme="minorHAnsi"/>
          <w:lang w:eastAsia="cs-CZ"/>
        </w:rPr>
        <w:t xml:space="preserve"> </w:t>
      </w:r>
      <w:r w:rsidR="008C455F" w:rsidRPr="008C455F">
        <w:rPr>
          <w:rFonts w:asciiTheme="minorHAnsi" w:hAnsiTheme="minorHAnsi" w:cstheme="minorHAnsi"/>
          <w:lang w:eastAsia="cs-CZ"/>
        </w:rPr>
        <w:t>informace týkající se naplňování principů hospodárnosti, efektivnosti a účelnosti u</w:t>
      </w:r>
      <w:r w:rsidR="00703365">
        <w:rPr>
          <w:rFonts w:asciiTheme="minorHAnsi" w:hAnsiTheme="minorHAnsi" w:cstheme="minorHAnsi"/>
          <w:lang w:eastAsia="cs-CZ"/>
        </w:rPr>
        <w:t> </w:t>
      </w:r>
      <w:r w:rsidR="008C455F" w:rsidRPr="008C455F">
        <w:rPr>
          <w:rFonts w:asciiTheme="minorHAnsi" w:hAnsiTheme="minorHAnsi" w:cstheme="minorHAnsi"/>
          <w:lang w:eastAsia="cs-CZ"/>
        </w:rPr>
        <w:t>jednotlivých dotačních programů, stejně jako údaje o plnění stanovených cílů a dalším vývoji národních investičních programů v rámci programového financování</w:t>
      </w:r>
      <w:r w:rsidR="00D3387E">
        <w:rPr>
          <w:rFonts w:asciiTheme="minorHAnsi" w:hAnsiTheme="minorHAnsi" w:cstheme="minorHAnsi"/>
          <w:lang w:eastAsia="cs-CZ"/>
        </w:rPr>
        <w:t xml:space="preserve"> (viz část IV.3.1 tohoto kontrolního závěru)</w:t>
      </w:r>
      <w:r w:rsidR="008C455F" w:rsidRPr="008C455F">
        <w:rPr>
          <w:rFonts w:asciiTheme="minorHAnsi" w:hAnsiTheme="minorHAnsi" w:cstheme="minorHAnsi"/>
          <w:lang w:eastAsia="cs-CZ"/>
        </w:rPr>
        <w:t>.</w:t>
      </w:r>
    </w:p>
    <w:p w14:paraId="3D6EB00B" w14:textId="01ED39AD" w:rsidR="00DD3125" w:rsidRPr="007F3296" w:rsidRDefault="00703365" w:rsidP="00703365">
      <w:pPr>
        <w:keepNext/>
        <w:spacing w:before="240"/>
        <w:outlineLvl w:val="1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4. </w:t>
      </w:r>
      <w:r w:rsidR="00035012" w:rsidRPr="007F3296">
        <w:rPr>
          <w:rFonts w:eastAsia="Calibri" w:cs="Calibri"/>
          <w:b/>
        </w:rPr>
        <w:t xml:space="preserve">Vnitřní kontrolní systém </w:t>
      </w:r>
      <w:r w:rsidR="007F3296" w:rsidRPr="007F3296">
        <w:rPr>
          <w:rFonts w:eastAsia="Calibri" w:cs="Calibri"/>
          <w:b/>
        </w:rPr>
        <w:t>NSA</w:t>
      </w:r>
    </w:p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E2DB"/>
        <w:tblLook w:val="04A0" w:firstRow="1" w:lastRow="0" w:firstColumn="1" w:lastColumn="0" w:noHBand="0" w:noVBand="1"/>
      </w:tblPr>
      <w:tblGrid>
        <w:gridCol w:w="9060"/>
      </w:tblGrid>
      <w:tr w:rsidR="00B07849" w14:paraId="5737D80A" w14:textId="77777777" w:rsidTr="00076416">
        <w:trPr>
          <w:trHeight w:val="570"/>
        </w:trPr>
        <w:tc>
          <w:tcPr>
            <w:tcW w:w="9060" w:type="dxa"/>
            <w:shd w:val="clear" w:color="auto" w:fill="E6E6E6"/>
          </w:tcPr>
          <w:p w14:paraId="5A645C5A" w14:textId="4BDECC82" w:rsidR="00DD3125" w:rsidRPr="002F6ECE" w:rsidRDefault="00BA4F7D" w:rsidP="00453CDD">
            <w:pPr>
              <w:spacing w:before="120"/>
              <w:jc w:val="both"/>
              <w:rPr>
                <w:rFonts w:eastAsiaTheme="minorHAnsi" w:cs="Calibri"/>
                <w:b/>
                <w:highlight w:val="green"/>
              </w:rPr>
            </w:pPr>
            <w:r>
              <w:rPr>
                <w:b/>
              </w:rPr>
              <w:t>V průběhu kontroly NKÚ zjistil ve všech prověřovaných oblastech významné nedostatky</w:t>
            </w:r>
            <w:r w:rsidR="0049075D">
              <w:rPr>
                <w:b/>
              </w:rPr>
              <w:t xml:space="preserve">, které </w:t>
            </w:r>
            <w:r>
              <w:rPr>
                <w:b/>
              </w:rPr>
              <w:t>vnitřní kontrolní systém</w:t>
            </w:r>
            <w:r w:rsidR="0049075D">
              <w:rPr>
                <w:b/>
              </w:rPr>
              <w:t xml:space="preserve"> </w:t>
            </w:r>
            <w:r>
              <w:rPr>
                <w:b/>
              </w:rPr>
              <w:t>NSA</w:t>
            </w:r>
            <w:r w:rsidR="0049075D">
              <w:rPr>
                <w:b/>
              </w:rPr>
              <w:t xml:space="preserve"> neidentifikoval.</w:t>
            </w:r>
            <w:r>
              <w:rPr>
                <w:b/>
              </w:rPr>
              <w:t xml:space="preserve"> </w:t>
            </w:r>
            <w:r w:rsidR="0049075D">
              <w:rPr>
                <w:b/>
              </w:rPr>
              <w:t>Pokud by NSA tyto nedostatky</w:t>
            </w:r>
            <w:r w:rsidR="00D069DB">
              <w:rPr>
                <w:b/>
              </w:rPr>
              <w:t xml:space="preserve"> neopravila a nepřijala systémová opatření ve vnitřním kontrolním systému,</w:t>
            </w:r>
            <w:r>
              <w:rPr>
                <w:b/>
              </w:rPr>
              <w:t xml:space="preserve"> vyhodnotil</w:t>
            </w:r>
            <w:r w:rsidR="00D069DB">
              <w:rPr>
                <w:b/>
              </w:rPr>
              <w:t xml:space="preserve"> by NKÚ</w:t>
            </w:r>
            <w:r>
              <w:rPr>
                <w:b/>
              </w:rPr>
              <w:t xml:space="preserve"> vnitřní kontrolní systém</w:t>
            </w:r>
            <w:r w:rsidR="009A6072">
              <w:rPr>
                <w:b/>
              </w:rPr>
              <w:t xml:space="preserve"> NSA</w:t>
            </w:r>
            <w:r>
              <w:rPr>
                <w:b/>
              </w:rPr>
              <w:t xml:space="preserve"> v těchto oblastech jako neúčinný. Po opatřeních </w:t>
            </w:r>
            <w:r>
              <w:rPr>
                <w:b/>
              </w:rPr>
              <w:lastRenderedPageBreak/>
              <w:t>přijatých NSA v průběhu kontroly lze dle NKÚ považovat vnitřní kontrolní systém v prověřovaných oblastech za účinný ve smyslu požadavku zákona č. 320/2001 Sb.</w:t>
            </w:r>
            <w:r>
              <w:rPr>
                <w:rStyle w:val="Znakapoznpodarou"/>
                <w:b/>
              </w:rPr>
              <w:footnoteReference w:id="8"/>
            </w:r>
            <w:r w:rsidRPr="003401EF">
              <w:rPr>
                <w:rFonts w:eastAsiaTheme="minorHAnsi" w:cs="Calibri"/>
                <w:b/>
              </w:rPr>
              <w:t>.</w:t>
            </w:r>
          </w:p>
        </w:tc>
      </w:tr>
    </w:tbl>
    <w:p w14:paraId="1467CE54" w14:textId="552367AA" w:rsidR="00CE74CE" w:rsidRPr="002F6ECE" w:rsidRDefault="00035012" w:rsidP="005F4282">
      <w:pPr>
        <w:spacing w:before="120" w:after="0"/>
        <w:jc w:val="both"/>
        <w:rPr>
          <w:rFonts w:cs="Calibri"/>
          <w:highlight w:val="green"/>
        </w:rPr>
      </w:pPr>
      <w:r w:rsidRPr="003C0C75">
        <w:rPr>
          <w:rFonts w:cs="Calibri"/>
        </w:rPr>
        <w:lastRenderedPageBreak/>
        <w:t xml:space="preserve">NKÚ </w:t>
      </w:r>
      <w:r w:rsidR="00BD1DB5" w:rsidRPr="003C0C75">
        <w:rPr>
          <w:rFonts w:cs="Calibri"/>
        </w:rPr>
        <w:t xml:space="preserve">v průběhu kontroly zjistil v oblasti účetnictví </w:t>
      </w:r>
      <w:r w:rsidR="00034F0A" w:rsidRPr="008C455F">
        <w:rPr>
          <w:rFonts w:cs="Calibri"/>
        </w:rPr>
        <w:t>(viz část IV.</w:t>
      </w:r>
      <w:r w:rsidR="008C455F" w:rsidRPr="008C455F">
        <w:rPr>
          <w:rFonts w:cs="Calibri"/>
        </w:rPr>
        <w:t>1.1</w:t>
      </w:r>
      <w:r w:rsidR="00034F0A" w:rsidRPr="008C455F">
        <w:rPr>
          <w:rFonts w:cs="Calibri"/>
        </w:rPr>
        <w:t xml:space="preserve"> tohoto kontrolního závěru), </w:t>
      </w:r>
      <w:r w:rsidR="00625092">
        <w:rPr>
          <w:rFonts w:cs="Calibri"/>
        </w:rPr>
        <w:t>u </w:t>
      </w:r>
      <w:r w:rsidR="00034F0A" w:rsidRPr="008C455F">
        <w:rPr>
          <w:rFonts w:cs="Calibri"/>
        </w:rPr>
        <w:t>údajů o plnění rozpočtu (viz část IV.</w:t>
      </w:r>
      <w:r w:rsidR="008C455F" w:rsidRPr="008C455F">
        <w:rPr>
          <w:rFonts w:cs="Calibri"/>
        </w:rPr>
        <w:t>2.1</w:t>
      </w:r>
      <w:r w:rsidR="00034F0A" w:rsidRPr="008C455F">
        <w:rPr>
          <w:rFonts w:cs="Calibri"/>
        </w:rPr>
        <w:t xml:space="preserve"> tohoto kontrolního závěru), </w:t>
      </w:r>
      <w:r w:rsidR="00625092">
        <w:rPr>
          <w:rFonts w:cs="Calibri"/>
        </w:rPr>
        <w:t>v </w:t>
      </w:r>
      <w:r w:rsidR="00034F0A" w:rsidRPr="008C455F">
        <w:rPr>
          <w:rFonts w:cs="Calibri"/>
        </w:rPr>
        <w:t>závěrečné</w:t>
      </w:r>
      <w:r w:rsidR="00625092">
        <w:rPr>
          <w:rFonts w:cs="Calibri"/>
        </w:rPr>
        <w:t>m</w:t>
      </w:r>
      <w:r w:rsidR="00034F0A" w:rsidRPr="003C0C75">
        <w:rPr>
          <w:rFonts w:cs="Calibri"/>
        </w:rPr>
        <w:t xml:space="preserve"> </w:t>
      </w:r>
      <w:r w:rsidR="00034F0A" w:rsidRPr="008C455F">
        <w:rPr>
          <w:rFonts w:cs="Calibri"/>
        </w:rPr>
        <w:t>účtu (viz část IV.</w:t>
      </w:r>
      <w:r w:rsidR="008C455F" w:rsidRPr="008C455F">
        <w:rPr>
          <w:rFonts w:cs="Calibri"/>
        </w:rPr>
        <w:t>3.1</w:t>
      </w:r>
      <w:r w:rsidR="00034F0A" w:rsidRPr="008C455F">
        <w:rPr>
          <w:rFonts w:cs="Calibri"/>
        </w:rPr>
        <w:t xml:space="preserve"> tohoto kontrolního závěru),</w:t>
      </w:r>
      <w:r w:rsidR="00034F0A" w:rsidRPr="003C0C75">
        <w:rPr>
          <w:rFonts w:cs="Calibri"/>
        </w:rPr>
        <w:t xml:space="preserve"> </w:t>
      </w:r>
      <w:r w:rsidR="00625092">
        <w:rPr>
          <w:rFonts w:cs="Calibri"/>
        </w:rPr>
        <w:t xml:space="preserve">v oblasti </w:t>
      </w:r>
      <w:r w:rsidR="00034F0A" w:rsidRPr="003C0C75">
        <w:rPr>
          <w:rFonts w:cs="Calibri"/>
        </w:rPr>
        <w:t xml:space="preserve">řídicí kontroly </w:t>
      </w:r>
      <w:r w:rsidR="00034F0A" w:rsidRPr="00A418DD">
        <w:rPr>
          <w:rFonts w:cs="Calibri"/>
        </w:rPr>
        <w:t>(viz část IV.</w:t>
      </w:r>
      <w:r w:rsidR="00A418DD" w:rsidRPr="00A418DD">
        <w:rPr>
          <w:rFonts w:cs="Calibri"/>
        </w:rPr>
        <w:t>4.1</w:t>
      </w:r>
      <w:r w:rsidR="00034F0A" w:rsidRPr="00A418DD">
        <w:rPr>
          <w:rFonts w:cs="Calibri"/>
        </w:rPr>
        <w:t xml:space="preserve"> tohoto kontrolního závěru)</w:t>
      </w:r>
      <w:r w:rsidR="00034F0A" w:rsidRPr="003C0C75">
        <w:rPr>
          <w:rFonts w:cs="Calibri"/>
        </w:rPr>
        <w:t xml:space="preserve"> a</w:t>
      </w:r>
      <w:r w:rsidR="00767246">
        <w:rPr>
          <w:rFonts w:cs="Calibri"/>
        </w:rPr>
        <w:t> </w:t>
      </w:r>
      <w:r w:rsidR="00034F0A" w:rsidRPr="003C0C75">
        <w:rPr>
          <w:rFonts w:cs="Calibri"/>
        </w:rPr>
        <w:t>v oblasti hospodaření s majetkem státu dle zákona č. 219/2000 Sb.</w:t>
      </w:r>
      <w:r>
        <w:rPr>
          <w:rStyle w:val="Znakapoznpodarou"/>
          <w:rFonts w:asciiTheme="minorHAnsi" w:hAnsiTheme="minorHAnsi" w:cstheme="minorHAnsi"/>
        </w:rPr>
        <w:footnoteReference w:id="9"/>
      </w:r>
      <w:r w:rsidR="00034F0A" w:rsidRPr="003C0C75">
        <w:rPr>
          <w:rFonts w:cs="Calibri"/>
        </w:rPr>
        <w:t>, finančního hospodaření dle zákona č. 218/2000 Sb.</w:t>
      </w:r>
      <w:r>
        <w:rPr>
          <w:rStyle w:val="Znakapoznpodarou"/>
          <w:rFonts w:asciiTheme="minorHAnsi" w:hAnsiTheme="minorHAnsi" w:cstheme="minorHAnsi"/>
        </w:rPr>
        <w:footnoteReference w:id="10"/>
      </w:r>
      <w:r w:rsidR="00034F0A" w:rsidRPr="003C0C75">
        <w:rPr>
          <w:rFonts w:cs="Calibri"/>
        </w:rPr>
        <w:t xml:space="preserve"> a dalších právních předpisů (</w:t>
      </w:r>
      <w:r w:rsidR="00034F0A" w:rsidRPr="00A418DD">
        <w:rPr>
          <w:rFonts w:cs="Calibri"/>
        </w:rPr>
        <w:t>viz část IV.</w:t>
      </w:r>
      <w:r w:rsidR="00A418DD" w:rsidRPr="00A418DD">
        <w:rPr>
          <w:rFonts w:cs="Calibri"/>
        </w:rPr>
        <w:t>5</w:t>
      </w:r>
      <w:r w:rsidR="004C64BC">
        <w:rPr>
          <w:rFonts w:cs="Calibri"/>
        </w:rPr>
        <w:t>.</w:t>
      </w:r>
      <w:r w:rsidR="00A418DD" w:rsidRPr="00A418DD">
        <w:rPr>
          <w:rFonts w:cs="Calibri"/>
        </w:rPr>
        <w:t xml:space="preserve"> a IV.6</w:t>
      </w:r>
      <w:r w:rsidR="004C64BC">
        <w:rPr>
          <w:rFonts w:cs="Calibri"/>
        </w:rPr>
        <w:t>.</w:t>
      </w:r>
      <w:r w:rsidR="00034F0A" w:rsidRPr="00A418DD">
        <w:rPr>
          <w:rFonts w:cs="Calibri"/>
        </w:rPr>
        <w:t xml:space="preserve"> tohoto kontrolního závěru)</w:t>
      </w:r>
      <w:r w:rsidR="00034F0A" w:rsidRPr="003C0C75">
        <w:rPr>
          <w:rFonts w:cs="Calibri"/>
        </w:rPr>
        <w:t xml:space="preserve"> </w:t>
      </w:r>
      <w:r w:rsidR="00BD1DB5" w:rsidRPr="003C0C75">
        <w:rPr>
          <w:rFonts w:cs="Calibri"/>
        </w:rPr>
        <w:t>významné nedostatky, které VKS</w:t>
      </w:r>
      <w:r w:rsidR="005D22CD" w:rsidRPr="003C0C75">
        <w:rPr>
          <w:rFonts w:cs="Calibri"/>
        </w:rPr>
        <w:t xml:space="preserve"> </w:t>
      </w:r>
      <w:r w:rsidR="00034F0A" w:rsidRPr="003C0C75">
        <w:rPr>
          <w:rFonts w:cs="Calibri"/>
        </w:rPr>
        <w:t>NSA</w:t>
      </w:r>
      <w:r w:rsidR="005D22CD" w:rsidRPr="003C0C75">
        <w:rPr>
          <w:rFonts w:cs="Calibri"/>
        </w:rPr>
        <w:t xml:space="preserve"> </w:t>
      </w:r>
      <w:r w:rsidR="00BD1DB5" w:rsidRPr="003C0C75">
        <w:rPr>
          <w:rFonts w:cs="Calibri"/>
        </w:rPr>
        <w:t xml:space="preserve">neidentifikoval. </w:t>
      </w:r>
      <w:r w:rsidR="00034F0A" w:rsidRPr="003C0C75">
        <w:rPr>
          <w:rFonts w:cs="Calibri"/>
        </w:rPr>
        <w:t>NSA většinu</w:t>
      </w:r>
      <w:r w:rsidR="003C0C75" w:rsidRPr="003C0C75">
        <w:rPr>
          <w:rFonts w:cs="Calibri"/>
        </w:rPr>
        <w:t xml:space="preserve"> těchto</w:t>
      </w:r>
      <w:r w:rsidR="00034F0A" w:rsidRPr="003C0C75">
        <w:rPr>
          <w:rFonts w:cs="Calibri"/>
        </w:rPr>
        <w:t xml:space="preserve"> </w:t>
      </w:r>
      <w:r w:rsidRPr="003C0C75">
        <w:rPr>
          <w:rFonts w:cs="Calibri"/>
        </w:rPr>
        <w:t>nedostatk</w:t>
      </w:r>
      <w:r w:rsidR="003C0C75" w:rsidRPr="003C0C75">
        <w:rPr>
          <w:rFonts w:cs="Calibri"/>
        </w:rPr>
        <w:t xml:space="preserve">ů </w:t>
      </w:r>
      <w:r w:rsidRPr="003C0C75">
        <w:rPr>
          <w:rFonts w:cs="Calibri"/>
        </w:rPr>
        <w:t>opravil</w:t>
      </w:r>
      <w:r w:rsidR="003C0C75" w:rsidRPr="003C0C75">
        <w:rPr>
          <w:rFonts w:cs="Calibri"/>
        </w:rPr>
        <w:t xml:space="preserve">a, resp. přijala i ve VKS </w:t>
      </w:r>
      <w:r w:rsidRPr="003C0C75">
        <w:rPr>
          <w:rFonts w:cs="Calibri"/>
        </w:rPr>
        <w:t>dostatečná opatření k nápravě systémových nedostatků.</w:t>
      </w:r>
      <w:r w:rsidR="003C0C75" w:rsidRPr="003C0C75">
        <w:rPr>
          <w:rFonts w:cs="Calibri"/>
        </w:rPr>
        <w:t xml:space="preserve"> Pokud by NSA opravu významných nedostatků, resp. přijetí systémových opatření ve VKS v uvedených oblastech k 31. </w:t>
      </w:r>
      <w:r w:rsidR="00AC4790">
        <w:rPr>
          <w:rFonts w:cs="Calibri"/>
        </w:rPr>
        <w:t xml:space="preserve">prosinci </w:t>
      </w:r>
      <w:r w:rsidR="003C0C75" w:rsidRPr="003C0C75">
        <w:rPr>
          <w:rFonts w:cs="Calibri"/>
        </w:rPr>
        <w:t>2024 neprovedla tak, aby byla realizována s</w:t>
      </w:r>
      <w:r w:rsidR="00767246">
        <w:rPr>
          <w:rFonts w:cs="Calibri"/>
        </w:rPr>
        <w:t> </w:t>
      </w:r>
      <w:r w:rsidR="003C0C75" w:rsidRPr="003C0C75">
        <w:rPr>
          <w:rFonts w:cs="Calibri"/>
        </w:rPr>
        <w:t xml:space="preserve">účinností již pro rok 2024, vyhodnotil by </w:t>
      </w:r>
      <w:r w:rsidR="003C0C75">
        <w:rPr>
          <w:rFonts w:cs="Calibri"/>
        </w:rPr>
        <w:t>NKÚ</w:t>
      </w:r>
      <w:r w:rsidR="003C0C75" w:rsidRPr="003C0C75">
        <w:rPr>
          <w:rFonts w:cs="Calibri"/>
        </w:rPr>
        <w:t xml:space="preserve"> vzhledem k závažnosti zjištěných nedostatků </w:t>
      </w:r>
      <w:r w:rsidR="003C0C75">
        <w:rPr>
          <w:rFonts w:cs="Calibri"/>
        </w:rPr>
        <w:t xml:space="preserve">VKS </w:t>
      </w:r>
      <w:r w:rsidR="0059174F">
        <w:rPr>
          <w:rFonts w:cs="Calibri"/>
        </w:rPr>
        <w:t xml:space="preserve">v prověřovaných oblastech </w:t>
      </w:r>
      <w:r w:rsidR="003C0C75" w:rsidRPr="003C0C75">
        <w:rPr>
          <w:rFonts w:cs="Calibri"/>
        </w:rPr>
        <w:t>jako neúčinný.</w:t>
      </w:r>
      <w:r w:rsidRPr="002F6ECE">
        <w:rPr>
          <w:rFonts w:cs="Calibri"/>
          <w:highlight w:val="green"/>
        </w:rPr>
        <w:t xml:space="preserve"> </w:t>
      </w:r>
    </w:p>
    <w:p w14:paraId="6D63260F" w14:textId="77777777" w:rsidR="003C0C75" w:rsidRPr="00FA4B73" w:rsidRDefault="00035012" w:rsidP="00767246">
      <w:pPr>
        <w:spacing w:before="120" w:after="0"/>
        <w:jc w:val="both"/>
        <w:rPr>
          <w:rFonts w:eastAsia="Calibri"/>
        </w:rPr>
      </w:pPr>
      <w:r w:rsidRPr="00FA4B73">
        <w:rPr>
          <w:rFonts w:eastAsia="Calibri"/>
        </w:rPr>
        <w:t>NKÚ upozornil na přetrvávající nedostatky</w:t>
      </w:r>
      <w:r w:rsidR="00B00959">
        <w:rPr>
          <w:rFonts w:eastAsia="Calibri"/>
        </w:rPr>
        <w:t xml:space="preserve"> v oblasti</w:t>
      </w:r>
      <w:r w:rsidRPr="00FA4B73">
        <w:rPr>
          <w:rFonts w:eastAsia="Calibri"/>
        </w:rPr>
        <w:t>:</w:t>
      </w:r>
    </w:p>
    <w:p w14:paraId="0FB7FA79" w14:textId="4A4CD8E5" w:rsidR="00FA4B73" w:rsidRPr="009F57B8" w:rsidRDefault="00035012" w:rsidP="00703365">
      <w:pPr>
        <w:pStyle w:val="Odstavecseseznamem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eastAsia="Calibri"/>
          <w:bCs/>
        </w:rPr>
      </w:pPr>
      <w:r w:rsidRPr="00A60233">
        <w:rPr>
          <w:rFonts w:eastAsia="Calibri"/>
          <w:bCs/>
        </w:rPr>
        <w:t>závěrečného účtu</w:t>
      </w:r>
      <w:r>
        <w:rPr>
          <w:rFonts w:eastAsia="Calibri"/>
          <w:bCs/>
        </w:rPr>
        <w:t>, který NSA za rok</w:t>
      </w:r>
      <w:r w:rsidRPr="00A60233">
        <w:rPr>
          <w:rFonts w:eastAsia="Calibri"/>
          <w:bCs/>
        </w:rPr>
        <w:t xml:space="preserve"> 2024 </w:t>
      </w:r>
      <w:r>
        <w:rPr>
          <w:rFonts w:eastAsia="Calibri"/>
          <w:bCs/>
        </w:rPr>
        <w:t xml:space="preserve">nesestavila </w:t>
      </w:r>
      <w:r w:rsidRPr="00A60233">
        <w:rPr>
          <w:rFonts w:eastAsia="Calibri"/>
          <w:bCs/>
        </w:rPr>
        <w:t>ve dvou bodech v souladu s vyhláškou č. 419/2001 Sb</w:t>
      </w:r>
      <w:r w:rsidRPr="009F57B8">
        <w:rPr>
          <w:rFonts w:eastAsia="Calibri"/>
          <w:bCs/>
        </w:rPr>
        <w:t xml:space="preserve">. </w:t>
      </w:r>
      <w:bookmarkStart w:id="5" w:name="_Hlk198104125"/>
      <w:r w:rsidRPr="009F57B8">
        <w:rPr>
          <w:rFonts w:cs="Calibri"/>
        </w:rPr>
        <w:t>(viz část IV.</w:t>
      </w:r>
      <w:r w:rsidR="009F57B8" w:rsidRPr="009F57B8">
        <w:rPr>
          <w:rFonts w:cs="Calibri"/>
        </w:rPr>
        <w:t>3</w:t>
      </w:r>
      <w:r w:rsidR="004C64BC">
        <w:rPr>
          <w:rFonts w:cs="Calibri"/>
        </w:rPr>
        <w:t>.</w:t>
      </w:r>
      <w:r w:rsidR="00CB7B0F">
        <w:rPr>
          <w:rFonts w:cs="Calibri"/>
        </w:rPr>
        <w:t>2</w:t>
      </w:r>
      <w:r w:rsidRPr="009F57B8">
        <w:rPr>
          <w:rFonts w:cs="Calibri"/>
        </w:rPr>
        <w:t xml:space="preserve"> tohoto kontrolního závěru)</w:t>
      </w:r>
      <w:bookmarkEnd w:id="5"/>
      <w:r w:rsidR="00625092">
        <w:rPr>
          <w:rFonts w:eastAsia="Calibri"/>
          <w:bCs/>
        </w:rPr>
        <w:t>,</w:t>
      </w:r>
    </w:p>
    <w:p w14:paraId="2010B286" w14:textId="4B753DEB" w:rsidR="00FA4B73" w:rsidRPr="00A418DD" w:rsidRDefault="00035012" w:rsidP="00703365">
      <w:pPr>
        <w:pStyle w:val="Odstavecseseznamem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eastAsia="Calibri"/>
          <w:bCs/>
        </w:rPr>
      </w:pPr>
      <w:r w:rsidRPr="00A60233">
        <w:rPr>
          <w:rFonts w:eastAsia="Calibri"/>
          <w:bCs/>
        </w:rPr>
        <w:t>hospodaření s majetkem státu dle zákona č. 219/2000 Sb., finančního hospodaření dle zákona č. 218/2000 Sb. a dalších právních předpisů</w:t>
      </w:r>
      <w:r w:rsidR="00DE5055">
        <w:rPr>
          <w:rFonts w:eastAsia="Calibri"/>
          <w:bCs/>
        </w:rPr>
        <w:t>, kdy</w:t>
      </w:r>
      <w:r w:rsidR="00EE536F">
        <w:rPr>
          <w:rFonts w:eastAsia="Calibri"/>
          <w:bCs/>
        </w:rPr>
        <w:t xml:space="preserve"> NSA </w:t>
      </w:r>
      <w:r w:rsidR="00DE5055">
        <w:rPr>
          <w:rFonts w:eastAsia="Calibri"/>
          <w:bCs/>
        </w:rPr>
        <w:t>umožnila</w:t>
      </w:r>
      <w:r w:rsidR="00EE536F">
        <w:rPr>
          <w:rFonts w:eastAsia="Calibri"/>
          <w:bCs/>
        </w:rPr>
        <w:t xml:space="preserve"> pozemky, se kterými je příslušná hospodařit, </w:t>
      </w:r>
      <w:r w:rsidR="00DE5055">
        <w:rPr>
          <w:rFonts w:eastAsia="Calibri"/>
          <w:bCs/>
        </w:rPr>
        <w:t>užívat</w:t>
      </w:r>
      <w:r w:rsidR="00EE536F">
        <w:rPr>
          <w:rFonts w:eastAsia="Calibri"/>
          <w:bCs/>
        </w:rPr>
        <w:t xml:space="preserve"> jiným subjektům bez právního důvodu</w:t>
      </w:r>
      <w:r w:rsidR="0049075D">
        <w:rPr>
          <w:rFonts w:eastAsia="Calibri"/>
          <w:bCs/>
        </w:rPr>
        <w:t xml:space="preserve"> a bezúplatně</w:t>
      </w:r>
      <w:r w:rsidR="00EE536F">
        <w:rPr>
          <w:rFonts w:eastAsia="Calibri"/>
          <w:bCs/>
        </w:rPr>
        <w:t xml:space="preserve"> </w:t>
      </w:r>
      <w:r w:rsidRPr="00A418DD">
        <w:rPr>
          <w:rFonts w:eastAsia="Calibri"/>
          <w:bCs/>
        </w:rPr>
        <w:t>(viz část IV.5</w:t>
      </w:r>
      <w:r w:rsidR="004C64BC">
        <w:rPr>
          <w:rFonts w:eastAsia="Calibri"/>
          <w:bCs/>
        </w:rPr>
        <w:t>.</w:t>
      </w:r>
      <w:r w:rsidRPr="00A418DD">
        <w:rPr>
          <w:rFonts w:eastAsia="Calibri"/>
          <w:bCs/>
        </w:rPr>
        <w:t xml:space="preserve"> tohoto kontrolního závěru).</w:t>
      </w:r>
    </w:p>
    <w:p w14:paraId="3B9D8BDB" w14:textId="6D134541" w:rsidR="00DD3125" w:rsidRPr="00FA4B73" w:rsidRDefault="00035012" w:rsidP="005F4282">
      <w:pPr>
        <w:spacing w:before="120" w:after="0"/>
        <w:jc w:val="both"/>
        <w:rPr>
          <w:rFonts w:cs="Calibri"/>
        </w:rPr>
      </w:pPr>
      <w:r w:rsidRPr="00FA4B73">
        <w:rPr>
          <w:rFonts w:eastAsia="Calibri"/>
        </w:rPr>
        <w:t xml:space="preserve">Uvedené nedostatky však </w:t>
      </w:r>
      <w:r w:rsidR="00FA4B73" w:rsidRPr="00FA4B73">
        <w:rPr>
          <w:rFonts w:eastAsia="Calibri"/>
        </w:rPr>
        <w:t xml:space="preserve">již </w:t>
      </w:r>
      <w:r w:rsidRPr="00FA4B73">
        <w:rPr>
          <w:rFonts w:eastAsia="Calibri"/>
        </w:rPr>
        <w:t>nebyly takového rozsahu, aby byly ze strany NKÚ vyhodnoceny jako významné</w:t>
      </w:r>
      <w:r w:rsidR="0059174F">
        <w:rPr>
          <w:rFonts w:eastAsia="Calibri"/>
        </w:rPr>
        <w:t xml:space="preserve"> ve vztahu k</w:t>
      </w:r>
      <w:r w:rsidRPr="00FA4B73">
        <w:rPr>
          <w:rFonts w:eastAsia="Calibri"/>
        </w:rPr>
        <w:t xml:space="preserve"> prověřovaný</w:t>
      </w:r>
      <w:r w:rsidR="0059174F">
        <w:rPr>
          <w:rFonts w:eastAsia="Calibri"/>
        </w:rPr>
        <w:t>m</w:t>
      </w:r>
      <w:r w:rsidRPr="00FA4B73">
        <w:rPr>
          <w:rFonts w:eastAsia="Calibri"/>
        </w:rPr>
        <w:t xml:space="preserve"> </w:t>
      </w:r>
      <w:r w:rsidR="0059174F">
        <w:rPr>
          <w:rFonts w:eastAsia="Calibri"/>
        </w:rPr>
        <w:t xml:space="preserve">oblastem </w:t>
      </w:r>
      <w:r w:rsidRPr="00FA4B73">
        <w:rPr>
          <w:rFonts w:eastAsia="Calibri"/>
        </w:rPr>
        <w:t>VKS.</w:t>
      </w:r>
    </w:p>
    <w:p w14:paraId="15EA96C8" w14:textId="21D8180B" w:rsidR="00A806EC" w:rsidRPr="007F3296" w:rsidRDefault="00703365" w:rsidP="00703365">
      <w:pPr>
        <w:pStyle w:val="Styl2"/>
        <w:numPr>
          <w:ilvl w:val="0"/>
          <w:numId w:val="0"/>
        </w:numPr>
        <w:spacing w:before="240" w:after="120"/>
      </w:pPr>
      <w:bookmarkStart w:id="6" w:name="_Hlk134099608"/>
      <w:bookmarkStart w:id="7" w:name="_Hlk134099503"/>
      <w:r>
        <w:t xml:space="preserve">5. </w:t>
      </w:r>
      <w:r w:rsidR="00035012" w:rsidRPr="007F3296">
        <w:t>S</w:t>
      </w:r>
      <w:r w:rsidR="00035012">
        <w:t>oulad prověřovaných transakcí s právními předpisy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CA8B3"/>
        <w:tblLook w:val="04A0" w:firstRow="1" w:lastRow="0" w:firstColumn="1" w:lastColumn="0" w:noHBand="0" w:noVBand="1"/>
      </w:tblPr>
      <w:tblGrid>
        <w:gridCol w:w="9060"/>
      </w:tblGrid>
      <w:tr w:rsidR="00B07849" w14:paraId="1F4D28EC" w14:textId="77777777" w:rsidTr="00812F20">
        <w:tc>
          <w:tcPr>
            <w:tcW w:w="9060" w:type="dxa"/>
            <w:shd w:val="clear" w:color="auto" w:fill="E6E6E6"/>
          </w:tcPr>
          <w:p w14:paraId="63A72BEE" w14:textId="77777777" w:rsidR="00A806EC" w:rsidRPr="00A418DD" w:rsidRDefault="00035012" w:rsidP="00812F20">
            <w:pPr>
              <w:spacing w:before="120"/>
              <w:jc w:val="both"/>
              <w:rPr>
                <w:rFonts w:eastAsiaTheme="minorHAnsi" w:cs="Calibri"/>
                <w:b/>
                <w:highlight w:val="green"/>
              </w:rPr>
            </w:pPr>
            <w:r w:rsidRPr="00A418DD">
              <w:rPr>
                <w:rFonts w:eastAsiaTheme="minorHAnsi" w:cs="Calibri"/>
                <w:b/>
              </w:rPr>
              <w:t xml:space="preserve">NKÚ zjistil, že NSA </w:t>
            </w:r>
            <w:r>
              <w:rPr>
                <w:rFonts w:eastAsiaTheme="minorHAnsi" w:cs="Calibri"/>
                <w:b/>
              </w:rPr>
              <w:t xml:space="preserve">postupovala v rozporu se zákonem č. 219/2000 Sb., když </w:t>
            </w:r>
            <w:r w:rsidR="009406F6">
              <w:rPr>
                <w:rFonts w:eastAsiaTheme="minorHAnsi" w:cs="Calibri"/>
                <w:b/>
              </w:rPr>
              <w:t>umožnila bezúplatné užívání pozemků bez právního důvodu</w:t>
            </w:r>
            <w:r>
              <w:rPr>
                <w:rFonts w:eastAsiaTheme="minorHAnsi" w:cs="Calibri"/>
                <w:b/>
              </w:rPr>
              <w:t>.</w:t>
            </w:r>
          </w:p>
        </w:tc>
      </w:tr>
    </w:tbl>
    <w:p w14:paraId="5A36B7AF" w14:textId="7B69F330" w:rsidR="002E698C" w:rsidRPr="002E698C" w:rsidRDefault="00035012" w:rsidP="00767246">
      <w:pPr>
        <w:jc w:val="both"/>
      </w:pPr>
      <w:r w:rsidRPr="00A418DD">
        <w:rPr>
          <w:rFonts w:asciiTheme="minorHAnsi" w:hAnsiTheme="minorHAnsi" w:cstheme="minorHAnsi"/>
        </w:rPr>
        <w:t xml:space="preserve">NSA umožnila bez právního </w:t>
      </w:r>
      <w:r w:rsidR="00D008FF">
        <w:rPr>
          <w:rFonts w:asciiTheme="minorHAnsi" w:hAnsiTheme="minorHAnsi" w:cstheme="minorHAnsi"/>
        </w:rPr>
        <w:t>důvodu</w:t>
      </w:r>
      <w:r w:rsidR="00D008FF" w:rsidRPr="00A418DD">
        <w:rPr>
          <w:rFonts w:asciiTheme="minorHAnsi" w:hAnsiTheme="minorHAnsi" w:cstheme="minorHAnsi"/>
        </w:rPr>
        <w:t xml:space="preserve"> </w:t>
      </w:r>
      <w:r w:rsidRPr="00A418DD">
        <w:rPr>
          <w:rFonts w:asciiTheme="minorHAnsi" w:hAnsiTheme="minorHAnsi" w:cstheme="minorHAnsi"/>
        </w:rPr>
        <w:t xml:space="preserve">a bezúplatně užívat pozemky, a to v kat. </w:t>
      </w:r>
      <w:proofErr w:type="spellStart"/>
      <w:r w:rsidRPr="00A418DD">
        <w:rPr>
          <w:rFonts w:asciiTheme="minorHAnsi" w:hAnsiTheme="minorHAnsi" w:cstheme="minorHAnsi"/>
        </w:rPr>
        <w:t>úz</w:t>
      </w:r>
      <w:proofErr w:type="spellEnd"/>
      <w:r w:rsidRPr="00A418DD">
        <w:rPr>
          <w:rFonts w:asciiTheme="minorHAnsi" w:hAnsiTheme="minorHAnsi" w:cstheme="minorHAnsi"/>
        </w:rPr>
        <w:t>. Harrachov</w:t>
      </w:r>
      <w:r w:rsidR="00625092">
        <w:rPr>
          <w:rFonts w:asciiTheme="minorHAnsi" w:hAnsiTheme="minorHAnsi" w:cstheme="minorHAnsi"/>
        </w:rPr>
        <w:t>,</w:t>
      </w:r>
      <w:r w:rsidRPr="00A418DD">
        <w:rPr>
          <w:rFonts w:asciiTheme="minorHAnsi" w:hAnsiTheme="minorHAnsi" w:cstheme="minorHAnsi"/>
        </w:rPr>
        <w:t xml:space="preserve"> územnímu samosprávnému celku a v kat. </w:t>
      </w:r>
      <w:proofErr w:type="spellStart"/>
      <w:r w:rsidRPr="00A418DD">
        <w:rPr>
          <w:rFonts w:asciiTheme="minorHAnsi" w:hAnsiTheme="minorHAnsi" w:cstheme="minorHAnsi"/>
        </w:rPr>
        <w:t>úz</w:t>
      </w:r>
      <w:proofErr w:type="spellEnd"/>
      <w:r w:rsidRPr="00A418DD">
        <w:rPr>
          <w:rFonts w:asciiTheme="minorHAnsi" w:hAnsiTheme="minorHAnsi" w:cstheme="minorHAnsi"/>
        </w:rPr>
        <w:t>. Jáchymov právnické osobě, jejímž hlavním účelem je podnikání.</w:t>
      </w:r>
      <w:r>
        <w:rPr>
          <w:rFonts w:asciiTheme="minorHAnsi" w:hAnsiTheme="minorHAnsi" w:cstheme="minorHAnsi"/>
        </w:rPr>
        <w:t xml:space="preserve"> NSA tak neodůvodněně snižovala výnos z tohoto majetku </w:t>
      </w:r>
      <w:r w:rsidR="009D29A7">
        <w:rPr>
          <w:rFonts w:asciiTheme="minorHAnsi" w:hAnsiTheme="minorHAnsi" w:cstheme="minorHAnsi"/>
        </w:rPr>
        <w:t>minimáln</w:t>
      </w:r>
      <w:r w:rsidR="00B00959">
        <w:rPr>
          <w:rFonts w:asciiTheme="minorHAnsi" w:hAnsiTheme="minorHAnsi" w:cstheme="minorHAnsi"/>
        </w:rPr>
        <w:t xml:space="preserve">ě ve </w:t>
      </w:r>
      <w:r w:rsidR="009D29A7">
        <w:rPr>
          <w:rFonts w:asciiTheme="minorHAnsi" w:hAnsiTheme="minorHAnsi" w:cstheme="minorHAnsi"/>
        </w:rPr>
        <w:t xml:space="preserve">výši 9,1 mil. Kč. </w:t>
      </w:r>
      <w:r w:rsidR="003F539D">
        <w:rPr>
          <w:rFonts w:asciiTheme="minorHAnsi" w:hAnsiTheme="minorHAnsi" w:cstheme="minorHAnsi"/>
        </w:rPr>
        <w:t xml:space="preserve">Nárok na úhradu </w:t>
      </w:r>
      <w:r w:rsidR="009D29A7">
        <w:rPr>
          <w:rFonts w:asciiTheme="minorHAnsi" w:hAnsiTheme="minorHAnsi" w:cstheme="minorHAnsi"/>
        </w:rPr>
        <w:t xml:space="preserve">za užívání </w:t>
      </w:r>
      <w:r w:rsidR="00B00959">
        <w:rPr>
          <w:rFonts w:asciiTheme="minorHAnsi" w:hAnsiTheme="minorHAnsi" w:cstheme="minorHAnsi"/>
        </w:rPr>
        <w:t xml:space="preserve">pozemků </w:t>
      </w:r>
      <w:r w:rsidR="009D29A7">
        <w:rPr>
          <w:rFonts w:asciiTheme="minorHAnsi" w:hAnsiTheme="minorHAnsi" w:cstheme="minorHAnsi"/>
        </w:rPr>
        <w:t xml:space="preserve">v uvedené výši </w:t>
      </w:r>
      <w:r w:rsidR="004C64BC">
        <w:rPr>
          <w:rFonts w:asciiTheme="minorHAnsi" w:hAnsiTheme="minorHAnsi" w:cstheme="minorHAnsi"/>
        </w:rPr>
        <w:t xml:space="preserve">NSA uplatnila </w:t>
      </w:r>
      <w:r w:rsidR="009D29A7">
        <w:rPr>
          <w:rFonts w:asciiTheme="minorHAnsi" w:hAnsiTheme="minorHAnsi" w:cstheme="minorHAnsi"/>
        </w:rPr>
        <w:t>až v průběhu kontroly. Příslušné nájemní smlouvy NSA</w:t>
      </w:r>
      <w:r w:rsidR="00AA027E">
        <w:rPr>
          <w:rFonts w:asciiTheme="minorHAnsi" w:hAnsiTheme="minorHAnsi" w:cstheme="minorHAnsi"/>
        </w:rPr>
        <w:t xml:space="preserve"> s uživateli pozemků</w:t>
      </w:r>
      <w:r w:rsidR="009D29A7">
        <w:rPr>
          <w:rFonts w:asciiTheme="minorHAnsi" w:hAnsiTheme="minorHAnsi" w:cstheme="minorHAnsi"/>
        </w:rPr>
        <w:t xml:space="preserve"> neuzavřela ani k datu 30. dubna 2025</w:t>
      </w:r>
      <w:r w:rsidR="00AA027E">
        <w:rPr>
          <w:rFonts w:asciiTheme="minorHAnsi" w:hAnsiTheme="minorHAnsi" w:cstheme="minorHAnsi"/>
        </w:rPr>
        <w:t xml:space="preserve">, činila však </w:t>
      </w:r>
      <w:r w:rsidR="009A6072">
        <w:rPr>
          <w:rFonts w:asciiTheme="minorHAnsi" w:hAnsiTheme="minorHAnsi" w:cstheme="minorHAnsi"/>
        </w:rPr>
        <w:t>úkony</w:t>
      </w:r>
      <w:r w:rsidR="00AA027E">
        <w:rPr>
          <w:rFonts w:asciiTheme="minorHAnsi" w:hAnsiTheme="minorHAnsi" w:cstheme="minorHAnsi"/>
        </w:rPr>
        <w:t xml:space="preserve"> za účelem jejich uzavření včetně </w:t>
      </w:r>
      <w:r w:rsidR="00F747D5">
        <w:rPr>
          <w:rFonts w:asciiTheme="minorHAnsi" w:hAnsiTheme="minorHAnsi" w:cstheme="minorHAnsi"/>
        </w:rPr>
        <w:t xml:space="preserve">podání žádosti o </w:t>
      </w:r>
      <w:r w:rsidR="00AA027E">
        <w:rPr>
          <w:rFonts w:asciiTheme="minorHAnsi" w:hAnsiTheme="minorHAnsi" w:cstheme="minorHAnsi"/>
        </w:rPr>
        <w:t>udělení výjimky dle § 27 zákona č. 219/2000 Sb</w:t>
      </w:r>
      <w:r w:rsidR="009D29A7">
        <w:rPr>
          <w:rFonts w:asciiTheme="minorHAnsi" w:hAnsiTheme="minorHAnsi" w:cstheme="minorHAnsi"/>
        </w:rPr>
        <w:t>.</w:t>
      </w:r>
    </w:p>
    <w:p w14:paraId="02892322" w14:textId="7446C66A" w:rsidR="009D29A7" w:rsidRDefault="00035012" w:rsidP="00A806EC">
      <w:p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NSA v této oblasti postupuje dlouhodobě v rozporu se zákonem č. 219/2000 Sb., neboť již v KA 23/04</w:t>
      </w:r>
      <w:r>
        <w:rPr>
          <w:rStyle w:val="Znakapoznpodarou"/>
        </w:rPr>
        <w:footnoteReference w:id="11"/>
      </w:r>
      <w:r>
        <w:rPr>
          <w:rFonts w:asciiTheme="minorHAnsi" w:hAnsiTheme="minorHAnsi" w:cstheme="minorHAnsi"/>
        </w:rPr>
        <w:t xml:space="preserve"> bylo zjištěno, že NSA umožnila</w:t>
      </w:r>
      <w:r w:rsidR="00DE5055">
        <w:rPr>
          <w:rFonts w:asciiTheme="minorHAnsi" w:hAnsiTheme="minorHAnsi" w:cstheme="minorHAnsi"/>
        </w:rPr>
        <w:t xml:space="preserve"> pozemky, se kterými měla příslušnost hospodařit, </w:t>
      </w:r>
      <w:r w:rsidR="00DE5055">
        <w:rPr>
          <w:rFonts w:asciiTheme="minorHAnsi" w:hAnsiTheme="minorHAnsi" w:cstheme="minorHAnsi"/>
        </w:rPr>
        <w:lastRenderedPageBreak/>
        <w:t xml:space="preserve">užívat jiným subjektům </w:t>
      </w:r>
      <w:r>
        <w:rPr>
          <w:rFonts w:asciiTheme="minorHAnsi" w:hAnsiTheme="minorHAnsi" w:cstheme="minorHAnsi"/>
        </w:rPr>
        <w:t>bezúplatn</w:t>
      </w:r>
      <w:r w:rsidR="00DE5055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 xml:space="preserve"> </w:t>
      </w:r>
      <w:r w:rsidR="00DE5055">
        <w:rPr>
          <w:rFonts w:asciiTheme="minorHAnsi" w:hAnsiTheme="minorHAnsi" w:cstheme="minorHAnsi"/>
        </w:rPr>
        <w:t>a bez právního důvodu</w:t>
      </w:r>
      <w:r w:rsidR="00295315">
        <w:rPr>
          <w:rFonts w:asciiTheme="minorHAnsi" w:hAnsiTheme="minorHAnsi" w:cstheme="minorHAnsi"/>
        </w:rPr>
        <w:t xml:space="preserve"> </w:t>
      </w:r>
      <w:r w:rsidR="00295315" w:rsidRPr="00295315">
        <w:rPr>
          <w:rFonts w:asciiTheme="minorHAnsi" w:hAnsiTheme="minorHAnsi" w:cstheme="minorHAnsi"/>
        </w:rPr>
        <w:t>(viz část IV.5</w:t>
      </w:r>
      <w:r w:rsidR="004C64BC">
        <w:rPr>
          <w:rFonts w:asciiTheme="minorHAnsi" w:hAnsiTheme="minorHAnsi" w:cstheme="minorHAnsi"/>
        </w:rPr>
        <w:t>.</w:t>
      </w:r>
      <w:r w:rsidR="00295315" w:rsidRPr="00295315">
        <w:rPr>
          <w:rFonts w:asciiTheme="minorHAnsi" w:hAnsiTheme="minorHAnsi" w:cstheme="minorHAnsi"/>
        </w:rPr>
        <w:t xml:space="preserve"> tohoto kontrolního závěru)</w:t>
      </w:r>
      <w:r w:rsidR="00295315">
        <w:rPr>
          <w:rFonts w:asciiTheme="minorHAnsi" w:hAnsiTheme="minorHAnsi" w:cstheme="minorHAnsi"/>
        </w:rPr>
        <w:t>.</w:t>
      </w:r>
    </w:p>
    <w:p w14:paraId="70C1343C" w14:textId="4AF50D60" w:rsidR="007C4EBA" w:rsidRPr="007F3296" w:rsidRDefault="00703365" w:rsidP="00703365">
      <w:pPr>
        <w:pStyle w:val="Styl2"/>
        <w:numPr>
          <w:ilvl w:val="0"/>
          <w:numId w:val="0"/>
        </w:numPr>
        <w:spacing w:before="240" w:after="120"/>
      </w:pPr>
      <w:r>
        <w:t xml:space="preserve">6. </w:t>
      </w:r>
      <w:r w:rsidR="00035012" w:rsidRPr="007F3296">
        <w:t>Skutečnosti nasvědčující porušení rozpočtové kázně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CA8B3"/>
        <w:tblLook w:val="04A0" w:firstRow="1" w:lastRow="0" w:firstColumn="1" w:lastColumn="0" w:noHBand="0" w:noVBand="1"/>
      </w:tblPr>
      <w:tblGrid>
        <w:gridCol w:w="9060"/>
      </w:tblGrid>
      <w:tr w:rsidR="00B07849" w14:paraId="2C91CEA6" w14:textId="77777777" w:rsidTr="00076416">
        <w:tc>
          <w:tcPr>
            <w:tcW w:w="9060" w:type="dxa"/>
            <w:shd w:val="clear" w:color="auto" w:fill="E6E6E6"/>
          </w:tcPr>
          <w:p w14:paraId="3EFDE047" w14:textId="77777777" w:rsidR="007C4EBA" w:rsidRPr="002F6ECE" w:rsidRDefault="00035012" w:rsidP="002723E3">
            <w:pPr>
              <w:spacing w:before="120"/>
              <w:jc w:val="both"/>
              <w:rPr>
                <w:rFonts w:eastAsiaTheme="minorHAnsi" w:cs="Calibri"/>
                <w:b/>
                <w:highlight w:val="green"/>
              </w:rPr>
            </w:pPr>
            <w:r w:rsidRPr="007F3296">
              <w:rPr>
                <w:rFonts w:eastAsiaTheme="minorHAnsi" w:cs="Calibri"/>
                <w:b/>
              </w:rPr>
              <w:t xml:space="preserve">NKÚ zjistil skutečnosti nasvědčující porušení rozpočtové </w:t>
            </w:r>
            <w:r w:rsidRPr="00FA4B73">
              <w:rPr>
                <w:rFonts w:eastAsiaTheme="minorHAnsi" w:cs="Calibri"/>
                <w:b/>
              </w:rPr>
              <w:t>kázně</w:t>
            </w:r>
            <w:r w:rsidR="002B4F81" w:rsidRPr="00FA4B73">
              <w:rPr>
                <w:rFonts w:eastAsiaTheme="minorHAnsi" w:cs="Calibri"/>
                <w:b/>
              </w:rPr>
              <w:t xml:space="preserve"> v</w:t>
            </w:r>
            <w:r w:rsidR="00A35453">
              <w:rPr>
                <w:rFonts w:eastAsiaTheme="minorHAnsi" w:cs="Calibri"/>
                <w:b/>
              </w:rPr>
              <w:t>e</w:t>
            </w:r>
            <w:r w:rsidR="006335BE">
              <w:rPr>
                <w:rFonts w:eastAsiaTheme="minorHAnsi" w:cs="Calibri"/>
                <w:b/>
              </w:rPr>
              <w:t> </w:t>
            </w:r>
            <w:r w:rsidR="00A35453">
              <w:rPr>
                <w:rFonts w:eastAsiaTheme="minorHAnsi" w:cs="Calibri"/>
                <w:b/>
              </w:rPr>
              <w:t>výši</w:t>
            </w:r>
            <w:r w:rsidR="006335BE">
              <w:rPr>
                <w:rFonts w:eastAsiaTheme="minorHAnsi" w:cs="Calibri"/>
                <w:b/>
              </w:rPr>
              <w:t xml:space="preserve"> </w:t>
            </w:r>
            <w:r w:rsidR="00FA4B73" w:rsidRPr="00FA4B73">
              <w:rPr>
                <w:rFonts w:eastAsiaTheme="minorHAnsi" w:cs="Calibri"/>
                <w:b/>
              </w:rPr>
              <w:t>3</w:t>
            </w:r>
            <w:r w:rsidR="002B4F81" w:rsidRPr="00FA4B73">
              <w:rPr>
                <w:rFonts w:eastAsiaTheme="minorHAnsi" w:cs="Calibri"/>
                <w:b/>
              </w:rPr>
              <w:t>,</w:t>
            </w:r>
            <w:r w:rsidR="00A35453">
              <w:rPr>
                <w:rFonts w:eastAsiaTheme="minorHAnsi" w:cs="Calibri"/>
                <w:b/>
              </w:rPr>
              <w:t>8</w:t>
            </w:r>
            <w:r w:rsidR="002B4F81" w:rsidRPr="00FA4B73">
              <w:rPr>
                <w:rFonts w:eastAsiaTheme="minorHAnsi" w:cs="Calibri"/>
                <w:b/>
              </w:rPr>
              <w:t xml:space="preserve"> mil. Kč</w:t>
            </w:r>
            <w:r w:rsidR="004977A7" w:rsidRPr="00FA4B73">
              <w:rPr>
                <w:rFonts w:eastAsiaTheme="minorHAnsi" w:cs="Calibri"/>
                <w:b/>
              </w:rPr>
              <w:t>.</w:t>
            </w:r>
          </w:p>
        </w:tc>
      </w:tr>
    </w:tbl>
    <w:p w14:paraId="70B17B63" w14:textId="2180FDA5" w:rsidR="00C71BA3" w:rsidRPr="00295315" w:rsidRDefault="0059174F" w:rsidP="007F3296">
      <w:pPr>
        <w:spacing w:before="120" w:after="0"/>
        <w:jc w:val="both"/>
        <w:rPr>
          <w:rFonts w:eastAsia="Calibri"/>
        </w:rPr>
      </w:pPr>
      <w:r w:rsidRPr="006335BE">
        <w:rPr>
          <w:rFonts w:asciiTheme="minorHAnsi" w:hAnsiTheme="minorHAnsi" w:cstheme="minorHAnsi"/>
        </w:rPr>
        <w:t xml:space="preserve">NSA </w:t>
      </w:r>
      <w:r w:rsidR="00F747D5">
        <w:rPr>
          <w:rFonts w:asciiTheme="minorHAnsi" w:hAnsiTheme="minorHAnsi" w:cstheme="minorHAnsi"/>
        </w:rPr>
        <w:t xml:space="preserve">např. </w:t>
      </w:r>
      <w:r w:rsidR="004977A7" w:rsidRPr="006335BE">
        <w:rPr>
          <w:rFonts w:eastAsia="Calibri"/>
        </w:rPr>
        <w:t>neodvedl</w:t>
      </w:r>
      <w:r w:rsidRPr="006335BE">
        <w:rPr>
          <w:rFonts w:eastAsia="Calibri"/>
        </w:rPr>
        <w:t>a</w:t>
      </w:r>
      <w:r w:rsidR="004977A7" w:rsidRPr="006335BE">
        <w:rPr>
          <w:rFonts w:eastAsia="Calibri"/>
        </w:rPr>
        <w:t xml:space="preserve"> </w:t>
      </w:r>
      <w:r w:rsidRPr="006335BE">
        <w:rPr>
          <w:rFonts w:eastAsia="Calibri"/>
        </w:rPr>
        <w:t>v</w:t>
      </w:r>
      <w:r w:rsidR="00BF06C2">
        <w:rPr>
          <w:rFonts w:eastAsia="Calibri"/>
        </w:rPr>
        <w:t xml:space="preserve">e stanovených lhůtách </w:t>
      </w:r>
      <w:r w:rsidR="004977A7" w:rsidRPr="006335BE">
        <w:rPr>
          <w:rFonts w:eastAsia="Calibri"/>
        </w:rPr>
        <w:t>do státního rozpočtu příjmy státního rozpočtu soustředěné na účtu cizích prostředků</w:t>
      </w:r>
      <w:r w:rsidR="00566CDF" w:rsidRPr="006335BE">
        <w:rPr>
          <w:rFonts w:eastAsia="Calibri"/>
        </w:rPr>
        <w:t xml:space="preserve"> </w:t>
      </w:r>
      <w:r w:rsidRPr="006335BE">
        <w:rPr>
          <w:rFonts w:eastAsia="Calibri"/>
        </w:rPr>
        <w:t>představující vratky dotací</w:t>
      </w:r>
      <w:r w:rsidR="006335BE" w:rsidRPr="006335BE">
        <w:rPr>
          <w:rFonts w:eastAsia="Calibri"/>
        </w:rPr>
        <w:t xml:space="preserve"> na základě výzev dle ustanovení § 14f zákona č. 218/2000 Sb.</w:t>
      </w:r>
      <w:r w:rsidR="004977A7" w:rsidRPr="006335BE">
        <w:rPr>
          <w:rFonts w:eastAsia="Calibri"/>
        </w:rPr>
        <w:t xml:space="preserve"> </w:t>
      </w:r>
      <w:r w:rsidR="004977A7" w:rsidRPr="00295315">
        <w:rPr>
          <w:rFonts w:eastAsia="Calibri"/>
        </w:rPr>
        <w:t>(viz část IV.</w:t>
      </w:r>
      <w:r w:rsidR="00295315" w:rsidRPr="00295315">
        <w:rPr>
          <w:rFonts w:eastAsia="Calibri"/>
        </w:rPr>
        <w:t>6</w:t>
      </w:r>
      <w:r w:rsidR="000131A1">
        <w:rPr>
          <w:rFonts w:eastAsia="Calibri"/>
        </w:rPr>
        <w:t>.</w:t>
      </w:r>
      <w:r w:rsidR="00915651" w:rsidRPr="00295315">
        <w:rPr>
          <w:rFonts w:eastAsia="Calibri"/>
        </w:rPr>
        <w:t xml:space="preserve"> tohoto kontrolního závěru</w:t>
      </w:r>
      <w:r w:rsidR="004977A7" w:rsidRPr="00295315">
        <w:rPr>
          <w:rFonts w:eastAsia="Calibri"/>
        </w:rPr>
        <w:t>)</w:t>
      </w:r>
      <w:r w:rsidR="00163BF3" w:rsidRPr="00295315">
        <w:rPr>
          <w:rFonts w:eastAsia="Calibri"/>
        </w:rPr>
        <w:t>.</w:t>
      </w:r>
    </w:p>
    <w:p w14:paraId="63D770EF" w14:textId="77777777" w:rsidR="007F3296" w:rsidRPr="002F6ECE" w:rsidRDefault="007F3296" w:rsidP="006335BE">
      <w:pPr>
        <w:spacing w:after="0"/>
        <w:jc w:val="both"/>
        <w:rPr>
          <w:highlight w:val="green"/>
        </w:rPr>
      </w:pPr>
    </w:p>
    <w:bookmarkEnd w:id="6"/>
    <w:bookmarkEnd w:id="7"/>
    <w:p w14:paraId="5B147749" w14:textId="77777777" w:rsidR="00DD3125" w:rsidRPr="002F6ECE" w:rsidRDefault="00DD3125" w:rsidP="00FE56E9">
      <w:pPr>
        <w:pStyle w:val="Odstavecseseznamem"/>
        <w:ind w:left="0"/>
        <w:jc w:val="both"/>
        <w:rPr>
          <w:rFonts w:eastAsia="Calibri"/>
          <w:highlight w:val="green"/>
        </w:rPr>
      </w:pPr>
    </w:p>
    <w:p w14:paraId="3B310C07" w14:textId="77777777" w:rsidR="007028BF" w:rsidRPr="002F6ECE" w:rsidRDefault="007028BF">
      <w:pPr>
        <w:spacing w:after="160" w:line="259" w:lineRule="auto"/>
        <w:rPr>
          <w:rFonts w:cs="Calibri"/>
          <w:highlight w:val="green"/>
        </w:rPr>
      </w:pPr>
    </w:p>
    <w:p w14:paraId="63A74095" w14:textId="77777777" w:rsidR="00983535" w:rsidRDefault="00035012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>
        <w:br w:type="page"/>
      </w:r>
    </w:p>
    <w:p w14:paraId="22657E61" w14:textId="77777777" w:rsidR="00E91FF5" w:rsidRPr="007F3296" w:rsidRDefault="00035012" w:rsidP="00610003">
      <w:pPr>
        <w:pStyle w:val="Styl1"/>
        <w:spacing w:after="240"/>
        <w:ind w:left="414" w:hanging="57"/>
      </w:pPr>
      <w:r w:rsidRPr="007F3296">
        <w:lastRenderedPageBreak/>
        <w:t>Informace o kontrolované oblasti</w:t>
      </w:r>
    </w:p>
    <w:p w14:paraId="73EC92A5" w14:textId="610F0948" w:rsidR="006335BE" w:rsidRPr="005F2E0A" w:rsidRDefault="00035012" w:rsidP="006335BE">
      <w:pPr>
        <w:jc w:val="both"/>
        <w:rPr>
          <w:rFonts w:asciiTheme="minorHAnsi" w:hAnsiTheme="minorHAnsi" w:cstheme="minorHAnsi"/>
        </w:rPr>
      </w:pPr>
      <w:r w:rsidRPr="005F2E0A">
        <w:rPr>
          <w:rFonts w:asciiTheme="minorHAnsi" w:hAnsiTheme="minorHAnsi" w:cstheme="minorHAnsi"/>
        </w:rPr>
        <w:t>NSA byla zřízena k 1. srpnu 2019 zákonem č.</w:t>
      </w:r>
      <w:r w:rsidR="0095092D">
        <w:rPr>
          <w:rFonts w:asciiTheme="minorHAnsi" w:hAnsiTheme="minorHAnsi" w:cstheme="minorHAnsi"/>
        </w:rPr>
        <w:t> </w:t>
      </w:r>
      <w:r w:rsidRPr="005F2E0A">
        <w:rPr>
          <w:rFonts w:asciiTheme="minorHAnsi" w:hAnsiTheme="minorHAnsi" w:cstheme="minorHAnsi"/>
        </w:rPr>
        <w:t>178/2019 Sb.</w:t>
      </w:r>
      <w:r>
        <w:rPr>
          <w:rStyle w:val="Znakapoznpodarou"/>
          <w:rFonts w:asciiTheme="minorHAnsi" w:hAnsiTheme="minorHAnsi" w:cstheme="minorHAnsi"/>
        </w:rPr>
        <w:footnoteReference w:id="12"/>
      </w:r>
      <w:r w:rsidR="000131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podle </w:t>
      </w:r>
      <w:r w:rsidRPr="005F2E0A">
        <w:rPr>
          <w:rFonts w:asciiTheme="minorHAnsi" w:hAnsiTheme="minorHAnsi" w:cstheme="minorHAnsi"/>
        </w:rPr>
        <w:t xml:space="preserve">zákona </w:t>
      </w:r>
      <w:r w:rsidR="005C511E">
        <w:rPr>
          <w:rFonts w:asciiTheme="minorHAnsi" w:hAnsiTheme="minorHAnsi" w:cstheme="minorHAnsi"/>
        </w:rPr>
        <w:t xml:space="preserve">České národní rady </w:t>
      </w:r>
      <w:r w:rsidRPr="005F2E0A">
        <w:rPr>
          <w:rFonts w:asciiTheme="minorHAnsi" w:hAnsiTheme="minorHAnsi" w:cstheme="minorHAnsi"/>
        </w:rPr>
        <w:t>č.</w:t>
      </w:r>
      <w:r w:rsidR="0095092D">
        <w:rPr>
          <w:rFonts w:asciiTheme="minorHAnsi" w:hAnsiTheme="minorHAnsi" w:cstheme="minorHAnsi"/>
        </w:rPr>
        <w:t> </w:t>
      </w:r>
      <w:r w:rsidRPr="005F2E0A">
        <w:rPr>
          <w:rFonts w:asciiTheme="minorHAnsi" w:hAnsiTheme="minorHAnsi" w:cstheme="minorHAnsi"/>
        </w:rPr>
        <w:t>2/1969 Sb.</w:t>
      </w:r>
      <w:r>
        <w:rPr>
          <w:rStyle w:val="Znakapoznpodarou"/>
          <w:rFonts w:asciiTheme="minorHAnsi" w:hAnsiTheme="minorHAnsi" w:cstheme="minorHAnsi"/>
        </w:rPr>
        <w:footnoteReference w:id="13"/>
      </w:r>
      <w:r w:rsidRPr="005F2E0A">
        <w:rPr>
          <w:rFonts w:asciiTheme="minorHAnsi" w:hAnsiTheme="minorHAnsi" w:cstheme="minorHAnsi"/>
        </w:rPr>
        <w:t xml:space="preserve"> </w:t>
      </w:r>
      <w:r w:rsidR="000131A1">
        <w:rPr>
          <w:rFonts w:asciiTheme="minorHAnsi" w:hAnsiTheme="minorHAnsi" w:cstheme="minorHAnsi"/>
        </w:rPr>
        <w:t xml:space="preserve">je </w:t>
      </w:r>
      <w:r w:rsidRPr="005F2E0A">
        <w:rPr>
          <w:rFonts w:asciiTheme="minorHAnsi" w:hAnsiTheme="minorHAnsi" w:cstheme="minorHAnsi"/>
        </w:rPr>
        <w:t>ústředním orgánem státní správy.</w:t>
      </w:r>
    </w:p>
    <w:p w14:paraId="55C2BDD9" w14:textId="45D80F4A" w:rsidR="006335BE" w:rsidRDefault="00035012" w:rsidP="00A2237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2E0A">
        <w:rPr>
          <w:rFonts w:asciiTheme="minorHAnsi" w:hAnsiTheme="minorHAnsi" w:cstheme="minorHAnsi"/>
        </w:rPr>
        <w:t>Do 31. března 2023 stál v čele NSA předseda NSA jmenovaný vládou, kterého zastupovali jím jmenovaní dva místopředsedové, a to místopředseda pro správu a</w:t>
      </w:r>
      <w:r w:rsidR="0095092D">
        <w:rPr>
          <w:rFonts w:asciiTheme="minorHAnsi" w:hAnsiTheme="minorHAnsi" w:cstheme="minorHAnsi"/>
        </w:rPr>
        <w:t> </w:t>
      </w:r>
      <w:r w:rsidRPr="005F2E0A">
        <w:rPr>
          <w:rFonts w:asciiTheme="minorHAnsi" w:hAnsiTheme="minorHAnsi" w:cstheme="minorHAnsi"/>
        </w:rPr>
        <w:t>řízení úřadu a</w:t>
      </w:r>
      <w:r w:rsidR="00610003">
        <w:rPr>
          <w:rFonts w:asciiTheme="minorHAnsi" w:hAnsiTheme="minorHAnsi" w:cstheme="minorHAnsi"/>
        </w:rPr>
        <w:t> </w:t>
      </w:r>
      <w:r w:rsidRPr="005F2E0A">
        <w:rPr>
          <w:rFonts w:asciiTheme="minorHAnsi" w:hAnsiTheme="minorHAnsi" w:cstheme="minorHAnsi"/>
        </w:rPr>
        <w:t xml:space="preserve">místopředseda pro sport. Jako poradní orgán předsedy NSA </w:t>
      </w:r>
      <w:r w:rsidR="006F1EC9">
        <w:rPr>
          <w:rFonts w:asciiTheme="minorHAnsi" w:hAnsiTheme="minorHAnsi" w:cstheme="minorHAnsi"/>
        </w:rPr>
        <w:t>byla zřízena</w:t>
      </w:r>
      <w:r w:rsidR="006F1EC9" w:rsidRPr="005F2E0A">
        <w:rPr>
          <w:rFonts w:asciiTheme="minorHAnsi" w:hAnsiTheme="minorHAnsi" w:cstheme="minorHAnsi"/>
        </w:rPr>
        <w:t xml:space="preserve"> </w:t>
      </w:r>
      <w:r w:rsidRPr="005F2E0A">
        <w:rPr>
          <w:rFonts w:asciiTheme="minorHAnsi" w:hAnsiTheme="minorHAnsi" w:cstheme="minorHAnsi"/>
        </w:rPr>
        <w:t>Národní rada pro sport. Zákonem č. 49/2023 Sb.</w:t>
      </w:r>
      <w:r>
        <w:rPr>
          <w:rStyle w:val="Znakapoznpodarou"/>
          <w:rFonts w:asciiTheme="minorHAnsi" w:hAnsiTheme="minorHAnsi" w:cstheme="minorHAnsi"/>
        </w:rPr>
        <w:footnoteReference w:id="14"/>
      </w:r>
      <w:r w:rsidRPr="005F2E0A">
        <w:rPr>
          <w:rFonts w:asciiTheme="minorHAnsi" w:hAnsiTheme="minorHAnsi" w:cstheme="minorHAnsi"/>
        </w:rPr>
        <w:t xml:space="preserve"> došlo s účinností od 1. dubna 2023 k organizační změně ve struktuře NSA v podobě ustavení kolektivního řídícího orgánu (rady NSA) a kolektivního kontrolního orgánu (dozorčí komise NSA). Počínaje 1. dubnem 2023 je tak v čele NSA rada NSA složená z předsedy,</w:t>
      </w:r>
      <w:r w:rsidR="0095092D">
        <w:rPr>
          <w:rFonts w:asciiTheme="minorHAnsi" w:hAnsiTheme="minorHAnsi" w:cstheme="minorHAnsi"/>
        </w:rPr>
        <w:t xml:space="preserve"> </w:t>
      </w:r>
      <w:r w:rsidRPr="005F2E0A">
        <w:rPr>
          <w:rFonts w:asciiTheme="minorHAnsi" w:hAnsiTheme="minorHAnsi" w:cstheme="minorHAnsi"/>
        </w:rPr>
        <w:t>místopředsedy a člena rady</w:t>
      </w:r>
      <w:r w:rsidR="00B00959">
        <w:rPr>
          <w:rFonts w:asciiTheme="minorHAnsi" w:hAnsiTheme="minorHAnsi" w:cstheme="minorHAnsi"/>
        </w:rPr>
        <w:t xml:space="preserve">, které </w:t>
      </w:r>
      <w:r w:rsidRPr="005F2E0A">
        <w:rPr>
          <w:rFonts w:asciiTheme="minorHAnsi" w:hAnsiTheme="minorHAnsi" w:cstheme="minorHAnsi"/>
        </w:rPr>
        <w:t>jmenuje a odvolává vláda na návrh předsedy vlády. Jejich funkční období je pět let.</w:t>
      </w:r>
    </w:p>
    <w:p w14:paraId="2AFA1C0E" w14:textId="330CE22B" w:rsidR="00A22374" w:rsidRDefault="00035012" w:rsidP="00A223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highlight w:val="green"/>
        </w:rPr>
      </w:pPr>
      <w:r w:rsidRPr="005F2E0A">
        <w:rPr>
          <w:rStyle w:val="eop"/>
          <w:rFonts w:asciiTheme="minorHAnsi" w:hAnsiTheme="minorHAnsi" w:cstheme="minorHAnsi"/>
        </w:rPr>
        <w:t>NSA podle ustanovení § 3a zákona č. 115/2001 Sb.</w:t>
      </w:r>
      <w:r>
        <w:rPr>
          <w:rStyle w:val="Znakapoznpodarou"/>
          <w:rFonts w:asciiTheme="minorHAnsi" w:hAnsiTheme="minorHAnsi" w:cstheme="minorHAnsi"/>
        </w:rPr>
        <w:footnoteReference w:id="15"/>
      </w:r>
      <w:r w:rsidRPr="005F2E0A">
        <w:rPr>
          <w:rStyle w:val="eop"/>
          <w:rFonts w:asciiTheme="minorHAnsi" w:hAnsiTheme="minorHAnsi" w:cstheme="minorHAnsi"/>
        </w:rPr>
        <w:t xml:space="preserve"> mj. vypracovává návrh plánu státní politiky ve sportu a předkládá jej vládě ke schválení. Dále koordinuje uskutečnění vládou schváleného plánu státní politiky ve sportu a akčního plánu podpory sportu, poskytuje finanční podporu sportu ze státního rozpočtu prostřednictvím jí vyhlašovaných programů na rozvoj a</w:t>
      </w:r>
      <w:r w:rsidR="00610003">
        <w:rPr>
          <w:rStyle w:val="eop"/>
          <w:rFonts w:asciiTheme="minorHAnsi" w:hAnsiTheme="minorHAnsi" w:cstheme="minorHAnsi"/>
        </w:rPr>
        <w:t> </w:t>
      </w:r>
      <w:r w:rsidRPr="005F2E0A">
        <w:rPr>
          <w:rStyle w:val="eop"/>
          <w:rFonts w:asciiTheme="minorHAnsi" w:hAnsiTheme="minorHAnsi" w:cstheme="minorHAnsi"/>
        </w:rPr>
        <w:t xml:space="preserve">podporu sportu, turistiky a sportovní reprezentace. NSA kontroluje použití podpory sportu ze státního rozpočtu u příjemců podpory a u osob, kterým příjemce tuto podporu v souladu s podmínkami pro použití podpory dále poskytl. </w:t>
      </w:r>
      <w:r>
        <w:rPr>
          <w:rStyle w:val="eop"/>
          <w:rFonts w:asciiTheme="minorHAnsi" w:hAnsiTheme="minorHAnsi" w:cstheme="minorHAnsi"/>
        </w:rPr>
        <w:t>Rovněž</w:t>
      </w:r>
      <w:r w:rsidRPr="005F2E0A">
        <w:rPr>
          <w:rStyle w:val="eop"/>
          <w:rFonts w:asciiTheme="minorHAnsi" w:hAnsiTheme="minorHAnsi" w:cstheme="minorHAnsi"/>
        </w:rPr>
        <w:t xml:space="preserve"> vytváří podmínky pro sport dětí a mládeže a jejich trenéry, pro sport dospělých, pro rozvoj sportu pro všechny, pro sport zdravotně postižených občanů a pro sportovní reprezentanty ČR, zahrnující účast reprezentantů na sportovních akcích v ČR a zahraničí.</w:t>
      </w:r>
    </w:p>
    <w:p w14:paraId="5812FFFA" w14:textId="4A626B6F" w:rsidR="009D7FDB" w:rsidRPr="00A22374" w:rsidRDefault="00613762" w:rsidP="00163A06">
      <w:pPr>
        <w:jc w:val="both"/>
        <w:rPr>
          <w:rFonts w:asciiTheme="minorHAnsi" w:hAnsiTheme="minorHAnsi" w:cstheme="minorHAnsi"/>
        </w:rPr>
      </w:pPr>
      <w:bookmarkStart w:id="8" w:name="_Hlk171669494"/>
      <w:r>
        <w:rPr>
          <w:rFonts w:asciiTheme="minorHAnsi" w:hAnsiTheme="minorHAnsi" w:cstheme="minorHAnsi"/>
        </w:rPr>
        <w:t>Podle zákona č. 178/2019 Sb. a v</w:t>
      </w:r>
      <w:r w:rsidRPr="00A22374">
        <w:rPr>
          <w:rFonts w:asciiTheme="minorHAnsi" w:hAnsiTheme="minorHAnsi" w:cstheme="minorHAnsi"/>
        </w:rPr>
        <w:t xml:space="preserve"> souladu se zákonem č. 219/2000 Sb. je </w:t>
      </w:r>
      <w:r w:rsidR="00A22374" w:rsidRPr="00A22374">
        <w:rPr>
          <w:rFonts w:asciiTheme="minorHAnsi" w:hAnsiTheme="minorHAnsi" w:cstheme="minorHAnsi"/>
        </w:rPr>
        <w:t>NSA</w:t>
      </w:r>
      <w:r w:rsidRPr="00A22374">
        <w:rPr>
          <w:rFonts w:asciiTheme="minorHAnsi" w:hAnsiTheme="minorHAnsi" w:cstheme="minorHAnsi"/>
        </w:rPr>
        <w:t xml:space="preserve"> organizační složkou státu (dále také „OSS“) a</w:t>
      </w:r>
      <w:r w:rsidR="00FB6F32" w:rsidRPr="00A22374">
        <w:rPr>
          <w:rFonts w:asciiTheme="minorHAnsi" w:hAnsiTheme="minorHAnsi" w:cstheme="minorHAnsi"/>
        </w:rPr>
        <w:t> </w:t>
      </w:r>
      <w:r w:rsidRPr="00A22374">
        <w:rPr>
          <w:rFonts w:asciiTheme="minorHAnsi" w:hAnsiTheme="minorHAnsi" w:cstheme="minorHAnsi"/>
        </w:rPr>
        <w:t>dle zákona č. 563/1991 Sb. vybranou účetní jednotkou</w:t>
      </w:r>
      <w:r w:rsidR="00EB57CF" w:rsidRPr="00A22374">
        <w:rPr>
          <w:rFonts w:asciiTheme="minorHAnsi" w:hAnsiTheme="minorHAnsi" w:cstheme="minorHAnsi"/>
        </w:rPr>
        <w:t>.</w:t>
      </w:r>
      <w:r w:rsidRPr="00A22374">
        <w:rPr>
          <w:rFonts w:asciiTheme="minorHAnsi" w:hAnsiTheme="minorHAnsi" w:cstheme="minorHAnsi"/>
        </w:rPr>
        <w:t xml:space="preserve"> </w:t>
      </w:r>
      <w:r w:rsidR="00A22374" w:rsidRPr="00A22374">
        <w:rPr>
          <w:rFonts w:asciiTheme="minorHAnsi" w:hAnsiTheme="minorHAnsi" w:cstheme="minorHAnsi"/>
        </w:rPr>
        <w:t>NSA</w:t>
      </w:r>
      <w:r w:rsidRPr="00A22374">
        <w:rPr>
          <w:rFonts w:asciiTheme="minorHAnsi" w:hAnsiTheme="minorHAnsi" w:cstheme="minorHAnsi"/>
        </w:rPr>
        <w:t xml:space="preserve"> je ústředním orgánem státní správy </w:t>
      </w:r>
      <w:r>
        <w:rPr>
          <w:rFonts w:asciiTheme="minorHAnsi" w:hAnsiTheme="minorHAnsi" w:cstheme="minorHAnsi"/>
        </w:rPr>
        <w:t xml:space="preserve">podle zákona </w:t>
      </w:r>
      <w:r w:rsidR="009F49CB">
        <w:rPr>
          <w:rFonts w:asciiTheme="minorHAnsi" w:hAnsiTheme="minorHAnsi" w:cstheme="minorHAnsi"/>
        </w:rPr>
        <w:t xml:space="preserve">České národní rady </w:t>
      </w:r>
      <w:r>
        <w:rPr>
          <w:rFonts w:asciiTheme="minorHAnsi" w:hAnsiTheme="minorHAnsi" w:cstheme="minorHAnsi"/>
        </w:rPr>
        <w:t xml:space="preserve">č. 2/1969 Sb. a </w:t>
      </w:r>
      <w:r w:rsidRPr="00A22374">
        <w:rPr>
          <w:rFonts w:asciiTheme="minorHAnsi" w:hAnsiTheme="minorHAnsi" w:cstheme="minorHAnsi"/>
        </w:rPr>
        <w:t>v souladu se zákonem č. 218/2000 Sb.</w:t>
      </w:r>
      <w:r w:rsidR="00BC4604" w:rsidRPr="00A22374">
        <w:rPr>
          <w:rFonts w:asciiTheme="minorHAnsi" w:hAnsiTheme="minorHAnsi" w:cstheme="minorHAnsi"/>
        </w:rPr>
        <w:t xml:space="preserve"> a </w:t>
      </w:r>
      <w:r w:rsidR="00274FA3" w:rsidRPr="00A22374">
        <w:rPr>
          <w:rFonts w:asciiTheme="minorHAnsi" w:hAnsiTheme="minorHAnsi" w:cstheme="minorHAnsi"/>
        </w:rPr>
        <w:t xml:space="preserve">dle </w:t>
      </w:r>
      <w:r w:rsidR="00BC4604" w:rsidRPr="00A22374">
        <w:rPr>
          <w:rFonts w:asciiTheme="minorHAnsi" w:hAnsiTheme="minorHAnsi" w:cstheme="minorHAnsi"/>
        </w:rPr>
        <w:t>vyhlášky č. 412/2021 Sb.</w:t>
      </w:r>
      <w:r w:rsidRPr="00A22374">
        <w:rPr>
          <w:rFonts w:asciiTheme="minorHAnsi" w:hAnsiTheme="minorHAnsi" w:cstheme="minorHAnsi"/>
        </w:rPr>
        <w:t xml:space="preserve"> </w:t>
      </w:r>
      <w:r w:rsidR="00EB57CF" w:rsidRPr="00A22374">
        <w:rPr>
          <w:rFonts w:asciiTheme="minorHAnsi" w:hAnsiTheme="minorHAnsi" w:cstheme="minorHAnsi"/>
        </w:rPr>
        <w:t xml:space="preserve">je </w:t>
      </w:r>
      <w:r w:rsidR="009363E2" w:rsidRPr="00A22374">
        <w:rPr>
          <w:rFonts w:asciiTheme="minorHAnsi" w:hAnsiTheme="minorHAnsi" w:cstheme="minorHAnsi"/>
        </w:rPr>
        <w:t>správcem kapitoly</w:t>
      </w:r>
      <w:r w:rsidR="00EB57CF" w:rsidRPr="00A22374">
        <w:rPr>
          <w:rFonts w:asciiTheme="minorHAnsi" w:hAnsiTheme="minorHAnsi" w:cstheme="minorHAnsi"/>
        </w:rPr>
        <w:t xml:space="preserve"> státního rozpočtu</w:t>
      </w:r>
      <w:r w:rsidR="009363E2" w:rsidRPr="00A22374">
        <w:rPr>
          <w:rFonts w:asciiTheme="minorHAnsi" w:hAnsiTheme="minorHAnsi" w:cstheme="minorHAnsi"/>
        </w:rPr>
        <w:t xml:space="preserve"> </w:t>
      </w:r>
      <w:r w:rsidR="00A22374" w:rsidRPr="00A22374">
        <w:rPr>
          <w:rFonts w:asciiTheme="minorHAnsi" w:hAnsiTheme="minorHAnsi" w:cstheme="minorHAnsi"/>
        </w:rPr>
        <w:t>362</w:t>
      </w:r>
      <w:r w:rsidR="006D29B3" w:rsidRPr="00A22374">
        <w:rPr>
          <w:rFonts w:asciiTheme="minorHAnsi" w:hAnsiTheme="minorHAnsi" w:cstheme="minorHAnsi"/>
        </w:rPr>
        <w:t xml:space="preserve"> –</w:t>
      </w:r>
      <w:r w:rsidR="009363E2" w:rsidRPr="00A22374">
        <w:rPr>
          <w:rFonts w:asciiTheme="minorHAnsi" w:hAnsiTheme="minorHAnsi" w:cstheme="minorHAnsi"/>
        </w:rPr>
        <w:t xml:space="preserve"> </w:t>
      </w:r>
      <w:r w:rsidR="00A22374" w:rsidRPr="00A22374">
        <w:rPr>
          <w:rFonts w:asciiTheme="minorHAnsi" w:hAnsiTheme="minorHAnsi" w:cstheme="minorHAnsi"/>
          <w:i/>
        </w:rPr>
        <w:t>Národní sportovní agentura</w:t>
      </w:r>
      <w:r w:rsidR="009363E2" w:rsidRPr="00A22374">
        <w:rPr>
          <w:rFonts w:asciiTheme="minorHAnsi" w:hAnsiTheme="minorHAnsi" w:cstheme="minorHAnsi"/>
        </w:rPr>
        <w:t>.</w:t>
      </w:r>
    </w:p>
    <w:bookmarkEnd w:id="8"/>
    <w:p w14:paraId="6BF3112E" w14:textId="77777777" w:rsidR="00163A06" w:rsidRDefault="00035012" w:rsidP="00163A06">
      <w:pPr>
        <w:jc w:val="both"/>
        <w:rPr>
          <w:rFonts w:asciiTheme="minorHAnsi" w:hAnsiTheme="minorHAnsi" w:cstheme="minorHAnsi"/>
        </w:rPr>
      </w:pPr>
      <w:r w:rsidRPr="005F2E0A">
        <w:rPr>
          <w:rFonts w:asciiTheme="minorHAnsi" w:hAnsiTheme="minorHAnsi" w:cstheme="minorHAnsi"/>
        </w:rPr>
        <w:t>NSA byla k 3</w:t>
      </w:r>
      <w:r>
        <w:rPr>
          <w:rFonts w:asciiTheme="minorHAnsi" w:hAnsiTheme="minorHAnsi" w:cstheme="minorHAnsi"/>
        </w:rPr>
        <w:t>1</w:t>
      </w:r>
      <w:r w:rsidRPr="005F2E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prosinci </w:t>
      </w:r>
      <w:r w:rsidRPr="005F2E0A">
        <w:rPr>
          <w:rFonts w:asciiTheme="minorHAnsi" w:hAnsiTheme="minorHAnsi" w:cstheme="minorHAnsi"/>
        </w:rPr>
        <w:t>2024 zřizovatelem jedné příspěvkové organizace, a to Antidopingového výboru České republiky.</w:t>
      </w:r>
    </w:p>
    <w:p w14:paraId="66E6F91C" w14:textId="0AFAC9DD" w:rsidR="00163A06" w:rsidRPr="00B86FD8" w:rsidRDefault="00035012" w:rsidP="00163A06">
      <w:pPr>
        <w:jc w:val="both"/>
        <w:rPr>
          <w:rFonts w:asciiTheme="minorHAnsi" w:hAnsiTheme="minorHAnsi" w:cstheme="minorHAnsi"/>
        </w:rPr>
      </w:pPr>
      <w:r w:rsidRPr="00B86FD8">
        <w:rPr>
          <w:rFonts w:asciiTheme="minorHAnsi" w:hAnsiTheme="minorHAnsi" w:cstheme="minorHAnsi"/>
        </w:rPr>
        <w:t>Při NSA působí dle</w:t>
      </w:r>
      <w:r w:rsidR="0078376F">
        <w:rPr>
          <w:rFonts w:asciiTheme="minorHAnsi" w:hAnsiTheme="minorHAnsi" w:cstheme="minorHAnsi"/>
        </w:rPr>
        <w:t xml:space="preserve"> </w:t>
      </w:r>
      <w:r w:rsidRPr="00B86FD8">
        <w:rPr>
          <w:rFonts w:asciiTheme="minorHAnsi" w:hAnsiTheme="minorHAnsi" w:cstheme="minorHAnsi"/>
        </w:rPr>
        <w:t xml:space="preserve">ustanovení § 3g zákona č. 115/2001 Sb. Národní rozhodčí soud pro sport </w:t>
      </w:r>
      <w:r w:rsidRPr="00163A06">
        <w:rPr>
          <w:rFonts w:asciiTheme="minorHAnsi" w:hAnsiTheme="minorHAnsi" w:cstheme="minorHAnsi"/>
        </w:rPr>
        <w:t>(dále také „Soud“)</w:t>
      </w:r>
      <w:r w:rsidRPr="00B86FD8">
        <w:rPr>
          <w:rFonts w:asciiTheme="minorHAnsi" w:hAnsiTheme="minorHAnsi" w:cstheme="minorHAnsi"/>
        </w:rPr>
        <w:t xml:space="preserve">, do jehož pravomoci náleží </w:t>
      </w:r>
      <w:r w:rsidRPr="00B86FD8">
        <w:rPr>
          <w:rFonts w:asciiTheme="minorHAnsi" w:hAnsiTheme="minorHAnsi" w:cstheme="minorHAnsi"/>
          <w:color w:val="232323"/>
        </w:rPr>
        <w:t>rozhodování sporů v souvislosti s dopingem, jakož i sporů ve věcech disciplinárních deliktů sportovců anebo členů sportovních organizací, pokud je to v souladu s jejich vnitřními předpisy a tyto sportovní organizace o to požádají. Soud vykonává</w:t>
      </w:r>
      <w:r w:rsidRPr="00B86FD8">
        <w:rPr>
          <w:rFonts w:asciiTheme="minorHAnsi" w:hAnsiTheme="minorHAnsi" w:cstheme="minorHAnsi"/>
        </w:rPr>
        <w:t xml:space="preserve"> svěřené úkoly nezávisle na NSA a není vázán pokyny NSA. Soud není samostatnou účetní jednotkou, nevede samostatné účetnictví a samostatně nehospodaří. Veškeré účetnictví týkající se činnosti soudu spravuje NSA</w:t>
      </w:r>
      <w:r w:rsidRPr="00B41F29">
        <w:rPr>
          <w:rFonts w:asciiTheme="minorHAnsi" w:hAnsiTheme="minorHAnsi" w:cstheme="minorHAnsi"/>
        </w:rPr>
        <w:t xml:space="preserve">. Prostředky vynakládané NSA na činnost Soudu je tak nutno považovat za prostředky vynakládané na základě právních předpisů ve smyslu ustanovení § 45 odst. 2 zákona č. 218/2000 Sb. </w:t>
      </w:r>
    </w:p>
    <w:p w14:paraId="140675CB" w14:textId="77777777" w:rsidR="005705EE" w:rsidRPr="007F3296" w:rsidRDefault="00035012" w:rsidP="009F20AA">
      <w:pPr>
        <w:spacing w:after="0"/>
        <w:jc w:val="both"/>
        <w:rPr>
          <w:rFonts w:cs="Calibri"/>
        </w:rPr>
      </w:pPr>
      <w:r w:rsidRPr="007F3296">
        <w:rPr>
          <w:rFonts w:cs="Calibri"/>
        </w:rPr>
        <w:lastRenderedPageBreak/>
        <w:t>Přehled</w:t>
      </w:r>
      <w:r w:rsidR="00D85D8F" w:rsidRPr="007F3296">
        <w:rPr>
          <w:rFonts w:cs="Calibri"/>
        </w:rPr>
        <w:t xml:space="preserve"> vybraných</w:t>
      </w:r>
      <w:r w:rsidRPr="007F3296">
        <w:rPr>
          <w:rFonts w:cs="Calibri"/>
        </w:rPr>
        <w:t xml:space="preserve"> údajů z </w:t>
      </w:r>
      <w:r w:rsidR="00D37A9B" w:rsidRPr="007F3296">
        <w:rPr>
          <w:rFonts w:cs="Calibri"/>
        </w:rPr>
        <w:t xml:space="preserve">ÚZ </w:t>
      </w:r>
      <w:r w:rsidRPr="007F3296">
        <w:rPr>
          <w:rFonts w:cs="Calibri"/>
        </w:rPr>
        <w:t>a z</w:t>
      </w:r>
      <w:r w:rsidR="00411333" w:rsidRPr="007F3296">
        <w:rPr>
          <w:rFonts w:cs="Calibri"/>
        </w:rPr>
        <w:t> </w:t>
      </w:r>
      <w:r w:rsidR="005644E8" w:rsidRPr="007F3296">
        <w:rPr>
          <w:rFonts w:cs="Calibri"/>
        </w:rPr>
        <w:t>výkaz</w:t>
      </w:r>
      <w:r w:rsidR="009363E2" w:rsidRPr="007F3296">
        <w:rPr>
          <w:rFonts w:cs="Calibri"/>
        </w:rPr>
        <w:t>u</w:t>
      </w:r>
      <w:r w:rsidR="005644E8" w:rsidRPr="007F3296">
        <w:rPr>
          <w:rFonts w:cs="Calibri"/>
        </w:rPr>
        <w:t xml:space="preserve"> </w:t>
      </w:r>
      <w:r w:rsidRPr="007F3296">
        <w:rPr>
          <w:rFonts w:cs="Calibri"/>
        </w:rPr>
        <w:t>FIN 1-12 OSS vygenerovaného z rozpočtového systému</w:t>
      </w:r>
      <w:r>
        <w:rPr>
          <w:rStyle w:val="Znakapoznpodarou"/>
          <w:rFonts w:eastAsiaTheme="minorHAnsi" w:cs="Calibri"/>
        </w:rPr>
        <w:footnoteReference w:id="16"/>
      </w:r>
      <w:r w:rsidRPr="007F3296">
        <w:rPr>
          <w:rFonts w:cs="Calibri"/>
        </w:rPr>
        <w:t xml:space="preserve"> je uveden v následujících tabulkách.</w:t>
      </w:r>
    </w:p>
    <w:p w14:paraId="56E1B20E" w14:textId="18D1AF2E" w:rsidR="00DE6218" w:rsidRPr="007F3296" w:rsidRDefault="00035012" w:rsidP="006D29B3">
      <w:pPr>
        <w:pStyle w:val="Titulek"/>
        <w:spacing w:after="40"/>
      </w:pPr>
      <w:r w:rsidRPr="007F3296">
        <w:t xml:space="preserve">Tabulka č. </w:t>
      </w:r>
      <w:r w:rsidR="001E57AB">
        <w:fldChar w:fldCharType="begin"/>
      </w:r>
      <w:r>
        <w:instrText xml:space="preserve"> SEQ Tabulka_č. \* ARABIC </w:instrText>
      </w:r>
      <w:r w:rsidR="001E57AB">
        <w:fldChar w:fldCharType="separate"/>
      </w:r>
      <w:r w:rsidR="00420730">
        <w:rPr>
          <w:noProof/>
        </w:rPr>
        <w:t>1</w:t>
      </w:r>
      <w:r w:rsidR="001E57AB">
        <w:rPr>
          <w:noProof/>
        </w:rPr>
        <w:fldChar w:fldCharType="end"/>
      </w:r>
      <w:r w:rsidRPr="007F3296">
        <w:t xml:space="preserve">: Údaje ÚZ – rozvaha a výkaz zisku a ztráty (údaje za </w:t>
      </w:r>
      <w:r w:rsidR="00055EC4" w:rsidRPr="007F3296">
        <w:t xml:space="preserve">rok </w:t>
      </w:r>
      <w:r w:rsidR="007F3296" w:rsidRPr="007F3296">
        <w:t>2024</w:t>
      </w:r>
      <w:r w:rsidRPr="007F3296">
        <w:t>)</w:t>
      </w:r>
    </w:p>
    <w:tbl>
      <w:tblPr>
        <w:tblW w:w="9070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0"/>
      </w:tblGrid>
      <w:tr w:rsidR="00B07849" w14:paraId="19AF74F9" w14:textId="77777777" w:rsidTr="00755BB9">
        <w:trPr>
          <w:trHeight w:val="45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2B789D9A" w14:textId="77777777" w:rsidR="007435AA" w:rsidRPr="007F3296" w:rsidRDefault="00035012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F3296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4D42E09B" w14:textId="77777777" w:rsidR="007435AA" w:rsidRPr="007F3296" w:rsidRDefault="00035012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F3296">
              <w:rPr>
                <w:rFonts w:cs="Arial"/>
                <w:b/>
                <w:bCs/>
                <w:sz w:val="20"/>
                <w:szCs w:val="20"/>
              </w:rPr>
              <w:t>Částka v mil. Kč</w:t>
            </w:r>
          </w:p>
        </w:tc>
      </w:tr>
      <w:tr w:rsidR="00B07849" w14:paraId="10F1A293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B27460D" w14:textId="77777777" w:rsidR="007435AA" w:rsidRPr="007F3296" w:rsidRDefault="00035012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7F3296">
              <w:rPr>
                <w:rFonts w:cs="Arial"/>
                <w:sz w:val="20"/>
                <w:szCs w:val="20"/>
              </w:rPr>
              <w:t>Aktiva netto</w:t>
            </w:r>
            <w:r w:rsidR="00CA69AB" w:rsidRPr="007F3296">
              <w:rPr>
                <w:rFonts w:cs="Arial"/>
                <w:sz w:val="20"/>
                <w:szCs w:val="20"/>
              </w:rPr>
              <w:t>, pasiva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CB75982" w14:textId="77777777" w:rsidR="007435AA" w:rsidRPr="002F6ECE" w:rsidRDefault="00035012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  <w:highlight w:val="green"/>
              </w:rPr>
            </w:pPr>
            <w:r w:rsidRPr="007F3296">
              <w:rPr>
                <w:rFonts w:cs="Arial"/>
                <w:bCs/>
                <w:sz w:val="20"/>
                <w:szCs w:val="20"/>
              </w:rPr>
              <w:t>7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7F3296">
              <w:rPr>
                <w:rFonts w:cs="Arial"/>
                <w:bCs/>
                <w:sz w:val="20"/>
                <w:szCs w:val="20"/>
              </w:rPr>
              <w:t>771,</w:t>
            </w: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</w:tr>
      <w:tr w:rsidR="00B07849" w14:paraId="25F681A8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0F6ACC8" w14:textId="77777777" w:rsidR="007435AA" w:rsidRPr="007F3296" w:rsidRDefault="00035012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7F3296">
              <w:rPr>
                <w:rFonts w:cs="Arial"/>
                <w:sz w:val="20"/>
                <w:szCs w:val="20"/>
              </w:rPr>
              <w:t>Náklady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24F4428" w14:textId="77777777" w:rsidR="007435AA" w:rsidRPr="002F6ECE" w:rsidRDefault="00035012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sz w:val="20"/>
                <w:szCs w:val="20"/>
                <w:highlight w:val="green"/>
              </w:rPr>
            </w:pPr>
            <w:r w:rsidRPr="007F3296">
              <w:rPr>
                <w:rFonts w:cs="Arial"/>
                <w:sz w:val="20"/>
                <w:szCs w:val="20"/>
              </w:rPr>
              <w:t>8</w:t>
            </w:r>
            <w:r w:rsidR="00DB1B5F">
              <w:rPr>
                <w:rFonts w:cs="Arial"/>
                <w:sz w:val="20"/>
                <w:szCs w:val="20"/>
              </w:rPr>
              <w:t xml:space="preserve"> </w:t>
            </w:r>
            <w:r w:rsidRPr="007F3296">
              <w:rPr>
                <w:rFonts w:cs="Arial"/>
                <w:sz w:val="20"/>
                <w:szCs w:val="20"/>
              </w:rPr>
              <w:t>257,4</w:t>
            </w:r>
          </w:p>
        </w:tc>
      </w:tr>
      <w:tr w:rsidR="00B07849" w14:paraId="0054649D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CD8DCAC" w14:textId="77777777" w:rsidR="007435AA" w:rsidRPr="007F3296" w:rsidRDefault="00035012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7F3296">
              <w:rPr>
                <w:rFonts w:cs="Arial"/>
                <w:sz w:val="20"/>
                <w:szCs w:val="20"/>
              </w:rPr>
              <w:t>Výnosy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696C01A" w14:textId="77777777" w:rsidR="007435AA" w:rsidRPr="002F6ECE" w:rsidRDefault="00035012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sz w:val="20"/>
                <w:szCs w:val="20"/>
                <w:highlight w:val="green"/>
              </w:rPr>
            </w:pPr>
            <w:r w:rsidRPr="00DB1B5F">
              <w:rPr>
                <w:rFonts w:cs="Arial"/>
                <w:sz w:val="20"/>
                <w:szCs w:val="20"/>
              </w:rPr>
              <w:t>10,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B07849" w14:paraId="1A50463B" w14:textId="77777777" w:rsidTr="00675D30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4933B" w14:textId="77777777" w:rsidR="007435AA" w:rsidRPr="007F3296" w:rsidRDefault="00035012">
            <w:pPr>
              <w:keepNext/>
              <w:spacing w:after="0" w:line="256" w:lineRule="auto"/>
              <w:rPr>
                <w:rFonts w:cs="Arial"/>
                <w:sz w:val="20"/>
                <w:szCs w:val="20"/>
              </w:rPr>
            </w:pPr>
            <w:r w:rsidRPr="007F3296">
              <w:rPr>
                <w:rFonts w:cs="Arial"/>
                <w:sz w:val="20"/>
                <w:szCs w:val="20"/>
              </w:rPr>
              <w:t>Výsledek hospodaření běžného účetního období (ztráta)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4B1211F" w14:textId="77777777" w:rsidR="007435AA" w:rsidRPr="00DB1B5F" w:rsidRDefault="00035012" w:rsidP="00A8498B">
            <w:pPr>
              <w:keepNext/>
              <w:spacing w:after="0" w:line="256" w:lineRule="auto"/>
              <w:ind w:right="170"/>
              <w:jc w:val="right"/>
              <w:rPr>
                <w:rFonts w:cs="Arial"/>
                <w:bCs/>
                <w:sz w:val="20"/>
                <w:szCs w:val="20"/>
              </w:rPr>
            </w:pPr>
            <w:r w:rsidRPr="00DB1B5F">
              <w:rPr>
                <w:rFonts w:cs="Calibri"/>
                <w:sz w:val="20"/>
                <w:szCs w:val="20"/>
              </w:rPr>
              <w:t>−</w:t>
            </w:r>
            <w:r w:rsidR="00DB1B5F" w:rsidRPr="00DB1B5F">
              <w:rPr>
                <w:rFonts w:cs="Calibri"/>
                <w:sz w:val="20"/>
                <w:szCs w:val="20"/>
              </w:rPr>
              <w:t>8 246,6</w:t>
            </w:r>
          </w:p>
        </w:tc>
      </w:tr>
    </w:tbl>
    <w:p w14:paraId="14A3001B" w14:textId="77777777" w:rsidR="00494B0F" w:rsidRPr="007F3296" w:rsidRDefault="00035012" w:rsidP="006D29B3">
      <w:pPr>
        <w:keepNext/>
        <w:spacing w:before="40" w:after="0"/>
        <w:rPr>
          <w:rFonts w:cs="Arial"/>
          <w:bCs/>
          <w:sz w:val="20"/>
          <w:szCs w:val="20"/>
        </w:rPr>
      </w:pPr>
      <w:r w:rsidRPr="007F3296">
        <w:rPr>
          <w:rFonts w:cs="Arial"/>
          <w:b/>
          <w:sz w:val="20"/>
          <w:szCs w:val="20"/>
        </w:rPr>
        <w:t>Zdroj:</w:t>
      </w:r>
      <w:r w:rsidRPr="007F3296">
        <w:rPr>
          <w:rFonts w:cs="Arial"/>
          <w:bCs/>
          <w:sz w:val="20"/>
          <w:szCs w:val="20"/>
        </w:rPr>
        <w:t xml:space="preserve"> </w:t>
      </w:r>
      <w:r w:rsidR="000B3825" w:rsidRPr="007F3296">
        <w:rPr>
          <w:rFonts w:cs="Arial"/>
          <w:bCs/>
          <w:sz w:val="20"/>
          <w:szCs w:val="20"/>
        </w:rPr>
        <w:t>ÚZ</w:t>
      </w:r>
      <w:r w:rsidR="003444C4" w:rsidRPr="007F3296">
        <w:rPr>
          <w:rFonts w:cs="Arial"/>
          <w:bCs/>
          <w:sz w:val="20"/>
          <w:szCs w:val="20"/>
        </w:rPr>
        <w:t>.</w:t>
      </w:r>
    </w:p>
    <w:p w14:paraId="4C47C7E7" w14:textId="77777777" w:rsidR="00DE06FE" w:rsidRPr="00DB1B5F" w:rsidRDefault="00035012" w:rsidP="006350B8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7F3296">
        <w:rPr>
          <w:rFonts w:cs="Arial"/>
          <w:b/>
          <w:sz w:val="20"/>
          <w:szCs w:val="20"/>
        </w:rPr>
        <w:t>Pozn.:</w:t>
      </w:r>
      <w:r w:rsidR="005705EE" w:rsidRPr="007F3296">
        <w:rPr>
          <w:rFonts w:cs="Arial"/>
          <w:bCs/>
          <w:sz w:val="20"/>
          <w:szCs w:val="20"/>
        </w:rPr>
        <w:t xml:space="preserve"> </w:t>
      </w:r>
      <w:r w:rsidR="00BA2B34" w:rsidRPr="007F3296">
        <w:rPr>
          <w:rFonts w:cs="Arial"/>
          <w:bCs/>
          <w:sz w:val="20"/>
          <w:szCs w:val="20"/>
        </w:rPr>
        <w:tab/>
      </w:r>
      <w:r w:rsidR="007F3296" w:rsidRPr="007F3296">
        <w:rPr>
          <w:rFonts w:cs="Arial"/>
          <w:bCs/>
          <w:sz w:val="20"/>
          <w:szCs w:val="20"/>
        </w:rPr>
        <w:t>NSA</w:t>
      </w:r>
      <w:r w:rsidR="00B22DF8" w:rsidRPr="007F3296">
        <w:rPr>
          <w:rFonts w:cs="Arial"/>
          <w:bCs/>
          <w:sz w:val="20"/>
          <w:szCs w:val="20"/>
        </w:rPr>
        <w:t xml:space="preserve"> v ÚZ vykázal</w:t>
      </w:r>
      <w:r w:rsidR="007F3296" w:rsidRPr="007F3296">
        <w:rPr>
          <w:rFonts w:cs="Arial"/>
          <w:bCs/>
          <w:sz w:val="20"/>
          <w:szCs w:val="20"/>
        </w:rPr>
        <w:t>a</w:t>
      </w:r>
      <w:r w:rsidR="00B22DF8" w:rsidRPr="007F3296">
        <w:rPr>
          <w:rFonts w:cs="Arial"/>
          <w:bCs/>
          <w:sz w:val="20"/>
          <w:szCs w:val="20"/>
        </w:rPr>
        <w:t xml:space="preserve"> aktiva v hodnotě brutto ve výši </w:t>
      </w:r>
      <w:r w:rsidR="00DB1B5F" w:rsidRPr="00DB1B5F">
        <w:rPr>
          <w:rFonts w:cs="Arial"/>
          <w:bCs/>
          <w:sz w:val="20"/>
          <w:szCs w:val="20"/>
        </w:rPr>
        <w:t>7</w:t>
      </w:r>
      <w:r w:rsidR="00DB1B5F">
        <w:rPr>
          <w:rFonts w:cs="Arial"/>
          <w:bCs/>
          <w:sz w:val="20"/>
          <w:szCs w:val="20"/>
        </w:rPr>
        <w:t xml:space="preserve"> </w:t>
      </w:r>
      <w:r w:rsidR="00DB1B5F" w:rsidRPr="00DB1B5F">
        <w:rPr>
          <w:rFonts w:cs="Arial"/>
          <w:bCs/>
          <w:sz w:val="20"/>
          <w:szCs w:val="20"/>
        </w:rPr>
        <w:t>790,7</w:t>
      </w:r>
      <w:r w:rsidR="00B22DF8" w:rsidRPr="00DB1B5F">
        <w:rPr>
          <w:rFonts w:cs="Arial"/>
          <w:bCs/>
          <w:sz w:val="20"/>
          <w:szCs w:val="20"/>
        </w:rPr>
        <w:t xml:space="preserve"> mil. Kč upravené o korekce ve výši </w:t>
      </w:r>
      <w:r w:rsidR="00DB1B5F" w:rsidRPr="00DB1B5F">
        <w:rPr>
          <w:rFonts w:cs="Arial"/>
          <w:bCs/>
          <w:sz w:val="20"/>
          <w:szCs w:val="20"/>
        </w:rPr>
        <w:t>19,2</w:t>
      </w:r>
      <w:r w:rsidR="00D924B4" w:rsidRPr="00DB1B5F">
        <w:rPr>
          <w:rFonts w:cs="Arial"/>
          <w:bCs/>
          <w:sz w:val="20"/>
          <w:szCs w:val="20"/>
        </w:rPr>
        <w:t> </w:t>
      </w:r>
      <w:r w:rsidR="00B22DF8" w:rsidRPr="00DB1B5F">
        <w:rPr>
          <w:rFonts w:cs="Arial"/>
          <w:bCs/>
          <w:sz w:val="20"/>
          <w:szCs w:val="20"/>
        </w:rPr>
        <w:t>mil.</w:t>
      </w:r>
      <w:r w:rsidR="00D924B4" w:rsidRPr="00DB1B5F">
        <w:rPr>
          <w:rFonts w:cs="Arial"/>
          <w:bCs/>
          <w:sz w:val="20"/>
          <w:szCs w:val="20"/>
        </w:rPr>
        <w:t> </w:t>
      </w:r>
      <w:r w:rsidR="00B22DF8" w:rsidRPr="00DB1B5F">
        <w:rPr>
          <w:rFonts w:cs="Arial"/>
          <w:bCs/>
          <w:sz w:val="20"/>
          <w:szCs w:val="20"/>
        </w:rPr>
        <w:t>Kč.</w:t>
      </w:r>
    </w:p>
    <w:p w14:paraId="78CCB651" w14:textId="4D3539AD" w:rsidR="00DE6218" w:rsidRPr="007F3296" w:rsidRDefault="00035012" w:rsidP="006D29B3">
      <w:pPr>
        <w:pStyle w:val="Titulek"/>
        <w:spacing w:after="40"/>
        <w:ind w:left="1304" w:hanging="1304"/>
      </w:pPr>
      <w:r w:rsidRPr="007F3296">
        <w:t xml:space="preserve">Tabulka č. </w:t>
      </w:r>
      <w:r w:rsidR="001E57AB">
        <w:fldChar w:fldCharType="begin"/>
      </w:r>
      <w:r>
        <w:instrText xml:space="preserve"> SEQ Tabulka_č. \* ARABIC </w:instrText>
      </w:r>
      <w:r w:rsidR="001E57AB">
        <w:fldChar w:fldCharType="separate"/>
      </w:r>
      <w:r w:rsidR="00420730">
        <w:rPr>
          <w:noProof/>
        </w:rPr>
        <w:t>2</w:t>
      </w:r>
      <w:r w:rsidR="001E57AB">
        <w:rPr>
          <w:noProof/>
        </w:rPr>
        <w:fldChar w:fldCharType="end"/>
      </w:r>
      <w:r w:rsidRPr="007F3296">
        <w:t xml:space="preserve">: </w:t>
      </w:r>
      <w:r w:rsidR="006614E6" w:rsidRPr="007F3296">
        <w:tab/>
      </w:r>
      <w:r w:rsidRPr="007F3296">
        <w:t>Údaje ÚZ – informace o stavu účtů v knize podrozvahových účtů (údaje za</w:t>
      </w:r>
      <w:r w:rsidR="00055EC4" w:rsidRPr="007F3296">
        <w:t xml:space="preserve"> rok</w:t>
      </w:r>
      <w:r w:rsidR="0096326C" w:rsidRPr="007F3296">
        <w:t> </w:t>
      </w:r>
      <w:r w:rsidR="007F3296" w:rsidRPr="007F3296">
        <w:t>2024</w:t>
      </w:r>
      <w:r w:rsidRPr="007F3296">
        <w:t>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B07849" w14:paraId="24BE97BB" w14:textId="77777777" w:rsidTr="00755BB9">
        <w:trPr>
          <w:trHeight w:val="300"/>
          <w:tblHeader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7B339D" w14:textId="77777777" w:rsidR="008957E3" w:rsidRPr="007F3296" w:rsidRDefault="00035012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F3296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1780757" w14:textId="77777777" w:rsidR="008957E3" w:rsidRPr="007F3296" w:rsidRDefault="00035012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F3296">
              <w:rPr>
                <w:rFonts w:cs="Calibri"/>
                <w:b/>
                <w:bCs/>
                <w:color w:val="000000"/>
                <w:sz w:val="20"/>
                <w:szCs w:val="20"/>
              </w:rPr>
              <w:t>Částka v mil. Kč</w:t>
            </w:r>
          </w:p>
        </w:tc>
      </w:tr>
      <w:tr w:rsidR="00B07849" w14:paraId="29F1E756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B5FA" w14:textId="77777777" w:rsidR="008957E3" w:rsidRPr="00DB1B5F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DB1B5F">
              <w:rPr>
                <w:rFonts w:eastAsia="Calibri" w:cs="Calibri"/>
                <w:sz w:val="20"/>
                <w:szCs w:val="20"/>
              </w:rPr>
              <w:t>90</w:t>
            </w:r>
            <w:r w:rsidR="00B40E02" w:rsidRPr="00DB1B5F">
              <w:rPr>
                <w:rFonts w:eastAsia="Calibri" w:cs="Calibri"/>
                <w:sz w:val="20"/>
                <w:szCs w:val="20"/>
              </w:rPr>
              <w:t>1</w:t>
            </w:r>
            <w:r w:rsidRPr="00DB1B5F">
              <w:rPr>
                <w:rFonts w:eastAsia="Calibri" w:cs="Calibri"/>
                <w:sz w:val="20"/>
                <w:szCs w:val="20"/>
              </w:rPr>
              <w:t xml:space="preserve"> </w:t>
            </w:r>
            <w:r w:rsidR="006614E6" w:rsidRPr="00DB1B5F">
              <w:rPr>
                <w:rFonts w:eastAsia="Calibri" w:cs="Calibri"/>
                <w:sz w:val="20"/>
                <w:szCs w:val="20"/>
              </w:rPr>
              <w:t>–</w:t>
            </w:r>
            <w:r w:rsidRPr="00DB1B5F">
              <w:rPr>
                <w:rFonts w:eastAsia="Calibri" w:cs="Calibri"/>
                <w:sz w:val="20"/>
                <w:szCs w:val="20"/>
              </w:rPr>
              <w:t xml:space="preserve"> </w:t>
            </w:r>
            <w:r w:rsidR="00B40E02" w:rsidRPr="00DB1B5F">
              <w:rPr>
                <w:rFonts w:eastAsia="Calibri" w:cs="Calibri"/>
                <w:sz w:val="20"/>
                <w:szCs w:val="20"/>
              </w:rPr>
              <w:t>Jiný drobný dlouhodobý nehmotný majetek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17E1" w14:textId="77777777" w:rsidR="008957E3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0,</w:t>
            </w:r>
            <w:r w:rsidR="00DB1B5F" w:rsidRPr="00DB1B5F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07849" w14:paraId="2FD88C4C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847E" w14:textId="77777777" w:rsidR="00B40E02" w:rsidRPr="00DB1B5F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DB1B5F">
              <w:rPr>
                <w:rFonts w:eastAsia="Calibri" w:cs="Calibri"/>
                <w:sz w:val="20"/>
                <w:szCs w:val="20"/>
              </w:rPr>
              <w:t>902 – Jiný drobný dlouhodobý hmotný majetek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9CBC" w14:textId="77777777" w:rsidR="00B40E02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B07849" w14:paraId="05E2D7E4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1BB3" w14:textId="77777777" w:rsidR="008957E3" w:rsidRPr="002F6ECE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green"/>
              </w:rPr>
            </w:pPr>
            <w:r w:rsidRPr="00DB1B5F">
              <w:rPr>
                <w:rFonts w:eastAsia="Calibri" w:cs="Calibri"/>
                <w:sz w:val="20"/>
                <w:szCs w:val="20"/>
              </w:rPr>
              <w:t xml:space="preserve">905 </w:t>
            </w:r>
            <w:r w:rsidR="006614E6" w:rsidRPr="00DB1B5F">
              <w:rPr>
                <w:rFonts w:eastAsia="Calibri" w:cs="Calibri"/>
                <w:sz w:val="20"/>
                <w:szCs w:val="20"/>
              </w:rPr>
              <w:t>–</w:t>
            </w:r>
            <w:r w:rsidRPr="00DB1B5F">
              <w:rPr>
                <w:rFonts w:eastAsia="Calibri" w:cs="Calibri"/>
                <w:sz w:val="20"/>
                <w:szCs w:val="20"/>
              </w:rPr>
              <w:t xml:space="preserve"> Vyřazené pohledávky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5E91" w14:textId="77777777" w:rsidR="008957E3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0,03</w:t>
            </w:r>
          </w:p>
        </w:tc>
      </w:tr>
      <w:tr w:rsidR="00B07849" w14:paraId="7B3F398D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F900" w14:textId="77777777" w:rsidR="008957E3" w:rsidRPr="002F6ECE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green"/>
              </w:rPr>
            </w:pPr>
            <w:r w:rsidRPr="00DB1B5F">
              <w:rPr>
                <w:rFonts w:eastAsia="Calibri" w:cs="Calibri"/>
                <w:sz w:val="20"/>
                <w:szCs w:val="20"/>
              </w:rPr>
              <w:t xml:space="preserve">934 </w:t>
            </w:r>
            <w:r w:rsidR="006614E6" w:rsidRPr="00DB1B5F">
              <w:rPr>
                <w:rFonts w:eastAsia="Calibri" w:cs="Calibri"/>
                <w:sz w:val="20"/>
                <w:szCs w:val="20"/>
              </w:rPr>
              <w:t>–</w:t>
            </w:r>
            <w:r w:rsidRPr="00DB1B5F">
              <w:rPr>
                <w:rFonts w:eastAsia="Calibri" w:cs="Calibri"/>
                <w:sz w:val="20"/>
                <w:szCs w:val="20"/>
              </w:rPr>
              <w:t xml:space="preserve"> Dlouhodobé podmíněné pohledávky z 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7786" w14:textId="77777777" w:rsidR="008957E3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4,5</w:t>
            </w:r>
          </w:p>
        </w:tc>
      </w:tr>
      <w:tr w:rsidR="00B07849" w14:paraId="3B8C485A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C963" w14:textId="77777777" w:rsidR="008957E3" w:rsidRPr="002F6ECE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green"/>
              </w:rPr>
            </w:pPr>
            <w:r w:rsidRPr="00DB1B5F">
              <w:rPr>
                <w:rFonts w:eastAsia="Calibri" w:cs="Calibri"/>
                <w:sz w:val="20"/>
                <w:szCs w:val="20"/>
              </w:rPr>
              <w:t xml:space="preserve">948 </w:t>
            </w:r>
            <w:r w:rsidR="006614E6" w:rsidRPr="00DB1B5F">
              <w:rPr>
                <w:rFonts w:eastAsia="Calibri" w:cs="Calibri"/>
                <w:sz w:val="20"/>
                <w:szCs w:val="20"/>
              </w:rPr>
              <w:t>–</w:t>
            </w:r>
            <w:r w:rsidRPr="00DB1B5F">
              <w:rPr>
                <w:rFonts w:eastAsia="Calibri" w:cs="Calibri"/>
                <w:sz w:val="20"/>
                <w:szCs w:val="20"/>
              </w:rPr>
              <w:t xml:space="preserve"> Dlouhodobé podmíněné pohledávky ze soudních sporů, správních řízení a jiných řízení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BBD8" w14:textId="77777777" w:rsidR="008957E3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41,2</w:t>
            </w:r>
          </w:p>
        </w:tc>
      </w:tr>
      <w:tr w:rsidR="00B07849" w14:paraId="4732E190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7A57" w14:textId="77777777" w:rsidR="00443729" w:rsidRPr="002F6ECE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green"/>
              </w:rPr>
            </w:pPr>
            <w:r w:rsidRPr="00DB1B5F">
              <w:rPr>
                <w:rFonts w:eastAsia="Calibri" w:cs="Calibri"/>
                <w:sz w:val="20"/>
                <w:szCs w:val="20"/>
              </w:rPr>
              <w:t>956 – Ostatní dlouhodobé podmíněné závazky z</w:t>
            </w:r>
            <w:r w:rsidR="00204DC2" w:rsidRPr="00DB1B5F">
              <w:rPr>
                <w:rFonts w:eastAsia="Calibri" w:cs="Calibri"/>
                <w:sz w:val="20"/>
                <w:szCs w:val="20"/>
              </w:rPr>
              <w:t> </w:t>
            </w:r>
            <w:r w:rsidRPr="00DB1B5F">
              <w:rPr>
                <w:rFonts w:eastAsia="Calibri" w:cs="Calibri"/>
                <w:sz w:val="20"/>
                <w:szCs w:val="20"/>
              </w:rPr>
              <w:t>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26AE" w14:textId="77777777" w:rsidR="00443729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B07849" w14:paraId="433D1313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30ED" w14:textId="77777777" w:rsidR="00DB1B5F" w:rsidRPr="00DB1B5F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971 – </w:t>
            </w:r>
            <w:r w:rsidRPr="00DB1B5F">
              <w:rPr>
                <w:rFonts w:eastAsia="Calibri" w:cs="Calibri"/>
                <w:sz w:val="20"/>
                <w:szCs w:val="20"/>
              </w:rPr>
              <w:t>Krátkodobé podmíněné závazky ze smluv o pořízení dlouhodobého majetku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EE1" w14:textId="77777777" w:rsidR="00DB1B5F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1,3</w:t>
            </w:r>
          </w:p>
        </w:tc>
      </w:tr>
      <w:tr w:rsidR="00B07849" w14:paraId="012CABE9" w14:textId="77777777" w:rsidTr="007D6AD1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AAFA" w14:textId="77777777" w:rsidR="008957E3" w:rsidRPr="002F6ECE" w:rsidRDefault="00035012" w:rsidP="00B22DF8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  <w:highlight w:val="green"/>
              </w:rPr>
            </w:pPr>
            <w:r w:rsidRPr="00DB1B5F">
              <w:rPr>
                <w:rFonts w:eastAsia="Calibri" w:cs="Calibri"/>
                <w:sz w:val="20"/>
                <w:szCs w:val="20"/>
              </w:rPr>
              <w:t xml:space="preserve">974 </w:t>
            </w:r>
            <w:r w:rsidR="006614E6" w:rsidRPr="00DB1B5F">
              <w:rPr>
                <w:rFonts w:eastAsia="Calibri" w:cs="Calibri"/>
                <w:sz w:val="20"/>
                <w:szCs w:val="20"/>
              </w:rPr>
              <w:t>–</w:t>
            </w:r>
            <w:r w:rsidRPr="00DB1B5F">
              <w:rPr>
                <w:rFonts w:eastAsia="Calibri" w:cs="Calibri"/>
                <w:sz w:val="20"/>
                <w:szCs w:val="20"/>
              </w:rPr>
              <w:t xml:space="preserve"> Dlouhodobé podmíněné závazky z jiných smluv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01F3" w14:textId="77777777" w:rsidR="008957E3" w:rsidRPr="002F6ECE" w:rsidRDefault="00035012" w:rsidP="00B22DF8">
            <w:pPr>
              <w:spacing w:after="0" w:line="256" w:lineRule="auto"/>
              <w:ind w:right="57"/>
              <w:jc w:val="right"/>
              <w:rPr>
                <w:rFonts w:cs="Calibri"/>
                <w:bCs/>
                <w:color w:val="000000"/>
                <w:sz w:val="20"/>
                <w:szCs w:val="20"/>
                <w:highlight w:val="green"/>
              </w:rPr>
            </w:pPr>
            <w:r w:rsidRPr="00DB1B5F">
              <w:rPr>
                <w:rFonts w:cs="Calibri"/>
                <w:bCs/>
                <w:color w:val="000000"/>
                <w:sz w:val="20"/>
                <w:szCs w:val="20"/>
              </w:rPr>
              <w:t>87,2</w:t>
            </w:r>
          </w:p>
        </w:tc>
      </w:tr>
    </w:tbl>
    <w:p w14:paraId="29CBBAF3" w14:textId="77777777" w:rsidR="00E132F8" w:rsidRPr="007F3296" w:rsidRDefault="00035012" w:rsidP="006D29B3">
      <w:pPr>
        <w:spacing w:before="40" w:after="0"/>
        <w:rPr>
          <w:bCs/>
          <w:sz w:val="20"/>
          <w:szCs w:val="20"/>
        </w:rPr>
      </w:pPr>
      <w:r w:rsidRPr="007F3296">
        <w:rPr>
          <w:b/>
          <w:sz w:val="20"/>
          <w:szCs w:val="20"/>
        </w:rPr>
        <w:t>Zdroj:</w:t>
      </w:r>
      <w:r w:rsidRPr="007F3296">
        <w:rPr>
          <w:bCs/>
          <w:sz w:val="20"/>
          <w:szCs w:val="20"/>
        </w:rPr>
        <w:t xml:space="preserve"> </w:t>
      </w:r>
      <w:r w:rsidR="000B3825" w:rsidRPr="007F3296">
        <w:rPr>
          <w:bCs/>
          <w:sz w:val="20"/>
          <w:szCs w:val="20"/>
        </w:rPr>
        <w:t>ÚZ</w:t>
      </w:r>
      <w:r w:rsidR="001F62FB" w:rsidRPr="007F3296">
        <w:rPr>
          <w:bCs/>
          <w:sz w:val="20"/>
          <w:szCs w:val="20"/>
        </w:rPr>
        <w:t>.</w:t>
      </w:r>
    </w:p>
    <w:p w14:paraId="07CFC3B0" w14:textId="0E62E2D1" w:rsidR="00DE6218" w:rsidRPr="007F3296" w:rsidRDefault="00035012" w:rsidP="006D29B3">
      <w:pPr>
        <w:pStyle w:val="Titulek"/>
        <w:spacing w:after="40"/>
      </w:pPr>
      <w:r w:rsidRPr="007F3296">
        <w:t xml:space="preserve">Tabulka č. </w:t>
      </w:r>
      <w:r w:rsidR="001E57AB">
        <w:fldChar w:fldCharType="begin"/>
      </w:r>
      <w:r>
        <w:instrText xml:space="preserve"> SEQ Tabulka_č. \* ARABIC </w:instrText>
      </w:r>
      <w:r w:rsidR="001E57AB">
        <w:fldChar w:fldCharType="separate"/>
      </w:r>
      <w:r w:rsidR="00420730">
        <w:rPr>
          <w:noProof/>
        </w:rPr>
        <w:t>3</w:t>
      </w:r>
      <w:r w:rsidR="001E57AB">
        <w:rPr>
          <w:noProof/>
        </w:rPr>
        <w:fldChar w:fldCharType="end"/>
      </w:r>
      <w:r w:rsidRPr="007F3296">
        <w:t>: Údaje z výkazu FIN 1-12 OSS</w:t>
      </w:r>
    </w:p>
    <w:tbl>
      <w:tblPr>
        <w:tblW w:w="90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07849" w14:paraId="33214690" w14:textId="77777777" w:rsidTr="00755BB9">
        <w:trPr>
          <w:trHeight w:val="45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892F9E3" w14:textId="77777777" w:rsidR="00B22DF8" w:rsidRPr="007F3296" w:rsidRDefault="00035012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F3296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9894B79" w14:textId="77777777" w:rsidR="00B22DF8" w:rsidRPr="007F3296" w:rsidRDefault="00035012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F3296">
              <w:rPr>
                <w:rFonts w:cs="Arial"/>
                <w:b/>
                <w:bCs/>
                <w:sz w:val="20"/>
              </w:rPr>
              <w:t>Částka v mil. Kč</w:t>
            </w:r>
          </w:p>
        </w:tc>
      </w:tr>
      <w:tr w:rsidR="00B07849" w14:paraId="57B3F16B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C17B" w14:textId="77777777" w:rsidR="00B22DF8" w:rsidRPr="007F3296" w:rsidRDefault="00035012">
            <w:pPr>
              <w:spacing w:after="0" w:line="256" w:lineRule="auto"/>
              <w:rPr>
                <w:rFonts w:cs="Arial"/>
                <w:sz w:val="20"/>
              </w:rPr>
            </w:pPr>
            <w:r w:rsidRPr="007F3296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43E0" w14:textId="77777777" w:rsidR="00B22DF8" w:rsidRPr="002F6ECE" w:rsidRDefault="00035012">
            <w:pPr>
              <w:spacing w:after="0" w:line="256" w:lineRule="auto"/>
              <w:ind w:right="57"/>
              <w:jc w:val="right"/>
              <w:rPr>
                <w:rFonts w:cs="Arial"/>
                <w:bCs/>
                <w:sz w:val="20"/>
                <w:szCs w:val="20"/>
                <w:highlight w:val="green"/>
              </w:rPr>
            </w:pPr>
            <w:r w:rsidRPr="00DB1B5F">
              <w:rPr>
                <w:rFonts w:cs="Arial"/>
                <w:bCs/>
                <w:sz w:val="20"/>
                <w:szCs w:val="20"/>
              </w:rPr>
              <w:t>25,8</w:t>
            </w:r>
          </w:p>
        </w:tc>
      </w:tr>
      <w:tr w:rsidR="00B07849" w14:paraId="2FD3C84F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7841" w14:textId="77777777" w:rsidR="00B22DF8" w:rsidRPr="007F3296" w:rsidRDefault="00035012">
            <w:pPr>
              <w:spacing w:after="0" w:line="256" w:lineRule="auto"/>
              <w:rPr>
                <w:rFonts w:cs="Arial"/>
                <w:sz w:val="20"/>
              </w:rPr>
            </w:pPr>
            <w:r w:rsidRPr="007F3296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1C0C" w14:textId="77777777" w:rsidR="00B22DF8" w:rsidRPr="002F6ECE" w:rsidRDefault="00035012">
            <w:pPr>
              <w:spacing w:after="0" w:line="256" w:lineRule="auto"/>
              <w:ind w:right="57"/>
              <w:jc w:val="right"/>
              <w:rPr>
                <w:rFonts w:cs="Arial"/>
                <w:bCs/>
                <w:sz w:val="20"/>
                <w:szCs w:val="20"/>
                <w:highlight w:val="green"/>
              </w:rPr>
            </w:pPr>
            <w:r w:rsidRPr="0053220F">
              <w:rPr>
                <w:rFonts w:cs="Arial"/>
                <w:bCs/>
                <w:sz w:val="20"/>
                <w:szCs w:val="20"/>
              </w:rPr>
              <w:t>8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53220F">
              <w:rPr>
                <w:rFonts w:cs="Arial"/>
                <w:bCs/>
                <w:sz w:val="20"/>
                <w:szCs w:val="20"/>
              </w:rPr>
              <w:t>278,</w:t>
            </w: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</w:tr>
    </w:tbl>
    <w:p w14:paraId="6AB85145" w14:textId="77777777" w:rsidR="00077ACA" w:rsidRPr="007F3296" w:rsidRDefault="00035012" w:rsidP="006D29B3">
      <w:pPr>
        <w:spacing w:before="40" w:after="0"/>
        <w:rPr>
          <w:bCs/>
          <w:sz w:val="20"/>
          <w:szCs w:val="20"/>
        </w:rPr>
      </w:pPr>
      <w:r w:rsidRPr="007F3296">
        <w:rPr>
          <w:b/>
          <w:sz w:val="20"/>
          <w:szCs w:val="20"/>
        </w:rPr>
        <w:t>Zdroj:</w:t>
      </w:r>
      <w:r w:rsidR="00D16053" w:rsidRPr="007F3296">
        <w:rPr>
          <w:bCs/>
          <w:sz w:val="20"/>
          <w:szCs w:val="20"/>
        </w:rPr>
        <w:t xml:space="preserve"> výkaz FIN 1-12 OSS</w:t>
      </w:r>
      <w:r w:rsidR="003444C4" w:rsidRPr="007F3296">
        <w:rPr>
          <w:bCs/>
          <w:sz w:val="20"/>
          <w:szCs w:val="20"/>
        </w:rPr>
        <w:t>.</w:t>
      </w:r>
    </w:p>
    <w:p w14:paraId="3C12A45A" w14:textId="77777777" w:rsidR="009706C3" w:rsidRPr="002F6ECE" w:rsidRDefault="00035012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  <w:highlight w:val="green"/>
        </w:rPr>
      </w:pPr>
      <w:r w:rsidRPr="002F6ECE">
        <w:rPr>
          <w:highlight w:val="green"/>
        </w:rPr>
        <w:br w:type="page"/>
      </w:r>
    </w:p>
    <w:p w14:paraId="3237D3D5" w14:textId="77777777" w:rsidR="0033466E" w:rsidRPr="0053220F" w:rsidRDefault="00035012" w:rsidP="006575BB">
      <w:pPr>
        <w:pStyle w:val="Styl1"/>
        <w:spacing w:after="240"/>
        <w:ind w:left="414" w:hanging="57"/>
      </w:pPr>
      <w:r w:rsidRPr="0053220F">
        <w:lastRenderedPageBreak/>
        <w:t>Rozsah kontroly</w:t>
      </w:r>
    </w:p>
    <w:p w14:paraId="22C662A1" w14:textId="77777777" w:rsidR="00BB0827" w:rsidRPr="00492584" w:rsidRDefault="00035012" w:rsidP="003677B5">
      <w:pPr>
        <w:spacing w:before="120"/>
        <w:jc w:val="both"/>
        <w:rPr>
          <w:rFonts w:eastAsiaTheme="minorHAnsi" w:cs="Calibri"/>
        </w:rPr>
      </w:pPr>
      <w:r w:rsidRPr="00492584">
        <w:rPr>
          <w:rFonts w:cs="Calibri"/>
        </w:rPr>
        <w:t>K</w:t>
      </w:r>
      <w:r w:rsidR="005006B3" w:rsidRPr="00492584">
        <w:rPr>
          <w:rFonts w:cs="Calibri"/>
        </w:rPr>
        <w:t>ontrolní akce</w:t>
      </w:r>
      <w:r w:rsidRPr="00492584">
        <w:rPr>
          <w:rFonts w:cs="Calibri"/>
        </w:rPr>
        <w:t xml:space="preserve"> byla kontrolou typu finanční audit a jejím cílem bylo </w:t>
      </w:r>
      <w:r w:rsidRPr="00492584">
        <w:rPr>
          <w:rFonts w:eastAsiaTheme="minorHAnsi" w:cs="Calibri"/>
        </w:rPr>
        <w:t>prověřit, zda</w:t>
      </w:r>
      <w:r w:rsidR="00D84751" w:rsidRPr="00492584">
        <w:rPr>
          <w:rFonts w:eastAsiaTheme="minorHAnsi" w:cs="Calibri"/>
        </w:rPr>
        <w:t xml:space="preserve"> </w:t>
      </w:r>
      <w:r w:rsidR="00492584" w:rsidRPr="00492584">
        <w:rPr>
          <w:rFonts w:eastAsiaTheme="minorHAnsi" w:cs="Calibri"/>
        </w:rPr>
        <w:t>NSA</w:t>
      </w:r>
      <w:r w:rsidRPr="00492584">
        <w:rPr>
          <w:rFonts w:eastAsiaTheme="minorHAnsi" w:cs="Calibri"/>
        </w:rPr>
        <w:t xml:space="preserve"> </w:t>
      </w:r>
      <w:r w:rsidR="001D587D" w:rsidRPr="00492584">
        <w:rPr>
          <w:rFonts w:eastAsiaTheme="minorHAnsi" w:cs="Calibri"/>
        </w:rPr>
        <w:t>při vedení účetnictví v roce 202</w:t>
      </w:r>
      <w:r w:rsidR="00492584" w:rsidRPr="00492584">
        <w:rPr>
          <w:rFonts w:eastAsiaTheme="minorHAnsi" w:cs="Calibri"/>
        </w:rPr>
        <w:t>4</w:t>
      </w:r>
      <w:r w:rsidR="001D587D" w:rsidRPr="00492584">
        <w:rPr>
          <w:rFonts w:eastAsiaTheme="minorHAnsi" w:cs="Calibri"/>
        </w:rPr>
        <w:t>, při sestavení účetní závěrky k 31. prosinci 202</w:t>
      </w:r>
      <w:r w:rsidR="00492584" w:rsidRPr="00492584">
        <w:rPr>
          <w:rFonts w:eastAsiaTheme="minorHAnsi" w:cs="Calibri"/>
        </w:rPr>
        <w:t>4</w:t>
      </w:r>
      <w:r w:rsidR="001D587D" w:rsidRPr="00492584">
        <w:rPr>
          <w:rFonts w:eastAsiaTheme="minorHAnsi" w:cs="Calibri"/>
        </w:rPr>
        <w:t>, při předkládání údajů pro hodnocení plnění státního rozpočtu za rok 202</w:t>
      </w:r>
      <w:r w:rsidR="00492584" w:rsidRPr="00492584">
        <w:rPr>
          <w:rFonts w:eastAsiaTheme="minorHAnsi" w:cs="Calibri"/>
        </w:rPr>
        <w:t>4</w:t>
      </w:r>
      <w:r>
        <w:rPr>
          <w:rStyle w:val="Znakapoznpodarou"/>
          <w:rFonts w:eastAsiaTheme="minorHAnsi" w:cs="Calibri"/>
        </w:rPr>
        <w:footnoteReference w:id="17"/>
      </w:r>
      <w:r w:rsidR="001D587D" w:rsidRPr="00492584">
        <w:rPr>
          <w:rFonts w:eastAsiaTheme="minorHAnsi" w:cs="Calibri"/>
        </w:rPr>
        <w:t xml:space="preserve"> a při sestavení závěrečného účtu za rok 202</w:t>
      </w:r>
      <w:r w:rsidR="00492584" w:rsidRPr="00492584">
        <w:rPr>
          <w:rFonts w:eastAsiaTheme="minorHAnsi" w:cs="Calibri"/>
        </w:rPr>
        <w:t>4</w:t>
      </w:r>
      <w:r w:rsidR="001D587D" w:rsidRPr="00492584">
        <w:rPr>
          <w:rFonts w:eastAsiaTheme="minorHAnsi" w:cs="Calibri"/>
        </w:rPr>
        <w:t xml:space="preserve"> postupoval</w:t>
      </w:r>
      <w:r w:rsidR="00492584" w:rsidRPr="00492584">
        <w:rPr>
          <w:rFonts w:eastAsiaTheme="minorHAnsi" w:cs="Calibri"/>
        </w:rPr>
        <w:t>a</w:t>
      </w:r>
      <w:r w:rsidR="001D587D" w:rsidRPr="00492584">
        <w:rPr>
          <w:rFonts w:eastAsiaTheme="minorHAnsi" w:cs="Calibri"/>
        </w:rPr>
        <w:t xml:space="preserve"> v souladu s příslušnými právními předpisy.</w:t>
      </w:r>
    </w:p>
    <w:p w14:paraId="2FC28292" w14:textId="77777777" w:rsidR="00C0657A" w:rsidRPr="00492584" w:rsidRDefault="00035012" w:rsidP="003677B5">
      <w:pPr>
        <w:spacing w:before="120"/>
        <w:jc w:val="both"/>
        <w:rPr>
          <w:rFonts w:cs="Calibri"/>
        </w:rPr>
      </w:pPr>
      <w:r w:rsidRPr="00492584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Kontrolovaný objem finančních prostředků v rámci výkazu FIN 1-12 OSS představuje součet celkových příjmů a výdajů ve sloupci </w:t>
      </w:r>
      <w:r w:rsidRPr="00492584">
        <w:rPr>
          <w:rFonts w:cs="Calibri"/>
          <w:i/>
        </w:rPr>
        <w:t>Skutečnost</w:t>
      </w:r>
      <w:r w:rsidR="003C7827" w:rsidRPr="00492584">
        <w:rPr>
          <w:rFonts w:cs="Calibri"/>
        </w:rPr>
        <w:t>, jejichž hodnoty jsou uvedeny</w:t>
      </w:r>
      <w:r w:rsidRPr="00492584">
        <w:rPr>
          <w:rFonts w:cs="Calibri"/>
        </w:rPr>
        <w:t xml:space="preserve"> v tabulce č. 3.</w:t>
      </w:r>
    </w:p>
    <w:p w14:paraId="5417EAD6" w14:textId="77777777" w:rsidR="00C0657A" w:rsidRPr="00492584" w:rsidRDefault="00035012" w:rsidP="003677B5">
      <w:pPr>
        <w:spacing w:before="120"/>
        <w:jc w:val="both"/>
        <w:rPr>
          <w:rFonts w:cs="Calibri"/>
        </w:rPr>
      </w:pPr>
      <w:r w:rsidRPr="00492584">
        <w:rPr>
          <w:rFonts w:cs="Calibri"/>
        </w:rPr>
        <w:t>Kontrola se zaměřila na činnosti a skutečnosti, které byly předmětem účetnictví</w:t>
      </w:r>
      <w:r>
        <w:rPr>
          <w:rStyle w:val="Znakapoznpodarou"/>
          <w:rFonts w:cs="Calibri"/>
        </w:rPr>
        <w:footnoteReference w:id="18"/>
      </w:r>
      <w:r w:rsidR="00291417" w:rsidRPr="00492584">
        <w:rPr>
          <w:rFonts w:cs="Calibri"/>
          <w:vertAlign w:val="superscript"/>
        </w:rPr>
        <w:t xml:space="preserve"> </w:t>
      </w:r>
      <w:r w:rsidR="00291417" w:rsidRPr="00492584">
        <w:rPr>
          <w:rFonts w:cs="Calibri"/>
        </w:rPr>
        <w:t>a měly vliv na</w:t>
      </w:r>
      <w:r w:rsidR="00B03EA6" w:rsidRPr="00492584">
        <w:rPr>
          <w:rFonts w:cs="Calibri"/>
        </w:rPr>
        <w:t xml:space="preserve"> </w:t>
      </w:r>
      <w:r w:rsidRPr="00492584">
        <w:rPr>
          <w:rFonts w:cs="Calibri"/>
        </w:rPr>
        <w:t>hodnotu kontrolovaných významných konečných zůstatků účtů v</w:t>
      </w:r>
      <w:r w:rsidR="00171A18" w:rsidRPr="00492584">
        <w:rPr>
          <w:rFonts w:cs="Calibri"/>
        </w:rPr>
        <w:t> </w:t>
      </w:r>
      <w:r w:rsidR="00FF141F" w:rsidRPr="00492584">
        <w:rPr>
          <w:rFonts w:cs="Calibri"/>
        </w:rPr>
        <w:t>ÚZ</w:t>
      </w:r>
      <w:r w:rsidR="00171A18" w:rsidRPr="00492584">
        <w:rPr>
          <w:rFonts w:cs="Calibri"/>
        </w:rPr>
        <w:t>,</w:t>
      </w:r>
      <w:r w:rsidR="00FF141F" w:rsidRPr="00492584">
        <w:rPr>
          <w:rFonts w:cs="Calibri"/>
        </w:rPr>
        <w:t xml:space="preserve"> </w:t>
      </w:r>
      <w:r w:rsidR="00BA10E7" w:rsidRPr="00492584">
        <w:rPr>
          <w:rFonts w:cs="Calibri"/>
        </w:rPr>
        <w:t>na</w:t>
      </w:r>
      <w:r w:rsidR="00B03EA6" w:rsidRPr="00492584">
        <w:rPr>
          <w:rFonts w:cs="Calibri"/>
        </w:rPr>
        <w:t xml:space="preserve"> </w:t>
      </w:r>
      <w:r w:rsidRPr="00492584">
        <w:rPr>
          <w:rFonts w:cs="Calibri"/>
        </w:rPr>
        <w:t>hodnotu významných údajů předkládaných</w:t>
      </w:r>
      <w:r w:rsidR="00FF141F" w:rsidRPr="00492584">
        <w:rPr>
          <w:rFonts w:cs="Calibri"/>
        </w:rPr>
        <w:t xml:space="preserve"> </w:t>
      </w:r>
      <w:r w:rsidRPr="00492584">
        <w:rPr>
          <w:rFonts w:cs="Calibri"/>
        </w:rPr>
        <w:t xml:space="preserve">pro hodnocení </w:t>
      </w:r>
      <w:r w:rsidR="005E41D6" w:rsidRPr="00492584">
        <w:rPr>
          <w:rFonts w:cs="Calibri"/>
        </w:rPr>
        <w:t>plnění státního rozpočtu za</w:t>
      </w:r>
      <w:r w:rsidR="00BB5BEC" w:rsidRPr="00492584">
        <w:rPr>
          <w:rFonts w:cs="Calibri"/>
        </w:rPr>
        <w:t xml:space="preserve"> </w:t>
      </w:r>
      <w:r w:rsidR="001B0BE7" w:rsidRPr="00492584">
        <w:rPr>
          <w:rFonts w:cs="Calibri"/>
        </w:rPr>
        <w:t>rok</w:t>
      </w:r>
      <w:r w:rsidR="00854846" w:rsidRPr="00492584">
        <w:rPr>
          <w:rFonts w:cs="Calibri"/>
        </w:rPr>
        <w:t xml:space="preserve"> </w:t>
      </w:r>
      <w:r w:rsidR="00492584" w:rsidRPr="00492584">
        <w:rPr>
          <w:rFonts w:cs="Calibri"/>
        </w:rPr>
        <w:t>2024</w:t>
      </w:r>
      <w:r w:rsidR="00171A18" w:rsidRPr="00492584">
        <w:rPr>
          <w:rFonts w:cs="Calibri"/>
        </w:rPr>
        <w:t xml:space="preserve"> a na ZÚ za rok </w:t>
      </w:r>
      <w:r w:rsidR="00492584" w:rsidRPr="00492584">
        <w:rPr>
          <w:rFonts w:cs="Calibri"/>
        </w:rPr>
        <w:t>2024</w:t>
      </w:r>
      <w:r w:rsidRPr="00492584">
        <w:rPr>
          <w:rFonts w:cs="Calibri"/>
        </w:rPr>
        <w:t>.</w:t>
      </w:r>
    </w:p>
    <w:p w14:paraId="3498FEBE" w14:textId="77777777" w:rsidR="00F279C1" w:rsidRPr="00492584" w:rsidRDefault="00035012" w:rsidP="003677B5">
      <w:pPr>
        <w:spacing w:before="120"/>
        <w:jc w:val="both"/>
        <w:rPr>
          <w:rFonts w:cs="Calibri"/>
        </w:rPr>
      </w:pPr>
      <w:r w:rsidRPr="00492584">
        <w:rPr>
          <w:rFonts w:cs="Calibri"/>
        </w:rPr>
        <w:t>V oblasti vedení účetnictví se kontrola zaměřila na jeho správnost, úplnost, průkaznost a</w:t>
      </w:r>
      <w:r w:rsidR="00D924B4" w:rsidRPr="00492584">
        <w:rPr>
          <w:rFonts w:cs="Calibri"/>
        </w:rPr>
        <w:t> </w:t>
      </w:r>
      <w:r w:rsidRPr="00492584">
        <w:rPr>
          <w:rFonts w:cs="Calibri"/>
        </w:rPr>
        <w:t>srozumitelnost. Prověřila</w:t>
      </w:r>
      <w:r w:rsidR="00FD03E7" w:rsidRPr="00492584">
        <w:rPr>
          <w:rFonts w:cs="Calibri"/>
        </w:rPr>
        <w:t xml:space="preserve"> </w:t>
      </w:r>
      <w:r w:rsidR="00A37324" w:rsidRPr="00492584">
        <w:rPr>
          <w:rFonts w:cs="Calibri"/>
        </w:rPr>
        <w:t>dodržování směrné účtové osnovy</w:t>
      </w:r>
      <w:r w:rsidR="00FC5172" w:rsidRPr="00492584">
        <w:rPr>
          <w:rFonts w:cs="Calibri"/>
        </w:rPr>
        <w:t xml:space="preserve">, </w:t>
      </w:r>
      <w:r w:rsidRPr="00492584">
        <w:rPr>
          <w:rFonts w:cs="Calibri"/>
        </w:rPr>
        <w:t>správnost použív</w:t>
      </w:r>
      <w:r w:rsidR="002B3676" w:rsidRPr="00492584">
        <w:rPr>
          <w:rFonts w:cs="Calibri"/>
        </w:rPr>
        <w:t>á</w:t>
      </w:r>
      <w:r w:rsidR="00FD03E7" w:rsidRPr="00492584">
        <w:rPr>
          <w:rFonts w:cs="Calibri"/>
        </w:rPr>
        <w:t>n</w:t>
      </w:r>
      <w:r w:rsidR="009A5B97" w:rsidRPr="00492584">
        <w:rPr>
          <w:rFonts w:cs="Calibri"/>
        </w:rPr>
        <w:t>í</w:t>
      </w:r>
      <w:r w:rsidRPr="00492584">
        <w:rPr>
          <w:rFonts w:cs="Calibri"/>
        </w:rPr>
        <w:t xml:space="preserve"> účetních metod</w:t>
      </w:r>
      <w:r w:rsidR="00FD03E7" w:rsidRPr="00492584">
        <w:rPr>
          <w:rFonts w:cs="Calibri"/>
        </w:rPr>
        <w:t xml:space="preserve"> a ostatních podmínek vedení účetnictví stanovených </w:t>
      </w:r>
      <w:r w:rsidR="00943482" w:rsidRPr="00492584">
        <w:rPr>
          <w:rFonts w:cs="Calibri"/>
        </w:rPr>
        <w:t>zákonem č. 563/1991 Sb. a</w:t>
      </w:r>
      <w:r w:rsidR="0096326C" w:rsidRPr="00492584">
        <w:rPr>
          <w:rFonts w:cs="Calibri"/>
        </w:rPr>
        <w:t> </w:t>
      </w:r>
      <w:r w:rsidR="00943482" w:rsidRPr="00492584">
        <w:rPr>
          <w:rFonts w:cs="Calibri"/>
        </w:rPr>
        <w:t>vyhláškou č. 410/2009 Sb</w:t>
      </w:r>
      <w:r w:rsidRPr="00492584">
        <w:rPr>
          <w:rFonts w:cs="Calibri"/>
        </w:rPr>
        <w:t>.</w:t>
      </w:r>
      <w:r>
        <w:rPr>
          <w:rStyle w:val="Znakapoznpodarou"/>
          <w:rFonts w:asciiTheme="minorHAnsi" w:hAnsiTheme="minorHAnsi" w:cstheme="minorHAnsi"/>
          <w:bCs/>
          <w:iCs/>
        </w:rPr>
        <w:footnoteReference w:id="19"/>
      </w:r>
      <w:r w:rsidR="00943482" w:rsidRPr="00492584">
        <w:rPr>
          <w:rFonts w:cs="Calibri"/>
        </w:rPr>
        <w:t xml:space="preserve"> </w:t>
      </w:r>
      <w:r w:rsidRPr="00492584">
        <w:rPr>
          <w:rFonts w:cs="Calibri"/>
        </w:rPr>
        <w:t>U</w:t>
      </w:r>
      <w:r w:rsidR="001F3453" w:rsidRPr="00492584">
        <w:rPr>
          <w:rFonts w:cs="Calibri"/>
        </w:rPr>
        <w:t xml:space="preserve"> </w:t>
      </w:r>
      <w:r w:rsidRPr="00492584">
        <w:rPr>
          <w:rFonts w:cs="Calibri"/>
        </w:rPr>
        <w:t>vybraných účetních případů byla provedena kontrola s cílem prověřit systém účtování a</w:t>
      </w:r>
      <w:r w:rsidR="002B3676" w:rsidRPr="00492584">
        <w:rPr>
          <w:rFonts w:cs="Calibri"/>
        </w:rPr>
        <w:t xml:space="preserve"> </w:t>
      </w:r>
      <w:r w:rsidRPr="00492584">
        <w:rPr>
          <w:rFonts w:cs="Calibri"/>
        </w:rPr>
        <w:t>vykazování informací o skutečnostech, které jsou předmětem účetnictví.</w:t>
      </w:r>
    </w:p>
    <w:p w14:paraId="6C71812F" w14:textId="77777777" w:rsidR="00801AD6" w:rsidRPr="00492584" w:rsidRDefault="00035012" w:rsidP="003677B5">
      <w:pPr>
        <w:spacing w:before="120"/>
        <w:jc w:val="both"/>
        <w:rPr>
          <w:rFonts w:cs="Calibri"/>
        </w:rPr>
      </w:pPr>
      <w:r w:rsidRPr="00492584">
        <w:rPr>
          <w:rFonts w:cs="Calibri"/>
        </w:rPr>
        <w:t xml:space="preserve">V případě údajů předkládaných pro hodnocení plnění státního rozpočtu bylo prověřováno, zda byla dodržena správnost třídění příjmů a výdajů rozpočtovou skladbou </w:t>
      </w:r>
      <w:r w:rsidR="00441800" w:rsidRPr="00492584">
        <w:rPr>
          <w:rFonts w:asciiTheme="minorHAnsi" w:hAnsiTheme="minorHAnsi" w:cstheme="minorHAnsi"/>
        </w:rPr>
        <w:t xml:space="preserve">z hlediska druhového, odvětvového a prostorového </w:t>
      </w:r>
      <w:r w:rsidRPr="00492584">
        <w:rPr>
          <w:rFonts w:cs="Calibri"/>
        </w:rPr>
        <w:t xml:space="preserve">dle vyhlášky č. </w:t>
      </w:r>
      <w:r w:rsidR="00777EF7" w:rsidRPr="00492584">
        <w:rPr>
          <w:rFonts w:cs="Calibri"/>
        </w:rPr>
        <w:t>412/2021</w:t>
      </w:r>
      <w:r w:rsidRPr="00492584">
        <w:rPr>
          <w:rFonts w:cs="Calibri"/>
        </w:rPr>
        <w:t xml:space="preserve"> Sb.</w:t>
      </w:r>
    </w:p>
    <w:p w14:paraId="5975D0D3" w14:textId="77777777" w:rsidR="00801AD6" w:rsidRPr="00492584" w:rsidRDefault="00035012" w:rsidP="003677B5">
      <w:pPr>
        <w:spacing w:before="120"/>
        <w:jc w:val="both"/>
        <w:rPr>
          <w:rFonts w:cs="Calibri"/>
        </w:rPr>
      </w:pPr>
      <w:r w:rsidRPr="00492584">
        <w:rPr>
          <w:rFonts w:cs="Calibri"/>
        </w:rPr>
        <w:t xml:space="preserve">Výběr položek účetní závěrky a údajů předkládaných </w:t>
      </w:r>
      <w:r w:rsidR="00492584" w:rsidRPr="00492584">
        <w:rPr>
          <w:rFonts w:cs="Calibri"/>
        </w:rPr>
        <w:t>Národní sportovní agenturou</w:t>
      </w:r>
      <w:r w:rsidRPr="00492584">
        <w:rPr>
          <w:rFonts w:cs="Calibri"/>
        </w:rPr>
        <w:t xml:space="preserve"> pro hodnocení plnění státního rozpočtu proved</w:t>
      </w:r>
      <w:r w:rsidR="00FB15C1" w:rsidRPr="00492584">
        <w:rPr>
          <w:rFonts w:cs="Calibri"/>
        </w:rPr>
        <w:t>l NKÚ</w:t>
      </w:r>
      <w:r w:rsidRPr="00492584">
        <w:rPr>
          <w:rFonts w:cs="Calibri"/>
        </w:rPr>
        <w:t xml:space="preserve"> </w:t>
      </w:r>
      <w:r w:rsidR="00574E94" w:rsidRPr="00492584">
        <w:rPr>
          <w:rFonts w:cs="Calibri"/>
        </w:rPr>
        <w:t>s ohledem</w:t>
      </w:r>
      <w:r w:rsidRPr="00492584">
        <w:rPr>
          <w:rFonts w:cs="Calibri"/>
        </w:rPr>
        <w:t xml:space="preserve"> na vyhodnocená rizika nesprávnosti vykázaných údajů.</w:t>
      </w:r>
    </w:p>
    <w:p w14:paraId="17D90619" w14:textId="77777777" w:rsidR="00801AD6" w:rsidRPr="00492584" w:rsidRDefault="00035012" w:rsidP="003677B5">
      <w:pPr>
        <w:spacing w:before="120"/>
        <w:jc w:val="both"/>
        <w:rPr>
          <w:rFonts w:cs="Calibri"/>
        </w:rPr>
      </w:pPr>
      <w:r w:rsidRPr="00492584">
        <w:rPr>
          <w:rFonts w:cs="Calibri"/>
        </w:rPr>
        <w:t xml:space="preserve">U </w:t>
      </w:r>
      <w:r w:rsidR="007D0244" w:rsidRPr="00492584">
        <w:rPr>
          <w:rFonts w:cs="Calibri"/>
        </w:rPr>
        <w:t xml:space="preserve">relevantních </w:t>
      </w:r>
      <w:r w:rsidRPr="00492584">
        <w:rPr>
          <w:rFonts w:cs="Calibri"/>
        </w:rPr>
        <w:t xml:space="preserve">transakcí byl prověřován soulad </w:t>
      </w:r>
      <w:r w:rsidR="00243906" w:rsidRPr="00492584">
        <w:rPr>
          <w:rFonts w:cs="Calibri"/>
        </w:rPr>
        <w:t>s</w:t>
      </w:r>
      <w:r w:rsidR="007D0244" w:rsidRPr="00492584">
        <w:rPr>
          <w:rFonts w:cs="Calibri"/>
        </w:rPr>
        <w:t> vybranými ustanoveními</w:t>
      </w:r>
      <w:r w:rsidRPr="00492584">
        <w:rPr>
          <w:rFonts w:cs="Calibri"/>
        </w:rPr>
        <w:t xml:space="preserve"> další</w:t>
      </w:r>
      <w:r w:rsidR="007D0244" w:rsidRPr="00492584">
        <w:rPr>
          <w:rFonts w:cs="Calibri"/>
        </w:rPr>
        <w:t>ch</w:t>
      </w:r>
      <w:r w:rsidRPr="00492584">
        <w:rPr>
          <w:rFonts w:cs="Calibri"/>
        </w:rPr>
        <w:t xml:space="preserve"> právní</w:t>
      </w:r>
      <w:r w:rsidR="007D0244" w:rsidRPr="00492584">
        <w:rPr>
          <w:rFonts w:cs="Calibri"/>
        </w:rPr>
        <w:t>ch</w:t>
      </w:r>
      <w:r w:rsidRPr="00492584">
        <w:rPr>
          <w:rFonts w:cs="Calibri"/>
        </w:rPr>
        <w:t xml:space="preserve"> předpis</w:t>
      </w:r>
      <w:r w:rsidR="007D0244" w:rsidRPr="00492584">
        <w:rPr>
          <w:rFonts w:cs="Calibri"/>
        </w:rPr>
        <w:t>ů</w:t>
      </w:r>
      <w:r w:rsidR="001F1F57" w:rsidRPr="00492584">
        <w:rPr>
          <w:rFonts w:cs="Calibri"/>
        </w:rPr>
        <w:t>,</w:t>
      </w:r>
      <w:r w:rsidRPr="00492584">
        <w:rPr>
          <w:rFonts w:cs="Calibri"/>
        </w:rPr>
        <w:t xml:space="preserve"> a to zejména </w:t>
      </w:r>
      <w:r w:rsidR="00BA2B34" w:rsidRPr="00492584">
        <w:rPr>
          <w:rFonts w:cs="Calibri"/>
        </w:rPr>
        <w:t>zákona č. 218/2000 Sb.</w:t>
      </w:r>
      <w:r w:rsidR="001077EB" w:rsidRPr="00492584">
        <w:rPr>
          <w:rFonts w:cs="Calibri"/>
        </w:rPr>
        <w:t xml:space="preserve"> a zákona</w:t>
      </w:r>
      <w:r w:rsidR="00BA2B34" w:rsidRPr="00492584">
        <w:rPr>
          <w:rFonts w:cs="Calibri"/>
        </w:rPr>
        <w:t xml:space="preserve"> č. 219/2000 Sb</w:t>
      </w:r>
      <w:r w:rsidR="001077EB" w:rsidRPr="00492584">
        <w:rPr>
          <w:rFonts w:cs="Calibri"/>
        </w:rPr>
        <w:t>.</w:t>
      </w:r>
    </w:p>
    <w:p w14:paraId="7BCB9F95" w14:textId="77777777" w:rsidR="008F46EE" w:rsidRPr="00492584" w:rsidRDefault="00035012" w:rsidP="003677B5">
      <w:pPr>
        <w:spacing w:before="120"/>
        <w:jc w:val="both"/>
        <w:rPr>
          <w:rFonts w:cs="Calibri"/>
        </w:rPr>
      </w:pPr>
      <w:r w:rsidRPr="00492584">
        <w:rPr>
          <w:rFonts w:cs="Calibri"/>
        </w:rPr>
        <w:t>V</w:t>
      </w:r>
      <w:r w:rsidR="00E91FF5" w:rsidRPr="00492584">
        <w:rPr>
          <w:rFonts w:cs="Calibri"/>
        </w:rPr>
        <w:t> </w:t>
      </w:r>
      <w:r w:rsidRPr="00492584">
        <w:rPr>
          <w:rFonts w:cs="Calibri"/>
        </w:rPr>
        <w:t>případě</w:t>
      </w:r>
      <w:r w:rsidR="00E91FF5" w:rsidRPr="00492584">
        <w:rPr>
          <w:rFonts w:cs="Calibri"/>
        </w:rPr>
        <w:t xml:space="preserve"> </w:t>
      </w:r>
      <w:r w:rsidR="002902ED" w:rsidRPr="00492584">
        <w:rPr>
          <w:rFonts w:cs="Calibri"/>
        </w:rPr>
        <w:t>uzavírání</w:t>
      </w:r>
      <w:r w:rsidRPr="00492584">
        <w:rPr>
          <w:rFonts w:cs="Calibri"/>
        </w:rPr>
        <w:t xml:space="preserve"> smluv </w:t>
      </w:r>
      <w:r w:rsidR="001077EB" w:rsidRPr="00492584">
        <w:rPr>
          <w:rFonts w:cs="Calibri"/>
        </w:rPr>
        <w:t xml:space="preserve">a objednávek </w:t>
      </w:r>
      <w:r w:rsidRPr="00492584">
        <w:rPr>
          <w:rFonts w:cs="Calibri"/>
        </w:rPr>
        <w:t xml:space="preserve">bylo </w:t>
      </w:r>
      <w:r w:rsidR="001077EB" w:rsidRPr="00492584">
        <w:rPr>
          <w:rFonts w:cs="Calibri"/>
        </w:rPr>
        <w:t>prověřováno</w:t>
      </w:r>
      <w:r w:rsidRPr="00492584">
        <w:rPr>
          <w:rFonts w:cs="Calibri"/>
        </w:rPr>
        <w:t xml:space="preserve"> </w:t>
      </w:r>
      <w:r w:rsidR="00E91FF5" w:rsidRPr="00492584">
        <w:rPr>
          <w:rFonts w:cs="Calibri"/>
        </w:rPr>
        <w:t>jejich uveřejn</w:t>
      </w:r>
      <w:r w:rsidR="00CD2142" w:rsidRPr="00492584">
        <w:rPr>
          <w:rFonts w:cs="Calibri"/>
        </w:rPr>
        <w:t>ění v registru smluv dle zák</w:t>
      </w:r>
      <w:r w:rsidR="00F14722" w:rsidRPr="00492584">
        <w:rPr>
          <w:rFonts w:cs="Calibri"/>
        </w:rPr>
        <w:t>ona</w:t>
      </w:r>
      <w:r w:rsidR="00FB6581" w:rsidRPr="00492584">
        <w:rPr>
          <w:rFonts w:cs="Calibri"/>
        </w:rPr>
        <w:t xml:space="preserve"> č. 340/2015 Sb.</w:t>
      </w:r>
      <w:r>
        <w:rPr>
          <w:vertAlign w:val="superscript"/>
        </w:rPr>
        <w:footnoteReference w:id="20"/>
      </w:r>
    </w:p>
    <w:p w14:paraId="4DB6014D" w14:textId="0CCF769B" w:rsidR="00C20965" w:rsidRPr="002F6ECE" w:rsidRDefault="00035012" w:rsidP="003677B5">
      <w:pPr>
        <w:spacing w:before="120"/>
        <w:jc w:val="both"/>
        <w:rPr>
          <w:highlight w:val="green"/>
        </w:rPr>
      </w:pPr>
      <w:r w:rsidRPr="00ED41AA">
        <w:t xml:space="preserve">NKÚ na základě prověřovaných skutečností vyhodnotil </w:t>
      </w:r>
      <w:r w:rsidRPr="00ED41AA">
        <w:rPr>
          <w:b/>
        </w:rPr>
        <w:t>nastavení VKS</w:t>
      </w:r>
      <w:r w:rsidRPr="00ED41AA">
        <w:t xml:space="preserve"> </w:t>
      </w:r>
      <w:r w:rsidRPr="00ED41AA">
        <w:rPr>
          <w:bCs/>
        </w:rPr>
        <w:t>v oblasti účetnictví</w:t>
      </w:r>
      <w:r w:rsidR="00B5478B" w:rsidRPr="00ED41AA">
        <w:rPr>
          <w:bCs/>
        </w:rPr>
        <w:t xml:space="preserve">, </w:t>
      </w:r>
      <w:r w:rsidRPr="00ED41AA">
        <w:rPr>
          <w:bCs/>
        </w:rPr>
        <w:t>plnění rozpočtu</w:t>
      </w:r>
      <w:r w:rsidRPr="00ED41AA">
        <w:t xml:space="preserve"> </w:t>
      </w:r>
      <w:r w:rsidR="00B5478B" w:rsidRPr="00ED41AA">
        <w:t xml:space="preserve">a závěrečného účtu </w:t>
      </w:r>
      <w:r w:rsidRPr="00ED41AA">
        <w:t xml:space="preserve">(vnitřní předpisy, interní audit, </w:t>
      </w:r>
      <w:r w:rsidR="00A44CA5" w:rsidRPr="00ED41AA">
        <w:t xml:space="preserve">účetní metody, </w:t>
      </w:r>
      <w:r w:rsidRPr="00ED41AA">
        <w:t xml:space="preserve">účetní </w:t>
      </w:r>
      <w:r w:rsidRPr="00ED41AA">
        <w:lastRenderedPageBreak/>
        <w:t>doklady, účetní knihy, inventarizace majetku a závazků, účetní závěrka a schvalování účetní závěrky) dle zákonů č. 563/1991 Sb.,</w:t>
      </w:r>
      <w:r w:rsidR="00B5478B" w:rsidRPr="00ED41AA">
        <w:t xml:space="preserve"> </w:t>
      </w:r>
      <w:r w:rsidRPr="00ED41AA">
        <w:t>č.</w:t>
      </w:r>
      <w:r w:rsidR="002B3676" w:rsidRPr="00ED41AA">
        <w:t xml:space="preserve"> </w:t>
      </w:r>
      <w:r w:rsidRPr="00ED41AA">
        <w:t>218/2000 Sb. a dalších právních předpisů a v</w:t>
      </w:r>
      <w:r w:rsidR="002B3676" w:rsidRPr="00ED41AA">
        <w:t xml:space="preserve"> </w:t>
      </w:r>
      <w:r w:rsidRPr="00ED41AA">
        <w:t>oblasti řídicí kontroly dle zákona</w:t>
      </w:r>
      <w:r w:rsidR="00B5478B" w:rsidRPr="00ED41AA">
        <w:t xml:space="preserve"> </w:t>
      </w:r>
      <w:r w:rsidRPr="00ED41AA">
        <w:t>č. 320/2001 Sb. a vyhlášky č. 416/2004 Sb.</w:t>
      </w:r>
      <w:r>
        <w:rPr>
          <w:rStyle w:val="Znakapoznpodarou"/>
          <w:rFonts w:eastAsiaTheme="minorHAnsi" w:cs="Calibri"/>
        </w:rPr>
        <w:footnoteReference w:id="21"/>
      </w:r>
      <w:r w:rsidRPr="00ED41AA">
        <w:t xml:space="preserve"> </w:t>
      </w:r>
      <w:r w:rsidR="006256C8" w:rsidRPr="00ED41AA">
        <w:t>NKÚ dále u</w:t>
      </w:r>
      <w:r w:rsidR="00735D8E" w:rsidRPr="00ED41AA">
        <w:t> </w:t>
      </w:r>
      <w:r w:rsidR="006256C8" w:rsidRPr="00ED41AA">
        <w:t xml:space="preserve">prověřovaných operací </w:t>
      </w:r>
      <w:r w:rsidR="00B22DF8" w:rsidRPr="00ED41AA">
        <w:rPr>
          <w:bCs/>
        </w:rPr>
        <w:t>v oblasti účetnictví</w:t>
      </w:r>
      <w:r w:rsidR="00B5478B" w:rsidRPr="00ED41AA">
        <w:rPr>
          <w:bCs/>
        </w:rPr>
        <w:t xml:space="preserve">, </w:t>
      </w:r>
      <w:r w:rsidR="00B22DF8" w:rsidRPr="00ED41AA">
        <w:rPr>
          <w:bCs/>
        </w:rPr>
        <w:t>plnění rozpočtu</w:t>
      </w:r>
      <w:r w:rsidR="00B5478B" w:rsidRPr="00ED41AA">
        <w:rPr>
          <w:bCs/>
        </w:rPr>
        <w:t xml:space="preserve"> a závěrečného účtu</w:t>
      </w:r>
      <w:r w:rsidR="00B22DF8" w:rsidRPr="00ED41AA">
        <w:rPr>
          <w:bCs/>
        </w:rPr>
        <w:t xml:space="preserve"> </w:t>
      </w:r>
      <w:r w:rsidR="00B22DF8" w:rsidRPr="00ED41AA">
        <w:t>dle zákonů č. 563/1991 Sb., č. 218/2000 Sb. a dalších právních předpisů</w:t>
      </w:r>
      <w:r w:rsidR="00B5478B" w:rsidRPr="00ED41AA">
        <w:t xml:space="preserve"> a</w:t>
      </w:r>
      <w:r w:rsidR="00B22DF8" w:rsidRPr="00ED41AA">
        <w:t xml:space="preserve"> </w:t>
      </w:r>
      <w:r w:rsidR="00B22DF8" w:rsidRPr="00ED41AA">
        <w:rPr>
          <w:bCs/>
        </w:rPr>
        <w:t>v oblasti hospodaření s majetkem státu</w:t>
      </w:r>
      <w:r w:rsidR="00B22DF8" w:rsidRPr="00ED41AA">
        <w:t xml:space="preserve"> dle zákona č. 219/2000 Sb., </w:t>
      </w:r>
      <w:r w:rsidR="00B22DF8" w:rsidRPr="00ED41AA">
        <w:rPr>
          <w:bCs/>
        </w:rPr>
        <w:t>finančního hospodaření</w:t>
      </w:r>
      <w:r w:rsidR="00B22DF8" w:rsidRPr="00ED41AA">
        <w:t xml:space="preserve"> dle zákona č. 218/2000 Sb. a dalších právních předpisů (zejména dle zákona</w:t>
      </w:r>
      <w:r w:rsidR="00B5478B" w:rsidRPr="00ED41AA">
        <w:t xml:space="preserve"> </w:t>
      </w:r>
      <w:r w:rsidR="00B22DF8" w:rsidRPr="00ED41AA">
        <w:rPr>
          <w:spacing w:val="-1"/>
        </w:rPr>
        <w:t>č.</w:t>
      </w:r>
      <w:r w:rsidR="002B3676" w:rsidRPr="00ED41AA">
        <w:rPr>
          <w:spacing w:val="-1"/>
        </w:rPr>
        <w:t xml:space="preserve"> </w:t>
      </w:r>
      <w:r w:rsidR="00B22DF8" w:rsidRPr="00ED41AA">
        <w:rPr>
          <w:spacing w:val="-1"/>
        </w:rPr>
        <w:t>340/2015 Sb.) a v</w:t>
      </w:r>
      <w:r w:rsidR="002B3676" w:rsidRPr="00ED41AA">
        <w:rPr>
          <w:spacing w:val="-1"/>
        </w:rPr>
        <w:t xml:space="preserve"> </w:t>
      </w:r>
      <w:r w:rsidR="00B22DF8" w:rsidRPr="00ED41AA">
        <w:rPr>
          <w:spacing w:val="-1"/>
        </w:rPr>
        <w:t>oblasti řídicí kontroly dle zákona č.</w:t>
      </w:r>
      <w:r w:rsidR="002B3676" w:rsidRPr="00ED41AA">
        <w:rPr>
          <w:spacing w:val="-1"/>
        </w:rPr>
        <w:t xml:space="preserve"> </w:t>
      </w:r>
      <w:r w:rsidR="00B22DF8" w:rsidRPr="00ED41AA">
        <w:rPr>
          <w:spacing w:val="-1"/>
        </w:rPr>
        <w:t>320/2001 Sb. a vyhlášky č. 416/2004</w:t>
      </w:r>
      <w:r w:rsidR="002B3676" w:rsidRPr="00ED41AA">
        <w:rPr>
          <w:spacing w:val="-1"/>
        </w:rPr>
        <w:t> </w:t>
      </w:r>
      <w:r w:rsidR="00B22DF8" w:rsidRPr="00ED41AA">
        <w:rPr>
          <w:spacing w:val="-1"/>
        </w:rPr>
        <w:t>Sb</w:t>
      </w:r>
      <w:r w:rsidR="00B22DF8" w:rsidRPr="00ED41AA">
        <w:t xml:space="preserve">. </w:t>
      </w:r>
      <w:r w:rsidR="00737A6B" w:rsidRPr="00ED41AA">
        <w:t xml:space="preserve">vyhodnotil </w:t>
      </w:r>
      <w:r w:rsidR="00737A6B" w:rsidRPr="00ED41AA">
        <w:rPr>
          <w:b/>
        </w:rPr>
        <w:t>funkčnost VKS</w:t>
      </w:r>
      <w:r w:rsidR="006256C8" w:rsidRPr="00ED41AA">
        <w:rPr>
          <w:b/>
        </w:rPr>
        <w:t>,</w:t>
      </w:r>
      <w:r w:rsidR="006256C8" w:rsidRPr="00ED41AA">
        <w:t xml:space="preserve"> tj. zda jsou prvky VKS implementovány tak, aby bylo zamezeno vzniku nesprávností. </w:t>
      </w:r>
      <w:r w:rsidRPr="00ED41AA">
        <w:t xml:space="preserve">Kombinace zjištění </w:t>
      </w:r>
      <w:r w:rsidR="00574E94" w:rsidRPr="00ED41AA">
        <w:t>týkajících se</w:t>
      </w:r>
      <w:r w:rsidRPr="00ED41AA">
        <w:t xml:space="preserve"> nastavení a funkčnosti </w:t>
      </w:r>
      <w:r w:rsidR="00574E94" w:rsidRPr="00ED41AA">
        <w:t xml:space="preserve">VKS ve </w:t>
      </w:r>
      <w:r w:rsidRPr="00ED41AA">
        <w:t>výše uvedených oblast</w:t>
      </w:r>
      <w:r w:rsidR="00574E94" w:rsidRPr="00ED41AA">
        <w:t>ech</w:t>
      </w:r>
      <w:r w:rsidRPr="00ED41AA">
        <w:t xml:space="preserve"> pak</w:t>
      </w:r>
      <w:r w:rsidR="009A5B97" w:rsidRPr="00ED41AA">
        <w:t xml:space="preserve"> byla</w:t>
      </w:r>
      <w:r w:rsidRPr="00ED41AA">
        <w:t xml:space="preserve"> podkladem </w:t>
      </w:r>
      <w:r w:rsidR="00574E94" w:rsidRPr="00ED41AA">
        <w:t>pro</w:t>
      </w:r>
      <w:r w:rsidR="001F559B" w:rsidRPr="00ED41AA">
        <w:t> </w:t>
      </w:r>
      <w:r w:rsidRPr="00ED41AA">
        <w:t>hodnocení účinnosti</w:t>
      </w:r>
      <w:r w:rsidR="00574E94" w:rsidRPr="00ED41AA">
        <w:t xml:space="preserve"> </w:t>
      </w:r>
      <w:r w:rsidR="00A0541E" w:rsidRPr="00ED41AA">
        <w:t xml:space="preserve">VKS </w:t>
      </w:r>
      <w:r w:rsidR="00ED41AA" w:rsidRPr="00ED41AA">
        <w:t>NSA</w:t>
      </w:r>
      <w:r w:rsidRPr="00ED41AA">
        <w:t>.</w:t>
      </w:r>
    </w:p>
    <w:p w14:paraId="5A5CCFA5" w14:textId="77777777" w:rsidR="004D1E4C" w:rsidRPr="00AD416B" w:rsidRDefault="00035012" w:rsidP="003677B5">
      <w:pPr>
        <w:autoSpaceDE w:val="0"/>
        <w:autoSpaceDN w:val="0"/>
        <w:adjustRightInd w:val="0"/>
        <w:spacing w:before="120"/>
        <w:jc w:val="both"/>
        <w:rPr>
          <w:rFonts w:cs="Calibri"/>
          <w:color w:val="000000"/>
        </w:rPr>
      </w:pPr>
      <w:r w:rsidRPr="00AD416B">
        <w:rPr>
          <w:rFonts w:cs="Calibri"/>
          <w:color w:val="000000"/>
        </w:rPr>
        <w:t xml:space="preserve">Při kontrole ZÚ za rok </w:t>
      </w:r>
      <w:r w:rsidR="00AD416B" w:rsidRPr="00AD416B">
        <w:rPr>
          <w:rFonts w:cs="Calibri"/>
          <w:color w:val="000000"/>
        </w:rPr>
        <w:t>2024</w:t>
      </w:r>
      <w:r w:rsidRPr="00AD416B">
        <w:rPr>
          <w:rFonts w:cs="Calibri"/>
          <w:color w:val="000000"/>
        </w:rPr>
        <w:t xml:space="preserve"> bylo prověřeno, zda je závěrečný účet sestaven v souladu s požadavky vyhlášky č. 419/2001 Sb. a zda je také v souladu se skutečností, tj. zda vybrané údaje uváděné v závěrečném účtu jsou správné a úplné ve srovnání s finančními výkazy obsahujícími údaje pro hodnocení plnění rozpočtu, s údaji v účetnictví, s údaji z účetních závěrek </w:t>
      </w:r>
      <w:r w:rsidR="00AD416B" w:rsidRPr="00AD416B">
        <w:rPr>
          <w:rFonts w:cs="Calibri"/>
          <w:color w:val="000000"/>
        </w:rPr>
        <w:t>NSA</w:t>
      </w:r>
      <w:r w:rsidRPr="00AD416B">
        <w:rPr>
          <w:rFonts w:cs="Calibri"/>
          <w:color w:val="000000"/>
        </w:rPr>
        <w:t xml:space="preserve"> a podřízen</w:t>
      </w:r>
      <w:r w:rsidR="00AD416B" w:rsidRPr="00AD416B">
        <w:rPr>
          <w:rFonts w:cs="Calibri"/>
          <w:color w:val="000000"/>
        </w:rPr>
        <w:t>é</w:t>
      </w:r>
      <w:r w:rsidRPr="00AD416B">
        <w:rPr>
          <w:rFonts w:cs="Calibri"/>
          <w:color w:val="000000"/>
        </w:rPr>
        <w:t xml:space="preserve"> organizac</w:t>
      </w:r>
      <w:r w:rsidR="00AD416B" w:rsidRPr="00AD416B">
        <w:rPr>
          <w:rFonts w:cs="Calibri"/>
          <w:color w:val="000000"/>
        </w:rPr>
        <w:t>e</w:t>
      </w:r>
      <w:r w:rsidRPr="00AD416B">
        <w:rPr>
          <w:rFonts w:cs="Calibri"/>
          <w:color w:val="000000"/>
        </w:rPr>
        <w:t xml:space="preserve"> </w:t>
      </w:r>
      <w:r w:rsidR="00E23CE6" w:rsidRPr="00AD416B">
        <w:rPr>
          <w:rFonts w:cs="Calibri"/>
          <w:color w:val="000000"/>
        </w:rPr>
        <w:t>v rámci kapitoly státního rozpočtu 3</w:t>
      </w:r>
      <w:r w:rsidR="00AD416B" w:rsidRPr="00AD416B">
        <w:rPr>
          <w:rFonts w:cs="Calibri"/>
          <w:color w:val="000000"/>
        </w:rPr>
        <w:t>62</w:t>
      </w:r>
      <w:r w:rsidR="00E23CE6" w:rsidRPr="00AD416B">
        <w:rPr>
          <w:rFonts w:cs="Calibri"/>
          <w:color w:val="000000"/>
        </w:rPr>
        <w:t xml:space="preserve"> a s jinými veřejně dostupnými zdroji, např. usneseními vlády České republiky, veřejně přístupnými rejstříky apod.</w:t>
      </w:r>
    </w:p>
    <w:p w14:paraId="3596E3A1" w14:textId="3933CE89" w:rsidR="00E464F1" w:rsidRPr="00A806EC" w:rsidRDefault="00035012" w:rsidP="003677B5">
      <w:pPr>
        <w:autoSpaceDE w:val="0"/>
        <w:autoSpaceDN w:val="0"/>
        <w:adjustRightInd w:val="0"/>
        <w:spacing w:before="120"/>
        <w:jc w:val="both"/>
        <w:rPr>
          <w:rFonts w:cs="Calibri"/>
          <w:color w:val="000000"/>
        </w:rPr>
      </w:pPr>
      <w:r w:rsidRPr="00A806EC">
        <w:rPr>
          <w:rFonts w:cs="Calibri"/>
          <w:color w:val="000000"/>
        </w:rPr>
        <w:t>Při kontrole bylo provedeno také vyhodnocení opatření přijatých</w:t>
      </w:r>
      <w:r>
        <w:rPr>
          <w:rStyle w:val="Znakapoznpodarou"/>
          <w:rFonts w:cs="Calibri"/>
          <w:color w:val="000000"/>
        </w:rPr>
        <w:footnoteReference w:id="22"/>
      </w:r>
      <w:r w:rsidRPr="00A806EC">
        <w:rPr>
          <w:rFonts w:cs="Calibri"/>
          <w:color w:val="000000"/>
        </w:rPr>
        <w:t xml:space="preserve"> k nápravě nedostatků</w:t>
      </w:r>
      <w:r w:rsidR="00A806EC" w:rsidRPr="00A806EC">
        <w:rPr>
          <w:rFonts w:cs="Calibri"/>
          <w:color w:val="000000"/>
        </w:rPr>
        <w:t xml:space="preserve"> v oblasti bezúplatného užívání pozemků</w:t>
      </w:r>
      <w:r w:rsidR="00B06FC8" w:rsidRPr="00A806EC">
        <w:rPr>
          <w:rFonts w:cs="Calibri"/>
          <w:color w:val="000000"/>
        </w:rPr>
        <w:t xml:space="preserve"> </w:t>
      </w:r>
      <w:r w:rsidR="006E0C55">
        <w:rPr>
          <w:rFonts w:cs="Calibri"/>
          <w:color w:val="000000"/>
        </w:rPr>
        <w:t xml:space="preserve">bez právního důvodu </w:t>
      </w:r>
      <w:r w:rsidR="00B06FC8" w:rsidRPr="00A806EC">
        <w:rPr>
          <w:rFonts w:cs="Calibri"/>
          <w:color w:val="000000"/>
        </w:rPr>
        <w:t>uvedených v kontrolním závěru z</w:t>
      </w:r>
      <w:r w:rsidRPr="00A806EC">
        <w:rPr>
          <w:rFonts w:cs="Calibri"/>
          <w:color w:val="000000"/>
        </w:rPr>
        <w:t xml:space="preserve"> kontrolní akc</w:t>
      </w:r>
      <w:r w:rsidR="00B06FC8" w:rsidRPr="00A806EC">
        <w:rPr>
          <w:rFonts w:cs="Calibri"/>
          <w:color w:val="000000"/>
        </w:rPr>
        <w:t>e</w:t>
      </w:r>
      <w:r w:rsidRPr="00A806EC">
        <w:rPr>
          <w:rFonts w:cs="Calibri"/>
          <w:color w:val="000000"/>
        </w:rPr>
        <w:t xml:space="preserve"> NKÚ č. </w:t>
      </w:r>
      <w:r w:rsidR="00A806EC" w:rsidRPr="00A806EC">
        <w:rPr>
          <w:rFonts w:cs="Calibri"/>
          <w:color w:val="000000"/>
        </w:rPr>
        <w:t>23</w:t>
      </w:r>
      <w:r w:rsidRPr="00A806EC">
        <w:rPr>
          <w:rFonts w:cs="Calibri"/>
          <w:color w:val="000000"/>
        </w:rPr>
        <w:t>/</w:t>
      </w:r>
      <w:r w:rsidR="00A806EC" w:rsidRPr="00A806EC">
        <w:rPr>
          <w:rFonts w:cs="Calibri"/>
          <w:color w:val="000000"/>
        </w:rPr>
        <w:t>04</w:t>
      </w:r>
      <w:r w:rsidRPr="00A806EC">
        <w:rPr>
          <w:rFonts w:cs="Calibri"/>
          <w:color w:val="000000"/>
        </w:rPr>
        <w:t>.</w:t>
      </w:r>
    </w:p>
    <w:p w14:paraId="78A76689" w14:textId="77777777" w:rsidR="00196CE6" w:rsidRPr="00BF06C2" w:rsidRDefault="00035012" w:rsidP="003677B5">
      <w:pPr>
        <w:autoSpaceDE w:val="0"/>
        <w:autoSpaceDN w:val="0"/>
        <w:adjustRightInd w:val="0"/>
        <w:spacing w:before="120"/>
        <w:jc w:val="both"/>
        <w:rPr>
          <w:rFonts w:cs="Calibri"/>
          <w:color w:val="000000"/>
        </w:rPr>
      </w:pPr>
      <w:r w:rsidRPr="00BF06C2">
        <w:rPr>
          <w:rFonts w:cs="Calibri"/>
          <w:color w:val="000000"/>
        </w:rPr>
        <w:t>V rámci kontroly byl</w:t>
      </w:r>
      <w:r w:rsidR="00B22DF8" w:rsidRPr="00BF06C2">
        <w:rPr>
          <w:rFonts w:cs="Calibri"/>
          <w:color w:val="000000"/>
        </w:rPr>
        <w:t xml:space="preserve"> rovněž proveden rozbor </w:t>
      </w:r>
      <w:r w:rsidRPr="00BF06C2">
        <w:rPr>
          <w:rFonts w:cs="Calibri"/>
          <w:color w:val="000000"/>
        </w:rPr>
        <w:t xml:space="preserve">výsledku hospodaření </w:t>
      </w:r>
      <w:r w:rsidR="00BF06C2">
        <w:rPr>
          <w:rFonts w:cs="Calibri"/>
          <w:color w:val="000000"/>
        </w:rPr>
        <w:t>NSA</w:t>
      </w:r>
      <w:r w:rsidRPr="00BF06C2">
        <w:rPr>
          <w:rFonts w:cs="Calibri"/>
          <w:color w:val="000000"/>
        </w:rPr>
        <w:t xml:space="preserve"> z akruálního a</w:t>
      </w:r>
      <w:r w:rsidR="009F448B" w:rsidRPr="00BF06C2">
        <w:rPr>
          <w:rFonts w:cs="Calibri"/>
          <w:color w:val="000000"/>
        </w:rPr>
        <w:t> </w:t>
      </w:r>
      <w:r w:rsidRPr="00BF06C2">
        <w:rPr>
          <w:rFonts w:cs="Calibri"/>
          <w:color w:val="000000"/>
        </w:rPr>
        <w:t>peněžního pohledu</w:t>
      </w:r>
      <w:r w:rsidR="00F82CBE">
        <w:rPr>
          <w:rFonts w:cs="Calibri"/>
          <w:color w:val="000000"/>
        </w:rPr>
        <w:t xml:space="preserve"> (viz příloha č. 1 tohoto kontrolního závěru)</w:t>
      </w:r>
      <w:r w:rsidRPr="00BF06C2">
        <w:rPr>
          <w:rFonts w:cs="Calibri"/>
          <w:color w:val="000000"/>
        </w:rPr>
        <w:t>. Kontrola se dále zaměřila na informac</w:t>
      </w:r>
      <w:r w:rsidR="00BF06C2" w:rsidRPr="00BF06C2">
        <w:rPr>
          <w:rFonts w:cs="Calibri"/>
          <w:color w:val="000000"/>
        </w:rPr>
        <w:t>e</w:t>
      </w:r>
      <w:r w:rsidR="00B901EF">
        <w:rPr>
          <w:rFonts w:cs="Calibri"/>
          <w:color w:val="000000"/>
        </w:rPr>
        <w:t xml:space="preserve"> vykazované</w:t>
      </w:r>
      <w:r w:rsidR="00BF06C2" w:rsidRPr="00BF06C2">
        <w:rPr>
          <w:rFonts w:cs="Calibri"/>
          <w:color w:val="000000"/>
        </w:rPr>
        <w:t xml:space="preserve"> </w:t>
      </w:r>
      <w:r w:rsidRPr="00BF06C2">
        <w:rPr>
          <w:rFonts w:cs="Calibri"/>
          <w:color w:val="000000"/>
        </w:rPr>
        <w:t>na podrozvahových účtech</w:t>
      </w:r>
      <w:r w:rsidR="00F82CBE">
        <w:rPr>
          <w:rFonts w:cs="Calibri"/>
          <w:color w:val="000000"/>
        </w:rPr>
        <w:t xml:space="preserve"> (viz příloha č. 2 tohoto kontrolního závěru) </w:t>
      </w:r>
      <w:r w:rsidR="00A806EC">
        <w:rPr>
          <w:rFonts w:cs="Calibri"/>
          <w:color w:val="000000"/>
        </w:rPr>
        <w:t>a na informace o financování obnovy sportovních zařízení po povodních</w:t>
      </w:r>
      <w:r w:rsidR="00F82CBE">
        <w:rPr>
          <w:rFonts w:cs="Calibri"/>
          <w:color w:val="000000"/>
        </w:rPr>
        <w:t xml:space="preserve"> (viz příloha č. 3</w:t>
      </w:r>
      <w:r w:rsidR="00F82CBE" w:rsidRPr="00F82CBE">
        <w:rPr>
          <w:rFonts w:cs="Calibri"/>
          <w:color w:val="000000"/>
        </w:rPr>
        <w:t xml:space="preserve"> tohoto kontrolního závěru</w:t>
      </w:r>
      <w:r w:rsidR="00F82CBE">
        <w:rPr>
          <w:rFonts w:cs="Calibri"/>
          <w:color w:val="000000"/>
        </w:rPr>
        <w:t>).</w:t>
      </w:r>
    </w:p>
    <w:p w14:paraId="491587CF" w14:textId="77777777" w:rsidR="00AF15FA" w:rsidRPr="00492584" w:rsidRDefault="00035012" w:rsidP="003677B5">
      <w:pPr>
        <w:spacing w:before="36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492584">
        <w:rPr>
          <w:rFonts w:asciiTheme="minorHAnsi" w:hAnsiTheme="minorHAnsi" w:cs="Calibri"/>
          <w:b/>
          <w:sz w:val="20"/>
          <w:szCs w:val="20"/>
        </w:rPr>
        <w:t>Pozn.:</w:t>
      </w:r>
      <w:r w:rsidRPr="00492584">
        <w:rPr>
          <w:rFonts w:asciiTheme="minorHAnsi" w:hAnsiTheme="minorHAnsi" w:cs="Calibri"/>
          <w:sz w:val="20"/>
          <w:szCs w:val="20"/>
        </w:rPr>
        <w:t xml:space="preserve"> </w:t>
      </w:r>
      <w:r w:rsidRPr="00492584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5A07FBB8" w14:textId="77777777" w:rsidR="00006AE8" w:rsidRPr="00492584" w:rsidRDefault="00035012" w:rsidP="006E0AFD">
      <w:pPr>
        <w:spacing w:after="0"/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492584">
        <w:rPr>
          <w:rFonts w:asciiTheme="minorHAnsi" w:hAnsiTheme="minorHAnsi" w:cs="Calibri"/>
          <w:sz w:val="20"/>
          <w:szCs w:val="20"/>
        </w:rPr>
        <w:t>H</w:t>
      </w:r>
      <w:r w:rsidR="00AF15FA" w:rsidRPr="00492584">
        <w:rPr>
          <w:rFonts w:asciiTheme="minorHAnsi" w:hAnsiTheme="minorHAnsi" w:cs="Calibri"/>
          <w:sz w:val="20"/>
          <w:szCs w:val="20"/>
        </w:rPr>
        <w:t>odnoty uvedené v tomto kontrolním závěru byly zaokrouhlen</w:t>
      </w:r>
      <w:r w:rsidRPr="00492584">
        <w:rPr>
          <w:rFonts w:asciiTheme="minorHAnsi" w:hAnsiTheme="minorHAnsi" w:cs="Calibri"/>
          <w:sz w:val="20"/>
          <w:szCs w:val="20"/>
        </w:rPr>
        <w:t>y</w:t>
      </w:r>
      <w:r w:rsidR="00AF15FA" w:rsidRPr="00492584">
        <w:rPr>
          <w:rFonts w:asciiTheme="minorHAnsi" w:hAnsiTheme="minorHAnsi" w:cs="Calibri"/>
          <w:sz w:val="20"/>
          <w:szCs w:val="20"/>
        </w:rPr>
        <w:t xml:space="preserve">, čímž </w:t>
      </w:r>
      <w:r w:rsidR="00EE22F7" w:rsidRPr="00492584">
        <w:rPr>
          <w:rFonts w:asciiTheme="minorHAnsi" w:hAnsiTheme="minorHAnsi" w:cs="Calibri"/>
          <w:sz w:val="20"/>
          <w:szCs w:val="20"/>
        </w:rPr>
        <w:t>může vzniknout</w:t>
      </w:r>
      <w:r w:rsidR="00AF15FA" w:rsidRPr="00492584">
        <w:rPr>
          <w:rFonts w:asciiTheme="minorHAnsi" w:hAnsiTheme="minorHAnsi" w:cs="Calibri"/>
          <w:sz w:val="20"/>
          <w:szCs w:val="20"/>
        </w:rPr>
        <w:t xml:space="preserve"> drobný nesoulad </w:t>
      </w:r>
      <w:r w:rsidR="00CC3031" w:rsidRPr="00492584">
        <w:rPr>
          <w:rFonts w:asciiTheme="minorHAnsi" w:hAnsiTheme="minorHAnsi" w:cs="Calibri"/>
          <w:sz w:val="20"/>
          <w:szCs w:val="20"/>
        </w:rPr>
        <w:t>v</w:t>
      </w:r>
      <w:r w:rsidR="00837882" w:rsidRPr="00492584">
        <w:rPr>
          <w:rFonts w:asciiTheme="minorHAnsi" w:hAnsiTheme="minorHAnsi" w:cs="Calibri"/>
          <w:sz w:val="20"/>
          <w:szCs w:val="20"/>
        </w:rPr>
        <w:t xml:space="preserve"> některých </w:t>
      </w:r>
      <w:r w:rsidR="00CC3031" w:rsidRPr="00492584">
        <w:rPr>
          <w:rFonts w:asciiTheme="minorHAnsi" w:hAnsiTheme="minorHAnsi" w:cs="Calibri"/>
          <w:sz w:val="20"/>
          <w:szCs w:val="20"/>
        </w:rPr>
        <w:t>uváděných finančních údajích</w:t>
      </w:r>
      <w:r w:rsidR="00AF15FA" w:rsidRPr="00492584">
        <w:rPr>
          <w:rFonts w:asciiTheme="minorHAnsi" w:hAnsiTheme="minorHAnsi" w:cs="Calibri"/>
          <w:sz w:val="20"/>
          <w:szCs w:val="20"/>
        </w:rPr>
        <w:t>.</w:t>
      </w:r>
    </w:p>
    <w:p w14:paraId="7F50B4C8" w14:textId="77777777" w:rsidR="002C44C1" w:rsidRPr="002F6ECE" w:rsidRDefault="002C44C1" w:rsidP="00B03EA6">
      <w:pPr>
        <w:spacing w:after="0"/>
        <w:jc w:val="both"/>
        <w:rPr>
          <w:highlight w:val="green"/>
          <w:lang w:eastAsia="cs-CZ"/>
        </w:rPr>
      </w:pPr>
    </w:p>
    <w:p w14:paraId="56344EEC" w14:textId="77777777" w:rsidR="00006589" w:rsidRPr="002F6ECE" w:rsidRDefault="00006589" w:rsidP="00B03EA6">
      <w:pPr>
        <w:spacing w:after="0"/>
        <w:jc w:val="both"/>
        <w:rPr>
          <w:highlight w:val="green"/>
          <w:lang w:eastAsia="cs-CZ"/>
        </w:rPr>
      </w:pPr>
    </w:p>
    <w:p w14:paraId="2FC48DB9" w14:textId="77777777" w:rsidR="00E31313" w:rsidRPr="002F6ECE" w:rsidRDefault="00035012" w:rsidP="00C45F95">
      <w:pPr>
        <w:spacing w:after="160" w:line="259" w:lineRule="auto"/>
        <w:rPr>
          <w:highlight w:val="green"/>
          <w:lang w:eastAsia="cs-CZ"/>
        </w:rPr>
      </w:pPr>
      <w:r w:rsidRPr="002F6ECE">
        <w:rPr>
          <w:highlight w:val="green"/>
          <w:lang w:eastAsia="cs-CZ"/>
        </w:rPr>
        <w:br w:type="page"/>
      </w:r>
    </w:p>
    <w:p w14:paraId="227DD1D1" w14:textId="77777777" w:rsidR="0033466E" w:rsidRPr="00AD416B" w:rsidRDefault="00035012" w:rsidP="006575BB">
      <w:pPr>
        <w:pStyle w:val="Styl1"/>
        <w:spacing w:after="240"/>
        <w:ind w:left="414" w:hanging="57"/>
      </w:pPr>
      <w:r w:rsidRPr="00AD416B">
        <w:lastRenderedPageBreak/>
        <w:t>Podrobné skutečnosti zjištěné kontrolou</w:t>
      </w:r>
    </w:p>
    <w:p w14:paraId="4FE71013" w14:textId="7C4BEAE7" w:rsidR="00211287" w:rsidRPr="00AD416B" w:rsidRDefault="003635EC" w:rsidP="003635EC">
      <w:pPr>
        <w:pStyle w:val="Styl2"/>
        <w:numPr>
          <w:ilvl w:val="0"/>
          <w:numId w:val="0"/>
        </w:numPr>
        <w:spacing w:before="240" w:after="120"/>
      </w:pPr>
      <w:r>
        <w:t xml:space="preserve">1. </w:t>
      </w:r>
      <w:r w:rsidR="00035012" w:rsidRPr="00AD416B">
        <w:t>Vedení účetnictví a</w:t>
      </w:r>
      <w:r w:rsidR="00650215" w:rsidRPr="00AD416B">
        <w:t> </w:t>
      </w:r>
      <w:r w:rsidR="00035012" w:rsidRPr="00AD416B">
        <w:t>spolehlivost údajů ÚZ</w:t>
      </w:r>
    </w:p>
    <w:p w14:paraId="6E6077E0" w14:textId="27FE1828" w:rsidR="00211287" w:rsidRPr="00AD416B" w:rsidRDefault="003635EC" w:rsidP="003635EC">
      <w:pPr>
        <w:pStyle w:val="Styl2"/>
        <w:numPr>
          <w:ilvl w:val="0"/>
          <w:numId w:val="0"/>
        </w:numPr>
        <w:spacing w:before="240" w:after="120"/>
      </w:pPr>
      <w:r>
        <w:t xml:space="preserve">1.1 </w:t>
      </w:r>
      <w:r w:rsidR="00035012" w:rsidRPr="00AD416B">
        <w:t xml:space="preserve">Opravy </w:t>
      </w:r>
      <w:r w:rsidR="00BF035D" w:rsidRPr="00AD416B">
        <w:t xml:space="preserve">chyb v účetnictví </w:t>
      </w:r>
      <w:r w:rsidR="00FB0C28" w:rsidRPr="00AD416B">
        <w:t>v</w:t>
      </w:r>
      <w:r w:rsidR="00BF035D" w:rsidRPr="00AD416B">
        <w:t> </w:t>
      </w:r>
      <w:r w:rsidR="00FB0C28" w:rsidRPr="00AD416B">
        <w:t>průběhu</w:t>
      </w:r>
      <w:r w:rsidR="00BF035D" w:rsidRPr="00AD416B">
        <w:t xml:space="preserve"> účetního období</w:t>
      </w:r>
    </w:p>
    <w:p w14:paraId="05E3B774" w14:textId="77777777" w:rsidR="00E464F1" w:rsidRPr="00AD416B" w:rsidRDefault="00035012" w:rsidP="006575BB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AD416B">
        <w:rPr>
          <w:rFonts w:asciiTheme="minorHAnsi" w:hAnsiTheme="minorHAnsi" w:cstheme="minorHAnsi"/>
          <w:spacing w:val="-2"/>
        </w:rPr>
        <w:t>NKÚ zahájil kontrolu již</w:t>
      </w:r>
      <w:r w:rsidR="00837882" w:rsidRPr="00AD416B">
        <w:rPr>
          <w:rFonts w:asciiTheme="minorHAnsi" w:hAnsiTheme="minorHAnsi" w:cstheme="minorHAnsi"/>
          <w:spacing w:val="-2"/>
        </w:rPr>
        <w:t xml:space="preserve"> </w:t>
      </w:r>
      <w:r w:rsidR="00634CBB" w:rsidRPr="00AD416B">
        <w:rPr>
          <w:rFonts w:asciiTheme="minorHAnsi" w:hAnsiTheme="minorHAnsi" w:cstheme="minorHAnsi"/>
          <w:spacing w:val="-2"/>
        </w:rPr>
        <w:t>v průběhu</w:t>
      </w:r>
      <w:r w:rsidR="00211287" w:rsidRPr="00AD416B">
        <w:rPr>
          <w:rFonts w:asciiTheme="minorHAnsi" w:hAnsiTheme="minorHAnsi" w:cstheme="minorHAnsi"/>
          <w:spacing w:val="-2"/>
        </w:rPr>
        <w:t xml:space="preserve"> </w:t>
      </w:r>
      <w:r w:rsidR="00837882" w:rsidRPr="00AD416B">
        <w:rPr>
          <w:rFonts w:asciiTheme="minorHAnsi" w:hAnsiTheme="minorHAnsi" w:cstheme="minorHAnsi"/>
          <w:spacing w:val="-2"/>
        </w:rPr>
        <w:t xml:space="preserve">kontrolovaného </w:t>
      </w:r>
      <w:r w:rsidR="00211287" w:rsidRPr="00AD416B">
        <w:rPr>
          <w:rFonts w:asciiTheme="minorHAnsi" w:hAnsiTheme="minorHAnsi" w:cstheme="minorHAnsi"/>
          <w:spacing w:val="-2"/>
        </w:rPr>
        <w:t>účetního</w:t>
      </w:r>
      <w:r w:rsidR="003130EA" w:rsidRPr="00AD416B">
        <w:rPr>
          <w:rFonts w:asciiTheme="minorHAnsi" w:hAnsiTheme="minorHAnsi" w:cstheme="minorHAnsi"/>
          <w:spacing w:val="-2"/>
        </w:rPr>
        <w:t xml:space="preserve"> </w:t>
      </w:r>
      <w:r w:rsidR="00211287" w:rsidRPr="00AD416B">
        <w:rPr>
          <w:rFonts w:asciiTheme="minorHAnsi" w:hAnsiTheme="minorHAnsi" w:cstheme="minorHAnsi"/>
          <w:spacing w:val="-2"/>
        </w:rPr>
        <w:t xml:space="preserve">období </w:t>
      </w:r>
      <w:r w:rsidR="00AD416B" w:rsidRPr="00AD416B">
        <w:rPr>
          <w:rFonts w:asciiTheme="minorHAnsi" w:hAnsiTheme="minorHAnsi" w:cstheme="minorHAnsi"/>
          <w:spacing w:val="-2"/>
        </w:rPr>
        <w:t>2024</w:t>
      </w:r>
      <w:r w:rsidR="00211287" w:rsidRPr="00AD416B">
        <w:rPr>
          <w:rFonts w:asciiTheme="minorHAnsi" w:hAnsiTheme="minorHAnsi" w:cstheme="minorHAnsi"/>
          <w:spacing w:val="-2"/>
        </w:rPr>
        <w:t xml:space="preserve">, což </w:t>
      </w:r>
      <w:r w:rsidR="00AF050E" w:rsidRPr="00AD416B">
        <w:rPr>
          <w:rFonts w:asciiTheme="minorHAnsi" w:hAnsiTheme="minorHAnsi" w:cstheme="minorHAnsi"/>
          <w:spacing w:val="-2"/>
        </w:rPr>
        <w:t>umožnilo</w:t>
      </w:r>
      <w:r w:rsidR="00211287" w:rsidRPr="00AD416B">
        <w:rPr>
          <w:rFonts w:asciiTheme="minorHAnsi" w:hAnsiTheme="minorHAnsi" w:cstheme="minorHAnsi"/>
          <w:spacing w:val="-2"/>
        </w:rPr>
        <w:t xml:space="preserve"> </w:t>
      </w:r>
      <w:r w:rsidR="00AD416B" w:rsidRPr="00AD416B">
        <w:rPr>
          <w:rFonts w:asciiTheme="minorHAnsi" w:hAnsiTheme="minorHAnsi" w:cstheme="minorHAnsi"/>
          <w:spacing w:val="-2"/>
        </w:rPr>
        <w:t>NSA</w:t>
      </w:r>
      <w:r w:rsidR="00E909E6" w:rsidRPr="00AD416B">
        <w:rPr>
          <w:rFonts w:asciiTheme="minorHAnsi" w:hAnsiTheme="minorHAnsi" w:cstheme="minorHAnsi"/>
          <w:spacing w:val="-2"/>
        </w:rPr>
        <w:t xml:space="preserve"> provést opravu nedostatků </w:t>
      </w:r>
      <w:r w:rsidR="009A5B97" w:rsidRPr="00AD416B">
        <w:rPr>
          <w:rFonts w:asciiTheme="minorHAnsi" w:hAnsiTheme="minorHAnsi" w:cstheme="minorHAnsi"/>
          <w:spacing w:val="-2"/>
        </w:rPr>
        <w:t>identifikovaných v</w:t>
      </w:r>
      <w:r w:rsidR="003130EA" w:rsidRPr="00AD416B">
        <w:rPr>
          <w:rFonts w:asciiTheme="minorHAnsi" w:hAnsiTheme="minorHAnsi" w:cstheme="minorHAnsi"/>
          <w:spacing w:val="-2"/>
        </w:rPr>
        <w:t> </w:t>
      </w:r>
      <w:r w:rsidR="009A5B97" w:rsidRPr="00AD416B">
        <w:rPr>
          <w:rFonts w:asciiTheme="minorHAnsi" w:hAnsiTheme="minorHAnsi" w:cstheme="minorHAnsi"/>
          <w:spacing w:val="-2"/>
        </w:rPr>
        <w:t>účetnictví</w:t>
      </w:r>
      <w:r w:rsidR="003130EA" w:rsidRPr="00AD416B">
        <w:rPr>
          <w:rFonts w:asciiTheme="minorHAnsi" w:hAnsiTheme="minorHAnsi" w:cstheme="minorHAnsi"/>
          <w:spacing w:val="-2"/>
        </w:rPr>
        <w:t xml:space="preserve"> </w:t>
      </w:r>
      <w:r w:rsidR="00E909E6" w:rsidRPr="00AD416B">
        <w:rPr>
          <w:rFonts w:asciiTheme="minorHAnsi" w:hAnsiTheme="minorHAnsi" w:cstheme="minorHAnsi"/>
          <w:spacing w:val="-2"/>
        </w:rPr>
        <w:t>v průběhu kontroly</w:t>
      </w:r>
      <w:r w:rsidR="00837882" w:rsidRPr="00AD416B">
        <w:rPr>
          <w:rFonts w:asciiTheme="minorHAnsi" w:hAnsiTheme="minorHAnsi" w:cstheme="minorHAnsi"/>
          <w:spacing w:val="-2"/>
        </w:rPr>
        <w:t xml:space="preserve"> NKÚ</w:t>
      </w:r>
      <w:r w:rsidR="00E909E6" w:rsidRPr="00AD416B">
        <w:rPr>
          <w:rFonts w:asciiTheme="minorHAnsi" w:hAnsiTheme="minorHAnsi" w:cstheme="minorHAnsi"/>
          <w:spacing w:val="-2"/>
        </w:rPr>
        <w:t xml:space="preserve"> ještě </w:t>
      </w:r>
      <w:r w:rsidR="00211287" w:rsidRPr="00AD416B">
        <w:rPr>
          <w:rFonts w:asciiTheme="minorHAnsi" w:hAnsiTheme="minorHAnsi" w:cstheme="minorHAnsi"/>
          <w:spacing w:val="-2"/>
        </w:rPr>
        <w:t>před</w:t>
      </w:r>
      <w:r w:rsidR="00C82056" w:rsidRPr="00AD416B">
        <w:rPr>
          <w:rFonts w:asciiTheme="minorHAnsi" w:hAnsiTheme="minorHAnsi" w:cstheme="minorHAnsi"/>
          <w:spacing w:val="-2"/>
        </w:rPr>
        <w:t xml:space="preserve"> </w:t>
      </w:r>
      <w:r w:rsidR="00211287" w:rsidRPr="00AD416B">
        <w:rPr>
          <w:rFonts w:asciiTheme="minorHAnsi" w:hAnsiTheme="minorHAnsi" w:cstheme="minorHAnsi"/>
          <w:spacing w:val="-2"/>
        </w:rPr>
        <w:t>uzavřením účetní</w:t>
      </w:r>
      <w:r w:rsidR="00DD1CEF" w:rsidRPr="00AD416B">
        <w:rPr>
          <w:rFonts w:asciiTheme="minorHAnsi" w:hAnsiTheme="minorHAnsi" w:cstheme="minorHAnsi"/>
          <w:spacing w:val="-2"/>
        </w:rPr>
        <w:t>c</w:t>
      </w:r>
      <w:r w:rsidR="00211287" w:rsidRPr="00AD416B">
        <w:rPr>
          <w:rFonts w:asciiTheme="minorHAnsi" w:hAnsiTheme="minorHAnsi" w:cstheme="minorHAnsi"/>
          <w:spacing w:val="-2"/>
        </w:rPr>
        <w:t>h</w:t>
      </w:r>
      <w:r w:rsidR="00DD1CEF" w:rsidRPr="00AD416B">
        <w:rPr>
          <w:rFonts w:asciiTheme="minorHAnsi" w:hAnsiTheme="minorHAnsi" w:cstheme="minorHAnsi"/>
          <w:spacing w:val="-2"/>
        </w:rPr>
        <w:t xml:space="preserve"> knih</w:t>
      </w:r>
      <w:r w:rsidR="000E484A" w:rsidRPr="00AD416B">
        <w:rPr>
          <w:rFonts w:asciiTheme="minorHAnsi" w:hAnsiTheme="minorHAnsi" w:cstheme="minorHAnsi"/>
          <w:spacing w:val="-2"/>
        </w:rPr>
        <w:t xml:space="preserve"> a sestavením účetní závěrky</w:t>
      </w:r>
      <w:r w:rsidR="00211287" w:rsidRPr="00AD416B">
        <w:rPr>
          <w:rFonts w:asciiTheme="minorHAnsi" w:hAnsiTheme="minorHAnsi" w:cstheme="minorHAnsi"/>
          <w:spacing w:val="-2"/>
        </w:rPr>
        <w:t>.</w:t>
      </w:r>
      <w:r w:rsidR="008033C3" w:rsidRPr="00AD416B">
        <w:rPr>
          <w:rFonts w:asciiTheme="minorHAnsi" w:hAnsiTheme="minorHAnsi" w:cstheme="minorHAnsi"/>
          <w:spacing w:val="-2"/>
        </w:rPr>
        <w:t xml:space="preserve"> </w:t>
      </w:r>
    </w:p>
    <w:p w14:paraId="0C017FFC" w14:textId="49704D9F" w:rsidR="003604D9" w:rsidRDefault="00035012" w:rsidP="00062A05">
      <w:pPr>
        <w:spacing w:after="0"/>
        <w:jc w:val="both"/>
        <w:rPr>
          <w:rFonts w:asciiTheme="minorHAnsi" w:hAnsiTheme="minorHAnsi" w:cs="Calibri"/>
          <w:b/>
          <w:bCs/>
        </w:rPr>
      </w:pPr>
      <w:r w:rsidRPr="00AD416B">
        <w:rPr>
          <w:rFonts w:asciiTheme="minorHAnsi" w:hAnsiTheme="minorHAnsi" w:cs="Calibri"/>
          <w:b/>
          <w:bCs/>
        </w:rPr>
        <w:t xml:space="preserve">Provedením oprav nedostatků identifikovaných Nejvyšším kontrolním úřadem v rámci </w:t>
      </w:r>
      <w:r w:rsidR="005006B3" w:rsidRPr="00AD416B">
        <w:rPr>
          <w:rFonts w:asciiTheme="minorHAnsi" w:hAnsiTheme="minorHAnsi" w:cs="Calibri"/>
          <w:b/>
          <w:bCs/>
        </w:rPr>
        <w:t>kontrolní akce</w:t>
      </w:r>
      <w:r w:rsidRPr="00AD416B">
        <w:rPr>
          <w:rFonts w:asciiTheme="minorHAnsi" w:hAnsiTheme="minorHAnsi" w:cs="Calibri"/>
          <w:b/>
          <w:bCs/>
        </w:rPr>
        <w:t xml:space="preserve"> č. 2</w:t>
      </w:r>
      <w:r w:rsidR="00AD416B" w:rsidRPr="00AD416B">
        <w:rPr>
          <w:rFonts w:asciiTheme="minorHAnsi" w:hAnsiTheme="minorHAnsi" w:cs="Calibri"/>
          <w:b/>
          <w:bCs/>
        </w:rPr>
        <w:t>4</w:t>
      </w:r>
      <w:r w:rsidRPr="00AD416B">
        <w:rPr>
          <w:rFonts w:asciiTheme="minorHAnsi" w:hAnsiTheme="minorHAnsi" w:cs="Calibri"/>
          <w:b/>
          <w:bCs/>
        </w:rPr>
        <w:t>/2</w:t>
      </w:r>
      <w:r w:rsidR="00AD416B" w:rsidRPr="00AD416B">
        <w:rPr>
          <w:rFonts w:asciiTheme="minorHAnsi" w:hAnsiTheme="minorHAnsi" w:cs="Calibri"/>
          <w:b/>
          <w:bCs/>
        </w:rPr>
        <w:t>2</w:t>
      </w:r>
      <w:r w:rsidRPr="00AD416B">
        <w:rPr>
          <w:rFonts w:asciiTheme="minorHAnsi" w:hAnsiTheme="minorHAnsi" w:cs="Calibri"/>
          <w:b/>
          <w:bCs/>
        </w:rPr>
        <w:t xml:space="preserve"> předešl</w:t>
      </w:r>
      <w:r w:rsidR="00AD416B" w:rsidRPr="00AD416B">
        <w:rPr>
          <w:rFonts w:asciiTheme="minorHAnsi" w:hAnsiTheme="minorHAnsi" w:cs="Calibri"/>
          <w:b/>
          <w:bCs/>
        </w:rPr>
        <w:t>a</w:t>
      </w:r>
      <w:r w:rsidRPr="00AD416B">
        <w:rPr>
          <w:rFonts w:asciiTheme="minorHAnsi" w:hAnsiTheme="minorHAnsi" w:cs="Calibri"/>
          <w:b/>
          <w:bCs/>
        </w:rPr>
        <w:t xml:space="preserve"> </w:t>
      </w:r>
      <w:r w:rsidR="00AD416B" w:rsidRPr="00AD416B">
        <w:rPr>
          <w:rFonts w:asciiTheme="minorHAnsi" w:hAnsiTheme="minorHAnsi" w:cs="Calibri"/>
          <w:b/>
          <w:bCs/>
        </w:rPr>
        <w:t>NSA</w:t>
      </w:r>
      <w:r w:rsidRPr="00AD416B">
        <w:rPr>
          <w:rFonts w:asciiTheme="minorHAnsi" w:hAnsiTheme="minorHAnsi" w:cs="Calibri"/>
          <w:b/>
          <w:bCs/>
        </w:rPr>
        <w:t xml:space="preserve"> vzniku významných nesprávností v ÚZ v souhrnné výši </w:t>
      </w:r>
      <w:r w:rsidR="00E3636F" w:rsidRPr="00E3636F">
        <w:rPr>
          <w:rFonts w:asciiTheme="minorHAnsi" w:hAnsiTheme="minorHAnsi" w:cs="Calibri"/>
          <w:b/>
          <w:bCs/>
        </w:rPr>
        <w:t>91</w:t>
      </w:r>
      <w:r w:rsidR="00AC4790">
        <w:rPr>
          <w:rFonts w:asciiTheme="minorHAnsi" w:hAnsiTheme="minorHAnsi" w:cs="Calibri"/>
          <w:b/>
          <w:bCs/>
        </w:rPr>
        <w:t>1,8</w:t>
      </w:r>
      <w:r w:rsidRPr="00E3636F">
        <w:rPr>
          <w:rFonts w:asciiTheme="minorHAnsi" w:hAnsiTheme="minorHAnsi" w:cs="Calibri"/>
          <w:b/>
          <w:bCs/>
        </w:rPr>
        <w:t xml:space="preserve"> m</w:t>
      </w:r>
      <w:r w:rsidRPr="00AD416B">
        <w:rPr>
          <w:rFonts w:asciiTheme="minorHAnsi" w:hAnsiTheme="minorHAnsi" w:cs="Calibri"/>
          <w:b/>
          <w:bCs/>
        </w:rPr>
        <w:t>il. Kč</w:t>
      </w:r>
      <w:r>
        <w:rPr>
          <w:rStyle w:val="Znakapoznpodarou"/>
          <w:rFonts w:asciiTheme="minorHAnsi" w:hAnsiTheme="minorHAnsi" w:cs="Calibri"/>
          <w:b/>
          <w:bCs/>
        </w:rPr>
        <w:footnoteReference w:id="23"/>
      </w:r>
      <w:r w:rsidRPr="00AD416B">
        <w:rPr>
          <w:rFonts w:asciiTheme="minorHAnsi" w:hAnsiTheme="minorHAnsi" w:cs="Calibri"/>
          <w:b/>
          <w:bCs/>
        </w:rPr>
        <w:t>.</w:t>
      </w:r>
      <w:r w:rsidR="003D6990" w:rsidRPr="00CE7471">
        <w:rPr>
          <w:rFonts w:asciiTheme="minorHAnsi" w:hAnsiTheme="minorHAnsi" w:cs="Calibri"/>
        </w:rPr>
        <w:t xml:space="preserve"> Jednalo se zejména o následující:</w:t>
      </w:r>
    </w:p>
    <w:p w14:paraId="3097ABC8" w14:textId="77777777" w:rsidR="00062A05" w:rsidRPr="002F6ECE" w:rsidRDefault="00062A05" w:rsidP="00062A05">
      <w:pPr>
        <w:spacing w:after="0"/>
        <w:jc w:val="both"/>
        <w:rPr>
          <w:rFonts w:asciiTheme="minorHAnsi" w:hAnsiTheme="minorHAnsi" w:cstheme="minorHAnsi"/>
          <w:spacing w:val="-2"/>
          <w:highlight w:val="green"/>
        </w:rPr>
      </w:pPr>
    </w:p>
    <w:p w14:paraId="45A5EB34" w14:textId="535A818B" w:rsidR="00E82A76" w:rsidRPr="00BF06C2" w:rsidRDefault="003635EC" w:rsidP="003635EC">
      <w:pPr>
        <w:pStyle w:val="Styl2"/>
        <w:numPr>
          <w:ilvl w:val="0"/>
          <w:numId w:val="0"/>
        </w:numPr>
        <w:spacing w:before="240" w:after="120"/>
        <w:ind w:left="567" w:hanging="567"/>
      </w:pPr>
      <w:r>
        <w:t xml:space="preserve">1.1.1 </w:t>
      </w:r>
      <w:r>
        <w:tab/>
      </w:r>
      <w:r w:rsidR="00035012" w:rsidRPr="00BF06C2">
        <w:t xml:space="preserve">Nesprávná výše podmíněných závazků na účtu </w:t>
      </w:r>
      <w:r w:rsidR="00BF06C2" w:rsidRPr="00BF06C2">
        <w:t xml:space="preserve">916 – </w:t>
      </w:r>
      <w:r w:rsidR="00BF06C2" w:rsidRPr="001419D7">
        <w:rPr>
          <w:i/>
          <w:iCs/>
        </w:rPr>
        <w:t>Ostatní krátkodobé podmíněné závazky z transferů</w:t>
      </w:r>
      <w:r w:rsidR="00BF06C2" w:rsidRPr="00BF06C2">
        <w:t xml:space="preserve"> a </w:t>
      </w:r>
      <w:r w:rsidR="00035012" w:rsidRPr="00BF06C2">
        <w:t xml:space="preserve">956 – </w:t>
      </w:r>
      <w:r w:rsidR="00035012" w:rsidRPr="001419D7">
        <w:rPr>
          <w:i/>
          <w:iCs/>
        </w:rPr>
        <w:t>Ostatní dlouhodobé podmíněné závazky z</w:t>
      </w:r>
      <w:r w:rsidR="00E3636F" w:rsidRPr="001419D7">
        <w:rPr>
          <w:i/>
          <w:iCs/>
        </w:rPr>
        <w:t> </w:t>
      </w:r>
      <w:r w:rsidR="00035012" w:rsidRPr="001419D7">
        <w:rPr>
          <w:i/>
          <w:iCs/>
        </w:rPr>
        <w:t>transferů</w:t>
      </w:r>
    </w:p>
    <w:p w14:paraId="093CF1AD" w14:textId="77777777" w:rsidR="00015648" w:rsidRPr="00015648" w:rsidRDefault="00035012" w:rsidP="006575BB">
      <w:pPr>
        <w:spacing w:before="120"/>
        <w:jc w:val="both"/>
        <w:rPr>
          <w:rFonts w:asciiTheme="minorHAnsi" w:hAnsiTheme="minorHAnsi" w:cs="Calibri"/>
          <w:bCs/>
        </w:rPr>
      </w:pPr>
      <w:r w:rsidRPr="00015648">
        <w:rPr>
          <w:rFonts w:asciiTheme="minorHAnsi" w:hAnsiTheme="minorHAnsi" w:cs="Calibri"/>
          <w:b/>
        </w:rPr>
        <w:t>NSA účtovala o předpisu podmíněných závazků z vydaných rozhodnutí</w:t>
      </w:r>
      <w:r w:rsidRPr="00015648">
        <w:rPr>
          <w:rFonts w:asciiTheme="minorHAnsi" w:hAnsiTheme="minorHAnsi" w:cs="Calibri"/>
          <w:bCs/>
        </w:rPr>
        <w:t xml:space="preserve"> o poskytnutí dotace </w:t>
      </w:r>
      <w:r w:rsidRPr="00015648">
        <w:rPr>
          <w:rFonts w:asciiTheme="minorHAnsi" w:hAnsiTheme="minorHAnsi" w:cs="Calibri"/>
          <w:b/>
        </w:rPr>
        <w:t>v nesprávném okamžiku</w:t>
      </w:r>
      <w:r w:rsidRPr="00015648">
        <w:rPr>
          <w:rFonts w:asciiTheme="minorHAnsi" w:hAnsiTheme="minorHAnsi" w:cs="Calibri"/>
          <w:bCs/>
        </w:rPr>
        <w:t xml:space="preserve">, a to až k datu schválení / podepsání platebního poukazu na výplatu příslušné dotace. NSA tak nevykazovala podmíněné závazky u dotací, u kterých již bylo vydáno rozhodnutí o poskytnutí dotace, ale doposud nebyl schválen platební poukaz. </w:t>
      </w:r>
    </w:p>
    <w:p w14:paraId="02102DC7" w14:textId="0E05E14B" w:rsidR="00015648" w:rsidRDefault="00035012" w:rsidP="006575BB">
      <w:pPr>
        <w:spacing w:before="120"/>
        <w:jc w:val="both"/>
        <w:rPr>
          <w:rFonts w:asciiTheme="minorHAnsi" w:hAnsiTheme="minorHAnsi" w:cs="Calibri"/>
          <w:bCs/>
        </w:rPr>
      </w:pPr>
      <w:r w:rsidRPr="00015648">
        <w:rPr>
          <w:rFonts w:asciiTheme="minorHAnsi" w:hAnsiTheme="minorHAnsi" w:cs="Calibri"/>
          <w:b/>
        </w:rPr>
        <w:t xml:space="preserve">NSA dále u více </w:t>
      </w:r>
      <w:r w:rsidR="00791B47">
        <w:rPr>
          <w:rFonts w:asciiTheme="minorHAnsi" w:hAnsiTheme="minorHAnsi" w:cs="Calibri"/>
          <w:b/>
        </w:rPr>
        <w:t>než</w:t>
      </w:r>
      <w:r w:rsidRPr="00015648">
        <w:rPr>
          <w:rFonts w:asciiTheme="minorHAnsi" w:hAnsiTheme="minorHAnsi" w:cs="Calibri"/>
          <w:b/>
        </w:rPr>
        <w:t xml:space="preserve"> 100 projektů účtovala opakovaně (i čtyřikrát) o stejném podmíněném závazku</w:t>
      </w:r>
      <w:r w:rsidRPr="00015648">
        <w:rPr>
          <w:rFonts w:asciiTheme="minorHAnsi" w:hAnsiTheme="minorHAnsi" w:cs="Calibri"/>
          <w:bCs/>
        </w:rPr>
        <w:t xml:space="preserve"> </w:t>
      </w:r>
      <w:r w:rsidRPr="00015648">
        <w:rPr>
          <w:rFonts w:asciiTheme="minorHAnsi" w:hAnsiTheme="minorHAnsi" w:cs="Calibri"/>
          <w:b/>
        </w:rPr>
        <w:t>nebo</w:t>
      </w:r>
      <w:r w:rsidRPr="00015648">
        <w:rPr>
          <w:rFonts w:asciiTheme="minorHAnsi" w:hAnsiTheme="minorHAnsi" w:cs="Calibri"/>
          <w:bCs/>
        </w:rPr>
        <w:t xml:space="preserve"> u těchto projektů </w:t>
      </w:r>
      <w:r w:rsidRPr="00015648">
        <w:rPr>
          <w:rFonts w:asciiTheme="minorHAnsi" w:hAnsiTheme="minorHAnsi" w:cs="Calibri"/>
          <w:b/>
        </w:rPr>
        <w:t>neodúčtovala podmíněné závazky z transferů, přestože dotace již byla v minulosti vyplacena</w:t>
      </w:r>
      <w:r w:rsidRPr="00015648">
        <w:rPr>
          <w:rFonts w:asciiTheme="minorHAnsi" w:hAnsiTheme="minorHAnsi" w:cs="Calibri"/>
          <w:bCs/>
        </w:rPr>
        <w:t>.</w:t>
      </w:r>
    </w:p>
    <w:p w14:paraId="41B8DA0C" w14:textId="5EFF0496" w:rsidR="00F12CFB" w:rsidRDefault="00035012" w:rsidP="00062A05">
      <w:pPr>
        <w:spacing w:before="120" w:after="240"/>
        <w:jc w:val="both"/>
        <w:rPr>
          <w:rFonts w:asciiTheme="minorHAnsi" w:hAnsiTheme="minorHAnsi" w:cstheme="minorHAnsi"/>
        </w:rPr>
      </w:pPr>
      <w:r w:rsidRPr="00877A06">
        <w:rPr>
          <w:rFonts w:asciiTheme="minorHAnsi" w:hAnsiTheme="minorHAnsi" w:cstheme="minorHAnsi"/>
        </w:rPr>
        <w:t xml:space="preserve">Jednalo se o </w:t>
      </w:r>
      <w:r w:rsidR="0064082F" w:rsidRPr="0064082F">
        <w:rPr>
          <w:rFonts w:asciiTheme="minorHAnsi" w:hAnsiTheme="minorHAnsi" w:cstheme="minorHAnsi"/>
          <w:b/>
          <w:bCs/>
        </w:rPr>
        <w:t>systémové</w:t>
      </w:r>
      <w:r w:rsidR="0064082F">
        <w:rPr>
          <w:rFonts w:asciiTheme="minorHAnsi" w:hAnsiTheme="minorHAnsi" w:cstheme="minorHAnsi"/>
        </w:rPr>
        <w:t xml:space="preserve"> </w:t>
      </w:r>
      <w:r w:rsidRPr="00877A06">
        <w:rPr>
          <w:rFonts w:asciiTheme="minorHAnsi" w:hAnsiTheme="minorHAnsi" w:cstheme="minorHAnsi"/>
          <w:b/>
        </w:rPr>
        <w:t>nedostatk</w:t>
      </w:r>
      <w:r w:rsidR="00015648" w:rsidRPr="00877A06">
        <w:rPr>
          <w:rFonts w:asciiTheme="minorHAnsi" w:hAnsiTheme="minorHAnsi" w:cstheme="minorHAnsi"/>
          <w:b/>
        </w:rPr>
        <w:t>y</w:t>
      </w:r>
      <w:r w:rsidRPr="00877A06">
        <w:rPr>
          <w:rFonts w:asciiTheme="minorHAnsi" w:hAnsiTheme="minorHAnsi" w:cstheme="minorHAnsi"/>
          <w:b/>
        </w:rPr>
        <w:t xml:space="preserve"> v</w:t>
      </w:r>
      <w:r w:rsidR="00E3636F" w:rsidRPr="00877A06">
        <w:rPr>
          <w:rFonts w:asciiTheme="minorHAnsi" w:hAnsiTheme="minorHAnsi" w:cstheme="minorHAnsi"/>
          <w:b/>
        </w:rPr>
        <w:t> </w:t>
      </w:r>
      <w:r w:rsidRPr="00877A06">
        <w:rPr>
          <w:rFonts w:asciiTheme="minorHAnsi" w:hAnsiTheme="minorHAnsi" w:cstheme="minorHAnsi"/>
          <w:b/>
        </w:rPr>
        <w:t xml:space="preserve">celkové výši </w:t>
      </w:r>
      <w:r w:rsidR="00877A06" w:rsidRPr="00295315">
        <w:rPr>
          <w:rFonts w:asciiTheme="minorHAnsi" w:hAnsiTheme="minorHAnsi" w:cstheme="minorHAnsi"/>
          <w:b/>
        </w:rPr>
        <w:t>624</w:t>
      </w:r>
      <w:r w:rsidR="00AC4790">
        <w:rPr>
          <w:rFonts w:asciiTheme="minorHAnsi" w:hAnsiTheme="minorHAnsi" w:cstheme="minorHAnsi"/>
          <w:b/>
        </w:rPr>
        <w:t>,5</w:t>
      </w:r>
      <w:r w:rsidR="001A6D6E" w:rsidRPr="00295315">
        <w:rPr>
          <w:rFonts w:asciiTheme="minorHAnsi" w:hAnsiTheme="minorHAnsi" w:cstheme="minorHAnsi"/>
          <w:b/>
        </w:rPr>
        <w:t> </w:t>
      </w:r>
      <w:r w:rsidRPr="00295315">
        <w:rPr>
          <w:rFonts w:asciiTheme="minorHAnsi" w:hAnsiTheme="minorHAnsi" w:cstheme="minorHAnsi"/>
          <w:b/>
        </w:rPr>
        <w:t>mil. Kč,</w:t>
      </w:r>
      <w:r w:rsidRPr="00877A06">
        <w:rPr>
          <w:rFonts w:asciiTheme="minorHAnsi" w:hAnsiTheme="minorHAnsi" w:cstheme="minorHAnsi"/>
        </w:rPr>
        <w:t xml:space="preserve"> kter</w:t>
      </w:r>
      <w:r w:rsidR="00015648" w:rsidRPr="00877A06">
        <w:rPr>
          <w:rFonts w:asciiTheme="minorHAnsi" w:hAnsiTheme="minorHAnsi" w:cstheme="minorHAnsi"/>
        </w:rPr>
        <w:t>é</w:t>
      </w:r>
      <w:r w:rsidRPr="00877A06">
        <w:rPr>
          <w:rFonts w:asciiTheme="minorHAnsi" w:hAnsiTheme="minorHAnsi" w:cstheme="minorHAnsi"/>
        </w:rPr>
        <w:t xml:space="preserve"> </w:t>
      </w:r>
      <w:r w:rsidR="00015648" w:rsidRPr="00877A06">
        <w:rPr>
          <w:rFonts w:asciiTheme="minorHAnsi" w:hAnsiTheme="minorHAnsi" w:cstheme="minorHAnsi"/>
        </w:rPr>
        <w:t xml:space="preserve">NSA </w:t>
      </w:r>
      <w:r w:rsidRPr="00877A06">
        <w:rPr>
          <w:rFonts w:asciiTheme="minorHAnsi" w:hAnsiTheme="minorHAnsi" w:cstheme="minorHAnsi"/>
          <w:b/>
        </w:rPr>
        <w:t>opravil</w:t>
      </w:r>
      <w:r w:rsidR="00015648" w:rsidRPr="00877A06">
        <w:rPr>
          <w:rFonts w:asciiTheme="minorHAnsi" w:hAnsiTheme="minorHAnsi" w:cstheme="minorHAnsi"/>
          <w:b/>
        </w:rPr>
        <w:t>a</w:t>
      </w:r>
      <w:r w:rsidRPr="00877A06">
        <w:rPr>
          <w:rFonts w:asciiTheme="minorHAnsi" w:hAnsiTheme="minorHAnsi" w:cstheme="minorHAnsi"/>
        </w:rPr>
        <w:t xml:space="preserve"> </w:t>
      </w:r>
      <w:r w:rsidRPr="00877A06">
        <w:rPr>
          <w:rFonts w:asciiTheme="minorHAnsi" w:hAnsiTheme="minorHAnsi" w:cstheme="minorHAnsi"/>
          <w:b/>
        </w:rPr>
        <w:t xml:space="preserve">a </w:t>
      </w:r>
      <w:r w:rsidRPr="00877A06">
        <w:rPr>
          <w:rFonts w:asciiTheme="minorHAnsi" w:hAnsiTheme="minorHAnsi" w:cstheme="minorHAnsi"/>
        </w:rPr>
        <w:t>dále k</w:t>
      </w:r>
      <w:r w:rsidR="00E3636F" w:rsidRPr="00877A06">
        <w:rPr>
          <w:rFonts w:asciiTheme="minorHAnsi" w:hAnsiTheme="minorHAnsi" w:cstheme="minorHAnsi"/>
        </w:rPr>
        <w:t> </w:t>
      </w:r>
      <w:r w:rsidRPr="00877A06">
        <w:rPr>
          <w:rFonts w:asciiTheme="minorHAnsi" w:hAnsiTheme="minorHAnsi" w:cstheme="minorHAnsi"/>
        </w:rPr>
        <w:t>n</w:t>
      </w:r>
      <w:r w:rsidR="00015648" w:rsidRPr="00877A06">
        <w:rPr>
          <w:rFonts w:asciiTheme="minorHAnsi" w:hAnsiTheme="minorHAnsi" w:cstheme="minorHAnsi"/>
        </w:rPr>
        <w:t>im</w:t>
      </w:r>
      <w:r w:rsidRPr="00877A06">
        <w:rPr>
          <w:rFonts w:asciiTheme="minorHAnsi" w:hAnsiTheme="minorHAnsi" w:cstheme="minorHAnsi"/>
        </w:rPr>
        <w:t xml:space="preserve"> </w:t>
      </w:r>
      <w:r w:rsidRPr="00877A06">
        <w:rPr>
          <w:rFonts w:asciiTheme="minorHAnsi" w:hAnsiTheme="minorHAnsi" w:cstheme="minorHAnsi"/>
          <w:b/>
        </w:rPr>
        <w:t>přijal</w:t>
      </w:r>
      <w:r w:rsidR="00015648" w:rsidRPr="00877A06">
        <w:rPr>
          <w:rFonts w:asciiTheme="minorHAnsi" w:hAnsiTheme="minorHAnsi" w:cstheme="minorHAnsi"/>
          <w:b/>
        </w:rPr>
        <w:t>a</w:t>
      </w:r>
      <w:r w:rsidRPr="00877A06">
        <w:rPr>
          <w:rFonts w:asciiTheme="minorHAnsi" w:hAnsiTheme="minorHAnsi" w:cstheme="minorHAnsi"/>
          <w:b/>
        </w:rPr>
        <w:t xml:space="preserve"> systémov</w:t>
      </w:r>
      <w:r w:rsidR="00015648" w:rsidRPr="00877A06">
        <w:rPr>
          <w:rFonts w:asciiTheme="minorHAnsi" w:hAnsiTheme="minorHAnsi" w:cstheme="minorHAnsi"/>
          <w:b/>
        </w:rPr>
        <w:t>á</w:t>
      </w:r>
      <w:r w:rsidRPr="00877A06">
        <w:rPr>
          <w:rFonts w:asciiTheme="minorHAnsi" w:hAnsiTheme="minorHAnsi" w:cstheme="minorHAnsi"/>
          <w:b/>
        </w:rPr>
        <w:t xml:space="preserve"> opatření</w:t>
      </w:r>
      <w:r w:rsidRPr="00877A06">
        <w:rPr>
          <w:rFonts w:asciiTheme="minorHAnsi" w:hAnsiTheme="minorHAnsi" w:cstheme="minorHAnsi"/>
        </w:rPr>
        <w:t xml:space="preserve"> v</w:t>
      </w:r>
      <w:r w:rsidR="00E3636F" w:rsidRPr="00877A06">
        <w:rPr>
          <w:rFonts w:asciiTheme="minorHAnsi" w:hAnsiTheme="minorHAnsi" w:cstheme="minorHAnsi"/>
        </w:rPr>
        <w:t> </w:t>
      </w:r>
      <w:r w:rsidRPr="00877A06">
        <w:rPr>
          <w:rFonts w:asciiTheme="minorHAnsi" w:hAnsiTheme="minorHAnsi" w:cstheme="minorHAnsi"/>
        </w:rPr>
        <w:t xml:space="preserve">podobě </w:t>
      </w:r>
      <w:r w:rsidR="00015648" w:rsidRPr="00877A06">
        <w:rPr>
          <w:rFonts w:asciiTheme="minorHAnsi" w:hAnsiTheme="minorHAnsi" w:cstheme="minorHAnsi"/>
        </w:rPr>
        <w:t xml:space="preserve">opravy </w:t>
      </w:r>
      <w:r w:rsidR="00877A06" w:rsidRPr="00877A06">
        <w:rPr>
          <w:rFonts w:asciiTheme="minorHAnsi" w:hAnsiTheme="minorHAnsi" w:cstheme="minorHAnsi"/>
        </w:rPr>
        <w:t xml:space="preserve">nevhodně nastavené </w:t>
      </w:r>
      <w:r w:rsidR="00015648" w:rsidRPr="00877A06">
        <w:rPr>
          <w:rFonts w:asciiTheme="minorHAnsi" w:hAnsiTheme="minorHAnsi" w:cstheme="minorHAnsi"/>
        </w:rPr>
        <w:t>automatické předkontace pro vratky plateb dotací</w:t>
      </w:r>
      <w:r w:rsidR="00880AE7">
        <w:rPr>
          <w:rFonts w:asciiTheme="minorHAnsi" w:hAnsiTheme="minorHAnsi" w:cstheme="minorHAnsi"/>
        </w:rPr>
        <w:t>.</w:t>
      </w:r>
    </w:p>
    <w:p w14:paraId="6B91E563" w14:textId="1C6F7D53" w:rsidR="00AE0999" w:rsidRPr="005262F0" w:rsidRDefault="003635EC" w:rsidP="003635EC">
      <w:pPr>
        <w:pStyle w:val="Styl2"/>
        <w:numPr>
          <w:ilvl w:val="0"/>
          <w:numId w:val="0"/>
        </w:numPr>
        <w:spacing w:before="240" w:after="120"/>
        <w:ind w:left="567" w:hanging="567"/>
      </w:pPr>
      <w:bookmarkStart w:id="9" w:name="_Ref162253020"/>
      <w:bookmarkStart w:id="10" w:name="_Toc165358124"/>
      <w:r>
        <w:t xml:space="preserve">1.1.2 </w:t>
      </w:r>
      <w:r>
        <w:tab/>
      </w:r>
      <w:r w:rsidR="00035012" w:rsidRPr="005262F0">
        <w:t>Nevykazování existujících podmíněných závazků</w:t>
      </w:r>
      <w:r w:rsidR="00F50FAD">
        <w:t xml:space="preserve"> a podmíněných pohledávek</w:t>
      </w:r>
      <w:r w:rsidR="00035012" w:rsidRPr="005262F0">
        <w:t xml:space="preserve"> ze smluv</w:t>
      </w:r>
    </w:p>
    <w:p w14:paraId="5719EE71" w14:textId="77777777" w:rsidR="005262F0" w:rsidRDefault="00035012" w:rsidP="006575BB">
      <w:pPr>
        <w:spacing w:before="120"/>
        <w:jc w:val="both"/>
      </w:pPr>
      <w:r w:rsidRPr="00CF6F2D">
        <w:rPr>
          <w:b/>
          <w:bCs/>
        </w:rPr>
        <w:t>NSA</w:t>
      </w:r>
      <w:r w:rsidRPr="00CF6F2D">
        <w:t xml:space="preserve"> do 30. </w:t>
      </w:r>
      <w:r w:rsidR="00692B0E">
        <w:t>září</w:t>
      </w:r>
      <w:r w:rsidRPr="00CF6F2D">
        <w:t xml:space="preserve"> 2024 </w:t>
      </w:r>
      <w:r w:rsidRPr="00CF6F2D">
        <w:rPr>
          <w:b/>
          <w:bCs/>
        </w:rPr>
        <w:t>nevykazovala</w:t>
      </w:r>
      <w:r w:rsidRPr="00CF6F2D">
        <w:t xml:space="preserve"> v účetních závěrkách </w:t>
      </w:r>
      <w:r w:rsidRPr="00CF6F2D">
        <w:rPr>
          <w:b/>
          <w:bCs/>
        </w:rPr>
        <w:t>žádné podmíněné závazky ze smluv</w:t>
      </w:r>
      <w:r w:rsidRPr="001718B3">
        <w:rPr>
          <w:b/>
          <w:bCs/>
        </w:rPr>
        <w:t>,</w:t>
      </w:r>
      <w:r w:rsidRPr="005262F0">
        <w:t xml:space="preserve"> přestože má a rovněž v minulosti měla uzavřené smlouvy, ve kterých vystupuje jako objednatel určité služby či nákupu dlouhodobého majetku.</w:t>
      </w:r>
      <w:r w:rsidR="0064082F">
        <w:t xml:space="preserve"> </w:t>
      </w:r>
      <w:r w:rsidR="00CF6F2D" w:rsidRPr="00CF6F2D">
        <w:t>NSA</w:t>
      </w:r>
      <w:r w:rsidR="00CF6F2D">
        <w:t xml:space="preserve"> rovněž </w:t>
      </w:r>
      <w:r w:rsidR="00CF6F2D" w:rsidRPr="00CF6F2D">
        <w:t xml:space="preserve">do 30. </w:t>
      </w:r>
      <w:r w:rsidR="00692B0E">
        <w:t>září</w:t>
      </w:r>
      <w:r w:rsidR="00CF6F2D" w:rsidRPr="00CF6F2D">
        <w:t xml:space="preserve"> 2024 nevykazovala v účetních závěrkách </w:t>
      </w:r>
      <w:r w:rsidR="00CF6F2D" w:rsidRPr="00CF6F2D">
        <w:rPr>
          <w:b/>
          <w:bCs/>
        </w:rPr>
        <w:t>žádné podmíněné pohledávky ze smluv</w:t>
      </w:r>
      <w:r w:rsidR="00CF6F2D" w:rsidRPr="001718B3">
        <w:rPr>
          <w:b/>
          <w:bCs/>
        </w:rPr>
        <w:t>,</w:t>
      </w:r>
      <w:r w:rsidR="00CF6F2D" w:rsidRPr="00CF6F2D">
        <w:t xml:space="preserve"> přestože má uzavřené nájemní či pachtovní smlouvy, ve kterých vystupuje jako pronajímatel či propachtovatel pozemků, k nimž náleží NSA příslušnost hospodařit s majetkem státu</w:t>
      </w:r>
      <w:r w:rsidR="00CF6F2D">
        <w:t xml:space="preserve">. </w:t>
      </w:r>
      <w:r w:rsidR="0064082F">
        <w:t xml:space="preserve">Tento </w:t>
      </w:r>
      <w:r w:rsidR="0064082F" w:rsidRPr="00CF6F2D">
        <w:rPr>
          <w:b/>
          <w:bCs/>
        </w:rPr>
        <w:t xml:space="preserve">systémový nedostatek byl vyčíslen v částce </w:t>
      </w:r>
      <w:r w:rsidR="00CF6F2D" w:rsidRPr="00CF6F2D">
        <w:rPr>
          <w:b/>
          <w:bCs/>
        </w:rPr>
        <w:t>9</w:t>
      </w:r>
      <w:r w:rsidR="00B00959">
        <w:rPr>
          <w:b/>
          <w:bCs/>
        </w:rPr>
        <w:t>3</w:t>
      </w:r>
      <w:r w:rsidR="0064082F" w:rsidRPr="00CF6F2D">
        <w:rPr>
          <w:b/>
          <w:bCs/>
        </w:rPr>
        <w:t xml:space="preserve"> mil. Kč</w:t>
      </w:r>
      <w:r w:rsidR="0064082F" w:rsidRPr="001718B3">
        <w:rPr>
          <w:b/>
          <w:bCs/>
        </w:rPr>
        <w:t>.</w:t>
      </w:r>
    </w:p>
    <w:p w14:paraId="18DD390C" w14:textId="12A0AA94" w:rsidR="000853A5" w:rsidRDefault="00035012" w:rsidP="00062A05">
      <w:pPr>
        <w:spacing w:before="120" w:after="240"/>
        <w:jc w:val="both"/>
      </w:pPr>
      <w:r w:rsidRPr="00B502D1">
        <w:rPr>
          <w:b/>
          <w:bCs/>
        </w:rPr>
        <w:t>NSA zaúčtovala chybějící podmíněné závazky na účet 974</w:t>
      </w:r>
      <w:r>
        <w:t xml:space="preserve"> – </w:t>
      </w:r>
      <w:r w:rsidRPr="000853A5">
        <w:rPr>
          <w:i/>
          <w:iCs/>
        </w:rPr>
        <w:t>Dlouhodobé podmíněné závazky z jiných smluv</w:t>
      </w:r>
      <w:r>
        <w:t xml:space="preserve"> </w:t>
      </w:r>
      <w:r w:rsidRPr="00B502D1">
        <w:rPr>
          <w:b/>
          <w:bCs/>
        </w:rPr>
        <w:t>a 971</w:t>
      </w:r>
      <w:r>
        <w:t xml:space="preserve"> – </w:t>
      </w:r>
      <w:r w:rsidRPr="000853A5">
        <w:rPr>
          <w:i/>
          <w:iCs/>
        </w:rPr>
        <w:t>Krátkodobé podmíněné závazky ze smluv o pořízení dlouhodobého majetku</w:t>
      </w:r>
      <w:r w:rsidR="00CF6F2D">
        <w:rPr>
          <w:i/>
          <w:iCs/>
        </w:rPr>
        <w:t xml:space="preserve"> </w:t>
      </w:r>
      <w:r w:rsidR="00CF6F2D" w:rsidRPr="00B502D1">
        <w:rPr>
          <w:b/>
          <w:bCs/>
        </w:rPr>
        <w:t>a podmíněné pohledávky na účet 934</w:t>
      </w:r>
      <w:r w:rsidR="00CF6F2D">
        <w:t xml:space="preserve"> – </w:t>
      </w:r>
      <w:r w:rsidR="00CF6F2D" w:rsidRPr="00CF6F2D">
        <w:rPr>
          <w:i/>
          <w:iCs/>
        </w:rPr>
        <w:t>Dlouhodobé podmíněné pohledávky z jiných smluv</w:t>
      </w:r>
      <w:r>
        <w:t>.</w:t>
      </w:r>
      <w:r w:rsidR="0072320F">
        <w:t xml:space="preserve"> </w:t>
      </w:r>
      <w:r w:rsidR="0072320F" w:rsidRPr="00B502D1">
        <w:rPr>
          <w:b/>
          <w:bCs/>
        </w:rPr>
        <w:t>NSA dále přijala systémové opatření v podobě vnitřního předpisu</w:t>
      </w:r>
      <w:r w:rsidR="0072320F" w:rsidRPr="001718B3">
        <w:rPr>
          <w:b/>
          <w:bCs/>
        </w:rPr>
        <w:t>,</w:t>
      </w:r>
      <w:r w:rsidR="0072320F" w:rsidRPr="0072320F">
        <w:t xml:space="preserve"> ve kterém </w:t>
      </w:r>
      <w:r w:rsidR="0072320F" w:rsidRPr="00B502D1">
        <w:rPr>
          <w:b/>
          <w:bCs/>
        </w:rPr>
        <w:t xml:space="preserve">stanovila postup při oceňování podmíněných pohledávek a závazků ze smluv a významnost </w:t>
      </w:r>
      <w:r w:rsidR="0072320F" w:rsidRPr="00B502D1">
        <w:rPr>
          <w:b/>
          <w:bCs/>
        </w:rPr>
        <w:lastRenderedPageBreak/>
        <w:t>pro účtování</w:t>
      </w:r>
      <w:r w:rsidR="0072320F" w:rsidRPr="0072320F">
        <w:t xml:space="preserve"> o tomto typu podmíněných aktiv a pasiv</w:t>
      </w:r>
      <w:r w:rsidR="00791B47">
        <w:t>;</w:t>
      </w:r>
      <w:r w:rsidR="00472C41">
        <w:t xml:space="preserve"> viz také příloha č. 2 tohoto kontrolního závěru</w:t>
      </w:r>
      <w:r w:rsidR="0072320F">
        <w:t>.</w:t>
      </w:r>
    </w:p>
    <w:p w14:paraId="79E24C96" w14:textId="744C46A7" w:rsidR="00B502D1" w:rsidRDefault="003635EC" w:rsidP="003635EC">
      <w:pPr>
        <w:pStyle w:val="Styl2"/>
        <w:numPr>
          <w:ilvl w:val="0"/>
          <w:numId w:val="0"/>
        </w:numPr>
        <w:spacing w:before="240" w:after="120"/>
        <w:jc w:val="both"/>
      </w:pPr>
      <w:r>
        <w:t xml:space="preserve">1.1.3 </w:t>
      </w:r>
      <w:r w:rsidR="00035012" w:rsidRPr="005262F0">
        <w:t>Ne</w:t>
      </w:r>
      <w:r w:rsidR="00035012">
        <w:t>správné vykazování zálohy a dohadu u finančně vypořádaných dotací</w:t>
      </w:r>
    </w:p>
    <w:p w14:paraId="79A0FE6A" w14:textId="5C35F4DD" w:rsidR="00705291" w:rsidRPr="00977892" w:rsidRDefault="00035012" w:rsidP="00977892">
      <w:pPr>
        <w:jc w:val="both"/>
      </w:pPr>
      <w:r w:rsidRPr="00977892">
        <w:rPr>
          <w:b/>
          <w:bCs/>
        </w:rPr>
        <w:t>NSA v roce 2024 poskytla dotace v celkové výši 88 mil. Kč</w:t>
      </w:r>
      <w:r w:rsidRPr="00977892">
        <w:t xml:space="preserve"> na dva projekty, </w:t>
      </w:r>
      <w:r w:rsidRPr="00977892">
        <w:rPr>
          <w:b/>
          <w:bCs/>
        </w:rPr>
        <w:t>které byli příjemci dotace povinni vypořádat</w:t>
      </w:r>
      <w:r w:rsidRPr="00977892">
        <w:t xml:space="preserve"> dle podmínek rozhodnutí o poskytnutí dotace </w:t>
      </w:r>
      <w:r w:rsidRPr="00977892">
        <w:rPr>
          <w:b/>
          <w:bCs/>
        </w:rPr>
        <w:t>v září 2024</w:t>
      </w:r>
      <w:r w:rsidRPr="001718B3">
        <w:rPr>
          <w:b/>
          <w:bCs/>
        </w:rPr>
        <w:t>.</w:t>
      </w:r>
      <w:r w:rsidRPr="00977892">
        <w:t xml:space="preserve"> V tomto termínu </w:t>
      </w:r>
      <w:r w:rsidRPr="00977892">
        <w:rPr>
          <w:b/>
          <w:bCs/>
        </w:rPr>
        <w:t>příjemci dotaci skutečně finančně vypořádali. NSA přesto</w:t>
      </w:r>
      <w:r w:rsidRPr="00977892">
        <w:t xml:space="preserve"> i po předloženém finančním vypořádání </w:t>
      </w:r>
      <w:r w:rsidRPr="00977892">
        <w:rPr>
          <w:b/>
          <w:bCs/>
        </w:rPr>
        <w:t>stále vykazovala</w:t>
      </w:r>
      <w:r w:rsidRPr="00977892">
        <w:t xml:space="preserve"> u těchto případů </w:t>
      </w:r>
      <w:r w:rsidRPr="00977892">
        <w:rPr>
          <w:b/>
          <w:bCs/>
        </w:rPr>
        <w:t>poskytnutou zálohu a dohady nákladů ve výši 88 mil. Kč</w:t>
      </w:r>
      <w:r w:rsidR="00A21F0D">
        <w:rPr>
          <w:b/>
          <w:bCs/>
        </w:rPr>
        <w:t>,</w:t>
      </w:r>
      <w:r w:rsidRPr="00977892">
        <w:t xml:space="preserve"> a neaplikovala tak závazný účetní postup dle Českého účetního standardu pro některé vybrané účetní jednotky č. 703 – </w:t>
      </w:r>
      <w:r w:rsidRPr="00977892">
        <w:rPr>
          <w:i/>
          <w:iCs/>
        </w:rPr>
        <w:t>Transfery</w:t>
      </w:r>
      <w:r w:rsidRPr="00977892">
        <w:t>.</w:t>
      </w:r>
    </w:p>
    <w:p w14:paraId="304D2650" w14:textId="77777777" w:rsidR="00B502D1" w:rsidRPr="00977892" w:rsidRDefault="00035012" w:rsidP="00062A05">
      <w:pPr>
        <w:spacing w:after="240"/>
        <w:jc w:val="both"/>
      </w:pPr>
      <w:r w:rsidRPr="00977892">
        <w:rPr>
          <w:b/>
          <w:bCs/>
        </w:rPr>
        <w:t>NSA odúčtovala poskytnutou zálohu z účtu 373</w:t>
      </w:r>
      <w:r w:rsidRPr="00977892">
        <w:t xml:space="preserve"> – </w:t>
      </w:r>
      <w:r w:rsidRPr="00977892">
        <w:rPr>
          <w:i/>
          <w:iCs/>
        </w:rPr>
        <w:t>Krátkodobé poskytnuté zálohy na transfery</w:t>
      </w:r>
      <w:r w:rsidRPr="00977892">
        <w:t xml:space="preserve"> </w:t>
      </w:r>
      <w:r w:rsidRPr="00977892">
        <w:rPr>
          <w:b/>
          <w:bCs/>
        </w:rPr>
        <w:t>a zároveň dohady nákladů z účtu 389</w:t>
      </w:r>
      <w:r w:rsidRPr="00977892">
        <w:t xml:space="preserve"> – </w:t>
      </w:r>
      <w:r w:rsidRPr="00977892">
        <w:rPr>
          <w:i/>
          <w:iCs/>
        </w:rPr>
        <w:t>Dohadné účty pasivní</w:t>
      </w:r>
      <w:r w:rsidRPr="00977892">
        <w:t xml:space="preserve">, </w:t>
      </w:r>
      <w:r w:rsidRPr="00977892">
        <w:rPr>
          <w:b/>
          <w:bCs/>
        </w:rPr>
        <w:t>a to ve výši 88 mil. Kč</w:t>
      </w:r>
      <w:r w:rsidRPr="001718B3">
        <w:rPr>
          <w:b/>
          <w:bCs/>
        </w:rPr>
        <w:t>.</w:t>
      </w:r>
    </w:p>
    <w:p w14:paraId="1AC3A401" w14:textId="2F9AF95E" w:rsidR="009F32EA" w:rsidRDefault="003635EC" w:rsidP="003635EC">
      <w:pPr>
        <w:pStyle w:val="Styl2"/>
        <w:numPr>
          <w:ilvl w:val="0"/>
          <w:numId w:val="0"/>
        </w:numPr>
        <w:spacing w:before="240" w:after="120"/>
        <w:ind w:left="567" w:hanging="567"/>
      </w:pPr>
      <w:r>
        <w:t xml:space="preserve">1.1.4 </w:t>
      </w:r>
      <w:r>
        <w:tab/>
      </w:r>
      <w:r w:rsidR="00035012">
        <w:t>Neúčtování o podmíněné pohledávce z titulu uplatněného nároku na náhradu škody v rámci trestního řízení</w:t>
      </w:r>
    </w:p>
    <w:p w14:paraId="5E778524" w14:textId="0883C8DB" w:rsidR="009F32EA" w:rsidRPr="00977892" w:rsidRDefault="00035012" w:rsidP="00977892">
      <w:pPr>
        <w:jc w:val="both"/>
      </w:pPr>
      <w:r w:rsidRPr="00977892">
        <w:rPr>
          <w:b/>
          <w:bCs/>
        </w:rPr>
        <w:t>NSA se jako osoba poškozená připojila</w:t>
      </w:r>
      <w:r w:rsidR="007041AF" w:rsidRPr="00977892">
        <w:rPr>
          <w:b/>
          <w:bCs/>
        </w:rPr>
        <w:t xml:space="preserve"> v roce 2024</w:t>
      </w:r>
      <w:r w:rsidRPr="00977892">
        <w:rPr>
          <w:b/>
          <w:bCs/>
        </w:rPr>
        <w:t xml:space="preserve"> k trestnímu řízení a uplatnila nárok na náhradu škody ve výši 41</w:t>
      </w:r>
      <w:r w:rsidR="00F026C1" w:rsidRPr="00977892">
        <w:rPr>
          <w:b/>
          <w:bCs/>
        </w:rPr>
        <w:t>,2</w:t>
      </w:r>
      <w:r w:rsidRPr="00977892">
        <w:rPr>
          <w:b/>
          <w:bCs/>
        </w:rPr>
        <w:t xml:space="preserve"> mil. Kč</w:t>
      </w:r>
      <w:r w:rsidRPr="001718B3">
        <w:rPr>
          <w:b/>
          <w:bCs/>
        </w:rPr>
        <w:t>,</w:t>
      </w:r>
      <w:r w:rsidRPr="00977892">
        <w:t xml:space="preserve"> a to včetně jeho zajištění na majetku obviněných. O</w:t>
      </w:r>
      <w:r w:rsidR="00767246">
        <w:t> </w:t>
      </w:r>
      <w:r w:rsidRPr="00977892">
        <w:t>zajištění nároku NSA rozhodl</w:t>
      </w:r>
      <w:r w:rsidR="00AC77C7">
        <w:t>o</w:t>
      </w:r>
      <w:r w:rsidRPr="00977892">
        <w:t xml:space="preserve"> v roce 2024 v přípravném řízení státní zastupitelství. </w:t>
      </w:r>
      <w:r w:rsidRPr="00977892">
        <w:rPr>
          <w:b/>
          <w:bCs/>
        </w:rPr>
        <w:t xml:space="preserve">NSA </w:t>
      </w:r>
      <w:r w:rsidR="002A6571">
        <w:rPr>
          <w:b/>
          <w:bCs/>
        </w:rPr>
        <w:t>o</w:t>
      </w:r>
      <w:r w:rsidR="00767246">
        <w:rPr>
          <w:b/>
          <w:bCs/>
        </w:rPr>
        <w:t> </w:t>
      </w:r>
      <w:r w:rsidRPr="00977892">
        <w:rPr>
          <w:b/>
          <w:bCs/>
        </w:rPr>
        <w:t>uplatněn</w:t>
      </w:r>
      <w:r w:rsidR="002A6571">
        <w:rPr>
          <w:b/>
          <w:bCs/>
        </w:rPr>
        <w:t xml:space="preserve">ém </w:t>
      </w:r>
      <w:r w:rsidRPr="00977892">
        <w:rPr>
          <w:b/>
          <w:bCs/>
        </w:rPr>
        <w:t>nárok</w:t>
      </w:r>
      <w:r w:rsidR="002A6571">
        <w:rPr>
          <w:b/>
          <w:bCs/>
        </w:rPr>
        <w:t>u</w:t>
      </w:r>
      <w:r w:rsidRPr="00977892">
        <w:rPr>
          <w:b/>
          <w:bCs/>
        </w:rPr>
        <w:t xml:space="preserve"> na náhradu škody ve výši 41</w:t>
      </w:r>
      <w:r w:rsidR="00F026C1" w:rsidRPr="00977892">
        <w:rPr>
          <w:b/>
          <w:bCs/>
        </w:rPr>
        <w:t>,2</w:t>
      </w:r>
      <w:r w:rsidRPr="00977892">
        <w:rPr>
          <w:b/>
          <w:bCs/>
        </w:rPr>
        <w:t xml:space="preserve"> mil. Kč ne</w:t>
      </w:r>
      <w:r w:rsidR="002A6571">
        <w:rPr>
          <w:b/>
          <w:bCs/>
        </w:rPr>
        <w:t>účtovala</w:t>
      </w:r>
      <w:r w:rsidRPr="00977892">
        <w:rPr>
          <w:b/>
          <w:bCs/>
        </w:rPr>
        <w:t>.</w:t>
      </w:r>
      <w:r w:rsidRPr="00977892">
        <w:t xml:space="preserve"> </w:t>
      </w:r>
    </w:p>
    <w:p w14:paraId="2A3B9A8F" w14:textId="38BCA950" w:rsidR="009F32EA" w:rsidRPr="00977892" w:rsidRDefault="00035012" w:rsidP="00062A05">
      <w:pPr>
        <w:spacing w:after="240"/>
        <w:jc w:val="both"/>
      </w:pPr>
      <w:r w:rsidRPr="00977892">
        <w:rPr>
          <w:b/>
          <w:bCs/>
        </w:rPr>
        <w:t>NSA</w:t>
      </w:r>
      <w:r w:rsidR="007041AF" w:rsidRPr="00977892">
        <w:rPr>
          <w:b/>
          <w:bCs/>
        </w:rPr>
        <w:t xml:space="preserve"> doúčtovala chybějící podmíněnou pohledávku z titulu uplatněného nároku na náhradu škody</w:t>
      </w:r>
      <w:r w:rsidR="007041AF" w:rsidRPr="00977892">
        <w:t xml:space="preserve"> v rámci trestního řízení </w:t>
      </w:r>
      <w:r w:rsidR="007041AF" w:rsidRPr="00977892">
        <w:rPr>
          <w:b/>
          <w:bCs/>
        </w:rPr>
        <w:t>ve výši 41</w:t>
      </w:r>
      <w:r w:rsidR="00F026C1" w:rsidRPr="00977892">
        <w:rPr>
          <w:b/>
          <w:bCs/>
        </w:rPr>
        <w:t>,2</w:t>
      </w:r>
      <w:r w:rsidR="007041AF" w:rsidRPr="00977892">
        <w:rPr>
          <w:b/>
          <w:bCs/>
        </w:rPr>
        <w:t xml:space="preserve"> mil. Kč na účet 948</w:t>
      </w:r>
      <w:r w:rsidR="007041AF" w:rsidRPr="00977892">
        <w:t xml:space="preserve"> – </w:t>
      </w:r>
      <w:r w:rsidR="007041AF" w:rsidRPr="00977892">
        <w:rPr>
          <w:i/>
          <w:iCs/>
        </w:rPr>
        <w:t>Dlouhodobé podmíněné pohledávky ze soudních sporů, správních řízení a jiných řízení</w:t>
      </w:r>
      <w:r w:rsidR="00A21F0D">
        <w:t>;</w:t>
      </w:r>
      <w:r w:rsidR="00472C41">
        <w:t xml:space="preserve"> </w:t>
      </w:r>
      <w:r w:rsidR="00472C41" w:rsidRPr="00472C41">
        <w:t>viz také příloha č. 2 tohoto kontrolního závěru.</w:t>
      </w:r>
      <w:r w:rsidR="007041AF" w:rsidRPr="00977892">
        <w:t xml:space="preserve">  </w:t>
      </w:r>
    </w:p>
    <w:p w14:paraId="4BA529AE" w14:textId="223C042C" w:rsidR="007041AF" w:rsidRDefault="003635EC" w:rsidP="003635EC">
      <w:pPr>
        <w:pStyle w:val="Styl2"/>
        <w:numPr>
          <w:ilvl w:val="0"/>
          <w:numId w:val="0"/>
        </w:numPr>
        <w:spacing w:before="240" w:after="120"/>
        <w:jc w:val="both"/>
      </w:pPr>
      <w:r>
        <w:t xml:space="preserve">1.1.5 </w:t>
      </w:r>
      <w:r w:rsidR="00035012" w:rsidRPr="007041AF">
        <w:t>Nesprávné účtování o nákladech z titulu výplaty peněžních ocenění sportovcům</w:t>
      </w:r>
    </w:p>
    <w:p w14:paraId="1A3CC7DD" w14:textId="0196CD2C" w:rsidR="009F32EA" w:rsidRPr="00977892" w:rsidRDefault="00035012" w:rsidP="00977892">
      <w:pPr>
        <w:jc w:val="both"/>
      </w:pPr>
      <w:r w:rsidRPr="00977892">
        <w:rPr>
          <w:b/>
          <w:bCs/>
        </w:rPr>
        <w:t>NSA v roce 2024 vyplácela peněžní ocenění</w:t>
      </w:r>
      <w:r w:rsidRPr="00977892">
        <w:t xml:space="preserve"> dle nařízení vlády č. 302/2021 Sb.</w:t>
      </w:r>
      <w:r>
        <w:rPr>
          <w:vertAlign w:val="superscript"/>
        </w:rPr>
        <w:footnoteReference w:id="24"/>
      </w:r>
      <w:r w:rsidRPr="00977892">
        <w:t xml:space="preserve"> </w:t>
      </w:r>
      <w:r w:rsidR="00F026C1" w:rsidRPr="00977892">
        <w:t>Jednalo se</w:t>
      </w:r>
      <w:r w:rsidRPr="00977892">
        <w:t xml:space="preserve"> o</w:t>
      </w:r>
      <w:r w:rsidR="00767246">
        <w:t> </w:t>
      </w:r>
      <w:r w:rsidRPr="00977892">
        <w:t xml:space="preserve">ocenění </w:t>
      </w:r>
      <w:r w:rsidRPr="00977892">
        <w:rPr>
          <w:b/>
          <w:bCs/>
        </w:rPr>
        <w:t>sportovců a jejich realizačních týmů za medailová umístění na olympijských a</w:t>
      </w:r>
      <w:r w:rsidR="00767246">
        <w:rPr>
          <w:b/>
          <w:bCs/>
        </w:rPr>
        <w:t> </w:t>
      </w:r>
      <w:r w:rsidRPr="00977892">
        <w:rPr>
          <w:b/>
          <w:bCs/>
        </w:rPr>
        <w:t>paralympijských hrách v Paříži. NSA</w:t>
      </w:r>
      <w:r w:rsidRPr="00977892">
        <w:t xml:space="preserve"> o souvisejících nákladech </w:t>
      </w:r>
      <w:r w:rsidRPr="00977892">
        <w:rPr>
          <w:b/>
          <w:bCs/>
        </w:rPr>
        <w:t xml:space="preserve">účtovala na účtu </w:t>
      </w:r>
      <w:r w:rsidR="00467438">
        <w:rPr>
          <w:b/>
          <w:bCs/>
        </w:rPr>
        <w:br/>
      </w:r>
      <w:r w:rsidRPr="00977892">
        <w:rPr>
          <w:b/>
          <w:bCs/>
        </w:rPr>
        <w:t>549</w:t>
      </w:r>
      <w:r w:rsidRPr="00977892">
        <w:t xml:space="preserve"> – </w:t>
      </w:r>
      <w:r w:rsidRPr="00977892">
        <w:rPr>
          <w:i/>
          <w:iCs/>
        </w:rPr>
        <w:t>Ostatní náklady z činnosti</w:t>
      </w:r>
      <w:r w:rsidRPr="00977892">
        <w:t xml:space="preserve">, </w:t>
      </w:r>
      <w:r w:rsidRPr="00977892">
        <w:rPr>
          <w:b/>
          <w:bCs/>
        </w:rPr>
        <w:t>přestože peněžní ocenění</w:t>
      </w:r>
      <w:r w:rsidRPr="00977892">
        <w:t xml:space="preserve"> sportovců </w:t>
      </w:r>
      <w:r w:rsidRPr="00977892">
        <w:rPr>
          <w:b/>
          <w:bCs/>
        </w:rPr>
        <w:t>mají</w:t>
      </w:r>
      <w:r w:rsidRPr="00977892">
        <w:t xml:space="preserve"> věcně </w:t>
      </w:r>
      <w:r w:rsidRPr="00977892">
        <w:rPr>
          <w:b/>
          <w:bCs/>
        </w:rPr>
        <w:t>charakter podpory a</w:t>
      </w:r>
      <w:r w:rsidR="00767246">
        <w:rPr>
          <w:b/>
          <w:bCs/>
        </w:rPr>
        <w:t> </w:t>
      </w:r>
      <w:r w:rsidRPr="00977892">
        <w:rPr>
          <w:b/>
          <w:bCs/>
        </w:rPr>
        <w:t>odpovídají</w:t>
      </w:r>
      <w:r w:rsidRPr="00977892">
        <w:t xml:space="preserve"> tak </w:t>
      </w:r>
      <w:r w:rsidRPr="00977892">
        <w:rPr>
          <w:b/>
          <w:bCs/>
        </w:rPr>
        <w:t>definici transferu</w:t>
      </w:r>
      <w:r w:rsidRPr="001718B3">
        <w:rPr>
          <w:b/>
          <w:bCs/>
        </w:rPr>
        <w:t>.</w:t>
      </w:r>
      <w:r w:rsidRPr="00977892">
        <w:t xml:space="preserve"> NSA proto měla o těchto účetních případech </w:t>
      </w:r>
      <w:r w:rsidR="006037DB" w:rsidRPr="00977892">
        <w:t xml:space="preserve">účtovat na účtu 571 – </w:t>
      </w:r>
      <w:r w:rsidR="006037DB" w:rsidRPr="00977892">
        <w:rPr>
          <w:i/>
          <w:iCs/>
        </w:rPr>
        <w:t>Náklady vybraných ústředních vládních institucí na transfery</w:t>
      </w:r>
      <w:r w:rsidR="006037DB" w:rsidRPr="00977892">
        <w:t xml:space="preserve">. Tento </w:t>
      </w:r>
      <w:r w:rsidR="006037DB" w:rsidRPr="00977892">
        <w:rPr>
          <w:b/>
          <w:bCs/>
        </w:rPr>
        <w:t>systémový nedostatek byl vyčíslen v částce 32,8 mil. Kč</w:t>
      </w:r>
      <w:r w:rsidR="006037DB" w:rsidRPr="001718B3">
        <w:rPr>
          <w:b/>
          <w:bCs/>
        </w:rPr>
        <w:t>.</w:t>
      </w:r>
    </w:p>
    <w:p w14:paraId="28CC1FFC" w14:textId="77777777" w:rsidR="00B502D1" w:rsidRDefault="00035012" w:rsidP="00062A05">
      <w:pPr>
        <w:spacing w:before="120" w:after="240"/>
        <w:jc w:val="both"/>
      </w:pPr>
      <w:r w:rsidRPr="006037DB">
        <w:rPr>
          <w:b/>
          <w:bCs/>
        </w:rPr>
        <w:t>NSA přeúčtovala částku 32,8 mil. Kč z nesprávného účtu 549</w:t>
      </w:r>
      <w:r>
        <w:t xml:space="preserve"> – </w:t>
      </w:r>
      <w:r w:rsidRPr="006037DB">
        <w:rPr>
          <w:i/>
          <w:iCs/>
        </w:rPr>
        <w:t>Ostatní náklady z činnosti</w:t>
      </w:r>
      <w:r>
        <w:t xml:space="preserve"> </w:t>
      </w:r>
      <w:r w:rsidRPr="006037DB">
        <w:rPr>
          <w:b/>
          <w:bCs/>
        </w:rPr>
        <w:t>na účet 571</w:t>
      </w:r>
      <w:r>
        <w:t xml:space="preserve"> – </w:t>
      </w:r>
      <w:r w:rsidRPr="006037DB">
        <w:rPr>
          <w:i/>
          <w:iCs/>
        </w:rPr>
        <w:t>Náklady vybraných ústředních vládních institucí na transfery</w:t>
      </w:r>
      <w:r>
        <w:t xml:space="preserve">. </w:t>
      </w:r>
      <w:r w:rsidRPr="006037DB">
        <w:rPr>
          <w:b/>
          <w:bCs/>
        </w:rPr>
        <w:t>Dále NSA přijala systémové opatření v podobě úpravy účtového rozvrhu a</w:t>
      </w:r>
      <w:r>
        <w:t xml:space="preserve"> též v podobě </w:t>
      </w:r>
      <w:r w:rsidRPr="006037DB">
        <w:rPr>
          <w:b/>
          <w:bCs/>
        </w:rPr>
        <w:t>nastavení</w:t>
      </w:r>
      <w:r>
        <w:t xml:space="preserve"> příslušné </w:t>
      </w:r>
      <w:r w:rsidRPr="006037DB">
        <w:rPr>
          <w:b/>
          <w:bCs/>
        </w:rPr>
        <w:t>automatické předkontace</w:t>
      </w:r>
      <w:r>
        <w:t xml:space="preserve"> v ekonomickém informačním systému NSA.</w:t>
      </w:r>
    </w:p>
    <w:p w14:paraId="39F3D0F4" w14:textId="437FAB40" w:rsidR="006037DB" w:rsidRDefault="003635EC" w:rsidP="003635EC">
      <w:pPr>
        <w:pStyle w:val="Styl2"/>
        <w:numPr>
          <w:ilvl w:val="0"/>
          <w:numId w:val="0"/>
        </w:numPr>
        <w:spacing w:before="240" w:after="120"/>
        <w:jc w:val="both"/>
      </w:pPr>
      <w:r>
        <w:t xml:space="preserve">1.1.6 </w:t>
      </w:r>
      <w:r w:rsidR="00035012" w:rsidRPr="005F3092">
        <w:t>Ne</w:t>
      </w:r>
      <w:r w:rsidR="005F3092" w:rsidRPr="005F3092">
        <w:t xml:space="preserve">vykazování ekonomického informačního systému NSA na účtu 013 – </w:t>
      </w:r>
      <w:r w:rsidR="005F3092" w:rsidRPr="001718B3">
        <w:rPr>
          <w:i/>
          <w:iCs/>
        </w:rPr>
        <w:t>Software</w:t>
      </w:r>
    </w:p>
    <w:p w14:paraId="59A3E247" w14:textId="77777777" w:rsidR="006037DB" w:rsidRDefault="00035012" w:rsidP="006575BB">
      <w:pPr>
        <w:spacing w:before="120"/>
        <w:jc w:val="both"/>
        <w:rPr>
          <w:rFonts w:asciiTheme="minorHAnsi" w:hAnsiTheme="minorHAnsi" w:cstheme="minorHAnsi"/>
        </w:rPr>
      </w:pPr>
      <w:r w:rsidRPr="005F3092">
        <w:rPr>
          <w:rFonts w:asciiTheme="minorHAnsi" w:hAnsiTheme="minorHAnsi" w:cstheme="minorHAnsi"/>
          <w:b/>
          <w:bCs/>
        </w:rPr>
        <w:t>NSA v roce 2023 a 2024 pořizovala</w:t>
      </w:r>
      <w:r>
        <w:rPr>
          <w:rFonts w:asciiTheme="minorHAnsi" w:hAnsiTheme="minorHAnsi" w:cstheme="minorHAnsi"/>
        </w:rPr>
        <w:t xml:space="preserve">, </w:t>
      </w:r>
      <w:r w:rsidRPr="005F3092">
        <w:rPr>
          <w:rFonts w:asciiTheme="minorHAnsi" w:hAnsiTheme="minorHAnsi" w:cstheme="minorHAnsi"/>
          <w:b/>
          <w:bCs/>
        </w:rPr>
        <w:t>resp. technicky zhodnocovala</w:t>
      </w:r>
      <w:r>
        <w:rPr>
          <w:rFonts w:asciiTheme="minorHAnsi" w:hAnsiTheme="minorHAnsi" w:cstheme="minorHAnsi"/>
        </w:rPr>
        <w:t xml:space="preserve"> dlouhodobý nehmotný majetek – </w:t>
      </w:r>
      <w:r w:rsidRPr="005F3092">
        <w:rPr>
          <w:rFonts w:asciiTheme="minorHAnsi" w:hAnsiTheme="minorHAnsi" w:cstheme="minorHAnsi"/>
          <w:b/>
          <w:bCs/>
        </w:rPr>
        <w:t>ekonomický informační systém NSA</w:t>
      </w:r>
      <w:r w:rsidRPr="001718B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O pořízení tohoto dlouhodobého nehmotného majetku a o jeho technickém zhodnocení však NSA </w:t>
      </w:r>
      <w:r w:rsidRPr="005F3092">
        <w:rPr>
          <w:rFonts w:asciiTheme="minorHAnsi" w:hAnsiTheme="minorHAnsi" w:cstheme="minorHAnsi"/>
          <w:b/>
          <w:bCs/>
        </w:rPr>
        <w:t>účtovala</w:t>
      </w:r>
      <w:r>
        <w:rPr>
          <w:rFonts w:asciiTheme="minorHAnsi" w:hAnsiTheme="minorHAnsi" w:cstheme="minorHAnsi"/>
        </w:rPr>
        <w:t xml:space="preserve"> </w:t>
      </w:r>
      <w:r w:rsidRPr="005F3092">
        <w:rPr>
          <w:rFonts w:asciiTheme="minorHAnsi" w:hAnsiTheme="minorHAnsi" w:cstheme="minorHAnsi"/>
          <w:b/>
          <w:bCs/>
        </w:rPr>
        <w:t>ve výši 15,5 mil. Kč nesprávně do nákladů na účet 518</w:t>
      </w:r>
      <w:r>
        <w:rPr>
          <w:rFonts w:asciiTheme="minorHAnsi" w:hAnsiTheme="minorHAnsi" w:cstheme="minorHAnsi"/>
        </w:rPr>
        <w:t xml:space="preserve"> – </w:t>
      </w:r>
      <w:r w:rsidRPr="006C3EB6">
        <w:rPr>
          <w:rFonts w:asciiTheme="minorHAnsi" w:hAnsiTheme="minorHAnsi" w:cstheme="minorHAnsi"/>
          <w:i/>
          <w:iCs/>
        </w:rPr>
        <w:t>Ostatní služby</w:t>
      </w:r>
      <w:r>
        <w:rPr>
          <w:rFonts w:asciiTheme="minorHAnsi" w:hAnsiTheme="minorHAnsi" w:cstheme="minorHAnsi"/>
          <w:i/>
          <w:iCs/>
        </w:rPr>
        <w:t xml:space="preserve"> </w:t>
      </w:r>
      <w:r w:rsidRPr="005F3092">
        <w:rPr>
          <w:rFonts w:asciiTheme="minorHAnsi" w:hAnsiTheme="minorHAnsi" w:cstheme="minorHAnsi"/>
          <w:b/>
          <w:bCs/>
        </w:rPr>
        <w:t>namísto na účet 013</w:t>
      </w:r>
      <w:r>
        <w:rPr>
          <w:rFonts w:asciiTheme="minorHAnsi" w:hAnsiTheme="minorHAnsi" w:cstheme="minorHAnsi"/>
        </w:rPr>
        <w:t xml:space="preserve"> – </w:t>
      </w:r>
      <w:r w:rsidRPr="007D34CD">
        <w:rPr>
          <w:rFonts w:asciiTheme="minorHAnsi" w:hAnsiTheme="minorHAnsi" w:cstheme="minorHAnsi"/>
          <w:i/>
          <w:iCs/>
        </w:rPr>
        <w:t>Software</w:t>
      </w:r>
      <w:r>
        <w:rPr>
          <w:rFonts w:asciiTheme="minorHAnsi" w:hAnsiTheme="minorHAnsi" w:cstheme="minorHAnsi"/>
        </w:rPr>
        <w:t xml:space="preserve">. </w:t>
      </w:r>
      <w:r w:rsidRPr="005F3092">
        <w:rPr>
          <w:rFonts w:asciiTheme="minorHAnsi" w:hAnsiTheme="minorHAnsi" w:cstheme="minorHAnsi"/>
          <w:b/>
          <w:bCs/>
        </w:rPr>
        <w:t>Dále</w:t>
      </w:r>
      <w:r>
        <w:rPr>
          <w:rFonts w:asciiTheme="minorHAnsi" w:hAnsiTheme="minorHAnsi" w:cstheme="minorHAnsi"/>
        </w:rPr>
        <w:t xml:space="preserve"> pak NSA </w:t>
      </w:r>
      <w:r w:rsidRPr="005F3092">
        <w:rPr>
          <w:rFonts w:asciiTheme="minorHAnsi" w:hAnsiTheme="minorHAnsi" w:cstheme="minorHAnsi"/>
          <w:b/>
          <w:bCs/>
        </w:rPr>
        <w:t>předprojektové přípravné práce</w:t>
      </w:r>
      <w:r>
        <w:rPr>
          <w:rFonts w:asciiTheme="minorHAnsi" w:hAnsiTheme="minorHAnsi" w:cstheme="minorHAnsi"/>
        </w:rPr>
        <w:t xml:space="preserve"> související s pořízením ekonomického informačního </w:t>
      </w:r>
      <w:r>
        <w:rPr>
          <w:rFonts w:asciiTheme="minorHAnsi" w:hAnsiTheme="minorHAnsi" w:cstheme="minorHAnsi"/>
        </w:rPr>
        <w:lastRenderedPageBreak/>
        <w:t xml:space="preserve">systému </w:t>
      </w:r>
      <w:r w:rsidRPr="005F3092">
        <w:rPr>
          <w:rFonts w:asciiTheme="minorHAnsi" w:hAnsiTheme="minorHAnsi" w:cstheme="minorHAnsi"/>
          <w:b/>
          <w:bCs/>
        </w:rPr>
        <w:t>vykazovala ve výši 0,6 mil. Kč na účtu 041</w:t>
      </w:r>
      <w:r>
        <w:rPr>
          <w:rFonts w:asciiTheme="minorHAnsi" w:hAnsiTheme="minorHAnsi" w:cstheme="minorHAnsi"/>
        </w:rPr>
        <w:t xml:space="preserve"> – </w:t>
      </w:r>
      <w:r w:rsidRPr="00B171D9">
        <w:rPr>
          <w:rFonts w:asciiTheme="minorHAnsi" w:hAnsiTheme="minorHAnsi" w:cstheme="minorHAnsi"/>
          <w:i/>
          <w:iCs/>
        </w:rPr>
        <w:t>Nedokončený dlouhodobý nehmotný majetek</w:t>
      </w:r>
      <w:r>
        <w:rPr>
          <w:rFonts w:asciiTheme="minorHAnsi" w:hAnsiTheme="minorHAnsi" w:cstheme="minorHAnsi"/>
        </w:rPr>
        <w:t xml:space="preserve">, </w:t>
      </w:r>
      <w:r w:rsidRPr="005F3092">
        <w:rPr>
          <w:rFonts w:asciiTheme="minorHAnsi" w:hAnsiTheme="minorHAnsi" w:cstheme="minorHAnsi"/>
          <w:b/>
          <w:bCs/>
        </w:rPr>
        <w:t>přestože byl tento majetek již způsobilý k užívání</w:t>
      </w:r>
      <w:r w:rsidRPr="001718B3">
        <w:rPr>
          <w:rFonts w:asciiTheme="minorHAnsi" w:hAnsiTheme="minorHAnsi" w:cstheme="minorHAnsi"/>
          <w:b/>
          <w:bCs/>
        </w:rPr>
        <w:t>.</w:t>
      </w:r>
    </w:p>
    <w:p w14:paraId="7F2C9C20" w14:textId="77777777" w:rsidR="005F3092" w:rsidRDefault="00035012" w:rsidP="00062A05">
      <w:pPr>
        <w:spacing w:before="120" w:after="240"/>
        <w:jc w:val="both"/>
        <w:rPr>
          <w:rFonts w:asciiTheme="minorHAnsi" w:hAnsiTheme="minorHAnsi" w:cstheme="minorHAnsi"/>
        </w:rPr>
      </w:pPr>
      <w:r w:rsidRPr="005F3092">
        <w:rPr>
          <w:rFonts w:asciiTheme="minorHAnsi" w:hAnsiTheme="minorHAnsi" w:cstheme="minorHAnsi"/>
          <w:b/>
          <w:bCs/>
        </w:rPr>
        <w:t>NSA zařadila ekonomický informační systém v celkové výši 16,</w:t>
      </w:r>
      <w:r w:rsidR="006F0571">
        <w:rPr>
          <w:rFonts w:asciiTheme="minorHAnsi" w:hAnsiTheme="minorHAnsi" w:cstheme="minorHAnsi"/>
          <w:b/>
          <w:bCs/>
        </w:rPr>
        <w:t>2</w:t>
      </w:r>
      <w:r w:rsidRPr="005F3092">
        <w:rPr>
          <w:rFonts w:asciiTheme="minorHAnsi" w:hAnsiTheme="minorHAnsi" w:cstheme="minorHAnsi"/>
          <w:b/>
          <w:bCs/>
        </w:rPr>
        <w:t xml:space="preserve"> mil. Kč</w:t>
      </w:r>
      <w:r>
        <w:rPr>
          <w:rFonts w:asciiTheme="minorHAnsi" w:hAnsiTheme="minorHAnsi" w:cstheme="minorHAnsi"/>
        </w:rPr>
        <w:t xml:space="preserve"> do dlouhodobého nehmotného majetku </w:t>
      </w:r>
      <w:r w:rsidRPr="005F3092">
        <w:rPr>
          <w:rFonts w:asciiTheme="minorHAnsi" w:hAnsiTheme="minorHAnsi" w:cstheme="minorHAnsi"/>
          <w:b/>
          <w:bCs/>
        </w:rPr>
        <w:t>na účet 013</w:t>
      </w:r>
      <w:r>
        <w:rPr>
          <w:rFonts w:asciiTheme="minorHAnsi" w:hAnsiTheme="minorHAnsi" w:cstheme="minorHAnsi"/>
        </w:rPr>
        <w:t xml:space="preserve"> – </w:t>
      </w:r>
      <w:r w:rsidRPr="005F3092">
        <w:rPr>
          <w:rFonts w:asciiTheme="minorHAnsi" w:hAnsiTheme="minorHAnsi" w:cstheme="minorHAnsi"/>
          <w:i/>
          <w:iCs/>
        </w:rPr>
        <w:t>Software</w:t>
      </w:r>
      <w:r w:rsidRPr="005F3092">
        <w:rPr>
          <w:rFonts w:asciiTheme="minorHAnsi" w:hAnsiTheme="minorHAnsi" w:cstheme="minorHAnsi"/>
        </w:rPr>
        <w:t xml:space="preserve">, </w:t>
      </w:r>
      <w:r w:rsidRPr="005F3092">
        <w:rPr>
          <w:rFonts w:asciiTheme="minorHAnsi" w:hAnsiTheme="minorHAnsi" w:cstheme="minorHAnsi"/>
          <w:b/>
          <w:bCs/>
        </w:rPr>
        <w:t>prostřednictvím účtu 408</w:t>
      </w:r>
      <w:r>
        <w:rPr>
          <w:rFonts w:asciiTheme="minorHAnsi" w:hAnsiTheme="minorHAnsi" w:cstheme="minorHAnsi"/>
        </w:rPr>
        <w:t xml:space="preserve"> – </w:t>
      </w:r>
      <w:r w:rsidRPr="005F3092">
        <w:rPr>
          <w:rFonts w:asciiTheme="minorHAnsi" w:hAnsiTheme="minorHAnsi" w:cstheme="minorHAnsi"/>
          <w:i/>
          <w:iCs/>
        </w:rPr>
        <w:t>Opravy předcházejících účetních období</w:t>
      </w:r>
      <w:r>
        <w:rPr>
          <w:rFonts w:asciiTheme="minorHAnsi" w:hAnsiTheme="minorHAnsi" w:cstheme="minorHAnsi"/>
        </w:rPr>
        <w:t xml:space="preserve"> </w:t>
      </w:r>
      <w:r w:rsidRPr="005F3092">
        <w:rPr>
          <w:rFonts w:asciiTheme="minorHAnsi" w:hAnsiTheme="minorHAnsi" w:cstheme="minorHAnsi"/>
          <w:b/>
          <w:bCs/>
        </w:rPr>
        <w:t>opravila výši výsledku hospodaření minulého účetního období, nastavila</w:t>
      </w:r>
      <w:r w:rsidRPr="005F3092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5F3092">
        <w:rPr>
          <w:rFonts w:asciiTheme="minorHAnsi" w:hAnsiTheme="minorHAnsi" w:cstheme="minorHAnsi"/>
          <w:b/>
          <w:bCs/>
        </w:rPr>
        <w:t>odpisový plán</w:t>
      </w:r>
      <w:r>
        <w:rPr>
          <w:rFonts w:asciiTheme="minorHAnsi" w:hAnsiTheme="minorHAnsi" w:cstheme="minorHAnsi"/>
        </w:rPr>
        <w:t xml:space="preserve"> u této majetkové položky </w:t>
      </w:r>
      <w:r w:rsidRPr="005F3092">
        <w:rPr>
          <w:rFonts w:asciiTheme="minorHAnsi" w:hAnsiTheme="minorHAnsi" w:cstheme="minorHAnsi"/>
          <w:b/>
          <w:bCs/>
        </w:rPr>
        <w:t>a provedla mimořádné odpisy</w:t>
      </w:r>
      <w:r>
        <w:rPr>
          <w:rFonts w:asciiTheme="minorHAnsi" w:hAnsiTheme="minorHAnsi" w:cstheme="minorHAnsi"/>
        </w:rPr>
        <w:t xml:space="preserve"> za dobu, kdy tento majetek neodepisovala.</w:t>
      </w:r>
    </w:p>
    <w:p w14:paraId="6D6E6BC3" w14:textId="51EF2B1F" w:rsidR="00C90EF7" w:rsidRDefault="003635EC" w:rsidP="003635EC">
      <w:pPr>
        <w:pStyle w:val="Styl2"/>
        <w:numPr>
          <w:ilvl w:val="0"/>
          <w:numId w:val="0"/>
        </w:numPr>
        <w:spacing w:before="240" w:after="120"/>
        <w:jc w:val="both"/>
      </w:pPr>
      <w:r>
        <w:t xml:space="preserve">1.1.7 </w:t>
      </w:r>
      <w:r w:rsidR="00035012">
        <w:t>Nesprávné účtování o nákladech z titulu platby členského příspěvku</w:t>
      </w:r>
    </w:p>
    <w:p w14:paraId="402906A9" w14:textId="77777777" w:rsidR="008755E0" w:rsidRPr="00B51BB3" w:rsidRDefault="00035012" w:rsidP="00B51BB3">
      <w:pPr>
        <w:jc w:val="both"/>
      </w:pPr>
      <w:r w:rsidRPr="00B51BB3">
        <w:rPr>
          <w:b/>
          <w:bCs/>
        </w:rPr>
        <w:t xml:space="preserve">NSA účtovala náklady </w:t>
      </w:r>
      <w:r w:rsidR="0052733E" w:rsidRPr="00B51BB3">
        <w:rPr>
          <w:b/>
          <w:bCs/>
        </w:rPr>
        <w:t xml:space="preserve">ve výši 3,2 mil. Kč </w:t>
      </w:r>
      <w:r w:rsidRPr="00B51BB3">
        <w:rPr>
          <w:b/>
          <w:bCs/>
        </w:rPr>
        <w:t xml:space="preserve">spojené s úhradou členského příspěvku </w:t>
      </w:r>
      <w:r w:rsidRPr="00B51BB3">
        <w:t xml:space="preserve">mezinárodní organizaci nesprávně </w:t>
      </w:r>
      <w:r w:rsidRPr="00B51BB3">
        <w:rPr>
          <w:b/>
          <w:bCs/>
        </w:rPr>
        <w:t>na účtu 538</w:t>
      </w:r>
      <w:r w:rsidRPr="00B51BB3">
        <w:t xml:space="preserve"> – </w:t>
      </w:r>
      <w:r w:rsidRPr="00B51BB3">
        <w:rPr>
          <w:i/>
          <w:iCs/>
        </w:rPr>
        <w:t>Jiné daně a poplatky</w:t>
      </w:r>
      <w:r w:rsidRPr="00B51BB3">
        <w:t xml:space="preserve">, přestože </w:t>
      </w:r>
      <w:r w:rsidRPr="00B51BB3">
        <w:rPr>
          <w:b/>
          <w:bCs/>
        </w:rPr>
        <w:t>členské příspěvky jsou transferem</w:t>
      </w:r>
      <w:r w:rsidR="001244DF" w:rsidRPr="00B51BB3">
        <w:rPr>
          <w:b/>
          <w:bCs/>
        </w:rPr>
        <w:t>, o kterém se účtuje prostřednictvím účtu 571</w:t>
      </w:r>
      <w:r w:rsidR="001244DF" w:rsidRPr="00B51BB3">
        <w:t xml:space="preserve"> – </w:t>
      </w:r>
      <w:r w:rsidR="001244DF" w:rsidRPr="00B51BB3">
        <w:rPr>
          <w:i/>
          <w:iCs/>
        </w:rPr>
        <w:t>Náklady vybraných ústředních vládních institucí na transfery</w:t>
      </w:r>
      <w:r w:rsidR="001244DF" w:rsidRPr="00B51BB3">
        <w:t>.</w:t>
      </w:r>
    </w:p>
    <w:p w14:paraId="00F14DC0" w14:textId="77777777" w:rsidR="00C90EF7" w:rsidRPr="00B51BB3" w:rsidRDefault="00035012" w:rsidP="00062A05">
      <w:pPr>
        <w:spacing w:after="240"/>
        <w:jc w:val="both"/>
      </w:pPr>
      <w:r w:rsidRPr="00B51BB3">
        <w:rPr>
          <w:b/>
          <w:bCs/>
        </w:rPr>
        <w:t>NSA přeúčtovala částku 3,2 mil. Kč z nesprávného účtu 538</w:t>
      </w:r>
      <w:r w:rsidRPr="00B51BB3">
        <w:t xml:space="preserve"> – </w:t>
      </w:r>
      <w:r w:rsidRPr="00B51BB3">
        <w:rPr>
          <w:i/>
          <w:iCs/>
        </w:rPr>
        <w:t>Jiné daně a poplatky</w:t>
      </w:r>
      <w:r w:rsidRPr="00B51BB3">
        <w:t xml:space="preserve"> </w:t>
      </w:r>
      <w:r w:rsidRPr="00B51BB3">
        <w:rPr>
          <w:b/>
          <w:bCs/>
        </w:rPr>
        <w:t>na účet 571</w:t>
      </w:r>
      <w:r w:rsidRPr="00B51BB3">
        <w:t xml:space="preserve"> – </w:t>
      </w:r>
      <w:r w:rsidRPr="00B51BB3">
        <w:rPr>
          <w:i/>
          <w:iCs/>
        </w:rPr>
        <w:t>Náklady vybraných ústředních vládních institucí na transfery</w:t>
      </w:r>
      <w:r w:rsidRPr="00B51BB3">
        <w:t>.</w:t>
      </w:r>
    </w:p>
    <w:p w14:paraId="444075BF" w14:textId="497627C9" w:rsidR="00B00959" w:rsidRDefault="003635EC" w:rsidP="003635EC">
      <w:pPr>
        <w:pStyle w:val="Styl2"/>
        <w:numPr>
          <w:ilvl w:val="0"/>
          <w:numId w:val="0"/>
        </w:numPr>
        <w:spacing w:before="240" w:after="120"/>
        <w:jc w:val="both"/>
      </w:pPr>
      <w:r>
        <w:t xml:space="preserve">1.1.8 </w:t>
      </w:r>
      <w:r w:rsidR="00035012">
        <w:t>Nevykazování rezerv a podmíněných závazků ze soudních sporů</w:t>
      </w:r>
    </w:p>
    <w:p w14:paraId="77F206A9" w14:textId="77777777" w:rsidR="00B00959" w:rsidRPr="00B51BB3" w:rsidRDefault="00035012" w:rsidP="00B51BB3">
      <w:pPr>
        <w:jc w:val="both"/>
        <w:rPr>
          <w:b/>
          <w:bCs/>
        </w:rPr>
      </w:pPr>
      <w:r w:rsidRPr="00B51BB3">
        <w:rPr>
          <w:b/>
          <w:bCs/>
        </w:rPr>
        <w:t xml:space="preserve">NSA do 30. září 2024 nevykazovala v účetních závěrkách žádné rezervy ani podmíněné závazky ze soudních sporů, přestože vede a rovněž i v minulosti vedla soudní spory, ve kterých vystupuje jako strana žalovaná. </w:t>
      </w:r>
      <w:r w:rsidRPr="00B51BB3">
        <w:t>Tento</w:t>
      </w:r>
      <w:r w:rsidRPr="00B51BB3">
        <w:rPr>
          <w:b/>
          <w:bCs/>
        </w:rPr>
        <w:t xml:space="preserve"> systémový nedostatek byl vyčíslen v částce 2,7 mil. Kč. </w:t>
      </w:r>
    </w:p>
    <w:p w14:paraId="1AF68ABE" w14:textId="0BFEFFB3" w:rsidR="00B00959" w:rsidRPr="00B51BB3" w:rsidRDefault="00035012" w:rsidP="00062A05">
      <w:pPr>
        <w:spacing w:after="240"/>
        <w:jc w:val="both"/>
      </w:pPr>
      <w:r w:rsidRPr="00B51BB3">
        <w:rPr>
          <w:b/>
          <w:bCs/>
        </w:rPr>
        <w:t>NSA k aktivnímu soudnímu sporu</w:t>
      </w:r>
      <w:r w:rsidRPr="001718B3">
        <w:rPr>
          <w:b/>
          <w:bCs/>
        </w:rPr>
        <w:t>,</w:t>
      </w:r>
      <w:r w:rsidRPr="00B51BB3">
        <w:t xml:space="preserve"> ve kterém vystupovala jako strana žalovaná</w:t>
      </w:r>
      <w:r w:rsidR="00A21F0D">
        <w:t>,</w:t>
      </w:r>
      <w:r w:rsidRPr="00B51BB3">
        <w:t xml:space="preserve"> </w:t>
      </w:r>
      <w:r w:rsidRPr="00B51BB3">
        <w:rPr>
          <w:b/>
          <w:bCs/>
        </w:rPr>
        <w:t>vytvořila rezervu prostřednictvím účtu 555</w:t>
      </w:r>
      <w:r w:rsidRPr="00B51BB3">
        <w:t xml:space="preserve"> – </w:t>
      </w:r>
      <w:r w:rsidRPr="00B51BB3">
        <w:rPr>
          <w:i/>
          <w:iCs/>
        </w:rPr>
        <w:t>Tvorba a zúčtování rezerv</w:t>
      </w:r>
      <w:r w:rsidRPr="00B51BB3">
        <w:t xml:space="preserve"> </w:t>
      </w:r>
      <w:r w:rsidRPr="00B51BB3">
        <w:rPr>
          <w:b/>
          <w:bCs/>
        </w:rPr>
        <w:t>a 441</w:t>
      </w:r>
      <w:r w:rsidRPr="00B51BB3">
        <w:t xml:space="preserve"> – </w:t>
      </w:r>
      <w:r w:rsidRPr="00B51BB3">
        <w:rPr>
          <w:i/>
          <w:iCs/>
        </w:rPr>
        <w:t>Rezervy</w:t>
      </w:r>
      <w:r w:rsidRPr="00B51BB3">
        <w:t xml:space="preserve"> </w:t>
      </w:r>
      <w:r w:rsidRPr="00B51BB3">
        <w:rPr>
          <w:b/>
          <w:bCs/>
        </w:rPr>
        <w:t>ve výši 2,7</w:t>
      </w:r>
      <w:r w:rsidR="00767246">
        <w:rPr>
          <w:b/>
          <w:bCs/>
        </w:rPr>
        <w:t> </w:t>
      </w:r>
      <w:r w:rsidRPr="00B51BB3">
        <w:rPr>
          <w:b/>
          <w:bCs/>
        </w:rPr>
        <w:t>mil.</w:t>
      </w:r>
      <w:r w:rsidR="00767246">
        <w:rPr>
          <w:b/>
          <w:bCs/>
        </w:rPr>
        <w:t> </w:t>
      </w:r>
      <w:r w:rsidRPr="00B51BB3">
        <w:rPr>
          <w:b/>
          <w:bCs/>
        </w:rPr>
        <w:t>Kč. NSA dále přijala systémové opatření v podobě vnitřního předpisu, ve kterém stanovila hranici významnosti pro podmíněné pohledávky a závazky ze soudních sporů</w:t>
      </w:r>
      <w:r w:rsidR="00A21F0D">
        <w:rPr>
          <w:b/>
          <w:bCs/>
        </w:rPr>
        <w:t>;</w:t>
      </w:r>
      <w:r w:rsidR="00472C41" w:rsidRPr="00CE7471">
        <w:t xml:space="preserve"> </w:t>
      </w:r>
      <w:r w:rsidR="00472C41" w:rsidRPr="00472C41">
        <w:t>viz také příloha č. 2 tohoto kontrolního závěru.</w:t>
      </w:r>
      <w:r w:rsidRPr="00B51BB3">
        <w:rPr>
          <w:b/>
          <w:bCs/>
        </w:rPr>
        <w:t xml:space="preserve"> Dále NSA vypracovala přehled všech</w:t>
      </w:r>
      <w:r w:rsidRPr="00B51BB3">
        <w:t xml:space="preserve"> dosud vedených </w:t>
      </w:r>
      <w:r w:rsidRPr="00B51BB3">
        <w:rPr>
          <w:b/>
          <w:bCs/>
        </w:rPr>
        <w:t>soudních sporů</w:t>
      </w:r>
      <w:r w:rsidRPr="00B51BB3">
        <w:t xml:space="preserve"> s jejich rozdělením na aktivní a skončené a u jednotlivých soudních sporů uvedla, s jakou pravděpodobností se dá očekávat, že NSA soudní spor prohraje. </w:t>
      </w:r>
      <w:r w:rsidRPr="00B51BB3">
        <w:rPr>
          <w:b/>
          <w:bCs/>
        </w:rPr>
        <w:t xml:space="preserve">NSA </w:t>
      </w:r>
      <w:r w:rsidR="00880AE7">
        <w:rPr>
          <w:b/>
          <w:bCs/>
        </w:rPr>
        <w:t>zavedla</w:t>
      </w:r>
      <w:r w:rsidR="00880AE7" w:rsidRPr="00B51BB3">
        <w:rPr>
          <w:b/>
          <w:bCs/>
        </w:rPr>
        <w:t xml:space="preserve"> </w:t>
      </w:r>
      <w:r w:rsidRPr="00B51BB3">
        <w:rPr>
          <w:b/>
          <w:bCs/>
        </w:rPr>
        <w:t xml:space="preserve">každoroční aktualizaci přehledu soudních sporů a jeho předávání účtárně </w:t>
      </w:r>
      <w:r w:rsidRPr="00B51BB3">
        <w:t>NSA</w:t>
      </w:r>
      <w:r w:rsidRPr="00B51BB3">
        <w:rPr>
          <w:b/>
          <w:bCs/>
        </w:rPr>
        <w:t xml:space="preserve"> jako podklad pro účtování</w:t>
      </w:r>
      <w:r w:rsidRPr="00B51BB3">
        <w:t xml:space="preserve"> o rezervách či podmíněných pohledávkách a podmíněných závazcích ze soudních sporů. </w:t>
      </w:r>
    </w:p>
    <w:p w14:paraId="7F354C8C" w14:textId="4DCF2382" w:rsidR="0052733E" w:rsidRDefault="003635EC" w:rsidP="003635EC">
      <w:pPr>
        <w:pStyle w:val="Styl2"/>
        <w:numPr>
          <w:ilvl w:val="0"/>
          <w:numId w:val="0"/>
        </w:numPr>
        <w:spacing w:before="240" w:after="120"/>
        <w:jc w:val="both"/>
      </w:pPr>
      <w:r>
        <w:t xml:space="preserve">1.1.9 </w:t>
      </w:r>
      <w:r w:rsidR="00035012">
        <w:t>N</w:t>
      </w:r>
      <w:r w:rsidR="00035012" w:rsidRPr="00477F41">
        <w:t xml:space="preserve">esprávné účtování </w:t>
      </w:r>
      <w:r w:rsidR="00477F41" w:rsidRPr="00477F41">
        <w:t>mzdových nákladů</w:t>
      </w:r>
    </w:p>
    <w:p w14:paraId="3AC69989" w14:textId="23D7DF2F" w:rsidR="008755E0" w:rsidRPr="00B51BB3" w:rsidRDefault="00035012" w:rsidP="00B51BB3">
      <w:pPr>
        <w:jc w:val="both"/>
      </w:pPr>
      <w:r w:rsidRPr="00B51BB3">
        <w:rPr>
          <w:b/>
          <w:bCs/>
        </w:rPr>
        <w:t>NSA o některých mzdových nákladech vztahujících se k platům zaměstnanců v pracovním poměru účtovala na nesprávném účtu 527</w:t>
      </w:r>
      <w:r w:rsidRPr="00B51BB3">
        <w:t xml:space="preserve"> – </w:t>
      </w:r>
      <w:r w:rsidRPr="00B51BB3">
        <w:rPr>
          <w:i/>
          <w:iCs/>
        </w:rPr>
        <w:t>Zákonné sociální náklady</w:t>
      </w:r>
      <w:r w:rsidRPr="00B51BB3">
        <w:t xml:space="preserve"> </w:t>
      </w:r>
      <w:r w:rsidRPr="00B51BB3">
        <w:rPr>
          <w:b/>
          <w:bCs/>
        </w:rPr>
        <w:t xml:space="preserve">namísto na účtu </w:t>
      </w:r>
      <w:r w:rsidR="00467438">
        <w:rPr>
          <w:b/>
          <w:bCs/>
        </w:rPr>
        <w:br/>
      </w:r>
      <w:r w:rsidRPr="00B51BB3">
        <w:rPr>
          <w:b/>
          <w:bCs/>
        </w:rPr>
        <w:t>521</w:t>
      </w:r>
      <w:r w:rsidRPr="00B51BB3">
        <w:t xml:space="preserve"> – </w:t>
      </w:r>
      <w:r w:rsidRPr="00B51BB3">
        <w:rPr>
          <w:i/>
          <w:iCs/>
        </w:rPr>
        <w:t>Mzdové náklady</w:t>
      </w:r>
      <w:r w:rsidR="00EB6396" w:rsidRPr="00B51BB3">
        <w:t xml:space="preserve">. </w:t>
      </w:r>
      <w:r w:rsidR="00EB6396" w:rsidRPr="00B51BB3">
        <w:rPr>
          <w:b/>
          <w:bCs/>
        </w:rPr>
        <w:t>Celkem se jednalo o 1,8 mil. Kč.</w:t>
      </w:r>
    </w:p>
    <w:p w14:paraId="6FFCEE37" w14:textId="77777777" w:rsidR="00EB6396" w:rsidRPr="00B51BB3" w:rsidRDefault="00035012" w:rsidP="00062A05">
      <w:pPr>
        <w:spacing w:after="240"/>
        <w:jc w:val="both"/>
      </w:pPr>
      <w:r w:rsidRPr="00B51BB3">
        <w:rPr>
          <w:b/>
          <w:bCs/>
        </w:rPr>
        <w:t xml:space="preserve">NSA přeúčtovala částku 1,8 mil. Kč z nesprávného účtu 527 </w:t>
      </w:r>
      <w:r w:rsidRPr="00B51BB3">
        <w:t xml:space="preserve">– </w:t>
      </w:r>
      <w:r w:rsidRPr="00B51BB3">
        <w:rPr>
          <w:i/>
          <w:iCs/>
        </w:rPr>
        <w:t>Zákonné sociální náklady</w:t>
      </w:r>
      <w:r w:rsidRPr="00B51BB3">
        <w:t xml:space="preserve"> </w:t>
      </w:r>
      <w:r w:rsidRPr="00B51BB3">
        <w:rPr>
          <w:b/>
          <w:bCs/>
        </w:rPr>
        <w:t>na účet 521</w:t>
      </w:r>
      <w:r w:rsidRPr="00B51BB3">
        <w:t xml:space="preserve"> – </w:t>
      </w:r>
      <w:r w:rsidRPr="00B51BB3">
        <w:rPr>
          <w:i/>
          <w:iCs/>
        </w:rPr>
        <w:t>Mzdové náklady</w:t>
      </w:r>
      <w:r w:rsidRPr="00B51BB3">
        <w:t>.</w:t>
      </w:r>
    </w:p>
    <w:p w14:paraId="554B9ED4" w14:textId="759E0181" w:rsidR="00F77888" w:rsidRDefault="003635EC" w:rsidP="003635EC">
      <w:pPr>
        <w:pStyle w:val="Styl2"/>
        <w:numPr>
          <w:ilvl w:val="0"/>
          <w:numId w:val="0"/>
        </w:numPr>
        <w:spacing w:before="240" w:after="120"/>
        <w:jc w:val="both"/>
      </w:pPr>
      <w:r>
        <w:t>1.1.10</w:t>
      </w:r>
      <w:r w:rsidR="00035012">
        <w:t xml:space="preserve"> </w:t>
      </w:r>
      <w:r w:rsidR="004243B3">
        <w:t>Inventarizace majetku a závazků</w:t>
      </w:r>
    </w:p>
    <w:p w14:paraId="511905C1" w14:textId="77777777" w:rsidR="00CA70BE" w:rsidRPr="00B51BB3" w:rsidRDefault="00035012" w:rsidP="003635EC">
      <w:pPr>
        <w:keepNext/>
        <w:spacing w:after="0"/>
        <w:jc w:val="both"/>
        <w:rPr>
          <w:b/>
          <w:bCs/>
        </w:rPr>
      </w:pPr>
      <w:r w:rsidRPr="00B51BB3">
        <w:rPr>
          <w:b/>
          <w:bCs/>
        </w:rPr>
        <w:t xml:space="preserve">Při kontrole inventarizace majetku a závazků </w:t>
      </w:r>
      <w:r w:rsidRPr="00B51BB3">
        <w:rPr>
          <w:b/>
          <w:bCs/>
          <w:u w:val="single"/>
        </w:rPr>
        <w:t>za rok 2023</w:t>
      </w:r>
      <w:r w:rsidRPr="00B51BB3">
        <w:rPr>
          <w:b/>
          <w:bCs/>
        </w:rPr>
        <w:t xml:space="preserve"> NKÚ zjistil zejména následující nedostatky:</w:t>
      </w:r>
    </w:p>
    <w:p w14:paraId="47FE95AE" w14:textId="77777777" w:rsidR="004243B3" w:rsidRPr="00B51BB3" w:rsidRDefault="00035012" w:rsidP="003635EC">
      <w:pPr>
        <w:pStyle w:val="Odstavecseseznamem"/>
        <w:numPr>
          <w:ilvl w:val="0"/>
          <w:numId w:val="42"/>
        </w:numPr>
        <w:ind w:left="284" w:hanging="284"/>
        <w:contextualSpacing w:val="0"/>
        <w:jc w:val="both"/>
      </w:pPr>
      <w:r w:rsidRPr="00B51BB3">
        <w:rPr>
          <w:b/>
          <w:bCs/>
        </w:rPr>
        <w:t>NSA neprováděla inventarizaci veškerého majetku a závazků</w:t>
      </w:r>
      <w:r w:rsidRPr="00B51BB3">
        <w:t xml:space="preserve"> – nebyly vyhotoveny inventurní soupisy k </w:t>
      </w:r>
      <w:r w:rsidR="00692B0E" w:rsidRPr="00B51BB3">
        <w:t>účtům</w:t>
      </w:r>
      <w:r w:rsidRPr="00B51BB3">
        <w:t xml:space="preserve">, na které v průběhu účetního období roku 2023 NSA účtovala, ale k 31. </w:t>
      </w:r>
      <w:r w:rsidR="00CD3592" w:rsidRPr="00B51BB3">
        <w:t>prosinci</w:t>
      </w:r>
      <w:r w:rsidRPr="00B51BB3">
        <w:t xml:space="preserve"> 2023 měly tyto účty nulový zůstatek.</w:t>
      </w:r>
    </w:p>
    <w:p w14:paraId="0CC10284" w14:textId="3C2058AF" w:rsidR="004243B3" w:rsidRPr="00B51BB3" w:rsidRDefault="00035012" w:rsidP="003635EC">
      <w:pPr>
        <w:pStyle w:val="Odstavecseseznamem"/>
        <w:numPr>
          <w:ilvl w:val="0"/>
          <w:numId w:val="42"/>
        </w:numPr>
        <w:ind w:left="284" w:hanging="284"/>
        <w:jc w:val="both"/>
      </w:pPr>
      <w:r w:rsidRPr="00B51BB3">
        <w:rPr>
          <w:rFonts w:eastAsiaTheme="minorHAnsi"/>
          <w:b/>
          <w:bCs/>
        </w:rPr>
        <w:lastRenderedPageBreak/>
        <w:t>NSA neprováděla vzájemné odsouhlasování pohledávek a závazků</w:t>
      </w:r>
      <w:r w:rsidR="00BA4430">
        <w:rPr>
          <w:rFonts w:eastAsiaTheme="minorHAnsi"/>
          <w:b/>
          <w:bCs/>
        </w:rPr>
        <w:t xml:space="preserve"> s jednotlivými věřiteli a dlužníky</w:t>
      </w:r>
      <w:r w:rsidRPr="00B51BB3">
        <w:rPr>
          <w:rFonts w:eastAsiaTheme="minorHAnsi"/>
        </w:rPr>
        <w:t xml:space="preserve"> v rámci prováděné inventarizace. </w:t>
      </w:r>
      <w:r w:rsidRPr="00B51BB3">
        <w:rPr>
          <w:rFonts w:eastAsiaTheme="minorHAnsi"/>
          <w:b/>
          <w:bCs/>
        </w:rPr>
        <w:t>NSA neměla vnitřním předpisem stanovenu hranici pro vzájemné odsouhlasování pohledávek a závazků.</w:t>
      </w:r>
    </w:p>
    <w:p w14:paraId="638A2E4F" w14:textId="01B06A56" w:rsidR="004243B3" w:rsidRPr="00B51BB3" w:rsidRDefault="00035012" w:rsidP="00062A05">
      <w:pPr>
        <w:spacing w:after="0"/>
        <w:jc w:val="both"/>
        <w:rPr>
          <w:b/>
          <w:bCs/>
        </w:rPr>
      </w:pPr>
      <w:r w:rsidRPr="00B51BB3">
        <w:rPr>
          <w:b/>
          <w:bCs/>
        </w:rPr>
        <w:t xml:space="preserve">NSA byla na uvedené nedostatky Nejvyšším kontrolním úřadem upozorněna, mj. s cílem zamezení jejich případnému opakování v roce 2024. NSA uvedené nedostatky při inventarizaci </w:t>
      </w:r>
      <w:r w:rsidRPr="00B066D6">
        <w:rPr>
          <w:b/>
          <w:bCs/>
          <w:u w:val="single"/>
        </w:rPr>
        <w:t>za rok 2024</w:t>
      </w:r>
      <w:r w:rsidRPr="00B51BB3">
        <w:rPr>
          <w:b/>
          <w:bCs/>
        </w:rPr>
        <w:t xml:space="preserve"> odstranila</w:t>
      </w:r>
      <w:r w:rsidR="00A21F0D">
        <w:rPr>
          <w:b/>
          <w:bCs/>
        </w:rPr>
        <w:t>,</w:t>
      </w:r>
      <w:r w:rsidRPr="00B51BB3">
        <w:rPr>
          <w:b/>
          <w:bCs/>
        </w:rPr>
        <w:t xml:space="preserve"> </w:t>
      </w:r>
      <w:r w:rsidR="00CD61EB" w:rsidRPr="00B51BB3">
        <w:rPr>
          <w:b/>
          <w:bCs/>
        </w:rPr>
        <w:t>a lze tak konstatovat, že v rámci prověřování inventarizace za rok 2024 nebyly Nejvyšším kontrolním úřadem zjištěny případy porušení právních předpisů</w:t>
      </w:r>
      <w:r>
        <w:rPr>
          <w:b/>
          <w:bCs/>
          <w:vertAlign w:val="superscript"/>
        </w:rPr>
        <w:footnoteReference w:id="25"/>
      </w:r>
      <w:r w:rsidR="00CD61EB" w:rsidRPr="00B51BB3">
        <w:rPr>
          <w:b/>
          <w:bCs/>
        </w:rPr>
        <w:t xml:space="preserve"> upravujících oblast inventarizace. Hodnota inventarizovaného majetku, závazků, jiných aktiv a jiných pasiv zjištěná při inventarizaci odpovídala stavu vykázanému k</w:t>
      </w:r>
      <w:r w:rsidR="00767246">
        <w:rPr>
          <w:b/>
          <w:bCs/>
        </w:rPr>
        <w:t> </w:t>
      </w:r>
      <w:r w:rsidR="00CD61EB" w:rsidRPr="00B51BB3">
        <w:rPr>
          <w:b/>
          <w:bCs/>
        </w:rPr>
        <w:t xml:space="preserve">31. </w:t>
      </w:r>
      <w:r w:rsidR="00CD3592" w:rsidRPr="00B51BB3">
        <w:rPr>
          <w:b/>
          <w:bCs/>
        </w:rPr>
        <w:t>prosinci</w:t>
      </w:r>
      <w:r w:rsidR="00CD61EB" w:rsidRPr="00B51BB3">
        <w:rPr>
          <w:b/>
          <w:bCs/>
        </w:rPr>
        <w:t xml:space="preserve"> 2024 v ÚZ.</w:t>
      </w:r>
    </w:p>
    <w:bookmarkEnd w:id="9"/>
    <w:bookmarkEnd w:id="10"/>
    <w:p w14:paraId="1DBB6AA1" w14:textId="138C3A21" w:rsidR="0090755D" w:rsidRPr="00AD416B" w:rsidRDefault="003635EC" w:rsidP="003635EC">
      <w:pPr>
        <w:pStyle w:val="Styl2"/>
        <w:numPr>
          <w:ilvl w:val="0"/>
          <w:numId w:val="0"/>
        </w:numPr>
        <w:spacing w:before="240"/>
      </w:pPr>
      <w:r>
        <w:t xml:space="preserve">1.2 </w:t>
      </w:r>
      <w:r w:rsidR="00035012" w:rsidRPr="00AD416B">
        <w:t>Spolehlivost údajů ÚZ</w:t>
      </w:r>
    </w:p>
    <w:p w14:paraId="39F6737D" w14:textId="77777777" w:rsidR="00CB5F84" w:rsidRPr="00AD416B" w:rsidRDefault="00035012" w:rsidP="006575BB">
      <w:pPr>
        <w:spacing w:before="120"/>
        <w:jc w:val="both"/>
        <w:rPr>
          <w:rFonts w:asciiTheme="minorHAnsi" w:hAnsiTheme="minorHAnsi" w:cstheme="minorHAnsi"/>
        </w:rPr>
      </w:pPr>
      <w:r w:rsidRPr="00AD416B">
        <w:rPr>
          <w:rFonts w:asciiTheme="minorHAnsi" w:hAnsiTheme="minorHAnsi" w:cstheme="minorHAnsi"/>
        </w:rPr>
        <w:t>Údaje ÚZ vykáz</w:t>
      </w:r>
      <w:r w:rsidR="00AE61B1" w:rsidRPr="00AD416B">
        <w:rPr>
          <w:rFonts w:asciiTheme="minorHAnsi" w:hAnsiTheme="minorHAnsi" w:cstheme="minorHAnsi"/>
        </w:rPr>
        <w:t>al</w:t>
      </w:r>
      <w:r w:rsidR="00AD416B" w:rsidRPr="00AD416B">
        <w:rPr>
          <w:rFonts w:asciiTheme="minorHAnsi" w:hAnsiTheme="minorHAnsi" w:cstheme="minorHAnsi"/>
        </w:rPr>
        <w:t>a</w:t>
      </w:r>
      <w:r w:rsidR="00AE61B1" w:rsidRPr="00AD416B">
        <w:rPr>
          <w:rFonts w:asciiTheme="minorHAnsi" w:hAnsiTheme="minorHAnsi" w:cstheme="minorHAnsi"/>
        </w:rPr>
        <w:t xml:space="preserve"> </w:t>
      </w:r>
      <w:r w:rsidR="00AD416B" w:rsidRPr="00AD416B">
        <w:rPr>
          <w:rFonts w:asciiTheme="minorHAnsi" w:hAnsiTheme="minorHAnsi" w:cstheme="minorHAnsi"/>
        </w:rPr>
        <w:t>NSA</w:t>
      </w:r>
      <w:r w:rsidRPr="00AD416B">
        <w:rPr>
          <w:rFonts w:asciiTheme="minorHAnsi" w:hAnsiTheme="minorHAnsi" w:cstheme="minorHAnsi"/>
        </w:rPr>
        <w:t xml:space="preserve"> v</w:t>
      </w:r>
      <w:r w:rsidR="00E3636F">
        <w:rPr>
          <w:rFonts w:asciiTheme="minorHAnsi" w:hAnsiTheme="minorHAnsi" w:cstheme="minorHAnsi"/>
        </w:rPr>
        <w:t> </w:t>
      </w:r>
      <w:r w:rsidRPr="00AD416B">
        <w:rPr>
          <w:rFonts w:asciiTheme="minorHAnsi" w:hAnsiTheme="minorHAnsi" w:cstheme="minorHAnsi"/>
        </w:rPr>
        <w:t xml:space="preserve">rozvaze, </w:t>
      </w:r>
      <w:r w:rsidR="007A2F65" w:rsidRPr="00AD416B">
        <w:rPr>
          <w:rFonts w:asciiTheme="minorHAnsi" w:hAnsiTheme="minorHAnsi" w:cstheme="minorHAnsi"/>
        </w:rPr>
        <w:t xml:space="preserve">ve </w:t>
      </w:r>
      <w:r w:rsidRPr="00AD416B">
        <w:rPr>
          <w:rFonts w:asciiTheme="minorHAnsi" w:hAnsiTheme="minorHAnsi" w:cstheme="minorHAnsi"/>
        </w:rPr>
        <w:t>výkazu zisku a ztráty a v</w:t>
      </w:r>
      <w:r w:rsidR="00E3636F">
        <w:rPr>
          <w:rFonts w:asciiTheme="minorHAnsi" w:hAnsiTheme="minorHAnsi" w:cstheme="minorHAnsi"/>
        </w:rPr>
        <w:t> </w:t>
      </w:r>
      <w:r w:rsidRPr="00AD416B">
        <w:rPr>
          <w:rFonts w:asciiTheme="minorHAnsi" w:hAnsiTheme="minorHAnsi" w:cstheme="minorHAnsi"/>
        </w:rPr>
        <w:t>příloze.</w:t>
      </w:r>
    </w:p>
    <w:p w14:paraId="3EB94373" w14:textId="77777777" w:rsidR="001A391B" w:rsidRPr="00AD416B" w:rsidRDefault="00035012" w:rsidP="006575BB">
      <w:pPr>
        <w:spacing w:before="120"/>
        <w:jc w:val="both"/>
        <w:rPr>
          <w:rFonts w:cs="Calibri"/>
        </w:rPr>
      </w:pPr>
      <w:r w:rsidRPr="00AD416B">
        <w:rPr>
          <w:rFonts w:cs="Calibri"/>
        </w:rPr>
        <w:t>Pro vyhodnocení spolehlivosti</w:t>
      </w:r>
      <w:r>
        <w:rPr>
          <w:rStyle w:val="Znakapoznpodarou"/>
          <w:rFonts w:cs="Calibri"/>
        </w:rPr>
        <w:footnoteReference w:id="26"/>
      </w:r>
      <w:r w:rsidRPr="00AD416B">
        <w:rPr>
          <w:rFonts w:cs="Calibri"/>
        </w:rPr>
        <w:t xml:space="preserve"> údajů ÚZ stanov</w:t>
      </w:r>
      <w:r w:rsidR="00437427" w:rsidRPr="00AD416B">
        <w:rPr>
          <w:rFonts w:cs="Calibri"/>
        </w:rPr>
        <w:t>il</w:t>
      </w:r>
      <w:r w:rsidR="00EE2163" w:rsidRPr="00AD416B">
        <w:rPr>
          <w:rFonts w:cs="Calibri"/>
        </w:rPr>
        <w:t xml:space="preserve"> </w:t>
      </w:r>
      <w:r w:rsidR="00274A10" w:rsidRPr="00AD416B">
        <w:rPr>
          <w:rFonts w:cs="Calibri"/>
        </w:rPr>
        <w:t>N</w:t>
      </w:r>
      <w:r w:rsidR="0065525D" w:rsidRPr="00AD416B">
        <w:rPr>
          <w:rFonts w:cs="Calibri"/>
        </w:rPr>
        <w:t>KÚ</w:t>
      </w:r>
      <w:r w:rsidRPr="00AD416B">
        <w:rPr>
          <w:rFonts w:cs="Calibri"/>
        </w:rPr>
        <w:t xml:space="preserve"> hladin</w:t>
      </w:r>
      <w:r w:rsidR="00437427" w:rsidRPr="00AD416B">
        <w:rPr>
          <w:rFonts w:cs="Calibri"/>
        </w:rPr>
        <w:t>u</w:t>
      </w:r>
      <w:r w:rsidRPr="00AD416B">
        <w:rPr>
          <w:rFonts w:cs="Calibri"/>
        </w:rPr>
        <w:t xml:space="preserve"> významnosti</w:t>
      </w:r>
      <w:r>
        <w:rPr>
          <w:rStyle w:val="Znakapoznpodarou"/>
          <w:rFonts w:cs="Calibri"/>
        </w:rPr>
        <w:footnoteReference w:id="27"/>
      </w:r>
      <w:r w:rsidRPr="00AD416B">
        <w:rPr>
          <w:rFonts w:cs="Calibri"/>
        </w:rPr>
        <w:t xml:space="preserve"> ve výši </w:t>
      </w:r>
      <w:r w:rsidR="00AD416B" w:rsidRPr="00AD416B">
        <w:rPr>
          <w:rFonts w:cs="Calibri"/>
        </w:rPr>
        <w:t>165</w:t>
      </w:r>
      <w:r w:rsidR="00A80E37" w:rsidRPr="00AD416B">
        <w:rPr>
          <w:rFonts w:cs="Calibri"/>
        </w:rPr>
        <w:t> </w:t>
      </w:r>
      <w:r w:rsidRPr="00AD416B">
        <w:rPr>
          <w:rFonts w:cs="Calibri"/>
        </w:rPr>
        <w:t>mil.</w:t>
      </w:r>
      <w:r w:rsidR="00A80E37" w:rsidRPr="00AD416B">
        <w:rPr>
          <w:rFonts w:cs="Calibri"/>
        </w:rPr>
        <w:t> </w:t>
      </w:r>
      <w:r w:rsidRPr="00AD416B">
        <w:rPr>
          <w:rFonts w:cs="Calibri"/>
        </w:rPr>
        <w:t>Kč</w:t>
      </w:r>
      <w:r>
        <w:rPr>
          <w:rStyle w:val="Znakapoznpodarou"/>
          <w:rFonts w:cs="Calibri"/>
        </w:rPr>
        <w:footnoteReference w:id="28"/>
      </w:r>
      <w:r w:rsidRPr="00AD416B">
        <w:rPr>
          <w:rFonts w:cs="Calibri"/>
        </w:rPr>
        <w:t>.</w:t>
      </w:r>
    </w:p>
    <w:p w14:paraId="645D5FBA" w14:textId="77777777" w:rsidR="002C44C1" w:rsidRPr="002F6ECE" w:rsidRDefault="00035012" w:rsidP="006575BB">
      <w:pPr>
        <w:spacing w:before="120"/>
        <w:jc w:val="both"/>
        <w:rPr>
          <w:rFonts w:eastAsia="Calibri" w:cs="Calibri"/>
          <w:highlight w:val="green"/>
        </w:rPr>
      </w:pPr>
      <w:r w:rsidRPr="00AD416B">
        <w:rPr>
          <w:rFonts w:asciiTheme="minorHAnsi" w:hAnsiTheme="minorHAnsi" w:cstheme="minorHAnsi"/>
          <w:spacing w:val="-2"/>
        </w:rPr>
        <w:t>V</w:t>
      </w:r>
      <w:r w:rsidR="00E3636F">
        <w:rPr>
          <w:rFonts w:asciiTheme="minorHAnsi" w:hAnsiTheme="minorHAnsi" w:cstheme="minorHAnsi"/>
          <w:spacing w:val="-2"/>
        </w:rPr>
        <w:t> </w:t>
      </w:r>
      <w:r w:rsidR="00CF05CF" w:rsidRPr="00AD416B">
        <w:rPr>
          <w:rFonts w:asciiTheme="minorHAnsi" w:hAnsiTheme="minorHAnsi" w:cstheme="minorHAnsi"/>
          <w:spacing w:val="-2"/>
        </w:rPr>
        <w:t>účetní závěrce</w:t>
      </w:r>
      <w:r w:rsidRPr="00AD416B">
        <w:rPr>
          <w:rFonts w:eastAsia="Calibri" w:cs="Calibri"/>
        </w:rPr>
        <w:t xml:space="preserve"> </w:t>
      </w:r>
      <w:r w:rsidR="00EE2D5D" w:rsidRPr="00AD416B">
        <w:rPr>
          <w:rFonts w:eastAsia="Calibri" w:cs="Calibri"/>
        </w:rPr>
        <w:t>sestavené po provedení oprav</w:t>
      </w:r>
      <w:r w:rsidR="00CB5F84" w:rsidRPr="00AD416B">
        <w:rPr>
          <w:rFonts w:eastAsia="Calibri" w:cs="Calibri"/>
        </w:rPr>
        <w:t xml:space="preserve"> </w:t>
      </w:r>
      <w:r w:rsidR="00583C50" w:rsidRPr="00AD416B">
        <w:rPr>
          <w:rFonts w:eastAsia="Calibri" w:cs="Calibri"/>
        </w:rPr>
        <w:t>(</w:t>
      </w:r>
      <w:r w:rsidR="00CB5F84" w:rsidRPr="00AD416B">
        <w:rPr>
          <w:rFonts w:eastAsia="Calibri" w:cs="Calibri"/>
        </w:rPr>
        <w:t>uvedených v</w:t>
      </w:r>
      <w:r w:rsidR="00E3636F">
        <w:rPr>
          <w:rFonts w:eastAsia="Calibri" w:cs="Calibri"/>
        </w:rPr>
        <w:t> </w:t>
      </w:r>
      <w:r w:rsidR="00CB5F84" w:rsidRPr="00295315">
        <w:rPr>
          <w:rFonts w:eastAsia="Calibri" w:cs="Calibri"/>
        </w:rPr>
        <w:t>části IV.</w:t>
      </w:r>
      <w:r w:rsidR="000A11F0" w:rsidRPr="00295315">
        <w:rPr>
          <w:rFonts w:eastAsia="Calibri" w:cs="Calibri"/>
        </w:rPr>
        <w:t>1</w:t>
      </w:r>
      <w:r w:rsidR="00CB5F84" w:rsidRPr="00295315">
        <w:rPr>
          <w:rFonts w:eastAsia="Calibri" w:cs="Calibri"/>
        </w:rPr>
        <w:t>.</w:t>
      </w:r>
      <w:r w:rsidR="00295315" w:rsidRPr="00295315">
        <w:rPr>
          <w:rFonts w:eastAsia="Calibri" w:cs="Calibri"/>
        </w:rPr>
        <w:t>1</w:t>
      </w:r>
      <w:r w:rsidR="00A80E37" w:rsidRPr="00295315">
        <w:rPr>
          <w:rFonts w:eastAsia="Calibri" w:cs="Calibri"/>
        </w:rPr>
        <w:t xml:space="preserve"> tohoto</w:t>
      </w:r>
      <w:r w:rsidR="00A80E37" w:rsidRPr="00AD416B">
        <w:rPr>
          <w:rFonts w:eastAsia="Calibri" w:cs="Calibri"/>
        </w:rPr>
        <w:t xml:space="preserve"> kontrolního závěru</w:t>
      </w:r>
      <w:r w:rsidR="00583C50" w:rsidRPr="00AD416B">
        <w:rPr>
          <w:rFonts w:eastAsia="Calibri" w:cs="Calibri"/>
        </w:rPr>
        <w:t>)</w:t>
      </w:r>
      <w:r w:rsidR="004E0006" w:rsidRPr="00AD416B">
        <w:rPr>
          <w:rFonts w:eastAsia="Calibri" w:cs="Calibri"/>
        </w:rPr>
        <w:t xml:space="preserve"> </w:t>
      </w:r>
      <w:r w:rsidR="00320FC2" w:rsidRPr="00AD416B">
        <w:rPr>
          <w:rFonts w:eastAsia="Calibri" w:cs="Calibri"/>
        </w:rPr>
        <w:t>ne</w:t>
      </w:r>
      <w:r w:rsidR="007E110A" w:rsidRPr="00AD416B">
        <w:rPr>
          <w:rFonts w:eastAsia="Calibri" w:cs="Calibri"/>
        </w:rPr>
        <w:t>zji</w:t>
      </w:r>
      <w:r w:rsidR="00320FC2" w:rsidRPr="00AD416B">
        <w:rPr>
          <w:rFonts w:eastAsia="Calibri" w:cs="Calibri"/>
        </w:rPr>
        <w:t>stil NKÚ</w:t>
      </w:r>
      <w:r w:rsidR="007E110A" w:rsidRPr="00AD416B">
        <w:rPr>
          <w:rFonts w:eastAsia="Calibri" w:cs="Calibri"/>
        </w:rPr>
        <w:t xml:space="preserve"> žádné neopravené nesprávnosti.</w:t>
      </w:r>
    </w:p>
    <w:p w14:paraId="6D2E5150" w14:textId="77777777" w:rsidR="00914FA0" w:rsidRPr="00AD416B" w:rsidRDefault="00035012" w:rsidP="006575BB">
      <w:pPr>
        <w:spacing w:before="12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Ú</w:t>
      </w:r>
      <w:r w:rsidR="00983C54" w:rsidRPr="00AD416B">
        <w:rPr>
          <w:rFonts w:asciiTheme="minorHAnsi" w:hAnsiTheme="minorHAnsi" w:cs="Calibri"/>
          <w:b/>
        </w:rPr>
        <w:t xml:space="preserve">četní závěrka </w:t>
      </w:r>
      <w:r w:rsidR="00AD416B" w:rsidRPr="00AD416B">
        <w:rPr>
          <w:rFonts w:asciiTheme="minorHAnsi" w:hAnsiTheme="minorHAnsi" w:cs="Calibri"/>
          <w:b/>
        </w:rPr>
        <w:t>NSA</w:t>
      </w:r>
      <w:r w:rsidR="00983C54" w:rsidRPr="00AD416B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 xml:space="preserve">sestavená </w:t>
      </w:r>
      <w:r w:rsidR="00983C54" w:rsidRPr="00AD416B">
        <w:rPr>
          <w:rFonts w:asciiTheme="minorHAnsi" w:hAnsiTheme="minorHAnsi" w:cs="Calibri"/>
          <w:b/>
        </w:rPr>
        <w:t>k</w:t>
      </w:r>
      <w:r w:rsidR="00E3636F">
        <w:rPr>
          <w:rFonts w:asciiTheme="minorHAnsi" w:hAnsiTheme="minorHAnsi" w:cs="Calibri"/>
          <w:b/>
        </w:rPr>
        <w:t> </w:t>
      </w:r>
      <w:r w:rsidR="00983C54" w:rsidRPr="00AD416B">
        <w:rPr>
          <w:rFonts w:asciiTheme="minorHAnsi" w:hAnsiTheme="minorHAnsi" w:cs="Calibri"/>
          <w:b/>
        </w:rPr>
        <w:t xml:space="preserve">31. prosinci </w:t>
      </w:r>
      <w:r w:rsidR="00B42AEA" w:rsidRPr="00AD416B">
        <w:rPr>
          <w:rFonts w:asciiTheme="minorHAnsi" w:hAnsiTheme="minorHAnsi" w:cs="Calibri"/>
          <w:b/>
        </w:rPr>
        <w:t>202</w:t>
      </w:r>
      <w:r w:rsidR="00AD416B" w:rsidRPr="00AD416B">
        <w:rPr>
          <w:rFonts w:asciiTheme="minorHAnsi" w:hAnsiTheme="minorHAnsi" w:cs="Calibri"/>
          <w:b/>
        </w:rPr>
        <w:t>4</w:t>
      </w:r>
      <w:r w:rsidR="00487F34" w:rsidRPr="00AD416B">
        <w:rPr>
          <w:rFonts w:asciiTheme="minorHAnsi" w:hAnsiTheme="minorHAnsi" w:cs="Calibri"/>
          <w:b/>
        </w:rPr>
        <w:t xml:space="preserve"> </w:t>
      </w:r>
      <w:r w:rsidR="001B4D88" w:rsidRPr="00AD416B">
        <w:rPr>
          <w:rFonts w:asciiTheme="minorHAnsi" w:hAnsiTheme="minorHAnsi" w:cs="Calibri"/>
          <w:b/>
        </w:rPr>
        <w:t xml:space="preserve">podává </w:t>
      </w:r>
      <w:r>
        <w:rPr>
          <w:rFonts w:asciiTheme="minorHAnsi" w:hAnsiTheme="minorHAnsi" w:cs="Calibri"/>
          <w:b/>
        </w:rPr>
        <w:t xml:space="preserve">dle NKÚ </w:t>
      </w:r>
      <w:r w:rsidR="00983C54" w:rsidRPr="00AD416B"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</w:p>
    <w:p w14:paraId="24F255BD" w14:textId="01853AC4" w:rsidR="00B460A6" w:rsidRPr="002F6ECE" w:rsidRDefault="00035012" w:rsidP="0008141C">
      <w:pPr>
        <w:spacing w:before="120" w:after="0"/>
        <w:jc w:val="both"/>
        <w:rPr>
          <w:rFonts w:cs="Calibri"/>
          <w:highlight w:val="green"/>
        </w:rPr>
      </w:pPr>
      <w:r w:rsidRPr="00A22374">
        <w:rPr>
          <w:iCs/>
        </w:rPr>
        <w:t xml:space="preserve">Spolehlivé informace účetní závěrky mají dle </w:t>
      </w:r>
      <w:r w:rsidR="007A2F65" w:rsidRPr="00A22374">
        <w:rPr>
          <w:iCs/>
        </w:rPr>
        <w:t>ustanovení</w:t>
      </w:r>
      <w:r w:rsidRPr="00A22374">
        <w:rPr>
          <w:iCs/>
        </w:rPr>
        <w:t xml:space="preserve"> § 7</w:t>
      </w:r>
      <w:r w:rsidR="00C17B88" w:rsidRPr="00A22374">
        <w:rPr>
          <w:iCs/>
        </w:rPr>
        <w:t xml:space="preserve"> odst. 1</w:t>
      </w:r>
      <w:r w:rsidRPr="00A22374">
        <w:rPr>
          <w:iCs/>
        </w:rPr>
        <w:t xml:space="preserve"> zákona č. 563/1991 Sb. umožnit jejím uživatelům činit ekonomická rozhodnutí. V</w:t>
      </w:r>
      <w:r w:rsidR="00E3636F">
        <w:rPr>
          <w:iCs/>
        </w:rPr>
        <w:t> </w:t>
      </w:r>
      <w:r w:rsidRPr="00A22374">
        <w:rPr>
          <w:iCs/>
        </w:rPr>
        <w:t>rámci kontroly proved</w:t>
      </w:r>
      <w:r w:rsidR="00320FC2" w:rsidRPr="00A22374">
        <w:rPr>
          <w:iCs/>
        </w:rPr>
        <w:t>l NKÚ</w:t>
      </w:r>
      <w:r w:rsidRPr="00A22374">
        <w:rPr>
          <w:iCs/>
        </w:rPr>
        <w:t xml:space="preserve"> rozbor výsledku hospodaření </w:t>
      </w:r>
      <w:r w:rsidR="00A22374" w:rsidRPr="00A22374">
        <w:rPr>
          <w:iCs/>
        </w:rPr>
        <w:t>NSA</w:t>
      </w:r>
      <w:r w:rsidRPr="00A22374">
        <w:rPr>
          <w:iCs/>
        </w:rPr>
        <w:t xml:space="preserve"> z</w:t>
      </w:r>
      <w:r w:rsidR="00E3636F">
        <w:rPr>
          <w:iCs/>
        </w:rPr>
        <w:t> </w:t>
      </w:r>
      <w:r w:rsidRPr="00A22374">
        <w:rPr>
          <w:iCs/>
        </w:rPr>
        <w:t>pohledu akruálního (účetního) a peněžního (plnění rozpočtu)</w:t>
      </w:r>
      <w:r w:rsidR="00472C41">
        <w:rPr>
          <w:iCs/>
        </w:rPr>
        <w:t xml:space="preserve"> </w:t>
      </w:r>
      <w:r w:rsidR="00472C41">
        <w:rPr>
          <w:rFonts w:cs="Calibri"/>
          <w:color w:val="000000"/>
        </w:rPr>
        <w:t>(viz příloha č. 1 tohoto kontrolního závěru)</w:t>
      </w:r>
      <w:r w:rsidRPr="00A22374">
        <w:rPr>
          <w:iCs/>
        </w:rPr>
        <w:t xml:space="preserve"> </w:t>
      </w:r>
      <w:r w:rsidRPr="00B61909">
        <w:rPr>
          <w:iCs/>
        </w:rPr>
        <w:t>a</w:t>
      </w:r>
      <w:r w:rsidR="0088250A" w:rsidRPr="00B61909">
        <w:rPr>
          <w:iCs/>
        </w:rPr>
        <w:t> </w:t>
      </w:r>
      <w:r w:rsidRPr="00B61909">
        <w:rPr>
          <w:iCs/>
        </w:rPr>
        <w:t>popis</w:t>
      </w:r>
      <w:r w:rsidR="00B901EF">
        <w:rPr>
          <w:iCs/>
        </w:rPr>
        <w:t xml:space="preserve"> informací </w:t>
      </w:r>
      <w:r w:rsidR="00A22374" w:rsidRPr="00B61909">
        <w:rPr>
          <w:iCs/>
        </w:rPr>
        <w:t>vykaz</w:t>
      </w:r>
      <w:r w:rsidR="00B901EF">
        <w:rPr>
          <w:iCs/>
        </w:rPr>
        <w:t xml:space="preserve">ovaných NSA na </w:t>
      </w:r>
      <w:r w:rsidR="00B61909" w:rsidRPr="00B61909">
        <w:rPr>
          <w:iCs/>
        </w:rPr>
        <w:t>podrozvahových účtech</w:t>
      </w:r>
      <w:r w:rsidR="00472C41">
        <w:rPr>
          <w:iCs/>
        </w:rPr>
        <w:t xml:space="preserve"> </w:t>
      </w:r>
      <w:r w:rsidR="00472C41">
        <w:rPr>
          <w:rFonts w:cs="Calibri"/>
          <w:color w:val="000000"/>
        </w:rPr>
        <w:t>(viz příloha č. 2 tohoto kontrolního závěru)</w:t>
      </w:r>
      <w:r w:rsidRPr="00B61909">
        <w:rPr>
          <w:iCs/>
        </w:rPr>
        <w:t>.</w:t>
      </w:r>
    </w:p>
    <w:p w14:paraId="65FFBA17" w14:textId="7BA2A8F2" w:rsidR="00A75011" w:rsidRPr="00AD416B" w:rsidRDefault="003635EC" w:rsidP="003635EC">
      <w:pPr>
        <w:pStyle w:val="Styl2"/>
        <w:numPr>
          <w:ilvl w:val="0"/>
          <w:numId w:val="0"/>
        </w:numPr>
        <w:spacing w:before="240"/>
        <w:ind w:left="284" w:hanging="284"/>
      </w:pPr>
      <w:r>
        <w:t xml:space="preserve">2. </w:t>
      </w:r>
      <w:r>
        <w:tab/>
      </w:r>
      <w:r w:rsidR="00035012" w:rsidRPr="00AD416B">
        <w:t xml:space="preserve">Údaje předkládané </w:t>
      </w:r>
      <w:r w:rsidR="00AD416B" w:rsidRPr="00AD416B">
        <w:t>Národní sportovní agenturou</w:t>
      </w:r>
      <w:r w:rsidR="00F11CA7" w:rsidRPr="00AD416B">
        <w:t xml:space="preserve"> pro hodnocení plnění </w:t>
      </w:r>
      <w:r w:rsidR="00F95077" w:rsidRPr="00AD416B">
        <w:t xml:space="preserve">státního </w:t>
      </w:r>
      <w:r w:rsidR="00F11CA7" w:rsidRPr="00AD416B">
        <w:t>rozpočtu</w:t>
      </w:r>
      <w:r w:rsidR="00035012" w:rsidRPr="00AD416B">
        <w:t xml:space="preserve"> za rok </w:t>
      </w:r>
      <w:r w:rsidR="00AD416B" w:rsidRPr="00AD416B">
        <w:t>2024</w:t>
      </w:r>
    </w:p>
    <w:p w14:paraId="1E930143" w14:textId="77777777" w:rsidR="00BB04C7" w:rsidRPr="00AD416B" w:rsidRDefault="00035012" w:rsidP="006575BB">
      <w:pPr>
        <w:spacing w:before="120"/>
        <w:jc w:val="both"/>
        <w:rPr>
          <w:rFonts w:asciiTheme="minorHAnsi" w:hAnsiTheme="minorHAnsi" w:cstheme="minorHAnsi"/>
        </w:rPr>
      </w:pPr>
      <w:r w:rsidRPr="00AD416B">
        <w:rPr>
          <w:rFonts w:asciiTheme="minorHAnsi" w:hAnsiTheme="minorHAnsi" w:cstheme="minorHAnsi"/>
        </w:rPr>
        <w:t xml:space="preserve">NKÚ provedl ve výkazu FIN 1-12 OSS </w:t>
      </w:r>
      <w:r w:rsidR="00090F5A">
        <w:rPr>
          <w:rFonts w:asciiTheme="minorHAnsi" w:hAnsiTheme="minorHAnsi" w:cstheme="minorHAnsi"/>
        </w:rPr>
        <w:t>NSA</w:t>
      </w:r>
      <w:r w:rsidRPr="00AD416B">
        <w:rPr>
          <w:rFonts w:asciiTheme="minorHAnsi" w:hAnsiTheme="minorHAnsi" w:cstheme="minorHAnsi"/>
        </w:rPr>
        <w:t xml:space="preserve"> sestaveném k</w:t>
      </w:r>
      <w:r w:rsidR="00E3636F">
        <w:rPr>
          <w:rFonts w:asciiTheme="minorHAnsi" w:hAnsiTheme="minorHAnsi" w:cstheme="minorHAnsi"/>
        </w:rPr>
        <w:t> </w:t>
      </w:r>
      <w:r w:rsidRPr="00AD416B">
        <w:rPr>
          <w:rFonts w:asciiTheme="minorHAnsi" w:hAnsiTheme="minorHAnsi" w:cstheme="minorHAnsi"/>
        </w:rPr>
        <w:t xml:space="preserve">31. prosinci </w:t>
      </w:r>
      <w:r w:rsidR="00AD416B" w:rsidRPr="00AD416B">
        <w:rPr>
          <w:rFonts w:asciiTheme="minorHAnsi" w:hAnsiTheme="minorHAnsi" w:cstheme="minorHAnsi"/>
        </w:rPr>
        <w:t>2024</w:t>
      </w:r>
      <w:r w:rsidRPr="00AD416B">
        <w:rPr>
          <w:rFonts w:asciiTheme="minorHAnsi" w:hAnsiTheme="minorHAnsi" w:cstheme="minorHAnsi"/>
        </w:rPr>
        <w:t xml:space="preserve"> u údajů o příjmech a výdajích ve sloupci </w:t>
      </w:r>
      <w:r w:rsidRPr="00AD416B">
        <w:rPr>
          <w:rFonts w:asciiTheme="minorHAnsi" w:hAnsiTheme="minorHAnsi" w:cstheme="minorHAnsi"/>
          <w:i/>
        </w:rPr>
        <w:t>Skutečnost</w:t>
      </w:r>
      <w:r w:rsidRPr="00AD416B">
        <w:rPr>
          <w:rFonts w:asciiTheme="minorHAnsi" w:hAnsiTheme="minorHAnsi" w:cstheme="minorHAnsi"/>
        </w:rPr>
        <w:t xml:space="preserve"> kontrolu správnosti jejich druhového, odvětvového a</w:t>
      </w:r>
      <w:r w:rsidR="0088250A" w:rsidRPr="00AD416B">
        <w:rPr>
          <w:rFonts w:asciiTheme="minorHAnsi" w:hAnsiTheme="minorHAnsi" w:cstheme="minorHAnsi"/>
        </w:rPr>
        <w:t> </w:t>
      </w:r>
      <w:r w:rsidRPr="00AD416B">
        <w:rPr>
          <w:rFonts w:asciiTheme="minorHAnsi" w:hAnsiTheme="minorHAnsi" w:cstheme="minorHAnsi"/>
        </w:rPr>
        <w:t>prostorového třídění dle rozpočtové skladby.</w:t>
      </w:r>
    </w:p>
    <w:p w14:paraId="1F3780F7" w14:textId="66C26D27" w:rsidR="003604D9" w:rsidRPr="00AD416B" w:rsidRDefault="003635EC" w:rsidP="003635EC">
      <w:pPr>
        <w:pStyle w:val="Styl2"/>
        <w:numPr>
          <w:ilvl w:val="0"/>
          <w:numId w:val="0"/>
        </w:numPr>
        <w:spacing w:before="240"/>
      </w:pPr>
      <w:r>
        <w:lastRenderedPageBreak/>
        <w:t xml:space="preserve">2.1 </w:t>
      </w:r>
      <w:r w:rsidR="00035012" w:rsidRPr="00AD416B">
        <w:t>Opravy chyb v</w:t>
      </w:r>
      <w:r w:rsidR="00E3636F">
        <w:t> </w:t>
      </w:r>
      <w:r w:rsidR="00035012" w:rsidRPr="00AD416B">
        <w:t>klasifikaci rozpočtových příjmů a výdajů v</w:t>
      </w:r>
      <w:r w:rsidR="00E3636F">
        <w:t> </w:t>
      </w:r>
      <w:r w:rsidR="00035012" w:rsidRPr="00AD416B">
        <w:t xml:space="preserve">průběhu roku </w:t>
      </w:r>
      <w:r w:rsidR="00AD416B" w:rsidRPr="00AD416B">
        <w:t>2024</w:t>
      </w:r>
    </w:p>
    <w:p w14:paraId="2F5B4179" w14:textId="77777777" w:rsidR="003604D9" w:rsidRPr="00AD416B" w:rsidRDefault="00035012" w:rsidP="006575BB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AD416B">
        <w:rPr>
          <w:rFonts w:asciiTheme="minorHAnsi" w:hAnsiTheme="minorHAnsi" w:cstheme="minorHAnsi"/>
          <w:spacing w:val="-2"/>
        </w:rPr>
        <w:t>NKÚ zahájil kontrolu již v</w:t>
      </w:r>
      <w:r w:rsidR="00E3636F">
        <w:rPr>
          <w:rFonts w:asciiTheme="minorHAnsi" w:hAnsiTheme="minorHAnsi" w:cstheme="minorHAnsi"/>
          <w:spacing w:val="-2"/>
        </w:rPr>
        <w:t> </w:t>
      </w:r>
      <w:r w:rsidRPr="00AD416B">
        <w:rPr>
          <w:rFonts w:asciiTheme="minorHAnsi" w:hAnsiTheme="minorHAnsi" w:cstheme="minorHAnsi"/>
          <w:spacing w:val="-2"/>
        </w:rPr>
        <w:t xml:space="preserve">průběhu kontrolovaného rozpočtového období </w:t>
      </w:r>
      <w:r w:rsidR="00AD416B" w:rsidRPr="00AD416B">
        <w:rPr>
          <w:rFonts w:asciiTheme="minorHAnsi" w:hAnsiTheme="minorHAnsi" w:cstheme="minorHAnsi"/>
          <w:spacing w:val="-2"/>
        </w:rPr>
        <w:t>2024</w:t>
      </w:r>
      <w:r w:rsidRPr="00AD416B">
        <w:rPr>
          <w:rFonts w:asciiTheme="minorHAnsi" w:hAnsiTheme="minorHAnsi" w:cstheme="minorHAnsi"/>
          <w:spacing w:val="-2"/>
        </w:rPr>
        <w:t xml:space="preserve">, což umožnilo </w:t>
      </w:r>
      <w:r w:rsidR="00AD416B" w:rsidRPr="00AD416B">
        <w:rPr>
          <w:rFonts w:asciiTheme="minorHAnsi" w:hAnsiTheme="minorHAnsi" w:cstheme="minorHAnsi"/>
          <w:spacing w:val="-2"/>
        </w:rPr>
        <w:t>NSA</w:t>
      </w:r>
      <w:r w:rsidRPr="00AD416B">
        <w:rPr>
          <w:rFonts w:asciiTheme="minorHAnsi" w:hAnsiTheme="minorHAnsi" w:cstheme="minorHAnsi"/>
          <w:spacing w:val="-2"/>
        </w:rPr>
        <w:t xml:space="preserve"> provést opravu nedostatků identifikovaných v</w:t>
      </w:r>
      <w:r w:rsidR="00E3636F">
        <w:rPr>
          <w:rFonts w:asciiTheme="minorHAnsi" w:hAnsiTheme="minorHAnsi" w:cstheme="minorHAnsi"/>
          <w:spacing w:val="-2"/>
        </w:rPr>
        <w:t> </w:t>
      </w:r>
      <w:r w:rsidRPr="00AD416B">
        <w:rPr>
          <w:rFonts w:asciiTheme="minorHAnsi" w:hAnsiTheme="minorHAnsi" w:cstheme="minorHAnsi"/>
          <w:spacing w:val="-2"/>
        </w:rPr>
        <w:t>klasifikaci rozpočtových výdajů a příjmů v</w:t>
      </w:r>
      <w:r w:rsidR="00E3636F">
        <w:rPr>
          <w:rFonts w:asciiTheme="minorHAnsi" w:hAnsiTheme="minorHAnsi" w:cstheme="minorHAnsi"/>
          <w:spacing w:val="-2"/>
        </w:rPr>
        <w:t> </w:t>
      </w:r>
      <w:r w:rsidRPr="00AD416B">
        <w:rPr>
          <w:rFonts w:asciiTheme="minorHAnsi" w:hAnsiTheme="minorHAnsi" w:cstheme="minorHAnsi"/>
          <w:spacing w:val="-2"/>
        </w:rPr>
        <w:t>průběhu kontroly NKÚ ještě před</w:t>
      </w:r>
      <w:r w:rsidR="000013BA" w:rsidRPr="00AD416B">
        <w:rPr>
          <w:rFonts w:asciiTheme="minorHAnsi" w:hAnsiTheme="minorHAnsi" w:cstheme="minorHAnsi"/>
          <w:spacing w:val="-2"/>
        </w:rPr>
        <w:t xml:space="preserve"> </w:t>
      </w:r>
      <w:r w:rsidRPr="00AD416B">
        <w:rPr>
          <w:rFonts w:asciiTheme="minorHAnsi" w:hAnsiTheme="minorHAnsi" w:cstheme="minorHAnsi"/>
          <w:spacing w:val="-2"/>
        </w:rPr>
        <w:t>sestavením výkazu FIN 1-12 OSS.</w:t>
      </w:r>
    </w:p>
    <w:p w14:paraId="5AEB8C35" w14:textId="713DA1E7" w:rsidR="003604D9" w:rsidRDefault="00035012" w:rsidP="006575BB">
      <w:pPr>
        <w:spacing w:before="120"/>
        <w:jc w:val="both"/>
        <w:rPr>
          <w:b/>
          <w:bCs/>
        </w:rPr>
      </w:pPr>
      <w:r w:rsidRPr="00E3636F">
        <w:rPr>
          <w:rFonts w:cs="Calibri"/>
          <w:b/>
          <w:bCs/>
          <w:lang w:eastAsia="cs-CZ"/>
        </w:rPr>
        <w:t>V</w:t>
      </w:r>
      <w:r w:rsidR="00E3636F">
        <w:rPr>
          <w:rFonts w:cs="Calibri"/>
          <w:b/>
          <w:bCs/>
          <w:lang w:eastAsia="cs-CZ"/>
        </w:rPr>
        <w:t> </w:t>
      </w:r>
      <w:r w:rsidRPr="00E3636F">
        <w:rPr>
          <w:rFonts w:cs="Calibri"/>
          <w:b/>
          <w:bCs/>
          <w:lang w:eastAsia="cs-CZ"/>
        </w:rPr>
        <w:t xml:space="preserve">údajích předkládaných </w:t>
      </w:r>
      <w:r w:rsidR="00AD416B" w:rsidRPr="00E3636F">
        <w:rPr>
          <w:rFonts w:cs="Calibri"/>
          <w:b/>
          <w:bCs/>
          <w:lang w:eastAsia="cs-CZ"/>
        </w:rPr>
        <w:t>NSA</w:t>
      </w:r>
      <w:r w:rsidRPr="00E3636F">
        <w:rPr>
          <w:rFonts w:cs="Calibri"/>
          <w:b/>
          <w:bCs/>
          <w:lang w:eastAsia="cs-CZ"/>
        </w:rPr>
        <w:t xml:space="preserve"> </w:t>
      </w:r>
      <w:r w:rsidRPr="00E3636F">
        <w:rPr>
          <w:b/>
          <w:bCs/>
        </w:rPr>
        <w:t>pro hodnocení plnění státního rozpočtu za rok 202</w:t>
      </w:r>
      <w:r w:rsidR="00AD416B" w:rsidRPr="00E3636F">
        <w:rPr>
          <w:b/>
          <w:bCs/>
        </w:rPr>
        <w:t>4</w:t>
      </w:r>
      <w:r w:rsidRPr="00E3636F">
        <w:rPr>
          <w:b/>
          <w:bCs/>
        </w:rPr>
        <w:t xml:space="preserve"> zjistil NKÚ v</w:t>
      </w:r>
      <w:r w:rsidR="00E3636F">
        <w:rPr>
          <w:b/>
          <w:bCs/>
        </w:rPr>
        <w:t> </w:t>
      </w:r>
      <w:r w:rsidRPr="00E3636F">
        <w:rPr>
          <w:b/>
          <w:bCs/>
        </w:rPr>
        <w:t>průběhu kontroly významné nedostatky ve výši 1</w:t>
      </w:r>
      <w:r w:rsidR="00E3636F" w:rsidRPr="00E3636F">
        <w:rPr>
          <w:b/>
          <w:bCs/>
        </w:rPr>
        <w:t> 431,1</w:t>
      </w:r>
      <w:r w:rsidRPr="00E3636F">
        <w:rPr>
          <w:b/>
          <w:bCs/>
        </w:rPr>
        <w:t xml:space="preserve"> mil. Kč</w:t>
      </w:r>
      <w:r>
        <w:rPr>
          <w:rStyle w:val="Znakapoznpodarou"/>
          <w:rFonts w:asciiTheme="minorHAnsi" w:hAnsiTheme="minorHAnsi" w:cs="Calibri"/>
          <w:b/>
          <w:bCs/>
        </w:rPr>
        <w:footnoteReference w:id="29"/>
      </w:r>
      <w:r w:rsidRPr="00E3636F">
        <w:rPr>
          <w:b/>
          <w:bCs/>
        </w:rPr>
        <w:t xml:space="preserve">, které </w:t>
      </w:r>
      <w:r w:rsidR="00AD416B" w:rsidRPr="00E3636F">
        <w:rPr>
          <w:b/>
          <w:bCs/>
        </w:rPr>
        <w:t>NSA</w:t>
      </w:r>
      <w:r w:rsidRPr="00E3636F">
        <w:rPr>
          <w:b/>
          <w:bCs/>
        </w:rPr>
        <w:t xml:space="preserve"> v</w:t>
      </w:r>
      <w:r w:rsidR="00E3636F">
        <w:rPr>
          <w:b/>
          <w:bCs/>
        </w:rPr>
        <w:t> </w:t>
      </w:r>
      <w:r w:rsidRPr="00E3636F">
        <w:rPr>
          <w:b/>
          <w:bCs/>
        </w:rPr>
        <w:t>průběhu kontroly opravil</w:t>
      </w:r>
      <w:r w:rsidR="00AD416B" w:rsidRPr="00E3636F">
        <w:rPr>
          <w:b/>
          <w:bCs/>
        </w:rPr>
        <w:t>a</w:t>
      </w:r>
      <w:r w:rsidRPr="00E3636F">
        <w:rPr>
          <w:b/>
          <w:bCs/>
        </w:rPr>
        <w:t>.</w:t>
      </w:r>
      <w:r w:rsidR="002A6571">
        <w:rPr>
          <w:b/>
          <w:bCs/>
        </w:rPr>
        <w:t xml:space="preserve"> </w:t>
      </w:r>
      <w:r w:rsidR="002A6571" w:rsidRPr="00CE7471">
        <w:t>Jednalo se zejména o následující:</w:t>
      </w:r>
    </w:p>
    <w:p w14:paraId="196EB183" w14:textId="6739F437" w:rsidR="00E3636F" w:rsidRPr="001419D7" w:rsidRDefault="003635EC" w:rsidP="003635EC">
      <w:pPr>
        <w:pStyle w:val="Styl2"/>
        <w:numPr>
          <w:ilvl w:val="0"/>
          <w:numId w:val="0"/>
        </w:numPr>
        <w:spacing w:before="240" w:after="120"/>
        <w:ind w:left="567" w:hanging="567"/>
      </w:pPr>
      <w:r>
        <w:t xml:space="preserve">2.1.1 </w:t>
      </w:r>
      <w:r>
        <w:tab/>
      </w:r>
      <w:r w:rsidR="00035012" w:rsidRPr="001419D7">
        <w:t>Nesprávná rozpočtová klasifikace transferů poskytovaných obcím na pořízení a</w:t>
      </w:r>
      <w:r w:rsidR="00767246">
        <w:t> </w:t>
      </w:r>
      <w:r w:rsidR="00035012" w:rsidRPr="001419D7">
        <w:t>technické zhodnocení sportovních zařízení ve vlastnictví obcí</w:t>
      </w:r>
    </w:p>
    <w:p w14:paraId="469CA36A" w14:textId="0596DAA2" w:rsidR="00E3636F" w:rsidRDefault="00035012" w:rsidP="00D423C0">
      <w:pPr>
        <w:spacing w:before="120" w:after="0"/>
        <w:jc w:val="both"/>
      </w:pPr>
      <w:r w:rsidRPr="002A1815">
        <w:rPr>
          <w:b/>
          <w:bCs/>
        </w:rPr>
        <w:t xml:space="preserve">NSA klasifikovala transfery poskytované obcím na pořízení a technické zhodnocení sportovních zařízení </w:t>
      </w:r>
      <w:r w:rsidRPr="002A1815">
        <w:t xml:space="preserve">v jejich vlastnictví </w:t>
      </w:r>
      <w:r w:rsidRPr="002A1815">
        <w:rPr>
          <w:b/>
          <w:bCs/>
        </w:rPr>
        <w:t>nesprávným rozpočtovým paragrafem 3419</w:t>
      </w:r>
      <w:r w:rsidRPr="002A1815">
        <w:t xml:space="preserve"> – </w:t>
      </w:r>
      <w:r w:rsidRPr="00D423C0">
        <w:rPr>
          <w:i/>
          <w:iCs/>
        </w:rPr>
        <w:t>Ostatní sportovní činnost</w:t>
      </w:r>
      <w:r w:rsidRPr="002A1815">
        <w:t xml:space="preserve">, </w:t>
      </w:r>
      <w:r w:rsidRPr="002A1815">
        <w:rPr>
          <w:b/>
          <w:bCs/>
        </w:rPr>
        <w:t>přestože</w:t>
      </w:r>
      <w:r w:rsidRPr="002A1815">
        <w:t xml:space="preserve"> pro dotace na sportovní zařízení ve vlastnictví obce </w:t>
      </w:r>
      <w:r w:rsidRPr="002A1815">
        <w:rPr>
          <w:b/>
          <w:bCs/>
        </w:rPr>
        <w:t>je</w:t>
      </w:r>
      <w:r w:rsidRPr="002A1815">
        <w:t xml:space="preserve"> vyhláškou č.</w:t>
      </w:r>
      <w:r w:rsidR="00703365">
        <w:t> </w:t>
      </w:r>
      <w:r w:rsidRPr="002A1815">
        <w:t xml:space="preserve">412/2021 Sb. </w:t>
      </w:r>
      <w:r w:rsidRPr="002A1815">
        <w:rPr>
          <w:b/>
          <w:bCs/>
        </w:rPr>
        <w:t>stanoven rozpočtový paragraf 3412</w:t>
      </w:r>
      <w:r w:rsidRPr="002A1815">
        <w:t xml:space="preserve"> – </w:t>
      </w:r>
      <w:r w:rsidRPr="00D423C0">
        <w:rPr>
          <w:i/>
          <w:iCs/>
        </w:rPr>
        <w:t>Sportovní zařízení ve vlastnictví obce</w:t>
      </w:r>
      <w:r w:rsidRPr="002A1815">
        <w:t xml:space="preserve">, který NSA vůbec nevyužívala. </w:t>
      </w:r>
      <w:r w:rsidR="00D423C0">
        <w:t xml:space="preserve">Jednalo se o </w:t>
      </w:r>
      <w:r w:rsidR="00747C18" w:rsidRPr="00747C18">
        <w:rPr>
          <w:b/>
          <w:bCs/>
        </w:rPr>
        <w:t>systémový</w:t>
      </w:r>
      <w:r w:rsidR="00747C18">
        <w:t xml:space="preserve"> </w:t>
      </w:r>
      <w:r w:rsidR="00D423C0" w:rsidRPr="00D423C0">
        <w:rPr>
          <w:b/>
          <w:bCs/>
        </w:rPr>
        <w:t>nedostatek v celkové výši 1</w:t>
      </w:r>
      <w:r w:rsidR="00747C18">
        <w:rPr>
          <w:b/>
          <w:bCs/>
        </w:rPr>
        <w:t> </w:t>
      </w:r>
      <w:r w:rsidR="00D423C0" w:rsidRPr="00D423C0">
        <w:rPr>
          <w:b/>
          <w:bCs/>
        </w:rPr>
        <w:t>330</w:t>
      </w:r>
      <w:r w:rsidR="00747C18">
        <w:rPr>
          <w:b/>
          <w:bCs/>
        </w:rPr>
        <w:t>,5</w:t>
      </w:r>
      <w:r w:rsidR="00767246">
        <w:rPr>
          <w:b/>
          <w:bCs/>
        </w:rPr>
        <w:t> </w:t>
      </w:r>
      <w:r w:rsidR="00D423C0" w:rsidRPr="00D423C0">
        <w:rPr>
          <w:b/>
          <w:bCs/>
        </w:rPr>
        <w:t>mil.</w:t>
      </w:r>
      <w:r w:rsidR="00767246">
        <w:rPr>
          <w:b/>
          <w:bCs/>
        </w:rPr>
        <w:t> </w:t>
      </w:r>
      <w:r w:rsidR="00D423C0" w:rsidRPr="00D423C0">
        <w:rPr>
          <w:b/>
          <w:bCs/>
        </w:rPr>
        <w:t>Kč</w:t>
      </w:r>
      <w:r w:rsidR="00D423C0" w:rsidRPr="001718B3">
        <w:rPr>
          <w:b/>
          <w:bCs/>
        </w:rPr>
        <w:t>,</w:t>
      </w:r>
      <w:r w:rsidR="00D423C0">
        <w:t xml:space="preserve"> který </w:t>
      </w:r>
      <w:r w:rsidR="00D423C0" w:rsidRPr="00D423C0">
        <w:rPr>
          <w:b/>
          <w:bCs/>
        </w:rPr>
        <w:t>NSA opravila</w:t>
      </w:r>
      <w:r w:rsidR="00D423C0">
        <w:t xml:space="preserve"> </w:t>
      </w:r>
      <w:r w:rsidR="00D423C0" w:rsidRPr="00D423C0">
        <w:rPr>
          <w:b/>
          <w:bCs/>
        </w:rPr>
        <w:t>a současně nové případy v celkové výši 27</w:t>
      </w:r>
      <w:r w:rsidR="00747C18">
        <w:rPr>
          <w:b/>
          <w:bCs/>
        </w:rPr>
        <w:t>8 mil.</w:t>
      </w:r>
      <w:r w:rsidR="00D423C0" w:rsidRPr="00D423C0">
        <w:rPr>
          <w:b/>
          <w:bCs/>
        </w:rPr>
        <w:t xml:space="preserve"> Kč</w:t>
      </w:r>
      <w:r w:rsidR="00D423C0" w:rsidRPr="00D423C0">
        <w:t xml:space="preserve"> již </w:t>
      </w:r>
      <w:r w:rsidR="00D423C0" w:rsidRPr="00D423C0">
        <w:rPr>
          <w:b/>
          <w:bCs/>
        </w:rPr>
        <w:t xml:space="preserve">začala </w:t>
      </w:r>
      <w:r w:rsidR="00B52A65">
        <w:rPr>
          <w:b/>
          <w:bCs/>
        </w:rPr>
        <w:t xml:space="preserve">klasifikovat </w:t>
      </w:r>
      <w:r w:rsidR="00D423C0" w:rsidRPr="00D423C0">
        <w:rPr>
          <w:b/>
          <w:bCs/>
        </w:rPr>
        <w:t>správný</w:t>
      </w:r>
      <w:r w:rsidR="00B52A65">
        <w:rPr>
          <w:b/>
          <w:bCs/>
        </w:rPr>
        <w:t>m</w:t>
      </w:r>
      <w:r w:rsidR="00D423C0" w:rsidRPr="00D423C0">
        <w:rPr>
          <w:b/>
          <w:bCs/>
        </w:rPr>
        <w:t xml:space="preserve"> rozpočtový</w:t>
      </w:r>
      <w:r w:rsidR="00B52A65">
        <w:rPr>
          <w:b/>
          <w:bCs/>
        </w:rPr>
        <w:t>m</w:t>
      </w:r>
      <w:r w:rsidR="00D423C0" w:rsidRPr="00D423C0">
        <w:rPr>
          <w:b/>
          <w:bCs/>
        </w:rPr>
        <w:t xml:space="preserve"> paragraf</w:t>
      </w:r>
      <w:r w:rsidR="00B52A65">
        <w:rPr>
          <w:b/>
          <w:bCs/>
        </w:rPr>
        <w:t>em</w:t>
      </w:r>
      <w:r w:rsidR="00D423C0" w:rsidRPr="00D423C0">
        <w:rPr>
          <w:b/>
          <w:bCs/>
        </w:rPr>
        <w:t xml:space="preserve"> 3412</w:t>
      </w:r>
      <w:r w:rsidR="00D423C0" w:rsidRPr="00D423C0">
        <w:t xml:space="preserve"> – </w:t>
      </w:r>
      <w:r w:rsidR="00D423C0" w:rsidRPr="00D423C0">
        <w:rPr>
          <w:i/>
          <w:iCs/>
        </w:rPr>
        <w:t>Sportovní zařízení ve vlastnictví obce</w:t>
      </w:r>
      <w:r w:rsidR="00D423C0" w:rsidRPr="00D423C0">
        <w:t>.</w:t>
      </w:r>
      <w:r>
        <w:t xml:space="preserve"> </w:t>
      </w:r>
    </w:p>
    <w:p w14:paraId="6B18CB40" w14:textId="63E1B9EB" w:rsidR="00E3636F" w:rsidRPr="001419D7" w:rsidRDefault="003635EC" w:rsidP="003635EC">
      <w:pPr>
        <w:pStyle w:val="Styl2"/>
        <w:numPr>
          <w:ilvl w:val="0"/>
          <w:numId w:val="0"/>
        </w:numPr>
        <w:spacing w:before="240" w:after="120"/>
        <w:ind w:left="567" w:hanging="567"/>
      </w:pPr>
      <w:r>
        <w:t xml:space="preserve">2.1.2 </w:t>
      </w:r>
      <w:r>
        <w:tab/>
      </w:r>
      <w:r w:rsidR="00035012" w:rsidRPr="001419D7">
        <w:t>Nesprávná rozpočtová klasifikace transferů poskytovaných do oblasti státní sportovní reprezentace</w:t>
      </w:r>
    </w:p>
    <w:p w14:paraId="313A5196" w14:textId="31E052DD" w:rsidR="00E3636F" w:rsidRPr="00355852" w:rsidRDefault="00035012" w:rsidP="00B52A65">
      <w:pPr>
        <w:spacing w:after="0"/>
        <w:jc w:val="both"/>
      </w:pPr>
      <w:r w:rsidRPr="00355852">
        <w:rPr>
          <w:b/>
          <w:bCs/>
        </w:rPr>
        <w:t xml:space="preserve">NSA klasifikovala transfery poskytované </w:t>
      </w:r>
      <w:r w:rsidRPr="00355852">
        <w:t>spolkům a sportovním svazům</w:t>
      </w:r>
      <w:r w:rsidRPr="00355852">
        <w:rPr>
          <w:b/>
          <w:bCs/>
        </w:rPr>
        <w:t xml:space="preserve"> do oblasti státní sportovní reprezentace</w:t>
      </w:r>
      <w:r w:rsidRPr="00355852">
        <w:t xml:space="preserve"> </w:t>
      </w:r>
      <w:r w:rsidRPr="00355852">
        <w:rPr>
          <w:b/>
          <w:bCs/>
        </w:rPr>
        <w:t>nesprávným rozpočtovým paragrafem 3419</w:t>
      </w:r>
      <w:r w:rsidRPr="00355852">
        <w:t xml:space="preserve"> – </w:t>
      </w:r>
      <w:r w:rsidRPr="00355852">
        <w:rPr>
          <w:i/>
          <w:iCs/>
        </w:rPr>
        <w:t>Ostatní sportovní činnost</w:t>
      </w:r>
      <w:r w:rsidRPr="00355852">
        <w:t xml:space="preserve">, </w:t>
      </w:r>
      <w:r w:rsidRPr="00355852">
        <w:rPr>
          <w:b/>
          <w:bCs/>
        </w:rPr>
        <w:t>přestože</w:t>
      </w:r>
      <w:r w:rsidRPr="00355852">
        <w:t xml:space="preserve"> pro dotace do oblasti státní </w:t>
      </w:r>
      <w:r w:rsidR="00355852" w:rsidRPr="00355852">
        <w:t xml:space="preserve">sportovní reprezentace </w:t>
      </w:r>
      <w:r w:rsidR="00355852" w:rsidRPr="00355852">
        <w:rPr>
          <w:b/>
          <w:bCs/>
        </w:rPr>
        <w:t>je</w:t>
      </w:r>
      <w:r w:rsidR="00355852" w:rsidRPr="00355852">
        <w:t xml:space="preserve"> vyhláškou č.</w:t>
      </w:r>
      <w:r w:rsidR="00767246">
        <w:t> </w:t>
      </w:r>
      <w:r w:rsidR="00355852" w:rsidRPr="00355852">
        <w:t>412/2021</w:t>
      </w:r>
      <w:r w:rsidR="00767246">
        <w:t> </w:t>
      </w:r>
      <w:r w:rsidR="00355852" w:rsidRPr="00355852">
        <w:t xml:space="preserve">Sb. </w:t>
      </w:r>
      <w:r w:rsidR="00355852" w:rsidRPr="00355852">
        <w:rPr>
          <w:b/>
          <w:bCs/>
        </w:rPr>
        <w:t>stanoven rozpočtový paragraf 3411</w:t>
      </w:r>
      <w:r w:rsidR="00355852" w:rsidRPr="00355852">
        <w:t xml:space="preserve"> – </w:t>
      </w:r>
      <w:r w:rsidR="00355852" w:rsidRPr="00355852">
        <w:rPr>
          <w:i/>
          <w:iCs/>
        </w:rPr>
        <w:t>Státní sportovní reprezentace</w:t>
      </w:r>
      <w:r w:rsidR="00355852" w:rsidRPr="00355852">
        <w:t xml:space="preserve">. </w:t>
      </w:r>
      <w:r w:rsidR="005C6787">
        <w:t>Jednalo se o</w:t>
      </w:r>
      <w:r w:rsidR="00767246">
        <w:t> </w:t>
      </w:r>
      <w:r w:rsidR="00747C18" w:rsidRPr="00747C18">
        <w:rPr>
          <w:b/>
          <w:bCs/>
        </w:rPr>
        <w:t>systémový</w:t>
      </w:r>
      <w:r w:rsidR="00747C18">
        <w:t xml:space="preserve"> </w:t>
      </w:r>
      <w:r w:rsidR="005C6787" w:rsidRPr="00B52A65">
        <w:rPr>
          <w:b/>
          <w:bCs/>
        </w:rPr>
        <w:t>nedostatek v celkové výši 97</w:t>
      </w:r>
      <w:r w:rsidR="00747C18">
        <w:rPr>
          <w:b/>
          <w:bCs/>
        </w:rPr>
        <w:t>,3</w:t>
      </w:r>
      <w:r w:rsidR="005C6787" w:rsidRPr="00B52A65">
        <w:rPr>
          <w:b/>
          <w:bCs/>
        </w:rPr>
        <w:t xml:space="preserve"> mil. Kč</w:t>
      </w:r>
      <w:r w:rsidR="00B52A65" w:rsidRPr="001718B3">
        <w:rPr>
          <w:b/>
          <w:bCs/>
        </w:rPr>
        <w:t>,</w:t>
      </w:r>
      <w:r w:rsidR="00B52A65">
        <w:t xml:space="preserve"> který </w:t>
      </w:r>
      <w:r w:rsidR="00B52A65" w:rsidRPr="00B52A65">
        <w:rPr>
          <w:b/>
          <w:bCs/>
        </w:rPr>
        <w:t>NSA opravila a současně nové případy</w:t>
      </w:r>
      <w:r w:rsidR="00B52A65">
        <w:t xml:space="preserve"> již </w:t>
      </w:r>
      <w:r w:rsidR="00B52A65" w:rsidRPr="00B52A65">
        <w:rPr>
          <w:b/>
          <w:bCs/>
        </w:rPr>
        <w:t>začala klasifikovat správným rozpočtovým paragrafem 3411</w:t>
      </w:r>
      <w:r w:rsidR="00B52A65">
        <w:t xml:space="preserve"> – </w:t>
      </w:r>
      <w:r w:rsidR="00B52A65" w:rsidRPr="00B52A65">
        <w:rPr>
          <w:i/>
          <w:iCs/>
        </w:rPr>
        <w:t>Státní sportovní reprezentace</w:t>
      </w:r>
      <w:r w:rsidR="00B52A65">
        <w:t>.</w:t>
      </w:r>
    </w:p>
    <w:p w14:paraId="5696873A" w14:textId="4F5A7DEF" w:rsidR="003604D9" w:rsidRPr="00AD416B" w:rsidRDefault="003635EC" w:rsidP="003635EC">
      <w:pPr>
        <w:pStyle w:val="Styl2"/>
        <w:numPr>
          <w:ilvl w:val="0"/>
          <w:numId w:val="0"/>
        </w:numPr>
        <w:spacing w:before="240"/>
      </w:pPr>
      <w:r>
        <w:t xml:space="preserve">2.2 </w:t>
      </w:r>
      <w:r w:rsidR="00035012" w:rsidRPr="00AD416B">
        <w:t>Spolehlivost údajů výkazu FIN 1-12 OSS</w:t>
      </w:r>
    </w:p>
    <w:p w14:paraId="67CE9502" w14:textId="77777777" w:rsidR="00034564" w:rsidRDefault="00035012" w:rsidP="006575BB">
      <w:pPr>
        <w:spacing w:before="120"/>
        <w:jc w:val="both"/>
      </w:pPr>
      <w:r w:rsidRPr="00AD416B">
        <w:t xml:space="preserve">Pro posouzení významnosti zjištěných nesprávností v údajích předkládaných </w:t>
      </w:r>
      <w:r w:rsidR="00AD416B">
        <w:t xml:space="preserve">Národní sportovní </w:t>
      </w:r>
      <w:r w:rsidR="00AD416B" w:rsidRPr="00AB79F4">
        <w:t>agenturou</w:t>
      </w:r>
      <w:r w:rsidR="00AA122F" w:rsidRPr="00AB79F4">
        <w:t xml:space="preserve"> </w:t>
      </w:r>
      <w:r w:rsidRPr="00AB79F4">
        <w:t>pro hodnocení</w:t>
      </w:r>
      <w:r w:rsidRPr="00AD416B">
        <w:t xml:space="preserve"> plnění</w:t>
      </w:r>
      <w:r w:rsidR="00F95077" w:rsidRPr="00AD416B">
        <w:t xml:space="preserve"> </w:t>
      </w:r>
      <w:r w:rsidR="00AA122F" w:rsidRPr="00AD416B">
        <w:t xml:space="preserve">státního </w:t>
      </w:r>
      <w:r w:rsidRPr="00AD416B">
        <w:t xml:space="preserve">rozpočtu </w:t>
      </w:r>
      <w:r w:rsidR="000176F5" w:rsidRPr="00AD416B">
        <w:t>stanovil</w:t>
      </w:r>
      <w:r w:rsidR="00EE2163" w:rsidRPr="00AD416B">
        <w:t xml:space="preserve"> NKÚ </w:t>
      </w:r>
      <w:r w:rsidR="009C3CD0" w:rsidRPr="00AD416B">
        <w:t>hladin</w:t>
      </w:r>
      <w:r w:rsidR="000176F5" w:rsidRPr="00AD416B">
        <w:t>u</w:t>
      </w:r>
      <w:r w:rsidR="009C3CD0" w:rsidRPr="00AD416B">
        <w:t xml:space="preserve"> </w:t>
      </w:r>
      <w:r w:rsidRPr="00AD416B">
        <w:t>významnost</w:t>
      </w:r>
      <w:r w:rsidR="009C3CD0" w:rsidRPr="00AD416B">
        <w:t>i</w:t>
      </w:r>
      <w:r w:rsidRPr="00AD416B">
        <w:t xml:space="preserve"> ve výši </w:t>
      </w:r>
      <w:r w:rsidR="00AB79F4">
        <w:t>165</w:t>
      </w:r>
      <w:r w:rsidR="005C5441" w:rsidRPr="00AD416B">
        <w:t xml:space="preserve"> </w:t>
      </w:r>
      <w:r w:rsidRPr="00AD416B">
        <w:t>mil. Kč</w:t>
      </w:r>
      <w:r>
        <w:rPr>
          <w:rStyle w:val="Znakapoznpodarou"/>
        </w:rPr>
        <w:footnoteReference w:id="30"/>
      </w:r>
      <w:r w:rsidRPr="00AD416B">
        <w:t>.</w:t>
      </w:r>
    </w:p>
    <w:p w14:paraId="7B375EDD" w14:textId="77777777" w:rsidR="00B52A65" w:rsidRPr="002F6ECE" w:rsidRDefault="00035012" w:rsidP="00B52A65">
      <w:pPr>
        <w:spacing w:before="120"/>
        <w:jc w:val="both"/>
        <w:rPr>
          <w:rFonts w:eastAsia="Calibri" w:cs="Calibri"/>
          <w:highlight w:val="green"/>
        </w:rPr>
      </w:pPr>
      <w:r w:rsidRPr="00AD416B">
        <w:rPr>
          <w:rFonts w:asciiTheme="minorHAnsi" w:hAnsiTheme="minorHAnsi" w:cstheme="minorHAnsi"/>
          <w:spacing w:val="-2"/>
        </w:rPr>
        <w:t>V</w:t>
      </w:r>
      <w:r w:rsidR="00A35453">
        <w:rPr>
          <w:rFonts w:asciiTheme="minorHAnsi" w:hAnsiTheme="minorHAnsi" w:cstheme="minorHAnsi"/>
          <w:spacing w:val="-2"/>
        </w:rPr>
        <w:t xml:space="preserve">e výkazu pro hodnocení plnění rozpočtu za rok 2024 </w:t>
      </w:r>
      <w:r w:rsidRPr="00AD416B">
        <w:rPr>
          <w:rFonts w:eastAsia="Calibri" w:cs="Calibri"/>
        </w:rPr>
        <w:t>sestavené</w:t>
      </w:r>
      <w:r w:rsidR="00A35453">
        <w:rPr>
          <w:rFonts w:eastAsia="Calibri" w:cs="Calibri"/>
        </w:rPr>
        <w:t>m</w:t>
      </w:r>
      <w:r w:rsidRPr="00AD416B">
        <w:rPr>
          <w:rFonts w:eastAsia="Calibri" w:cs="Calibri"/>
        </w:rPr>
        <w:t xml:space="preserve"> po provedení oprav (uvedených v</w:t>
      </w:r>
      <w:r>
        <w:rPr>
          <w:rFonts w:eastAsia="Calibri" w:cs="Calibri"/>
        </w:rPr>
        <w:t> </w:t>
      </w:r>
      <w:r w:rsidRPr="00295315">
        <w:rPr>
          <w:rFonts w:eastAsia="Calibri" w:cs="Calibri"/>
        </w:rPr>
        <w:t>části IV.</w:t>
      </w:r>
      <w:r w:rsidR="00295315" w:rsidRPr="00295315">
        <w:rPr>
          <w:rFonts w:eastAsia="Calibri" w:cs="Calibri"/>
        </w:rPr>
        <w:t>2</w:t>
      </w:r>
      <w:r w:rsidRPr="00295315">
        <w:rPr>
          <w:rFonts w:eastAsia="Calibri" w:cs="Calibri"/>
        </w:rPr>
        <w:t>.</w:t>
      </w:r>
      <w:r w:rsidR="00295315" w:rsidRPr="00295315">
        <w:rPr>
          <w:rFonts w:eastAsia="Calibri" w:cs="Calibri"/>
        </w:rPr>
        <w:t>1</w:t>
      </w:r>
      <w:r w:rsidRPr="00295315">
        <w:rPr>
          <w:rFonts w:eastAsia="Calibri" w:cs="Calibri"/>
        </w:rPr>
        <w:t xml:space="preserve"> t</w:t>
      </w:r>
      <w:r w:rsidRPr="00AD416B">
        <w:rPr>
          <w:rFonts w:eastAsia="Calibri" w:cs="Calibri"/>
        </w:rPr>
        <w:t>ohoto kontrolního závěru) nezjistil NKÚ žádné neopravené nesprávnosti.</w:t>
      </w:r>
    </w:p>
    <w:p w14:paraId="163F4F21" w14:textId="55753BBC" w:rsidR="002500C2" w:rsidRPr="00370960" w:rsidRDefault="00035012" w:rsidP="006575BB">
      <w:pPr>
        <w:spacing w:before="120"/>
        <w:jc w:val="both"/>
        <w:rPr>
          <w:rFonts w:asciiTheme="minorHAnsi" w:hAnsiTheme="minorHAnsi" w:cs="Calibri"/>
          <w:b/>
        </w:rPr>
      </w:pPr>
      <w:r>
        <w:rPr>
          <w:rFonts w:eastAsiaTheme="minorHAnsi" w:cs="Calibri"/>
          <w:b/>
        </w:rPr>
        <w:t>Pod</w:t>
      </w:r>
      <w:r w:rsidR="00063F65" w:rsidRPr="00370960">
        <w:rPr>
          <w:rFonts w:eastAsiaTheme="minorHAnsi" w:cs="Calibri"/>
          <w:b/>
        </w:rPr>
        <w:t>le NKÚ byl uvedený výkaz pro hodnocení plnění rozpočtu</w:t>
      </w:r>
      <w:r w:rsidR="00063F65" w:rsidRPr="00370960">
        <w:rPr>
          <w:rFonts w:asciiTheme="minorHAnsi" w:hAnsiTheme="minorHAnsi" w:cstheme="minorHAnsi"/>
          <w:b/>
        </w:rPr>
        <w:t xml:space="preserve"> </w:t>
      </w:r>
      <w:r w:rsidR="00063F65" w:rsidRPr="00370960">
        <w:rPr>
          <w:rFonts w:eastAsiaTheme="minorHAnsi" w:cs="Calibri"/>
          <w:b/>
        </w:rPr>
        <w:t>ve všech významných ohledech sestaven v souladu s příslušnými právními předpisy</w:t>
      </w:r>
      <w:r w:rsidR="00063F65" w:rsidRPr="00370960">
        <w:rPr>
          <w:rFonts w:asciiTheme="minorHAnsi" w:hAnsiTheme="minorHAnsi" w:cs="Calibri"/>
          <w:b/>
        </w:rPr>
        <w:t>.</w:t>
      </w:r>
    </w:p>
    <w:p w14:paraId="3866385D" w14:textId="01E3C7A7" w:rsidR="00E23CE6" w:rsidRPr="00370960" w:rsidRDefault="003635EC" w:rsidP="003635EC">
      <w:pPr>
        <w:pStyle w:val="Styl2"/>
        <w:numPr>
          <w:ilvl w:val="0"/>
          <w:numId w:val="0"/>
        </w:numPr>
        <w:spacing w:before="240"/>
      </w:pPr>
      <w:r>
        <w:lastRenderedPageBreak/>
        <w:t xml:space="preserve">3. </w:t>
      </w:r>
      <w:r w:rsidR="00035012" w:rsidRPr="00370960">
        <w:t xml:space="preserve">Závěrečný účet kapitoly státního rozpočtu </w:t>
      </w:r>
      <w:r w:rsidR="00370960" w:rsidRPr="00370960">
        <w:t>362</w:t>
      </w:r>
      <w:r w:rsidR="00035012" w:rsidRPr="00370960">
        <w:t xml:space="preserve"> – </w:t>
      </w:r>
      <w:r w:rsidR="00370960" w:rsidRPr="00370960">
        <w:rPr>
          <w:i/>
        </w:rPr>
        <w:t>Národní sportovní agentura</w:t>
      </w:r>
      <w:r w:rsidR="00035012" w:rsidRPr="00370960">
        <w:t xml:space="preserve"> za rok </w:t>
      </w:r>
      <w:r w:rsidR="00370960" w:rsidRPr="00370960">
        <w:t>2024</w:t>
      </w:r>
    </w:p>
    <w:p w14:paraId="448D20BA" w14:textId="77777777" w:rsidR="002E7377" w:rsidRDefault="00035012" w:rsidP="006575BB">
      <w:pPr>
        <w:spacing w:before="120"/>
        <w:jc w:val="both"/>
        <w:rPr>
          <w:rFonts w:asciiTheme="minorHAnsi" w:hAnsiTheme="minorHAnsi" w:cstheme="minorHAnsi"/>
          <w:lang w:eastAsia="cs-CZ"/>
        </w:rPr>
      </w:pPr>
      <w:r w:rsidRPr="00370960">
        <w:rPr>
          <w:rFonts w:asciiTheme="minorHAnsi" w:hAnsiTheme="minorHAnsi" w:cstheme="minorHAnsi"/>
          <w:lang w:eastAsia="cs-CZ"/>
        </w:rPr>
        <w:t xml:space="preserve">Při kontrole ZÚ za rok </w:t>
      </w:r>
      <w:r w:rsidR="00370960" w:rsidRPr="00370960">
        <w:rPr>
          <w:rFonts w:asciiTheme="minorHAnsi" w:hAnsiTheme="minorHAnsi" w:cstheme="minorHAnsi"/>
          <w:lang w:eastAsia="cs-CZ"/>
        </w:rPr>
        <w:t>2024</w:t>
      </w:r>
      <w:r w:rsidRPr="00370960">
        <w:rPr>
          <w:rFonts w:asciiTheme="minorHAnsi" w:hAnsiTheme="minorHAnsi" w:cstheme="minorHAnsi"/>
          <w:lang w:eastAsia="cs-CZ"/>
        </w:rPr>
        <w:t xml:space="preserve"> se NKÚ zaměřil na dodržení souladu s vyhláškou č. 419/2001 Sb., na ověření správnosti a úplnosti údajů a číselných hodnot uvedených v průvodní zprávě, v</w:t>
      </w:r>
      <w:r w:rsidR="00A2452E" w:rsidRPr="00370960">
        <w:rPr>
          <w:rFonts w:asciiTheme="minorHAnsi" w:hAnsiTheme="minorHAnsi" w:cstheme="minorHAnsi"/>
          <w:lang w:eastAsia="cs-CZ"/>
        </w:rPr>
        <w:t> </w:t>
      </w:r>
      <w:r w:rsidRPr="00370960">
        <w:rPr>
          <w:rFonts w:asciiTheme="minorHAnsi" w:hAnsiTheme="minorHAnsi" w:cstheme="minorHAnsi"/>
          <w:lang w:eastAsia="cs-CZ"/>
        </w:rPr>
        <w:t>číselných sestavách a v tabulkových přílohách.</w:t>
      </w:r>
    </w:p>
    <w:p w14:paraId="658A1CCF" w14:textId="66F13E60" w:rsidR="006803F6" w:rsidRPr="00AD416B" w:rsidRDefault="003635EC" w:rsidP="003635EC">
      <w:pPr>
        <w:pStyle w:val="Styl2"/>
        <w:numPr>
          <w:ilvl w:val="0"/>
          <w:numId w:val="0"/>
        </w:numPr>
        <w:spacing w:before="240"/>
      </w:pPr>
      <w:r>
        <w:t xml:space="preserve">3.1 </w:t>
      </w:r>
      <w:r w:rsidR="00035012">
        <w:t>Opravy nedostatků v závěrečném účtu</w:t>
      </w:r>
    </w:p>
    <w:p w14:paraId="7E80215D" w14:textId="0D818C38" w:rsidR="005E6A46" w:rsidRDefault="00035012" w:rsidP="002E6675">
      <w:pPr>
        <w:spacing w:before="120" w:after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Předtím</w:t>
      </w:r>
      <w:r w:rsidR="00BA4430">
        <w:rPr>
          <w:rFonts w:asciiTheme="minorHAnsi" w:hAnsiTheme="minorHAnsi" w:cstheme="minorHAnsi"/>
          <w:lang w:eastAsia="cs-CZ"/>
        </w:rPr>
        <w:t>,</w:t>
      </w:r>
      <w:r>
        <w:rPr>
          <w:rFonts w:asciiTheme="minorHAnsi" w:hAnsiTheme="minorHAnsi" w:cstheme="minorHAnsi"/>
          <w:lang w:eastAsia="cs-CZ"/>
        </w:rPr>
        <w:t xml:space="preserve"> než NSA sestav</w:t>
      </w:r>
      <w:r w:rsidR="009F57B8">
        <w:rPr>
          <w:rFonts w:asciiTheme="minorHAnsi" w:hAnsiTheme="minorHAnsi" w:cstheme="minorHAnsi"/>
          <w:lang w:eastAsia="cs-CZ"/>
        </w:rPr>
        <w:t>ila</w:t>
      </w:r>
      <w:r>
        <w:rPr>
          <w:rFonts w:asciiTheme="minorHAnsi" w:hAnsiTheme="minorHAnsi" w:cstheme="minorHAnsi"/>
          <w:lang w:eastAsia="cs-CZ"/>
        </w:rPr>
        <w:t xml:space="preserve"> ZÚ za rok 2024, prověřil NKÚ ZÚ za rok 2023</w:t>
      </w:r>
      <w:r w:rsidR="00BA4430">
        <w:rPr>
          <w:rFonts w:asciiTheme="minorHAnsi" w:hAnsiTheme="minorHAnsi" w:cstheme="minorHAnsi"/>
          <w:lang w:eastAsia="cs-CZ"/>
        </w:rPr>
        <w:t>, zda</w:t>
      </w:r>
      <w:r>
        <w:rPr>
          <w:rFonts w:asciiTheme="minorHAnsi" w:hAnsiTheme="minorHAnsi" w:cstheme="minorHAnsi"/>
          <w:lang w:eastAsia="cs-CZ"/>
        </w:rPr>
        <w:t xml:space="preserve"> je sestaven v souladu s vyhláškou č. 419/2001 Sb. NKÚ na zjištěné nedostatky v ZÚ za rok 2023 upozornil NSA, a to s cílem zamezení jejich případnému opakování v ZÚ za rok 2024. </w:t>
      </w:r>
      <w:r w:rsidRPr="00FC19E9">
        <w:rPr>
          <w:rFonts w:asciiTheme="minorHAnsi" w:hAnsiTheme="minorHAnsi" w:cstheme="minorHAnsi"/>
          <w:b/>
          <w:bCs/>
          <w:lang w:eastAsia="cs-CZ"/>
        </w:rPr>
        <w:t xml:space="preserve">NSA </w:t>
      </w:r>
      <w:r w:rsidR="009F57B8" w:rsidRPr="00FC19E9">
        <w:rPr>
          <w:rFonts w:asciiTheme="minorHAnsi" w:hAnsiTheme="minorHAnsi" w:cstheme="minorHAnsi"/>
          <w:b/>
          <w:bCs/>
          <w:lang w:eastAsia="cs-CZ"/>
        </w:rPr>
        <w:t xml:space="preserve">některé </w:t>
      </w:r>
      <w:r w:rsidR="00F075E1" w:rsidRPr="00FC19E9">
        <w:rPr>
          <w:rFonts w:asciiTheme="minorHAnsi" w:hAnsiTheme="minorHAnsi" w:cstheme="minorHAnsi"/>
          <w:b/>
          <w:bCs/>
          <w:lang w:eastAsia="cs-CZ"/>
        </w:rPr>
        <w:t>nedostatk</w:t>
      </w:r>
      <w:r w:rsidR="009F57B8" w:rsidRPr="00FC19E9">
        <w:rPr>
          <w:rFonts w:asciiTheme="minorHAnsi" w:hAnsiTheme="minorHAnsi" w:cstheme="minorHAnsi"/>
          <w:b/>
          <w:bCs/>
          <w:lang w:eastAsia="cs-CZ"/>
        </w:rPr>
        <w:t>y</w:t>
      </w:r>
      <w:r w:rsidR="00F075E1" w:rsidRPr="00FC19E9">
        <w:rPr>
          <w:rFonts w:asciiTheme="minorHAnsi" w:hAnsiTheme="minorHAnsi" w:cstheme="minorHAnsi"/>
          <w:b/>
          <w:bCs/>
          <w:lang w:eastAsia="cs-CZ"/>
        </w:rPr>
        <w:t xml:space="preserve"> odstranila při přípravě ZÚ za rok 2024, když zejména</w:t>
      </w:r>
      <w:r w:rsidR="00942F1A">
        <w:rPr>
          <w:rFonts w:asciiTheme="minorHAnsi" w:hAnsiTheme="minorHAnsi" w:cstheme="minorHAnsi"/>
          <w:lang w:eastAsia="cs-CZ"/>
        </w:rPr>
        <w:t xml:space="preserve"> v průvodní zprávě ZÚ za rok 2024</w:t>
      </w:r>
      <w:r w:rsidR="00F075E1">
        <w:rPr>
          <w:rFonts w:asciiTheme="minorHAnsi" w:hAnsiTheme="minorHAnsi" w:cstheme="minorHAnsi"/>
          <w:lang w:eastAsia="cs-CZ"/>
        </w:rPr>
        <w:t>:</w:t>
      </w:r>
      <w:r w:rsidR="00942F1A">
        <w:rPr>
          <w:rFonts w:asciiTheme="minorHAnsi" w:hAnsiTheme="minorHAnsi" w:cstheme="minorHAnsi"/>
          <w:lang w:eastAsia="cs-CZ"/>
        </w:rPr>
        <w:t xml:space="preserve"> </w:t>
      </w:r>
    </w:p>
    <w:p w14:paraId="148CE9C5" w14:textId="77777777" w:rsidR="00F075E1" w:rsidRDefault="00035012" w:rsidP="00703365">
      <w:pPr>
        <w:pStyle w:val="Odstavecseseznamem"/>
        <w:numPr>
          <w:ilvl w:val="0"/>
          <w:numId w:val="23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FC19E9">
        <w:rPr>
          <w:rFonts w:asciiTheme="minorHAnsi" w:hAnsiTheme="minorHAnsi" w:cstheme="minorHAnsi"/>
          <w:b/>
          <w:bCs/>
          <w:lang w:eastAsia="cs-CZ"/>
        </w:rPr>
        <w:t>uvedla hodnocení plnění priorit státního rozpočtu</w:t>
      </w:r>
      <w:r>
        <w:rPr>
          <w:rFonts w:asciiTheme="minorHAnsi" w:hAnsiTheme="minorHAnsi" w:cstheme="minorHAnsi"/>
          <w:lang w:eastAsia="cs-CZ"/>
        </w:rPr>
        <w:t xml:space="preserve"> stanovených vládou,</w:t>
      </w:r>
    </w:p>
    <w:p w14:paraId="7CF0DD24" w14:textId="77777777" w:rsidR="00942F1A" w:rsidRDefault="00035012" w:rsidP="00703365">
      <w:pPr>
        <w:pStyle w:val="Odstavecseseznamem"/>
        <w:numPr>
          <w:ilvl w:val="0"/>
          <w:numId w:val="23"/>
        </w:numPr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C19E9">
        <w:rPr>
          <w:rFonts w:asciiTheme="minorHAnsi" w:hAnsiTheme="minorHAnsi" w:cstheme="minorHAnsi"/>
          <w:b/>
          <w:bCs/>
          <w:lang w:eastAsia="cs-CZ"/>
        </w:rPr>
        <w:t>doplnila rozbor zaměstnanosti</w:t>
      </w:r>
      <w:r>
        <w:rPr>
          <w:rFonts w:asciiTheme="minorHAnsi" w:hAnsiTheme="minorHAnsi" w:cstheme="minorHAnsi"/>
          <w:lang w:eastAsia="cs-CZ"/>
        </w:rPr>
        <w:t xml:space="preserve"> o čerpání prostředků na platy a na ostatní platby za provedenou práci,</w:t>
      </w:r>
    </w:p>
    <w:p w14:paraId="3F609F38" w14:textId="77777777" w:rsidR="00942F1A" w:rsidRDefault="00035012" w:rsidP="00703365">
      <w:pPr>
        <w:pStyle w:val="Odstavecseseznamem"/>
        <w:numPr>
          <w:ilvl w:val="0"/>
          <w:numId w:val="23"/>
        </w:numPr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C19E9">
        <w:rPr>
          <w:rFonts w:asciiTheme="minorHAnsi" w:hAnsiTheme="minorHAnsi" w:cstheme="minorHAnsi"/>
          <w:b/>
          <w:bCs/>
          <w:lang w:eastAsia="cs-CZ"/>
        </w:rPr>
        <w:t>doplnila hodnocení a vývoj transferů poskytnutých příspěvkovým organizacím</w:t>
      </w:r>
      <w:r w:rsidRPr="001718B3">
        <w:rPr>
          <w:rFonts w:asciiTheme="minorHAnsi" w:hAnsiTheme="minorHAnsi" w:cstheme="minorHAnsi"/>
          <w:b/>
          <w:bCs/>
          <w:lang w:eastAsia="cs-CZ"/>
        </w:rPr>
        <w:t>,</w:t>
      </w:r>
    </w:p>
    <w:p w14:paraId="78C90BF8" w14:textId="77777777" w:rsidR="00942F1A" w:rsidRDefault="00035012" w:rsidP="00703365">
      <w:pPr>
        <w:pStyle w:val="Odstavecseseznamem"/>
        <w:numPr>
          <w:ilvl w:val="0"/>
          <w:numId w:val="23"/>
        </w:numPr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C19E9">
        <w:rPr>
          <w:rFonts w:asciiTheme="minorHAnsi" w:hAnsiTheme="minorHAnsi" w:cstheme="minorHAnsi"/>
          <w:b/>
          <w:bCs/>
          <w:lang w:eastAsia="cs-CZ"/>
        </w:rPr>
        <w:t>doplnila</w:t>
      </w:r>
      <w:r>
        <w:rPr>
          <w:rFonts w:asciiTheme="minorHAnsi" w:hAnsiTheme="minorHAnsi" w:cstheme="minorHAnsi"/>
          <w:lang w:eastAsia="cs-CZ"/>
        </w:rPr>
        <w:t xml:space="preserve"> u transferů poskytnutých neziskovým a podobným osobám </w:t>
      </w:r>
      <w:r w:rsidRPr="00FC19E9">
        <w:rPr>
          <w:rFonts w:asciiTheme="minorHAnsi" w:hAnsiTheme="minorHAnsi" w:cstheme="minorHAnsi"/>
          <w:b/>
          <w:bCs/>
          <w:lang w:eastAsia="cs-CZ"/>
        </w:rPr>
        <w:t>seznam nejvýznamnějších příjemců</w:t>
      </w:r>
      <w:r w:rsidR="00A81705" w:rsidRPr="001718B3">
        <w:rPr>
          <w:rFonts w:asciiTheme="minorHAnsi" w:hAnsiTheme="minorHAnsi" w:cstheme="minorHAnsi"/>
          <w:b/>
          <w:bCs/>
          <w:lang w:eastAsia="cs-CZ"/>
        </w:rPr>
        <w:t>,</w:t>
      </w:r>
    </w:p>
    <w:p w14:paraId="53DD271F" w14:textId="77777777" w:rsidR="00942F1A" w:rsidRDefault="00035012" w:rsidP="00703365">
      <w:pPr>
        <w:pStyle w:val="Odstavecseseznamem"/>
        <w:numPr>
          <w:ilvl w:val="0"/>
          <w:numId w:val="23"/>
        </w:numPr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C19E9">
        <w:rPr>
          <w:rFonts w:asciiTheme="minorHAnsi" w:hAnsiTheme="minorHAnsi" w:cstheme="minorHAnsi"/>
          <w:b/>
          <w:bCs/>
          <w:lang w:eastAsia="cs-CZ"/>
        </w:rPr>
        <w:t>doplnila komentář o bezúplatných převodech</w:t>
      </w:r>
      <w:r>
        <w:rPr>
          <w:rFonts w:asciiTheme="minorHAnsi" w:hAnsiTheme="minorHAnsi" w:cstheme="minorHAnsi"/>
          <w:lang w:eastAsia="cs-CZ"/>
        </w:rPr>
        <w:t xml:space="preserve"> dlouhodobého majetku.</w:t>
      </w:r>
    </w:p>
    <w:p w14:paraId="6632BE2E" w14:textId="2BCA907C" w:rsidR="00942F1A" w:rsidRPr="00942F1A" w:rsidRDefault="00035012" w:rsidP="00062A05">
      <w:pPr>
        <w:spacing w:before="120" w:after="24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Zároveň NSA </w:t>
      </w:r>
      <w:r w:rsidRPr="00FC19E9">
        <w:rPr>
          <w:rFonts w:asciiTheme="minorHAnsi" w:hAnsiTheme="minorHAnsi" w:cstheme="minorHAnsi"/>
          <w:b/>
          <w:bCs/>
          <w:lang w:eastAsia="cs-CZ"/>
        </w:rPr>
        <w:t>začala</w:t>
      </w:r>
      <w:r>
        <w:rPr>
          <w:rFonts w:asciiTheme="minorHAnsi" w:hAnsiTheme="minorHAnsi" w:cstheme="minorHAnsi"/>
          <w:lang w:eastAsia="cs-CZ"/>
        </w:rPr>
        <w:t xml:space="preserve"> v souladu se zákonem č. 218/2000 Sb.</w:t>
      </w:r>
      <w:r w:rsidR="008C7EAC">
        <w:rPr>
          <w:rStyle w:val="Znakapoznpodarou"/>
          <w:rFonts w:asciiTheme="minorHAnsi" w:hAnsiTheme="minorHAnsi" w:cstheme="minorHAnsi"/>
          <w:lang w:eastAsia="cs-CZ"/>
        </w:rPr>
        <w:footnoteReference w:id="31"/>
      </w:r>
      <w:r>
        <w:rPr>
          <w:rFonts w:asciiTheme="minorHAnsi" w:hAnsiTheme="minorHAnsi" w:cstheme="minorHAnsi"/>
          <w:lang w:eastAsia="cs-CZ"/>
        </w:rPr>
        <w:t xml:space="preserve"> </w:t>
      </w:r>
      <w:r w:rsidRPr="00FC19E9">
        <w:rPr>
          <w:rFonts w:asciiTheme="minorHAnsi" w:hAnsiTheme="minorHAnsi" w:cstheme="minorHAnsi"/>
          <w:b/>
          <w:bCs/>
          <w:lang w:eastAsia="cs-CZ"/>
        </w:rPr>
        <w:t>zveřejňovat závěrečné účty na svých webových stránkách</w:t>
      </w:r>
      <w:r w:rsidRPr="001718B3">
        <w:rPr>
          <w:rFonts w:asciiTheme="minorHAnsi" w:hAnsiTheme="minorHAnsi" w:cstheme="minorHAnsi"/>
          <w:b/>
          <w:bCs/>
          <w:lang w:eastAsia="cs-CZ"/>
        </w:rPr>
        <w:t>.</w:t>
      </w:r>
      <w:r w:rsidR="00F658BD">
        <w:rPr>
          <w:rFonts w:asciiTheme="minorHAnsi" w:hAnsiTheme="minorHAnsi" w:cstheme="minorHAnsi"/>
          <w:lang w:eastAsia="cs-CZ"/>
        </w:rPr>
        <w:t xml:space="preserve"> </w:t>
      </w:r>
      <w:r w:rsidR="00F658BD" w:rsidRPr="00FC19E9">
        <w:rPr>
          <w:rFonts w:asciiTheme="minorHAnsi" w:hAnsiTheme="minorHAnsi" w:cstheme="minorHAnsi"/>
          <w:b/>
          <w:bCs/>
          <w:lang w:eastAsia="cs-CZ"/>
        </w:rPr>
        <w:t xml:space="preserve">V ZÚ za rok 2024 však NSA nedoplnila </w:t>
      </w:r>
      <w:r w:rsidR="008E6CCA">
        <w:rPr>
          <w:rFonts w:asciiTheme="minorHAnsi" w:hAnsiTheme="minorHAnsi" w:cstheme="minorHAnsi"/>
          <w:b/>
          <w:bCs/>
          <w:lang w:eastAsia="cs-CZ"/>
        </w:rPr>
        <w:t>významné</w:t>
      </w:r>
      <w:r w:rsidR="008E6CCA" w:rsidRPr="00FC19E9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="00F658BD" w:rsidRPr="00FC19E9">
        <w:rPr>
          <w:rFonts w:asciiTheme="minorHAnsi" w:hAnsiTheme="minorHAnsi" w:cstheme="minorHAnsi"/>
          <w:b/>
          <w:bCs/>
          <w:lang w:eastAsia="cs-CZ"/>
        </w:rPr>
        <w:t>informace týkající se naplňování principů hospodárnosti, efektivnosti a účelnosti</w:t>
      </w:r>
      <w:r w:rsidR="00F658BD" w:rsidRPr="00F658BD">
        <w:rPr>
          <w:rFonts w:asciiTheme="minorHAnsi" w:hAnsiTheme="minorHAnsi" w:cstheme="minorHAnsi"/>
          <w:lang w:eastAsia="cs-CZ"/>
        </w:rPr>
        <w:t xml:space="preserve"> dle § 2 zákona č.</w:t>
      </w:r>
      <w:r w:rsidR="002E6675">
        <w:rPr>
          <w:rFonts w:asciiTheme="minorHAnsi" w:hAnsiTheme="minorHAnsi" w:cstheme="minorHAnsi"/>
          <w:lang w:eastAsia="cs-CZ"/>
        </w:rPr>
        <w:t> </w:t>
      </w:r>
      <w:r w:rsidR="00F658BD" w:rsidRPr="00F658BD">
        <w:rPr>
          <w:rFonts w:asciiTheme="minorHAnsi" w:hAnsiTheme="minorHAnsi" w:cstheme="minorHAnsi"/>
          <w:lang w:eastAsia="cs-CZ"/>
        </w:rPr>
        <w:t xml:space="preserve">320/2001 Sb. </w:t>
      </w:r>
      <w:r w:rsidR="00F658BD" w:rsidRPr="00FC19E9">
        <w:rPr>
          <w:rFonts w:asciiTheme="minorHAnsi" w:hAnsiTheme="minorHAnsi" w:cstheme="minorHAnsi"/>
          <w:b/>
          <w:bCs/>
          <w:lang w:eastAsia="cs-CZ"/>
        </w:rPr>
        <w:t>u jednotlivých dotačních programů</w:t>
      </w:r>
      <w:r w:rsidR="00F658BD" w:rsidRPr="001718B3">
        <w:rPr>
          <w:rFonts w:asciiTheme="minorHAnsi" w:hAnsiTheme="minorHAnsi" w:cstheme="minorHAnsi"/>
          <w:b/>
          <w:bCs/>
          <w:lang w:eastAsia="cs-CZ"/>
        </w:rPr>
        <w:t>,</w:t>
      </w:r>
      <w:r w:rsidR="00F658BD" w:rsidRPr="00F658BD">
        <w:rPr>
          <w:rFonts w:asciiTheme="minorHAnsi" w:hAnsiTheme="minorHAnsi" w:cstheme="minorHAnsi"/>
          <w:lang w:eastAsia="cs-CZ"/>
        </w:rPr>
        <w:t xml:space="preserve"> </w:t>
      </w:r>
      <w:r w:rsidR="00F658BD" w:rsidRPr="00FC19E9">
        <w:rPr>
          <w:rFonts w:asciiTheme="minorHAnsi" w:hAnsiTheme="minorHAnsi" w:cstheme="minorHAnsi"/>
          <w:b/>
          <w:bCs/>
          <w:lang w:eastAsia="cs-CZ"/>
        </w:rPr>
        <w:t>stejně jako údaje o plnění stanovených cílů a dalším vývoji národních investičních programů v rámci programového financování</w:t>
      </w:r>
      <w:r w:rsidR="00F658BD" w:rsidRPr="001718B3">
        <w:rPr>
          <w:rFonts w:asciiTheme="minorHAnsi" w:hAnsiTheme="minorHAnsi" w:cstheme="minorHAnsi"/>
          <w:b/>
          <w:bCs/>
          <w:lang w:eastAsia="cs-CZ"/>
        </w:rPr>
        <w:t>.</w:t>
      </w:r>
    </w:p>
    <w:p w14:paraId="43B6D675" w14:textId="5843F808" w:rsidR="00902EF7" w:rsidRPr="00902EF7" w:rsidRDefault="003635EC" w:rsidP="003635EC">
      <w:pPr>
        <w:pStyle w:val="Styl2"/>
        <w:numPr>
          <w:ilvl w:val="0"/>
          <w:numId w:val="0"/>
        </w:numPr>
        <w:spacing w:before="240"/>
      </w:pPr>
      <w:r>
        <w:t xml:space="preserve">3.2 </w:t>
      </w:r>
      <w:r w:rsidR="00035012" w:rsidRPr="00902EF7">
        <w:t>Vyhodnocení ZÚ za rok 2024</w:t>
      </w:r>
    </w:p>
    <w:p w14:paraId="584E27FC" w14:textId="77777777" w:rsidR="004806C4" w:rsidRPr="00370960" w:rsidRDefault="00035012" w:rsidP="006575BB">
      <w:pPr>
        <w:spacing w:before="120"/>
        <w:jc w:val="both"/>
        <w:rPr>
          <w:rFonts w:asciiTheme="minorHAnsi" w:hAnsiTheme="minorHAnsi" w:cstheme="minorHAnsi"/>
          <w:lang w:eastAsia="cs-CZ"/>
        </w:rPr>
      </w:pPr>
      <w:r w:rsidRPr="00370960">
        <w:rPr>
          <w:rFonts w:asciiTheme="minorHAnsi" w:hAnsiTheme="minorHAnsi" w:cstheme="minorHAnsi"/>
          <w:lang w:eastAsia="cs-CZ"/>
        </w:rPr>
        <w:t xml:space="preserve">ZÚ </w:t>
      </w:r>
      <w:r w:rsidR="002E7377" w:rsidRPr="00370960">
        <w:rPr>
          <w:rFonts w:asciiTheme="minorHAnsi" w:hAnsiTheme="minorHAnsi" w:cstheme="minorHAnsi"/>
          <w:lang w:eastAsia="cs-CZ"/>
        </w:rPr>
        <w:t xml:space="preserve">za rok </w:t>
      </w:r>
      <w:r w:rsidR="00370960" w:rsidRPr="00370960">
        <w:rPr>
          <w:rFonts w:asciiTheme="minorHAnsi" w:hAnsiTheme="minorHAnsi" w:cstheme="minorHAnsi"/>
          <w:lang w:eastAsia="cs-CZ"/>
        </w:rPr>
        <w:t>2024</w:t>
      </w:r>
      <w:r w:rsidRPr="00370960">
        <w:rPr>
          <w:rFonts w:asciiTheme="minorHAnsi" w:hAnsiTheme="minorHAnsi" w:cstheme="minorHAnsi"/>
          <w:lang w:eastAsia="cs-CZ"/>
        </w:rPr>
        <w:t xml:space="preserve"> obsahoval průvodní zprávu, povinné číselné sestavy a tabulkové přílohy stanovené vyhláškou č. 419/2001 Sb.</w:t>
      </w:r>
    </w:p>
    <w:p w14:paraId="4960D473" w14:textId="7DBC0278" w:rsidR="002E7377" w:rsidRPr="002F6ECE" w:rsidRDefault="00035012" w:rsidP="002E6675">
      <w:pPr>
        <w:spacing w:before="120" w:after="0"/>
        <w:jc w:val="both"/>
        <w:rPr>
          <w:rFonts w:eastAsiaTheme="minorHAnsi" w:cs="Calibri"/>
          <w:b/>
          <w:color w:val="000000" w:themeColor="text1"/>
          <w:highlight w:val="green"/>
        </w:rPr>
      </w:pPr>
      <w:r w:rsidRPr="00E150FE">
        <w:rPr>
          <w:rFonts w:eastAsiaTheme="minorHAnsi" w:cs="Calibri"/>
          <w:b/>
          <w:color w:val="000000" w:themeColor="text1"/>
        </w:rPr>
        <w:t>Dle NKÚ je ZÚ za rok 202</w:t>
      </w:r>
      <w:r w:rsidR="00E150FE" w:rsidRPr="00E150FE">
        <w:rPr>
          <w:rFonts w:eastAsiaTheme="minorHAnsi" w:cs="Calibri"/>
          <w:b/>
          <w:color w:val="000000" w:themeColor="text1"/>
        </w:rPr>
        <w:t>4</w:t>
      </w:r>
      <w:r w:rsidRPr="00E150FE">
        <w:rPr>
          <w:rFonts w:eastAsiaTheme="minorHAnsi" w:cs="Calibri"/>
          <w:b/>
          <w:color w:val="000000" w:themeColor="text1"/>
        </w:rPr>
        <w:t xml:space="preserve"> </w:t>
      </w:r>
      <w:r w:rsidR="00E150FE" w:rsidRPr="00E150FE">
        <w:rPr>
          <w:rFonts w:eastAsiaTheme="minorHAnsi" w:cs="Calibri"/>
          <w:b/>
          <w:color w:val="000000" w:themeColor="text1"/>
        </w:rPr>
        <w:t>kromě níže uvedených skutečností sestaven v rozsahu dle vyhlášky č. 419/2001 Sb. a informace v něm uvedené odpovídají údajům v rozpočtovém systému, finančním výkazům a údajům z dalších evidencí.</w:t>
      </w:r>
      <w:r w:rsidR="00E150FE">
        <w:rPr>
          <w:rFonts w:eastAsiaTheme="minorHAnsi" w:cs="Calibri"/>
          <w:b/>
          <w:color w:val="000000" w:themeColor="text1"/>
        </w:rPr>
        <w:t xml:space="preserve"> ZÚ za rok 2024 </w:t>
      </w:r>
      <w:r w:rsidR="00E150FE" w:rsidRPr="00E150FE">
        <w:rPr>
          <w:rFonts w:eastAsiaTheme="minorHAnsi" w:cs="Calibri"/>
          <w:b/>
          <w:color w:val="000000" w:themeColor="text1"/>
        </w:rPr>
        <w:t>v rozporu s</w:t>
      </w:r>
      <w:r w:rsidR="002E6675">
        <w:rPr>
          <w:rFonts w:eastAsiaTheme="minorHAnsi" w:cs="Calibri"/>
          <w:b/>
          <w:color w:val="000000" w:themeColor="text1"/>
        </w:rPr>
        <w:t> </w:t>
      </w:r>
      <w:r w:rsidR="00E150FE" w:rsidRPr="00E150FE">
        <w:rPr>
          <w:rFonts w:eastAsiaTheme="minorHAnsi" w:cs="Calibri"/>
          <w:b/>
          <w:color w:val="000000" w:themeColor="text1"/>
        </w:rPr>
        <w:t>vyhláškou č. 419/2001 Sb. neobsahuje:</w:t>
      </w:r>
    </w:p>
    <w:p w14:paraId="22C31AD1" w14:textId="606392BD" w:rsidR="00E150FE" w:rsidRDefault="00035012" w:rsidP="00703365">
      <w:pPr>
        <w:pStyle w:val="Odstavecseseznamem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b/>
          <w:lang w:eastAsia="cs-CZ"/>
        </w:rPr>
      </w:pPr>
      <w:r w:rsidRPr="00E04A64">
        <w:rPr>
          <w:rFonts w:asciiTheme="minorHAnsi" w:hAnsiTheme="minorHAnsi" w:cstheme="minorHAnsi"/>
          <w:b/>
          <w:lang w:eastAsia="cs-CZ"/>
        </w:rPr>
        <w:t xml:space="preserve">u programů vedených v modulech </w:t>
      </w:r>
      <w:r w:rsidR="00FC19E9">
        <w:rPr>
          <w:rFonts w:asciiTheme="minorHAnsi" w:hAnsiTheme="minorHAnsi" w:cstheme="minorHAnsi"/>
          <w:b/>
          <w:lang w:eastAsia="cs-CZ"/>
        </w:rPr>
        <w:t>informačního systému ED</w:t>
      </w:r>
      <w:r w:rsidRPr="00E04A64">
        <w:rPr>
          <w:rFonts w:asciiTheme="minorHAnsi" w:hAnsiTheme="minorHAnsi" w:cstheme="minorHAnsi"/>
          <w:b/>
          <w:lang w:eastAsia="cs-CZ"/>
        </w:rPr>
        <w:t>S/SMVS údaj o</w:t>
      </w:r>
      <w:r w:rsidR="002E6675">
        <w:rPr>
          <w:rFonts w:asciiTheme="minorHAnsi" w:hAnsiTheme="minorHAnsi" w:cstheme="minorHAnsi"/>
          <w:b/>
          <w:lang w:eastAsia="cs-CZ"/>
        </w:rPr>
        <w:t> </w:t>
      </w:r>
      <w:r w:rsidRPr="00E04A64">
        <w:rPr>
          <w:rFonts w:asciiTheme="minorHAnsi" w:hAnsiTheme="minorHAnsi" w:cstheme="minorHAnsi"/>
          <w:b/>
          <w:lang w:eastAsia="cs-CZ"/>
        </w:rPr>
        <w:t>dosavadním celkovém čerpání programu, stav plnění cílů programu a informace o</w:t>
      </w:r>
      <w:r w:rsidR="002E6675">
        <w:rPr>
          <w:rFonts w:asciiTheme="minorHAnsi" w:hAnsiTheme="minorHAnsi" w:cstheme="minorHAnsi"/>
          <w:b/>
          <w:lang w:eastAsia="cs-CZ"/>
        </w:rPr>
        <w:t> </w:t>
      </w:r>
      <w:r w:rsidRPr="00E04A64">
        <w:rPr>
          <w:rFonts w:asciiTheme="minorHAnsi" w:hAnsiTheme="minorHAnsi" w:cstheme="minorHAnsi"/>
          <w:b/>
          <w:lang w:eastAsia="cs-CZ"/>
        </w:rPr>
        <w:t>předpokladech jeho další realizace</w:t>
      </w:r>
      <w:r w:rsidR="00600228">
        <w:rPr>
          <w:rStyle w:val="Znakapoznpodarou"/>
          <w:rFonts w:asciiTheme="minorHAnsi" w:hAnsiTheme="minorHAnsi" w:cstheme="minorHAnsi"/>
          <w:b/>
          <w:bCs/>
          <w:lang w:eastAsia="cs-CZ"/>
        </w:rPr>
        <w:footnoteReference w:id="32"/>
      </w:r>
      <w:r>
        <w:rPr>
          <w:rFonts w:asciiTheme="minorHAnsi" w:hAnsiTheme="minorHAnsi" w:cstheme="minorHAnsi"/>
          <w:b/>
          <w:lang w:eastAsia="cs-CZ"/>
        </w:rPr>
        <w:t>;</w:t>
      </w:r>
    </w:p>
    <w:p w14:paraId="31E89201" w14:textId="5BACFB12" w:rsidR="00E150FE" w:rsidRPr="00E04A64" w:rsidRDefault="00035012" w:rsidP="00703365">
      <w:pPr>
        <w:pStyle w:val="Odstavecseseznamem"/>
        <w:numPr>
          <w:ilvl w:val="0"/>
          <w:numId w:val="19"/>
        </w:numPr>
        <w:ind w:left="284" w:hanging="284"/>
        <w:contextualSpacing w:val="0"/>
        <w:jc w:val="both"/>
        <w:rPr>
          <w:rFonts w:asciiTheme="minorHAnsi" w:hAnsiTheme="minorHAnsi" w:cstheme="minorHAnsi"/>
          <w:b/>
          <w:lang w:eastAsia="cs-CZ"/>
        </w:rPr>
      </w:pPr>
      <w:r w:rsidRPr="00E04A64">
        <w:rPr>
          <w:rFonts w:asciiTheme="minorHAnsi" w:hAnsiTheme="minorHAnsi" w:cstheme="minorHAnsi"/>
          <w:b/>
          <w:lang w:eastAsia="cs-CZ"/>
        </w:rPr>
        <w:t>u hodnocení jednotlivých dotačních programů, které kapitola spravovala v</w:t>
      </w:r>
      <w:r w:rsidR="002E6675">
        <w:rPr>
          <w:rFonts w:asciiTheme="minorHAnsi" w:hAnsiTheme="minorHAnsi" w:cstheme="minorHAnsi"/>
          <w:b/>
          <w:lang w:eastAsia="cs-CZ"/>
        </w:rPr>
        <w:t> </w:t>
      </w:r>
      <w:r w:rsidRPr="00E04A64">
        <w:rPr>
          <w:rFonts w:asciiTheme="minorHAnsi" w:hAnsiTheme="minorHAnsi" w:cstheme="minorHAnsi"/>
          <w:b/>
          <w:lang w:eastAsia="cs-CZ"/>
        </w:rPr>
        <w:t xml:space="preserve">hodnoceném roce, </w:t>
      </w:r>
      <w:r>
        <w:rPr>
          <w:rFonts w:asciiTheme="minorHAnsi" w:hAnsiTheme="minorHAnsi" w:cstheme="minorHAnsi"/>
          <w:b/>
          <w:lang w:eastAsia="cs-CZ"/>
        </w:rPr>
        <w:t xml:space="preserve">informace o </w:t>
      </w:r>
      <w:r w:rsidRPr="00E04A64">
        <w:rPr>
          <w:rFonts w:asciiTheme="minorHAnsi" w:hAnsiTheme="minorHAnsi" w:cstheme="minorHAnsi"/>
          <w:b/>
          <w:lang w:eastAsia="cs-CZ"/>
        </w:rPr>
        <w:t>naplňování principů hospodárnosti, efektivnosti a</w:t>
      </w:r>
      <w:r w:rsidR="002E6675">
        <w:rPr>
          <w:rFonts w:asciiTheme="minorHAnsi" w:hAnsiTheme="minorHAnsi" w:cstheme="minorHAnsi"/>
          <w:b/>
          <w:lang w:eastAsia="cs-CZ"/>
        </w:rPr>
        <w:t> </w:t>
      </w:r>
      <w:r w:rsidRPr="00E04A64">
        <w:rPr>
          <w:rFonts w:asciiTheme="minorHAnsi" w:hAnsiTheme="minorHAnsi" w:cstheme="minorHAnsi"/>
          <w:b/>
          <w:lang w:eastAsia="cs-CZ"/>
        </w:rPr>
        <w:t>účelnosti dle § 2 zákona č. 320/2001 Sb. Také není uvedena informace o naplňování účelu dotačního programu, dosažení stanovených cílů, závazných výstupů a přínosů v měřitelných hodnotách</w:t>
      </w:r>
      <w:r w:rsidR="00600228">
        <w:rPr>
          <w:rStyle w:val="Znakapoznpodarou"/>
          <w:rFonts w:asciiTheme="minorHAnsi" w:hAnsiTheme="minorHAnsi" w:cstheme="minorHAnsi"/>
          <w:b/>
          <w:lang w:eastAsia="cs-CZ"/>
        </w:rPr>
        <w:footnoteReference w:id="33"/>
      </w:r>
      <w:r w:rsidRPr="00E04A64">
        <w:rPr>
          <w:rFonts w:asciiTheme="minorHAnsi" w:hAnsiTheme="minorHAnsi" w:cstheme="minorHAnsi"/>
          <w:b/>
          <w:lang w:eastAsia="cs-CZ"/>
        </w:rPr>
        <w:t>.</w:t>
      </w:r>
    </w:p>
    <w:p w14:paraId="4235EE2E" w14:textId="64E15BBC" w:rsidR="00F658BD" w:rsidRPr="00F658BD" w:rsidRDefault="00035012" w:rsidP="00F658BD">
      <w:pPr>
        <w:jc w:val="both"/>
        <w:rPr>
          <w:rFonts w:cs="Calibri"/>
          <w:b/>
          <w:bCs/>
        </w:rPr>
      </w:pPr>
      <w:r w:rsidRPr="00F658BD">
        <w:rPr>
          <w:rFonts w:cs="Calibri"/>
          <w:b/>
          <w:bCs/>
        </w:rPr>
        <w:lastRenderedPageBreak/>
        <w:t>N</w:t>
      </w:r>
      <w:r>
        <w:rPr>
          <w:rFonts w:cs="Calibri"/>
          <w:b/>
          <w:bCs/>
        </w:rPr>
        <w:t>SA</w:t>
      </w:r>
      <w:r w:rsidRPr="00F658BD">
        <w:rPr>
          <w:rFonts w:cs="Calibri"/>
          <w:b/>
          <w:bCs/>
        </w:rPr>
        <w:t xml:space="preserve"> přitom v roce 2024 </w:t>
      </w:r>
      <w:r w:rsidR="009C5D20">
        <w:rPr>
          <w:rFonts w:cs="Calibri"/>
          <w:b/>
          <w:bCs/>
        </w:rPr>
        <w:t>poskytovala</w:t>
      </w:r>
      <w:r w:rsidR="008C7EAC" w:rsidRPr="00F658BD">
        <w:rPr>
          <w:rFonts w:cs="Calibri"/>
          <w:b/>
          <w:bCs/>
        </w:rPr>
        <w:t xml:space="preserve"> </w:t>
      </w:r>
      <w:r w:rsidRPr="00F658BD">
        <w:rPr>
          <w:rFonts w:cs="Calibri"/>
          <w:b/>
          <w:bCs/>
        </w:rPr>
        <w:t>dotace ve výši 8,1 mld. Kč určené na podporu sportu, sportovní reprezentace a realizaci národní sportovní politiky.</w:t>
      </w:r>
    </w:p>
    <w:p w14:paraId="29FF2EEF" w14:textId="77777777" w:rsidR="00E150FE" w:rsidRPr="00F658BD" w:rsidRDefault="00035012" w:rsidP="00062A05">
      <w:pPr>
        <w:spacing w:before="120" w:after="0"/>
        <w:jc w:val="both"/>
        <w:rPr>
          <w:color w:val="000000" w:themeColor="text1"/>
          <w:highlight w:val="green"/>
        </w:rPr>
      </w:pPr>
      <w:r w:rsidRPr="00F658BD">
        <w:rPr>
          <w:rFonts w:cs="Calibri"/>
          <w:b/>
          <w:bCs/>
        </w:rPr>
        <w:t xml:space="preserve">Vzhledem k objemu poskytovaných prostředků má tato neúplnost významný dopad na vypovídací schopnost </w:t>
      </w:r>
      <w:r w:rsidR="00471683">
        <w:rPr>
          <w:rFonts w:cs="Calibri"/>
          <w:b/>
          <w:bCs/>
        </w:rPr>
        <w:t>ZÚ za rok 2024</w:t>
      </w:r>
      <w:r w:rsidRPr="00F658BD">
        <w:rPr>
          <w:rFonts w:cs="Calibri"/>
          <w:b/>
          <w:bCs/>
        </w:rPr>
        <w:t>, neboť chybí možnost vyhodnotit</w:t>
      </w:r>
      <w:r w:rsidR="002B45B7">
        <w:rPr>
          <w:rFonts w:cs="Calibri"/>
          <w:b/>
          <w:bCs/>
        </w:rPr>
        <w:t xml:space="preserve"> hospodárnost, </w:t>
      </w:r>
      <w:r w:rsidRPr="00F658BD">
        <w:rPr>
          <w:rFonts w:cs="Calibri"/>
          <w:b/>
          <w:bCs/>
        </w:rPr>
        <w:t>efektiv</w:t>
      </w:r>
      <w:r w:rsidR="002B45B7">
        <w:rPr>
          <w:rFonts w:cs="Calibri"/>
          <w:b/>
          <w:bCs/>
        </w:rPr>
        <w:t>nost</w:t>
      </w:r>
      <w:r w:rsidRPr="00F658BD">
        <w:rPr>
          <w:rFonts w:cs="Calibri"/>
          <w:b/>
          <w:bCs/>
        </w:rPr>
        <w:t xml:space="preserve"> a </w:t>
      </w:r>
      <w:r w:rsidR="002B45B7">
        <w:rPr>
          <w:rFonts w:cs="Calibri"/>
          <w:b/>
          <w:bCs/>
        </w:rPr>
        <w:t>účelnost</w:t>
      </w:r>
      <w:r w:rsidRPr="00F658BD">
        <w:rPr>
          <w:rFonts w:cs="Calibri"/>
          <w:b/>
          <w:bCs/>
        </w:rPr>
        <w:t xml:space="preserve"> nakládání s veřejnými financemi.</w:t>
      </w:r>
    </w:p>
    <w:p w14:paraId="6092E2C8" w14:textId="119B1F07" w:rsidR="00F53F58" w:rsidRDefault="003635EC" w:rsidP="003635EC">
      <w:pPr>
        <w:pStyle w:val="Styl2"/>
        <w:numPr>
          <w:ilvl w:val="0"/>
          <w:numId w:val="0"/>
        </w:numPr>
        <w:spacing w:before="240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035012" w:rsidRPr="006314B3">
        <w:rPr>
          <w:color w:val="000000" w:themeColor="text1"/>
        </w:rPr>
        <w:t xml:space="preserve">Vnitřní kontrolní systém </w:t>
      </w:r>
      <w:r w:rsidR="006314B3" w:rsidRPr="006314B3">
        <w:rPr>
          <w:color w:val="000000" w:themeColor="text1"/>
        </w:rPr>
        <w:t>NSA</w:t>
      </w:r>
    </w:p>
    <w:p w14:paraId="7E12EB25" w14:textId="77777777" w:rsidR="00DE38C0" w:rsidRDefault="00035012" w:rsidP="00A76DAC">
      <w:pPr>
        <w:pStyle w:val="Odstavecseseznamem"/>
        <w:spacing w:before="120"/>
        <w:ind w:left="0"/>
        <w:contextualSpacing w:val="0"/>
        <w:jc w:val="both"/>
        <w:rPr>
          <w:rFonts w:eastAsia="Calibri"/>
          <w:bCs/>
        </w:rPr>
      </w:pPr>
      <w:r>
        <w:rPr>
          <w:rFonts w:eastAsia="Calibri"/>
        </w:rPr>
        <w:t xml:space="preserve">NKÚ </w:t>
      </w:r>
      <w:r w:rsidRPr="0067413C">
        <w:rPr>
          <w:rFonts w:eastAsia="Calibri"/>
        </w:rPr>
        <w:t xml:space="preserve">na základě prověřovaných skutečností vyhodnotil </w:t>
      </w:r>
      <w:r w:rsidRPr="001718B3">
        <w:rPr>
          <w:rFonts w:eastAsia="Calibri"/>
          <w:b/>
          <w:bCs/>
        </w:rPr>
        <w:t>nastavení VKS</w:t>
      </w:r>
      <w:r w:rsidRPr="0067413C">
        <w:rPr>
          <w:rFonts w:eastAsia="Calibri"/>
        </w:rPr>
        <w:t xml:space="preserve"> </w:t>
      </w:r>
      <w:r w:rsidRPr="00BA4430">
        <w:rPr>
          <w:rFonts w:eastAsia="Calibri"/>
        </w:rPr>
        <w:t>v</w:t>
      </w:r>
      <w:r w:rsidRPr="0067413C">
        <w:rPr>
          <w:rFonts w:eastAsia="Calibri"/>
        </w:rPr>
        <w:t> </w:t>
      </w:r>
      <w:r w:rsidRPr="00CE7471">
        <w:rPr>
          <w:rFonts w:eastAsia="Calibri"/>
          <w:bCs/>
        </w:rPr>
        <w:t>oblasti účetnictví, plnění rozpočtu a závěrečného účtu</w:t>
      </w:r>
      <w:r w:rsidRPr="00BA4430">
        <w:rPr>
          <w:rFonts w:eastAsia="Calibri"/>
          <w:bCs/>
        </w:rPr>
        <w:t xml:space="preserve"> a </w:t>
      </w:r>
      <w:r w:rsidRPr="00CE7471">
        <w:rPr>
          <w:rFonts w:eastAsia="Calibri"/>
          <w:bCs/>
        </w:rPr>
        <w:t>v oblasti řídicí kontroly</w:t>
      </w:r>
      <w:r w:rsidRPr="00BA4430">
        <w:rPr>
          <w:rFonts w:eastAsia="Calibri"/>
          <w:bCs/>
        </w:rPr>
        <w:t>.</w:t>
      </w:r>
      <w:r w:rsidRPr="0067413C">
        <w:rPr>
          <w:rFonts w:eastAsia="Calibri"/>
        </w:rPr>
        <w:t xml:space="preserve"> </w:t>
      </w:r>
      <w:r>
        <w:rPr>
          <w:rFonts w:eastAsia="Calibri"/>
        </w:rPr>
        <w:t xml:space="preserve">NKÚ dále </w:t>
      </w:r>
      <w:r w:rsidRPr="0008036B">
        <w:rPr>
          <w:rFonts w:eastAsia="Calibri"/>
        </w:rPr>
        <w:t xml:space="preserve">u prověřovaných operací vyhodnotil </w:t>
      </w:r>
      <w:r w:rsidRPr="001718B3">
        <w:rPr>
          <w:rFonts w:eastAsia="Calibri"/>
          <w:b/>
          <w:bCs/>
        </w:rPr>
        <w:t>funkčnost VKS</w:t>
      </w:r>
      <w:r w:rsidRPr="0008036B">
        <w:rPr>
          <w:rFonts w:eastAsia="Calibri"/>
        </w:rPr>
        <w:t xml:space="preserve"> </w:t>
      </w:r>
      <w:r w:rsidRPr="00CE7471">
        <w:rPr>
          <w:rFonts w:eastAsia="Calibri"/>
          <w:bCs/>
        </w:rPr>
        <w:t>v oblasti účetnictví, plnění rozpočtu a závěrečného účtu</w:t>
      </w:r>
      <w:r w:rsidRPr="00BA4430">
        <w:rPr>
          <w:rFonts w:eastAsia="Calibri"/>
          <w:bCs/>
        </w:rPr>
        <w:t xml:space="preserve">, </w:t>
      </w:r>
      <w:r w:rsidRPr="00CE7471">
        <w:rPr>
          <w:rFonts w:eastAsia="Calibri"/>
          <w:bCs/>
        </w:rPr>
        <w:t>v oblasti hospodaření s majetkem státu dle zákona č. 219/2000 Sb., finančního hospodaření dle zákona č. 218/2000 Sb. a dalších právních předpisů</w:t>
      </w:r>
      <w:r w:rsidRPr="001718B3">
        <w:rPr>
          <w:rFonts w:eastAsia="Calibri"/>
          <w:bCs/>
        </w:rPr>
        <w:t xml:space="preserve"> </w:t>
      </w:r>
      <w:r w:rsidRPr="0008036B">
        <w:rPr>
          <w:rFonts w:eastAsia="Calibri"/>
        </w:rPr>
        <w:t xml:space="preserve">(zejména dle zákona č. 340/2015 Sb.) a </w:t>
      </w:r>
      <w:r w:rsidRPr="00CE7471">
        <w:rPr>
          <w:rFonts w:eastAsia="Calibri"/>
          <w:bCs/>
        </w:rPr>
        <w:t>v oblasti řídicí kontroly</w:t>
      </w:r>
      <w:r w:rsidRPr="00BA4430">
        <w:rPr>
          <w:rFonts w:eastAsia="Calibri"/>
          <w:bCs/>
        </w:rPr>
        <w:t>.</w:t>
      </w:r>
      <w:r w:rsidRPr="0008036B">
        <w:rPr>
          <w:rFonts w:eastAsia="Calibri"/>
        </w:rPr>
        <w:t xml:space="preserve"> Kombinace zjištění z oblasti nastavení a funkčnosti výše uvedených oblastí je pak podkladem k hodnocení účinnosti vnitřního kontrolního systému.</w:t>
      </w:r>
    </w:p>
    <w:p w14:paraId="36D3D823" w14:textId="7E7770ED" w:rsidR="00DE38C0" w:rsidRPr="00AD416B" w:rsidRDefault="003635EC" w:rsidP="003635EC">
      <w:pPr>
        <w:pStyle w:val="Styl2"/>
        <w:numPr>
          <w:ilvl w:val="0"/>
          <w:numId w:val="0"/>
        </w:numPr>
        <w:spacing w:before="240"/>
      </w:pPr>
      <w:r>
        <w:t xml:space="preserve">4.1 </w:t>
      </w:r>
      <w:r w:rsidR="00035012">
        <w:t>Řídicí kontrola</w:t>
      </w:r>
    </w:p>
    <w:p w14:paraId="78178D8E" w14:textId="77777777" w:rsidR="00DE38C0" w:rsidRDefault="00035012" w:rsidP="002E6675">
      <w:pPr>
        <w:pStyle w:val="Odstavecseseznamem"/>
        <w:spacing w:before="120" w:after="0"/>
        <w:ind w:left="0"/>
        <w:contextualSpacing w:val="0"/>
        <w:jc w:val="both"/>
        <w:rPr>
          <w:rFonts w:eastAsia="Calibri"/>
          <w:bCs/>
        </w:rPr>
      </w:pPr>
      <w:r w:rsidRPr="00FC19E9">
        <w:rPr>
          <w:rFonts w:eastAsia="Calibri"/>
          <w:b/>
        </w:rPr>
        <w:t xml:space="preserve">V oblasti řídicí kontroly zjistil NKÚ </w:t>
      </w:r>
      <w:r w:rsidR="006803F6" w:rsidRPr="00FC19E9">
        <w:rPr>
          <w:rFonts w:eastAsia="Calibri"/>
          <w:b/>
        </w:rPr>
        <w:t xml:space="preserve">zejména </w:t>
      </w:r>
      <w:r w:rsidRPr="00FC19E9">
        <w:rPr>
          <w:rFonts w:eastAsia="Calibri"/>
          <w:b/>
        </w:rPr>
        <w:t>následující nedostatky</w:t>
      </w:r>
      <w:r>
        <w:rPr>
          <w:rFonts w:eastAsia="Calibri"/>
          <w:bCs/>
        </w:rPr>
        <w:t>:</w:t>
      </w:r>
    </w:p>
    <w:p w14:paraId="3A9E6E6E" w14:textId="5CC83DCE" w:rsidR="00B25D7C" w:rsidRDefault="00035012" w:rsidP="002E6675">
      <w:pPr>
        <w:pStyle w:val="Odstavecseseznamem"/>
        <w:numPr>
          <w:ilvl w:val="0"/>
          <w:numId w:val="24"/>
        </w:numPr>
        <w:spacing w:before="60" w:after="60"/>
        <w:ind w:left="284" w:hanging="284"/>
        <w:contextualSpacing w:val="0"/>
        <w:jc w:val="both"/>
        <w:rPr>
          <w:rFonts w:eastAsia="Calibri"/>
          <w:bCs/>
        </w:rPr>
      </w:pPr>
      <w:r w:rsidRPr="00FC19E9">
        <w:rPr>
          <w:rFonts w:eastAsia="Calibri"/>
          <w:b/>
        </w:rPr>
        <w:t xml:space="preserve">Výkonem funkce správce rozpočtu byl </w:t>
      </w:r>
      <w:r w:rsidR="00BA4430">
        <w:rPr>
          <w:rFonts w:eastAsia="Calibri"/>
          <w:b/>
        </w:rPr>
        <w:t xml:space="preserve">v některých případech </w:t>
      </w:r>
      <w:r w:rsidRPr="00FC19E9">
        <w:rPr>
          <w:rFonts w:eastAsia="Calibri"/>
          <w:b/>
        </w:rPr>
        <w:t>pověřen a předběžnou řídicí kontrolu</w:t>
      </w:r>
      <w:r w:rsidR="000F3900">
        <w:rPr>
          <w:rFonts w:eastAsia="Calibri"/>
          <w:bCs/>
        </w:rPr>
        <w:t xml:space="preserve"> (dále „PŘK“)</w:t>
      </w:r>
      <w:r>
        <w:rPr>
          <w:rFonts w:eastAsia="Calibri"/>
          <w:bCs/>
        </w:rPr>
        <w:t xml:space="preserve"> </w:t>
      </w:r>
      <w:r w:rsidRPr="00FC19E9">
        <w:rPr>
          <w:rFonts w:eastAsia="Calibri"/>
          <w:b/>
        </w:rPr>
        <w:t xml:space="preserve">před vznikem závazku z pozice správce rozpočtu </w:t>
      </w:r>
      <w:r w:rsidR="00BA4430">
        <w:rPr>
          <w:rFonts w:eastAsia="Calibri"/>
          <w:b/>
        </w:rPr>
        <w:t xml:space="preserve">v těchto případech </w:t>
      </w:r>
      <w:r w:rsidRPr="00FC19E9">
        <w:rPr>
          <w:rFonts w:eastAsia="Calibri"/>
          <w:b/>
        </w:rPr>
        <w:t>i vykonával člen rady NSA, který nebyl v pracovněprávním vztahu k NSA</w:t>
      </w:r>
      <w:r w:rsidRPr="001718B3">
        <w:rPr>
          <w:rFonts w:eastAsia="Calibri"/>
          <w:b/>
        </w:rPr>
        <w:t>.</w:t>
      </w:r>
      <w:r>
        <w:rPr>
          <w:rFonts w:eastAsia="Calibri"/>
          <w:bCs/>
        </w:rPr>
        <w:t xml:space="preserve"> </w:t>
      </w:r>
      <w:r w:rsidRPr="00FC19E9">
        <w:rPr>
          <w:rFonts w:eastAsia="Calibri"/>
          <w:b/>
        </w:rPr>
        <w:t>V průběhu kontroly přijala NSA k tomuto systémovému nedostatku opatření</w:t>
      </w:r>
      <w:r>
        <w:rPr>
          <w:rFonts w:eastAsia="Calibri"/>
          <w:bCs/>
        </w:rPr>
        <w:t xml:space="preserve"> v podobě vydání pověření k výkonu funkce správce rozpočtu pro vedoucího zaměstnance NSA, který nové připravované operace od roku 2025 z pozice správce rozpočtu schvaluje. </w:t>
      </w:r>
    </w:p>
    <w:p w14:paraId="6AFF56E3" w14:textId="77777777" w:rsidR="000F3900" w:rsidRPr="00FC19E9" w:rsidRDefault="00035012" w:rsidP="002E6675">
      <w:pPr>
        <w:pStyle w:val="Odstavecseseznamem"/>
        <w:numPr>
          <w:ilvl w:val="0"/>
          <w:numId w:val="24"/>
        </w:numPr>
        <w:spacing w:after="0"/>
        <w:ind w:left="284" w:hanging="284"/>
        <w:contextualSpacing w:val="0"/>
        <w:jc w:val="both"/>
        <w:rPr>
          <w:rFonts w:eastAsia="Calibri"/>
          <w:b/>
        </w:rPr>
      </w:pPr>
      <w:r w:rsidRPr="00FC19E9">
        <w:rPr>
          <w:rFonts w:eastAsia="Calibri"/>
          <w:b/>
        </w:rPr>
        <w:t>NSA neprovedla PŘK</w:t>
      </w:r>
    </w:p>
    <w:p w14:paraId="60B53601" w14:textId="4932E62A" w:rsidR="00B25D7C" w:rsidRDefault="00035012" w:rsidP="002E6675">
      <w:pPr>
        <w:pStyle w:val="Odstavecseseznamem"/>
        <w:numPr>
          <w:ilvl w:val="1"/>
          <w:numId w:val="24"/>
        </w:numPr>
        <w:spacing w:after="0"/>
        <w:ind w:left="567" w:hanging="283"/>
        <w:contextualSpacing w:val="0"/>
        <w:jc w:val="both"/>
        <w:rPr>
          <w:rFonts w:eastAsia="Calibri"/>
          <w:bCs/>
        </w:rPr>
      </w:pPr>
      <w:r w:rsidRPr="00FC19E9">
        <w:rPr>
          <w:rFonts w:eastAsia="Calibri"/>
          <w:b/>
        </w:rPr>
        <w:t>před vznikem nároku</w:t>
      </w:r>
      <w:r>
        <w:rPr>
          <w:rFonts w:eastAsia="Calibri"/>
          <w:bCs/>
        </w:rPr>
        <w:t xml:space="preserve"> u </w:t>
      </w:r>
      <w:r w:rsidR="00544FCA">
        <w:rPr>
          <w:rFonts w:eastAsia="Calibri"/>
          <w:bCs/>
        </w:rPr>
        <w:t>tří</w:t>
      </w:r>
      <w:r>
        <w:rPr>
          <w:rFonts w:eastAsia="Calibri"/>
          <w:bCs/>
        </w:rPr>
        <w:t xml:space="preserve"> připravovaných operací v celkové hodnotě 1,3 mil. Kč ze </w:t>
      </w:r>
      <w:r w:rsidR="00544FCA">
        <w:rPr>
          <w:rFonts w:eastAsia="Calibri"/>
          <w:bCs/>
        </w:rPr>
        <w:t>čtyř</w:t>
      </w:r>
      <w:r>
        <w:rPr>
          <w:rFonts w:eastAsia="Calibri"/>
          <w:bCs/>
        </w:rPr>
        <w:t xml:space="preserve"> prověřovaných operací</w:t>
      </w:r>
      <w:r w:rsidR="00544FCA">
        <w:rPr>
          <w:rFonts w:eastAsia="Calibri"/>
          <w:bCs/>
        </w:rPr>
        <w:t>,</w:t>
      </w:r>
      <w:r>
        <w:rPr>
          <w:rFonts w:eastAsia="Calibri"/>
          <w:bCs/>
        </w:rPr>
        <w:t xml:space="preserve"> </w:t>
      </w:r>
    </w:p>
    <w:p w14:paraId="22E5A1CD" w14:textId="71D13A86" w:rsidR="000F3900" w:rsidRDefault="00035012" w:rsidP="002E6675">
      <w:pPr>
        <w:pStyle w:val="Odstavecseseznamem"/>
        <w:numPr>
          <w:ilvl w:val="1"/>
          <w:numId w:val="24"/>
        </w:numPr>
        <w:spacing w:after="0"/>
        <w:ind w:left="567" w:hanging="283"/>
        <w:contextualSpacing w:val="0"/>
        <w:jc w:val="both"/>
        <w:rPr>
          <w:rFonts w:eastAsia="Calibri"/>
          <w:bCs/>
        </w:rPr>
      </w:pPr>
      <w:r w:rsidRPr="00FC19E9">
        <w:rPr>
          <w:rFonts w:eastAsia="Calibri"/>
          <w:b/>
        </w:rPr>
        <w:t>po vzniku nároku</w:t>
      </w:r>
      <w:r>
        <w:rPr>
          <w:rFonts w:eastAsia="Calibri"/>
          <w:bCs/>
        </w:rPr>
        <w:t xml:space="preserve"> u </w:t>
      </w:r>
      <w:r w:rsidR="00544FCA">
        <w:rPr>
          <w:rFonts w:eastAsia="Calibri"/>
          <w:bCs/>
        </w:rPr>
        <w:t>tří</w:t>
      </w:r>
      <w:r>
        <w:rPr>
          <w:rFonts w:eastAsia="Calibri"/>
          <w:bCs/>
        </w:rPr>
        <w:t xml:space="preserve"> příjmových operací v celkové hodnotě 1,3 mil. Kč z </w:t>
      </w:r>
      <w:r w:rsidR="00544FCA">
        <w:rPr>
          <w:rFonts w:eastAsia="Calibri"/>
          <w:bCs/>
        </w:rPr>
        <w:t>devíti</w:t>
      </w:r>
      <w:r>
        <w:rPr>
          <w:rFonts w:eastAsia="Calibri"/>
          <w:bCs/>
        </w:rPr>
        <w:t xml:space="preserve"> prověřovaných operací. NKÚ prověřil, že </w:t>
      </w:r>
      <w:r w:rsidRPr="003956D6">
        <w:rPr>
          <w:rFonts w:eastAsia="Calibri"/>
          <w:b/>
        </w:rPr>
        <w:t xml:space="preserve">NSA v průběhu kontroly zprovoznila </w:t>
      </w:r>
      <w:r w:rsidRPr="003956D6">
        <w:rPr>
          <w:rFonts w:eastAsia="Calibri"/>
          <w:bCs/>
        </w:rPr>
        <w:t>v rámci ekonomického informačního systému</w:t>
      </w:r>
      <w:r w:rsidRPr="003956D6">
        <w:rPr>
          <w:rFonts w:eastAsia="Calibri"/>
          <w:b/>
        </w:rPr>
        <w:t xml:space="preserve"> funkcionalitu „finanční kontrola u příjmů“ a</w:t>
      </w:r>
      <w:r w:rsidR="002E6675">
        <w:rPr>
          <w:rFonts w:eastAsia="Calibri"/>
          <w:b/>
        </w:rPr>
        <w:t> </w:t>
      </w:r>
      <w:r w:rsidRPr="003956D6">
        <w:rPr>
          <w:rFonts w:eastAsia="Calibri"/>
          <w:b/>
        </w:rPr>
        <w:t>v průběhu roku 2025 již prováděla PŘK před vznikem a po vzniku nároku</w:t>
      </w:r>
      <w:r>
        <w:rPr>
          <w:rFonts w:eastAsia="Calibri"/>
          <w:bCs/>
        </w:rPr>
        <w:t xml:space="preserve"> u nových připravovaných operací.</w:t>
      </w:r>
    </w:p>
    <w:p w14:paraId="5E7CFC5A" w14:textId="77777777" w:rsidR="000F3900" w:rsidRPr="006803F6" w:rsidRDefault="00035012" w:rsidP="002E6675">
      <w:pPr>
        <w:pStyle w:val="Odstavecseseznamem"/>
        <w:numPr>
          <w:ilvl w:val="0"/>
          <w:numId w:val="24"/>
        </w:numPr>
        <w:spacing w:before="60"/>
        <w:ind w:left="284" w:hanging="284"/>
        <w:contextualSpacing w:val="0"/>
        <w:jc w:val="both"/>
        <w:rPr>
          <w:rFonts w:eastAsia="Calibri"/>
          <w:bCs/>
        </w:rPr>
      </w:pPr>
      <w:r w:rsidRPr="00FC19E9">
        <w:rPr>
          <w:rFonts w:eastAsia="Calibri"/>
          <w:b/>
        </w:rPr>
        <w:t>NSA neprovedla PŘK před uzavřením smlouvy</w:t>
      </w:r>
      <w:r>
        <w:rPr>
          <w:rFonts w:eastAsia="Calibri"/>
          <w:bCs/>
        </w:rPr>
        <w:t xml:space="preserve"> u dvou připravovaných operací v celkové hodnotě 16 mil. Kč z 51 prověřovaných operací.</w:t>
      </w:r>
    </w:p>
    <w:p w14:paraId="7BEA0273" w14:textId="41A79AD5" w:rsidR="00DE38C0" w:rsidRPr="00AD416B" w:rsidRDefault="003635EC" w:rsidP="003635EC">
      <w:pPr>
        <w:pStyle w:val="Styl2"/>
        <w:numPr>
          <w:ilvl w:val="0"/>
          <w:numId w:val="0"/>
        </w:numPr>
        <w:spacing w:before="240" w:after="120"/>
      </w:pPr>
      <w:r>
        <w:t xml:space="preserve">4.2 </w:t>
      </w:r>
      <w:r w:rsidR="00035012">
        <w:t>Vyhodnocení účinnosti VKS</w:t>
      </w:r>
    </w:p>
    <w:p w14:paraId="5B6CFC59" w14:textId="24E0EE72" w:rsidR="00A76DAC" w:rsidRPr="00E04914" w:rsidRDefault="00035012" w:rsidP="00A76DAC">
      <w:pPr>
        <w:pStyle w:val="Odstavecseseznamem"/>
        <w:spacing w:before="120"/>
        <w:ind w:left="0"/>
        <w:contextualSpacing w:val="0"/>
        <w:jc w:val="both"/>
        <w:rPr>
          <w:rFonts w:cs="Calibri"/>
          <w:bCs/>
          <w:color w:val="000000" w:themeColor="text1"/>
          <w:highlight w:val="green"/>
        </w:rPr>
      </w:pPr>
      <w:r w:rsidRPr="00E04914">
        <w:rPr>
          <w:rFonts w:eastAsia="Calibri"/>
          <w:bCs/>
        </w:rPr>
        <w:t xml:space="preserve">NKÚ v průběhu kontroly zjistil v oblasti </w:t>
      </w:r>
      <w:r w:rsidRPr="00F453CD">
        <w:rPr>
          <w:rFonts w:eastAsia="Calibri"/>
          <w:bCs/>
        </w:rPr>
        <w:t xml:space="preserve">účetnictví </w:t>
      </w:r>
      <w:r w:rsidRPr="00F453CD">
        <w:rPr>
          <w:rFonts w:cs="Calibri"/>
        </w:rPr>
        <w:t>(viz část IV.1.</w:t>
      </w:r>
      <w:r w:rsidR="00295315" w:rsidRPr="00F453CD">
        <w:rPr>
          <w:rFonts w:cs="Calibri"/>
        </w:rPr>
        <w:t>1</w:t>
      </w:r>
      <w:r w:rsidRPr="00F453CD">
        <w:rPr>
          <w:rFonts w:cs="Calibri"/>
        </w:rPr>
        <w:t xml:space="preserve"> tohoto kontrolního závěru)</w:t>
      </w:r>
      <w:r w:rsidRPr="00F453CD">
        <w:rPr>
          <w:rFonts w:eastAsia="Calibri"/>
          <w:bCs/>
        </w:rPr>
        <w:t>,</w:t>
      </w:r>
      <w:r w:rsidRPr="00E04914">
        <w:rPr>
          <w:rFonts w:eastAsia="Calibri"/>
          <w:bCs/>
        </w:rPr>
        <w:t xml:space="preserve"> údajů o plnění </w:t>
      </w:r>
      <w:r w:rsidRPr="00F453CD">
        <w:rPr>
          <w:rFonts w:eastAsia="Calibri"/>
          <w:bCs/>
        </w:rPr>
        <w:t xml:space="preserve">rozpočtu </w:t>
      </w:r>
      <w:r w:rsidRPr="00F453CD">
        <w:rPr>
          <w:rFonts w:cs="Calibri"/>
        </w:rPr>
        <w:t>(viz část IV.</w:t>
      </w:r>
      <w:r w:rsidR="00F453CD" w:rsidRPr="00F453CD">
        <w:rPr>
          <w:rFonts w:cs="Calibri"/>
        </w:rPr>
        <w:t>2</w:t>
      </w:r>
      <w:r w:rsidRPr="00F453CD">
        <w:rPr>
          <w:rFonts w:cs="Calibri"/>
        </w:rPr>
        <w:t>.</w:t>
      </w:r>
      <w:r w:rsidR="00F453CD" w:rsidRPr="00F453CD">
        <w:rPr>
          <w:rFonts w:cs="Calibri"/>
        </w:rPr>
        <w:t>1</w:t>
      </w:r>
      <w:r w:rsidRPr="00F453CD">
        <w:rPr>
          <w:rFonts w:cs="Calibri"/>
        </w:rPr>
        <w:t xml:space="preserve"> tohoto kontrolního závěru)</w:t>
      </w:r>
      <w:r w:rsidRPr="00F453CD">
        <w:rPr>
          <w:rFonts w:eastAsia="Calibri"/>
          <w:bCs/>
        </w:rPr>
        <w:t>, závěrečného</w:t>
      </w:r>
      <w:r w:rsidRPr="00E04914">
        <w:rPr>
          <w:rFonts w:eastAsia="Calibri"/>
          <w:bCs/>
        </w:rPr>
        <w:t xml:space="preserve"> účtu</w:t>
      </w:r>
      <w:r>
        <w:rPr>
          <w:rFonts w:eastAsia="Calibri"/>
          <w:bCs/>
        </w:rPr>
        <w:t xml:space="preserve"> </w:t>
      </w:r>
      <w:r w:rsidRPr="00F453CD">
        <w:rPr>
          <w:rFonts w:cs="Calibri"/>
        </w:rPr>
        <w:t>(viz část IV.</w:t>
      </w:r>
      <w:r w:rsidR="00F453CD" w:rsidRPr="00F453CD">
        <w:rPr>
          <w:rFonts w:cs="Calibri"/>
        </w:rPr>
        <w:t>3</w:t>
      </w:r>
      <w:r w:rsidRPr="00F453CD">
        <w:rPr>
          <w:rFonts w:cs="Calibri"/>
        </w:rPr>
        <w:t>.</w:t>
      </w:r>
      <w:r w:rsidR="00F453CD" w:rsidRPr="00F453CD">
        <w:rPr>
          <w:rFonts w:cs="Calibri"/>
        </w:rPr>
        <w:t>1</w:t>
      </w:r>
      <w:r w:rsidRPr="00F453CD">
        <w:rPr>
          <w:rFonts w:cs="Calibri"/>
        </w:rPr>
        <w:t xml:space="preserve"> tohoto kontrolního závěru)</w:t>
      </w:r>
      <w:r w:rsidRPr="00F453CD">
        <w:rPr>
          <w:rFonts w:eastAsia="Calibri"/>
          <w:bCs/>
        </w:rPr>
        <w:t>, řídic</w:t>
      </w:r>
      <w:r w:rsidRPr="00E04914">
        <w:rPr>
          <w:rFonts w:eastAsia="Calibri"/>
          <w:bCs/>
        </w:rPr>
        <w:t xml:space="preserve">í </w:t>
      </w:r>
      <w:r w:rsidRPr="00F453CD">
        <w:rPr>
          <w:rFonts w:eastAsia="Calibri"/>
          <w:bCs/>
        </w:rPr>
        <w:t xml:space="preserve">kontroly </w:t>
      </w:r>
      <w:r w:rsidRPr="00F453CD">
        <w:rPr>
          <w:rFonts w:cs="Calibri"/>
        </w:rPr>
        <w:t>(viz část IV.</w:t>
      </w:r>
      <w:r w:rsidR="00F453CD" w:rsidRPr="00F453CD">
        <w:rPr>
          <w:rFonts w:cs="Calibri"/>
        </w:rPr>
        <w:t>4</w:t>
      </w:r>
      <w:r w:rsidRPr="00F453CD">
        <w:rPr>
          <w:rFonts w:cs="Calibri"/>
        </w:rPr>
        <w:t>.</w:t>
      </w:r>
      <w:r w:rsidR="00F453CD" w:rsidRPr="00F453CD">
        <w:rPr>
          <w:rFonts w:cs="Calibri"/>
        </w:rPr>
        <w:t>1</w:t>
      </w:r>
      <w:r w:rsidRPr="00F453CD">
        <w:rPr>
          <w:rFonts w:cs="Calibri"/>
        </w:rPr>
        <w:t xml:space="preserve"> tohoto kontrolního závěru)</w:t>
      </w:r>
      <w:r w:rsidRPr="00F453CD">
        <w:rPr>
          <w:rFonts w:eastAsia="Calibri"/>
          <w:bCs/>
        </w:rPr>
        <w:t xml:space="preserve"> a</w:t>
      </w:r>
      <w:r w:rsidR="002E6675">
        <w:rPr>
          <w:rFonts w:eastAsia="Calibri"/>
          <w:bCs/>
        </w:rPr>
        <w:t> </w:t>
      </w:r>
      <w:r w:rsidRPr="00E04914">
        <w:rPr>
          <w:rFonts w:eastAsia="Calibri"/>
          <w:bCs/>
        </w:rPr>
        <w:t>v</w:t>
      </w:r>
      <w:r w:rsidR="003635EC">
        <w:rPr>
          <w:rFonts w:eastAsia="Calibri"/>
          <w:bCs/>
        </w:rPr>
        <w:t> </w:t>
      </w:r>
      <w:r w:rsidRPr="00E04914">
        <w:rPr>
          <w:rFonts w:eastAsia="Calibri"/>
          <w:bCs/>
        </w:rPr>
        <w:t>oblasti</w:t>
      </w:r>
      <w:r w:rsidR="003635EC">
        <w:rPr>
          <w:rFonts w:eastAsia="Calibri"/>
          <w:bCs/>
        </w:rPr>
        <w:t xml:space="preserve"> </w:t>
      </w:r>
      <w:r w:rsidRPr="00E04914">
        <w:rPr>
          <w:rFonts w:eastAsia="Calibri"/>
          <w:bCs/>
        </w:rPr>
        <w:t xml:space="preserve">hospodaření s majetkem státu dle zákona č. 219/2000 Sb., finančního hospodaření dle zákona č. 218/2000 Sb. a dalších právních </w:t>
      </w:r>
      <w:r w:rsidRPr="0016396C">
        <w:rPr>
          <w:rFonts w:eastAsia="Calibri"/>
          <w:bCs/>
        </w:rPr>
        <w:t xml:space="preserve">předpisů </w:t>
      </w:r>
      <w:r w:rsidRPr="0016396C">
        <w:rPr>
          <w:rFonts w:cs="Calibri"/>
        </w:rPr>
        <w:t>(viz část IV.</w:t>
      </w:r>
      <w:r w:rsidR="0016396C" w:rsidRPr="0016396C">
        <w:rPr>
          <w:rFonts w:cs="Calibri"/>
        </w:rPr>
        <w:t>5</w:t>
      </w:r>
      <w:r w:rsidR="006A6E9B">
        <w:rPr>
          <w:rFonts w:cs="Calibri"/>
        </w:rPr>
        <w:t>.</w:t>
      </w:r>
      <w:r w:rsidR="0016396C" w:rsidRPr="0016396C">
        <w:rPr>
          <w:rFonts w:cs="Calibri"/>
        </w:rPr>
        <w:t xml:space="preserve"> a IV.6</w:t>
      </w:r>
      <w:r w:rsidR="006A6E9B">
        <w:rPr>
          <w:rFonts w:cs="Calibri"/>
        </w:rPr>
        <w:t>.</w:t>
      </w:r>
      <w:r w:rsidRPr="0016396C">
        <w:rPr>
          <w:rFonts w:cs="Calibri"/>
        </w:rPr>
        <w:t xml:space="preserve"> tohoto kontrolního závěru)</w:t>
      </w:r>
      <w:r>
        <w:rPr>
          <w:rFonts w:cs="Calibri"/>
        </w:rPr>
        <w:t xml:space="preserve"> </w:t>
      </w:r>
      <w:r w:rsidRPr="00E04914">
        <w:rPr>
          <w:rFonts w:eastAsia="Calibri"/>
          <w:bCs/>
        </w:rPr>
        <w:t>významné nedostatky, které VKS NSA neidentifikoval. NSA většinu těchto nedostatků opravila, resp. přijala i ve VKS opatření k nápravě systémových nedostatků.</w:t>
      </w:r>
    </w:p>
    <w:p w14:paraId="7F19C4DC" w14:textId="77777777" w:rsidR="00A76DAC" w:rsidRPr="00A60233" w:rsidRDefault="00035012" w:rsidP="00544FCA">
      <w:pPr>
        <w:keepNext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NKÚ</w:t>
      </w:r>
      <w:r w:rsidRPr="00A60233">
        <w:rPr>
          <w:rFonts w:asciiTheme="minorHAnsi" w:hAnsiTheme="minorHAnsi" w:cstheme="minorHAnsi"/>
        </w:rPr>
        <w:t xml:space="preserve"> </w:t>
      </w:r>
      <w:r w:rsidR="008C455F">
        <w:rPr>
          <w:rFonts w:asciiTheme="minorHAnsi" w:hAnsiTheme="minorHAnsi" w:cstheme="minorHAnsi"/>
        </w:rPr>
        <w:t>upozornil</w:t>
      </w:r>
      <w:r w:rsidRPr="00A60233">
        <w:rPr>
          <w:rFonts w:asciiTheme="minorHAnsi" w:hAnsiTheme="minorHAnsi" w:cstheme="minorHAnsi"/>
        </w:rPr>
        <w:t xml:space="preserve"> na přetrvávající nedostatky:</w:t>
      </w:r>
    </w:p>
    <w:p w14:paraId="1AA226A8" w14:textId="02BF1BCC" w:rsidR="00A76DAC" w:rsidRPr="0016396C" w:rsidRDefault="00035012" w:rsidP="00703365">
      <w:pPr>
        <w:pStyle w:val="Odstavecseseznamem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eastAsia="Calibri"/>
          <w:bCs/>
        </w:rPr>
      </w:pPr>
      <w:r w:rsidRPr="00A60233">
        <w:rPr>
          <w:rFonts w:eastAsia="Calibri"/>
          <w:bCs/>
        </w:rPr>
        <w:t>v oblasti závěrečného účtu</w:t>
      </w:r>
      <w:r>
        <w:rPr>
          <w:rFonts w:eastAsia="Calibri"/>
          <w:bCs/>
        </w:rPr>
        <w:t>, který NSA za rok</w:t>
      </w:r>
      <w:r w:rsidRPr="00A60233">
        <w:rPr>
          <w:rFonts w:eastAsia="Calibri"/>
          <w:bCs/>
        </w:rPr>
        <w:t xml:space="preserve"> 2024 </w:t>
      </w:r>
      <w:r>
        <w:rPr>
          <w:rFonts w:eastAsia="Calibri"/>
          <w:bCs/>
        </w:rPr>
        <w:t xml:space="preserve">nesestavila </w:t>
      </w:r>
      <w:r w:rsidRPr="00A60233">
        <w:rPr>
          <w:rFonts w:eastAsia="Calibri"/>
          <w:bCs/>
        </w:rPr>
        <w:t>ve dvou bodech v souladu s vyhláškou č. 419/2001 Sb</w:t>
      </w:r>
      <w:r w:rsidRPr="0016396C">
        <w:rPr>
          <w:rFonts w:eastAsia="Calibri"/>
          <w:bCs/>
        </w:rPr>
        <w:t>. (viz část IV.3</w:t>
      </w:r>
      <w:r w:rsidR="006A6E9B">
        <w:rPr>
          <w:rFonts w:eastAsia="Calibri"/>
          <w:bCs/>
        </w:rPr>
        <w:t>.</w:t>
      </w:r>
      <w:r w:rsidRPr="0016396C">
        <w:rPr>
          <w:rFonts w:eastAsia="Calibri"/>
          <w:bCs/>
        </w:rPr>
        <w:t xml:space="preserve"> tohoto kontrolního závěru)</w:t>
      </w:r>
      <w:r w:rsidR="00544FCA">
        <w:rPr>
          <w:rFonts w:eastAsia="Calibri"/>
          <w:bCs/>
        </w:rPr>
        <w:t>,</w:t>
      </w:r>
    </w:p>
    <w:p w14:paraId="59B1C2E3" w14:textId="6410A297" w:rsidR="00A76DAC" w:rsidRPr="00A60233" w:rsidRDefault="00035012" w:rsidP="00703365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eastAsia="Calibri"/>
          <w:bCs/>
        </w:rPr>
      </w:pPr>
      <w:r w:rsidRPr="00A60233">
        <w:rPr>
          <w:rFonts w:eastAsia="Calibri"/>
          <w:bCs/>
        </w:rPr>
        <w:t>v oblasti hospodaření s majetkem státu dle zákona č. 219/2000 Sb., finančního hospodaření dle zákona č. 218/2000 Sb. a dalších právních předpisů</w:t>
      </w:r>
      <w:r w:rsidRPr="0016396C">
        <w:rPr>
          <w:rFonts w:eastAsia="Calibri"/>
          <w:bCs/>
        </w:rPr>
        <w:t>, kd</w:t>
      </w:r>
      <w:r w:rsidR="00DE5055">
        <w:rPr>
          <w:rFonts w:eastAsia="Calibri"/>
          <w:bCs/>
        </w:rPr>
        <w:t>y NSA umožnila pozemky</w:t>
      </w:r>
      <w:r w:rsidRPr="00A60233">
        <w:rPr>
          <w:rFonts w:eastAsia="Calibri"/>
          <w:bCs/>
        </w:rPr>
        <w:t xml:space="preserve">, se kterými je příslušná </w:t>
      </w:r>
      <w:r w:rsidRPr="0016396C">
        <w:rPr>
          <w:rFonts w:eastAsia="Calibri"/>
          <w:bCs/>
        </w:rPr>
        <w:t>hospodařit</w:t>
      </w:r>
      <w:r w:rsidR="00D008FF">
        <w:rPr>
          <w:rFonts w:eastAsia="Calibri"/>
          <w:bCs/>
        </w:rPr>
        <w:t>, užívat jiným subjektům bez právního důvodu</w:t>
      </w:r>
      <w:r w:rsidR="0049075D">
        <w:rPr>
          <w:rFonts w:eastAsia="Calibri"/>
          <w:bCs/>
        </w:rPr>
        <w:t xml:space="preserve"> a bezúplatně</w:t>
      </w:r>
      <w:r w:rsidRPr="0016396C">
        <w:rPr>
          <w:rFonts w:eastAsia="Calibri"/>
          <w:bCs/>
        </w:rPr>
        <w:t xml:space="preserve"> (viz část IV.</w:t>
      </w:r>
      <w:r w:rsidR="0016396C" w:rsidRPr="0016396C">
        <w:rPr>
          <w:rFonts w:eastAsia="Calibri"/>
          <w:bCs/>
        </w:rPr>
        <w:t>5</w:t>
      </w:r>
      <w:r w:rsidR="006A6E9B">
        <w:rPr>
          <w:rFonts w:eastAsia="Calibri"/>
          <w:bCs/>
        </w:rPr>
        <w:t>.</w:t>
      </w:r>
      <w:r w:rsidRPr="0016396C">
        <w:rPr>
          <w:rFonts w:eastAsia="Calibri"/>
          <w:bCs/>
        </w:rPr>
        <w:t xml:space="preserve"> tohoto kontrolního závěru).</w:t>
      </w:r>
    </w:p>
    <w:p w14:paraId="138E5FBA" w14:textId="76145CA7" w:rsidR="00A76DAC" w:rsidRDefault="00035012" w:rsidP="00A76DAC">
      <w:pPr>
        <w:spacing w:before="120" w:after="0"/>
        <w:jc w:val="both"/>
        <w:rPr>
          <w:rFonts w:cs="Calibri"/>
          <w:b/>
        </w:rPr>
      </w:pPr>
      <w:r w:rsidRPr="00FD037E">
        <w:rPr>
          <w:rFonts w:cs="Calibri"/>
          <w:b/>
        </w:rPr>
        <w:t>Uvedené nedostatky však již nebyly takového rozsahu, aby byly ze strany NKÚ vyhodnoceny jako významné</w:t>
      </w:r>
      <w:r w:rsidR="00BA4430">
        <w:rPr>
          <w:rFonts w:cs="Calibri"/>
          <w:b/>
        </w:rPr>
        <w:t xml:space="preserve"> ve vztahu k prověřovaným oblastem </w:t>
      </w:r>
      <w:r w:rsidRPr="00FD037E">
        <w:rPr>
          <w:rFonts w:cs="Calibri"/>
          <w:b/>
        </w:rPr>
        <w:t>VKS.</w:t>
      </w:r>
    </w:p>
    <w:p w14:paraId="55366B4A" w14:textId="084FFA85" w:rsidR="006803F6" w:rsidRDefault="003635EC" w:rsidP="003635EC">
      <w:pPr>
        <w:pStyle w:val="Styl2"/>
        <w:numPr>
          <w:ilvl w:val="0"/>
          <w:numId w:val="0"/>
        </w:numPr>
        <w:spacing w:before="240"/>
      </w:pPr>
      <w:r>
        <w:t xml:space="preserve">5. </w:t>
      </w:r>
      <w:r w:rsidR="00035012">
        <w:t>Soulad prověřovaných transakcí s právními předpisy</w:t>
      </w:r>
    </w:p>
    <w:p w14:paraId="23BEE933" w14:textId="276F0FFD" w:rsidR="006803F6" w:rsidRPr="00B066D6" w:rsidRDefault="00035012" w:rsidP="00B066D6">
      <w:pPr>
        <w:jc w:val="both"/>
      </w:pPr>
      <w:r w:rsidRPr="00B066D6">
        <w:rPr>
          <w:b/>
          <w:bCs/>
        </w:rPr>
        <w:t xml:space="preserve">NKÚ zjistil, že NSA </w:t>
      </w:r>
      <w:r w:rsidR="002B45B7">
        <w:rPr>
          <w:b/>
          <w:bCs/>
        </w:rPr>
        <w:t xml:space="preserve">umožnila </w:t>
      </w:r>
      <w:r w:rsidR="00D008FF">
        <w:rPr>
          <w:b/>
          <w:bCs/>
        </w:rPr>
        <w:t>pozemky</w:t>
      </w:r>
      <w:r w:rsidR="00D008FF" w:rsidRPr="001718B3">
        <w:rPr>
          <w:b/>
          <w:bCs/>
        </w:rPr>
        <w:t>,</w:t>
      </w:r>
      <w:r w:rsidR="00D008FF" w:rsidRPr="00CE7471">
        <w:t xml:space="preserve"> se kterými je příslušná</w:t>
      </w:r>
      <w:r w:rsidR="00D008FF" w:rsidRPr="001718B3">
        <w:t xml:space="preserve"> </w:t>
      </w:r>
      <w:r w:rsidR="00D008FF" w:rsidRPr="00B066D6">
        <w:t xml:space="preserve">hospodařit v kat. </w:t>
      </w:r>
      <w:proofErr w:type="spellStart"/>
      <w:r w:rsidR="00D008FF" w:rsidRPr="00B066D6">
        <w:t>úz</w:t>
      </w:r>
      <w:proofErr w:type="spellEnd"/>
      <w:r w:rsidR="00D008FF" w:rsidRPr="00B066D6">
        <w:t>. Harrachov a Jáchymov</w:t>
      </w:r>
      <w:r w:rsidR="00D008FF" w:rsidRPr="00CE7471">
        <w:t>,</w:t>
      </w:r>
      <w:r w:rsidR="00D008FF">
        <w:rPr>
          <w:b/>
          <w:bCs/>
        </w:rPr>
        <w:t xml:space="preserve"> užívat jiným subjektům </w:t>
      </w:r>
      <w:r w:rsidR="008E46C5">
        <w:rPr>
          <w:b/>
          <w:bCs/>
        </w:rPr>
        <w:t xml:space="preserve">bezúplatně a </w:t>
      </w:r>
      <w:r w:rsidR="00D008FF">
        <w:rPr>
          <w:b/>
          <w:bCs/>
        </w:rPr>
        <w:t>bez právního důvodu</w:t>
      </w:r>
      <w:r w:rsidRPr="001718B3">
        <w:rPr>
          <w:b/>
          <w:bCs/>
        </w:rPr>
        <w:t>.</w:t>
      </w:r>
      <w:r w:rsidRPr="00B066D6">
        <w:t xml:space="preserve"> </w:t>
      </w:r>
    </w:p>
    <w:p w14:paraId="6E0511E8" w14:textId="290C09DB" w:rsidR="001E418B" w:rsidRPr="00F271C6" w:rsidRDefault="00035012" w:rsidP="002E6675">
      <w:pPr>
        <w:spacing w:after="0"/>
        <w:jc w:val="both"/>
        <w:rPr>
          <w:rFonts w:asciiTheme="minorHAnsi" w:hAnsiTheme="minorHAnsi" w:cstheme="minorHAnsi"/>
          <w:bCs/>
        </w:rPr>
      </w:pPr>
      <w:r w:rsidRPr="00F271C6">
        <w:rPr>
          <w:rFonts w:asciiTheme="minorHAnsi" w:hAnsiTheme="minorHAnsi" w:cstheme="minorHAnsi"/>
          <w:bCs/>
        </w:rPr>
        <w:t>NSA tak postupovala v rozporu s</w:t>
      </w:r>
      <w:r w:rsidR="009C5D20">
        <w:rPr>
          <w:rFonts w:asciiTheme="minorHAnsi" w:hAnsiTheme="minorHAnsi" w:cstheme="minorHAnsi"/>
          <w:bCs/>
        </w:rPr>
        <w:t xml:space="preserve"> ustanovením </w:t>
      </w:r>
      <w:r w:rsidRPr="00F271C6">
        <w:rPr>
          <w:rFonts w:asciiTheme="minorHAnsi" w:hAnsiTheme="minorHAnsi" w:cstheme="minorHAnsi"/>
          <w:bCs/>
        </w:rPr>
        <w:t xml:space="preserve">§ 14 odst. 1 zákona č. 219/2000 Sb. tím, že s majetkem státu, s nímž je příslušná hospodařit, nenakládala za podmínek stanovených tímto zákonem a neodůvodněně snižovala výnos z tohoto majetku </w:t>
      </w:r>
      <w:r w:rsidR="00BA4430">
        <w:rPr>
          <w:rFonts w:asciiTheme="minorHAnsi" w:hAnsiTheme="minorHAnsi" w:cstheme="minorHAnsi"/>
          <w:bCs/>
        </w:rPr>
        <w:t>minimálně ve</w:t>
      </w:r>
      <w:r w:rsidRPr="00F271C6">
        <w:rPr>
          <w:rFonts w:asciiTheme="minorHAnsi" w:hAnsiTheme="minorHAnsi" w:cstheme="minorHAnsi"/>
          <w:bCs/>
        </w:rPr>
        <w:t xml:space="preserve"> výši 9</w:t>
      </w:r>
      <w:r w:rsidR="00582A3B" w:rsidRPr="00F271C6">
        <w:rPr>
          <w:rFonts w:asciiTheme="minorHAnsi" w:hAnsiTheme="minorHAnsi" w:cstheme="minorHAnsi"/>
          <w:bCs/>
        </w:rPr>
        <w:t>,1</w:t>
      </w:r>
      <w:r w:rsidRPr="00F271C6">
        <w:rPr>
          <w:rFonts w:asciiTheme="minorHAnsi" w:hAnsiTheme="minorHAnsi" w:cstheme="minorHAnsi"/>
          <w:bCs/>
        </w:rPr>
        <w:t xml:space="preserve"> mil. Kč, když:</w:t>
      </w:r>
    </w:p>
    <w:p w14:paraId="538CDCF4" w14:textId="789A10FC" w:rsidR="001E418B" w:rsidRPr="00F271C6" w:rsidRDefault="00035012" w:rsidP="002E6675">
      <w:pPr>
        <w:pStyle w:val="Odstavecseseznamem"/>
        <w:numPr>
          <w:ilvl w:val="0"/>
          <w:numId w:val="25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bCs/>
        </w:rPr>
      </w:pPr>
      <w:r w:rsidRPr="00F271C6">
        <w:rPr>
          <w:rFonts w:asciiTheme="minorHAnsi" w:hAnsiTheme="minorHAnsi" w:cstheme="minorHAnsi"/>
          <w:bCs/>
        </w:rPr>
        <w:t xml:space="preserve">v letech 2024 a 2025 (stav k 30. </w:t>
      </w:r>
      <w:r w:rsidR="00F271C6" w:rsidRPr="00F271C6">
        <w:rPr>
          <w:rFonts w:asciiTheme="minorHAnsi" w:hAnsiTheme="minorHAnsi" w:cstheme="minorHAnsi"/>
          <w:bCs/>
        </w:rPr>
        <w:t>dubnu</w:t>
      </w:r>
      <w:r w:rsidRPr="00F271C6">
        <w:rPr>
          <w:rFonts w:asciiTheme="minorHAnsi" w:hAnsiTheme="minorHAnsi" w:cstheme="minorHAnsi"/>
          <w:bCs/>
        </w:rPr>
        <w:t xml:space="preserve"> 2025) umožnila bez právního </w:t>
      </w:r>
      <w:r w:rsidR="008E46C5">
        <w:rPr>
          <w:rFonts w:asciiTheme="minorHAnsi" w:hAnsiTheme="minorHAnsi" w:cstheme="minorHAnsi"/>
          <w:bCs/>
        </w:rPr>
        <w:t>důvodu</w:t>
      </w:r>
      <w:r w:rsidR="008E46C5" w:rsidRPr="00F271C6">
        <w:rPr>
          <w:rFonts w:asciiTheme="minorHAnsi" w:hAnsiTheme="minorHAnsi" w:cstheme="minorHAnsi"/>
          <w:bCs/>
        </w:rPr>
        <w:t xml:space="preserve"> </w:t>
      </w:r>
      <w:r w:rsidRPr="00F271C6">
        <w:rPr>
          <w:rFonts w:asciiTheme="minorHAnsi" w:hAnsiTheme="minorHAnsi" w:cstheme="minorHAnsi"/>
          <w:bCs/>
        </w:rPr>
        <w:t>a</w:t>
      </w:r>
      <w:r w:rsidR="002E6675">
        <w:rPr>
          <w:rFonts w:asciiTheme="minorHAnsi" w:hAnsiTheme="minorHAnsi" w:cstheme="minorHAnsi"/>
          <w:bCs/>
        </w:rPr>
        <w:t> </w:t>
      </w:r>
      <w:r w:rsidRPr="00F271C6">
        <w:rPr>
          <w:rFonts w:asciiTheme="minorHAnsi" w:hAnsiTheme="minorHAnsi" w:cstheme="minorHAnsi"/>
          <w:bCs/>
        </w:rPr>
        <w:t xml:space="preserve">bezúplatně užívat pozemky v kat. </w:t>
      </w:r>
      <w:proofErr w:type="spellStart"/>
      <w:r w:rsidRPr="00F271C6">
        <w:rPr>
          <w:rFonts w:asciiTheme="minorHAnsi" w:hAnsiTheme="minorHAnsi" w:cstheme="minorHAnsi"/>
          <w:bCs/>
        </w:rPr>
        <w:t>úz</w:t>
      </w:r>
      <w:proofErr w:type="spellEnd"/>
      <w:r w:rsidRPr="00F271C6">
        <w:rPr>
          <w:rFonts w:asciiTheme="minorHAnsi" w:hAnsiTheme="minorHAnsi" w:cstheme="minorHAnsi"/>
          <w:bCs/>
        </w:rPr>
        <w:t>. Harrachov územnímu samosprávnému celku</w:t>
      </w:r>
      <w:r w:rsidR="00544FCA">
        <w:rPr>
          <w:rFonts w:asciiTheme="minorHAnsi" w:hAnsiTheme="minorHAnsi" w:cstheme="minorHAnsi"/>
          <w:bCs/>
        </w:rPr>
        <w:t>,</w:t>
      </w:r>
    </w:p>
    <w:p w14:paraId="5E05573A" w14:textId="28A86220" w:rsidR="001E418B" w:rsidRPr="00B066D6" w:rsidRDefault="00035012" w:rsidP="002E6675">
      <w:pPr>
        <w:pStyle w:val="Odstavecseseznamem"/>
        <w:numPr>
          <w:ilvl w:val="0"/>
          <w:numId w:val="25"/>
        </w:numPr>
        <w:ind w:left="284" w:hanging="284"/>
        <w:contextualSpacing w:val="0"/>
        <w:jc w:val="both"/>
      </w:pPr>
      <w:r w:rsidRPr="00B066D6">
        <w:t xml:space="preserve">v letech 2023, 2024 a 2025 (stav k 30. </w:t>
      </w:r>
      <w:r w:rsidR="00F271C6" w:rsidRPr="00B066D6">
        <w:t>dubnu</w:t>
      </w:r>
      <w:r w:rsidRPr="00B066D6">
        <w:t xml:space="preserve"> 2025) umožnila bez právního </w:t>
      </w:r>
      <w:r w:rsidR="008E46C5">
        <w:t>důvodu</w:t>
      </w:r>
      <w:r w:rsidRPr="00B066D6">
        <w:t xml:space="preserve"> a</w:t>
      </w:r>
      <w:r w:rsidR="002E6675">
        <w:t> </w:t>
      </w:r>
      <w:r w:rsidRPr="00B066D6">
        <w:t xml:space="preserve">bezúplatně užívat pozemky v kat. </w:t>
      </w:r>
      <w:proofErr w:type="spellStart"/>
      <w:r w:rsidRPr="00B066D6">
        <w:t>úz</w:t>
      </w:r>
      <w:proofErr w:type="spellEnd"/>
      <w:r w:rsidRPr="00B066D6">
        <w:t>. Jáchymov právnické osobě, jejímž hlavním účelem je podnikání.</w:t>
      </w:r>
    </w:p>
    <w:p w14:paraId="0DF03D11" w14:textId="77777777" w:rsidR="001E418B" w:rsidRPr="00B066D6" w:rsidRDefault="00035012" w:rsidP="00B066D6">
      <w:pPr>
        <w:jc w:val="both"/>
      </w:pPr>
      <w:r w:rsidRPr="00B066D6">
        <w:t xml:space="preserve">NSA dále postupovala v rozporu s § 14 odst. 4 zákona č. 219/2000 Sb. tím, že jako organizační složka státu důsledně nevyužívala všechny právní prostředky při uplatňování a hájení práv státu jako vlastníka a při ochraně majetku před neoprávněnými zásahy, když neuzavřela písemné smlouvy o přenechání majetku, s nímž je příslušná hospodařit, do užívání právnické osoby a územního samosprávného celku dle § 27 ve spojení s § 17 zákona č. 219/2000 Sb. </w:t>
      </w:r>
      <w:r w:rsidRPr="00B066D6">
        <w:rPr>
          <w:b/>
          <w:bCs/>
        </w:rPr>
        <w:t>Právo na vydání bezdůvodného obohacení vůči uživatelům pozemků NSA uplatnila až v průběhu kontrolní akce NKÚ.</w:t>
      </w:r>
    </w:p>
    <w:p w14:paraId="5463655B" w14:textId="5AED5AF8" w:rsidR="001E418B" w:rsidRPr="00C823A3" w:rsidRDefault="00035012" w:rsidP="001E418B">
      <w:pPr>
        <w:jc w:val="both"/>
        <w:rPr>
          <w:rFonts w:asciiTheme="minorHAnsi" w:hAnsiTheme="minorHAnsi" w:cstheme="minorHAnsi"/>
          <w:bCs/>
          <w:highlight w:val="yellow"/>
        </w:rPr>
      </w:pPr>
      <w:r w:rsidRPr="00F271C6">
        <w:rPr>
          <w:rFonts w:asciiTheme="minorHAnsi" w:hAnsiTheme="minorHAnsi" w:cstheme="minorHAnsi"/>
          <w:bCs/>
        </w:rPr>
        <w:t xml:space="preserve">NSA rozeslala v březnu 2025 tři výzvy k platbě za užívání </w:t>
      </w:r>
      <w:r w:rsidRPr="00016B34">
        <w:rPr>
          <w:rFonts w:asciiTheme="minorHAnsi" w:hAnsiTheme="minorHAnsi" w:cstheme="minorHAnsi"/>
          <w:bCs/>
        </w:rPr>
        <w:t>pozemků</w:t>
      </w:r>
      <w:r w:rsidR="00F271C6" w:rsidRPr="00F271C6">
        <w:rPr>
          <w:rFonts w:asciiTheme="minorHAnsi" w:hAnsiTheme="minorHAnsi" w:cstheme="minorHAnsi"/>
          <w:bCs/>
        </w:rPr>
        <w:t xml:space="preserve"> v kat. </w:t>
      </w:r>
      <w:proofErr w:type="spellStart"/>
      <w:r w:rsidR="00F271C6" w:rsidRPr="00F271C6">
        <w:rPr>
          <w:rFonts w:asciiTheme="minorHAnsi" w:hAnsiTheme="minorHAnsi" w:cstheme="minorHAnsi"/>
          <w:bCs/>
        </w:rPr>
        <w:t>úz</w:t>
      </w:r>
      <w:proofErr w:type="spellEnd"/>
      <w:r w:rsidR="00F271C6" w:rsidRPr="00F271C6">
        <w:rPr>
          <w:rFonts w:asciiTheme="minorHAnsi" w:hAnsiTheme="minorHAnsi" w:cstheme="minorHAnsi"/>
          <w:bCs/>
        </w:rPr>
        <w:t>. Harrachov a</w:t>
      </w:r>
      <w:r w:rsidR="002E6675">
        <w:rPr>
          <w:rFonts w:asciiTheme="minorHAnsi" w:hAnsiTheme="minorHAnsi" w:cstheme="minorHAnsi"/>
          <w:bCs/>
        </w:rPr>
        <w:t> </w:t>
      </w:r>
      <w:r w:rsidR="00F271C6" w:rsidRPr="00F271C6">
        <w:rPr>
          <w:rFonts w:asciiTheme="minorHAnsi" w:hAnsiTheme="minorHAnsi" w:cstheme="minorHAnsi"/>
          <w:bCs/>
        </w:rPr>
        <w:t>Jáchymov</w:t>
      </w:r>
      <w:r w:rsidRPr="00F271C6">
        <w:rPr>
          <w:rFonts w:asciiTheme="minorHAnsi" w:hAnsiTheme="minorHAnsi" w:cstheme="minorHAnsi"/>
          <w:bCs/>
        </w:rPr>
        <w:t xml:space="preserve"> v celkové výši 9</w:t>
      </w:r>
      <w:r w:rsidR="00582A3B" w:rsidRPr="00F271C6">
        <w:rPr>
          <w:rFonts w:asciiTheme="minorHAnsi" w:hAnsiTheme="minorHAnsi" w:cstheme="minorHAnsi"/>
          <w:bCs/>
        </w:rPr>
        <w:t>,1</w:t>
      </w:r>
      <w:r w:rsidRPr="00F271C6">
        <w:rPr>
          <w:rFonts w:asciiTheme="minorHAnsi" w:hAnsiTheme="minorHAnsi" w:cstheme="minorHAnsi"/>
          <w:bCs/>
        </w:rPr>
        <w:t xml:space="preserve"> mil. Kč. Platby ze dvou výzev adresovaných právnické osobě v celkové výši </w:t>
      </w:r>
      <w:r w:rsidR="00016B34">
        <w:rPr>
          <w:rFonts w:asciiTheme="minorHAnsi" w:hAnsiTheme="minorHAnsi" w:cstheme="minorHAnsi"/>
          <w:bCs/>
        </w:rPr>
        <w:t>400 tis.</w:t>
      </w:r>
      <w:r w:rsidRPr="00F271C6">
        <w:rPr>
          <w:rFonts w:asciiTheme="minorHAnsi" w:hAnsiTheme="minorHAnsi" w:cstheme="minorHAnsi"/>
          <w:bCs/>
        </w:rPr>
        <w:t xml:space="preserve"> Kč</w:t>
      </w:r>
      <w:r w:rsidR="009C5D20">
        <w:rPr>
          <w:rFonts w:asciiTheme="minorHAnsi" w:hAnsiTheme="minorHAnsi" w:cstheme="minorHAnsi"/>
          <w:bCs/>
        </w:rPr>
        <w:t xml:space="preserve"> byly</w:t>
      </w:r>
      <w:r w:rsidRPr="00F271C6">
        <w:rPr>
          <w:rFonts w:asciiTheme="minorHAnsi" w:hAnsiTheme="minorHAnsi" w:cstheme="minorHAnsi"/>
          <w:bCs/>
        </w:rPr>
        <w:t xml:space="preserve"> připsány na bankovní účet NSA v dubnu 2025. Splatnost výzvy </w:t>
      </w:r>
      <w:r w:rsidR="001B27E9" w:rsidRPr="002C004D">
        <w:rPr>
          <w:rFonts w:asciiTheme="minorHAnsi" w:hAnsiTheme="minorHAnsi" w:cstheme="minorHAnsi"/>
          <w:bCs/>
        </w:rPr>
        <w:t>ve výši 8,7 mil. Kč</w:t>
      </w:r>
      <w:r w:rsidR="001B27E9" w:rsidRPr="00F271C6">
        <w:rPr>
          <w:rFonts w:asciiTheme="minorHAnsi" w:hAnsiTheme="minorHAnsi" w:cstheme="minorHAnsi"/>
          <w:bCs/>
        </w:rPr>
        <w:t xml:space="preserve"> </w:t>
      </w:r>
      <w:r w:rsidRPr="00F271C6">
        <w:rPr>
          <w:rFonts w:asciiTheme="minorHAnsi" w:hAnsiTheme="minorHAnsi" w:cstheme="minorHAnsi"/>
          <w:bCs/>
        </w:rPr>
        <w:t>adresované územnímu samosprávnému celku byla stanovena do 15. dubna 2025</w:t>
      </w:r>
      <w:r w:rsidR="009C5D20">
        <w:rPr>
          <w:rFonts w:asciiTheme="minorHAnsi" w:hAnsiTheme="minorHAnsi" w:cstheme="minorHAnsi"/>
          <w:bCs/>
        </w:rPr>
        <w:t>, ale</w:t>
      </w:r>
      <w:r w:rsidR="00C823A3" w:rsidRPr="00062A05">
        <w:rPr>
          <w:rFonts w:asciiTheme="minorHAnsi" w:hAnsiTheme="minorHAnsi" w:cstheme="minorHAnsi"/>
          <w:bCs/>
        </w:rPr>
        <w:t xml:space="preserve"> ani k datu 30. dubna 2025 nebyla </w:t>
      </w:r>
      <w:r w:rsidRPr="002C004D">
        <w:rPr>
          <w:rFonts w:asciiTheme="minorHAnsi" w:hAnsiTheme="minorHAnsi" w:cstheme="minorHAnsi"/>
          <w:bCs/>
        </w:rPr>
        <w:t xml:space="preserve">územním samosprávným celkem </w:t>
      </w:r>
      <w:r w:rsidR="00C823A3" w:rsidRPr="00062A05">
        <w:rPr>
          <w:rFonts w:asciiTheme="minorHAnsi" w:hAnsiTheme="minorHAnsi" w:cstheme="minorHAnsi"/>
          <w:bCs/>
        </w:rPr>
        <w:t>uhrazena</w:t>
      </w:r>
      <w:r w:rsidRPr="002C004D">
        <w:rPr>
          <w:rFonts w:asciiTheme="minorHAnsi" w:hAnsiTheme="minorHAnsi" w:cstheme="minorHAnsi"/>
          <w:bCs/>
        </w:rPr>
        <w:t>.</w:t>
      </w:r>
      <w:r w:rsidR="001C65F9">
        <w:rPr>
          <w:rFonts w:asciiTheme="minorHAnsi" w:hAnsiTheme="minorHAnsi" w:cstheme="minorHAnsi"/>
          <w:bCs/>
        </w:rPr>
        <w:t xml:space="preserve"> NSA proto uplatnila vůči územnímu samosprávnému celku zákonné úroky z prodlení.</w:t>
      </w:r>
      <w:r w:rsidR="00B114FB" w:rsidRPr="002C004D">
        <w:rPr>
          <w:rFonts w:asciiTheme="minorHAnsi" w:hAnsiTheme="minorHAnsi" w:cstheme="minorHAnsi"/>
          <w:bCs/>
        </w:rPr>
        <w:t xml:space="preserve"> </w:t>
      </w:r>
      <w:r w:rsidR="00C823A3" w:rsidRPr="00062A05">
        <w:rPr>
          <w:rFonts w:asciiTheme="minorHAnsi" w:hAnsiTheme="minorHAnsi" w:cstheme="minorHAnsi"/>
          <w:bCs/>
        </w:rPr>
        <w:t>Z veřejně dostupných zdrojů</w:t>
      </w:r>
      <w:r>
        <w:rPr>
          <w:rStyle w:val="Znakapoznpodarou"/>
          <w:rFonts w:asciiTheme="minorHAnsi" w:hAnsiTheme="minorHAnsi" w:cstheme="minorHAnsi"/>
          <w:bCs/>
        </w:rPr>
        <w:footnoteReference w:id="34"/>
      </w:r>
      <w:r w:rsidR="00C823A3" w:rsidRPr="00062A05">
        <w:rPr>
          <w:rFonts w:asciiTheme="minorHAnsi" w:hAnsiTheme="minorHAnsi" w:cstheme="minorHAnsi"/>
          <w:bCs/>
        </w:rPr>
        <w:t xml:space="preserve"> </w:t>
      </w:r>
      <w:r w:rsidR="00C12C0B" w:rsidRPr="00062A05">
        <w:rPr>
          <w:rFonts w:asciiTheme="minorHAnsi" w:hAnsiTheme="minorHAnsi" w:cstheme="minorHAnsi"/>
          <w:bCs/>
        </w:rPr>
        <w:t>vyplývá, že zastupitelstvo územního samosprávného celku na svém zasedání dne 5. května 2025 odsouhlasilo platbu za užívání</w:t>
      </w:r>
      <w:r w:rsidR="009C5D20">
        <w:rPr>
          <w:rFonts w:asciiTheme="minorHAnsi" w:hAnsiTheme="minorHAnsi" w:cstheme="minorHAnsi"/>
          <w:bCs/>
        </w:rPr>
        <w:t xml:space="preserve"> předmětných </w:t>
      </w:r>
      <w:r w:rsidR="00C12C0B" w:rsidRPr="00062A05">
        <w:rPr>
          <w:rFonts w:asciiTheme="minorHAnsi" w:hAnsiTheme="minorHAnsi" w:cstheme="minorHAnsi"/>
          <w:bCs/>
        </w:rPr>
        <w:t>pozemků za rok 2024 a současně schválilo rozpočtov</w:t>
      </w:r>
      <w:r w:rsidR="001C65F9">
        <w:rPr>
          <w:rFonts w:asciiTheme="minorHAnsi" w:hAnsiTheme="minorHAnsi" w:cstheme="minorHAnsi"/>
          <w:bCs/>
        </w:rPr>
        <w:t>á</w:t>
      </w:r>
      <w:r w:rsidR="00C12C0B" w:rsidRPr="00062A05">
        <w:rPr>
          <w:rFonts w:asciiTheme="minorHAnsi" w:hAnsiTheme="minorHAnsi" w:cstheme="minorHAnsi"/>
          <w:bCs/>
        </w:rPr>
        <w:t xml:space="preserve"> opatření k provedení této platby</w:t>
      </w:r>
      <w:r w:rsidR="001C65F9">
        <w:rPr>
          <w:rFonts w:asciiTheme="minorHAnsi" w:hAnsiTheme="minorHAnsi" w:cstheme="minorHAnsi"/>
          <w:bCs/>
        </w:rPr>
        <w:t xml:space="preserve"> včetně zákonných úroků z</w:t>
      </w:r>
      <w:r w:rsidR="002E6675">
        <w:rPr>
          <w:rFonts w:asciiTheme="minorHAnsi" w:hAnsiTheme="minorHAnsi" w:cstheme="minorHAnsi"/>
          <w:bCs/>
        </w:rPr>
        <w:t> </w:t>
      </w:r>
      <w:r w:rsidR="001C65F9">
        <w:rPr>
          <w:rFonts w:asciiTheme="minorHAnsi" w:hAnsiTheme="minorHAnsi" w:cstheme="minorHAnsi"/>
          <w:bCs/>
        </w:rPr>
        <w:t>prodlení</w:t>
      </w:r>
      <w:r w:rsidR="00C12C0B" w:rsidRPr="00062A05">
        <w:rPr>
          <w:rFonts w:asciiTheme="minorHAnsi" w:hAnsiTheme="minorHAnsi" w:cstheme="minorHAnsi"/>
          <w:bCs/>
        </w:rPr>
        <w:t>.</w:t>
      </w:r>
      <w:r w:rsidR="00C12C0B">
        <w:rPr>
          <w:rFonts w:asciiTheme="minorHAnsi" w:hAnsiTheme="minorHAnsi" w:cstheme="minorHAnsi"/>
          <w:bCs/>
          <w:highlight w:val="yellow"/>
        </w:rPr>
        <w:t xml:space="preserve">  </w:t>
      </w:r>
      <w:r w:rsidR="00C823A3">
        <w:rPr>
          <w:rFonts w:asciiTheme="minorHAnsi" w:hAnsiTheme="minorHAnsi" w:cstheme="minorHAnsi"/>
          <w:bCs/>
          <w:highlight w:val="yellow"/>
        </w:rPr>
        <w:t xml:space="preserve"> </w:t>
      </w:r>
    </w:p>
    <w:p w14:paraId="04342609" w14:textId="5FA83A88" w:rsidR="001E418B" w:rsidRPr="00B066D6" w:rsidRDefault="00035012" w:rsidP="002E6675">
      <w:pPr>
        <w:spacing w:before="120"/>
        <w:jc w:val="both"/>
        <w:rPr>
          <w:b/>
          <w:bCs/>
        </w:rPr>
      </w:pPr>
      <w:r w:rsidRPr="00B066D6">
        <w:rPr>
          <w:b/>
          <w:bCs/>
        </w:rPr>
        <w:t xml:space="preserve">Příslušné nájemní smlouvy s územním samosprávným celkem a právnickou osobou nebyly ani k datu 30. </w:t>
      </w:r>
      <w:r w:rsidR="00F271C6" w:rsidRPr="00B066D6">
        <w:rPr>
          <w:b/>
          <w:bCs/>
        </w:rPr>
        <w:t>dubna</w:t>
      </w:r>
      <w:r w:rsidRPr="00B066D6">
        <w:rPr>
          <w:b/>
          <w:bCs/>
        </w:rPr>
        <w:t xml:space="preserve"> 2025 uzavřeny.</w:t>
      </w:r>
      <w:r w:rsidR="00AA027E">
        <w:rPr>
          <w:b/>
          <w:bCs/>
        </w:rPr>
        <w:t xml:space="preserve"> </w:t>
      </w:r>
      <w:r w:rsidR="000A13FD" w:rsidRPr="00CE7471">
        <w:t xml:space="preserve">NSA </w:t>
      </w:r>
      <w:r w:rsidR="000A13FD">
        <w:t xml:space="preserve">však činila </w:t>
      </w:r>
      <w:r w:rsidR="009A6072">
        <w:t>úkony</w:t>
      </w:r>
      <w:r w:rsidR="000A13FD">
        <w:t xml:space="preserve"> za účelem uzavření nájemních smluv, když například v</w:t>
      </w:r>
      <w:r w:rsidR="00AA027E" w:rsidRPr="00CE7471">
        <w:t xml:space="preserve"> případě pozemků v kat. </w:t>
      </w:r>
      <w:proofErr w:type="spellStart"/>
      <w:r w:rsidR="00AA027E" w:rsidRPr="00CE7471">
        <w:t>úz</w:t>
      </w:r>
      <w:proofErr w:type="spellEnd"/>
      <w:r w:rsidR="00AA027E" w:rsidRPr="00CE7471">
        <w:t>. Harrachov schválila Rada NSA dne 14.</w:t>
      </w:r>
      <w:r w:rsidR="00544FCA">
        <w:t> </w:t>
      </w:r>
      <w:r w:rsidR="00AA027E" w:rsidRPr="00CE7471">
        <w:t xml:space="preserve">dubna 2025 smlouvu o nájmu nemovitých věcí a uložila oddělení veřejných zakázek </w:t>
      </w:r>
      <w:r w:rsidR="00AA027E" w:rsidRPr="00CE7471">
        <w:lastRenderedPageBreak/>
        <w:t>a</w:t>
      </w:r>
      <w:r w:rsidR="00B166B5">
        <w:t> </w:t>
      </w:r>
      <w:r w:rsidR="00AA027E" w:rsidRPr="00CE7471">
        <w:t>majetku státu NSA zajistit uzavření nájemní smlouvy a odeslání nájemní smlouvy s žádostí o</w:t>
      </w:r>
      <w:r w:rsidR="00B166B5">
        <w:t> </w:t>
      </w:r>
      <w:r w:rsidR="00AA027E" w:rsidRPr="00CE7471">
        <w:t>udělení výjimky dle § 27 zákona č. 219/2000 Sb.</w:t>
      </w:r>
    </w:p>
    <w:p w14:paraId="2A67F5F1" w14:textId="7E604D0B" w:rsidR="00F271C6" w:rsidRPr="00B066D6" w:rsidRDefault="00035012" w:rsidP="002E6675">
      <w:pPr>
        <w:spacing w:before="120"/>
        <w:jc w:val="both"/>
        <w:rPr>
          <w:b/>
          <w:bCs/>
        </w:rPr>
      </w:pPr>
      <w:r w:rsidRPr="00B066D6">
        <w:rPr>
          <w:b/>
          <w:bCs/>
        </w:rPr>
        <w:t>V rámci KA č. 24/22 bylo provedeno vyhodnocení opatření přijatých k nápravě nedostatků v oblasti bezúplatného užívání pozemků</w:t>
      </w:r>
      <w:r w:rsidR="00A2546D">
        <w:rPr>
          <w:b/>
          <w:bCs/>
        </w:rPr>
        <w:t xml:space="preserve"> bez právního důvodu</w:t>
      </w:r>
      <w:r w:rsidRPr="00B066D6">
        <w:rPr>
          <w:b/>
          <w:bCs/>
        </w:rPr>
        <w:t xml:space="preserve"> zjištěných již v KA č. 23/04.</w:t>
      </w:r>
    </w:p>
    <w:p w14:paraId="7152EBCD" w14:textId="498A9660" w:rsidR="00547220" w:rsidRPr="00B066D6" w:rsidRDefault="00035012" w:rsidP="002E6675">
      <w:pPr>
        <w:spacing w:before="120"/>
        <w:jc w:val="both"/>
      </w:pPr>
      <w:r w:rsidRPr="00B066D6">
        <w:t>NSA přijala na základě usnesení vlády ze dne 19. března 2025 č. 181 opatření k nápravě nedostatků uvedených v kontrolním závěru z kontrolní akce NKÚ č. 23/04 k oblasti</w:t>
      </w:r>
      <w:r w:rsidR="00A2546D">
        <w:t xml:space="preserve"> </w:t>
      </w:r>
      <w:r w:rsidRPr="00B066D6">
        <w:t>bezúplatného užívání pozemků</w:t>
      </w:r>
      <w:r w:rsidR="00A2546D">
        <w:t xml:space="preserve"> bez právního důvodu</w:t>
      </w:r>
      <w:r w:rsidRPr="00B066D6">
        <w:t>. NKÚ zjistil, že náhrady za užívání pozemků za období let 2022 a 2023 byly Národní sportovní agenturou uplatněny a byly j</w:t>
      </w:r>
      <w:r w:rsidR="00B166B5">
        <w:t>í</w:t>
      </w:r>
      <w:r w:rsidRPr="00B066D6">
        <w:t xml:space="preserve"> i</w:t>
      </w:r>
      <w:r w:rsidR="002E6675">
        <w:t> </w:t>
      </w:r>
      <w:r w:rsidRPr="00B066D6">
        <w:t xml:space="preserve">uhrazeny. Kontrolou však byly zjištěny další případy </w:t>
      </w:r>
      <w:r w:rsidR="005D41F2" w:rsidRPr="00B066D6">
        <w:t>bezúplatného</w:t>
      </w:r>
      <w:r w:rsidRPr="00B066D6">
        <w:t xml:space="preserve"> užívání pozemků</w:t>
      </w:r>
      <w:r w:rsidR="00A2546D">
        <w:t xml:space="preserve"> bez právního důvodu</w:t>
      </w:r>
      <w:r w:rsidRPr="00B066D6">
        <w:t>, které pokračovalo i v roce 2024 a 2025</w:t>
      </w:r>
      <w:r w:rsidR="005B4645">
        <w:t xml:space="preserve">. Náhrady za bezúplatné užívání pozemků bez právního důvodu za rok 2024 </w:t>
      </w:r>
      <w:r w:rsidRPr="00B066D6">
        <w:t>uplatnila</w:t>
      </w:r>
      <w:r w:rsidR="005B4645">
        <w:t xml:space="preserve"> NSA </w:t>
      </w:r>
      <w:r w:rsidRPr="00B066D6">
        <w:t>až v průběhu roku 2025.</w:t>
      </w:r>
    </w:p>
    <w:p w14:paraId="152CFBBB" w14:textId="6E9A4A0E" w:rsidR="00547220" w:rsidRPr="00B066D6" w:rsidRDefault="00035012" w:rsidP="002E6675">
      <w:pPr>
        <w:spacing w:before="120"/>
        <w:jc w:val="both"/>
      </w:pPr>
      <w:r w:rsidRPr="00B066D6">
        <w:t xml:space="preserve">K datu 30. dubna 2025 nebyly stále uzavřeny nájemní smlouvy na veškeré pozemky, ke kterým náleží příslušnost hospodařit s majetkem státu NSA. </w:t>
      </w:r>
      <w:r w:rsidRPr="00B066D6">
        <w:rPr>
          <w:b/>
          <w:bCs/>
        </w:rPr>
        <w:t>Opatření přijaté k nápravě proto bylo realizováno částečně.</w:t>
      </w:r>
      <w:r w:rsidRPr="00B066D6">
        <w:t xml:space="preserve"> </w:t>
      </w:r>
    </w:p>
    <w:p w14:paraId="1F37533B" w14:textId="1C5247F9" w:rsidR="00CF7111" w:rsidRPr="00370960" w:rsidRDefault="003635EC" w:rsidP="003635EC">
      <w:pPr>
        <w:pStyle w:val="Styl2"/>
        <w:numPr>
          <w:ilvl w:val="0"/>
          <w:numId w:val="0"/>
        </w:numPr>
        <w:spacing w:before="240"/>
      </w:pPr>
      <w:r>
        <w:t xml:space="preserve">6. </w:t>
      </w:r>
      <w:r w:rsidR="00035012" w:rsidRPr="00370960">
        <w:t>Skutečnosti nasvědčující porušení rozpočtové kázně</w:t>
      </w:r>
    </w:p>
    <w:p w14:paraId="2880D248" w14:textId="27F04056" w:rsidR="001319A0" w:rsidRPr="00BF06C2" w:rsidRDefault="00BA4430" w:rsidP="006575BB">
      <w:pPr>
        <w:spacing w:before="120"/>
        <w:jc w:val="both"/>
        <w:rPr>
          <w:rFonts w:asciiTheme="minorHAnsi" w:hAnsiTheme="minorHAnsi" w:cstheme="minorHAnsi"/>
        </w:rPr>
      </w:pPr>
      <w:r w:rsidRPr="00BF06C2">
        <w:rPr>
          <w:rFonts w:asciiTheme="minorHAnsi" w:hAnsiTheme="minorHAnsi" w:cstheme="minorHAnsi"/>
          <w:b/>
        </w:rPr>
        <w:t>NSA</w:t>
      </w:r>
      <w:r w:rsidR="00377243" w:rsidRPr="00BF06C2">
        <w:rPr>
          <w:rFonts w:asciiTheme="minorHAnsi" w:hAnsiTheme="minorHAnsi" w:cstheme="minorHAnsi"/>
          <w:b/>
        </w:rPr>
        <w:t xml:space="preserve"> </w:t>
      </w:r>
      <w:r w:rsidR="00F747D5">
        <w:rPr>
          <w:rFonts w:asciiTheme="minorHAnsi" w:hAnsiTheme="minorHAnsi" w:cstheme="minorHAnsi"/>
          <w:b/>
        </w:rPr>
        <w:t xml:space="preserve">např. </w:t>
      </w:r>
      <w:r w:rsidR="00377243" w:rsidRPr="00BF06C2">
        <w:rPr>
          <w:rFonts w:asciiTheme="minorHAnsi" w:hAnsiTheme="minorHAnsi" w:cstheme="minorHAnsi"/>
          <w:b/>
        </w:rPr>
        <w:t>v</w:t>
      </w:r>
      <w:r w:rsidR="002B4224" w:rsidRPr="00BF06C2">
        <w:rPr>
          <w:rFonts w:asciiTheme="minorHAnsi" w:hAnsiTheme="minorHAnsi" w:cstheme="minorHAnsi"/>
          <w:b/>
        </w:rPr>
        <w:t xml:space="preserve"> </w:t>
      </w:r>
      <w:r w:rsidR="00377243" w:rsidRPr="00BF06C2">
        <w:rPr>
          <w:rFonts w:asciiTheme="minorHAnsi" w:hAnsiTheme="minorHAnsi" w:cstheme="minorHAnsi"/>
          <w:b/>
        </w:rPr>
        <w:t>rozporu s</w:t>
      </w:r>
      <w:r w:rsidR="002B4224" w:rsidRPr="00BF06C2">
        <w:rPr>
          <w:rFonts w:asciiTheme="minorHAnsi" w:hAnsiTheme="minorHAnsi" w:cstheme="minorHAnsi"/>
          <w:b/>
        </w:rPr>
        <w:t xml:space="preserve"> </w:t>
      </w:r>
      <w:r w:rsidR="00564E32" w:rsidRPr="00BF06C2">
        <w:rPr>
          <w:rFonts w:asciiTheme="minorHAnsi" w:hAnsiTheme="minorHAnsi" w:cstheme="minorHAnsi"/>
          <w:b/>
        </w:rPr>
        <w:t xml:space="preserve">ustanovením </w:t>
      </w:r>
      <w:r w:rsidR="00377243" w:rsidRPr="00BF06C2">
        <w:rPr>
          <w:rFonts w:asciiTheme="minorHAnsi" w:hAnsiTheme="minorHAnsi" w:cstheme="minorHAnsi"/>
          <w:b/>
        </w:rPr>
        <w:t>§ 45 odst. 11 zákona č. 218/2000 Sb. neodvedl</w:t>
      </w:r>
      <w:r w:rsidRPr="00BF06C2">
        <w:rPr>
          <w:rFonts w:asciiTheme="minorHAnsi" w:hAnsiTheme="minorHAnsi" w:cstheme="minorHAnsi"/>
          <w:b/>
        </w:rPr>
        <w:t>a</w:t>
      </w:r>
      <w:r w:rsidR="00F60BF4" w:rsidRPr="00BF06C2">
        <w:rPr>
          <w:rFonts w:asciiTheme="minorHAnsi" w:hAnsiTheme="minorHAnsi" w:cstheme="minorHAnsi"/>
          <w:b/>
        </w:rPr>
        <w:t xml:space="preserve"> do státního rozpočtu peněžní prostředky v celkové výši </w:t>
      </w:r>
      <w:r w:rsidRPr="00BF06C2">
        <w:rPr>
          <w:rFonts w:asciiTheme="minorHAnsi" w:hAnsiTheme="minorHAnsi" w:cstheme="minorHAnsi"/>
          <w:b/>
        </w:rPr>
        <w:t>3,5</w:t>
      </w:r>
      <w:r w:rsidR="00F60BF4" w:rsidRPr="00BF06C2">
        <w:rPr>
          <w:rFonts w:asciiTheme="minorHAnsi" w:hAnsiTheme="minorHAnsi" w:cstheme="minorHAnsi"/>
          <w:b/>
        </w:rPr>
        <w:t xml:space="preserve"> mil. Kč</w:t>
      </w:r>
      <w:r w:rsidR="00571C49" w:rsidRPr="00BF06C2">
        <w:rPr>
          <w:rFonts w:asciiTheme="minorHAnsi" w:hAnsiTheme="minorHAnsi" w:cstheme="minorHAnsi"/>
          <w:b/>
        </w:rPr>
        <w:t xml:space="preserve">, které </w:t>
      </w:r>
      <w:r w:rsidR="00BF06C2" w:rsidRPr="00BF06C2">
        <w:rPr>
          <w:rFonts w:asciiTheme="minorHAnsi" w:hAnsiTheme="minorHAnsi" w:cstheme="minorHAnsi"/>
          <w:b/>
        </w:rPr>
        <w:t>obdržela v 1. čtvrtletí roku 2024</w:t>
      </w:r>
      <w:r w:rsidR="00571C49" w:rsidRPr="00BF06C2">
        <w:rPr>
          <w:rFonts w:asciiTheme="minorHAnsi" w:hAnsiTheme="minorHAnsi" w:cstheme="minorHAnsi"/>
          <w:b/>
        </w:rPr>
        <w:t xml:space="preserve"> od </w:t>
      </w:r>
      <w:r w:rsidR="00BF06C2" w:rsidRPr="00BF06C2">
        <w:rPr>
          <w:rFonts w:asciiTheme="minorHAnsi" w:hAnsiTheme="minorHAnsi" w:cstheme="minorHAnsi"/>
          <w:b/>
        </w:rPr>
        <w:t>příjemců dotací</w:t>
      </w:r>
      <w:r w:rsidR="00571C49" w:rsidRPr="00BF06C2">
        <w:rPr>
          <w:rFonts w:asciiTheme="minorHAnsi" w:hAnsiTheme="minorHAnsi" w:cstheme="minorHAnsi"/>
          <w:b/>
        </w:rPr>
        <w:t xml:space="preserve"> na účet cizích prostředků. </w:t>
      </w:r>
      <w:r w:rsidR="00571C49" w:rsidRPr="00BF06C2">
        <w:rPr>
          <w:rFonts w:cs="Calibri"/>
        </w:rPr>
        <w:t xml:space="preserve">Jednalo se o </w:t>
      </w:r>
      <w:r w:rsidR="00BF06C2" w:rsidRPr="00BF06C2">
        <w:rPr>
          <w:rFonts w:cs="Calibri"/>
        </w:rPr>
        <w:t>vratky dotací realizované na základě výzev dle ustanovení § 14f zákona č. 218/2000 Sb., které</w:t>
      </w:r>
      <w:r w:rsidR="00571C49" w:rsidRPr="00BF06C2">
        <w:rPr>
          <w:rFonts w:cs="Calibri"/>
        </w:rPr>
        <w:t xml:space="preserve"> měl</w:t>
      </w:r>
      <w:r w:rsidR="00BF06C2" w:rsidRPr="00BF06C2">
        <w:rPr>
          <w:rFonts w:cs="Calibri"/>
        </w:rPr>
        <w:t>a</w:t>
      </w:r>
      <w:r w:rsidR="00571C49" w:rsidRPr="00BF06C2">
        <w:rPr>
          <w:rFonts w:cs="Calibri"/>
        </w:rPr>
        <w:t xml:space="preserve"> </w:t>
      </w:r>
      <w:r w:rsidR="00BF06C2" w:rsidRPr="00BF06C2">
        <w:rPr>
          <w:rFonts w:cs="Calibri"/>
        </w:rPr>
        <w:t xml:space="preserve">NSA </w:t>
      </w:r>
      <w:r w:rsidR="00571C49" w:rsidRPr="00BF06C2">
        <w:rPr>
          <w:rFonts w:cs="Calibri"/>
        </w:rPr>
        <w:t xml:space="preserve">odvést do státního rozpočtu ve lhůtách dle ustanovení § 45 odst. 11 zákona č. 218/2000 Sb. </w:t>
      </w:r>
      <w:r w:rsidR="004E32E4" w:rsidRPr="00BF06C2">
        <w:rPr>
          <w:rFonts w:asciiTheme="minorHAnsi" w:hAnsiTheme="minorHAnsi" w:cstheme="minorHAnsi"/>
          <w:b/>
        </w:rPr>
        <w:t>Dle</w:t>
      </w:r>
      <w:r w:rsidR="004E32E4" w:rsidRPr="00BF06C2">
        <w:rPr>
          <w:rFonts w:asciiTheme="minorHAnsi" w:hAnsiTheme="minorHAnsi" w:cstheme="minorHAnsi"/>
        </w:rPr>
        <w:t xml:space="preserve"> </w:t>
      </w:r>
      <w:r w:rsidR="004E32E4" w:rsidRPr="00BF06C2">
        <w:rPr>
          <w:rFonts w:asciiTheme="minorHAnsi" w:hAnsiTheme="minorHAnsi" w:cstheme="minorHAnsi"/>
          <w:b/>
        </w:rPr>
        <w:t>ustanovení § 44 odst. 1 písm. g) z</w:t>
      </w:r>
      <w:r w:rsidR="00377243" w:rsidRPr="00BF06C2">
        <w:rPr>
          <w:rFonts w:asciiTheme="minorHAnsi" w:hAnsiTheme="minorHAnsi" w:cstheme="minorHAnsi"/>
          <w:b/>
        </w:rPr>
        <w:t>ákon</w:t>
      </w:r>
      <w:r w:rsidR="004E32E4" w:rsidRPr="00BF06C2">
        <w:rPr>
          <w:rFonts w:asciiTheme="minorHAnsi" w:hAnsiTheme="minorHAnsi" w:cstheme="minorHAnsi"/>
          <w:b/>
        </w:rPr>
        <w:t>a</w:t>
      </w:r>
      <w:r w:rsidR="00377243" w:rsidRPr="00BF06C2">
        <w:rPr>
          <w:rFonts w:asciiTheme="minorHAnsi" w:hAnsiTheme="minorHAnsi" w:cstheme="minorHAnsi"/>
          <w:b/>
        </w:rPr>
        <w:t xml:space="preserve"> č. 218/2000 Sb. </w:t>
      </w:r>
      <w:r w:rsidR="004E32E4" w:rsidRPr="00BF06C2">
        <w:rPr>
          <w:rFonts w:asciiTheme="minorHAnsi" w:hAnsiTheme="minorHAnsi" w:cstheme="minorHAnsi"/>
          <w:b/>
        </w:rPr>
        <w:t>je</w:t>
      </w:r>
      <w:r w:rsidR="008439D5" w:rsidRPr="00BF06C2">
        <w:rPr>
          <w:rFonts w:asciiTheme="minorHAnsi" w:hAnsiTheme="minorHAnsi" w:cstheme="minorHAnsi"/>
          <w:b/>
        </w:rPr>
        <w:t xml:space="preserve"> </w:t>
      </w:r>
      <w:r w:rsidR="00377243" w:rsidRPr="00BF06C2">
        <w:rPr>
          <w:rFonts w:asciiTheme="minorHAnsi" w:hAnsiTheme="minorHAnsi" w:cstheme="minorHAnsi"/>
          <w:b/>
        </w:rPr>
        <w:t xml:space="preserve">neprovedení odvodu podle </w:t>
      </w:r>
      <w:r w:rsidR="00C16C86" w:rsidRPr="00BF06C2">
        <w:rPr>
          <w:rFonts w:asciiTheme="minorHAnsi" w:hAnsiTheme="minorHAnsi" w:cstheme="minorHAnsi"/>
          <w:b/>
        </w:rPr>
        <w:t xml:space="preserve">ustanovení </w:t>
      </w:r>
      <w:r w:rsidR="00377243" w:rsidRPr="00BF06C2">
        <w:rPr>
          <w:rFonts w:asciiTheme="minorHAnsi" w:hAnsiTheme="minorHAnsi" w:cstheme="minorHAnsi"/>
          <w:b/>
        </w:rPr>
        <w:t>§ 45 odst.</w:t>
      </w:r>
      <w:r w:rsidR="008439D5" w:rsidRPr="00BF06C2">
        <w:rPr>
          <w:rFonts w:asciiTheme="minorHAnsi" w:hAnsiTheme="minorHAnsi" w:cstheme="minorHAnsi"/>
          <w:b/>
        </w:rPr>
        <w:t> </w:t>
      </w:r>
      <w:r w:rsidR="00377243" w:rsidRPr="00BF06C2">
        <w:rPr>
          <w:rFonts w:asciiTheme="minorHAnsi" w:hAnsiTheme="minorHAnsi" w:cstheme="minorHAnsi"/>
          <w:b/>
        </w:rPr>
        <w:t>11 téhož zákona porušení</w:t>
      </w:r>
      <w:r w:rsidR="004E32E4" w:rsidRPr="00BF06C2">
        <w:rPr>
          <w:rFonts w:asciiTheme="minorHAnsi" w:hAnsiTheme="minorHAnsi" w:cstheme="minorHAnsi"/>
          <w:b/>
        </w:rPr>
        <w:t>m</w:t>
      </w:r>
      <w:r w:rsidR="00377243" w:rsidRPr="00BF06C2">
        <w:rPr>
          <w:rFonts w:asciiTheme="minorHAnsi" w:hAnsiTheme="minorHAnsi" w:cstheme="minorHAnsi"/>
          <w:b/>
        </w:rPr>
        <w:t xml:space="preserve"> rozpočtové kázně.</w:t>
      </w:r>
    </w:p>
    <w:p w14:paraId="4B8114D2" w14:textId="77777777" w:rsidR="00112642" w:rsidRPr="00370960" w:rsidRDefault="00035012" w:rsidP="00703DB6">
      <w:pPr>
        <w:pStyle w:val="Nadpis1"/>
        <w:keepNext/>
        <w:spacing w:before="840" w:after="240" w:line="240" w:lineRule="auto"/>
        <w:jc w:val="left"/>
        <w:rPr>
          <w:sz w:val="24"/>
        </w:rPr>
      </w:pPr>
      <w:r w:rsidRPr="00370960">
        <w:rPr>
          <w:sz w:val="24"/>
        </w:rPr>
        <w:lastRenderedPageBreak/>
        <w:t>Seznam zkratek</w:t>
      </w:r>
    </w:p>
    <w:p w14:paraId="0F5D1730" w14:textId="77777777" w:rsidR="005D22CD" w:rsidRPr="005D41F2" w:rsidRDefault="00035012" w:rsidP="00703DB6">
      <w:pPr>
        <w:keepNext/>
        <w:tabs>
          <w:tab w:val="left" w:pos="2552"/>
        </w:tabs>
        <w:spacing w:before="120"/>
        <w:jc w:val="both"/>
        <w:rPr>
          <w:rFonts w:asciiTheme="minorHAnsi" w:eastAsiaTheme="minorHAnsi" w:hAnsiTheme="minorHAnsi" w:cstheme="minorHAnsi"/>
          <w:i/>
        </w:rPr>
      </w:pPr>
      <w:r w:rsidRPr="005D41F2">
        <w:rPr>
          <w:rFonts w:asciiTheme="minorHAnsi" w:eastAsiaTheme="minorHAnsi" w:hAnsiTheme="minorHAnsi" w:cstheme="minorHAnsi"/>
        </w:rPr>
        <w:t>EDS</w:t>
      </w:r>
      <w:r w:rsidRPr="005D41F2">
        <w:rPr>
          <w:rFonts w:asciiTheme="minorHAnsi" w:eastAsiaTheme="minorHAnsi" w:hAnsiTheme="minorHAnsi" w:cstheme="minorHAnsi"/>
        </w:rPr>
        <w:tab/>
        <w:t xml:space="preserve">informační systém </w:t>
      </w:r>
      <w:r w:rsidRPr="005D41F2">
        <w:rPr>
          <w:rFonts w:asciiTheme="minorHAnsi" w:eastAsiaTheme="minorHAnsi" w:hAnsiTheme="minorHAnsi" w:cstheme="minorHAnsi"/>
          <w:i/>
        </w:rPr>
        <w:t>Evidenční dotační systém</w:t>
      </w:r>
    </w:p>
    <w:p w14:paraId="014F4AEF" w14:textId="77777777" w:rsidR="00155F56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370960">
        <w:rPr>
          <w:rFonts w:asciiTheme="minorHAnsi" w:eastAsiaTheme="minorHAnsi" w:hAnsiTheme="minorHAnsi" w:cstheme="minorHAnsi"/>
        </w:rPr>
        <w:t>NKÚ</w:t>
      </w:r>
      <w:r w:rsidRPr="00370960">
        <w:rPr>
          <w:rFonts w:asciiTheme="minorHAnsi" w:eastAsiaTheme="minorHAnsi" w:hAnsiTheme="minorHAnsi" w:cstheme="minorHAnsi"/>
        </w:rPr>
        <w:tab/>
        <w:t>Nejvyšší kontrolní úřad</w:t>
      </w:r>
    </w:p>
    <w:p w14:paraId="59FA52AB" w14:textId="77777777" w:rsidR="00370960" w:rsidRPr="00370960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NSA</w:t>
      </w:r>
      <w:r>
        <w:rPr>
          <w:rFonts w:asciiTheme="minorHAnsi" w:eastAsiaTheme="minorHAnsi" w:hAnsiTheme="minorHAnsi" w:cstheme="minorHAnsi"/>
        </w:rPr>
        <w:tab/>
        <w:t>Národní sportovní agentura</w:t>
      </w:r>
    </w:p>
    <w:p w14:paraId="73424B87" w14:textId="77777777" w:rsidR="00155F56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370960">
        <w:rPr>
          <w:rFonts w:asciiTheme="minorHAnsi" w:eastAsiaTheme="minorHAnsi" w:hAnsiTheme="minorHAnsi" w:cstheme="minorHAnsi"/>
        </w:rPr>
        <w:t>OSS</w:t>
      </w:r>
      <w:r w:rsidRPr="00370960">
        <w:rPr>
          <w:rFonts w:asciiTheme="minorHAnsi" w:eastAsiaTheme="minorHAnsi" w:hAnsiTheme="minorHAnsi" w:cstheme="minorHAnsi"/>
        </w:rPr>
        <w:tab/>
        <w:t>organizační složka/</w:t>
      </w:r>
      <w:r w:rsidR="005121AE" w:rsidRPr="00370960">
        <w:rPr>
          <w:rFonts w:asciiTheme="minorHAnsi" w:eastAsiaTheme="minorHAnsi" w:hAnsiTheme="minorHAnsi" w:cstheme="minorHAnsi"/>
        </w:rPr>
        <w:t>složk</w:t>
      </w:r>
      <w:r w:rsidRPr="00370960">
        <w:rPr>
          <w:rFonts w:asciiTheme="minorHAnsi" w:eastAsiaTheme="minorHAnsi" w:hAnsiTheme="minorHAnsi" w:cstheme="minorHAnsi"/>
        </w:rPr>
        <w:t>y státu</w:t>
      </w:r>
    </w:p>
    <w:p w14:paraId="51586471" w14:textId="77777777" w:rsidR="005D41F2" w:rsidRPr="00370960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PŘK</w:t>
      </w:r>
      <w:r>
        <w:rPr>
          <w:rFonts w:asciiTheme="minorHAnsi" w:eastAsiaTheme="minorHAnsi" w:hAnsiTheme="minorHAnsi" w:cstheme="minorHAnsi"/>
        </w:rPr>
        <w:tab/>
        <w:t>předběžná řídicí kontrola</w:t>
      </w:r>
    </w:p>
    <w:p w14:paraId="47121A31" w14:textId="77777777" w:rsidR="005D41F2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5D41F2">
        <w:rPr>
          <w:rFonts w:asciiTheme="minorHAnsi" w:eastAsiaTheme="minorHAnsi" w:hAnsiTheme="minorHAnsi" w:cstheme="minorHAnsi"/>
          <w:iCs/>
        </w:rPr>
        <w:t>SMVS</w:t>
      </w:r>
      <w:r w:rsidRPr="005D41F2">
        <w:rPr>
          <w:rFonts w:asciiTheme="minorHAnsi" w:eastAsiaTheme="minorHAnsi" w:hAnsiTheme="minorHAnsi" w:cstheme="minorHAnsi"/>
          <w:i/>
        </w:rPr>
        <w:tab/>
      </w:r>
      <w:r w:rsidRPr="005D41F2">
        <w:rPr>
          <w:rFonts w:asciiTheme="minorHAnsi" w:eastAsiaTheme="minorHAnsi" w:hAnsiTheme="minorHAnsi" w:cstheme="minorHAnsi"/>
          <w:iCs/>
        </w:rPr>
        <w:t>informační systém</w:t>
      </w:r>
      <w:r w:rsidRPr="005D41F2">
        <w:rPr>
          <w:rFonts w:asciiTheme="minorHAnsi" w:eastAsiaTheme="minorHAnsi" w:hAnsiTheme="minorHAnsi" w:cstheme="minorHAnsi"/>
          <w:i/>
        </w:rPr>
        <w:t xml:space="preserve"> Správa majetku ve vlastnictví státu</w:t>
      </w:r>
    </w:p>
    <w:p w14:paraId="1C83AD28" w14:textId="77777777" w:rsidR="00155F56" w:rsidRPr="00370960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370960">
        <w:rPr>
          <w:rFonts w:asciiTheme="minorHAnsi" w:eastAsiaTheme="minorHAnsi" w:hAnsiTheme="minorHAnsi" w:cstheme="minorHAnsi"/>
        </w:rPr>
        <w:t>ÚZ</w:t>
      </w:r>
      <w:r w:rsidRPr="00370960">
        <w:rPr>
          <w:rFonts w:asciiTheme="minorHAnsi" w:eastAsiaTheme="minorHAnsi" w:hAnsiTheme="minorHAnsi" w:cstheme="minorHAnsi"/>
        </w:rPr>
        <w:tab/>
        <w:t xml:space="preserve">účetní závěrka </w:t>
      </w:r>
      <w:r w:rsidR="00370960">
        <w:rPr>
          <w:rFonts w:asciiTheme="minorHAnsi" w:eastAsiaTheme="minorHAnsi" w:hAnsiTheme="minorHAnsi" w:cstheme="minorHAnsi"/>
        </w:rPr>
        <w:t>NSA</w:t>
      </w:r>
      <w:r w:rsidR="00B3037C" w:rsidRPr="00370960">
        <w:rPr>
          <w:rFonts w:asciiTheme="minorHAnsi" w:eastAsiaTheme="minorHAnsi" w:hAnsiTheme="minorHAnsi" w:cstheme="minorHAnsi"/>
        </w:rPr>
        <w:t xml:space="preserve"> sestavená</w:t>
      </w:r>
      <w:r w:rsidRPr="00370960">
        <w:rPr>
          <w:rFonts w:asciiTheme="minorHAnsi" w:eastAsiaTheme="minorHAnsi" w:hAnsiTheme="minorHAnsi" w:cstheme="minorHAnsi"/>
        </w:rPr>
        <w:t xml:space="preserve"> k 31.</w:t>
      </w:r>
      <w:r w:rsidR="009F66D1" w:rsidRPr="00370960">
        <w:rPr>
          <w:rFonts w:asciiTheme="minorHAnsi" w:eastAsiaTheme="minorHAnsi" w:hAnsiTheme="minorHAnsi" w:cstheme="minorHAnsi"/>
        </w:rPr>
        <w:t> </w:t>
      </w:r>
      <w:r w:rsidRPr="00370960">
        <w:rPr>
          <w:rFonts w:asciiTheme="minorHAnsi" w:eastAsiaTheme="minorHAnsi" w:hAnsiTheme="minorHAnsi" w:cstheme="minorHAnsi"/>
        </w:rPr>
        <w:t>prosinci 20</w:t>
      </w:r>
      <w:r w:rsidR="00842B22" w:rsidRPr="00370960">
        <w:rPr>
          <w:rFonts w:asciiTheme="minorHAnsi" w:eastAsiaTheme="minorHAnsi" w:hAnsiTheme="minorHAnsi" w:cstheme="minorHAnsi"/>
        </w:rPr>
        <w:t>2</w:t>
      </w:r>
      <w:r w:rsidR="00370960">
        <w:rPr>
          <w:rFonts w:asciiTheme="minorHAnsi" w:eastAsiaTheme="minorHAnsi" w:hAnsiTheme="minorHAnsi" w:cstheme="minorHAnsi"/>
        </w:rPr>
        <w:t>4</w:t>
      </w:r>
      <w:r w:rsidR="00B3037C" w:rsidRPr="00370960">
        <w:rPr>
          <w:rFonts w:asciiTheme="minorHAnsi" w:eastAsiaTheme="minorHAnsi" w:hAnsiTheme="minorHAnsi" w:cstheme="minorHAnsi"/>
        </w:rPr>
        <w:t xml:space="preserve"> s datem sestavení 2</w:t>
      </w:r>
      <w:r w:rsidR="009D7FDB" w:rsidRPr="00370960">
        <w:rPr>
          <w:rFonts w:asciiTheme="minorHAnsi" w:eastAsiaTheme="minorHAnsi" w:hAnsiTheme="minorHAnsi" w:cstheme="minorHAnsi"/>
        </w:rPr>
        <w:t>8</w:t>
      </w:r>
      <w:r w:rsidR="00B3037C" w:rsidRPr="00370960">
        <w:rPr>
          <w:rFonts w:asciiTheme="minorHAnsi" w:eastAsiaTheme="minorHAnsi" w:hAnsiTheme="minorHAnsi" w:cstheme="minorHAnsi"/>
        </w:rPr>
        <w:t xml:space="preserve">. </w:t>
      </w:r>
      <w:r w:rsidR="00CC1529">
        <w:rPr>
          <w:rFonts w:asciiTheme="minorHAnsi" w:eastAsiaTheme="minorHAnsi" w:hAnsiTheme="minorHAnsi" w:cstheme="minorHAnsi"/>
        </w:rPr>
        <w:t>února</w:t>
      </w:r>
      <w:r w:rsidR="00B3037C" w:rsidRPr="00370960">
        <w:rPr>
          <w:rFonts w:asciiTheme="minorHAnsi" w:eastAsiaTheme="minorHAnsi" w:hAnsiTheme="minorHAnsi" w:cstheme="minorHAnsi"/>
        </w:rPr>
        <w:t xml:space="preserve"> 202</w:t>
      </w:r>
      <w:r w:rsidR="00CC1529">
        <w:rPr>
          <w:rFonts w:asciiTheme="minorHAnsi" w:eastAsiaTheme="minorHAnsi" w:hAnsiTheme="minorHAnsi" w:cstheme="minorHAnsi"/>
        </w:rPr>
        <w:t>5</w:t>
      </w:r>
    </w:p>
    <w:p w14:paraId="0296ABD4" w14:textId="77777777" w:rsidR="00A045AE" w:rsidRPr="00370960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370960">
        <w:rPr>
          <w:rFonts w:asciiTheme="minorHAnsi" w:eastAsiaTheme="minorHAnsi" w:hAnsiTheme="minorHAnsi" w:cstheme="minorHAnsi"/>
        </w:rPr>
        <w:t>VKS</w:t>
      </w:r>
      <w:r w:rsidRPr="00370960">
        <w:rPr>
          <w:rFonts w:asciiTheme="minorHAnsi" w:eastAsiaTheme="minorHAnsi" w:hAnsiTheme="minorHAnsi" w:cstheme="minorHAnsi"/>
        </w:rPr>
        <w:tab/>
        <w:t>vnitřní kont</w:t>
      </w:r>
      <w:r w:rsidR="0096120D" w:rsidRPr="00370960">
        <w:rPr>
          <w:rFonts w:asciiTheme="minorHAnsi" w:eastAsiaTheme="minorHAnsi" w:hAnsiTheme="minorHAnsi" w:cstheme="minorHAnsi"/>
        </w:rPr>
        <w:t>rolní systém</w:t>
      </w:r>
    </w:p>
    <w:p w14:paraId="694AA4C0" w14:textId="77777777" w:rsidR="00B53D75" w:rsidRPr="00CC1529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CC1529">
        <w:rPr>
          <w:rFonts w:asciiTheme="minorHAnsi" w:eastAsiaTheme="minorHAnsi" w:hAnsiTheme="minorHAnsi" w:cstheme="minorHAnsi"/>
        </w:rPr>
        <w:t>výkaz FIN 1-12 OSS</w:t>
      </w:r>
      <w:r w:rsidRPr="00CC1529">
        <w:rPr>
          <w:rFonts w:asciiTheme="minorHAnsi" w:eastAsiaTheme="minorHAnsi" w:hAnsiTheme="minorHAnsi" w:cstheme="minorHAnsi"/>
        </w:rPr>
        <w:tab/>
      </w:r>
      <w:r w:rsidR="00B3037C" w:rsidRPr="00CC1529">
        <w:rPr>
          <w:rFonts w:asciiTheme="minorHAnsi" w:eastAsiaTheme="minorHAnsi" w:hAnsiTheme="minorHAnsi" w:cstheme="minorHAnsi"/>
        </w:rPr>
        <w:t>v</w:t>
      </w:r>
      <w:r w:rsidRPr="00CC1529">
        <w:rPr>
          <w:rFonts w:asciiTheme="minorHAnsi" w:eastAsiaTheme="minorHAnsi" w:hAnsiTheme="minorHAnsi" w:cstheme="minorHAnsi"/>
        </w:rPr>
        <w:t xml:space="preserve">ýkaz pro hodnocení plnění rozpočtu </w:t>
      </w:r>
      <w:r w:rsidR="00CC1529" w:rsidRPr="00CC1529">
        <w:rPr>
          <w:rFonts w:asciiTheme="minorHAnsi" w:eastAsiaTheme="minorHAnsi" w:hAnsiTheme="minorHAnsi" w:cstheme="minorHAnsi"/>
        </w:rPr>
        <w:t>NSA</w:t>
      </w:r>
      <w:r w:rsidR="00B3037C" w:rsidRPr="00CC1529">
        <w:rPr>
          <w:rFonts w:asciiTheme="minorHAnsi" w:eastAsiaTheme="minorHAnsi" w:hAnsiTheme="minorHAnsi" w:cstheme="minorHAnsi"/>
        </w:rPr>
        <w:t xml:space="preserve"> </w:t>
      </w:r>
      <w:r w:rsidR="00286A60" w:rsidRPr="00CC1529">
        <w:rPr>
          <w:rFonts w:asciiTheme="minorHAnsi" w:eastAsiaTheme="minorHAnsi" w:hAnsiTheme="minorHAnsi" w:cstheme="minorHAnsi"/>
        </w:rPr>
        <w:t xml:space="preserve">sestavený k 31. prosinci </w:t>
      </w:r>
      <w:r w:rsidR="00842B22" w:rsidRPr="00CC1529">
        <w:rPr>
          <w:rFonts w:asciiTheme="minorHAnsi" w:eastAsiaTheme="minorHAnsi" w:hAnsiTheme="minorHAnsi" w:cstheme="minorHAnsi"/>
        </w:rPr>
        <w:t>202</w:t>
      </w:r>
      <w:r w:rsidR="00CC1529" w:rsidRPr="00CC1529">
        <w:rPr>
          <w:rFonts w:asciiTheme="minorHAnsi" w:eastAsiaTheme="minorHAnsi" w:hAnsiTheme="minorHAnsi" w:cstheme="minorHAnsi"/>
        </w:rPr>
        <w:t>4</w:t>
      </w:r>
    </w:p>
    <w:p w14:paraId="6F9F578E" w14:textId="77777777" w:rsidR="009D7FDB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eastAsia="Calibri" w:cs="Calibri"/>
        </w:rPr>
      </w:pPr>
      <w:r w:rsidRPr="00CC1529">
        <w:rPr>
          <w:rFonts w:asciiTheme="minorHAnsi" w:eastAsiaTheme="minorHAnsi" w:hAnsiTheme="minorHAnsi" w:cstheme="minorHAnsi"/>
        </w:rPr>
        <w:t xml:space="preserve">ZÚ </w:t>
      </w:r>
      <w:r w:rsidR="005D22CD" w:rsidRPr="00CC1529">
        <w:rPr>
          <w:rFonts w:asciiTheme="minorHAnsi" w:eastAsiaTheme="minorHAnsi" w:hAnsiTheme="minorHAnsi" w:cstheme="minorHAnsi"/>
        </w:rPr>
        <w:t xml:space="preserve">za rok </w:t>
      </w:r>
      <w:r w:rsidRPr="00CC1529">
        <w:rPr>
          <w:rFonts w:asciiTheme="minorHAnsi" w:eastAsiaTheme="minorHAnsi" w:hAnsiTheme="minorHAnsi" w:cstheme="minorHAnsi"/>
        </w:rPr>
        <w:t>202</w:t>
      </w:r>
      <w:r w:rsidR="00CC1529" w:rsidRPr="00CC1529">
        <w:rPr>
          <w:rFonts w:asciiTheme="minorHAnsi" w:eastAsiaTheme="minorHAnsi" w:hAnsiTheme="minorHAnsi" w:cstheme="minorHAnsi"/>
        </w:rPr>
        <w:t>4</w:t>
      </w:r>
      <w:r w:rsidR="005D22CD" w:rsidRPr="00CC1529">
        <w:rPr>
          <w:rFonts w:asciiTheme="minorHAnsi" w:eastAsiaTheme="minorHAnsi" w:hAnsiTheme="minorHAnsi" w:cstheme="minorHAnsi"/>
        </w:rPr>
        <w:tab/>
      </w:r>
      <w:r w:rsidR="005D22CD" w:rsidRPr="00CC1529">
        <w:rPr>
          <w:rFonts w:eastAsia="Calibri" w:cs="Calibri"/>
        </w:rPr>
        <w:t xml:space="preserve">závěrečný účet kapitoly státního rozpočtu </w:t>
      </w:r>
      <w:r w:rsidR="00CC1529" w:rsidRPr="00CC1529">
        <w:rPr>
          <w:rFonts w:eastAsia="Calibri" w:cs="Calibri"/>
        </w:rPr>
        <w:t>362</w:t>
      </w:r>
      <w:r w:rsidR="005D22CD" w:rsidRPr="00CC1529">
        <w:rPr>
          <w:rFonts w:eastAsia="Calibri" w:cs="Calibri"/>
        </w:rPr>
        <w:t xml:space="preserve"> – </w:t>
      </w:r>
      <w:r w:rsidR="00CC1529" w:rsidRPr="00CC1529">
        <w:rPr>
          <w:rFonts w:eastAsia="Calibri" w:cs="Calibri"/>
          <w:i/>
        </w:rPr>
        <w:t>Národní sportovní agentura</w:t>
      </w:r>
      <w:r w:rsidR="005D22CD" w:rsidRPr="00CC1529">
        <w:rPr>
          <w:rFonts w:eastAsia="Calibri" w:cs="Calibri"/>
        </w:rPr>
        <w:t xml:space="preserve"> za rok 202</w:t>
      </w:r>
      <w:r w:rsidR="00CC1529" w:rsidRPr="00CC1529">
        <w:rPr>
          <w:rFonts w:eastAsia="Calibri" w:cs="Calibri"/>
        </w:rPr>
        <w:t>4</w:t>
      </w:r>
    </w:p>
    <w:p w14:paraId="4EEED274" w14:textId="77777777" w:rsidR="00EE53BD" w:rsidRPr="00CC1529" w:rsidRDefault="00035012" w:rsidP="00703DB6">
      <w:pPr>
        <w:keepNext/>
        <w:tabs>
          <w:tab w:val="left" w:pos="2552"/>
        </w:tabs>
        <w:spacing w:before="120"/>
        <w:ind w:left="2552" w:hanging="2552"/>
        <w:jc w:val="both"/>
        <w:rPr>
          <w:rFonts w:asciiTheme="minorHAnsi" w:eastAsiaTheme="minorHAnsi" w:hAnsiTheme="minorHAnsi" w:cstheme="minorHAnsi"/>
        </w:rPr>
      </w:pPr>
      <w:r w:rsidRPr="00CC1529">
        <w:rPr>
          <w:rFonts w:asciiTheme="minorHAnsi" w:eastAsiaTheme="minorHAnsi" w:hAnsiTheme="minorHAnsi" w:cstheme="minorHAnsi"/>
        </w:rPr>
        <w:t>ZÚ za rok 202</w:t>
      </w:r>
      <w:r>
        <w:rPr>
          <w:rFonts w:asciiTheme="minorHAnsi" w:eastAsiaTheme="minorHAnsi" w:hAnsiTheme="minorHAnsi" w:cstheme="minorHAnsi"/>
        </w:rPr>
        <w:t>3</w:t>
      </w:r>
      <w:r>
        <w:rPr>
          <w:rFonts w:asciiTheme="minorHAnsi" w:eastAsiaTheme="minorHAnsi" w:hAnsiTheme="minorHAnsi" w:cstheme="minorHAnsi"/>
        </w:rPr>
        <w:tab/>
      </w:r>
      <w:r w:rsidRPr="00CC1529">
        <w:rPr>
          <w:rFonts w:eastAsia="Calibri" w:cs="Calibri"/>
        </w:rPr>
        <w:t xml:space="preserve">závěrečný účet kapitoly státního rozpočtu 362 – </w:t>
      </w:r>
      <w:r w:rsidRPr="00CC1529">
        <w:rPr>
          <w:rFonts w:eastAsia="Calibri" w:cs="Calibri"/>
          <w:i/>
        </w:rPr>
        <w:t>Národní sportovní agentura</w:t>
      </w:r>
      <w:r w:rsidRPr="00CC1529">
        <w:rPr>
          <w:rFonts w:eastAsia="Calibri" w:cs="Calibri"/>
        </w:rPr>
        <w:t xml:space="preserve"> za rok 202</w:t>
      </w:r>
      <w:r>
        <w:rPr>
          <w:rFonts w:eastAsia="Calibri" w:cs="Calibri"/>
        </w:rPr>
        <w:t>3</w:t>
      </w:r>
    </w:p>
    <w:p w14:paraId="3B0C8D53" w14:textId="77777777" w:rsidR="000D791D" w:rsidRPr="002F6ECE" w:rsidRDefault="000D791D" w:rsidP="006575BB">
      <w:pPr>
        <w:tabs>
          <w:tab w:val="left" w:pos="2552"/>
        </w:tabs>
        <w:spacing w:before="120"/>
        <w:ind w:left="3540" w:hanging="3540"/>
        <w:rPr>
          <w:rFonts w:asciiTheme="minorHAnsi" w:eastAsiaTheme="minorHAnsi" w:hAnsiTheme="minorHAnsi" w:cstheme="minorHAnsi"/>
          <w:highlight w:val="green"/>
        </w:rPr>
      </w:pPr>
    </w:p>
    <w:p w14:paraId="6B96732E" w14:textId="77777777" w:rsidR="00DC4A58" w:rsidRPr="002F6ECE" w:rsidRDefault="00DC4A58" w:rsidP="006575BB">
      <w:pPr>
        <w:spacing w:before="120"/>
        <w:rPr>
          <w:rFonts w:cstheme="minorHAnsi"/>
          <w:b/>
          <w:bCs/>
          <w:highlight w:val="green"/>
        </w:rPr>
        <w:sectPr w:rsidR="00DC4A58" w:rsidRPr="002F6ECE" w:rsidSect="005B3ED7"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CD973D" w14:textId="77777777" w:rsidR="00F42D7C" w:rsidRPr="00CC1529" w:rsidRDefault="00035012" w:rsidP="006575BB">
      <w:pPr>
        <w:pStyle w:val="Nadpis1"/>
        <w:keepNext/>
        <w:spacing w:before="120" w:after="120" w:line="240" w:lineRule="auto"/>
        <w:jc w:val="right"/>
        <w:rPr>
          <w:sz w:val="24"/>
        </w:rPr>
      </w:pPr>
      <w:r w:rsidRPr="00CC1529">
        <w:rPr>
          <w:sz w:val="24"/>
        </w:rPr>
        <w:lastRenderedPageBreak/>
        <w:t>Příloha č. 1</w:t>
      </w:r>
    </w:p>
    <w:p w14:paraId="3B2FA573" w14:textId="77777777" w:rsidR="00423B1E" w:rsidRPr="00B066D6" w:rsidRDefault="00035012" w:rsidP="00B066D6">
      <w:pPr>
        <w:rPr>
          <w:b/>
          <w:bCs/>
        </w:rPr>
      </w:pPr>
      <w:r w:rsidRPr="00B066D6">
        <w:rPr>
          <w:b/>
          <w:bCs/>
        </w:rPr>
        <w:t>Informace o hospodaření NSA</w:t>
      </w:r>
    </w:p>
    <w:p w14:paraId="2DEAFFA6" w14:textId="77777777" w:rsidR="00BB516C" w:rsidRDefault="00035012" w:rsidP="006575BB">
      <w:pPr>
        <w:spacing w:before="120"/>
        <w:jc w:val="both"/>
        <w:rPr>
          <w:rFonts w:asciiTheme="minorHAnsi" w:hAnsiTheme="minorHAnsi"/>
        </w:rPr>
      </w:pPr>
      <w:r w:rsidRPr="00D36994">
        <w:rPr>
          <w:rFonts w:asciiTheme="minorHAnsi" w:hAnsiTheme="minorHAnsi"/>
        </w:rPr>
        <w:t xml:space="preserve">Mezi charakteristické činnosti, které </w:t>
      </w:r>
      <w:r w:rsidR="00D36994" w:rsidRPr="00D36994">
        <w:rPr>
          <w:rFonts w:asciiTheme="minorHAnsi" w:hAnsiTheme="minorHAnsi"/>
        </w:rPr>
        <w:t>NSA</w:t>
      </w:r>
      <w:r w:rsidRPr="00D36994">
        <w:rPr>
          <w:rFonts w:asciiTheme="minorHAnsi" w:hAnsiTheme="minorHAnsi"/>
        </w:rPr>
        <w:t xml:space="preserve"> v rámci své působnosti zajišťuje, patří poskytování transferů, tj.</w:t>
      </w:r>
      <w:r w:rsidR="00BB6A06" w:rsidRPr="00D36994">
        <w:rPr>
          <w:rFonts w:asciiTheme="minorHAnsi" w:hAnsiTheme="minorHAnsi"/>
        </w:rPr>
        <w:t xml:space="preserve"> zejména</w:t>
      </w:r>
      <w:r w:rsidRPr="00D36994">
        <w:rPr>
          <w:rFonts w:asciiTheme="minorHAnsi" w:hAnsiTheme="minorHAnsi"/>
        </w:rPr>
        <w:t xml:space="preserve"> dotací</w:t>
      </w:r>
      <w:r w:rsidR="00BB6A06" w:rsidRPr="00D36994">
        <w:rPr>
          <w:rFonts w:asciiTheme="minorHAnsi" w:hAnsiTheme="minorHAnsi"/>
        </w:rPr>
        <w:t xml:space="preserve"> a příspěvků</w:t>
      </w:r>
      <w:r w:rsidRPr="00D36994">
        <w:rPr>
          <w:rFonts w:asciiTheme="minorHAnsi" w:hAnsiTheme="minorHAnsi"/>
        </w:rPr>
        <w:t xml:space="preserve">. </w:t>
      </w:r>
      <w:r w:rsidR="00D36994" w:rsidRPr="00D36994">
        <w:rPr>
          <w:rFonts w:asciiTheme="minorHAnsi" w:hAnsiTheme="minorHAnsi"/>
        </w:rPr>
        <w:t>NSA v roce 2024 poskytovala národní transfery kryté pouze ze státního rozpočtu, a to zejména v rámci následujících výzev:</w:t>
      </w:r>
    </w:p>
    <w:p w14:paraId="2B5E5919" w14:textId="41677A86" w:rsidR="00D36994" w:rsidRDefault="00035012" w:rsidP="002C6E23">
      <w:pPr>
        <w:keepNext/>
        <w:tabs>
          <w:tab w:val="right" w:pos="8931"/>
        </w:tabs>
        <w:ind w:left="1134" w:hanging="1134"/>
        <w:jc w:val="both"/>
        <w:rPr>
          <w:rFonts w:eastAsia="Calibri" w:cs="Calibri"/>
          <w:b/>
          <w:bCs/>
          <w:sz w:val="22"/>
          <w:szCs w:val="22"/>
        </w:rPr>
      </w:pPr>
      <w:r>
        <w:rPr>
          <w:rFonts w:eastAsia="Calibri" w:cs="Calibri"/>
          <w:b/>
          <w:bCs/>
          <w:szCs w:val="22"/>
        </w:rPr>
        <w:t xml:space="preserve">Tabulka </w:t>
      </w:r>
      <w:r w:rsidR="001747FA">
        <w:rPr>
          <w:rFonts w:eastAsia="Calibri" w:cs="Calibri"/>
          <w:b/>
          <w:bCs/>
          <w:szCs w:val="22"/>
        </w:rPr>
        <w:t>č. </w:t>
      </w:r>
      <w:r>
        <w:rPr>
          <w:rFonts w:eastAsia="Calibri" w:cs="Calibri"/>
          <w:b/>
          <w:bCs/>
          <w:szCs w:val="22"/>
        </w:rPr>
        <w:fldChar w:fldCharType="begin"/>
      </w:r>
      <w:r>
        <w:rPr>
          <w:rFonts w:eastAsia="Calibri" w:cs="Calibri"/>
          <w:b/>
          <w:bCs/>
          <w:szCs w:val="22"/>
        </w:rPr>
        <w:instrText xml:space="preserve"> SEQ Tabulka \* ARABIC </w:instrText>
      </w:r>
      <w:r>
        <w:rPr>
          <w:rFonts w:eastAsia="Calibri" w:cs="Calibri"/>
          <w:b/>
          <w:bCs/>
          <w:szCs w:val="22"/>
        </w:rPr>
        <w:fldChar w:fldCharType="separate"/>
      </w:r>
      <w:r w:rsidR="00420730">
        <w:rPr>
          <w:rFonts w:eastAsia="Calibri" w:cs="Calibri"/>
          <w:b/>
          <w:bCs/>
          <w:noProof/>
          <w:szCs w:val="22"/>
        </w:rPr>
        <w:t>1</w:t>
      </w:r>
      <w:r>
        <w:rPr>
          <w:rFonts w:eastAsia="Calibri" w:cs="Calibri"/>
          <w:b/>
          <w:bCs/>
          <w:szCs w:val="22"/>
        </w:rPr>
        <w:fldChar w:fldCharType="end"/>
      </w:r>
      <w:r>
        <w:rPr>
          <w:rFonts w:eastAsia="Calibri" w:cs="Calibri"/>
          <w:b/>
          <w:bCs/>
          <w:szCs w:val="22"/>
        </w:rPr>
        <w:t xml:space="preserve">: </w:t>
      </w:r>
      <w:r w:rsidR="002C6E23"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>Nejvýznamnější národní transfery dle výzev poskytované v roce 2024 NSA (v</w:t>
      </w:r>
      <w:r w:rsidR="00CC3E47">
        <w:rPr>
          <w:rFonts w:eastAsia="Calibri" w:cs="Calibri"/>
          <w:b/>
          <w:bCs/>
          <w:szCs w:val="22"/>
        </w:rPr>
        <w:t> </w:t>
      </w:r>
      <w:r>
        <w:rPr>
          <w:rFonts w:eastAsia="Calibri" w:cs="Calibri"/>
          <w:b/>
          <w:bCs/>
          <w:szCs w:val="22"/>
        </w:rPr>
        <w:t>mil.</w:t>
      </w:r>
      <w:r w:rsidR="00CC3E47">
        <w:rPr>
          <w:rFonts w:eastAsia="Calibri" w:cs="Calibri"/>
          <w:b/>
          <w:bCs/>
          <w:szCs w:val="22"/>
        </w:rPr>
        <w:t> </w:t>
      </w:r>
      <w:r>
        <w:rPr>
          <w:rFonts w:eastAsia="Calibri" w:cs="Calibri"/>
          <w:b/>
          <w:bCs/>
          <w:szCs w:val="22"/>
        </w:rPr>
        <w:t>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5"/>
        <w:gridCol w:w="5966"/>
        <w:gridCol w:w="1999"/>
      </w:tblGrid>
      <w:tr w:rsidR="00B07849" w14:paraId="490ACEFB" w14:textId="77777777" w:rsidTr="00D36994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5D8CED18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 výzvy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270A9D5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Označení výzvy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7300A60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Částka</w:t>
            </w:r>
          </w:p>
        </w:tc>
      </w:tr>
      <w:tr w:rsidR="00B07849" w14:paraId="00C345DE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5650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23/2023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20D2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Podpora sportovních organizací svazového charakteru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EBF06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3 000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</w:tr>
      <w:tr w:rsidR="00B07849" w14:paraId="25A226CE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BF7E4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18/2023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C00C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Můj Klub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13F9C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351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B07849" w14:paraId="03566D68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6C39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13/2023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FBA2D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Standardizovaná sportovní infrastruktura 2023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6004D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609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,9</w:t>
            </w:r>
          </w:p>
        </w:tc>
      </w:tr>
      <w:tr w:rsidR="00B07849" w14:paraId="4E702ABE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FE3AF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07/2024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6D30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Standardizovaná sportovní infrastruktura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C89F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431,0</w:t>
            </w:r>
          </w:p>
        </w:tc>
      </w:tr>
      <w:tr w:rsidR="00B07849" w14:paraId="7D59F05B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9098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25/2023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DB54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Významné sportovní akce mimořádné důležitosti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A03A1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AD081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D081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B07849" w14:paraId="6072C991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CE16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06/2024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2C16" w14:textId="64B7B0F9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Regiony 2024 </w:t>
            </w:r>
            <w:r w:rsidR="00B166B5" w:rsidRPr="00D3699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 investice nad 10 mil. Kč – technické zhodnocení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18D7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AD081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D081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B07849" w14:paraId="5367566C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BB3C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12/2023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AB46F" w14:textId="760D20F6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Regiony ÚSC, SK/TJ 2023 </w:t>
            </w:r>
            <w:r w:rsidR="00B166B5" w:rsidRPr="00D3699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 investice nad 10 mil. Kč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AC51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202,6</w:t>
            </w:r>
          </w:p>
        </w:tc>
      </w:tr>
      <w:tr w:rsidR="00B07849" w14:paraId="79F178A1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5383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24/2023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FA01B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Významné sportovní akce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0BA4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188,5</w:t>
            </w:r>
          </w:p>
        </w:tc>
      </w:tr>
      <w:tr w:rsidR="00B07849" w14:paraId="49350A7F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A19D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14/2020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D7E2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Standardizovaná infrastruktura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B665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176,7</w:t>
            </w:r>
          </w:p>
        </w:tc>
      </w:tr>
      <w:tr w:rsidR="00B07849" w14:paraId="016BD504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97C3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10/2024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BD5A" w14:textId="3F62DC39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Podpora státní reprezentace žen kolektivních sportů LOH</w:t>
            </w:r>
            <w:r w:rsidR="007368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2028 a ZOH 2026 pro rok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F14B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165,0</w:t>
            </w:r>
          </w:p>
        </w:tc>
      </w:tr>
      <w:tr w:rsidR="00B07849" w14:paraId="1FF8B6C4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BD37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19/2023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BAC1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Všesportovní organizace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3FF1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163,7</w:t>
            </w:r>
          </w:p>
        </w:tc>
      </w:tr>
      <w:tr w:rsidR="00B07849" w14:paraId="691CCE6B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2D7F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22/2023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62A61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Sportovní organizace olympijského hnutí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A724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162,5</w:t>
            </w:r>
          </w:p>
        </w:tc>
      </w:tr>
      <w:tr w:rsidR="00B07849" w14:paraId="4D581422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7BD82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04/2024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DE783" w14:textId="70B67BC5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Regiony 2024 </w:t>
            </w:r>
            <w:r w:rsidR="00B166B5" w:rsidRPr="00D3699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 investice pod 10 mil. Kč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6AC7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147,7</w:t>
            </w:r>
          </w:p>
        </w:tc>
      </w:tr>
      <w:tr w:rsidR="00B07849" w14:paraId="491DB96A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2CE6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12/2024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5782" w14:textId="23B71EE4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Movité investice </w:t>
            </w:r>
            <w:r w:rsidR="00B166B5" w:rsidRPr="00D3699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 rozvoj materiálně technické základny vybraných sportovních svazů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FBE7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137,1</w:t>
            </w:r>
          </w:p>
        </w:tc>
      </w:tr>
      <w:tr w:rsidR="00B07849" w14:paraId="1B52FBF7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F1F3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11/2023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4B3F9" w14:textId="4328E114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Regiony ÚSC, SK/TJ 2023 </w:t>
            </w:r>
            <w:r w:rsidR="00B166B5" w:rsidRPr="00D3699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 investice pod 10 mil. Kč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0FE1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125,4</w:t>
            </w:r>
          </w:p>
        </w:tc>
      </w:tr>
      <w:tr w:rsidR="00B07849" w14:paraId="1831D818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E24F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05/2024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ED7A6" w14:textId="124F845A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Regiony 2024 </w:t>
            </w:r>
            <w:r w:rsidR="00B166B5" w:rsidRPr="00D3699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 xml:space="preserve"> investice nad 10 mil. Kč – výstavba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EB2B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D0812">
              <w:rPr>
                <w:rFonts w:asciiTheme="minorHAnsi" w:hAnsiTheme="minorHAnsi" w:cstheme="minorHAnsi"/>
                <w:sz w:val="20"/>
                <w:szCs w:val="20"/>
              </w:rPr>
              <w:t>106,2</w:t>
            </w:r>
          </w:p>
        </w:tc>
      </w:tr>
      <w:tr w:rsidR="00B07849" w14:paraId="3AD64AC1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D3C7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20/2023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68EF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Zastřešující sportovní organizace 2024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8B63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100,0</w:t>
            </w:r>
          </w:p>
        </w:tc>
      </w:tr>
      <w:tr w:rsidR="00B07849" w14:paraId="0F1F3384" w14:textId="77777777" w:rsidTr="00AD0812">
        <w:trPr>
          <w:trHeight w:val="34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9645" w14:textId="77777777" w:rsidR="00D36994" w:rsidRPr="00D36994" w:rsidRDefault="00035012" w:rsidP="00AD081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06/2021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7ABD5" w14:textId="77777777" w:rsidR="00D36994" w:rsidRPr="00D36994" w:rsidRDefault="00035012" w:rsidP="00AD081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sz w:val="20"/>
                <w:szCs w:val="20"/>
              </w:rPr>
              <w:t>Nadregionální sportovní infrastruktura 2021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F141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100,0</w:t>
            </w:r>
          </w:p>
        </w:tc>
      </w:tr>
      <w:tr w:rsidR="00B07849" w14:paraId="08CA8AA0" w14:textId="77777777" w:rsidTr="00AD0812">
        <w:trPr>
          <w:trHeight w:val="340"/>
        </w:trPr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3B080DD2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69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3F06F3FA" w14:textId="77777777" w:rsidR="00D36994" w:rsidRPr="00D36994" w:rsidRDefault="00035012" w:rsidP="00AD081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7 669,2</w:t>
            </w:r>
          </w:p>
        </w:tc>
      </w:tr>
    </w:tbl>
    <w:p w14:paraId="5D34D691" w14:textId="0F951A22" w:rsidR="00D36994" w:rsidRPr="00D36994" w:rsidRDefault="00035012" w:rsidP="00D36994">
      <w:pPr>
        <w:spacing w:before="40" w:after="0"/>
        <w:rPr>
          <w:rFonts w:eastAsia="Calibri" w:cs="Calibri"/>
          <w:sz w:val="20"/>
          <w:szCs w:val="20"/>
        </w:rPr>
      </w:pPr>
      <w:r w:rsidRPr="00D36994">
        <w:rPr>
          <w:rFonts w:eastAsia="Calibri" w:cs="Calibri"/>
          <w:b/>
          <w:bCs/>
          <w:sz w:val="20"/>
          <w:szCs w:val="20"/>
        </w:rPr>
        <w:t>Zdroj:</w:t>
      </w:r>
      <w:r w:rsidRPr="00D36994">
        <w:rPr>
          <w:rFonts w:eastAsia="Calibri" w:cs="Calibri"/>
          <w:sz w:val="20"/>
          <w:szCs w:val="20"/>
        </w:rPr>
        <w:t xml:space="preserve"> ÚZ; </w:t>
      </w:r>
      <w:r w:rsidR="00B166B5">
        <w:rPr>
          <w:rFonts w:eastAsia="Calibri" w:cs="Calibri"/>
          <w:sz w:val="20"/>
          <w:szCs w:val="20"/>
        </w:rPr>
        <w:t>vy</w:t>
      </w:r>
      <w:r w:rsidRPr="00D36994">
        <w:rPr>
          <w:rFonts w:eastAsia="Calibri" w:cs="Calibri"/>
          <w:sz w:val="20"/>
          <w:szCs w:val="20"/>
        </w:rPr>
        <w:t>pracoval NKÚ.</w:t>
      </w:r>
    </w:p>
    <w:p w14:paraId="4F186C97" w14:textId="77777777" w:rsidR="00AA386D" w:rsidRPr="00DB1B5F" w:rsidRDefault="00035012" w:rsidP="00AA386D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7F3296">
        <w:rPr>
          <w:rFonts w:cs="Arial"/>
          <w:b/>
          <w:sz w:val="20"/>
          <w:szCs w:val="20"/>
        </w:rPr>
        <w:t>Pozn.:</w:t>
      </w:r>
      <w:r w:rsidRPr="007F3296">
        <w:rPr>
          <w:rFonts w:cs="Arial"/>
          <w:bCs/>
          <w:sz w:val="20"/>
          <w:szCs w:val="20"/>
        </w:rPr>
        <w:t xml:space="preserve"> </w:t>
      </w:r>
      <w:r w:rsidRPr="007F3296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ÚSC (územně samosprávný celek), SK (sportovní klub), TJ (tělovýchovná jednota), LOH (letní olympijské hry), ZOH (zimní olympijské hry)</w:t>
      </w:r>
      <w:r w:rsidRPr="00DB1B5F">
        <w:rPr>
          <w:rFonts w:cs="Arial"/>
          <w:bCs/>
          <w:sz w:val="20"/>
          <w:szCs w:val="20"/>
        </w:rPr>
        <w:t>.</w:t>
      </w:r>
    </w:p>
    <w:p w14:paraId="710CBC76" w14:textId="77777777" w:rsidR="00E240B6" w:rsidRPr="00A733E4" w:rsidRDefault="00035012" w:rsidP="00CC3E47">
      <w:pPr>
        <w:spacing w:before="240" w:after="0"/>
        <w:jc w:val="both"/>
        <w:rPr>
          <w:rFonts w:asciiTheme="minorHAnsi" w:hAnsiTheme="minorHAnsi"/>
        </w:rPr>
      </w:pPr>
      <w:r w:rsidRPr="00A733E4">
        <w:rPr>
          <w:rFonts w:asciiTheme="minorHAnsi" w:hAnsiTheme="minorHAnsi"/>
        </w:rPr>
        <w:t>Tyto činnosti měly významný vliv na vykázané účetní i rozpočtové informace</w:t>
      </w:r>
      <w:r w:rsidR="00F42D7C" w:rsidRPr="00A733E4">
        <w:rPr>
          <w:rFonts w:asciiTheme="minorHAnsi" w:hAnsiTheme="minorHAnsi"/>
        </w:rPr>
        <w:t xml:space="preserve"> </w:t>
      </w:r>
      <w:r w:rsidRPr="00A733E4">
        <w:rPr>
          <w:rFonts w:asciiTheme="minorHAnsi" w:hAnsiTheme="minorHAnsi"/>
        </w:rPr>
        <w:t xml:space="preserve">k 31. prosinci </w:t>
      </w:r>
      <w:r w:rsidR="00A733E4" w:rsidRPr="00A733E4">
        <w:rPr>
          <w:rFonts w:asciiTheme="minorHAnsi" w:hAnsiTheme="minorHAnsi"/>
        </w:rPr>
        <w:t>2024</w:t>
      </w:r>
      <w:r w:rsidRPr="00A733E4">
        <w:rPr>
          <w:rFonts w:asciiTheme="minorHAnsi" w:hAnsiTheme="minorHAnsi"/>
        </w:rPr>
        <w:t>, kde se promítly zejména následujícím způsobem:</w:t>
      </w:r>
    </w:p>
    <w:p w14:paraId="10A6FED2" w14:textId="77777777" w:rsidR="00E240B6" w:rsidRPr="00A733E4" w:rsidRDefault="00035012" w:rsidP="00CC3E47">
      <w:pPr>
        <w:spacing w:before="60" w:after="60"/>
        <w:jc w:val="both"/>
        <w:rPr>
          <w:rFonts w:asciiTheme="minorHAnsi" w:hAnsiTheme="minorHAnsi"/>
          <w:b/>
        </w:rPr>
      </w:pPr>
      <w:r w:rsidRPr="00A733E4">
        <w:rPr>
          <w:rFonts w:asciiTheme="minorHAnsi" w:hAnsiTheme="minorHAnsi"/>
          <w:b/>
        </w:rPr>
        <w:t>– oblast účetních údajů (výkazy: rozvaha, výkaz zisku a ztráty a příloha)</w:t>
      </w:r>
    </w:p>
    <w:p w14:paraId="718A6CD1" w14:textId="77777777" w:rsidR="00BB516C" w:rsidRPr="00823B01" w:rsidRDefault="00035012" w:rsidP="00CC3E47">
      <w:pPr>
        <w:pStyle w:val="Odstavecseseznamem"/>
        <w:numPr>
          <w:ilvl w:val="0"/>
          <w:numId w:val="10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823B01">
        <w:rPr>
          <w:rFonts w:asciiTheme="minorHAnsi" w:hAnsiTheme="minorHAnsi"/>
          <w:b/>
        </w:rPr>
        <w:t xml:space="preserve">prostřednictvím krátkodobých pohledávek </w:t>
      </w:r>
      <w:r w:rsidRPr="00823B01">
        <w:rPr>
          <w:rFonts w:asciiTheme="minorHAnsi" w:hAnsiTheme="minorHAnsi"/>
        </w:rPr>
        <w:t xml:space="preserve">ve výši </w:t>
      </w:r>
      <w:r w:rsidR="00823B01" w:rsidRPr="00823B01">
        <w:rPr>
          <w:rFonts w:asciiTheme="minorHAnsi" w:hAnsiTheme="minorHAnsi"/>
        </w:rPr>
        <w:t xml:space="preserve">5 784,1 </w:t>
      </w:r>
      <w:r w:rsidRPr="00823B01">
        <w:rPr>
          <w:rFonts w:asciiTheme="minorHAnsi" w:hAnsiTheme="minorHAnsi"/>
        </w:rPr>
        <w:t xml:space="preserve">mil. Kč vykazovaných na </w:t>
      </w:r>
      <w:r w:rsidR="004005F3" w:rsidRPr="00823B01">
        <w:rPr>
          <w:rFonts w:asciiTheme="minorHAnsi" w:hAnsiTheme="minorHAnsi"/>
        </w:rPr>
        <w:t>účtu</w:t>
      </w:r>
      <w:r w:rsidRPr="00823B01">
        <w:rPr>
          <w:rFonts w:asciiTheme="minorHAnsi" w:hAnsiTheme="minorHAnsi"/>
        </w:rPr>
        <w:t xml:space="preserve"> 373 – </w:t>
      </w:r>
      <w:r w:rsidRPr="00823B01">
        <w:rPr>
          <w:rFonts w:asciiTheme="minorHAnsi" w:hAnsiTheme="minorHAnsi"/>
          <w:i/>
        </w:rPr>
        <w:t>Krátkodobé poskytnuté zálohy na transfery</w:t>
      </w:r>
      <w:r w:rsidRPr="00823B01">
        <w:rPr>
          <w:rFonts w:asciiTheme="minorHAnsi" w:hAnsiTheme="minorHAnsi"/>
        </w:rPr>
        <w:t>;</w:t>
      </w:r>
    </w:p>
    <w:p w14:paraId="667D8669" w14:textId="1DB8F760" w:rsidR="00BB516C" w:rsidRPr="00892241" w:rsidRDefault="00035012" w:rsidP="00CC3E47">
      <w:pPr>
        <w:pStyle w:val="Odstavecseseznamem"/>
        <w:numPr>
          <w:ilvl w:val="0"/>
          <w:numId w:val="10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</w:rPr>
      </w:pPr>
      <w:r w:rsidRPr="00892241">
        <w:rPr>
          <w:rFonts w:asciiTheme="minorHAnsi" w:hAnsiTheme="minorHAnsi"/>
          <w:b/>
        </w:rPr>
        <w:t xml:space="preserve">prostřednictvím dlouhodobých pohledávek </w:t>
      </w:r>
      <w:r w:rsidRPr="00892241">
        <w:rPr>
          <w:rFonts w:asciiTheme="minorHAnsi" w:hAnsiTheme="minorHAnsi"/>
        </w:rPr>
        <w:t xml:space="preserve">ve výši </w:t>
      </w:r>
      <w:r w:rsidR="00892241" w:rsidRPr="00892241">
        <w:rPr>
          <w:rFonts w:asciiTheme="minorHAnsi" w:hAnsiTheme="minorHAnsi"/>
        </w:rPr>
        <w:t xml:space="preserve">1 950,1 </w:t>
      </w:r>
      <w:r w:rsidRPr="00892241">
        <w:rPr>
          <w:rFonts w:asciiTheme="minorHAnsi" w:hAnsiTheme="minorHAnsi"/>
        </w:rPr>
        <w:t>m</w:t>
      </w:r>
      <w:r w:rsidR="004005F3" w:rsidRPr="00892241">
        <w:rPr>
          <w:rFonts w:asciiTheme="minorHAnsi" w:hAnsiTheme="minorHAnsi"/>
        </w:rPr>
        <w:t>il</w:t>
      </w:r>
      <w:r w:rsidRPr="00892241">
        <w:rPr>
          <w:rFonts w:asciiTheme="minorHAnsi" w:hAnsiTheme="minorHAnsi"/>
        </w:rPr>
        <w:t xml:space="preserve">. Kč vykazovaných na </w:t>
      </w:r>
      <w:r w:rsidR="004005F3" w:rsidRPr="00892241">
        <w:rPr>
          <w:rFonts w:asciiTheme="minorHAnsi" w:hAnsiTheme="minorHAnsi"/>
        </w:rPr>
        <w:t>účtu</w:t>
      </w:r>
      <w:r w:rsidRPr="00892241">
        <w:rPr>
          <w:rFonts w:asciiTheme="minorHAnsi" w:hAnsiTheme="minorHAnsi"/>
        </w:rPr>
        <w:t xml:space="preserve"> 471 – </w:t>
      </w:r>
      <w:r w:rsidRPr="00892241">
        <w:rPr>
          <w:rFonts w:asciiTheme="minorHAnsi" w:hAnsiTheme="minorHAnsi"/>
          <w:i/>
        </w:rPr>
        <w:t>Dlouhodobé poskytnuté zálohy na transfery</w:t>
      </w:r>
      <w:r w:rsidRPr="00892241">
        <w:rPr>
          <w:rFonts w:asciiTheme="minorHAnsi" w:hAnsiTheme="minorHAnsi"/>
        </w:rPr>
        <w:t>;</w:t>
      </w:r>
    </w:p>
    <w:p w14:paraId="789A46FA" w14:textId="77777777" w:rsidR="00BB516C" w:rsidRPr="00DE6A6F" w:rsidRDefault="00035012" w:rsidP="00CC3E47">
      <w:pPr>
        <w:pStyle w:val="Odstavecseseznamem"/>
        <w:numPr>
          <w:ilvl w:val="0"/>
          <w:numId w:val="10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DE6A6F">
        <w:rPr>
          <w:rFonts w:asciiTheme="minorHAnsi" w:hAnsiTheme="minorHAnsi"/>
          <w:b/>
        </w:rPr>
        <w:lastRenderedPageBreak/>
        <w:t xml:space="preserve">prostřednictvím krátkodobých závazků </w:t>
      </w:r>
      <w:r w:rsidRPr="00DE6A6F">
        <w:rPr>
          <w:rFonts w:asciiTheme="minorHAnsi" w:hAnsiTheme="minorHAnsi"/>
        </w:rPr>
        <w:t xml:space="preserve">ve výši </w:t>
      </w:r>
      <w:r w:rsidR="00892241" w:rsidRPr="00DE6A6F">
        <w:rPr>
          <w:rFonts w:asciiTheme="minorHAnsi" w:hAnsiTheme="minorHAnsi"/>
        </w:rPr>
        <w:t xml:space="preserve">7 734,2 </w:t>
      </w:r>
      <w:r w:rsidRPr="00DE6A6F">
        <w:rPr>
          <w:rFonts w:asciiTheme="minorHAnsi" w:hAnsiTheme="minorHAnsi"/>
        </w:rPr>
        <w:t>m</w:t>
      </w:r>
      <w:r w:rsidR="004005F3" w:rsidRPr="00DE6A6F">
        <w:rPr>
          <w:rFonts w:asciiTheme="minorHAnsi" w:hAnsiTheme="minorHAnsi"/>
        </w:rPr>
        <w:t>il</w:t>
      </w:r>
      <w:r w:rsidRPr="00DE6A6F">
        <w:rPr>
          <w:rFonts w:asciiTheme="minorHAnsi" w:hAnsiTheme="minorHAnsi"/>
        </w:rPr>
        <w:t xml:space="preserve">. Kč vykazovaných na </w:t>
      </w:r>
      <w:r w:rsidR="004005F3" w:rsidRPr="00DE6A6F">
        <w:rPr>
          <w:rFonts w:asciiTheme="minorHAnsi" w:hAnsiTheme="minorHAnsi"/>
        </w:rPr>
        <w:t>účtu</w:t>
      </w:r>
      <w:r w:rsidRPr="00DE6A6F">
        <w:rPr>
          <w:rFonts w:asciiTheme="minorHAnsi" w:hAnsiTheme="minorHAnsi"/>
        </w:rPr>
        <w:t xml:space="preserve"> 389</w:t>
      </w:r>
      <w:r w:rsidR="000B28CE" w:rsidRPr="00DE6A6F">
        <w:rPr>
          <w:rFonts w:asciiTheme="minorHAnsi" w:hAnsiTheme="minorHAnsi"/>
        </w:rPr>
        <w:t> </w:t>
      </w:r>
      <w:r w:rsidRPr="00DE6A6F">
        <w:rPr>
          <w:rFonts w:asciiTheme="minorHAnsi" w:hAnsiTheme="minorHAnsi"/>
        </w:rPr>
        <w:t>–</w:t>
      </w:r>
      <w:r w:rsidR="000B28CE" w:rsidRPr="00DE6A6F">
        <w:rPr>
          <w:rFonts w:asciiTheme="minorHAnsi" w:hAnsiTheme="minorHAnsi"/>
        </w:rPr>
        <w:t> </w:t>
      </w:r>
      <w:r w:rsidRPr="00DE6A6F">
        <w:rPr>
          <w:rFonts w:asciiTheme="minorHAnsi" w:hAnsiTheme="minorHAnsi"/>
          <w:i/>
        </w:rPr>
        <w:t>Dohadné účty pasivní</w:t>
      </w:r>
      <w:r w:rsidR="00284832" w:rsidRPr="00DE6A6F">
        <w:rPr>
          <w:rFonts w:asciiTheme="minorHAnsi" w:hAnsiTheme="minorHAnsi"/>
          <w:i/>
        </w:rPr>
        <w:t xml:space="preserve"> </w:t>
      </w:r>
      <w:r w:rsidR="00284832" w:rsidRPr="00DE6A6F">
        <w:rPr>
          <w:rFonts w:asciiTheme="minorHAnsi" w:hAnsiTheme="minorHAnsi"/>
          <w:iCs/>
        </w:rPr>
        <w:t>jako odhadovaná výše spotřebovaných, ale nevyúčtovaných transferů</w:t>
      </w:r>
      <w:r w:rsidRPr="00DE6A6F">
        <w:rPr>
          <w:rFonts w:asciiTheme="minorHAnsi" w:hAnsiTheme="minorHAnsi"/>
        </w:rPr>
        <w:t>;</w:t>
      </w:r>
    </w:p>
    <w:p w14:paraId="51A1E70C" w14:textId="28F160BB" w:rsidR="00BB516C" w:rsidRPr="00DE6A6F" w:rsidRDefault="00035012" w:rsidP="00CC3E47">
      <w:pPr>
        <w:pStyle w:val="Odstavecseseznamem"/>
        <w:numPr>
          <w:ilvl w:val="0"/>
          <w:numId w:val="10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DE6A6F">
        <w:rPr>
          <w:rFonts w:asciiTheme="minorHAnsi" w:hAnsiTheme="minorHAnsi"/>
          <w:b/>
        </w:rPr>
        <w:t xml:space="preserve">prostřednictvím nákladů na transfery </w:t>
      </w:r>
      <w:r w:rsidRPr="00DE6A6F">
        <w:rPr>
          <w:rFonts w:asciiTheme="minorHAnsi" w:hAnsiTheme="minorHAnsi"/>
        </w:rPr>
        <w:t xml:space="preserve">ve výši </w:t>
      </w:r>
      <w:r w:rsidR="00892241" w:rsidRPr="00DE6A6F">
        <w:rPr>
          <w:rFonts w:asciiTheme="minorHAnsi" w:hAnsiTheme="minorHAnsi"/>
        </w:rPr>
        <w:t xml:space="preserve">8 131,5 </w:t>
      </w:r>
      <w:r w:rsidRPr="00DE6A6F">
        <w:rPr>
          <w:rFonts w:asciiTheme="minorHAnsi" w:hAnsiTheme="minorHAnsi"/>
        </w:rPr>
        <w:t>m</w:t>
      </w:r>
      <w:r w:rsidR="004005F3" w:rsidRPr="00DE6A6F">
        <w:rPr>
          <w:rFonts w:asciiTheme="minorHAnsi" w:hAnsiTheme="minorHAnsi"/>
        </w:rPr>
        <w:t>il</w:t>
      </w:r>
      <w:r w:rsidRPr="00DE6A6F">
        <w:rPr>
          <w:rFonts w:asciiTheme="minorHAnsi" w:hAnsiTheme="minorHAnsi"/>
        </w:rPr>
        <w:t xml:space="preserve">. Kč vykazovaných na </w:t>
      </w:r>
      <w:r w:rsidR="004005F3" w:rsidRPr="00DE6A6F">
        <w:rPr>
          <w:rFonts w:asciiTheme="minorHAnsi" w:hAnsiTheme="minorHAnsi"/>
        </w:rPr>
        <w:t>účtu</w:t>
      </w:r>
      <w:r w:rsidR="00CC3E47">
        <w:rPr>
          <w:rFonts w:asciiTheme="minorHAnsi" w:hAnsiTheme="minorHAnsi"/>
        </w:rPr>
        <w:t xml:space="preserve"> </w:t>
      </w:r>
      <w:r w:rsidR="00B166B5">
        <w:rPr>
          <w:rFonts w:asciiTheme="minorHAnsi" w:hAnsiTheme="minorHAnsi"/>
        </w:rPr>
        <w:br/>
      </w:r>
      <w:r w:rsidRPr="00DE6A6F">
        <w:rPr>
          <w:rFonts w:asciiTheme="minorHAnsi" w:hAnsiTheme="minorHAnsi"/>
        </w:rPr>
        <w:t>571</w:t>
      </w:r>
      <w:r w:rsidR="00CC3E47">
        <w:rPr>
          <w:rFonts w:asciiTheme="minorHAnsi" w:hAnsiTheme="minorHAnsi"/>
        </w:rPr>
        <w:t> </w:t>
      </w:r>
      <w:r w:rsidRPr="00DE6A6F">
        <w:rPr>
          <w:rFonts w:asciiTheme="minorHAnsi" w:hAnsiTheme="minorHAnsi"/>
        </w:rPr>
        <w:t xml:space="preserve">– </w:t>
      </w:r>
      <w:r w:rsidRPr="00DE6A6F">
        <w:rPr>
          <w:rFonts w:asciiTheme="minorHAnsi" w:hAnsiTheme="minorHAnsi"/>
          <w:i/>
        </w:rPr>
        <w:t>Náklady vybraných ústředních vládních institucí na transfery</w:t>
      </w:r>
      <w:r w:rsidRPr="00DE6A6F">
        <w:rPr>
          <w:rFonts w:asciiTheme="minorHAnsi" w:hAnsiTheme="minorHAnsi"/>
        </w:rPr>
        <w:t>;</w:t>
      </w:r>
      <w:r w:rsidRPr="00DE6A6F">
        <w:rPr>
          <w:rFonts w:asciiTheme="minorHAnsi" w:hAnsiTheme="minorHAnsi"/>
          <w:b/>
        </w:rPr>
        <w:t xml:space="preserve"> </w:t>
      </w:r>
    </w:p>
    <w:p w14:paraId="4B298582" w14:textId="77777777" w:rsidR="00BB516C" w:rsidRPr="00DE6A6F" w:rsidRDefault="00035012" w:rsidP="00CC3E47">
      <w:pPr>
        <w:pStyle w:val="Odstavecseseznamem"/>
        <w:numPr>
          <w:ilvl w:val="0"/>
          <w:numId w:val="10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DE6A6F">
        <w:rPr>
          <w:rFonts w:asciiTheme="minorHAnsi" w:hAnsiTheme="minorHAnsi"/>
          <w:b/>
        </w:rPr>
        <w:t xml:space="preserve">prostřednictvím </w:t>
      </w:r>
      <w:r w:rsidR="00A733E4" w:rsidRPr="00DE6A6F">
        <w:rPr>
          <w:rFonts w:asciiTheme="minorHAnsi" w:hAnsiTheme="minorHAnsi"/>
          <w:b/>
        </w:rPr>
        <w:t xml:space="preserve">podmíněných závazků z transferů </w:t>
      </w:r>
      <w:r w:rsidRPr="00DE6A6F">
        <w:rPr>
          <w:rFonts w:asciiTheme="minorHAnsi" w:hAnsiTheme="minorHAnsi"/>
        </w:rPr>
        <w:t>v</w:t>
      </w:r>
      <w:r w:rsidR="00A733E4" w:rsidRPr="00DE6A6F">
        <w:rPr>
          <w:rFonts w:asciiTheme="minorHAnsi" w:hAnsiTheme="minorHAnsi"/>
        </w:rPr>
        <w:t>e</w:t>
      </w:r>
      <w:r w:rsidRPr="00DE6A6F">
        <w:rPr>
          <w:rFonts w:asciiTheme="minorHAnsi" w:hAnsiTheme="minorHAnsi"/>
        </w:rPr>
        <w:t xml:space="preserve"> výši </w:t>
      </w:r>
      <w:r w:rsidR="00892241" w:rsidRPr="00DE6A6F">
        <w:rPr>
          <w:rFonts w:asciiTheme="minorHAnsi" w:hAnsiTheme="minorHAnsi"/>
        </w:rPr>
        <w:t>500</w:t>
      </w:r>
      <w:r w:rsidRPr="00DE6A6F">
        <w:rPr>
          <w:rFonts w:asciiTheme="minorHAnsi" w:hAnsiTheme="minorHAnsi"/>
        </w:rPr>
        <w:t xml:space="preserve"> m</w:t>
      </w:r>
      <w:r w:rsidR="00B22619" w:rsidRPr="00DE6A6F">
        <w:rPr>
          <w:rFonts w:asciiTheme="minorHAnsi" w:hAnsiTheme="minorHAnsi"/>
        </w:rPr>
        <w:t>il</w:t>
      </w:r>
      <w:r w:rsidRPr="00DE6A6F">
        <w:rPr>
          <w:rFonts w:asciiTheme="minorHAnsi" w:hAnsiTheme="minorHAnsi"/>
        </w:rPr>
        <w:t>. Kč</w:t>
      </w:r>
      <w:r w:rsidR="00A733E4" w:rsidRPr="00DE6A6F">
        <w:rPr>
          <w:rFonts w:asciiTheme="minorHAnsi" w:hAnsiTheme="minorHAnsi"/>
        </w:rPr>
        <w:t xml:space="preserve"> vykazovaných na účtu </w:t>
      </w:r>
      <w:r w:rsidRPr="00DE6A6F">
        <w:rPr>
          <w:rFonts w:asciiTheme="minorHAnsi" w:hAnsiTheme="minorHAnsi"/>
        </w:rPr>
        <w:t xml:space="preserve">956 – </w:t>
      </w:r>
      <w:r w:rsidRPr="00DE6A6F">
        <w:rPr>
          <w:rFonts w:asciiTheme="minorHAnsi" w:hAnsiTheme="minorHAnsi"/>
          <w:i/>
        </w:rPr>
        <w:t>Ostatní dlouhodobé podmíněné závazky z transferů</w:t>
      </w:r>
      <w:r w:rsidRPr="00DE6A6F">
        <w:rPr>
          <w:rFonts w:asciiTheme="minorHAnsi" w:hAnsiTheme="minorHAnsi"/>
        </w:rPr>
        <w:t>.</w:t>
      </w:r>
    </w:p>
    <w:p w14:paraId="12F3B761" w14:textId="77777777" w:rsidR="00E240B6" w:rsidRPr="00DE6A6F" w:rsidRDefault="00035012" w:rsidP="00CC3E47">
      <w:pPr>
        <w:spacing w:before="60" w:after="60"/>
        <w:rPr>
          <w:rFonts w:asciiTheme="minorHAnsi" w:hAnsiTheme="minorHAnsi"/>
          <w:b/>
        </w:rPr>
      </w:pPr>
      <w:r w:rsidRPr="00DE6A6F">
        <w:rPr>
          <w:rFonts w:asciiTheme="minorHAnsi" w:hAnsiTheme="minorHAnsi"/>
          <w:b/>
        </w:rPr>
        <w:t>– oblast rozpočtových údajů (výkaz FIN 1-12 OSS)</w:t>
      </w:r>
    </w:p>
    <w:p w14:paraId="2ACEADFA" w14:textId="7932F10A" w:rsidR="00F86B28" w:rsidRPr="00AD1819" w:rsidRDefault="00035012" w:rsidP="00CC3E47">
      <w:pPr>
        <w:pStyle w:val="Odstavecseseznamem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DE6A6F">
        <w:rPr>
          <w:rFonts w:asciiTheme="minorHAnsi" w:hAnsiTheme="minorHAnsi"/>
          <w:b/>
        </w:rPr>
        <w:t xml:space="preserve">v rámci </w:t>
      </w:r>
      <w:r w:rsidR="00A733E4" w:rsidRPr="00DE6A6F">
        <w:rPr>
          <w:rFonts w:asciiTheme="minorHAnsi" w:hAnsiTheme="minorHAnsi"/>
          <w:b/>
        </w:rPr>
        <w:t>výdajů</w:t>
      </w:r>
      <w:r w:rsidRPr="00DE6A6F">
        <w:rPr>
          <w:rFonts w:asciiTheme="minorHAnsi" w:hAnsiTheme="minorHAnsi"/>
          <w:b/>
        </w:rPr>
        <w:t xml:space="preserve"> </w:t>
      </w:r>
      <w:r w:rsidRPr="00DE6A6F">
        <w:rPr>
          <w:rFonts w:asciiTheme="minorHAnsi" w:hAnsiTheme="minorHAnsi"/>
        </w:rPr>
        <w:t xml:space="preserve">v podobě </w:t>
      </w:r>
      <w:r w:rsidR="00A733E4" w:rsidRPr="00DE6A6F">
        <w:rPr>
          <w:rFonts w:asciiTheme="minorHAnsi" w:hAnsiTheme="minorHAnsi"/>
        </w:rPr>
        <w:t>poskytnutých neinvestičních transferů zejména spolkům ve výš</w:t>
      </w:r>
      <w:r w:rsidR="00DE6A6F" w:rsidRPr="00DE6A6F">
        <w:rPr>
          <w:rFonts w:asciiTheme="minorHAnsi" w:hAnsiTheme="minorHAnsi"/>
        </w:rPr>
        <w:t xml:space="preserve">i 5 714,7 </w:t>
      </w:r>
      <w:r w:rsidR="00A733E4" w:rsidRPr="00DE6A6F">
        <w:rPr>
          <w:rFonts w:asciiTheme="minorHAnsi" w:hAnsiTheme="minorHAnsi"/>
        </w:rPr>
        <w:t xml:space="preserve">mil. Kč (rozpočtová položka 5222 – </w:t>
      </w:r>
      <w:r w:rsidR="00A733E4" w:rsidRPr="00DE6A6F">
        <w:rPr>
          <w:rFonts w:asciiTheme="minorHAnsi" w:hAnsiTheme="minorHAnsi"/>
          <w:i/>
        </w:rPr>
        <w:t>Neinvestiční transfery spolkům</w:t>
      </w:r>
      <w:r w:rsidR="00A733E4" w:rsidRPr="00DE6A6F">
        <w:rPr>
          <w:rFonts w:asciiTheme="minorHAnsi" w:hAnsiTheme="minorHAnsi"/>
        </w:rPr>
        <w:t>) a</w:t>
      </w:r>
      <w:r w:rsidR="00CC3E47">
        <w:rPr>
          <w:rFonts w:asciiTheme="minorHAnsi" w:hAnsiTheme="minorHAnsi"/>
        </w:rPr>
        <w:t> </w:t>
      </w:r>
      <w:r w:rsidR="00A733E4" w:rsidRPr="00DE6A6F">
        <w:rPr>
          <w:rFonts w:asciiTheme="minorHAnsi" w:hAnsiTheme="minorHAnsi"/>
        </w:rPr>
        <w:t>v</w:t>
      </w:r>
      <w:r w:rsidR="00CC3E47">
        <w:rPr>
          <w:rFonts w:asciiTheme="minorHAnsi" w:hAnsiTheme="minorHAnsi"/>
        </w:rPr>
        <w:t> </w:t>
      </w:r>
      <w:r w:rsidR="00A733E4" w:rsidRPr="00DE6A6F">
        <w:rPr>
          <w:rFonts w:asciiTheme="minorHAnsi" w:hAnsiTheme="minorHAnsi"/>
        </w:rPr>
        <w:t>podobě poskytnutých investičních transferů zejména obcím ve výši 1</w:t>
      </w:r>
      <w:r w:rsidR="00DE6A6F" w:rsidRPr="00DE6A6F">
        <w:rPr>
          <w:rFonts w:asciiTheme="minorHAnsi" w:hAnsiTheme="minorHAnsi"/>
        </w:rPr>
        <w:t> 608,4</w:t>
      </w:r>
      <w:r w:rsidR="00A733E4" w:rsidRPr="00DE6A6F">
        <w:rPr>
          <w:rFonts w:asciiTheme="minorHAnsi" w:hAnsiTheme="minorHAnsi"/>
        </w:rPr>
        <w:t xml:space="preserve"> mil. Kč (rozpočtová položka 6341 – </w:t>
      </w:r>
      <w:r w:rsidR="00A733E4" w:rsidRPr="00DE6A6F">
        <w:rPr>
          <w:rFonts w:asciiTheme="minorHAnsi" w:hAnsiTheme="minorHAnsi"/>
          <w:i/>
        </w:rPr>
        <w:t>Investiční transfery obcím</w:t>
      </w:r>
      <w:r w:rsidR="00A733E4" w:rsidRPr="00DE6A6F">
        <w:rPr>
          <w:rFonts w:asciiTheme="minorHAnsi" w:hAnsiTheme="minorHAnsi"/>
        </w:rPr>
        <w:t xml:space="preserve">) a spolkům ve výši </w:t>
      </w:r>
      <w:r w:rsidR="00DE6A6F" w:rsidRPr="00DE6A6F">
        <w:rPr>
          <w:rFonts w:asciiTheme="minorHAnsi" w:hAnsiTheme="minorHAnsi"/>
        </w:rPr>
        <w:t>658,3</w:t>
      </w:r>
      <w:r w:rsidR="00A733E4" w:rsidRPr="00DE6A6F">
        <w:rPr>
          <w:rFonts w:asciiTheme="minorHAnsi" w:hAnsiTheme="minorHAnsi"/>
        </w:rPr>
        <w:t xml:space="preserve"> mil. Kč (rozpočtová položka 6322 – </w:t>
      </w:r>
      <w:r w:rsidR="00A733E4" w:rsidRPr="00DE6A6F">
        <w:rPr>
          <w:rFonts w:asciiTheme="minorHAnsi" w:hAnsiTheme="minorHAnsi"/>
          <w:i/>
        </w:rPr>
        <w:t>Investiční transfery spolkům</w:t>
      </w:r>
      <w:r w:rsidR="00A733E4" w:rsidRPr="00DE6A6F">
        <w:rPr>
          <w:rFonts w:asciiTheme="minorHAnsi" w:hAnsiTheme="minorHAnsi"/>
        </w:rPr>
        <w:t>)</w:t>
      </w:r>
      <w:bookmarkStart w:id="11" w:name="_Hlk77770840"/>
      <w:r w:rsidR="00A733E4" w:rsidRPr="00DE6A6F">
        <w:rPr>
          <w:rFonts w:asciiTheme="minorHAnsi" w:hAnsiTheme="minorHAnsi"/>
        </w:rPr>
        <w:t>.</w:t>
      </w:r>
    </w:p>
    <w:p w14:paraId="7ED20FD0" w14:textId="77777777" w:rsidR="002B45B7" w:rsidRDefault="00035012" w:rsidP="00CC3E47">
      <w:pPr>
        <w:spacing w:before="240" w:after="0"/>
        <w:jc w:val="both"/>
        <w:rPr>
          <w:rFonts w:eastAsia="Calibri" w:cs="Calibri"/>
        </w:rPr>
      </w:pPr>
      <w:r w:rsidRPr="002B45B7">
        <w:rPr>
          <w:rFonts w:eastAsia="Calibri" w:cs="Calibri"/>
        </w:rPr>
        <w:t>Hospodaření NSA je možné hodnotit na základě dvou různých, vzájemně se doplňujících informačních základen:</w:t>
      </w:r>
    </w:p>
    <w:p w14:paraId="5BB58E21" w14:textId="77777777" w:rsidR="002B45B7" w:rsidRPr="00AD1819" w:rsidRDefault="00035012" w:rsidP="00C97383">
      <w:pPr>
        <w:pStyle w:val="Odstavecseseznamem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Theme="minorHAnsi" w:hAnsiTheme="minorHAnsi"/>
          <w:bCs/>
        </w:rPr>
      </w:pPr>
      <w:r w:rsidRPr="00AD1819">
        <w:rPr>
          <w:rFonts w:asciiTheme="minorHAnsi" w:hAnsiTheme="minorHAnsi"/>
          <w:bCs/>
        </w:rPr>
        <w:t>na peněžní bázi, využívající údaje o plnění rozpočtu</w:t>
      </w:r>
      <w:r>
        <w:rPr>
          <w:rStyle w:val="Znakapoznpodarou"/>
          <w:rFonts w:asciiTheme="minorHAnsi" w:hAnsiTheme="minorHAnsi"/>
          <w:bCs/>
        </w:rPr>
        <w:footnoteReference w:id="35"/>
      </w:r>
      <w:r>
        <w:rPr>
          <w:rFonts w:asciiTheme="minorHAnsi" w:hAnsiTheme="minorHAnsi"/>
          <w:bCs/>
        </w:rPr>
        <w:t xml:space="preserve"> </w:t>
      </w:r>
      <w:r w:rsidRPr="00AD1819">
        <w:rPr>
          <w:rFonts w:asciiTheme="minorHAnsi" w:hAnsiTheme="minorHAnsi"/>
          <w:bCs/>
        </w:rPr>
        <w:t xml:space="preserve">nebo </w:t>
      </w:r>
    </w:p>
    <w:p w14:paraId="5F1A73A9" w14:textId="77777777" w:rsidR="002B45B7" w:rsidRPr="00AD1819" w:rsidRDefault="00035012" w:rsidP="00C97383">
      <w:pPr>
        <w:pStyle w:val="Odstavecseseznamem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Theme="minorHAnsi" w:hAnsiTheme="minorHAnsi"/>
          <w:bCs/>
        </w:rPr>
      </w:pPr>
      <w:r w:rsidRPr="00AD1819">
        <w:rPr>
          <w:rFonts w:asciiTheme="minorHAnsi" w:hAnsiTheme="minorHAnsi"/>
          <w:bCs/>
        </w:rPr>
        <w:t>na akruální bázi, využívající údaje z účetnictví</w:t>
      </w:r>
      <w:r>
        <w:rPr>
          <w:rStyle w:val="Znakapoznpodarou"/>
          <w:rFonts w:asciiTheme="minorHAnsi" w:hAnsiTheme="minorHAnsi"/>
          <w:bCs/>
        </w:rPr>
        <w:footnoteReference w:id="36"/>
      </w:r>
      <w:r w:rsidR="00C25CBC">
        <w:rPr>
          <w:rFonts w:asciiTheme="minorHAnsi" w:hAnsiTheme="minorHAnsi"/>
          <w:bCs/>
        </w:rPr>
        <w:t>.</w:t>
      </w:r>
      <w:r w:rsidRPr="00AD1819">
        <w:rPr>
          <w:rFonts w:asciiTheme="minorHAnsi" w:hAnsiTheme="minorHAnsi"/>
          <w:bCs/>
        </w:rPr>
        <w:t xml:space="preserve"> </w:t>
      </w:r>
    </w:p>
    <w:p w14:paraId="2267524F" w14:textId="5E1610CA" w:rsidR="002B45B7" w:rsidRPr="002B45B7" w:rsidRDefault="00035012" w:rsidP="00C97383">
      <w:pPr>
        <w:spacing w:before="240"/>
        <w:jc w:val="both"/>
        <w:rPr>
          <w:rFonts w:eastAsia="Calibri" w:cs="Calibri"/>
        </w:rPr>
      </w:pPr>
      <w:r w:rsidRPr="002B45B7">
        <w:rPr>
          <w:rFonts w:eastAsia="Calibri" w:cs="Calibri"/>
        </w:rPr>
        <w:t>Výsledné saldo peněžních toků dle výkazu pro hodnocení plnění rozpočtu byl deficit ve výši</w:t>
      </w:r>
      <w:r w:rsidR="00FB2554">
        <w:rPr>
          <w:rFonts w:eastAsia="Calibri" w:cs="Calibri"/>
        </w:rPr>
        <w:t xml:space="preserve"> </w:t>
      </w:r>
      <w:r w:rsidR="00FB2554" w:rsidRPr="00FB2554">
        <w:rPr>
          <w:rFonts w:eastAsia="Calibri" w:cs="Calibri"/>
        </w:rPr>
        <w:t>8</w:t>
      </w:r>
      <w:r w:rsidR="00FB2554">
        <w:rPr>
          <w:rFonts w:eastAsia="Calibri" w:cs="Calibri"/>
        </w:rPr>
        <w:t> </w:t>
      </w:r>
      <w:r w:rsidR="00FB2554" w:rsidRPr="00FB2554">
        <w:rPr>
          <w:rFonts w:eastAsia="Calibri" w:cs="Calibri"/>
        </w:rPr>
        <w:t>252,</w:t>
      </w:r>
      <w:r w:rsidR="00FB2554">
        <w:rPr>
          <w:rFonts w:eastAsia="Calibri" w:cs="Calibri"/>
        </w:rPr>
        <w:t>9 mil.</w:t>
      </w:r>
      <w:r w:rsidRPr="002B45B7">
        <w:rPr>
          <w:rFonts w:eastAsia="Calibri" w:cs="Calibri"/>
        </w:rPr>
        <w:t xml:space="preserve"> Kč. Výsledek hospodaření běžného účetního období dle účetního výkazu</w:t>
      </w:r>
      <w:r w:rsidR="00FB2554">
        <w:rPr>
          <w:rFonts w:eastAsia="Calibri" w:cs="Calibri"/>
        </w:rPr>
        <w:t xml:space="preserve"> </w:t>
      </w:r>
      <w:r w:rsidRPr="002B45B7">
        <w:rPr>
          <w:rFonts w:eastAsia="Calibri" w:cs="Calibri"/>
        </w:rPr>
        <w:t>zisku a</w:t>
      </w:r>
      <w:r w:rsidR="00B166B5">
        <w:rPr>
          <w:rFonts w:eastAsia="Calibri" w:cs="Calibri"/>
        </w:rPr>
        <w:t> </w:t>
      </w:r>
      <w:r w:rsidRPr="002B45B7">
        <w:rPr>
          <w:rFonts w:eastAsia="Calibri" w:cs="Calibri"/>
        </w:rPr>
        <w:t xml:space="preserve">ztráty byla ztráta ve výši </w:t>
      </w:r>
      <w:r w:rsidR="00FB2554" w:rsidRPr="00FB2554">
        <w:rPr>
          <w:rFonts w:eastAsia="Calibri" w:cs="Calibri"/>
        </w:rPr>
        <w:t>8</w:t>
      </w:r>
      <w:r w:rsidR="00FB2554">
        <w:rPr>
          <w:rFonts w:eastAsia="Calibri" w:cs="Calibri"/>
        </w:rPr>
        <w:t xml:space="preserve"> </w:t>
      </w:r>
      <w:r w:rsidR="00FB2554" w:rsidRPr="00FB2554">
        <w:rPr>
          <w:rFonts w:eastAsia="Calibri" w:cs="Calibri"/>
        </w:rPr>
        <w:t>246,6</w:t>
      </w:r>
      <w:r w:rsidR="00FB2554">
        <w:rPr>
          <w:rFonts w:eastAsia="Calibri" w:cs="Calibri"/>
        </w:rPr>
        <w:t xml:space="preserve"> mil.</w:t>
      </w:r>
      <w:r w:rsidRPr="002B45B7">
        <w:rPr>
          <w:rFonts w:eastAsia="Calibri" w:cs="Calibri"/>
        </w:rPr>
        <w:t xml:space="preserve"> Kč. Rozdíl mezi saldem peněžních toků a</w:t>
      </w:r>
      <w:r w:rsidR="00FB2554">
        <w:rPr>
          <w:rFonts w:eastAsia="Calibri" w:cs="Calibri"/>
        </w:rPr>
        <w:t xml:space="preserve"> </w:t>
      </w:r>
      <w:r w:rsidRPr="002B45B7">
        <w:rPr>
          <w:rFonts w:eastAsia="Calibri" w:cs="Calibri"/>
        </w:rPr>
        <w:t xml:space="preserve">výsledkem hospodaření NSA k 31. </w:t>
      </w:r>
      <w:r w:rsidR="00FB2554">
        <w:rPr>
          <w:rFonts w:eastAsia="Calibri" w:cs="Calibri"/>
        </w:rPr>
        <w:t xml:space="preserve">prosinci </w:t>
      </w:r>
      <w:r w:rsidRPr="002B45B7">
        <w:rPr>
          <w:rFonts w:eastAsia="Calibri" w:cs="Calibri"/>
        </w:rPr>
        <w:t>2024 tak činil 6</w:t>
      </w:r>
      <w:r w:rsidR="00FB2554">
        <w:rPr>
          <w:rFonts w:eastAsia="Calibri" w:cs="Calibri"/>
        </w:rPr>
        <w:t>,</w:t>
      </w:r>
      <w:r w:rsidRPr="002B45B7">
        <w:rPr>
          <w:rFonts w:eastAsia="Calibri" w:cs="Calibri"/>
        </w:rPr>
        <w:t>3</w:t>
      </w:r>
      <w:r w:rsidR="00FB2554">
        <w:rPr>
          <w:rFonts w:eastAsia="Calibri" w:cs="Calibri"/>
        </w:rPr>
        <w:t xml:space="preserve"> mil.</w:t>
      </w:r>
      <w:r w:rsidRPr="002B45B7">
        <w:rPr>
          <w:rFonts w:eastAsia="Calibri" w:cs="Calibri"/>
        </w:rPr>
        <w:t xml:space="preserve"> Kč.</w:t>
      </w:r>
    </w:p>
    <w:p w14:paraId="1042B29A" w14:textId="4D9B0212" w:rsidR="002B45B7" w:rsidRDefault="00035012" w:rsidP="00AD1819">
      <w:pPr>
        <w:spacing w:after="0"/>
        <w:jc w:val="both"/>
        <w:rPr>
          <w:rFonts w:eastAsia="Calibri" w:cs="Calibri"/>
        </w:rPr>
      </w:pPr>
      <w:r w:rsidRPr="002B45B7">
        <w:rPr>
          <w:rFonts w:eastAsia="Calibri" w:cs="Calibri"/>
        </w:rPr>
        <w:t>Hlavní důvody rozdílu mezi saldem příjmů a výdajů a výsledkem hospodaření jsou shrnuty</w:t>
      </w:r>
      <w:r w:rsidR="001F16EE">
        <w:rPr>
          <w:rFonts w:eastAsia="Calibri" w:cs="Calibri"/>
        </w:rPr>
        <w:t xml:space="preserve"> </w:t>
      </w:r>
      <w:r w:rsidRPr="002B45B7">
        <w:rPr>
          <w:rFonts w:eastAsia="Calibri" w:cs="Calibri"/>
        </w:rPr>
        <w:t>v</w:t>
      </w:r>
      <w:r w:rsidR="001F16EE">
        <w:rPr>
          <w:rFonts w:eastAsia="Calibri" w:cs="Calibri"/>
        </w:rPr>
        <w:t> </w:t>
      </w:r>
      <w:r w:rsidRPr="002B45B7">
        <w:rPr>
          <w:rFonts w:eastAsia="Calibri" w:cs="Calibri"/>
        </w:rPr>
        <w:t>následující tabulce</w:t>
      </w:r>
      <w:r w:rsidR="00FB2554">
        <w:rPr>
          <w:rFonts w:eastAsia="Calibri" w:cs="Calibri"/>
        </w:rPr>
        <w:t>.</w:t>
      </w:r>
    </w:p>
    <w:p w14:paraId="75EA406A" w14:textId="77777777" w:rsidR="00CC3E47" w:rsidRDefault="00CC3E47">
      <w:pPr>
        <w:spacing w:after="160" w:line="259" w:lineRule="auto"/>
        <w:rPr>
          <w:rFonts w:eastAsia="Calibri" w:cs="Calibri"/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br w:type="page"/>
      </w:r>
    </w:p>
    <w:p w14:paraId="15545A95" w14:textId="1F8F84FC" w:rsidR="00992F7F" w:rsidRPr="00992F7F" w:rsidRDefault="00035012" w:rsidP="002C6E23">
      <w:pPr>
        <w:keepNext/>
        <w:tabs>
          <w:tab w:val="right" w:pos="8931"/>
        </w:tabs>
        <w:spacing w:before="240"/>
        <w:ind w:left="1276" w:hanging="1276"/>
        <w:jc w:val="both"/>
        <w:rPr>
          <w:rFonts w:eastAsia="Calibri" w:cs="Calibri"/>
          <w:b/>
          <w:bCs/>
          <w:szCs w:val="22"/>
        </w:rPr>
      </w:pPr>
      <w:r w:rsidRPr="00992F7F">
        <w:rPr>
          <w:rFonts w:eastAsia="Calibri" w:cs="Calibri"/>
          <w:b/>
          <w:bCs/>
          <w:szCs w:val="22"/>
        </w:rPr>
        <w:lastRenderedPageBreak/>
        <w:t xml:space="preserve">Tabulka </w:t>
      </w:r>
      <w:r w:rsidR="00DD0A7C">
        <w:rPr>
          <w:rFonts w:eastAsia="Calibri" w:cs="Calibri"/>
          <w:b/>
          <w:bCs/>
          <w:szCs w:val="22"/>
        </w:rPr>
        <w:t>č. </w:t>
      </w:r>
      <w:r w:rsidRPr="00992F7F">
        <w:rPr>
          <w:rFonts w:eastAsia="Calibri" w:cs="Calibri"/>
          <w:b/>
          <w:bCs/>
          <w:szCs w:val="22"/>
        </w:rPr>
        <w:fldChar w:fldCharType="begin"/>
      </w:r>
      <w:r w:rsidRPr="00992F7F">
        <w:rPr>
          <w:rFonts w:eastAsia="Calibri" w:cs="Calibri"/>
          <w:b/>
          <w:bCs/>
          <w:szCs w:val="22"/>
        </w:rPr>
        <w:instrText xml:space="preserve"> SEQ Tabulka \* ARABIC </w:instrText>
      </w:r>
      <w:r w:rsidRPr="00992F7F">
        <w:rPr>
          <w:rFonts w:eastAsia="Calibri" w:cs="Calibri"/>
          <w:b/>
          <w:bCs/>
          <w:szCs w:val="22"/>
        </w:rPr>
        <w:fldChar w:fldCharType="separate"/>
      </w:r>
      <w:r w:rsidR="00420730">
        <w:rPr>
          <w:rFonts w:eastAsia="Calibri" w:cs="Calibri"/>
          <w:b/>
          <w:bCs/>
          <w:noProof/>
          <w:szCs w:val="22"/>
        </w:rPr>
        <w:t>2</w:t>
      </w:r>
      <w:r w:rsidRPr="00992F7F">
        <w:rPr>
          <w:rFonts w:eastAsia="Calibri" w:cs="Calibri"/>
          <w:b/>
          <w:bCs/>
          <w:szCs w:val="22"/>
        </w:rPr>
        <w:fldChar w:fldCharType="end"/>
      </w:r>
      <w:r w:rsidRPr="00992F7F">
        <w:rPr>
          <w:rFonts w:eastAsia="Calibri" w:cs="Calibri"/>
          <w:b/>
          <w:bCs/>
          <w:szCs w:val="22"/>
        </w:rPr>
        <w:t>:</w:t>
      </w:r>
      <w:r w:rsidR="002C6E23">
        <w:rPr>
          <w:rFonts w:eastAsia="Calibri" w:cs="Calibri"/>
          <w:b/>
          <w:bCs/>
          <w:szCs w:val="22"/>
        </w:rPr>
        <w:tab/>
      </w:r>
      <w:r w:rsidRPr="00992F7F">
        <w:rPr>
          <w:rFonts w:eastAsia="Calibri" w:cs="Calibri"/>
          <w:b/>
          <w:bCs/>
          <w:szCs w:val="22"/>
        </w:rPr>
        <w:t>Významné účetní operace způsobující rozdíl mezi saldem peněžních toků a</w:t>
      </w:r>
      <w:r w:rsidR="002C6E23">
        <w:rPr>
          <w:rFonts w:eastAsia="Calibri" w:cs="Calibri"/>
          <w:b/>
          <w:bCs/>
          <w:szCs w:val="22"/>
        </w:rPr>
        <w:t> </w:t>
      </w:r>
      <w:r w:rsidRPr="00992F7F">
        <w:rPr>
          <w:rFonts w:eastAsia="Calibri" w:cs="Calibri"/>
          <w:b/>
          <w:bCs/>
          <w:szCs w:val="22"/>
        </w:rPr>
        <w:t xml:space="preserve">výsledkem hospodaření NSA k 31. </w:t>
      </w:r>
      <w:r>
        <w:rPr>
          <w:rFonts w:eastAsia="Calibri" w:cs="Calibri"/>
          <w:b/>
          <w:bCs/>
          <w:szCs w:val="22"/>
        </w:rPr>
        <w:t>prosinci</w:t>
      </w:r>
      <w:r w:rsidRPr="00992F7F">
        <w:rPr>
          <w:rFonts w:eastAsia="Calibri" w:cs="Calibri"/>
          <w:b/>
          <w:bCs/>
          <w:szCs w:val="22"/>
        </w:rPr>
        <w:t xml:space="preserve"> </w:t>
      </w:r>
      <w:r w:rsidRPr="00FB2554">
        <w:rPr>
          <w:rFonts w:eastAsia="Calibri" w:cs="Calibri"/>
          <w:b/>
          <w:bCs/>
          <w:szCs w:val="22"/>
        </w:rPr>
        <w:t xml:space="preserve">2024 </w:t>
      </w:r>
      <w:r w:rsidR="001F16EE">
        <w:rPr>
          <w:rFonts w:eastAsia="Calibri" w:cs="Calibri"/>
          <w:b/>
          <w:bCs/>
          <w:szCs w:val="22"/>
        </w:rPr>
        <w:tab/>
      </w:r>
      <w:r w:rsidRPr="00FB2554">
        <w:rPr>
          <w:rFonts w:eastAsia="Calibri" w:cs="Calibri"/>
          <w:b/>
          <w:bCs/>
          <w:szCs w:val="22"/>
        </w:rPr>
        <w:t xml:space="preserve">(v </w:t>
      </w:r>
      <w:r w:rsidR="00FB2554" w:rsidRPr="00AD1819">
        <w:rPr>
          <w:rFonts w:eastAsia="Calibri" w:cs="Calibri"/>
          <w:b/>
          <w:bCs/>
          <w:szCs w:val="22"/>
        </w:rPr>
        <w:t xml:space="preserve">mil. </w:t>
      </w:r>
      <w:r w:rsidRPr="00FB2554">
        <w:rPr>
          <w:rFonts w:eastAsia="Calibri" w:cs="Calibri"/>
          <w:b/>
          <w:bCs/>
          <w:szCs w:val="22"/>
        </w:rPr>
        <w:t>Kč)</w:t>
      </w: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559"/>
        <w:gridCol w:w="1559"/>
        <w:gridCol w:w="1560"/>
      </w:tblGrid>
      <w:tr w:rsidR="00B07849" w14:paraId="588B1ED6" w14:textId="77777777" w:rsidTr="00CC3E47">
        <w:trPr>
          <w:trHeight w:val="315"/>
        </w:trPr>
        <w:tc>
          <w:tcPr>
            <w:tcW w:w="8921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6023CD62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 způsobující rozdíl mezi příjmy a výnosy</w:t>
            </w:r>
          </w:p>
        </w:tc>
      </w:tr>
      <w:tr w:rsidR="00B07849" w14:paraId="750B4128" w14:textId="77777777" w:rsidTr="00CC3E47">
        <w:trPr>
          <w:trHeight w:val="3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E6E6E6"/>
            <w:noWrap/>
            <w:vAlign w:val="center"/>
            <w:hideMark/>
          </w:tcPr>
          <w:p w14:paraId="6C2AE9B5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E6E6E6"/>
            <w:noWrap/>
            <w:vAlign w:val="center"/>
            <w:hideMark/>
          </w:tcPr>
          <w:p w14:paraId="4554A928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E6E6E6"/>
            <w:noWrap/>
            <w:vAlign w:val="center"/>
            <w:hideMark/>
          </w:tcPr>
          <w:p w14:paraId="5BEA4CA7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 w14:paraId="468B9CCD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B07849" w14:paraId="641B1341" w14:textId="77777777" w:rsidTr="00CC3E47">
        <w:trPr>
          <w:trHeight w:val="6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8FD2" w14:textId="77777777" w:rsidR="00992F7F" w:rsidRPr="00AD1819" w:rsidRDefault="00035012" w:rsidP="00AD1819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cs-CZ"/>
              </w:rPr>
            </w:pPr>
            <w:r w:rsidRPr="00992F7F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Přijaté vratky transferů podle § 14f odst. 6 zákona č. 218/2000 Sb. (rozpočtová položka 2229)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4187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14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,7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DADF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274562F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14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,7</w:t>
            </w:r>
          </w:p>
        </w:tc>
      </w:tr>
      <w:tr w:rsidR="00B07849" w14:paraId="2AC62DF2" w14:textId="77777777" w:rsidTr="00CC3E47">
        <w:trPr>
          <w:trHeight w:val="315"/>
        </w:trPr>
        <w:tc>
          <w:tcPr>
            <w:tcW w:w="7361" w:type="dxa"/>
            <w:gridSpan w:val="3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000000"/>
            </w:tcBorders>
            <w:shd w:val="clear" w:color="auto" w:fill="DCA8B3"/>
            <w:noWrap/>
            <w:vAlign w:val="center"/>
            <w:hideMark/>
          </w:tcPr>
          <w:p w14:paraId="7DBE8335" w14:textId="77777777" w:rsidR="00992F7F" w:rsidRPr="00AD1819" w:rsidRDefault="00035012" w:rsidP="00AD1819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příjmy a výnosy za významné operace celkem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CA8B3"/>
            <w:noWrap/>
            <w:vAlign w:val="center"/>
            <w:hideMark/>
          </w:tcPr>
          <w:p w14:paraId="10BC81A4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25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  <w:r w:rsidR="00FB2554" w:rsidRPr="00AD18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,7</w:t>
            </w:r>
          </w:p>
        </w:tc>
      </w:tr>
      <w:tr w:rsidR="00B07849" w14:paraId="3CC5CB6F" w14:textId="77777777" w:rsidTr="00CC3E47">
        <w:trPr>
          <w:trHeight w:val="315"/>
        </w:trPr>
        <w:tc>
          <w:tcPr>
            <w:tcW w:w="8921" w:type="dxa"/>
            <w:gridSpan w:val="4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noWrap/>
            <w:vAlign w:val="center"/>
            <w:hideMark/>
          </w:tcPr>
          <w:p w14:paraId="0FDD6DB1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 způsobující rozdíl mezi výdaji a náklady</w:t>
            </w:r>
          </w:p>
        </w:tc>
      </w:tr>
      <w:tr w:rsidR="00B07849" w14:paraId="7A669E67" w14:textId="77777777" w:rsidTr="00CC3E47">
        <w:trPr>
          <w:trHeight w:val="3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E6E6E6"/>
            <w:noWrap/>
            <w:vAlign w:val="center"/>
            <w:hideMark/>
          </w:tcPr>
          <w:p w14:paraId="0B1A3AA4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E6E6E6"/>
            <w:noWrap/>
            <w:vAlign w:val="center"/>
            <w:hideMark/>
          </w:tcPr>
          <w:p w14:paraId="08486CD7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E6E6E6"/>
            <w:noWrap/>
            <w:vAlign w:val="center"/>
            <w:hideMark/>
          </w:tcPr>
          <w:p w14:paraId="5D841D9D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6E6E6"/>
            <w:vAlign w:val="center"/>
            <w:hideMark/>
          </w:tcPr>
          <w:p w14:paraId="30710201" w14:textId="77777777" w:rsidR="00992F7F" w:rsidRPr="00992F7F" w:rsidRDefault="00035012" w:rsidP="00AD181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B07849" w14:paraId="79A5E10E" w14:textId="77777777" w:rsidTr="00CC3E47">
        <w:trPr>
          <w:trHeight w:val="3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7BE8B" w14:textId="77777777" w:rsidR="00992F7F" w:rsidRPr="00992F7F" w:rsidRDefault="00035012" w:rsidP="00AD181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Odpisy dlouhodobého majetku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účet</w:t>
            </w: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551)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AE57" w14:textId="77777777" w:rsidR="00992F7F" w:rsidRPr="00992F7F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2343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6CB8B24" w14:textId="4EAB554A" w:rsidR="00992F7F" w:rsidRPr="00FB2554" w:rsidRDefault="001F16EE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="00035012"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,1</w:t>
            </w:r>
          </w:p>
        </w:tc>
      </w:tr>
      <w:tr w:rsidR="00B07849" w14:paraId="08EAA8C8" w14:textId="77777777" w:rsidTr="00CC3E47">
        <w:trPr>
          <w:trHeight w:val="3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D563" w14:textId="77777777" w:rsidR="00992F7F" w:rsidRPr="00992F7F" w:rsidRDefault="00035012" w:rsidP="00AD181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Tvorba a zúčtování rezerv (</w:t>
            </w:r>
            <w:r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účet</w:t>
            </w: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555)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2282F" w14:textId="77777777" w:rsidR="00992F7F" w:rsidRPr="00992F7F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C583C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,7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DE1C25F" w14:textId="1DF3CF2D" w:rsidR="00992F7F" w:rsidRPr="00FB2554" w:rsidRDefault="001F16EE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="00035012"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,7</w:t>
            </w:r>
          </w:p>
        </w:tc>
      </w:tr>
      <w:tr w:rsidR="00B07849" w14:paraId="108BBB32" w14:textId="77777777" w:rsidTr="00CC3E47">
        <w:trPr>
          <w:trHeight w:val="12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B449" w14:textId="2D5FBC47" w:rsidR="00992F7F" w:rsidRPr="00992F7F" w:rsidRDefault="00035012" w:rsidP="00AD181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 roce 2024 předepsané, ale k 31.</w:t>
            </w:r>
            <w:r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prosinci </w:t>
            </w: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2024 neuhrazené závazky (zůstatek </w:t>
            </w:r>
            <w:r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účtu</w:t>
            </w: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321) snížené o</w:t>
            </w:r>
            <w:r w:rsidR="001F16E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neuhrazené závazky související s pořízením dlouhodobého majetku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0DC3" w14:textId="77777777" w:rsidR="00992F7F" w:rsidRPr="00992F7F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E95A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1,3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446F0AB" w14:textId="4CC6BBD8" w:rsidR="00992F7F" w:rsidRPr="00FB2554" w:rsidRDefault="001F16EE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="00035012"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="00035012"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B07849" w14:paraId="468D123A" w14:textId="77777777" w:rsidTr="00CC3E47">
        <w:trPr>
          <w:trHeight w:val="3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364B" w14:textId="77777777" w:rsidR="00992F7F" w:rsidRPr="00992F7F" w:rsidRDefault="00035012" w:rsidP="00AD181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Uhrazené závazky z účetního období 2023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4BFE1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1CC0A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1FD8968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B07849" w14:paraId="34727A26" w14:textId="77777777" w:rsidTr="00CC3E47">
        <w:trPr>
          <w:trHeight w:val="3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124CC" w14:textId="77777777" w:rsidR="00992F7F" w:rsidRPr="00992F7F" w:rsidRDefault="00035012" w:rsidP="00AD181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Výdaje a náklady na transfery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64E7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8 155,9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ADA2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8 131,</w:t>
            </w:r>
            <w:r w:rsidR="00FB2554"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2C61722" w14:textId="77777777" w:rsidR="00FB2554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24</w:t>
            </w:r>
            <w:r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,4</w:t>
            </w:r>
          </w:p>
        </w:tc>
      </w:tr>
      <w:tr w:rsidR="00B07849" w14:paraId="7A790E99" w14:textId="77777777" w:rsidTr="00CC3E47">
        <w:trPr>
          <w:trHeight w:val="315"/>
        </w:trPr>
        <w:tc>
          <w:tcPr>
            <w:tcW w:w="4243" w:type="dxa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D4F4" w14:textId="77777777" w:rsidR="00992F7F" w:rsidRPr="00992F7F" w:rsidRDefault="00035012" w:rsidP="00AD181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992F7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Výdaje na pořízení dlouhodobého majetku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639D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D181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C691C" w14:textId="77777777" w:rsidR="00992F7F" w:rsidRPr="00FB2554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199204D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B25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2,9</w:t>
            </w:r>
          </w:p>
        </w:tc>
      </w:tr>
      <w:tr w:rsidR="00B07849" w14:paraId="04E7AB9B" w14:textId="77777777" w:rsidTr="00CC3E47">
        <w:trPr>
          <w:trHeight w:val="315"/>
        </w:trPr>
        <w:tc>
          <w:tcPr>
            <w:tcW w:w="7361" w:type="dxa"/>
            <w:gridSpan w:val="3"/>
            <w:tcBorders>
              <w:top w:val="single" w:sz="2" w:space="0" w:color="000000" w:themeColor="text1"/>
              <w:left w:val="single" w:sz="8" w:space="0" w:color="auto"/>
              <w:bottom w:val="single" w:sz="2" w:space="0" w:color="000000" w:themeColor="text1"/>
              <w:right w:val="single" w:sz="8" w:space="0" w:color="000000"/>
            </w:tcBorders>
            <w:shd w:val="clear" w:color="auto" w:fill="DCA8B3"/>
            <w:noWrap/>
            <w:vAlign w:val="center"/>
            <w:hideMark/>
          </w:tcPr>
          <w:p w14:paraId="1132019D" w14:textId="77777777" w:rsidR="00992F7F" w:rsidRPr="00AD1819" w:rsidRDefault="00035012" w:rsidP="00AD1819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CA8B3"/>
            <w:noWrap/>
            <w:vAlign w:val="center"/>
            <w:hideMark/>
          </w:tcPr>
          <w:p w14:paraId="4674AB97" w14:textId="77777777" w:rsidR="00992F7F" w:rsidRPr="00AD1819" w:rsidRDefault="00035012" w:rsidP="00AD1819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B25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FB2554" w:rsidRPr="00AD18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1,0</w:t>
            </w:r>
          </w:p>
        </w:tc>
      </w:tr>
      <w:tr w:rsidR="00B07849" w14:paraId="78BB2C89" w14:textId="77777777" w:rsidTr="00CC3E47">
        <w:trPr>
          <w:trHeight w:val="581"/>
        </w:trPr>
        <w:tc>
          <w:tcPr>
            <w:tcW w:w="7361" w:type="dxa"/>
            <w:gridSpan w:val="3"/>
            <w:tcBorders>
              <w:top w:val="single" w:sz="2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CA8B3"/>
            <w:vAlign w:val="center"/>
            <w:hideMark/>
          </w:tcPr>
          <w:p w14:paraId="46AF146D" w14:textId="77777777" w:rsidR="00992F7F" w:rsidRPr="00AD1819" w:rsidRDefault="00035012" w:rsidP="00AD1819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992F7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saldem peněžních toků a výsledkem hospodaření NSA za významné operace celkem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nil"/>
              <w:bottom w:val="single" w:sz="8" w:space="0" w:color="auto"/>
              <w:right w:val="single" w:sz="2" w:space="0" w:color="000000" w:themeColor="text1"/>
            </w:tcBorders>
            <w:shd w:val="clear" w:color="auto" w:fill="DCA8B3"/>
            <w:noWrap/>
            <w:vAlign w:val="center"/>
            <w:hideMark/>
          </w:tcPr>
          <w:p w14:paraId="45AF7F80" w14:textId="7C911166" w:rsidR="00992F7F" w:rsidRPr="00AD1819" w:rsidRDefault="001747FA" w:rsidP="00AD1819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−</w:t>
            </w:r>
            <w:r w:rsidR="00035012" w:rsidRPr="00C25CB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C25CBC" w:rsidRPr="00AD181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,3</w:t>
            </w:r>
          </w:p>
        </w:tc>
      </w:tr>
    </w:tbl>
    <w:p w14:paraId="3FA87835" w14:textId="7F213551" w:rsidR="00992F7F" w:rsidRPr="00AD1819" w:rsidRDefault="00035012" w:rsidP="00992F7F">
      <w:pPr>
        <w:spacing w:before="120" w:after="240"/>
        <w:jc w:val="both"/>
        <w:rPr>
          <w:rFonts w:eastAsia="Calibri" w:cs="Calibri"/>
          <w:sz w:val="20"/>
          <w:szCs w:val="20"/>
        </w:rPr>
      </w:pPr>
      <w:r w:rsidRPr="00AD1819">
        <w:rPr>
          <w:rFonts w:eastAsia="Calibri" w:cs="Calibri"/>
          <w:b/>
          <w:bCs/>
          <w:sz w:val="20"/>
          <w:szCs w:val="20"/>
        </w:rPr>
        <w:t>Zdroj</w:t>
      </w:r>
      <w:r w:rsidRPr="00AD1819">
        <w:rPr>
          <w:rFonts w:eastAsia="Calibri" w:cs="Calibri"/>
          <w:sz w:val="20"/>
          <w:szCs w:val="20"/>
        </w:rPr>
        <w:t xml:space="preserve">: </w:t>
      </w:r>
      <w:r w:rsidRPr="00992F7F">
        <w:rPr>
          <w:rFonts w:eastAsia="Calibri" w:cs="Calibri"/>
          <w:sz w:val="20"/>
          <w:szCs w:val="20"/>
        </w:rPr>
        <w:t>ekonomický informační systém NSA</w:t>
      </w:r>
      <w:r w:rsidRPr="00AD1819">
        <w:rPr>
          <w:rFonts w:eastAsia="Calibri" w:cs="Calibri"/>
          <w:sz w:val="20"/>
          <w:szCs w:val="20"/>
        </w:rPr>
        <w:t xml:space="preserve">, </w:t>
      </w:r>
      <w:r w:rsidR="001F16EE">
        <w:rPr>
          <w:rFonts w:eastAsia="Calibri" w:cs="Calibri"/>
          <w:sz w:val="20"/>
          <w:szCs w:val="20"/>
        </w:rPr>
        <w:t>vy</w:t>
      </w:r>
      <w:r w:rsidRPr="00AD1819">
        <w:rPr>
          <w:rFonts w:eastAsia="Calibri" w:cs="Calibri"/>
          <w:sz w:val="20"/>
          <w:szCs w:val="20"/>
        </w:rPr>
        <w:t>pracoval NKÚ.</w:t>
      </w:r>
    </w:p>
    <w:p w14:paraId="3D186D95" w14:textId="77777777" w:rsidR="00575F86" w:rsidRPr="00AD1819" w:rsidRDefault="00035012" w:rsidP="00AD1819">
      <w:pPr>
        <w:spacing w:before="120"/>
        <w:jc w:val="both"/>
        <w:rPr>
          <w:rFonts w:asciiTheme="minorHAnsi" w:hAnsiTheme="minorHAnsi"/>
          <w:b/>
        </w:rPr>
        <w:sectPr w:rsidR="00575F86" w:rsidRPr="00AD1819" w:rsidSect="00DF6AD0"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D1819">
        <w:rPr>
          <w:rFonts w:cs="Calibri"/>
        </w:rPr>
        <w:t>NKÚ</w:t>
      </w:r>
      <w:r w:rsidRPr="00992F7F">
        <w:rPr>
          <w:rFonts w:cs="Calibri"/>
        </w:rPr>
        <w:t xml:space="preserve"> odsouhlasil, že údaje o plnění rozpočtu a peněžních tocích se promítly správně v účetnictví a rozdíly mezi náklady a výnosy vs. příjmy a výdaji byly vysvětlitelné.</w:t>
      </w:r>
    </w:p>
    <w:bookmarkEnd w:id="11"/>
    <w:p w14:paraId="6D30CF48" w14:textId="77777777" w:rsidR="00FC2B6C" w:rsidRPr="00CC1529" w:rsidRDefault="00035012" w:rsidP="00B75F34">
      <w:pPr>
        <w:pStyle w:val="Nadpis1"/>
        <w:keepNext/>
        <w:spacing w:after="240" w:line="240" w:lineRule="auto"/>
        <w:jc w:val="right"/>
        <w:rPr>
          <w:sz w:val="24"/>
        </w:rPr>
      </w:pPr>
      <w:r w:rsidRPr="00CC1529">
        <w:rPr>
          <w:sz w:val="24"/>
        </w:rPr>
        <w:lastRenderedPageBreak/>
        <w:t>Příloha č. 2</w:t>
      </w:r>
    </w:p>
    <w:p w14:paraId="048CFB6A" w14:textId="77777777" w:rsidR="006B765F" w:rsidRPr="00B066D6" w:rsidRDefault="00035012" w:rsidP="00B066D6">
      <w:pPr>
        <w:rPr>
          <w:b/>
          <w:bCs/>
        </w:rPr>
      </w:pPr>
      <w:r w:rsidRPr="00B066D6">
        <w:rPr>
          <w:b/>
          <w:bCs/>
        </w:rPr>
        <w:t>Informace vykazované na podrozvahových účtech</w:t>
      </w:r>
    </w:p>
    <w:p w14:paraId="2F95C788" w14:textId="77777777" w:rsidR="006B765F" w:rsidRPr="00CC1529" w:rsidRDefault="00035012" w:rsidP="00636BC4">
      <w:pPr>
        <w:spacing w:before="120"/>
        <w:jc w:val="both"/>
        <w:rPr>
          <w:rFonts w:asciiTheme="minorHAnsi" w:hAnsiTheme="minorHAnsi" w:cstheme="minorHAnsi"/>
          <w:bCs/>
          <w:iCs/>
        </w:rPr>
      </w:pPr>
      <w:r w:rsidRPr="00CC1529">
        <w:rPr>
          <w:rFonts w:asciiTheme="minorHAnsi" w:hAnsiTheme="minorHAnsi" w:cstheme="minorHAnsi"/>
          <w:bCs/>
          <w:iCs/>
        </w:rPr>
        <w:t>Zákon č. 563/1991 Sb. v</w:t>
      </w:r>
      <w:r w:rsidR="000B28CE" w:rsidRPr="00CC1529">
        <w:rPr>
          <w:rFonts w:asciiTheme="minorHAnsi" w:hAnsiTheme="minorHAnsi" w:cstheme="minorHAnsi"/>
          <w:bCs/>
          <w:iCs/>
        </w:rPr>
        <w:t xml:space="preserve"> ustanovení </w:t>
      </w:r>
      <w:r w:rsidRPr="00CC1529">
        <w:rPr>
          <w:rFonts w:asciiTheme="minorHAnsi" w:hAnsiTheme="minorHAnsi" w:cstheme="minorHAnsi"/>
          <w:bCs/>
          <w:iCs/>
        </w:rPr>
        <w:t xml:space="preserve">§ 7 odst. 5 stanovuje pro vybrané účetní jednotky povinnost uvádět v příloze účetní závěrky informace o stavu účtů v knize podrozvahových účtů. </w:t>
      </w:r>
    </w:p>
    <w:p w14:paraId="201484D3" w14:textId="77777777" w:rsidR="006B765F" w:rsidRPr="00D92831" w:rsidRDefault="00035012" w:rsidP="00636BC4">
      <w:pPr>
        <w:spacing w:before="120"/>
        <w:jc w:val="both"/>
        <w:rPr>
          <w:rFonts w:asciiTheme="minorHAnsi" w:hAnsiTheme="minorHAnsi" w:cstheme="minorHAnsi"/>
          <w:bCs/>
          <w:iCs/>
        </w:rPr>
      </w:pPr>
      <w:r w:rsidRPr="00D92831">
        <w:rPr>
          <w:rFonts w:asciiTheme="minorHAnsi" w:hAnsiTheme="minorHAnsi" w:cstheme="minorHAnsi"/>
          <w:bCs/>
          <w:iCs/>
        </w:rPr>
        <w:t>Uspořádání a označování podrozvahových účtů stanovuje příloha č. 5 vyhláš</w:t>
      </w:r>
      <w:r w:rsidR="00F34B20" w:rsidRPr="00D92831">
        <w:rPr>
          <w:rFonts w:asciiTheme="minorHAnsi" w:hAnsiTheme="minorHAnsi" w:cstheme="minorHAnsi"/>
          <w:bCs/>
          <w:iCs/>
        </w:rPr>
        <w:t>ky</w:t>
      </w:r>
      <w:r w:rsidRPr="00D92831">
        <w:rPr>
          <w:rFonts w:asciiTheme="minorHAnsi" w:hAnsiTheme="minorHAnsi" w:cstheme="minorHAnsi"/>
          <w:bCs/>
          <w:iCs/>
        </w:rPr>
        <w:t xml:space="preserve"> č. 410/2009 Sb. a </w:t>
      </w:r>
      <w:r w:rsidR="00F34B20" w:rsidRPr="00D92831">
        <w:rPr>
          <w:rFonts w:asciiTheme="minorHAnsi" w:hAnsiTheme="minorHAnsi" w:cstheme="minorHAnsi"/>
          <w:bCs/>
          <w:iCs/>
        </w:rPr>
        <w:t>také</w:t>
      </w:r>
      <w:r w:rsidRPr="00D92831">
        <w:rPr>
          <w:rFonts w:asciiTheme="minorHAnsi" w:hAnsiTheme="minorHAnsi" w:cstheme="minorHAnsi"/>
          <w:bCs/>
          <w:iCs/>
        </w:rPr>
        <w:t xml:space="preserve"> směrn</w:t>
      </w:r>
      <w:r w:rsidR="00F34B20" w:rsidRPr="00D92831">
        <w:rPr>
          <w:rFonts w:asciiTheme="minorHAnsi" w:hAnsiTheme="minorHAnsi" w:cstheme="minorHAnsi"/>
          <w:bCs/>
          <w:iCs/>
        </w:rPr>
        <w:t>á</w:t>
      </w:r>
      <w:r w:rsidRPr="00D92831">
        <w:rPr>
          <w:rFonts w:asciiTheme="minorHAnsi" w:hAnsiTheme="minorHAnsi" w:cstheme="minorHAnsi"/>
          <w:bCs/>
          <w:iCs/>
        </w:rPr>
        <w:t xml:space="preserve"> účtov</w:t>
      </w:r>
      <w:r w:rsidR="00F34B20" w:rsidRPr="00D92831">
        <w:rPr>
          <w:rFonts w:asciiTheme="minorHAnsi" w:hAnsiTheme="minorHAnsi" w:cstheme="minorHAnsi"/>
          <w:bCs/>
          <w:iCs/>
        </w:rPr>
        <w:t>á</w:t>
      </w:r>
      <w:r w:rsidRPr="00D92831">
        <w:rPr>
          <w:rFonts w:asciiTheme="minorHAnsi" w:hAnsiTheme="minorHAnsi" w:cstheme="minorHAnsi"/>
          <w:bCs/>
          <w:iCs/>
        </w:rPr>
        <w:t xml:space="preserve"> osnov</w:t>
      </w:r>
      <w:r w:rsidR="00F34B20" w:rsidRPr="00D92831">
        <w:rPr>
          <w:rFonts w:asciiTheme="minorHAnsi" w:hAnsiTheme="minorHAnsi" w:cstheme="minorHAnsi"/>
          <w:bCs/>
          <w:iCs/>
        </w:rPr>
        <w:t>a</w:t>
      </w:r>
      <w:r w:rsidRPr="00D92831">
        <w:rPr>
          <w:rFonts w:asciiTheme="minorHAnsi" w:hAnsiTheme="minorHAnsi" w:cstheme="minorHAnsi"/>
          <w:bCs/>
          <w:iCs/>
        </w:rPr>
        <w:t xml:space="preserve">, která je pro vybrané účetní jednotky dle </w:t>
      </w:r>
      <w:r w:rsidR="003E6E79" w:rsidRPr="00D92831">
        <w:rPr>
          <w:rFonts w:asciiTheme="minorHAnsi" w:hAnsiTheme="minorHAnsi" w:cstheme="minorHAnsi"/>
          <w:bCs/>
          <w:iCs/>
        </w:rPr>
        <w:t xml:space="preserve">ustanovení </w:t>
      </w:r>
      <w:r w:rsidRPr="00D92831">
        <w:rPr>
          <w:rFonts w:asciiTheme="minorHAnsi" w:hAnsiTheme="minorHAnsi" w:cstheme="minorHAnsi"/>
          <w:bCs/>
          <w:iCs/>
        </w:rPr>
        <w:t>§ 76 této vyhlášky závazná. Obsahové vymezení podrozvahových účtů je pak upraveno v</w:t>
      </w:r>
      <w:r w:rsidR="003E6E79" w:rsidRPr="00D92831">
        <w:rPr>
          <w:rFonts w:asciiTheme="minorHAnsi" w:hAnsiTheme="minorHAnsi" w:cstheme="minorHAnsi"/>
          <w:bCs/>
          <w:iCs/>
        </w:rPr>
        <w:t xml:space="preserve"> ustanovení </w:t>
      </w:r>
      <w:r w:rsidRPr="00D92831">
        <w:rPr>
          <w:rFonts w:asciiTheme="minorHAnsi" w:hAnsiTheme="minorHAnsi" w:cstheme="minorHAnsi"/>
          <w:bCs/>
          <w:iCs/>
        </w:rPr>
        <w:t>§</w:t>
      </w:r>
      <w:r w:rsidR="007770C6" w:rsidRPr="00D92831">
        <w:rPr>
          <w:rFonts w:asciiTheme="minorHAnsi" w:hAnsiTheme="minorHAnsi" w:cstheme="minorHAnsi"/>
          <w:bCs/>
          <w:iCs/>
        </w:rPr>
        <w:t> </w:t>
      </w:r>
      <w:r w:rsidRPr="00D92831">
        <w:rPr>
          <w:rFonts w:asciiTheme="minorHAnsi" w:hAnsiTheme="minorHAnsi" w:cstheme="minorHAnsi"/>
          <w:bCs/>
          <w:iCs/>
        </w:rPr>
        <w:t>49 až 54 vyhlášky č. 410/2009 Sb.</w:t>
      </w:r>
    </w:p>
    <w:p w14:paraId="4E385304" w14:textId="77777777" w:rsidR="006B765F" w:rsidRPr="00D92831" w:rsidRDefault="00035012" w:rsidP="00636BC4">
      <w:pPr>
        <w:spacing w:before="120"/>
        <w:jc w:val="both"/>
        <w:rPr>
          <w:rFonts w:asciiTheme="minorHAnsi" w:hAnsiTheme="minorHAnsi" w:cstheme="minorHAnsi"/>
          <w:bCs/>
          <w:iCs/>
        </w:rPr>
      </w:pPr>
      <w:r w:rsidRPr="00D92831">
        <w:rPr>
          <w:rFonts w:asciiTheme="minorHAnsi" w:hAnsiTheme="minorHAnsi" w:cstheme="minorHAnsi"/>
          <w:bCs/>
          <w:iCs/>
        </w:rPr>
        <w:t>Údaje o stavu účtů v</w:t>
      </w:r>
      <w:r w:rsidR="007770C6" w:rsidRPr="00D92831">
        <w:rPr>
          <w:rFonts w:asciiTheme="minorHAnsi" w:hAnsiTheme="minorHAnsi" w:cstheme="minorHAnsi"/>
          <w:bCs/>
          <w:iCs/>
        </w:rPr>
        <w:t xml:space="preserve"> </w:t>
      </w:r>
      <w:r w:rsidRPr="00D92831">
        <w:rPr>
          <w:rFonts w:asciiTheme="minorHAnsi" w:hAnsiTheme="minorHAnsi" w:cstheme="minorHAnsi"/>
          <w:bCs/>
          <w:iCs/>
        </w:rPr>
        <w:t xml:space="preserve">knize podrozvahových účtů jsou rovněž součástí účetních výkazů za Českou republiku dle </w:t>
      </w:r>
      <w:r w:rsidR="003E6E79" w:rsidRPr="00D92831">
        <w:rPr>
          <w:rFonts w:asciiTheme="minorHAnsi" w:hAnsiTheme="minorHAnsi" w:cstheme="minorHAnsi"/>
          <w:bCs/>
          <w:iCs/>
        </w:rPr>
        <w:t xml:space="preserve">ustanovení </w:t>
      </w:r>
      <w:r w:rsidRPr="00D92831">
        <w:rPr>
          <w:rFonts w:asciiTheme="minorHAnsi" w:hAnsiTheme="minorHAnsi" w:cstheme="minorHAnsi"/>
          <w:bCs/>
          <w:iCs/>
        </w:rPr>
        <w:t>§ 23b zákona č. 563/1991 Sb. a vyhlášky č. 312/2014 Sb.</w:t>
      </w:r>
      <w:r>
        <w:rPr>
          <w:rStyle w:val="Znakapoznpodarou"/>
          <w:rFonts w:asciiTheme="minorHAnsi" w:hAnsiTheme="minorHAnsi" w:cstheme="minorHAnsi"/>
          <w:bCs/>
          <w:iCs/>
        </w:rPr>
        <w:footnoteReference w:id="37"/>
      </w:r>
      <w:r w:rsidRPr="00D92831">
        <w:rPr>
          <w:rFonts w:asciiTheme="minorHAnsi" w:hAnsiTheme="minorHAnsi" w:cstheme="minorHAnsi"/>
          <w:bCs/>
          <w:iCs/>
        </w:rPr>
        <w:t xml:space="preserve"> </w:t>
      </w:r>
    </w:p>
    <w:p w14:paraId="61D59B6A" w14:textId="77777777" w:rsidR="006B765F" w:rsidRPr="00D92831" w:rsidRDefault="00035012" w:rsidP="00636BC4">
      <w:pPr>
        <w:spacing w:before="120"/>
        <w:jc w:val="both"/>
        <w:rPr>
          <w:rFonts w:cs="Calibri"/>
        </w:rPr>
      </w:pPr>
      <w:r w:rsidRPr="00D92831">
        <w:rPr>
          <w:rFonts w:asciiTheme="minorHAnsi" w:hAnsiTheme="minorHAnsi" w:cstheme="minorHAnsi"/>
          <w:bCs/>
        </w:rPr>
        <w:t>Podrozvahové účty lze obecně označit za oblast výkaznictví o potenciálním (možném) či nejistém majetku a závazcích</w:t>
      </w:r>
      <w:r w:rsidR="00F34B20" w:rsidRPr="00D92831">
        <w:rPr>
          <w:rFonts w:asciiTheme="minorHAnsi" w:hAnsiTheme="minorHAnsi" w:cstheme="minorHAnsi"/>
          <w:bCs/>
        </w:rPr>
        <w:t>;</w:t>
      </w:r>
      <w:r w:rsidRPr="00D92831">
        <w:rPr>
          <w:rFonts w:asciiTheme="minorHAnsi" w:hAnsiTheme="minorHAnsi" w:cstheme="minorHAnsi"/>
          <w:bCs/>
        </w:rPr>
        <w:t xml:space="preserve"> zachycují skutečnosti, které prozatím nesplňují podmínky pro vykázání v rozvaze.</w:t>
      </w:r>
    </w:p>
    <w:p w14:paraId="5AB81EFA" w14:textId="77777777" w:rsidR="006B765F" w:rsidRPr="00D92831" w:rsidRDefault="00035012" w:rsidP="00636BC4">
      <w:pPr>
        <w:spacing w:before="120"/>
        <w:jc w:val="both"/>
      </w:pPr>
      <w:r w:rsidRPr="00D92831">
        <w:rPr>
          <w:rFonts w:cs="Calibri"/>
        </w:rPr>
        <w:t>Významnost pro účtování na podrozvahových účtech a oceňování podmíněných aktiv a</w:t>
      </w:r>
      <w:r w:rsidR="003E6E79" w:rsidRPr="00D92831">
        <w:rPr>
          <w:rFonts w:cs="Calibri"/>
        </w:rPr>
        <w:t> </w:t>
      </w:r>
      <w:r w:rsidRPr="00D92831">
        <w:rPr>
          <w:rFonts w:cs="Calibri"/>
        </w:rPr>
        <w:t xml:space="preserve">podmíněných pasiv si </w:t>
      </w:r>
      <w:r w:rsidR="00D92831" w:rsidRPr="00D92831">
        <w:rPr>
          <w:rFonts w:cs="Calibri"/>
        </w:rPr>
        <w:t>NSA</w:t>
      </w:r>
      <w:r w:rsidRPr="00D92831">
        <w:rPr>
          <w:rFonts w:cs="Calibri"/>
        </w:rPr>
        <w:t xml:space="preserve"> pro rok 202</w:t>
      </w:r>
      <w:r w:rsidR="00D92831" w:rsidRPr="00D92831">
        <w:rPr>
          <w:rFonts w:cs="Calibri"/>
        </w:rPr>
        <w:t>4</w:t>
      </w:r>
      <w:r w:rsidRPr="00D92831">
        <w:rPr>
          <w:rFonts w:cs="Calibri"/>
        </w:rPr>
        <w:t xml:space="preserve"> upravil</w:t>
      </w:r>
      <w:r w:rsidR="00D92831" w:rsidRPr="00D92831">
        <w:rPr>
          <w:rFonts w:cs="Calibri"/>
        </w:rPr>
        <w:t>a</w:t>
      </w:r>
      <w:r w:rsidRPr="00D92831">
        <w:rPr>
          <w:rFonts w:cs="Calibri"/>
        </w:rPr>
        <w:t xml:space="preserve"> následovně:</w:t>
      </w:r>
    </w:p>
    <w:p w14:paraId="6489451E" w14:textId="77777777" w:rsidR="003E6E79" w:rsidRPr="002F6ECE" w:rsidRDefault="00035012" w:rsidP="00636BC4">
      <w:pPr>
        <w:spacing w:before="120"/>
        <w:rPr>
          <w:rFonts w:cs="Calibri"/>
          <w:b/>
          <w:bCs/>
          <w:highlight w:val="green"/>
          <w:lang w:eastAsia="cs-CZ"/>
        </w:rPr>
      </w:pPr>
      <w:r w:rsidRPr="002F6ECE">
        <w:rPr>
          <w:rFonts w:cs="Calibri"/>
          <w:b/>
          <w:bCs/>
          <w:highlight w:val="green"/>
          <w:lang w:eastAsia="cs-CZ"/>
        </w:rPr>
        <w:br w:type="page"/>
      </w:r>
    </w:p>
    <w:p w14:paraId="012D8A1C" w14:textId="77777777" w:rsidR="006B765F" w:rsidRPr="00D92831" w:rsidRDefault="00035012" w:rsidP="00DF6AD0">
      <w:pPr>
        <w:spacing w:after="40"/>
        <w:ind w:left="1304" w:hanging="1304"/>
        <w:jc w:val="both"/>
        <w:rPr>
          <w:rFonts w:cs="Calibri"/>
          <w:b/>
          <w:bCs/>
          <w:lang w:eastAsia="cs-CZ"/>
        </w:rPr>
      </w:pPr>
      <w:r w:rsidRPr="00D92831">
        <w:rPr>
          <w:rFonts w:cs="Calibri"/>
          <w:b/>
          <w:bCs/>
          <w:lang w:eastAsia="cs-CZ"/>
        </w:rPr>
        <w:lastRenderedPageBreak/>
        <w:t>Tabulka</w:t>
      </w:r>
      <w:r w:rsidR="00EC7467" w:rsidRPr="00D92831">
        <w:rPr>
          <w:rFonts w:cs="Calibri"/>
          <w:b/>
          <w:bCs/>
          <w:lang w:eastAsia="cs-CZ"/>
        </w:rPr>
        <w:t xml:space="preserve"> č.</w:t>
      </w:r>
      <w:r w:rsidRPr="00D92831">
        <w:rPr>
          <w:rFonts w:cs="Calibri"/>
          <w:b/>
          <w:bCs/>
          <w:lang w:eastAsia="cs-CZ"/>
        </w:rPr>
        <w:t xml:space="preserve"> </w:t>
      </w:r>
      <w:r w:rsidR="0093410D" w:rsidRPr="00D92831">
        <w:rPr>
          <w:rFonts w:cs="Calibri"/>
          <w:b/>
          <w:bCs/>
          <w:lang w:eastAsia="cs-CZ"/>
        </w:rPr>
        <w:t>1</w:t>
      </w:r>
      <w:r w:rsidRPr="00D92831">
        <w:rPr>
          <w:rFonts w:cs="Calibri"/>
          <w:b/>
          <w:bCs/>
          <w:lang w:eastAsia="cs-CZ"/>
        </w:rPr>
        <w:t xml:space="preserve">: </w:t>
      </w:r>
      <w:r w:rsidR="00EC7467" w:rsidRPr="00D92831">
        <w:rPr>
          <w:rFonts w:cs="Calibri"/>
          <w:b/>
          <w:bCs/>
          <w:lang w:eastAsia="cs-CZ"/>
        </w:rPr>
        <w:tab/>
      </w:r>
      <w:r w:rsidRPr="00D92831">
        <w:rPr>
          <w:rFonts w:cs="Calibri"/>
          <w:b/>
          <w:bCs/>
          <w:lang w:eastAsia="cs-CZ"/>
        </w:rPr>
        <w:t xml:space="preserve">Úprava významnosti a oceňování na podrozvahových účtech </w:t>
      </w:r>
      <w:r w:rsidR="00D92831" w:rsidRPr="00D92831">
        <w:rPr>
          <w:rFonts w:cs="Calibri"/>
          <w:b/>
          <w:bCs/>
          <w:lang w:eastAsia="cs-CZ"/>
        </w:rPr>
        <w:t>NSA</w:t>
      </w:r>
      <w:r w:rsidRPr="00D92831">
        <w:rPr>
          <w:rFonts w:cs="Calibri"/>
          <w:b/>
          <w:bCs/>
          <w:lang w:eastAsia="cs-CZ"/>
        </w:rPr>
        <w:t xml:space="preserve"> pro </w:t>
      </w:r>
      <w:r w:rsidR="003E6E79" w:rsidRPr="00D92831">
        <w:rPr>
          <w:rFonts w:cs="Calibri"/>
          <w:b/>
          <w:bCs/>
          <w:lang w:eastAsia="cs-CZ"/>
        </w:rPr>
        <w:br/>
      </w:r>
      <w:r w:rsidRPr="00D92831">
        <w:rPr>
          <w:rFonts w:cs="Calibri"/>
          <w:b/>
          <w:bCs/>
          <w:lang w:eastAsia="cs-CZ"/>
        </w:rPr>
        <w:t>rok 202</w:t>
      </w:r>
      <w:r w:rsidR="00D92831" w:rsidRPr="00D92831">
        <w:rPr>
          <w:rFonts w:cs="Calibri"/>
          <w:b/>
          <w:bCs/>
          <w:lang w:eastAsia="cs-CZ"/>
        </w:rPr>
        <w:t>4</w:t>
      </w:r>
    </w:p>
    <w:tbl>
      <w:tblPr>
        <w:tblStyle w:val="Mkatabulky1"/>
        <w:tblW w:w="91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78"/>
        <w:gridCol w:w="3288"/>
        <w:gridCol w:w="3118"/>
      </w:tblGrid>
      <w:tr w:rsidR="00B07849" w14:paraId="5B35E8B1" w14:textId="77777777" w:rsidTr="00CC3E47">
        <w:trPr>
          <w:trHeight w:val="283"/>
          <w:tblHeader/>
          <w:jc w:val="center"/>
        </w:trPr>
        <w:tc>
          <w:tcPr>
            <w:tcW w:w="2778" w:type="dxa"/>
            <w:shd w:val="clear" w:color="auto" w:fill="E6E6E6"/>
            <w:vAlign w:val="center"/>
            <w:hideMark/>
          </w:tcPr>
          <w:p w14:paraId="4B181176" w14:textId="77777777" w:rsidR="00CD6248" w:rsidRPr="00D92831" w:rsidRDefault="00035012" w:rsidP="00CC3E47">
            <w:pPr>
              <w:spacing w:after="0"/>
              <w:jc w:val="center"/>
              <w:rPr>
                <w:rFonts w:cs="Calibri"/>
                <w:b/>
                <w:sz w:val="19"/>
                <w:szCs w:val="19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Oblast podrozvahové evidence</w:t>
            </w:r>
          </w:p>
        </w:tc>
        <w:tc>
          <w:tcPr>
            <w:tcW w:w="3288" w:type="dxa"/>
            <w:shd w:val="clear" w:color="auto" w:fill="E6E6E6"/>
            <w:vAlign w:val="center"/>
            <w:hideMark/>
          </w:tcPr>
          <w:p w14:paraId="7562CC08" w14:textId="77777777" w:rsidR="00CD6248" w:rsidRPr="00D92831" w:rsidRDefault="00035012" w:rsidP="00CC3E47">
            <w:pPr>
              <w:spacing w:after="0"/>
              <w:jc w:val="center"/>
              <w:rPr>
                <w:rFonts w:cs="Calibri"/>
                <w:b/>
                <w:sz w:val="19"/>
                <w:szCs w:val="19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Významnost</w:t>
            </w:r>
          </w:p>
        </w:tc>
        <w:tc>
          <w:tcPr>
            <w:tcW w:w="3118" w:type="dxa"/>
            <w:shd w:val="clear" w:color="auto" w:fill="E6E6E6"/>
            <w:vAlign w:val="center"/>
            <w:hideMark/>
          </w:tcPr>
          <w:p w14:paraId="6A3A5759" w14:textId="77777777" w:rsidR="00CD6248" w:rsidRPr="00D92831" w:rsidRDefault="00035012" w:rsidP="00CC3E47">
            <w:pPr>
              <w:spacing w:after="0"/>
              <w:jc w:val="center"/>
              <w:rPr>
                <w:rFonts w:cs="Calibri"/>
                <w:b/>
                <w:sz w:val="19"/>
                <w:szCs w:val="19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Oceňování</w:t>
            </w:r>
          </w:p>
        </w:tc>
      </w:tr>
      <w:tr w:rsidR="00B07849" w14:paraId="0B095902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3E2CB5B4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 xml:space="preserve">Jiný drobný dlouhodobý nehmotný majetek </w:t>
            </w:r>
            <w:r w:rsidRPr="00D92831">
              <w:rPr>
                <w:rFonts w:cs="Calibri"/>
                <w:sz w:val="19"/>
                <w:szCs w:val="19"/>
              </w:rPr>
              <w:t>(účet 901)</w:t>
            </w:r>
          </w:p>
        </w:tc>
        <w:tc>
          <w:tcPr>
            <w:tcW w:w="3288" w:type="dxa"/>
            <w:vAlign w:val="center"/>
            <w:hideMark/>
          </w:tcPr>
          <w:p w14:paraId="54438757" w14:textId="77777777" w:rsidR="00CD6248" w:rsidRPr="00D92831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 w:rsidRPr="00D92831">
              <w:rPr>
                <w:rFonts w:cs="Calibri"/>
                <w:sz w:val="19"/>
                <w:szCs w:val="19"/>
              </w:rPr>
              <w:t>Není stanovena</w:t>
            </w:r>
          </w:p>
        </w:tc>
        <w:tc>
          <w:tcPr>
            <w:tcW w:w="3118" w:type="dxa"/>
            <w:vAlign w:val="center"/>
            <w:hideMark/>
          </w:tcPr>
          <w:p w14:paraId="3DAC035A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Hranice pro ocenění jiného drobného dlouhodobého nehmotného majetku jsou 1 Kč až 6 999 Kč</w:t>
            </w:r>
          </w:p>
        </w:tc>
      </w:tr>
      <w:tr w:rsidR="00B07849" w14:paraId="239262E8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00A855E1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Jiný drobný dlouhodobý hmotný majetek</w:t>
            </w:r>
            <w:r w:rsidRPr="00D92831">
              <w:rPr>
                <w:rFonts w:cs="Calibri"/>
                <w:sz w:val="19"/>
                <w:szCs w:val="19"/>
              </w:rPr>
              <w:t xml:space="preserve"> (účet 902)</w:t>
            </w:r>
          </w:p>
        </w:tc>
        <w:tc>
          <w:tcPr>
            <w:tcW w:w="3288" w:type="dxa"/>
            <w:vAlign w:val="center"/>
            <w:hideMark/>
          </w:tcPr>
          <w:p w14:paraId="54F35C66" w14:textId="77777777" w:rsidR="00CD6248" w:rsidRPr="00D92831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 w:rsidRPr="00D92831">
              <w:rPr>
                <w:rFonts w:cs="Calibri"/>
                <w:sz w:val="19"/>
                <w:szCs w:val="19"/>
              </w:rPr>
              <w:t>Není stanovena</w:t>
            </w:r>
          </w:p>
        </w:tc>
        <w:tc>
          <w:tcPr>
            <w:tcW w:w="3118" w:type="dxa"/>
            <w:vAlign w:val="center"/>
            <w:hideMark/>
          </w:tcPr>
          <w:p w14:paraId="172C8FB9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Hranice pro ocenění jiného drobného dlouhodobého hmotného majetku jsou 1 Kč až 2 999 Kč</w:t>
            </w:r>
          </w:p>
        </w:tc>
      </w:tr>
      <w:tr w:rsidR="00B07849" w14:paraId="61B8026F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41E928AF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Vyřazené pohledávky</w:t>
            </w:r>
            <w:r w:rsidRPr="00D92831">
              <w:rPr>
                <w:rFonts w:cs="Calibri"/>
                <w:sz w:val="19"/>
                <w:szCs w:val="19"/>
              </w:rPr>
              <w:t xml:space="preserve"> (účet 905)</w:t>
            </w:r>
          </w:p>
        </w:tc>
        <w:tc>
          <w:tcPr>
            <w:tcW w:w="3288" w:type="dxa"/>
            <w:vAlign w:val="center"/>
            <w:hideMark/>
          </w:tcPr>
          <w:p w14:paraId="28CAA994" w14:textId="77777777" w:rsidR="00CD6248" w:rsidRPr="00D92831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 w:rsidRPr="00D92831">
              <w:rPr>
                <w:rFonts w:cs="Calibri"/>
                <w:sz w:val="19"/>
                <w:szCs w:val="19"/>
              </w:rPr>
              <w:t>Není stanovena</w:t>
            </w:r>
          </w:p>
        </w:tc>
        <w:tc>
          <w:tcPr>
            <w:tcW w:w="3118" w:type="dxa"/>
            <w:vAlign w:val="center"/>
            <w:hideMark/>
          </w:tcPr>
          <w:p w14:paraId="01D84ABE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</w:rPr>
            </w:pPr>
            <w:r w:rsidRPr="00D92831">
              <w:rPr>
                <w:rFonts w:cs="Calibri"/>
                <w:sz w:val="19"/>
                <w:szCs w:val="19"/>
              </w:rPr>
              <w:t>Hodnota vyřazené pohledávky</w:t>
            </w:r>
          </w:p>
        </w:tc>
      </w:tr>
      <w:tr w:rsidR="00B07849" w14:paraId="18BA0F19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6B424AFE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 xml:space="preserve">Ostatní podmíněné závazky z transferů </w:t>
            </w:r>
            <w:r w:rsidRPr="00D92831">
              <w:rPr>
                <w:rFonts w:cs="Calibri"/>
                <w:sz w:val="19"/>
                <w:szCs w:val="19"/>
              </w:rPr>
              <w:t>(účty 916 a 956)</w:t>
            </w:r>
          </w:p>
        </w:tc>
        <w:tc>
          <w:tcPr>
            <w:tcW w:w="3288" w:type="dxa"/>
            <w:vAlign w:val="center"/>
          </w:tcPr>
          <w:p w14:paraId="6943EDFA" w14:textId="023F2A63" w:rsidR="00CD6248" w:rsidRPr="00D92831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Za významné se považují veškeré podmíněné závazky ve vztahu k</w:t>
            </w:r>
            <w:r w:rsidR="00CC3E47">
              <w:rPr>
                <w:rFonts w:cs="Calibri"/>
                <w:sz w:val="19"/>
                <w:szCs w:val="19"/>
              </w:rPr>
              <w:t> </w:t>
            </w:r>
            <w:r w:rsidRPr="00D92831">
              <w:rPr>
                <w:rFonts w:cs="Calibri"/>
                <w:sz w:val="19"/>
                <w:szCs w:val="19"/>
              </w:rPr>
              <w:t>transferům</w:t>
            </w:r>
          </w:p>
        </w:tc>
        <w:tc>
          <w:tcPr>
            <w:tcW w:w="3118" w:type="dxa"/>
            <w:vAlign w:val="center"/>
            <w:hideMark/>
          </w:tcPr>
          <w:p w14:paraId="6E0D8BD3" w14:textId="77777777" w:rsidR="00CD6248" w:rsidRPr="00D92831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V předpokládané výši dluhů dle § 72 vyhlášky č. 410/2009 Sb.</w:t>
            </w:r>
          </w:p>
        </w:tc>
      </w:tr>
      <w:tr w:rsidR="00B07849" w14:paraId="0404A3D5" w14:textId="77777777" w:rsidTr="00CC3E47">
        <w:trPr>
          <w:trHeight w:val="255"/>
          <w:jc w:val="center"/>
        </w:trPr>
        <w:tc>
          <w:tcPr>
            <w:tcW w:w="2778" w:type="dxa"/>
            <w:vAlign w:val="center"/>
          </w:tcPr>
          <w:p w14:paraId="34E1E5DC" w14:textId="77777777" w:rsidR="00D92831" w:rsidRPr="00D92831" w:rsidRDefault="00035012" w:rsidP="00CC3E47">
            <w:pPr>
              <w:spacing w:after="0"/>
              <w:rPr>
                <w:rFonts w:cs="Calibri"/>
                <w:b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Podmíněné pohledávky ze smluv o prodeji dlouhodobého majetku </w:t>
            </w:r>
            <w:r w:rsidRPr="00D92831">
              <w:rPr>
                <w:rFonts w:asciiTheme="minorHAnsi" w:hAnsiTheme="minorHAnsi" w:cstheme="minorHAnsi"/>
                <w:bCs/>
                <w:sz w:val="19"/>
                <w:szCs w:val="19"/>
              </w:rPr>
              <w:t>(účty 931 a 932)</w:t>
            </w:r>
          </w:p>
        </w:tc>
        <w:tc>
          <w:tcPr>
            <w:tcW w:w="3288" w:type="dxa"/>
            <w:vAlign w:val="center"/>
          </w:tcPr>
          <w:p w14:paraId="593BF01A" w14:textId="77777777" w:rsidR="00D92831" w:rsidRPr="00D92831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Od výše celkového plnění 500 000 Kč včetně DPH za každou uzavřenou smlouvu</w:t>
            </w:r>
          </w:p>
        </w:tc>
        <w:tc>
          <w:tcPr>
            <w:tcW w:w="3118" w:type="dxa"/>
            <w:vAlign w:val="center"/>
          </w:tcPr>
          <w:p w14:paraId="6B7704B6" w14:textId="77777777" w:rsidR="00D92831" w:rsidRPr="00D92831" w:rsidRDefault="00035012" w:rsidP="00CC3E4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b/>
                <w:sz w:val="19"/>
                <w:szCs w:val="19"/>
              </w:rPr>
              <w:t>U smluv na dobu neurčitou</w:t>
            </w: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: ve výši 3násobku roční pohledávky (podle klíče 0+3).</w:t>
            </w:r>
          </w:p>
          <w:p w14:paraId="4FFCB034" w14:textId="77777777" w:rsidR="00D92831" w:rsidRPr="00D92831" w:rsidRDefault="00035012" w:rsidP="00CC3E4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b/>
                <w:sz w:val="19"/>
                <w:szCs w:val="19"/>
              </w:rPr>
              <w:t>U smluv na dobu určitou:</w:t>
            </w: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 xml:space="preserve"> v celkové výši smlouvy, a to:</w:t>
            </w:r>
          </w:p>
          <w:p w14:paraId="2C009EEC" w14:textId="77777777" w:rsidR="00D92831" w:rsidRPr="00D92831" w:rsidRDefault="00035012" w:rsidP="00CC3E47">
            <w:pPr>
              <w:pStyle w:val="Odstavecseseznamem"/>
              <w:numPr>
                <w:ilvl w:val="0"/>
                <w:numId w:val="17"/>
              </w:numPr>
              <w:spacing w:after="0"/>
              <w:ind w:left="244" w:hanging="142"/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u smlouvy do jednoho roku: krátkodobá podmíněná pohledávka</w:t>
            </w:r>
          </w:p>
          <w:p w14:paraId="2EDD8A05" w14:textId="77777777" w:rsidR="00D92831" w:rsidRPr="00D92831" w:rsidRDefault="00035012" w:rsidP="00CC3E47">
            <w:pPr>
              <w:pStyle w:val="Odstavecseseznamem"/>
              <w:numPr>
                <w:ilvl w:val="0"/>
                <w:numId w:val="17"/>
              </w:numPr>
              <w:spacing w:after="0"/>
              <w:ind w:left="244" w:hanging="142"/>
              <w:rPr>
                <w:rFonts w:cs="Calibr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u smlouvy nad jeden rok: dlouhodobá podmíněná pohledávka.</w:t>
            </w:r>
          </w:p>
        </w:tc>
      </w:tr>
      <w:tr w:rsidR="00B07849" w14:paraId="22C39CA4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410DD6D4" w14:textId="77777777" w:rsidR="00CD6248" w:rsidRPr="002F6ECE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Podmíněné pohledávky z jiných smluv</w:t>
            </w:r>
            <w:r w:rsidRPr="00D92831">
              <w:rPr>
                <w:rFonts w:cs="Calibri"/>
                <w:sz w:val="19"/>
                <w:szCs w:val="19"/>
              </w:rPr>
              <w:t xml:space="preserve"> (účty 933 a 934)</w:t>
            </w:r>
          </w:p>
        </w:tc>
        <w:tc>
          <w:tcPr>
            <w:tcW w:w="3288" w:type="dxa"/>
            <w:vAlign w:val="center"/>
            <w:hideMark/>
          </w:tcPr>
          <w:p w14:paraId="4AF7628D" w14:textId="77777777" w:rsidR="00CD6248" w:rsidRPr="002F6ECE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Od výše celkového plnění 500 000 Kč včetně DPH za každou uzavřenou smlouvu</w:t>
            </w:r>
          </w:p>
        </w:tc>
        <w:tc>
          <w:tcPr>
            <w:tcW w:w="3118" w:type="dxa"/>
            <w:vAlign w:val="center"/>
            <w:hideMark/>
          </w:tcPr>
          <w:p w14:paraId="0F8C8568" w14:textId="67319490" w:rsidR="00D92831" w:rsidRPr="00D92831" w:rsidRDefault="00035012" w:rsidP="00CC3E47">
            <w:pPr>
              <w:rPr>
                <w:rFonts w:asciiTheme="minorHAnsi" w:hAnsiTheme="minorHAnsi" w:cstheme="minorHAnsi"/>
                <w:sz w:val="19"/>
                <w:szCs w:val="19"/>
                <w:highlight w:val="red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 xml:space="preserve">Celková výše smlouvy (smlouvy se uzavírají na období maximálně </w:t>
            </w:r>
            <w:r w:rsidR="001F49DB">
              <w:rPr>
                <w:rFonts w:asciiTheme="minorHAnsi" w:hAnsiTheme="minorHAnsi" w:cstheme="minorHAnsi"/>
                <w:sz w:val="19"/>
                <w:szCs w:val="19"/>
              </w:rPr>
              <w:t>osmi</w:t>
            </w: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 xml:space="preserve"> let), a to:</w:t>
            </w:r>
          </w:p>
          <w:p w14:paraId="1CE69384" w14:textId="77777777" w:rsidR="00D92831" w:rsidRPr="00D92831" w:rsidRDefault="00035012" w:rsidP="00CC3E47">
            <w:pPr>
              <w:pStyle w:val="Odstavecseseznamem"/>
              <w:numPr>
                <w:ilvl w:val="0"/>
                <w:numId w:val="18"/>
              </w:numPr>
              <w:spacing w:after="0"/>
              <w:ind w:left="244" w:hanging="142"/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u smlouvy do jednoho roku: krátkodobá podmíněná pohledávka</w:t>
            </w:r>
          </w:p>
          <w:p w14:paraId="54B5F349" w14:textId="77777777" w:rsidR="00D92831" w:rsidRPr="00D92831" w:rsidRDefault="00035012" w:rsidP="00CC3E47">
            <w:pPr>
              <w:pStyle w:val="Odstavecseseznamem"/>
              <w:numPr>
                <w:ilvl w:val="0"/>
                <w:numId w:val="18"/>
              </w:numPr>
              <w:spacing w:after="0"/>
              <w:ind w:left="244" w:hanging="142"/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u smlouvy nad jeden rok: dlouhodobá podmíněná pohledávka.</w:t>
            </w:r>
          </w:p>
          <w:p w14:paraId="63432A88" w14:textId="77777777" w:rsidR="00CD6248" w:rsidRPr="00D92831" w:rsidRDefault="00CD6248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</w:p>
        </w:tc>
      </w:tr>
      <w:tr w:rsidR="00B07849" w14:paraId="31F267BE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455D155F" w14:textId="77777777" w:rsidR="00CD6248" w:rsidRPr="002F6ECE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Podmíněné pohledávky ze soudních sporů, správních řízení a</w:t>
            </w:r>
            <w:r w:rsidR="004C716F" w:rsidRPr="00D92831">
              <w:rPr>
                <w:rFonts w:cs="Calibri"/>
                <w:b/>
                <w:sz w:val="19"/>
                <w:szCs w:val="19"/>
              </w:rPr>
              <w:t> </w:t>
            </w:r>
            <w:r w:rsidRPr="00D92831">
              <w:rPr>
                <w:rFonts w:cs="Calibri"/>
                <w:b/>
                <w:sz w:val="19"/>
                <w:szCs w:val="19"/>
              </w:rPr>
              <w:t xml:space="preserve">jiných řízení </w:t>
            </w:r>
            <w:r w:rsidRPr="00D92831">
              <w:rPr>
                <w:rFonts w:cs="Calibri"/>
                <w:sz w:val="19"/>
                <w:szCs w:val="19"/>
              </w:rPr>
              <w:t>(účt</w:t>
            </w:r>
            <w:r w:rsidR="00D92831" w:rsidRPr="00D92831">
              <w:rPr>
                <w:rFonts w:cs="Calibri"/>
                <w:sz w:val="19"/>
                <w:szCs w:val="19"/>
              </w:rPr>
              <w:t>y 947 a</w:t>
            </w:r>
            <w:r w:rsidRPr="00D92831">
              <w:rPr>
                <w:rFonts w:cs="Calibri"/>
                <w:sz w:val="19"/>
                <w:szCs w:val="19"/>
              </w:rPr>
              <w:t xml:space="preserve"> 948)</w:t>
            </w:r>
          </w:p>
        </w:tc>
        <w:tc>
          <w:tcPr>
            <w:tcW w:w="3288" w:type="dxa"/>
            <w:vAlign w:val="center"/>
            <w:hideMark/>
          </w:tcPr>
          <w:p w14:paraId="1F09B687" w14:textId="77777777" w:rsidR="00CD6248" w:rsidRPr="002F6ECE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Výše soudního sporu od 1 000 000 Kč za jedno řízení (žalobu), pokud příslušné řízení již bylo zahájeno</w:t>
            </w:r>
          </w:p>
        </w:tc>
        <w:tc>
          <w:tcPr>
            <w:tcW w:w="3118" w:type="dxa"/>
            <w:vAlign w:val="center"/>
            <w:hideMark/>
          </w:tcPr>
          <w:p w14:paraId="52AC2ACA" w14:textId="77777777" w:rsidR="00CD6248" w:rsidRPr="002F6ECE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Ve výši soudního sporu</w:t>
            </w:r>
          </w:p>
        </w:tc>
      </w:tr>
      <w:tr w:rsidR="00B07849" w14:paraId="7EA68263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3B82AE21" w14:textId="77777777" w:rsidR="00CD6248" w:rsidRPr="002F6ECE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b/>
                <w:sz w:val="19"/>
                <w:szCs w:val="19"/>
              </w:rPr>
              <w:t>Podmíněné závazky z</w:t>
            </w:r>
            <w:r w:rsidR="00A811B7" w:rsidRPr="00D92831">
              <w:rPr>
                <w:rFonts w:cs="Calibri"/>
                <w:b/>
                <w:sz w:val="19"/>
                <w:szCs w:val="19"/>
              </w:rPr>
              <w:t> </w:t>
            </w:r>
            <w:r w:rsidRPr="00D92831">
              <w:rPr>
                <w:rFonts w:cs="Calibri"/>
                <w:b/>
                <w:sz w:val="19"/>
                <w:szCs w:val="19"/>
              </w:rPr>
              <w:t>uzavřených smluv</w:t>
            </w:r>
            <w:r w:rsidRPr="00D92831">
              <w:rPr>
                <w:rFonts w:cs="Calibri"/>
                <w:sz w:val="19"/>
                <w:szCs w:val="19"/>
              </w:rPr>
              <w:t xml:space="preserve"> (účty 971 až 974)</w:t>
            </w:r>
          </w:p>
        </w:tc>
        <w:tc>
          <w:tcPr>
            <w:tcW w:w="3288" w:type="dxa"/>
            <w:vAlign w:val="center"/>
            <w:hideMark/>
          </w:tcPr>
          <w:p w14:paraId="1F5EF41E" w14:textId="77777777" w:rsidR="00CD6248" w:rsidRPr="002F6ECE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  <w:highlight w:val="green"/>
              </w:rPr>
            </w:pPr>
            <w:r w:rsidRPr="00D92831">
              <w:rPr>
                <w:rFonts w:cs="Calibri"/>
                <w:sz w:val="19"/>
                <w:szCs w:val="19"/>
              </w:rPr>
              <w:t>Od výše celkového plnění 500 000 Kč včetně DPH za každou uzavřenou smlouvu</w:t>
            </w:r>
          </w:p>
        </w:tc>
        <w:tc>
          <w:tcPr>
            <w:tcW w:w="3118" w:type="dxa"/>
            <w:vAlign w:val="center"/>
            <w:hideMark/>
          </w:tcPr>
          <w:p w14:paraId="18C7EB5B" w14:textId="77777777" w:rsidR="00D92831" w:rsidRPr="00D92831" w:rsidRDefault="00035012" w:rsidP="00CC3E4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b/>
                <w:sz w:val="19"/>
                <w:szCs w:val="19"/>
              </w:rPr>
              <w:t>U smluv na dobu neurčitou</w:t>
            </w: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: ve výši 3násobku roční pohledávky (podle klíče 0+3).</w:t>
            </w:r>
          </w:p>
          <w:p w14:paraId="489CCE56" w14:textId="77777777" w:rsidR="00D92831" w:rsidRPr="00D92831" w:rsidRDefault="00035012" w:rsidP="00CC3E47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b/>
                <w:sz w:val="19"/>
                <w:szCs w:val="19"/>
              </w:rPr>
              <w:t>U smluv na dobu určitou:</w:t>
            </w: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 xml:space="preserve"> v celkové výši smlouvy, a to:</w:t>
            </w:r>
          </w:p>
          <w:p w14:paraId="42A48FA2" w14:textId="77777777" w:rsidR="00D92831" w:rsidRPr="00D92831" w:rsidRDefault="00035012" w:rsidP="00CC3E47">
            <w:pPr>
              <w:pStyle w:val="Odstavecseseznamem"/>
              <w:numPr>
                <w:ilvl w:val="0"/>
                <w:numId w:val="18"/>
              </w:numPr>
              <w:spacing w:after="0"/>
              <w:ind w:left="244" w:hanging="142"/>
              <w:rPr>
                <w:rFonts w:asciiTheme="minorHAnsi" w:hAnsiTheme="minorHAnsi" w:cstheme="minorHAns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u smlouvy do jednoho roku: krátkodobá podmíněná pohledávka</w:t>
            </w:r>
          </w:p>
          <w:p w14:paraId="3E272440" w14:textId="77777777" w:rsidR="00CD6248" w:rsidRPr="00D92831" w:rsidRDefault="00035012" w:rsidP="00CC3E47">
            <w:pPr>
              <w:pStyle w:val="Odstavecseseznamem"/>
              <w:numPr>
                <w:ilvl w:val="0"/>
                <w:numId w:val="18"/>
              </w:numPr>
              <w:spacing w:after="0"/>
              <w:ind w:left="244" w:hanging="142"/>
              <w:rPr>
                <w:rFonts w:cs="Calibri"/>
                <w:sz w:val="19"/>
                <w:szCs w:val="19"/>
              </w:rPr>
            </w:pPr>
            <w:r w:rsidRPr="00D92831">
              <w:rPr>
                <w:rFonts w:asciiTheme="minorHAnsi" w:hAnsiTheme="minorHAnsi" w:cstheme="minorHAnsi"/>
                <w:sz w:val="19"/>
                <w:szCs w:val="19"/>
              </w:rPr>
              <w:t>u smlouvy nad jeden rok: dlouhodobá podmíněná pohledávka.</w:t>
            </w:r>
          </w:p>
        </w:tc>
      </w:tr>
      <w:tr w:rsidR="00B07849" w14:paraId="4A21C21F" w14:textId="77777777" w:rsidTr="00CC3E47">
        <w:trPr>
          <w:trHeight w:val="255"/>
          <w:jc w:val="center"/>
        </w:trPr>
        <w:tc>
          <w:tcPr>
            <w:tcW w:w="2778" w:type="dxa"/>
            <w:vAlign w:val="center"/>
            <w:hideMark/>
          </w:tcPr>
          <w:p w14:paraId="54E519AF" w14:textId="77777777" w:rsidR="00CD6248" w:rsidRPr="002F6ECE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bookmarkStart w:id="12" w:name="_Hlk163121666"/>
            <w:r w:rsidRPr="00B74A18">
              <w:rPr>
                <w:rFonts w:cs="Calibri"/>
                <w:b/>
                <w:sz w:val="19"/>
                <w:szCs w:val="19"/>
              </w:rPr>
              <w:t>Podmíněné závazky ze soudních sporů</w:t>
            </w:r>
            <w:bookmarkEnd w:id="12"/>
            <w:r w:rsidR="00EE1775" w:rsidRPr="00B74A18">
              <w:rPr>
                <w:rFonts w:cs="Calibri"/>
                <w:b/>
                <w:sz w:val="19"/>
                <w:szCs w:val="19"/>
              </w:rPr>
              <w:t xml:space="preserve">, správních řízení a jiných řízení </w:t>
            </w:r>
            <w:r w:rsidRPr="00B74A18">
              <w:rPr>
                <w:rFonts w:cs="Calibri"/>
                <w:sz w:val="19"/>
                <w:szCs w:val="19"/>
              </w:rPr>
              <w:t>(účty 985 a 986)</w:t>
            </w:r>
          </w:p>
        </w:tc>
        <w:tc>
          <w:tcPr>
            <w:tcW w:w="3288" w:type="dxa"/>
            <w:vAlign w:val="center"/>
            <w:hideMark/>
          </w:tcPr>
          <w:p w14:paraId="74172304" w14:textId="77777777" w:rsidR="00CD6248" w:rsidRPr="002F6ECE" w:rsidRDefault="00035012" w:rsidP="00CD6248">
            <w:pPr>
              <w:spacing w:after="0"/>
              <w:jc w:val="center"/>
              <w:rPr>
                <w:rFonts w:cs="Calibri"/>
                <w:sz w:val="19"/>
                <w:szCs w:val="19"/>
                <w:highlight w:val="green"/>
              </w:rPr>
            </w:pPr>
            <w:r w:rsidRPr="00B74A18">
              <w:rPr>
                <w:rFonts w:cs="Calibri"/>
                <w:sz w:val="19"/>
                <w:szCs w:val="19"/>
              </w:rPr>
              <w:t>Výše soudního sporu od 1 000 000 Kč za jedno řízení (žalobu), pokud příslušné řízení již bylo zahájeno</w:t>
            </w:r>
          </w:p>
        </w:tc>
        <w:tc>
          <w:tcPr>
            <w:tcW w:w="3118" w:type="dxa"/>
            <w:vAlign w:val="center"/>
            <w:hideMark/>
          </w:tcPr>
          <w:p w14:paraId="36A7457E" w14:textId="77777777" w:rsidR="00CD6248" w:rsidRPr="002F6ECE" w:rsidRDefault="00035012" w:rsidP="00CC3E47">
            <w:pPr>
              <w:spacing w:after="0"/>
              <w:rPr>
                <w:rFonts w:cs="Calibri"/>
                <w:sz w:val="19"/>
                <w:szCs w:val="19"/>
                <w:highlight w:val="green"/>
              </w:rPr>
            </w:pPr>
            <w:r w:rsidRPr="00B74A18">
              <w:rPr>
                <w:rFonts w:cs="Calibri"/>
                <w:sz w:val="19"/>
                <w:szCs w:val="19"/>
              </w:rPr>
              <w:t>Ve výši soudního sporu</w:t>
            </w:r>
          </w:p>
        </w:tc>
      </w:tr>
    </w:tbl>
    <w:p w14:paraId="0C2106D1" w14:textId="77777777" w:rsidR="006B765F" w:rsidRPr="00B74A18" w:rsidRDefault="00035012" w:rsidP="00DF6AD0">
      <w:pPr>
        <w:spacing w:before="40" w:after="240"/>
        <w:jc w:val="both"/>
        <w:rPr>
          <w:rFonts w:asciiTheme="minorHAnsi" w:hAnsiTheme="minorHAnsi" w:cstheme="minorHAnsi"/>
          <w:sz w:val="20"/>
          <w:szCs w:val="20"/>
        </w:rPr>
      </w:pPr>
      <w:r w:rsidRPr="00B74A18">
        <w:rPr>
          <w:rFonts w:asciiTheme="minorHAnsi" w:hAnsiTheme="minorHAnsi" w:cstheme="minorHAnsi"/>
          <w:b/>
          <w:sz w:val="20"/>
          <w:szCs w:val="20"/>
        </w:rPr>
        <w:t>Zdroj:</w:t>
      </w:r>
      <w:r w:rsidRPr="00B74A18">
        <w:rPr>
          <w:rFonts w:asciiTheme="minorHAnsi" w:hAnsiTheme="minorHAnsi" w:cstheme="minorHAnsi"/>
          <w:sz w:val="20"/>
          <w:szCs w:val="20"/>
        </w:rPr>
        <w:t xml:space="preserve"> vnitřní předpis </w:t>
      </w:r>
      <w:r w:rsidR="00B74A18">
        <w:rPr>
          <w:rFonts w:asciiTheme="minorHAnsi" w:hAnsiTheme="minorHAnsi" w:cstheme="minorHAnsi"/>
          <w:sz w:val="20"/>
          <w:szCs w:val="20"/>
        </w:rPr>
        <w:t>NSA</w:t>
      </w:r>
      <w:r w:rsidRPr="00B74A18">
        <w:rPr>
          <w:rFonts w:asciiTheme="minorHAnsi" w:hAnsiTheme="minorHAnsi" w:cstheme="minorHAnsi"/>
          <w:sz w:val="20"/>
          <w:szCs w:val="20"/>
        </w:rPr>
        <w:t>, ÚZ</w:t>
      </w:r>
      <w:r w:rsidR="003E6E79" w:rsidRPr="00B74A18">
        <w:rPr>
          <w:rFonts w:asciiTheme="minorHAnsi" w:hAnsiTheme="minorHAnsi" w:cstheme="minorHAnsi"/>
          <w:sz w:val="20"/>
          <w:szCs w:val="20"/>
        </w:rPr>
        <w:t>.</w:t>
      </w:r>
    </w:p>
    <w:p w14:paraId="6A0F3473" w14:textId="741D47CE" w:rsidR="00F044C6" w:rsidRDefault="00035012" w:rsidP="00B74A18">
      <w:pPr>
        <w:spacing w:after="0"/>
        <w:jc w:val="both"/>
        <w:rPr>
          <w:rFonts w:asciiTheme="minorHAnsi" w:hAnsiTheme="minorHAnsi" w:cstheme="minorHAnsi"/>
        </w:rPr>
      </w:pPr>
      <w:r w:rsidRPr="00B74A18">
        <w:lastRenderedPageBreak/>
        <w:t xml:space="preserve">Z celkového počtu účetních zápisů, které </w:t>
      </w:r>
      <w:r w:rsidR="00B74A18" w:rsidRPr="00B74A18">
        <w:t>NSA</w:t>
      </w:r>
      <w:r w:rsidRPr="00B74A18">
        <w:t xml:space="preserve"> v</w:t>
      </w:r>
      <w:r w:rsidR="00891100" w:rsidRPr="00B74A18">
        <w:t xml:space="preserve"> </w:t>
      </w:r>
      <w:r w:rsidRPr="00B74A18">
        <w:t>roce 202</w:t>
      </w:r>
      <w:r w:rsidR="00B74A18" w:rsidRPr="00B74A18">
        <w:t>4</w:t>
      </w:r>
      <w:r w:rsidR="006B765F" w:rsidRPr="00B74A18">
        <w:t xml:space="preserve"> zaúčtoval</w:t>
      </w:r>
      <w:r w:rsidR="00B74A18" w:rsidRPr="00B74A18">
        <w:t>a</w:t>
      </w:r>
      <w:r w:rsidR="00CA69AB" w:rsidRPr="00B74A18">
        <w:t>,</w:t>
      </w:r>
      <w:r w:rsidR="006B765F" w:rsidRPr="00B74A18">
        <w:t xml:space="preserve"> se</w:t>
      </w:r>
      <w:r w:rsidR="00CA69AB" w:rsidRPr="00B74A18">
        <w:t xml:space="preserve"> </w:t>
      </w:r>
      <w:r w:rsidR="00B74A18" w:rsidRPr="00B74A18">
        <w:t>20,6</w:t>
      </w:r>
      <w:r w:rsidR="00CA69AB" w:rsidRPr="00B74A18">
        <w:t xml:space="preserve"> %</w:t>
      </w:r>
      <w:r w:rsidR="006B765F" w:rsidRPr="00B74A18">
        <w:t xml:space="preserve"> </w:t>
      </w:r>
      <w:r w:rsidR="00CA69AB" w:rsidRPr="00B74A18">
        <w:t>t</w:t>
      </w:r>
      <w:r w:rsidR="006B765F" w:rsidRPr="00B74A18">
        <w:t>ýkalo podrozvahových účtů</w:t>
      </w:r>
      <w:r w:rsidR="00B23260" w:rsidRPr="00B74A18">
        <w:t>.</w:t>
      </w:r>
      <w:r>
        <w:rPr>
          <w:rStyle w:val="Znakapoznpodarou"/>
        </w:rPr>
        <w:footnoteReference w:id="38"/>
      </w:r>
      <w:r w:rsidR="006B765F" w:rsidRPr="00B74A18">
        <w:t xml:space="preserve"> </w:t>
      </w:r>
      <w:r w:rsidR="00CD6248" w:rsidRPr="00B74A18">
        <w:t xml:space="preserve">Celková výše zůstatků vykázaných na podrozvahových účtech </w:t>
      </w:r>
      <w:r w:rsidR="00B74A18">
        <w:t>NSA</w:t>
      </w:r>
      <w:r w:rsidR="00CD6248" w:rsidRPr="002F6ECE">
        <w:rPr>
          <w:highlight w:val="green"/>
        </w:rPr>
        <w:t xml:space="preserve"> </w:t>
      </w:r>
      <w:r w:rsidR="00CD6248" w:rsidRPr="00B74A18">
        <w:t xml:space="preserve">byla v rozmezí let </w:t>
      </w:r>
      <w:r w:rsidR="00B74A18" w:rsidRPr="00B74A18">
        <w:t>2022</w:t>
      </w:r>
      <w:r w:rsidR="00CD6248" w:rsidRPr="00B74A18">
        <w:t xml:space="preserve"> až 202</w:t>
      </w:r>
      <w:r w:rsidR="00B74A18" w:rsidRPr="00B74A18">
        <w:t>4</w:t>
      </w:r>
      <w:r w:rsidR="00CD6248" w:rsidRPr="00B74A18">
        <w:t xml:space="preserve"> nejnižší v roce 2022 (</w:t>
      </w:r>
      <w:r w:rsidR="00B74A18" w:rsidRPr="00B74A18">
        <w:t>2,8</w:t>
      </w:r>
      <w:r w:rsidR="00F021B0" w:rsidRPr="00B74A18">
        <w:t xml:space="preserve"> mil.</w:t>
      </w:r>
      <w:r w:rsidR="00CD6248" w:rsidRPr="00B74A18">
        <w:t xml:space="preserve"> Kč), nejvyšší v roce </w:t>
      </w:r>
      <w:r w:rsidR="00B74A18" w:rsidRPr="00B74A18">
        <w:t>2024</w:t>
      </w:r>
      <w:r w:rsidR="00CD6248" w:rsidRPr="00B74A18">
        <w:t xml:space="preserve"> (</w:t>
      </w:r>
      <w:r w:rsidR="00B74A18" w:rsidRPr="00B74A18">
        <w:t>634,5</w:t>
      </w:r>
      <w:r w:rsidR="00EB0A29">
        <w:t> </w:t>
      </w:r>
      <w:r w:rsidR="00F021B0" w:rsidRPr="00B74A18">
        <w:t>mil</w:t>
      </w:r>
      <w:r w:rsidR="00CD6248" w:rsidRPr="00B74A18">
        <w:t>.</w:t>
      </w:r>
      <w:r w:rsidR="00EB0A29">
        <w:t> </w:t>
      </w:r>
      <w:r w:rsidR="00CD6248" w:rsidRPr="00B74A18">
        <w:t>Kč) a v roce 2023 ve výši 5</w:t>
      </w:r>
      <w:r w:rsidR="00B74A18" w:rsidRPr="00B74A18">
        <w:t>,5</w:t>
      </w:r>
      <w:r w:rsidR="00CD6248" w:rsidRPr="00B74A18">
        <w:t xml:space="preserve"> </w:t>
      </w:r>
      <w:r w:rsidR="00F021B0" w:rsidRPr="00B74A18">
        <w:t>mil</w:t>
      </w:r>
      <w:r w:rsidR="00CD6248" w:rsidRPr="00B74A18">
        <w:t>. Kč.</w:t>
      </w:r>
      <w:r w:rsidR="006B765F" w:rsidRPr="00B74A18">
        <w:t xml:space="preserve"> </w:t>
      </w:r>
      <w:r w:rsidR="00B74A18" w:rsidRPr="00B74A18">
        <w:rPr>
          <w:rFonts w:asciiTheme="minorHAnsi" w:hAnsiTheme="minorHAnsi" w:cstheme="minorHAnsi"/>
        </w:rPr>
        <w:t xml:space="preserve">Podíl celkové výše zůstatků vykázaných na podrozvahových účtech NSA za období 2022 až 2024 ve srovnání s celkovými rozvahovými aktivy a cizími zdroji se pohyboval mezi 0 až </w:t>
      </w:r>
      <w:r w:rsidR="00B74A18">
        <w:rPr>
          <w:rFonts w:asciiTheme="minorHAnsi" w:hAnsiTheme="minorHAnsi" w:cstheme="minorHAnsi"/>
        </w:rPr>
        <w:t>8</w:t>
      </w:r>
      <w:r w:rsidR="00B74A18" w:rsidRPr="00B74A18">
        <w:rPr>
          <w:rFonts w:asciiTheme="minorHAnsi" w:hAnsiTheme="minorHAnsi" w:cstheme="minorHAnsi"/>
        </w:rPr>
        <w:t xml:space="preserve"> %</w:t>
      </w:r>
      <w:r w:rsidR="001F49DB">
        <w:rPr>
          <w:rFonts w:asciiTheme="minorHAnsi" w:hAnsiTheme="minorHAnsi" w:cstheme="minorHAnsi"/>
        </w:rPr>
        <w:t>;</w:t>
      </w:r>
      <w:r w:rsidR="00B74A18" w:rsidRPr="00B74A18">
        <w:rPr>
          <w:rFonts w:asciiTheme="minorHAnsi" w:hAnsiTheme="minorHAnsi" w:cstheme="minorHAnsi"/>
        </w:rPr>
        <w:t xml:space="preserve"> viz následující tabulka.</w:t>
      </w:r>
    </w:p>
    <w:p w14:paraId="3969BE37" w14:textId="77777777" w:rsidR="00EC7467" w:rsidRPr="00B74A18" w:rsidRDefault="00035012" w:rsidP="002C6E23">
      <w:pPr>
        <w:spacing w:before="240" w:after="40"/>
        <w:ind w:left="1304" w:hanging="1304"/>
        <w:jc w:val="both"/>
        <w:rPr>
          <w:rFonts w:cs="Calibri"/>
          <w:b/>
          <w:bCs/>
          <w:lang w:eastAsia="cs-CZ"/>
        </w:rPr>
      </w:pPr>
      <w:r w:rsidRPr="00B74A18">
        <w:rPr>
          <w:rFonts w:cs="Calibri"/>
          <w:b/>
          <w:bCs/>
          <w:lang w:eastAsia="cs-CZ"/>
        </w:rPr>
        <w:t xml:space="preserve">Tabulka č. </w:t>
      </w:r>
      <w:r w:rsidR="0093410D" w:rsidRPr="00B74A18">
        <w:rPr>
          <w:rFonts w:cs="Calibri"/>
          <w:b/>
          <w:bCs/>
          <w:lang w:eastAsia="cs-CZ"/>
        </w:rPr>
        <w:t>2</w:t>
      </w:r>
      <w:r w:rsidRPr="00B74A18">
        <w:rPr>
          <w:rFonts w:cs="Calibri"/>
          <w:b/>
          <w:bCs/>
          <w:lang w:eastAsia="cs-CZ"/>
        </w:rPr>
        <w:t xml:space="preserve">: </w:t>
      </w:r>
      <w:r w:rsidRPr="00B74A18">
        <w:rPr>
          <w:rFonts w:cs="Calibri"/>
          <w:b/>
          <w:bCs/>
          <w:lang w:eastAsia="cs-CZ"/>
        </w:rPr>
        <w:tab/>
        <w:t xml:space="preserve">Srovnání výše celkových zůstatků podrozvahových účtů s údaji o rozvahových </w:t>
      </w:r>
    </w:p>
    <w:p w14:paraId="28B31774" w14:textId="77777777" w:rsidR="006B765F" w:rsidRPr="00B74A18" w:rsidRDefault="00035012" w:rsidP="00DF6AD0">
      <w:pPr>
        <w:tabs>
          <w:tab w:val="right" w:pos="9070"/>
        </w:tabs>
        <w:spacing w:after="40"/>
        <w:ind w:left="1304"/>
        <w:jc w:val="both"/>
        <w:rPr>
          <w:rFonts w:cs="Calibri"/>
          <w:b/>
          <w:bCs/>
          <w:lang w:eastAsia="cs-CZ"/>
        </w:rPr>
      </w:pPr>
      <w:r w:rsidRPr="00B74A18">
        <w:rPr>
          <w:rFonts w:cs="Calibri"/>
          <w:b/>
          <w:bCs/>
          <w:lang w:eastAsia="cs-CZ"/>
        </w:rPr>
        <w:t xml:space="preserve">aktivech a cizích zdrojích za roky </w:t>
      </w:r>
      <w:r w:rsidR="00CD6248" w:rsidRPr="00B74A18">
        <w:rPr>
          <w:rFonts w:cs="Calibri"/>
          <w:b/>
          <w:bCs/>
          <w:lang w:eastAsia="cs-CZ"/>
        </w:rPr>
        <w:t>202</w:t>
      </w:r>
      <w:r w:rsidR="00B74A18" w:rsidRPr="00B74A18">
        <w:rPr>
          <w:rFonts w:cs="Calibri"/>
          <w:b/>
          <w:bCs/>
          <w:lang w:eastAsia="cs-CZ"/>
        </w:rPr>
        <w:t>2</w:t>
      </w:r>
      <w:r w:rsidRPr="00B74A18">
        <w:rPr>
          <w:rFonts w:cs="Calibri"/>
          <w:b/>
          <w:bCs/>
          <w:lang w:eastAsia="cs-CZ"/>
        </w:rPr>
        <w:t xml:space="preserve"> až 202</w:t>
      </w:r>
      <w:r w:rsidR="00B74A18" w:rsidRPr="00B74A18">
        <w:rPr>
          <w:rFonts w:cs="Calibri"/>
          <w:b/>
          <w:bCs/>
          <w:lang w:eastAsia="cs-CZ"/>
        </w:rPr>
        <w:t>4</w:t>
      </w:r>
      <w:r w:rsidRPr="00B74A18">
        <w:rPr>
          <w:rFonts w:cs="Calibri"/>
          <w:b/>
          <w:bCs/>
          <w:lang w:eastAsia="cs-CZ"/>
        </w:rPr>
        <w:t xml:space="preserve"> </w:t>
      </w:r>
      <w:r w:rsidR="00EC7467" w:rsidRPr="00B74A18">
        <w:rPr>
          <w:rFonts w:cs="Calibri"/>
          <w:b/>
          <w:bCs/>
          <w:lang w:eastAsia="cs-CZ"/>
        </w:rPr>
        <w:tab/>
      </w:r>
      <w:r w:rsidRPr="00B74A18">
        <w:rPr>
          <w:rFonts w:cs="Calibri"/>
          <w:b/>
          <w:bCs/>
          <w:lang w:eastAsia="cs-CZ"/>
        </w:rPr>
        <w:t xml:space="preserve">(v </w:t>
      </w:r>
      <w:r w:rsidR="00560835" w:rsidRPr="00B74A18">
        <w:rPr>
          <w:rFonts w:cs="Calibri"/>
          <w:b/>
          <w:bCs/>
          <w:lang w:eastAsia="cs-CZ"/>
        </w:rPr>
        <w:t xml:space="preserve">mil. </w:t>
      </w:r>
      <w:r w:rsidRPr="00B74A18">
        <w:rPr>
          <w:rFonts w:cs="Calibri"/>
          <w:b/>
          <w:bCs/>
          <w:lang w:eastAsia="cs-CZ"/>
        </w:rPr>
        <w:t xml:space="preserve">Kč, podíl v %) </w:t>
      </w:r>
    </w:p>
    <w:tbl>
      <w:tblPr>
        <w:tblStyle w:val="Mkatabulky1"/>
        <w:tblW w:w="9184" w:type="dxa"/>
        <w:jc w:val="center"/>
        <w:tblLook w:val="04A0" w:firstRow="1" w:lastRow="0" w:firstColumn="1" w:lastColumn="0" w:noHBand="0" w:noVBand="1"/>
      </w:tblPr>
      <w:tblGrid>
        <w:gridCol w:w="5272"/>
        <w:gridCol w:w="1304"/>
        <w:gridCol w:w="1304"/>
        <w:gridCol w:w="1304"/>
      </w:tblGrid>
      <w:tr w:rsidR="00B07849" w:rsidRPr="00EB0A29" w14:paraId="21DC9160" w14:textId="77777777" w:rsidTr="00825EF1">
        <w:trPr>
          <w:trHeight w:val="44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hideMark/>
          </w:tcPr>
          <w:p w14:paraId="79977DF3" w14:textId="77777777" w:rsidR="00CD6248" w:rsidRPr="00EB0A29" w:rsidRDefault="00CD6248" w:rsidP="00EB0A29">
            <w:pPr>
              <w:spacing w:after="0"/>
              <w:rPr>
                <w:rFonts w:cs="Calibri"/>
                <w:sz w:val="20"/>
                <w:szCs w:val="20"/>
                <w:highlight w:val="gre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3C7D80D" w14:textId="77777777" w:rsidR="00CD6248" w:rsidRPr="00EB0A29" w:rsidRDefault="00035012" w:rsidP="00EB0A29">
            <w:pPr>
              <w:spacing w:after="0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4B83F77" w14:textId="77777777" w:rsidR="00CD6248" w:rsidRPr="00EB0A29" w:rsidRDefault="00035012" w:rsidP="00EB0A29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B67A2C8" w14:textId="77777777" w:rsidR="00CD6248" w:rsidRPr="00EB0A29" w:rsidRDefault="00035012" w:rsidP="00EB0A29">
            <w:pPr>
              <w:spacing w:after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</w:tr>
      <w:tr w:rsidR="00B07849" w:rsidRPr="00EB0A29" w14:paraId="0D2A58BD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C4A0" w14:textId="77777777" w:rsidR="00200552" w:rsidRPr="00EB0A29" w:rsidRDefault="00035012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 xml:space="preserve">Suma zůstatků na podrozvahových účtech </w:t>
            </w:r>
          </w:p>
          <w:p w14:paraId="15A1032C" w14:textId="77777777" w:rsidR="00CD6248" w:rsidRPr="00EB0A29" w:rsidRDefault="00035012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(podrozvahová aktiva a pasiva)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68AD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AFCE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4E72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2,8</w:t>
            </w:r>
          </w:p>
        </w:tc>
      </w:tr>
      <w:tr w:rsidR="00B07849" w:rsidRPr="00EB0A29" w14:paraId="3363C1DB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AFEA9" w14:textId="22588E77" w:rsidR="00CD6248" w:rsidRPr="00EB0A29" w:rsidRDefault="001F49DB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−</w:t>
            </w:r>
            <w:r w:rsidR="00035012" w:rsidRPr="00EB0A29">
              <w:rPr>
                <w:rFonts w:cs="Calibri"/>
                <w:color w:val="000000"/>
                <w:sz w:val="20"/>
                <w:szCs w:val="20"/>
              </w:rPr>
              <w:t xml:space="preserve"> z toho: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28757B" w14:textId="77777777" w:rsidR="00CD6248" w:rsidRPr="00EB0A29" w:rsidRDefault="00CD6248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2FD297" w14:textId="77777777" w:rsidR="00CD6248" w:rsidRPr="00EB0A29" w:rsidRDefault="00CD6248" w:rsidP="00EB0A29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gre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AEBBB3" w14:textId="77777777" w:rsidR="00CD6248" w:rsidRPr="00EB0A29" w:rsidRDefault="00CD6248" w:rsidP="00EB0A29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green"/>
              </w:rPr>
            </w:pPr>
          </w:p>
        </w:tc>
      </w:tr>
      <w:tr w:rsidR="00B07849" w:rsidRPr="00EB0A29" w14:paraId="55B679D5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0C3E8" w14:textId="77777777" w:rsidR="00CD6248" w:rsidRPr="00EB0A29" w:rsidRDefault="00035012" w:rsidP="00EB0A29">
            <w:pPr>
              <w:spacing w:after="0"/>
              <w:ind w:left="72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podrozvahová aktiva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384A7D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E6184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sz w:val="20"/>
                <w:szCs w:val="20"/>
              </w:rPr>
              <w:t>0,4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0096E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sz w:val="20"/>
                <w:szCs w:val="20"/>
              </w:rPr>
              <w:t>2</w:t>
            </w:r>
            <w:r w:rsidR="00200552" w:rsidRPr="00EB0A29">
              <w:rPr>
                <w:rFonts w:cs="Calibri"/>
                <w:sz w:val="20"/>
                <w:szCs w:val="20"/>
              </w:rPr>
              <w:t>,</w:t>
            </w:r>
            <w:r w:rsidR="00641238" w:rsidRPr="00EB0A29">
              <w:rPr>
                <w:rFonts w:cs="Calibri"/>
                <w:sz w:val="20"/>
                <w:szCs w:val="20"/>
              </w:rPr>
              <w:t>7</w:t>
            </w:r>
          </w:p>
        </w:tc>
      </w:tr>
      <w:tr w:rsidR="00B07849" w:rsidRPr="00EB0A29" w14:paraId="25AAD1F5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46CB50C" w14:textId="77777777" w:rsidR="00CD6248" w:rsidRPr="00EB0A29" w:rsidRDefault="00035012" w:rsidP="00EB0A29">
            <w:pPr>
              <w:spacing w:after="0"/>
              <w:ind w:left="72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podrozvahová pasiva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96A70F0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588,4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37B9063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sz w:val="20"/>
                <w:szCs w:val="20"/>
              </w:rPr>
              <w:t>5,</w:t>
            </w:r>
            <w:r w:rsidR="00200552" w:rsidRPr="00EB0A2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65F00B4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sz w:val="20"/>
                <w:szCs w:val="20"/>
              </w:rPr>
              <w:t>0</w:t>
            </w:r>
            <w:r w:rsidR="00200552" w:rsidRPr="00EB0A29">
              <w:rPr>
                <w:rFonts w:cs="Calibri"/>
                <w:sz w:val="20"/>
                <w:szCs w:val="20"/>
              </w:rPr>
              <w:t>,</w:t>
            </w:r>
            <w:r w:rsidRPr="00EB0A29">
              <w:rPr>
                <w:rFonts w:cs="Calibri"/>
                <w:sz w:val="20"/>
                <w:szCs w:val="20"/>
              </w:rPr>
              <w:t>1</w:t>
            </w:r>
          </w:p>
        </w:tc>
      </w:tr>
      <w:tr w:rsidR="00B07849" w:rsidRPr="00EB0A29" w14:paraId="6DF34516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724E" w14:textId="77777777" w:rsidR="00CD6248" w:rsidRPr="00EB0A29" w:rsidRDefault="00035012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Suma zůstatků na rozvahových účtech (aktiva a cizí zdroje)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ED0E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15 523,1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204F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14 86</w:t>
            </w:r>
            <w:r w:rsidR="00DE6A6F" w:rsidRPr="00EB0A29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EB0A29">
              <w:rPr>
                <w:rFonts w:cs="Calibri"/>
                <w:color w:val="000000"/>
                <w:sz w:val="20"/>
                <w:szCs w:val="20"/>
              </w:rPr>
              <w:t>,</w:t>
            </w:r>
            <w:r w:rsidR="00DE6A6F" w:rsidRPr="00EB0A29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31AB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13 55</w:t>
            </w:r>
            <w:r w:rsidR="00DE6A6F" w:rsidRPr="00EB0A29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EB0A29">
              <w:rPr>
                <w:rFonts w:cs="Calibri"/>
                <w:color w:val="000000"/>
                <w:sz w:val="20"/>
                <w:szCs w:val="20"/>
              </w:rPr>
              <w:t>,</w:t>
            </w:r>
            <w:r w:rsidR="00DE6A6F" w:rsidRPr="00EB0A29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</w:tr>
      <w:tr w:rsidR="00B07849" w:rsidRPr="00EB0A29" w14:paraId="72351649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AE4046" w14:textId="3A5E42F9" w:rsidR="00CD6248" w:rsidRPr="00EB0A29" w:rsidRDefault="001F49DB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−</w:t>
            </w:r>
            <w:r w:rsidR="00035012" w:rsidRPr="00EB0A29">
              <w:rPr>
                <w:rFonts w:cs="Calibri"/>
                <w:color w:val="000000"/>
                <w:sz w:val="20"/>
                <w:szCs w:val="20"/>
              </w:rPr>
              <w:t xml:space="preserve"> z toho: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E48AD5" w14:textId="77777777" w:rsidR="00CD6248" w:rsidRPr="00EB0A29" w:rsidRDefault="00CD6248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AED935" w14:textId="77777777" w:rsidR="00CD6248" w:rsidRPr="00EB0A29" w:rsidRDefault="00CD6248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CF9932" w14:textId="77777777" w:rsidR="00CD6248" w:rsidRPr="00EB0A29" w:rsidRDefault="00CD6248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</w:p>
        </w:tc>
      </w:tr>
      <w:tr w:rsidR="00B07849" w:rsidRPr="00EB0A29" w14:paraId="21048537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4E9EC" w14:textId="77777777" w:rsidR="00CD6248" w:rsidRPr="00EB0A29" w:rsidRDefault="00035012" w:rsidP="00EB0A29">
            <w:pPr>
              <w:spacing w:after="0"/>
              <w:ind w:left="72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aktiva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F093B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7 771,5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1F812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7 435,4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6AA00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6 780,0</w:t>
            </w:r>
          </w:p>
        </w:tc>
      </w:tr>
      <w:tr w:rsidR="00B07849" w:rsidRPr="00EB0A29" w14:paraId="6B91314D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5773FD5" w14:textId="77777777" w:rsidR="00CD6248" w:rsidRPr="00EB0A29" w:rsidRDefault="00035012" w:rsidP="00EB0A29">
            <w:pPr>
              <w:spacing w:after="0"/>
              <w:ind w:left="72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cizí zdroje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D8B8B5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7 751,6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732A191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7 426,5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C6CF8CA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6 773,8</w:t>
            </w:r>
          </w:p>
        </w:tc>
      </w:tr>
      <w:tr w:rsidR="00B07849" w:rsidRPr="00EB0A29" w14:paraId="44D59B5E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4199" w14:textId="77777777" w:rsidR="00CD6248" w:rsidRPr="00EB0A29" w:rsidRDefault="00035012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Podíl zůstatků podrozvahových účtů na celk</w:t>
            </w:r>
            <w:r w:rsidR="00200552" w:rsidRPr="00EB0A29">
              <w:rPr>
                <w:rFonts w:cs="Calibri"/>
                <w:color w:val="000000"/>
                <w:sz w:val="20"/>
                <w:szCs w:val="20"/>
              </w:rPr>
              <w:t>ových</w:t>
            </w:r>
            <w:r w:rsidRPr="00EB0A29">
              <w:rPr>
                <w:rFonts w:cs="Calibri"/>
                <w:color w:val="000000"/>
                <w:sz w:val="20"/>
                <w:szCs w:val="20"/>
              </w:rPr>
              <w:t xml:space="preserve"> rozvahových aktivech a cizích zdrojích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5057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4 %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F792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46FA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0 %</w:t>
            </w:r>
          </w:p>
        </w:tc>
      </w:tr>
      <w:tr w:rsidR="00B07849" w:rsidRPr="00EB0A29" w14:paraId="5AFA7A87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47FA" w14:textId="77777777" w:rsidR="00CD6248" w:rsidRPr="00EB0A29" w:rsidRDefault="00035012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Podíl zůstatků podrozvahových aktiv na rozvahových aktivech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3210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1 %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6D66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B6E0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0 %</w:t>
            </w:r>
          </w:p>
        </w:tc>
      </w:tr>
      <w:tr w:rsidR="00B07849" w:rsidRPr="00EB0A29" w14:paraId="60282755" w14:textId="77777777" w:rsidTr="00825EF1">
        <w:trPr>
          <w:trHeight w:val="22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6E00" w14:textId="77777777" w:rsidR="00CD6248" w:rsidRPr="00EB0A29" w:rsidRDefault="00035012" w:rsidP="00EB0A29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Podíl zůstatků podrozvahových pasiv na cizích zdrojích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D17D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8 %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79EE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>0 %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148" w14:textId="77777777" w:rsidR="00CD6248" w:rsidRPr="00EB0A29" w:rsidRDefault="00035012" w:rsidP="00EB0A29">
            <w:pPr>
              <w:spacing w:after="0"/>
              <w:ind w:right="57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B0A2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641238" w:rsidRPr="00EB0A29"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EB0A29">
              <w:rPr>
                <w:rFonts w:cs="Calibri"/>
                <w:color w:val="000000"/>
                <w:sz w:val="20"/>
                <w:szCs w:val="20"/>
              </w:rPr>
              <w:t xml:space="preserve"> %</w:t>
            </w:r>
          </w:p>
        </w:tc>
      </w:tr>
    </w:tbl>
    <w:p w14:paraId="7F79E036" w14:textId="77777777" w:rsidR="006B765F" w:rsidRPr="00B74A18" w:rsidRDefault="00035012" w:rsidP="00DF6AD0">
      <w:pPr>
        <w:spacing w:before="40" w:after="240"/>
        <w:jc w:val="both"/>
        <w:rPr>
          <w:rFonts w:cs="Calibri"/>
          <w:sz w:val="20"/>
          <w:szCs w:val="20"/>
        </w:rPr>
      </w:pPr>
      <w:r w:rsidRPr="00B74A18">
        <w:rPr>
          <w:rFonts w:cs="Calibri"/>
          <w:b/>
          <w:sz w:val="20"/>
          <w:szCs w:val="20"/>
        </w:rPr>
        <w:t>Zdroj:</w:t>
      </w:r>
      <w:r w:rsidRPr="00B74A18">
        <w:rPr>
          <w:rFonts w:cs="Calibri"/>
          <w:sz w:val="20"/>
          <w:szCs w:val="20"/>
        </w:rPr>
        <w:t xml:space="preserve"> </w:t>
      </w:r>
      <w:r w:rsidR="001B3F5D" w:rsidRPr="00B74A18">
        <w:rPr>
          <w:rFonts w:cs="Calibri"/>
          <w:sz w:val="20"/>
          <w:szCs w:val="20"/>
        </w:rPr>
        <w:t>ú</w:t>
      </w:r>
      <w:r w:rsidRPr="00B74A18">
        <w:rPr>
          <w:rFonts w:cs="Calibri"/>
          <w:sz w:val="20"/>
          <w:szCs w:val="20"/>
        </w:rPr>
        <w:t xml:space="preserve">četní závěrky </w:t>
      </w:r>
      <w:r w:rsidR="00B74A18" w:rsidRPr="00B74A18">
        <w:rPr>
          <w:rFonts w:cs="Calibri"/>
          <w:sz w:val="20"/>
          <w:szCs w:val="20"/>
        </w:rPr>
        <w:t>NSA</w:t>
      </w:r>
      <w:r w:rsidRPr="00B74A18">
        <w:rPr>
          <w:rFonts w:cs="Calibri"/>
          <w:sz w:val="20"/>
          <w:szCs w:val="20"/>
        </w:rPr>
        <w:t xml:space="preserve"> za roky 202</w:t>
      </w:r>
      <w:r w:rsidR="00B74A18" w:rsidRPr="00B74A18">
        <w:rPr>
          <w:rFonts w:cs="Calibri"/>
          <w:sz w:val="20"/>
          <w:szCs w:val="20"/>
        </w:rPr>
        <w:t>2</w:t>
      </w:r>
      <w:r w:rsidRPr="00B74A18">
        <w:rPr>
          <w:rFonts w:cs="Calibri"/>
          <w:sz w:val="20"/>
          <w:szCs w:val="20"/>
        </w:rPr>
        <w:t xml:space="preserve"> až 202</w:t>
      </w:r>
      <w:r w:rsidR="00B74A18" w:rsidRPr="00B74A18">
        <w:rPr>
          <w:rFonts w:cs="Calibri"/>
          <w:sz w:val="20"/>
          <w:szCs w:val="20"/>
        </w:rPr>
        <w:t>4</w:t>
      </w:r>
      <w:r w:rsidRPr="00B74A18">
        <w:rPr>
          <w:rFonts w:cs="Calibri"/>
          <w:sz w:val="20"/>
          <w:szCs w:val="20"/>
        </w:rPr>
        <w:t xml:space="preserve">, výpočet </w:t>
      </w:r>
      <w:r w:rsidR="002E170C" w:rsidRPr="00B74A18">
        <w:rPr>
          <w:rFonts w:cs="Calibri"/>
          <w:sz w:val="20"/>
          <w:szCs w:val="20"/>
        </w:rPr>
        <w:t xml:space="preserve">vypracoval </w:t>
      </w:r>
      <w:r w:rsidRPr="00B74A18">
        <w:rPr>
          <w:rFonts w:cs="Calibri"/>
          <w:sz w:val="20"/>
          <w:szCs w:val="20"/>
        </w:rPr>
        <w:t>NKÚ.</w:t>
      </w:r>
    </w:p>
    <w:p w14:paraId="019B6CE2" w14:textId="77777777" w:rsidR="006B765F" w:rsidRPr="00641238" w:rsidRDefault="00035012" w:rsidP="008A331B">
      <w:pPr>
        <w:spacing w:after="240"/>
        <w:jc w:val="both"/>
        <w:rPr>
          <w:rFonts w:cs="Calibri"/>
        </w:rPr>
      </w:pPr>
      <w:r w:rsidRPr="00641238">
        <w:t>Kategorizace podmíněných aktiv a podmíněných pasiv</w:t>
      </w:r>
      <w:r w:rsidR="00200552" w:rsidRPr="00641238">
        <w:t xml:space="preserve"> </w:t>
      </w:r>
      <w:r w:rsidR="00641238" w:rsidRPr="00641238">
        <w:t>NSA</w:t>
      </w:r>
      <w:r w:rsidR="00200552" w:rsidRPr="00641238">
        <w:t xml:space="preserve"> </w:t>
      </w:r>
      <w:r w:rsidRPr="00641238">
        <w:t xml:space="preserve">je uvedena v tabulce č. </w:t>
      </w:r>
      <w:r w:rsidR="0093410D" w:rsidRPr="00641238">
        <w:t>3</w:t>
      </w:r>
      <w:r w:rsidRPr="00641238">
        <w:t>.</w:t>
      </w:r>
    </w:p>
    <w:p w14:paraId="42ACD7EB" w14:textId="6B061A0D" w:rsidR="006B765F" w:rsidRPr="004759F4" w:rsidRDefault="00035012" w:rsidP="002C6E23">
      <w:pPr>
        <w:tabs>
          <w:tab w:val="right" w:pos="9070"/>
        </w:tabs>
        <w:spacing w:before="240" w:after="40"/>
        <w:jc w:val="both"/>
        <w:rPr>
          <w:rFonts w:cs="Calibri"/>
          <w:b/>
          <w:bCs/>
          <w:lang w:eastAsia="cs-CZ"/>
        </w:rPr>
      </w:pPr>
      <w:r w:rsidRPr="004759F4">
        <w:rPr>
          <w:rFonts w:cs="Calibri"/>
          <w:b/>
          <w:bCs/>
          <w:lang w:eastAsia="cs-CZ"/>
        </w:rPr>
        <w:t>Tabulka</w:t>
      </w:r>
      <w:r w:rsidR="00EC7467" w:rsidRPr="004759F4">
        <w:rPr>
          <w:rFonts w:cs="Calibri"/>
          <w:b/>
          <w:bCs/>
          <w:lang w:eastAsia="cs-CZ"/>
        </w:rPr>
        <w:t xml:space="preserve"> č.</w:t>
      </w:r>
      <w:r w:rsidRPr="004759F4">
        <w:rPr>
          <w:rFonts w:cs="Calibri"/>
          <w:b/>
          <w:bCs/>
          <w:lang w:eastAsia="cs-CZ"/>
        </w:rPr>
        <w:t xml:space="preserve"> </w:t>
      </w:r>
      <w:r w:rsidR="0093410D" w:rsidRPr="004759F4">
        <w:rPr>
          <w:rFonts w:cs="Calibri"/>
          <w:b/>
          <w:bCs/>
          <w:lang w:eastAsia="cs-CZ"/>
        </w:rPr>
        <w:t>3</w:t>
      </w:r>
      <w:r w:rsidRPr="004759F4">
        <w:rPr>
          <w:rFonts w:cs="Calibri"/>
          <w:b/>
          <w:bCs/>
          <w:lang w:eastAsia="cs-CZ"/>
        </w:rPr>
        <w:t xml:space="preserve">: Kategorizace podmíněných aktiv a podmíněných pasiv </w:t>
      </w:r>
      <w:r w:rsidR="00EC7467" w:rsidRPr="004759F4">
        <w:rPr>
          <w:rFonts w:cs="Calibri"/>
          <w:b/>
          <w:bCs/>
          <w:lang w:eastAsia="cs-CZ"/>
        </w:rPr>
        <w:tab/>
      </w:r>
      <w:r w:rsidRPr="004759F4">
        <w:rPr>
          <w:rFonts w:cs="Calibri"/>
          <w:b/>
          <w:bCs/>
          <w:lang w:eastAsia="cs-CZ"/>
        </w:rPr>
        <w:t xml:space="preserve">(v </w:t>
      </w:r>
      <w:r w:rsidR="00BF57AB" w:rsidRPr="004759F4">
        <w:rPr>
          <w:rFonts w:cs="Calibri"/>
          <w:b/>
          <w:bCs/>
          <w:lang w:eastAsia="cs-CZ"/>
        </w:rPr>
        <w:t xml:space="preserve">mil. </w:t>
      </w:r>
      <w:r w:rsidRPr="004759F4">
        <w:rPr>
          <w:rFonts w:cs="Calibri"/>
          <w:b/>
          <w:bCs/>
          <w:lang w:eastAsia="cs-CZ"/>
        </w:rPr>
        <w:t>Kč)</w:t>
      </w: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7370"/>
        <w:gridCol w:w="1701"/>
      </w:tblGrid>
      <w:tr w:rsidR="00B07849" w:rsidRPr="00897FB7" w14:paraId="4DFFE7AF" w14:textId="77777777" w:rsidTr="00053F98">
        <w:trPr>
          <w:trHeight w:val="255"/>
          <w:jc w:val="center"/>
        </w:trPr>
        <w:tc>
          <w:tcPr>
            <w:tcW w:w="7370" w:type="dxa"/>
            <w:shd w:val="clear" w:color="auto" w:fill="E6E6E6"/>
            <w:vAlign w:val="center"/>
          </w:tcPr>
          <w:p w14:paraId="7BE42697" w14:textId="48063528" w:rsidR="006B765F" w:rsidRPr="00897FB7" w:rsidRDefault="00DD0A7C" w:rsidP="00DD0A7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897FB7">
              <w:rPr>
                <w:rFonts w:cs="Calibri"/>
                <w:b/>
                <w:sz w:val="18"/>
                <w:szCs w:val="18"/>
                <w:lang w:eastAsia="cs-CZ"/>
              </w:rPr>
              <w:t>Kategorie/oblast (PÚ)</w:t>
            </w:r>
            <w:r w:rsidR="00035012" w:rsidRPr="00897FB7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AA95A73" w14:textId="77777777" w:rsidR="006B765F" w:rsidRPr="00897FB7" w:rsidRDefault="00035012" w:rsidP="00DD0A7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897FB7">
              <w:rPr>
                <w:rFonts w:cs="Calibri"/>
                <w:b/>
                <w:sz w:val="18"/>
                <w:szCs w:val="18"/>
              </w:rPr>
              <w:t xml:space="preserve">Hodnota vykázaná k 31. prosinci </w:t>
            </w:r>
            <w:r w:rsidR="004759F4" w:rsidRPr="00897FB7">
              <w:rPr>
                <w:rFonts w:cs="Calibri"/>
                <w:b/>
                <w:sz w:val="18"/>
                <w:szCs w:val="18"/>
              </w:rPr>
              <w:t>2024</w:t>
            </w:r>
          </w:p>
        </w:tc>
      </w:tr>
      <w:tr w:rsidR="00B07849" w:rsidRPr="00897FB7" w14:paraId="11361284" w14:textId="77777777" w:rsidTr="00053F98">
        <w:trPr>
          <w:trHeight w:val="255"/>
          <w:jc w:val="center"/>
        </w:trPr>
        <w:tc>
          <w:tcPr>
            <w:tcW w:w="7370" w:type="dxa"/>
            <w:shd w:val="clear" w:color="auto" w:fill="DCA8B3"/>
            <w:vAlign w:val="center"/>
          </w:tcPr>
          <w:p w14:paraId="6D6812CB" w14:textId="7280074B" w:rsidR="006B765F" w:rsidRPr="00897FB7" w:rsidRDefault="00035012" w:rsidP="00DD0A7C">
            <w:pPr>
              <w:spacing w:after="0"/>
              <w:rPr>
                <w:rFonts w:cs="Calibri"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b/>
                <w:sz w:val="18"/>
                <w:szCs w:val="18"/>
              </w:rPr>
              <w:t xml:space="preserve">I. </w:t>
            </w:r>
            <w:r w:rsidR="001747FA" w:rsidRPr="00897FB7">
              <w:rPr>
                <w:rFonts w:cs="Calibri"/>
                <w:b/>
                <w:sz w:val="18"/>
                <w:szCs w:val="18"/>
              </w:rPr>
              <w:t>v</w:t>
            </w:r>
            <w:r w:rsidRPr="00897FB7">
              <w:rPr>
                <w:rFonts w:cs="Calibri"/>
                <w:b/>
                <w:sz w:val="18"/>
                <w:szCs w:val="18"/>
              </w:rPr>
              <w:t> podstatě jist</w:t>
            </w:r>
            <w:r w:rsidR="009B3B0F" w:rsidRPr="00897FB7">
              <w:rPr>
                <w:rFonts w:cs="Calibri"/>
                <w:b/>
                <w:sz w:val="18"/>
                <w:szCs w:val="18"/>
              </w:rPr>
              <w:t>á</w:t>
            </w:r>
            <w:r w:rsidRPr="00897FB7">
              <w:rPr>
                <w:rFonts w:cs="Calibri"/>
                <w:b/>
                <w:sz w:val="18"/>
                <w:szCs w:val="18"/>
              </w:rPr>
              <w:t xml:space="preserve"> a očekávan</w:t>
            </w:r>
            <w:r w:rsidR="009B3B0F" w:rsidRPr="00897FB7">
              <w:rPr>
                <w:rFonts w:cs="Calibri"/>
                <w:b/>
                <w:sz w:val="18"/>
                <w:szCs w:val="18"/>
              </w:rPr>
              <w:t>á</w:t>
            </w:r>
            <w:r w:rsidR="00DD0A7C" w:rsidRPr="00897FB7">
              <w:rPr>
                <w:rFonts w:cs="Calibri"/>
                <w:b/>
                <w:sz w:val="18"/>
                <w:szCs w:val="18"/>
              </w:rPr>
              <w:t xml:space="preserve"> aktiva/pasiva</w:t>
            </w:r>
            <w:r w:rsidRPr="00897FB7">
              <w:rPr>
                <w:rStyle w:val="Znakapoznpodarou"/>
                <w:rFonts w:cs="Calibri"/>
                <w:b/>
                <w:sz w:val="18"/>
                <w:szCs w:val="18"/>
              </w:rPr>
              <w:footnoteReference w:id="39"/>
            </w:r>
          </w:p>
        </w:tc>
        <w:tc>
          <w:tcPr>
            <w:tcW w:w="1701" w:type="dxa"/>
            <w:shd w:val="clear" w:color="auto" w:fill="DCA8B3"/>
            <w:vAlign w:val="center"/>
          </w:tcPr>
          <w:p w14:paraId="4CA5D701" w14:textId="77777777" w:rsidR="006B765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b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b/>
                <w:sz w:val="18"/>
                <w:szCs w:val="18"/>
              </w:rPr>
              <w:t>592,9</w:t>
            </w:r>
          </w:p>
        </w:tc>
      </w:tr>
      <w:tr w:rsidR="00B07849" w:rsidRPr="00897FB7" w14:paraId="4EC40C18" w14:textId="77777777" w:rsidTr="00053F98">
        <w:trPr>
          <w:trHeight w:val="255"/>
          <w:jc w:val="center"/>
        </w:trPr>
        <w:tc>
          <w:tcPr>
            <w:tcW w:w="7370" w:type="dxa"/>
            <w:vAlign w:val="center"/>
          </w:tcPr>
          <w:p w14:paraId="6270FA90" w14:textId="0B7B26CB" w:rsidR="006B765F" w:rsidRPr="00897FB7" w:rsidRDefault="00035012" w:rsidP="00DD0A7C">
            <w:pPr>
              <w:spacing w:after="0"/>
              <w:rPr>
                <w:rFonts w:cs="Calibri"/>
                <w:sz w:val="18"/>
                <w:szCs w:val="18"/>
              </w:rPr>
            </w:pPr>
            <w:r w:rsidRPr="00897FB7">
              <w:rPr>
                <w:rFonts w:cs="Calibri"/>
                <w:sz w:val="18"/>
                <w:szCs w:val="18"/>
              </w:rPr>
              <w:t xml:space="preserve">ostatní </w:t>
            </w:r>
            <w:r w:rsidR="009733C2" w:rsidRPr="00897FB7">
              <w:rPr>
                <w:rFonts w:cs="Calibri"/>
                <w:sz w:val="18"/>
                <w:szCs w:val="18"/>
              </w:rPr>
              <w:t xml:space="preserve">dlouhodobé </w:t>
            </w:r>
            <w:r w:rsidRPr="00897FB7">
              <w:rPr>
                <w:rFonts w:cs="Calibri"/>
                <w:sz w:val="18"/>
                <w:szCs w:val="18"/>
              </w:rPr>
              <w:t>podmíněné závazky z transferů (úč</w:t>
            </w:r>
            <w:r w:rsidR="004759F4" w:rsidRPr="00897FB7">
              <w:rPr>
                <w:rFonts w:cs="Calibri"/>
                <w:sz w:val="18"/>
                <w:szCs w:val="18"/>
              </w:rPr>
              <w:t xml:space="preserve">et </w:t>
            </w:r>
            <w:r w:rsidRPr="00897FB7">
              <w:rPr>
                <w:rFonts w:cs="Calibri"/>
                <w:sz w:val="18"/>
                <w:szCs w:val="18"/>
              </w:rPr>
              <w:t>956)</w:t>
            </w:r>
          </w:p>
        </w:tc>
        <w:tc>
          <w:tcPr>
            <w:tcW w:w="1701" w:type="dxa"/>
            <w:vAlign w:val="center"/>
          </w:tcPr>
          <w:p w14:paraId="23495163" w14:textId="77777777" w:rsidR="006B765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sz w:val="18"/>
                <w:szCs w:val="18"/>
              </w:rPr>
              <w:t>500</w:t>
            </w:r>
            <w:r w:rsidR="00CF5EA7" w:rsidRPr="00897FB7">
              <w:rPr>
                <w:rFonts w:cs="Calibri"/>
                <w:sz w:val="18"/>
                <w:szCs w:val="18"/>
              </w:rPr>
              <w:t>,</w:t>
            </w:r>
            <w:r w:rsidRPr="00897FB7">
              <w:rPr>
                <w:rFonts w:cs="Calibri"/>
                <w:sz w:val="18"/>
                <w:szCs w:val="18"/>
              </w:rPr>
              <w:t>0</w:t>
            </w:r>
          </w:p>
        </w:tc>
      </w:tr>
      <w:tr w:rsidR="00B07849" w:rsidRPr="00897FB7" w14:paraId="1CD2DE69" w14:textId="77777777" w:rsidTr="00053F98">
        <w:trPr>
          <w:trHeight w:val="255"/>
          <w:jc w:val="center"/>
        </w:trPr>
        <w:tc>
          <w:tcPr>
            <w:tcW w:w="7370" w:type="dxa"/>
            <w:vAlign w:val="center"/>
          </w:tcPr>
          <w:p w14:paraId="5210D959" w14:textId="3017E363" w:rsidR="006B765F" w:rsidRPr="00897FB7" w:rsidRDefault="009733C2" w:rsidP="00DD0A7C">
            <w:pPr>
              <w:spacing w:after="0"/>
              <w:rPr>
                <w:rFonts w:cs="Calibri"/>
                <w:sz w:val="18"/>
                <w:szCs w:val="18"/>
              </w:rPr>
            </w:pPr>
            <w:r w:rsidRPr="00897FB7">
              <w:rPr>
                <w:rFonts w:cs="Calibri"/>
                <w:sz w:val="18"/>
                <w:szCs w:val="18"/>
              </w:rPr>
              <w:t>dlouhodobé podmíněné pohledávky z jiných smluv (účet 934)</w:t>
            </w:r>
          </w:p>
        </w:tc>
        <w:tc>
          <w:tcPr>
            <w:tcW w:w="1701" w:type="dxa"/>
            <w:vAlign w:val="center"/>
          </w:tcPr>
          <w:p w14:paraId="6B6F02FF" w14:textId="77777777" w:rsidR="006B765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sz w:val="18"/>
                <w:szCs w:val="18"/>
              </w:rPr>
              <w:t>4</w:t>
            </w:r>
            <w:r w:rsidR="00CF5EA7" w:rsidRPr="00897FB7">
              <w:rPr>
                <w:rFonts w:cs="Calibri"/>
                <w:sz w:val="18"/>
                <w:szCs w:val="18"/>
              </w:rPr>
              <w:t>,</w:t>
            </w:r>
            <w:r w:rsidRPr="00897FB7">
              <w:rPr>
                <w:rFonts w:cs="Calibri"/>
                <w:sz w:val="18"/>
                <w:szCs w:val="18"/>
              </w:rPr>
              <w:t>5</w:t>
            </w:r>
          </w:p>
        </w:tc>
      </w:tr>
      <w:tr w:rsidR="00B07849" w:rsidRPr="00897FB7" w14:paraId="0A9A3FD0" w14:textId="77777777" w:rsidTr="00053F98">
        <w:trPr>
          <w:trHeight w:val="255"/>
          <w:jc w:val="center"/>
        </w:trPr>
        <w:tc>
          <w:tcPr>
            <w:tcW w:w="7370" w:type="dxa"/>
            <w:vAlign w:val="center"/>
          </w:tcPr>
          <w:p w14:paraId="60AB19AA" w14:textId="1F7B2C5A" w:rsidR="00C577BF" w:rsidRPr="00897FB7" w:rsidRDefault="00035012" w:rsidP="00DD0A7C">
            <w:pPr>
              <w:spacing w:after="0"/>
              <w:rPr>
                <w:rFonts w:cs="Calibri"/>
                <w:sz w:val="18"/>
                <w:szCs w:val="18"/>
              </w:rPr>
            </w:pPr>
            <w:r w:rsidRPr="00897FB7">
              <w:rPr>
                <w:rFonts w:cs="Calibri"/>
                <w:sz w:val="18"/>
                <w:szCs w:val="18"/>
              </w:rPr>
              <w:t xml:space="preserve">podmíněné závazky z uzavřených smluv (účty </w:t>
            </w:r>
            <w:r w:rsidR="00CB6BA8" w:rsidRPr="00897FB7">
              <w:rPr>
                <w:rFonts w:cs="Calibri"/>
                <w:sz w:val="18"/>
                <w:szCs w:val="18"/>
              </w:rPr>
              <w:t>97</w:t>
            </w:r>
            <w:r w:rsidR="004759F4" w:rsidRPr="00897FB7">
              <w:rPr>
                <w:rFonts w:cs="Calibri"/>
                <w:sz w:val="18"/>
                <w:szCs w:val="18"/>
              </w:rPr>
              <w:t>1</w:t>
            </w:r>
            <w:r w:rsidRPr="00897FB7">
              <w:rPr>
                <w:rFonts w:cs="Calibri"/>
                <w:sz w:val="18"/>
                <w:szCs w:val="18"/>
              </w:rPr>
              <w:t xml:space="preserve"> a 974)</w:t>
            </w:r>
          </w:p>
        </w:tc>
        <w:tc>
          <w:tcPr>
            <w:tcW w:w="1701" w:type="dxa"/>
            <w:vAlign w:val="center"/>
          </w:tcPr>
          <w:p w14:paraId="1F047F74" w14:textId="77777777" w:rsidR="00C577B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sz w:val="18"/>
                <w:szCs w:val="18"/>
              </w:rPr>
              <w:t>88,4</w:t>
            </w:r>
          </w:p>
        </w:tc>
      </w:tr>
      <w:tr w:rsidR="00B07849" w:rsidRPr="00897FB7" w14:paraId="5643DA27" w14:textId="77777777" w:rsidTr="00053F98">
        <w:trPr>
          <w:trHeight w:val="255"/>
          <w:jc w:val="center"/>
        </w:trPr>
        <w:tc>
          <w:tcPr>
            <w:tcW w:w="7370" w:type="dxa"/>
            <w:shd w:val="clear" w:color="auto" w:fill="DCA8B3"/>
            <w:vAlign w:val="center"/>
          </w:tcPr>
          <w:p w14:paraId="5A8ECAA7" w14:textId="1E9512CE" w:rsidR="006B765F" w:rsidRPr="00897FB7" w:rsidRDefault="00035012" w:rsidP="00DD0A7C">
            <w:pPr>
              <w:spacing w:after="0"/>
              <w:rPr>
                <w:rFonts w:cs="Calibri"/>
                <w:b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b/>
                <w:sz w:val="18"/>
                <w:szCs w:val="18"/>
              </w:rPr>
              <w:t xml:space="preserve">II. </w:t>
            </w:r>
            <w:r w:rsidR="00DD0A7C" w:rsidRPr="00897FB7">
              <w:rPr>
                <w:rFonts w:cs="Calibri"/>
                <w:b/>
                <w:sz w:val="18"/>
                <w:szCs w:val="18"/>
              </w:rPr>
              <w:t xml:space="preserve">aktiva/pasiva </w:t>
            </w:r>
            <w:r w:rsidR="001747FA" w:rsidRPr="00897FB7">
              <w:rPr>
                <w:rFonts w:cs="Calibri"/>
                <w:b/>
                <w:sz w:val="18"/>
                <w:szCs w:val="18"/>
              </w:rPr>
              <w:t>p</w:t>
            </w:r>
            <w:r w:rsidRPr="00897FB7">
              <w:rPr>
                <w:rFonts w:cs="Calibri"/>
                <w:b/>
                <w:sz w:val="18"/>
                <w:szCs w:val="18"/>
              </w:rPr>
              <w:t>odmíněn</w:t>
            </w:r>
            <w:r w:rsidR="00DF6AD0" w:rsidRPr="00897FB7">
              <w:rPr>
                <w:rFonts w:cs="Calibri"/>
                <w:b/>
                <w:sz w:val="18"/>
                <w:szCs w:val="18"/>
              </w:rPr>
              <w:t>á</w:t>
            </w:r>
            <w:r w:rsidRPr="00897FB7">
              <w:rPr>
                <w:rFonts w:cs="Calibri"/>
                <w:b/>
                <w:sz w:val="18"/>
                <w:szCs w:val="18"/>
              </w:rPr>
              <w:t xml:space="preserve"> specifickým rizikem, jež není plně pod kontrolou účetní jednotky</w:t>
            </w:r>
            <w:r w:rsidRPr="00897FB7">
              <w:rPr>
                <w:rStyle w:val="Znakapoznpodarou"/>
                <w:rFonts w:cs="Calibri"/>
                <w:b/>
                <w:sz w:val="18"/>
                <w:szCs w:val="18"/>
              </w:rPr>
              <w:footnoteReference w:id="40"/>
            </w:r>
          </w:p>
        </w:tc>
        <w:tc>
          <w:tcPr>
            <w:tcW w:w="1701" w:type="dxa"/>
            <w:shd w:val="clear" w:color="auto" w:fill="DCA8B3"/>
            <w:vAlign w:val="center"/>
          </w:tcPr>
          <w:p w14:paraId="33015C6F" w14:textId="77777777" w:rsidR="006B765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b/>
                <w:sz w:val="18"/>
                <w:szCs w:val="18"/>
              </w:rPr>
            </w:pPr>
            <w:r w:rsidRPr="00897FB7">
              <w:rPr>
                <w:rFonts w:cs="Calibri"/>
                <w:b/>
                <w:sz w:val="18"/>
                <w:szCs w:val="18"/>
              </w:rPr>
              <w:t>41,2</w:t>
            </w:r>
          </w:p>
        </w:tc>
      </w:tr>
      <w:tr w:rsidR="00B07849" w:rsidRPr="00897FB7" w14:paraId="7CC0FE80" w14:textId="77777777" w:rsidTr="00053F98">
        <w:trPr>
          <w:trHeight w:val="255"/>
          <w:jc w:val="center"/>
        </w:trPr>
        <w:tc>
          <w:tcPr>
            <w:tcW w:w="7370" w:type="dxa"/>
            <w:vAlign w:val="center"/>
          </w:tcPr>
          <w:p w14:paraId="0414DD1E" w14:textId="51DAF59F" w:rsidR="00C577BF" w:rsidRPr="00897FB7" w:rsidRDefault="009733C2" w:rsidP="00DD0A7C">
            <w:pPr>
              <w:spacing w:after="0"/>
              <w:ind w:left="30"/>
              <w:rPr>
                <w:rFonts w:cs="Calibri"/>
                <w:sz w:val="18"/>
                <w:szCs w:val="18"/>
              </w:rPr>
            </w:pPr>
            <w:r w:rsidRPr="00897FB7">
              <w:rPr>
                <w:rFonts w:cs="Calibri"/>
                <w:sz w:val="18"/>
                <w:szCs w:val="18"/>
              </w:rPr>
              <w:t>dlouhodobé podmíněné pohledávky ze soudních sporů, správních řízení a jiných řízení (účet 948)</w:t>
            </w:r>
          </w:p>
        </w:tc>
        <w:tc>
          <w:tcPr>
            <w:tcW w:w="1701" w:type="dxa"/>
            <w:vAlign w:val="center"/>
          </w:tcPr>
          <w:p w14:paraId="2F737E4C" w14:textId="77777777" w:rsidR="00C577B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sz w:val="18"/>
                <w:szCs w:val="18"/>
              </w:rPr>
            </w:pPr>
            <w:r w:rsidRPr="00897FB7">
              <w:rPr>
                <w:rFonts w:cs="Calibri"/>
                <w:sz w:val="18"/>
                <w:szCs w:val="18"/>
              </w:rPr>
              <w:t>41,2</w:t>
            </w:r>
          </w:p>
        </w:tc>
      </w:tr>
      <w:tr w:rsidR="00B07849" w:rsidRPr="00897FB7" w14:paraId="72C07776" w14:textId="77777777" w:rsidTr="00053F98">
        <w:trPr>
          <w:trHeight w:val="255"/>
          <w:jc w:val="center"/>
        </w:trPr>
        <w:tc>
          <w:tcPr>
            <w:tcW w:w="7370" w:type="dxa"/>
            <w:shd w:val="clear" w:color="auto" w:fill="DCA8B3"/>
            <w:vAlign w:val="center"/>
          </w:tcPr>
          <w:p w14:paraId="12F06CFD" w14:textId="47595F1F" w:rsidR="006B765F" w:rsidRPr="00897FB7" w:rsidRDefault="00035012" w:rsidP="00DD0A7C">
            <w:pPr>
              <w:spacing w:after="0"/>
              <w:rPr>
                <w:rFonts w:cs="Calibri"/>
                <w:b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b/>
                <w:sz w:val="18"/>
                <w:szCs w:val="18"/>
              </w:rPr>
              <w:t xml:space="preserve">III. </w:t>
            </w:r>
            <w:r w:rsidR="00DD0A7C" w:rsidRPr="00897FB7">
              <w:rPr>
                <w:rFonts w:cs="Calibri"/>
                <w:b/>
                <w:sz w:val="18"/>
                <w:szCs w:val="18"/>
              </w:rPr>
              <w:t xml:space="preserve">aktiva/pasiva </w:t>
            </w:r>
            <w:r w:rsidR="001747FA" w:rsidRPr="00897FB7">
              <w:rPr>
                <w:rFonts w:cs="Calibri"/>
                <w:b/>
                <w:sz w:val="18"/>
                <w:szCs w:val="18"/>
              </w:rPr>
              <w:t>n</w:t>
            </w:r>
            <w:r w:rsidRPr="00897FB7">
              <w:rPr>
                <w:rFonts w:cs="Calibri"/>
                <w:b/>
                <w:sz w:val="18"/>
                <w:szCs w:val="18"/>
              </w:rPr>
              <w:t>ejist</w:t>
            </w:r>
            <w:r w:rsidR="00DF6AD0" w:rsidRPr="00897FB7">
              <w:rPr>
                <w:rFonts w:cs="Calibri"/>
                <w:b/>
                <w:sz w:val="18"/>
                <w:szCs w:val="18"/>
              </w:rPr>
              <w:t>á</w:t>
            </w:r>
            <w:r w:rsidRPr="00897FB7">
              <w:rPr>
                <w:rFonts w:cs="Calibri"/>
                <w:b/>
                <w:sz w:val="18"/>
                <w:szCs w:val="18"/>
              </w:rPr>
              <w:t>, neočekávan</w:t>
            </w:r>
            <w:r w:rsidR="00DF6AD0" w:rsidRPr="00897FB7">
              <w:rPr>
                <w:rFonts w:cs="Calibri"/>
                <w:b/>
                <w:sz w:val="18"/>
                <w:szCs w:val="18"/>
              </w:rPr>
              <w:t>á</w:t>
            </w:r>
            <w:r w:rsidRPr="00897FB7">
              <w:rPr>
                <w:rFonts w:cs="Calibri"/>
                <w:b/>
                <w:sz w:val="18"/>
                <w:szCs w:val="18"/>
              </w:rPr>
              <w:t xml:space="preserve"> k plnění</w:t>
            </w:r>
            <w:r w:rsidRPr="00897FB7">
              <w:rPr>
                <w:rStyle w:val="Znakapoznpodarou"/>
                <w:rFonts w:cs="Calibri"/>
                <w:b/>
                <w:sz w:val="18"/>
                <w:szCs w:val="18"/>
              </w:rPr>
              <w:footnoteReference w:id="41"/>
            </w:r>
          </w:p>
        </w:tc>
        <w:tc>
          <w:tcPr>
            <w:tcW w:w="1701" w:type="dxa"/>
            <w:shd w:val="clear" w:color="auto" w:fill="DCA8B3"/>
            <w:vAlign w:val="center"/>
          </w:tcPr>
          <w:p w14:paraId="2C91DC62" w14:textId="77777777" w:rsidR="006B765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b/>
                <w:sz w:val="18"/>
                <w:szCs w:val="18"/>
                <w:highlight w:val="green"/>
              </w:rPr>
            </w:pPr>
            <w:r w:rsidRPr="00897FB7">
              <w:rPr>
                <w:rFonts w:cs="Calibri"/>
                <w:b/>
                <w:sz w:val="18"/>
                <w:szCs w:val="18"/>
              </w:rPr>
              <w:t>0,</w:t>
            </w:r>
            <w:r w:rsidR="00CF5EA7" w:rsidRPr="00897FB7">
              <w:rPr>
                <w:rFonts w:cs="Calibri"/>
                <w:b/>
                <w:sz w:val="18"/>
                <w:szCs w:val="18"/>
              </w:rPr>
              <w:t>0</w:t>
            </w:r>
          </w:p>
        </w:tc>
      </w:tr>
      <w:tr w:rsidR="00B07849" w:rsidRPr="00897FB7" w14:paraId="60E22427" w14:textId="77777777" w:rsidTr="00053F98">
        <w:trPr>
          <w:trHeight w:val="255"/>
          <w:jc w:val="center"/>
        </w:trPr>
        <w:tc>
          <w:tcPr>
            <w:tcW w:w="7370" w:type="dxa"/>
            <w:vAlign w:val="center"/>
          </w:tcPr>
          <w:p w14:paraId="5CB3DE3B" w14:textId="77777777" w:rsidR="006B765F" w:rsidRPr="00897FB7" w:rsidRDefault="00035012" w:rsidP="00DD0A7C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897FB7">
              <w:rPr>
                <w:rFonts w:cs="Calibri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7B615AB7" w14:textId="77777777" w:rsidR="006B765F" w:rsidRPr="00897FB7" w:rsidRDefault="00035012" w:rsidP="00DD0A7C">
            <w:pPr>
              <w:spacing w:after="0"/>
              <w:ind w:right="57"/>
              <w:jc w:val="right"/>
              <w:rPr>
                <w:rFonts w:cs="Calibri"/>
                <w:sz w:val="18"/>
                <w:szCs w:val="18"/>
              </w:rPr>
            </w:pPr>
            <w:r w:rsidRPr="00897FB7">
              <w:rPr>
                <w:rFonts w:cs="Calibri"/>
                <w:sz w:val="18"/>
                <w:szCs w:val="18"/>
              </w:rPr>
              <w:t>0,0</w:t>
            </w:r>
          </w:p>
        </w:tc>
      </w:tr>
    </w:tbl>
    <w:p w14:paraId="5E91C7CE" w14:textId="39A28009" w:rsidR="006B765F" w:rsidRDefault="00035012" w:rsidP="00DD0A7C">
      <w:pPr>
        <w:spacing w:before="40" w:after="0"/>
        <w:jc w:val="both"/>
        <w:rPr>
          <w:rFonts w:cs="Calibri"/>
          <w:sz w:val="20"/>
          <w:szCs w:val="20"/>
        </w:rPr>
      </w:pPr>
      <w:r w:rsidRPr="004A0C69">
        <w:rPr>
          <w:rFonts w:cs="Calibri"/>
          <w:b/>
          <w:sz w:val="20"/>
          <w:szCs w:val="20"/>
        </w:rPr>
        <w:t>Zdroj:</w:t>
      </w:r>
      <w:r w:rsidRPr="004A0C69">
        <w:rPr>
          <w:rFonts w:cs="Calibri"/>
          <w:sz w:val="20"/>
          <w:szCs w:val="20"/>
        </w:rPr>
        <w:t xml:space="preserve"> ÚZ, </w:t>
      </w:r>
      <w:r w:rsidR="002E170C" w:rsidRPr="004A0C69">
        <w:rPr>
          <w:rFonts w:cs="Calibri"/>
          <w:sz w:val="20"/>
          <w:szCs w:val="20"/>
        </w:rPr>
        <w:t xml:space="preserve">vypracoval </w:t>
      </w:r>
      <w:r w:rsidR="009B3B0F" w:rsidRPr="004A0C69">
        <w:rPr>
          <w:rFonts w:cs="Calibri"/>
          <w:sz w:val="20"/>
          <w:szCs w:val="20"/>
        </w:rPr>
        <w:t>NKÚ</w:t>
      </w:r>
      <w:r w:rsidR="00F044C6" w:rsidRPr="004A0C69">
        <w:rPr>
          <w:rFonts w:cs="Calibri"/>
          <w:sz w:val="20"/>
          <w:szCs w:val="20"/>
        </w:rPr>
        <w:t>.</w:t>
      </w:r>
    </w:p>
    <w:p w14:paraId="59A5E402" w14:textId="0AAEDF45" w:rsidR="00DD0A7C" w:rsidRDefault="00DD0A7C" w:rsidP="00DD0A7C">
      <w:pPr>
        <w:spacing w:after="0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 w:rsidRPr="004920C6">
        <w:rPr>
          <w:rFonts w:asciiTheme="minorHAnsi" w:eastAsiaTheme="minorHAnsi" w:hAnsiTheme="minorHAnsi" w:cs="Calibri"/>
          <w:b/>
          <w:sz w:val="20"/>
          <w:szCs w:val="20"/>
        </w:rPr>
        <w:t xml:space="preserve">Pozn.: 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>PÚ – podrozvahový</w:t>
      </w:r>
      <w:r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>účet</w:t>
      </w:r>
      <w:r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>/</w:t>
      </w:r>
      <w:r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Pr="004920C6">
        <w:rPr>
          <w:rFonts w:asciiTheme="minorHAnsi" w:eastAsiaTheme="minorHAnsi" w:hAnsiTheme="minorHAnsi" w:cs="Calibri"/>
          <w:bCs/>
          <w:sz w:val="20"/>
          <w:szCs w:val="20"/>
        </w:rPr>
        <w:t>podrozvahové účty.</w:t>
      </w:r>
    </w:p>
    <w:p w14:paraId="1C7D3189" w14:textId="77777777" w:rsidR="00DD0A7C" w:rsidRDefault="00DD0A7C">
      <w:pPr>
        <w:spacing w:after="160" w:line="259" w:lineRule="auto"/>
        <w:rPr>
          <w:rFonts w:asciiTheme="minorHAnsi" w:eastAsiaTheme="minorHAnsi" w:hAnsiTheme="minorHAnsi" w:cs="Calibri"/>
          <w:bCs/>
          <w:sz w:val="20"/>
          <w:szCs w:val="20"/>
        </w:rPr>
      </w:pPr>
      <w:r>
        <w:rPr>
          <w:rFonts w:asciiTheme="minorHAnsi" w:eastAsiaTheme="minorHAnsi" w:hAnsiTheme="minorHAnsi" w:cs="Calibri"/>
          <w:bCs/>
          <w:sz w:val="20"/>
          <w:szCs w:val="20"/>
        </w:rPr>
        <w:br w:type="page"/>
      </w:r>
    </w:p>
    <w:p w14:paraId="19AB094C" w14:textId="77777777" w:rsidR="00A806EC" w:rsidRPr="00B066D6" w:rsidRDefault="00035012" w:rsidP="00B066D6">
      <w:pPr>
        <w:pStyle w:val="Nadpis1"/>
        <w:keepNext/>
        <w:spacing w:after="240" w:line="240" w:lineRule="auto"/>
        <w:jc w:val="right"/>
        <w:rPr>
          <w:sz w:val="24"/>
        </w:rPr>
      </w:pPr>
      <w:r w:rsidRPr="00B066D6">
        <w:rPr>
          <w:sz w:val="24"/>
        </w:rPr>
        <w:lastRenderedPageBreak/>
        <w:t>Příloha č. 3</w:t>
      </w:r>
    </w:p>
    <w:p w14:paraId="51906BD2" w14:textId="77777777" w:rsidR="00A806EC" w:rsidRDefault="00035012" w:rsidP="00A806EC">
      <w:pPr>
        <w:spacing w:before="40" w:after="240"/>
        <w:rPr>
          <w:b/>
          <w:bCs/>
        </w:rPr>
      </w:pPr>
      <w:r>
        <w:rPr>
          <w:b/>
          <w:bCs/>
        </w:rPr>
        <w:t>Financování obnovy majetku po povodních</w:t>
      </w:r>
    </w:p>
    <w:p w14:paraId="2C852E82" w14:textId="77777777" w:rsidR="00A806EC" w:rsidRPr="0097578C" w:rsidRDefault="00035012" w:rsidP="00A806EC">
      <w:pPr>
        <w:rPr>
          <w:rFonts w:cs="Calibri"/>
          <w:b/>
          <w:bCs/>
          <w:u w:val="single"/>
        </w:rPr>
      </w:pPr>
      <w:r w:rsidRPr="001718B3">
        <w:rPr>
          <w:rFonts w:cs="Calibri"/>
          <w:b/>
          <w:bCs/>
        </w:rPr>
        <w:t>Novela zákona č. 433/2023 Sb.</w:t>
      </w:r>
      <w:r>
        <w:rPr>
          <w:rStyle w:val="Znakapoznpodarou"/>
          <w:rFonts w:cs="Calibri"/>
          <w:bCs/>
          <w:iCs/>
        </w:rPr>
        <w:footnoteReference w:id="42"/>
      </w:r>
    </w:p>
    <w:p w14:paraId="0C55F531" w14:textId="0998DBA0" w:rsidR="00A806E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Novelou zákona č. 433/2023 Sb. provedenou zákonem č. 294/2024 Sb.</w:t>
      </w:r>
      <w:r>
        <w:rPr>
          <w:rStyle w:val="Znakapoznpodarou"/>
          <w:rFonts w:cs="Calibri"/>
          <w:bCs/>
          <w:iCs/>
        </w:rPr>
        <w:footnoteReference w:id="43"/>
      </w:r>
      <w:r w:rsidRPr="0097578C">
        <w:rPr>
          <w:rFonts w:cs="Calibri"/>
          <w:bCs/>
          <w:iCs/>
        </w:rPr>
        <w:t xml:space="preserve"> došlo mj. k navýšení výdajů o 30 </w:t>
      </w:r>
      <w:r w:rsidR="0018130D">
        <w:rPr>
          <w:rFonts w:cs="Calibri"/>
          <w:bCs/>
          <w:iCs/>
        </w:rPr>
        <w:t xml:space="preserve">000 </w:t>
      </w:r>
      <w:r w:rsidRPr="0097578C">
        <w:rPr>
          <w:rFonts w:cs="Calibri"/>
          <w:bCs/>
          <w:iCs/>
        </w:rPr>
        <w:t>m</w:t>
      </w:r>
      <w:r w:rsidR="0018130D">
        <w:rPr>
          <w:rFonts w:cs="Calibri"/>
          <w:bCs/>
          <w:iCs/>
        </w:rPr>
        <w:t>il</w:t>
      </w:r>
      <w:r w:rsidRPr="0097578C">
        <w:rPr>
          <w:rFonts w:cs="Calibri"/>
          <w:bCs/>
          <w:iCs/>
        </w:rPr>
        <w:t xml:space="preserve">. Kč v kapitole 398 </w:t>
      </w:r>
      <w:r w:rsidRPr="00451FDD">
        <w:rPr>
          <w:rFonts w:cstheme="minorHAnsi"/>
          <w:bCs/>
          <w:iCs/>
        </w:rPr>
        <w:t>–</w:t>
      </w:r>
      <w:r w:rsidRPr="0097578C">
        <w:rPr>
          <w:rFonts w:cs="Calibri"/>
          <w:bCs/>
          <w:iCs/>
        </w:rPr>
        <w:t xml:space="preserve"> </w:t>
      </w:r>
      <w:r w:rsidRPr="001718B3">
        <w:rPr>
          <w:rFonts w:cs="Calibri"/>
          <w:bCs/>
          <w:i/>
        </w:rPr>
        <w:t>Všeobecná pokladní správa</w:t>
      </w:r>
      <w:r w:rsidRPr="0097578C">
        <w:rPr>
          <w:rFonts w:cs="Calibri"/>
          <w:bCs/>
          <w:iCs/>
        </w:rPr>
        <w:t xml:space="preserve"> v závazném ukazateli </w:t>
      </w:r>
      <w:r w:rsidR="00A81705">
        <w:rPr>
          <w:rFonts w:cs="Calibri"/>
          <w:bCs/>
          <w:iCs/>
        </w:rPr>
        <w:t>„</w:t>
      </w:r>
      <w:r w:rsidRPr="0097578C">
        <w:rPr>
          <w:rFonts w:cs="Calibri"/>
          <w:bCs/>
          <w:iCs/>
        </w:rPr>
        <w:t xml:space="preserve">Vládní rozpočtová rezerva". Tyto prostředky by měly být uvolňovány vybraným kapitolám státního rozpočtu, a to včetně kapitoly 362 </w:t>
      </w:r>
      <w:r w:rsidRPr="00451FDD">
        <w:rPr>
          <w:rFonts w:cstheme="minorHAnsi"/>
          <w:bCs/>
          <w:iCs/>
        </w:rPr>
        <w:t>–</w:t>
      </w:r>
      <w:r w:rsidRPr="0097578C">
        <w:rPr>
          <w:rFonts w:cs="Calibri"/>
          <w:bCs/>
          <w:iCs/>
        </w:rPr>
        <w:t xml:space="preserve"> </w:t>
      </w:r>
      <w:r w:rsidRPr="001718B3">
        <w:rPr>
          <w:rFonts w:cs="Calibri"/>
          <w:bCs/>
          <w:i/>
        </w:rPr>
        <w:t>Národní sportovní agentura</w:t>
      </w:r>
      <w:r w:rsidRPr="0097578C">
        <w:rPr>
          <w:rFonts w:cs="Calibri"/>
          <w:bCs/>
          <w:iCs/>
        </w:rPr>
        <w:t>, formou rozpočtových opatření. Prostředky budou účelově vázány na projekty související s</w:t>
      </w:r>
      <w:r w:rsidR="00EB0A29">
        <w:rPr>
          <w:rFonts w:cs="Calibri"/>
          <w:bCs/>
          <w:iCs/>
        </w:rPr>
        <w:t> </w:t>
      </w:r>
      <w:r w:rsidRPr="0097578C">
        <w:rPr>
          <w:rFonts w:cs="Calibri"/>
          <w:bCs/>
          <w:iCs/>
        </w:rPr>
        <w:t>odstraňováním materiálních škod vzniklých na majetku po povodních v září 2024.</w:t>
      </w:r>
    </w:p>
    <w:p w14:paraId="58AC029C" w14:textId="41BF1CA1" w:rsidR="00A806EC" w:rsidRPr="001718B3" w:rsidRDefault="00035012" w:rsidP="00A806EC">
      <w:pPr>
        <w:rPr>
          <w:rFonts w:cs="Calibri"/>
          <w:b/>
          <w:bCs/>
        </w:rPr>
      </w:pPr>
      <w:r w:rsidRPr="001718B3">
        <w:rPr>
          <w:rFonts w:cs="Calibri"/>
          <w:b/>
          <w:bCs/>
        </w:rPr>
        <w:t xml:space="preserve">Materiál </w:t>
      </w:r>
      <w:r w:rsidR="007700C3" w:rsidRPr="001718B3">
        <w:rPr>
          <w:rFonts w:cs="Calibri"/>
          <w:b/>
          <w:bCs/>
        </w:rPr>
        <w:t xml:space="preserve">NSA </w:t>
      </w:r>
      <w:r w:rsidRPr="001718B3">
        <w:rPr>
          <w:rFonts w:cs="Calibri"/>
          <w:b/>
          <w:bCs/>
        </w:rPr>
        <w:t xml:space="preserve">pro jednání vlády </w:t>
      </w:r>
    </w:p>
    <w:p w14:paraId="59ED0226" w14:textId="31AF47EB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NSA zpracovala materiál pro jednání vlády ve věci „</w:t>
      </w:r>
      <w:r w:rsidRPr="0097578C">
        <w:rPr>
          <w:rFonts w:cs="Calibri"/>
          <w:bCs/>
          <w:i/>
        </w:rPr>
        <w:t xml:space="preserve">Žádost o navýšení rozpočtu kapitoly 362 NSA z prostředků vládní rozpočtové rezervy </w:t>
      </w:r>
      <w:r w:rsidR="00404134">
        <w:rPr>
          <w:rFonts w:cs="Calibri"/>
          <w:bCs/>
          <w:i/>
        </w:rPr>
        <w:t xml:space="preserve">v </w:t>
      </w:r>
      <w:r w:rsidRPr="0097578C">
        <w:rPr>
          <w:rFonts w:cs="Calibri"/>
          <w:bCs/>
          <w:i/>
        </w:rPr>
        <w:t>kapitole Všeobecná pokladní správa v roce 2024 na likvidaci následků povodní v oblasti sportu vzniklých v roce 2024</w:t>
      </w:r>
      <w:r w:rsidRPr="0097578C">
        <w:rPr>
          <w:rFonts w:cs="Calibri"/>
          <w:bCs/>
          <w:iCs/>
        </w:rPr>
        <w:t>“</w:t>
      </w:r>
      <w:r w:rsidR="00FE4F2F">
        <w:rPr>
          <w:rFonts w:cs="Calibri"/>
          <w:bCs/>
          <w:iCs/>
        </w:rPr>
        <w:t xml:space="preserve"> </w:t>
      </w:r>
      <w:r w:rsidRPr="0018130D">
        <w:rPr>
          <w:rFonts w:cs="Calibri"/>
          <w:bCs/>
          <w:iCs/>
        </w:rPr>
        <w:t>(dále jen „Žádost o</w:t>
      </w:r>
      <w:r w:rsidR="00EB0A29">
        <w:rPr>
          <w:rFonts w:cs="Calibri"/>
          <w:bCs/>
          <w:iCs/>
        </w:rPr>
        <w:t> </w:t>
      </w:r>
      <w:r w:rsidRPr="0018130D">
        <w:rPr>
          <w:rFonts w:cs="Calibri"/>
          <w:bCs/>
          <w:iCs/>
        </w:rPr>
        <w:t>navýšení rozpočtu“).</w:t>
      </w:r>
    </w:p>
    <w:p w14:paraId="74783FB9" w14:textId="1DB46905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NSA v</w:t>
      </w:r>
      <w:r>
        <w:rPr>
          <w:rFonts w:cs="Calibri"/>
          <w:bCs/>
          <w:iCs/>
        </w:rPr>
        <w:t> </w:t>
      </w:r>
      <w:r w:rsidRPr="0097578C">
        <w:rPr>
          <w:rFonts w:cs="Calibri"/>
          <w:bCs/>
          <w:iCs/>
        </w:rPr>
        <w:t>Žádosti</w:t>
      </w:r>
      <w:r>
        <w:rPr>
          <w:rFonts w:cs="Calibri"/>
          <w:bCs/>
          <w:iCs/>
        </w:rPr>
        <w:t xml:space="preserve"> o navýšení rozpočtu</w:t>
      </w:r>
      <w:r w:rsidRPr="0097578C">
        <w:rPr>
          <w:rFonts w:cs="Calibri"/>
          <w:bCs/>
          <w:iCs/>
        </w:rPr>
        <w:t xml:space="preserve"> vyčíslila požadované </w:t>
      </w:r>
      <w:r w:rsidRPr="0097578C">
        <w:rPr>
          <w:rFonts w:cs="Calibri"/>
          <w:b/>
          <w:iCs/>
        </w:rPr>
        <w:t>navýšení rozpočtu kapitoly 362 NSA o 850 </w:t>
      </w:r>
      <w:r w:rsidR="0018130D">
        <w:rPr>
          <w:rFonts w:cs="Calibri"/>
          <w:b/>
          <w:iCs/>
        </w:rPr>
        <w:t>mil.</w:t>
      </w:r>
      <w:r w:rsidRPr="0097578C">
        <w:rPr>
          <w:rFonts w:cs="Calibri"/>
          <w:b/>
          <w:iCs/>
        </w:rPr>
        <w:t xml:space="preserve"> Kč</w:t>
      </w:r>
      <w:r w:rsidRPr="001718B3">
        <w:rPr>
          <w:rFonts w:cs="Calibri"/>
          <w:b/>
          <w:iCs/>
        </w:rPr>
        <w:t>,</w:t>
      </w:r>
      <w:r w:rsidRPr="0097578C">
        <w:rPr>
          <w:rFonts w:cs="Calibri"/>
          <w:bCs/>
          <w:iCs/>
        </w:rPr>
        <w:t xml:space="preserve"> a to právě na likvidaci následků povodní v oblasti sportu </w:t>
      </w:r>
      <w:r w:rsidR="00FE4F2F">
        <w:rPr>
          <w:rFonts w:cs="Calibri"/>
          <w:bCs/>
          <w:iCs/>
        </w:rPr>
        <w:t xml:space="preserve">ve dvou krajích </w:t>
      </w:r>
      <w:r w:rsidRPr="0097578C">
        <w:rPr>
          <w:rFonts w:cs="Calibri"/>
          <w:bCs/>
          <w:iCs/>
        </w:rPr>
        <w:t>a ve správním obvodu obce s rozšířenou působností, ve kterých byl vyhlášen stav nebezpečí.</w:t>
      </w:r>
    </w:p>
    <w:p w14:paraId="443186D4" w14:textId="62850994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Finanční prostředky navrhla NSA použít formou dotace do oblasti sportu, a to ve výši </w:t>
      </w:r>
      <w:r w:rsidRPr="0097578C">
        <w:rPr>
          <w:rFonts w:cs="Calibri"/>
          <w:b/>
          <w:iCs/>
        </w:rPr>
        <w:t>600 </w:t>
      </w:r>
      <w:r w:rsidR="0018130D">
        <w:rPr>
          <w:rFonts w:cs="Calibri"/>
          <w:b/>
          <w:iCs/>
        </w:rPr>
        <w:t>mil.</w:t>
      </w:r>
      <w:r w:rsidR="00EB0A29">
        <w:rPr>
          <w:rFonts w:cs="Calibri"/>
          <w:b/>
          <w:iCs/>
        </w:rPr>
        <w:t> </w:t>
      </w:r>
      <w:r w:rsidRPr="0097578C">
        <w:rPr>
          <w:rFonts w:cs="Calibri"/>
          <w:b/>
          <w:iCs/>
        </w:rPr>
        <w:t>Kč pro investiční transfery</w:t>
      </w:r>
      <w:r w:rsidRPr="0097578C">
        <w:rPr>
          <w:rFonts w:cs="Calibri"/>
          <w:bCs/>
          <w:iCs/>
        </w:rPr>
        <w:t xml:space="preserve"> a ve výši </w:t>
      </w:r>
      <w:r w:rsidRPr="0097578C">
        <w:rPr>
          <w:rFonts w:cs="Calibri"/>
          <w:b/>
          <w:iCs/>
        </w:rPr>
        <w:t>250 </w:t>
      </w:r>
      <w:r w:rsidR="0018130D">
        <w:rPr>
          <w:rFonts w:cs="Calibri"/>
          <w:b/>
          <w:iCs/>
        </w:rPr>
        <w:t>mil.</w:t>
      </w:r>
      <w:r w:rsidRPr="0097578C">
        <w:rPr>
          <w:rFonts w:cs="Calibri"/>
          <w:b/>
          <w:iCs/>
        </w:rPr>
        <w:t xml:space="preserve"> Kč pro neinvestiční transfery</w:t>
      </w:r>
      <w:r w:rsidRPr="001718B3">
        <w:rPr>
          <w:rFonts w:cs="Calibri"/>
          <w:b/>
          <w:iCs/>
        </w:rPr>
        <w:t>.</w:t>
      </w:r>
    </w:p>
    <w:p w14:paraId="3B0E5F23" w14:textId="56BD620F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/>
          <w:iCs/>
          <w:u w:val="single"/>
        </w:rPr>
        <w:t>Investiční transfery</w:t>
      </w:r>
      <w:r w:rsidRPr="0097578C">
        <w:rPr>
          <w:rFonts w:cs="Calibri"/>
          <w:b/>
          <w:iCs/>
        </w:rPr>
        <w:t xml:space="preserve"> mají</w:t>
      </w:r>
      <w:r w:rsidRPr="0097578C">
        <w:rPr>
          <w:rFonts w:cs="Calibri"/>
          <w:bCs/>
          <w:iCs/>
        </w:rPr>
        <w:t xml:space="preserve"> dle návrhu NSA uvedeném v Žádosti </w:t>
      </w:r>
      <w:r>
        <w:rPr>
          <w:rFonts w:cs="Calibri"/>
          <w:bCs/>
          <w:iCs/>
        </w:rPr>
        <w:t xml:space="preserve">o navýšení rozpočtu </w:t>
      </w:r>
      <w:r w:rsidRPr="0097578C">
        <w:rPr>
          <w:rFonts w:cs="Calibri"/>
          <w:b/>
          <w:iCs/>
        </w:rPr>
        <w:t>cílit na</w:t>
      </w:r>
      <w:r w:rsidRPr="0097578C">
        <w:rPr>
          <w:rFonts w:cs="Calibri"/>
          <w:bCs/>
          <w:iCs/>
        </w:rPr>
        <w:t xml:space="preserve"> rekonstrukci (obnovu) povodněmi poškozených sportovních zařízení</w:t>
      </w:r>
      <w:r w:rsidR="001F49DB">
        <w:rPr>
          <w:rFonts w:cs="Calibri"/>
          <w:bCs/>
          <w:iCs/>
        </w:rPr>
        <w:t>,</w:t>
      </w:r>
      <w:r w:rsidRPr="0097578C">
        <w:rPr>
          <w:rFonts w:cs="Calibri"/>
          <w:bCs/>
          <w:iCs/>
        </w:rPr>
        <w:t xml:space="preserve"> včetně jejich zázemí</w:t>
      </w:r>
      <w:r w:rsidR="001F49DB">
        <w:rPr>
          <w:rFonts w:cs="Calibri"/>
          <w:bCs/>
          <w:iCs/>
        </w:rPr>
        <w:t>,</w:t>
      </w:r>
      <w:r w:rsidRPr="0097578C">
        <w:rPr>
          <w:rFonts w:cs="Calibri"/>
          <w:bCs/>
          <w:iCs/>
        </w:rPr>
        <w:t xml:space="preserve"> nebo na výstavbu sportovních zařízení jako nahrazení zcela poškozených, zničených povodněmi sportovních zařízení, včetně pořízení povodněmi poškozeného, resp. zničeného dlouhodobého majetku, který byl součástí těchto sportovních zařízení. </w:t>
      </w:r>
      <w:r w:rsidRPr="0097578C">
        <w:rPr>
          <w:rFonts w:cs="Calibri"/>
          <w:b/>
          <w:iCs/>
        </w:rPr>
        <w:t>Oprávněnými žadateli budou</w:t>
      </w:r>
      <w:r w:rsidRPr="0097578C">
        <w:rPr>
          <w:rFonts w:cs="Calibri"/>
          <w:bCs/>
          <w:iCs/>
        </w:rPr>
        <w:t xml:space="preserve"> sportovní organizace (spolky), kraj</w:t>
      </w:r>
      <w:r>
        <w:rPr>
          <w:rFonts w:cs="Calibri"/>
          <w:bCs/>
          <w:iCs/>
        </w:rPr>
        <w:t>e</w:t>
      </w:r>
      <w:r w:rsidRPr="0097578C">
        <w:rPr>
          <w:rFonts w:cs="Calibri"/>
          <w:bCs/>
          <w:iCs/>
        </w:rPr>
        <w:t>, obc</w:t>
      </w:r>
      <w:r>
        <w:rPr>
          <w:rFonts w:cs="Calibri"/>
          <w:bCs/>
          <w:iCs/>
        </w:rPr>
        <w:t>e</w:t>
      </w:r>
      <w:r w:rsidRPr="0097578C">
        <w:rPr>
          <w:rFonts w:cs="Calibri"/>
          <w:bCs/>
          <w:iCs/>
        </w:rPr>
        <w:t>, dobrovoln</w:t>
      </w:r>
      <w:r>
        <w:rPr>
          <w:rFonts w:cs="Calibri"/>
          <w:bCs/>
          <w:iCs/>
        </w:rPr>
        <w:t>é</w:t>
      </w:r>
      <w:r w:rsidRPr="0097578C">
        <w:rPr>
          <w:rFonts w:cs="Calibri"/>
          <w:bCs/>
          <w:iCs/>
        </w:rPr>
        <w:t xml:space="preserve"> svazk</w:t>
      </w:r>
      <w:r>
        <w:rPr>
          <w:rFonts w:cs="Calibri"/>
          <w:bCs/>
          <w:iCs/>
        </w:rPr>
        <w:t>y</w:t>
      </w:r>
      <w:r w:rsidRPr="0097578C">
        <w:rPr>
          <w:rFonts w:cs="Calibri"/>
          <w:bCs/>
          <w:iCs/>
        </w:rPr>
        <w:t xml:space="preserve"> obcí, příspěvkov</w:t>
      </w:r>
      <w:r>
        <w:rPr>
          <w:rFonts w:cs="Calibri"/>
          <w:bCs/>
          <w:iCs/>
        </w:rPr>
        <w:t>é</w:t>
      </w:r>
      <w:r w:rsidRPr="0097578C">
        <w:rPr>
          <w:rFonts w:cs="Calibri"/>
          <w:bCs/>
          <w:iCs/>
        </w:rPr>
        <w:t xml:space="preserve"> organizace zřízen</w:t>
      </w:r>
      <w:r>
        <w:rPr>
          <w:rFonts w:cs="Calibri"/>
          <w:bCs/>
          <w:iCs/>
        </w:rPr>
        <w:t>é</w:t>
      </w:r>
      <w:r w:rsidRPr="0097578C">
        <w:rPr>
          <w:rFonts w:cs="Calibri"/>
          <w:bCs/>
          <w:iCs/>
        </w:rPr>
        <w:t xml:space="preserve"> </w:t>
      </w:r>
      <w:r w:rsidR="0018130D">
        <w:rPr>
          <w:rFonts w:cs="Calibri"/>
          <w:bCs/>
          <w:iCs/>
        </w:rPr>
        <w:t>územními samosprávnými celky</w:t>
      </w:r>
      <w:r w:rsidRPr="0097578C">
        <w:rPr>
          <w:rFonts w:cs="Calibri"/>
          <w:bCs/>
          <w:iCs/>
        </w:rPr>
        <w:t xml:space="preserve"> a obchodní společnost</w:t>
      </w:r>
      <w:r>
        <w:rPr>
          <w:rFonts w:cs="Calibri"/>
          <w:bCs/>
          <w:iCs/>
        </w:rPr>
        <w:t>i</w:t>
      </w:r>
      <w:r w:rsidRPr="0097578C">
        <w:rPr>
          <w:rFonts w:cs="Calibri"/>
          <w:bCs/>
          <w:iCs/>
        </w:rPr>
        <w:t xml:space="preserve"> (</w:t>
      </w:r>
      <w:r w:rsidR="00AE12C3">
        <w:rPr>
          <w:rFonts w:cs="Calibri"/>
          <w:bCs/>
          <w:iCs/>
        </w:rPr>
        <w:t>akciové společnosti</w:t>
      </w:r>
      <w:r w:rsidRPr="0097578C">
        <w:rPr>
          <w:rFonts w:cs="Calibri"/>
          <w:bCs/>
          <w:iCs/>
        </w:rPr>
        <w:t xml:space="preserve"> nebo s</w:t>
      </w:r>
      <w:r w:rsidR="00AE12C3">
        <w:rPr>
          <w:rFonts w:cs="Calibri"/>
          <w:bCs/>
          <w:iCs/>
        </w:rPr>
        <w:t>polečnosti s ručením omezeným</w:t>
      </w:r>
      <w:r w:rsidRPr="0097578C">
        <w:rPr>
          <w:rFonts w:cs="Calibri"/>
          <w:bCs/>
          <w:iCs/>
        </w:rPr>
        <w:t>)</w:t>
      </w:r>
      <w:r>
        <w:rPr>
          <w:rFonts w:cs="Calibri"/>
          <w:bCs/>
          <w:iCs/>
        </w:rPr>
        <w:t>,</w:t>
      </w:r>
      <w:r w:rsidRPr="0097578C">
        <w:rPr>
          <w:rFonts w:cs="Calibri"/>
          <w:bCs/>
          <w:iCs/>
        </w:rPr>
        <w:t xml:space="preserve"> pokud j</w:t>
      </w:r>
      <w:r>
        <w:rPr>
          <w:rFonts w:cs="Calibri"/>
          <w:bCs/>
          <w:iCs/>
        </w:rPr>
        <w:t>sou</w:t>
      </w:r>
      <w:r w:rsidRPr="0097578C">
        <w:rPr>
          <w:rFonts w:cs="Calibri"/>
          <w:bCs/>
          <w:iCs/>
        </w:rPr>
        <w:t xml:space="preserve"> 100% vlastněn</w:t>
      </w:r>
      <w:r>
        <w:rPr>
          <w:rFonts w:cs="Calibri"/>
          <w:bCs/>
          <w:iCs/>
        </w:rPr>
        <w:t>é</w:t>
      </w:r>
      <w:r w:rsidRPr="0097578C">
        <w:rPr>
          <w:rFonts w:cs="Calibri"/>
          <w:bCs/>
          <w:iCs/>
        </w:rPr>
        <w:t xml:space="preserve"> obcí nebo krajem. </w:t>
      </w:r>
      <w:r w:rsidRPr="0097578C">
        <w:rPr>
          <w:rFonts w:cs="Calibri"/>
          <w:b/>
          <w:iCs/>
        </w:rPr>
        <w:t>Celková účast státního rozpočtu bude maximálně 600 </w:t>
      </w:r>
      <w:r w:rsidR="0018130D">
        <w:rPr>
          <w:rFonts w:cs="Calibri"/>
          <w:b/>
          <w:iCs/>
        </w:rPr>
        <w:t>mil.</w:t>
      </w:r>
      <w:r w:rsidRPr="0097578C">
        <w:rPr>
          <w:rFonts w:cs="Calibri"/>
          <w:b/>
          <w:iCs/>
        </w:rPr>
        <w:t xml:space="preserve"> Kč a program bude realizován v letech 2024 až 2027.</w:t>
      </w:r>
    </w:p>
    <w:p w14:paraId="31649FAD" w14:textId="77777777" w:rsidR="00A806EC" w:rsidRPr="0097578C" w:rsidRDefault="00035012" w:rsidP="00277121">
      <w:pPr>
        <w:spacing w:after="0"/>
        <w:jc w:val="both"/>
        <w:rPr>
          <w:rFonts w:cs="Calibri"/>
          <w:b/>
          <w:iCs/>
        </w:rPr>
      </w:pPr>
      <w:r w:rsidRPr="0097578C">
        <w:rPr>
          <w:rFonts w:cs="Calibri"/>
          <w:b/>
          <w:iCs/>
          <w:u w:val="single"/>
        </w:rPr>
        <w:t>Neinvestiční transfery</w:t>
      </w:r>
      <w:r w:rsidRPr="0097578C">
        <w:rPr>
          <w:rFonts w:cs="Calibri"/>
          <w:bCs/>
          <w:iCs/>
        </w:rPr>
        <w:t xml:space="preserve"> </w:t>
      </w:r>
      <w:r w:rsidRPr="0097578C">
        <w:rPr>
          <w:rFonts w:cs="Calibri"/>
          <w:b/>
          <w:iCs/>
        </w:rPr>
        <w:t>mají</w:t>
      </w:r>
      <w:r w:rsidRPr="0097578C">
        <w:rPr>
          <w:rFonts w:cs="Calibri"/>
          <w:bCs/>
          <w:iCs/>
        </w:rPr>
        <w:t xml:space="preserve"> dle návrhu NSA uvedeném v</w:t>
      </w:r>
      <w:r>
        <w:rPr>
          <w:rFonts w:cs="Calibri"/>
          <w:bCs/>
          <w:iCs/>
        </w:rPr>
        <w:t> </w:t>
      </w:r>
      <w:r w:rsidRPr="0097578C">
        <w:rPr>
          <w:rFonts w:cs="Calibri"/>
          <w:bCs/>
          <w:iCs/>
        </w:rPr>
        <w:t>Žádosti</w:t>
      </w:r>
      <w:r>
        <w:rPr>
          <w:rFonts w:cs="Calibri"/>
          <w:bCs/>
          <w:iCs/>
        </w:rPr>
        <w:t xml:space="preserve"> o navýšení rozpočtu</w:t>
      </w:r>
      <w:r w:rsidRPr="0097578C">
        <w:rPr>
          <w:rFonts w:cs="Calibri"/>
          <w:bCs/>
          <w:iCs/>
        </w:rPr>
        <w:t xml:space="preserve"> </w:t>
      </w:r>
      <w:r w:rsidRPr="0097578C">
        <w:rPr>
          <w:rFonts w:cs="Calibri"/>
          <w:b/>
          <w:iCs/>
        </w:rPr>
        <w:t>cílit na</w:t>
      </w:r>
      <w:r w:rsidRPr="0097578C">
        <w:rPr>
          <w:rFonts w:cs="Calibri"/>
          <w:bCs/>
          <w:iCs/>
        </w:rPr>
        <w:t xml:space="preserve"> znovu zprovoznění sportovních zařízení v postižených oblastech. </w:t>
      </w:r>
      <w:r w:rsidRPr="0097578C">
        <w:rPr>
          <w:rFonts w:cs="Calibri"/>
          <w:b/>
          <w:iCs/>
        </w:rPr>
        <w:t>Podpora bude poskytována na náklady, které vzniknou oprávněnému žadateli v souvislosti s:</w:t>
      </w:r>
    </w:p>
    <w:p w14:paraId="7C4E8124" w14:textId="77777777" w:rsidR="00A806EC" w:rsidRPr="0097578C" w:rsidRDefault="00035012" w:rsidP="00277121">
      <w:pPr>
        <w:pStyle w:val="Odstavecseseznamem"/>
        <w:numPr>
          <w:ilvl w:val="0"/>
          <w:numId w:val="26"/>
        </w:numPr>
        <w:ind w:left="284" w:hanging="284"/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odstraněním škod formou oprav či úklidových služeb na nemovitém majetku,</w:t>
      </w:r>
    </w:p>
    <w:p w14:paraId="6ABD455A" w14:textId="3A67CD4A" w:rsidR="00A806EC" w:rsidRPr="0097578C" w:rsidRDefault="00035012" w:rsidP="00277121">
      <w:pPr>
        <w:pStyle w:val="Odstavecseseznamem"/>
        <w:numPr>
          <w:ilvl w:val="0"/>
          <w:numId w:val="26"/>
        </w:numPr>
        <w:ind w:left="284" w:hanging="284"/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odstraněním škod formou oprav dlouhodobého movitého majetku, technologických či technických soustav, zajišťující a podporující provoz sportovního zařízení</w:t>
      </w:r>
      <w:r w:rsidR="00277121">
        <w:rPr>
          <w:rFonts w:cs="Calibri"/>
          <w:bCs/>
          <w:iCs/>
        </w:rPr>
        <w:t>,</w:t>
      </w:r>
    </w:p>
    <w:p w14:paraId="7A1A7086" w14:textId="2A16AB3E" w:rsidR="00A806EC" w:rsidRPr="0097578C" w:rsidRDefault="00035012" w:rsidP="00277121">
      <w:pPr>
        <w:pStyle w:val="Odstavecseseznamem"/>
        <w:numPr>
          <w:ilvl w:val="0"/>
          <w:numId w:val="26"/>
        </w:numPr>
        <w:ind w:left="284" w:hanging="284"/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obnovou (nákupem) zcela zničeného či poškozeného nebo opravami sportovního vybavení (nářadí, náčiní apod.) či jiného vybavení, které svou podstatou nejsou dlouhodobým movitým majetkem</w:t>
      </w:r>
      <w:r w:rsidR="00404134">
        <w:rPr>
          <w:rFonts w:cs="Calibri"/>
          <w:bCs/>
          <w:iCs/>
        </w:rPr>
        <w:t>, ale svou podstatou jsou nedílnou součástí k zajištění provozuschopnosti sportovního zařízení</w:t>
      </w:r>
      <w:r w:rsidRPr="0097578C">
        <w:rPr>
          <w:rFonts w:cs="Calibri"/>
          <w:bCs/>
          <w:iCs/>
        </w:rPr>
        <w:t>.</w:t>
      </w:r>
    </w:p>
    <w:p w14:paraId="635BB4EC" w14:textId="77777777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/>
          <w:iCs/>
        </w:rPr>
        <w:lastRenderedPageBreak/>
        <w:t>Celková účast státního rozpočtu bude maximálně 250 </w:t>
      </w:r>
      <w:r w:rsidR="0018130D">
        <w:rPr>
          <w:rFonts w:cs="Calibri"/>
          <w:b/>
          <w:iCs/>
        </w:rPr>
        <w:t xml:space="preserve">mil. </w:t>
      </w:r>
      <w:r w:rsidRPr="0097578C">
        <w:rPr>
          <w:rFonts w:cs="Calibri"/>
          <w:b/>
          <w:iCs/>
        </w:rPr>
        <w:t>Kč a podpora se bude poskytovat v roce 2024/2025.</w:t>
      </w:r>
    </w:p>
    <w:p w14:paraId="50389F78" w14:textId="18C4BC43" w:rsidR="00A806E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NSA v</w:t>
      </w:r>
      <w:r>
        <w:rPr>
          <w:rFonts w:cs="Calibri"/>
          <w:bCs/>
          <w:iCs/>
        </w:rPr>
        <w:t> </w:t>
      </w:r>
      <w:r w:rsidRPr="0097578C">
        <w:rPr>
          <w:rFonts w:cs="Calibri"/>
          <w:bCs/>
          <w:iCs/>
        </w:rPr>
        <w:t>Žádosti</w:t>
      </w:r>
      <w:r>
        <w:rPr>
          <w:rFonts w:cs="Calibri"/>
          <w:bCs/>
          <w:iCs/>
        </w:rPr>
        <w:t xml:space="preserve"> o navýšení rozpočtu</w:t>
      </w:r>
      <w:r w:rsidRPr="0097578C">
        <w:rPr>
          <w:rFonts w:cs="Calibri"/>
          <w:bCs/>
          <w:iCs/>
        </w:rPr>
        <w:t xml:space="preserve"> předpokládá, že výše podpory bude strukturována jednak ve vztahu k velikosti obce, kraje, ale také s přihlédnutím k tomu, zda vlastník sportovního zařízení měl sportovní zařízení proti živelním pohromám pojištěno (znevýhodnění u</w:t>
      </w:r>
      <w:r w:rsidR="00703DB6">
        <w:rPr>
          <w:rFonts w:cs="Calibri"/>
          <w:bCs/>
          <w:iCs/>
        </w:rPr>
        <w:t> </w:t>
      </w:r>
      <w:r w:rsidRPr="0097578C">
        <w:rPr>
          <w:rFonts w:cs="Calibri"/>
          <w:bCs/>
          <w:iCs/>
        </w:rPr>
        <w:t>nepojištěného majetku).</w:t>
      </w:r>
    </w:p>
    <w:p w14:paraId="274AA15A" w14:textId="77777777" w:rsidR="00A806EC" w:rsidRPr="0097578C" w:rsidRDefault="00035012" w:rsidP="00A806EC">
      <w:pPr>
        <w:rPr>
          <w:rFonts w:cs="Calibri"/>
          <w:b/>
          <w:bCs/>
          <w:u w:val="single"/>
        </w:rPr>
      </w:pPr>
      <w:r w:rsidRPr="0097578C">
        <w:rPr>
          <w:rFonts w:cs="Calibri"/>
          <w:b/>
          <w:bCs/>
          <w:u w:val="single"/>
        </w:rPr>
        <w:t>Usnesení vlády ČR ze dne 20. listopadu 2024 č. 837</w:t>
      </w:r>
    </w:p>
    <w:p w14:paraId="751CBC9A" w14:textId="3B3B62AE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Vláda svým usnesením ze dne 20. listopadu 2024 č. 837</w:t>
      </w:r>
      <w:r>
        <w:rPr>
          <w:rStyle w:val="Znakapoznpodarou"/>
          <w:rFonts w:cs="Calibri"/>
          <w:bCs/>
          <w:iCs/>
        </w:rPr>
        <w:footnoteReference w:id="44"/>
      </w:r>
      <w:r w:rsidRPr="0097578C">
        <w:rPr>
          <w:rFonts w:cs="Calibri"/>
          <w:bCs/>
          <w:iCs/>
        </w:rPr>
        <w:t xml:space="preserve"> schválila uvolnění peněžních prostředků z rozpočtové kapitoly 398 – </w:t>
      </w:r>
      <w:r w:rsidRPr="001718B3">
        <w:rPr>
          <w:rFonts w:cs="Calibri"/>
          <w:bCs/>
          <w:i/>
        </w:rPr>
        <w:t>Všeobecná pokladní správa</w:t>
      </w:r>
      <w:r w:rsidRPr="0097578C">
        <w:rPr>
          <w:rFonts w:cs="Calibri"/>
          <w:bCs/>
          <w:iCs/>
        </w:rPr>
        <w:t xml:space="preserve">, položka </w:t>
      </w:r>
      <w:r w:rsidR="00277121">
        <w:rPr>
          <w:rFonts w:cs="Calibri"/>
          <w:bCs/>
          <w:iCs/>
        </w:rPr>
        <w:t>„</w:t>
      </w:r>
      <w:r w:rsidRPr="0097578C">
        <w:rPr>
          <w:rFonts w:cs="Calibri"/>
          <w:bCs/>
          <w:iCs/>
        </w:rPr>
        <w:t>Vládní rozpočtová rezerva</w:t>
      </w:r>
      <w:r w:rsidR="00277121">
        <w:rPr>
          <w:rFonts w:cs="Calibri"/>
          <w:bCs/>
          <w:iCs/>
        </w:rPr>
        <w:t>“</w:t>
      </w:r>
      <w:r w:rsidRPr="0097578C">
        <w:rPr>
          <w:rFonts w:cs="Calibri"/>
          <w:bCs/>
          <w:iCs/>
        </w:rPr>
        <w:t xml:space="preserve">, ve prospěch rozpočtové kapitoly 362 – </w:t>
      </w:r>
      <w:r w:rsidRPr="001718B3">
        <w:rPr>
          <w:rFonts w:cs="Calibri"/>
          <w:bCs/>
          <w:i/>
        </w:rPr>
        <w:t>Národní sportovní agentura</w:t>
      </w:r>
      <w:r w:rsidRPr="0097578C">
        <w:rPr>
          <w:rFonts w:cs="Calibri"/>
          <w:bCs/>
          <w:iCs/>
        </w:rPr>
        <w:t xml:space="preserve"> v roce 2024 až do výše 850 mil. Kč v souvislosti s řešením následků povodní na území České republiky vzniklých v roce 2024 v oblasti sportu. </w:t>
      </w:r>
    </w:p>
    <w:p w14:paraId="6A7C6803" w14:textId="70457C08" w:rsidR="00A806E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Vláda dále </w:t>
      </w:r>
      <w:r w:rsidR="00277121">
        <w:rPr>
          <w:rFonts w:cs="Calibri"/>
          <w:bCs/>
          <w:iCs/>
        </w:rPr>
        <w:t>tímto u</w:t>
      </w:r>
      <w:r w:rsidRPr="0097578C">
        <w:rPr>
          <w:rFonts w:cs="Calibri"/>
          <w:bCs/>
          <w:iCs/>
        </w:rPr>
        <w:t>snesením uložila předsedovi NSA předložit žádost o rozpočtové opatření a</w:t>
      </w:r>
      <w:r w:rsidR="00703DB6">
        <w:rPr>
          <w:rFonts w:cs="Calibri"/>
          <w:bCs/>
          <w:iCs/>
        </w:rPr>
        <w:t> </w:t>
      </w:r>
      <w:r w:rsidRPr="0097578C">
        <w:rPr>
          <w:rFonts w:cs="Calibri"/>
          <w:bCs/>
          <w:iCs/>
        </w:rPr>
        <w:t xml:space="preserve">poskytnout dotační prostředky na likvidaci následků povodní v oblasti sportu vzniklých v roce 2024 a ministru financí </w:t>
      </w:r>
      <w:r>
        <w:rPr>
          <w:rFonts w:cs="Calibri"/>
          <w:bCs/>
          <w:iCs/>
        </w:rPr>
        <w:t xml:space="preserve">uložila </w:t>
      </w:r>
      <w:r w:rsidRPr="0097578C">
        <w:rPr>
          <w:rFonts w:cs="Calibri"/>
          <w:bCs/>
          <w:iCs/>
        </w:rPr>
        <w:t>provést rozpočtové opatření.</w:t>
      </w:r>
    </w:p>
    <w:p w14:paraId="41AF35E6" w14:textId="2D2DB272" w:rsidR="00A806EC" w:rsidRPr="0097578C" w:rsidRDefault="00035012" w:rsidP="00A806EC">
      <w:pPr>
        <w:rPr>
          <w:rFonts w:cs="Calibri"/>
          <w:b/>
          <w:bCs/>
          <w:u w:val="single"/>
        </w:rPr>
      </w:pPr>
      <w:r w:rsidRPr="0097578C">
        <w:rPr>
          <w:rFonts w:cs="Calibri"/>
          <w:b/>
          <w:bCs/>
          <w:u w:val="single"/>
        </w:rPr>
        <w:t>Žádost o rozpočtové opatření</w:t>
      </w:r>
    </w:p>
    <w:p w14:paraId="79B3873A" w14:textId="6DCC3CC9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NSA dne 29. listopadu 2024 </w:t>
      </w:r>
      <w:r w:rsidR="009E41A6">
        <w:rPr>
          <w:rFonts w:cs="Calibri"/>
          <w:bCs/>
          <w:iCs/>
        </w:rPr>
        <w:t>požádala o schválení rozpočtového opatření</w:t>
      </w:r>
      <w:r w:rsidRPr="00AA386D">
        <w:rPr>
          <w:rFonts w:cs="Calibri"/>
          <w:bCs/>
          <w:iCs/>
        </w:rPr>
        <w:t>.</w:t>
      </w:r>
    </w:p>
    <w:p w14:paraId="7757B1A1" w14:textId="0579CF00" w:rsidR="00A806EC" w:rsidRPr="0097578C" w:rsidRDefault="009E41A6" w:rsidP="00277121">
      <w:pPr>
        <w:spacing w:after="0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Rozpočtové opatření bylo NSA schváleno a </w:t>
      </w:r>
      <w:r w:rsidR="002B5536">
        <w:rPr>
          <w:rFonts w:cs="Calibri"/>
          <w:bCs/>
          <w:iCs/>
        </w:rPr>
        <w:t xml:space="preserve">v roce 2024 </w:t>
      </w:r>
      <w:r>
        <w:rPr>
          <w:rFonts w:cs="Calibri"/>
          <w:bCs/>
          <w:iCs/>
        </w:rPr>
        <w:t>došlo</w:t>
      </w:r>
      <w:r w:rsidRPr="0097578C">
        <w:rPr>
          <w:rFonts w:cs="Calibri"/>
          <w:bCs/>
          <w:iCs/>
        </w:rPr>
        <w:t xml:space="preserve"> k navýšení celkových výdajů kapitoly 362 – </w:t>
      </w:r>
      <w:r w:rsidRPr="001718B3">
        <w:rPr>
          <w:rFonts w:cs="Calibri"/>
          <w:bCs/>
          <w:i/>
        </w:rPr>
        <w:t>Národní sportovní agentura</w:t>
      </w:r>
      <w:r w:rsidRPr="0097578C">
        <w:rPr>
          <w:rFonts w:cs="Calibri"/>
          <w:bCs/>
          <w:iCs/>
        </w:rPr>
        <w:t xml:space="preserve"> o 600 </w:t>
      </w:r>
      <w:r w:rsidR="0018130D">
        <w:rPr>
          <w:rFonts w:cs="Calibri"/>
          <w:bCs/>
          <w:iCs/>
        </w:rPr>
        <w:t>mil.</w:t>
      </w:r>
      <w:r w:rsidRPr="0097578C">
        <w:rPr>
          <w:rFonts w:cs="Calibri"/>
          <w:bCs/>
          <w:iCs/>
        </w:rPr>
        <w:t xml:space="preserve"> Kč a ke změně závazného výdajového specifického ukazatele „Dotace do oblasti sportu, v tom: rozvoj a podpora sportu“ o uvedenou částku. Rozpočtovým opatřením </w:t>
      </w:r>
      <w:r>
        <w:rPr>
          <w:rFonts w:cs="Calibri"/>
          <w:bCs/>
          <w:iCs/>
        </w:rPr>
        <w:t xml:space="preserve">došlo </w:t>
      </w:r>
      <w:r w:rsidRPr="0097578C">
        <w:rPr>
          <w:rFonts w:cs="Calibri"/>
          <w:bCs/>
          <w:iCs/>
        </w:rPr>
        <w:t xml:space="preserve">k navýšení následujících </w:t>
      </w:r>
      <w:r w:rsidR="0018130D">
        <w:rPr>
          <w:rFonts w:cs="Calibri"/>
          <w:bCs/>
          <w:iCs/>
        </w:rPr>
        <w:t>rozpočtových položek</w:t>
      </w:r>
      <w:r w:rsidRPr="0097578C">
        <w:rPr>
          <w:rFonts w:cs="Calibri"/>
          <w:bCs/>
          <w:iCs/>
        </w:rPr>
        <w:t>:</w:t>
      </w:r>
    </w:p>
    <w:p w14:paraId="7A466D8A" w14:textId="77777777" w:rsidR="00A806EC" w:rsidRPr="0097578C" w:rsidRDefault="00035012" w:rsidP="00277121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5222 – </w:t>
      </w:r>
      <w:r w:rsidRPr="0097578C">
        <w:rPr>
          <w:rFonts w:cs="Calibri"/>
          <w:bCs/>
          <w:i/>
        </w:rPr>
        <w:t>Neinvestiční transfery spolkům</w:t>
      </w:r>
      <w:r w:rsidRPr="0097578C">
        <w:rPr>
          <w:rFonts w:cs="Calibri"/>
          <w:bCs/>
          <w:iCs/>
        </w:rPr>
        <w:t xml:space="preserve"> o 100 </w:t>
      </w:r>
      <w:r w:rsidR="0018130D">
        <w:rPr>
          <w:rFonts w:cs="Calibri"/>
          <w:bCs/>
          <w:iCs/>
        </w:rPr>
        <w:t>mil.</w:t>
      </w:r>
      <w:r w:rsidRPr="0097578C">
        <w:rPr>
          <w:rFonts w:cs="Calibri"/>
          <w:bCs/>
          <w:iCs/>
        </w:rPr>
        <w:t xml:space="preserve"> Kč,</w:t>
      </w:r>
    </w:p>
    <w:p w14:paraId="7AE5314E" w14:textId="77777777" w:rsidR="00A806EC" w:rsidRPr="0097578C" w:rsidRDefault="00035012" w:rsidP="00277121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5321 – </w:t>
      </w:r>
      <w:r w:rsidRPr="0097578C">
        <w:rPr>
          <w:rFonts w:cs="Calibri"/>
          <w:bCs/>
          <w:i/>
        </w:rPr>
        <w:t>Neinvestiční transfery obcím</w:t>
      </w:r>
      <w:r w:rsidRPr="0097578C">
        <w:rPr>
          <w:rFonts w:cs="Calibri"/>
          <w:bCs/>
          <w:iCs/>
        </w:rPr>
        <w:t xml:space="preserve"> o 150 </w:t>
      </w:r>
      <w:r w:rsidR="0018130D">
        <w:rPr>
          <w:rFonts w:cs="Calibri"/>
          <w:bCs/>
          <w:iCs/>
        </w:rPr>
        <w:t>mil.</w:t>
      </w:r>
      <w:r w:rsidRPr="0097578C">
        <w:rPr>
          <w:rFonts w:cs="Calibri"/>
          <w:bCs/>
          <w:iCs/>
        </w:rPr>
        <w:t xml:space="preserve"> Kč,</w:t>
      </w:r>
    </w:p>
    <w:p w14:paraId="45A16603" w14:textId="34B44268" w:rsidR="00A806EC" w:rsidRPr="0097578C" w:rsidRDefault="00035012" w:rsidP="00277121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6322 – </w:t>
      </w:r>
      <w:r w:rsidRPr="0097578C">
        <w:rPr>
          <w:rFonts w:cs="Calibri"/>
          <w:bCs/>
          <w:i/>
        </w:rPr>
        <w:t>Investiční transfery spolkům</w:t>
      </w:r>
      <w:r w:rsidRPr="0097578C">
        <w:rPr>
          <w:rFonts w:cs="Calibri"/>
          <w:bCs/>
          <w:iCs/>
        </w:rPr>
        <w:t xml:space="preserve"> o 100 </w:t>
      </w:r>
      <w:r w:rsidR="0018130D">
        <w:rPr>
          <w:rFonts w:cs="Calibri"/>
          <w:bCs/>
          <w:iCs/>
        </w:rPr>
        <w:t>mil.</w:t>
      </w:r>
      <w:r w:rsidRPr="0097578C">
        <w:rPr>
          <w:rFonts w:cs="Calibri"/>
          <w:bCs/>
          <w:iCs/>
        </w:rPr>
        <w:t xml:space="preserve"> Kč</w:t>
      </w:r>
      <w:r w:rsidR="00277121">
        <w:rPr>
          <w:rFonts w:cs="Calibri"/>
          <w:bCs/>
          <w:iCs/>
        </w:rPr>
        <w:t>,</w:t>
      </w:r>
      <w:r w:rsidRPr="0097578C">
        <w:rPr>
          <w:rFonts w:cs="Calibri"/>
          <w:bCs/>
          <w:iCs/>
        </w:rPr>
        <w:t xml:space="preserve"> </w:t>
      </w:r>
    </w:p>
    <w:p w14:paraId="5BD3517D" w14:textId="77777777" w:rsidR="00A806EC" w:rsidRPr="0097578C" w:rsidRDefault="00035012" w:rsidP="00277121">
      <w:pPr>
        <w:pStyle w:val="Odstavecseseznamem"/>
        <w:numPr>
          <w:ilvl w:val="0"/>
          <w:numId w:val="27"/>
        </w:numPr>
        <w:ind w:left="284" w:hanging="284"/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6341 – </w:t>
      </w:r>
      <w:r w:rsidRPr="0097578C">
        <w:rPr>
          <w:rFonts w:cs="Calibri"/>
          <w:bCs/>
          <w:i/>
        </w:rPr>
        <w:t>Investiční transfery obcím</w:t>
      </w:r>
      <w:r w:rsidRPr="0097578C">
        <w:rPr>
          <w:rFonts w:cs="Calibri"/>
          <w:bCs/>
          <w:iCs/>
        </w:rPr>
        <w:t xml:space="preserve"> o 250 </w:t>
      </w:r>
      <w:r w:rsidR="0018130D">
        <w:rPr>
          <w:rFonts w:cs="Calibri"/>
          <w:bCs/>
          <w:iCs/>
        </w:rPr>
        <w:t>mil.</w:t>
      </w:r>
      <w:r w:rsidRPr="0097578C">
        <w:rPr>
          <w:rFonts w:cs="Calibri"/>
          <w:bCs/>
          <w:iCs/>
        </w:rPr>
        <w:t xml:space="preserve"> Kč. </w:t>
      </w:r>
    </w:p>
    <w:p w14:paraId="54E9FE6D" w14:textId="19401669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 xml:space="preserve">Navýšením </w:t>
      </w:r>
      <w:r w:rsidR="0018130D">
        <w:rPr>
          <w:rFonts w:cs="Calibri"/>
          <w:bCs/>
          <w:iCs/>
        </w:rPr>
        <w:t>rozpočtové položky</w:t>
      </w:r>
      <w:r w:rsidRPr="0097578C">
        <w:rPr>
          <w:rFonts w:cs="Calibri"/>
          <w:bCs/>
          <w:iCs/>
        </w:rPr>
        <w:t xml:space="preserve"> 6322 – </w:t>
      </w:r>
      <w:r w:rsidRPr="0097578C">
        <w:rPr>
          <w:rFonts w:cs="Calibri"/>
          <w:bCs/>
          <w:i/>
        </w:rPr>
        <w:t>Investiční transfery spolkům</w:t>
      </w:r>
      <w:r w:rsidRPr="0097578C">
        <w:rPr>
          <w:rFonts w:cs="Calibri"/>
          <w:bCs/>
          <w:iCs/>
        </w:rPr>
        <w:t xml:space="preserve"> a </w:t>
      </w:r>
      <w:r w:rsidR="0018130D">
        <w:rPr>
          <w:rFonts w:cs="Calibri"/>
          <w:bCs/>
          <w:iCs/>
        </w:rPr>
        <w:t>rozpočtové položky</w:t>
      </w:r>
      <w:r w:rsidRPr="0097578C">
        <w:rPr>
          <w:rFonts w:cs="Calibri"/>
          <w:bCs/>
          <w:iCs/>
        </w:rPr>
        <w:t xml:space="preserve"> 6341</w:t>
      </w:r>
      <w:r w:rsidR="00703DB6">
        <w:rPr>
          <w:rFonts w:cs="Calibri"/>
          <w:bCs/>
          <w:iCs/>
        </w:rPr>
        <w:t> </w:t>
      </w:r>
      <w:r w:rsidRPr="0097578C">
        <w:rPr>
          <w:rFonts w:cs="Calibri"/>
          <w:bCs/>
          <w:iCs/>
        </w:rPr>
        <w:t xml:space="preserve">– </w:t>
      </w:r>
      <w:r w:rsidRPr="0097578C">
        <w:rPr>
          <w:rFonts w:cs="Calibri"/>
          <w:bCs/>
          <w:i/>
        </w:rPr>
        <w:t>Investiční transfery obcím</w:t>
      </w:r>
      <w:r w:rsidRPr="0097578C">
        <w:rPr>
          <w:rFonts w:cs="Calibri"/>
          <w:bCs/>
          <w:iCs/>
        </w:rPr>
        <w:t xml:space="preserve"> současně </w:t>
      </w:r>
      <w:r w:rsidR="009E41A6">
        <w:rPr>
          <w:rFonts w:cs="Calibri"/>
          <w:bCs/>
          <w:iCs/>
        </w:rPr>
        <w:t>došlo</w:t>
      </w:r>
      <w:r w:rsidRPr="0097578C">
        <w:rPr>
          <w:rFonts w:cs="Calibri"/>
          <w:bCs/>
          <w:iCs/>
        </w:rPr>
        <w:t xml:space="preserve"> k navýšení závazného průřezového ukazatele „Výdaje vedené v informačním systému programového financování EDS/SMVS“, a to o částku 350 </w:t>
      </w:r>
      <w:r w:rsidR="0018130D">
        <w:rPr>
          <w:rFonts w:cs="Calibri"/>
          <w:bCs/>
          <w:iCs/>
        </w:rPr>
        <w:t>mil.</w:t>
      </w:r>
      <w:r w:rsidRPr="0097578C">
        <w:rPr>
          <w:rFonts w:cs="Calibri"/>
          <w:bCs/>
          <w:iCs/>
        </w:rPr>
        <w:t xml:space="preserve"> Kč.  </w:t>
      </w:r>
    </w:p>
    <w:p w14:paraId="2FD28985" w14:textId="0264613B" w:rsidR="00A806EC" w:rsidRPr="0097578C" w:rsidRDefault="00035012" w:rsidP="00A806EC">
      <w:pPr>
        <w:jc w:val="both"/>
        <w:rPr>
          <w:rFonts w:cs="Calibri"/>
          <w:bCs/>
          <w:iCs/>
        </w:rPr>
      </w:pPr>
      <w:r w:rsidRPr="0097578C">
        <w:rPr>
          <w:rFonts w:cs="Calibri"/>
          <w:bCs/>
          <w:iCs/>
        </w:rPr>
        <w:t>Rozpočtové opatření by</w:t>
      </w:r>
      <w:r w:rsidR="009E41A6">
        <w:rPr>
          <w:rFonts w:cs="Calibri"/>
          <w:bCs/>
          <w:iCs/>
        </w:rPr>
        <w:t>lo</w:t>
      </w:r>
      <w:r w:rsidRPr="0097578C">
        <w:rPr>
          <w:rFonts w:cs="Calibri"/>
          <w:bCs/>
          <w:iCs/>
        </w:rPr>
        <w:t xml:space="preserve"> realizováno na vrub rozpočtové kapitoly 398 – </w:t>
      </w:r>
      <w:r w:rsidRPr="001718B3">
        <w:rPr>
          <w:rFonts w:cs="Calibri"/>
          <w:bCs/>
          <w:i/>
        </w:rPr>
        <w:t>Všeobecná pokladní správa</w:t>
      </w:r>
      <w:r w:rsidRPr="0097578C">
        <w:rPr>
          <w:rFonts w:cs="Calibri"/>
          <w:bCs/>
          <w:iCs/>
        </w:rPr>
        <w:t xml:space="preserve">, z položky </w:t>
      </w:r>
      <w:r w:rsidR="00277121">
        <w:rPr>
          <w:rFonts w:cs="Calibri"/>
          <w:bCs/>
          <w:iCs/>
        </w:rPr>
        <w:t>„</w:t>
      </w:r>
      <w:r w:rsidRPr="0097578C">
        <w:rPr>
          <w:rFonts w:cs="Calibri"/>
          <w:bCs/>
          <w:iCs/>
        </w:rPr>
        <w:t>Vládní rozpočtová rezerva</w:t>
      </w:r>
      <w:r w:rsidR="00277121">
        <w:rPr>
          <w:rFonts w:cs="Calibri"/>
          <w:bCs/>
          <w:iCs/>
        </w:rPr>
        <w:t>“</w:t>
      </w:r>
      <w:r w:rsidRPr="0097578C">
        <w:rPr>
          <w:rFonts w:cs="Calibri"/>
          <w:bCs/>
          <w:iCs/>
        </w:rPr>
        <w:t xml:space="preserve">, a to na základě </w:t>
      </w:r>
      <w:r w:rsidR="00634B6B">
        <w:rPr>
          <w:rFonts w:cs="Calibri"/>
          <w:bCs/>
          <w:iCs/>
        </w:rPr>
        <w:t xml:space="preserve">výše </w:t>
      </w:r>
      <w:r w:rsidR="00277121">
        <w:rPr>
          <w:rFonts w:cs="Calibri"/>
          <w:bCs/>
          <w:iCs/>
        </w:rPr>
        <w:t>uvedeného u</w:t>
      </w:r>
      <w:r w:rsidRPr="0097578C">
        <w:rPr>
          <w:rFonts w:cs="Calibri"/>
          <w:bCs/>
          <w:iCs/>
        </w:rPr>
        <w:t>snesení.</w:t>
      </w:r>
    </w:p>
    <w:p w14:paraId="030D4C83" w14:textId="502C1667" w:rsidR="00A806EC" w:rsidRPr="001718B3" w:rsidRDefault="00035012" w:rsidP="00A806EC">
      <w:pPr>
        <w:rPr>
          <w:rFonts w:cs="Calibri"/>
          <w:b/>
          <w:bCs/>
        </w:rPr>
      </w:pPr>
      <w:r w:rsidRPr="001718B3">
        <w:rPr>
          <w:rFonts w:cs="Calibri"/>
          <w:b/>
          <w:bCs/>
        </w:rPr>
        <w:t>Výzva 25/2025</w:t>
      </w:r>
      <w:r w:rsidR="00277121" w:rsidRPr="001718B3">
        <w:rPr>
          <w:rFonts w:cs="Calibri"/>
          <w:b/>
          <w:bCs/>
        </w:rPr>
        <w:t xml:space="preserve"> –</w:t>
      </w:r>
      <w:r w:rsidRPr="001718B3">
        <w:rPr>
          <w:rFonts w:cs="Calibri"/>
          <w:b/>
          <w:bCs/>
        </w:rPr>
        <w:t xml:space="preserve"> Obnova provozuschopnosti sportovních zařízení po povodních 2024</w:t>
      </w:r>
    </w:p>
    <w:p w14:paraId="303CFD21" w14:textId="71776DC1" w:rsidR="00A806EC" w:rsidRPr="00AA386D" w:rsidRDefault="00035012" w:rsidP="00A806EC">
      <w:pPr>
        <w:jc w:val="both"/>
        <w:rPr>
          <w:rFonts w:cs="Calibri"/>
        </w:rPr>
      </w:pPr>
      <w:r w:rsidRPr="00206065">
        <w:rPr>
          <w:rFonts w:cs="Calibri"/>
        </w:rPr>
        <w:t xml:space="preserve">Dne 16. </w:t>
      </w:r>
      <w:r w:rsidR="0018130D">
        <w:rPr>
          <w:rFonts w:cs="Calibri"/>
        </w:rPr>
        <w:t>prosince</w:t>
      </w:r>
      <w:r w:rsidRPr="00206065">
        <w:rPr>
          <w:rFonts w:cs="Calibri"/>
        </w:rPr>
        <w:t xml:space="preserve"> 2024 NSA vyhlásila výzvu 25/2025</w:t>
      </w:r>
      <w:r w:rsidR="00277121">
        <w:rPr>
          <w:rFonts w:cs="Calibri"/>
        </w:rPr>
        <w:t xml:space="preserve"> –</w:t>
      </w:r>
      <w:r w:rsidRPr="00206065">
        <w:rPr>
          <w:rFonts w:cs="Calibri"/>
        </w:rPr>
        <w:t xml:space="preserve"> Obnova provozuschopnosti sportovních zařízení po povodních 2024 </w:t>
      </w:r>
      <w:r w:rsidRPr="00AA386D">
        <w:rPr>
          <w:rFonts w:cs="Calibri"/>
        </w:rPr>
        <w:t>(dále jen „Výzva“).</w:t>
      </w:r>
    </w:p>
    <w:p w14:paraId="2EC7B608" w14:textId="77777777" w:rsidR="00A806EC" w:rsidRPr="00206065" w:rsidRDefault="00035012" w:rsidP="00A806EC">
      <w:pPr>
        <w:jc w:val="both"/>
        <w:rPr>
          <w:rFonts w:cs="Calibri"/>
        </w:rPr>
      </w:pPr>
      <w:r w:rsidRPr="001718B3">
        <w:rPr>
          <w:rFonts w:cs="Calibri"/>
          <w:b/>
          <w:bCs/>
        </w:rPr>
        <w:t>Účelem Výzvy je</w:t>
      </w:r>
      <w:r w:rsidRPr="00206065">
        <w:rPr>
          <w:rFonts w:cs="Calibri"/>
        </w:rPr>
        <w:t xml:space="preserve"> podpora obnovy provozní činnosti sportovních zařízení po povodních v září 2024 včetně a/nebo nezbytných oprav technických prostředků, strojů a zařízení přímo souvisejících s provozem sportovního zařízení, které byly prokazatelně poškozeny v rámci povodní v září 2024.</w:t>
      </w:r>
    </w:p>
    <w:p w14:paraId="3E9F0F9F" w14:textId="77777777" w:rsidR="00A806EC" w:rsidRPr="00206065" w:rsidRDefault="00035012" w:rsidP="00A806EC">
      <w:pPr>
        <w:jc w:val="both"/>
        <w:rPr>
          <w:rFonts w:cs="Calibri"/>
        </w:rPr>
      </w:pPr>
      <w:r w:rsidRPr="001718B3">
        <w:rPr>
          <w:rFonts w:cs="Calibri"/>
          <w:b/>
          <w:bCs/>
        </w:rPr>
        <w:lastRenderedPageBreak/>
        <w:t>Celková alokace</w:t>
      </w:r>
      <w:r w:rsidRPr="00206065">
        <w:rPr>
          <w:rFonts w:cs="Calibri"/>
        </w:rPr>
        <w:t xml:space="preserve"> Výzvy je 250 </w:t>
      </w:r>
      <w:r w:rsidR="0018130D">
        <w:rPr>
          <w:rFonts w:cs="Calibri"/>
        </w:rPr>
        <w:t>mil.</w:t>
      </w:r>
      <w:r w:rsidRPr="00206065">
        <w:rPr>
          <w:rFonts w:cs="Calibri"/>
        </w:rPr>
        <w:t xml:space="preserve"> Kč. </w:t>
      </w:r>
    </w:p>
    <w:p w14:paraId="772721DF" w14:textId="77777777" w:rsidR="00A806EC" w:rsidRPr="001718B3" w:rsidRDefault="00035012" w:rsidP="002C488B">
      <w:pPr>
        <w:spacing w:after="0"/>
        <w:jc w:val="both"/>
        <w:rPr>
          <w:rFonts w:cs="Calibri"/>
          <w:b/>
          <w:bCs/>
        </w:rPr>
      </w:pPr>
      <w:r w:rsidRPr="001718B3">
        <w:rPr>
          <w:rFonts w:cs="Calibri"/>
          <w:b/>
          <w:bCs/>
        </w:rPr>
        <w:t>Termíny:</w:t>
      </w:r>
    </w:p>
    <w:p w14:paraId="334B636B" w14:textId="77777777" w:rsidR="00A806EC" w:rsidRPr="00206065" w:rsidRDefault="00035012" w:rsidP="00A806EC">
      <w:pPr>
        <w:pStyle w:val="Odstavecseseznamem"/>
        <w:numPr>
          <w:ilvl w:val="0"/>
          <w:numId w:val="28"/>
        </w:numPr>
        <w:jc w:val="both"/>
        <w:rPr>
          <w:rFonts w:cs="Calibri"/>
        </w:rPr>
      </w:pPr>
      <w:r w:rsidRPr="00206065">
        <w:rPr>
          <w:rFonts w:cs="Calibri"/>
        </w:rPr>
        <w:t xml:space="preserve">datum zahájení příjmu žádostí: 20. </w:t>
      </w:r>
      <w:r w:rsidR="00AE12C3">
        <w:rPr>
          <w:rFonts w:cs="Calibri"/>
        </w:rPr>
        <w:t xml:space="preserve">prosince </w:t>
      </w:r>
      <w:r w:rsidRPr="00206065">
        <w:rPr>
          <w:rFonts w:cs="Calibri"/>
        </w:rPr>
        <w:t>2024,</w:t>
      </w:r>
    </w:p>
    <w:p w14:paraId="6E31E000" w14:textId="77777777" w:rsidR="00A806EC" w:rsidRPr="00206065" w:rsidRDefault="00035012" w:rsidP="00A806EC">
      <w:pPr>
        <w:pStyle w:val="Odstavecseseznamem"/>
        <w:numPr>
          <w:ilvl w:val="0"/>
          <w:numId w:val="28"/>
        </w:numPr>
        <w:jc w:val="both"/>
        <w:rPr>
          <w:rFonts w:cs="Calibri"/>
        </w:rPr>
      </w:pPr>
      <w:r w:rsidRPr="00206065">
        <w:rPr>
          <w:rFonts w:cs="Calibri"/>
        </w:rPr>
        <w:t xml:space="preserve">datum ukončení příjmu žádostí: 31. </w:t>
      </w:r>
      <w:r w:rsidR="00AE12C3">
        <w:rPr>
          <w:rFonts w:cs="Calibri"/>
        </w:rPr>
        <w:t>ledna</w:t>
      </w:r>
      <w:r w:rsidRPr="00206065">
        <w:rPr>
          <w:rFonts w:cs="Calibri"/>
        </w:rPr>
        <w:t xml:space="preserve"> 2025.</w:t>
      </w:r>
    </w:p>
    <w:p w14:paraId="0A6B61EE" w14:textId="17FAB829" w:rsidR="00A806EC" w:rsidRPr="00206065" w:rsidRDefault="00035012" w:rsidP="00A806EC">
      <w:pPr>
        <w:jc w:val="both"/>
        <w:rPr>
          <w:rFonts w:cs="Calibri"/>
        </w:rPr>
      </w:pPr>
      <w:r w:rsidRPr="001718B3">
        <w:rPr>
          <w:rFonts w:cs="Calibri"/>
          <w:b/>
          <w:bCs/>
        </w:rPr>
        <w:t>Oprávněnými žadateli jsou</w:t>
      </w:r>
      <w:r w:rsidR="00634B6B">
        <w:rPr>
          <w:rFonts w:cs="Calibri"/>
          <w:b/>
          <w:bCs/>
        </w:rPr>
        <w:t>:</w:t>
      </w:r>
      <w:r w:rsidRPr="00206065">
        <w:rPr>
          <w:rFonts w:cs="Calibri"/>
          <w:b/>
          <w:bCs/>
        </w:rPr>
        <w:t xml:space="preserve"> </w:t>
      </w:r>
      <w:r w:rsidRPr="00206065">
        <w:rPr>
          <w:rFonts w:cs="Calibri"/>
        </w:rPr>
        <w:t>sportovní organizace</w:t>
      </w:r>
      <w:r w:rsidR="006022B1">
        <w:rPr>
          <w:rFonts w:cs="Calibri"/>
        </w:rPr>
        <w:t>, která má právní formu spolku</w:t>
      </w:r>
      <w:r w:rsidRPr="00206065">
        <w:rPr>
          <w:rFonts w:cs="Calibri"/>
        </w:rPr>
        <w:t>, kraj</w:t>
      </w:r>
      <w:r>
        <w:rPr>
          <w:rFonts w:cs="Calibri"/>
        </w:rPr>
        <w:t>e</w:t>
      </w:r>
      <w:r w:rsidRPr="00206065">
        <w:rPr>
          <w:rFonts w:cs="Calibri"/>
        </w:rPr>
        <w:t>, obc</w:t>
      </w:r>
      <w:r>
        <w:rPr>
          <w:rFonts w:cs="Calibri"/>
        </w:rPr>
        <w:t>e</w:t>
      </w:r>
      <w:r w:rsidRPr="00206065">
        <w:rPr>
          <w:rFonts w:cs="Calibri"/>
        </w:rPr>
        <w:t>, městys</w:t>
      </w:r>
      <w:r>
        <w:rPr>
          <w:rFonts w:cs="Calibri"/>
        </w:rPr>
        <w:t>y</w:t>
      </w:r>
      <w:r w:rsidRPr="00206065">
        <w:rPr>
          <w:rFonts w:cs="Calibri"/>
        </w:rPr>
        <w:t>, měst</w:t>
      </w:r>
      <w:r>
        <w:rPr>
          <w:rFonts w:cs="Calibri"/>
        </w:rPr>
        <w:t>a</w:t>
      </w:r>
      <w:r w:rsidRPr="00206065">
        <w:rPr>
          <w:rFonts w:cs="Calibri"/>
        </w:rPr>
        <w:t>, statutární měst</w:t>
      </w:r>
      <w:r>
        <w:rPr>
          <w:rFonts w:cs="Calibri"/>
        </w:rPr>
        <w:t>a</w:t>
      </w:r>
      <w:r w:rsidRPr="00206065">
        <w:rPr>
          <w:rFonts w:cs="Calibri"/>
        </w:rPr>
        <w:t>, městsk</w:t>
      </w:r>
      <w:r>
        <w:rPr>
          <w:rFonts w:cs="Calibri"/>
        </w:rPr>
        <w:t>é</w:t>
      </w:r>
      <w:r w:rsidRPr="00206065">
        <w:rPr>
          <w:rFonts w:cs="Calibri"/>
        </w:rPr>
        <w:t xml:space="preserve"> obvod</w:t>
      </w:r>
      <w:r>
        <w:rPr>
          <w:rFonts w:cs="Calibri"/>
        </w:rPr>
        <w:t>y</w:t>
      </w:r>
      <w:r w:rsidRPr="00206065">
        <w:rPr>
          <w:rFonts w:cs="Calibri"/>
        </w:rPr>
        <w:t>, městsk</w:t>
      </w:r>
      <w:r>
        <w:rPr>
          <w:rFonts w:cs="Calibri"/>
        </w:rPr>
        <w:t>é</w:t>
      </w:r>
      <w:r w:rsidRPr="00206065">
        <w:rPr>
          <w:rFonts w:cs="Calibri"/>
        </w:rPr>
        <w:t xml:space="preserve"> část</w:t>
      </w:r>
      <w:r>
        <w:rPr>
          <w:rFonts w:cs="Calibri"/>
        </w:rPr>
        <w:t>i</w:t>
      </w:r>
      <w:r w:rsidRPr="00206065">
        <w:rPr>
          <w:rFonts w:cs="Calibri"/>
        </w:rPr>
        <w:t>, dobrovoln</w:t>
      </w:r>
      <w:r>
        <w:rPr>
          <w:rFonts w:cs="Calibri"/>
        </w:rPr>
        <w:t>é</w:t>
      </w:r>
      <w:r w:rsidRPr="00206065">
        <w:rPr>
          <w:rFonts w:cs="Calibri"/>
        </w:rPr>
        <w:t xml:space="preserve"> svazk</w:t>
      </w:r>
      <w:r>
        <w:rPr>
          <w:rFonts w:cs="Calibri"/>
        </w:rPr>
        <w:t>y</w:t>
      </w:r>
      <w:r w:rsidRPr="00206065">
        <w:rPr>
          <w:rFonts w:cs="Calibri"/>
        </w:rPr>
        <w:t xml:space="preserve"> obcí, příspěvkov</w:t>
      </w:r>
      <w:r>
        <w:rPr>
          <w:rFonts w:cs="Calibri"/>
        </w:rPr>
        <w:t>é</w:t>
      </w:r>
      <w:r w:rsidRPr="00206065">
        <w:rPr>
          <w:rFonts w:cs="Calibri"/>
        </w:rPr>
        <w:t xml:space="preserve"> organizace územní</w:t>
      </w:r>
      <w:r>
        <w:rPr>
          <w:rFonts w:cs="Calibri"/>
        </w:rPr>
        <w:t>ch</w:t>
      </w:r>
      <w:r w:rsidRPr="00206065">
        <w:rPr>
          <w:rFonts w:cs="Calibri"/>
        </w:rPr>
        <w:t xml:space="preserve"> samosprávn</w:t>
      </w:r>
      <w:r>
        <w:rPr>
          <w:rFonts w:cs="Calibri"/>
        </w:rPr>
        <w:t>ých</w:t>
      </w:r>
      <w:r w:rsidRPr="00206065">
        <w:rPr>
          <w:rFonts w:cs="Calibri"/>
        </w:rPr>
        <w:t xml:space="preserve"> celk</w:t>
      </w:r>
      <w:r>
        <w:rPr>
          <w:rFonts w:cs="Calibri"/>
        </w:rPr>
        <w:t>ů</w:t>
      </w:r>
      <w:r w:rsidRPr="00206065">
        <w:rPr>
          <w:rFonts w:cs="Calibri"/>
        </w:rPr>
        <w:t xml:space="preserve"> a obchodní společnost</w:t>
      </w:r>
      <w:r>
        <w:rPr>
          <w:rFonts w:cs="Calibri"/>
        </w:rPr>
        <w:t>i</w:t>
      </w:r>
      <w:r w:rsidRPr="00206065">
        <w:rPr>
          <w:rFonts w:cs="Calibri"/>
        </w:rPr>
        <w:t xml:space="preserve"> (akciov</w:t>
      </w:r>
      <w:r>
        <w:rPr>
          <w:rFonts w:cs="Calibri"/>
        </w:rPr>
        <w:t>é</w:t>
      </w:r>
      <w:r w:rsidRPr="00206065">
        <w:rPr>
          <w:rFonts w:cs="Calibri"/>
        </w:rPr>
        <w:t xml:space="preserve"> společnost</w:t>
      </w:r>
      <w:r>
        <w:rPr>
          <w:rFonts w:cs="Calibri"/>
        </w:rPr>
        <w:t>i</w:t>
      </w:r>
      <w:r w:rsidRPr="00206065">
        <w:rPr>
          <w:rFonts w:cs="Calibri"/>
        </w:rPr>
        <w:t xml:space="preserve"> nebo společnost</w:t>
      </w:r>
      <w:r>
        <w:rPr>
          <w:rFonts w:cs="Calibri"/>
        </w:rPr>
        <w:t>i</w:t>
      </w:r>
      <w:r w:rsidRPr="00206065">
        <w:rPr>
          <w:rFonts w:cs="Calibri"/>
        </w:rPr>
        <w:t xml:space="preserve"> s ručením omezeným), pokud j</w:t>
      </w:r>
      <w:r>
        <w:rPr>
          <w:rFonts w:cs="Calibri"/>
        </w:rPr>
        <w:t>sou</w:t>
      </w:r>
      <w:r w:rsidRPr="00206065">
        <w:rPr>
          <w:rFonts w:cs="Calibri"/>
        </w:rPr>
        <w:t xml:space="preserve"> 100% vlastněn</w:t>
      </w:r>
      <w:r>
        <w:rPr>
          <w:rFonts w:cs="Calibri"/>
        </w:rPr>
        <w:t>é</w:t>
      </w:r>
      <w:r w:rsidRPr="00206065">
        <w:rPr>
          <w:rFonts w:cs="Calibri"/>
        </w:rPr>
        <w:t xml:space="preserve"> obcí nebo krajem.</w:t>
      </w:r>
    </w:p>
    <w:p w14:paraId="549899BD" w14:textId="77777777" w:rsidR="00A806EC" w:rsidRPr="00206065" w:rsidRDefault="00035012" w:rsidP="00A806EC">
      <w:pPr>
        <w:jc w:val="both"/>
        <w:rPr>
          <w:rFonts w:cs="Calibri"/>
        </w:rPr>
      </w:pPr>
      <w:r w:rsidRPr="00206065">
        <w:rPr>
          <w:rFonts w:cs="Calibri"/>
          <w:b/>
          <w:bCs/>
        </w:rPr>
        <w:t>Období podpory:</w:t>
      </w:r>
      <w:r w:rsidRPr="00206065">
        <w:rPr>
          <w:rFonts w:cs="Calibri"/>
        </w:rPr>
        <w:t xml:space="preserve"> Dotaci lze použít na úhradu nákladů, které prokazatelně vznikly od data vyhlášení stavu nebezpečí do 31. </w:t>
      </w:r>
      <w:r w:rsidR="00AE12C3">
        <w:rPr>
          <w:rFonts w:cs="Calibri"/>
        </w:rPr>
        <w:t>prosince</w:t>
      </w:r>
      <w:r w:rsidRPr="00206065">
        <w:rPr>
          <w:rFonts w:cs="Calibri"/>
        </w:rPr>
        <w:t xml:space="preserve"> 2024. Tyto náklady musí prokazatelně souviset s účelem dotace. </w:t>
      </w:r>
    </w:p>
    <w:p w14:paraId="7D4EBCED" w14:textId="655183FF" w:rsidR="00A806EC" w:rsidRPr="00206065" w:rsidRDefault="00035012" w:rsidP="006022B1">
      <w:pPr>
        <w:jc w:val="both"/>
        <w:rPr>
          <w:rFonts w:cs="Calibri"/>
        </w:rPr>
      </w:pPr>
      <w:r w:rsidRPr="00206065">
        <w:rPr>
          <w:rFonts w:cs="Calibri"/>
          <w:b/>
          <w:bCs/>
        </w:rPr>
        <w:t>Způsobilými výdaji jsou</w:t>
      </w:r>
      <w:r w:rsidR="00634B6B">
        <w:rPr>
          <w:rFonts w:cs="Calibri"/>
          <w:b/>
          <w:bCs/>
        </w:rPr>
        <w:t>:</w:t>
      </w:r>
      <w:r w:rsidRPr="00206065">
        <w:rPr>
          <w:rFonts w:cs="Calibri"/>
        </w:rPr>
        <w:t xml:space="preserve"> zejména spotřební materiál (dezinfekce, čistící prostředky, chemikálie, malířské potřeby, spojovací a obalový materiál apod.), vybavení drobným hmotným majetkem</w:t>
      </w:r>
      <w:r w:rsidR="006022B1">
        <w:rPr>
          <w:rFonts w:cs="Calibri"/>
        </w:rPr>
        <w:t xml:space="preserve">, jehož pořizovací cena je </w:t>
      </w:r>
      <w:r w:rsidR="006022B1" w:rsidRPr="006022B1">
        <w:rPr>
          <w:rFonts w:cs="Calibri"/>
        </w:rPr>
        <w:t>≤ 60 tis. Kč, maximálně však do</w:t>
      </w:r>
      <w:r w:rsidR="006022B1">
        <w:rPr>
          <w:rFonts w:cs="Calibri"/>
        </w:rPr>
        <w:t xml:space="preserve"> </w:t>
      </w:r>
      <w:r w:rsidR="006022B1" w:rsidRPr="006022B1">
        <w:rPr>
          <w:rFonts w:cs="Calibri"/>
        </w:rPr>
        <w:t>výše 20 % celkových způsobilých nákladů</w:t>
      </w:r>
      <w:r w:rsidRPr="00206065">
        <w:rPr>
          <w:rFonts w:cs="Calibri"/>
        </w:rPr>
        <w:t>), náklady na služby nezbytné pro zajištění obnovy provozu sportovního zařízení (např. odklízecí práce, vyčištění hrací plochy, odstranění naplavené zeminy, nezbytný úklid apod.), náklady související s obnovou, opravou a údržbou hracích povrchů, náklady související s opravou technických a technologických systémů,</w:t>
      </w:r>
      <w:r w:rsidR="006022B1">
        <w:rPr>
          <w:rFonts w:cs="Calibri"/>
        </w:rPr>
        <w:t xml:space="preserve"> </w:t>
      </w:r>
      <w:r w:rsidR="006022B1" w:rsidRPr="006022B1">
        <w:rPr>
          <w:rFonts w:cs="Calibri"/>
        </w:rPr>
        <w:t>celků</w:t>
      </w:r>
      <w:r w:rsidR="006022B1">
        <w:rPr>
          <w:rFonts w:cs="Calibri"/>
        </w:rPr>
        <w:t xml:space="preserve"> </w:t>
      </w:r>
      <w:r w:rsidR="006022B1" w:rsidRPr="006022B1">
        <w:rPr>
          <w:rFonts w:cs="Calibri"/>
        </w:rPr>
        <w:t>zajišťující provoz a možnost využívání sportovního zařízení</w:t>
      </w:r>
      <w:r w:rsidR="006022B1">
        <w:rPr>
          <w:rFonts w:cs="Calibri"/>
        </w:rPr>
        <w:t>,</w:t>
      </w:r>
      <w:r w:rsidRPr="00206065">
        <w:rPr>
          <w:rFonts w:cs="Calibri"/>
        </w:rPr>
        <w:t xml:space="preserve"> nájemné hrazené provozovatelem za pronájem movitých věcí souvisejících s obnovením provozu sportovního zařízení (např. vysoušeče, čerpadla, čistící stroje apod.), ostatní náklady související s obnovením provozu sportovního zařízení, jejichž způsobilost musí být vždy s NSA projednána a odsouhlasena.</w:t>
      </w:r>
    </w:p>
    <w:p w14:paraId="50B2C50F" w14:textId="77777777" w:rsidR="00A806EC" w:rsidRPr="00206065" w:rsidRDefault="00035012" w:rsidP="00A806EC">
      <w:pPr>
        <w:jc w:val="both"/>
        <w:rPr>
          <w:rFonts w:cs="Calibri"/>
        </w:rPr>
      </w:pPr>
      <w:r w:rsidRPr="00206065">
        <w:rPr>
          <w:rFonts w:cs="Calibri"/>
        </w:rPr>
        <w:t>O konečné způsobilosti nákladů si vyhrazuje právo rozhodnout NSA.</w:t>
      </w:r>
    </w:p>
    <w:p w14:paraId="753EBF1E" w14:textId="77777777" w:rsidR="00A806EC" w:rsidRDefault="00035012" w:rsidP="00A806EC">
      <w:pPr>
        <w:jc w:val="both"/>
        <w:rPr>
          <w:rFonts w:cs="Calibri"/>
        </w:rPr>
      </w:pPr>
      <w:r w:rsidRPr="00206065">
        <w:rPr>
          <w:rFonts w:cs="Calibri"/>
        </w:rPr>
        <w:t xml:space="preserve">Maximální výše dotace na jedno sportovní zařízení není stanovena a může činit až 100 % vynaložených způsobilých nákladů.  </w:t>
      </w:r>
    </w:p>
    <w:p w14:paraId="0336C69B" w14:textId="77777777" w:rsidR="00A806EC" w:rsidRDefault="00035012" w:rsidP="00A806EC">
      <w:pPr>
        <w:jc w:val="both"/>
        <w:rPr>
          <w:rFonts w:cs="Calibri"/>
        </w:rPr>
      </w:pPr>
      <w:r>
        <w:rPr>
          <w:rFonts w:cs="Calibri"/>
        </w:rPr>
        <w:t xml:space="preserve">Dne 31. </w:t>
      </w:r>
      <w:r w:rsidR="00AE12C3">
        <w:rPr>
          <w:rFonts w:cs="Calibri"/>
        </w:rPr>
        <w:t>ledna</w:t>
      </w:r>
      <w:r>
        <w:rPr>
          <w:rFonts w:cs="Calibri"/>
        </w:rPr>
        <w:t xml:space="preserve"> 2025 byl ukončen příjem žádostí v rámci Výzvy. NSA obdržela</w:t>
      </w:r>
      <w:r w:rsidR="00AE12C3">
        <w:rPr>
          <w:rFonts w:cs="Calibri"/>
        </w:rPr>
        <w:t xml:space="preserve"> </w:t>
      </w:r>
      <w:r>
        <w:rPr>
          <w:rFonts w:cs="Calibri"/>
        </w:rPr>
        <w:t xml:space="preserve">do uvedeného data žádosti o poskytnutí dotace v celkovém objemu </w:t>
      </w:r>
      <w:r w:rsidRPr="00B643EC">
        <w:rPr>
          <w:rFonts w:cs="Calibri"/>
        </w:rPr>
        <w:t>24</w:t>
      </w:r>
      <w:r w:rsidR="00AE12C3">
        <w:rPr>
          <w:rFonts w:cs="Calibri"/>
        </w:rPr>
        <w:t>,1 mil. Kč</w:t>
      </w:r>
      <w:r w:rsidRPr="00B643EC">
        <w:rPr>
          <w:rFonts w:cs="Calibri"/>
        </w:rPr>
        <w:t>, resp. 16</w:t>
      </w:r>
      <w:r w:rsidR="00AE12C3">
        <w:rPr>
          <w:rFonts w:cs="Calibri"/>
        </w:rPr>
        <w:t>,</w:t>
      </w:r>
      <w:r w:rsidRPr="00B643EC">
        <w:rPr>
          <w:rFonts w:cs="Calibri"/>
        </w:rPr>
        <w:t>9</w:t>
      </w:r>
      <w:r w:rsidR="00AE12C3">
        <w:rPr>
          <w:rFonts w:cs="Calibri"/>
        </w:rPr>
        <w:t xml:space="preserve"> mil.</w:t>
      </w:r>
      <w:r>
        <w:rPr>
          <w:rFonts w:cs="Calibri"/>
        </w:rPr>
        <w:t xml:space="preserve"> Kč.</w:t>
      </w:r>
    </w:p>
    <w:p w14:paraId="1A016256" w14:textId="77777777" w:rsidR="00345A25" w:rsidRDefault="00345A25">
      <w:pPr>
        <w:spacing w:after="160" w:line="259" w:lineRule="auto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br w:type="page"/>
      </w:r>
    </w:p>
    <w:p w14:paraId="7D4D776A" w14:textId="081147EF" w:rsidR="00A806EC" w:rsidRPr="00E30D33" w:rsidRDefault="00035012" w:rsidP="002C488B">
      <w:pPr>
        <w:tabs>
          <w:tab w:val="right" w:pos="9072"/>
        </w:tabs>
        <w:spacing w:before="240"/>
        <w:ind w:right="-2"/>
        <w:jc w:val="both"/>
        <w:rPr>
          <w:rFonts w:cs="Calibri"/>
          <w:b/>
          <w:bCs/>
          <w:lang w:eastAsia="cs-CZ"/>
        </w:rPr>
      </w:pPr>
      <w:r w:rsidRPr="00E30D33">
        <w:rPr>
          <w:rFonts w:cs="Calibri"/>
          <w:b/>
          <w:bCs/>
          <w:lang w:eastAsia="cs-CZ"/>
        </w:rPr>
        <w:lastRenderedPageBreak/>
        <w:t xml:space="preserve">Tabulka </w:t>
      </w:r>
      <w:r w:rsidR="00C10BE3">
        <w:rPr>
          <w:rFonts w:cs="Calibri"/>
          <w:b/>
          <w:bCs/>
          <w:lang w:eastAsia="cs-CZ"/>
        </w:rPr>
        <w:t>č. </w:t>
      </w:r>
      <w:r w:rsidR="00AE12C3">
        <w:rPr>
          <w:rFonts w:cs="Calibri"/>
          <w:b/>
          <w:bCs/>
          <w:lang w:eastAsia="cs-CZ"/>
        </w:rPr>
        <w:t>1</w:t>
      </w:r>
      <w:r w:rsidRPr="00E30D33">
        <w:rPr>
          <w:rFonts w:cs="Calibri"/>
          <w:b/>
          <w:bCs/>
          <w:lang w:eastAsia="cs-CZ"/>
        </w:rPr>
        <w:t xml:space="preserve">: </w:t>
      </w:r>
      <w:r>
        <w:rPr>
          <w:rFonts w:cs="Calibri"/>
          <w:b/>
          <w:bCs/>
          <w:lang w:eastAsia="cs-CZ"/>
        </w:rPr>
        <w:t xml:space="preserve">Přehled žádostí v rámci Výzvy </w:t>
      </w:r>
      <w:r w:rsidR="002C488B">
        <w:rPr>
          <w:rFonts w:cs="Calibri"/>
          <w:b/>
          <w:bCs/>
          <w:lang w:eastAsia="cs-CZ"/>
        </w:rPr>
        <w:tab/>
      </w:r>
      <w:r w:rsidRPr="00E30D33">
        <w:rPr>
          <w:rFonts w:cs="Calibri"/>
          <w:b/>
          <w:bCs/>
          <w:lang w:eastAsia="cs-CZ"/>
        </w:rPr>
        <w:t xml:space="preserve">(v </w:t>
      </w:r>
      <w:r w:rsidR="00ED409A">
        <w:rPr>
          <w:rFonts w:cs="Calibri"/>
          <w:b/>
          <w:bCs/>
          <w:lang w:eastAsia="cs-CZ"/>
        </w:rPr>
        <w:t xml:space="preserve">tis. </w:t>
      </w:r>
      <w:r w:rsidRPr="00E30D33">
        <w:rPr>
          <w:rFonts w:cs="Calibri"/>
          <w:b/>
          <w:bCs/>
          <w:lang w:eastAsia="cs-CZ"/>
        </w:rPr>
        <w:t>Kč)</w:t>
      </w:r>
    </w:p>
    <w:tbl>
      <w:tblPr>
        <w:tblW w:w="8926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984"/>
        <w:gridCol w:w="1843"/>
        <w:gridCol w:w="2548"/>
      </w:tblGrid>
      <w:tr w:rsidR="00703DB6" w:rsidRPr="00703DB6" w14:paraId="1BA01F0B" w14:textId="77777777" w:rsidTr="002C6E23">
        <w:trPr>
          <w:trHeight w:val="283"/>
          <w:tblHeader/>
          <w:jc w:val="center"/>
        </w:trPr>
        <w:tc>
          <w:tcPr>
            <w:tcW w:w="2551" w:type="dxa"/>
            <w:shd w:val="clear" w:color="auto" w:fill="E6E6E6"/>
            <w:noWrap/>
            <w:vAlign w:val="center"/>
            <w:hideMark/>
          </w:tcPr>
          <w:p w14:paraId="1FEB12B3" w14:textId="77777777" w:rsidR="00BC4DFD" w:rsidRPr="00703DB6" w:rsidRDefault="00035012" w:rsidP="00703DB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Žádost</w:t>
            </w:r>
          </w:p>
        </w:tc>
        <w:tc>
          <w:tcPr>
            <w:tcW w:w="1984" w:type="dxa"/>
            <w:shd w:val="clear" w:color="auto" w:fill="E6E6E6"/>
            <w:noWrap/>
            <w:vAlign w:val="center"/>
            <w:hideMark/>
          </w:tcPr>
          <w:p w14:paraId="183913CD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Požadovaná částka dotace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0B970D8" w14:textId="77777777" w:rsidR="00BC4DFD" w:rsidRPr="00703DB6" w:rsidRDefault="00035012" w:rsidP="00703DB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Neprošlo formální kontrolou</w:t>
            </w:r>
          </w:p>
        </w:tc>
        <w:tc>
          <w:tcPr>
            <w:tcW w:w="2548" w:type="dxa"/>
            <w:shd w:val="clear" w:color="auto" w:fill="E6E6E6"/>
            <w:vAlign w:val="center"/>
          </w:tcPr>
          <w:p w14:paraId="452AF259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Stav k 24. dubnu 2025</w:t>
            </w:r>
          </w:p>
        </w:tc>
      </w:tr>
      <w:tr w:rsidR="002C6E23" w:rsidRPr="00703DB6" w14:paraId="5BAB7CA8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D3B33F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907851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1 840,9</w:t>
            </w:r>
          </w:p>
        </w:tc>
        <w:tc>
          <w:tcPr>
            <w:tcW w:w="1843" w:type="dxa"/>
            <w:vAlign w:val="center"/>
          </w:tcPr>
          <w:p w14:paraId="6D647BA3" w14:textId="0CA84F1F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42E80F9B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1C4F6449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DA2095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20CF05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45,0</w:t>
            </w:r>
          </w:p>
        </w:tc>
        <w:tc>
          <w:tcPr>
            <w:tcW w:w="1843" w:type="dxa"/>
            <w:vAlign w:val="center"/>
          </w:tcPr>
          <w:p w14:paraId="00B2B2F6" w14:textId="2FF01E06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6288270F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35E2D618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C710CC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DC3880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137,8</w:t>
            </w:r>
          </w:p>
        </w:tc>
        <w:tc>
          <w:tcPr>
            <w:tcW w:w="1843" w:type="dxa"/>
            <w:vAlign w:val="center"/>
          </w:tcPr>
          <w:p w14:paraId="7A7070E5" w14:textId="29BC9AC6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46A7FEB2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42517874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3C31FB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564D2A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520,0</w:t>
            </w:r>
          </w:p>
        </w:tc>
        <w:tc>
          <w:tcPr>
            <w:tcW w:w="1843" w:type="dxa"/>
            <w:vAlign w:val="center"/>
          </w:tcPr>
          <w:p w14:paraId="53DB1C13" w14:textId="438A56EA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548" w:type="dxa"/>
            <w:vAlign w:val="center"/>
          </w:tcPr>
          <w:p w14:paraId="17D0DA40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2C6E23" w:rsidRPr="00703DB6" w14:paraId="7C0C1F88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86E49D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3FD3925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2 990,0</w:t>
            </w:r>
          </w:p>
        </w:tc>
        <w:tc>
          <w:tcPr>
            <w:tcW w:w="1843" w:type="dxa"/>
            <w:vAlign w:val="center"/>
          </w:tcPr>
          <w:p w14:paraId="14861FAE" w14:textId="2D351AF3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787A0483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2BA8C13D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228DAD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0A22DFE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272,5</w:t>
            </w:r>
          </w:p>
        </w:tc>
        <w:tc>
          <w:tcPr>
            <w:tcW w:w="1843" w:type="dxa"/>
            <w:vAlign w:val="center"/>
          </w:tcPr>
          <w:p w14:paraId="48CB44C3" w14:textId="6957A674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548" w:type="dxa"/>
            <w:vAlign w:val="center"/>
          </w:tcPr>
          <w:p w14:paraId="3919BE5D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2C6E23" w:rsidRPr="00703DB6" w14:paraId="332B7E18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40A17A2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239467F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600,0</w:t>
            </w:r>
          </w:p>
        </w:tc>
        <w:tc>
          <w:tcPr>
            <w:tcW w:w="1843" w:type="dxa"/>
            <w:vAlign w:val="center"/>
          </w:tcPr>
          <w:p w14:paraId="3A5222CB" w14:textId="6299A999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7C0DA979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4FB44105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91315E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1FA40A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843" w:type="dxa"/>
            <w:vAlign w:val="center"/>
          </w:tcPr>
          <w:p w14:paraId="77E4D2A5" w14:textId="3C0C3D48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2071FAEE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7A942CDB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2F3E5F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POV25-00009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78AF63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334,0</w:t>
            </w:r>
          </w:p>
        </w:tc>
        <w:tc>
          <w:tcPr>
            <w:tcW w:w="1843" w:type="dxa"/>
            <w:vAlign w:val="center"/>
          </w:tcPr>
          <w:p w14:paraId="5CED1984" w14:textId="3C97BFCF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0EF8D1C5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0A9359E1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89D9E7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0792EA3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2 768,6</w:t>
            </w:r>
          </w:p>
        </w:tc>
        <w:tc>
          <w:tcPr>
            <w:tcW w:w="1843" w:type="dxa"/>
            <w:vAlign w:val="center"/>
          </w:tcPr>
          <w:p w14:paraId="03FEF424" w14:textId="24A63B12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66E8C325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3EA8DFB5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1EBD4BE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F4D6C37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1843" w:type="dxa"/>
            <w:vAlign w:val="center"/>
          </w:tcPr>
          <w:p w14:paraId="383D691A" w14:textId="1834F756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548" w:type="dxa"/>
            <w:vAlign w:val="center"/>
          </w:tcPr>
          <w:p w14:paraId="26F5CC3C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2C6E23" w:rsidRPr="00703DB6" w14:paraId="22801BB0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9AE849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CE27F1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361,8</w:t>
            </w:r>
          </w:p>
        </w:tc>
        <w:tc>
          <w:tcPr>
            <w:tcW w:w="1843" w:type="dxa"/>
            <w:vAlign w:val="center"/>
          </w:tcPr>
          <w:p w14:paraId="13DEFFED" w14:textId="430150E5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6D0CE37D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3350FA5A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B2EA5C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5D58079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339,4</w:t>
            </w:r>
          </w:p>
        </w:tc>
        <w:tc>
          <w:tcPr>
            <w:tcW w:w="1843" w:type="dxa"/>
            <w:vAlign w:val="center"/>
          </w:tcPr>
          <w:p w14:paraId="3AAE6C83" w14:textId="248932F1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5085AD2A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43FC3C92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A11D38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3EAD4F7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14,7</w:t>
            </w:r>
          </w:p>
        </w:tc>
        <w:tc>
          <w:tcPr>
            <w:tcW w:w="1843" w:type="dxa"/>
            <w:vAlign w:val="center"/>
          </w:tcPr>
          <w:p w14:paraId="12F90FF4" w14:textId="3E74018C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77E5BFCE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634BEAB3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AC74E5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0D5672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2 179,0</w:t>
            </w:r>
          </w:p>
        </w:tc>
        <w:tc>
          <w:tcPr>
            <w:tcW w:w="1843" w:type="dxa"/>
            <w:vAlign w:val="center"/>
          </w:tcPr>
          <w:p w14:paraId="0FBA4AC7" w14:textId="036C21F8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78D37567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7F718A3E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77BFA6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7002F59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349,6</w:t>
            </w:r>
          </w:p>
        </w:tc>
        <w:tc>
          <w:tcPr>
            <w:tcW w:w="1843" w:type="dxa"/>
            <w:vAlign w:val="center"/>
          </w:tcPr>
          <w:p w14:paraId="5D2566D6" w14:textId="665FCCDB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7EE7032B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3C818A82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D17604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BA95D49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50,0</w:t>
            </w:r>
          </w:p>
        </w:tc>
        <w:tc>
          <w:tcPr>
            <w:tcW w:w="1843" w:type="dxa"/>
            <w:vAlign w:val="center"/>
          </w:tcPr>
          <w:p w14:paraId="4B6C673A" w14:textId="0442DC62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18C0EE45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4240CC3F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AB74F8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CB31C78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210,0</w:t>
            </w:r>
          </w:p>
        </w:tc>
        <w:tc>
          <w:tcPr>
            <w:tcW w:w="1843" w:type="dxa"/>
            <w:vAlign w:val="center"/>
          </w:tcPr>
          <w:p w14:paraId="5E580148" w14:textId="140D4185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548" w:type="dxa"/>
            <w:vAlign w:val="center"/>
          </w:tcPr>
          <w:p w14:paraId="71361141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2C6E23" w:rsidRPr="00703DB6" w14:paraId="2E9B0A09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AE85A70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POV25-00019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EE25473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991,0</w:t>
            </w:r>
          </w:p>
        </w:tc>
        <w:tc>
          <w:tcPr>
            <w:tcW w:w="1843" w:type="dxa"/>
            <w:vAlign w:val="center"/>
          </w:tcPr>
          <w:p w14:paraId="5BCEB0D8" w14:textId="5B973B58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548" w:type="dxa"/>
            <w:vAlign w:val="center"/>
          </w:tcPr>
          <w:p w14:paraId="23632BFB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2C6E23" w:rsidRPr="00703DB6" w14:paraId="2545EF88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DCCA8C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POV25-00020*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D531715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7 122,0</w:t>
            </w:r>
          </w:p>
        </w:tc>
        <w:tc>
          <w:tcPr>
            <w:tcW w:w="1843" w:type="dxa"/>
            <w:vAlign w:val="center"/>
          </w:tcPr>
          <w:p w14:paraId="47A93946" w14:textId="74ADE145" w:rsidR="00BC4DFD" w:rsidRPr="00703DB6" w:rsidRDefault="00467438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548" w:type="dxa"/>
            <w:vAlign w:val="center"/>
          </w:tcPr>
          <w:p w14:paraId="4207188F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2C6E23" w:rsidRPr="00703DB6" w14:paraId="0D9F6451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702F61F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POV25-00021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7A8C234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161,3</w:t>
            </w:r>
          </w:p>
        </w:tc>
        <w:tc>
          <w:tcPr>
            <w:tcW w:w="1843" w:type="dxa"/>
            <w:vAlign w:val="center"/>
          </w:tcPr>
          <w:p w14:paraId="402F0E8C" w14:textId="53CC895E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684DD98A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238F805B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6D84175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POV25-00022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53EAAA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25,6</w:t>
            </w:r>
          </w:p>
        </w:tc>
        <w:tc>
          <w:tcPr>
            <w:tcW w:w="1843" w:type="dxa"/>
            <w:vAlign w:val="center"/>
          </w:tcPr>
          <w:p w14:paraId="2B5E4856" w14:textId="68BEB24A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5B09D725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6CC0DA91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33BFBB3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POV25-00023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33D74C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2 383,2</w:t>
            </w:r>
          </w:p>
        </w:tc>
        <w:tc>
          <w:tcPr>
            <w:tcW w:w="1843" w:type="dxa"/>
            <w:vAlign w:val="center"/>
          </w:tcPr>
          <w:p w14:paraId="42D74D36" w14:textId="76CAA43C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A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no</w:t>
            </w:r>
          </w:p>
        </w:tc>
        <w:tc>
          <w:tcPr>
            <w:tcW w:w="2548" w:type="dxa"/>
            <w:vAlign w:val="center"/>
          </w:tcPr>
          <w:p w14:paraId="58B9D8D9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2C6E23" w:rsidRPr="00703DB6" w14:paraId="79CF39C7" w14:textId="77777777" w:rsidTr="002C6E23">
        <w:trPr>
          <w:trHeight w:val="283"/>
          <w:jc w:val="center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8DCF6F" w14:textId="77777777" w:rsidR="00BC4DFD" w:rsidRPr="00703DB6" w:rsidRDefault="00035012" w:rsidP="00703DB6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POV25-00024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5B9864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294,4</w:t>
            </w:r>
          </w:p>
        </w:tc>
        <w:tc>
          <w:tcPr>
            <w:tcW w:w="1843" w:type="dxa"/>
            <w:vAlign w:val="center"/>
          </w:tcPr>
          <w:p w14:paraId="48F1D73F" w14:textId="570B8C74" w:rsidR="00BC4DFD" w:rsidRPr="00703DB6" w:rsidRDefault="002C488B" w:rsidP="00703DB6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N</w:t>
            </w:r>
            <w:r w:rsidR="00035012"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2548" w:type="dxa"/>
            <w:vAlign w:val="center"/>
          </w:tcPr>
          <w:p w14:paraId="00DB5818" w14:textId="77777777" w:rsidR="00BC4DFD" w:rsidRPr="00703DB6" w:rsidRDefault="00035012" w:rsidP="002C6E23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2C6E23" w:rsidRPr="00703DB6" w14:paraId="71884647" w14:textId="77777777" w:rsidTr="002C6E23">
        <w:trPr>
          <w:trHeight w:val="283"/>
          <w:jc w:val="center"/>
        </w:trPr>
        <w:tc>
          <w:tcPr>
            <w:tcW w:w="2551" w:type="dxa"/>
            <w:shd w:val="clear" w:color="000000" w:fill="DCA8B3"/>
            <w:vAlign w:val="center"/>
          </w:tcPr>
          <w:p w14:paraId="1DE875D1" w14:textId="77777777" w:rsidR="00BC4DFD" w:rsidRPr="00703DB6" w:rsidRDefault="00035012" w:rsidP="00703DB6">
            <w:pPr>
              <w:spacing w:after="0"/>
              <w:ind w:right="57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84" w:type="dxa"/>
            <w:shd w:val="clear" w:color="000000" w:fill="DCA8B3"/>
            <w:noWrap/>
            <w:vAlign w:val="center"/>
            <w:hideMark/>
          </w:tcPr>
          <w:p w14:paraId="79FC8EF1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highlight w:val="red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24 068,9</w:t>
            </w:r>
          </w:p>
        </w:tc>
        <w:tc>
          <w:tcPr>
            <w:tcW w:w="4391" w:type="dxa"/>
            <w:gridSpan w:val="2"/>
            <w:vMerge w:val="restart"/>
            <w:shd w:val="clear" w:color="auto" w:fill="auto"/>
          </w:tcPr>
          <w:p w14:paraId="6904A058" w14:textId="77777777" w:rsidR="00BC4DFD" w:rsidRPr="00703DB6" w:rsidRDefault="00BC4DFD" w:rsidP="00703DB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C6E23" w:rsidRPr="00703DB6" w14:paraId="55FD3DD8" w14:textId="77777777" w:rsidTr="002C6E23">
        <w:trPr>
          <w:trHeight w:val="283"/>
          <w:jc w:val="center"/>
        </w:trPr>
        <w:tc>
          <w:tcPr>
            <w:tcW w:w="2551" w:type="dxa"/>
            <w:shd w:val="clear" w:color="000000" w:fill="DCA8B3"/>
            <w:vAlign w:val="center"/>
          </w:tcPr>
          <w:p w14:paraId="13FD0ABB" w14:textId="77777777" w:rsidR="00BC4DFD" w:rsidRPr="00703DB6" w:rsidRDefault="00035012" w:rsidP="00703DB6">
            <w:pPr>
              <w:spacing w:after="0"/>
              <w:ind w:right="57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Celkem bez POV25-00020</w:t>
            </w:r>
          </w:p>
        </w:tc>
        <w:tc>
          <w:tcPr>
            <w:tcW w:w="1984" w:type="dxa"/>
            <w:shd w:val="clear" w:color="000000" w:fill="DCA8B3"/>
            <w:noWrap/>
            <w:vAlign w:val="center"/>
          </w:tcPr>
          <w:p w14:paraId="6D916200" w14:textId="77777777" w:rsidR="00BC4DFD" w:rsidRPr="00703DB6" w:rsidRDefault="00035012" w:rsidP="002C6E23">
            <w:pPr>
              <w:spacing w:after="0"/>
              <w:ind w:right="113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highlight w:val="red"/>
                <w:lang w:eastAsia="cs-CZ"/>
              </w:rPr>
            </w:pPr>
            <w:r w:rsidRPr="00703D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16 946,9</w:t>
            </w:r>
          </w:p>
        </w:tc>
        <w:tc>
          <w:tcPr>
            <w:tcW w:w="4391" w:type="dxa"/>
            <w:gridSpan w:val="2"/>
            <w:vMerge/>
            <w:shd w:val="clear" w:color="auto" w:fill="auto"/>
          </w:tcPr>
          <w:p w14:paraId="7D69916F" w14:textId="77777777" w:rsidR="00BC4DFD" w:rsidRPr="00703DB6" w:rsidRDefault="00BC4DFD" w:rsidP="00703DB6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F3A5E4F" w14:textId="77777777" w:rsidR="00A806EC" w:rsidRPr="00AA386D" w:rsidRDefault="00035012" w:rsidP="002C6E23">
      <w:pPr>
        <w:spacing w:before="40" w:after="0"/>
        <w:jc w:val="both"/>
        <w:rPr>
          <w:rFonts w:cs="Calibri"/>
          <w:iCs/>
          <w:sz w:val="20"/>
          <w:szCs w:val="20"/>
        </w:rPr>
      </w:pPr>
      <w:r w:rsidRPr="00AA386D">
        <w:rPr>
          <w:rFonts w:cs="Calibri"/>
          <w:b/>
          <w:bCs/>
          <w:iCs/>
          <w:sz w:val="20"/>
          <w:szCs w:val="20"/>
        </w:rPr>
        <w:t>Zdroj</w:t>
      </w:r>
      <w:r w:rsidRPr="00AA386D">
        <w:rPr>
          <w:rFonts w:cs="Calibri"/>
          <w:iCs/>
          <w:sz w:val="20"/>
          <w:szCs w:val="20"/>
        </w:rPr>
        <w:t xml:space="preserve">: </w:t>
      </w:r>
      <w:r w:rsidR="00AE12C3" w:rsidRPr="00AA386D">
        <w:rPr>
          <w:rFonts w:cs="Calibri"/>
          <w:iCs/>
          <w:sz w:val="20"/>
          <w:szCs w:val="20"/>
        </w:rPr>
        <w:t>ekonomický informační systém NSA</w:t>
      </w:r>
      <w:r w:rsidRPr="00AA386D">
        <w:rPr>
          <w:rFonts w:cs="Calibri"/>
          <w:iCs/>
          <w:sz w:val="20"/>
          <w:szCs w:val="20"/>
        </w:rPr>
        <w:t>.</w:t>
      </w:r>
    </w:p>
    <w:p w14:paraId="2D40EA8C" w14:textId="77777777" w:rsidR="00A806EC" w:rsidRPr="00AE12C3" w:rsidRDefault="00035012" w:rsidP="002C6E23">
      <w:pPr>
        <w:spacing w:after="0"/>
        <w:jc w:val="both"/>
        <w:rPr>
          <w:rFonts w:cs="Calibri"/>
          <w:sz w:val="20"/>
          <w:szCs w:val="20"/>
        </w:rPr>
      </w:pPr>
      <w:r w:rsidRPr="00AE12C3">
        <w:rPr>
          <w:rFonts w:cs="Calibri"/>
          <w:sz w:val="20"/>
          <w:szCs w:val="20"/>
        </w:rPr>
        <w:t>* Žadatel tuto žádost o dotaci stáhl dne 25.</w:t>
      </w:r>
      <w:r w:rsidR="001E57AB">
        <w:rPr>
          <w:rFonts w:cs="Calibri"/>
          <w:sz w:val="20"/>
          <w:szCs w:val="20"/>
        </w:rPr>
        <w:t xml:space="preserve"> února </w:t>
      </w:r>
      <w:r w:rsidRPr="00AE12C3">
        <w:rPr>
          <w:rFonts w:cs="Calibri"/>
          <w:sz w:val="20"/>
          <w:szCs w:val="20"/>
        </w:rPr>
        <w:t>2025.</w:t>
      </w:r>
    </w:p>
    <w:p w14:paraId="2E72BB6D" w14:textId="77777777" w:rsidR="00A806EC" w:rsidRPr="00AE12C3" w:rsidRDefault="00035012" w:rsidP="002C6E23">
      <w:pPr>
        <w:spacing w:after="0"/>
        <w:jc w:val="both"/>
        <w:rPr>
          <w:rFonts w:cs="Calibri"/>
          <w:sz w:val="20"/>
          <w:szCs w:val="20"/>
        </w:rPr>
      </w:pPr>
      <w:r w:rsidRPr="00AE12C3">
        <w:rPr>
          <w:rFonts w:cs="Calibri"/>
          <w:sz w:val="20"/>
          <w:szCs w:val="20"/>
        </w:rPr>
        <w:t>1 = Odesláno rozhodnutí o poskytnutí dotace, čeká se na dodání vyúčtování, poté bude vyplaceno.</w:t>
      </w:r>
    </w:p>
    <w:p w14:paraId="028D11C7" w14:textId="77777777" w:rsidR="00A806EC" w:rsidRPr="00AE12C3" w:rsidRDefault="00035012" w:rsidP="002C6E23">
      <w:pPr>
        <w:spacing w:after="0"/>
        <w:jc w:val="both"/>
        <w:rPr>
          <w:rFonts w:cs="Calibri"/>
          <w:sz w:val="20"/>
          <w:szCs w:val="20"/>
        </w:rPr>
      </w:pPr>
      <w:r w:rsidRPr="00AE12C3">
        <w:rPr>
          <w:rFonts w:cs="Calibri"/>
          <w:sz w:val="20"/>
          <w:szCs w:val="20"/>
        </w:rPr>
        <w:t>2 = Odesláno usnesení o zastavení řízení.</w:t>
      </w:r>
    </w:p>
    <w:p w14:paraId="78EFB636" w14:textId="77777777" w:rsidR="00A806EC" w:rsidRPr="00AE12C3" w:rsidRDefault="00035012" w:rsidP="002C6E23">
      <w:pPr>
        <w:spacing w:after="0"/>
        <w:jc w:val="both"/>
        <w:rPr>
          <w:rFonts w:cs="Calibri"/>
          <w:sz w:val="20"/>
          <w:szCs w:val="20"/>
        </w:rPr>
      </w:pPr>
      <w:r w:rsidRPr="00AE12C3">
        <w:rPr>
          <w:rFonts w:cs="Calibri"/>
          <w:sz w:val="20"/>
          <w:szCs w:val="20"/>
        </w:rPr>
        <w:t>3 = Žadatel nedoručil žádost, řízení zastaveno.</w:t>
      </w:r>
    </w:p>
    <w:p w14:paraId="261062F2" w14:textId="3FC9AD4A" w:rsidR="00A806EC" w:rsidRPr="00A806EC" w:rsidRDefault="00035012" w:rsidP="002C6E23">
      <w:pPr>
        <w:spacing w:before="120"/>
        <w:jc w:val="both"/>
        <w:rPr>
          <w:rFonts w:cstheme="minorHAnsi"/>
          <w:b/>
          <w:bCs/>
        </w:rPr>
      </w:pPr>
      <w:r>
        <w:rPr>
          <w:rFonts w:cs="Calibri"/>
          <w:b/>
        </w:rPr>
        <w:t xml:space="preserve">Vyplácení </w:t>
      </w:r>
      <w:r w:rsidRPr="00671BD6">
        <w:rPr>
          <w:rFonts w:cs="Calibri"/>
          <w:b/>
        </w:rPr>
        <w:t xml:space="preserve">dotací na likvidaci následků povodní v oblasti sportu vzniklých v roce 2024 nebylo </w:t>
      </w:r>
      <w:r>
        <w:rPr>
          <w:rFonts w:cs="Calibri"/>
          <w:b/>
        </w:rPr>
        <w:t xml:space="preserve">k datu 24. </w:t>
      </w:r>
      <w:r w:rsidR="00AE12C3">
        <w:rPr>
          <w:rFonts w:cs="Calibri"/>
          <w:b/>
        </w:rPr>
        <w:t>dubna</w:t>
      </w:r>
      <w:r>
        <w:rPr>
          <w:rFonts w:cs="Calibri"/>
          <w:b/>
        </w:rPr>
        <w:t xml:space="preserve"> 2025 </w:t>
      </w:r>
      <w:r w:rsidRPr="00671BD6">
        <w:rPr>
          <w:rFonts w:cs="Calibri"/>
          <w:b/>
        </w:rPr>
        <w:t>zahájeno.</w:t>
      </w:r>
    </w:p>
    <w:sectPr w:rsidR="00A806EC" w:rsidRPr="00A806EC" w:rsidSect="00DF6AD0">
      <w:headerReference w:type="default" r:id="rId42"/>
      <w:footerReference w:type="even" r:id="rId43"/>
      <w:footerReference w:type="default" r:id="rId44"/>
      <w:footerReference w:type="first" r:id="rId4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1655" w14:textId="77777777" w:rsidR="00DC5849" w:rsidRDefault="00DC5849">
      <w:pPr>
        <w:spacing w:after="0"/>
      </w:pPr>
      <w:r>
        <w:separator/>
      </w:r>
    </w:p>
  </w:endnote>
  <w:endnote w:type="continuationSeparator" w:id="0">
    <w:p w14:paraId="4E4EAE35" w14:textId="77777777" w:rsidR="00DC5849" w:rsidRDefault="00DC5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1B88" w14:textId="45543B55" w:rsidR="00244187" w:rsidRDefault="002441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74FE13" wp14:editId="362724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045136297" name="Textové pole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E2383" w14:textId="7F153247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4FE1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TLP:CLEAR" style="position:absolute;margin-left:0;margin-top:0;width:71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" filled="f" stroked="f">
              <v:textbox style="mso-fit-shape-to-text:t" inset="20pt,0,0,15pt">
                <w:txbxContent>
                  <w:p w14:paraId="422E2383" w14:textId="7F153247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508B" w14:textId="2ED6C2EB" w:rsidR="002F6ECE" w:rsidRDefault="00244187" w:rsidP="006575B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006B98" wp14:editId="24679D92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802766134" name="Textové pole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FBE0" w14:textId="7F769245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06B9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TLP:CLEAR" style="position:absolute;left:0;text-align:left;margin-left:0;margin-top:0;width:71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" filled="f" stroked="f">
              <v:textbox style="mso-fit-shape-to-text:t" inset="20pt,0,0,15pt">
                <w:txbxContent>
                  <w:p w14:paraId="18A7FBE0" w14:textId="7F769245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88242651"/>
        <w:docPartObj>
          <w:docPartGallery w:val="Page Numbers (Bottom of Page)"/>
          <w:docPartUnique/>
        </w:docPartObj>
      </w:sdtPr>
      <w:sdtEndPr/>
      <w:sdtContent>
        <w:r w:rsidR="00035012">
          <w:fldChar w:fldCharType="begin"/>
        </w:r>
        <w:r w:rsidR="00035012">
          <w:instrText>PAGE   \* MERGEFORMAT</w:instrText>
        </w:r>
        <w:r w:rsidR="00035012">
          <w:fldChar w:fldCharType="separate"/>
        </w:r>
        <w:r w:rsidR="00035012">
          <w:rPr>
            <w:noProof/>
          </w:rPr>
          <w:t>30</w:t>
        </w:r>
        <w:r w:rsidR="0003501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5974" w14:textId="553664C6" w:rsidR="002F6ECE" w:rsidRDefault="00244187" w:rsidP="006575B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C4DB7F" wp14:editId="1FAB9AC8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255544530" name="Textové pole 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1991C" w14:textId="623BB504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4DB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TLP:CLEAR" style="position:absolute;left:0;text-align:left;margin-left:0;margin-top:0;width:71.1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Jkcvzc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5361991C" w14:textId="623BB504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8AE6" w14:textId="4A0DED32" w:rsidR="00244187" w:rsidRDefault="002441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516338" wp14:editId="39FE9E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413112152" name="Textové pole 8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69350" w14:textId="1F4E2B9F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1633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TLP:CLEAR" style="position:absolute;margin-left:0;margin-top:0;width:71.1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" filled="f" stroked="f">
              <v:textbox style="mso-fit-shape-to-text:t" inset="20pt,0,0,15pt">
                <w:txbxContent>
                  <w:p w14:paraId="28069350" w14:textId="1F4E2B9F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9408" w14:textId="4E52BA18" w:rsidR="00244187" w:rsidRDefault="00420730" w:rsidP="006B2FF5">
    <w:pPr>
      <w:pStyle w:val="Zpat"/>
      <w:jc w:val="center"/>
    </w:pPr>
    <w:sdt>
      <w:sdtPr>
        <w:id w:val="-1228063137"/>
        <w:docPartObj>
          <w:docPartGallery w:val="Page Numbers (Bottom of Page)"/>
          <w:docPartUnique/>
        </w:docPartObj>
      </w:sdtPr>
      <w:sdtEndPr/>
      <w:sdtContent>
        <w:r w:rsidR="006B2FF5">
          <w:fldChar w:fldCharType="begin"/>
        </w:r>
        <w:r w:rsidR="006B2FF5">
          <w:instrText>PAGE   \* MERGEFORMAT</w:instrText>
        </w:r>
        <w:r w:rsidR="006B2FF5">
          <w:fldChar w:fldCharType="separate"/>
        </w:r>
        <w:r w:rsidR="006B2FF5">
          <w:t>21</w:t>
        </w:r>
        <w:r w:rsidR="006B2FF5">
          <w:fldChar w:fldCharType="end"/>
        </w:r>
      </w:sdtContent>
    </w:sdt>
    <w:r w:rsidR="00244187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396336" wp14:editId="30C3F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57117057" name="Textové pole 9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80959" w14:textId="661B58B2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96336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0" type="#_x0000_t202" alt="TLP:CLEAR" style="position:absolute;left:0;text-align:left;margin-left:0;margin-top:0;width:71.1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DswWLI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05C80959" w14:textId="661B58B2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CE56" w14:textId="52EB2018" w:rsidR="002F6ECE" w:rsidRDefault="00244187" w:rsidP="006575B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3B1E53" wp14:editId="6F0094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146271925" name="Textové pole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E8061" w14:textId="180FD31F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B1E5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TLP:CLEAR" style="position:absolute;left:0;text-align:left;margin-left:0;margin-top:0;width:71.1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" filled="f" stroked="f">
              <v:textbox style="mso-fit-shape-to-text:t" inset="20pt,0,0,15pt">
                <w:txbxContent>
                  <w:p w14:paraId="287E8061" w14:textId="180FD31F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21642"/>
        <w:docPartObj>
          <w:docPartGallery w:val="Page Numbers (Bottom of Page)"/>
          <w:docPartUnique/>
        </w:docPartObj>
      </w:sdtPr>
      <w:sdtEndPr/>
      <w:sdtContent>
        <w:r w:rsidR="00035012">
          <w:fldChar w:fldCharType="begin"/>
        </w:r>
        <w:r w:rsidR="00035012">
          <w:instrText>PAGE   \* MERGEFORMAT</w:instrText>
        </w:r>
        <w:r w:rsidR="00035012">
          <w:fldChar w:fldCharType="separate"/>
        </w:r>
        <w:r w:rsidR="00035012">
          <w:t>24</w:t>
        </w:r>
        <w:r w:rsidR="00035012">
          <w:fldChar w:fldCharType="end"/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240B" w14:textId="7ABC127C" w:rsidR="00244187" w:rsidRDefault="002441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C1E23AC" wp14:editId="1B34F8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761432622" name="Textové pole 1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12798" w14:textId="4928D520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E23A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CLEAR" style="position:absolute;margin-left:0;margin-top:0;width:71.1pt;height:29.6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JopKng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4C112798" w14:textId="4928D520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5F66" w14:textId="3AB8EDA3" w:rsidR="00244187" w:rsidRDefault="00420730" w:rsidP="006B2FF5">
    <w:pPr>
      <w:pStyle w:val="Zpat"/>
      <w:jc w:val="center"/>
    </w:pPr>
    <w:sdt>
      <w:sdtPr>
        <w:id w:val="-1940669194"/>
        <w:docPartObj>
          <w:docPartGallery w:val="Page Numbers (Bottom of Page)"/>
          <w:docPartUnique/>
        </w:docPartObj>
      </w:sdtPr>
      <w:sdtEndPr/>
      <w:sdtContent>
        <w:r w:rsidR="006B2FF5">
          <w:fldChar w:fldCharType="begin"/>
        </w:r>
        <w:r w:rsidR="006B2FF5">
          <w:instrText>PAGE   \* MERGEFORMAT</w:instrText>
        </w:r>
        <w:r w:rsidR="006B2FF5">
          <w:fldChar w:fldCharType="separate"/>
        </w:r>
        <w:r w:rsidR="006B2FF5">
          <w:t>21</w:t>
        </w:r>
        <w:r w:rsidR="006B2FF5">
          <w:fldChar w:fldCharType="end"/>
        </w:r>
      </w:sdtContent>
    </w:sdt>
    <w:r w:rsidR="00244187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DEC2DE8" wp14:editId="2F91D8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315341639" name="Textové pole 1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59AA4" w14:textId="2D3A5228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C2DE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CLEAR" style="position:absolute;left:0;text-align:left;margin-left:0;margin-top:0;width:71.1pt;height:29.6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Gqmq/A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14F59AA4" w14:textId="2D3A5228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79EC" w14:textId="781E82DF" w:rsidR="00244187" w:rsidRDefault="00420730" w:rsidP="006B2FF5">
    <w:pPr>
      <w:pStyle w:val="Zpat"/>
      <w:jc w:val="center"/>
    </w:pPr>
    <w:sdt>
      <w:sdtPr>
        <w:id w:val="649255677"/>
        <w:docPartObj>
          <w:docPartGallery w:val="Page Numbers (Bottom of Page)"/>
          <w:docPartUnique/>
        </w:docPartObj>
      </w:sdtPr>
      <w:sdtEndPr/>
      <w:sdtContent>
        <w:r w:rsidR="006B2FF5">
          <w:fldChar w:fldCharType="begin"/>
        </w:r>
        <w:r w:rsidR="006B2FF5">
          <w:instrText>PAGE   \* MERGEFORMAT</w:instrText>
        </w:r>
        <w:r w:rsidR="006B2FF5">
          <w:fldChar w:fldCharType="separate"/>
        </w:r>
        <w:r w:rsidR="006B2FF5">
          <w:t>21</w:t>
        </w:r>
        <w:r w:rsidR="006B2FF5">
          <w:fldChar w:fldCharType="end"/>
        </w:r>
      </w:sdtContent>
    </w:sdt>
    <w:r w:rsidR="00244187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869226" wp14:editId="7F7F07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232902950" name="Textové pole 10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501AD" w14:textId="0EEE0618" w:rsidR="00244187" w:rsidRPr="00244187" w:rsidRDefault="00244187" w:rsidP="002441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4418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6922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CLEAR" style="position:absolute;left:0;text-align:left;margin-left:0;margin-top:0;width:71.1pt;height:29.6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D5v52I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261501AD" w14:textId="0EEE0618" w:rsidR="00244187" w:rsidRPr="00244187" w:rsidRDefault="00244187" w:rsidP="0024418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4418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9542" w14:textId="77777777" w:rsidR="00DC5849" w:rsidRDefault="00DC5849" w:rsidP="002B7978">
      <w:pPr>
        <w:spacing w:after="0"/>
      </w:pPr>
      <w:r>
        <w:separator/>
      </w:r>
    </w:p>
  </w:footnote>
  <w:footnote w:type="continuationSeparator" w:id="0">
    <w:p w14:paraId="690B5467" w14:textId="77777777" w:rsidR="00DC5849" w:rsidRDefault="00DC5849" w:rsidP="002B7978">
      <w:pPr>
        <w:spacing w:after="0"/>
      </w:pPr>
      <w:r>
        <w:continuationSeparator/>
      </w:r>
    </w:p>
  </w:footnote>
  <w:footnote w:type="continuationNotice" w:id="1">
    <w:p w14:paraId="2D3E2A91" w14:textId="77777777" w:rsidR="00DC5849" w:rsidRDefault="00DC5849">
      <w:pPr>
        <w:spacing w:after="0"/>
      </w:pPr>
    </w:p>
  </w:footnote>
  <w:footnote w:id="2">
    <w:p w14:paraId="796E34CC" w14:textId="5FA2603D" w:rsidR="001B1A20" w:rsidRPr="006F1A1E" w:rsidRDefault="00035012" w:rsidP="001B1A20">
      <w:pPr>
        <w:pStyle w:val="Textpoznpodarou"/>
        <w:ind w:left="284" w:hanging="284"/>
        <w:jc w:val="both"/>
        <w:rPr>
          <w:rFonts w:asciiTheme="minorHAnsi" w:hAnsiTheme="minorHAnsi" w:cstheme="minorHAnsi"/>
          <w:highlight w:val="green"/>
        </w:rPr>
      </w:pPr>
      <w:r w:rsidRPr="00A76947">
        <w:rPr>
          <w:rStyle w:val="Znakapoznpodarou"/>
          <w:rFonts w:ascii="Calibri" w:hAnsi="Calibri" w:cs="Calibri"/>
        </w:rPr>
        <w:footnoteRef/>
      </w:r>
      <w:r w:rsidRPr="00A76947">
        <w:rPr>
          <w:rFonts w:ascii="Calibri" w:hAnsi="Calibri" w:cs="Calibri"/>
        </w:rPr>
        <w:t xml:space="preserve"> </w:t>
      </w:r>
      <w:r w:rsidRPr="00A76947">
        <w:rPr>
          <w:rFonts w:ascii="Calibri" w:hAnsi="Calibri" w:cs="Calibri"/>
        </w:rPr>
        <w:tab/>
        <w:t xml:space="preserve">Portál MONITOR </w:t>
      </w:r>
      <w:r w:rsidRPr="00A76947">
        <w:rPr>
          <w:rFonts w:ascii="Calibri" w:hAnsi="Calibri" w:cs="Calibri"/>
          <w:color w:val="000000"/>
          <w:shd w:val="clear" w:color="auto" w:fill="FFFFFF"/>
        </w:rPr>
        <w:t xml:space="preserve">[online]. Údaje výkazů účetní </w:t>
      </w:r>
      <w:r w:rsidRPr="00D43D0C">
        <w:rPr>
          <w:rFonts w:ascii="Calibri" w:hAnsi="Calibri" w:cs="Calibri"/>
          <w:color w:val="000000"/>
          <w:shd w:val="clear" w:color="auto" w:fill="FFFFFF"/>
        </w:rPr>
        <w:t xml:space="preserve">závěrky [cit. 26. </w:t>
      </w:r>
      <w:r>
        <w:rPr>
          <w:rFonts w:ascii="Calibri" w:hAnsi="Calibri" w:cs="Calibri"/>
          <w:color w:val="000000"/>
          <w:shd w:val="clear" w:color="auto" w:fill="FFFFFF"/>
        </w:rPr>
        <w:t>května</w:t>
      </w:r>
      <w:r w:rsidRPr="00D43D0C">
        <w:rPr>
          <w:rFonts w:ascii="Calibri" w:hAnsi="Calibri" w:cs="Calibri"/>
          <w:color w:val="000000"/>
          <w:shd w:val="clear" w:color="auto" w:fill="FFFFFF"/>
        </w:rPr>
        <w:t xml:space="preserve"> 2025].</w:t>
      </w:r>
      <w:r w:rsidRPr="00A76947">
        <w:rPr>
          <w:rFonts w:ascii="Calibri" w:hAnsi="Calibri" w:cs="Calibri"/>
          <w:color w:val="000000"/>
          <w:shd w:val="clear" w:color="auto" w:fill="FFFFFF"/>
        </w:rPr>
        <w:t xml:space="preserve"> Dostupné z: </w:t>
      </w:r>
      <w:hyperlink r:id="rId1" w:history="1">
        <w:r w:rsidR="001B1A20" w:rsidRPr="006F1A1E">
          <w:rPr>
            <w:rStyle w:val="Hypertextovodkaz"/>
            <w:rFonts w:asciiTheme="minorHAnsi" w:hAnsiTheme="minorHAnsi" w:cstheme="minorHAnsi"/>
          </w:rPr>
          <w:t>https://monitor.statnipokladna.gov.cz/ucetni-jednotka/07460121/ucetni-zaverka/rozvaha?rad=j&amp;obdobi=2412</w:t>
        </w:r>
      </w:hyperlink>
      <w:r w:rsidRPr="006F1A1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3">
    <w:p w14:paraId="13EC61B6" w14:textId="7055BD15" w:rsidR="002F6ECE" w:rsidRPr="00B61D07" w:rsidRDefault="00035012" w:rsidP="00B61D0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61D07">
        <w:rPr>
          <w:rStyle w:val="Znakapoznpodarou"/>
          <w:rFonts w:ascii="Calibri" w:hAnsi="Calibri" w:cs="Calibri"/>
        </w:rPr>
        <w:footnoteRef/>
      </w:r>
      <w:r w:rsidRPr="00B61D07">
        <w:rPr>
          <w:rFonts w:ascii="Calibri" w:hAnsi="Calibri" w:cs="Calibri"/>
        </w:rPr>
        <w:t xml:space="preserve"> </w:t>
      </w:r>
      <w:r w:rsidRPr="00B61D07">
        <w:rPr>
          <w:rFonts w:ascii="Calibri" w:hAnsi="Calibri" w:cs="Calibri"/>
        </w:rPr>
        <w:tab/>
        <w:t>Vybranými účetními jednotkami jsou podle ustanovení § 1 odst. 3 zákona č. 563/1991 Sb., o účetnictví, organizační složky státu, státní fondy podle rozpočtových pravidel, územní samosprávné celky, dobrovolné svazky obcí, příspěvkové organizace</w:t>
      </w:r>
      <w:r w:rsidR="009406F6">
        <w:rPr>
          <w:rFonts w:ascii="Calibri" w:hAnsi="Calibri" w:cs="Calibri"/>
        </w:rPr>
        <w:t xml:space="preserve"> </w:t>
      </w:r>
      <w:r w:rsidRPr="00B61D07">
        <w:rPr>
          <w:rFonts w:ascii="Calibri" w:hAnsi="Calibri" w:cs="Calibri"/>
        </w:rPr>
        <w:t>a zdravotní pojišťovny</w:t>
      </w:r>
      <w:r w:rsidR="00614811">
        <w:rPr>
          <w:rFonts w:ascii="Calibri" w:hAnsi="Calibri" w:cs="Calibri"/>
        </w:rPr>
        <w:t xml:space="preserve"> (k 31. 12. 2024)</w:t>
      </w:r>
      <w:r w:rsidRPr="00B61D07">
        <w:rPr>
          <w:rFonts w:ascii="Calibri" w:hAnsi="Calibri" w:cs="Calibri"/>
        </w:rPr>
        <w:t>.</w:t>
      </w:r>
    </w:p>
  </w:footnote>
  <w:footnote w:id="4">
    <w:p w14:paraId="6E6D304C" w14:textId="77777777" w:rsidR="002F6ECE" w:rsidRPr="00B61D07" w:rsidRDefault="00035012" w:rsidP="00B61D07">
      <w:pPr>
        <w:pStyle w:val="Textpoznpodarou"/>
        <w:ind w:left="284" w:hanging="284"/>
        <w:rPr>
          <w:rFonts w:ascii="Calibri" w:hAnsi="Calibri" w:cs="Calibri"/>
        </w:rPr>
      </w:pPr>
      <w:r w:rsidRPr="00A76947">
        <w:rPr>
          <w:rStyle w:val="Znakapoznpodarou"/>
          <w:rFonts w:ascii="Calibri" w:hAnsi="Calibri" w:cs="Calibri"/>
        </w:rPr>
        <w:footnoteRef/>
      </w:r>
      <w:r w:rsidRPr="00A76947">
        <w:rPr>
          <w:rFonts w:ascii="Calibri" w:hAnsi="Calibri" w:cs="Calibri"/>
        </w:rPr>
        <w:t xml:space="preserve"> </w:t>
      </w:r>
      <w:r w:rsidRPr="00A76947">
        <w:rPr>
          <w:rFonts w:ascii="Calibri" w:hAnsi="Calibri" w:cs="Calibri"/>
        </w:rPr>
        <w:tab/>
      </w:r>
      <w:bookmarkStart w:id="3" w:name="_Hlk198107835"/>
      <w:r w:rsidRPr="00A76947">
        <w:rPr>
          <w:rFonts w:ascii="Calibri" w:hAnsi="Calibri" w:cs="Calibri"/>
        </w:rPr>
        <w:t>Viz ustanovení § 19 odst. 7 zákona č. 563/1991 Sb.</w:t>
      </w:r>
      <w:bookmarkEnd w:id="3"/>
    </w:p>
  </w:footnote>
  <w:footnote w:id="5">
    <w:p w14:paraId="6DE2C1C0" w14:textId="77777777" w:rsidR="001B1A20" w:rsidRPr="006F1A1E" w:rsidRDefault="00035012" w:rsidP="001B1A20">
      <w:pPr>
        <w:pStyle w:val="Textpoznpodarou"/>
        <w:ind w:left="284" w:hanging="284"/>
        <w:rPr>
          <w:rFonts w:asciiTheme="minorHAnsi" w:hAnsiTheme="minorHAnsi" w:cstheme="minorHAnsi"/>
          <w:highlight w:val="green"/>
        </w:rPr>
      </w:pPr>
      <w:r w:rsidRPr="00A76947">
        <w:rPr>
          <w:rStyle w:val="Znakapoznpodarou"/>
          <w:rFonts w:asciiTheme="minorHAnsi" w:hAnsiTheme="minorHAnsi" w:cstheme="minorHAnsi"/>
        </w:rPr>
        <w:footnoteRef/>
      </w:r>
      <w:r w:rsidRPr="00A76947">
        <w:rPr>
          <w:rFonts w:asciiTheme="minorHAnsi" w:hAnsiTheme="minorHAnsi" w:cstheme="minorHAnsi"/>
        </w:rPr>
        <w:t xml:space="preserve"> </w:t>
      </w:r>
      <w:r w:rsidRPr="00A76947">
        <w:rPr>
          <w:rFonts w:asciiTheme="minorHAnsi" w:hAnsiTheme="minorHAnsi" w:cstheme="minorHAnsi"/>
        </w:rPr>
        <w:tab/>
        <w:t>Portál</w:t>
      </w:r>
      <w:r w:rsidRPr="00A76947">
        <w:rPr>
          <w:rFonts w:asciiTheme="minorHAnsi" w:hAnsiTheme="minorHAnsi" w:cstheme="minorHAnsi"/>
          <w:i/>
        </w:rPr>
        <w:t xml:space="preserve"> </w:t>
      </w:r>
      <w:r w:rsidRPr="00A76947">
        <w:rPr>
          <w:rFonts w:asciiTheme="minorHAnsi" w:hAnsiTheme="minorHAnsi" w:cstheme="minorHAnsi"/>
          <w:iCs/>
          <w:color w:val="000000"/>
          <w:shd w:val="clear" w:color="auto" w:fill="FFFFFF"/>
        </w:rPr>
        <w:t>MONITOR</w:t>
      </w:r>
      <w:r w:rsidRPr="00A76947">
        <w:rPr>
          <w:rFonts w:asciiTheme="minorHAnsi" w:hAnsiTheme="minorHAnsi" w:cstheme="minorHAnsi"/>
          <w:color w:val="000000"/>
          <w:shd w:val="clear" w:color="auto" w:fill="FFFFFF"/>
        </w:rPr>
        <w:t xml:space="preserve"> [online]. Výkaz pro hodnocení plnění </w:t>
      </w:r>
      <w:r w:rsidRPr="006F1A1E">
        <w:rPr>
          <w:rFonts w:asciiTheme="minorHAnsi" w:hAnsiTheme="minorHAnsi" w:cstheme="minorHAnsi"/>
          <w:color w:val="000000"/>
          <w:shd w:val="clear" w:color="auto" w:fill="FFFFFF"/>
        </w:rPr>
        <w:t xml:space="preserve">rozpočtu [cit. 26. </w:t>
      </w:r>
      <w:r>
        <w:rPr>
          <w:rFonts w:asciiTheme="minorHAnsi" w:hAnsiTheme="minorHAnsi" w:cstheme="minorHAnsi"/>
          <w:color w:val="000000"/>
          <w:shd w:val="clear" w:color="auto" w:fill="FFFFFF"/>
        </w:rPr>
        <w:t>května</w:t>
      </w:r>
      <w:r w:rsidRPr="006F1A1E">
        <w:rPr>
          <w:rFonts w:asciiTheme="minorHAnsi" w:hAnsiTheme="minorHAnsi" w:cstheme="minorHAnsi"/>
          <w:color w:val="000000"/>
          <w:shd w:val="clear" w:color="auto" w:fill="FFFFFF"/>
        </w:rPr>
        <w:t xml:space="preserve"> 2025].</w:t>
      </w:r>
      <w:r w:rsidRPr="00A76947">
        <w:rPr>
          <w:rFonts w:asciiTheme="minorHAnsi" w:hAnsiTheme="minorHAnsi" w:cstheme="minorHAnsi"/>
          <w:color w:val="000000"/>
          <w:shd w:val="clear" w:color="auto" w:fill="FFFFFF"/>
        </w:rPr>
        <w:t xml:space="preserve"> Dostupné z:</w:t>
      </w:r>
      <w:r w:rsidRPr="00A76947">
        <w:rPr>
          <w:rFonts w:asciiTheme="minorHAnsi" w:hAnsiTheme="minorHAnsi" w:cstheme="minorHAnsi"/>
        </w:rPr>
        <w:t xml:space="preserve"> </w:t>
      </w:r>
      <w:hyperlink r:id="rId2" w:history="1">
        <w:r w:rsidR="001B1A20" w:rsidRPr="006F1A1E">
          <w:rPr>
            <w:rStyle w:val="Hypertextovodkaz"/>
            <w:rFonts w:asciiTheme="minorHAnsi" w:hAnsiTheme="minorHAnsi" w:cstheme="minorHAnsi"/>
          </w:rPr>
          <w:t>https://monitor.statnipokladna.gov.cz/kapitola/362/rozpocet/souhrnny?rad=j&amp;obdobi=2412</w:t>
        </w:r>
      </w:hyperlink>
      <w:r w:rsidRPr="006F1A1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6">
    <w:p w14:paraId="2F2FE38E" w14:textId="7354F612" w:rsidR="00A05AA7" w:rsidRPr="00A05AA7" w:rsidRDefault="00035012" w:rsidP="00767246">
      <w:pPr>
        <w:pStyle w:val="Textpoznpodarou"/>
        <w:ind w:left="284" w:hanging="284"/>
        <w:rPr>
          <w:rFonts w:asciiTheme="minorHAnsi" w:hAnsiTheme="minorHAnsi" w:cstheme="minorHAnsi"/>
        </w:rPr>
      </w:pPr>
      <w:r w:rsidRPr="00A05AA7">
        <w:rPr>
          <w:rStyle w:val="Znakapoznpodarou"/>
          <w:rFonts w:asciiTheme="minorHAnsi" w:hAnsiTheme="minorHAnsi" w:cstheme="minorHAnsi"/>
        </w:rPr>
        <w:footnoteRef/>
      </w:r>
      <w:r w:rsidRPr="00A05AA7">
        <w:rPr>
          <w:rFonts w:asciiTheme="minorHAnsi" w:hAnsiTheme="minorHAnsi" w:cstheme="minorHAnsi"/>
        </w:rPr>
        <w:t xml:space="preserve"> </w:t>
      </w:r>
      <w:r w:rsidR="00767246">
        <w:rPr>
          <w:rFonts w:asciiTheme="minorHAnsi" w:hAnsiTheme="minorHAnsi" w:cstheme="minorHAnsi"/>
        </w:rPr>
        <w:tab/>
      </w:r>
      <w:r w:rsidRPr="00A05AA7">
        <w:rPr>
          <w:rFonts w:asciiTheme="minorHAnsi" w:hAnsiTheme="minorHAnsi" w:cstheme="minorHAnsi"/>
        </w:rPr>
        <w:t>Vyhláška č. 412/2021 Sb., o rozpočtové skladbě.</w:t>
      </w:r>
    </w:p>
  </w:footnote>
  <w:footnote w:id="7">
    <w:p w14:paraId="5B397B5A" w14:textId="77777777" w:rsidR="00062A05" w:rsidRPr="00B7054F" w:rsidRDefault="00035012" w:rsidP="00062A05">
      <w:pPr>
        <w:pStyle w:val="Textpoznpodarou"/>
        <w:ind w:left="284" w:hanging="284"/>
        <w:rPr>
          <w:rFonts w:ascii="Calibri" w:hAnsi="Calibri" w:cs="Calibri"/>
        </w:rPr>
      </w:pPr>
      <w:r w:rsidRPr="00034F0A">
        <w:rPr>
          <w:rStyle w:val="Znakapoznpodarou"/>
          <w:rFonts w:ascii="Calibri" w:hAnsi="Calibri" w:cs="Calibri"/>
        </w:rPr>
        <w:footnoteRef/>
      </w:r>
      <w:r w:rsidRPr="00034F0A">
        <w:rPr>
          <w:rFonts w:ascii="Calibri" w:hAnsi="Calibri" w:cs="Calibri"/>
        </w:rPr>
        <w:t xml:space="preserve"> </w:t>
      </w:r>
      <w:r w:rsidRPr="00034F0A">
        <w:rPr>
          <w:rFonts w:ascii="Calibri" w:hAnsi="Calibri" w:cs="Calibri"/>
        </w:rPr>
        <w:tab/>
        <w:t>Vyhláška č. 419/2001 Sb., o předkládání údajů pro vypracování návrhu státního závěrečného účtu.</w:t>
      </w:r>
      <w:r>
        <w:rPr>
          <w:rFonts w:ascii="Calibri" w:hAnsi="Calibri" w:cs="Calibri"/>
        </w:rPr>
        <w:t xml:space="preserve"> </w:t>
      </w:r>
    </w:p>
  </w:footnote>
  <w:footnote w:id="8">
    <w:p w14:paraId="7531B753" w14:textId="3D17E0C0" w:rsidR="00BA4F7D" w:rsidRPr="00CE7471" w:rsidRDefault="00BA4F7D" w:rsidP="00CE7471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E7471">
        <w:rPr>
          <w:rStyle w:val="Znakapoznpodarou"/>
          <w:rFonts w:asciiTheme="minorHAnsi" w:hAnsiTheme="minorHAnsi" w:cstheme="minorHAnsi"/>
        </w:rPr>
        <w:footnoteRef/>
      </w:r>
      <w:r w:rsidRPr="00CE7471">
        <w:rPr>
          <w:rFonts w:asciiTheme="minorHAnsi" w:hAnsiTheme="minorHAnsi" w:cstheme="minorHAnsi"/>
        </w:rPr>
        <w:t xml:space="preserve"> </w:t>
      </w:r>
      <w:r w:rsidR="00703365">
        <w:rPr>
          <w:rFonts w:asciiTheme="minorHAnsi" w:hAnsiTheme="minorHAnsi" w:cstheme="minorHAnsi"/>
        </w:rPr>
        <w:tab/>
      </w:r>
      <w:r w:rsidR="00003A4B">
        <w:rPr>
          <w:rFonts w:asciiTheme="minorHAnsi" w:hAnsiTheme="minorHAnsi" w:cstheme="minorHAnsi"/>
        </w:rPr>
        <w:t>V ustanovení § 5 odst. 1 písmeno a) z</w:t>
      </w:r>
      <w:r w:rsidRPr="00CE7471">
        <w:rPr>
          <w:rFonts w:asciiTheme="minorHAnsi" w:hAnsiTheme="minorHAnsi" w:cstheme="minorHAnsi"/>
        </w:rPr>
        <w:t>ákon</w:t>
      </w:r>
      <w:r w:rsidR="00B1591A">
        <w:rPr>
          <w:rFonts w:asciiTheme="minorHAnsi" w:hAnsiTheme="minorHAnsi" w:cstheme="minorHAnsi"/>
        </w:rPr>
        <w:t>a</w:t>
      </w:r>
      <w:r w:rsidRPr="00CE7471">
        <w:rPr>
          <w:rFonts w:asciiTheme="minorHAnsi" w:hAnsiTheme="minorHAnsi" w:cstheme="minorHAnsi"/>
        </w:rPr>
        <w:t xml:space="preserve"> č. 320/2001 Sb., o finanční kontrole ve veřejné správě a o změně některých zákonů (zákon o finanční kontrole)</w:t>
      </w:r>
      <w:r w:rsidR="00D069DB">
        <w:rPr>
          <w:rFonts w:asciiTheme="minorHAnsi" w:hAnsiTheme="minorHAnsi" w:cstheme="minorHAnsi"/>
        </w:rPr>
        <w:t xml:space="preserve">, </w:t>
      </w:r>
      <w:r w:rsidR="00B1591A">
        <w:rPr>
          <w:rFonts w:asciiTheme="minorHAnsi" w:hAnsiTheme="minorHAnsi" w:cstheme="minorHAnsi"/>
        </w:rPr>
        <w:t>je mj. uvedeno</w:t>
      </w:r>
      <w:r w:rsidR="00C22806">
        <w:rPr>
          <w:rFonts w:asciiTheme="minorHAnsi" w:hAnsiTheme="minorHAnsi" w:cstheme="minorHAnsi"/>
        </w:rPr>
        <w:t>:</w:t>
      </w:r>
      <w:r w:rsidR="00B1591A">
        <w:rPr>
          <w:rFonts w:asciiTheme="minorHAnsi" w:hAnsiTheme="minorHAnsi" w:cstheme="minorHAnsi"/>
        </w:rPr>
        <w:t xml:space="preserve"> </w:t>
      </w:r>
      <w:r w:rsidR="0095092D">
        <w:rPr>
          <w:rFonts w:asciiTheme="minorHAnsi" w:hAnsiTheme="minorHAnsi" w:cstheme="minorHAnsi"/>
        </w:rPr>
        <w:t>„… </w:t>
      </w:r>
      <w:r w:rsidR="00C22806">
        <w:rPr>
          <w:rFonts w:asciiTheme="minorHAnsi" w:hAnsiTheme="minorHAnsi" w:cstheme="minorHAnsi"/>
        </w:rPr>
        <w:t>organizovat finanční kontrolu tak, aby byla zajištěna přiměřená jistota…“</w:t>
      </w:r>
    </w:p>
  </w:footnote>
  <w:footnote w:id="9">
    <w:p w14:paraId="473E1173" w14:textId="77777777" w:rsidR="003C0C75" w:rsidRPr="003C0C75" w:rsidRDefault="00035012" w:rsidP="003C0C7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C0C75">
        <w:rPr>
          <w:rStyle w:val="Znakapoznpodarou"/>
          <w:rFonts w:asciiTheme="minorHAnsi" w:hAnsiTheme="minorHAnsi" w:cstheme="minorHAnsi"/>
        </w:rPr>
        <w:footnoteRef/>
      </w:r>
      <w:r w:rsidRPr="003C0C75">
        <w:rPr>
          <w:rFonts w:asciiTheme="minorHAnsi" w:hAnsiTheme="minorHAnsi" w:cstheme="minorHAnsi"/>
        </w:rPr>
        <w:t xml:space="preserve"> </w:t>
      </w:r>
      <w:r w:rsidRPr="003C0C75">
        <w:rPr>
          <w:rFonts w:asciiTheme="minorHAnsi" w:hAnsiTheme="minorHAnsi" w:cstheme="minorHAnsi"/>
        </w:rPr>
        <w:tab/>
        <w:t>Zákon č. 219/2000 Sb., o majetku České republiky a jejím vystupování v právních vztazích.</w:t>
      </w:r>
    </w:p>
  </w:footnote>
  <w:footnote w:id="10">
    <w:p w14:paraId="333035E1" w14:textId="526F04B4" w:rsidR="003C0C75" w:rsidRPr="003C0C75" w:rsidRDefault="00035012" w:rsidP="003C0C7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C0C75">
        <w:rPr>
          <w:rStyle w:val="Znakapoznpodarou"/>
          <w:rFonts w:asciiTheme="minorHAnsi" w:hAnsiTheme="minorHAnsi" w:cstheme="minorHAnsi"/>
        </w:rPr>
        <w:footnoteRef/>
      </w:r>
      <w:r w:rsidRPr="003C0C75">
        <w:rPr>
          <w:rFonts w:asciiTheme="minorHAnsi" w:hAnsiTheme="minorHAnsi" w:cstheme="minorHAnsi"/>
        </w:rPr>
        <w:t xml:space="preserve"> </w:t>
      </w:r>
      <w:r w:rsidR="00703365">
        <w:rPr>
          <w:rFonts w:asciiTheme="minorHAnsi" w:hAnsiTheme="minorHAnsi" w:cstheme="minorHAnsi"/>
        </w:rPr>
        <w:tab/>
      </w:r>
      <w:r w:rsidRPr="003C0C75">
        <w:rPr>
          <w:rFonts w:asciiTheme="minorHAnsi" w:hAnsiTheme="minorHAnsi" w:cstheme="minorHAnsi"/>
        </w:rPr>
        <w:t>Zákon č. 218/2000 Sb., o rozpočtových pravidlech a o změně některých souvisejících zákonů (rozpočtová pravidla).</w:t>
      </w:r>
    </w:p>
  </w:footnote>
  <w:footnote w:id="11">
    <w:p w14:paraId="5B8FCF0E" w14:textId="0468BCCB" w:rsidR="009D29A7" w:rsidRPr="00F271C6" w:rsidRDefault="00035012" w:rsidP="009D29A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F271C6">
        <w:rPr>
          <w:rStyle w:val="Znakapoznpodarou"/>
          <w:rFonts w:asciiTheme="minorHAnsi" w:hAnsiTheme="minorHAnsi" w:cstheme="minorHAnsi"/>
        </w:rPr>
        <w:footnoteRef/>
      </w:r>
      <w:r w:rsidRPr="00F271C6">
        <w:rPr>
          <w:rFonts w:asciiTheme="minorHAnsi" w:hAnsiTheme="minorHAnsi" w:cstheme="minorHAnsi"/>
        </w:rPr>
        <w:t xml:space="preserve"> </w:t>
      </w:r>
      <w:r w:rsidR="00767246">
        <w:rPr>
          <w:rFonts w:asciiTheme="minorHAnsi" w:hAnsiTheme="minorHAnsi" w:cstheme="minorHAnsi"/>
        </w:rPr>
        <w:tab/>
      </w:r>
      <w:r w:rsidR="00295315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ontrolní akce č.</w:t>
      </w:r>
      <w:r w:rsidRPr="00F271C6">
        <w:rPr>
          <w:rFonts w:asciiTheme="minorHAnsi" w:hAnsiTheme="minorHAnsi" w:cstheme="minorHAnsi"/>
        </w:rPr>
        <w:t xml:space="preserve"> 23/04 – </w:t>
      </w:r>
      <w:r w:rsidRPr="00F271C6">
        <w:rPr>
          <w:rFonts w:asciiTheme="minorHAnsi" w:hAnsiTheme="minorHAnsi" w:cstheme="minorHAnsi"/>
          <w:i/>
          <w:iCs/>
        </w:rPr>
        <w:t>Peněžní prostředky státu určené na podporu sportu a sportovní reprezentaci a</w:t>
      </w:r>
      <w:r w:rsidR="00767246">
        <w:rPr>
          <w:rFonts w:asciiTheme="minorHAnsi" w:hAnsiTheme="minorHAnsi" w:cstheme="minorHAnsi"/>
          <w:i/>
          <w:iCs/>
        </w:rPr>
        <w:t> </w:t>
      </w:r>
      <w:r w:rsidRPr="00F271C6">
        <w:rPr>
          <w:rFonts w:asciiTheme="minorHAnsi" w:hAnsiTheme="minorHAnsi" w:cstheme="minorHAnsi"/>
          <w:i/>
          <w:iCs/>
        </w:rPr>
        <w:t>majetek a peněžní prostředky státu, se kterými je příslušná hospodařit Národní sportovní agentura</w:t>
      </w:r>
      <w:r>
        <w:rPr>
          <w:rFonts w:asciiTheme="minorHAnsi" w:hAnsiTheme="minorHAnsi" w:cstheme="minorHAnsi"/>
        </w:rPr>
        <w:t xml:space="preserve">; kontrolní závěr byl zveřejněn v částce 3/2024 </w:t>
      </w:r>
      <w:r w:rsidRPr="00F271C6">
        <w:rPr>
          <w:rFonts w:asciiTheme="minorHAnsi" w:hAnsiTheme="minorHAnsi" w:cstheme="minorHAnsi"/>
          <w:i/>
          <w:iCs/>
        </w:rPr>
        <w:t>Věstníku NKÚ</w:t>
      </w:r>
      <w:r w:rsidRPr="00F271C6">
        <w:rPr>
          <w:rFonts w:asciiTheme="minorHAnsi" w:hAnsiTheme="minorHAnsi" w:cstheme="minorHAnsi"/>
        </w:rPr>
        <w:t>.</w:t>
      </w:r>
    </w:p>
  </w:footnote>
  <w:footnote w:id="12">
    <w:p w14:paraId="37072F84" w14:textId="59B1F5BE" w:rsidR="006335BE" w:rsidRPr="006335BE" w:rsidRDefault="00035012" w:rsidP="006335B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335BE">
        <w:rPr>
          <w:rStyle w:val="Znakapoznpodarou"/>
          <w:rFonts w:asciiTheme="minorHAnsi" w:hAnsiTheme="minorHAnsi" w:cstheme="minorHAnsi"/>
        </w:rPr>
        <w:footnoteRef/>
      </w:r>
      <w:r w:rsidRPr="006335BE">
        <w:rPr>
          <w:rFonts w:asciiTheme="minorHAnsi" w:hAnsiTheme="minorHAnsi" w:cstheme="minorHAnsi"/>
        </w:rPr>
        <w:t xml:space="preserve"> </w:t>
      </w:r>
      <w:r w:rsidR="00767246">
        <w:rPr>
          <w:rFonts w:asciiTheme="minorHAnsi" w:hAnsiTheme="minorHAnsi" w:cstheme="minorHAnsi"/>
        </w:rPr>
        <w:tab/>
      </w:r>
      <w:r w:rsidRPr="006335BE">
        <w:rPr>
          <w:rFonts w:asciiTheme="minorHAnsi" w:hAnsiTheme="minorHAnsi" w:cstheme="minorHAnsi"/>
        </w:rPr>
        <w:t xml:space="preserve">Zákon č. 178/2019 Sb., kterým se mění zákon č. 115/2001 Sb., o podpoře sportu, ve znění pozdějších předpisů, a některé další zákony. </w:t>
      </w:r>
    </w:p>
  </w:footnote>
  <w:footnote w:id="13">
    <w:p w14:paraId="29B6B638" w14:textId="3D4C34C9" w:rsidR="006335BE" w:rsidRPr="006335BE" w:rsidRDefault="00035012" w:rsidP="006335B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335BE">
        <w:rPr>
          <w:rStyle w:val="Znakapoznpodarou"/>
          <w:rFonts w:asciiTheme="minorHAnsi" w:hAnsiTheme="minorHAnsi" w:cstheme="minorHAnsi"/>
        </w:rPr>
        <w:footnoteRef/>
      </w:r>
      <w:r w:rsidRPr="006335BE">
        <w:rPr>
          <w:rFonts w:asciiTheme="minorHAnsi" w:hAnsiTheme="minorHAnsi" w:cstheme="minorHAnsi"/>
        </w:rPr>
        <w:t xml:space="preserve"> </w:t>
      </w:r>
      <w:r w:rsidR="00767246">
        <w:rPr>
          <w:rFonts w:asciiTheme="minorHAnsi" w:hAnsiTheme="minorHAnsi" w:cstheme="minorHAnsi"/>
        </w:rPr>
        <w:tab/>
      </w:r>
      <w:r w:rsidRPr="006335BE">
        <w:rPr>
          <w:rFonts w:asciiTheme="minorHAnsi" w:hAnsiTheme="minorHAnsi" w:cstheme="minorHAnsi"/>
        </w:rPr>
        <w:t>Zákon</w:t>
      </w:r>
      <w:r w:rsidR="002138F2">
        <w:rPr>
          <w:rFonts w:asciiTheme="minorHAnsi" w:hAnsiTheme="minorHAnsi" w:cstheme="minorHAnsi"/>
        </w:rPr>
        <w:t xml:space="preserve"> České národní rady</w:t>
      </w:r>
      <w:r w:rsidRPr="006335BE">
        <w:rPr>
          <w:rFonts w:asciiTheme="minorHAnsi" w:hAnsiTheme="minorHAnsi" w:cstheme="minorHAnsi"/>
        </w:rPr>
        <w:t xml:space="preserve"> č. 2/1969 Sb., o zřízení ministerstev a jiných ústředních orgánů státní správy České republiky.</w:t>
      </w:r>
    </w:p>
  </w:footnote>
  <w:footnote w:id="14">
    <w:p w14:paraId="61793EF6" w14:textId="424D8484" w:rsidR="006335BE" w:rsidRPr="00A22374" w:rsidRDefault="00035012" w:rsidP="00A2237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22374">
        <w:rPr>
          <w:rStyle w:val="Znakapoznpodarou"/>
          <w:rFonts w:asciiTheme="minorHAnsi" w:hAnsiTheme="minorHAnsi" w:cstheme="minorHAnsi"/>
        </w:rPr>
        <w:footnoteRef/>
      </w:r>
      <w:r w:rsidRPr="00A22374">
        <w:rPr>
          <w:rFonts w:asciiTheme="minorHAnsi" w:hAnsiTheme="minorHAnsi" w:cstheme="minorHAnsi"/>
        </w:rPr>
        <w:t xml:space="preserve"> </w:t>
      </w:r>
      <w:r w:rsidR="00767246">
        <w:rPr>
          <w:rFonts w:asciiTheme="minorHAnsi" w:hAnsiTheme="minorHAnsi" w:cstheme="minorHAnsi"/>
        </w:rPr>
        <w:tab/>
      </w:r>
      <w:r w:rsidRPr="00A22374">
        <w:rPr>
          <w:rFonts w:asciiTheme="minorHAnsi" w:hAnsiTheme="minorHAnsi" w:cstheme="minorHAnsi"/>
        </w:rPr>
        <w:t>Zákon č. 49/2023 Sb., kterým se mění zákon č. 115/2001 Sb., o podpoře sportu, ve znění pozdějších předpisů, a některé další zákony.</w:t>
      </w:r>
    </w:p>
  </w:footnote>
  <w:footnote w:id="15">
    <w:p w14:paraId="03713B30" w14:textId="531D99BD" w:rsidR="00A22374" w:rsidRPr="00A22374" w:rsidRDefault="00035012" w:rsidP="00A22374">
      <w:pPr>
        <w:pStyle w:val="Textpoznpodarou"/>
        <w:ind w:left="284" w:hanging="284"/>
        <w:rPr>
          <w:rFonts w:asciiTheme="minorHAnsi" w:hAnsiTheme="minorHAnsi" w:cstheme="minorHAnsi"/>
          <w:lang w:eastAsia="ar-SA"/>
        </w:rPr>
      </w:pPr>
      <w:r w:rsidRPr="00A22374">
        <w:rPr>
          <w:rStyle w:val="Znakapoznpodarou"/>
          <w:rFonts w:asciiTheme="minorHAnsi" w:hAnsiTheme="minorHAnsi" w:cstheme="minorHAnsi"/>
        </w:rPr>
        <w:footnoteRef/>
      </w:r>
      <w:r w:rsidRPr="00A22374">
        <w:rPr>
          <w:rFonts w:asciiTheme="minorHAnsi" w:hAnsiTheme="minorHAnsi" w:cstheme="minorHAnsi"/>
        </w:rPr>
        <w:t xml:space="preserve"> </w:t>
      </w:r>
      <w:r w:rsidR="00767246">
        <w:rPr>
          <w:rFonts w:asciiTheme="minorHAnsi" w:hAnsiTheme="minorHAnsi" w:cstheme="minorHAnsi"/>
        </w:rPr>
        <w:tab/>
      </w:r>
      <w:r w:rsidRPr="00A22374">
        <w:rPr>
          <w:rFonts w:asciiTheme="minorHAnsi" w:hAnsiTheme="minorHAnsi" w:cstheme="minorHAnsi"/>
        </w:rPr>
        <w:t>Zákon č. 115/2001 Sb., o podpoře sportu.</w:t>
      </w:r>
    </w:p>
  </w:footnote>
  <w:footnote w:id="16">
    <w:p w14:paraId="29F84F6B" w14:textId="77777777" w:rsidR="002F6ECE" w:rsidRPr="007764A9" w:rsidRDefault="00035012" w:rsidP="0082196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F3296">
        <w:rPr>
          <w:rStyle w:val="Znakapoznpodarou"/>
          <w:rFonts w:asciiTheme="minorHAnsi" w:hAnsiTheme="minorHAnsi" w:cstheme="minorHAnsi"/>
        </w:rPr>
        <w:footnoteRef/>
      </w:r>
      <w:r w:rsidRPr="007F3296">
        <w:rPr>
          <w:rFonts w:asciiTheme="minorHAnsi" w:hAnsiTheme="minorHAnsi" w:cstheme="minorHAnsi"/>
        </w:rPr>
        <w:t xml:space="preserve"> </w:t>
      </w:r>
      <w:r w:rsidRPr="007F3296">
        <w:rPr>
          <w:rFonts w:asciiTheme="minorHAnsi" w:hAnsiTheme="minorHAnsi" w:cstheme="minorHAnsi"/>
        </w:rPr>
        <w:tab/>
        <w:t>Dle ustanovení § 3 písm. o) zákona č. 218/2000 Sb. je rozpočtový systém informačním systémem veřejné správy, v němž se mj. soustřeďují údaje pro hodnocení plnění státního rozpočtu.</w:t>
      </w:r>
    </w:p>
  </w:footnote>
  <w:footnote w:id="17">
    <w:p w14:paraId="360B9171" w14:textId="77777777" w:rsidR="002F6ECE" w:rsidRPr="00492584" w:rsidRDefault="00035012" w:rsidP="001D58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92584">
        <w:rPr>
          <w:rStyle w:val="Znakapoznpodarou"/>
          <w:rFonts w:asciiTheme="minorHAnsi" w:hAnsiTheme="minorHAnsi" w:cstheme="minorHAnsi"/>
        </w:rPr>
        <w:footnoteRef/>
      </w:r>
      <w:r w:rsidRPr="00492584">
        <w:rPr>
          <w:rFonts w:asciiTheme="minorHAnsi" w:hAnsiTheme="minorHAnsi" w:cstheme="minorHAnsi"/>
        </w:rPr>
        <w:t xml:space="preserve"> </w:t>
      </w:r>
      <w:r w:rsidRPr="00492584">
        <w:rPr>
          <w:rFonts w:asciiTheme="minorHAnsi" w:hAnsiTheme="minorHAnsi" w:cstheme="minorHAnsi"/>
        </w:rPr>
        <w:tab/>
        <w:t>Dle ustanovení § 20 odst. 4 zákona č. 218/2000 Sb. jsou OSS povinny předkládat údaje potřebné pro průběžné hodnocení plnění státního rozpočtu. Způsob a termíny předkládání údajů a jejich rozsah stanovuje vyhláška č. 5/2014 Sb., o 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 rozpočtovém systému, ve kterém je z nich následně sestavován výkaz FIN 1-12 OSS.</w:t>
      </w:r>
    </w:p>
  </w:footnote>
  <w:footnote w:id="18">
    <w:p w14:paraId="74D76028" w14:textId="77777777" w:rsidR="002F6ECE" w:rsidRPr="007F3296" w:rsidRDefault="00035012" w:rsidP="00171A18">
      <w:pPr>
        <w:pStyle w:val="Textpoznpodarou"/>
        <w:ind w:left="284" w:hanging="284"/>
        <w:jc w:val="both"/>
        <w:rPr>
          <w:rFonts w:ascii="Calibri" w:hAnsi="Calibri" w:cs="Calibri"/>
          <w:highlight w:val="green"/>
        </w:rPr>
      </w:pPr>
      <w:r w:rsidRPr="00492584">
        <w:rPr>
          <w:rStyle w:val="Znakapoznpodarou"/>
          <w:rFonts w:ascii="Calibri" w:hAnsi="Calibri" w:cs="Calibri"/>
        </w:rPr>
        <w:footnoteRef/>
      </w:r>
      <w:r w:rsidRPr="00492584">
        <w:rPr>
          <w:rFonts w:ascii="Calibri" w:hAnsi="Calibri" w:cs="Calibri"/>
        </w:rPr>
        <w:t xml:space="preserve"> </w:t>
      </w:r>
      <w:r w:rsidRPr="00492584">
        <w:rPr>
          <w:rFonts w:ascii="Calibri" w:hAnsi="Calibri" w:cs="Calibri"/>
        </w:rPr>
        <w:tab/>
      </w:r>
      <w:r w:rsidR="00492584" w:rsidRPr="00492584">
        <w:rPr>
          <w:rFonts w:ascii="Calibri" w:hAnsi="Calibri" w:cs="Calibri"/>
        </w:rPr>
        <w:t>NSA</w:t>
      </w:r>
      <w:r w:rsidRPr="00492584">
        <w:rPr>
          <w:rFonts w:ascii="Calibri" w:hAnsi="Calibri" w:cs="Calibri"/>
        </w:rPr>
        <w:t xml:space="preserve"> je jakožto OSS povinn</w:t>
      </w:r>
      <w:r w:rsidR="00492584" w:rsidRPr="00492584">
        <w:rPr>
          <w:rFonts w:ascii="Calibri" w:hAnsi="Calibri" w:cs="Calibri"/>
        </w:rPr>
        <w:t>a</w:t>
      </w:r>
      <w:r w:rsidRPr="00492584">
        <w:rPr>
          <w:rFonts w:ascii="Calibri" w:hAnsi="Calibri" w:cs="Calibri"/>
        </w:rPr>
        <w:t xml:space="preserve"> v souladu se zákonem č. 563/1991 Sb. účtovat o stavu a pohybu majetku a jiných aktiv, závazků a jiných pasiv, o nákladech a výnosech a o výsledku hospodaření. Informace, které předkládá v účetní závěrce, musí být spolehlivé, srovnatelné, srozumitelné a posuzují se z hlediska významnosti.</w:t>
      </w:r>
    </w:p>
  </w:footnote>
  <w:footnote w:id="19">
    <w:p w14:paraId="0590E302" w14:textId="77777777" w:rsidR="002F6ECE" w:rsidRPr="007F3296" w:rsidRDefault="00035012" w:rsidP="00943482">
      <w:pPr>
        <w:pStyle w:val="Textpoznpodarou"/>
        <w:ind w:left="284" w:hanging="284"/>
        <w:jc w:val="both"/>
        <w:rPr>
          <w:rFonts w:asciiTheme="minorHAnsi" w:hAnsiTheme="minorHAnsi" w:cstheme="minorHAnsi"/>
          <w:highlight w:val="green"/>
        </w:rPr>
      </w:pPr>
      <w:r w:rsidRPr="00492584">
        <w:rPr>
          <w:rStyle w:val="Znakapoznpodarou"/>
          <w:rFonts w:asciiTheme="minorHAnsi" w:hAnsiTheme="minorHAnsi" w:cstheme="minorHAnsi"/>
        </w:rPr>
        <w:footnoteRef/>
      </w:r>
      <w:r w:rsidRPr="00492584">
        <w:rPr>
          <w:rFonts w:asciiTheme="minorHAnsi" w:hAnsiTheme="minorHAnsi" w:cstheme="minorHAnsi"/>
        </w:rPr>
        <w:t xml:space="preserve"> </w:t>
      </w:r>
      <w:r w:rsidRPr="00492584">
        <w:rPr>
          <w:rFonts w:asciiTheme="minorHAnsi" w:hAnsiTheme="minorHAnsi" w:cstheme="minorHAnsi"/>
        </w:rPr>
        <w:tab/>
        <w:t>Vyhláška č. 410/2009 Sb., kterou se provádějí některá ustanovení zákona č. 563/1991 Sb., o účetnictví, ve znění pozdějších předpisů, pro některé vybrané účetní jednotky.</w:t>
      </w:r>
    </w:p>
  </w:footnote>
  <w:footnote w:id="20">
    <w:p w14:paraId="22617C99" w14:textId="77777777" w:rsidR="002F6ECE" w:rsidRPr="00B87A71" w:rsidRDefault="00035012" w:rsidP="00BA2B3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92584">
        <w:rPr>
          <w:rStyle w:val="Znakapoznpodarou"/>
          <w:rFonts w:asciiTheme="minorHAnsi" w:hAnsiTheme="minorHAnsi" w:cstheme="minorHAnsi"/>
        </w:rPr>
        <w:footnoteRef/>
      </w:r>
      <w:r w:rsidRPr="00492584">
        <w:rPr>
          <w:rFonts w:asciiTheme="minorHAnsi" w:hAnsiTheme="minorHAnsi" w:cstheme="minorHAnsi"/>
        </w:rPr>
        <w:t xml:space="preserve"> </w:t>
      </w:r>
      <w:r w:rsidRPr="00492584">
        <w:rPr>
          <w:rFonts w:asciiTheme="minorHAnsi" w:hAnsiTheme="minorHAnsi" w:cstheme="minorHAns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21">
    <w:p w14:paraId="40F650D4" w14:textId="77777777" w:rsidR="002F6ECE" w:rsidRPr="00703365" w:rsidRDefault="00035012" w:rsidP="00C20965">
      <w:pPr>
        <w:pStyle w:val="Textpoznpodarou"/>
        <w:ind w:left="284" w:hanging="284"/>
        <w:jc w:val="both"/>
        <w:rPr>
          <w:rFonts w:ascii="Calibri" w:hAnsi="Calibri" w:cs="Calibri"/>
          <w:highlight w:val="green"/>
        </w:rPr>
      </w:pPr>
      <w:r w:rsidRPr="00703365">
        <w:rPr>
          <w:rStyle w:val="Znakapoznpodarou"/>
          <w:rFonts w:ascii="Calibri" w:hAnsi="Calibri" w:cs="Calibri"/>
        </w:rPr>
        <w:footnoteRef/>
      </w:r>
      <w:r w:rsidRPr="00703365">
        <w:rPr>
          <w:rFonts w:ascii="Calibri" w:hAnsi="Calibri" w:cs="Calibri"/>
        </w:rPr>
        <w:t xml:space="preserve"> </w:t>
      </w:r>
      <w:r w:rsidRPr="00703365">
        <w:rPr>
          <w:rFonts w:ascii="Calibri" w:hAnsi="Calibri" w:cs="Calibr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2">
    <w:p w14:paraId="4487BE37" w14:textId="77C2E432" w:rsidR="006A548B" w:rsidRPr="00703365" w:rsidRDefault="00035012" w:rsidP="006A548B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03365">
        <w:rPr>
          <w:rStyle w:val="Znakapoznpodarou"/>
          <w:rFonts w:ascii="Calibri" w:hAnsi="Calibri" w:cs="Calibri"/>
        </w:rPr>
        <w:footnoteRef/>
      </w:r>
      <w:r w:rsidRPr="00703365">
        <w:rPr>
          <w:rFonts w:ascii="Calibri" w:hAnsi="Calibri" w:cs="Calibri"/>
        </w:rPr>
        <w:t xml:space="preserve"> </w:t>
      </w:r>
      <w:r w:rsidR="00C17D75">
        <w:rPr>
          <w:rFonts w:ascii="Calibri" w:hAnsi="Calibri" w:cs="Calibri"/>
        </w:rPr>
        <w:tab/>
      </w:r>
      <w:r w:rsidRPr="00703365">
        <w:rPr>
          <w:rFonts w:ascii="Calibri" w:hAnsi="Calibri" w:cs="Calibri"/>
        </w:rPr>
        <w:t xml:space="preserve">Na základě usnesení vlády ČR ze dne 19. března 2025 č. 181, </w:t>
      </w:r>
      <w:r w:rsidRPr="001718B3">
        <w:rPr>
          <w:rFonts w:ascii="Calibri" w:hAnsi="Calibri" w:cs="Calibri"/>
          <w:i/>
          <w:iCs/>
        </w:rPr>
        <w:t>ke kontrolnímu závěru Nejvyššího kontrolního úřadu z kontrolní akce č. 23/04 Peněžní prostředky státu určené na podporu sportu a sportovní reprezentaci a majetek a peněžní prostředky státu, se kterými je příslušná hospodařit Národní sportovní agentura</w:t>
      </w:r>
      <w:r w:rsidRPr="00703365">
        <w:rPr>
          <w:rFonts w:ascii="Calibri" w:hAnsi="Calibri" w:cs="Calibri"/>
        </w:rPr>
        <w:t>.</w:t>
      </w:r>
    </w:p>
  </w:footnote>
  <w:footnote w:id="23">
    <w:p w14:paraId="26991EB8" w14:textId="30D140E4" w:rsidR="002F6ECE" w:rsidRPr="007F3296" w:rsidRDefault="00035012" w:rsidP="003604D9">
      <w:pPr>
        <w:pStyle w:val="Textpoznpodarou"/>
        <w:ind w:left="284" w:hanging="284"/>
        <w:jc w:val="both"/>
        <w:rPr>
          <w:rFonts w:ascii="Calibri" w:hAnsi="Calibri" w:cs="Calibri"/>
          <w:highlight w:val="green"/>
        </w:rPr>
      </w:pPr>
      <w:r w:rsidRPr="00AD416B">
        <w:rPr>
          <w:rStyle w:val="Znakapoznpodarou"/>
          <w:rFonts w:ascii="Calibri" w:hAnsi="Calibri" w:cs="Calibri"/>
        </w:rPr>
        <w:footnoteRef/>
      </w:r>
      <w:r w:rsidRPr="00AD416B">
        <w:rPr>
          <w:rFonts w:ascii="Calibri" w:hAnsi="Calibri" w:cs="Calibri"/>
        </w:rPr>
        <w:t xml:space="preserve"> </w:t>
      </w:r>
      <w:r w:rsidRPr="00AD416B">
        <w:rPr>
          <w:rFonts w:ascii="Calibri" w:hAnsi="Calibri" w:cs="Calibri"/>
        </w:rPr>
        <w:tab/>
        <w:t>Jedná se o vlastní výpočet NKÚ zohledňující výsledné dopady provedených účetních oprav na zůstatky položek účetní závěrky (t</w:t>
      </w:r>
      <w:r w:rsidR="00791B47">
        <w:rPr>
          <w:rFonts w:ascii="Calibri" w:hAnsi="Calibri" w:cs="Calibri"/>
        </w:rPr>
        <w:t>zn</w:t>
      </w:r>
      <w:r w:rsidRPr="00AD416B">
        <w:rPr>
          <w:rFonts w:ascii="Calibri" w:hAnsi="Calibri" w:cs="Calibri"/>
        </w:rPr>
        <w:t>.</w:t>
      </w:r>
      <w:r w:rsidR="00B00959">
        <w:rPr>
          <w:rFonts w:ascii="Calibri" w:hAnsi="Calibri" w:cs="Calibri"/>
        </w:rPr>
        <w:t>,</w:t>
      </w:r>
      <w:r w:rsidRPr="00AD416B">
        <w:rPr>
          <w:rFonts w:ascii="Calibri" w:hAnsi="Calibri" w:cs="Calibri"/>
        </w:rPr>
        <w:t xml:space="preserve"> </w:t>
      </w:r>
      <w:r w:rsidR="00791B47">
        <w:rPr>
          <w:rFonts w:ascii="Calibri" w:hAnsi="Calibri" w:cs="Calibri"/>
        </w:rPr>
        <w:t xml:space="preserve">že </w:t>
      </w:r>
      <w:r w:rsidRPr="00AD416B">
        <w:rPr>
          <w:rFonts w:ascii="Calibri" w:hAnsi="Calibri" w:cs="Calibri"/>
        </w:rPr>
        <w:t>je zohledněno současné nadhodnocení a podhodnocení stejné položky účetní závěrky).</w:t>
      </w:r>
    </w:p>
  </w:footnote>
  <w:footnote w:id="24">
    <w:p w14:paraId="5B3C5168" w14:textId="24FA7E5F" w:rsidR="007041AF" w:rsidRPr="007041AF" w:rsidRDefault="00035012" w:rsidP="00767246">
      <w:pPr>
        <w:pStyle w:val="Textpoznpodarou"/>
        <w:ind w:left="284" w:hanging="284"/>
        <w:rPr>
          <w:rFonts w:asciiTheme="minorHAnsi" w:hAnsiTheme="minorHAnsi" w:cstheme="minorHAnsi"/>
        </w:rPr>
      </w:pPr>
      <w:r w:rsidRPr="007041AF">
        <w:rPr>
          <w:rStyle w:val="Znakapoznpodarou"/>
          <w:rFonts w:asciiTheme="minorHAnsi" w:hAnsiTheme="minorHAnsi" w:cstheme="minorHAnsi"/>
        </w:rPr>
        <w:footnoteRef/>
      </w:r>
      <w:r w:rsidRPr="007041AF">
        <w:rPr>
          <w:rFonts w:asciiTheme="minorHAnsi" w:hAnsiTheme="minorHAnsi" w:cstheme="minorHAnsi"/>
        </w:rPr>
        <w:t xml:space="preserve"> </w:t>
      </w:r>
      <w:r w:rsidR="00767246">
        <w:rPr>
          <w:rFonts w:asciiTheme="minorHAnsi" w:hAnsiTheme="minorHAnsi" w:cstheme="minorHAnsi"/>
        </w:rPr>
        <w:tab/>
      </w:r>
      <w:r w:rsidRPr="007041AF">
        <w:rPr>
          <w:rFonts w:asciiTheme="minorHAnsi" w:hAnsiTheme="minorHAnsi" w:cstheme="minorHAnsi"/>
        </w:rPr>
        <w:t>Nařízení vlády č. 302/2021 Sb., o oceněních udělovaných Národní sportovní agenturou.</w:t>
      </w:r>
    </w:p>
  </w:footnote>
  <w:footnote w:id="25">
    <w:p w14:paraId="340BF772" w14:textId="440BF186" w:rsidR="00CD61EB" w:rsidRPr="00CD61EB" w:rsidRDefault="00035012" w:rsidP="00CD61E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D61EB">
        <w:rPr>
          <w:rStyle w:val="Znakapoznpodarou"/>
          <w:rFonts w:asciiTheme="minorHAnsi" w:hAnsiTheme="minorHAnsi" w:cstheme="minorHAnsi"/>
        </w:rPr>
        <w:footnoteRef/>
      </w:r>
      <w:r w:rsidRPr="00CD61EB">
        <w:rPr>
          <w:rFonts w:asciiTheme="minorHAnsi" w:hAnsiTheme="minorHAnsi" w:cstheme="minorHAnsi"/>
        </w:rPr>
        <w:t xml:space="preserve"> </w:t>
      </w:r>
      <w:r w:rsidR="0070336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</w:t>
      </w:r>
      <w:r w:rsidRPr="00CD61EB">
        <w:rPr>
          <w:rFonts w:asciiTheme="minorHAnsi" w:hAnsiTheme="minorHAnsi" w:cstheme="minorHAnsi"/>
        </w:rPr>
        <w:t>ejména ustanovení § 29 a § 30 zákona č. 563/1991 Sb. a ustanovení vyhlášky č. 270/2010 Sb.</w:t>
      </w:r>
      <w:r>
        <w:rPr>
          <w:rFonts w:asciiTheme="minorHAnsi" w:hAnsiTheme="minorHAnsi" w:cstheme="minorHAnsi"/>
        </w:rPr>
        <w:t>, o inventarizaci majetku a závazků.</w:t>
      </w:r>
    </w:p>
  </w:footnote>
  <w:footnote w:id="26">
    <w:p w14:paraId="4A20A322" w14:textId="69C8C4E6" w:rsidR="0008141C" w:rsidRPr="0008141C" w:rsidRDefault="00035012" w:rsidP="0008141C">
      <w:pPr>
        <w:pStyle w:val="Textpoznpodarou"/>
        <w:ind w:left="284" w:hanging="284"/>
        <w:rPr>
          <w:rFonts w:asciiTheme="minorHAnsi" w:hAnsiTheme="minorHAnsi" w:cstheme="minorHAnsi"/>
        </w:rPr>
      </w:pPr>
      <w:r w:rsidRPr="0008141C">
        <w:rPr>
          <w:rStyle w:val="Znakapoznpodarou"/>
          <w:rFonts w:asciiTheme="minorHAnsi" w:hAnsiTheme="minorHAnsi" w:cstheme="minorHAnsi"/>
        </w:rPr>
        <w:footnoteRef/>
      </w:r>
      <w:r w:rsidRPr="0008141C">
        <w:rPr>
          <w:rFonts w:asciiTheme="minorHAnsi" w:hAnsiTheme="minorHAnsi" w:cstheme="minorHAnsi"/>
        </w:rPr>
        <w:t xml:space="preserve"> </w:t>
      </w:r>
      <w:r w:rsidR="00703365">
        <w:rPr>
          <w:rFonts w:asciiTheme="minorHAnsi" w:hAnsiTheme="minorHAnsi" w:cstheme="minorHAnsi"/>
        </w:rPr>
        <w:tab/>
      </w:r>
      <w:r w:rsidRPr="0008141C">
        <w:rPr>
          <w:rFonts w:asciiTheme="minorHAnsi" w:hAnsiTheme="minorHAnsi" w:cstheme="minorHAnsi"/>
        </w:rPr>
        <w:t>Viz ustanovení § 19 odst. 7 zákona č. 563/1991 Sb.</w:t>
      </w:r>
    </w:p>
  </w:footnote>
  <w:footnote w:id="27">
    <w:p w14:paraId="611F3D92" w14:textId="77777777" w:rsidR="002F6ECE" w:rsidRPr="007F3296" w:rsidRDefault="00035012" w:rsidP="007028BF">
      <w:pPr>
        <w:spacing w:after="0"/>
        <w:ind w:left="284" w:hanging="284"/>
        <w:jc w:val="both"/>
        <w:rPr>
          <w:rStyle w:val="Znakapoznpodarou"/>
          <w:sz w:val="20"/>
          <w:szCs w:val="20"/>
          <w:highlight w:val="green"/>
          <w:vertAlign w:val="baseline"/>
        </w:rPr>
      </w:pPr>
      <w:r w:rsidRPr="00AD416B">
        <w:rPr>
          <w:rStyle w:val="Znakapoznpodarou"/>
          <w:sz w:val="20"/>
          <w:szCs w:val="20"/>
        </w:rPr>
        <w:footnoteRef/>
      </w:r>
      <w:r w:rsidRPr="00AD416B">
        <w:rPr>
          <w:rStyle w:val="Znakapoznpodarou"/>
          <w:sz w:val="20"/>
          <w:szCs w:val="20"/>
        </w:rPr>
        <w:t xml:space="preserve"> </w:t>
      </w:r>
      <w:r w:rsidRPr="00AD416B">
        <w:rPr>
          <w:sz w:val="20"/>
          <w:szCs w:val="20"/>
        </w:rPr>
        <w:tab/>
      </w:r>
      <w:r w:rsidRPr="00AD416B">
        <w:rPr>
          <w:rStyle w:val="Znakapoznpodarou"/>
          <w:sz w:val="20"/>
          <w:szCs w:val="20"/>
          <w:vertAlign w:val="baseline"/>
        </w:rPr>
        <w:t xml:space="preserve">Významnost (materialita) reprezentuje u ÚZ hodnotu nesprávností, jejíž překročení by již mohlo ovlivnit přiměřeně znalého uživatele. Při stanovení významnosti postupuje NKÚ v souladu s </w:t>
      </w:r>
      <w:r w:rsidRPr="00AD416B">
        <w:rPr>
          <w:rStyle w:val="Znakapoznpodarou"/>
          <w:i/>
          <w:sz w:val="20"/>
          <w:szCs w:val="20"/>
          <w:vertAlign w:val="baseline"/>
        </w:rPr>
        <w:t>Kontrolními standardy NKÚ</w:t>
      </w:r>
      <w:r w:rsidRPr="00AD416B">
        <w:rPr>
          <w:rStyle w:val="Znakapoznpodarou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8">
    <w:p w14:paraId="0689EB4D" w14:textId="77777777" w:rsidR="002F6ECE" w:rsidRPr="007028BF" w:rsidRDefault="00035012" w:rsidP="007028BF">
      <w:pPr>
        <w:spacing w:after="0"/>
        <w:ind w:left="284" w:hanging="284"/>
        <w:jc w:val="both"/>
        <w:rPr>
          <w:rStyle w:val="Znakapoznpodarou"/>
          <w:sz w:val="20"/>
          <w:szCs w:val="20"/>
        </w:rPr>
      </w:pPr>
      <w:r w:rsidRPr="00AD416B">
        <w:rPr>
          <w:rStyle w:val="Znakapoznpodarou"/>
          <w:sz w:val="20"/>
          <w:szCs w:val="20"/>
        </w:rPr>
        <w:footnoteRef/>
      </w:r>
      <w:r w:rsidRPr="00AD416B">
        <w:rPr>
          <w:rStyle w:val="Znakapoznpodarou"/>
          <w:sz w:val="20"/>
          <w:szCs w:val="20"/>
        </w:rPr>
        <w:t xml:space="preserve"> </w:t>
      </w:r>
      <w:r w:rsidRPr="00AD416B">
        <w:rPr>
          <w:sz w:val="20"/>
          <w:szCs w:val="20"/>
        </w:rPr>
        <w:tab/>
      </w:r>
      <w:r w:rsidRPr="00AD416B">
        <w:rPr>
          <w:rStyle w:val="Znakapoznpodarou"/>
          <w:sz w:val="20"/>
          <w:szCs w:val="20"/>
          <w:vertAlign w:val="baseline"/>
        </w:rPr>
        <w:t>Pro posouzení významnosti zjištěných nesprávností v údajích ÚZ</w:t>
      </w:r>
      <w:r w:rsidRPr="00AD416B">
        <w:rPr>
          <w:sz w:val="20"/>
          <w:szCs w:val="20"/>
        </w:rPr>
        <w:t xml:space="preserve"> stanovil</w:t>
      </w:r>
      <w:r w:rsidRPr="00AD416B">
        <w:rPr>
          <w:rStyle w:val="Znakapoznpodarou"/>
          <w:sz w:val="20"/>
          <w:szCs w:val="20"/>
          <w:vertAlign w:val="baseline"/>
        </w:rPr>
        <w:t xml:space="preserve"> </w:t>
      </w:r>
      <w:r w:rsidRPr="00AD416B">
        <w:rPr>
          <w:sz w:val="20"/>
          <w:szCs w:val="20"/>
        </w:rPr>
        <w:t xml:space="preserve">NKÚ </w:t>
      </w:r>
      <w:r w:rsidRPr="00AD416B">
        <w:rPr>
          <w:rStyle w:val="Znakapoznpodarou"/>
          <w:sz w:val="20"/>
          <w:szCs w:val="20"/>
          <w:vertAlign w:val="baseline"/>
        </w:rPr>
        <w:t>hladin</w:t>
      </w:r>
      <w:r w:rsidRPr="00AD416B">
        <w:rPr>
          <w:sz w:val="20"/>
          <w:szCs w:val="20"/>
        </w:rPr>
        <w:t>u</w:t>
      </w:r>
      <w:r w:rsidRPr="00AD416B">
        <w:rPr>
          <w:rStyle w:val="Znakapoznpodarou"/>
          <w:sz w:val="20"/>
          <w:szCs w:val="20"/>
          <w:vertAlign w:val="baseline"/>
        </w:rPr>
        <w:t xml:space="preserve"> významnosti ve výši </w:t>
      </w:r>
      <w:r w:rsidRPr="00AD416B">
        <w:rPr>
          <w:sz w:val="20"/>
          <w:szCs w:val="20"/>
        </w:rPr>
        <w:t xml:space="preserve">cca </w:t>
      </w:r>
      <w:r w:rsidRPr="00AD416B">
        <w:rPr>
          <w:rStyle w:val="Znakapoznpodarou"/>
          <w:sz w:val="20"/>
          <w:szCs w:val="20"/>
          <w:vertAlign w:val="baseline"/>
        </w:rPr>
        <w:t>2 % z </w:t>
      </w:r>
      <w:r w:rsidRPr="00AD416B">
        <w:rPr>
          <w:sz w:val="20"/>
          <w:szCs w:val="20"/>
        </w:rPr>
        <w:t>nákladů</w:t>
      </w:r>
      <w:r w:rsidRPr="00AD416B">
        <w:rPr>
          <w:rStyle w:val="Znakapoznpodarou"/>
          <w:sz w:val="20"/>
          <w:szCs w:val="20"/>
          <w:vertAlign w:val="baseline"/>
        </w:rPr>
        <w:t xml:space="preserve">, které byly k 31. </w:t>
      </w:r>
      <w:r w:rsidRPr="00AD416B">
        <w:rPr>
          <w:sz w:val="20"/>
          <w:szCs w:val="20"/>
        </w:rPr>
        <w:t xml:space="preserve">prosinci </w:t>
      </w:r>
      <w:r w:rsidR="00AD416B" w:rsidRPr="00AD416B">
        <w:rPr>
          <w:rStyle w:val="Znakapoznpodarou"/>
          <w:sz w:val="20"/>
          <w:szCs w:val="20"/>
          <w:vertAlign w:val="baseline"/>
        </w:rPr>
        <w:t>2</w:t>
      </w:r>
      <w:r w:rsidR="00AD416B" w:rsidRPr="00AD416B">
        <w:rPr>
          <w:sz w:val="20"/>
          <w:szCs w:val="20"/>
        </w:rPr>
        <w:t>024</w:t>
      </w:r>
      <w:r w:rsidRPr="00AD416B">
        <w:rPr>
          <w:rStyle w:val="Znakapoznpodarou"/>
          <w:sz w:val="20"/>
          <w:szCs w:val="20"/>
          <w:vertAlign w:val="baseline"/>
        </w:rPr>
        <w:t xml:space="preserve"> vykázány ve výši </w:t>
      </w:r>
      <w:r w:rsidR="00AD416B" w:rsidRPr="00AD416B">
        <w:rPr>
          <w:rStyle w:val="Znakapoznpodarou"/>
          <w:sz w:val="20"/>
          <w:szCs w:val="20"/>
          <w:vertAlign w:val="baseline"/>
        </w:rPr>
        <w:t>8</w:t>
      </w:r>
      <w:r w:rsidR="00B00959">
        <w:rPr>
          <w:rStyle w:val="Znakapoznpodarou"/>
          <w:sz w:val="20"/>
          <w:szCs w:val="20"/>
          <w:vertAlign w:val="baseline"/>
        </w:rPr>
        <w:t> </w:t>
      </w:r>
      <w:r w:rsidR="00AD416B" w:rsidRPr="00AD416B">
        <w:rPr>
          <w:rStyle w:val="Znakapoznpodarou"/>
          <w:sz w:val="20"/>
          <w:szCs w:val="20"/>
          <w:vertAlign w:val="baseline"/>
        </w:rPr>
        <w:t>257</w:t>
      </w:r>
      <w:r w:rsidR="00B00959">
        <w:rPr>
          <w:sz w:val="20"/>
          <w:szCs w:val="20"/>
        </w:rPr>
        <w:t>,4</w:t>
      </w:r>
      <w:r w:rsidRPr="00AD416B">
        <w:rPr>
          <w:sz w:val="20"/>
          <w:szCs w:val="20"/>
        </w:rPr>
        <w:t xml:space="preserve"> mil</w:t>
      </w:r>
      <w:r w:rsidRPr="00AD416B">
        <w:rPr>
          <w:rStyle w:val="Znakapoznpodarou"/>
          <w:sz w:val="20"/>
          <w:szCs w:val="20"/>
          <w:vertAlign w:val="baseline"/>
        </w:rPr>
        <w:t>. Kč.</w:t>
      </w:r>
    </w:p>
  </w:footnote>
  <w:footnote w:id="29">
    <w:p w14:paraId="7414939B" w14:textId="66B33EBF" w:rsidR="002F6ECE" w:rsidRPr="00AD416B" w:rsidRDefault="00035012" w:rsidP="003604D9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AD416B">
        <w:rPr>
          <w:rStyle w:val="Znakapoznpodarou"/>
          <w:rFonts w:asciiTheme="minorHAnsi" w:hAnsiTheme="minorHAnsi"/>
        </w:rPr>
        <w:footnoteRef/>
      </w:r>
      <w:r w:rsidRPr="00AD416B">
        <w:rPr>
          <w:rFonts w:asciiTheme="minorHAnsi" w:hAnsiTheme="minorHAnsi"/>
        </w:rPr>
        <w:t xml:space="preserve"> </w:t>
      </w:r>
      <w:r w:rsidRPr="00AD416B">
        <w:rPr>
          <w:rFonts w:asciiTheme="minorHAnsi" w:hAnsiTheme="minorHAnsi"/>
        </w:rPr>
        <w:tab/>
        <w:t>Jedná se o vlastní výpočet NKÚ zohledňující výsledné dopady provedených oprav na zůstatky položek výkazu FIN 1-12 OSS (t</w:t>
      </w:r>
      <w:r w:rsidR="005C077C">
        <w:rPr>
          <w:rFonts w:asciiTheme="minorHAnsi" w:hAnsiTheme="minorHAnsi"/>
        </w:rPr>
        <w:t>zn</w:t>
      </w:r>
      <w:r w:rsidRPr="00AD416B">
        <w:rPr>
          <w:rFonts w:asciiTheme="minorHAnsi" w:hAnsiTheme="minorHAnsi"/>
        </w:rPr>
        <w:t>.</w:t>
      </w:r>
      <w:r w:rsidR="00B00959">
        <w:rPr>
          <w:rFonts w:asciiTheme="minorHAnsi" w:hAnsiTheme="minorHAnsi"/>
        </w:rPr>
        <w:t>,</w:t>
      </w:r>
      <w:r w:rsidRPr="00AD416B">
        <w:rPr>
          <w:rFonts w:asciiTheme="minorHAnsi" w:hAnsiTheme="minorHAnsi"/>
        </w:rPr>
        <w:t xml:space="preserve"> </w:t>
      </w:r>
      <w:r w:rsidR="005C077C">
        <w:rPr>
          <w:rFonts w:asciiTheme="minorHAnsi" w:hAnsiTheme="minorHAnsi"/>
        </w:rPr>
        <w:t xml:space="preserve">že </w:t>
      </w:r>
      <w:r w:rsidRPr="00AD416B">
        <w:rPr>
          <w:rFonts w:asciiTheme="minorHAnsi" w:hAnsiTheme="minorHAnsi"/>
        </w:rPr>
        <w:t xml:space="preserve">je zohledněno současné nadhodnocení a podhodnocení stejné položky výkazu </w:t>
      </w:r>
      <w:r w:rsidR="005C077C">
        <w:rPr>
          <w:rFonts w:asciiTheme="minorHAnsi" w:hAnsiTheme="minorHAnsi"/>
        </w:rPr>
        <w:br/>
      </w:r>
      <w:r w:rsidRPr="00AD416B">
        <w:rPr>
          <w:rFonts w:asciiTheme="minorHAnsi" w:hAnsiTheme="minorHAnsi"/>
        </w:rPr>
        <w:t>FIN 1-12 OSS).</w:t>
      </w:r>
    </w:p>
  </w:footnote>
  <w:footnote w:id="30">
    <w:p w14:paraId="546F88B5" w14:textId="77777777" w:rsidR="002F6ECE" w:rsidRDefault="00035012" w:rsidP="00E45ADC">
      <w:pPr>
        <w:spacing w:after="0"/>
        <w:ind w:left="284" w:hanging="284"/>
        <w:jc w:val="both"/>
      </w:pPr>
      <w:r w:rsidRPr="00AB79F4">
        <w:rPr>
          <w:rStyle w:val="Znakapoznpodarou"/>
          <w:sz w:val="20"/>
          <w:szCs w:val="20"/>
        </w:rPr>
        <w:footnoteRef/>
      </w:r>
      <w:r w:rsidRPr="00AB79F4">
        <w:rPr>
          <w:sz w:val="20"/>
          <w:szCs w:val="20"/>
        </w:rPr>
        <w:t xml:space="preserve"> </w:t>
      </w:r>
      <w:r w:rsidRPr="00AB79F4">
        <w:rPr>
          <w:sz w:val="20"/>
          <w:szCs w:val="20"/>
        </w:rPr>
        <w:tab/>
      </w:r>
      <w:r w:rsidRPr="00AB79F4">
        <w:rPr>
          <w:rFonts w:asciiTheme="minorHAnsi" w:hAnsiTheme="minorHAnsi" w:cstheme="minorHAnsi"/>
          <w:sz w:val="20"/>
          <w:szCs w:val="20"/>
          <w:lang w:eastAsia="cs-CZ"/>
        </w:rPr>
        <w:t xml:space="preserve">Pro posouzení významnosti zjištěných nesprávností v údajích předkládaných pro hodnocení plnění státního rozpočtu stanovil NKÚ hladinu významnosti ve výši cca 2 % z celkových výdajů, které byly k 31. prosinci </w:t>
      </w:r>
      <w:r w:rsidR="00AB79F4" w:rsidRPr="00AB79F4">
        <w:rPr>
          <w:rFonts w:asciiTheme="minorHAnsi" w:hAnsiTheme="minorHAnsi" w:cstheme="minorHAnsi"/>
          <w:sz w:val="20"/>
          <w:szCs w:val="20"/>
          <w:lang w:eastAsia="cs-CZ"/>
        </w:rPr>
        <w:t>2024</w:t>
      </w:r>
      <w:r w:rsidRPr="00AB79F4">
        <w:rPr>
          <w:rFonts w:asciiTheme="minorHAnsi" w:hAnsiTheme="minorHAnsi" w:cstheme="minorHAnsi"/>
          <w:sz w:val="20"/>
          <w:szCs w:val="20"/>
          <w:lang w:eastAsia="cs-CZ"/>
        </w:rPr>
        <w:t xml:space="preserve"> vykázány ve výši </w:t>
      </w:r>
      <w:r w:rsidR="00AB79F4" w:rsidRPr="00AB79F4">
        <w:rPr>
          <w:rFonts w:asciiTheme="minorHAnsi" w:hAnsiTheme="minorHAnsi" w:cstheme="minorHAnsi"/>
          <w:sz w:val="20"/>
          <w:szCs w:val="20"/>
          <w:lang w:eastAsia="cs-CZ"/>
        </w:rPr>
        <w:t>8 27</w:t>
      </w:r>
      <w:r w:rsidR="00AB79F4">
        <w:rPr>
          <w:rFonts w:asciiTheme="minorHAnsi" w:hAnsiTheme="minorHAnsi" w:cstheme="minorHAnsi"/>
          <w:sz w:val="20"/>
          <w:szCs w:val="20"/>
          <w:lang w:eastAsia="cs-CZ"/>
        </w:rPr>
        <w:t>9</w:t>
      </w:r>
      <w:r w:rsidRPr="00AB79F4">
        <w:rPr>
          <w:rFonts w:asciiTheme="minorHAnsi" w:hAnsiTheme="minorHAnsi" w:cstheme="minorHAnsi"/>
          <w:sz w:val="20"/>
          <w:szCs w:val="20"/>
          <w:lang w:eastAsia="cs-CZ"/>
        </w:rPr>
        <w:t xml:space="preserve"> mil</w:t>
      </w:r>
      <w:r w:rsidRPr="00AB79F4">
        <w:rPr>
          <w:rFonts w:asciiTheme="minorHAnsi" w:hAnsiTheme="minorHAnsi" w:cstheme="minorHAnsi"/>
          <w:bCs/>
          <w:color w:val="000000"/>
          <w:sz w:val="20"/>
          <w:szCs w:val="20"/>
        </w:rPr>
        <w:t>. Kč</w:t>
      </w:r>
      <w:r w:rsidRPr="00AB79F4">
        <w:rPr>
          <w:rFonts w:asciiTheme="minorHAnsi" w:hAnsiTheme="minorHAnsi" w:cstheme="minorHAnsi"/>
          <w:sz w:val="20"/>
          <w:szCs w:val="20"/>
          <w:lang w:eastAsia="cs-CZ"/>
        </w:rPr>
        <w:t>.</w:t>
      </w:r>
    </w:p>
  </w:footnote>
  <w:footnote w:id="31">
    <w:p w14:paraId="0190A4B6" w14:textId="317ECE76" w:rsidR="008C7EAC" w:rsidRPr="00CE7471" w:rsidRDefault="008C7EAC" w:rsidP="00CE7471">
      <w:pPr>
        <w:pStyle w:val="Textpoznpodarou"/>
        <w:ind w:left="284" w:hanging="284"/>
        <w:rPr>
          <w:rFonts w:asciiTheme="minorHAnsi" w:hAnsiTheme="minorHAnsi" w:cstheme="minorHAnsi"/>
        </w:rPr>
      </w:pPr>
      <w:r w:rsidRPr="00CE7471">
        <w:rPr>
          <w:rStyle w:val="Znakapoznpodarou"/>
          <w:rFonts w:asciiTheme="minorHAnsi" w:hAnsiTheme="minorHAnsi" w:cstheme="minorHAnsi"/>
        </w:rPr>
        <w:footnoteRef/>
      </w:r>
      <w:r w:rsidRPr="00CE7471">
        <w:rPr>
          <w:rFonts w:asciiTheme="minorHAnsi" w:hAnsiTheme="minorHAnsi" w:cstheme="minorHAnsi"/>
        </w:rPr>
        <w:t xml:space="preserve"> </w:t>
      </w:r>
      <w:r w:rsidR="0070336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Viz ustanovení § 30 odst. 4, poslední věta zákona č. 218/2000 Sb.</w:t>
      </w:r>
    </w:p>
  </w:footnote>
  <w:footnote w:id="32">
    <w:p w14:paraId="5F5917A3" w14:textId="008DB528" w:rsidR="00600228" w:rsidRPr="001A6AED" w:rsidRDefault="00600228" w:rsidP="00703365">
      <w:pPr>
        <w:pStyle w:val="Textpoznpodarou"/>
        <w:ind w:left="284" w:hanging="284"/>
        <w:rPr>
          <w:rFonts w:asciiTheme="minorHAnsi" w:hAnsiTheme="minorHAnsi" w:cstheme="minorHAnsi"/>
        </w:rPr>
      </w:pPr>
      <w:r w:rsidRPr="001A6AED">
        <w:rPr>
          <w:rStyle w:val="Znakapoznpodarou"/>
          <w:rFonts w:asciiTheme="minorHAnsi" w:hAnsiTheme="minorHAnsi" w:cstheme="minorHAnsi"/>
        </w:rPr>
        <w:footnoteRef/>
      </w:r>
      <w:r w:rsidRPr="001A6AED">
        <w:rPr>
          <w:rFonts w:asciiTheme="minorHAnsi" w:hAnsiTheme="minorHAnsi" w:cstheme="minorHAnsi"/>
        </w:rPr>
        <w:t xml:space="preserve"> </w:t>
      </w:r>
      <w:r w:rsidR="00703365">
        <w:rPr>
          <w:rFonts w:asciiTheme="minorHAnsi" w:hAnsiTheme="minorHAnsi" w:cstheme="minorHAnsi"/>
        </w:rPr>
        <w:tab/>
      </w:r>
      <w:r w:rsidRPr="001A6AED">
        <w:rPr>
          <w:rFonts w:asciiTheme="minorHAnsi" w:hAnsiTheme="minorHAnsi" w:cstheme="minorHAnsi"/>
        </w:rPr>
        <w:t xml:space="preserve">Viz </w:t>
      </w:r>
      <w:r w:rsidR="005C077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říloha 1, </w:t>
      </w:r>
      <w:r w:rsidR="005C077C">
        <w:rPr>
          <w:rFonts w:asciiTheme="minorHAnsi" w:hAnsiTheme="minorHAnsi" w:cstheme="minorHAnsi"/>
        </w:rPr>
        <w:t>č</w:t>
      </w:r>
      <w:r>
        <w:rPr>
          <w:rFonts w:asciiTheme="minorHAnsi" w:hAnsiTheme="minorHAnsi" w:cstheme="minorHAnsi"/>
        </w:rPr>
        <w:t xml:space="preserve">ást první, </w:t>
      </w:r>
      <w:r w:rsidR="005C077C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lava I, bod 4.1 písm. d) vyhlášky č. 419/2001 Sb.</w:t>
      </w:r>
    </w:p>
  </w:footnote>
  <w:footnote w:id="33">
    <w:p w14:paraId="43CF62DC" w14:textId="58391E27" w:rsidR="00600228" w:rsidRPr="00CE7471" w:rsidRDefault="00600228" w:rsidP="002E6675">
      <w:pPr>
        <w:pStyle w:val="Textpoznpodarou"/>
        <w:ind w:left="284" w:hanging="284"/>
        <w:rPr>
          <w:rFonts w:asciiTheme="minorHAnsi" w:hAnsiTheme="minorHAnsi" w:cstheme="minorHAnsi"/>
        </w:rPr>
      </w:pPr>
      <w:r w:rsidRPr="00CE7471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="002E6675">
        <w:rPr>
          <w:rFonts w:asciiTheme="minorHAnsi" w:hAnsiTheme="minorHAnsi" w:cstheme="minorHAnsi"/>
        </w:rPr>
        <w:tab/>
      </w:r>
      <w:r w:rsidRPr="00600228">
        <w:rPr>
          <w:rFonts w:asciiTheme="minorHAnsi" w:hAnsiTheme="minorHAnsi" w:cstheme="minorHAnsi"/>
        </w:rPr>
        <w:t xml:space="preserve">Viz </w:t>
      </w:r>
      <w:r w:rsidR="005C077C">
        <w:rPr>
          <w:rFonts w:asciiTheme="minorHAnsi" w:hAnsiTheme="minorHAnsi" w:cstheme="minorHAnsi"/>
        </w:rPr>
        <w:t>p</w:t>
      </w:r>
      <w:r w:rsidRPr="00600228">
        <w:rPr>
          <w:rFonts w:asciiTheme="minorHAnsi" w:hAnsiTheme="minorHAnsi" w:cstheme="minorHAnsi"/>
        </w:rPr>
        <w:t xml:space="preserve">říloha 1, </w:t>
      </w:r>
      <w:r w:rsidR="005C077C">
        <w:rPr>
          <w:rFonts w:asciiTheme="minorHAnsi" w:hAnsiTheme="minorHAnsi" w:cstheme="minorHAnsi"/>
        </w:rPr>
        <w:t>č</w:t>
      </w:r>
      <w:r w:rsidRPr="00600228">
        <w:rPr>
          <w:rFonts w:asciiTheme="minorHAnsi" w:hAnsiTheme="minorHAnsi" w:cstheme="minorHAnsi"/>
        </w:rPr>
        <w:t xml:space="preserve">ást první, </w:t>
      </w:r>
      <w:r w:rsidR="005C077C">
        <w:rPr>
          <w:rFonts w:asciiTheme="minorHAnsi" w:hAnsiTheme="minorHAnsi" w:cstheme="minorHAnsi"/>
        </w:rPr>
        <w:t>h</w:t>
      </w:r>
      <w:r w:rsidRPr="00600228">
        <w:rPr>
          <w:rFonts w:asciiTheme="minorHAnsi" w:hAnsiTheme="minorHAnsi" w:cstheme="minorHAnsi"/>
        </w:rPr>
        <w:t xml:space="preserve">lava I, bod </w:t>
      </w:r>
      <w:r>
        <w:rPr>
          <w:rFonts w:asciiTheme="minorHAnsi" w:hAnsiTheme="minorHAnsi" w:cstheme="minorHAnsi"/>
        </w:rPr>
        <w:t>5</w:t>
      </w:r>
      <w:r w:rsidRPr="00600228">
        <w:rPr>
          <w:rFonts w:asciiTheme="minorHAnsi" w:hAnsiTheme="minorHAnsi" w:cstheme="minorHAnsi"/>
        </w:rPr>
        <w:t xml:space="preserve"> písm. </w:t>
      </w:r>
      <w:r>
        <w:rPr>
          <w:rFonts w:asciiTheme="minorHAnsi" w:hAnsiTheme="minorHAnsi" w:cstheme="minorHAnsi"/>
        </w:rPr>
        <w:t>a</w:t>
      </w:r>
      <w:r w:rsidRPr="00600228">
        <w:rPr>
          <w:rFonts w:asciiTheme="minorHAnsi" w:hAnsiTheme="minorHAnsi" w:cstheme="minorHAnsi"/>
        </w:rPr>
        <w:t>) vyhlášky č. 419/2001 Sb.</w:t>
      </w:r>
      <w:r w:rsidRPr="00CE7471">
        <w:rPr>
          <w:rFonts w:asciiTheme="minorHAnsi" w:hAnsiTheme="minorHAnsi" w:cstheme="minorHAnsi"/>
        </w:rPr>
        <w:t xml:space="preserve"> </w:t>
      </w:r>
    </w:p>
  </w:footnote>
  <w:footnote w:id="34">
    <w:p w14:paraId="55DC7B11" w14:textId="12DDA6CA" w:rsidR="00C12C0B" w:rsidRPr="00062A05" w:rsidRDefault="00035012" w:rsidP="00062A05">
      <w:pPr>
        <w:pStyle w:val="Textpoznpodarou"/>
        <w:ind w:left="284" w:hanging="284"/>
        <w:rPr>
          <w:rFonts w:asciiTheme="minorHAnsi" w:hAnsiTheme="minorHAnsi" w:cstheme="minorHAnsi"/>
        </w:rPr>
      </w:pPr>
      <w:r w:rsidRPr="00062A05">
        <w:rPr>
          <w:rStyle w:val="Znakapoznpodarou"/>
          <w:rFonts w:asciiTheme="minorHAnsi" w:hAnsiTheme="minorHAnsi" w:cstheme="minorHAnsi"/>
        </w:rPr>
        <w:footnoteRef/>
      </w:r>
      <w:r w:rsidRPr="00062A05">
        <w:rPr>
          <w:rFonts w:asciiTheme="minorHAnsi" w:hAnsiTheme="minorHAnsi" w:cstheme="minorHAnsi"/>
        </w:rPr>
        <w:t xml:space="preserve"> </w:t>
      </w:r>
      <w:r w:rsidR="002E6675">
        <w:rPr>
          <w:rFonts w:asciiTheme="minorHAnsi" w:hAnsiTheme="minorHAnsi" w:cstheme="minorHAnsi"/>
        </w:rPr>
        <w:tab/>
      </w:r>
      <w:r w:rsidR="00B166B5">
        <w:rPr>
          <w:rFonts w:asciiTheme="minorHAnsi" w:hAnsiTheme="minorHAnsi" w:cstheme="minorHAnsi"/>
        </w:rPr>
        <w:t xml:space="preserve">Viz </w:t>
      </w:r>
      <w:hyperlink r:id="rId3" w:history="1">
        <w:r w:rsidR="00B166B5" w:rsidRPr="00B166B5">
          <w:rPr>
            <w:rStyle w:val="Hypertextovodkaz"/>
            <w:rFonts w:asciiTheme="minorHAnsi" w:hAnsiTheme="minorHAnsi" w:cstheme="minorHAnsi"/>
          </w:rPr>
          <w:t>https://www.harrachov.cz/modules/file_storage/download.php?file=cbb0d588%7C2078&amp;inline=1</w:t>
        </w:r>
      </w:hyperlink>
      <w:r w:rsidR="00B166B5">
        <w:rPr>
          <w:rFonts w:asciiTheme="minorHAnsi" w:hAnsiTheme="minorHAnsi" w:cstheme="minorHAnsi"/>
        </w:rPr>
        <w:t>.</w:t>
      </w:r>
    </w:p>
  </w:footnote>
  <w:footnote w:id="35">
    <w:p w14:paraId="066A29EC" w14:textId="28103C58" w:rsidR="002B45B7" w:rsidRPr="00AD1819" w:rsidRDefault="00035012" w:rsidP="001F16E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D1819">
        <w:rPr>
          <w:rStyle w:val="Znakapoznpodarou"/>
          <w:rFonts w:asciiTheme="minorHAnsi" w:hAnsiTheme="minorHAnsi" w:cstheme="minorHAnsi"/>
        </w:rPr>
        <w:footnoteRef/>
      </w:r>
      <w:r w:rsidRPr="00AD1819">
        <w:rPr>
          <w:rFonts w:asciiTheme="minorHAnsi" w:hAnsiTheme="minorHAnsi" w:cstheme="minorHAnsi"/>
        </w:rPr>
        <w:t xml:space="preserve"> </w:t>
      </w:r>
      <w:r w:rsidR="001F16EE">
        <w:rPr>
          <w:rFonts w:asciiTheme="minorHAnsi" w:hAnsiTheme="minorHAnsi" w:cstheme="minorHAnsi"/>
        </w:rPr>
        <w:tab/>
      </w:r>
      <w:r w:rsidRPr="002B45B7">
        <w:rPr>
          <w:rFonts w:asciiTheme="minorHAnsi" w:hAnsiTheme="minorHAnsi" w:cstheme="minorHAnsi"/>
          <w:bCs/>
        </w:rPr>
        <w:t>Peněžní báze zachycuje příjmy a výdaje peněžních prostředků.</w:t>
      </w:r>
    </w:p>
  </w:footnote>
  <w:footnote w:id="36">
    <w:p w14:paraId="31D7080B" w14:textId="04EE7599" w:rsidR="002B45B7" w:rsidRPr="00AD1819" w:rsidRDefault="00035012" w:rsidP="001F16E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D1819">
        <w:rPr>
          <w:rStyle w:val="Znakapoznpodarou"/>
          <w:rFonts w:asciiTheme="minorHAnsi" w:hAnsiTheme="minorHAnsi" w:cstheme="minorHAnsi"/>
        </w:rPr>
        <w:footnoteRef/>
      </w:r>
      <w:r w:rsidRPr="00AD1819">
        <w:rPr>
          <w:rFonts w:asciiTheme="minorHAnsi" w:hAnsiTheme="minorHAnsi" w:cstheme="minorHAnsi"/>
        </w:rPr>
        <w:t xml:space="preserve"> </w:t>
      </w:r>
      <w:r w:rsidR="001F16EE">
        <w:rPr>
          <w:rFonts w:asciiTheme="minorHAnsi" w:hAnsiTheme="minorHAnsi" w:cstheme="minorHAnsi"/>
        </w:rPr>
        <w:tab/>
      </w:r>
      <w:r w:rsidRPr="00AD1819">
        <w:rPr>
          <w:rFonts w:asciiTheme="minorHAnsi" w:hAnsiTheme="minorHAnsi" w:cstheme="minorHAnsi"/>
        </w:rPr>
        <w:t>Akruální báze (nebo také princip, koncept) je jedna ze základních účetních zásad a spočívá v tom, že náklady a výnosy se účtují do období, se kterým věcně a časově souvisejí, aniž by bylo bráno v úvahu, kdy došlo k</w:t>
      </w:r>
      <w:r w:rsidR="001F16EE">
        <w:rPr>
          <w:rFonts w:asciiTheme="minorHAnsi" w:hAnsiTheme="minorHAnsi" w:cstheme="minorHAnsi"/>
        </w:rPr>
        <w:t> </w:t>
      </w:r>
      <w:r w:rsidRPr="00AD1819">
        <w:rPr>
          <w:rFonts w:asciiTheme="minorHAnsi" w:hAnsiTheme="minorHAnsi" w:cstheme="minorHAnsi"/>
        </w:rPr>
        <w:t>reálnému pohybu peněz, a zároveň se účtuje o nárocích (pohledávkách) a závazcích.</w:t>
      </w:r>
    </w:p>
  </w:footnote>
  <w:footnote w:id="37">
    <w:p w14:paraId="215C6883" w14:textId="77777777" w:rsidR="002F6ECE" w:rsidRPr="00410109" w:rsidRDefault="00035012" w:rsidP="0062114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92831">
        <w:rPr>
          <w:rStyle w:val="Znakapoznpodarou"/>
          <w:rFonts w:asciiTheme="minorHAnsi" w:hAnsiTheme="minorHAnsi" w:cstheme="minorHAnsi"/>
        </w:rPr>
        <w:footnoteRef/>
      </w:r>
      <w:r w:rsidRPr="00D92831">
        <w:rPr>
          <w:rFonts w:asciiTheme="minorHAnsi" w:hAnsiTheme="minorHAnsi" w:cstheme="minorHAnsi"/>
        </w:rPr>
        <w:t xml:space="preserve"> </w:t>
      </w:r>
      <w:r w:rsidRPr="00D92831">
        <w:rPr>
          <w:rFonts w:asciiTheme="minorHAnsi" w:hAnsiTheme="minorHAnsi" w:cstheme="minorHAnsi"/>
        </w:rPr>
        <w:tab/>
        <w:t>Vyhláška č. 312/2014 Sb., o podmínkách sestavení účetních výkazů za Českou republiku (konsolidační vyhláška státu).</w:t>
      </w:r>
    </w:p>
  </w:footnote>
  <w:footnote w:id="38">
    <w:p w14:paraId="71222D3F" w14:textId="77777777" w:rsidR="002F6ECE" w:rsidRPr="007D6AD1" w:rsidRDefault="00035012" w:rsidP="00B74A1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74A18">
        <w:rPr>
          <w:rStyle w:val="Znakapoznpodarou"/>
          <w:rFonts w:asciiTheme="minorHAnsi" w:hAnsiTheme="minorHAnsi" w:cstheme="minorHAnsi"/>
        </w:rPr>
        <w:footnoteRef/>
      </w:r>
      <w:r w:rsidRPr="00B74A18">
        <w:rPr>
          <w:rFonts w:asciiTheme="minorHAnsi" w:hAnsiTheme="minorHAnsi" w:cstheme="minorHAnsi"/>
        </w:rPr>
        <w:t xml:space="preserve"> </w:t>
      </w:r>
      <w:r w:rsidRPr="00B74A18">
        <w:rPr>
          <w:rFonts w:asciiTheme="minorHAnsi" w:hAnsiTheme="minorHAnsi" w:cstheme="minorHAnsi"/>
        </w:rPr>
        <w:tab/>
        <w:t xml:space="preserve">Z celkových </w:t>
      </w:r>
      <w:r w:rsidR="00B74A18" w:rsidRPr="00B74A18">
        <w:rPr>
          <w:rFonts w:asciiTheme="minorHAnsi" w:hAnsiTheme="minorHAnsi" w:cstheme="minorHAnsi"/>
        </w:rPr>
        <w:t>72 026</w:t>
      </w:r>
      <w:r w:rsidRPr="00B74A18">
        <w:rPr>
          <w:rFonts w:asciiTheme="minorHAnsi" w:hAnsiTheme="minorHAnsi" w:cstheme="minorHAnsi"/>
        </w:rPr>
        <w:t xml:space="preserve"> řádků v účetním deníku se podrozvahových účtů týkalo </w:t>
      </w:r>
      <w:r w:rsidR="00B74A18" w:rsidRPr="00B74A18">
        <w:rPr>
          <w:rFonts w:asciiTheme="minorHAnsi" w:hAnsiTheme="minorHAnsi" w:cstheme="minorHAnsi"/>
        </w:rPr>
        <w:t>14 864</w:t>
      </w:r>
      <w:r w:rsidRPr="00B74A18">
        <w:rPr>
          <w:rFonts w:asciiTheme="minorHAnsi" w:hAnsiTheme="minorHAnsi" w:cstheme="minorHAnsi"/>
        </w:rPr>
        <w:t xml:space="preserve"> řádků.</w:t>
      </w:r>
      <w:r w:rsidR="00B74A18">
        <w:rPr>
          <w:rFonts w:asciiTheme="minorHAnsi" w:hAnsiTheme="minorHAnsi" w:cstheme="minorHAnsi"/>
        </w:rPr>
        <w:t xml:space="preserve"> </w:t>
      </w:r>
      <w:r w:rsidR="00B74A18" w:rsidRPr="00B74A18">
        <w:rPr>
          <w:rFonts w:asciiTheme="minorHAnsi" w:hAnsiTheme="minorHAnsi" w:cstheme="minorHAnsi"/>
        </w:rPr>
        <w:t xml:space="preserve">Do účetních zápisů </w:t>
      </w:r>
      <w:r w:rsidR="00B74A18">
        <w:rPr>
          <w:rFonts w:asciiTheme="minorHAnsi" w:hAnsiTheme="minorHAnsi" w:cstheme="minorHAnsi"/>
        </w:rPr>
        <w:t>nebyly</w:t>
      </w:r>
      <w:r w:rsidR="00B74A18" w:rsidRPr="00B74A18">
        <w:rPr>
          <w:rFonts w:asciiTheme="minorHAnsi" w:hAnsiTheme="minorHAnsi" w:cstheme="minorHAnsi"/>
        </w:rPr>
        <w:t xml:space="preserve"> započítávány počáteční stavy, závěrkové operace a účetní zápisy týkající se vnitroorganizačního účetnictví, tj. zápisy prostřednictvím </w:t>
      </w:r>
      <w:r w:rsidR="00B74A18">
        <w:rPr>
          <w:rFonts w:asciiTheme="minorHAnsi" w:hAnsiTheme="minorHAnsi" w:cstheme="minorHAnsi"/>
        </w:rPr>
        <w:t>účtů</w:t>
      </w:r>
      <w:r w:rsidR="00B74A18" w:rsidRPr="00B74A18">
        <w:rPr>
          <w:rFonts w:asciiTheme="minorHAnsi" w:hAnsiTheme="minorHAnsi" w:cstheme="minorHAnsi"/>
        </w:rPr>
        <w:t xml:space="preserve"> 797 a 799.</w:t>
      </w:r>
    </w:p>
  </w:footnote>
  <w:footnote w:id="39">
    <w:p w14:paraId="472ECAEA" w14:textId="77777777" w:rsidR="002F6ECE" w:rsidRPr="007F3296" w:rsidRDefault="00035012" w:rsidP="00DF6AD0">
      <w:pPr>
        <w:pStyle w:val="Textpoznpodarou"/>
        <w:ind w:left="284" w:hanging="284"/>
        <w:jc w:val="both"/>
        <w:rPr>
          <w:rFonts w:asciiTheme="minorHAnsi" w:hAnsiTheme="minorHAnsi" w:cstheme="minorHAnsi"/>
          <w:highlight w:val="green"/>
        </w:rPr>
      </w:pPr>
      <w:r w:rsidRPr="004759F4">
        <w:rPr>
          <w:rStyle w:val="Znakapoznpodarou"/>
          <w:rFonts w:asciiTheme="minorHAnsi" w:hAnsiTheme="minorHAnsi" w:cstheme="minorHAnsi"/>
        </w:rPr>
        <w:footnoteRef/>
      </w:r>
      <w:r w:rsidRPr="004759F4">
        <w:rPr>
          <w:rFonts w:asciiTheme="minorHAnsi" w:hAnsiTheme="minorHAnsi" w:cstheme="minorHAnsi"/>
        </w:rPr>
        <w:t xml:space="preserve"> </w:t>
      </w:r>
      <w:r w:rsidRPr="004759F4">
        <w:rPr>
          <w:rFonts w:asciiTheme="minorHAnsi" w:hAnsiTheme="minorHAnsi" w:cstheme="minorHAnsi"/>
        </w:rPr>
        <w:tab/>
        <w:t>Zejména z uzavřených smluv a z transferů.</w:t>
      </w:r>
    </w:p>
  </w:footnote>
  <w:footnote w:id="40">
    <w:p w14:paraId="692B44C1" w14:textId="77777777" w:rsidR="002F6ECE" w:rsidRPr="007F3296" w:rsidRDefault="00035012" w:rsidP="00DF6AD0">
      <w:pPr>
        <w:pStyle w:val="Textpoznpodarou"/>
        <w:ind w:left="284" w:hanging="284"/>
        <w:jc w:val="both"/>
        <w:rPr>
          <w:rFonts w:asciiTheme="minorHAnsi" w:hAnsiTheme="minorHAnsi" w:cstheme="minorHAnsi"/>
          <w:highlight w:val="green"/>
        </w:rPr>
      </w:pPr>
      <w:r w:rsidRPr="004A0C69">
        <w:rPr>
          <w:rStyle w:val="Znakapoznpodarou"/>
          <w:rFonts w:asciiTheme="minorHAnsi" w:hAnsiTheme="minorHAnsi" w:cstheme="minorHAnsi"/>
        </w:rPr>
        <w:footnoteRef/>
      </w:r>
      <w:r w:rsidRPr="004A0C69">
        <w:rPr>
          <w:rFonts w:asciiTheme="minorHAnsi" w:hAnsiTheme="minorHAnsi" w:cstheme="minorHAnsi"/>
        </w:rPr>
        <w:t xml:space="preserve"> </w:t>
      </w:r>
      <w:r w:rsidRPr="004A0C69">
        <w:rPr>
          <w:rFonts w:asciiTheme="minorHAnsi" w:hAnsiTheme="minorHAnsi" w:cstheme="minorHAnsi"/>
        </w:rPr>
        <w:tab/>
        <w:t>Mohou nastat, výsledek ale není pod kontrolou účetní jednotky, např. soudní spory, přijatá zajištění apod.</w:t>
      </w:r>
    </w:p>
  </w:footnote>
  <w:footnote w:id="41">
    <w:p w14:paraId="3BF98079" w14:textId="5370B3DB" w:rsidR="002F6ECE" w:rsidRPr="009776FE" w:rsidRDefault="00035012" w:rsidP="00DF6AD0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A0C69">
        <w:rPr>
          <w:rStyle w:val="Znakapoznpodarou"/>
          <w:rFonts w:asciiTheme="minorHAnsi" w:hAnsiTheme="minorHAnsi" w:cstheme="minorHAnsi"/>
        </w:rPr>
        <w:footnoteRef/>
      </w:r>
      <w:r w:rsidRPr="004A0C69">
        <w:rPr>
          <w:rFonts w:asciiTheme="minorHAnsi" w:hAnsiTheme="minorHAnsi" w:cstheme="minorHAnsi"/>
        </w:rPr>
        <w:t xml:space="preserve"> </w:t>
      </w:r>
      <w:r w:rsidRPr="004A0C69">
        <w:rPr>
          <w:rFonts w:asciiTheme="minorHAnsi" w:hAnsiTheme="minorHAnsi" w:cstheme="minorHAnsi"/>
        </w:rPr>
        <w:tab/>
        <w:t>Jsou hypotetick</w:t>
      </w:r>
      <w:r w:rsidR="007368A8">
        <w:rPr>
          <w:rFonts w:asciiTheme="minorHAnsi" w:hAnsiTheme="minorHAnsi" w:cstheme="minorHAnsi"/>
        </w:rPr>
        <w:t>á</w:t>
      </w:r>
      <w:r w:rsidRPr="004A0C69">
        <w:rPr>
          <w:rFonts w:asciiTheme="minorHAnsi" w:hAnsiTheme="minorHAnsi" w:cstheme="minorHAnsi"/>
        </w:rPr>
        <w:t>, jejich vznik, a tedy ani plnění nejsou předpokládán</w:t>
      </w:r>
      <w:r w:rsidR="007368A8">
        <w:rPr>
          <w:rFonts w:asciiTheme="minorHAnsi" w:hAnsiTheme="minorHAnsi" w:cstheme="minorHAnsi"/>
        </w:rPr>
        <w:t>a</w:t>
      </w:r>
      <w:r w:rsidRPr="004A0C69">
        <w:rPr>
          <w:rFonts w:asciiTheme="minorHAnsi" w:hAnsiTheme="minorHAnsi" w:cstheme="minorHAnsi"/>
        </w:rPr>
        <w:t>, např. náhrada za případné zničení vypůjčeného majetku.</w:t>
      </w:r>
    </w:p>
  </w:footnote>
  <w:footnote w:id="42">
    <w:p w14:paraId="6DC26C0F" w14:textId="00BE217D" w:rsidR="00A806EC" w:rsidRPr="0018130D" w:rsidRDefault="00035012" w:rsidP="0018130D">
      <w:pPr>
        <w:pStyle w:val="Textpoznpodarou"/>
        <w:ind w:left="284" w:hanging="284"/>
        <w:rPr>
          <w:rFonts w:ascii="Calibri" w:hAnsi="Calibri" w:cs="Calibri"/>
        </w:rPr>
      </w:pPr>
      <w:r w:rsidRPr="0018130D">
        <w:rPr>
          <w:rStyle w:val="Znakapoznpodarou"/>
          <w:rFonts w:ascii="Calibri" w:hAnsi="Calibri" w:cs="Calibri"/>
        </w:rPr>
        <w:footnoteRef/>
      </w:r>
      <w:r w:rsidRPr="0018130D">
        <w:rPr>
          <w:rFonts w:ascii="Calibri" w:hAnsi="Calibri" w:cs="Calibri"/>
        </w:rPr>
        <w:t xml:space="preserve"> </w:t>
      </w:r>
      <w:r w:rsidR="00EB0A29">
        <w:rPr>
          <w:rFonts w:ascii="Calibri" w:hAnsi="Calibri" w:cs="Calibri"/>
        </w:rPr>
        <w:tab/>
      </w:r>
      <w:r w:rsidRPr="0018130D">
        <w:rPr>
          <w:rFonts w:ascii="Calibri" w:hAnsi="Calibri" w:cs="Calibri"/>
        </w:rPr>
        <w:t>Zákon č. 433/2023 Sb., o státním rozpočtu České republiky na rok 2024.</w:t>
      </w:r>
    </w:p>
  </w:footnote>
  <w:footnote w:id="43">
    <w:p w14:paraId="56B86DF0" w14:textId="5EBC2A6B" w:rsidR="00A806EC" w:rsidRPr="0018130D" w:rsidRDefault="00035012" w:rsidP="0018130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8130D">
        <w:rPr>
          <w:rStyle w:val="Znakapoznpodarou"/>
          <w:rFonts w:ascii="Calibri" w:hAnsi="Calibri" w:cs="Calibri"/>
        </w:rPr>
        <w:footnoteRef/>
      </w:r>
      <w:r w:rsidRPr="0018130D">
        <w:rPr>
          <w:rFonts w:ascii="Calibri" w:hAnsi="Calibri" w:cs="Calibri"/>
        </w:rPr>
        <w:t xml:space="preserve"> </w:t>
      </w:r>
      <w:r w:rsidR="00EB0A29">
        <w:rPr>
          <w:rFonts w:ascii="Calibri" w:hAnsi="Calibri" w:cs="Calibri"/>
        </w:rPr>
        <w:tab/>
      </w:r>
      <w:r w:rsidRPr="0018130D">
        <w:rPr>
          <w:rFonts w:ascii="Calibri" w:hAnsi="Calibri" w:cs="Calibri"/>
        </w:rPr>
        <w:t>Zákon č. 294/2024 Sb., kterým se mění zákon č. 433/2023 Sb., o státním rozpočtu České republiky na rok 2024.</w:t>
      </w:r>
    </w:p>
  </w:footnote>
  <w:footnote w:id="44">
    <w:p w14:paraId="7C5E7F01" w14:textId="224693E3" w:rsidR="00A806EC" w:rsidRPr="0018130D" w:rsidRDefault="00035012" w:rsidP="0018130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8130D">
        <w:rPr>
          <w:rStyle w:val="Znakapoznpodarou"/>
          <w:rFonts w:ascii="Calibri" w:hAnsi="Calibri" w:cs="Calibri"/>
        </w:rPr>
        <w:footnoteRef/>
      </w:r>
      <w:r w:rsidRPr="0018130D">
        <w:rPr>
          <w:rFonts w:ascii="Calibri" w:hAnsi="Calibri" w:cs="Calibri"/>
        </w:rPr>
        <w:t xml:space="preserve"> </w:t>
      </w:r>
      <w:r w:rsidR="00EB0A29">
        <w:rPr>
          <w:rFonts w:ascii="Calibri" w:hAnsi="Calibri" w:cs="Calibri"/>
        </w:rPr>
        <w:tab/>
      </w:r>
      <w:r w:rsidR="00277121">
        <w:rPr>
          <w:rFonts w:ascii="Calibri" w:hAnsi="Calibri" w:cs="Calibri"/>
        </w:rPr>
        <w:t>K</w:t>
      </w:r>
      <w:r w:rsidRPr="0018130D">
        <w:rPr>
          <w:rFonts w:ascii="Calibri" w:hAnsi="Calibri" w:cs="Calibri"/>
        </w:rPr>
        <w:t xml:space="preserve"> žádosti o navýšení rozpočtu kapitoly 362 – </w:t>
      </w:r>
      <w:r w:rsidRPr="001718B3">
        <w:rPr>
          <w:rFonts w:ascii="Calibri" w:hAnsi="Calibri" w:cs="Calibri"/>
          <w:i/>
          <w:iCs/>
        </w:rPr>
        <w:t>Národní sportovní agentura</w:t>
      </w:r>
      <w:r w:rsidRPr="0018130D">
        <w:rPr>
          <w:rFonts w:ascii="Calibri" w:hAnsi="Calibri" w:cs="Calibri"/>
        </w:rPr>
        <w:t xml:space="preserve"> z prostředků vládní rozpočtové rezervy v kapitole </w:t>
      </w:r>
      <w:r w:rsidRPr="001718B3">
        <w:rPr>
          <w:rFonts w:ascii="Calibri" w:hAnsi="Calibri" w:cs="Calibri"/>
          <w:i/>
          <w:iCs/>
        </w:rPr>
        <w:t>Všeobecná pokladní správa</w:t>
      </w:r>
      <w:r w:rsidRPr="0018130D">
        <w:rPr>
          <w:rFonts w:ascii="Calibri" w:hAnsi="Calibri" w:cs="Calibri"/>
        </w:rPr>
        <w:t xml:space="preserve"> v roce 2024 na likvidaci následků povodní v oblasti sportu vzniklých v roce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FAD0" w14:textId="77777777" w:rsidR="002F6ECE" w:rsidRPr="00D54DBA" w:rsidRDefault="002F6ECE" w:rsidP="00124170">
    <w:pPr>
      <w:pStyle w:val="Zhlav"/>
      <w:tabs>
        <w:tab w:val="clear" w:pos="9072"/>
        <w:tab w:val="right" w:pos="9070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5435" w14:textId="32E50949" w:rsidR="002F6ECE" w:rsidRPr="00D54DBA" w:rsidRDefault="002F6ECE" w:rsidP="00B86D18">
    <w:pPr>
      <w:pStyle w:val="Zhlav"/>
      <w:jc w:val="right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8B12" w14:textId="77777777" w:rsidR="002F6ECE" w:rsidRPr="00D54DBA" w:rsidRDefault="002F6ECE" w:rsidP="006575BB">
    <w:pPr>
      <w:pStyle w:val="Zhlav"/>
      <w:rPr>
        <w:color w:val="FFFFFF" w:themeColor="background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F765" w14:textId="77777777" w:rsidR="002F6ECE" w:rsidRPr="00D54DBA" w:rsidRDefault="002F6ECE">
    <w:pPr>
      <w:pStyle w:val="Zhlav"/>
      <w:rPr>
        <w:color w:val="FFFFFF" w:themeColor="background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6CE6" w14:textId="77777777" w:rsidR="002F6ECE" w:rsidRPr="00D54DBA" w:rsidRDefault="002F6ECE" w:rsidP="006575BB">
    <w:pPr>
      <w:pStyle w:val="Zhlav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FBD"/>
    <w:multiLevelType w:val="hybridMultilevel"/>
    <w:tmpl w:val="FDA8E2B2"/>
    <w:lvl w:ilvl="0" w:tplc="6D26DD36">
      <w:start w:val="1"/>
      <w:numFmt w:val="decimal"/>
      <w:lvlText w:val="%1)"/>
      <w:lvlJc w:val="left"/>
      <w:pPr>
        <w:ind w:left="1020" w:hanging="360"/>
      </w:pPr>
    </w:lvl>
    <w:lvl w:ilvl="1" w:tplc="EAA445AE">
      <w:start w:val="1"/>
      <w:numFmt w:val="decimal"/>
      <w:lvlText w:val="%2)"/>
      <w:lvlJc w:val="left"/>
      <w:pPr>
        <w:ind w:left="1020" w:hanging="360"/>
      </w:pPr>
    </w:lvl>
    <w:lvl w:ilvl="2" w:tplc="7556DC7E">
      <w:start w:val="1"/>
      <w:numFmt w:val="decimal"/>
      <w:lvlText w:val="%3)"/>
      <w:lvlJc w:val="left"/>
      <w:pPr>
        <w:ind w:left="1020" w:hanging="360"/>
      </w:pPr>
    </w:lvl>
    <w:lvl w:ilvl="3" w:tplc="6FCECC3E">
      <w:start w:val="1"/>
      <w:numFmt w:val="decimal"/>
      <w:lvlText w:val="%4)"/>
      <w:lvlJc w:val="left"/>
      <w:pPr>
        <w:ind w:left="1020" w:hanging="360"/>
      </w:pPr>
    </w:lvl>
    <w:lvl w:ilvl="4" w:tplc="E7E86150">
      <w:start w:val="1"/>
      <w:numFmt w:val="decimal"/>
      <w:lvlText w:val="%5)"/>
      <w:lvlJc w:val="left"/>
      <w:pPr>
        <w:ind w:left="1020" w:hanging="360"/>
      </w:pPr>
    </w:lvl>
    <w:lvl w:ilvl="5" w:tplc="9738B094">
      <w:start w:val="1"/>
      <w:numFmt w:val="decimal"/>
      <w:lvlText w:val="%6)"/>
      <w:lvlJc w:val="left"/>
      <w:pPr>
        <w:ind w:left="1020" w:hanging="360"/>
      </w:pPr>
    </w:lvl>
    <w:lvl w:ilvl="6" w:tplc="A3080B4A">
      <w:start w:val="1"/>
      <w:numFmt w:val="decimal"/>
      <w:lvlText w:val="%7)"/>
      <w:lvlJc w:val="left"/>
      <w:pPr>
        <w:ind w:left="1020" w:hanging="360"/>
      </w:pPr>
    </w:lvl>
    <w:lvl w:ilvl="7" w:tplc="6DA83E50">
      <w:start w:val="1"/>
      <w:numFmt w:val="decimal"/>
      <w:lvlText w:val="%8)"/>
      <w:lvlJc w:val="left"/>
      <w:pPr>
        <w:ind w:left="1020" w:hanging="360"/>
      </w:pPr>
    </w:lvl>
    <w:lvl w:ilvl="8" w:tplc="E5FA69CC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2A478C7"/>
    <w:multiLevelType w:val="hybridMultilevel"/>
    <w:tmpl w:val="84D8C034"/>
    <w:lvl w:ilvl="0" w:tplc="5E4A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097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23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22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7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02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6E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2B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4A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661"/>
    <w:multiLevelType w:val="hybridMultilevel"/>
    <w:tmpl w:val="05643764"/>
    <w:lvl w:ilvl="0" w:tplc="78A2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6A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CE4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D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C8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AE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84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4F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E5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7AFA"/>
    <w:multiLevelType w:val="hybridMultilevel"/>
    <w:tmpl w:val="1D2C78A6"/>
    <w:lvl w:ilvl="0" w:tplc="A354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ED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CA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E9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44A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03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84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ECE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0BA6"/>
    <w:multiLevelType w:val="hybridMultilevel"/>
    <w:tmpl w:val="0C325EA4"/>
    <w:lvl w:ilvl="0" w:tplc="8EC6BD84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1" w:tplc="F65E0668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324AA738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86025D56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4AC6FEF8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F56826D0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5D90C52A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4D845866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98A44194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5" w15:restartNumberingAfterBreak="0">
    <w:nsid w:val="0A366007"/>
    <w:multiLevelType w:val="hybridMultilevel"/>
    <w:tmpl w:val="5F4ECAA8"/>
    <w:lvl w:ilvl="0" w:tplc="D366803E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1609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C6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C7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CF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04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C3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AC5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CC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F0409"/>
    <w:multiLevelType w:val="hybridMultilevel"/>
    <w:tmpl w:val="F26CE408"/>
    <w:lvl w:ilvl="0" w:tplc="480C7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ED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64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EF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AC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1EF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A7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EB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4A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405D2"/>
    <w:multiLevelType w:val="hybridMultilevel"/>
    <w:tmpl w:val="0F381DA2"/>
    <w:lvl w:ilvl="0" w:tplc="CDD63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683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CE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86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7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2C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6D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0E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B2A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74742"/>
    <w:multiLevelType w:val="hybridMultilevel"/>
    <w:tmpl w:val="BFF490C6"/>
    <w:lvl w:ilvl="0" w:tplc="D99E2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AA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82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B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CF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E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8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6D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12814"/>
    <w:multiLevelType w:val="multilevel"/>
    <w:tmpl w:val="ADFABDA6"/>
    <w:lvl w:ilvl="0">
      <w:start w:val="1"/>
      <w:numFmt w:val="decimal"/>
      <w:pStyle w:val="rov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rove3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pStyle w:val="rove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rove1"/>
      <w:lvlText w:val="%1.%2.%3.%4.%5."/>
      <w:lvlJc w:val="left"/>
      <w:pPr>
        <w:ind w:left="934" w:hanging="792"/>
      </w:pPr>
      <w:rPr>
        <w:rFonts w:cs="Times New Roman"/>
      </w:rPr>
    </w:lvl>
    <w:lvl w:ilvl="5">
      <w:start w:val="1"/>
      <w:numFmt w:val="decimal"/>
      <w:pStyle w:val="rove2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3F8110D"/>
    <w:multiLevelType w:val="hybridMultilevel"/>
    <w:tmpl w:val="B360FBA6"/>
    <w:lvl w:ilvl="0" w:tplc="9D86A472">
      <w:start w:val="1"/>
      <w:numFmt w:val="decimal"/>
      <w:lvlText w:val="%1)"/>
      <w:lvlJc w:val="left"/>
      <w:pPr>
        <w:ind w:left="1020" w:hanging="360"/>
      </w:pPr>
    </w:lvl>
    <w:lvl w:ilvl="1" w:tplc="396E9BE0">
      <w:start w:val="1"/>
      <w:numFmt w:val="decimal"/>
      <w:lvlText w:val="%2)"/>
      <w:lvlJc w:val="left"/>
      <w:pPr>
        <w:ind w:left="1020" w:hanging="360"/>
      </w:pPr>
    </w:lvl>
    <w:lvl w:ilvl="2" w:tplc="8EE43DF2">
      <w:start w:val="1"/>
      <w:numFmt w:val="decimal"/>
      <w:lvlText w:val="%3)"/>
      <w:lvlJc w:val="left"/>
      <w:pPr>
        <w:ind w:left="1020" w:hanging="360"/>
      </w:pPr>
    </w:lvl>
    <w:lvl w:ilvl="3" w:tplc="D2EA166E">
      <w:start w:val="1"/>
      <w:numFmt w:val="decimal"/>
      <w:lvlText w:val="%4)"/>
      <w:lvlJc w:val="left"/>
      <w:pPr>
        <w:ind w:left="1020" w:hanging="360"/>
      </w:pPr>
    </w:lvl>
    <w:lvl w:ilvl="4" w:tplc="E2CC5DD4">
      <w:start w:val="1"/>
      <w:numFmt w:val="decimal"/>
      <w:lvlText w:val="%5)"/>
      <w:lvlJc w:val="left"/>
      <w:pPr>
        <w:ind w:left="1020" w:hanging="360"/>
      </w:pPr>
    </w:lvl>
    <w:lvl w:ilvl="5" w:tplc="1800054A">
      <w:start w:val="1"/>
      <w:numFmt w:val="decimal"/>
      <w:lvlText w:val="%6)"/>
      <w:lvlJc w:val="left"/>
      <w:pPr>
        <w:ind w:left="1020" w:hanging="360"/>
      </w:pPr>
    </w:lvl>
    <w:lvl w:ilvl="6" w:tplc="4A702C42">
      <w:start w:val="1"/>
      <w:numFmt w:val="decimal"/>
      <w:lvlText w:val="%7)"/>
      <w:lvlJc w:val="left"/>
      <w:pPr>
        <w:ind w:left="1020" w:hanging="360"/>
      </w:pPr>
    </w:lvl>
    <w:lvl w:ilvl="7" w:tplc="29646654">
      <w:start w:val="1"/>
      <w:numFmt w:val="decimal"/>
      <w:lvlText w:val="%8)"/>
      <w:lvlJc w:val="left"/>
      <w:pPr>
        <w:ind w:left="1020" w:hanging="360"/>
      </w:pPr>
    </w:lvl>
    <w:lvl w:ilvl="8" w:tplc="18302B20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4CE2B79"/>
    <w:multiLevelType w:val="hybridMultilevel"/>
    <w:tmpl w:val="1EBECDC4"/>
    <w:lvl w:ilvl="0" w:tplc="50EC0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CE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62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3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EC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A3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4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E4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6A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E39E3"/>
    <w:multiLevelType w:val="hybridMultilevel"/>
    <w:tmpl w:val="0E5C43DA"/>
    <w:lvl w:ilvl="0" w:tplc="E9BC5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ED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E7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9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C4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CE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67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C4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25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31643"/>
    <w:multiLevelType w:val="hybridMultilevel"/>
    <w:tmpl w:val="7A523EBC"/>
    <w:lvl w:ilvl="0" w:tplc="93BE6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29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69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62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0F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C5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A7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6A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8A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7151"/>
    <w:multiLevelType w:val="hybridMultilevel"/>
    <w:tmpl w:val="24B6E2E2"/>
    <w:lvl w:ilvl="0" w:tplc="802C9BC0">
      <w:start w:val="1"/>
      <w:numFmt w:val="decimal"/>
      <w:lvlText w:val="%1)"/>
      <w:lvlJc w:val="left"/>
      <w:pPr>
        <w:ind w:left="1020" w:hanging="360"/>
      </w:pPr>
    </w:lvl>
    <w:lvl w:ilvl="1" w:tplc="B24A76D4">
      <w:start w:val="1"/>
      <w:numFmt w:val="decimal"/>
      <w:lvlText w:val="%2)"/>
      <w:lvlJc w:val="left"/>
      <w:pPr>
        <w:ind w:left="1020" w:hanging="360"/>
      </w:pPr>
    </w:lvl>
    <w:lvl w:ilvl="2" w:tplc="0D968F94">
      <w:start w:val="1"/>
      <w:numFmt w:val="decimal"/>
      <w:lvlText w:val="%3)"/>
      <w:lvlJc w:val="left"/>
      <w:pPr>
        <w:ind w:left="1020" w:hanging="360"/>
      </w:pPr>
    </w:lvl>
    <w:lvl w:ilvl="3" w:tplc="97FAF02A">
      <w:start w:val="1"/>
      <w:numFmt w:val="decimal"/>
      <w:lvlText w:val="%4)"/>
      <w:lvlJc w:val="left"/>
      <w:pPr>
        <w:ind w:left="1020" w:hanging="360"/>
      </w:pPr>
    </w:lvl>
    <w:lvl w:ilvl="4" w:tplc="206E97C6">
      <w:start w:val="1"/>
      <w:numFmt w:val="decimal"/>
      <w:lvlText w:val="%5)"/>
      <w:lvlJc w:val="left"/>
      <w:pPr>
        <w:ind w:left="1020" w:hanging="360"/>
      </w:pPr>
    </w:lvl>
    <w:lvl w:ilvl="5" w:tplc="05782376">
      <w:start w:val="1"/>
      <w:numFmt w:val="decimal"/>
      <w:lvlText w:val="%6)"/>
      <w:lvlJc w:val="left"/>
      <w:pPr>
        <w:ind w:left="1020" w:hanging="360"/>
      </w:pPr>
    </w:lvl>
    <w:lvl w:ilvl="6" w:tplc="C7DCC9A8">
      <w:start w:val="1"/>
      <w:numFmt w:val="decimal"/>
      <w:lvlText w:val="%7)"/>
      <w:lvlJc w:val="left"/>
      <w:pPr>
        <w:ind w:left="1020" w:hanging="360"/>
      </w:pPr>
    </w:lvl>
    <w:lvl w:ilvl="7" w:tplc="BE36B7BC">
      <w:start w:val="1"/>
      <w:numFmt w:val="decimal"/>
      <w:lvlText w:val="%8)"/>
      <w:lvlJc w:val="left"/>
      <w:pPr>
        <w:ind w:left="1020" w:hanging="360"/>
      </w:pPr>
    </w:lvl>
    <w:lvl w:ilvl="8" w:tplc="3184105E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31915C3"/>
    <w:multiLevelType w:val="hybridMultilevel"/>
    <w:tmpl w:val="77AA4852"/>
    <w:lvl w:ilvl="0" w:tplc="19F2C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22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B68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E5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07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8F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E4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60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46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E3A40"/>
    <w:multiLevelType w:val="hybridMultilevel"/>
    <w:tmpl w:val="F3D86B92"/>
    <w:lvl w:ilvl="0" w:tplc="56DC9D40">
      <w:start w:val="1"/>
      <w:numFmt w:val="decimal"/>
      <w:lvlText w:val="%1)"/>
      <w:lvlJc w:val="left"/>
      <w:pPr>
        <w:ind w:left="1020" w:hanging="360"/>
      </w:pPr>
    </w:lvl>
    <w:lvl w:ilvl="1" w:tplc="1DF6B9A6">
      <w:start w:val="1"/>
      <w:numFmt w:val="decimal"/>
      <w:lvlText w:val="%2)"/>
      <w:lvlJc w:val="left"/>
      <w:pPr>
        <w:ind w:left="1020" w:hanging="360"/>
      </w:pPr>
    </w:lvl>
    <w:lvl w:ilvl="2" w:tplc="BD32B08A">
      <w:start w:val="1"/>
      <w:numFmt w:val="decimal"/>
      <w:lvlText w:val="%3)"/>
      <w:lvlJc w:val="left"/>
      <w:pPr>
        <w:ind w:left="1020" w:hanging="360"/>
      </w:pPr>
    </w:lvl>
    <w:lvl w:ilvl="3" w:tplc="3D2ABD06">
      <w:start w:val="1"/>
      <w:numFmt w:val="decimal"/>
      <w:lvlText w:val="%4)"/>
      <w:lvlJc w:val="left"/>
      <w:pPr>
        <w:ind w:left="1020" w:hanging="360"/>
      </w:pPr>
    </w:lvl>
    <w:lvl w:ilvl="4" w:tplc="067AEF08">
      <w:start w:val="1"/>
      <w:numFmt w:val="decimal"/>
      <w:lvlText w:val="%5)"/>
      <w:lvlJc w:val="left"/>
      <w:pPr>
        <w:ind w:left="1020" w:hanging="360"/>
      </w:pPr>
    </w:lvl>
    <w:lvl w:ilvl="5" w:tplc="D054C182">
      <w:start w:val="1"/>
      <w:numFmt w:val="decimal"/>
      <w:lvlText w:val="%6)"/>
      <w:lvlJc w:val="left"/>
      <w:pPr>
        <w:ind w:left="1020" w:hanging="360"/>
      </w:pPr>
    </w:lvl>
    <w:lvl w:ilvl="6" w:tplc="3AA66F2E">
      <w:start w:val="1"/>
      <w:numFmt w:val="decimal"/>
      <w:lvlText w:val="%7)"/>
      <w:lvlJc w:val="left"/>
      <w:pPr>
        <w:ind w:left="1020" w:hanging="360"/>
      </w:pPr>
    </w:lvl>
    <w:lvl w:ilvl="7" w:tplc="B846E374">
      <w:start w:val="1"/>
      <w:numFmt w:val="decimal"/>
      <w:lvlText w:val="%8)"/>
      <w:lvlJc w:val="left"/>
      <w:pPr>
        <w:ind w:left="1020" w:hanging="360"/>
      </w:pPr>
    </w:lvl>
    <w:lvl w:ilvl="8" w:tplc="99387514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3C914C88"/>
    <w:multiLevelType w:val="hybridMultilevel"/>
    <w:tmpl w:val="156E798C"/>
    <w:lvl w:ilvl="0" w:tplc="7DAE0F74">
      <w:start w:val="1"/>
      <w:numFmt w:val="bullet"/>
      <w:lvlText w:val=""/>
      <w:lvlJc w:val="left"/>
      <w:pPr>
        <w:ind w:left="524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8" w15:restartNumberingAfterBreak="0">
    <w:nsid w:val="3D9A6F2F"/>
    <w:multiLevelType w:val="hybridMultilevel"/>
    <w:tmpl w:val="4ECE846A"/>
    <w:lvl w:ilvl="0" w:tplc="E1D08A06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9538140E">
      <w:start w:val="1"/>
      <w:numFmt w:val="lowerLetter"/>
      <w:lvlText w:val="%2."/>
      <w:lvlJc w:val="left"/>
      <w:pPr>
        <w:ind w:left="1440" w:hanging="360"/>
      </w:pPr>
    </w:lvl>
    <w:lvl w:ilvl="2" w:tplc="CC3A86CC" w:tentative="1">
      <w:start w:val="1"/>
      <w:numFmt w:val="lowerRoman"/>
      <w:lvlText w:val="%3."/>
      <w:lvlJc w:val="right"/>
      <w:pPr>
        <w:ind w:left="2160" w:hanging="180"/>
      </w:pPr>
    </w:lvl>
    <w:lvl w:ilvl="3" w:tplc="BC06A95A" w:tentative="1">
      <w:start w:val="1"/>
      <w:numFmt w:val="decimal"/>
      <w:lvlText w:val="%4."/>
      <w:lvlJc w:val="left"/>
      <w:pPr>
        <w:ind w:left="2880" w:hanging="360"/>
      </w:pPr>
    </w:lvl>
    <w:lvl w:ilvl="4" w:tplc="706429C4" w:tentative="1">
      <w:start w:val="1"/>
      <w:numFmt w:val="lowerLetter"/>
      <w:lvlText w:val="%5."/>
      <w:lvlJc w:val="left"/>
      <w:pPr>
        <w:ind w:left="3600" w:hanging="360"/>
      </w:pPr>
    </w:lvl>
    <w:lvl w:ilvl="5" w:tplc="9E722D26" w:tentative="1">
      <w:start w:val="1"/>
      <w:numFmt w:val="lowerRoman"/>
      <w:lvlText w:val="%6."/>
      <w:lvlJc w:val="right"/>
      <w:pPr>
        <w:ind w:left="4320" w:hanging="180"/>
      </w:pPr>
    </w:lvl>
    <w:lvl w:ilvl="6" w:tplc="5DDAE0D2" w:tentative="1">
      <w:start w:val="1"/>
      <w:numFmt w:val="decimal"/>
      <w:lvlText w:val="%7."/>
      <w:lvlJc w:val="left"/>
      <w:pPr>
        <w:ind w:left="5040" w:hanging="360"/>
      </w:pPr>
    </w:lvl>
    <w:lvl w:ilvl="7" w:tplc="73EEF2EA" w:tentative="1">
      <w:start w:val="1"/>
      <w:numFmt w:val="lowerLetter"/>
      <w:lvlText w:val="%8."/>
      <w:lvlJc w:val="left"/>
      <w:pPr>
        <w:ind w:left="5760" w:hanging="360"/>
      </w:pPr>
    </w:lvl>
    <w:lvl w:ilvl="8" w:tplc="B036B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1A82"/>
    <w:multiLevelType w:val="multilevel"/>
    <w:tmpl w:val="62C22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AD0E06"/>
    <w:multiLevelType w:val="hybridMultilevel"/>
    <w:tmpl w:val="C1905B02"/>
    <w:lvl w:ilvl="0" w:tplc="3EAA8484">
      <w:start w:val="1"/>
      <w:numFmt w:val="decimal"/>
      <w:lvlText w:val="%1."/>
      <w:lvlJc w:val="left"/>
      <w:pPr>
        <w:ind w:left="720" w:hanging="360"/>
      </w:pPr>
    </w:lvl>
    <w:lvl w:ilvl="1" w:tplc="42FE77B4" w:tentative="1">
      <w:start w:val="1"/>
      <w:numFmt w:val="lowerLetter"/>
      <w:lvlText w:val="%2."/>
      <w:lvlJc w:val="left"/>
      <w:pPr>
        <w:ind w:left="1440" w:hanging="360"/>
      </w:pPr>
    </w:lvl>
    <w:lvl w:ilvl="2" w:tplc="B1F6D404" w:tentative="1">
      <w:start w:val="1"/>
      <w:numFmt w:val="lowerRoman"/>
      <w:lvlText w:val="%3."/>
      <w:lvlJc w:val="right"/>
      <w:pPr>
        <w:ind w:left="2160" w:hanging="180"/>
      </w:pPr>
    </w:lvl>
    <w:lvl w:ilvl="3" w:tplc="322C32AA" w:tentative="1">
      <w:start w:val="1"/>
      <w:numFmt w:val="decimal"/>
      <w:lvlText w:val="%4."/>
      <w:lvlJc w:val="left"/>
      <w:pPr>
        <w:ind w:left="2880" w:hanging="360"/>
      </w:pPr>
    </w:lvl>
    <w:lvl w:ilvl="4" w:tplc="31609666" w:tentative="1">
      <w:start w:val="1"/>
      <w:numFmt w:val="lowerLetter"/>
      <w:lvlText w:val="%5."/>
      <w:lvlJc w:val="left"/>
      <w:pPr>
        <w:ind w:left="3600" w:hanging="360"/>
      </w:pPr>
    </w:lvl>
    <w:lvl w:ilvl="5" w:tplc="4DA28F88" w:tentative="1">
      <w:start w:val="1"/>
      <w:numFmt w:val="lowerRoman"/>
      <w:lvlText w:val="%6."/>
      <w:lvlJc w:val="right"/>
      <w:pPr>
        <w:ind w:left="4320" w:hanging="180"/>
      </w:pPr>
    </w:lvl>
    <w:lvl w:ilvl="6" w:tplc="F89040A6" w:tentative="1">
      <w:start w:val="1"/>
      <w:numFmt w:val="decimal"/>
      <w:lvlText w:val="%7."/>
      <w:lvlJc w:val="left"/>
      <w:pPr>
        <w:ind w:left="5040" w:hanging="360"/>
      </w:pPr>
    </w:lvl>
    <w:lvl w:ilvl="7" w:tplc="A4CEDA56" w:tentative="1">
      <w:start w:val="1"/>
      <w:numFmt w:val="lowerLetter"/>
      <w:lvlText w:val="%8."/>
      <w:lvlJc w:val="left"/>
      <w:pPr>
        <w:ind w:left="5760" w:hanging="360"/>
      </w:pPr>
    </w:lvl>
    <w:lvl w:ilvl="8" w:tplc="B5DC6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6267E"/>
    <w:multiLevelType w:val="hybridMultilevel"/>
    <w:tmpl w:val="FA3C898E"/>
    <w:lvl w:ilvl="0" w:tplc="9FF62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0E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8E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63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8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82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A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7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A5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B5B76"/>
    <w:multiLevelType w:val="hybridMultilevel"/>
    <w:tmpl w:val="E76C9684"/>
    <w:lvl w:ilvl="0" w:tplc="EF9E1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E6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8A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A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88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67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28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2F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365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62DDC"/>
    <w:multiLevelType w:val="hybridMultilevel"/>
    <w:tmpl w:val="24A8CC74"/>
    <w:lvl w:ilvl="0" w:tplc="327ABFAE">
      <w:start w:val="1"/>
      <w:numFmt w:val="decimal"/>
      <w:lvlText w:val="%1)"/>
      <w:lvlJc w:val="left"/>
      <w:pPr>
        <w:ind w:left="1020" w:hanging="360"/>
      </w:pPr>
    </w:lvl>
    <w:lvl w:ilvl="1" w:tplc="2F4A736C">
      <w:start w:val="1"/>
      <w:numFmt w:val="decimal"/>
      <w:lvlText w:val="%2)"/>
      <w:lvlJc w:val="left"/>
      <w:pPr>
        <w:ind w:left="1020" w:hanging="360"/>
      </w:pPr>
    </w:lvl>
    <w:lvl w:ilvl="2" w:tplc="6EA04A4E">
      <w:start w:val="1"/>
      <w:numFmt w:val="decimal"/>
      <w:lvlText w:val="%3)"/>
      <w:lvlJc w:val="left"/>
      <w:pPr>
        <w:ind w:left="1020" w:hanging="360"/>
      </w:pPr>
    </w:lvl>
    <w:lvl w:ilvl="3" w:tplc="ED545994">
      <w:start w:val="1"/>
      <w:numFmt w:val="decimal"/>
      <w:lvlText w:val="%4)"/>
      <w:lvlJc w:val="left"/>
      <w:pPr>
        <w:ind w:left="1020" w:hanging="360"/>
      </w:pPr>
    </w:lvl>
    <w:lvl w:ilvl="4" w:tplc="D40C60DE">
      <w:start w:val="1"/>
      <w:numFmt w:val="decimal"/>
      <w:lvlText w:val="%5)"/>
      <w:lvlJc w:val="left"/>
      <w:pPr>
        <w:ind w:left="1020" w:hanging="360"/>
      </w:pPr>
    </w:lvl>
    <w:lvl w:ilvl="5" w:tplc="9B4A144A">
      <w:start w:val="1"/>
      <w:numFmt w:val="decimal"/>
      <w:lvlText w:val="%6)"/>
      <w:lvlJc w:val="left"/>
      <w:pPr>
        <w:ind w:left="1020" w:hanging="360"/>
      </w:pPr>
    </w:lvl>
    <w:lvl w:ilvl="6" w:tplc="A10834A2">
      <w:start w:val="1"/>
      <w:numFmt w:val="decimal"/>
      <w:lvlText w:val="%7)"/>
      <w:lvlJc w:val="left"/>
      <w:pPr>
        <w:ind w:left="1020" w:hanging="360"/>
      </w:pPr>
    </w:lvl>
    <w:lvl w:ilvl="7" w:tplc="B9268378">
      <w:start w:val="1"/>
      <w:numFmt w:val="decimal"/>
      <w:lvlText w:val="%8)"/>
      <w:lvlJc w:val="left"/>
      <w:pPr>
        <w:ind w:left="1020" w:hanging="360"/>
      </w:pPr>
    </w:lvl>
    <w:lvl w:ilvl="8" w:tplc="05A6FA9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F703C78"/>
    <w:multiLevelType w:val="hybridMultilevel"/>
    <w:tmpl w:val="F66C389E"/>
    <w:lvl w:ilvl="0" w:tplc="28C21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1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343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41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2B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AF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2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2B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B465B"/>
    <w:multiLevelType w:val="hybridMultilevel"/>
    <w:tmpl w:val="E3E086C8"/>
    <w:lvl w:ilvl="0" w:tplc="7DAE0F74">
      <w:start w:val="1"/>
      <w:numFmt w:val="bullet"/>
      <w:lvlText w:val=""/>
      <w:lvlJc w:val="left"/>
      <w:pPr>
        <w:ind w:left="524" w:hanging="360"/>
      </w:pPr>
      <w:rPr>
        <w:rFonts w:ascii="Symbol" w:hAnsi="Symbol" w:hint="default"/>
        <w:b w:val="0"/>
      </w:rPr>
    </w:lvl>
    <w:lvl w:ilvl="1" w:tplc="B552AE44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EEE45046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2188D4E4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B0C899D0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3C2EFBA8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176E4930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18EC53DA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2924A6C0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6" w15:restartNumberingAfterBreak="0">
    <w:nsid w:val="5AD97CF7"/>
    <w:multiLevelType w:val="hybridMultilevel"/>
    <w:tmpl w:val="E73205A2"/>
    <w:lvl w:ilvl="0" w:tplc="F9002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C0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83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F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A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26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8F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D456A"/>
    <w:multiLevelType w:val="multilevel"/>
    <w:tmpl w:val="A00451DC"/>
    <w:lvl w:ilvl="0">
      <w:start w:val="1"/>
      <w:numFmt w:val="decimal"/>
      <w:lvlText w:val="%1"/>
      <w:lvlJc w:val="left"/>
      <w:pPr>
        <w:ind w:left="680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28" w15:restartNumberingAfterBreak="0">
    <w:nsid w:val="61070649"/>
    <w:multiLevelType w:val="hybridMultilevel"/>
    <w:tmpl w:val="AED6E25C"/>
    <w:lvl w:ilvl="0" w:tplc="5D6C5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ED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CF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ED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65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A6D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09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6E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E0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55E1C"/>
    <w:multiLevelType w:val="hybridMultilevel"/>
    <w:tmpl w:val="2B969A3E"/>
    <w:lvl w:ilvl="0" w:tplc="E5B057F6">
      <w:start w:val="1"/>
      <w:numFmt w:val="decimal"/>
      <w:lvlText w:val="%1)"/>
      <w:lvlJc w:val="left"/>
      <w:pPr>
        <w:ind w:left="1020" w:hanging="360"/>
      </w:pPr>
    </w:lvl>
    <w:lvl w:ilvl="1" w:tplc="0FCC71B8">
      <w:start w:val="1"/>
      <w:numFmt w:val="decimal"/>
      <w:lvlText w:val="%2)"/>
      <w:lvlJc w:val="left"/>
      <w:pPr>
        <w:ind w:left="1020" w:hanging="360"/>
      </w:pPr>
    </w:lvl>
    <w:lvl w:ilvl="2" w:tplc="1DD49F14">
      <w:start w:val="1"/>
      <w:numFmt w:val="decimal"/>
      <w:lvlText w:val="%3)"/>
      <w:lvlJc w:val="left"/>
      <w:pPr>
        <w:ind w:left="1020" w:hanging="360"/>
      </w:pPr>
    </w:lvl>
    <w:lvl w:ilvl="3" w:tplc="3B5E0D66">
      <w:start w:val="1"/>
      <w:numFmt w:val="decimal"/>
      <w:lvlText w:val="%4)"/>
      <w:lvlJc w:val="left"/>
      <w:pPr>
        <w:ind w:left="1020" w:hanging="360"/>
      </w:pPr>
    </w:lvl>
    <w:lvl w:ilvl="4" w:tplc="420E7CEC">
      <w:start w:val="1"/>
      <w:numFmt w:val="decimal"/>
      <w:lvlText w:val="%5)"/>
      <w:lvlJc w:val="left"/>
      <w:pPr>
        <w:ind w:left="1020" w:hanging="360"/>
      </w:pPr>
    </w:lvl>
    <w:lvl w:ilvl="5" w:tplc="E208F2D4">
      <w:start w:val="1"/>
      <w:numFmt w:val="decimal"/>
      <w:lvlText w:val="%6)"/>
      <w:lvlJc w:val="left"/>
      <w:pPr>
        <w:ind w:left="1020" w:hanging="360"/>
      </w:pPr>
    </w:lvl>
    <w:lvl w:ilvl="6" w:tplc="6A861E98">
      <w:start w:val="1"/>
      <w:numFmt w:val="decimal"/>
      <w:lvlText w:val="%7)"/>
      <w:lvlJc w:val="left"/>
      <w:pPr>
        <w:ind w:left="1020" w:hanging="360"/>
      </w:pPr>
    </w:lvl>
    <w:lvl w:ilvl="7" w:tplc="F0DE2C06">
      <w:start w:val="1"/>
      <w:numFmt w:val="decimal"/>
      <w:lvlText w:val="%8)"/>
      <w:lvlJc w:val="left"/>
      <w:pPr>
        <w:ind w:left="1020" w:hanging="360"/>
      </w:pPr>
    </w:lvl>
    <w:lvl w:ilvl="8" w:tplc="3B1AB39C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9D566B"/>
    <w:multiLevelType w:val="hybridMultilevel"/>
    <w:tmpl w:val="1BC84F12"/>
    <w:lvl w:ilvl="0" w:tplc="AB8A5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60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8C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3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C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5A5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AB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44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03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35EE2"/>
    <w:multiLevelType w:val="hybridMultilevel"/>
    <w:tmpl w:val="EFE00DC4"/>
    <w:lvl w:ilvl="0" w:tplc="B6A2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8E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68F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C2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67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EF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A8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26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07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392"/>
    <w:multiLevelType w:val="hybridMultilevel"/>
    <w:tmpl w:val="02642EF0"/>
    <w:lvl w:ilvl="0" w:tplc="F8846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C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C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67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2E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A1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0F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66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52976707">
    <w:abstractNumId w:val="18"/>
  </w:num>
  <w:num w:numId="2" w16cid:durableId="558324482">
    <w:abstractNumId w:val="30"/>
  </w:num>
  <w:num w:numId="3" w16cid:durableId="1396049179">
    <w:abstractNumId w:val="5"/>
  </w:num>
  <w:num w:numId="4" w16cid:durableId="1297446096">
    <w:abstractNumId w:val="27"/>
  </w:num>
  <w:num w:numId="5" w16cid:durableId="1395085894">
    <w:abstractNumId w:val="34"/>
  </w:num>
  <w:num w:numId="6" w16cid:durableId="357002606">
    <w:abstractNumId w:val="20"/>
  </w:num>
  <w:num w:numId="7" w16cid:durableId="1878079798">
    <w:abstractNumId w:val="19"/>
  </w:num>
  <w:num w:numId="8" w16cid:durableId="1185440462">
    <w:abstractNumId w:val="9"/>
  </w:num>
  <w:num w:numId="9" w16cid:durableId="2089961364">
    <w:abstractNumId w:val="1"/>
  </w:num>
  <w:num w:numId="10" w16cid:durableId="486551474">
    <w:abstractNumId w:val="26"/>
  </w:num>
  <w:num w:numId="11" w16cid:durableId="1542784377">
    <w:abstractNumId w:val="13"/>
  </w:num>
  <w:num w:numId="12" w16cid:durableId="1160000236">
    <w:abstractNumId w:val="25"/>
  </w:num>
  <w:num w:numId="13" w16cid:durableId="656418488">
    <w:abstractNumId w:val="22"/>
  </w:num>
  <w:num w:numId="14" w16cid:durableId="1877308264">
    <w:abstractNumId w:val="12"/>
  </w:num>
  <w:num w:numId="15" w16cid:durableId="144128685">
    <w:abstractNumId w:val="4"/>
  </w:num>
  <w:num w:numId="16" w16cid:durableId="1665474774">
    <w:abstractNumId w:val="28"/>
  </w:num>
  <w:num w:numId="17" w16cid:durableId="1410616563">
    <w:abstractNumId w:val="21"/>
  </w:num>
  <w:num w:numId="18" w16cid:durableId="1258489136">
    <w:abstractNumId w:val="21"/>
  </w:num>
  <w:num w:numId="19" w16cid:durableId="1831016330">
    <w:abstractNumId w:val="3"/>
  </w:num>
  <w:num w:numId="20" w16cid:durableId="842016182">
    <w:abstractNumId w:val="8"/>
  </w:num>
  <w:num w:numId="21" w16cid:durableId="68970322">
    <w:abstractNumId w:val="2"/>
  </w:num>
  <w:num w:numId="22" w16cid:durableId="2119375842">
    <w:abstractNumId w:val="15"/>
  </w:num>
  <w:num w:numId="23" w16cid:durableId="1635526250">
    <w:abstractNumId w:val="31"/>
  </w:num>
  <w:num w:numId="24" w16cid:durableId="1788087770">
    <w:abstractNumId w:val="11"/>
  </w:num>
  <w:num w:numId="25" w16cid:durableId="1145199909">
    <w:abstractNumId w:val="32"/>
  </w:num>
  <w:num w:numId="26" w16cid:durableId="147014313">
    <w:abstractNumId w:val="6"/>
  </w:num>
  <w:num w:numId="27" w16cid:durableId="1285424886">
    <w:abstractNumId w:val="7"/>
  </w:num>
  <w:num w:numId="28" w16cid:durableId="2106412641">
    <w:abstractNumId w:val="33"/>
  </w:num>
  <w:num w:numId="29" w16cid:durableId="1889027320">
    <w:abstractNumId w:val="34"/>
  </w:num>
  <w:num w:numId="30" w16cid:durableId="326828792">
    <w:abstractNumId w:val="34"/>
  </w:num>
  <w:num w:numId="31" w16cid:durableId="1948854702">
    <w:abstractNumId w:val="34"/>
  </w:num>
  <w:num w:numId="32" w16cid:durableId="1217476233">
    <w:abstractNumId w:val="34"/>
  </w:num>
  <w:num w:numId="33" w16cid:durableId="1678118650">
    <w:abstractNumId w:val="34"/>
  </w:num>
  <w:num w:numId="34" w16cid:durableId="2124222579">
    <w:abstractNumId w:val="34"/>
  </w:num>
  <w:num w:numId="35" w16cid:durableId="276447322">
    <w:abstractNumId w:val="34"/>
  </w:num>
  <w:num w:numId="36" w16cid:durableId="1572806629">
    <w:abstractNumId w:val="34"/>
  </w:num>
  <w:num w:numId="37" w16cid:durableId="548344366">
    <w:abstractNumId w:val="34"/>
  </w:num>
  <w:num w:numId="38" w16cid:durableId="1368020822">
    <w:abstractNumId w:val="34"/>
  </w:num>
  <w:num w:numId="39" w16cid:durableId="255555485">
    <w:abstractNumId w:val="34"/>
  </w:num>
  <w:num w:numId="40" w16cid:durableId="1157913734">
    <w:abstractNumId w:val="34"/>
  </w:num>
  <w:num w:numId="41" w16cid:durableId="1002973891">
    <w:abstractNumId w:val="34"/>
  </w:num>
  <w:num w:numId="42" w16cid:durableId="639382756">
    <w:abstractNumId w:val="24"/>
  </w:num>
  <w:num w:numId="43" w16cid:durableId="213124261">
    <w:abstractNumId w:val="23"/>
  </w:num>
  <w:num w:numId="44" w16cid:durableId="2081517954">
    <w:abstractNumId w:val="29"/>
  </w:num>
  <w:num w:numId="45" w16cid:durableId="747922691">
    <w:abstractNumId w:val="0"/>
  </w:num>
  <w:num w:numId="46" w16cid:durableId="2093504470">
    <w:abstractNumId w:val="10"/>
  </w:num>
  <w:num w:numId="47" w16cid:durableId="727411751">
    <w:abstractNumId w:val="14"/>
  </w:num>
  <w:num w:numId="48" w16cid:durableId="1927569362">
    <w:abstractNumId w:val="16"/>
  </w:num>
  <w:num w:numId="49" w16cid:durableId="134933572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57A"/>
    <w:rsid w:val="00000F8C"/>
    <w:rsid w:val="000010CB"/>
    <w:rsid w:val="000013BA"/>
    <w:rsid w:val="000015DC"/>
    <w:rsid w:val="00001659"/>
    <w:rsid w:val="00001D77"/>
    <w:rsid w:val="00002B29"/>
    <w:rsid w:val="00002B9A"/>
    <w:rsid w:val="00002F92"/>
    <w:rsid w:val="000030C9"/>
    <w:rsid w:val="00003812"/>
    <w:rsid w:val="00003878"/>
    <w:rsid w:val="000039E4"/>
    <w:rsid w:val="00003A4B"/>
    <w:rsid w:val="00003E52"/>
    <w:rsid w:val="00003EC4"/>
    <w:rsid w:val="00003F86"/>
    <w:rsid w:val="000042FB"/>
    <w:rsid w:val="00004461"/>
    <w:rsid w:val="000049A1"/>
    <w:rsid w:val="00004DA7"/>
    <w:rsid w:val="00004EF9"/>
    <w:rsid w:val="000050EC"/>
    <w:rsid w:val="00005413"/>
    <w:rsid w:val="0000654C"/>
    <w:rsid w:val="00006589"/>
    <w:rsid w:val="00006AE8"/>
    <w:rsid w:val="00006F9D"/>
    <w:rsid w:val="000102DC"/>
    <w:rsid w:val="000102EF"/>
    <w:rsid w:val="0001038F"/>
    <w:rsid w:val="00010565"/>
    <w:rsid w:val="00010948"/>
    <w:rsid w:val="00010B7B"/>
    <w:rsid w:val="00010BF4"/>
    <w:rsid w:val="000116D6"/>
    <w:rsid w:val="000116ED"/>
    <w:rsid w:val="000118B2"/>
    <w:rsid w:val="000118FB"/>
    <w:rsid w:val="00012047"/>
    <w:rsid w:val="00012090"/>
    <w:rsid w:val="000121C2"/>
    <w:rsid w:val="00012334"/>
    <w:rsid w:val="00012409"/>
    <w:rsid w:val="0001308F"/>
    <w:rsid w:val="000131A1"/>
    <w:rsid w:val="000136D6"/>
    <w:rsid w:val="00013900"/>
    <w:rsid w:val="00013D01"/>
    <w:rsid w:val="00013F4A"/>
    <w:rsid w:val="00014250"/>
    <w:rsid w:val="00014278"/>
    <w:rsid w:val="000148CF"/>
    <w:rsid w:val="00014D77"/>
    <w:rsid w:val="00014DB5"/>
    <w:rsid w:val="000150C6"/>
    <w:rsid w:val="0001554C"/>
    <w:rsid w:val="00015648"/>
    <w:rsid w:val="00015BEA"/>
    <w:rsid w:val="00015D6E"/>
    <w:rsid w:val="00015EAA"/>
    <w:rsid w:val="00015F85"/>
    <w:rsid w:val="0001655D"/>
    <w:rsid w:val="00016B34"/>
    <w:rsid w:val="0001734F"/>
    <w:rsid w:val="000176F5"/>
    <w:rsid w:val="000178C8"/>
    <w:rsid w:val="00017CCE"/>
    <w:rsid w:val="00017D5E"/>
    <w:rsid w:val="00017EA4"/>
    <w:rsid w:val="000205FD"/>
    <w:rsid w:val="000206ED"/>
    <w:rsid w:val="000206FE"/>
    <w:rsid w:val="000209B1"/>
    <w:rsid w:val="00020AC4"/>
    <w:rsid w:val="0002107A"/>
    <w:rsid w:val="00021226"/>
    <w:rsid w:val="00022153"/>
    <w:rsid w:val="000221DC"/>
    <w:rsid w:val="00022E16"/>
    <w:rsid w:val="000233DE"/>
    <w:rsid w:val="0002359A"/>
    <w:rsid w:val="00024C16"/>
    <w:rsid w:val="00024CEB"/>
    <w:rsid w:val="000254A6"/>
    <w:rsid w:val="00025582"/>
    <w:rsid w:val="000263DE"/>
    <w:rsid w:val="0002674F"/>
    <w:rsid w:val="00026812"/>
    <w:rsid w:val="00026B84"/>
    <w:rsid w:val="00026FB4"/>
    <w:rsid w:val="00027067"/>
    <w:rsid w:val="0002708F"/>
    <w:rsid w:val="000274A8"/>
    <w:rsid w:val="00027C18"/>
    <w:rsid w:val="000305CE"/>
    <w:rsid w:val="00030656"/>
    <w:rsid w:val="00030A71"/>
    <w:rsid w:val="00031611"/>
    <w:rsid w:val="00031D2B"/>
    <w:rsid w:val="00031DBA"/>
    <w:rsid w:val="00031FF6"/>
    <w:rsid w:val="000325A3"/>
    <w:rsid w:val="00033006"/>
    <w:rsid w:val="000339E8"/>
    <w:rsid w:val="000342EB"/>
    <w:rsid w:val="00034564"/>
    <w:rsid w:val="00034649"/>
    <w:rsid w:val="00034672"/>
    <w:rsid w:val="0003469E"/>
    <w:rsid w:val="00034F0A"/>
    <w:rsid w:val="00035012"/>
    <w:rsid w:val="0003552A"/>
    <w:rsid w:val="00035C23"/>
    <w:rsid w:val="000365ED"/>
    <w:rsid w:val="00036961"/>
    <w:rsid w:val="00036B07"/>
    <w:rsid w:val="000370CC"/>
    <w:rsid w:val="000370E9"/>
    <w:rsid w:val="000377B3"/>
    <w:rsid w:val="00037E92"/>
    <w:rsid w:val="000404C7"/>
    <w:rsid w:val="0004116C"/>
    <w:rsid w:val="00041308"/>
    <w:rsid w:val="00041B06"/>
    <w:rsid w:val="00042662"/>
    <w:rsid w:val="000428C2"/>
    <w:rsid w:val="00042F32"/>
    <w:rsid w:val="00042F6E"/>
    <w:rsid w:val="0004311E"/>
    <w:rsid w:val="0004377C"/>
    <w:rsid w:val="00043ED9"/>
    <w:rsid w:val="00044446"/>
    <w:rsid w:val="00044496"/>
    <w:rsid w:val="00044685"/>
    <w:rsid w:val="000447A6"/>
    <w:rsid w:val="00044B71"/>
    <w:rsid w:val="00044F4C"/>
    <w:rsid w:val="0004536D"/>
    <w:rsid w:val="000453AD"/>
    <w:rsid w:val="0004554B"/>
    <w:rsid w:val="0004593F"/>
    <w:rsid w:val="00045D1D"/>
    <w:rsid w:val="00045D4B"/>
    <w:rsid w:val="0004614B"/>
    <w:rsid w:val="00046890"/>
    <w:rsid w:val="00046AB1"/>
    <w:rsid w:val="000473BB"/>
    <w:rsid w:val="00047B94"/>
    <w:rsid w:val="00050275"/>
    <w:rsid w:val="00050674"/>
    <w:rsid w:val="00050BF8"/>
    <w:rsid w:val="00050E07"/>
    <w:rsid w:val="00050F32"/>
    <w:rsid w:val="00051A3C"/>
    <w:rsid w:val="00051D1C"/>
    <w:rsid w:val="000521DE"/>
    <w:rsid w:val="000521FD"/>
    <w:rsid w:val="00052289"/>
    <w:rsid w:val="0005245C"/>
    <w:rsid w:val="00052B02"/>
    <w:rsid w:val="00052C46"/>
    <w:rsid w:val="00052EE3"/>
    <w:rsid w:val="0005321F"/>
    <w:rsid w:val="0005356E"/>
    <w:rsid w:val="00053F98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5EC4"/>
    <w:rsid w:val="000562E0"/>
    <w:rsid w:val="0005659D"/>
    <w:rsid w:val="00056E1C"/>
    <w:rsid w:val="00056E58"/>
    <w:rsid w:val="00056F1A"/>
    <w:rsid w:val="000570C7"/>
    <w:rsid w:val="00057428"/>
    <w:rsid w:val="00057CB7"/>
    <w:rsid w:val="00060485"/>
    <w:rsid w:val="00060CDE"/>
    <w:rsid w:val="000615D0"/>
    <w:rsid w:val="000617D1"/>
    <w:rsid w:val="00062738"/>
    <w:rsid w:val="00062A05"/>
    <w:rsid w:val="00063109"/>
    <w:rsid w:val="00063528"/>
    <w:rsid w:val="00063906"/>
    <w:rsid w:val="00063C45"/>
    <w:rsid w:val="00063F65"/>
    <w:rsid w:val="000641B2"/>
    <w:rsid w:val="0006539C"/>
    <w:rsid w:val="00065568"/>
    <w:rsid w:val="000663B6"/>
    <w:rsid w:val="00066AC4"/>
    <w:rsid w:val="00066AD0"/>
    <w:rsid w:val="00066F74"/>
    <w:rsid w:val="00067305"/>
    <w:rsid w:val="000679D3"/>
    <w:rsid w:val="0007038C"/>
    <w:rsid w:val="00071B5F"/>
    <w:rsid w:val="00071E3F"/>
    <w:rsid w:val="000721D8"/>
    <w:rsid w:val="0007244A"/>
    <w:rsid w:val="000728F2"/>
    <w:rsid w:val="00072E4C"/>
    <w:rsid w:val="00073218"/>
    <w:rsid w:val="00073B11"/>
    <w:rsid w:val="00073F3C"/>
    <w:rsid w:val="00073FB4"/>
    <w:rsid w:val="0007439D"/>
    <w:rsid w:val="000744FC"/>
    <w:rsid w:val="00074829"/>
    <w:rsid w:val="0007561C"/>
    <w:rsid w:val="00075A94"/>
    <w:rsid w:val="00075BC6"/>
    <w:rsid w:val="00075CF8"/>
    <w:rsid w:val="00076191"/>
    <w:rsid w:val="00076416"/>
    <w:rsid w:val="00076557"/>
    <w:rsid w:val="00076EA6"/>
    <w:rsid w:val="00076F89"/>
    <w:rsid w:val="000773AB"/>
    <w:rsid w:val="00077ACA"/>
    <w:rsid w:val="0008036B"/>
    <w:rsid w:val="00080728"/>
    <w:rsid w:val="00080832"/>
    <w:rsid w:val="00080853"/>
    <w:rsid w:val="00080C2B"/>
    <w:rsid w:val="00080C55"/>
    <w:rsid w:val="0008141C"/>
    <w:rsid w:val="0008172A"/>
    <w:rsid w:val="00081853"/>
    <w:rsid w:val="00081916"/>
    <w:rsid w:val="000819E2"/>
    <w:rsid w:val="00081F46"/>
    <w:rsid w:val="00082128"/>
    <w:rsid w:val="000822BF"/>
    <w:rsid w:val="00082C74"/>
    <w:rsid w:val="00082D91"/>
    <w:rsid w:val="0008321B"/>
    <w:rsid w:val="000834FD"/>
    <w:rsid w:val="0008352C"/>
    <w:rsid w:val="00083751"/>
    <w:rsid w:val="0008453D"/>
    <w:rsid w:val="000849FE"/>
    <w:rsid w:val="00084BDF"/>
    <w:rsid w:val="000851F9"/>
    <w:rsid w:val="0008522C"/>
    <w:rsid w:val="00085231"/>
    <w:rsid w:val="00085325"/>
    <w:rsid w:val="000853A5"/>
    <w:rsid w:val="00085476"/>
    <w:rsid w:val="000855CD"/>
    <w:rsid w:val="0008560C"/>
    <w:rsid w:val="00085C0A"/>
    <w:rsid w:val="00085D01"/>
    <w:rsid w:val="00085F24"/>
    <w:rsid w:val="00086337"/>
    <w:rsid w:val="00086431"/>
    <w:rsid w:val="000867C9"/>
    <w:rsid w:val="000872BF"/>
    <w:rsid w:val="000878BC"/>
    <w:rsid w:val="00090014"/>
    <w:rsid w:val="00090AB0"/>
    <w:rsid w:val="00090DB9"/>
    <w:rsid w:val="00090F01"/>
    <w:rsid w:val="00090F5A"/>
    <w:rsid w:val="00090FA5"/>
    <w:rsid w:val="00091342"/>
    <w:rsid w:val="00091AD5"/>
    <w:rsid w:val="0009214F"/>
    <w:rsid w:val="0009232A"/>
    <w:rsid w:val="0009258D"/>
    <w:rsid w:val="00092816"/>
    <w:rsid w:val="00093120"/>
    <w:rsid w:val="00093B70"/>
    <w:rsid w:val="00094908"/>
    <w:rsid w:val="00094DB4"/>
    <w:rsid w:val="00094EF0"/>
    <w:rsid w:val="00095418"/>
    <w:rsid w:val="000957EE"/>
    <w:rsid w:val="00096402"/>
    <w:rsid w:val="0009689F"/>
    <w:rsid w:val="00096FA3"/>
    <w:rsid w:val="0009702E"/>
    <w:rsid w:val="000973C5"/>
    <w:rsid w:val="00097E88"/>
    <w:rsid w:val="000A0E8B"/>
    <w:rsid w:val="000A11F0"/>
    <w:rsid w:val="000A13E8"/>
    <w:rsid w:val="000A13FD"/>
    <w:rsid w:val="000A1657"/>
    <w:rsid w:val="000A1E9B"/>
    <w:rsid w:val="000A2941"/>
    <w:rsid w:val="000A2C62"/>
    <w:rsid w:val="000A36E9"/>
    <w:rsid w:val="000A3E7E"/>
    <w:rsid w:val="000A3F7E"/>
    <w:rsid w:val="000A4006"/>
    <w:rsid w:val="000A4749"/>
    <w:rsid w:val="000A49D5"/>
    <w:rsid w:val="000A4C07"/>
    <w:rsid w:val="000A509C"/>
    <w:rsid w:val="000A5267"/>
    <w:rsid w:val="000A545F"/>
    <w:rsid w:val="000A56F7"/>
    <w:rsid w:val="000A5714"/>
    <w:rsid w:val="000A5A79"/>
    <w:rsid w:val="000A5BDF"/>
    <w:rsid w:val="000A5C4F"/>
    <w:rsid w:val="000A5D44"/>
    <w:rsid w:val="000A5ECA"/>
    <w:rsid w:val="000A5EE8"/>
    <w:rsid w:val="000A5F4A"/>
    <w:rsid w:val="000A61B3"/>
    <w:rsid w:val="000A7032"/>
    <w:rsid w:val="000A7370"/>
    <w:rsid w:val="000A75DF"/>
    <w:rsid w:val="000A78B3"/>
    <w:rsid w:val="000B08C1"/>
    <w:rsid w:val="000B0C14"/>
    <w:rsid w:val="000B0DBC"/>
    <w:rsid w:val="000B169C"/>
    <w:rsid w:val="000B1794"/>
    <w:rsid w:val="000B2041"/>
    <w:rsid w:val="000B2255"/>
    <w:rsid w:val="000B2425"/>
    <w:rsid w:val="000B25A8"/>
    <w:rsid w:val="000B28CE"/>
    <w:rsid w:val="000B3825"/>
    <w:rsid w:val="000B3B5F"/>
    <w:rsid w:val="000B3BAF"/>
    <w:rsid w:val="000B4ABD"/>
    <w:rsid w:val="000B4B25"/>
    <w:rsid w:val="000B4B91"/>
    <w:rsid w:val="000B5706"/>
    <w:rsid w:val="000B57EF"/>
    <w:rsid w:val="000B59DC"/>
    <w:rsid w:val="000B5F77"/>
    <w:rsid w:val="000B63A1"/>
    <w:rsid w:val="000B69D9"/>
    <w:rsid w:val="000B78EB"/>
    <w:rsid w:val="000B7B7B"/>
    <w:rsid w:val="000B7E39"/>
    <w:rsid w:val="000B7ED0"/>
    <w:rsid w:val="000C04E6"/>
    <w:rsid w:val="000C06CC"/>
    <w:rsid w:val="000C07F1"/>
    <w:rsid w:val="000C0853"/>
    <w:rsid w:val="000C1D99"/>
    <w:rsid w:val="000C1DDA"/>
    <w:rsid w:val="000C2191"/>
    <w:rsid w:val="000C2C88"/>
    <w:rsid w:val="000C3CE9"/>
    <w:rsid w:val="000C3F19"/>
    <w:rsid w:val="000C48B1"/>
    <w:rsid w:val="000C499E"/>
    <w:rsid w:val="000C4CB0"/>
    <w:rsid w:val="000C4D25"/>
    <w:rsid w:val="000C591E"/>
    <w:rsid w:val="000C60A3"/>
    <w:rsid w:val="000C629B"/>
    <w:rsid w:val="000C656B"/>
    <w:rsid w:val="000C69E5"/>
    <w:rsid w:val="000C6C3C"/>
    <w:rsid w:val="000C6DC8"/>
    <w:rsid w:val="000C7BCB"/>
    <w:rsid w:val="000C7DE9"/>
    <w:rsid w:val="000C7E19"/>
    <w:rsid w:val="000D06B1"/>
    <w:rsid w:val="000D0E97"/>
    <w:rsid w:val="000D13E2"/>
    <w:rsid w:val="000D1BFE"/>
    <w:rsid w:val="000D1EC1"/>
    <w:rsid w:val="000D22A5"/>
    <w:rsid w:val="000D2D2B"/>
    <w:rsid w:val="000D2F73"/>
    <w:rsid w:val="000D3481"/>
    <w:rsid w:val="000D3C04"/>
    <w:rsid w:val="000D628D"/>
    <w:rsid w:val="000D6F93"/>
    <w:rsid w:val="000D70F7"/>
    <w:rsid w:val="000D72DE"/>
    <w:rsid w:val="000D7369"/>
    <w:rsid w:val="000D791D"/>
    <w:rsid w:val="000D7A6A"/>
    <w:rsid w:val="000D7A9E"/>
    <w:rsid w:val="000D7EB0"/>
    <w:rsid w:val="000E0019"/>
    <w:rsid w:val="000E044D"/>
    <w:rsid w:val="000E049D"/>
    <w:rsid w:val="000E04F4"/>
    <w:rsid w:val="000E0723"/>
    <w:rsid w:val="000E082C"/>
    <w:rsid w:val="000E086D"/>
    <w:rsid w:val="000E0A92"/>
    <w:rsid w:val="000E0B18"/>
    <w:rsid w:val="000E12F1"/>
    <w:rsid w:val="000E1EC2"/>
    <w:rsid w:val="000E220A"/>
    <w:rsid w:val="000E25B5"/>
    <w:rsid w:val="000E2690"/>
    <w:rsid w:val="000E2836"/>
    <w:rsid w:val="000E295D"/>
    <w:rsid w:val="000E31D2"/>
    <w:rsid w:val="000E3621"/>
    <w:rsid w:val="000E38D3"/>
    <w:rsid w:val="000E484A"/>
    <w:rsid w:val="000E49EF"/>
    <w:rsid w:val="000E4E62"/>
    <w:rsid w:val="000E4ED7"/>
    <w:rsid w:val="000E4F78"/>
    <w:rsid w:val="000E5E80"/>
    <w:rsid w:val="000E6A7A"/>
    <w:rsid w:val="000E6A8C"/>
    <w:rsid w:val="000E6C03"/>
    <w:rsid w:val="000E7644"/>
    <w:rsid w:val="000E7694"/>
    <w:rsid w:val="000E7B78"/>
    <w:rsid w:val="000E7D3E"/>
    <w:rsid w:val="000F09F5"/>
    <w:rsid w:val="000F1ACE"/>
    <w:rsid w:val="000F209F"/>
    <w:rsid w:val="000F2220"/>
    <w:rsid w:val="000F25E0"/>
    <w:rsid w:val="000F2B19"/>
    <w:rsid w:val="000F3900"/>
    <w:rsid w:val="000F3D0A"/>
    <w:rsid w:val="000F3E30"/>
    <w:rsid w:val="000F41FF"/>
    <w:rsid w:val="000F42EF"/>
    <w:rsid w:val="000F449D"/>
    <w:rsid w:val="000F49CB"/>
    <w:rsid w:val="000F503F"/>
    <w:rsid w:val="000F542D"/>
    <w:rsid w:val="000F55E2"/>
    <w:rsid w:val="000F5927"/>
    <w:rsid w:val="000F5C65"/>
    <w:rsid w:val="000F635B"/>
    <w:rsid w:val="000F707F"/>
    <w:rsid w:val="000F77E7"/>
    <w:rsid w:val="000F7A2B"/>
    <w:rsid w:val="000F7AA7"/>
    <w:rsid w:val="00100233"/>
    <w:rsid w:val="00100FAA"/>
    <w:rsid w:val="00101036"/>
    <w:rsid w:val="0010125A"/>
    <w:rsid w:val="00101CB1"/>
    <w:rsid w:val="00101CEF"/>
    <w:rsid w:val="0010292B"/>
    <w:rsid w:val="00103960"/>
    <w:rsid w:val="00103B0E"/>
    <w:rsid w:val="00103B3E"/>
    <w:rsid w:val="00103E92"/>
    <w:rsid w:val="00104283"/>
    <w:rsid w:val="001055C3"/>
    <w:rsid w:val="00105956"/>
    <w:rsid w:val="00105C43"/>
    <w:rsid w:val="00106409"/>
    <w:rsid w:val="00106704"/>
    <w:rsid w:val="001076FC"/>
    <w:rsid w:val="00107771"/>
    <w:rsid w:val="001077EB"/>
    <w:rsid w:val="00107D39"/>
    <w:rsid w:val="001106BD"/>
    <w:rsid w:val="001118F1"/>
    <w:rsid w:val="00111FB1"/>
    <w:rsid w:val="00112642"/>
    <w:rsid w:val="00112DFF"/>
    <w:rsid w:val="001130AB"/>
    <w:rsid w:val="0011329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8C5"/>
    <w:rsid w:val="00115AEA"/>
    <w:rsid w:val="0011641C"/>
    <w:rsid w:val="0011666A"/>
    <w:rsid w:val="00116A85"/>
    <w:rsid w:val="00116DD9"/>
    <w:rsid w:val="00117093"/>
    <w:rsid w:val="0011741A"/>
    <w:rsid w:val="001175F7"/>
    <w:rsid w:val="00120064"/>
    <w:rsid w:val="001202CB"/>
    <w:rsid w:val="001207C3"/>
    <w:rsid w:val="00121D77"/>
    <w:rsid w:val="00121D7E"/>
    <w:rsid w:val="0012286C"/>
    <w:rsid w:val="00122AD9"/>
    <w:rsid w:val="00122BD1"/>
    <w:rsid w:val="00122E3A"/>
    <w:rsid w:val="00122E42"/>
    <w:rsid w:val="001231C4"/>
    <w:rsid w:val="00124170"/>
    <w:rsid w:val="00124183"/>
    <w:rsid w:val="001244DF"/>
    <w:rsid w:val="001248DC"/>
    <w:rsid w:val="00124C3F"/>
    <w:rsid w:val="00124CA1"/>
    <w:rsid w:val="00124FA7"/>
    <w:rsid w:val="0012538B"/>
    <w:rsid w:val="001256DB"/>
    <w:rsid w:val="001258AA"/>
    <w:rsid w:val="0012623F"/>
    <w:rsid w:val="00126542"/>
    <w:rsid w:val="00126597"/>
    <w:rsid w:val="0012677A"/>
    <w:rsid w:val="001268C7"/>
    <w:rsid w:val="001276E3"/>
    <w:rsid w:val="001305BC"/>
    <w:rsid w:val="00130CCE"/>
    <w:rsid w:val="00131465"/>
    <w:rsid w:val="001316F9"/>
    <w:rsid w:val="001317BD"/>
    <w:rsid w:val="001318BD"/>
    <w:rsid w:val="0013191D"/>
    <w:rsid w:val="001319A0"/>
    <w:rsid w:val="00131FBF"/>
    <w:rsid w:val="0013203D"/>
    <w:rsid w:val="001322A8"/>
    <w:rsid w:val="00132721"/>
    <w:rsid w:val="001327CC"/>
    <w:rsid w:val="00133A17"/>
    <w:rsid w:val="00133CBE"/>
    <w:rsid w:val="001343CE"/>
    <w:rsid w:val="001344EE"/>
    <w:rsid w:val="00134B8F"/>
    <w:rsid w:val="00135042"/>
    <w:rsid w:val="00135658"/>
    <w:rsid w:val="00135727"/>
    <w:rsid w:val="00135C15"/>
    <w:rsid w:val="00135C1E"/>
    <w:rsid w:val="00136983"/>
    <w:rsid w:val="00136A02"/>
    <w:rsid w:val="00137C89"/>
    <w:rsid w:val="00141652"/>
    <w:rsid w:val="001416E0"/>
    <w:rsid w:val="001419D7"/>
    <w:rsid w:val="00141ABF"/>
    <w:rsid w:val="00141C1D"/>
    <w:rsid w:val="00141F5F"/>
    <w:rsid w:val="0014261B"/>
    <w:rsid w:val="001426BF"/>
    <w:rsid w:val="001426DD"/>
    <w:rsid w:val="001433FE"/>
    <w:rsid w:val="001441BA"/>
    <w:rsid w:val="00144E09"/>
    <w:rsid w:val="00144E9E"/>
    <w:rsid w:val="001453F2"/>
    <w:rsid w:val="0014591C"/>
    <w:rsid w:val="00145A5B"/>
    <w:rsid w:val="00145A5E"/>
    <w:rsid w:val="00145D1A"/>
    <w:rsid w:val="001468C2"/>
    <w:rsid w:val="00146B0E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9E4"/>
    <w:rsid w:val="00151EFB"/>
    <w:rsid w:val="0015279D"/>
    <w:rsid w:val="00152A8D"/>
    <w:rsid w:val="00152AD3"/>
    <w:rsid w:val="00152D15"/>
    <w:rsid w:val="00153444"/>
    <w:rsid w:val="00153EAA"/>
    <w:rsid w:val="00153FEB"/>
    <w:rsid w:val="00154191"/>
    <w:rsid w:val="00154952"/>
    <w:rsid w:val="00154ED5"/>
    <w:rsid w:val="001556C6"/>
    <w:rsid w:val="0015589D"/>
    <w:rsid w:val="00155A2A"/>
    <w:rsid w:val="00155F56"/>
    <w:rsid w:val="00155F76"/>
    <w:rsid w:val="0015643B"/>
    <w:rsid w:val="00156608"/>
    <w:rsid w:val="00156820"/>
    <w:rsid w:val="001569F8"/>
    <w:rsid w:val="00157675"/>
    <w:rsid w:val="001579AE"/>
    <w:rsid w:val="00157F5E"/>
    <w:rsid w:val="001601CC"/>
    <w:rsid w:val="001604D9"/>
    <w:rsid w:val="00160773"/>
    <w:rsid w:val="00160F7E"/>
    <w:rsid w:val="00161C6F"/>
    <w:rsid w:val="00161F5E"/>
    <w:rsid w:val="0016246A"/>
    <w:rsid w:val="001629E7"/>
    <w:rsid w:val="001632B9"/>
    <w:rsid w:val="0016396C"/>
    <w:rsid w:val="00163A06"/>
    <w:rsid w:val="00163B83"/>
    <w:rsid w:val="00163BF3"/>
    <w:rsid w:val="00163CD9"/>
    <w:rsid w:val="001645E7"/>
    <w:rsid w:val="00164B81"/>
    <w:rsid w:val="00164D18"/>
    <w:rsid w:val="00164F36"/>
    <w:rsid w:val="0016566E"/>
    <w:rsid w:val="001658FB"/>
    <w:rsid w:val="00165A56"/>
    <w:rsid w:val="00166166"/>
    <w:rsid w:val="00166481"/>
    <w:rsid w:val="0016709F"/>
    <w:rsid w:val="00167536"/>
    <w:rsid w:val="0016764F"/>
    <w:rsid w:val="00167779"/>
    <w:rsid w:val="001677FE"/>
    <w:rsid w:val="00171017"/>
    <w:rsid w:val="00171682"/>
    <w:rsid w:val="001718B3"/>
    <w:rsid w:val="00171A18"/>
    <w:rsid w:val="00172348"/>
    <w:rsid w:val="001746CB"/>
    <w:rsid w:val="001747FA"/>
    <w:rsid w:val="00174F1F"/>
    <w:rsid w:val="001755B0"/>
    <w:rsid w:val="001755E8"/>
    <w:rsid w:val="00175789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1225"/>
    <w:rsid w:val="0018130D"/>
    <w:rsid w:val="00181402"/>
    <w:rsid w:val="00181725"/>
    <w:rsid w:val="00181B91"/>
    <w:rsid w:val="0018212D"/>
    <w:rsid w:val="001823A6"/>
    <w:rsid w:val="0018243E"/>
    <w:rsid w:val="00182811"/>
    <w:rsid w:val="00182A77"/>
    <w:rsid w:val="00182DA3"/>
    <w:rsid w:val="00182ED1"/>
    <w:rsid w:val="00183798"/>
    <w:rsid w:val="00183A42"/>
    <w:rsid w:val="00183D64"/>
    <w:rsid w:val="00183E45"/>
    <w:rsid w:val="001842ED"/>
    <w:rsid w:val="00184895"/>
    <w:rsid w:val="001848D6"/>
    <w:rsid w:val="00184BF9"/>
    <w:rsid w:val="0018590A"/>
    <w:rsid w:val="001866A7"/>
    <w:rsid w:val="00186742"/>
    <w:rsid w:val="00186EEC"/>
    <w:rsid w:val="00186F3C"/>
    <w:rsid w:val="00187AEF"/>
    <w:rsid w:val="00187C99"/>
    <w:rsid w:val="0019138B"/>
    <w:rsid w:val="0019218B"/>
    <w:rsid w:val="001922C8"/>
    <w:rsid w:val="0019297D"/>
    <w:rsid w:val="00192BAA"/>
    <w:rsid w:val="001937B5"/>
    <w:rsid w:val="001937CB"/>
    <w:rsid w:val="00193A3D"/>
    <w:rsid w:val="0019444D"/>
    <w:rsid w:val="00194BE1"/>
    <w:rsid w:val="00194BE8"/>
    <w:rsid w:val="00194E00"/>
    <w:rsid w:val="0019650F"/>
    <w:rsid w:val="0019652C"/>
    <w:rsid w:val="001967A4"/>
    <w:rsid w:val="00196CE6"/>
    <w:rsid w:val="00196D13"/>
    <w:rsid w:val="00197FB2"/>
    <w:rsid w:val="001A07D1"/>
    <w:rsid w:val="001A1027"/>
    <w:rsid w:val="001A1065"/>
    <w:rsid w:val="001A164B"/>
    <w:rsid w:val="001A2699"/>
    <w:rsid w:val="001A2929"/>
    <w:rsid w:val="001A391B"/>
    <w:rsid w:val="001A3920"/>
    <w:rsid w:val="001A3A51"/>
    <w:rsid w:val="001A447E"/>
    <w:rsid w:val="001A4824"/>
    <w:rsid w:val="001A482C"/>
    <w:rsid w:val="001A4B3A"/>
    <w:rsid w:val="001A5200"/>
    <w:rsid w:val="001A58EA"/>
    <w:rsid w:val="001A5FB6"/>
    <w:rsid w:val="001A601C"/>
    <w:rsid w:val="001A6174"/>
    <w:rsid w:val="001A6A35"/>
    <w:rsid w:val="001A6D6E"/>
    <w:rsid w:val="001A6D72"/>
    <w:rsid w:val="001A7309"/>
    <w:rsid w:val="001A730F"/>
    <w:rsid w:val="001A77C1"/>
    <w:rsid w:val="001A79A3"/>
    <w:rsid w:val="001B0329"/>
    <w:rsid w:val="001B06A1"/>
    <w:rsid w:val="001B0BE7"/>
    <w:rsid w:val="001B1165"/>
    <w:rsid w:val="001B189F"/>
    <w:rsid w:val="001B19A8"/>
    <w:rsid w:val="001B1A20"/>
    <w:rsid w:val="001B1CD4"/>
    <w:rsid w:val="001B27E9"/>
    <w:rsid w:val="001B2E9E"/>
    <w:rsid w:val="001B35E0"/>
    <w:rsid w:val="001B3970"/>
    <w:rsid w:val="001B3F5D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AD"/>
    <w:rsid w:val="001B67E6"/>
    <w:rsid w:val="001B6B19"/>
    <w:rsid w:val="001B6F75"/>
    <w:rsid w:val="001B711C"/>
    <w:rsid w:val="001B76BE"/>
    <w:rsid w:val="001B7A5B"/>
    <w:rsid w:val="001B7E21"/>
    <w:rsid w:val="001B7E65"/>
    <w:rsid w:val="001C0001"/>
    <w:rsid w:val="001C088A"/>
    <w:rsid w:val="001C0B74"/>
    <w:rsid w:val="001C1977"/>
    <w:rsid w:val="001C1C2E"/>
    <w:rsid w:val="001C2B16"/>
    <w:rsid w:val="001C2E0D"/>
    <w:rsid w:val="001C2F89"/>
    <w:rsid w:val="001C3B96"/>
    <w:rsid w:val="001C3BBD"/>
    <w:rsid w:val="001C456E"/>
    <w:rsid w:val="001C48EB"/>
    <w:rsid w:val="001C492F"/>
    <w:rsid w:val="001C4B29"/>
    <w:rsid w:val="001C4BBF"/>
    <w:rsid w:val="001C555C"/>
    <w:rsid w:val="001C649A"/>
    <w:rsid w:val="001C65F9"/>
    <w:rsid w:val="001C6F61"/>
    <w:rsid w:val="001C718B"/>
    <w:rsid w:val="001C7AC3"/>
    <w:rsid w:val="001C7DCC"/>
    <w:rsid w:val="001C7E3B"/>
    <w:rsid w:val="001C7EAA"/>
    <w:rsid w:val="001D0A2A"/>
    <w:rsid w:val="001D0B2E"/>
    <w:rsid w:val="001D0C3D"/>
    <w:rsid w:val="001D10FA"/>
    <w:rsid w:val="001D163A"/>
    <w:rsid w:val="001D1680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3AF5"/>
    <w:rsid w:val="001D4050"/>
    <w:rsid w:val="001D4561"/>
    <w:rsid w:val="001D4AAF"/>
    <w:rsid w:val="001D4C2D"/>
    <w:rsid w:val="001D4E4F"/>
    <w:rsid w:val="001D5309"/>
    <w:rsid w:val="001D57E4"/>
    <w:rsid w:val="001D587D"/>
    <w:rsid w:val="001D794A"/>
    <w:rsid w:val="001D7EAE"/>
    <w:rsid w:val="001E0061"/>
    <w:rsid w:val="001E0315"/>
    <w:rsid w:val="001E0C8B"/>
    <w:rsid w:val="001E0CB2"/>
    <w:rsid w:val="001E1607"/>
    <w:rsid w:val="001E1956"/>
    <w:rsid w:val="001E1D5A"/>
    <w:rsid w:val="001E2092"/>
    <w:rsid w:val="001E2A9D"/>
    <w:rsid w:val="001E2F46"/>
    <w:rsid w:val="001E3826"/>
    <w:rsid w:val="001E389E"/>
    <w:rsid w:val="001E416B"/>
    <w:rsid w:val="001E418B"/>
    <w:rsid w:val="001E43F6"/>
    <w:rsid w:val="001E453B"/>
    <w:rsid w:val="001E45D2"/>
    <w:rsid w:val="001E4748"/>
    <w:rsid w:val="001E4832"/>
    <w:rsid w:val="001E57AB"/>
    <w:rsid w:val="001E58E4"/>
    <w:rsid w:val="001E5A98"/>
    <w:rsid w:val="001E5C3B"/>
    <w:rsid w:val="001E5E41"/>
    <w:rsid w:val="001E63C1"/>
    <w:rsid w:val="001E641B"/>
    <w:rsid w:val="001E668D"/>
    <w:rsid w:val="001E68B2"/>
    <w:rsid w:val="001E68F5"/>
    <w:rsid w:val="001E6D4C"/>
    <w:rsid w:val="001E6D9E"/>
    <w:rsid w:val="001E7249"/>
    <w:rsid w:val="001E76D5"/>
    <w:rsid w:val="001E79D0"/>
    <w:rsid w:val="001E7AE0"/>
    <w:rsid w:val="001E7D4B"/>
    <w:rsid w:val="001E7FFC"/>
    <w:rsid w:val="001F0066"/>
    <w:rsid w:val="001F0BB9"/>
    <w:rsid w:val="001F0BC1"/>
    <w:rsid w:val="001F16EE"/>
    <w:rsid w:val="001F1A92"/>
    <w:rsid w:val="001F1F57"/>
    <w:rsid w:val="001F217D"/>
    <w:rsid w:val="001F24A6"/>
    <w:rsid w:val="001F264B"/>
    <w:rsid w:val="001F2AF2"/>
    <w:rsid w:val="001F3453"/>
    <w:rsid w:val="001F3934"/>
    <w:rsid w:val="001F396F"/>
    <w:rsid w:val="001F3DD9"/>
    <w:rsid w:val="001F41D0"/>
    <w:rsid w:val="001F445D"/>
    <w:rsid w:val="001F49DB"/>
    <w:rsid w:val="001F4B7F"/>
    <w:rsid w:val="001F4BFD"/>
    <w:rsid w:val="001F4F92"/>
    <w:rsid w:val="001F5020"/>
    <w:rsid w:val="001F559B"/>
    <w:rsid w:val="001F5A2A"/>
    <w:rsid w:val="001F6076"/>
    <w:rsid w:val="001F6159"/>
    <w:rsid w:val="001F62FB"/>
    <w:rsid w:val="001F6607"/>
    <w:rsid w:val="001F68CD"/>
    <w:rsid w:val="001F691C"/>
    <w:rsid w:val="001F711E"/>
    <w:rsid w:val="001F740C"/>
    <w:rsid w:val="001F78DB"/>
    <w:rsid w:val="001F7AB7"/>
    <w:rsid w:val="0020003C"/>
    <w:rsid w:val="0020035A"/>
    <w:rsid w:val="00200552"/>
    <w:rsid w:val="002007B3"/>
    <w:rsid w:val="002008C3"/>
    <w:rsid w:val="00200A39"/>
    <w:rsid w:val="002010CA"/>
    <w:rsid w:val="00201480"/>
    <w:rsid w:val="002014C2"/>
    <w:rsid w:val="00201BAE"/>
    <w:rsid w:val="00201C4F"/>
    <w:rsid w:val="00201CD3"/>
    <w:rsid w:val="00202AEC"/>
    <w:rsid w:val="00202D4D"/>
    <w:rsid w:val="00202E1D"/>
    <w:rsid w:val="00202F91"/>
    <w:rsid w:val="00203788"/>
    <w:rsid w:val="002038B2"/>
    <w:rsid w:val="00203DF0"/>
    <w:rsid w:val="00203F77"/>
    <w:rsid w:val="00204070"/>
    <w:rsid w:val="0020473E"/>
    <w:rsid w:val="00204DC2"/>
    <w:rsid w:val="0020520F"/>
    <w:rsid w:val="002053F1"/>
    <w:rsid w:val="002055DA"/>
    <w:rsid w:val="002059FD"/>
    <w:rsid w:val="00205C1D"/>
    <w:rsid w:val="00205DE4"/>
    <w:rsid w:val="00206065"/>
    <w:rsid w:val="0020630C"/>
    <w:rsid w:val="002065FA"/>
    <w:rsid w:val="00206C3F"/>
    <w:rsid w:val="00206F66"/>
    <w:rsid w:val="0020701F"/>
    <w:rsid w:val="0020705B"/>
    <w:rsid w:val="002072B8"/>
    <w:rsid w:val="002073BC"/>
    <w:rsid w:val="0020792D"/>
    <w:rsid w:val="00207A52"/>
    <w:rsid w:val="00207AE7"/>
    <w:rsid w:val="00207EEB"/>
    <w:rsid w:val="0021020D"/>
    <w:rsid w:val="002107C2"/>
    <w:rsid w:val="0021095E"/>
    <w:rsid w:val="00210EA9"/>
    <w:rsid w:val="00211287"/>
    <w:rsid w:val="002112A1"/>
    <w:rsid w:val="00211708"/>
    <w:rsid w:val="00211909"/>
    <w:rsid w:val="00211E0B"/>
    <w:rsid w:val="00212478"/>
    <w:rsid w:val="0021388F"/>
    <w:rsid w:val="002138F2"/>
    <w:rsid w:val="002141AD"/>
    <w:rsid w:val="0021422E"/>
    <w:rsid w:val="002142FC"/>
    <w:rsid w:val="00214446"/>
    <w:rsid w:val="002145B6"/>
    <w:rsid w:val="00215612"/>
    <w:rsid w:val="00215974"/>
    <w:rsid w:val="002178EA"/>
    <w:rsid w:val="00220049"/>
    <w:rsid w:val="002202D3"/>
    <w:rsid w:val="0022055C"/>
    <w:rsid w:val="00220657"/>
    <w:rsid w:val="00220FB8"/>
    <w:rsid w:val="00221698"/>
    <w:rsid w:val="00221B06"/>
    <w:rsid w:val="00221E5F"/>
    <w:rsid w:val="00221ED8"/>
    <w:rsid w:val="00222CF2"/>
    <w:rsid w:val="002231D5"/>
    <w:rsid w:val="00223665"/>
    <w:rsid w:val="002239F2"/>
    <w:rsid w:val="00223C06"/>
    <w:rsid w:val="00223E25"/>
    <w:rsid w:val="00224178"/>
    <w:rsid w:val="00224342"/>
    <w:rsid w:val="00224417"/>
    <w:rsid w:val="0022512B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A36"/>
    <w:rsid w:val="00230275"/>
    <w:rsid w:val="00230568"/>
    <w:rsid w:val="00230AA0"/>
    <w:rsid w:val="00230C75"/>
    <w:rsid w:val="002310EC"/>
    <w:rsid w:val="00231A23"/>
    <w:rsid w:val="00231E37"/>
    <w:rsid w:val="00232029"/>
    <w:rsid w:val="00232234"/>
    <w:rsid w:val="002322B2"/>
    <w:rsid w:val="00232A76"/>
    <w:rsid w:val="00232D4C"/>
    <w:rsid w:val="00232F32"/>
    <w:rsid w:val="00233035"/>
    <w:rsid w:val="002331B8"/>
    <w:rsid w:val="00233606"/>
    <w:rsid w:val="00233B65"/>
    <w:rsid w:val="00233F17"/>
    <w:rsid w:val="00234399"/>
    <w:rsid w:val="002352D7"/>
    <w:rsid w:val="00235911"/>
    <w:rsid w:val="00235924"/>
    <w:rsid w:val="0023597E"/>
    <w:rsid w:val="0023599C"/>
    <w:rsid w:val="00235BAE"/>
    <w:rsid w:val="00236288"/>
    <w:rsid w:val="00236493"/>
    <w:rsid w:val="00236760"/>
    <w:rsid w:val="00236DA8"/>
    <w:rsid w:val="002370D0"/>
    <w:rsid w:val="00237D37"/>
    <w:rsid w:val="0024097D"/>
    <w:rsid w:val="00241495"/>
    <w:rsid w:val="00241B52"/>
    <w:rsid w:val="00241BCB"/>
    <w:rsid w:val="00241C95"/>
    <w:rsid w:val="002424FC"/>
    <w:rsid w:val="0024277A"/>
    <w:rsid w:val="00243613"/>
    <w:rsid w:val="0024378E"/>
    <w:rsid w:val="00243906"/>
    <w:rsid w:val="00243A2D"/>
    <w:rsid w:val="00243D16"/>
    <w:rsid w:val="00244187"/>
    <w:rsid w:val="00244B9B"/>
    <w:rsid w:val="00245288"/>
    <w:rsid w:val="002452EA"/>
    <w:rsid w:val="002454E6"/>
    <w:rsid w:val="00245727"/>
    <w:rsid w:val="00245850"/>
    <w:rsid w:val="002468A1"/>
    <w:rsid w:val="00246FCB"/>
    <w:rsid w:val="00247040"/>
    <w:rsid w:val="00247441"/>
    <w:rsid w:val="002477D6"/>
    <w:rsid w:val="00247804"/>
    <w:rsid w:val="0024784B"/>
    <w:rsid w:val="00247A0D"/>
    <w:rsid w:val="00247A8C"/>
    <w:rsid w:val="00247AFD"/>
    <w:rsid w:val="00247EF9"/>
    <w:rsid w:val="002500C2"/>
    <w:rsid w:val="0025010E"/>
    <w:rsid w:val="00250115"/>
    <w:rsid w:val="002513FC"/>
    <w:rsid w:val="0025166D"/>
    <w:rsid w:val="002516C5"/>
    <w:rsid w:val="00252262"/>
    <w:rsid w:val="00252999"/>
    <w:rsid w:val="00252CA2"/>
    <w:rsid w:val="00252E43"/>
    <w:rsid w:val="00253B9C"/>
    <w:rsid w:val="00253D78"/>
    <w:rsid w:val="0025480F"/>
    <w:rsid w:val="00254A73"/>
    <w:rsid w:val="002553C7"/>
    <w:rsid w:val="00255EB2"/>
    <w:rsid w:val="002560D8"/>
    <w:rsid w:val="002565D8"/>
    <w:rsid w:val="00256992"/>
    <w:rsid w:val="002576B1"/>
    <w:rsid w:val="00260562"/>
    <w:rsid w:val="00260714"/>
    <w:rsid w:val="00261144"/>
    <w:rsid w:val="00261A10"/>
    <w:rsid w:val="00261C03"/>
    <w:rsid w:val="00261E6F"/>
    <w:rsid w:val="00261EB6"/>
    <w:rsid w:val="00261F08"/>
    <w:rsid w:val="00262A5E"/>
    <w:rsid w:val="002633BE"/>
    <w:rsid w:val="00263AF9"/>
    <w:rsid w:val="00263E20"/>
    <w:rsid w:val="00263FC0"/>
    <w:rsid w:val="002640B7"/>
    <w:rsid w:val="00264B64"/>
    <w:rsid w:val="002653B6"/>
    <w:rsid w:val="0026553D"/>
    <w:rsid w:val="0026684F"/>
    <w:rsid w:val="002668D3"/>
    <w:rsid w:val="0026773F"/>
    <w:rsid w:val="00267A31"/>
    <w:rsid w:val="00267DE4"/>
    <w:rsid w:val="00267DF1"/>
    <w:rsid w:val="0027012B"/>
    <w:rsid w:val="002701E8"/>
    <w:rsid w:val="00270555"/>
    <w:rsid w:val="002705EA"/>
    <w:rsid w:val="002706A7"/>
    <w:rsid w:val="00270CEC"/>
    <w:rsid w:val="00270EFB"/>
    <w:rsid w:val="00271621"/>
    <w:rsid w:val="002723E3"/>
    <w:rsid w:val="0027260F"/>
    <w:rsid w:val="00273C0E"/>
    <w:rsid w:val="002748AE"/>
    <w:rsid w:val="00274A10"/>
    <w:rsid w:val="00274F84"/>
    <w:rsid w:val="00274FA3"/>
    <w:rsid w:val="00275193"/>
    <w:rsid w:val="00276907"/>
    <w:rsid w:val="00276D18"/>
    <w:rsid w:val="00276D86"/>
    <w:rsid w:val="00276FF1"/>
    <w:rsid w:val="00277121"/>
    <w:rsid w:val="002771EA"/>
    <w:rsid w:val="00277EF8"/>
    <w:rsid w:val="0028022D"/>
    <w:rsid w:val="002806CD"/>
    <w:rsid w:val="00280738"/>
    <w:rsid w:val="002807DA"/>
    <w:rsid w:val="00280913"/>
    <w:rsid w:val="00280CE6"/>
    <w:rsid w:val="002811B0"/>
    <w:rsid w:val="00281339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4832"/>
    <w:rsid w:val="0028508F"/>
    <w:rsid w:val="002856DF"/>
    <w:rsid w:val="00285731"/>
    <w:rsid w:val="00285875"/>
    <w:rsid w:val="00285B82"/>
    <w:rsid w:val="00285C02"/>
    <w:rsid w:val="00286527"/>
    <w:rsid w:val="00286962"/>
    <w:rsid w:val="00286992"/>
    <w:rsid w:val="00286A25"/>
    <w:rsid w:val="00286A60"/>
    <w:rsid w:val="00286B8D"/>
    <w:rsid w:val="00286E63"/>
    <w:rsid w:val="00287651"/>
    <w:rsid w:val="00287DDE"/>
    <w:rsid w:val="00290260"/>
    <w:rsid w:val="002902ED"/>
    <w:rsid w:val="002902F1"/>
    <w:rsid w:val="0029075C"/>
    <w:rsid w:val="00290CBF"/>
    <w:rsid w:val="00291417"/>
    <w:rsid w:val="002914B3"/>
    <w:rsid w:val="002922C5"/>
    <w:rsid w:val="00292355"/>
    <w:rsid w:val="0029287A"/>
    <w:rsid w:val="0029328F"/>
    <w:rsid w:val="0029370C"/>
    <w:rsid w:val="002940F9"/>
    <w:rsid w:val="00294502"/>
    <w:rsid w:val="00294E64"/>
    <w:rsid w:val="00295087"/>
    <w:rsid w:val="00295122"/>
    <w:rsid w:val="0029520A"/>
    <w:rsid w:val="00295315"/>
    <w:rsid w:val="00295A93"/>
    <w:rsid w:val="00295B5D"/>
    <w:rsid w:val="00295EFC"/>
    <w:rsid w:val="0029650F"/>
    <w:rsid w:val="00296AA5"/>
    <w:rsid w:val="00297661"/>
    <w:rsid w:val="0029772B"/>
    <w:rsid w:val="00297A1A"/>
    <w:rsid w:val="00297BF1"/>
    <w:rsid w:val="00297D3D"/>
    <w:rsid w:val="002A0082"/>
    <w:rsid w:val="002A02FE"/>
    <w:rsid w:val="002A0552"/>
    <w:rsid w:val="002A091A"/>
    <w:rsid w:val="002A130C"/>
    <w:rsid w:val="002A1679"/>
    <w:rsid w:val="002A17EA"/>
    <w:rsid w:val="002A1815"/>
    <w:rsid w:val="002A18C3"/>
    <w:rsid w:val="002A1F17"/>
    <w:rsid w:val="002A20E9"/>
    <w:rsid w:val="002A2279"/>
    <w:rsid w:val="002A28B1"/>
    <w:rsid w:val="002A2937"/>
    <w:rsid w:val="002A2D90"/>
    <w:rsid w:val="002A39A3"/>
    <w:rsid w:val="002A3A62"/>
    <w:rsid w:val="002A3B98"/>
    <w:rsid w:val="002A4667"/>
    <w:rsid w:val="002A46D6"/>
    <w:rsid w:val="002A4B22"/>
    <w:rsid w:val="002A4CFB"/>
    <w:rsid w:val="002A5276"/>
    <w:rsid w:val="002A60BD"/>
    <w:rsid w:val="002A6437"/>
    <w:rsid w:val="002A6571"/>
    <w:rsid w:val="002A6752"/>
    <w:rsid w:val="002A6C4B"/>
    <w:rsid w:val="002A6DC6"/>
    <w:rsid w:val="002A7059"/>
    <w:rsid w:val="002A706D"/>
    <w:rsid w:val="002A7431"/>
    <w:rsid w:val="002A77B5"/>
    <w:rsid w:val="002A7B0C"/>
    <w:rsid w:val="002B0534"/>
    <w:rsid w:val="002B05BB"/>
    <w:rsid w:val="002B0775"/>
    <w:rsid w:val="002B0C1D"/>
    <w:rsid w:val="002B1337"/>
    <w:rsid w:val="002B25DC"/>
    <w:rsid w:val="002B2D52"/>
    <w:rsid w:val="002B33D1"/>
    <w:rsid w:val="002B33E9"/>
    <w:rsid w:val="002B3676"/>
    <w:rsid w:val="002B3F57"/>
    <w:rsid w:val="002B4224"/>
    <w:rsid w:val="002B4541"/>
    <w:rsid w:val="002B45B7"/>
    <w:rsid w:val="002B48A1"/>
    <w:rsid w:val="002B4ACE"/>
    <w:rsid w:val="002B4BE1"/>
    <w:rsid w:val="002B4F81"/>
    <w:rsid w:val="002B4FE0"/>
    <w:rsid w:val="002B5103"/>
    <w:rsid w:val="002B520E"/>
    <w:rsid w:val="002B5536"/>
    <w:rsid w:val="002B593E"/>
    <w:rsid w:val="002B59BC"/>
    <w:rsid w:val="002B5BBD"/>
    <w:rsid w:val="002B5BE9"/>
    <w:rsid w:val="002B5E89"/>
    <w:rsid w:val="002B6311"/>
    <w:rsid w:val="002B6C82"/>
    <w:rsid w:val="002B70D5"/>
    <w:rsid w:val="002B738A"/>
    <w:rsid w:val="002B7978"/>
    <w:rsid w:val="002B79CD"/>
    <w:rsid w:val="002B7E11"/>
    <w:rsid w:val="002B7F11"/>
    <w:rsid w:val="002C004D"/>
    <w:rsid w:val="002C0070"/>
    <w:rsid w:val="002C0371"/>
    <w:rsid w:val="002C0562"/>
    <w:rsid w:val="002C06ED"/>
    <w:rsid w:val="002C113A"/>
    <w:rsid w:val="002C1255"/>
    <w:rsid w:val="002C1426"/>
    <w:rsid w:val="002C1566"/>
    <w:rsid w:val="002C1F2D"/>
    <w:rsid w:val="002C1FF8"/>
    <w:rsid w:val="002C2062"/>
    <w:rsid w:val="002C2A99"/>
    <w:rsid w:val="002C3AA9"/>
    <w:rsid w:val="002C3C7D"/>
    <w:rsid w:val="002C4053"/>
    <w:rsid w:val="002C44C1"/>
    <w:rsid w:val="002C4512"/>
    <w:rsid w:val="002C45B7"/>
    <w:rsid w:val="002C488B"/>
    <w:rsid w:val="002C4FDC"/>
    <w:rsid w:val="002C561D"/>
    <w:rsid w:val="002C58BB"/>
    <w:rsid w:val="002C5952"/>
    <w:rsid w:val="002C5963"/>
    <w:rsid w:val="002C5BF8"/>
    <w:rsid w:val="002C5DFF"/>
    <w:rsid w:val="002C610A"/>
    <w:rsid w:val="002C616D"/>
    <w:rsid w:val="002C6339"/>
    <w:rsid w:val="002C640D"/>
    <w:rsid w:val="002C6539"/>
    <w:rsid w:val="002C659F"/>
    <w:rsid w:val="002C66A8"/>
    <w:rsid w:val="002C6A7C"/>
    <w:rsid w:val="002C6DBA"/>
    <w:rsid w:val="002C6E23"/>
    <w:rsid w:val="002C6F17"/>
    <w:rsid w:val="002C7334"/>
    <w:rsid w:val="002C7709"/>
    <w:rsid w:val="002C78CF"/>
    <w:rsid w:val="002D08FC"/>
    <w:rsid w:val="002D0B15"/>
    <w:rsid w:val="002D0C97"/>
    <w:rsid w:val="002D0DDD"/>
    <w:rsid w:val="002D0F71"/>
    <w:rsid w:val="002D139F"/>
    <w:rsid w:val="002D24CD"/>
    <w:rsid w:val="002D2A4C"/>
    <w:rsid w:val="002D30C7"/>
    <w:rsid w:val="002D3495"/>
    <w:rsid w:val="002D35E9"/>
    <w:rsid w:val="002D4109"/>
    <w:rsid w:val="002D42BE"/>
    <w:rsid w:val="002D454E"/>
    <w:rsid w:val="002D48CE"/>
    <w:rsid w:val="002D5086"/>
    <w:rsid w:val="002D512A"/>
    <w:rsid w:val="002D5D34"/>
    <w:rsid w:val="002D6989"/>
    <w:rsid w:val="002D6C5A"/>
    <w:rsid w:val="002D7DF3"/>
    <w:rsid w:val="002E0571"/>
    <w:rsid w:val="002E090C"/>
    <w:rsid w:val="002E0E60"/>
    <w:rsid w:val="002E0FF5"/>
    <w:rsid w:val="002E16B9"/>
    <w:rsid w:val="002E170C"/>
    <w:rsid w:val="002E1B90"/>
    <w:rsid w:val="002E1E39"/>
    <w:rsid w:val="002E291B"/>
    <w:rsid w:val="002E2B4E"/>
    <w:rsid w:val="002E2CFA"/>
    <w:rsid w:val="002E324C"/>
    <w:rsid w:val="002E38EF"/>
    <w:rsid w:val="002E391D"/>
    <w:rsid w:val="002E391F"/>
    <w:rsid w:val="002E41BB"/>
    <w:rsid w:val="002E46CB"/>
    <w:rsid w:val="002E4A55"/>
    <w:rsid w:val="002E4D79"/>
    <w:rsid w:val="002E54F7"/>
    <w:rsid w:val="002E55DC"/>
    <w:rsid w:val="002E55E4"/>
    <w:rsid w:val="002E5FCA"/>
    <w:rsid w:val="002E6675"/>
    <w:rsid w:val="002E698C"/>
    <w:rsid w:val="002E71F6"/>
    <w:rsid w:val="002E7377"/>
    <w:rsid w:val="002E74EE"/>
    <w:rsid w:val="002E75BF"/>
    <w:rsid w:val="002E78A7"/>
    <w:rsid w:val="002E7E66"/>
    <w:rsid w:val="002F02D9"/>
    <w:rsid w:val="002F03D1"/>
    <w:rsid w:val="002F05A9"/>
    <w:rsid w:val="002F0A14"/>
    <w:rsid w:val="002F13D4"/>
    <w:rsid w:val="002F196C"/>
    <w:rsid w:val="002F19A3"/>
    <w:rsid w:val="002F222D"/>
    <w:rsid w:val="002F271F"/>
    <w:rsid w:val="002F2E23"/>
    <w:rsid w:val="002F321A"/>
    <w:rsid w:val="002F35AD"/>
    <w:rsid w:val="002F375E"/>
    <w:rsid w:val="002F38D0"/>
    <w:rsid w:val="002F5061"/>
    <w:rsid w:val="002F5762"/>
    <w:rsid w:val="002F584E"/>
    <w:rsid w:val="002F62E6"/>
    <w:rsid w:val="002F660E"/>
    <w:rsid w:val="002F6ECE"/>
    <w:rsid w:val="002F6F90"/>
    <w:rsid w:val="002F71C4"/>
    <w:rsid w:val="002F7BA5"/>
    <w:rsid w:val="003008F2"/>
    <w:rsid w:val="00300DE8"/>
    <w:rsid w:val="00301691"/>
    <w:rsid w:val="003026D8"/>
    <w:rsid w:val="00302EA8"/>
    <w:rsid w:val="003033EF"/>
    <w:rsid w:val="00303714"/>
    <w:rsid w:val="00303AD6"/>
    <w:rsid w:val="00303BD9"/>
    <w:rsid w:val="00303C4F"/>
    <w:rsid w:val="00303DE9"/>
    <w:rsid w:val="00303DFA"/>
    <w:rsid w:val="00303FB3"/>
    <w:rsid w:val="0030463F"/>
    <w:rsid w:val="00304A16"/>
    <w:rsid w:val="003056BB"/>
    <w:rsid w:val="003060FB"/>
    <w:rsid w:val="003061F0"/>
    <w:rsid w:val="003065EB"/>
    <w:rsid w:val="003065F1"/>
    <w:rsid w:val="00306A28"/>
    <w:rsid w:val="00306CED"/>
    <w:rsid w:val="00306DB7"/>
    <w:rsid w:val="00307089"/>
    <w:rsid w:val="003074CF"/>
    <w:rsid w:val="00307A16"/>
    <w:rsid w:val="00307F98"/>
    <w:rsid w:val="00310273"/>
    <w:rsid w:val="003125AE"/>
    <w:rsid w:val="003130EA"/>
    <w:rsid w:val="003135C0"/>
    <w:rsid w:val="00313968"/>
    <w:rsid w:val="0031446D"/>
    <w:rsid w:val="00314558"/>
    <w:rsid w:val="0031459F"/>
    <w:rsid w:val="0031551F"/>
    <w:rsid w:val="00315B0B"/>
    <w:rsid w:val="00315F85"/>
    <w:rsid w:val="00315FB7"/>
    <w:rsid w:val="0031628A"/>
    <w:rsid w:val="0031647C"/>
    <w:rsid w:val="00316530"/>
    <w:rsid w:val="003165D4"/>
    <w:rsid w:val="0031675F"/>
    <w:rsid w:val="00316BCB"/>
    <w:rsid w:val="0031735F"/>
    <w:rsid w:val="00317CA9"/>
    <w:rsid w:val="00317CD3"/>
    <w:rsid w:val="00320FC2"/>
    <w:rsid w:val="003211FC"/>
    <w:rsid w:val="00321595"/>
    <w:rsid w:val="003216DC"/>
    <w:rsid w:val="00323475"/>
    <w:rsid w:val="00323ED7"/>
    <w:rsid w:val="00324328"/>
    <w:rsid w:val="00325142"/>
    <w:rsid w:val="003252EC"/>
    <w:rsid w:val="00325610"/>
    <w:rsid w:val="00325B28"/>
    <w:rsid w:val="00325D2E"/>
    <w:rsid w:val="0032611A"/>
    <w:rsid w:val="00326274"/>
    <w:rsid w:val="00326612"/>
    <w:rsid w:val="00326719"/>
    <w:rsid w:val="00326D70"/>
    <w:rsid w:val="00326FC7"/>
    <w:rsid w:val="003271E7"/>
    <w:rsid w:val="003275F1"/>
    <w:rsid w:val="0032762F"/>
    <w:rsid w:val="00330263"/>
    <w:rsid w:val="003308F0"/>
    <w:rsid w:val="003309DF"/>
    <w:rsid w:val="003311E2"/>
    <w:rsid w:val="00331658"/>
    <w:rsid w:val="003319DD"/>
    <w:rsid w:val="003319F8"/>
    <w:rsid w:val="0033247B"/>
    <w:rsid w:val="00333E78"/>
    <w:rsid w:val="00333F86"/>
    <w:rsid w:val="00334041"/>
    <w:rsid w:val="0033466E"/>
    <w:rsid w:val="00334C15"/>
    <w:rsid w:val="00334D28"/>
    <w:rsid w:val="003356AC"/>
    <w:rsid w:val="00335A64"/>
    <w:rsid w:val="003364A8"/>
    <w:rsid w:val="003367E9"/>
    <w:rsid w:val="00336C97"/>
    <w:rsid w:val="00336FCE"/>
    <w:rsid w:val="0033740F"/>
    <w:rsid w:val="00337885"/>
    <w:rsid w:val="00337CCB"/>
    <w:rsid w:val="0034002E"/>
    <w:rsid w:val="003401EF"/>
    <w:rsid w:val="003403DF"/>
    <w:rsid w:val="003411FB"/>
    <w:rsid w:val="0034133D"/>
    <w:rsid w:val="0034190C"/>
    <w:rsid w:val="00341D71"/>
    <w:rsid w:val="00341F93"/>
    <w:rsid w:val="003422CC"/>
    <w:rsid w:val="00342586"/>
    <w:rsid w:val="003426E4"/>
    <w:rsid w:val="003430D6"/>
    <w:rsid w:val="003432D5"/>
    <w:rsid w:val="0034386F"/>
    <w:rsid w:val="00343AB1"/>
    <w:rsid w:val="00343EC8"/>
    <w:rsid w:val="003444C4"/>
    <w:rsid w:val="00344662"/>
    <w:rsid w:val="0034549B"/>
    <w:rsid w:val="00345A25"/>
    <w:rsid w:val="00346ADF"/>
    <w:rsid w:val="00346E29"/>
    <w:rsid w:val="0034738E"/>
    <w:rsid w:val="00347457"/>
    <w:rsid w:val="00347A93"/>
    <w:rsid w:val="00347BA1"/>
    <w:rsid w:val="00347BCB"/>
    <w:rsid w:val="00347EDF"/>
    <w:rsid w:val="003500C8"/>
    <w:rsid w:val="003502B3"/>
    <w:rsid w:val="00350785"/>
    <w:rsid w:val="00350B3D"/>
    <w:rsid w:val="00350CE5"/>
    <w:rsid w:val="00351AE6"/>
    <w:rsid w:val="0035229C"/>
    <w:rsid w:val="00352670"/>
    <w:rsid w:val="003539A6"/>
    <w:rsid w:val="00354051"/>
    <w:rsid w:val="00354510"/>
    <w:rsid w:val="003546DF"/>
    <w:rsid w:val="00354A03"/>
    <w:rsid w:val="00354B16"/>
    <w:rsid w:val="0035533B"/>
    <w:rsid w:val="00355852"/>
    <w:rsid w:val="00355950"/>
    <w:rsid w:val="00355AB0"/>
    <w:rsid w:val="00356B7D"/>
    <w:rsid w:val="00356C66"/>
    <w:rsid w:val="003570EC"/>
    <w:rsid w:val="00357422"/>
    <w:rsid w:val="00357503"/>
    <w:rsid w:val="00357F64"/>
    <w:rsid w:val="003604D9"/>
    <w:rsid w:val="00360A91"/>
    <w:rsid w:val="00360D8E"/>
    <w:rsid w:val="0036124F"/>
    <w:rsid w:val="00361537"/>
    <w:rsid w:val="00361607"/>
    <w:rsid w:val="00361C7A"/>
    <w:rsid w:val="00362548"/>
    <w:rsid w:val="003634E8"/>
    <w:rsid w:val="003635EC"/>
    <w:rsid w:val="003637BB"/>
    <w:rsid w:val="00363867"/>
    <w:rsid w:val="003640D1"/>
    <w:rsid w:val="00364606"/>
    <w:rsid w:val="00364649"/>
    <w:rsid w:val="00364878"/>
    <w:rsid w:val="00364A5C"/>
    <w:rsid w:val="00365115"/>
    <w:rsid w:val="003652CE"/>
    <w:rsid w:val="00365903"/>
    <w:rsid w:val="00366026"/>
    <w:rsid w:val="0036604E"/>
    <w:rsid w:val="00366204"/>
    <w:rsid w:val="00366365"/>
    <w:rsid w:val="003664A1"/>
    <w:rsid w:val="00366983"/>
    <w:rsid w:val="00366B32"/>
    <w:rsid w:val="00366BC2"/>
    <w:rsid w:val="00366F60"/>
    <w:rsid w:val="0036729E"/>
    <w:rsid w:val="003677B5"/>
    <w:rsid w:val="00367CD1"/>
    <w:rsid w:val="00367E2A"/>
    <w:rsid w:val="00370481"/>
    <w:rsid w:val="00370637"/>
    <w:rsid w:val="00370960"/>
    <w:rsid w:val="00370C46"/>
    <w:rsid w:val="00370E6F"/>
    <w:rsid w:val="00371092"/>
    <w:rsid w:val="0037115E"/>
    <w:rsid w:val="003715A0"/>
    <w:rsid w:val="003717EA"/>
    <w:rsid w:val="00371BF4"/>
    <w:rsid w:val="00371D47"/>
    <w:rsid w:val="00371E79"/>
    <w:rsid w:val="00372237"/>
    <w:rsid w:val="00372540"/>
    <w:rsid w:val="0037290B"/>
    <w:rsid w:val="00372E24"/>
    <w:rsid w:val="00373044"/>
    <w:rsid w:val="00373721"/>
    <w:rsid w:val="003738A8"/>
    <w:rsid w:val="00373F7B"/>
    <w:rsid w:val="00374646"/>
    <w:rsid w:val="00375032"/>
    <w:rsid w:val="00375491"/>
    <w:rsid w:val="003759B6"/>
    <w:rsid w:val="00375A81"/>
    <w:rsid w:val="00376456"/>
    <w:rsid w:val="00376FAE"/>
    <w:rsid w:val="0037709C"/>
    <w:rsid w:val="00377130"/>
    <w:rsid w:val="00377243"/>
    <w:rsid w:val="0037750C"/>
    <w:rsid w:val="00377C5F"/>
    <w:rsid w:val="00380502"/>
    <w:rsid w:val="0038058B"/>
    <w:rsid w:val="00380685"/>
    <w:rsid w:val="003808DA"/>
    <w:rsid w:val="00380FE6"/>
    <w:rsid w:val="00380FFF"/>
    <w:rsid w:val="0038145B"/>
    <w:rsid w:val="00381D52"/>
    <w:rsid w:val="00381DAD"/>
    <w:rsid w:val="003823BD"/>
    <w:rsid w:val="00382976"/>
    <w:rsid w:val="00382BBC"/>
    <w:rsid w:val="00382FBD"/>
    <w:rsid w:val="0038314C"/>
    <w:rsid w:val="00383540"/>
    <w:rsid w:val="0038395C"/>
    <w:rsid w:val="00383F1A"/>
    <w:rsid w:val="003841A5"/>
    <w:rsid w:val="0038445D"/>
    <w:rsid w:val="00385396"/>
    <w:rsid w:val="00385C17"/>
    <w:rsid w:val="003861AF"/>
    <w:rsid w:val="003862F0"/>
    <w:rsid w:val="00387118"/>
    <w:rsid w:val="00387263"/>
    <w:rsid w:val="00387290"/>
    <w:rsid w:val="003873A4"/>
    <w:rsid w:val="00387654"/>
    <w:rsid w:val="003879E9"/>
    <w:rsid w:val="00387A0E"/>
    <w:rsid w:val="00387D65"/>
    <w:rsid w:val="00390044"/>
    <w:rsid w:val="0039075E"/>
    <w:rsid w:val="0039087D"/>
    <w:rsid w:val="00391B34"/>
    <w:rsid w:val="00391BC3"/>
    <w:rsid w:val="00391C54"/>
    <w:rsid w:val="003920A1"/>
    <w:rsid w:val="003921D0"/>
    <w:rsid w:val="00392303"/>
    <w:rsid w:val="00392434"/>
    <w:rsid w:val="003929D8"/>
    <w:rsid w:val="00393398"/>
    <w:rsid w:val="003933AB"/>
    <w:rsid w:val="00393A72"/>
    <w:rsid w:val="003942AE"/>
    <w:rsid w:val="003948F4"/>
    <w:rsid w:val="00395031"/>
    <w:rsid w:val="003950D9"/>
    <w:rsid w:val="00395544"/>
    <w:rsid w:val="003956D6"/>
    <w:rsid w:val="003957E2"/>
    <w:rsid w:val="00395ED1"/>
    <w:rsid w:val="0039625C"/>
    <w:rsid w:val="003964D2"/>
    <w:rsid w:val="00396FF7"/>
    <w:rsid w:val="00397517"/>
    <w:rsid w:val="00397AD4"/>
    <w:rsid w:val="00397C78"/>
    <w:rsid w:val="00397C93"/>
    <w:rsid w:val="003A00C2"/>
    <w:rsid w:val="003A0216"/>
    <w:rsid w:val="003A04B9"/>
    <w:rsid w:val="003A0501"/>
    <w:rsid w:val="003A0800"/>
    <w:rsid w:val="003A1E97"/>
    <w:rsid w:val="003A21C5"/>
    <w:rsid w:val="003A237C"/>
    <w:rsid w:val="003A2BAB"/>
    <w:rsid w:val="003A2FA5"/>
    <w:rsid w:val="003A3161"/>
    <w:rsid w:val="003A3224"/>
    <w:rsid w:val="003A3AFF"/>
    <w:rsid w:val="003A4395"/>
    <w:rsid w:val="003A4602"/>
    <w:rsid w:val="003A4862"/>
    <w:rsid w:val="003A4B77"/>
    <w:rsid w:val="003A5587"/>
    <w:rsid w:val="003A5F72"/>
    <w:rsid w:val="003A61A5"/>
    <w:rsid w:val="003A6213"/>
    <w:rsid w:val="003A6939"/>
    <w:rsid w:val="003A6C7D"/>
    <w:rsid w:val="003A6E50"/>
    <w:rsid w:val="003A72B7"/>
    <w:rsid w:val="003A73FE"/>
    <w:rsid w:val="003A78E6"/>
    <w:rsid w:val="003B09A2"/>
    <w:rsid w:val="003B0AC7"/>
    <w:rsid w:val="003B0AF7"/>
    <w:rsid w:val="003B0C90"/>
    <w:rsid w:val="003B0E12"/>
    <w:rsid w:val="003B0F9A"/>
    <w:rsid w:val="003B1447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E0F"/>
    <w:rsid w:val="003B54C8"/>
    <w:rsid w:val="003B5B51"/>
    <w:rsid w:val="003B5E7F"/>
    <w:rsid w:val="003B6303"/>
    <w:rsid w:val="003B668F"/>
    <w:rsid w:val="003B6769"/>
    <w:rsid w:val="003B699F"/>
    <w:rsid w:val="003B6CDF"/>
    <w:rsid w:val="003B702B"/>
    <w:rsid w:val="003B7324"/>
    <w:rsid w:val="003B7413"/>
    <w:rsid w:val="003C023B"/>
    <w:rsid w:val="003C0A57"/>
    <w:rsid w:val="003C0C75"/>
    <w:rsid w:val="003C1171"/>
    <w:rsid w:val="003C1E0F"/>
    <w:rsid w:val="003C1EAD"/>
    <w:rsid w:val="003C1FEE"/>
    <w:rsid w:val="003C21D3"/>
    <w:rsid w:val="003C27E8"/>
    <w:rsid w:val="003C2AF9"/>
    <w:rsid w:val="003C30C4"/>
    <w:rsid w:val="003C3550"/>
    <w:rsid w:val="003C3C48"/>
    <w:rsid w:val="003C3F82"/>
    <w:rsid w:val="003C3FA7"/>
    <w:rsid w:val="003C41D5"/>
    <w:rsid w:val="003C4974"/>
    <w:rsid w:val="003C506F"/>
    <w:rsid w:val="003C52CA"/>
    <w:rsid w:val="003C5AF5"/>
    <w:rsid w:val="003C6B59"/>
    <w:rsid w:val="003C6C3A"/>
    <w:rsid w:val="003C6E4B"/>
    <w:rsid w:val="003C72BE"/>
    <w:rsid w:val="003C7827"/>
    <w:rsid w:val="003C7D04"/>
    <w:rsid w:val="003C7EA9"/>
    <w:rsid w:val="003D0007"/>
    <w:rsid w:val="003D0A7A"/>
    <w:rsid w:val="003D0BF4"/>
    <w:rsid w:val="003D138C"/>
    <w:rsid w:val="003D167A"/>
    <w:rsid w:val="003D2077"/>
    <w:rsid w:val="003D2108"/>
    <w:rsid w:val="003D2240"/>
    <w:rsid w:val="003D22BE"/>
    <w:rsid w:val="003D2549"/>
    <w:rsid w:val="003D2874"/>
    <w:rsid w:val="003D2AEE"/>
    <w:rsid w:val="003D2C17"/>
    <w:rsid w:val="003D2CF9"/>
    <w:rsid w:val="003D3350"/>
    <w:rsid w:val="003D3386"/>
    <w:rsid w:val="003D4130"/>
    <w:rsid w:val="003D43EB"/>
    <w:rsid w:val="003D49A3"/>
    <w:rsid w:val="003D4CF9"/>
    <w:rsid w:val="003D5176"/>
    <w:rsid w:val="003D5825"/>
    <w:rsid w:val="003D5A11"/>
    <w:rsid w:val="003D5A7B"/>
    <w:rsid w:val="003D5D9E"/>
    <w:rsid w:val="003D6316"/>
    <w:rsid w:val="003D6990"/>
    <w:rsid w:val="003D7BCD"/>
    <w:rsid w:val="003D7F0F"/>
    <w:rsid w:val="003E0084"/>
    <w:rsid w:val="003E0CEF"/>
    <w:rsid w:val="003E0E52"/>
    <w:rsid w:val="003E12C8"/>
    <w:rsid w:val="003E1666"/>
    <w:rsid w:val="003E166C"/>
    <w:rsid w:val="003E177A"/>
    <w:rsid w:val="003E1793"/>
    <w:rsid w:val="003E1B2F"/>
    <w:rsid w:val="003E1DB6"/>
    <w:rsid w:val="003E1E3D"/>
    <w:rsid w:val="003E2252"/>
    <w:rsid w:val="003E2779"/>
    <w:rsid w:val="003E298D"/>
    <w:rsid w:val="003E39EB"/>
    <w:rsid w:val="003E3D74"/>
    <w:rsid w:val="003E466F"/>
    <w:rsid w:val="003E4AEB"/>
    <w:rsid w:val="003E4D46"/>
    <w:rsid w:val="003E564D"/>
    <w:rsid w:val="003E5981"/>
    <w:rsid w:val="003E59EE"/>
    <w:rsid w:val="003E5E47"/>
    <w:rsid w:val="003E5F30"/>
    <w:rsid w:val="003E5FE8"/>
    <w:rsid w:val="003E60DB"/>
    <w:rsid w:val="003E6E79"/>
    <w:rsid w:val="003E71FF"/>
    <w:rsid w:val="003E75D3"/>
    <w:rsid w:val="003E7636"/>
    <w:rsid w:val="003E7A96"/>
    <w:rsid w:val="003F0136"/>
    <w:rsid w:val="003F0198"/>
    <w:rsid w:val="003F0379"/>
    <w:rsid w:val="003F06AC"/>
    <w:rsid w:val="003F087B"/>
    <w:rsid w:val="003F0EB8"/>
    <w:rsid w:val="003F0EE8"/>
    <w:rsid w:val="003F1069"/>
    <w:rsid w:val="003F12C5"/>
    <w:rsid w:val="003F1BB0"/>
    <w:rsid w:val="003F1D52"/>
    <w:rsid w:val="003F247B"/>
    <w:rsid w:val="003F31C8"/>
    <w:rsid w:val="003F327E"/>
    <w:rsid w:val="003F36CA"/>
    <w:rsid w:val="003F40F6"/>
    <w:rsid w:val="003F43E0"/>
    <w:rsid w:val="003F4A06"/>
    <w:rsid w:val="003F4B91"/>
    <w:rsid w:val="003F4BD0"/>
    <w:rsid w:val="003F4DEB"/>
    <w:rsid w:val="003F4E76"/>
    <w:rsid w:val="003F5360"/>
    <w:rsid w:val="003F539D"/>
    <w:rsid w:val="003F5954"/>
    <w:rsid w:val="003F5D74"/>
    <w:rsid w:val="003F65AE"/>
    <w:rsid w:val="003F66C4"/>
    <w:rsid w:val="003F6D54"/>
    <w:rsid w:val="003F709A"/>
    <w:rsid w:val="003F731A"/>
    <w:rsid w:val="003F77EA"/>
    <w:rsid w:val="003F7927"/>
    <w:rsid w:val="003F7C2C"/>
    <w:rsid w:val="003F7E23"/>
    <w:rsid w:val="0040003D"/>
    <w:rsid w:val="004005F3"/>
    <w:rsid w:val="00400943"/>
    <w:rsid w:val="00400F8E"/>
    <w:rsid w:val="00401044"/>
    <w:rsid w:val="00401592"/>
    <w:rsid w:val="00401CFF"/>
    <w:rsid w:val="00401DFC"/>
    <w:rsid w:val="00402643"/>
    <w:rsid w:val="00402B73"/>
    <w:rsid w:val="00402F5B"/>
    <w:rsid w:val="00403262"/>
    <w:rsid w:val="004035F3"/>
    <w:rsid w:val="00403E12"/>
    <w:rsid w:val="00403FB0"/>
    <w:rsid w:val="00404134"/>
    <w:rsid w:val="00404F7D"/>
    <w:rsid w:val="00405668"/>
    <w:rsid w:val="00405F08"/>
    <w:rsid w:val="00406CE8"/>
    <w:rsid w:val="00406FE3"/>
    <w:rsid w:val="00407D50"/>
    <w:rsid w:val="00410109"/>
    <w:rsid w:val="004104F7"/>
    <w:rsid w:val="00410562"/>
    <w:rsid w:val="00410963"/>
    <w:rsid w:val="00410F0E"/>
    <w:rsid w:val="00410F93"/>
    <w:rsid w:val="00411296"/>
    <w:rsid w:val="00411333"/>
    <w:rsid w:val="00411527"/>
    <w:rsid w:val="00411630"/>
    <w:rsid w:val="004117CE"/>
    <w:rsid w:val="00411F8E"/>
    <w:rsid w:val="004123A2"/>
    <w:rsid w:val="004127B5"/>
    <w:rsid w:val="004132BA"/>
    <w:rsid w:val="004135E8"/>
    <w:rsid w:val="004136E6"/>
    <w:rsid w:val="0041378F"/>
    <w:rsid w:val="004139C8"/>
    <w:rsid w:val="00413AA2"/>
    <w:rsid w:val="00414014"/>
    <w:rsid w:val="004140F1"/>
    <w:rsid w:val="004142BC"/>
    <w:rsid w:val="004145B5"/>
    <w:rsid w:val="00414922"/>
    <w:rsid w:val="00415138"/>
    <w:rsid w:val="00415F77"/>
    <w:rsid w:val="00416341"/>
    <w:rsid w:val="004163D3"/>
    <w:rsid w:val="00416780"/>
    <w:rsid w:val="00416B49"/>
    <w:rsid w:val="004173DA"/>
    <w:rsid w:val="00417569"/>
    <w:rsid w:val="00417F82"/>
    <w:rsid w:val="00420706"/>
    <w:rsid w:val="00420730"/>
    <w:rsid w:val="00420B57"/>
    <w:rsid w:val="00420E03"/>
    <w:rsid w:val="00421000"/>
    <w:rsid w:val="00421551"/>
    <w:rsid w:val="004218DF"/>
    <w:rsid w:val="0042198F"/>
    <w:rsid w:val="004219C5"/>
    <w:rsid w:val="00421C51"/>
    <w:rsid w:val="00421CCE"/>
    <w:rsid w:val="004228A6"/>
    <w:rsid w:val="00422CFF"/>
    <w:rsid w:val="0042309E"/>
    <w:rsid w:val="004232AD"/>
    <w:rsid w:val="004232D5"/>
    <w:rsid w:val="004236A2"/>
    <w:rsid w:val="00423B1E"/>
    <w:rsid w:val="00423EA0"/>
    <w:rsid w:val="00423F09"/>
    <w:rsid w:val="004240B5"/>
    <w:rsid w:val="004241CD"/>
    <w:rsid w:val="004243B3"/>
    <w:rsid w:val="004245EB"/>
    <w:rsid w:val="0042481C"/>
    <w:rsid w:val="004249DB"/>
    <w:rsid w:val="00424DE4"/>
    <w:rsid w:val="004252DF"/>
    <w:rsid w:val="0042576A"/>
    <w:rsid w:val="00425901"/>
    <w:rsid w:val="00425BA9"/>
    <w:rsid w:val="0042642B"/>
    <w:rsid w:val="0042657D"/>
    <w:rsid w:val="00426B40"/>
    <w:rsid w:val="00426C29"/>
    <w:rsid w:val="00426C9B"/>
    <w:rsid w:val="004270B8"/>
    <w:rsid w:val="00427658"/>
    <w:rsid w:val="00427A35"/>
    <w:rsid w:val="00427AFB"/>
    <w:rsid w:val="00427D98"/>
    <w:rsid w:val="0043045F"/>
    <w:rsid w:val="00430D48"/>
    <w:rsid w:val="0043145D"/>
    <w:rsid w:val="00431706"/>
    <w:rsid w:val="0043187C"/>
    <w:rsid w:val="00431D15"/>
    <w:rsid w:val="00431F30"/>
    <w:rsid w:val="00432127"/>
    <w:rsid w:val="00432855"/>
    <w:rsid w:val="0043303A"/>
    <w:rsid w:val="00433FFC"/>
    <w:rsid w:val="004340BC"/>
    <w:rsid w:val="004340F7"/>
    <w:rsid w:val="004343FB"/>
    <w:rsid w:val="0043492F"/>
    <w:rsid w:val="00434AE7"/>
    <w:rsid w:val="00434F47"/>
    <w:rsid w:val="004360FE"/>
    <w:rsid w:val="004361DF"/>
    <w:rsid w:val="004369BF"/>
    <w:rsid w:val="00436F99"/>
    <w:rsid w:val="00436FAE"/>
    <w:rsid w:val="00437427"/>
    <w:rsid w:val="004378C7"/>
    <w:rsid w:val="00437C41"/>
    <w:rsid w:val="004409DB"/>
    <w:rsid w:val="00441288"/>
    <w:rsid w:val="004412F2"/>
    <w:rsid w:val="00441627"/>
    <w:rsid w:val="00441800"/>
    <w:rsid w:val="0044274D"/>
    <w:rsid w:val="004429E4"/>
    <w:rsid w:val="00443729"/>
    <w:rsid w:val="00443BAF"/>
    <w:rsid w:val="004444B2"/>
    <w:rsid w:val="00445147"/>
    <w:rsid w:val="00445738"/>
    <w:rsid w:val="00445900"/>
    <w:rsid w:val="00445CBB"/>
    <w:rsid w:val="00445E50"/>
    <w:rsid w:val="004469C7"/>
    <w:rsid w:val="00446B25"/>
    <w:rsid w:val="00446B75"/>
    <w:rsid w:val="00447180"/>
    <w:rsid w:val="0044736D"/>
    <w:rsid w:val="0044743E"/>
    <w:rsid w:val="00447728"/>
    <w:rsid w:val="00450781"/>
    <w:rsid w:val="00450883"/>
    <w:rsid w:val="004508AB"/>
    <w:rsid w:val="0045093D"/>
    <w:rsid w:val="00450C45"/>
    <w:rsid w:val="004512E1"/>
    <w:rsid w:val="004516EE"/>
    <w:rsid w:val="00451FDD"/>
    <w:rsid w:val="004521DF"/>
    <w:rsid w:val="00452ACB"/>
    <w:rsid w:val="00452CBF"/>
    <w:rsid w:val="00453B6A"/>
    <w:rsid w:val="00453CDD"/>
    <w:rsid w:val="00454860"/>
    <w:rsid w:val="00454A54"/>
    <w:rsid w:val="004550FC"/>
    <w:rsid w:val="0045581D"/>
    <w:rsid w:val="00456329"/>
    <w:rsid w:val="004566B8"/>
    <w:rsid w:val="0045693E"/>
    <w:rsid w:val="00456AEA"/>
    <w:rsid w:val="00456FCA"/>
    <w:rsid w:val="00457435"/>
    <w:rsid w:val="00457B47"/>
    <w:rsid w:val="00457D3E"/>
    <w:rsid w:val="00460377"/>
    <w:rsid w:val="00460E30"/>
    <w:rsid w:val="0046154A"/>
    <w:rsid w:val="00461A34"/>
    <w:rsid w:val="00461ADF"/>
    <w:rsid w:val="00461F8E"/>
    <w:rsid w:val="00462094"/>
    <w:rsid w:val="00462BF9"/>
    <w:rsid w:val="00462E1E"/>
    <w:rsid w:val="0046320A"/>
    <w:rsid w:val="00463376"/>
    <w:rsid w:val="004638F2"/>
    <w:rsid w:val="00464118"/>
    <w:rsid w:val="004641C2"/>
    <w:rsid w:val="00464329"/>
    <w:rsid w:val="00464393"/>
    <w:rsid w:val="004649BF"/>
    <w:rsid w:val="00465B7F"/>
    <w:rsid w:val="00465DAF"/>
    <w:rsid w:val="004668F8"/>
    <w:rsid w:val="00466905"/>
    <w:rsid w:val="00466BA1"/>
    <w:rsid w:val="00466BBE"/>
    <w:rsid w:val="00466F8F"/>
    <w:rsid w:val="004670CA"/>
    <w:rsid w:val="0046732E"/>
    <w:rsid w:val="00467438"/>
    <w:rsid w:val="00467C0B"/>
    <w:rsid w:val="004702F1"/>
    <w:rsid w:val="004707B3"/>
    <w:rsid w:val="00470BE0"/>
    <w:rsid w:val="00470CEF"/>
    <w:rsid w:val="00471683"/>
    <w:rsid w:val="00471A12"/>
    <w:rsid w:val="00471CBB"/>
    <w:rsid w:val="00472291"/>
    <w:rsid w:val="004726A3"/>
    <w:rsid w:val="004728E1"/>
    <w:rsid w:val="00472C41"/>
    <w:rsid w:val="00473588"/>
    <w:rsid w:val="0047376D"/>
    <w:rsid w:val="004743AC"/>
    <w:rsid w:val="004749DB"/>
    <w:rsid w:val="00474B53"/>
    <w:rsid w:val="00474B60"/>
    <w:rsid w:val="004751E7"/>
    <w:rsid w:val="004751E9"/>
    <w:rsid w:val="004753F9"/>
    <w:rsid w:val="00475566"/>
    <w:rsid w:val="004759F4"/>
    <w:rsid w:val="00476545"/>
    <w:rsid w:val="0047654A"/>
    <w:rsid w:val="0047696E"/>
    <w:rsid w:val="00476B20"/>
    <w:rsid w:val="00476D94"/>
    <w:rsid w:val="00476FCF"/>
    <w:rsid w:val="004776B3"/>
    <w:rsid w:val="00477F41"/>
    <w:rsid w:val="00477F42"/>
    <w:rsid w:val="00480446"/>
    <w:rsid w:val="004806C4"/>
    <w:rsid w:val="00480AAF"/>
    <w:rsid w:val="00480BF6"/>
    <w:rsid w:val="00481008"/>
    <w:rsid w:val="0048142A"/>
    <w:rsid w:val="004814C4"/>
    <w:rsid w:val="00481547"/>
    <w:rsid w:val="00481E9E"/>
    <w:rsid w:val="004825FB"/>
    <w:rsid w:val="00482A55"/>
    <w:rsid w:val="00483085"/>
    <w:rsid w:val="004830A7"/>
    <w:rsid w:val="00483F2C"/>
    <w:rsid w:val="004845A2"/>
    <w:rsid w:val="00484687"/>
    <w:rsid w:val="00484BDB"/>
    <w:rsid w:val="00484CF4"/>
    <w:rsid w:val="004850D2"/>
    <w:rsid w:val="00485E1A"/>
    <w:rsid w:val="00485FED"/>
    <w:rsid w:val="00486559"/>
    <w:rsid w:val="00486ED5"/>
    <w:rsid w:val="004876AD"/>
    <w:rsid w:val="00487F34"/>
    <w:rsid w:val="0049075D"/>
    <w:rsid w:val="004907BB"/>
    <w:rsid w:val="004907D9"/>
    <w:rsid w:val="00491140"/>
    <w:rsid w:val="00491B61"/>
    <w:rsid w:val="00491E98"/>
    <w:rsid w:val="00492584"/>
    <w:rsid w:val="00492821"/>
    <w:rsid w:val="0049296C"/>
    <w:rsid w:val="00492B01"/>
    <w:rsid w:val="00492B90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5715"/>
    <w:rsid w:val="004957E9"/>
    <w:rsid w:val="00495AA8"/>
    <w:rsid w:val="00495DBA"/>
    <w:rsid w:val="00495EFA"/>
    <w:rsid w:val="00495EFD"/>
    <w:rsid w:val="004966AD"/>
    <w:rsid w:val="004967CB"/>
    <w:rsid w:val="00497521"/>
    <w:rsid w:val="004977A7"/>
    <w:rsid w:val="00497D9A"/>
    <w:rsid w:val="00497DD3"/>
    <w:rsid w:val="00497E3E"/>
    <w:rsid w:val="00497F32"/>
    <w:rsid w:val="004A0073"/>
    <w:rsid w:val="004A017B"/>
    <w:rsid w:val="004A052B"/>
    <w:rsid w:val="004A0534"/>
    <w:rsid w:val="004A0949"/>
    <w:rsid w:val="004A0ADF"/>
    <w:rsid w:val="004A0C69"/>
    <w:rsid w:val="004A0E04"/>
    <w:rsid w:val="004A16B0"/>
    <w:rsid w:val="004A1717"/>
    <w:rsid w:val="004A17E9"/>
    <w:rsid w:val="004A18A5"/>
    <w:rsid w:val="004A28CB"/>
    <w:rsid w:val="004A2AAA"/>
    <w:rsid w:val="004A2DEB"/>
    <w:rsid w:val="004A2E8F"/>
    <w:rsid w:val="004A30BA"/>
    <w:rsid w:val="004A31AC"/>
    <w:rsid w:val="004A3606"/>
    <w:rsid w:val="004A3BB1"/>
    <w:rsid w:val="004A43A8"/>
    <w:rsid w:val="004A482D"/>
    <w:rsid w:val="004A4AEB"/>
    <w:rsid w:val="004A4FC0"/>
    <w:rsid w:val="004A4FD6"/>
    <w:rsid w:val="004A5064"/>
    <w:rsid w:val="004A52DD"/>
    <w:rsid w:val="004A5A3E"/>
    <w:rsid w:val="004A5AE6"/>
    <w:rsid w:val="004A6081"/>
    <w:rsid w:val="004A60A3"/>
    <w:rsid w:val="004A6ED0"/>
    <w:rsid w:val="004A7344"/>
    <w:rsid w:val="004B022C"/>
    <w:rsid w:val="004B04D2"/>
    <w:rsid w:val="004B0569"/>
    <w:rsid w:val="004B16DD"/>
    <w:rsid w:val="004B172D"/>
    <w:rsid w:val="004B1E4C"/>
    <w:rsid w:val="004B2913"/>
    <w:rsid w:val="004B3919"/>
    <w:rsid w:val="004B3999"/>
    <w:rsid w:val="004B4069"/>
    <w:rsid w:val="004B45EC"/>
    <w:rsid w:val="004B4AF0"/>
    <w:rsid w:val="004B4E05"/>
    <w:rsid w:val="004B583B"/>
    <w:rsid w:val="004B588D"/>
    <w:rsid w:val="004B645D"/>
    <w:rsid w:val="004B6B24"/>
    <w:rsid w:val="004C0A38"/>
    <w:rsid w:val="004C0C8E"/>
    <w:rsid w:val="004C15A4"/>
    <w:rsid w:val="004C1B38"/>
    <w:rsid w:val="004C1EC8"/>
    <w:rsid w:val="004C2048"/>
    <w:rsid w:val="004C25B7"/>
    <w:rsid w:val="004C26CF"/>
    <w:rsid w:val="004C287D"/>
    <w:rsid w:val="004C2AA2"/>
    <w:rsid w:val="004C2AF7"/>
    <w:rsid w:val="004C2E08"/>
    <w:rsid w:val="004C2E1B"/>
    <w:rsid w:val="004C33C8"/>
    <w:rsid w:val="004C34C3"/>
    <w:rsid w:val="004C3905"/>
    <w:rsid w:val="004C3BD3"/>
    <w:rsid w:val="004C42D1"/>
    <w:rsid w:val="004C5161"/>
    <w:rsid w:val="004C5471"/>
    <w:rsid w:val="004C5487"/>
    <w:rsid w:val="004C5793"/>
    <w:rsid w:val="004C5BCF"/>
    <w:rsid w:val="004C5C8D"/>
    <w:rsid w:val="004C64BC"/>
    <w:rsid w:val="004C6E57"/>
    <w:rsid w:val="004C716F"/>
    <w:rsid w:val="004C73BA"/>
    <w:rsid w:val="004C759B"/>
    <w:rsid w:val="004C76A5"/>
    <w:rsid w:val="004D05B3"/>
    <w:rsid w:val="004D0AC8"/>
    <w:rsid w:val="004D1174"/>
    <w:rsid w:val="004D1438"/>
    <w:rsid w:val="004D19E7"/>
    <w:rsid w:val="004D1C8E"/>
    <w:rsid w:val="004D1E4C"/>
    <w:rsid w:val="004D2490"/>
    <w:rsid w:val="004D271D"/>
    <w:rsid w:val="004D2A79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9B3"/>
    <w:rsid w:val="004D5A4F"/>
    <w:rsid w:val="004D5EA9"/>
    <w:rsid w:val="004D6020"/>
    <w:rsid w:val="004D613F"/>
    <w:rsid w:val="004D618D"/>
    <w:rsid w:val="004D64F2"/>
    <w:rsid w:val="004D653C"/>
    <w:rsid w:val="004D6D6E"/>
    <w:rsid w:val="004D7694"/>
    <w:rsid w:val="004E0006"/>
    <w:rsid w:val="004E0283"/>
    <w:rsid w:val="004E0354"/>
    <w:rsid w:val="004E0EF5"/>
    <w:rsid w:val="004E1935"/>
    <w:rsid w:val="004E1DEA"/>
    <w:rsid w:val="004E1F14"/>
    <w:rsid w:val="004E1FF2"/>
    <w:rsid w:val="004E24D7"/>
    <w:rsid w:val="004E2AF6"/>
    <w:rsid w:val="004E2BD6"/>
    <w:rsid w:val="004E2DFE"/>
    <w:rsid w:val="004E2EFE"/>
    <w:rsid w:val="004E326B"/>
    <w:rsid w:val="004E32E4"/>
    <w:rsid w:val="004E37D7"/>
    <w:rsid w:val="004E3929"/>
    <w:rsid w:val="004E45DC"/>
    <w:rsid w:val="004E47F2"/>
    <w:rsid w:val="004E4F24"/>
    <w:rsid w:val="004E51D8"/>
    <w:rsid w:val="004E5CB5"/>
    <w:rsid w:val="004E5F90"/>
    <w:rsid w:val="004E62D1"/>
    <w:rsid w:val="004E64E1"/>
    <w:rsid w:val="004E681A"/>
    <w:rsid w:val="004E6877"/>
    <w:rsid w:val="004E6DB5"/>
    <w:rsid w:val="004E72C0"/>
    <w:rsid w:val="004E75BD"/>
    <w:rsid w:val="004F0089"/>
    <w:rsid w:val="004F0384"/>
    <w:rsid w:val="004F0B43"/>
    <w:rsid w:val="004F153B"/>
    <w:rsid w:val="004F17CC"/>
    <w:rsid w:val="004F2707"/>
    <w:rsid w:val="004F3336"/>
    <w:rsid w:val="004F351E"/>
    <w:rsid w:val="004F373C"/>
    <w:rsid w:val="004F37FF"/>
    <w:rsid w:val="004F3C4D"/>
    <w:rsid w:val="004F408E"/>
    <w:rsid w:val="004F4B9C"/>
    <w:rsid w:val="004F5BF8"/>
    <w:rsid w:val="004F5C3B"/>
    <w:rsid w:val="004F5C73"/>
    <w:rsid w:val="004F6213"/>
    <w:rsid w:val="004F66EA"/>
    <w:rsid w:val="004F6901"/>
    <w:rsid w:val="004F6F5D"/>
    <w:rsid w:val="004F719C"/>
    <w:rsid w:val="004F7A10"/>
    <w:rsid w:val="004F7DC0"/>
    <w:rsid w:val="004F7EDA"/>
    <w:rsid w:val="005006B3"/>
    <w:rsid w:val="0050080C"/>
    <w:rsid w:val="00500A39"/>
    <w:rsid w:val="00500A46"/>
    <w:rsid w:val="00501308"/>
    <w:rsid w:val="00501406"/>
    <w:rsid w:val="005019B4"/>
    <w:rsid w:val="005020D0"/>
    <w:rsid w:val="0050225B"/>
    <w:rsid w:val="005022D7"/>
    <w:rsid w:val="00502856"/>
    <w:rsid w:val="00502A56"/>
    <w:rsid w:val="00502E84"/>
    <w:rsid w:val="005037D0"/>
    <w:rsid w:val="005039D3"/>
    <w:rsid w:val="00503EC8"/>
    <w:rsid w:val="005041A5"/>
    <w:rsid w:val="005042EA"/>
    <w:rsid w:val="00504F77"/>
    <w:rsid w:val="005058AE"/>
    <w:rsid w:val="00505DC8"/>
    <w:rsid w:val="00505E75"/>
    <w:rsid w:val="00506351"/>
    <w:rsid w:val="00506710"/>
    <w:rsid w:val="00506EB4"/>
    <w:rsid w:val="00507C05"/>
    <w:rsid w:val="00507F82"/>
    <w:rsid w:val="00510107"/>
    <w:rsid w:val="00510195"/>
    <w:rsid w:val="00510368"/>
    <w:rsid w:val="0051076E"/>
    <w:rsid w:val="00511295"/>
    <w:rsid w:val="005114EC"/>
    <w:rsid w:val="00511B04"/>
    <w:rsid w:val="005121AE"/>
    <w:rsid w:val="0051220C"/>
    <w:rsid w:val="005122C8"/>
    <w:rsid w:val="005127E7"/>
    <w:rsid w:val="00512D9D"/>
    <w:rsid w:val="0051353E"/>
    <w:rsid w:val="00513578"/>
    <w:rsid w:val="005138A0"/>
    <w:rsid w:val="005141FD"/>
    <w:rsid w:val="00514807"/>
    <w:rsid w:val="00514888"/>
    <w:rsid w:val="00514AB2"/>
    <w:rsid w:val="00515564"/>
    <w:rsid w:val="005167CF"/>
    <w:rsid w:val="005172C4"/>
    <w:rsid w:val="00517CC1"/>
    <w:rsid w:val="0052081C"/>
    <w:rsid w:val="00520AD1"/>
    <w:rsid w:val="00521611"/>
    <w:rsid w:val="00521FFD"/>
    <w:rsid w:val="00522462"/>
    <w:rsid w:val="005226B4"/>
    <w:rsid w:val="005228F0"/>
    <w:rsid w:val="005229EA"/>
    <w:rsid w:val="00522D34"/>
    <w:rsid w:val="00523F3B"/>
    <w:rsid w:val="00523F52"/>
    <w:rsid w:val="0052401E"/>
    <w:rsid w:val="0052417C"/>
    <w:rsid w:val="005243D9"/>
    <w:rsid w:val="00524918"/>
    <w:rsid w:val="00524924"/>
    <w:rsid w:val="00524BCD"/>
    <w:rsid w:val="00524C7A"/>
    <w:rsid w:val="0052530E"/>
    <w:rsid w:val="0052587D"/>
    <w:rsid w:val="00525D4F"/>
    <w:rsid w:val="00525FE4"/>
    <w:rsid w:val="005262F0"/>
    <w:rsid w:val="0052634B"/>
    <w:rsid w:val="005263BF"/>
    <w:rsid w:val="0052665D"/>
    <w:rsid w:val="00526B56"/>
    <w:rsid w:val="00526CA5"/>
    <w:rsid w:val="00526ED1"/>
    <w:rsid w:val="0052733E"/>
    <w:rsid w:val="00527C8E"/>
    <w:rsid w:val="005306E4"/>
    <w:rsid w:val="00530D80"/>
    <w:rsid w:val="00531239"/>
    <w:rsid w:val="0053144D"/>
    <w:rsid w:val="00531553"/>
    <w:rsid w:val="00531F20"/>
    <w:rsid w:val="00532203"/>
    <w:rsid w:val="0053220F"/>
    <w:rsid w:val="005322AA"/>
    <w:rsid w:val="0053282F"/>
    <w:rsid w:val="00533382"/>
    <w:rsid w:val="005335DE"/>
    <w:rsid w:val="0053413D"/>
    <w:rsid w:val="00534338"/>
    <w:rsid w:val="005346C6"/>
    <w:rsid w:val="00534B79"/>
    <w:rsid w:val="00535BBA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14F"/>
    <w:rsid w:val="005413F2"/>
    <w:rsid w:val="005413F5"/>
    <w:rsid w:val="00541808"/>
    <w:rsid w:val="00542098"/>
    <w:rsid w:val="005422BD"/>
    <w:rsid w:val="005425BF"/>
    <w:rsid w:val="005433DB"/>
    <w:rsid w:val="005437E9"/>
    <w:rsid w:val="0054480A"/>
    <w:rsid w:val="005449FF"/>
    <w:rsid w:val="00544FCA"/>
    <w:rsid w:val="005451C0"/>
    <w:rsid w:val="005453FA"/>
    <w:rsid w:val="0054565C"/>
    <w:rsid w:val="0054571C"/>
    <w:rsid w:val="00545F54"/>
    <w:rsid w:val="005463C0"/>
    <w:rsid w:val="005465F2"/>
    <w:rsid w:val="005466A4"/>
    <w:rsid w:val="0054674E"/>
    <w:rsid w:val="00546C75"/>
    <w:rsid w:val="00546DCA"/>
    <w:rsid w:val="00547220"/>
    <w:rsid w:val="005476E0"/>
    <w:rsid w:val="00547B4C"/>
    <w:rsid w:val="00547CC6"/>
    <w:rsid w:val="00547D0C"/>
    <w:rsid w:val="00547F59"/>
    <w:rsid w:val="0055014D"/>
    <w:rsid w:val="00550879"/>
    <w:rsid w:val="00550D79"/>
    <w:rsid w:val="00550F2D"/>
    <w:rsid w:val="005511B4"/>
    <w:rsid w:val="005512FE"/>
    <w:rsid w:val="0055132B"/>
    <w:rsid w:val="005517FD"/>
    <w:rsid w:val="00551B61"/>
    <w:rsid w:val="005525BB"/>
    <w:rsid w:val="00552713"/>
    <w:rsid w:val="005529DF"/>
    <w:rsid w:val="00552DE6"/>
    <w:rsid w:val="00552E2B"/>
    <w:rsid w:val="00553060"/>
    <w:rsid w:val="005530D4"/>
    <w:rsid w:val="00553238"/>
    <w:rsid w:val="005537E3"/>
    <w:rsid w:val="00554620"/>
    <w:rsid w:val="0055478B"/>
    <w:rsid w:val="00554E3B"/>
    <w:rsid w:val="00555345"/>
    <w:rsid w:val="00555820"/>
    <w:rsid w:val="00555F5D"/>
    <w:rsid w:val="0055653C"/>
    <w:rsid w:val="00556590"/>
    <w:rsid w:val="0055661D"/>
    <w:rsid w:val="00556A45"/>
    <w:rsid w:val="00556BF1"/>
    <w:rsid w:val="00556D1E"/>
    <w:rsid w:val="00557201"/>
    <w:rsid w:val="00557379"/>
    <w:rsid w:val="00557716"/>
    <w:rsid w:val="005603EB"/>
    <w:rsid w:val="005604FE"/>
    <w:rsid w:val="00560835"/>
    <w:rsid w:val="00560E20"/>
    <w:rsid w:val="0056112E"/>
    <w:rsid w:val="00561ABE"/>
    <w:rsid w:val="00561D7A"/>
    <w:rsid w:val="005622F0"/>
    <w:rsid w:val="00562411"/>
    <w:rsid w:val="00562690"/>
    <w:rsid w:val="0056281B"/>
    <w:rsid w:val="005630B8"/>
    <w:rsid w:val="00563186"/>
    <w:rsid w:val="00563BD7"/>
    <w:rsid w:val="00563BEB"/>
    <w:rsid w:val="00563D05"/>
    <w:rsid w:val="00563E22"/>
    <w:rsid w:val="00563FEE"/>
    <w:rsid w:val="00564083"/>
    <w:rsid w:val="005644E8"/>
    <w:rsid w:val="00564B23"/>
    <w:rsid w:val="00564E32"/>
    <w:rsid w:val="00564E8F"/>
    <w:rsid w:val="0056529A"/>
    <w:rsid w:val="00565349"/>
    <w:rsid w:val="00565512"/>
    <w:rsid w:val="005655FB"/>
    <w:rsid w:val="00565BC2"/>
    <w:rsid w:val="00566C2A"/>
    <w:rsid w:val="00566CDF"/>
    <w:rsid w:val="00566D43"/>
    <w:rsid w:val="00566EB3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C49"/>
    <w:rsid w:val="00571F58"/>
    <w:rsid w:val="005721CF"/>
    <w:rsid w:val="0057232B"/>
    <w:rsid w:val="0057256E"/>
    <w:rsid w:val="0057330E"/>
    <w:rsid w:val="00573430"/>
    <w:rsid w:val="00573587"/>
    <w:rsid w:val="005735E6"/>
    <w:rsid w:val="00573729"/>
    <w:rsid w:val="00574536"/>
    <w:rsid w:val="005745AB"/>
    <w:rsid w:val="00574826"/>
    <w:rsid w:val="00574E94"/>
    <w:rsid w:val="005759AF"/>
    <w:rsid w:val="00575BE8"/>
    <w:rsid w:val="00575E1B"/>
    <w:rsid w:val="00575F86"/>
    <w:rsid w:val="00576C0A"/>
    <w:rsid w:val="005772E3"/>
    <w:rsid w:val="005773AE"/>
    <w:rsid w:val="005775F0"/>
    <w:rsid w:val="0057798A"/>
    <w:rsid w:val="00577F86"/>
    <w:rsid w:val="0058089B"/>
    <w:rsid w:val="00580947"/>
    <w:rsid w:val="0058153C"/>
    <w:rsid w:val="005816D5"/>
    <w:rsid w:val="00581B21"/>
    <w:rsid w:val="00581BC6"/>
    <w:rsid w:val="00581CE8"/>
    <w:rsid w:val="00581D3A"/>
    <w:rsid w:val="00581D6B"/>
    <w:rsid w:val="00581DAB"/>
    <w:rsid w:val="00581DF5"/>
    <w:rsid w:val="00581F77"/>
    <w:rsid w:val="00581F8E"/>
    <w:rsid w:val="00582484"/>
    <w:rsid w:val="005825EF"/>
    <w:rsid w:val="00582A3B"/>
    <w:rsid w:val="00582C01"/>
    <w:rsid w:val="005838FC"/>
    <w:rsid w:val="00583902"/>
    <w:rsid w:val="00583B04"/>
    <w:rsid w:val="00583C50"/>
    <w:rsid w:val="0058499A"/>
    <w:rsid w:val="00584EF9"/>
    <w:rsid w:val="00584F2C"/>
    <w:rsid w:val="0058538D"/>
    <w:rsid w:val="00585568"/>
    <w:rsid w:val="005858DA"/>
    <w:rsid w:val="00585A06"/>
    <w:rsid w:val="00585DC0"/>
    <w:rsid w:val="00585EF8"/>
    <w:rsid w:val="00585F30"/>
    <w:rsid w:val="00585F69"/>
    <w:rsid w:val="005863F1"/>
    <w:rsid w:val="00586C12"/>
    <w:rsid w:val="005874C0"/>
    <w:rsid w:val="0058758A"/>
    <w:rsid w:val="00590193"/>
    <w:rsid w:val="0059028E"/>
    <w:rsid w:val="005903C0"/>
    <w:rsid w:val="00590B15"/>
    <w:rsid w:val="005913B7"/>
    <w:rsid w:val="0059174F"/>
    <w:rsid w:val="00591832"/>
    <w:rsid w:val="00591EE2"/>
    <w:rsid w:val="00592111"/>
    <w:rsid w:val="00592193"/>
    <w:rsid w:val="00592864"/>
    <w:rsid w:val="005928CF"/>
    <w:rsid w:val="00593273"/>
    <w:rsid w:val="005939A4"/>
    <w:rsid w:val="00593BE0"/>
    <w:rsid w:val="005944D4"/>
    <w:rsid w:val="005949A4"/>
    <w:rsid w:val="00595049"/>
    <w:rsid w:val="00595357"/>
    <w:rsid w:val="00595A8B"/>
    <w:rsid w:val="00595C6F"/>
    <w:rsid w:val="00595E0E"/>
    <w:rsid w:val="00596A24"/>
    <w:rsid w:val="00596B90"/>
    <w:rsid w:val="00596BDB"/>
    <w:rsid w:val="005975ED"/>
    <w:rsid w:val="00597612"/>
    <w:rsid w:val="0059781D"/>
    <w:rsid w:val="005A02C0"/>
    <w:rsid w:val="005A07A0"/>
    <w:rsid w:val="005A0F92"/>
    <w:rsid w:val="005A1156"/>
    <w:rsid w:val="005A1518"/>
    <w:rsid w:val="005A1523"/>
    <w:rsid w:val="005A194D"/>
    <w:rsid w:val="005A260B"/>
    <w:rsid w:val="005A26D1"/>
    <w:rsid w:val="005A3006"/>
    <w:rsid w:val="005A3F1A"/>
    <w:rsid w:val="005A4D8D"/>
    <w:rsid w:val="005A4DBA"/>
    <w:rsid w:val="005A50CA"/>
    <w:rsid w:val="005A528B"/>
    <w:rsid w:val="005A66F4"/>
    <w:rsid w:val="005A689C"/>
    <w:rsid w:val="005A6A6F"/>
    <w:rsid w:val="005A6EBA"/>
    <w:rsid w:val="005A7618"/>
    <w:rsid w:val="005A7C85"/>
    <w:rsid w:val="005B0176"/>
    <w:rsid w:val="005B02BD"/>
    <w:rsid w:val="005B02D0"/>
    <w:rsid w:val="005B02E5"/>
    <w:rsid w:val="005B042E"/>
    <w:rsid w:val="005B04B4"/>
    <w:rsid w:val="005B0805"/>
    <w:rsid w:val="005B0C0F"/>
    <w:rsid w:val="005B1200"/>
    <w:rsid w:val="005B12F6"/>
    <w:rsid w:val="005B1605"/>
    <w:rsid w:val="005B1CB5"/>
    <w:rsid w:val="005B1FC6"/>
    <w:rsid w:val="005B29AF"/>
    <w:rsid w:val="005B2A02"/>
    <w:rsid w:val="005B2C05"/>
    <w:rsid w:val="005B3622"/>
    <w:rsid w:val="005B3644"/>
    <w:rsid w:val="005B379B"/>
    <w:rsid w:val="005B385D"/>
    <w:rsid w:val="005B3C72"/>
    <w:rsid w:val="005B3ED7"/>
    <w:rsid w:val="005B3F29"/>
    <w:rsid w:val="005B41D9"/>
    <w:rsid w:val="005B4645"/>
    <w:rsid w:val="005B4815"/>
    <w:rsid w:val="005B4970"/>
    <w:rsid w:val="005B4BB8"/>
    <w:rsid w:val="005B4C77"/>
    <w:rsid w:val="005B4EB0"/>
    <w:rsid w:val="005B584C"/>
    <w:rsid w:val="005B5988"/>
    <w:rsid w:val="005B70AC"/>
    <w:rsid w:val="005B73E0"/>
    <w:rsid w:val="005B7807"/>
    <w:rsid w:val="005B7F8B"/>
    <w:rsid w:val="005C016A"/>
    <w:rsid w:val="005C025E"/>
    <w:rsid w:val="005C061D"/>
    <w:rsid w:val="005C077C"/>
    <w:rsid w:val="005C0B8E"/>
    <w:rsid w:val="005C0EB0"/>
    <w:rsid w:val="005C1299"/>
    <w:rsid w:val="005C15FF"/>
    <w:rsid w:val="005C25B2"/>
    <w:rsid w:val="005C304C"/>
    <w:rsid w:val="005C3250"/>
    <w:rsid w:val="005C3755"/>
    <w:rsid w:val="005C3BCA"/>
    <w:rsid w:val="005C3BF4"/>
    <w:rsid w:val="005C3C2B"/>
    <w:rsid w:val="005C40E0"/>
    <w:rsid w:val="005C411C"/>
    <w:rsid w:val="005C4475"/>
    <w:rsid w:val="005C44D1"/>
    <w:rsid w:val="005C451D"/>
    <w:rsid w:val="005C4956"/>
    <w:rsid w:val="005C4963"/>
    <w:rsid w:val="005C4D00"/>
    <w:rsid w:val="005C511E"/>
    <w:rsid w:val="005C519D"/>
    <w:rsid w:val="005C5441"/>
    <w:rsid w:val="005C56B4"/>
    <w:rsid w:val="005C5B58"/>
    <w:rsid w:val="005C5E11"/>
    <w:rsid w:val="005C5EB9"/>
    <w:rsid w:val="005C61C9"/>
    <w:rsid w:val="005C6382"/>
    <w:rsid w:val="005C65B5"/>
    <w:rsid w:val="005C66C2"/>
    <w:rsid w:val="005C6787"/>
    <w:rsid w:val="005C692A"/>
    <w:rsid w:val="005C6CA1"/>
    <w:rsid w:val="005C7088"/>
    <w:rsid w:val="005C70C8"/>
    <w:rsid w:val="005C7262"/>
    <w:rsid w:val="005C7D48"/>
    <w:rsid w:val="005D0173"/>
    <w:rsid w:val="005D031D"/>
    <w:rsid w:val="005D033A"/>
    <w:rsid w:val="005D0F32"/>
    <w:rsid w:val="005D1545"/>
    <w:rsid w:val="005D207F"/>
    <w:rsid w:val="005D22CD"/>
    <w:rsid w:val="005D2441"/>
    <w:rsid w:val="005D2E6D"/>
    <w:rsid w:val="005D3033"/>
    <w:rsid w:val="005D3137"/>
    <w:rsid w:val="005D39A7"/>
    <w:rsid w:val="005D3ABB"/>
    <w:rsid w:val="005D3F57"/>
    <w:rsid w:val="005D41F2"/>
    <w:rsid w:val="005D4DC9"/>
    <w:rsid w:val="005D4DD4"/>
    <w:rsid w:val="005D5236"/>
    <w:rsid w:val="005D5D2C"/>
    <w:rsid w:val="005D5FF4"/>
    <w:rsid w:val="005D6067"/>
    <w:rsid w:val="005D62FB"/>
    <w:rsid w:val="005D665F"/>
    <w:rsid w:val="005D67D6"/>
    <w:rsid w:val="005D723B"/>
    <w:rsid w:val="005D762A"/>
    <w:rsid w:val="005D79F3"/>
    <w:rsid w:val="005D7D07"/>
    <w:rsid w:val="005E09BA"/>
    <w:rsid w:val="005E1329"/>
    <w:rsid w:val="005E1998"/>
    <w:rsid w:val="005E1B69"/>
    <w:rsid w:val="005E1F6A"/>
    <w:rsid w:val="005E22B9"/>
    <w:rsid w:val="005E231D"/>
    <w:rsid w:val="005E23AC"/>
    <w:rsid w:val="005E2524"/>
    <w:rsid w:val="005E273E"/>
    <w:rsid w:val="005E2C33"/>
    <w:rsid w:val="005E2F9B"/>
    <w:rsid w:val="005E3713"/>
    <w:rsid w:val="005E387D"/>
    <w:rsid w:val="005E3951"/>
    <w:rsid w:val="005E3C6C"/>
    <w:rsid w:val="005E41D6"/>
    <w:rsid w:val="005E4943"/>
    <w:rsid w:val="005E5E30"/>
    <w:rsid w:val="005E6054"/>
    <w:rsid w:val="005E6841"/>
    <w:rsid w:val="005E6A46"/>
    <w:rsid w:val="005E7924"/>
    <w:rsid w:val="005E7C33"/>
    <w:rsid w:val="005F0312"/>
    <w:rsid w:val="005F04F5"/>
    <w:rsid w:val="005F0A0B"/>
    <w:rsid w:val="005F0BAE"/>
    <w:rsid w:val="005F1C00"/>
    <w:rsid w:val="005F221A"/>
    <w:rsid w:val="005F237A"/>
    <w:rsid w:val="005F2754"/>
    <w:rsid w:val="005F2A20"/>
    <w:rsid w:val="005F2E0A"/>
    <w:rsid w:val="005F3092"/>
    <w:rsid w:val="005F327A"/>
    <w:rsid w:val="005F3AC7"/>
    <w:rsid w:val="005F3BC0"/>
    <w:rsid w:val="005F3DD6"/>
    <w:rsid w:val="005F3E85"/>
    <w:rsid w:val="005F4282"/>
    <w:rsid w:val="005F4380"/>
    <w:rsid w:val="005F4461"/>
    <w:rsid w:val="005F4518"/>
    <w:rsid w:val="005F462F"/>
    <w:rsid w:val="005F4DAE"/>
    <w:rsid w:val="005F4E99"/>
    <w:rsid w:val="005F51F6"/>
    <w:rsid w:val="005F5320"/>
    <w:rsid w:val="005F54F2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787"/>
    <w:rsid w:val="005F7AE1"/>
    <w:rsid w:val="00600228"/>
    <w:rsid w:val="006005A6"/>
    <w:rsid w:val="0060076C"/>
    <w:rsid w:val="00600884"/>
    <w:rsid w:val="00600E54"/>
    <w:rsid w:val="0060106A"/>
    <w:rsid w:val="006016CF"/>
    <w:rsid w:val="0060227B"/>
    <w:rsid w:val="006022B1"/>
    <w:rsid w:val="006023AE"/>
    <w:rsid w:val="006027A3"/>
    <w:rsid w:val="006033CB"/>
    <w:rsid w:val="006037DB"/>
    <w:rsid w:val="00603A22"/>
    <w:rsid w:val="006043BA"/>
    <w:rsid w:val="00604644"/>
    <w:rsid w:val="00604D2C"/>
    <w:rsid w:val="00604FB2"/>
    <w:rsid w:val="00604FC7"/>
    <w:rsid w:val="00605746"/>
    <w:rsid w:val="00606269"/>
    <w:rsid w:val="0060687A"/>
    <w:rsid w:val="00606AFB"/>
    <w:rsid w:val="00607066"/>
    <w:rsid w:val="006070FB"/>
    <w:rsid w:val="00607210"/>
    <w:rsid w:val="006077B9"/>
    <w:rsid w:val="00607FF5"/>
    <w:rsid w:val="00610003"/>
    <w:rsid w:val="006102DE"/>
    <w:rsid w:val="0061037D"/>
    <w:rsid w:val="00611102"/>
    <w:rsid w:val="006115F5"/>
    <w:rsid w:val="0061190F"/>
    <w:rsid w:val="0061214E"/>
    <w:rsid w:val="00612151"/>
    <w:rsid w:val="00612A11"/>
    <w:rsid w:val="00612D84"/>
    <w:rsid w:val="00613762"/>
    <w:rsid w:val="00614811"/>
    <w:rsid w:val="00614B48"/>
    <w:rsid w:val="00614E11"/>
    <w:rsid w:val="00615A72"/>
    <w:rsid w:val="00615B53"/>
    <w:rsid w:val="00615E4C"/>
    <w:rsid w:val="00615F42"/>
    <w:rsid w:val="00616144"/>
    <w:rsid w:val="0061633E"/>
    <w:rsid w:val="00616804"/>
    <w:rsid w:val="00616A11"/>
    <w:rsid w:val="00616FC6"/>
    <w:rsid w:val="00617045"/>
    <w:rsid w:val="00617271"/>
    <w:rsid w:val="0061735F"/>
    <w:rsid w:val="00617556"/>
    <w:rsid w:val="0061766C"/>
    <w:rsid w:val="00617B27"/>
    <w:rsid w:val="00617E2D"/>
    <w:rsid w:val="006202A7"/>
    <w:rsid w:val="006204DA"/>
    <w:rsid w:val="00620640"/>
    <w:rsid w:val="006208F3"/>
    <w:rsid w:val="00620AB5"/>
    <w:rsid w:val="0062114B"/>
    <w:rsid w:val="00621152"/>
    <w:rsid w:val="0062177D"/>
    <w:rsid w:val="00621846"/>
    <w:rsid w:val="006221B8"/>
    <w:rsid w:val="00622561"/>
    <w:rsid w:val="00622AA1"/>
    <w:rsid w:val="00622DEC"/>
    <w:rsid w:val="00622F49"/>
    <w:rsid w:val="00623290"/>
    <w:rsid w:val="00623DD8"/>
    <w:rsid w:val="0062404B"/>
    <w:rsid w:val="00624A7F"/>
    <w:rsid w:val="00624F83"/>
    <w:rsid w:val="00625092"/>
    <w:rsid w:val="006256C8"/>
    <w:rsid w:val="00625E35"/>
    <w:rsid w:val="00625FA2"/>
    <w:rsid w:val="0062642D"/>
    <w:rsid w:val="0062674F"/>
    <w:rsid w:val="006268C3"/>
    <w:rsid w:val="00627021"/>
    <w:rsid w:val="006272EC"/>
    <w:rsid w:val="00627EF3"/>
    <w:rsid w:val="006313AB"/>
    <w:rsid w:val="006314B3"/>
    <w:rsid w:val="0063180E"/>
    <w:rsid w:val="006319D3"/>
    <w:rsid w:val="00631C8F"/>
    <w:rsid w:val="006325DF"/>
    <w:rsid w:val="00632EB8"/>
    <w:rsid w:val="006335BE"/>
    <w:rsid w:val="006335D5"/>
    <w:rsid w:val="006335DD"/>
    <w:rsid w:val="00633830"/>
    <w:rsid w:val="00633C2B"/>
    <w:rsid w:val="006347BE"/>
    <w:rsid w:val="006348B8"/>
    <w:rsid w:val="00634A5E"/>
    <w:rsid w:val="00634B6B"/>
    <w:rsid w:val="00634CBB"/>
    <w:rsid w:val="006350B8"/>
    <w:rsid w:val="0063520C"/>
    <w:rsid w:val="00635224"/>
    <w:rsid w:val="006353AB"/>
    <w:rsid w:val="00635CD5"/>
    <w:rsid w:val="00635D62"/>
    <w:rsid w:val="0063621B"/>
    <w:rsid w:val="006366D4"/>
    <w:rsid w:val="00636BC4"/>
    <w:rsid w:val="00637284"/>
    <w:rsid w:val="00637351"/>
    <w:rsid w:val="006378F2"/>
    <w:rsid w:val="00637D23"/>
    <w:rsid w:val="00637D90"/>
    <w:rsid w:val="00637E44"/>
    <w:rsid w:val="00640193"/>
    <w:rsid w:val="00640266"/>
    <w:rsid w:val="0064082F"/>
    <w:rsid w:val="00640C33"/>
    <w:rsid w:val="00640EC0"/>
    <w:rsid w:val="00641238"/>
    <w:rsid w:val="0064135C"/>
    <w:rsid w:val="006413DF"/>
    <w:rsid w:val="006419A8"/>
    <w:rsid w:val="006421C7"/>
    <w:rsid w:val="0064287A"/>
    <w:rsid w:val="006432CB"/>
    <w:rsid w:val="006439C2"/>
    <w:rsid w:val="00643EB4"/>
    <w:rsid w:val="00644912"/>
    <w:rsid w:val="0064527C"/>
    <w:rsid w:val="006453B4"/>
    <w:rsid w:val="006455AD"/>
    <w:rsid w:val="00646522"/>
    <w:rsid w:val="00646D22"/>
    <w:rsid w:val="00646E23"/>
    <w:rsid w:val="006479F3"/>
    <w:rsid w:val="00650215"/>
    <w:rsid w:val="0065031F"/>
    <w:rsid w:val="00650738"/>
    <w:rsid w:val="0065093F"/>
    <w:rsid w:val="00650CD7"/>
    <w:rsid w:val="00651341"/>
    <w:rsid w:val="00651E08"/>
    <w:rsid w:val="006524C0"/>
    <w:rsid w:val="00652728"/>
    <w:rsid w:val="00652B25"/>
    <w:rsid w:val="00652BB4"/>
    <w:rsid w:val="00652E21"/>
    <w:rsid w:val="006538FD"/>
    <w:rsid w:val="0065404B"/>
    <w:rsid w:val="00654858"/>
    <w:rsid w:val="006548B8"/>
    <w:rsid w:val="0065525D"/>
    <w:rsid w:val="00655EA9"/>
    <w:rsid w:val="00655F71"/>
    <w:rsid w:val="00655FF5"/>
    <w:rsid w:val="00656961"/>
    <w:rsid w:val="00656B7E"/>
    <w:rsid w:val="00656EF8"/>
    <w:rsid w:val="006575BB"/>
    <w:rsid w:val="0066026C"/>
    <w:rsid w:val="006614E6"/>
    <w:rsid w:val="00661742"/>
    <w:rsid w:val="006618A4"/>
    <w:rsid w:val="00661E69"/>
    <w:rsid w:val="006621E5"/>
    <w:rsid w:val="00662E03"/>
    <w:rsid w:val="00663442"/>
    <w:rsid w:val="0066359C"/>
    <w:rsid w:val="00663657"/>
    <w:rsid w:val="00663ED6"/>
    <w:rsid w:val="00664091"/>
    <w:rsid w:val="00664567"/>
    <w:rsid w:val="006645BB"/>
    <w:rsid w:val="006647CF"/>
    <w:rsid w:val="00664A0E"/>
    <w:rsid w:val="00664D24"/>
    <w:rsid w:val="00664DC0"/>
    <w:rsid w:val="006659FE"/>
    <w:rsid w:val="006662D9"/>
    <w:rsid w:val="0066647F"/>
    <w:rsid w:val="00666C8F"/>
    <w:rsid w:val="00666DCA"/>
    <w:rsid w:val="00666FB3"/>
    <w:rsid w:val="0066717D"/>
    <w:rsid w:val="00667396"/>
    <w:rsid w:val="00667599"/>
    <w:rsid w:val="006678BB"/>
    <w:rsid w:val="00667F99"/>
    <w:rsid w:val="006700B2"/>
    <w:rsid w:val="00671290"/>
    <w:rsid w:val="0067174F"/>
    <w:rsid w:val="00671BD6"/>
    <w:rsid w:val="00671DA0"/>
    <w:rsid w:val="00671F37"/>
    <w:rsid w:val="006722DD"/>
    <w:rsid w:val="0067235D"/>
    <w:rsid w:val="00672E19"/>
    <w:rsid w:val="00672F55"/>
    <w:rsid w:val="00672F76"/>
    <w:rsid w:val="006730C9"/>
    <w:rsid w:val="00673511"/>
    <w:rsid w:val="00673642"/>
    <w:rsid w:val="00673AEF"/>
    <w:rsid w:val="00673EB8"/>
    <w:rsid w:val="0067413C"/>
    <w:rsid w:val="006744AC"/>
    <w:rsid w:val="006744B0"/>
    <w:rsid w:val="006744FD"/>
    <w:rsid w:val="00674982"/>
    <w:rsid w:val="00674FF2"/>
    <w:rsid w:val="00675283"/>
    <w:rsid w:val="00675A11"/>
    <w:rsid w:val="00675D30"/>
    <w:rsid w:val="006763D0"/>
    <w:rsid w:val="00676B98"/>
    <w:rsid w:val="00677035"/>
    <w:rsid w:val="006803F6"/>
    <w:rsid w:val="0068060F"/>
    <w:rsid w:val="00680AF5"/>
    <w:rsid w:val="00680D51"/>
    <w:rsid w:val="00680E41"/>
    <w:rsid w:val="00680F28"/>
    <w:rsid w:val="00681B87"/>
    <w:rsid w:val="00681C83"/>
    <w:rsid w:val="00681D82"/>
    <w:rsid w:val="0068234C"/>
    <w:rsid w:val="0068234D"/>
    <w:rsid w:val="006823AB"/>
    <w:rsid w:val="0068285B"/>
    <w:rsid w:val="00682A34"/>
    <w:rsid w:val="00682D40"/>
    <w:rsid w:val="00682FEA"/>
    <w:rsid w:val="00683136"/>
    <w:rsid w:val="00683651"/>
    <w:rsid w:val="00683921"/>
    <w:rsid w:val="00683A2B"/>
    <w:rsid w:val="00683C72"/>
    <w:rsid w:val="0068404C"/>
    <w:rsid w:val="006840FC"/>
    <w:rsid w:val="00684623"/>
    <w:rsid w:val="006847C5"/>
    <w:rsid w:val="00684871"/>
    <w:rsid w:val="00684BE4"/>
    <w:rsid w:val="00684C73"/>
    <w:rsid w:val="00684D1B"/>
    <w:rsid w:val="00684F20"/>
    <w:rsid w:val="00684FE1"/>
    <w:rsid w:val="00685420"/>
    <w:rsid w:val="0068552C"/>
    <w:rsid w:val="006855EE"/>
    <w:rsid w:val="00685B79"/>
    <w:rsid w:val="00685C5C"/>
    <w:rsid w:val="00686898"/>
    <w:rsid w:val="00686A98"/>
    <w:rsid w:val="00686CF7"/>
    <w:rsid w:val="0068765C"/>
    <w:rsid w:val="00687951"/>
    <w:rsid w:val="00687A4F"/>
    <w:rsid w:val="00687B75"/>
    <w:rsid w:val="00687D48"/>
    <w:rsid w:val="00690074"/>
    <w:rsid w:val="00690C1B"/>
    <w:rsid w:val="00690CC4"/>
    <w:rsid w:val="00690CEB"/>
    <w:rsid w:val="00691047"/>
    <w:rsid w:val="006917CF"/>
    <w:rsid w:val="00691F01"/>
    <w:rsid w:val="0069206B"/>
    <w:rsid w:val="00692B0E"/>
    <w:rsid w:val="00692D27"/>
    <w:rsid w:val="006934D4"/>
    <w:rsid w:val="00693FEF"/>
    <w:rsid w:val="00694594"/>
    <w:rsid w:val="00694BD3"/>
    <w:rsid w:val="00694C70"/>
    <w:rsid w:val="006957FD"/>
    <w:rsid w:val="00695A31"/>
    <w:rsid w:val="006960EB"/>
    <w:rsid w:val="006963EA"/>
    <w:rsid w:val="00696DDF"/>
    <w:rsid w:val="00696F7A"/>
    <w:rsid w:val="0069760A"/>
    <w:rsid w:val="006976BB"/>
    <w:rsid w:val="00697711"/>
    <w:rsid w:val="00697969"/>
    <w:rsid w:val="00697C52"/>
    <w:rsid w:val="006A0829"/>
    <w:rsid w:val="006A161C"/>
    <w:rsid w:val="006A1CFD"/>
    <w:rsid w:val="006A1E41"/>
    <w:rsid w:val="006A2096"/>
    <w:rsid w:val="006A2419"/>
    <w:rsid w:val="006A2890"/>
    <w:rsid w:val="006A3165"/>
    <w:rsid w:val="006A3369"/>
    <w:rsid w:val="006A3A47"/>
    <w:rsid w:val="006A4360"/>
    <w:rsid w:val="006A43E8"/>
    <w:rsid w:val="006A4948"/>
    <w:rsid w:val="006A4E4E"/>
    <w:rsid w:val="006A548B"/>
    <w:rsid w:val="006A5F7C"/>
    <w:rsid w:val="006A6565"/>
    <w:rsid w:val="006A6E9B"/>
    <w:rsid w:val="006A7365"/>
    <w:rsid w:val="006A763D"/>
    <w:rsid w:val="006A7CAA"/>
    <w:rsid w:val="006A7E85"/>
    <w:rsid w:val="006B01C7"/>
    <w:rsid w:val="006B05F9"/>
    <w:rsid w:val="006B13FF"/>
    <w:rsid w:val="006B1BCA"/>
    <w:rsid w:val="006B25A0"/>
    <w:rsid w:val="006B270A"/>
    <w:rsid w:val="006B2761"/>
    <w:rsid w:val="006B2FF5"/>
    <w:rsid w:val="006B30AD"/>
    <w:rsid w:val="006B3281"/>
    <w:rsid w:val="006B4171"/>
    <w:rsid w:val="006B4DEB"/>
    <w:rsid w:val="006B5348"/>
    <w:rsid w:val="006B570C"/>
    <w:rsid w:val="006B59F6"/>
    <w:rsid w:val="006B5E4A"/>
    <w:rsid w:val="006B685D"/>
    <w:rsid w:val="006B6A77"/>
    <w:rsid w:val="006B6AD1"/>
    <w:rsid w:val="006B6CF2"/>
    <w:rsid w:val="006B71B6"/>
    <w:rsid w:val="006B765F"/>
    <w:rsid w:val="006B7F06"/>
    <w:rsid w:val="006B7F5A"/>
    <w:rsid w:val="006C0537"/>
    <w:rsid w:val="006C0608"/>
    <w:rsid w:val="006C0725"/>
    <w:rsid w:val="006C0E9F"/>
    <w:rsid w:val="006C11D9"/>
    <w:rsid w:val="006C1A1D"/>
    <w:rsid w:val="006C236A"/>
    <w:rsid w:val="006C2498"/>
    <w:rsid w:val="006C25C5"/>
    <w:rsid w:val="006C2664"/>
    <w:rsid w:val="006C28D6"/>
    <w:rsid w:val="006C2990"/>
    <w:rsid w:val="006C29BB"/>
    <w:rsid w:val="006C2BF4"/>
    <w:rsid w:val="006C2F01"/>
    <w:rsid w:val="006C310C"/>
    <w:rsid w:val="006C3785"/>
    <w:rsid w:val="006C39FA"/>
    <w:rsid w:val="006C3E1F"/>
    <w:rsid w:val="006C3EB6"/>
    <w:rsid w:val="006C3FC5"/>
    <w:rsid w:val="006C4114"/>
    <w:rsid w:val="006C4568"/>
    <w:rsid w:val="006C468D"/>
    <w:rsid w:val="006C59BA"/>
    <w:rsid w:val="006C5A9E"/>
    <w:rsid w:val="006C5D57"/>
    <w:rsid w:val="006C5FF3"/>
    <w:rsid w:val="006C60CB"/>
    <w:rsid w:val="006C650B"/>
    <w:rsid w:val="006C6938"/>
    <w:rsid w:val="006C6A42"/>
    <w:rsid w:val="006C6B19"/>
    <w:rsid w:val="006C6E77"/>
    <w:rsid w:val="006C6E80"/>
    <w:rsid w:val="006C7027"/>
    <w:rsid w:val="006C76DC"/>
    <w:rsid w:val="006C7725"/>
    <w:rsid w:val="006C781D"/>
    <w:rsid w:val="006D00C2"/>
    <w:rsid w:val="006D1134"/>
    <w:rsid w:val="006D19AE"/>
    <w:rsid w:val="006D1BDE"/>
    <w:rsid w:val="006D1C09"/>
    <w:rsid w:val="006D249F"/>
    <w:rsid w:val="006D28BD"/>
    <w:rsid w:val="006D2962"/>
    <w:rsid w:val="006D29B3"/>
    <w:rsid w:val="006D29C7"/>
    <w:rsid w:val="006D35D1"/>
    <w:rsid w:val="006D3799"/>
    <w:rsid w:val="006D42F4"/>
    <w:rsid w:val="006D4A26"/>
    <w:rsid w:val="006D5259"/>
    <w:rsid w:val="006D52EC"/>
    <w:rsid w:val="006D53BF"/>
    <w:rsid w:val="006D5C75"/>
    <w:rsid w:val="006D6480"/>
    <w:rsid w:val="006D64B1"/>
    <w:rsid w:val="006D77F8"/>
    <w:rsid w:val="006E0067"/>
    <w:rsid w:val="006E07E8"/>
    <w:rsid w:val="006E0AFD"/>
    <w:rsid w:val="006E0B6F"/>
    <w:rsid w:val="006E0BA4"/>
    <w:rsid w:val="006E0C3E"/>
    <w:rsid w:val="006E0C55"/>
    <w:rsid w:val="006E1090"/>
    <w:rsid w:val="006E214E"/>
    <w:rsid w:val="006E2F21"/>
    <w:rsid w:val="006E3139"/>
    <w:rsid w:val="006E42AC"/>
    <w:rsid w:val="006E47D4"/>
    <w:rsid w:val="006E4D88"/>
    <w:rsid w:val="006E4F11"/>
    <w:rsid w:val="006E504C"/>
    <w:rsid w:val="006E6758"/>
    <w:rsid w:val="006E693A"/>
    <w:rsid w:val="006E6CD1"/>
    <w:rsid w:val="006E70AC"/>
    <w:rsid w:val="006E7435"/>
    <w:rsid w:val="006F0279"/>
    <w:rsid w:val="006F0571"/>
    <w:rsid w:val="006F0ECE"/>
    <w:rsid w:val="006F151D"/>
    <w:rsid w:val="006F1961"/>
    <w:rsid w:val="006F1A1E"/>
    <w:rsid w:val="006F1CD5"/>
    <w:rsid w:val="006F1EC9"/>
    <w:rsid w:val="006F201B"/>
    <w:rsid w:val="006F20BA"/>
    <w:rsid w:val="006F2E83"/>
    <w:rsid w:val="006F2FA0"/>
    <w:rsid w:val="006F3417"/>
    <w:rsid w:val="006F3A99"/>
    <w:rsid w:val="006F3F69"/>
    <w:rsid w:val="006F43A3"/>
    <w:rsid w:val="006F4575"/>
    <w:rsid w:val="006F4FE2"/>
    <w:rsid w:val="006F592E"/>
    <w:rsid w:val="006F5B9A"/>
    <w:rsid w:val="006F6344"/>
    <w:rsid w:val="006F649E"/>
    <w:rsid w:val="006F655F"/>
    <w:rsid w:val="006F6874"/>
    <w:rsid w:val="006F6B7A"/>
    <w:rsid w:val="0070021B"/>
    <w:rsid w:val="00700B03"/>
    <w:rsid w:val="00700DDE"/>
    <w:rsid w:val="007012B8"/>
    <w:rsid w:val="0070214F"/>
    <w:rsid w:val="00702396"/>
    <w:rsid w:val="007028BF"/>
    <w:rsid w:val="00702D4B"/>
    <w:rsid w:val="00702DAD"/>
    <w:rsid w:val="007030FE"/>
    <w:rsid w:val="0070334C"/>
    <w:rsid w:val="00703365"/>
    <w:rsid w:val="00703420"/>
    <w:rsid w:val="007034EE"/>
    <w:rsid w:val="00703907"/>
    <w:rsid w:val="00703D90"/>
    <w:rsid w:val="00703DB6"/>
    <w:rsid w:val="007040AA"/>
    <w:rsid w:val="007041AF"/>
    <w:rsid w:val="00704387"/>
    <w:rsid w:val="007048FA"/>
    <w:rsid w:val="007050C7"/>
    <w:rsid w:val="00705291"/>
    <w:rsid w:val="0070588C"/>
    <w:rsid w:val="007058D8"/>
    <w:rsid w:val="007062A0"/>
    <w:rsid w:val="0070658B"/>
    <w:rsid w:val="0070660A"/>
    <w:rsid w:val="00706A27"/>
    <w:rsid w:val="00706A6C"/>
    <w:rsid w:val="00706F07"/>
    <w:rsid w:val="00707B74"/>
    <w:rsid w:val="00707C82"/>
    <w:rsid w:val="00707E4A"/>
    <w:rsid w:val="00707FFE"/>
    <w:rsid w:val="007102F6"/>
    <w:rsid w:val="007104C2"/>
    <w:rsid w:val="007109D7"/>
    <w:rsid w:val="00710CB6"/>
    <w:rsid w:val="00710DCE"/>
    <w:rsid w:val="00711621"/>
    <w:rsid w:val="00711A3B"/>
    <w:rsid w:val="00712485"/>
    <w:rsid w:val="0071270C"/>
    <w:rsid w:val="0071295B"/>
    <w:rsid w:val="007134CB"/>
    <w:rsid w:val="00713BE7"/>
    <w:rsid w:val="007143E4"/>
    <w:rsid w:val="00714F53"/>
    <w:rsid w:val="00714F84"/>
    <w:rsid w:val="007150C6"/>
    <w:rsid w:val="007153BF"/>
    <w:rsid w:val="00715624"/>
    <w:rsid w:val="00715A1E"/>
    <w:rsid w:val="007161EF"/>
    <w:rsid w:val="007165F3"/>
    <w:rsid w:val="0071755D"/>
    <w:rsid w:val="00717569"/>
    <w:rsid w:val="00717573"/>
    <w:rsid w:val="00717B10"/>
    <w:rsid w:val="00717FC5"/>
    <w:rsid w:val="00720060"/>
    <w:rsid w:val="00720C07"/>
    <w:rsid w:val="00720F55"/>
    <w:rsid w:val="007215AD"/>
    <w:rsid w:val="007217CE"/>
    <w:rsid w:val="007222F8"/>
    <w:rsid w:val="0072283D"/>
    <w:rsid w:val="0072320F"/>
    <w:rsid w:val="00723343"/>
    <w:rsid w:val="007233AF"/>
    <w:rsid w:val="007236AB"/>
    <w:rsid w:val="00723890"/>
    <w:rsid w:val="00723C33"/>
    <w:rsid w:val="00723D8E"/>
    <w:rsid w:val="00724858"/>
    <w:rsid w:val="00725015"/>
    <w:rsid w:val="0072527B"/>
    <w:rsid w:val="007254E8"/>
    <w:rsid w:val="00725BFD"/>
    <w:rsid w:val="00725FF3"/>
    <w:rsid w:val="007266D1"/>
    <w:rsid w:val="00727131"/>
    <w:rsid w:val="00727173"/>
    <w:rsid w:val="00730759"/>
    <w:rsid w:val="00731036"/>
    <w:rsid w:val="007320C8"/>
    <w:rsid w:val="007321E0"/>
    <w:rsid w:val="00732623"/>
    <w:rsid w:val="0073319F"/>
    <w:rsid w:val="007331FA"/>
    <w:rsid w:val="00733767"/>
    <w:rsid w:val="00733C73"/>
    <w:rsid w:val="007340FF"/>
    <w:rsid w:val="007345FA"/>
    <w:rsid w:val="00734988"/>
    <w:rsid w:val="007349D2"/>
    <w:rsid w:val="00735157"/>
    <w:rsid w:val="00735D8E"/>
    <w:rsid w:val="007368A8"/>
    <w:rsid w:val="00736F0B"/>
    <w:rsid w:val="00736F70"/>
    <w:rsid w:val="007372F3"/>
    <w:rsid w:val="00737568"/>
    <w:rsid w:val="00737849"/>
    <w:rsid w:val="00737A6B"/>
    <w:rsid w:val="00740753"/>
    <w:rsid w:val="00741367"/>
    <w:rsid w:val="007421DB"/>
    <w:rsid w:val="00742506"/>
    <w:rsid w:val="0074292C"/>
    <w:rsid w:val="00742E28"/>
    <w:rsid w:val="00742F61"/>
    <w:rsid w:val="00742F9E"/>
    <w:rsid w:val="0074340C"/>
    <w:rsid w:val="007435AA"/>
    <w:rsid w:val="00743797"/>
    <w:rsid w:val="00743A4E"/>
    <w:rsid w:val="00743B19"/>
    <w:rsid w:val="00743FD4"/>
    <w:rsid w:val="0074405A"/>
    <w:rsid w:val="007440F8"/>
    <w:rsid w:val="00744135"/>
    <w:rsid w:val="00744482"/>
    <w:rsid w:val="0074449A"/>
    <w:rsid w:val="0074455A"/>
    <w:rsid w:val="00744718"/>
    <w:rsid w:val="00744848"/>
    <w:rsid w:val="00744B55"/>
    <w:rsid w:val="00744E74"/>
    <w:rsid w:val="00744F09"/>
    <w:rsid w:val="00745253"/>
    <w:rsid w:val="0074589F"/>
    <w:rsid w:val="00745F2B"/>
    <w:rsid w:val="007461F4"/>
    <w:rsid w:val="00746705"/>
    <w:rsid w:val="007467AC"/>
    <w:rsid w:val="00746938"/>
    <w:rsid w:val="00746C9B"/>
    <w:rsid w:val="00747AB8"/>
    <w:rsid w:val="00747C18"/>
    <w:rsid w:val="00747F0D"/>
    <w:rsid w:val="00747FFC"/>
    <w:rsid w:val="00750112"/>
    <w:rsid w:val="007505CF"/>
    <w:rsid w:val="00750FBA"/>
    <w:rsid w:val="007514A1"/>
    <w:rsid w:val="00751A84"/>
    <w:rsid w:val="00751CE9"/>
    <w:rsid w:val="00751F00"/>
    <w:rsid w:val="00752399"/>
    <w:rsid w:val="007525AE"/>
    <w:rsid w:val="00752A7B"/>
    <w:rsid w:val="00752AD1"/>
    <w:rsid w:val="00752DBE"/>
    <w:rsid w:val="0075404C"/>
    <w:rsid w:val="007558B8"/>
    <w:rsid w:val="00755BB9"/>
    <w:rsid w:val="00755C99"/>
    <w:rsid w:val="00755DD7"/>
    <w:rsid w:val="00756628"/>
    <w:rsid w:val="007567C6"/>
    <w:rsid w:val="00757313"/>
    <w:rsid w:val="00757611"/>
    <w:rsid w:val="00757862"/>
    <w:rsid w:val="0076032B"/>
    <w:rsid w:val="007603FF"/>
    <w:rsid w:val="0076064C"/>
    <w:rsid w:val="00760ABF"/>
    <w:rsid w:val="00761129"/>
    <w:rsid w:val="00761B25"/>
    <w:rsid w:val="00761ED4"/>
    <w:rsid w:val="007620B8"/>
    <w:rsid w:val="0076251F"/>
    <w:rsid w:val="007626B8"/>
    <w:rsid w:val="00763197"/>
    <w:rsid w:val="007631C1"/>
    <w:rsid w:val="0076351C"/>
    <w:rsid w:val="007638E7"/>
    <w:rsid w:val="00763BE3"/>
    <w:rsid w:val="00763F55"/>
    <w:rsid w:val="007640A8"/>
    <w:rsid w:val="00764375"/>
    <w:rsid w:val="00765366"/>
    <w:rsid w:val="00765737"/>
    <w:rsid w:val="00765792"/>
    <w:rsid w:val="00765818"/>
    <w:rsid w:val="00765BC9"/>
    <w:rsid w:val="00765DD1"/>
    <w:rsid w:val="00765E2A"/>
    <w:rsid w:val="00766099"/>
    <w:rsid w:val="00766569"/>
    <w:rsid w:val="00766589"/>
    <w:rsid w:val="007668FB"/>
    <w:rsid w:val="00766A9F"/>
    <w:rsid w:val="00767091"/>
    <w:rsid w:val="00767246"/>
    <w:rsid w:val="00767631"/>
    <w:rsid w:val="00767827"/>
    <w:rsid w:val="007700C3"/>
    <w:rsid w:val="00770322"/>
    <w:rsid w:val="007704AB"/>
    <w:rsid w:val="00770506"/>
    <w:rsid w:val="00770CF6"/>
    <w:rsid w:val="007719D3"/>
    <w:rsid w:val="00772221"/>
    <w:rsid w:val="0077223B"/>
    <w:rsid w:val="0077229C"/>
    <w:rsid w:val="00772A28"/>
    <w:rsid w:val="00774227"/>
    <w:rsid w:val="00774240"/>
    <w:rsid w:val="00774579"/>
    <w:rsid w:val="007745F6"/>
    <w:rsid w:val="00774805"/>
    <w:rsid w:val="00774A7B"/>
    <w:rsid w:val="00774E76"/>
    <w:rsid w:val="0077574B"/>
    <w:rsid w:val="0077622B"/>
    <w:rsid w:val="007764A9"/>
    <w:rsid w:val="0077709F"/>
    <w:rsid w:val="007770C6"/>
    <w:rsid w:val="00777119"/>
    <w:rsid w:val="007771C2"/>
    <w:rsid w:val="007771FA"/>
    <w:rsid w:val="00777390"/>
    <w:rsid w:val="007774C3"/>
    <w:rsid w:val="007777A7"/>
    <w:rsid w:val="00777E3E"/>
    <w:rsid w:val="00777EF7"/>
    <w:rsid w:val="00780970"/>
    <w:rsid w:val="007812C4"/>
    <w:rsid w:val="007814C9"/>
    <w:rsid w:val="00781A33"/>
    <w:rsid w:val="00782503"/>
    <w:rsid w:val="00782830"/>
    <w:rsid w:val="00782FF9"/>
    <w:rsid w:val="00783492"/>
    <w:rsid w:val="00783550"/>
    <w:rsid w:val="0078374F"/>
    <w:rsid w:val="0078376F"/>
    <w:rsid w:val="0078422D"/>
    <w:rsid w:val="00784650"/>
    <w:rsid w:val="00785065"/>
    <w:rsid w:val="00785614"/>
    <w:rsid w:val="007856E6"/>
    <w:rsid w:val="00785E68"/>
    <w:rsid w:val="007862FE"/>
    <w:rsid w:val="00786318"/>
    <w:rsid w:val="00786390"/>
    <w:rsid w:val="00787578"/>
    <w:rsid w:val="00787729"/>
    <w:rsid w:val="00787B0F"/>
    <w:rsid w:val="00787F69"/>
    <w:rsid w:val="007900C8"/>
    <w:rsid w:val="0079022A"/>
    <w:rsid w:val="0079035C"/>
    <w:rsid w:val="0079078A"/>
    <w:rsid w:val="00790A4A"/>
    <w:rsid w:val="00790ECD"/>
    <w:rsid w:val="007917EF"/>
    <w:rsid w:val="00791B47"/>
    <w:rsid w:val="00792B0B"/>
    <w:rsid w:val="007932B5"/>
    <w:rsid w:val="007938C1"/>
    <w:rsid w:val="00793AD5"/>
    <w:rsid w:val="00794491"/>
    <w:rsid w:val="007950B2"/>
    <w:rsid w:val="007955B1"/>
    <w:rsid w:val="00795D3E"/>
    <w:rsid w:val="007961E6"/>
    <w:rsid w:val="007966BE"/>
    <w:rsid w:val="0079712A"/>
    <w:rsid w:val="0079722E"/>
    <w:rsid w:val="00797997"/>
    <w:rsid w:val="00797EE3"/>
    <w:rsid w:val="007A04E4"/>
    <w:rsid w:val="007A062A"/>
    <w:rsid w:val="007A08CA"/>
    <w:rsid w:val="007A0E0E"/>
    <w:rsid w:val="007A1057"/>
    <w:rsid w:val="007A1197"/>
    <w:rsid w:val="007A1349"/>
    <w:rsid w:val="007A1654"/>
    <w:rsid w:val="007A1B5D"/>
    <w:rsid w:val="007A1D4F"/>
    <w:rsid w:val="007A1ED7"/>
    <w:rsid w:val="007A22F9"/>
    <w:rsid w:val="007A2400"/>
    <w:rsid w:val="007A29CA"/>
    <w:rsid w:val="007A2C17"/>
    <w:rsid w:val="007A2F65"/>
    <w:rsid w:val="007A31B7"/>
    <w:rsid w:val="007A34F0"/>
    <w:rsid w:val="007A3C27"/>
    <w:rsid w:val="007A3C4B"/>
    <w:rsid w:val="007A40E2"/>
    <w:rsid w:val="007A45A6"/>
    <w:rsid w:val="007A4760"/>
    <w:rsid w:val="007A4B60"/>
    <w:rsid w:val="007A53D6"/>
    <w:rsid w:val="007A63B7"/>
    <w:rsid w:val="007A63FF"/>
    <w:rsid w:val="007A64BA"/>
    <w:rsid w:val="007A66A1"/>
    <w:rsid w:val="007A67D6"/>
    <w:rsid w:val="007A748F"/>
    <w:rsid w:val="007A7522"/>
    <w:rsid w:val="007A7591"/>
    <w:rsid w:val="007A7757"/>
    <w:rsid w:val="007B01E8"/>
    <w:rsid w:val="007B0677"/>
    <w:rsid w:val="007B0803"/>
    <w:rsid w:val="007B100C"/>
    <w:rsid w:val="007B1148"/>
    <w:rsid w:val="007B1430"/>
    <w:rsid w:val="007B1AC1"/>
    <w:rsid w:val="007B2B0C"/>
    <w:rsid w:val="007B2C5F"/>
    <w:rsid w:val="007B2DC7"/>
    <w:rsid w:val="007B2FBD"/>
    <w:rsid w:val="007B309C"/>
    <w:rsid w:val="007B3BA0"/>
    <w:rsid w:val="007B46B9"/>
    <w:rsid w:val="007B498C"/>
    <w:rsid w:val="007B4E02"/>
    <w:rsid w:val="007B553A"/>
    <w:rsid w:val="007B6245"/>
    <w:rsid w:val="007B6924"/>
    <w:rsid w:val="007C05E5"/>
    <w:rsid w:val="007C088E"/>
    <w:rsid w:val="007C0E64"/>
    <w:rsid w:val="007C0EF2"/>
    <w:rsid w:val="007C19C4"/>
    <w:rsid w:val="007C1D16"/>
    <w:rsid w:val="007C1D86"/>
    <w:rsid w:val="007C1E01"/>
    <w:rsid w:val="007C2EE5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4EBA"/>
    <w:rsid w:val="007C5750"/>
    <w:rsid w:val="007C5D7D"/>
    <w:rsid w:val="007C5E0B"/>
    <w:rsid w:val="007C6125"/>
    <w:rsid w:val="007C6483"/>
    <w:rsid w:val="007C6607"/>
    <w:rsid w:val="007C6733"/>
    <w:rsid w:val="007C70F9"/>
    <w:rsid w:val="007C726D"/>
    <w:rsid w:val="007C7C81"/>
    <w:rsid w:val="007C7C93"/>
    <w:rsid w:val="007D0244"/>
    <w:rsid w:val="007D05BC"/>
    <w:rsid w:val="007D0987"/>
    <w:rsid w:val="007D0B38"/>
    <w:rsid w:val="007D15FE"/>
    <w:rsid w:val="007D18DF"/>
    <w:rsid w:val="007D1AE2"/>
    <w:rsid w:val="007D1BDA"/>
    <w:rsid w:val="007D1DFC"/>
    <w:rsid w:val="007D251A"/>
    <w:rsid w:val="007D2B98"/>
    <w:rsid w:val="007D2BE4"/>
    <w:rsid w:val="007D2F7E"/>
    <w:rsid w:val="007D3126"/>
    <w:rsid w:val="007D34CD"/>
    <w:rsid w:val="007D363C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987"/>
    <w:rsid w:val="007D6AD1"/>
    <w:rsid w:val="007D7449"/>
    <w:rsid w:val="007D7EA1"/>
    <w:rsid w:val="007D7EE3"/>
    <w:rsid w:val="007D7F74"/>
    <w:rsid w:val="007E0113"/>
    <w:rsid w:val="007E110A"/>
    <w:rsid w:val="007E12CD"/>
    <w:rsid w:val="007E146D"/>
    <w:rsid w:val="007E1669"/>
    <w:rsid w:val="007E207B"/>
    <w:rsid w:val="007E22DF"/>
    <w:rsid w:val="007E24A3"/>
    <w:rsid w:val="007E24CE"/>
    <w:rsid w:val="007E2903"/>
    <w:rsid w:val="007E2F70"/>
    <w:rsid w:val="007E3BF4"/>
    <w:rsid w:val="007E3F8F"/>
    <w:rsid w:val="007E4250"/>
    <w:rsid w:val="007E467D"/>
    <w:rsid w:val="007E4881"/>
    <w:rsid w:val="007E48AB"/>
    <w:rsid w:val="007E490A"/>
    <w:rsid w:val="007E4F1C"/>
    <w:rsid w:val="007E519A"/>
    <w:rsid w:val="007E5640"/>
    <w:rsid w:val="007E58AE"/>
    <w:rsid w:val="007E5DD4"/>
    <w:rsid w:val="007E6100"/>
    <w:rsid w:val="007E6185"/>
    <w:rsid w:val="007E6AE6"/>
    <w:rsid w:val="007E6DE3"/>
    <w:rsid w:val="007E6F1A"/>
    <w:rsid w:val="007E72FB"/>
    <w:rsid w:val="007E755D"/>
    <w:rsid w:val="007E7613"/>
    <w:rsid w:val="007F0574"/>
    <w:rsid w:val="007F0A88"/>
    <w:rsid w:val="007F120A"/>
    <w:rsid w:val="007F196A"/>
    <w:rsid w:val="007F1A88"/>
    <w:rsid w:val="007F1CE1"/>
    <w:rsid w:val="007F239C"/>
    <w:rsid w:val="007F23E6"/>
    <w:rsid w:val="007F2456"/>
    <w:rsid w:val="007F2704"/>
    <w:rsid w:val="007F2798"/>
    <w:rsid w:val="007F2B6B"/>
    <w:rsid w:val="007F2E81"/>
    <w:rsid w:val="007F2FA3"/>
    <w:rsid w:val="007F325E"/>
    <w:rsid w:val="007F3296"/>
    <w:rsid w:val="007F352D"/>
    <w:rsid w:val="007F376D"/>
    <w:rsid w:val="007F391B"/>
    <w:rsid w:val="007F4097"/>
    <w:rsid w:val="007F40EC"/>
    <w:rsid w:val="007F42B0"/>
    <w:rsid w:val="007F4AF3"/>
    <w:rsid w:val="007F4B00"/>
    <w:rsid w:val="007F5317"/>
    <w:rsid w:val="007F55F5"/>
    <w:rsid w:val="007F5915"/>
    <w:rsid w:val="007F5B5C"/>
    <w:rsid w:val="007F622C"/>
    <w:rsid w:val="007F646A"/>
    <w:rsid w:val="007F70AA"/>
    <w:rsid w:val="007F7406"/>
    <w:rsid w:val="007F74B2"/>
    <w:rsid w:val="007F75E3"/>
    <w:rsid w:val="007F766D"/>
    <w:rsid w:val="00800204"/>
    <w:rsid w:val="00800516"/>
    <w:rsid w:val="008005AF"/>
    <w:rsid w:val="00801AD6"/>
    <w:rsid w:val="00801F01"/>
    <w:rsid w:val="00802046"/>
    <w:rsid w:val="008020CA"/>
    <w:rsid w:val="0080259A"/>
    <w:rsid w:val="00802695"/>
    <w:rsid w:val="008027B8"/>
    <w:rsid w:val="0080282E"/>
    <w:rsid w:val="008033C3"/>
    <w:rsid w:val="008033FE"/>
    <w:rsid w:val="00804139"/>
    <w:rsid w:val="008046B3"/>
    <w:rsid w:val="0080552E"/>
    <w:rsid w:val="00805A35"/>
    <w:rsid w:val="00805B7A"/>
    <w:rsid w:val="00806D30"/>
    <w:rsid w:val="00807106"/>
    <w:rsid w:val="00810189"/>
    <w:rsid w:val="00810D39"/>
    <w:rsid w:val="00811613"/>
    <w:rsid w:val="00811C01"/>
    <w:rsid w:val="00811C28"/>
    <w:rsid w:val="00811CF7"/>
    <w:rsid w:val="00812390"/>
    <w:rsid w:val="00812617"/>
    <w:rsid w:val="008126B8"/>
    <w:rsid w:val="00812CBE"/>
    <w:rsid w:val="00812E72"/>
    <w:rsid w:val="00812F20"/>
    <w:rsid w:val="00813203"/>
    <w:rsid w:val="0081324E"/>
    <w:rsid w:val="00813437"/>
    <w:rsid w:val="0081347E"/>
    <w:rsid w:val="00813857"/>
    <w:rsid w:val="00813BFC"/>
    <w:rsid w:val="00813DA8"/>
    <w:rsid w:val="00813EF6"/>
    <w:rsid w:val="00813F5D"/>
    <w:rsid w:val="00813F6F"/>
    <w:rsid w:val="0081445F"/>
    <w:rsid w:val="008144FE"/>
    <w:rsid w:val="008149BA"/>
    <w:rsid w:val="00814CF6"/>
    <w:rsid w:val="00814E30"/>
    <w:rsid w:val="00814E79"/>
    <w:rsid w:val="00815346"/>
    <w:rsid w:val="0081557C"/>
    <w:rsid w:val="00816C6F"/>
    <w:rsid w:val="00816E58"/>
    <w:rsid w:val="0081730C"/>
    <w:rsid w:val="0081739D"/>
    <w:rsid w:val="00817526"/>
    <w:rsid w:val="00817DDA"/>
    <w:rsid w:val="008203C0"/>
    <w:rsid w:val="008204FA"/>
    <w:rsid w:val="0082057F"/>
    <w:rsid w:val="00820829"/>
    <w:rsid w:val="00820AA5"/>
    <w:rsid w:val="00820AC0"/>
    <w:rsid w:val="00820E5C"/>
    <w:rsid w:val="00821266"/>
    <w:rsid w:val="00821967"/>
    <w:rsid w:val="00821ED3"/>
    <w:rsid w:val="008222AC"/>
    <w:rsid w:val="008233C4"/>
    <w:rsid w:val="00823B01"/>
    <w:rsid w:val="00823C9B"/>
    <w:rsid w:val="00824D16"/>
    <w:rsid w:val="00825348"/>
    <w:rsid w:val="008254ED"/>
    <w:rsid w:val="008257CB"/>
    <w:rsid w:val="00825EF1"/>
    <w:rsid w:val="00825FDD"/>
    <w:rsid w:val="0082603F"/>
    <w:rsid w:val="0082667F"/>
    <w:rsid w:val="008269E4"/>
    <w:rsid w:val="008273C3"/>
    <w:rsid w:val="00827614"/>
    <w:rsid w:val="00827E24"/>
    <w:rsid w:val="00830417"/>
    <w:rsid w:val="0083084C"/>
    <w:rsid w:val="00830DD9"/>
    <w:rsid w:val="00831230"/>
    <w:rsid w:val="008312A0"/>
    <w:rsid w:val="0083141C"/>
    <w:rsid w:val="008315D7"/>
    <w:rsid w:val="0083186F"/>
    <w:rsid w:val="00831872"/>
    <w:rsid w:val="00831FC3"/>
    <w:rsid w:val="008324E3"/>
    <w:rsid w:val="00832DBA"/>
    <w:rsid w:val="0083314C"/>
    <w:rsid w:val="00833A3E"/>
    <w:rsid w:val="008341ED"/>
    <w:rsid w:val="008343DE"/>
    <w:rsid w:val="008348B0"/>
    <w:rsid w:val="00834976"/>
    <w:rsid w:val="00834E7E"/>
    <w:rsid w:val="008353FE"/>
    <w:rsid w:val="00835618"/>
    <w:rsid w:val="0083594B"/>
    <w:rsid w:val="00835C3C"/>
    <w:rsid w:val="0083604E"/>
    <w:rsid w:val="008363E6"/>
    <w:rsid w:val="00837882"/>
    <w:rsid w:val="008379F2"/>
    <w:rsid w:val="00837EDF"/>
    <w:rsid w:val="0084031C"/>
    <w:rsid w:val="0084044E"/>
    <w:rsid w:val="0084049B"/>
    <w:rsid w:val="00840A6E"/>
    <w:rsid w:val="0084115F"/>
    <w:rsid w:val="008416B4"/>
    <w:rsid w:val="00841975"/>
    <w:rsid w:val="00841FBE"/>
    <w:rsid w:val="0084206A"/>
    <w:rsid w:val="0084279E"/>
    <w:rsid w:val="00842B22"/>
    <w:rsid w:val="00842B52"/>
    <w:rsid w:val="00842C6A"/>
    <w:rsid w:val="00843327"/>
    <w:rsid w:val="008439D5"/>
    <w:rsid w:val="00843DF1"/>
    <w:rsid w:val="00843F0C"/>
    <w:rsid w:val="00843FA7"/>
    <w:rsid w:val="0084436D"/>
    <w:rsid w:val="00844D07"/>
    <w:rsid w:val="00845240"/>
    <w:rsid w:val="00845827"/>
    <w:rsid w:val="00845CDF"/>
    <w:rsid w:val="008465AF"/>
    <w:rsid w:val="008467AB"/>
    <w:rsid w:val="00846B49"/>
    <w:rsid w:val="00846EB5"/>
    <w:rsid w:val="00847737"/>
    <w:rsid w:val="00847D64"/>
    <w:rsid w:val="00847E60"/>
    <w:rsid w:val="00850510"/>
    <w:rsid w:val="0085093F"/>
    <w:rsid w:val="00851238"/>
    <w:rsid w:val="008513DC"/>
    <w:rsid w:val="00851DC3"/>
    <w:rsid w:val="00851E78"/>
    <w:rsid w:val="00852210"/>
    <w:rsid w:val="00852808"/>
    <w:rsid w:val="00853140"/>
    <w:rsid w:val="0085346A"/>
    <w:rsid w:val="00853A11"/>
    <w:rsid w:val="00854846"/>
    <w:rsid w:val="00854C73"/>
    <w:rsid w:val="008551B0"/>
    <w:rsid w:val="00856025"/>
    <w:rsid w:val="00856754"/>
    <w:rsid w:val="0085712D"/>
    <w:rsid w:val="008571E7"/>
    <w:rsid w:val="0085777C"/>
    <w:rsid w:val="00857C61"/>
    <w:rsid w:val="00857CB8"/>
    <w:rsid w:val="00857E67"/>
    <w:rsid w:val="008601E3"/>
    <w:rsid w:val="00860294"/>
    <w:rsid w:val="00860AB2"/>
    <w:rsid w:val="00860D14"/>
    <w:rsid w:val="00860D6A"/>
    <w:rsid w:val="00861261"/>
    <w:rsid w:val="008615D8"/>
    <w:rsid w:val="00861E3F"/>
    <w:rsid w:val="00862171"/>
    <w:rsid w:val="008621B6"/>
    <w:rsid w:val="00862374"/>
    <w:rsid w:val="00862D00"/>
    <w:rsid w:val="008630B0"/>
    <w:rsid w:val="00863945"/>
    <w:rsid w:val="00863E93"/>
    <w:rsid w:val="00864D96"/>
    <w:rsid w:val="00865A96"/>
    <w:rsid w:val="00865CC2"/>
    <w:rsid w:val="00866402"/>
    <w:rsid w:val="00866425"/>
    <w:rsid w:val="008664C0"/>
    <w:rsid w:val="00866505"/>
    <w:rsid w:val="0086705E"/>
    <w:rsid w:val="00867315"/>
    <w:rsid w:val="0086791D"/>
    <w:rsid w:val="0086795E"/>
    <w:rsid w:val="00867AC8"/>
    <w:rsid w:val="00867C57"/>
    <w:rsid w:val="00870294"/>
    <w:rsid w:val="0087040A"/>
    <w:rsid w:val="00870767"/>
    <w:rsid w:val="0087086A"/>
    <w:rsid w:val="00870930"/>
    <w:rsid w:val="00871195"/>
    <w:rsid w:val="0087180F"/>
    <w:rsid w:val="00871F13"/>
    <w:rsid w:val="008725BF"/>
    <w:rsid w:val="008728F6"/>
    <w:rsid w:val="008729D8"/>
    <w:rsid w:val="00872B70"/>
    <w:rsid w:val="0087383B"/>
    <w:rsid w:val="00873BDF"/>
    <w:rsid w:val="00873EAF"/>
    <w:rsid w:val="008743CF"/>
    <w:rsid w:val="00874505"/>
    <w:rsid w:val="00874981"/>
    <w:rsid w:val="00874FE5"/>
    <w:rsid w:val="008755E0"/>
    <w:rsid w:val="00876A46"/>
    <w:rsid w:val="00876A96"/>
    <w:rsid w:val="00876B67"/>
    <w:rsid w:val="00877036"/>
    <w:rsid w:val="008770EC"/>
    <w:rsid w:val="00877106"/>
    <w:rsid w:val="00877163"/>
    <w:rsid w:val="00877A06"/>
    <w:rsid w:val="00877DC8"/>
    <w:rsid w:val="00880AE7"/>
    <w:rsid w:val="00880B4B"/>
    <w:rsid w:val="00880C56"/>
    <w:rsid w:val="00880DAA"/>
    <w:rsid w:val="008810F4"/>
    <w:rsid w:val="008814BA"/>
    <w:rsid w:val="008818D0"/>
    <w:rsid w:val="00881AF7"/>
    <w:rsid w:val="00881C61"/>
    <w:rsid w:val="008823F5"/>
    <w:rsid w:val="0088250A"/>
    <w:rsid w:val="008827CC"/>
    <w:rsid w:val="00883298"/>
    <w:rsid w:val="008838A3"/>
    <w:rsid w:val="0088411F"/>
    <w:rsid w:val="00884D89"/>
    <w:rsid w:val="00884E6E"/>
    <w:rsid w:val="00885A50"/>
    <w:rsid w:val="00885ACA"/>
    <w:rsid w:val="008862B9"/>
    <w:rsid w:val="00886315"/>
    <w:rsid w:val="00886497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1100"/>
    <w:rsid w:val="00891458"/>
    <w:rsid w:val="008921A7"/>
    <w:rsid w:val="00892241"/>
    <w:rsid w:val="008922BF"/>
    <w:rsid w:val="0089241E"/>
    <w:rsid w:val="0089247E"/>
    <w:rsid w:val="00892E1B"/>
    <w:rsid w:val="008940E5"/>
    <w:rsid w:val="00894656"/>
    <w:rsid w:val="008946B9"/>
    <w:rsid w:val="00894C8E"/>
    <w:rsid w:val="008957E3"/>
    <w:rsid w:val="00895968"/>
    <w:rsid w:val="0089628F"/>
    <w:rsid w:val="00896409"/>
    <w:rsid w:val="00896E6E"/>
    <w:rsid w:val="00897C8D"/>
    <w:rsid w:val="00897E4E"/>
    <w:rsid w:val="00897FB7"/>
    <w:rsid w:val="008A0176"/>
    <w:rsid w:val="008A03BD"/>
    <w:rsid w:val="008A1009"/>
    <w:rsid w:val="008A113F"/>
    <w:rsid w:val="008A160F"/>
    <w:rsid w:val="008A1A05"/>
    <w:rsid w:val="008A1D6D"/>
    <w:rsid w:val="008A1FF1"/>
    <w:rsid w:val="008A2589"/>
    <w:rsid w:val="008A265D"/>
    <w:rsid w:val="008A26DF"/>
    <w:rsid w:val="008A2FF6"/>
    <w:rsid w:val="008A3054"/>
    <w:rsid w:val="008A31C1"/>
    <w:rsid w:val="008A331B"/>
    <w:rsid w:val="008A3328"/>
    <w:rsid w:val="008A34C3"/>
    <w:rsid w:val="008A3DEC"/>
    <w:rsid w:val="008A46D7"/>
    <w:rsid w:val="008A49CA"/>
    <w:rsid w:val="008A49F7"/>
    <w:rsid w:val="008A4CC0"/>
    <w:rsid w:val="008A4EED"/>
    <w:rsid w:val="008A53A8"/>
    <w:rsid w:val="008A66B6"/>
    <w:rsid w:val="008A7077"/>
    <w:rsid w:val="008A7239"/>
    <w:rsid w:val="008A7641"/>
    <w:rsid w:val="008A7E7C"/>
    <w:rsid w:val="008B0836"/>
    <w:rsid w:val="008B0B84"/>
    <w:rsid w:val="008B2046"/>
    <w:rsid w:val="008B2D06"/>
    <w:rsid w:val="008B350A"/>
    <w:rsid w:val="008B36C2"/>
    <w:rsid w:val="008B3B67"/>
    <w:rsid w:val="008B48D4"/>
    <w:rsid w:val="008B4910"/>
    <w:rsid w:val="008B4AB2"/>
    <w:rsid w:val="008B4BAA"/>
    <w:rsid w:val="008B514B"/>
    <w:rsid w:val="008B5183"/>
    <w:rsid w:val="008B56C9"/>
    <w:rsid w:val="008B59A0"/>
    <w:rsid w:val="008B5D16"/>
    <w:rsid w:val="008B601B"/>
    <w:rsid w:val="008B6763"/>
    <w:rsid w:val="008B797C"/>
    <w:rsid w:val="008B7A59"/>
    <w:rsid w:val="008B7A99"/>
    <w:rsid w:val="008B7B0C"/>
    <w:rsid w:val="008B7EC5"/>
    <w:rsid w:val="008C0614"/>
    <w:rsid w:val="008C06F3"/>
    <w:rsid w:val="008C072D"/>
    <w:rsid w:val="008C0F94"/>
    <w:rsid w:val="008C14D7"/>
    <w:rsid w:val="008C1CDF"/>
    <w:rsid w:val="008C1F91"/>
    <w:rsid w:val="008C1FA8"/>
    <w:rsid w:val="008C3241"/>
    <w:rsid w:val="008C3C42"/>
    <w:rsid w:val="008C3F00"/>
    <w:rsid w:val="008C455F"/>
    <w:rsid w:val="008C4A3A"/>
    <w:rsid w:val="008C54C3"/>
    <w:rsid w:val="008C5754"/>
    <w:rsid w:val="008C5896"/>
    <w:rsid w:val="008C58AE"/>
    <w:rsid w:val="008C62BE"/>
    <w:rsid w:val="008C6461"/>
    <w:rsid w:val="008C6B5E"/>
    <w:rsid w:val="008C6C35"/>
    <w:rsid w:val="008C7399"/>
    <w:rsid w:val="008C7A13"/>
    <w:rsid w:val="008C7A9D"/>
    <w:rsid w:val="008C7EAC"/>
    <w:rsid w:val="008D027C"/>
    <w:rsid w:val="008D07F6"/>
    <w:rsid w:val="008D0951"/>
    <w:rsid w:val="008D09F1"/>
    <w:rsid w:val="008D0A0E"/>
    <w:rsid w:val="008D2181"/>
    <w:rsid w:val="008D230E"/>
    <w:rsid w:val="008D2BCC"/>
    <w:rsid w:val="008D2F65"/>
    <w:rsid w:val="008D313B"/>
    <w:rsid w:val="008D381A"/>
    <w:rsid w:val="008D381D"/>
    <w:rsid w:val="008D49BB"/>
    <w:rsid w:val="008D4B68"/>
    <w:rsid w:val="008D5035"/>
    <w:rsid w:val="008D562A"/>
    <w:rsid w:val="008D5A72"/>
    <w:rsid w:val="008D5F5E"/>
    <w:rsid w:val="008D6124"/>
    <w:rsid w:val="008D6130"/>
    <w:rsid w:val="008D655F"/>
    <w:rsid w:val="008D65CB"/>
    <w:rsid w:val="008D69C4"/>
    <w:rsid w:val="008D6D79"/>
    <w:rsid w:val="008D7339"/>
    <w:rsid w:val="008D77C2"/>
    <w:rsid w:val="008D77C5"/>
    <w:rsid w:val="008D7A23"/>
    <w:rsid w:val="008D7FE9"/>
    <w:rsid w:val="008E00DF"/>
    <w:rsid w:val="008E0642"/>
    <w:rsid w:val="008E077B"/>
    <w:rsid w:val="008E0A08"/>
    <w:rsid w:val="008E0CE6"/>
    <w:rsid w:val="008E1266"/>
    <w:rsid w:val="008E18AD"/>
    <w:rsid w:val="008E1AA9"/>
    <w:rsid w:val="008E1C89"/>
    <w:rsid w:val="008E1CBC"/>
    <w:rsid w:val="008E2476"/>
    <w:rsid w:val="008E2479"/>
    <w:rsid w:val="008E2B4A"/>
    <w:rsid w:val="008E3663"/>
    <w:rsid w:val="008E369E"/>
    <w:rsid w:val="008E46C5"/>
    <w:rsid w:val="008E4736"/>
    <w:rsid w:val="008E498B"/>
    <w:rsid w:val="008E4E1E"/>
    <w:rsid w:val="008E56BF"/>
    <w:rsid w:val="008E58FF"/>
    <w:rsid w:val="008E5DA3"/>
    <w:rsid w:val="008E5E28"/>
    <w:rsid w:val="008E5FBA"/>
    <w:rsid w:val="008E62DB"/>
    <w:rsid w:val="008E6938"/>
    <w:rsid w:val="008E6CCA"/>
    <w:rsid w:val="008E6E48"/>
    <w:rsid w:val="008E71A5"/>
    <w:rsid w:val="008E7B47"/>
    <w:rsid w:val="008E7F33"/>
    <w:rsid w:val="008F0508"/>
    <w:rsid w:val="008F0A75"/>
    <w:rsid w:val="008F0BC4"/>
    <w:rsid w:val="008F117B"/>
    <w:rsid w:val="008F16B2"/>
    <w:rsid w:val="008F1B3E"/>
    <w:rsid w:val="008F1F64"/>
    <w:rsid w:val="008F1FB4"/>
    <w:rsid w:val="008F24F1"/>
    <w:rsid w:val="008F2934"/>
    <w:rsid w:val="008F2E27"/>
    <w:rsid w:val="008F310C"/>
    <w:rsid w:val="008F44BC"/>
    <w:rsid w:val="008F46EE"/>
    <w:rsid w:val="008F4798"/>
    <w:rsid w:val="008F490C"/>
    <w:rsid w:val="008F4BB3"/>
    <w:rsid w:val="008F4DAA"/>
    <w:rsid w:val="008F6EA5"/>
    <w:rsid w:val="008F7230"/>
    <w:rsid w:val="008F73A9"/>
    <w:rsid w:val="008F7D80"/>
    <w:rsid w:val="008F7F32"/>
    <w:rsid w:val="0090005F"/>
    <w:rsid w:val="00900F25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2EF7"/>
    <w:rsid w:val="00903359"/>
    <w:rsid w:val="0090361E"/>
    <w:rsid w:val="00903D51"/>
    <w:rsid w:val="00904187"/>
    <w:rsid w:val="00904232"/>
    <w:rsid w:val="00904246"/>
    <w:rsid w:val="0090450E"/>
    <w:rsid w:val="00904871"/>
    <w:rsid w:val="00904F96"/>
    <w:rsid w:val="0090552B"/>
    <w:rsid w:val="00905668"/>
    <w:rsid w:val="00906654"/>
    <w:rsid w:val="00906808"/>
    <w:rsid w:val="00906C63"/>
    <w:rsid w:val="00906D08"/>
    <w:rsid w:val="00906E8F"/>
    <w:rsid w:val="00907025"/>
    <w:rsid w:val="0090721E"/>
    <w:rsid w:val="0090755D"/>
    <w:rsid w:val="00907808"/>
    <w:rsid w:val="00907DD2"/>
    <w:rsid w:val="009107FE"/>
    <w:rsid w:val="00910C92"/>
    <w:rsid w:val="00911643"/>
    <w:rsid w:val="00911D19"/>
    <w:rsid w:val="009121D7"/>
    <w:rsid w:val="00912554"/>
    <w:rsid w:val="009127B0"/>
    <w:rsid w:val="00912B31"/>
    <w:rsid w:val="00913200"/>
    <w:rsid w:val="0091376A"/>
    <w:rsid w:val="00913B52"/>
    <w:rsid w:val="0091440A"/>
    <w:rsid w:val="00914E7F"/>
    <w:rsid w:val="00914FA0"/>
    <w:rsid w:val="00915651"/>
    <w:rsid w:val="00915EBA"/>
    <w:rsid w:val="00915F3D"/>
    <w:rsid w:val="00916072"/>
    <w:rsid w:val="00916785"/>
    <w:rsid w:val="009172AF"/>
    <w:rsid w:val="0091775D"/>
    <w:rsid w:val="00917D91"/>
    <w:rsid w:val="0092005D"/>
    <w:rsid w:val="00920135"/>
    <w:rsid w:val="00920BDB"/>
    <w:rsid w:val="00920BEB"/>
    <w:rsid w:val="00920D75"/>
    <w:rsid w:val="00920E6B"/>
    <w:rsid w:val="009219A1"/>
    <w:rsid w:val="00921B54"/>
    <w:rsid w:val="00921D7F"/>
    <w:rsid w:val="00921FAA"/>
    <w:rsid w:val="0092230C"/>
    <w:rsid w:val="00922794"/>
    <w:rsid w:val="00922B87"/>
    <w:rsid w:val="0092312B"/>
    <w:rsid w:val="00923633"/>
    <w:rsid w:val="00923725"/>
    <w:rsid w:val="00923D0D"/>
    <w:rsid w:val="0092400A"/>
    <w:rsid w:val="00924384"/>
    <w:rsid w:val="0092441A"/>
    <w:rsid w:val="0092468E"/>
    <w:rsid w:val="0092476E"/>
    <w:rsid w:val="0092482A"/>
    <w:rsid w:val="00924D4E"/>
    <w:rsid w:val="0092527D"/>
    <w:rsid w:val="00925451"/>
    <w:rsid w:val="00925B64"/>
    <w:rsid w:val="00926311"/>
    <w:rsid w:val="00926363"/>
    <w:rsid w:val="00926B71"/>
    <w:rsid w:val="0092707C"/>
    <w:rsid w:val="009273FF"/>
    <w:rsid w:val="009276CE"/>
    <w:rsid w:val="009277AD"/>
    <w:rsid w:val="00927ABA"/>
    <w:rsid w:val="00927DAB"/>
    <w:rsid w:val="00927F39"/>
    <w:rsid w:val="009300BC"/>
    <w:rsid w:val="00930269"/>
    <w:rsid w:val="00930479"/>
    <w:rsid w:val="00930576"/>
    <w:rsid w:val="00930750"/>
    <w:rsid w:val="0093118E"/>
    <w:rsid w:val="009315FE"/>
    <w:rsid w:val="0093166E"/>
    <w:rsid w:val="009317ED"/>
    <w:rsid w:val="00931D82"/>
    <w:rsid w:val="00931F13"/>
    <w:rsid w:val="0093276B"/>
    <w:rsid w:val="00933D6A"/>
    <w:rsid w:val="0093410D"/>
    <w:rsid w:val="009348E8"/>
    <w:rsid w:val="00934952"/>
    <w:rsid w:val="00934A8D"/>
    <w:rsid w:val="00934AB7"/>
    <w:rsid w:val="009350ED"/>
    <w:rsid w:val="00935DF3"/>
    <w:rsid w:val="009363E2"/>
    <w:rsid w:val="009363E5"/>
    <w:rsid w:val="00936C02"/>
    <w:rsid w:val="00936D3F"/>
    <w:rsid w:val="00936D60"/>
    <w:rsid w:val="00936E37"/>
    <w:rsid w:val="009374F1"/>
    <w:rsid w:val="00937703"/>
    <w:rsid w:val="00937A73"/>
    <w:rsid w:val="009402CE"/>
    <w:rsid w:val="009406F6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964"/>
    <w:rsid w:val="00942B30"/>
    <w:rsid w:val="00942BF3"/>
    <w:rsid w:val="00942E3E"/>
    <w:rsid w:val="00942F1A"/>
    <w:rsid w:val="009431F8"/>
    <w:rsid w:val="00943257"/>
    <w:rsid w:val="00943482"/>
    <w:rsid w:val="009435D2"/>
    <w:rsid w:val="00943CBE"/>
    <w:rsid w:val="00944173"/>
    <w:rsid w:val="009447B5"/>
    <w:rsid w:val="00944E6A"/>
    <w:rsid w:val="00945618"/>
    <w:rsid w:val="00945B98"/>
    <w:rsid w:val="00945D90"/>
    <w:rsid w:val="0094606F"/>
    <w:rsid w:val="009478E1"/>
    <w:rsid w:val="009500F1"/>
    <w:rsid w:val="00950912"/>
    <w:rsid w:val="0095092D"/>
    <w:rsid w:val="00950D12"/>
    <w:rsid w:val="00951261"/>
    <w:rsid w:val="0095134F"/>
    <w:rsid w:val="00951DE5"/>
    <w:rsid w:val="00952D1F"/>
    <w:rsid w:val="00952FA0"/>
    <w:rsid w:val="0095304B"/>
    <w:rsid w:val="0095341D"/>
    <w:rsid w:val="00953BB7"/>
    <w:rsid w:val="00953F8F"/>
    <w:rsid w:val="00954126"/>
    <w:rsid w:val="009541F1"/>
    <w:rsid w:val="009543CE"/>
    <w:rsid w:val="0095492C"/>
    <w:rsid w:val="00955325"/>
    <w:rsid w:val="0095566B"/>
    <w:rsid w:val="00955BFB"/>
    <w:rsid w:val="00955DA1"/>
    <w:rsid w:val="00955E99"/>
    <w:rsid w:val="0095606B"/>
    <w:rsid w:val="00956567"/>
    <w:rsid w:val="00957889"/>
    <w:rsid w:val="009603A1"/>
    <w:rsid w:val="00960FE9"/>
    <w:rsid w:val="009610AC"/>
    <w:rsid w:val="0096120D"/>
    <w:rsid w:val="009620BE"/>
    <w:rsid w:val="0096299D"/>
    <w:rsid w:val="00962B77"/>
    <w:rsid w:val="0096326C"/>
    <w:rsid w:val="009634A1"/>
    <w:rsid w:val="0096405F"/>
    <w:rsid w:val="009643C8"/>
    <w:rsid w:val="0096488A"/>
    <w:rsid w:val="0096495F"/>
    <w:rsid w:val="009652C2"/>
    <w:rsid w:val="009652DC"/>
    <w:rsid w:val="00965820"/>
    <w:rsid w:val="00965F90"/>
    <w:rsid w:val="00966331"/>
    <w:rsid w:val="00966D4A"/>
    <w:rsid w:val="009674A3"/>
    <w:rsid w:val="009675BF"/>
    <w:rsid w:val="00967A31"/>
    <w:rsid w:val="00967F76"/>
    <w:rsid w:val="00970055"/>
    <w:rsid w:val="009701D2"/>
    <w:rsid w:val="0097061F"/>
    <w:rsid w:val="009706C3"/>
    <w:rsid w:val="009710D3"/>
    <w:rsid w:val="009712DF"/>
    <w:rsid w:val="00972764"/>
    <w:rsid w:val="009733C2"/>
    <w:rsid w:val="00973537"/>
    <w:rsid w:val="00973EC5"/>
    <w:rsid w:val="0097425A"/>
    <w:rsid w:val="0097475B"/>
    <w:rsid w:val="009748B7"/>
    <w:rsid w:val="0097519D"/>
    <w:rsid w:val="0097578C"/>
    <w:rsid w:val="00975A15"/>
    <w:rsid w:val="00975E4C"/>
    <w:rsid w:val="00976762"/>
    <w:rsid w:val="009773EE"/>
    <w:rsid w:val="0097756E"/>
    <w:rsid w:val="009776FE"/>
    <w:rsid w:val="00977892"/>
    <w:rsid w:val="0097792E"/>
    <w:rsid w:val="00980C99"/>
    <w:rsid w:val="009810B2"/>
    <w:rsid w:val="009812E4"/>
    <w:rsid w:val="009817CF"/>
    <w:rsid w:val="00981B3C"/>
    <w:rsid w:val="00981BEB"/>
    <w:rsid w:val="00981E2D"/>
    <w:rsid w:val="00983025"/>
    <w:rsid w:val="0098311D"/>
    <w:rsid w:val="00983535"/>
    <w:rsid w:val="0098384B"/>
    <w:rsid w:val="00983C54"/>
    <w:rsid w:val="00984055"/>
    <w:rsid w:val="009845A6"/>
    <w:rsid w:val="00984738"/>
    <w:rsid w:val="00985587"/>
    <w:rsid w:val="0098569D"/>
    <w:rsid w:val="0098622B"/>
    <w:rsid w:val="0098626D"/>
    <w:rsid w:val="00986748"/>
    <w:rsid w:val="00986F24"/>
    <w:rsid w:val="009870AA"/>
    <w:rsid w:val="00987C68"/>
    <w:rsid w:val="00987C9F"/>
    <w:rsid w:val="00990EF5"/>
    <w:rsid w:val="00991089"/>
    <w:rsid w:val="00991368"/>
    <w:rsid w:val="009919D8"/>
    <w:rsid w:val="00991BFC"/>
    <w:rsid w:val="00992453"/>
    <w:rsid w:val="009925F7"/>
    <w:rsid w:val="00992A5D"/>
    <w:rsid w:val="00992F7F"/>
    <w:rsid w:val="00993667"/>
    <w:rsid w:val="00993907"/>
    <w:rsid w:val="00994290"/>
    <w:rsid w:val="009942A4"/>
    <w:rsid w:val="0099622C"/>
    <w:rsid w:val="0099645D"/>
    <w:rsid w:val="00996850"/>
    <w:rsid w:val="00997573"/>
    <w:rsid w:val="0099768D"/>
    <w:rsid w:val="009976A6"/>
    <w:rsid w:val="00997893"/>
    <w:rsid w:val="009A0076"/>
    <w:rsid w:val="009A0289"/>
    <w:rsid w:val="009A02B1"/>
    <w:rsid w:val="009A0566"/>
    <w:rsid w:val="009A0CA5"/>
    <w:rsid w:val="009A19A3"/>
    <w:rsid w:val="009A1F98"/>
    <w:rsid w:val="009A267D"/>
    <w:rsid w:val="009A2D32"/>
    <w:rsid w:val="009A3647"/>
    <w:rsid w:val="009A3BD9"/>
    <w:rsid w:val="009A4156"/>
    <w:rsid w:val="009A4237"/>
    <w:rsid w:val="009A5088"/>
    <w:rsid w:val="009A50E5"/>
    <w:rsid w:val="009A5755"/>
    <w:rsid w:val="009A5B97"/>
    <w:rsid w:val="009A5C4F"/>
    <w:rsid w:val="009A5ED2"/>
    <w:rsid w:val="009A6072"/>
    <w:rsid w:val="009A6157"/>
    <w:rsid w:val="009A6A9B"/>
    <w:rsid w:val="009A6E9A"/>
    <w:rsid w:val="009A74F8"/>
    <w:rsid w:val="009A785F"/>
    <w:rsid w:val="009B0828"/>
    <w:rsid w:val="009B10FD"/>
    <w:rsid w:val="009B1465"/>
    <w:rsid w:val="009B148F"/>
    <w:rsid w:val="009B1581"/>
    <w:rsid w:val="009B1E72"/>
    <w:rsid w:val="009B2607"/>
    <w:rsid w:val="009B3540"/>
    <w:rsid w:val="009B3575"/>
    <w:rsid w:val="009B3620"/>
    <w:rsid w:val="009B386A"/>
    <w:rsid w:val="009B3B0F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B7DCB"/>
    <w:rsid w:val="009C01FF"/>
    <w:rsid w:val="009C1214"/>
    <w:rsid w:val="009C1432"/>
    <w:rsid w:val="009C16AC"/>
    <w:rsid w:val="009C1955"/>
    <w:rsid w:val="009C2388"/>
    <w:rsid w:val="009C295F"/>
    <w:rsid w:val="009C301F"/>
    <w:rsid w:val="009C3435"/>
    <w:rsid w:val="009C3736"/>
    <w:rsid w:val="009C3A50"/>
    <w:rsid w:val="009C3CD0"/>
    <w:rsid w:val="009C3EFB"/>
    <w:rsid w:val="009C4862"/>
    <w:rsid w:val="009C4CCE"/>
    <w:rsid w:val="009C4E9F"/>
    <w:rsid w:val="009C5484"/>
    <w:rsid w:val="009C54D5"/>
    <w:rsid w:val="009C559B"/>
    <w:rsid w:val="009C5937"/>
    <w:rsid w:val="009C5D20"/>
    <w:rsid w:val="009C6098"/>
    <w:rsid w:val="009C6BE5"/>
    <w:rsid w:val="009C6CCA"/>
    <w:rsid w:val="009C7016"/>
    <w:rsid w:val="009D1037"/>
    <w:rsid w:val="009D10CF"/>
    <w:rsid w:val="009D182C"/>
    <w:rsid w:val="009D24C5"/>
    <w:rsid w:val="009D254F"/>
    <w:rsid w:val="009D29A7"/>
    <w:rsid w:val="009D355F"/>
    <w:rsid w:val="009D3780"/>
    <w:rsid w:val="009D3800"/>
    <w:rsid w:val="009D397E"/>
    <w:rsid w:val="009D3CEA"/>
    <w:rsid w:val="009D42AF"/>
    <w:rsid w:val="009D4806"/>
    <w:rsid w:val="009D4B10"/>
    <w:rsid w:val="009D4C50"/>
    <w:rsid w:val="009D504B"/>
    <w:rsid w:val="009D5159"/>
    <w:rsid w:val="009D5B30"/>
    <w:rsid w:val="009D6BD8"/>
    <w:rsid w:val="009D6FEE"/>
    <w:rsid w:val="009D7C97"/>
    <w:rsid w:val="009D7CE8"/>
    <w:rsid w:val="009D7EB8"/>
    <w:rsid w:val="009D7FDB"/>
    <w:rsid w:val="009E0289"/>
    <w:rsid w:val="009E0447"/>
    <w:rsid w:val="009E060C"/>
    <w:rsid w:val="009E07AA"/>
    <w:rsid w:val="009E1123"/>
    <w:rsid w:val="009E11FD"/>
    <w:rsid w:val="009E1D5E"/>
    <w:rsid w:val="009E1F6A"/>
    <w:rsid w:val="009E2554"/>
    <w:rsid w:val="009E25C3"/>
    <w:rsid w:val="009E3706"/>
    <w:rsid w:val="009E41A6"/>
    <w:rsid w:val="009E43A9"/>
    <w:rsid w:val="009E45E4"/>
    <w:rsid w:val="009E46A4"/>
    <w:rsid w:val="009E52D7"/>
    <w:rsid w:val="009E57D6"/>
    <w:rsid w:val="009E59BD"/>
    <w:rsid w:val="009E5BD7"/>
    <w:rsid w:val="009E6906"/>
    <w:rsid w:val="009E69F0"/>
    <w:rsid w:val="009E712F"/>
    <w:rsid w:val="009E715B"/>
    <w:rsid w:val="009E7304"/>
    <w:rsid w:val="009E753F"/>
    <w:rsid w:val="009E7696"/>
    <w:rsid w:val="009E775D"/>
    <w:rsid w:val="009E7923"/>
    <w:rsid w:val="009E7F05"/>
    <w:rsid w:val="009F018F"/>
    <w:rsid w:val="009F0793"/>
    <w:rsid w:val="009F0930"/>
    <w:rsid w:val="009F0B0B"/>
    <w:rsid w:val="009F0CA6"/>
    <w:rsid w:val="009F0E39"/>
    <w:rsid w:val="009F1B47"/>
    <w:rsid w:val="009F20AA"/>
    <w:rsid w:val="009F271E"/>
    <w:rsid w:val="009F2808"/>
    <w:rsid w:val="009F2E65"/>
    <w:rsid w:val="009F32EA"/>
    <w:rsid w:val="009F35C8"/>
    <w:rsid w:val="009F38B1"/>
    <w:rsid w:val="009F3BD4"/>
    <w:rsid w:val="009F448B"/>
    <w:rsid w:val="009F44E6"/>
    <w:rsid w:val="009F469A"/>
    <w:rsid w:val="009F4763"/>
    <w:rsid w:val="009F485A"/>
    <w:rsid w:val="009F49CB"/>
    <w:rsid w:val="009F4DBB"/>
    <w:rsid w:val="009F53DB"/>
    <w:rsid w:val="009F57B8"/>
    <w:rsid w:val="009F57CC"/>
    <w:rsid w:val="009F5E2D"/>
    <w:rsid w:val="009F66D1"/>
    <w:rsid w:val="009F6AF2"/>
    <w:rsid w:val="009F6B62"/>
    <w:rsid w:val="009F6D1C"/>
    <w:rsid w:val="009F6F55"/>
    <w:rsid w:val="009F7037"/>
    <w:rsid w:val="009F797B"/>
    <w:rsid w:val="009F7D01"/>
    <w:rsid w:val="00A00010"/>
    <w:rsid w:val="00A00033"/>
    <w:rsid w:val="00A00335"/>
    <w:rsid w:val="00A00963"/>
    <w:rsid w:val="00A00F11"/>
    <w:rsid w:val="00A01F1B"/>
    <w:rsid w:val="00A024FB"/>
    <w:rsid w:val="00A02511"/>
    <w:rsid w:val="00A02900"/>
    <w:rsid w:val="00A02C0D"/>
    <w:rsid w:val="00A02D75"/>
    <w:rsid w:val="00A0366C"/>
    <w:rsid w:val="00A0370E"/>
    <w:rsid w:val="00A039D0"/>
    <w:rsid w:val="00A039F2"/>
    <w:rsid w:val="00A03D68"/>
    <w:rsid w:val="00A045AE"/>
    <w:rsid w:val="00A04607"/>
    <w:rsid w:val="00A04692"/>
    <w:rsid w:val="00A04800"/>
    <w:rsid w:val="00A04AED"/>
    <w:rsid w:val="00A0541E"/>
    <w:rsid w:val="00A054E6"/>
    <w:rsid w:val="00A05AA7"/>
    <w:rsid w:val="00A06092"/>
    <w:rsid w:val="00A06BFD"/>
    <w:rsid w:val="00A06EE9"/>
    <w:rsid w:val="00A07476"/>
    <w:rsid w:val="00A0762F"/>
    <w:rsid w:val="00A07DE6"/>
    <w:rsid w:val="00A07E78"/>
    <w:rsid w:val="00A100BE"/>
    <w:rsid w:val="00A10162"/>
    <w:rsid w:val="00A10E56"/>
    <w:rsid w:val="00A11FF6"/>
    <w:rsid w:val="00A121D3"/>
    <w:rsid w:val="00A12882"/>
    <w:rsid w:val="00A12D3A"/>
    <w:rsid w:val="00A13158"/>
    <w:rsid w:val="00A13246"/>
    <w:rsid w:val="00A138A9"/>
    <w:rsid w:val="00A139AA"/>
    <w:rsid w:val="00A13A73"/>
    <w:rsid w:val="00A14462"/>
    <w:rsid w:val="00A14AEE"/>
    <w:rsid w:val="00A15D51"/>
    <w:rsid w:val="00A15F37"/>
    <w:rsid w:val="00A160A1"/>
    <w:rsid w:val="00A160DA"/>
    <w:rsid w:val="00A16619"/>
    <w:rsid w:val="00A1675E"/>
    <w:rsid w:val="00A16E32"/>
    <w:rsid w:val="00A1771E"/>
    <w:rsid w:val="00A17978"/>
    <w:rsid w:val="00A17F6A"/>
    <w:rsid w:val="00A200CD"/>
    <w:rsid w:val="00A204D4"/>
    <w:rsid w:val="00A21360"/>
    <w:rsid w:val="00A21415"/>
    <w:rsid w:val="00A21459"/>
    <w:rsid w:val="00A2184F"/>
    <w:rsid w:val="00A219F0"/>
    <w:rsid w:val="00A21F0D"/>
    <w:rsid w:val="00A21FD5"/>
    <w:rsid w:val="00A22374"/>
    <w:rsid w:val="00A22599"/>
    <w:rsid w:val="00A22952"/>
    <w:rsid w:val="00A24407"/>
    <w:rsid w:val="00A2452E"/>
    <w:rsid w:val="00A2472A"/>
    <w:rsid w:val="00A24AAC"/>
    <w:rsid w:val="00A24C7C"/>
    <w:rsid w:val="00A24C8F"/>
    <w:rsid w:val="00A24EEB"/>
    <w:rsid w:val="00A25186"/>
    <w:rsid w:val="00A2546D"/>
    <w:rsid w:val="00A2585B"/>
    <w:rsid w:val="00A25A1B"/>
    <w:rsid w:val="00A25A8E"/>
    <w:rsid w:val="00A25B4C"/>
    <w:rsid w:val="00A25BE9"/>
    <w:rsid w:val="00A25F14"/>
    <w:rsid w:val="00A26691"/>
    <w:rsid w:val="00A269ED"/>
    <w:rsid w:val="00A26BB8"/>
    <w:rsid w:val="00A26C28"/>
    <w:rsid w:val="00A2778E"/>
    <w:rsid w:val="00A278EA"/>
    <w:rsid w:val="00A27C5B"/>
    <w:rsid w:val="00A27CE6"/>
    <w:rsid w:val="00A3048B"/>
    <w:rsid w:val="00A30CD9"/>
    <w:rsid w:val="00A31503"/>
    <w:rsid w:val="00A3170C"/>
    <w:rsid w:val="00A31AF6"/>
    <w:rsid w:val="00A31CFE"/>
    <w:rsid w:val="00A31D23"/>
    <w:rsid w:val="00A322CB"/>
    <w:rsid w:val="00A3282F"/>
    <w:rsid w:val="00A32BFF"/>
    <w:rsid w:val="00A33361"/>
    <w:rsid w:val="00A33719"/>
    <w:rsid w:val="00A34AFB"/>
    <w:rsid w:val="00A34C9E"/>
    <w:rsid w:val="00A35453"/>
    <w:rsid w:val="00A35684"/>
    <w:rsid w:val="00A35838"/>
    <w:rsid w:val="00A358E0"/>
    <w:rsid w:val="00A35C27"/>
    <w:rsid w:val="00A35F6B"/>
    <w:rsid w:val="00A36905"/>
    <w:rsid w:val="00A36C62"/>
    <w:rsid w:val="00A36F3A"/>
    <w:rsid w:val="00A37026"/>
    <w:rsid w:val="00A37324"/>
    <w:rsid w:val="00A3736C"/>
    <w:rsid w:val="00A3756B"/>
    <w:rsid w:val="00A377B6"/>
    <w:rsid w:val="00A379EB"/>
    <w:rsid w:val="00A37B3C"/>
    <w:rsid w:val="00A37B6F"/>
    <w:rsid w:val="00A4077C"/>
    <w:rsid w:val="00A40A8C"/>
    <w:rsid w:val="00A40D6F"/>
    <w:rsid w:val="00A414C8"/>
    <w:rsid w:val="00A418DD"/>
    <w:rsid w:val="00A41CA2"/>
    <w:rsid w:val="00A41DA2"/>
    <w:rsid w:val="00A41E4F"/>
    <w:rsid w:val="00A428DD"/>
    <w:rsid w:val="00A42BCA"/>
    <w:rsid w:val="00A42F9F"/>
    <w:rsid w:val="00A42FE7"/>
    <w:rsid w:val="00A43BD7"/>
    <w:rsid w:val="00A43D11"/>
    <w:rsid w:val="00A449CE"/>
    <w:rsid w:val="00A44CA5"/>
    <w:rsid w:val="00A45819"/>
    <w:rsid w:val="00A45C55"/>
    <w:rsid w:val="00A46339"/>
    <w:rsid w:val="00A46958"/>
    <w:rsid w:val="00A46FBF"/>
    <w:rsid w:val="00A4707E"/>
    <w:rsid w:val="00A473DF"/>
    <w:rsid w:val="00A500AB"/>
    <w:rsid w:val="00A500B4"/>
    <w:rsid w:val="00A50219"/>
    <w:rsid w:val="00A50B68"/>
    <w:rsid w:val="00A5208D"/>
    <w:rsid w:val="00A52745"/>
    <w:rsid w:val="00A52BF7"/>
    <w:rsid w:val="00A52C8A"/>
    <w:rsid w:val="00A52F21"/>
    <w:rsid w:val="00A53481"/>
    <w:rsid w:val="00A5396F"/>
    <w:rsid w:val="00A53EBF"/>
    <w:rsid w:val="00A53ECE"/>
    <w:rsid w:val="00A54100"/>
    <w:rsid w:val="00A54592"/>
    <w:rsid w:val="00A5473D"/>
    <w:rsid w:val="00A54AE1"/>
    <w:rsid w:val="00A5506D"/>
    <w:rsid w:val="00A56509"/>
    <w:rsid w:val="00A5665E"/>
    <w:rsid w:val="00A56AEA"/>
    <w:rsid w:val="00A56B67"/>
    <w:rsid w:val="00A56E64"/>
    <w:rsid w:val="00A57079"/>
    <w:rsid w:val="00A60233"/>
    <w:rsid w:val="00A602EE"/>
    <w:rsid w:val="00A60951"/>
    <w:rsid w:val="00A60C5D"/>
    <w:rsid w:val="00A60E2B"/>
    <w:rsid w:val="00A60F40"/>
    <w:rsid w:val="00A6157A"/>
    <w:rsid w:val="00A61DC7"/>
    <w:rsid w:val="00A61FBB"/>
    <w:rsid w:val="00A628FA"/>
    <w:rsid w:val="00A63102"/>
    <w:rsid w:val="00A635AC"/>
    <w:rsid w:val="00A637FA"/>
    <w:rsid w:val="00A63FE6"/>
    <w:rsid w:val="00A640AE"/>
    <w:rsid w:val="00A644FC"/>
    <w:rsid w:val="00A64646"/>
    <w:rsid w:val="00A647F4"/>
    <w:rsid w:val="00A64976"/>
    <w:rsid w:val="00A64B1B"/>
    <w:rsid w:val="00A6584C"/>
    <w:rsid w:val="00A65BF9"/>
    <w:rsid w:val="00A666E6"/>
    <w:rsid w:val="00A66824"/>
    <w:rsid w:val="00A66CE1"/>
    <w:rsid w:val="00A67754"/>
    <w:rsid w:val="00A67C1C"/>
    <w:rsid w:val="00A67F9E"/>
    <w:rsid w:val="00A707AB"/>
    <w:rsid w:val="00A70D4E"/>
    <w:rsid w:val="00A71002"/>
    <w:rsid w:val="00A7261F"/>
    <w:rsid w:val="00A72717"/>
    <w:rsid w:val="00A72919"/>
    <w:rsid w:val="00A733E4"/>
    <w:rsid w:val="00A7348F"/>
    <w:rsid w:val="00A73898"/>
    <w:rsid w:val="00A73AA2"/>
    <w:rsid w:val="00A7436E"/>
    <w:rsid w:val="00A7490F"/>
    <w:rsid w:val="00A75011"/>
    <w:rsid w:val="00A752F1"/>
    <w:rsid w:val="00A75773"/>
    <w:rsid w:val="00A75D02"/>
    <w:rsid w:val="00A75F33"/>
    <w:rsid w:val="00A76947"/>
    <w:rsid w:val="00A76DAC"/>
    <w:rsid w:val="00A771A5"/>
    <w:rsid w:val="00A77239"/>
    <w:rsid w:val="00A772B2"/>
    <w:rsid w:val="00A7759D"/>
    <w:rsid w:val="00A77642"/>
    <w:rsid w:val="00A77914"/>
    <w:rsid w:val="00A77C5B"/>
    <w:rsid w:val="00A77F85"/>
    <w:rsid w:val="00A8039A"/>
    <w:rsid w:val="00A806EC"/>
    <w:rsid w:val="00A80924"/>
    <w:rsid w:val="00A80B37"/>
    <w:rsid w:val="00A80E37"/>
    <w:rsid w:val="00A811B7"/>
    <w:rsid w:val="00A81221"/>
    <w:rsid w:val="00A81705"/>
    <w:rsid w:val="00A81C41"/>
    <w:rsid w:val="00A8236D"/>
    <w:rsid w:val="00A836D2"/>
    <w:rsid w:val="00A8378F"/>
    <w:rsid w:val="00A83AB5"/>
    <w:rsid w:val="00A83D7A"/>
    <w:rsid w:val="00A8498B"/>
    <w:rsid w:val="00A857A5"/>
    <w:rsid w:val="00A85918"/>
    <w:rsid w:val="00A859D0"/>
    <w:rsid w:val="00A86A19"/>
    <w:rsid w:val="00A86A3B"/>
    <w:rsid w:val="00A86D2F"/>
    <w:rsid w:val="00A87013"/>
    <w:rsid w:val="00A870A6"/>
    <w:rsid w:val="00A877B4"/>
    <w:rsid w:val="00A87800"/>
    <w:rsid w:val="00A9036B"/>
    <w:rsid w:val="00A9052F"/>
    <w:rsid w:val="00A9076C"/>
    <w:rsid w:val="00A9194D"/>
    <w:rsid w:val="00A91CF0"/>
    <w:rsid w:val="00A92225"/>
    <w:rsid w:val="00A93504"/>
    <w:rsid w:val="00A93E91"/>
    <w:rsid w:val="00A941A9"/>
    <w:rsid w:val="00A94960"/>
    <w:rsid w:val="00A94CCD"/>
    <w:rsid w:val="00A94FB6"/>
    <w:rsid w:val="00A95084"/>
    <w:rsid w:val="00A952C9"/>
    <w:rsid w:val="00A95548"/>
    <w:rsid w:val="00A956E7"/>
    <w:rsid w:val="00A959A4"/>
    <w:rsid w:val="00A95AE3"/>
    <w:rsid w:val="00A95B4F"/>
    <w:rsid w:val="00A95DCE"/>
    <w:rsid w:val="00A96ACC"/>
    <w:rsid w:val="00A96EC8"/>
    <w:rsid w:val="00A96FF6"/>
    <w:rsid w:val="00A973F3"/>
    <w:rsid w:val="00A97466"/>
    <w:rsid w:val="00A97504"/>
    <w:rsid w:val="00A97EE7"/>
    <w:rsid w:val="00AA0261"/>
    <w:rsid w:val="00AA027E"/>
    <w:rsid w:val="00AA04F9"/>
    <w:rsid w:val="00AA099C"/>
    <w:rsid w:val="00AA09C4"/>
    <w:rsid w:val="00AA0E4E"/>
    <w:rsid w:val="00AA122F"/>
    <w:rsid w:val="00AA18A7"/>
    <w:rsid w:val="00AA197B"/>
    <w:rsid w:val="00AA20E7"/>
    <w:rsid w:val="00AA2533"/>
    <w:rsid w:val="00AA28DF"/>
    <w:rsid w:val="00AA2B67"/>
    <w:rsid w:val="00AA34F9"/>
    <w:rsid w:val="00AA3707"/>
    <w:rsid w:val="00AA386D"/>
    <w:rsid w:val="00AA3C31"/>
    <w:rsid w:val="00AA3C3C"/>
    <w:rsid w:val="00AA3F92"/>
    <w:rsid w:val="00AA4143"/>
    <w:rsid w:val="00AA4466"/>
    <w:rsid w:val="00AA46A3"/>
    <w:rsid w:val="00AA4767"/>
    <w:rsid w:val="00AA4E17"/>
    <w:rsid w:val="00AA4FD5"/>
    <w:rsid w:val="00AA633C"/>
    <w:rsid w:val="00AA6542"/>
    <w:rsid w:val="00AA65B4"/>
    <w:rsid w:val="00AA6AA1"/>
    <w:rsid w:val="00AA72A1"/>
    <w:rsid w:val="00AB0849"/>
    <w:rsid w:val="00AB0B60"/>
    <w:rsid w:val="00AB0DA4"/>
    <w:rsid w:val="00AB0DFB"/>
    <w:rsid w:val="00AB0FF4"/>
    <w:rsid w:val="00AB0FFB"/>
    <w:rsid w:val="00AB10C6"/>
    <w:rsid w:val="00AB129E"/>
    <w:rsid w:val="00AB28E0"/>
    <w:rsid w:val="00AB3083"/>
    <w:rsid w:val="00AB4161"/>
    <w:rsid w:val="00AB46AB"/>
    <w:rsid w:val="00AB49AD"/>
    <w:rsid w:val="00AB4BA0"/>
    <w:rsid w:val="00AB50E7"/>
    <w:rsid w:val="00AB5A6D"/>
    <w:rsid w:val="00AB5DF0"/>
    <w:rsid w:val="00AB60D9"/>
    <w:rsid w:val="00AB61E3"/>
    <w:rsid w:val="00AB7571"/>
    <w:rsid w:val="00AB79F4"/>
    <w:rsid w:val="00AB7EA8"/>
    <w:rsid w:val="00AC07EB"/>
    <w:rsid w:val="00AC0ACE"/>
    <w:rsid w:val="00AC0D6A"/>
    <w:rsid w:val="00AC112F"/>
    <w:rsid w:val="00AC1417"/>
    <w:rsid w:val="00AC15F8"/>
    <w:rsid w:val="00AC1867"/>
    <w:rsid w:val="00AC218C"/>
    <w:rsid w:val="00AC2412"/>
    <w:rsid w:val="00AC334F"/>
    <w:rsid w:val="00AC34D2"/>
    <w:rsid w:val="00AC3932"/>
    <w:rsid w:val="00AC39BD"/>
    <w:rsid w:val="00AC3D08"/>
    <w:rsid w:val="00AC3E7F"/>
    <w:rsid w:val="00AC4259"/>
    <w:rsid w:val="00AC43B7"/>
    <w:rsid w:val="00AC44B1"/>
    <w:rsid w:val="00AC4596"/>
    <w:rsid w:val="00AC4790"/>
    <w:rsid w:val="00AC4D22"/>
    <w:rsid w:val="00AC5728"/>
    <w:rsid w:val="00AC5806"/>
    <w:rsid w:val="00AC5B2E"/>
    <w:rsid w:val="00AC5CDD"/>
    <w:rsid w:val="00AC6B2D"/>
    <w:rsid w:val="00AC738F"/>
    <w:rsid w:val="00AC7608"/>
    <w:rsid w:val="00AC7751"/>
    <w:rsid w:val="00AC7770"/>
    <w:rsid w:val="00AC77C7"/>
    <w:rsid w:val="00AC7CAF"/>
    <w:rsid w:val="00AC7DB5"/>
    <w:rsid w:val="00AC7DF4"/>
    <w:rsid w:val="00AD0109"/>
    <w:rsid w:val="00AD0812"/>
    <w:rsid w:val="00AD0BD6"/>
    <w:rsid w:val="00AD0D04"/>
    <w:rsid w:val="00AD16CE"/>
    <w:rsid w:val="00AD1819"/>
    <w:rsid w:val="00AD1E14"/>
    <w:rsid w:val="00AD2396"/>
    <w:rsid w:val="00AD30E4"/>
    <w:rsid w:val="00AD330B"/>
    <w:rsid w:val="00AD3ED5"/>
    <w:rsid w:val="00AD4107"/>
    <w:rsid w:val="00AD416B"/>
    <w:rsid w:val="00AD4ADD"/>
    <w:rsid w:val="00AD4F82"/>
    <w:rsid w:val="00AD6D5A"/>
    <w:rsid w:val="00AD6E85"/>
    <w:rsid w:val="00AD7002"/>
    <w:rsid w:val="00AD7007"/>
    <w:rsid w:val="00AD7C22"/>
    <w:rsid w:val="00AD7C84"/>
    <w:rsid w:val="00AD7D39"/>
    <w:rsid w:val="00AD7F2B"/>
    <w:rsid w:val="00AE0999"/>
    <w:rsid w:val="00AE12C3"/>
    <w:rsid w:val="00AE1893"/>
    <w:rsid w:val="00AE1FFB"/>
    <w:rsid w:val="00AE224A"/>
    <w:rsid w:val="00AE26FF"/>
    <w:rsid w:val="00AE2DE5"/>
    <w:rsid w:val="00AE2E4C"/>
    <w:rsid w:val="00AE378A"/>
    <w:rsid w:val="00AE4708"/>
    <w:rsid w:val="00AE4B12"/>
    <w:rsid w:val="00AE5596"/>
    <w:rsid w:val="00AE55B5"/>
    <w:rsid w:val="00AE5B52"/>
    <w:rsid w:val="00AE61B1"/>
    <w:rsid w:val="00AE6249"/>
    <w:rsid w:val="00AE7A36"/>
    <w:rsid w:val="00AF004C"/>
    <w:rsid w:val="00AF022B"/>
    <w:rsid w:val="00AF050E"/>
    <w:rsid w:val="00AF07D5"/>
    <w:rsid w:val="00AF0AB0"/>
    <w:rsid w:val="00AF0C4B"/>
    <w:rsid w:val="00AF12AB"/>
    <w:rsid w:val="00AF12FA"/>
    <w:rsid w:val="00AF15FA"/>
    <w:rsid w:val="00AF1BA7"/>
    <w:rsid w:val="00AF2925"/>
    <w:rsid w:val="00AF2BE9"/>
    <w:rsid w:val="00AF3204"/>
    <w:rsid w:val="00AF379A"/>
    <w:rsid w:val="00AF3A64"/>
    <w:rsid w:val="00AF3C62"/>
    <w:rsid w:val="00AF3FC2"/>
    <w:rsid w:val="00AF45E5"/>
    <w:rsid w:val="00AF4A6C"/>
    <w:rsid w:val="00AF4B43"/>
    <w:rsid w:val="00AF4CF7"/>
    <w:rsid w:val="00AF5183"/>
    <w:rsid w:val="00AF51D6"/>
    <w:rsid w:val="00AF5440"/>
    <w:rsid w:val="00AF669E"/>
    <w:rsid w:val="00AF6D72"/>
    <w:rsid w:val="00AF74A2"/>
    <w:rsid w:val="00AF750E"/>
    <w:rsid w:val="00AF751F"/>
    <w:rsid w:val="00AF758E"/>
    <w:rsid w:val="00AF7599"/>
    <w:rsid w:val="00AF7B55"/>
    <w:rsid w:val="00B003C8"/>
    <w:rsid w:val="00B0051F"/>
    <w:rsid w:val="00B007A2"/>
    <w:rsid w:val="00B0092F"/>
    <w:rsid w:val="00B00959"/>
    <w:rsid w:val="00B00AEC"/>
    <w:rsid w:val="00B016C1"/>
    <w:rsid w:val="00B01CAE"/>
    <w:rsid w:val="00B01E55"/>
    <w:rsid w:val="00B022F8"/>
    <w:rsid w:val="00B027D7"/>
    <w:rsid w:val="00B02E65"/>
    <w:rsid w:val="00B03460"/>
    <w:rsid w:val="00B0347B"/>
    <w:rsid w:val="00B035D1"/>
    <w:rsid w:val="00B0383A"/>
    <w:rsid w:val="00B0391C"/>
    <w:rsid w:val="00B03BEC"/>
    <w:rsid w:val="00B03D11"/>
    <w:rsid w:val="00B03EA6"/>
    <w:rsid w:val="00B03FEA"/>
    <w:rsid w:val="00B048D5"/>
    <w:rsid w:val="00B055BD"/>
    <w:rsid w:val="00B05689"/>
    <w:rsid w:val="00B057B3"/>
    <w:rsid w:val="00B05F4F"/>
    <w:rsid w:val="00B064AB"/>
    <w:rsid w:val="00B066D6"/>
    <w:rsid w:val="00B06707"/>
    <w:rsid w:val="00B068C9"/>
    <w:rsid w:val="00B06FC8"/>
    <w:rsid w:val="00B07048"/>
    <w:rsid w:val="00B07170"/>
    <w:rsid w:val="00B07849"/>
    <w:rsid w:val="00B078B1"/>
    <w:rsid w:val="00B07E17"/>
    <w:rsid w:val="00B109DE"/>
    <w:rsid w:val="00B1117E"/>
    <w:rsid w:val="00B114FB"/>
    <w:rsid w:val="00B1171E"/>
    <w:rsid w:val="00B1185C"/>
    <w:rsid w:val="00B1247B"/>
    <w:rsid w:val="00B12570"/>
    <w:rsid w:val="00B128E3"/>
    <w:rsid w:val="00B12B25"/>
    <w:rsid w:val="00B131BF"/>
    <w:rsid w:val="00B13568"/>
    <w:rsid w:val="00B143AD"/>
    <w:rsid w:val="00B144F7"/>
    <w:rsid w:val="00B14910"/>
    <w:rsid w:val="00B14B4C"/>
    <w:rsid w:val="00B14B51"/>
    <w:rsid w:val="00B15087"/>
    <w:rsid w:val="00B15248"/>
    <w:rsid w:val="00B15320"/>
    <w:rsid w:val="00B153E7"/>
    <w:rsid w:val="00B15537"/>
    <w:rsid w:val="00B1578F"/>
    <w:rsid w:val="00B1591A"/>
    <w:rsid w:val="00B15DF8"/>
    <w:rsid w:val="00B15EA8"/>
    <w:rsid w:val="00B160BC"/>
    <w:rsid w:val="00B16500"/>
    <w:rsid w:val="00B166B5"/>
    <w:rsid w:val="00B169CD"/>
    <w:rsid w:val="00B16BE9"/>
    <w:rsid w:val="00B16F9D"/>
    <w:rsid w:val="00B171D9"/>
    <w:rsid w:val="00B171F6"/>
    <w:rsid w:val="00B17FF9"/>
    <w:rsid w:val="00B202C3"/>
    <w:rsid w:val="00B20632"/>
    <w:rsid w:val="00B209EE"/>
    <w:rsid w:val="00B211AB"/>
    <w:rsid w:val="00B21492"/>
    <w:rsid w:val="00B222FD"/>
    <w:rsid w:val="00B223ED"/>
    <w:rsid w:val="00B22619"/>
    <w:rsid w:val="00B22DF8"/>
    <w:rsid w:val="00B23260"/>
    <w:rsid w:val="00B237C8"/>
    <w:rsid w:val="00B238BD"/>
    <w:rsid w:val="00B246DA"/>
    <w:rsid w:val="00B25776"/>
    <w:rsid w:val="00B25D7C"/>
    <w:rsid w:val="00B27066"/>
    <w:rsid w:val="00B2722B"/>
    <w:rsid w:val="00B2755C"/>
    <w:rsid w:val="00B27616"/>
    <w:rsid w:val="00B27974"/>
    <w:rsid w:val="00B279AF"/>
    <w:rsid w:val="00B3037C"/>
    <w:rsid w:val="00B304D1"/>
    <w:rsid w:val="00B3079B"/>
    <w:rsid w:val="00B30899"/>
    <w:rsid w:val="00B30F37"/>
    <w:rsid w:val="00B31304"/>
    <w:rsid w:val="00B3239A"/>
    <w:rsid w:val="00B327E0"/>
    <w:rsid w:val="00B32C03"/>
    <w:rsid w:val="00B33394"/>
    <w:rsid w:val="00B339DE"/>
    <w:rsid w:val="00B33BF7"/>
    <w:rsid w:val="00B33CC7"/>
    <w:rsid w:val="00B34FDB"/>
    <w:rsid w:val="00B351C5"/>
    <w:rsid w:val="00B35632"/>
    <w:rsid w:val="00B3564B"/>
    <w:rsid w:val="00B35C4A"/>
    <w:rsid w:val="00B35CB1"/>
    <w:rsid w:val="00B35F48"/>
    <w:rsid w:val="00B360DC"/>
    <w:rsid w:val="00B36609"/>
    <w:rsid w:val="00B3662E"/>
    <w:rsid w:val="00B367F9"/>
    <w:rsid w:val="00B36E66"/>
    <w:rsid w:val="00B370E8"/>
    <w:rsid w:val="00B37693"/>
    <w:rsid w:val="00B37CEC"/>
    <w:rsid w:val="00B402EB"/>
    <w:rsid w:val="00B406C8"/>
    <w:rsid w:val="00B40ABC"/>
    <w:rsid w:val="00B40BB1"/>
    <w:rsid w:val="00B40E02"/>
    <w:rsid w:val="00B41084"/>
    <w:rsid w:val="00B41352"/>
    <w:rsid w:val="00B4161E"/>
    <w:rsid w:val="00B41E33"/>
    <w:rsid w:val="00B41F11"/>
    <w:rsid w:val="00B41F29"/>
    <w:rsid w:val="00B4276F"/>
    <w:rsid w:val="00B42AE8"/>
    <w:rsid w:val="00B42AEA"/>
    <w:rsid w:val="00B43648"/>
    <w:rsid w:val="00B438FA"/>
    <w:rsid w:val="00B43E0A"/>
    <w:rsid w:val="00B44033"/>
    <w:rsid w:val="00B442CE"/>
    <w:rsid w:val="00B45498"/>
    <w:rsid w:val="00B45BD6"/>
    <w:rsid w:val="00B45F00"/>
    <w:rsid w:val="00B460A6"/>
    <w:rsid w:val="00B4665B"/>
    <w:rsid w:val="00B468C8"/>
    <w:rsid w:val="00B46D11"/>
    <w:rsid w:val="00B472B4"/>
    <w:rsid w:val="00B4738C"/>
    <w:rsid w:val="00B47748"/>
    <w:rsid w:val="00B500E7"/>
    <w:rsid w:val="00B502D1"/>
    <w:rsid w:val="00B5079B"/>
    <w:rsid w:val="00B507A7"/>
    <w:rsid w:val="00B5096E"/>
    <w:rsid w:val="00B5098D"/>
    <w:rsid w:val="00B5152A"/>
    <w:rsid w:val="00B51BB3"/>
    <w:rsid w:val="00B51F7E"/>
    <w:rsid w:val="00B52A65"/>
    <w:rsid w:val="00B5318E"/>
    <w:rsid w:val="00B53D75"/>
    <w:rsid w:val="00B54386"/>
    <w:rsid w:val="00B5478B"/>
    <w:rsid w:val="00B54F45"/>
    <w:rsid w:val="00B55890"/>
    <w:rsid w:val="00B55DB3"/>
    <w:rsid w:val="00B56353"/>
    <w:rsid w:val="00B56AA2"/>
    <w:rsid w:val="00B56CEA"/>
    <w:rsid w:val="00B57013"/>
    <w:rsid w:val="00B6018B"/>
    <w:rsid w:val="00B61909"/>
    <w:rsid w:val="00B6192D"/>
    <w:rsid w:val="00B61D07"/>
    <w:rsid w:val="00B61EAA"/>
    <w:rsid w:val="00B6239A"/>
    <w:rsid w:val="00B62493"/>
    <w:rsid w:val="00B630BC"/>
    <w:rsid w:val="00B6326B"/>
    <w:rsid w:val="00B6380A"/>
    <w:rsid w:val="00B638AB"/>
    <w:rsid w:val="00B63BBF"/>
    <w:rsid w:val="00B63DFD"/>
    <w:rsid w:val="00B63E5D"/>
    <w:rsid w:val="00B63F94"/>
    <w:rsid w:val="00B643EC"/>
    <w:rsid w:val="00B647D9"/>
    <w:rsid w:val="00B64CF6"/>
    <w:rsid w:val="00B65326"/>
    <w:rsid w:val="00B6573F"/>
    <w:rsid w:val="00B65AA7"/>
    <w:rsid w:val="00B65B6A"/>
    <w:rsid w:val="00B65BDC"/>
    <w:rsid w:val="00B660AB"/>
    <w:rsid w:val="00B671A7"/>
    <w:rsid w:val="00B671FC"/>
    <w:rsid w:val="00B6741C"/>
    <w:rsid w:val="00B67C67"/>
    <w:rsid w:val="00B67E6D"/>
    <w:rsid w:val="00B70106"/>
    <w:rsid w:val="00B7018D"/>
    <w:rsid w:val="00B70530"/>
    <w:rsid w:val="00B7054F"/>
    <w:rsid w:val="00B7079E"/>
    <w:rsid w:val="00B70C6C"/>
    <w:rsid w:val="00B71402"/>
    <w:rsid w:val="00B7140B"/>
    <w:rsid w:val="00B718E0"/>
    <w:rsid w:val="00B7190B"/>
    <w:rsid w:val="00B71C3A"/>
    <w:rsid w:val="00B71EB5"/>
    <w:rsid w:val="00B7238F"/>
    <w:rsid w:val="00B727A4"/>
    <w:rsid w:val="00B72D4A"/>
    <w:rsid w:val="00B733E5"/>
    <w:rsid w:val="00B73817"/>
    <w:rsid w:val="00B7485A"/>
    <w:rsid w:val="00B7495C"/>
    <w:rsid w:val="00B74A18"/>
    <w:rsid w:val="00B74CBD"/>
    <w:rsid w:val="00B754DD"/>
    <w:rsid w:val="00B7593C"/>
    <w:rsid w:val="00B75F34"/>
    <w:rsid w:val="00B75F66"/>
    <w:rsid w:val="00B764FB"/>
    <w:rsid w:val="00B76C7C"/>
    <w:rsid w:val="00B76DB2"/>
    <w:rsid w:val="00B7727F"/>
    <w:rsid w:val="00B776CC"/>
    <w:rsid w:val="00B77ECB"/>
    <w:rsid w:val="00B8061C"/>
    <w:rsid w:val="00B807B3"/>
    <w:rsid w:val="00B807C5"/>
    <w:rsid w:val="00B81802"/>
    <w:rsid w:val="00B819C1"/>
    <w:rsid w:val="00B82816"/>
    <w:rsid w:val="00B82E1F"/>
    <w:rsid w:val="00B83057"/>
    <w:rsid w:val="00B836BA"/>
    <w:rsid w:val="00B839E3"/>
    <w:rsid w:val="00B8437D"/>
    <w:rsid w:val="00B844B8"/>
    <w:rsid w:val="00B84ED8"/>
    <w:rsid w:val="00B85259"/>
    <w:rsid w:val="00B85592"/>
    <w:rsid w:val="00B85827"/>
    <w:rsid w:val="00B85D2E"/>
    <w:rsid w:val="00B85E6B"/>
    <w:rsid w:val="00B8607C"/>
    <w:rsid w:val="00B86D18"/>
    <w:rsid w:val="00B86FD8"/>
    <w:rsid w:val="00B87A71"/>
    <w:rsid w:val="00B901EF"/>
    <w:rsid w:val="00B9024A"/>
    <w:rsid w:val="00B9040D"/>
    <w:rsid w:val="00B90A56"/>
    <w:rsid w:val="00B917BB"/>
    <w:rsid w:val="00B922BC"/>
    <w:rsid w:val="00B9236E"/>
    <w:rsid w:val="00B9251A"/>
    <w:rsid w:val="00B92712"/>
    <w:rsid w:val="00B92BDD"/>
    <w:rsid w:val="00B92D9A"/>
    <w:rsid w:val="00B931B2"/>
    <w:rsid w:val="00B931F2"/>
    <w:rsid w:val="00B936B2"/>
    <w:rsid w:val="00B93BAE"/>
    <w:rsid w:val="00B93CEB"/>
    <w:rsid w:val="00B94144"/>
    <w:rsid w:val="00B9426B"/>
    <w:rsid w:val="00B94677"/>
    <w:rsid w:val="00B94944"/>
    <w:rsid w:val="00B94A11"/>
    <w:rsid w:val="00B950BD"/>
    <w:rsid w:val="00B95554"/>
    <w:rsid w:val="00B95A07"/>
    <w:rsid w:val="00B964BE"/>
    <w:rsid w:val="00B96841"/>
    <w:rsid w:val="00B96D2F"/>
    <w:rsid w:val="00B97465"/>
    <w:rsid w:val="00B9754B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1E67"/>
    <w:rsid w:val="00BA20EC"/>
    <w:rsid w:val="00BA273E"/>
    <w:rsid w:val="00BA2B34"/>
    <w:rsid w:val="00BA2B93"/>
    <w:rsid w:val="00BA30C2"/>
    <w:rsid w:val="00BA33D4"/>
    <w:rsid w:val="00BA40F3"/>
    <w:rsid w:val="00BA429B"/>
    <w:rsid w:val="00BA4430"/>
    <w:rsid w:val="00BA4A08"/>
    <w:rsid w:val="00BA4AB3"/>
    <w:rsid w:val="00BA4F7D"/>
    <w:rsid w:val="00BA61B4"/>
    <w:rsid w:val="00BA6374"/>
    <w:rsid w:val="00BA651F"/>
    <w:rsid w:val="00BA6850"/>
    <w:rsid w:val="00BA6990"/>
    <w:rsid w:val="00BA6E7E"/>
    <w:rsid w:val="00BA71D5"/>
    <w:rsid w:val="00BA7667"/>
    <w:rsid w:val="00BA7A07"/>
    <w:rsid w:val="00BA7F5E"/>
    <w:rsid w:val="00BB04C7"/>
    <w:rsid w:val="00BB0827"/>
    <w:rsid w:val="00BB099D"/>
    <w:rsid w:val="00BB0F2A"/>
    <w:rsid w:val="00BB174F"/>
    <w:rsid w:val="00BB1A96"/>
    <w:rsid w:val="00BB1D4B"/>
    <w:rsid w:val="00BB20C2"/>
    <w:rsid w:val="00BB21E7"/>
    <w:rsid w:val="00BB2429"/>
    <w:rsid w:val="00BB2B8B"/>
    <w:rsid w:val="00BB36DA"/>
    <w:rsid w:val="00BB39A6"/>
    <w:rsid w:val="00BB4028"/>
    <w:rsid w:val="00BB4B3B"/>
    <w:rsid w:val="00BB516C"/>
    <w:rsid w:val="00BB522A"/>
    <w:rsid w:val="00BB5BEC"/>
    <w:rsid w:val="00BB6720"/>
    <w:rsid w:val="00BB6830"/>
    <w:rsid w:val="00BB6844"/>
    <w:rsid w:val="00BB6A06"/>
    <w:rsid w:val="00BB6CE2"/>
    <w:rsid w:val="00BB7053"/>
    <w:rsid w:val="00BB7137"/>
    <w:rsid w:val="00BB725E"/>
    <w:rsid w:val="00BB7329"/>
    <w:rsid w:val="00BB74C7"/>
    <w:rsid w:val="00BB76D4"/>
    <w:rsid w:val="00BB77D1"/>
    <w:rsid w:val="00BB7908"/>
    <w:rsid w:val="00BB7B86"/>
    <w:rsid w:val="00BB7D14"/>
    <w:rsid w:val="00BB7DA9"/>
    <w:rsid w:val="00BB7ECE"/>
    <w:rsid w:val="00BC00C1"/>
    <w:rsid w:val="00BC0C34"/>
    <w:rsid w:val="00BC13B9"/>
    <w:rsid w:val="00BC18A7"/>
    <w:rsid w:val="00BC2383"/>
    <w:rsid w:val="00BC3C64"/>
    <w:rsid w:val="00BC4092"/>
    <w:rsid w:val="00BC4604"/>
    <w:rsid w:val="00BC47BC"/>
    <w:rsid w:val="00BC4BCC"/>
    <w:rsid w:val="00BC4DFD"/>
    <w:rsid w:val="00BC6074"/>
    <w:rsid w:val="00BC60EA"/>
    <w:rsid w:val="00BC6C74"/>
    <w:rsid w:val="00BC6C9B"/>
    <w:rsid w:val="00BC6D95"/>
    <w:rsid w:val="00BC7A40"/>
    <w:rsid w:val="00BD0976"/>
    <w:rsid w:val="00BD0A52"/>
    <w:rsid w:val="00BD0DA4"/>
    <w:rsid w:val="00BD1580"/>
    <w:rsid w:val="00BD1756"/>
    <w:rsid w:val="00BD17EB"/>
    <w:rsid w:val="00BD1851"/>
    <w:rsid w:val="00BD1935"/>
    <w:rsid w:val="00BD1950"/>
    <w:rsid w:val="00BD1BB5"/>
    <w:rsid w:val="00BD1DB5"/>
    <w:rsid w:val="00BD23A2"/>
    <w:rsid w:val="00BD34C8"/>
    <w:rsid w:val="00BD4356"/>
    <w:rsid w:val="00BD47DE"/>
    <w:rsid w:val="00BD4800"/>
    <w:rsid w:val="00BD4838"/>
    <w:rsid w:val="00BD4892"/>
    <w:rsid w:val="00BD489D"/>
    <w:rsid w:val="00BD490C"/>
    <w:rsid w:val="00BD4B1F"/>
    <w:rsid w:val="00BD4E31"/>
    <w:rsid w:val="00BD5488"/>
    <w:rsid w:val="00BD55A4"/>
    <w:rsid w:val="00BD5E93"/>
    <w:rsid w:val="00BD5EA3"/>
    <w:rsid w:val="00BD6244"/>
    <w:rsid w:val="00BD6285"/>
    <w:rsid w:val="00BD6A61"/>
    <w:rsid w:val="00BD6AA4"/>
    <w:rsid w:val="00BD6CCF"/>
    <w:rsid w:val="00BD7487"/>
    <w:rsid w:val="00BD74A0"/>
    <w:rsid w:val="00BE051E"/>
    <w:rsid w:val="00BE05EB"/>
    <w:rsid w:val="00BE08D3"/>
    <w:rsid w:val="00BE0DA1"/>
    <w:rsid w:val="00BE0E9F"/>
    <w:rsid w:val="00BE1738"/>
    <w:rsid w:val="00BE17E5"/>
    <w:rsid w:val="00BE1F4E"/>
    <w:rsid w:val="00BE272F"/>
    <w:rsid w:val="00BE2766"/>
    <w:rsid w:val="00BE28C6"/>
    <w:rsid w:val="00BE2950"/>
    <w:rsid w:val="00BE2CC5"/>
    <w:rsid w:val="00BE4A12"/>
    <w:rsid w:val="00BE4CFF"/>
    <w:rsid w:val="00BE5004"/>
    <w:rsid w:val="00BE5140"/>
    <w:rsid w:val="00BE52B3"/>
    <w:rsid w:val="00BE5F9D"/>
    <w:rsid w:val="00BE6F64"/>
    <w:rsid w:val="00BE73C9"/>
    <w:rsid w:val="00BE7549"/>
    <w:rsid w:val="00BE7EA5"/>
    <w:rsid w:val="00BF035D"/>
    <w:rsid w:val="00BF0440"/>
    <w:rsid w:val="00BF06C2"/>
    <w:rsid w:val="00BF07E8"/>
    <w:rsid w:val="00BF0C6B"/>
    <w:rsid w:val="00BF0C81"/>
    <w:rsid w:val="00BF0DAB"/>
    <w:rsid w:val="00BF0F90"/>
    <w:rsid w:val="00BF299D"/>
    <w:rsid w:val="00BF29E2"/>
    <w:rsid w:val="00BF2EC9"/>
    <w:rsid w:val="00BF36E0"/>
    <w:rsid w:val="00BF3B13"/>
    <w:rsid w:val="00BF4251"/>
    <w:rsid w:val="00BF433E"/>
    <w:rsid w:val="00BF4819"/>
    <w:rsid w:val="00BF51C0"/>
    <w:rsid w:val="00BF536A"/>
    <w:rsid w:val="00BF57AB"/>
    <w:rsid w:val="00BF588A"/>
    <w:rsid w:val="00BF59BC"/>
    <w:rsid w:val="00BF5BC2"/>
    <w:rsid w:val="00BF5C29"/>
    <w:rsid w:val="00BF5F53"/>
    <w:rsid w:val="00BF634C"/>
    <w:rsid w:val="00BF6772"/>
    <w:rsid w:val="00BF6997"/>
    <w:rsid w:val="00BF6DFD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1049"/>
    <w:rsid w:val="00C01175"/>
    <w:rsid w:val="00C014E4"/>
    <w:rsid w:val="00C01538"/>
    <w:rsid w:val="00C01B5D"/>
    <w:rsid w:val="00C01BE5"/>
    <w:rsid w:val="00C01F55"/>
    <w:rsid w:val="00C01FE3"/>
    <w:rsid w:val="00C02436"/>
    <w:rsid w:val="00C02608"/>
    <w:rsid w:val="00C02639"/>
    <w:rsid w:val="00C02855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4CC"/>
    <w:rsid w:val="00C107F1"/>
    <w:rsid w:val="00C10BE3"/>
    <w:rsid w:val="00C11DE4"/>
    <w:rsid w:val="00C12C0B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C86"/>
    <w:rsid w:val="00C16E3A"/>
    <w:rsid w:val="00C172CD"/>
    <w:rsid w:val="00C17855"/>
    <w:rsid w:val="00C1796B"/>
    <w:rsid w:val="00C17B88"/>
    <w:rsid w:val="00C17D75"/>
    <w:rsid w:val="00C2002F"/>
    <w:rsid w:val="00C2018D"/>
    <w:rsid w:val="00C20336"/>
    <w:rsid w:val="00C20965"/>
    <w:rsid w:val="00C210D1"/>
    <w:rsid w:val="00C212D0"/>
    <w:rsid w:val="00C21FB6"/>
    <w:rsid w:val="00C22291"/>
    <w:rsid w:val="00C2234F"/>
    <w:rsid w:val="00C22806"/>
    <w:rsid w:val="00C22D02"/>
    <w:rsid w:val="00C22E30"/>
    <w:rsid w:val="00C22F6F"/>
    <w:rsid w:val="00C22F7B"/>
    <w:rsid w:val="00C2306A"/>
    <w:rsid w:val="00C23184"/>
    <w:rsid w:val="00C231DE"/>
    <w:rsid w:val="00C231F2"/>
    <w:rsid w:val="00C234CE"/>
    <w:rsid w:val="00C23A97"/>
    <w:rsid w:val="00C245BF"/>
    <w:rsid w:val="00C24CD6"/>
    <w:rsid w:val="00C25BED"/>
    <w:rsid w:val="00C25CBC"/>
    <w:rsid w:val="00C26892"/>
    <w:rsid w:val="00C26BDA"/>
    <w:rsid w:val="00C26CB1"/>
    <w:rsid w:val="00C271FD"/>
    <w:rsid w:val="00C2751F"/>
    <w:rsid w:val="00C2778F"/>
    <w:rsid w:val="00C277E2"/>
    <w:rsid w:val="00C27D5B"/>
    <w:rsid w:val="00C302DE"/>
    <w:rsid w:val="00C30899"/>
    <w:rsid w:val="00C310A7"/>
    <w:rsid w:val="00C312B9"/>
    <w:rsid w:val="00C317B0"/>
    <w:rsid w:val="00C31821"/>
    <w:rsid w:val="00C31BF9"/>
    <w:rsid w:val="00C32364"/>
    <w:rsid w:val="00C32936"/>
    <w:rsid w:val="00C32A01"/>
    <w:rsid w:val="00C32C07"/>
    <w:rsid w:val="00C33132"/>
    <w:rsid w:val="00C331DA"/>
    <w:rsid w:val="00C3322A"/>
    <w:rsid w:val="00C33362"/>
    <w:rsid w:val="00C3356D"/>
    <w:rsid w:val="00C33752"/>
    <w:rsid w:val="00C341C2"/>
    <w:rsid w:val="00C34688"/>
    <w:rsid w:val="00C34CC0"/>
    <w:rsid w:val="00C35359"/>
    <w:rsid w:val="00C35810"/>
    <w:rsid w:val="00C3595F"/>
    <w:rsid w:val="00C35ADB"/>
    <w:rsid w:val="00C35D38"/>
    <w:rsid w:val="00C35E3B"/>
    <w:rsid w:val="00C366FC"/>
    <w:rsid w:val="00C36755"/>
    <w:rsid w:val="00C36889"/>
    <w:rsid w:val="00C36D3F"/>
    <w:rsid w:val="00C404F6"/>
    <w:rsid w:val="00C40653"/>
    <w:rsid w:val="00C40742"/>
    <w:rsid w:val="00C40841"/>
    <w:rsid w:val="00C40956"/>
    <w:rsid w:val="00C409E7"/>
    <w:rsid w:val="00C40BF7"/>
    <w:rsid w:val="00C40C80"/>
    <w:rsid w:val="00C40DD4"/>
    <w:rsid w:val="00C417B7"/>
    <w:rsid w:val="00C4180E"/>
    <w:rsid w:val="00C424ED"/>
    <w:rsid w:val="00C42BA3"/>
    <w:rsid w:val="00C42DC4"/>
    <w:rsid w:val="00C42E11"/>
    <w:rsid w:val="00C436C0"/>
    <w:rsid w:val="00C439E8"/>
    <w:rsid w:val="00C43B6A"/>
    <w:rsid w:val="00C43C6E"/>
    <w:rsid w:val="00C43F52"/>
    <w:rsid w:val="00C4402B"/>
    <w:rsid w:val="00C4486B"/>
    <w:rsid w:val="00C44ADE"/>
    <w:rsid w:val="00C44AE0"/>
    <w:rsid w:val="00C451F0"/>
    <w:rsid w:val="00C452A0"/>
    <w:rsid w:val="00C457E2"/>
    <w:rsid w:val="00C45B56"/>
    <w:rsid w:val="00C45F95"/>
    <w:rsid w:val="00C46423"/>
    <w:rsid w:val="00C46F6A"/>
    <w:rsid w:val="00C47251"/>
    <w:rsid w:val="00C47AB0"/>
    <w:rsid w:val="00C47BC0"/>
    <w:rsid w:val="00C50590"/>
    <w:rsid w:val="00C50627"/>
    <w:rsid w:val="00C5131D"/>
    <w:rsid w:val="00C51529"/>
    <w:rsid w:val="00C51914"/>
    <w:rsid w:val="00C51F0F"/>
    <w:rsid w:val="00C51F38"/>
    <w:rsid w:val="00C520E8"/>
    <w:rsid w:val="00C522D6"/>
    <w:rsid w:val="00C52804"/>
    <w:rsid w:val="00C52983"/>
    <w:rsid w:val="00C52A59"/>
    <w:rsid w:val="00C52E1A"/>
    <w:rsid w:val="00C52EC1"/>
    <w:rsid w:val="00C538CA"/>
    <w:rsid w:val="00C53B82"/>
    <w:rsid w:val="00C546B6"/>
    <w:rsid w:val="00C54732"/>
    <w:rsid w:val="00C55985"/>
    <w:rsid w:val="00C56331"/>
    <w:rsid w:val="00C56885"/>
    <w:rsid w:val="00C56B0C"/>
    <w:rsid w:val="00C56DED"/>
    <w:rsid w:val="00C56EF6"/>
    <w:rsid w:val="00C577BF"/>
    <w:rsid w:val="00C577C7"/>
    <w:rsid w:val="00C57B17"/>
    <w:rsid w:val="00C60329"/>
    <w:rsid w:val="00C6048C"/>
    <w:rsid w:val="00C60D60"/>
    <w:rsid w:val="00C60EDD"/>
    <w:rsid w:val="00C610CC"/>
    <w:rsid w:val="00C6174B"/>
    <w:rsid w:val="00C617AE"/>
    <w:rsid w:val="00C61D9B"/>
    <w:rsid w:val="00C61E7D"/>
    <w:rsid w:val="00C62B22"/>
    <w:rsid w:val="00C633EB"/>
    <w:rsid w:val="00C63D11"/>
    <w:rsid w:val="00C63E6A"/>
    <w:rsid w:val="00C63FBD"/>
    <w:rsid w:val="00C64E66"/>
    <w:rsid w:val="00C656D0"/>
    <w:rsid w:val="00C65D93"/>
    <w:rsid w:val="00C6684D"/>
    <w:rsid w:val="00C66B9F"/>
    <w:rsid w:val="00C66C5F"/>
    <w:rsid w:val="00C673C2"/>
    <w:rsid w:val="00C67835"/>
    <w:rsid w:val="00C679E0"/>
    <w:rsid w:val="00C67C92"/>
    <w:rsid w:val="00C67FB7"/>
    <w:rsid w:val="00C70C06"/>
    <w:rsid w:val="00C7194B"/>
    <w:rsid w:val="00C71B0C"/>
    <w:rsid w:val="00C71B56"/>
    <w:rsid w:val="00C71BA3"/>
    <w:rsid w:val="00C71C41"/>
    <w:rsid w:val="00C721BF"/>
    <w:rsid w:val="00C727F6"/>
    <w:rsid w:val="00C72EA3"/>
    <w:rsid w:val="00C72FD7"/>
    <w:rsid w:val="00C7349C"/>
    <w:rsid w:val="00C73645"/>
    <w:rsid w:val="00C73754"/>
    <w:rsid w:val="00C73D75"/>
    <w:rsid w:val="00C74252"/>
    <w:rsid w:val="00C74485"/>
    <w:rsid w:val="00C746E4"/>
    <w:rsid w:val="00C74B55"/>
    <w:rsid w:val="00C75699"/>
    <w:rsid w:val="00C762B2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056"/>
    <w:rsid w:val="00C823A3"/>
    <w:rsid w:val="00C824F8"/>
    <w:rsid w:val="00C82699"/>
    <w:rsid w:val="00C83265"/>
    <w:rsid w:val="00C83821"/>
    <w:rsid w:val="00C8396D"/>
    <w:rsid w:val="00C83CD0"/>
    <w:rsid w:val="00C83FD1"/>
    <w:rsid w:val="00C84584"/>
    <w:rsid w:val="00C8482D"/>
    <w:rsid w:val="00C84949"/>
    <w:rsid w:val="00C84A5E"/>
    <w:rsid w:val="00C850C6"/>
    <w:rsid w:val="00C853A1"/>
    <w:rsid w:val="00C853FE"/>
    <w:rsid w:val="00C854EE"/>
    <w:rsid w:val="00C855A0"/>
    <w:rsid w:val="00C855BA"/>
    <w:rsid w:val="00C857DF"/>
    <w:rsid w:val="00C85F67"/>
    <w:rsid w:val="00C863D5"/>
    <w:rsid w:val="00C8645C"/>
    <w:rsid w:val="00C86DF1"/>
    <w:rsid w:val="00C86E71"/>
    <w:rsid w:val="00C87071"/>
    <w:rsid w:val="00C8761C"/>
    <w:rsid w:val="00C87A04"/>
    <w:rsid w:val="00C87CA3"/>
    <w:rsid w:val="00C87D77"/>
    <w:rsid w:val="00C90644"/>
    <w:rsid w:val="00C907BA"/>
    <w:rsid w:val="00C90E95"/>
    <w:rsid w:val="00C90EF7"/>
    <w:rsid w:val="00C91083"/>
    <w:rsid w:val="00C910FE"/>
    <w:rsid w:val="00C91418"/>
    <w:rsid w:val="00C91659"/>
    <w:rsid w:val="00C919FB"/>
    <w:rsid w:val="00C936AD"/>
    <w:rsid w:val="00C937C0"/>
    <w:rsid w:val="00C93B3E"/>
    <w:rsid w:val="00C94485"/>
    <w:rsid w:val="00C94C32"/>
    <w:rsid w:val="00C94EEE"/>
    <w:rsid w:val="00C95080"/>
    <w:rsid w:val="00C9525D"/>
    <w:rsid w:val="00C952E0"/>
    <w:rsid w:val="00C95394"/>
    <w:rsid w:val="00C95F58"/>
    <w:rsid w:val="00C96B06"/>
    <w:rsid w:val="00C97085"/>
    <w:rsid w:val="00C97371"/>
    <w:rsid w:val="00C97383"/>
    <w:rsid w:val="00C975CE"/>
    <w:rsid w:val="00C976A0"/>
    <w:rsid w:val="00C97B17"/>
    <w:rsid w:val="00C97ED8"/>
    <w:rsid w:val="00CA063F"/>
    <w:rsid w:val="00CA0747"/>
    <w:rsid w:val="00CA113C"/>
    <w:rsid w:val="00CA1396"/>
    <w:rsid w:val="00CA1A26"/>
    <w:rsid w:val="00CA1E22"/>
    <w:rsid w:val="00CA1E8D"/>
    <w:rsid w:val="00CA221F"/>
    <w:rsid w:val="00CA2D2A"/>
    <w:rsid w:val="00CA30C9"/>
    <w:rsid w:val="00CA3561"/>
    <w:rsid w:val="00CA4533"/>
    <w:rsid w:val="00CA4F9F"/>
    <w:rsid w:val="00CA50F5"/>
    <w:rsid w:val="00CA519E"/>
    <w:rsid w:val="00CA587F"/>
    <w:rsid w:val="00CA5B95"/>
    <w:rsid w:val="00CA5C04"/>
    <w:rsid w:val="00CA67E0"/>
    <w:rsid w:val="00CA6819"/>
    <w:rsid w:val="00CA696D"/>
    <w:rsid w:val="00CA69AB"/>
    <w:rsid w:val="00CA70BE"/>
    <w:rsid w:val="00CA72AE"/>
    <w:rsid w:val="00CA744D"/>
    <w:rsid w:val="00CA7B4E"/>
    <w:rsid w:val="00CA7D90"/>
    <w:rsid w:val="00CB00F7"/>
    <w:rsid w:val="00CB0944"/>
    <w:rsid w:val="00CB0B53"/>
    <w:rsid w:val="00CB100C"/>
    <w:rsid w:val="00CB1690"/>
    <w:rsid w:val="00CB2851"/>
    <w:rsid w:val="00CB2BAC"/>
    <w:rsid w:val="00CB304D"/>
    <w:rsid w:val="00CB39F5"/>
    <w:rsid w:val="00CB3E98"/>
    <w:rsid w:val="00CB3EC2"/>
    <w:rsid w:val="00CB4645"/>
    <w:rsid w:val="00CB4ED4"/>
    <w:rsid w:val="00CB4EE1"/>
    <w:rsid w:val="00CB4F3F"/>
    <w:rsid w:val="00CB51BB"/>
    <w:rsid w:val="00CB530B"/>
    <w:rsid w:val="00CB541E"/>
    <w:rsid w:val="00CB57E6"/>
    <w:rsid w:val="00CB5A34"/>
    <w:rsid w:val="00CB5F84"/>
    <w:rsid w:val="00CB63D4"/>
    <w:rsid w:val="00CB6633"/>
    <w:rsid w:val="00CB6BA8"/>
    <w:rsid w:val="00CB6E32"/>
    <w:rsid w:val="00CB7A50"/>
    <w:rsid w:val="00CB7B0F"/>
    <w:rsid w:val="00CB7B14"/>
    <w:rsid w:val="00CC0706"/>
    <w:rsid w:val="00CC07F8"/>
    <w:rsid w:val="00CC09DC"/>
    <w:rsid w:val="00CC0B2A"/>
    <w:rsid w:val="00CC0E75"/>
    <w:rsid w:val="00CC1529"/>
    <w:rsid w:val="00CC173D"/>
    <w:rsid w:val="00CC186D"/>
    <w:rsid w:val="00CC1AFE"/>
    <w:rsid w:val="00CC2033"/>
    <w:rsid w:val="00CC207A"/>
    <w:rsid w:val="00CC21FD"/>
    <w:rsid w:val="00CC2710"/>
    <w:rsid w:val="00CC272D"/>
    <w:rsid w:val="00CC2ADF"/>
    <w:rsid w:val="00CC3031"/>
    <w:rsid w:val="00CC3E47"/>
    <w:rsid w:val="00CC4E20"/>
    <w:rsid w:val="00CC566D"/>
    <w:rsid w:val="00CC583A"/>
    <w:rsid w:val="00CC594A"/>
    <w:rsid w:val="00CC62DF"/>
    <w:rsid w:val="00CC65C0"/>
    <w:rsid w:val="00CC68CE"/>
    <w:rsid w:val="00CC6A7C"/>
    <w:rsid w:val="00CC75E7"/>
    <w:rsid w:val="00CD03AB"/>
    <w:rsid w:val="00CD0A37"/>
    <w:rsid w:val="00CD1CB9"/>
    <w:rsid w:val="00CD2009"/>
    <w:rsid w:val="00CD2142"/>
    <w:rsid w:val="00CD26E7"/>
    <w:rsid w:val="00CD2841"/>
    <w:rsid w:val="00CD2FE1"/>
    <w:rsid w:val="00CD3592"/>
    <w:rsid w:val="00CD39BC"/>
    <w:rsid w:val="00CD41AB"/>
    <w:rsid w:val="00CD492A"/>
    <w:rsid w:val="00CD4AE2"/>
    <w:rsid w:val="00CD4D06"/>
    <w:rsid w:val="00CD5914"/>
    <w:rsid w:val="00CD5C63"/>
    <w:rsid w:val="00CD5CFD"/>
    <w:rsid w:val="00CD6003"/>
    <w:rsid w:val="00CD6042"/>
    <w:rsid w:val="00CD609F"/>
    <w:rsid w:val="00CD61EB"/>
    <w:rsid w:val="00CD6248"/>
    <w:rsid w:val="00CD6334"/>
    <w:rsid w:val="00CD6F48"/>
    <w:rsid w:val="00CD739C"/>
    <w:rsid w:val="00CD75D0"/>
    <w:rsid w:val="00CD7785"/>
    <w:rsid w:val="00CD7D60"/>
    <w:rsid w:val="00CE0036"/>
    <w:rsid w:val="00CE0195"/>
    <w:rsid w:val="00CE04C1"/>
    <w:rsid w:val="00CE0DC1"/>
    <w:rsid w:val="00CE1601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0A1"/>
    <w:rsid w:val="00CE5746"/>
    <w:rsid w:val="00CE5E3A"/>
    <w:rsid w:val="00CE5E4F"/>
    <w:rsid w:val="00CE649D"/>
    <w:rsid w:val="00CE668D"/>
    <w:rsid w:val="00CE7471"/>
    <w:rsid w:val="00CE748B"/>
    <w:rsid w:val="00CE74CE"/>
    <w:rsid w:val="00CE7A77"/>
    <w:rsid w:val="00CF03BF"/>
    <w:rsid w:val="00CF0464"/>
    <w:rsid w:val="00CF05CF"/>
    <w:rsid w:val="00CF14A6"/>
    <w:rsid w:val="00CF1835"/>
    <w:rsid w:val="00CF18F9"/>
    <w:rsid w:val="00CF2F57"/>
    <w:rsid w:val="00CF31E5"/>
    <w:rsid w:val="00CF32E5"/>
    <w:rsid w:val="00CF35ED"/>
    <w:rsid w:val="00CF3DC3"/>
    <w:rsid w:val="00CF3DC6"/>
    <w:rsid w:val="00CF3F86"/>
    <w:rsid w:val="00CF4288"/>
    <w:rsid w:val="00CF43D5"/>
    <w:rsid w:val="00CF46DA"/>
    <w:rsid w:val="00CF48DC"/>
    <w:rsid w:val="00CF5141"/>
    <w:rsid w:val="00CF5191"/>
    <w:rsid w:val="00CF5EA7"/>
    <w:rsid w:val="00CF6602"/>
    <w:rsid w:val="00CF68DC"/>
    <w:rsid w:val="00CF6C7E"/>
    <w:rsid w:val="00CF6E17"/>
    <w:rsid w:val="00CF6F2D"/>
    <w:rsid w:val="00CF6F2F"/>
    <w:rsid w:val="00CF7111"/>
    <w:rsid w:val="00CF72B0"/>
    <w:rsid w:val="00CF7492"/>
    <w:rsid w:val="00CF78DE"/>
    <w:rsid w:val="00D000E9"/>
    <w:rsid w:val="00D00521"/>
    <w:rsid w:val="00D008FF"/>
    <w:rsid w:val="00D010F5"/>
    <w:rsid w:val="00D0179F"/>
    <w:rsid w:val="00D01870"/>
    <w:rsid w:val="00D01DFA"/>
    <w:rsid w:val="00D01E14"/>
    <w:rsid w:val="00D02265"/>
    <w:rsid w:val="00D029FF"/>
    <w:rsid w:val="00D02A9D"/>
    <w:rsid w:val="00D02C5A"/>
    <w:rsid w:val="00D03225"/>
    <w:rsid w:val="00D0329E"/>
    <w:rsid w:val="00D0424A"/>
    <w:rsid w:val="00D04463"/>
    <w:rsid w:val="00D04689"/>
    <w:rsid w:val="00D04F88"/>
    <w:rsid w:val="00D0512F"/>
    <w:rsid w:val="00D05209"/>
    <w:rsid w:val="00D05A27"/>
    <w:rsid w:val="00D05CF9"/>
    <w:rsid w:val="00D05DC3"/>
    <w:rsid w:val="00D05E4C"/>
    <w:rsid w:val="00D069DB"/>
    <w:rsid w:val="00D06D43"/>
    <w:rsid w:val="00D07D42"/>
    <w:rsid w:val="00D100CD"/>
    <w:rsid w:val="00D10294"/>
    <w:rsid w:val="00D10374"/>
    <w:rsid w:val="00D104F0"/>
    <w:rsid w:val="00D10667"/>
    <w:rsid w:val="00D10727"/>
    <w:rsid w:val="00D10C0B"/>
    <w:rsid w:val="00D113F2"/>
    <w:rsid w:val="00D1177A"/>
    <w:rsid w:val="00D118FD"/>
    <w:rsid w:val="00D119BC"/>
    <w:rsid w:val="00D123A9"/>
    <w:rsid w:val="00D129A7"/>
    <w:rsid w:val="00D12A57"/>
    <w:rsid w:val="00D12E29"/>
    <w:rsid w:val="00D1386E"/>
    <w:rsid w:val="00D148CE"/>
    <w:rsid w:val="00D14FC9"/>
    <w:rsid w:val="00D1552C"/>
    <w:rsid w:val="00D156DD"/>
    <w:rsid w:val="00D15B10"/>
    <w:rsid w:val="00D16053"/>
    <w:rsid w:val="00D1607C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850"/>
    <w:rsid w:val="00D20A79"/>
    <w:rsid w:val="00D20A84"/>
    <w:rsid w:val="00D20ADB"/>
    <w:rsid w:val="00D20DF0"/>
    <w:rsid w:val="00D20E16"/>
    <w:rsid w:val="00D2118A"/>
    <w:rsid w:val="00D211D5"/>
    <w:rsid w:val="00D213E8"/>
    <w:rsid w:val="00D21E42"/>
    <w:rsid w:val="00D22252"/>
    <w:rsid w:val="00D223F2"/>
    <w:rsid w:val="00D224D8"/>
    <w:rsid w:val="00D226BB"/>
    <w:rsid w:val="00D22BDC"/>
    <w:rsid w:val="00D22DA2"/>
    <w:rsid w:val="00D24148"/>
    <w:rsid w:val="00D2486F"/>
    <w:rsid w:val="00D24AF4"/>
    <w:rsid w:val="00D25171"/>
    <w:rsid w:val="00D258F4"/>
    <w:rsid w:val="00D25BD9"/>
    <w:rsid w:val="00D2616D"/>
    <w:rsid w:val="00D263E6"/>
    <w:rsid w:val="00D26592"/>
    <w:rsid w:val="00D2666B"/>
    <w:rsid w:val="00D2679A"/>
    <w:rsid w:val="00D26B45"/>
    <w:rsid w:val="00D26BAC"/>
    <w:rsid w:val="00D26F6C"/>
    <w:rsid w:val="00D275F9"/>
    <w:rsid w:val="00D27704"/>
    <w:rsid w:val="00D27953"/>
    <w:rsid w:val="00D27F7E"/>
    <w:rsid w:val="00D30147"/>
    <w:rsid w:val="00D30AE6"/>
    <w:rsid w:val="00D30EF2"/>
    <w:rsid w:val="00D31D2D"/>
    <w:rsid w:val="00D31E6E"/>
    <w:rsid w:val="00D32BC9"/>
    <w:rsid w:val="00D32D62"/>
    <w:rsid w:val="00D32E37"/>
    <w:rsid w:val="00D32FF5"/>
    <w:rsid w:val="00D3345F"/>
    <w:rsid w:val="00D3347A"/>
    <w:rsid w:val="00D335A0"/>
    <w:rsid w:val="00D33605"/>
    <w:rsid w:val="00D3387E"/>
    <w:rsid w:val="00D33C70"/>
    <w:rsid w:val="00D34071"/>
    <w:rsid w:val="00D34196"/>
    <w:rsid w:val="00D34E69"/>
    <w:rsid w:val="00D3510A"/>
    <w:rsid w:val="00D3522D"/>
    <w:rsid w:val="00D354C2"/>
    <w:rsid w:val="00D35A8B"/>
    <w:rsid w:val="00D35EB6"/>
    <w:rsid w:val="00D35F17"/>
    <w:rsid w:val="00D35F62"/>
    <w:rsid w:val="00D3600C"/>
    <w:rsid w:val="00D365B8"/>
    <w:rsid w:val="00D365C0"/>
    <w:rsid w:val="00D365F9"/>
    <w:rsid w:val="00D366A4"/>
    <w:rsid w:val="00D367E6"/>
    <w:rsid w:val="00D36994"/>
    <w:rsid w:val="00D370D4"/>
    <w:rsid w:val="00D37A9B"/>
    <w:rsid w:val="00D37E4D"/>
    <w:rsid w:val="00D40705"/>
    <w:rsid w:val="00D4126E"/>
    <w:rsid w:val="00D4136B"/>
    <w:rsid w:val="00D416E6"/>
    <w:rsid w:val="00D417E3"/>
    <w:rsid w:val="00D417FB"/>
    <w:rsid w:val="00D423C0"/>
    <w:rsid w:val="00D4285F"/>
    <w:rsid w:val="00D42FC4"/>
    <w:rsid w:val="00D43444"/>
    <w:rsid w:val="00D43A95"/>
    <w:rsid w:val="00D43CEF"/>
    <w:rsid w:val="00D43D0C"/>
    <w:rsid w:val="00D44055"/>
    <w:rsid w:val="00D4412C"/>
    <w:rsid w:val="00D44352"/>
    <w:rsid w:val="00D44814"/>
    <w:rsid w:val="00D4489F"/>
    <w:rsid w:val="00D44F9E"/>
    <w:rsid w:val="00D44FC2"/>
    <w:rsid w:val="00D46A04"/>
    <w:rsid w:val="00D46B4C"/>
    <w:rsid w:val="00D4751B"/>
    <w:rsid w:val="00D47929"/>
    <w:rsid w:val="00D47ACB"/>
    <w:rsid w:val="00D47F83"/>
    <w:rsid w:val="00D50375"/>
    <w:rsid w:val="00D50417"/>
    <w:rsid w:val="00D510FC"/>
    <w:rsid w:val="00D51143"/>
    <w:rsid w:val="00D515FB"/>
    <w:rsid w:val="00D51A1F"/>
    <w:rsid w:val="00D51EC5"/>
    <w:rsid w:val="00D52A12"/>
    <w:rsid w:val="00D53232"/>
    <w:rsid w:val="00D53408"/>
    <w:rsid w:val="00D537F9"/>
    <w:rsid w:val="00D53856"/>
    <w:rsid w:val="00D5389A"/>
    <w:rsid w:val="00D53A6E"/>
    <w:rsid w:val="00D542D3"/>
    <w:rsid w:val="00D54758"/>
    <w:rsid w:val="00D54DAC"/>
    <w:rsid w:val="00D54DBA"/>
    <w:rsid w:val="00D5581E"/>
    <w:rsid w:val="00D559EC"/>
    <w:rsid w:val="00D55B2D"/>
    <w:rsid w:val="00D55D69"/>
    <w:rsid w:val="00D56081"/>
    <w:rsid w:val="00D5627E"/>
    <w:rsid w:val="00D5772A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A7A"/>
    <w:rsid w:val="00D61A7F"/>
    <w:rsid w:val="00D61EA5"/>
    <w:rsid w:val="00D624A5"/>
    <w:rsid w:val="00D6286B"/>
    <w:rsid w:val="00D628A3"/>
    <w:rsid w:val="00D62D53"/>
    <w:rsid w:val="00D62F68"/>
    <w:rsid w:val="00D6379A"/>
    <w:rsid w:val="00D63CBD"/>
    <w:rsid w:val="00D63F70"/>
    <w:rsid w:val="00D6436C"/>
    <w:rsid w:val="00D64495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1193"/>
    <w:rsid w:val="00D71194"/>
    <w:rsid w:val="00D71D60"/>
    <w:rsid w:val="00D72107"/>
    <w:rsid w:val="00D72428"/>
    <w:rsid w:val="00D72CB4"/>
    <w:rsid w:val="00D73036"/>
    <w:rsid w:val="00D7331F"/>
    <w:rsid w:val="00D73A36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77DD3"/>
    <w:rsid w:val="00D80263"/>
    <w:rsid w:val="00D816F4"/>
    <w:rsid w:val="00D81912"/>
    <w:rsid w:val="00D81C80"/>
    <w:rsid w:val="00D8238F"/>
    <w:rsid w:val="00D825D6"/>
    <w:rsid w:val="00D827CD"/>
    <w:rsid w:val="00D84252"/>
    <w:rsid w:val="00D84751"/>
    <w:rsid w:val="00D84EC5"/>
    <w:rsid w:val="00D850DC"/>
    <w:rsid w:val="00D8512C"/>
    <w:rsid w:val="00D851ED"/>
    <w:rsid w:val="00D85452"/>
    <w:rsid w:val="00D854D1"/>
    <w:rsid w:val="00D85514"/>
    <w:rsid w:val="00D857CB"/>
    <w:rsid w:val="00D85998"/>
    <w:rsid w:val="00D85B4B"/>
    <w:rsid w:val="00D85D8F"/>
    <w:rsid w:val="00D863FE"/>
    <w:rsid w:val="00D8683C"/>
    <w:rsid w:val="00D869E3"/>
    <w:rsid w:val="00D86A30"/>
    <w:rsid w:val="00D86DBD"/>
    <w:rsid w:val="00D86E4A"/>
    <w:rsid w:val="00D879BB"/>
    <w:rsid w:val="00D9059D"/>
    <w:rsid w:val="00D90A66"/>
    <w:rsid w:val="00D90B09"/>
    <w:rsid w:val="00D91BAF"/>
    <w:rsid w:val="00D92085"/>
    <w:rsid w:val="00D9217D"/>
    <w:rsid w:val="00D9218A"/>
    <w:rsid w:val="00D9229A"/>
    <w:rsid w:val="00D924B4"/>
    <w:rsid w:val="00D9255C"/>
    <w:rsid w:val="00D92831"/>
    <w:rsid w:val="00D92EA4"/>
    <w:rsid w:val="00D9354C"/>
    <w:rsid w:val="00D93EB5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F12"/>
    <w:rsid w:val="00D97069"/>
    <w:rsid w:val="00D97834"/>
    <w:rsid w:val="00D979EE"/>
    <w:rsid w:val="00D97E65"/>
    <w:rsid w:val="00DA031C"/>
    <w:rsid w:val="00DA040F"/>
    <w:rsid w:val="00DA0869"/>
    <w:rsid w:val="00DA13E2"/>
    <w:rsid w:val="00DA1772"/>
    <w:rsid w:val="00DA1BE7"/>
    <w:rsid w:val="00DA1D73"/>
    <w:rsid w:val="00DA24ED"/>
    <w:rsid w:val="00DA26B6"/>
    <w:rsid w:val="00DA26D8"/>
    <w:rsid w:val="00DA2E28"/>
    <w:rsid w:val="00DA3169"/>
    <w:rsid w:val="00DA3605"/>
    <w:rsid w:val="00DA38B0"/>
    <w:rsid w:val="00DA41D9"/>
    <w:rsid w:val="00DA56BB"/>
    <w:rsid w:val="00DA5B07"/>
    <w:rsid w:val="00DA5F54"/>
    <w:rsid w:val="00DA609B"/>
    <w:rsid w:val="00DA6583"/>
    <w:rsid w:val="00DA6A88"/>
    <w:rsid w:val="00DA6F6B"/>
    <w:rsid w:val="00DA7442"/>
    <w:rsid w:val="00DA7647"/>
    <w:rsid w:val="00DA77D7"/>
    <w:rsid w:val="00DA77E6"/>
    <w:rsid w:val="00DB01B1"/>
    <w:rsid w:val="00DB0290"/>
    <w:rsid w:val="00DB04AD"/>
    <w:rsid w:val="00DB1B5F"/>
    <w:rsid w:val="00DB2AC1"/>
    <w:rsid w:val="00DB31F1"/>
    <w:rsid w:val="00DB3899"/>
    <w:rsid w:val="00DB408A"/>
    <w:rsid w:val="00DB40CF"/>
    <w:rsid w:val="00DB44A2"/>
    <w:rsid w:val="00DB44C5"/>
    <w:rsid w:val="00DB49B4"/>
    <w:rsid w:val="00DB506C"/>
    <w:rsid w:val="00DB5321"/>
    <w:rsid w:val="00DB5A84"/>
    <w:rsid w:val="00DB5DAA"/>
    <w:rsid w:val="00DB5E19"/>
    <w:rsid w:val="00DB5EA6"/>
    <w:rsid w:val="00DB63C9"/>
    <w:rsid w:val="00DB6B6B"/>
    <w:rsid w:val="00DB6C92"/>
    <w:rsid w:val="00DB6CF2"/>
    <w:rsid w:val="00DB783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5A3"/>
    <w:rsid w:val="00DC3639"/>
    <w:rsid w:val="00DC4129"/>
    <w:rsid w:val="00DC4A58"/>
    <w:rsid w:val="00DC5849"/>
    <w:rsid w:val="00DC6268"/>
    <w:rsid w:val="00DC663F"/>
    <w:rsid w:val="00DC68F7"/>
    <w:rsid w:val="00DC6D7B"/>
    <w:rsid w:val="00DC7496"/>
    <w:rsid w:val="00DC7A44"/>
    <w:rsid w:val="00DC7DB6"/>
    <w:rsid w:val="00DD0A7C"/>
    <w:rsid w:val="00DD1CEF"/>
    <w:rsid w:val="00DD1E81"/>
    <w:rsid w:val="00DD25B5"/>
    <w:rsid w:val="00DD2EDD"/>
    <w:rsid w:val="00DD2FF3"/>
    <w:rsid w:val="00DD3125"/>
    <w:rsid w:val="00DD321E"/>
    <w:rsid w:val="00DD3464"/>
    <w:rsid w:val="00DD3903"/>
    <w:rsid w:val="00DD3FBB"/>
    <w:rsid w:val="00DD516E"/>
    <w:rsid w:val="00DD517A"/>
    <w:rsid w:val="00DD56F0"/>
    <w:rsid w:val="00DD59C7"/>
    <w:rsid w:val="00DD5AEB"/>
    <w:rsid w:val="00DD5C1A"/>
    <w:rsid w:val="00DD5F2D"/>
    <w:rsid w:val="00DD6085"/>
    <w:rsid w:val="00DD6B68"/>
    <w:rsid w:val="00DD6C78"/>
    <w:rsid w:val="00DD72E9"/>
    <w:rsid w:val="00DD7863"/>
    <w:rsid w:val="00DD7970"/>
    <w:rsid w:val="00DD7E9F"/>
    <w:rsid w:val="00DE0188"/>
    <w:rsid w:val="00DE03E4"/>
    <w:rsid w:val="00DE06F3"/>
    <w:rsid w:val="00DE06FE"/>
    <w:rsid w:val="00DE11C2"/>
    <w:rsid w:val="00DE13D3"/>
    <w:rsid w:val="00DE17F7"/>
    <w:rsid w:val="00DE23D3"/>
    <w:rsid w:val="00DE25AC"/>
    <w:rsid w:val="00DE25C1"/>
    <w:rsid w:val="00DE2737"/>
    <w:rsid w:val="00DE3790"/>
    <w:rsid w:val="00DE3794"/>
    <w:rsid w:val="00DE38C0"/>
    <w:rsid w:val="00DE3CF0"/>
    <w:rsid w:val="00DE3F53"/>
    <w:rsid w:val="00DE410E"/>
    <w:rsid w:val="00DE42E3"/>
    <w:rsid w:val="00DE4D51"/>
    <w:rsid w:val="00DE5055"/>
    <w:rsid w:val="00DE51EE"/>
    <w:rsid w:val="00DE6005"/>
    <w:rsid w:val="00DE6218"/>
    <w:rsid w:val="00DE6626"/>
    <w:rsid w:val="00DE6A6F"/>
    <w:rsid w:val="00DE7025"/>
    <w:rsid w:val="00DE78CB"/>
    <w:rsid w:val="00DE7AAD"/>
    <w:rsid w:val="00DE7BC3"/>
    <w:rsid w:val="00DF1568"/>
    <w:rsid w:val="00DF19B1"/>
    <w:rsid w:val="00DF1B14"/>
    <w:rsid w:val="00DF1C73"/>
    <w:rsid w:val="00DF2873"/>
    <w:rsid w:val="00DF28B3"/>
    <w:rsid w:val="00DF373B"/>
    <w:rsid w:val="00DF37D3"/>
    <w:rsid w:val="00DF4257"/>
    <w:rsid w:val="00DF4D59"/>
    <w:rsid w:val="00DF573B"/>
    <w:rsid w:val="00DF5EC8"/>
    <w:rsid w:val="00DF6276"/>
    <w:rsid w:val="00DF63F9"/>
    <w:rsid w:val="00DF676F"/>
    <w:rsid w:val="00DF6819"/>
    <w:rsid w:val="00DF6987"/>
    <w:rsid w:val="00DF6AD0"/>
    <w:rsid w:val="00DF6F44"/>
    <w:rsid w:val="00E002C5"/>
    <w:rsid w:val="00E00B66"/>
    <w:rsid w:val="00E00E2E"/>
    <w:rsid w:val="00E00F70"/>
    <w:rsid w:val="00E0117C"/>
    <w:rsid w:val="00E01478"/>
    <w:rsid w:val="00E016D0"/>
    <w:rsid w:val="00E01895"/>
    <w:rsid w:val="00E01B6F"/>
    <w:rsid w:val="00E01C21"/>
    <w:rsid w:val="00E022C3"/>
    <w:rsid w:val="00E028E5"/>
    <w:rsid w:val="00E02D50"/>
    <w:rsid w:val="00E02ED8"/>
    <w:rsid w:val="00E02F7D"/>
    <w:rsid w:val="00E03021"/>
    <w:rsid w:val="00E0309E"/>
    <w:rsid w:val="00E0387D"/>
    <w:rsid w:val="00E043BF"/>
    <w:rsid w:val="00E04821"/>
    <w:rsid w:val="00E04914"/>
    <w:rsid w:val="00E04A64"/>
    <w:rsid w:val="00E04E50"/>
    <w:rsid w:val="00E05753"/>
    <w:rsid w:val="00E058BB"/>
    <w:rsid w:val="00E058F6"/>
    <w:rsid w:val="00E05B63"/>
    <w:rsid w:val="00E0626F"/>
    <w:rsid w:val="00E0671D"/>
    <w:rsid w:val="00E06FB3"/>
    <w:rsid w:val="00E0735B"/>
    <w:rsid w:val="00E073A2"/>
    <w:rsid w:val="00E0797F"/>
    <w:rsid w:val="00E07C86"/>
    <w:rsid w:val="00E10251"/>
    <w:rsid w:val="00E10332"/>
    <w:rsid w:val="00E1052F"/>
    <w:rsid w:val="00E10598"/>
    <w:rsid w:val="00E1077D"/>
    <w:rsid w:val="00E108AF"/>
    <w:rsid w:val="00E1090B"/>
    <w:rsid w:val="00E10CE1"/>
    <w:rsid w:val="00E11157"/>
    <w:rsid w:val="00E111AA"/>
    <w:rsid w:val="00E112A5"/>
    <w:rsid w:val="00E11ED6"/>
    <w:rsid w:val="00E11F05"/>
    <w:rsid w:val="00E11F44"/>
    <w:rsid w:val="00E1206A"/>
    <w:rsid w:val="00E12426"/>
    <w:rsid w:val="00E128F8"/>
    <w:rsid w:val="00E12918"/>
    <w:rsid w:val="00E132F8"/>
    <w:rsid w:val="00E1340F"/>
    <w:rsid w:val="00E13BD4"/>
    <w:rsid w:val="00E13E06"/>
    <w:rsid w:val="00E14C27"/>
    <w:rsid w:val="00E14DF3"/>
    <w:rsid w:val="00E14F49"/>
    <w:rsid w:val="00E150FE"/>
    <w:rsid w:val="00E153D6"/>
    <w:rsid w:val="00E15B38"/>
    <w:rsid w:val="00E15BD3"/>
    <w:rsid w:val="00E1609A"/>
    <w:rsid w:val="00E16149"/>
    <w:rsid w:val="00E16299"/>
    <w:rsid w:val="00E16499"/>
    <w:rsid w:val="00E16C86"/>
    <w:rsid w:val="00E16CA8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2A63"/>
    <w:rsid w:val="00E23194"/>
    <w:rsid w:val="00E232F0"/>
    <w:rsid w:val="00E235CA"/>
    <w:rsid w:val="00E23807"/>
    <w:rsid w:val="00E23B2E"/>
    <w:rsid w:val="00E23CE6"/>
    <w:rsid w:val="00E23FB1"/>
    <w:rsid w:val="00E240B6"/>
    <w:rsid w:val="00E243CE"/>
    <w:rsid w:val="00E24B84"/>
    <w:rsid w:val="00E253AD"/>
    <w:rsid w:val="00E2659A"/>
    <w:rsid w:val="00E2678B"/>
    <w:rsid w:val="00E27A10"/>
    <w:rsid w:val="00E27D8D"/>
    <w:rsid w:val="00E27E54"/>
    <w:rsid w:val="00E27E65"/>
    <w:rsid w:val="00E301D2"/>
    <w:rsid w:val="00E30D33"/>
    <w:rsid w:val="00E30E14"/>
    <w:rsid w:val="00E311D9"/>
    <w:rsid w:val="00E31313"/>
    <w:rsid w:val="00E313C2"/>
    <w:rsid w:val="00E317AF"/>
    <w:rsid w:val="00E319E0"/>
    <w:rsid w:val="00E31A3B"/>
    <w:rsid w:val="00E31C3C"/>
    <w:rsid w:val="00E31FD7"/>
    <w:rsid w:val="00E3250E"/>
    <w:rsid w:val="00E325EB"/>
    <w:rsid w:val="00E32AFC"/>
    <w:rsid w:val="00E32D63"/>
    <w:rsid w:val="00E3337E"/>
    <w:rsid w:val="00E3345D"/>
    <w:rsid w:val="00E335F9"/>
    <w:rsid w:val="00E3390A"/>
    <w:rsid w:val="00E33943"/>
    <w:rsid w:val="00E33BF9"/>
    <w:rsid w:val="00E3406A"/>
    <w:rsid w:val="00E3419E"/>
    <w:rsid w:val="00E35131"/>
    <w:rsid w:val="00E35685"/>
    <w:rsid w:val="00E35952"/>
    <w:rsid w:val="00E35E53"/>
    <w:rsid w:val="00E360E3"/>
    <w:rsid w:val="00E3636F"/>
    <w:rsid w:val="00E366BF"/>
    <w:rsid w:val="00E368D8"/>
    <w:rsid w:val="00E36C32"/>
    <w:rsid w:val="00E37232"/>
    <w:rsid w:val="00E3748D"/>
    <w:rsid w:val="00E376BE"/>
    <w:rsid w:val="00E40494"/>
    <w:rsid w:val="00E4114E"/>
    <w:rsid w:val="00E415EE"/>
    <w:rsid w:val="00E4163B"/>
    <w:rsid w:val="00E41647"/>
    <w:rsid w:val="00E418A4"/>
    <w:rsid w:val="00E41AF3"/>
    <w:rsid w:val="00E41EAE"/>
    <w:rsid w:val="00E424A1"/>
    <w:rsid w:val="00E4263C"/>
    <w:rsid w:val="00E42812"/>
    <w:rsid w:val="00E43E22"/>
    <w:rsid w:val="00E43E8A"/>
    <w:rsid w:val="00E43F6E"/>
    <w:rsid w:val="00E4425E"/>
    <w:rsid w:val="00E44D3F"/>
    <w:rsid w:val="00E45143"/>
    <w:rsid w:val="00E452F5"/>
    <w:rsid w:val="00E455D4"/>
    <w:rsid w:val="00E45844"/>
    <w:rsid w:val="00E459A2"/>
    <w:rsid w:val="00E459A8"/>
    <w:rsid w:val="00E45ADC"/>
    <w:rsid w:val="00E45AFC"/>
    <w:rsid w:val="00E45F42"/>
    <w:rsid w:val="00E462B8"/>
    <w:rsid w:val="00E462CE"/>
    <w:rsid w:val="00E464F1"/>
    <w:rsid w:val="00E468AC"/>
    <w:rsid w:val="00E468DD"/>
    <w:rsid w:val="00E46B55"/>
    <w:rsid w:val="00E4727A"/>
    <w:rsid w:val="00E47BA8"/>
    <w:rsid w:val="00E50060"/>
    <w:rsid w:val="00E500A1"/>
    <w:rsid w:val="00E500FD"/>
    <w:rsid w:val="00E50587"/>
    <w:rsid w:val="00E50600"/>
    <w:rsid w:val="00E50B34"/>
    <w:rsid w:val="00E50CB0"/>
    <w:rsid w:val="00E51204"/>
    <w:rsid w:val="00E51B2D"/>
    <w:rsid w:val="00E51C0B"/>
    <w:rsid w:val="00E51FDF"/>
    <w:rsid w:val="00E525CC"/>
    <w:rsid w:val="00E534B0"/>
    <w:rsid w:val="00E5430D"/>
    <w:rsid w:val="00E5459F"/>
    <w:rsid w:val="00E55A17"/>
    <w:rsid w:val="00E55D04"/>
    <w:rsid w:val="00E55EBF"/>
    <w:rsid w:val="00E55EED"/>
    <w:rsid w:val="00E55FAC"/>
    <w:rsid w:val="00E56191"/>
    <w:rsid w:val="00E567D6"/>
    <w:rsid w:val="00E56B76"/>
    <w:rsid w:val="00E57955"/>
    <w:rsid w:val="00E57CFB"/>
    <w:rsid w:val="00E57F84"/>
    <w:rsid w:val="00E612A2"/>
    <w:rsid w:val="00E613A1"/>
    <w:rsid w:val="00E61C51"/>
    <w:rsid w:val="00E6240D"/>
    <w:rsid w:val="00E62519"/>
    <w:rsid w:val="00E626B7"/>
    <w:rsid w:val="00E6291C"/>
    <w:rsid w:val="00E63173"/>
    <w:rsid w:val="00E636EB"/>
    <w:rsid w:val="00E63F4F"/>
    <w:rsid w:val="00E64BFF"/>
    <w:rsid w:val="00E64EBD"/>
    <w:rsid w:val="00E65114"/>
    <w:rsid w:val="00E6515A"/>
    <w:rsid w:val="00E65F8D"/>
    <w:rsid w:val="00E65FAC"/>
    <w:rsid w:val="00E65FFF"/>
    <w:rsid w:val="00E66394"/>
    <w:rsid w:val="00E66559"/>
    <w:rsid w:val="00E66681"/>
    <w:rsid w:val="00E674DF"/>
    <w:rsid w:val="00E676DA"/>
    <w:rsid w:val="00E67DBF"/>
    <w:rsid w:val="00E67F77"/>
    <w:rsid w:val="00E705A4"/>
    <w:rsid w:val="00E706AA"/>
    <w:rsid w:val="00E70A20"/>
    <w:rsid w:val="00E70D32"/>
    <w:rsid w:val="00E70E87"/>
    <w:rsid w:val="00E70F1A"/>
    <w:rsid w:val="00E71179"/>
    <w:rsid w:val="00E71D49"/>
    <w:rsid w:val="00E71E2C"/>
    <w:rsid w:val="00E720D7"/>
    <w:rsid w:val="00E72C9A"/>
    <w:rsid w:val="00E73343"/>
    <w:rsid w:val="00E73779"/>
    <w:rsid w:val="00E73D73"/>
    <w:rsid w:val="00E74095"/>
    <w:rsid w:val="00E74C2D"/>
    <w:rsid w:val="00E74CF9"/>
    <w:rsid w:val="00E75224"/>
    <w:rsid w:val="00E7535E"/>
    <w:rsid w:val="00E75AFA"/>
    <w:rsid w:val="00E75CF2"/>
    <w:rsid w:val="00E76612"/>
    <w:rsid w:val="00E76D23"/>
    <w:rsid w:val="00E77BBF"/>
    <w:rsid w:val="00E77D9E"/>
    <w:rsid w:val="00E80263"/>
    <w:rsid w:val="00E80277"/>
    <w:rsid w:val="00E805FE"/>
    <w:rsid w:val="00E80840"/>
    <w:rsid w:val="00E80881"/>
    <w:rsid w:val="00E80D8B"/>
    <w:rsid w:val="00E80DD0"/>
    <w:rsid w:val="00E80E30"/>
    <w:rsid w:val="00E80E88"/>
    <w:rsid w:val="00E81474"/>
    <w:rsid w:val="00E81D3A"/>
    <w:rsid w:val="00E82839"/>
    <w:rsid w:val="00E82A76"/>
    <w:rsid w:val="00E82CE8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EFE"/>
    <w:rsid w:val="00E86085"/>
    <w:rsid w:val="00E8774D"/>
    <w:rsid w:val="00E87CCE"/>
    <w:rsid w:val="00E9004D"/>
    <w:rsid w:val="00E9032A"/>
    <w:rsid w:val="00E909E6"/>
    <w:rsid w:val="00E91034"/>
    <w:rsid w:val="00E915EB"/>
    <w:rsid w:val="00E9161F"/>
    <w:rsid w:val="00E917E1"/>
    <w:rsid w:val="00E919A1"/>
    <w:rsid w:val="00E91FF5"/>
    <w:rsid w:val="00E9262F"/>
    <w:rsid w:val="00E92D6D"/>
    <w:rsid w:val="00E92FC0"/>
    <w:rsid w:val="00E93037"/>
    <w:rsid w:val="00E933AF"/>
    <w:rsid w:val="00E93B2F"/>
    <w:rsid w:val="00E93E4A"/>
    <w:rsid w:val="00E93E9F"/>
    <w:rsid w:val="00E94037"/>
    <w:rsid w:val="00E9563C"/>
    <w:rsid w:val="00E95E7D"/>
    <w:rsid w:val="00E96004"/>
    <w:rsid w:val="00E960EE"/>
    <w:rsid w:val="00E9679A"/>
    <w:rsid w:val="00E96E6B"/>
    <w:rsid w:val="00E97DED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406"/>
    <w:rsid w:val="00EA296E"/>
    <w:rsid w:val="00EA29CC"/>
    <w:rsid w:val="00EA2AD5"/>
    <w:rsid w:val="00EA2AF8"/>
    <w:rsid w:val="00EA3340"/>
    <w:rsid w:val="00EA37AC"/>
    <w:rsid w:val="00EA37CC"/>
    <w:rsid w:val="00EA3FD4"/>
    <w:rsid w:val="00EA4390"/>
    <w:rsid w:val="00EA44A3"/>
    <w:rsid w:val="00EA4CF3"/>
    <w:rsid w:val="00EA53A2"/>
    <w:rsid w:val="00EA563D"/>
    <w:rsid w:val="00EA573B"/>
    <w:rsid w:val="00EA60C1"/>
    <w:rsid w:val="00EA628D"/>
    <w:rsid w:val="00EA6540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29"/>
    <w:rsid w:val="00EB0A96"/>
    <w:rsid w:val="00EB100C"/>
    <w:rsid w:val="00EB1041"/>
    <w:rsid w:val="00EB212D"/>
    <w:rsid w:val="00EB2163"/>
    <w:rsid w:val="00EB25EA"/>
    <w:rsid w:val="00EB3291"/>
    <w:rsid w:val="00EB3448"/>
    <w:rsid w:val="00EB3506"/>
    <w:rsid w:val="00EB3FE1"/>
    <w:rsid w:val="00EB4D3D"/>
    <w:rsid w:val="00EB50B6"/>
    <w:rsid w:val="00EB57CF"/>
    <w:rsid w:val="00EB57E9"/>
    <w:rsid w:val="00EB5838"/>
    <w:rsid w:val="00EB5A98"/>
    <w:rsid w:val="00EB5F6F"/>
    <w:rsid w:val="00EB607E"/>
    <w:rsid w:val="00EB60F3"/>
    <w:rsid w:val="00EB6396"/>
    <w:rsid w:val="00EB764A"/>
    <w:rsid w:val="00EC0A2E"/>
    <w:rsid w:val="00EC1B25"/>
    <w:rsid w:val="00EC20BA"/>
    <w:rsid w:val="00EC2796"/>
    <w:rsid w:val="00EC28FD"/>
    <w:rsid w:val="00EC2BBE"/>
    <w:rsid w:val="00EC2BF5"/>
    <w:rsid w:val="00EC2FB2"/>
    <w:rsid w:val="00EC339E"/>
    <w:rsid w:val="00EC3A0D"/>
    <w:rsid w:val="00EC3A4C"/>
    <w:rsid w:val="00EC3E31"/>
    <w:rsid w:val="00EC4136"/>
    <w:rsid w:val="00EC4200"/>
    <w:rsid w:val="00EC4B64"/>
    <w:rsid w:val="00EC4E38"/>
    <w:rsid w:val="00EC5B74"/>
    <w:rsid w:val="00EC60DD"/>
    <w:rsid w:val="00EC6196"/>
    <w:rsid w:val="00EC66F3"/>
    <w:rsid w:val="00EC6B2A"/>
    <w:rsid w:val="00EC6F03"/>
    <w:rsid w:val="00EC722B"/>
    <w:rsid w:val="00EC7467"/>
    <w:rsid w:val="00EC7650"/>
    <w:rsid w:val="00EC79D2"/>
    <w:rsid w:val="00EC7FEE"/>
    <w:rsid w:val="00ED0B0F"/>
    <w:rsid w:val="00ED1BE8"/>
    <w:rsid w:val="00ED1E96"/>
    <w:rsid w:val="00ED1ECF"/>
    <w:rsid w:val="00ED1EF3"/>
    <w:rsid w:val="00ED2790"/>
    <w:rsid w:val="00ED2A5C"/>
    <w:rsid w:val="00ED2DBF"/>
    <w:rsid w:val="00ED2F1E"/>
    <w:rsid w:val="00ED3047"/>
    <w:rsid w:val="00ED3205"/>
    <w:rsid w:val="00ED347C"/>
    <w:rsid w:val="00ED3B01"/>
    <w:rsid w:val="00ED3BB6"/>
    <w:rsid w:val="00ED3C1B"/>
    <w:rsid w:val="00ED3E43"/>
    <w:rsid w:val="00ED3F44"/>
    <w:rsid w:val="00ED409A"/>
    <w:rsid w:val="00ED41AA"/>
    <w:rsid w:val="00ED42A5"/>
    <w:rsid w:val="00ED5143"/>
    <w:rsid w:val="00ED6174"/>
    <w:rsid w:val="00ED6741"/>
    <w:rsid w:val="00ED691C"/>
    <w:rsid w:val="00ED6997"/>
    <w:rsid w:val="00ED69DA"/>
    <w:rsid w:val="00ED6C77"/>
    <w:rsid w:val="00ED73DF"/>
    <w:rsid w:val="00ED7820"/>
    <w:rsid w:val="00ED7FAD"/>
    <w:rsid w:val="00EE018D"/>
    <w:rsid w:val="00EE1666"/>
    <w:rsid w:val="00EE1775"/>
    <w:rsid w:val="00EE17EF"/>
    <w:rsid w:val="00EE189C"/>
    <w:rsid w:val="00EE1DA4"/>
    <w:rsid w:val="00EE1E93"/>
    <w:rsid w:val="00EE2163"/>
    <w:rsid w:val="00EE22F7"/>
    <w:rsid w:val="00EE27A5"/>
    <w:rsid w:val="00EE28E0"/>
    <w:rsid w:val="00EE2B02"/>
    <w:rsid w:val="00EE2D5D"/>
    <w:rsid w:val="00EE2E74"/>
    <w:rsid w:val="00EE2EED"/>
    <w:rsid w:val="00EE36C4"/>
    <w:rsid w:val="00EE492B"/>
    <w:rsid w:val="00EE4D8E"/>
    <w:rsid w:val="00EE5250"/>
    <w:rsid w:val="00EE536F"/>
    <w:rsid w:val="00EE53BD"/>
    <w:rsid w:val="00EE55C3"/>
    <w:rsid w:val="00EE572F"/>
    <w:rsid w:val="00EE5C0F"/>
    <w:rsid w:val="00EE63BB"/>
    <w:rsid w:val="00EE6F0D"/>
    <w:rsid w:val="00EE7930"/>
    <w:rsid w:val="00EE7AF3"/>
    <w:rsid w:val="00EE7C77"/>
    <w:rsid w:val="00EF0089"/>
    <w:rsid w:val="00EF05DE"/>
    <w:rsid w:val="00EF09F3"/>
    <w:rsid w:val="00EF15A8"/>
    <w:rsid w:val="00EF1AD2"/>
    <w:rsid w:val="00EF2244"/>
    <w:rsid w:val="00EF2443"/>
    <w:rsid w:val="00EF2478"/>
    <w:rsid w:val="00EF25E7"/>
    <w:rsid w:val="00EF284B"/>
    <w:rsid w:val="00EF3204"/>
    <w:rsid w:val="00EF32F8"/>
    <w:rsid w:val="00EF38D5"/>
    <w:rsid w:val="00EF4B27"/>
    <w:rsid w:val="00EF5D04"/>
    <w:rsid w:val="00EF6018"/>
    <w:rsid w:val="00EF6151"/>
    <w:rsid w:val="00EF663E"/>
    <w:rsid w:val="00EF6828"/>
    <w:rsid w:val="00EF68A3"/>
    <w:rsid w:val="00EF70B9"/>
    <w:rsid w:val="00F004FC"/>
    <w:rsid w:val="00F0054A"/>
    <w:rsid w:val="00F00A24"/>
    <w:rsid w:val="00F00C1B"/>
    <w:rsid w:val="00F00D49"/>
    <w:rsid w:val="00F0144D"/>
    <w:rsid w:val="00F01C29"/>
    <w:rsid w:val="00F020C3"/>
    <w:rsid w:val="00F02134"/>
    <w:rsid w:val="00F0213D"/>
    <w:rsid w:val="00F021B0"/>
    <w:rsid w:val="00F026C1"/>
    <w:rsid w:val="00F0275F"/>
    <w:rsid w:val="00F034B3"/>
    <w:rsid w:val="00F0366E"/>
    <w:rsid w:val="00F038B7"/>
    <w:rsid w:val="00F03BD1"/>
    <w:rsid w:val="00F03FDF"/>
    <w:rsid w:val="00F04307"/>
    <w:rsid w:val="00F044C6"/>
    <w:rsid w:val="00F04633"/>
    <w:rsid w:val="00F04A3B"/>
    <w:rsid w:val="00F04BD7"/>
    <w:rsid w:val="00F05073"/>
    <w:rsid w:val="00F054EE"/>
    <w:rsid w:val="00F057C7"/>
    <w:rsid w:val="00F06243"/>
    <w:rsid w:val="00F063A5"/>
    <w:rsid w:val="00F063BC"/>
    <w:rsid w:val="00F068A3"/>
    <w:rsid w:val="00F06F8E"/>
    <w:rsid w:val="00F0746C"/>
    <w:rsid w:val="00F0755A"/>
    <w:rsid w:val="00F075E1"/>
    <w:rsid w:val="00F07AB3"/>
    <w:rsid w:val="00F07D07"/>
    <w:rsid w:val="00F07F15"/>
    <w:rsid w:val="00F07FB3"/>
    <w:rsid w:val="00F10CF7"/>
    <w:rsid w:val="00F11332"/>
    <w:rsid w:val="00F11463"/>
    <w:rsid w:val="00F117F2"/>
    <w:rsid w:val="00F11CA7"/>
    <w:rsid w:val="00F11D2B"/>
    <w:rsid w:val="00F11D8F"/>
    <w:rsid w:val="00F124C6"/>
    <w:rsid w:val="00F127DF"/>
    <w:rsid w:val="00F1295A"/>
    <w:rsid w:val="00F12CFB"/>
    <w:rsid w:val="00F1328E"/>
    <w:rsid w:val="00F13BB9"/>
    <w:rsid w:val="00F13C39"/>
    <w:rsid w:val="00F13E40"/>
    <w:rsid w:val="00F14289"/>
    <w:rsid w:val="00F142FA"/>
    <w:rsid w:val="00F143F7"/>
    <w:rsid w:val="00F145F5"/>
    <w:rsid w:val="00F14722"/>
    <w:rsid w:val="00F14BE6"/>
    <w:rsid w:val="00F15018"/>
    <w:rsid w:val="00F1558F"/>
    <w:rsid w:val="00F15777"/>
    <w:rsid w:val="00F15907"/>
    <w:rsid w:val="00F15AE8"/>
    <w:rsid w:val="00F15E93"/>
    <w:rsid w:val="00F15E94"/>
    <w:rsid w:val="00F15F28"/>
    <w:rsid w:val="00F160BE"/>
    <w:rsid w:val="00F16CC4"/>
    <w:rsid w:val="00F16E98"/>
    <w:rsid w:val="00F1719F"/>
    <w:rsid w:val="00F172AF"/>
    <w:rsid w:val="00F17530"/>
    <w:rsid w:val="00F17CB7"/>
    <w:rsid w:val="00F20262"/>
    <w:rsid w:val="00F20716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245"/>
    <w:rsid w:val="00F233E1"/>
    <w:rsid w:val="00F23A8D"/>
    <w:rsid w:val="00F23E0C"/>
    <w:rsid w:val="00F2449D"/>
    <w:rsid w:val="00F24D4F"/>
    <w:rsid w:val="00F24F8A"/>
    <w:rsid w:val="00F25005"/>
    <w:rsid w:val="00F254E7"/>
    <w:rsid w:val="00F25AA6"/>
    <w:rsid w:val="00F26214"/>
    <w:rsid w:val="00F26302"/>
    <w:rsid w:val="00F26646"/>
    <w:rsid w:val="00F26A7B"/>
    <w:rsid w:val="00F270A2"/>
    <w:rsid w:val="00F271C6"/>
    <w:rsid w:val="00F27594"/>
    <w:rsid w:val="00F279C1"/>
    <w:rsid w:val="00F27C73"/>
    <w:rsid w:val="00F27DC8"/>
    <w:rsid w:val="00F30112"/>
    <w:rsid w:val="00F30621"/>
    <w:rsid w:val="00F30BA1"/>
    <w:rsid w:val="00F30EC9"/>
    <w:rsid w:val="00F30F2D"/>
    <w:rsid w:val="00F3149D"/>
    <w:rsid w:val="00F31657"/>
    <w:rsid w:val="00F31C3E"/>
    <w:rsid w:val="00F323B3"/>
    <w:rsid w:val="00F32448"/>
    <w:rsid w:val="00F32922"/>
    <w:rsid w:val="00F329EE"/>
    <w:rsid w:val="00F32C40"/>
    <w:rsid w:val="00F33638"/>
    <w:rsid w:val="00F3395E"/>
    <w:rsid w:val="00F33FBC"/>
    <w:rsid w:val="00F34B20"/>
    <w:rsid w:val="00F34EC5"/>
    <w:rsid w:val="00F34FCB"/>
    <w:rsid w:val="00F3504D"/>
    <w:rsid w:val="00F3598C"/>
    <w:rsid w:val="00F37279"/>
    <w:rsid w:val="00F37663"/>
    <w:rsid w:val="00F37799"/>
    <w:rsid w:val="00F37D4B"/>
    <w:rsid w:val="00F37FEB"/>
    <w:rsid w:val="00F400EB"/>
    <w:rsid w:val="00F4061C"/>
    <w:rsid w:val="00F40713"/>
    <w:rsid w:val="00F4099F"/>
    <w:rsid w:val="00F40C26"/>
    <w:rsid w:val="00F40CE2"/>
    <w:rsid w:val="00F410B5"/>
    <w:rsid w:val="00F41954"/>
    <w:rsid w:val="00F41A40"/>
    <w:rsid w:val="00F42496"/>
    <w:rsid w:val="00F4297B"/>
    <w:rsid w:val="00F42BEB"/>
    <w:rsid w:val="00F42D25"/>
    <w:rsid w:val="00F42D7C"/>
    <w:rsid w:val="00F4342A"/>
    <w:rsid w:val="00F43BD3"/>
    <w:rsid w:val="00F4469E"/>
    <w:rsid w:val="00F44E64"/>
    <w:rsid w:val="00F453CD"/>
    <w:rsid w:val="00F45712"/>
    <w:rsid w:val="00F45904"/>
    <w:rsid w:val="00F45AA0"/>
    <w:rsid w:val="00F45D35"/>
    <w:rsid w:val="00F462DA"/>
    <w:rsid w:val="00F46CDD"/>
    <w:rsid w:val="00F47565"/>
    <w:rsid w:val="00F477B5"/>
    <w:rsid w:val="00F47FFB"/>
    <w:rsid w:val="00F502C4"/>
    <w:rsid w:val="00F50EFC"/>
    <w:rsid w:val="00F50FAD"/>
    <w:rsid w:val="00F5117E"/>
    <w:rsid w:val="00F51365"/>
    <w:rsid w:val="00F51BEF"/>
    <w:rsid w:val="00F51D71"/>
    <w:rsid w:val="00F520D0"/>
    <w:rsid w:val="00F52215"/>
    <w:rsid w:val="00F526E0"/>
    <w:rsid w:val="00F52D53"/>
    <w:rsid w:val="00F53123"/>
    <w:rsid w:val="00F53CB6"/>
    <w:rsid w:val="00F53F58"/>
    <w:rsid w:val="00F545FE"/>
    <w:rsid w:val="00F54BD6"/>
    <w:rsid w:val="00F55060"/>
    <w:rsid w:val="00F5532B"/>
    <w:rsid w:val="00F55A83"/>
    <w:rsid w:val="00F56051"/>
    <w:rsid w:val="00F561D0"/>
    <w:rsid w:val="00F563A5"/>
    <w:rsid w:val="00F564D5"/>
    <w:rsid w:val="00F56A6C"/>
    <w:rsid w:val="00F56C49"/>
    <w:rsid w:val="00F57351"/>
    <w:rsid w:val="00F57790"/>
    <w:rsid w:val="00F57B2D"/>
    <w:rsid w:val="00F608F9"/>
    <w:rsid w:val="00F60919"/>
    <w:rsid w:val="00F60BF4"/>
    <w:rsid w:val="00F617AD"/>
    <w:rsid w:val="00F61D7F"/>
    <w:rsid w:val="00F6208D"/>
    <w:rsid w:val="00F62235"/>
    <w:rsid w:val="00F6225B"/>
    <w:rsid w:val="00F62882"/>
    <w:rsid w:val="00F633CE"/>
    <w:rsid w:val="00F63871"/>
    <w:rsid w:val="00F63C04"/>
    <w:rsid w:val="00F63D94"/>
    <w:rsid w:val="00F63FC6"/>
    <w:rsid w:val="00F64046"/>
    <w:rsid w:val="00F64083"/>
    <w:rsid w:val="00F64160"/>
    <w:rsid w:val="00F647F8"/>
    <w:rsid w:val="00F64ABD"/>
    <w:rsid w:val="00F65158"/>
    <w:rsid w:val="00F65353"/>
    <w:rsid w:val="00F654BA"/>
    <w:rsid w:val="00F657C0"/>
    <w:rsid w:val="00F658BD"/>
    <w:rsid w:val="00F667EA"/>
    <w:rsid w:val="00F6689F"/>
    <w:rsid w:val="00F6696E"/>
    <w:rsid w:val="00F67192"/>
    <w:rsid w:val="00F67554"/>
    <w:rsid w:val="00F67683"/>
    <w:rsid w:val="00F67693"/>
    <w:rsid w:val="00F676E4"/>
    <w:rsid w:val="00F70464"/>
    <w:rsid w:val="00F70932"/>
    <w:rsid w:val="00F70EAC"/>
    <w:rsid w:val="00F710D1"/>
    <w:rsid w:val="00F7140E"/>
    <w:rsid w:val="00F71588"/>
    <w:rsid w:val="00F7163E"/>
    <w:rsid w:val="00F71891"/>
    <w:rsid w:val="00F7199C"/>
    <w:rsid w:val="00F71A27"/>
    <w:rsid w:val="00F71CBF"/>
    <w:rsid w:val="00F71FC9"/>
    <w:rsid w:val="00F72425"/>
    <w:rsid w:val="00F725CF"/>
    <w:rsid w:val="00F72678"/>
    <w:rsid w:val="00F727D7"/>
    <w:rsid w:val="00F73BEB"/>
    <w:rsid w:val="00F73C4A"/>
    <w:rsid w:val="00F73E57"/>
    <w:rsid w:val="00F741D2"/>
    <w:rsid w:val="00F747D5"/>
    <w:rsid w:val="00F74AD4"/>
    <w:rsid w:val="00F74C0E"/>
    <w:rsid w:val="00F754C2"/>
    <w:rsid w:val="00F762BF"/>
    <w:rsid w:val="00F76AE7"/>
    <w:rsid w:val="00F7741A"/>
    <w:rsid w:val="00F77888"/>
    <w:rsid w:val="00F77E1F"/>
    <w:rsid w:val="00F80074"/>
    <w:rsid w:val="00F802FB"/>
    <w:rsid w:val="00F80462"/>
    <w:rsid w:val="00F8118C"/>
    <w:rsid w:val="00F8142C"/>
    <w:rsid w:val="00F816BB"/>
    <w:rsid w:val="00F82318"/>
    <w:rsid w:val="00F8246C"/>
    <w:rsid w:val="00F82CBE"/>
    <w:rsid w:val="00F835BA"/>
    <w:rsid w:val="00F83A3B"/>
    <w:rsid w:val="00F8401C"/>
    <w:rsid w:val="00F84367"/>
    <w:rsid w:val="00F845CD"/>
    <w:rsid w:val="00F84DF6"/>
    <w:rsid w:val="00F856EE"/>
    <w:rsid w:val="00F85AA8"/>
    <w:rsid w:val="00F85B6F"/>
    <w:rsid w:val="00F85EEF"/>
    <w:rsid w:val="00F860C4"/>
    <w:rsid w:val="00F86B28"/>
    <w:rsid w:val="00F8743A"/>
    <w:rsid w:val="00F87AD6"/>
    <w:rsid w:val="00F87C66"/>
    <w:rsid w:val="00F90072"/>
    <w:rsid w:val="00F90476"/>
    <w:rsid w:val="00F91286"/>
    <w:rsid w:val="00F91483"/>
    <w:rsid w:val="00F921A7"/>
    <w:rsid w:val="00F92B8C"/>
    <w:rsid w:val="00F92FE5"/>
    <w:rsid w:val="00F938C3"/>
    <w:rsid w:val="00F93A3B"/>
    <w:rsid w:val="00F93B03"/>
    <w:rsid w:val="00F93D3D"/>
    <w:rsid w:val="00F94416"/>
    <w:rsid w:val="00F94683"/>
    <w:rsid w:val="00F946C1"/>
    <w:rsid w:val="00F94732"/>
    <w:rsid w:val="00F94AFE"/>
    <w:rsid w:val="00F94EE7"/>
    <w:rsid w:val="00F94F3C"/>
    <w:rsid w:val="00F95077"/>
    <w:rsid w:val="00F952FB"/>
    <w:rsid w:val="00F957E2"/>
    <w:rsid w:val="00F95E4B"/>
    <w:rsid w:val="00F95EDA"/>
    <w:rsid w:val="00F95F76"/>
    <w:rsid w:val="00F9608B"/>
    <w:rsid w:val="00F96647"/>
    <w:rsid w:val="00F96F26"/>
    <w:rsid w:val="00F97A53"/>
    <w:rsid w:val="00F97BE1"/>
    <w:rsid w:val="00F97C68"/>
    <w:rsid w:val="00FA08FC"/>
    <w:rsid w:val="00FA0928"/>
    <w:rsid w:val="00FA1361"/>
    <w:rsid w:val="00FA13D0"/>
    <w:rsid w:val="00FA17CE"/>
    <w:rsid w:val="00FA1A3E"/>
    <w:rsid w:val="00FA1B5D"/>
    <w:rsid w:val="00FA1C67"/>
    <w:rsid w:val="00FA1F9F"/>
    <w:rsid w:val="00FA1FEB"/>
    <w:rsid w:val="00FA21DA"/>
    <w:rsid w:val="00FA2556"/>
    <w:rsid w:val="00FA2FE2"/>
    <w:rsid w:val="00FA30D3"/>
    <w:rsid w:val="00FA317B"/>
    <w:rsid w:val="00FA347F"/>
    <w:rsid w:val="00FA3A2E"/>
    <w:rsid w:val="00FA3D83"/>
    <w:rsid w:val="00FA3F34"/>
    <w:rsid w:val="00FA4217"/>
    <w:rsid w:val="00FA430A"/>
    <w:rsid w:val="00FA46DC"/>
    <w:rsid w:val="00FA4B73"/>
    <w:rsid w:val="00FA4CA0"/>
    <w:rsid w:val="00FA4E90"/>
    <w:rsid w:val="00FA4FA2"/>
    <w:rsid w:val="00FA59C5"/>
    <w:rsid w:val="00FA5A96"/>
    <w:rsid w:val="00FA5FAB"/>
    <w:rsid w:val="00FA673B"/>
    <w:rsid w:val="00FA6988"/>
    <w:rsid w:val="00FA6AAE"/>
    <w:rsid w:val="00FA739C"/>
    <w:rsid w:val="00FA78D0"/>
    <w:rsid w:val="00FA7E9D"/>
    <w:rsid w:val="00FB06CC"/>
    <w:rsid w:val="00FB0C28"/>
    <w:rsid w:val="00FB12CD"/>
    <w:rsid w:val="00FB15C1"/>
    <w:rsid w:val="00FB2152"/>
    <w:rsid w:val="00FB2260"/>
    <w:rsid w:val="00FB2554"/>
    <w:rsid w:val="00FB2D9F"/>
    <w:rsid w:val="00FB30C0"/>
    <w:rsid w:val="00FB311C"/>
    <w:rsid w:val="00FB34D6"/>
    <w:rsid w:val="00FB38AA"/>
    <w:rsid w:val="00FB3B00"/>
    <w:rsid w:val="00FB3BBE"/>
    <w:rsid w:val="00FB3BF5"/>
    <w:rsid w:val="00FB3E27"/>
    <w:rsid w:val="00FB47EF"/>
    <w:rsid w:val="00FB4E08"/>
    <w:rsid w:val="00FB4F9E"/>
    <w:rsid w:val="00FB50A5"/>
    <w:rsid w:val="00FB518D"/>
    <w:rsid w:val="00FB51E9"/>
    <w:rsid w:val="00FB5471"/>
    <w:rsid w:val="00FB54EB"/>
    <w:rsid w:val="00FB6581"/>
    <w:rsid w:val="00FB67B9"/>
    <w:rsid w:val="00FB68BF"/>
    <w:rsid w:val="00FB6F32"/>
    <w:rsid w:val="00FB7387"/>
    <w:rsid w:val="00FB75E3"/>
    <w:rsid w:val="00FB7802"/>
    <w:rsid w:val="00FC010F"/>
    <w:rsid w:val="00FC0886"/>
    <w:rsid w:val="00FC1099"/>
    <w:rsid w:val="00FC1382"/>
    <w:rsid w:val="00FC14E4"/>
    <w:rsid w:val="00FC18FB"/>
    <w:rsid w:val="00FC1967"/>
    <w:rsid w:val="00FC19E9"/>
    <w:rsid w:val="00FC2246"/>
    <w:rsid w:val="00FC25C0"/>
    <w:rsid w:val="00FC26A7"/>
    <w:rsid w:val="00FC27C4"/>
    <w:rsid w:val="00FC289A"/>
    <w:rsid w:val="00FC2B6C"/>
    <w:rsid w:val="00FC2C95"/>
    <w:rsid w:val="00FC2E22"/>
    <w:rsid w:val="00FC33CB"/>
    <w:rsid w:val="00FC3463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E7D"/>
    <w:rsid w:val="00FC5F8D"/>
    <w:rsid w:val="00FC606C"/>
    <w:rsid w:val="00FC68F6"/>
    <w:rsid w:val="00FC6F63"/>
    <w:rsid w:val="00FC728E"/>
    <w:rsid w:val="00FD037E"/>
    <w:rsid w:val="00FD03E7"/>
    <w:rsid w:val="00FD1140"/>
    <w:rsid w:val="00FD17E3"/>
    <w:rsid w:val="00FD18A4"/>
    <w:rsid w:val="00FD1B81"/>
    <w:rsid w:val="00FD2889"/>
    <w:rsid w:val="00FD364D"/>
    <w:rsid w:val="00FD417D"/>
    <w:rsid w:val="00FD4424"/>
    <w:rsid w:val="00FD4CBD"/>
    <w:rsid w:val="00FD4E62"/>
    <w:rsid w:val="00FD51E0"/>
    <w:rsid w:val="00FD598D"/>
    <w:rsid w:val="00FD5E03"/>
    <w:rsid w:val="00FD5F9E"/>
    <w:rsid w:val="00FD606C"/>
    <w:rsid w:val="00FD643A"/>
    <w:rsid w:val="00FD7053"/>
    <w:rsid w:val="00FD713B"/>
    <w:rsid w:val="00FD7464"/>
    <w:rsid w:val="00FD7CB7"/>
    <w:rsid w:val="00FD7DA7"/>
    <w:rsid w:val="00FD7F20"/>
    <w:rsid w:val="00FD7F4F"/>
    <w:rsid w:val="00FE0BEE"/>
    <w:rsid w:val="00FE0C3E"/>
    <w:rsid w:val="00FE0D61"/>
    <w:rsid w:val="00FE1AB7"/>
    <w:rsid w:val="00FE1E46"/>
    <w:rsid w:val="00FE224A"/>
    <w:rsid w:val="00FE22FF"/>
    <w:rsid w:val="00FE2590"/>
    <w:rsid w:val="00FE2C6E"/>
    <w:rsid w:val="00FE3CA3"/>
    <w:rsid w:val="00FE3E34"/>
    <w:rsid w:val="00FE468A"/>
    <w:rsid w:val="00FE479E"/>
    <w:rsid w:val="00FE4D47"/>
    <w:rsid w:val="00FE4F2F"/>
    <w:rsid w:val="00FE5382"/>
    <w:rsid w:val="00FE5672"/>
    <w:rsid w:val="00FE56C6"/>
    <w:rsid w:val="00FE56E9"/>
    <w:rsid w:val="00FE5D0E"/>
    <w:rsid w:val="00FE6255"/>
    <w:rsid w:val="00FE62B5"/>
    <w:rsid w:val="00FE6311"/>
    <w:rsid w:val="00FE63AA"/>
    <w:rsid w:val="00FE68FB"/>
    <w:rsid w:val="00FE6FAD"/>
    <w:rsid w:val="00FE78BA"/>
    <w:rsid w:val="00FE79CF"/>
    <w:rsid w:val="00FF054A"/>
    <w:rsid w:val="00FF0785"/>
    <w:rsid w:val="00FF0989"/>
    <w:rsid w:val="00FF100A"/>
    <w:rsid w:val="00FF12E5"/>
    <w:rsid w:val="00FF141F"/>
    <w:rsid w:val="00FF1830"/>
    <w:rsid w:val="00FF23C6"/>
    <w:rsid w:val="00FF2554"/>
    <w:rsid w:val="00FF39DF"/>
    <w:rsid w:val="00FF41EF"/>
    <w:rsid w:val="00FF4223"/>
    <w:rsid w:val="00FF4466"/>
    <w:rsid w:val="00FF474B"/>
    <w:rsid w:val="00FF47B3"/>
    <w:rsid w:val="00FF480A"/>
    <w:rsid w:val="00FF5260"/>
    <w:rsid w:val="00FF550A"/>
    <w:rsid w:val="00FF5995"/>
    <w:rsid w:val="00FF5A79"/>
    <w:rsid w:val="00FF64F9"/>
    <w:rsid w:val="00FF6DAA"/>
    <w:rsid w:val="00FF714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336AC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EBA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3,List Paragraph (Czech Tourism),List Paragraph1,List Paragraph_0,List Paragraph_1,Nad,Nad1,Nad2,Nadpis pro KZ,Odstavec cíl se seznamem,Odstavec se seznamem5,Odstavec_muj,Odstavec_muj1,Odstavec_muj2,Odstavec_muj3,Odstavec_muj4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3 Char,List Paragraph (Czech Tourism) Char,List Paragraph1 Char,List Paragraph_0 Char,List Paragraph_1 Char,Nad Char,Nad1 Char,Nad2 Char,Nadpis pro KZ Char,Odstavec cíl se seznamem Char,Odstavec se seznamem5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Nota,PGI Fußnote Ziffer,PGI Fußnote Ziffer + Times New Roman,Ref,Zúžené o ...,numbe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Char Char Char Char,Char1,Font: Geneva 9,Footnote,Fußnotentextf,Geneva 9,Podrozdzia3,Podrozdział,Schriftart: 10 pt,Schriftart: 8 pt,Schriftart: 9 pt,Text pozn. pod čarou times,Text poznámky pod čiarou 007,f,pozn. pod čarou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Char Char Char Char Char,Char1 Char,Font: Geneva 9 Char,Footnote Char,Fußnotentextf Char,Geneva 9 Char,Podrozdzia3 Char,Podrozdział Char,Schriftart: 10 pt Char,Schriftart: 8 pt Char,Schriftart: 9 pt Char,f Char"/>
    <w:basedOn w:val="Standardnpsmoodstavce"/>
    <w:link w:val="Textpoznpodarou"/>
    <w:uiPriority w:val="99"/>
    <w:qFormat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character" w:customStyle="1" w:styleId="odrkaChar">
    <w:name w:val="odrážka Char"/>
    <w:basedOn w:val="Standardnpsmoodstavce"/>
    <w:link w:val="odrka"/>
    <w:locked/>
    <w:rsid w:val="00D50417"/>
    <w:rPr>
      <w:rFonts w:cs="Calibri"/>
    </w:rPr>
  </w:style>
  <w:style w:type="paragraph" w:customStyle="1" w:styleId="odrka">
    <w:name w:val="odrážka"/>
    <w:basedOn w:val="Normln"/>
    <w:link w:val="odrkaChar"/>
    <w:qFormat/>
    <w:rsid w:val="00D50417"/>
    <w:pPr>
      <w:numPr>
        <w:numId w:val="3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customStyle="1" w:styleId="Styl1">
    <w:name w:val="Styl1"/>
    <w:basedOn w:val="Nadpis1"/>
    <w:link w:val="Styl1Char"/>
    <w:qFormat/>
    <w:rsid w:val="00201480"/>
    <w:pPr>
      <w:keepNext/>
      <w:numPr>
        <w:numId w:val="5"/>
      </w:numPr>
      <w:spacing w:after="0" w:line="240" w:lineRule="auto"/>
    </w:pPr>
  </w:style>
  <w:style w:type="paragraph" w:customStyle="1" w:styleId="Styl2">
    <w:name w:val="Styl2"/>
    <w:basedOn w:val="Nadpis2"/>
    <w:link w:val="Styl2Char"/>
    <w:qFormat/>
    <w:rsid w:val="00201480"/>
    <w:pPr>
      <w:keepNext/>
      <w:numPr>
        <w:ilvl w:val="1"/>
        <w:numId w:val="5"/>
      </w:numPr>
      <w:spacing w:after="240" w:line="240" w:lineRule="auto"/>
      <w:contextualSpacing w:val="0"/>
      <w:jc w:val="left"/>
    </w:pPr>
    <w:rPr>
      <w:rFonts w:ascii="Calibri" w:hAnsi="Calibri" w:cs="Calibri"/>
    </w:rPr>
  </w:style>
  <w:style w:type="character" w:customStyle="1" w:styleId="Styl1Char">
    <w:name w:val="Styl1 Char"/>
    <w:basedOn w:val="Nadpis1Char"/>
    <w:link w:val="Styl1"/>
    <w:rsid w:val="00201480"/>
    <w:rPr>
      <w:rFonts w:eastAsiaTheme="minorHAnsi" w:cstheme="minorHAnsi"/>
      <w:b/>
      <w:sz w:val="28"/>
      <w:szCs w:val="28"/>
    </w:rPr>
  </w:style>
  <w:style w:type="paragraph" w:customStyle="1" w:styleId="Styl3">
    <w:name w:val="Styl3"/>
    <w:basedOn w:val="Nadpis4"/>
    <w:link w:val="Styl3Char"/>
    <w:qFormat/>
    <w:rsid w:val="00201480"/>
    <w:pPr>
      <w:ind w:left="360" w:hanging="360"/>
    </w:pPr>
    <w:rPr>
      <w:rFonts w:asciiTheme="minorHAnsi" w:eastAsia="Times New Roman" w:hAnsiTheme="minorHAnsi" w:cstheme="minorHAnsi"/>
      <w:b/>
      <w:i w:val="0"/>
      <w:color w:val="000000" w:themeColor="text1"/>
    </w:rPr>
  </w:style>
  <w:style w:type="character" w:customStyle="1" w:styleId="Styl2Char">
    <w:name w:val="Styl2 Char"/>
    <w:basedOn w:val="Nadpis2Char"/>
    <w:link w:val="Styl2"/>
    <w:rsid w:val="00201480"/>
    <w:rPr>
      <w:rFonts w:ascii="Calibri" w:eastAsia="Calibri" w:hAnsi="Calibri" w:cs="Calibri"/>
      <w:b/>
      <w:sz w:val="24"/>
      <w:szCs w:val="24"/>
    </w:rPr>
  </w:style>
  <w:style w:type="character" w:customStyle="1" w:styleId="Styl3Char">
    <w:name w:val="Styl3 Char"/>
    <w:basedOn w:val="Nadpis4Char"/>
    <w:link w:val="Styl3"/>
    <w:rsid w:val="00201480"/>
    <w:rPr>
      <w:rFonts w:asciiTheme="majorHAnsi" w:eastAsiaTheme="majorEastAsia" w:hAnsiTheme="majorHAnsi" w:cstheme="minorHAnsi"/>
      <w:b/>
      <w:i w:val="0"/>
      <w:iCs/>
      <w:color w:val="000000" w:themeColor="text1"/>
      <w:sz w:val="24"/>
      <w:szCs w:val="24"/>
    </w:rPr>
  </w:style>
  <w:style w:type="table" w:customStyle="1" w:styleId="Mkatabulky3">
    <w:name w:val="Mřížka tabulky3"/>
    <w:basedOn w:val="Normlntabulka"/>
    <w:next w:val="Mkatabulky"/>
    <w:uiPriority w:val="39"/>
    <w:rsid w:val="00DD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adpis1"/>
    <w:qFormat/>
    <w:rsid w:val="00A41CA2"/>
    <w:pPr>
      <w:keepNext/>
      <w:numPr>
        <w:ilvl w:val="4"/>
        <w:numId w:val="8"/>
      </w:numPr>
      <w:spacing w:before="120" w:after="0" w:line="360" w:lineRule="auto"/>
      <w:ind w:left="360" w:hanging="360"/>
      <w:jc w:val="left"/>
    </w:pPr>
    <w:rPr>
      <w:rFonts w:ascii="Arial" w:eastAsia="Times New Roman" w:hAnsi="Arial" w:cs="Arial"/>
      <w:szCs w:val="24"/>
    </w:rPr>
  </w:style>
  <w:style w:type="paragraph" w:customStyle="1" w:styleId="rove2">
    <w:name w:val="úroveň 2"/>
    <w:basedOn w:val="rove1"/>
    <w:qFormat/>
    <w:rsid w:val="00A41CA2"/>
    <w:pPr>
      <w:numPr>
        <w:ilvl w:val="5"/>
      </w:numPr>
      <w:ind w:left="792" w:hanging="432"/>
      <w:jc w:val="both"/>
    </w:pPr>
    <w:rPr>
      <w:sz w:val="24"/>
    </w:rPr>
  </w:style>
  <w:style w:type="paragraph" w:customStyle="1" w:styleId="rove3">
    <w:name w:val="úroveň3"/>
    <w:basedOn w:val="Normln"/>
    <w:qFormat/>
    <w:rsid w:val="00A41CA2"/>
    <w:pPr>
      <w:keepNext/>
      <w:numPr>
        <w:ilvl w:val="2"/>
        <w:numId w:val="8"/>
      </w:numPr>
      <w:spacing w:before="120" w:after="0" w:line="360" w:lineRule="auto"/>
      <w:ind w:left="709" w:hanging="709"/>
      <w:jc w:val="both"/>
      <w:outlineLvl w:val="0"/>
    </w:pPr>
    <w:rPr>
      <w:rFonts w:ascii="Arial" w:hAnsi="Arial" w:cs="Arial"/>
      <w:b/>
      <w:sz w:val="22"/>
    </w:rPr>
  </w:style>
  <w:style w:type="paragraph" w:customStyle="1" w:styleId="rove4">
    <w:name w:val="úroveň4"/>
    <w:basedOn w:val="rove3"/>
    <w:qFormat/>
    <w:rsid w:val="00A41CA2"/>
    <w:pPr>
      <w:numPr>
        <w:ilvl w:val="3"/>
      </w:numPr>
      <w:ind w:left="567" w:hanging="567"/>
    </w:pPr>
    <w:rPr>
      <w:i/>
    </w:rPr>
  </w:style>
  <w:style w:type="paragraph" w:customStyle="1" w:styleId="tabulka">
    <w:name w:val="tabulka"/>
    <w:basedOn w:val="Normln"/>
    <w:link w:val="tabulkaChar"/>
    <w:qFormat/>
    <w:rsid w:val="00476D94"/>
    <w:pPr>
      <w:spacing w:after="0"/>
      <w:jc w:val="both"/>
    </w:pPr>
    <w:rPr>
      <w:sz w:val="20"/>
    </w:rPr>
  </w:style>
  <w:style w:type="character" w:customStyle="1" w:styleId="tabulkaChar">
    <w:name w:val="tabulka Char"/>
    <w:link w:val="tabulka"/>
    <w:locked/>
    <w:rsid w:val="00476D94"/>
    <w:rPr>
      <w:rFonts w:ascii="Calibri" w:hAnsi="Calibri" w:cs="Times New Roman"/>
      <w:sz w:val="20"/>
      <w:szCs w:val="24"/>
    </w:rPr>
  </w:style>
  <w:style w:type="character" w:customStyle="1" w:styleId="eop">
    <w:name w:val="eop"/>
    <w:basedOn w:val="Standardnpsmoodstavce"/>
    <w:rsid w:val="00A22374"/>
  </w:style>
  <w:style w:type="character" w:styleId="Nevyeenzmnka">
    <w:name w:val="Unresolved Mention"/>
    <w:basedOn w:val="Standardnpsmoodstavce"/>
    <w:uiPriority w:val="99"/>
    <w:rsid w:val="00B1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footer" Target="footer5.xml"/><Relationship Id="rId21" Type="http://schemas.microsoft.com/office/2007/relationships/diagramDrawing" Target="diagrams/drawing2.xml"/><Relationship Id="rId34" Type="http://schemas.openxmlformats.org/officeDocument/2006/relationships/footer" Target="footer2.xml"/><Relationship Id="rId42" Type="http://schemas.openxmlformats.org/officeDocument/2006/relationships/header" Target="header5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45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4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header" Target="header2.xml"/><Relationship Id="rId43" Type="http://schemas.openxmlformats.org/officeDocument/2006/relationships/footer" Target="footer7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38" Type="http://schemas.openxmlformats.org/officeDocument/2006/relationships/footer" Target="footer4.xml"/><Relationship Id="rId46" Type="http://schemas.openxmlformats.org/officeDocument/2006/relationships/fontTable" Target="fontTable.xml"/><Relationship Id="rId20" Type="http://schemas.openxmlformats.org/officeDocument/2006/relationships/diagramColors" Target="diagrams/colors2.xml"/><Relationship Id="rId41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arrachov.cz/modules/file_storage/download.php?file=cbb0d588%7C2078&amp;inline=1" TargetMode="External"/><Relationship Id="rId2" Type="http://schemas.openxmlformats.org/officeDocument/2006/relationships/hyperlink" Target="https://monitor.statnipokladna.gov.cz/kapitola/362/rozpocet/souhrnny?rad=j&amp;obdobi=2412" TargetMode="External"/><Relationship Id="rId1" Type="http://schemas.openxmlformats.org/officeDocument/2006/relationships/hyperlink" Target="https://monitor.statnipokladna.gov.cz/ucetni-jednotka/07460121/ucetni-zaverka/rozvaha?rad=j&amp;obdobi=24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V účetnictví ve výši     911,8 mil. Kč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Opravy ve výši             1 431,1 mil. Kč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S vlivem na vypovídací hodnotu uvedených informací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S vlivem na vypovídací hodnotu uvedených informací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AF1953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V prověřovaných oblastech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pPr>
            <a:lnSpc>
              <a:spcPct val="90000"/>
            </a:lnSpc>
            <a:spcAft>
              <a:spcPts val="0"/>
            </a:spcAft>
          </a:pPr>
          <a:r>
            <a:rPr lang="cs-CZ" sz="1200"/>
            <a:t>Bez významných nedostatků </a:t>
          </a:r>
        </a:p>
        <a:p>
          <a:pPr>
            <a:lnSpc>
              <a:spcPct val="90000"/>
            </a:lnSpc>
            <a:spcAft>
              <a:spcPts val="0"/>
            </a:spcAft>
          </a:pPr>
          <a:r>
            <a:rPr lang="cs-CZ" sz="1200"/>
            <a:t>v prověřovaných oblastech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V účetnictví ve výši     911,8 mil. Kč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Opravy ve výši             1 431,1 mil. Kč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S vlivem na vypovídací hodnotu uvedených informací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S vlivem na vypovídací hodnotu uvedených informací</a:t>
          </a:r>
        </a:p>
      </dsp:txBody>
      <dsp:txXfrm>
        <a:off x="4271290" y="20998"/>
        <a:ext cx="1474153" cy="6749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7885" y="0"/>
          <a:ext cx="151466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8883" y="20998"/>
        <a:ext cx="1472673" cy="674918"/>
      </dsp:txXfrm>
    </dsp:sp>
    <dsp:sp modelId="{123861BD-196C-437D-9931-4CC9041E30FE}">
      <dsp:nvSpPr>
        <dsp:cNvPr id="0" name=""/>
        <dsp:cNvSpPr/>
      </dsp:nvSpPr>
      <dsp:spPr>
        <a:xfrm>
          <a:off x="1674022" y="170638"/>
          <a:ext cx="321109" cy="375637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4022" y="245765"/>
        <a:ext cx="224776" cy="225383"/>
      </dsp:txXfrm>
    </dsp:sp>
    <dsp:sp modelId="{3DC8206E-A8FB-476D-9805-2A1E5B3AAE38}">
      <dsp:nvSpPr>
        <dsp:cNvPr id="0" name=""/>
        <dsp:cNvSpPr/>
      </dsp:nvSpPr>
      <dsp:spPr>
        <a:xfrm>
          <a:off x="2128422" y="0"/>
          <a:ext cx="1514669" cy="716914"/>
        </a:xfrm>
        <a:prstGeom prst="roundRect">
          <a:avLst>
            <a:gd name="adj" fmla="val 10000"/>
          </a:avLst>
        </a:prstGeom>
        <a:solidFill>
          <a:srgbClr val="AF19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V prověřovaných oblastech</a:t>
          </a:r>
        </a:p>
      </dsp:txBody>
      <dsp:txXfrm>
        <a:off x="2149420" y="20998"/>
        <a:ext cx="1472673" cy="674918"/>
      </dsp:txXfrm>
    </dsp:sp>
    <dsp:sp modelId="{C5972E71-4061-4C9A-A7A8-D74380DF3E5E}">
      <dsp:nvSpPr>
        <dsp:cNvPr id="0" name=""/>
        <dsp:cNvSpPr/>
      </dsp:nvSpPr>
      <dsp:spPr>
        <a:xfrm>
          <a:off x="3794559" y="170638"/>
          <a:ext cx="321109" cy="375637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4559" y="245765"/>
        <a:ext cx="224776" cy="225383"/>
      </dsp:txXfrm>
    </dsp:sp>
    <dsp:sp modelId="{E51FB0D5-E86A-4EDE-93ED-ABF9F2DE5957}">
      <dsp:nvSpPr>
        <dsp:cNvPr id="0" name=""/>
        <dsp:cNvSpPr/>
      </dsp:nvSpPr>
      <dsp:spPr>
        <a:xfrm>
          <a:off x="4248959" y="0"/>
          <a:ext cx="151466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Bez významných nedostatků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/>
            <a:t>v prověřovaných oblastech</a:t>
          </a:r>
        </a:p>
      </dsp:txBody>
      <dsp:txXfrm>
        <a:off x="4269957" y="20998"/>
        <a:ext cx="1472673" cy="674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0F923-7150-41FF-A829-D5640C567F8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E8DCA-EA77-4304-AA4A-0F3777F394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9116</Words>
  <Characters>53789</Characters>
  <Application>Microsoft Office Word</Application>
  <DocSecurity>0</DocSecurity>
  <Lines>448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24/22 - Závěrečný účet kapitoly státního rozpočtu Národní sportovní agentura za rok 2024, účetní závěrka Národní sportovní agentury za rok 2024 a údaje předkládané Národní sportovní agenturou pro hodnocení plnění st</vt:lpstr>
    </vt:vector>
  </TitlesOfParts>
  <Company>NKU</Company>
  <LinksUpToDate>false</LinksUpToDate>
  <CharactersWithSpaces>62780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24/22 - Závěrečný účet kapitoly státního rozpočtu Národní sportovní agentura za rok 2024, účetní závěrka Národní sportovní agentury za rok 2024 a údaje předkládané Národní sportovní agenturou pro hodnocení plnění státního rozpočtu za rok 2024</dc:title>
  <dc:subject>Kontrolní závěr z kontrolní akce NKÚ č. 24/22 - Závěrečný účet kapitoly státního rozpočtu Národní sportovní agentura za rok 2024, účetní závěrka Národní sportovní agentury za rok 2024 a údaje předkládané Národní sportovní agenturou pro hodnocení plnění státního rozpočtu za rok 2024</dc:subject>
  <dc:creator>KOKRDA Daniel</dc:creator>
  <cp:keywords>kontrolní závěr; účetnictví; národní sportovní agentura; NSA</cp:keywords>
  <cp:lastModifiedBy>KOKRDA Daniel</cp:lastModifiedBy>
  <cp:revision>3</cp:revision>
  <cp:lastPrinted>2025-07-07T11:40:00Z</cp:lastPrinted>
  <dcterms:created xsi:type="dcterms:W3CDTF">2025-07-07T11:39:00Z</dcterms:created>
  <dcterms:modified xsi:type="dcterms:W3CDTF">2025-07-07T11:40:00Z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24/22-NKU30/497/25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510/141/23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0x0101002F7A625AE9F5AB4A939F92BCAA7FEC02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29.5.2025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&lt;TABLE&gt;&lt;TR&gt;&lt;TD&gt;Č.j.:&lt;/TD&gt;&lt;TD&gt;24/22-NKU30/497/25&lt;/TD&gt;&lt;/TR&gt;&lt;TR&gt;&lt;TD&gt;&lt;/TD&gt;&lt;TD&gt;&lt;/TD&gt;&lt;/TR&gt;&lt;/TABLE&gt;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Monika Hoffmannová, DiS.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25-7066/NKU</vt:lpwstr>
  </property>
  <property fmtid="{D5CDD505-2E9C-101B-9397-08002B2CF9AE}" pid="20" name="Key_BarCode_Pisemnost">
    <vt:lpwstr>*B000501527*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25-7066/NKU</vt:lpwstr>
  </property>
  <property fmtid="{D5CDD505-2E9C-101B-9397-08002B2CF9AE}" pid="34" name="RC">
    <vt:lpwstr/>
  </property>
  <property fmtid="{D5CDD505-2E9C-101B-9397-08002B2CF9AE}" pid="35" name="SkartacniZnakLhuta_PisemnostZnak">
    <vt:lpwstr>?/?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24/22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Návrh kontrolního závěru z KA č. 24/22 do PŘ</vt:lpwstr>
  </property>
  <property fmtid="{D5CDD505-2E9C-101B-9397-08002B2CF9AE}" pid="42" name="Zkratka_SpisovyUzel_PoziceZodpo_Pisemnost">
    <vt:lpwstr>30</vt:lpwstr>
  </property>
  <property fmtid="{D5CDD505-2E9C-101B-9397-08002B2CF9AE}" pid="43" name="ClassificationContentMarkingFooterShapeIds">
    <vt:lpwstr>4ad616d2,3e4b83a9,2fd93d36,4452b8b5,543a6158,3678981,de1d126,68fd542e,4e668547</vt:lpwstr>
  </property>
  <property fmtid="{D5CDD505-2E9C-101B-9397-08002B2CF9AE}" pid="44" name="ClassificationContentMarkingFooterFontProps">
    <vt:lpwstr>#828282,12,Calibri</vt:lpwstr>
  </property>
  <property fmtid="{D5CDD505-2E9C-101B-9397-08002B2CF9AE}" pid="45" name="ClassificationContentMarkingFooterText">
    <vt:lpwstr>TLP:CLEAR</vt:lpwstr>
  </property>
  <property fmtid="{D5CDD505-2E9C-101B-9397-08002B2CF9AE}" pid="46" name="MSIP_Label_2a5ca00b-f9dd-452b-9d75-e1b2c69cf7c5_Enabled">
    <vt:lpwstr>true</vt:lpwstr>
  </property>
  <property fmtid="{D5CDD505-2E9C-101B-9397-08002B2CF9AE}" pid="47" name="MSIP_Label_2a5ca00b-f9dd-452b-9d75-e1b2c69cf7c5_SetDate">
    <vt:lpwstr>2025-07-02T09:12:07Z</vt:lpwstr>
  </property>
  <property fmtid="{D5CDD505-2E9C-101B-9397-08002B2CF9AE}" pid="48" name="MSIP_Label_2a5ca00b-f9dd-452b-9d75-e1b2c69cf7c5_Method">
    <vt:lpwstr>Privileged</vt:lpwstr>
  </property>
  <property fmtid="{D5CDD505-2E9C-101B-9397-08002B2CF9AE}" pid="49" name="MSIP_Label_2a5ca00b-f9dd-452b-9d75-e1b2c69cf7c5_Name">
    <vt:lpwstr>Nízká</vt:lpwstr>
  </property>
  <property fmtid="{D5CDD505-2E9C-101B-9397-08002B2CF9AE}" pid="50" name="MSIP_Label_2a5ca00b-f9dd-452b-9d75-e1b2c69cf7c5_SiteId">
    <vt:lpwstr>e6d36204-fa0a-4bdb-9b60-80f84bb090cf</vt:lpwstr>
  </property>
  <property fmtid="{D5CDD505-2E9C-101B-9397-08002B2CF9AE}" pid="51" name="MSIP_Label_2a5ca00b-f9dd-452b-9d75-e1b2c69cf7c5_ActionId">
    <vt:lpwstr>a836cd2c-81fa-498c-bacf-968ff5e037ff</vt:lpwstr>
  </property>
  <property fmtid="{D5CDD505-2E9C-101B-9397-08002B2CF9AE}" pid="52" name="MSIP_Label_2a5ca00b-f9dd-452b-9d75-e1b2c69cf7c5_ContentBits">
    <vt:lpwstr>2</vt:lpwstr>
  </property>
  <property fmtid="{D5CDD505-2E9C-101B-9397-08002B2CF9AE}" pid="53" name="MSIP_Label_2a5ca00b-f9dd-452b-9d75-e1b2c69cf7c5_Tag">
    <vt:lpwstr>10, 0, 1, 1</vt:lpwstr>
  </property>
</Properties>
</file>