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B842" w14:textId="36F88E31" w:rsidR="00AB3724" w:rsidRPr="009E560F" w:rsidRDefault="0077441C" w:rsidP="003639C6">
      <w:pPr>
        <w:jc w:val="center"/>
      </w:pPr>
      <w:r w:rsidRPr="0077441C">
        <w:rPr>
          <w:noProof/>
        </w:rPr>
        <w:drawing>
          <wp:inline distT="0" distB="0" distL="0" distR="0" wp14:anchorId="7295D7D4" wp14:editId="0594532C">
            <wp:extent cx="720000" cy="620272"/>
            <wp:effectExtent l="0" t="0" r="444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289FB" w14:textId="77777777" w:rsidR="00AB3724" w:rsidRPr="006B75D5" w:rsidRDefault="00AB3724" w:rsidP="003639C6">
      <w:pPr>
        <w:jc w:val="center"/>
        <w:rPr>
          <w:sz w:val="28"/>
          <w:szCs w:val="28"/>
        </w:rPr>
      </w:pPr>
    </w:p>
    <w:p w14:paraId="7CC8FA54" w14:textId="77777777" w:rsidR="00AC2B6D" w:rsidRPr="006B75D5" w:rsidRDefault="00AC2B6D" w:rsidP="003639C6">
      <w:pPr>
        <w:jc w:val="center"/>
        <w:rPr>
          <w:sz w:val="28"/>
          <w:szCs w:val="28"/>
        </w:rPr>
      </w:pPr>
    </w:p>
    <w:p w14:paraId="74541907" w14:textId="77777777" w:rsidR="00AB3724" w:rsidRPr="006B75D5" w:rsidRDefault="00AB3724" w:rsidP="003639C6">
      <w:pPr>
        <w:jc w:val="center"/>
        <w:rPr>
          <w:b/>
          <w:sz w:val="28"/>
          <w:szCs w:val="28"/>
        </w:rPr>
      </w:pPr>
      <w:r w:rsidRPr="006B75D5">
        <w:rPr>
          <w:b/>
          <w:sz w:val="28"/>
          <w:szCs w:val="28"/>
        </w:rPr>
        <w:t>Kontrolní závěr z kontrolní akce</w:t>
      </w:r>
    </w:p>
    <w:p w14:paraId="5951203F" w14:textId="77777777" w:rsidR="00AB3724" w:rsidRPr="006B75D5" w:rsidRDefault="00AB3724" w:rsidP="003639C6">
      <w:pPr>
        <w:jc w:val="center"/>
        <w:rPr>
          <w:sz w:val="28"/>
          <w:szCs w:val="28"/>
        </w:rPr>
      </w:pPr>
    </w:p>
    <w:p w14:paraId="184EF0B9" w14:textId="01401AA4" w:rsidR="00AB3724" w:rsidRPr="006B75D5" w:rsidRDefault="00AD59C8" w:rsidP="003639C6">
      <w:pPr>
        <w:jc w:val="center"/>
        <w:rPr>
          <w:b/>
          <w:sz w:val="28"/>
          <w:szCs w:val="28"/>
        </w:rPr>
      </w:pPr>
      <w:r w:rsidRPr="006B75D5">
        <w:rPr>
          <w:b/>
          <w:sz w:val="28"/>
          <w:szCs w:val="28"/>
        </w:rPr>
        <w:t>24/21</w:t>
      </w:r>
    </w:p>
    <w:p w14:paraId="2775A8E6" w14:textId="77777777" w:rsidR="00AB3724" w:rsidRPr="006B75D5" w:rsidRDefault="00AB3724" w:rsidP="003639C6">
      <w:pPr>
        <w:jc w:val="center"/>
        <w:rPr>
          <w:sz w:val="28"/>
          <w:szCs w:val="28"/>
        </w:rPr>
      </w:pPr>
    </w:p>
    <w:p w14:paraId="592B1656" w14:textId="5EC4BCAB" w:rsidR="00D47F00" w:rsidRPr="006B75D5" w:rsidRDefault="00606F44" w:rsidP="00D47F00">
      <w:pPr>
        <w:jc w:val="center"/>
        <w:rPr>
          <w:b/>
          <w:sz w:val="28"/>
          <w:szCs w:val="28"/>
        </w:rPr>
      </w:pPr>
      <w:r w:rsidRPr="006B75D5">
        <w:rPr>
          <w:b/>
          <w:sz w:val="28"/>
          <w:szCs w:val="28"/>
        </w:rPr>
        <w:t>Majetek a peněžní prostředky státu, se kterými mají právo hospodařit vybrané státní podniky v likvidaci v</w:t>
      </w:r>
      <w:r w:rsidR="00C8471D" w:rsidRPr="006B75D5">
        <w:rPr>
          <w:b/>
          <w:sz w:val="28"/>
          <w:szCs w:val="28"/>
        </w:rPr>
        <w:t> </w:t>
      </w:r>
      <w:r w:rsidRPr="006B75D5">
        <w:rPr>
          <w:b/>
          <w:sz w:val="28"/>
          <w:szCs w:val="28"/>
        </w:rPr>
        <w:t>resortu Ministerstva průmyslu a obchodu a Ministerstva zemědělství</w:t>
      </w:r>
    </w:p>
    <w:p w14:paraId="37FC0F69" w14:textId="77777777" w:rsidR="00606F44" w:rsidRPr="006B75D5" w:rsidRDefault="00606F44" w:rsidP="00AC2B6D">
      <w:pPr>
        <w:rPr>
          <w:bCs/>
          <w:sz w:val="28"/>
          <w:szCs w:val="28"/>
        </w:rPr>
      </w:pPr>
    </w:p>
    <w:p w14:paraId="331E2743" w14:textId="77777777" w:rsidR="00AC2B6D" w:rsidRPr="006B75D5" w:rsidRDefault="00AC2B6D" w:rsidP="003639C6">
      <w:pPr>
        <w:rPr>
          <w:color w:val="000000" w:themeColor="text1"/>
          <w:sz w:val="28"/>
          <w:szCs w:val="28"/>
        </w:rPr>
      </w:pPr>
    </w:p>
    <w:p w14:paraId="4B5D20EA" w14:textId="6C7A83C6" w:rsidR="00AB3724" w:rsidRPr="00876251" w:rsidRDefault="00AB3724" w:rsidP="003639C6">
      <w:pPr>
        <w:rPr>
          <w:color w:val="000000" w:themeColor="text1"/>
        </w:rPr>
      </w:pPr>
      <w:r w:rsidRPr="00876251">
        <w:rPr>
          <w:color w:val="000000" w:themeColor="text1"/>
        </w:rPr>
        <w:t>Kontrolní akce byla zařazena do plánu kontrolní činnosti Nej</w:t>
      </w:r>
      <w:r w:rsidR="00BB2F43">
        <w:rPr>
          <w:color w:val="000000" w:themeColor="text1"/>
        </w:rPr>
        <w:t>vyššího kontrolního úřadu (dále</w:t>
      </w:r>
      <w:r w:rsidR="00432A4D">
        <w:rPr>
          <w:color w:val="000000" w:themeColor="text1"/>
        </w:rPr>
        <w:t xml:space="preserve"> </w:t>
      </w:r>
      <w:r w:rsidRPr="00876251">
        <w:rPr>
          <w:color w:val="000000" w:themeColor="text1"/>
        </w:rPr>
        <w:t xml:space="preserve">jen „NKÚ“) na rok </w:t>
      </w:r>
      <w:r w:rsidR="00D47F00">
        <w:rPr>
          <w:color w:val="000000" w:themeColor="text1"/>
        </w:rPr>
        <w:t>202</w:t>
      </w:r>
      <w:r w:rsidR="00606F44">
        <w:rPr>
          <w:color w:val="000000" w:themeColor="text1"/>
        </w:rPr>
        <w:t>4</w:t>
      </w:r>
      <w:r w:rsidRPr="00876251">
        <w:rPr>
          <w:color w:val="000000" w:themeColor="text1"/>
        </w:rPr>
        <w:t xml:space="preserve"> pod číslem </w:t>
      </w:r>
      <w:r w:rsidR="00606F44">
        <w:rPr>
          <w:color w:val="000000" w:themeColor="text1"/>
        </w:rPr>
        <w:t>24/21</w:t>
      </w:r>
      <w:r w:rsidRPr="00876251">
        <w:rPr>
          <w:color w:val="000000" w:themeColor="text1"/>
        </w:rPr>
        <w:t xml:space="preserve">. Kontrolní akci řídil a kontrolní závěr vypracoval člen NKÚ Ing. </w:t>
      </w:r>
      <w:r w:rsidR="00606F44">
        <w:rPr>
          <w:color w:val="000000" w:themeColor="text1"/>
        </w:rPr>
        <w:t>Pavel Hrnčíř</w:t>
      </w:r>
      <w:r w:rsidRPr="00876251">
        <w:rPr>
          <w:color w:val="000000" w:themeColor="text1"/>
        </w:rPr>
        <w:t>.</w:t>
      </w:r>
    </w:p>
    <w:p w14:paraId="7803F7D4" w14:textId="77777777" w:rsidR="00606F44" w:rsidRDefault="00606F44" w:rsidP="0050448E">
      <w:pPr>
        <w:autoSpaceDE w:val="0"/>
        <w:autoSpaceDN w:val="0"/>
        <w:adjustRightInd w:val="0"/>
      </w:pPr>
    </w:p>
    <w:p w14:paraId="34D2A966" w14:textId="71C281CA" w:rsidR="00606F44" w:rsidRDefault="00AB3724" w:rsidP="00606F44">
      <w:pPr>
        <w:autoSpaceDE w:val="0"/>
        <w:autoSpaceDN w:val="0"/>
        <w:adjustRightInd w:val="0"/>
      </w:pPr>
      <w:r w:rsidRPr="00876251">
        <w:rPr>
          <w:color w:val="000000" w:themeColor="text1"/>
        </w:rPr>
        <w:t>Cílem kontroly bylo</w:t>
      </w:r>
      <w:r w:rsidR="007163A7">
        <w:rPr>
          <w:rFonts w:asciiTheme="minorHAnsi" w:hAnsiTheme="minorHAnsi" w:cstheme="minorHAnsi"/>
        </w:rPr>
        <w:t xml:space="preserve"> </w:t>
      </w:r>
      <w:r w:rsidR="00D54CD1">
        <w:rPr>
          <w:rFonts w:asciiTheme="minorHAnsi" w:hAnsiTheme="minorHAnsi" w:cstheme="minorHAnsi"/>
        </w:rPr>
        <w:t>p</w:t>
      </w:r>
      <w:r w:rsidR="00D54CD1" w:rsidRPr="00746DF8">
        <w:rPr>
          <w:rFonts w:asciiTheme="minorHAnsi" w:hAnsiTheme="minorHAnsi" w:cstheme="minorHAnsi"/>
        </w:rPr>
        <w:t>rověřit</w:t>
      </w:r>
      <w:r w:rsidR="00606F44">
        <w:t>, zda vybrané státní podniky v likvidaci v resortu Ministerstva</w:t>
      </w:r>
      <w:r w:rsidR="00CA087C">
        <w:t xml:space="preserve"> </w:t>
      </w:r>
      <w:r w:rsidR="00606F44">
        <w:t>průmyslu</w:t>
      </w:r>
      <w:r w:rsidR="00CA087C">
        <w:t xml:space="preserve"> </w:t>
      </w:r>
      <w:r w:rsidR="00606F44">
        <w:t>a obchodu</w:t>
      </w:r>
      <w:r w:rsidR="00CA087C">
        <w:t xml:space="preserve"> </w:t>
      </w:r>
      <w:r w:rsidR="00606F44">
        <w:t>a Ministerstva zemědělství hospodařily s majetkem a peněžními prostředky státu účelně, hospodárně a v souladu s právními předpisy</w:t>
      </w:r>
      <w:r w:rsidR="006514DC" w:rsidRPr="00562C4B">
        <w:t>;</w:t>
      </w:r>
      <w:r w:rsidR="00056FBA" w:rsidRPr="00562C4B">
        <w:t xml:space="preserve"> </w:t>
      </w:r>
      <w:r w:rsidR="00606F44">
        <w:t>prověřit, jak uvedená ministerstva plní funkci zakladatele vůči vybraným státním podnikům.</w:t>
      </w:r>
    </w:p>
    <w:p w14:paraId="2ECBE7F0" w14:textId="26D4F136" w:rsidR="00B43AE3" w:rsidRDefault="00B43AE3" w:rsidP="00606F4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F8D9E5A" w14:textId="7AC4E946" w:rsidR="00AB3724" w:rsidRPr="0050448E" w:rsidRDefault="00AB3724" w:rsidP="003639C6">
      <w:pPr>
        <w:rPr>
          <w:rFonts w:asciiTheme="minorHAnsi" w:hAnsiTheme="minorHAnsi" w:cstheme="minorHAnsi"/>
        </w:rPr>
      </w:pPr>
      <w:r w:rsidRPr="00876251">
        <w:rPr>
          <w:color w:val="000000" w:themeColor="text1"/>
        </w:rPr>
        <w:t>Kontrola</w:t>
      </w:r>
      <w:r w:rsidR="00B43AE3">
        <w:rPr>
          <w:color w:val="000000" w:themeColor="text1"/>
        </w:rPr>
        <w:t xml:space="preserve"> byla prováděna u kontrolovan</w:t>
      </w:r>
      <w:r w:rsidR="005549D4">
        <w:rPr>
          <w:color w:val="000000" w:themeColor="text1"/>
        </w:rPr>
        <w:t>ých</w:t>
      </w:r>
      <w:r w:rsidRPr="00876251">
        <w:rPr>
          <w:color w:val="000000" w:themeColor="text1"/>
        </w:rPr>
        <w:t xml:space="preserve"> osob v období </w:t>
      </w:r>
      <w:r w:rsidR="00E729C2">
        <w:rPr>
          <w:color w:val="000000" w:themeColor="text1"/>
        </w:rPr>
        <w:t xml:space="preserve">od </w:t>
      </w:r>
      <w:r w:rsidR="00606F44">
        <w:rPr>
          <w:color w:val="000000" w:themeColor="text1"/>
        </w:rPr>
        <w:t>září 2024</w:t>
      </w:r>
      <w:r w:rsidR="00B43AE3" w:rsidRPr="00134731">
        <w:rPr>
          <w:color w:val="000000" w:themeColor="text1"/>
        </w:rPr>
        <w:t xml:space="preserve"> </w:t>
      </w:r>
      <w:r w:rsidR="00142CBD" w:rsidRPr="00ED5427">
        <w:rPr>
          <w:color w:val="000000" w:themeColor="text1"/>
        </w:rPr>
        <w:t xml:space="preserve">do </w:t>
      </w:r>
      <w:r w:rsidR="00E3332E" w:rsidRPr="00ED5427">
        <w:rPr>
          <w:color w:val="000000" w:themeColor="text1"/>
        </w:rPr>
        <w:t>dubna</w:t>
      </w:r>
      <w:r w:rsidR="00B43AE3" w:rsidRPr="00134731">
        <w:rPr>
          <w:color w:val="000000" w:themeColor="text1"/>
        </w:rPr>
        <w:t xml:space="preserve"> 202</w:t>
      </w:r>
      <w:r w:rsidR="00606F44">
        <w:rPr>
          <w:color w:val="000000" w:themeColor="text1"/>
        </w:rPr>
        <w:t>5</w:t>
      </w:r>
      <w:r w:rsidRPr="00876251">
        <w:rPr>
          <w:color w:val="000000" w:themeColor="text1"/>
        </w:rPr>
        <w:t xml:space="preserve">. </w:t>
      </w:r>
    </w:p>
    <w:p w14:paraId="5700DD6D" w14:textId="77777777" w:rsidR="00AB3724" w:rsidRPr="00876251" w:rsidRDefault="00AB3724" w:rsidP="003639C6">
      <w:pPr>
        <w:rPr>
          <w:color w:val="000000" w:themeColor="text1"/>
        </w:rPr>
      </w:pPr>
    </w:p>
    <w:p w14:paraId="4DE295A7" w14:textId="498CF46C" w:rsidR="00E729C2" w:rsidRDefault="00AB3724" w:rsidP="00E729C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76251">
        <w:rPr>
          <w:color w:val="000000" w:themeColor="text1"/>
        </w:rPr>
        <w:t xml:space="preserve">Kontrolovaným obdobím </w:t>
      </w:r>
      <w:r w:rsidRPr="00134731">
        <w:rPr>
          <w:color w:val="000000" w:themeColor="text1"/>
        </w:rPr>
        <w:t xml:space="preserve">byly roky </w:t>
      </w:r>
      <w:r w:rsidR="00606F44">
        <w:rPr>
          <w:rFonts w:asciiTheme="minorHAnsi" w:hAnsiTheme="minorHAnsi" w:cstheme="minorHAnsi"/>
        </w:rPr>
        <w:t>2020 až 2024</w:t>
      </w:r>
      <w:r w:rsidR="00E729C2" w:rsidRPr="004E5927">
        <w:rPr>
          <w:rFonts w:asciiTheme="minorHAnsi" w:hAnsiTheme="minorHAnsi" w:cstheme="minorHAnsi"/>
        </w:rPr>
        <w:t>. V případě věcných souvislostí i</w:t>
      </w:r>
      <w:r w:rsidR="00E729C2">
        <w:rPr>
          <w:rFonts w:asciiTheme="minorHAnsi" w:hAnsiTheme="minorHAnsi" w:cstheme="minorHAnsi"/>
        </w:rPr>
        <w:t> </w:t>
      </w:r>
      <w:r w:rsidR="00E729C2" w:rsidRPr="004E5927">
        <w:rPr>
          <w:rFonts w:asciiTheme="minorHAnsi" w:hAnsiTheme="minorHAnsi" w:cstheme="minorHAnsi"/>
        </w:rPr>
        <w:t>období</w:t>
      </w:r>
      <w:r w:rsidR="00E729C2">
        <w:rPr>
          <w:rFonts w:asciiTheme="minorHAnsi" w:hAnsiTheme="minorHAnsi" w:cstheme="minorHAnsi"/>
        </w:rPr>
        <w:t xml:space="preserve"> předcházející a období </w:t>
      </w:r>
      <w:r w:rsidR="00E729C2" w:rsidRPr="004E5927">
        <w:rPr>
          <w:rFonts w:asciiTheme="minorHAnsi" w:hAnsiTheme="minorHAnsi" w:cstheme="minorHAnsi"/>
        </w:rPr>
        <w:t>následující</w:t>
      </w:r>
      <w:r w:rsidR="00E729C2">
        <w:rPr>
          <w:rFonts w:asciiTheme="minorHAnsi" w:hAnsiTheme="minorHAnsi" w:cstheme="minorHAnsi"/>
        </w:rPr>
        <w:t>.</w:t>
      </w:r>
    </w:p>
    <w:p w14:paraId="22904F72" w14:textId="701AC41E" w:rsidR="00AB3724" w:rsidRPr="00876251" w:rsidRDefault="00AB3724" w:rsidP="003639C6">
      <w:pPr>
        <w:rPr>
          <w:color w:val="000000" w:themeColor="text1"/>
        </w:rPr>
      </w:pPr>
    </w:p>
    <w:p w14:paraId="148EE46E" w14:textId="7A9806CE" w:rsidR="00E729C2" w:rsidRPr="00606F44" w:rsidRDefault="00B43AE3" w:rsidP="001853F9">
      <w:pPr>
        <w:jc w:val="left"/>
        <w:rPr>
          <w:rFonts w:asciiTheme="minorHAnsi" w:hAnsiTheme="minorHAnsi" w:cstheme="minorHAnsi"/>
        </w:rPr>
      </w:pPr>
      <w:r>
        <w:rPr>
          <w:b/>
          <w:color w:val="000000" w:themeColor="text1"/>
        </w:rPr>
        <w:t>Kontrolovan</w:t>
      </w:r>
      <w:r w:rsidR="00E42111">
        <w:rPr>
          <w:b/>
          <w:color w:val="000000" w:themeColor="text1"/>
        </w:rPr>
        <w:t xml:space="preserve">é </w:t>
      </w:r>
      <w:r>
        <w:rPr>
          <w:b/>
          <w:color w:val="000000" w:themeColor="text1"/>
        </w:rPr>
        <w:t>osob</w:t>
      </w:r>
      <w:r w:rsidR="00E42111">
        <w:rPr>
          <w:b/>
          <w:color w:val="000000" w:themeColor="text1"/>
        </w:rPr>
        <w:t>y</w:t>
      </w:r>
      <w:r w:rsidR="00AB3724" w:rsidRPr="00876251">
        <w:rPr>
          <w:b/>
          <w:color w:val="000000" w:themeColor="text1"/>
        </w:rPr>
        <w:t>:</w:t>
      </w:r>
      <w:r w:rsidR="00AB3724" w:rsidRPr="00876251">
        <w:rPr>
          <w:b/>
          <w:color w:val="000000" w:themeColor="text1"/>
        </w:rPr>
        <w:cr/>
      </w:r>
      <w:r w:rsidR="00E729C2" w:rsidRPr="004E5927">
        <w:rPr>
          <w:rFonts w:asciiTheme="minorHAnsi" w:hAnsiTheme="minorHAnsi" w:cstheme="minorHAnsi"/>
        </w:rPr>
        <w:t>Ministerstvo průmyslu a obchodu</w:t>
      </w:r>
      <w:r w:rsidR="00606F44">
        <w:rPr>
          <w:rFonts w:asciiTheme="minorHAnsi" w:hAnsiTheme="minorHAnsi" w:cstheme="minorHAnsi"/>
        </w:rPr>
        <w:t xml:space="preserve"> (dále také „MPO“)</w:t>
      </w:r>
      <w:r w:rsidR="00606F44" w:rsidRPr="00562C4B">
        <w:rPr>
          <w:rFonts w:asciiTheme="minorHAnsi" w:hAnsiTheme="minorHAnsi" w:cstheme="minorHAnsi"/>
        </w:rPr>
        <w:t>;</w:t>
      </w:r>
    </w:p>
    <w:p w14:paraId="7F3AAC88" w14:textId="068D1C76" w:rsidR="00AB3724" w:rsidRPr="00562C4B" w:rsidRDefault="00606F44" w:rsidP="003639C6">
      <w:pPr>
        <w:rPr>
          <w:rFonts w:asciiTheme="minorHAnsi" w:hAnsiTheme="minorHAnsi" w:cstheme="minorHAnsi"/>
        </w:rPr>
      </w:pPr>
      <w:r>
        <w:rPr>
          <w:color w:val="000000" w:themeColor="text1"/>
        </w:rPr>
        <w:t>Ministerstvo zemědělství (dále také „</w:t>
      </w:r>
      <w:proofErr w:type="spellStart"/>
      <w:r>
        <w:rPr>
          <w:color w:val="000000" w:themeColor="text1"/>
        </w:rPr>
        <w:t>MZe</w:t>
      </w:r>
      <w:proofErr w:type="spellEnd"/>
      <w:r>
        <w:rPr>
          <w:color w:val="000000" w:themeColor="text1"/>
        </w:rPr>
        <w:t>“)</w:t>
      </w:r>
      <w:r w:rsidRPr="00562C4B">
        <w:rPr>
          <w:rFonts w:asciiTheme="minorHAnsi" w:hAnsiTheme="minorHAnsi" w:cstheme="minorHAnsi"/>
        </w:rPr>
        <w:t>;</w:t>
      </w:r>
    </w:p>
    <w:p w14:paraId="639DC9FC" w14:textId="1AD8BF3A" w:rsidR="00606F44" w:rsidRPr="00606F44" w:rsidRDefault="00606F44" w:rsidP="00606F44">
      <w:pPr>
        <w:rPr>
          <w:rFonts w:asciiTheme="minorHAnsi" w:hAnsiTheme="minorHAnsi" w:cstheme="minorHAnsi"/>
          <w:lang w:val="en-GB"/>
        </w:rPr>
      </w:pPr>
      <w:r w:rsidRPr="00606F44">
        <w:rPr>
          <w:rFonts w:asciiTheme="minorHAnsi" w:hAnsiTheme="minorHAnsi" w:cstheme="minorHAnsi"/>
        </w:rPr>
        <w:t>Barvy a laky, státní podnik "v likvidaci"</w:t>
      </w:r>
      <w:r w:rsidR="00F62DFF">
        <w:rPr>
          <w:rFonts w:asciiTheme="minorHAnsi" w:hAnsiTheme="minorHAnsi" w:cstheme="minorHAnsi"/>
          <w:lang w:val="en-GB"/>
        </w:rPr>
        <w:t>, Praha;</w:t>
      </w:r>
    </w:p>
    <w:p w14:paraId="375AC561" w14:textId="1247C15F" w:rsidR="00606F44" w:rsidRPr="00606F44" w:rsidRDefault="00606F44" w:rsidP="00606F44">
      <w:pPr>
        <w:rPr>
          <w:rFonts w:asciiTheme="minorHAnsi" w:hAnsiTheme="minorHAnsi" w:cstheme="minorHAnsi"/>
        </w:rPr>
      </w:pPr>
      <w:r w:rsidRPr="00606F44">
        <w:rPr>
          <w:rFonts w:asciiTheme="minorHAnsi" w:hAnsiTheme="minorHAnsi" w:cstheme="minorHAnsi"/>
        </w:rPr>
        <w:t>Brněnské papírny, státní podnik – v</w:t>
      </w:r>
      <w:r w:rsidR="00F62DFF">
        <w:rPr>
          <w:rFonts w:asciiTheme="minorHAnsi" w:hAnsiTheme="minorHAnsi" w:cstheme="minorHAnsi"/>
        </w:rPr>
        <w:t> </w:t>
      </w:r>
      <w:r w:rsidRPr="00606F44">
        <w:rPr>
          <w:rFonts w:asciiTheme="minorHAnsi" w:hAnsiTheme="minorHAnsi" w:cstheme="minorHAnsi"/>
        </w:rPr>
        <w:t>likvidaci</w:t>
      </w:r>
      <w:r w:rsidR="00F62DFF">
        <w:rPr>
          <w:rFonts w:asciiTheme="minorHAnsi" w:hAnsiTheme="minorHAnsi" w:cstheme="minorHAnsi"/>
        </w:rPr>
        <w:t>, Praha;</w:t>
      </w:r>
    </w:p>
    <w:p w14:paraId="3052E53E" w14:textId="15DE96E9" w:rsidR="00606F44" w:rsidRPr="00606F44" w:rsidRDefault="00606F44" w:rsidP="00606F44">
      <w:pPr>
        <w:rPr>
          <w:rFonts w:asciiTheme="minorHAnsi" w:hAnsiTheme="minorHAnsi" w:cstheme="minorHAnsi"/>
        </w:rPr>
      </w:pPr>
      <w:bookmarkStart w:id="0" w:name="_Hlk197507213"/>
      <w:r w:rsidRPr="00606F44">
        <w:rPr>
          <w:rFonts w:asciiTheme="minorHAnsi" w:hAnsiTheme="minorHAnsi" w:cstheme="minorHAnsi"/>
        </w:rPr>
        <w:t>Cihlářské a keramické závody Teplice, státní podnik v</w:t>
      </w:r>
      <w:r>
        <w:rPr>
          <w:rFonts w:asciiTheme="minorHAnsi" w:hAnsiTheme="minorHAnsi" w:cstheme="minorHAnsi"/>
        </w:rPr>
        <w:t> </w:t>
      </w:r>
      <w:r w:rsidRPr="00606F44">
        <w:rPr>
          <w:rFonts w:asciiTheme="minorHAnsi" w:hAnsiTheme="minorHAnsi" w:cstheme="minorHAnsi"/>
        </w:rPr>
        <w:t>likvidaci</w:t>
      </w:r>
      <w:bookmarkEnd w:id="0"/>
      <w:r>
        <w:rPr>
          <w:rFonts w:asciiTheme="minorHAnsi" w:hAnsiTheme="minorHAnsi" w:cstheme="minorHAnsi"/>
        </w:rPr>
        <w:t>;</w:t>
      </w:r>
    </w:p>
    <w:p w14:paraId="77314E8A" w14:textId="1DE41555" w:rsidR="00606F44" w:rsidRPr="00606F44" w:rsidRDefault="00606F44" w:rsidP="00606F44">
      <w:pPr>
        <w:rPr>
          <w:rFonts w:asciiTheme="minorHAnsi" w:hAnsiTheme="minorHAnsi" w:cstheme="minorHAnsi"/>
        </w:rPr>
      </w:pPr>
      <w:r w:rsidRPr="00606F44">
        <w:rPr>
          <w:rFonts w:asciiTheme="minorHAnsi" w:hAnsiTheme="minorHAnsi" w:cstheme="minorHAnsi"/>
        </w:rPr>
        <w:t>RKT – Rovnací a kotevní technika, státní podnik v</w:t>
      </w:r>
      <w:r w:rsidR="00F62DFF">
        <w:rPr>
          <w:rFonts w:asciiTheme="minorHAnsi" w:hAnsiTheme="minorHAnsi" w:cstheme="minorHAnsi"/>
        </w:rPr>
        <w:t> </w:t>
      </w:r>
      <w:r w:rsidRPr="00606F44">
        <w:rPr>
          <w:rFonts w:asciiTheme="minorHAnsi" w:hAnsiTheme="minorHAnsi" w:cstheme="minorHAnsi"/>
        </w:rPr>
        <w:t>likvidaci</w:t>
      </w:r>
      <w:r w:rsidR="00F62DFF">
        <w:rPr>
          <w:rFonts w:asciiTheme="minorHAnsi" w:hAnsiTheme="minorHAnsi" w:cstheme="minorHAnsi"/>
        </w:rPr>
        <w:t>, Praha;</w:t>
      </w:r>
    </w:p>
    <w:p w14:paraId="77D32B20" w14:textId="684A659A" w:rsidR="00606F44" w:rsidRDefault="00606F44" w:rsidP="00606F44">
      <w:pPr>
        <w:rPr>
          <w:rFonts w:asciiTheme="minorHAnsi" w:hAnsiTheme="minorHAnsi" w:cstheme="minorHAnsi"/>
        </w:rPr>
      </w:pPr>
      <w:r w:rsidRPr="00606F44">
        <w:rPr>
          <w:rFonts w:asciiTheme="minorHAnsi" w:hAnsiTheme="minorHAnsi" w:cstheme="minorHAnsi"/>
        </w:rPr>
        <w:t>Státní statek Česká Kamenice v</w:t>
      </w:r>
      <w:r>
        <w:rPr>
          <w:rFonts w:asciiTheme="minorHAnsi" w:hAnsiTheme="minorHAnsi" w:cstheme="minorHAnsi"/>
        </w:rPr>
        <w:t> </w:t>
      </w:r>
      <w:r w:rsidRPr="00606F44">
        <w:rPr>
          <w:rFonts w:asciiTheme="minorHAnsi" w:hAnsiTheme="minorHAnsi" w:cstheme="minorHAnsi"/>
        </w:rPr>
        <w:t>likvidaci</w:t>
      </w:r>
      <w:r>
        <w:rPr>
          <w:rFonts w:asciiTheme="minorHAnsi" w:hAnsiTheme="minorHAnsi" w:cstheme="minorHAnsi"/>
        </w:rPr>
        <w:t>;</w:t>
      </w:r>
      <w:r w:rsidRPr="00606F44">
        <w:rPr>
          <w:rFonts w:asciiTheme="minorHAnsi" w:hAnsiTheme="minorHAnsi" w:cstheme="minorHAnsi"/>
        </w:rPr>
        <w:t xml:space="preserve"> </w:t>
      </w:r>
    </w:p>
    <w:p w14:paraId="399F0E3A" w14:textId="7AFFD9C1" w:rsidR="00606F44" w:rsidRPr="00606F44" w:rsidRDefault="00606F44" w:rsidP="00606F44">
      <w:pPr>
        <w:rPr>
          <w:rFonts w:asciiTheme="minorHAnsi" w:hAnsiTheme="minorHAnsi" w:cstheme="minorHAnsi"/>
        </w:rPr>
      </w:pPr>
      <w:r w:rsidRPr="00606F44">
        <w:rPr>
          <w:rFonts w:asciiTheme="minorHAnsi" w:hAnsiTheme="minorHAnsi" w:cstheme="minorHAnsi"/>
        </w:rPr>
        <w:t>Státní statek Jeneč, státní podnik v</w:t>
      </w:r>
      <w:r w:rsidR="00F62DFF">
        <w:rPr>
          <w:rFonts w:asciiTheme="minorHAnsi" w:hAnsiTheme="minorHAnsi" w:cstheme="minorHAnsi"/>
        </w:rPr>
        <w:t> </w:t>
      </w:r>
      <w:r w:rsidRPr="00606F44">
        <w:rPr>
          <w:rFonts w:asciiTheme="minorHAnsi" w:hAnsiTheme="minorHAnsi" w:cstheme="minorHAnsi"/>
        </w:rPr>
        <w:t>likvidaci</w:t>
      </w:r>
      <w:r w:rsidR="00F62DFF">
        <w:rPr>
          <w:rFonts w:asciiTheme="minorHAnsi" w:hAnsiTheme="minorHAnsi" w:cstheme="minorHAnsi"/>
        </w:rPr>
        <w:t>, Praha;</w:t>
      </w:r>
    </w:p>
    <w:p w14:paraId="2F0BD31E" w14:textId="377DC247" w:rsidR="00606F44" w:rsidRPr="00606F44" w:rsidRDefault="00606F44" w:rsidP="00606F44">
      <w:pPr>
        <w:rPr>
          <w:rFonts w:asciiTheme="minorHAnsi" w:hAnsiTheme="minorHAnsi" w:cstheme="minorHAnsi"/>
        </w:rPr>
      </w:pPr>
      <w:r w:rsidRPr="00606F44">
        <w:rPr>
          <w:rFonts w:asciiTheme="minorHAnsi" w:hAnsiTheme="minorHAnsi" w:cstheme="minorHAnsi"/>
        </w:rPr>
        <w:t xml:space="preserve">Státní statek Valtice, </w:t>
      </w:r>
      <w:proofErr w:type="spellStart"/>
      <w:r w:rsidRPr="00606F44">
        <w:rPr>
          <w:rFonts w:asciiTheme="minorHAnsi" w:hAnsiTheme="minorHAnsi" w:cstheme="minorHAnsi"/>
        </w:rPr>
        <w:t>s.p</w:t>
      </w:r>
      <w:proofErr w:type="spellEnd"/>
      <w:r w:rsidRPr="00606F44">
        <w:rPr>
          <w:rFonts w:asciiTheme="minorHAnsi" w:hAnsiTheme="minorHAnsi" w:cstheme="minorHAnsi"/>
        </w:rPr>
        <w:t>. v</w:t>
      </w:r>
      <w:r>
        <w:rPr>
          <w:rFonts w:asciiTheme="minorHAnsi" w:hAnsiTheme="minorHAnsi" w:cstheme="minorHAnsi"/>
        </w:rPr>
        <w:t> </w:t>
      </w:r>
      <w:r w:rsidRPr="00606F44">
        <w:rPr>
          <w:rFonts w:asciiTheme="minorHAnsi" w:hAnsiTheme="minorHAnsi" w:cstheme="minorHAnsi"/>
        </w:rPr>
        <w:t>likvidaci</w:t>
      </w:r>
      <w:r>
        <w:rPr>
          <w:rFonts w:asciiTheme="minorHAnsi" w:hAnsiTheme="minorHAnsi" w:cstheme="minorHAnsi"/>
        </w:rPr>
        <w:t>.</w:t>
      </w:r>
    </w:p>
    <w:p w14:paraId="00BEF4A1" w14:textId="77777777" w:rsidR="00606F44" w:rsidRPr="00AC2B6D" w:rsidRDefault="00606F44" w:rsidP="003639C6">
      <w:pPr>
        <w:rPr>
          <w:iCs/>
          <w:highlight w:val="yellow"/>
        </w:rPr>
      </w:pPr>
    </w:p>
    <w:p w14:paraId="0286BE66" w14:textId="77777777" w:rsidR="002807CB" w:rsidRPr="00AC2B6D" w:rsidRDefault="002807CB" w:rsidP="003639C6">
      <w:pPr>
        <w:rPr>
          <w:iCs/>
          <w:color w:val="000000" w:themeColor="text1"/>
        </w:rPr>
      </w:pPr>
    </w:p>
    <w:p w14:paraId="08F9D7C5" w14:textId="27D23636" w:rsidR="00AB3724" w:rsidRPr="00D15BBF" w:rsidRDefault="00AB3724" w:rsidP="00606F44">
      <w:pPr>
        <w:spacing w:after="120"/>
        <w:rPr>
          <w:color w:val="000000" w:themeColor="text1"/>
        </w:rPr>
      </w:pPr>
      <w:r w:rsidRPr="00876251">
        <w:rPr>
          <w:b/>
          <w:i/>
          <w:color w:val="000000" w:themeColor="text1"/>
          <w:spacing w:val="40"/>
        </w:rPr>
        <w:t>Kolegium</w:t>
      </w:r>
      <w:r w:rsidRPr="00876251">
        <w:rPr>
          <w:b/>
          <w:i/>
          <w:color w:val="000000" w:themeColor="text1"/>
        </w:rPr>
        <w:t xml:space="preserve">   </w:t>
      </w:r>
      <w:r w:rsidRPr="00876251">
        <w:rPr>
          <w:b/>
          <w:i/>
          <w:color w:val="000000" w:themeColor="text1"/>
          <w:spacing w:val="40"/>
        </w:rPr>
        <w:t>NKÚ</w:t>
      </w:r>
      <w:r w:rsidRPr="00876251">
        <w:rPr>
          <w:b/>
          <w:i/>
          <w:color w:val="000000" w:themeColor="text1"/>
        </w:rPr>
        <w:t xml:space="preserve">   </w:t>
      </w:r>
      <w:r w:rsidR="006E0CFA">
        <w:rPr>
          <w:color w:val="000000" w:themeColor="text1"/>
        </w:rPr>
        <w:t>na svém</w:t>
      </w:r>
      <w:r w:rsidR="00D15BBF">
        <w:rPr>
          <w:color w:val="000000" w:themeColor="text1"/>
        </w:rPr>
        <w:t xml:space="preserve"> </w:t>
      </w:r>
      <w:r w:rsidR="0082415B">
        <w:rPr>
          <w:color w:val="000000" w:themeColor="text1"/>
        </w:rPr>
        <w:t>XI</w:t>
      </w:r>
      <w:r w:rsidR="00A154DE">
        <w:rPr>
          <w:color w:val="000000" w:themeColor="text1"/>
        </w:rPr>
        <w:t>.</w:t>
      </w:r>
      <w:r w:rsidR="00B43AE3" w:rsidRPr="00D15BBF">
        <w:rPr>
          <w:color w:val="000000" w:themeColor="text1"/>
        </w:rPr>
        <w:t xml:space="preserve"> </w:t>
      </w:r>
      <w:r w:rsidR="006E0CFA" w:rsidRPr="00D15BBF">
        <w:rPr>
          <w:color w:val="000000" w:themeColor="text1"/>
        </w:rPr>
        <w:t xml:space="preserve">jednání, které se konalo dne </w:t>
      </w:r>
      <w:r w:rsidR="0082415B">
        <w:rPr>
          <w:color w:val="000000" w:themeColor="text1"/>
        </w:rPr>
        <w:t>28. července 2025,</w:t>
      </w:r>
    </w:p>
    <w:p w14:paraId="73D74581" w14:textId="2BBEFD38" w:rsidR="00575078" w:rsidRPr="00D15BBF" w:rsidRDefault="00AB3724" w:rsidP="00606F44">
      <w:pPr>
        <w:spacing w:after="120"/>
        <w:rPr>
          <w:color w:val="000000" w:themeColor="text1"/>
        </w:rPr>
      </w:pPr>
      <w:r w:rsidRPr="00D15BBF">
        <w:rPr>
          <w:b/>
          <w:i/>
          <w:color w:val="000000" w:themeColor="text1"/>
          <w:spacing w:val="40"/>
        </w:rPr>
        <w:t>schválilo</w:t>
      </w:r>
      <w:r w:rsidRPr="00D15BBF">
        <w:rPr>
          <w:b/>
          <w:i/>
          <w:color w:val="000000" w:themeColor="text1"/>
        </w:rPr>
        <w:t xml:space="preserve">   </w:t>
      </w:r>
      <w:r w:rsidRPr="00D15BBF">
        <w:rPr>
          <w:color w:val="000000" w:themeColor="text1"/>
        </w:rPr>
        <w:t>usnesením č</w:t>
      </w:r>
      <w:r w:rsidR="00A154DE">
        <w:rPr>
          <w:color w:val="000000" w:themeColor="text1"/>
        </w:rPr>
        <w:t>.</w:t>
      </w:r>
      <w:r w:rsidR="00B9360C">
        <w:rPr>
          <w:color w:val="000000" w:themeColor="text1"/>
        </w:rPr>
        <w:t xml:space="preserve"> </w:t>
      </w:r>
      <w:r w:rsidR="007A3240">
        <w:rPr>
          <w:color w:val="000000" w:themeColor="text1"/>
        </w:rPr>
        <w:t>8</w:t>
      </w:r>
      <w:r w:rsidR="0082415B">
        <w:rPr>
          <w:color w:val="000000" w:themeColor="text1"/>
        </w:rPr>
        <w:t>/XI/2</w:t>
      </w:r>
      <w:r w:rsidR="005F2FFB">
        <w:rPr>
          <w:color w:val="000000" w:themeColor="text1"/>
        </w:rPr>
        <w:t>025</w:t>
      </w:r>
    </w:p>
    <w:p w14:paraId="249254C2" w14:textId="5F0440FE" w:rsidR="00AB3724" w:rsidRPr="00876251" w:rsidRDefault="00AB3724" w:rsidP="00606F44">
      <w:pPr>
        <w:spacing w:after="120"/>
        <w:rPr>
          <w:color w:val="000000" w:themeColor="text1"/>
        </w:rPr>
      </w:pPr>
      <w:r w:rsidRPr="00D15BBF">
        <w:rPr>
          <w:b/>
          <w:i/>
          <w:color w:val="000000" w:themeColor="text1"/>
          <w:spacing w:val="40"/>
        </w:rPr>
        <w:t>kontrolní</w:t>
      </w:r>
      <w:r w:rsidRPr="00D15BBF">
        <w:rPr>
          <w:b/>
          <w:i/>
          <w:color w:val="000000" w:themeColor="text1"/>
        </w:rPr>
        <w:t xml:space="preserve">   </w:t>
      </w:r>
      <w:r w:rsidRPr="00D15BBF">
        <w:rPr>
          <w:b/>
          <w:i/>
          <w:color w:val="000000" w:themeColor="text1"/>
          <w:spacing w:val="40"/>
        </w:rPr>
        <w:t>závěr</w:t>
      </w:r>
      <w:r w:rsidRPr="00D15BBF">
        <w:rPr>
          <w:color w:val="000000" w:themeColor="text1"/>
        </w:rPr>
        <w:t xml:space="preserve">   v</w:t>
      </w:r>
      <w:r w:rsidR="00A24307">
        <w:rPr>
          <w:color w:val="000000" w:themeColor="text1"/>
        </w:rPr>
        <w:t> </w:t>
      </w:r>
      <w:r w:rsidRPr="00D15BBF">
        <w:rPr>
          <w:color w:val="000000" w:themeColor="text1"/>
        </w:rPr>
        <w:t>tomto znění:</w:t>
      </w:r>
    </w:p>
    <w:p w14:paraId="3DAA7EDC" w14:textId="5F33F2FE" w:rsidR="00D15A27" w:rsidRDefault="00AD59C8" w:rsidP="00632A7F">
      <w:pPr>
        <w:pBdr>
          <w:bottom w:val="single" w:sz="4" w:space="1" w:color="auto"/>
        </w:pBdr>
        <w:tabs>
          <w:tab w:val="left" w:pos="1115"/>
        </w:tabs>
        <w:jc w:val="center"/>
        <w:rPr>
          <w:b/>
          <w:sz w:val="32"/>
          <w:szCs w:val="32"/>
        </w:rPr>
      </w:pPr>
      <w:bookmarkStart w:id="1" w:name="_Hlk164153219"/>
      <w:bookmarkStart w:id="2" w:name="_Hlk164155057"/>
      <w:r>
        <w:rPr>
          <w:b/>
        </w:rPr>
        <w:br w:type="page"/>
      </w:r>
      <w:bookmarkStart w:id="3" w:name="_Hlk198547023"/>
      <w:r w:rsidR="00D15A27" w:rsidRPr="00D15A27">
        <w:rPr>
          <w:b/>
          <w:sz w:val="32"/>
          <w:szCs w:val="32"/>
        </w:rPr>
        <w:lastRenderedPageBreak/>
        <w:t>Státní podniky v</w:t>
      </w:r>
      <w:r w:rsidR="00632A7F">
        <w:rPr>
          <w:b/>
          <w:sz w:val="32"/>
          <w:szCs w:val="32"/>
        </w:rPr>
        <w:t> </w:t>
      </w:r>
      <w:r w:rsidR="00D15A27" w:rsidRPr="00D15A27">
        <w:rPr>
          <w:b/>
          <w:sz w:val="32"/>
          <w:szCs w:val="32"/>
        </w:rPr>
        <w:t>likvidaci</w:t>
      </w:r>
    </w:p>
    <w:p w14:paraId="19D4395C" w14:textId="77777777" w:rsidR="00632A7F" w:rsidRDefault="00632A7F" w:rsidP="00632A7F">
      <w:pPr>
        <w:pBdr>
          <w:bottom w:val="single" w:sz="4" w:space="1" w:color="auto"/>
        </w:pBdr>
        <w:tabs>
          <w:tab w:val="left" w:pos="1115"/>
        </w:tabs>
        <w:jc w:val="center"/>
        <w:rPr>
          <w:b/>
          <w:sz w:val="32"/>
          <w:szCs w:val="32"/>
        </w:rPr>
      </w:pPr>
    </w:p>
    <w:p w14:paraId="606CA451" w14:textId="77777777" w:rsidR="00262585" w:rsidRDefault="00262585" w:rsidP="006C44A2">
      <w:pPr>
        <w:tabs>
          <w:tab w:val="left" w:pos="1115"/>
        </w:tabs>
        <w:rPr>
          <w:b/>
        </w:rPr>
      </w:pPr>
    </w:p>
    <w:p w14:paraId="69D69929" w14:textId="05B1B895" w:rsidR="008E39D0" w:rsidRDefault="008E39D0" w:rsidP="006C44A2">
      <w:pPr>
        <w:tabs>
          <w:tab w:val="left" w:pos="1115"/>
        </w:tabs>
        <w:rPr>
          <w:bCs/>
        </w:rPr>
      </w:pPr>
      <w:r w:rsidRPr="008E39D0">
        <w:rPr>
          <w:b/>
        </w:rPr>
        <w:t xml:space="preserve">Likvidace státního podniku </w:t>
      </w:r>
      <w:r w:rsidRPr="008E39D0">
        <w:rPr>
          <w:bCs/>
        </w:rPr>
        <w:t>spočívá ve vypořádání majetku, vyrovnání dluhů a odeslání likvidačního zůstatku do státních finančních aktiv. Likvidaci řídí likvidátor, který má za povinnost jménem státního podniku činit pouze úkony směřující k likvidaci a počínat si s péči řádného hospodáře, což zahrnuje účelné a hospodárné nakládání s majetkem státu.</w:t>
      </w:r>
    </w:p>
    <w:p w14:paraId="5324F9C8" w14:textId="77777777" w:rsidR="00C824D5" w:rsidRDefault="00C824D5" w:rsidP="00F50CDE">
      <w:pPr>
        <w:jc w:val="center"/>
        <w:rPr>
          <w:b/>
        </w:rPr>
      </w:pPr>
    </w:p>
    <w:p w14:paraId="6874BB2C" w14:textId="77777777" w:rsidR="00A73F8F" w:rsidRDefault="00A73F8F" w:rsidP="00F50CDE">
      <w:pPr>
        <w:jc w:val="center"/>
        <w:rPr>
          <w:b/>
        </w:rPr>
      </w:pPr>
    </w:p>
    <w:p w14:paraId="3D9C8895" w14:textId="41BB6DF1" w:rsidR="00A73F8F" w:rsidRPr="00DA49C3" w:rsidRDefault="008E2EA9" w:rsidP="00A73F8F">
      <w:pPr>
        <w:tabs>
          <w:tab w:val="left" w:pos="1115"/>
        </w:tabs>
        <w:ind w:left="1416" w:hanging="1416"/>
        <w:jc w:val="center"/>
        <w:rPr>
          <w:cap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495921E" wp14:editId="3BD3A706">
                <wp:simplePos x="0" y="0"/>
                <wp:positionH relativeFrom="margin">
                  <wp:align>right</wp:align>
                </wp:positionH>
                <wp:positionV relativeFrom="paragraph">
                  <wp:posOffset>99694</wp:posOffset>
                </wp:positionV>
                <wp:extent cx="2124075" cy="0"/>
                <wp:effectExtent l="0" t="0" r="0" b="0"/>
                <wp:wrapNone/>
                <wp:docPr id="2030365637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EFAEF" id="Přímá spojnice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116.05pt,7.85pt" to="283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3B7C3CE" wp14:editId="4E8B9B37">
                <wp:simplePos x="0" y="0"/>
                <wp:positionH relativeFrom="column">
                  <wp:posOffset>-29845</wp:posOffset>
                </wp:positionH>
                <wp:positionV relativeFrom="paragraph">
                  <wp:posOffset>92709</wp:posOffset>
                </wp:positionV>
                <wp:extent cx="2160270" cy="0"/>
                <wp:effectExtent l="0" t="0" r="0" b="0"/>
                <wp:wrapNone/>
                <wp:docPr id="390467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ABC9C" id="Přímá spojnice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35pt,7.3pt" to="16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A73F8F">
        <w:rPr>
          <w:caps/>
        </w:rPr>
        <w:t>Zjištěné skutečnosti</w:t>
      </w:r>
      <w:r w:rsidR="00A73F8F" w:rsidRPr="00DA49C3">
        <w:rPr>
          <w:caps/>
        </w:rPr>
        <w:t xml:space="preserve"> </w:t>
      </w:r>
    </w:p>
    <w:p w14:paraId="10303159" w14:textId="77777777" w:rsidR="00A73F8F" w:rsidRDefault="00A73F8F" w:rsidP="006C44A2">
      <w:pPr>
        <w:tabs>
          <w:tab w:val="left" w:pos="1115"/>
        </w:tabs>
        <w:ind w:left="1416" w:hanging="1416"/>
        <w:jc w:val="center"/>
        <w:rPr>
          <w:b/>
        </w:rPr>
      </w:pPr>
    </w:p>
    <w:tbl>
      <w:tblPr>
        <w:tblW w:w="6048" w:type="dxa"/>
        <w:jc w:val="center"/>
        <w:shd w:val="clear" w:color="auto" w:fill="FFFFFF" w:themeFill="background1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3213"/>
      </w:tblGrid>
      <w:tr w:rsidR="0064045C" w:rsidRPr="00B03325" w14:paraId="3A9C6991" w14:textId="77777777" w:rsidTr="00D029BF">
        <w:trPr>
          <w:trHeight w:val="475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87CAF0C" w14:textId="2551775E" w:rsidR="0064045C" w:rsidRPr="00B03325" w:rsidRDefault="0064045C" w:rsidP="0064045C">
            <w:pPr>
              <w:pStyle w:val="Pa18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b/>
                <w:color w:val="AF1953"/>
                <w:sz w:val="32"/>
                <w:szCs w:val="36"/>
              </w:rPr>
              <w:t>7</w:t>
            </w:r>
          </w:p>
        </w:tc>
        <w:tc>
          <w:tcPr>
            <w:tcW w:w="3213" w:type="dxa"/>
            <w:vAlign w:val="center"/>
          </w:tcPr>
          <w:p w14:paraId="1623CAFC" w14:textId="2C5FA533" w:rsidR="0064045C" w:rsidRPr="00B03325" w:rsidRDefault="00245545" w:rsidP="0064045C">
            <w:pPr>
              <w:pStyle w:val="Pa18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b/>
                <w:color w:val="AF1953"/>
                <w:sz w:val="32"/>
                <w:szCs w:val="36"/>
              </w:rPr>
              <w:t>8</w:t>
            </w:r>
            <w:r w:rsidR="0064045C" w:rsidRPr="00D029BF">
              <w:rPr>
                <w:b/>
                <w:color w:val="AF1953"/>
                <w:sz w:val="32"/>
                <w:szCs w:val="36"/>
              </w:rPr>
              <w:t xml:space="preserve"> až </w:t>
            </w:r>
            <w:r w:rsidR="00D029BF" w:rsidRPr="00D029BF">
              <w:rPr>
                <w:b/>
                <w:color w:val="AF1953"/>
                <w:sz w:val="32"/>
                <w:szCs w:val="36"/>
              </w:rPr>
              <w:t>2</w:t>
            </w:r>
            <w:r>
              <w:rPr>
                <w:b/>
                <w:color w:val="AF1953"/>
                <w:sz w:val="32"/>
                <w:szCs w:val="36"/>
              </w:rPr>
              <w:t>3</w:t>
            </w:r>
            <w:r w:rsidR="00D029BF" w:rsidRPr="00D029BF">
              <w:rPr>
                <w:b/>
                <w:color w:val="AF1953"/>
                <w:sz w:val="32"/>
                <w:szCs w:val="36"/>
              </w:rPr>
              <w:t xml:space="preserve"> let</w:t>
            </w:r>
          </w:p>
        </w:tc>
        <w:bookmarkStart w:id="4" w:name="_Hlk145416707"/>
      </w:tr>
      <w:tr w:rsidR="0064045C" w:rsidRPr="001C2B1A" w14:paraId="3D5CF930" w14:textId="77777777" w:rsidTr="008E39D0">
        <w:trPr>
          <w:trHeight w:val="745"/>
          <w:jc w:val="center"/>
        </w:trPr>
        <w:tc>
          <w:tcPr>
            <w:tcW w:w="2835" w:type="dxa"/>
            <w:shd w:val="clear" w:color="auto" w:fill="FFFFFF" w:themeFill="background1"/>
          </w:tcPr>
          <w:p w14:paraId="28A3BB2B" w14:textId="7D45843A" w:rsidR="0064045C" w:rsidRPr="000D5164" w:rsidRDefault="0064045C" w:rsidP="00F50CDE">
            <w:pPr>
              <w:tabs>
                <w:tab w:val="left" w:pos="1128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0D5164">
              <w:rPr>
                <w:sz w:val="20"/>
                <w:szCs w:val="20"/>
              </w:rPr>
              <w:t xml:space="preserve">kontrolovaných </w:t>
            </w:r>
            <w:r w:rsidR="00F50CDE">
              <w:rPr>
                <w:sz w:val="20"/>
                <w:szCs w:val="20"/>
              </w:rPr>
              <w:br/>
            </w:r>
            <w:r w:rsidRPr="000D5164">
              <w:rPr>
                <w:sz w:val="20"/>
                <w:szCs w:val="20"/>
              </w:rPr>
              <w:t xml:space="preserve">státních podniků </w:t>
            </w:r>
            <w:r w:rsidR="00F50CDE">
              <w:rPr>
                <w:sz w:val="20"/>
                <w:szCs w:val="20"/>
              </w:rPr>
              <w:br/>
            </w:r>
            <w:r w:rsidRPr="000D5164">
              <w:rPr>
                <w:sz w:val="20"/>
                <w:szCs w:val="20"/>
              </w:rPr>
              <w:t>v</w:t>
            </w:r>
            <w:r w:rsidR="00F50CDE">
              <w:rPr>
                <w:sz w:val="20"/>
                <w:szCs w:val="20"/>
              </w:rPr>
              <w:t> </w:t>
            </w:r>
            <w:r w:rsidRPr="000D5164">
              <w:rPr>
                <w:sz w:val="20"/>
                <w:szCs w:val="20"/>
              </w:rPr>
              <w:t>likvidaci</w:t>
            </w:r>
          </w:p>
        </w:tc>
        <w:tc>
          <w:tcPr>
            <w:tcW w:w="3213" w:type="dxa"/>
            <w:shd w:val="clear" w:color="auto" w:fill="FFFFFF" w:themeFill="background1"/>
          </w:tcPr>
          <w:p w14:paraId="7E768AC7" w14:textId="53F9A398" w:rsidR="0064045C" w:rsidRPr="004304BE" w:rsidRDefault="0064045C" w:rsidP="00F50CDE">
            <w:pPr>
              <w:tabs>
                <w:tab w:val="left" w:pos="1128"/>
                <w:tab w:val="center" w:pos="4536"/>
              </w:tabs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délka trvání likvidace </w:t>
            </w:r>
            <w:r w:rsidR="00F50CDE">
              <w:rPr>
                <w:sz w:val="20"/>
                <w:szCs w:val="32"/>
              </w:rPr>
              <w:br/>
            </w:r>
            <w:r>
              <w:rPr>
                <w:sz w:val="20"/>
                <w:szCs w:val="32"/>
              </w:rPr>
              <w:t>(bez konkursu) u sedmi kontrolovaných státních podniků</w:t>
            </w:r>
          </w:p>
        </w:tc>
      </w:tr>
      <w:bookmarkEnd w:id="4"/>
    </w:tbl>
    <w:p w14:paraId="6EA13C0D" w14:textId="77777777" w:rsidR="00D15A27" w:rsidRDefault="00D15A27" w:rsidP="00D15A27">
      <w:pPr>
        <w:tabs>
          <w:tab w:val="left" w:pos="1128"/>
          <w:tab w:val="center" w:pos="4536"/>
        </w:tabs>
        <w:ind w:left="1416" w:hanging="1416"/>
        <w:jc w:val="left"/>
        <w:rPr>
          <w:b/>
        </w:rPr>
      </w:pPr>
    </w:p>
    <w:tbl>
      <w:tblPr>
        <w:tblW w:w="5954" w:type="dxa"/>
        <w:jc w:val="center"/>
        <w:shd w:val="clear" w:color="auto" w:fill="FFFFFF" w:themeFill="background1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3119"/>
      </w:tblGrid>
      <w:tr w:rsidR="008E39D0" w:rsidRPr="00B03325" w14:paraId="4DFC3D80" w14:textId="2642E1E6" w:rsidTr="008E39D0">
        <w:trPr>
          <w:trHeight w:val="475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C744ED1" w14:textId="4C98C631" w:rsidR="008E39D0" w:rsidRDefault="008E39D0" w:rsidP="008E39D0">
            <w:pPr>
              <w:pStyle w:val="Pa18"/>
              <w:spacing w:line="240" w:lineRule="auto"/>
              <w:jc w:val="center"/>
              <w:rPr>
                <w:rFonts w:asciiTheme="minorHAnsi" w:hAnsiTheme="minorHAnsi" w:cstheme="minorHAnsi"/>
                <w:b/>
                <w:color w:val="AF1953"/>
                <w:sz w:val="32"/>
                <w:szCs w:val="32"/>
              </w:rPr>
            </w:pPr>
            <w:r w:rsidRPr="004304BE">
              <w:rPr>
                <w:b/>
                <w:color w:val="AF1953"/>
                <w:sz w:val="32"/>
                <w:szCs w:val="36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144DC7" w14:textId="4D0B1012" w:rsidR="008E39D0" w:rsidRDefault="008E39D0" w:rsidP="008E39D0">
            <w:pPr>
              <w:pStyle w:val="Pa18"/>
              <w:spacing w:line="240" w:lineRule="auto"/>
              <w:jc w:val="center"/>
              <w:rPr>
                <w:b/>
                <w:color w:val="AF1953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AF1953"/>
                <w:sz w:val="32"/>
                <w:szCs w:val="32"/>
              </w:rPr>
              <w:t>2</w:t>
            </w:r>
          </w:p>
        </w:tc>
      </w:tr>
      <w:tr w:rsidR="008E39D0" w:rsidRPr="004304BE" w14:paraId="61A5E379" w14:textId="458E4871" w:rsidTr="00ED5427">
        <w:trPr>
          <w:trHeight w:val="778"/>
          <w:jc w:val="center"/>
        </w:trPr>
        <w:tc>
          <w:tcPr>
            <w:tcW w:w="2835" w:type="dxa"/>
            <w:shd w:val="clear" w:color="auto" w:fill="FFFFFF" w:themeFill="background1"/>
          </w:tcPr>
          <w:p w14:paraId="0EFAD3D4" w14:textId="1BF82AE2" w:rsidR="008E39D0" w:rsidRPr="00ED5427" w:rsidRDefault="008E39D0" w:rsidP="008E39D0">
            <w:pPr>
              <w:tabs>
                <w:tab w:val="left" w:pos="1128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ED5427">
              <w:rPr>
                <w:sz w:val="20"/>
                <w:szCs w:val="20"/>
              </w:rPr>
              <w:t>státní podniky v likvidaci porušily právní předpisy</w:t>
            </w:r>
          </w:p>
        </w:tc>
        <w:tc>
          <w:tcPr>
            <w:tcW w:w="3119" w:type="dxa"/>
            <w:shd w:val="clear" w:color="auto" w:fill="FFFFFF" w:themeFill="background1"/>
          </w:tcPr>
          <w:p w14:paraId="6DA54BE8" w14:textId="1E5CD922" w:rsidR="008E39D0" w:rsidRPr="00ED5427" w:rsidRDefault="008E39D0" w:rsidP="00ED5427">
            <w:pPr>
              <w:tabs>
                <w:tab w:val="left" w:pos="1128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ED5427">
              <w:rPr>
                <w:sz w:val="20"/>
                <w:szCs w:val="20"/>
              </w:rPr>
              <w:t>státní podniky, kde likvidátoři nepostupovali s péč</w:t>
            </w:r>
            <w:r w:rsidR="00895AF6">
              <w:rPr>
                <w:sz w:val="20"/>
                <w:szCs w:val="20"/>
              </w:rPr>
              <w:t>í</w:t>
            </w:r>
            <w:r w:rsidRPr="00ED5427">
              <w:rPr>
                <w:sz w:val="20"/>
                <w:szCs w:val="20"/>
              </w:rPr>
              <w:t xml:space="preserve"> řádného hospodáře</w:t>
            </w:r>
          </w:p>
        </w:tc>
      </w:tr>
    </w:tbl>
    <w:p w14:paraId="3A89A3F4" w14:textId="4874BEC4" w:rsidR="00D15A27" w:rsidRPr="00F50CDE" w:rsidRDefault="00D15A27" w:rsidP="00F50CDE">
      <w:pPr>
        <w:tabs>
          <w:tab w:val="center" w:pos="4536"/>
        </w:tabs>
        <w:rPr>
          <w:bCs/>
        </w:rPr>
      </w:pPr>
    </w:p>
    <w:p w14:paraId="7DBA2FB6" w14:textId="77777777" w:rsidR="005D5527" w:rsidRPr="00F50CDE" w:rsidRDefault="005D5527" w:rsidP="00F50CDE">
      <w:pPr>
        <w:rPr>
          <w:bCs/>
        </w:rPr>
      </w:pPr>
    </w:p>
    <w:p w14:paraId="2CE9F407" w14:textId="77777777" w:rsidR="005D5527" w:rsidRPr="00F50CDE" w:rsidRDefault="005D5527" w:rsidP="00F50CDE">
      <w:pPr>
        <w:rPr>
          <w:bCs/>
        </w:rPr>
      </w:pPr>
    </w:p>
    <w:p w14:paraId="37C4482B" w14:textId="199D905E" w:rsidR="00024CA0" w:rsidRPr="00742CD3" w:rsidRDefault="00AB6427" w:rsidP="00F50CDE">
      <w:pPr>
        <w:jc w:val="center"/>
        <w:rPr>
          <w:b/>
        </w:rPr>
      </w:pPr>
      <w:r w:rsidRPr="002F643E">
        <w:rPr>
          <w:b/>
        </w:rPr>
        <w:t>Vývoj počtu státních podniků v</w:t>
      </w:r>
      <w:r w:rsidR="00B3735C">
        <w:rPr>
          <w:b/>
        </w:rPr>
        <w:t> </w:t>
      </w:r>
      <w:r w:rsidRPr="002F643E">
        <w:rPr>
          <w:b/>
        </w:rPr>
        <w:t>likvidaci</w:t>
      </w:r>
      <w:r w:rsidR="00B3735C" w:rsidRPr="00562C4B">
        <w:rPr>
          <w:b/>
        </w:rPr>
        <w:t>*</w:t>
      </w:r>
      <w:r w:rsidR="00B3735C">
        <w:rPr>
          <w:b/>
        </w:rPr>
        <w:t xml:space="preserve"> </w:t>
      </w:r>
      <w:r w:rsidR="00F50CDE">
        <w:rPr>
          <w:b/>
        </w:rPr>
        <w:br/>
      </w:r>
      <w:r w:rsidR="005D5527">
        <w:rPr>
          <w:b/>
        </w:rPr>
        <w:t>v kontrolovaném období</w:t>
      </w:r>
    </w:p>
    <w:p w14:paraId="67C71BAE" w14:textId="776B511E" w:rsidR="00024CA0" w:rsidRDefault="00DD2212" w:rsidP="00DD2212">
      <w:pPr>
        <w:tabs>
          <w:tab w:val="left" w:pos="1115"/>
        </w:tabs>
        <w:jc w:val="center"/>
        <w:rPr>
          <w:b/>
          <w:color w:val="auto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B13EA26" wp14:editId="1F7F1ECA">
            <wp:extent cx="5317490" cy="2865120"/>
            <wp:effectExtent l="0" t="0" r="0" b="0"/>
            <wp:docPr id="168900889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03621D8-7829-97C7-0F4E-723CAA662B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6B2858" w14:textId="5C13229E" w:rsidR="000B7C8A" w:rsidRPr="00AC2B6D" w:rsidRDefault="00E808DB" w:rsidP="00AC2B6D">
      <w:pPr>
        <w:ind w:left="284" w:hanging="284"/>
        <w:rPr>
          <w:bCs/>
          <w:color w:val="auto"/>
          <w:sz w:val="20"/>
          <w:szCs w:val="20"/>
        </w:rPr>
      </w:pPr>
      <w:r w:rsidRPr="00562C4B">
        <w:rPr>
          <w:bCs/>
          <w:color w:val="auto"/>
          <w:sz w:val="20"/>
          <w:szCs w:val="20"/>
        </w:rPr>
        <w:t>*</w:t>
      </w:r>
      <w:r w:rsidR="00AC2B6D" w:rsidRPr="00562C4B">
        <w:rPr>
          <w:bCs/>
          <w:color w:val="auto"/>
          <w:sz w:val="20"/>
          <w:szCs w:val="20"/>
        </w:rPr>
        <w:tab/>
      </w:r>
      <w:r w:rsidR="008C32BE" w:rsidRPr="00AC2B6D">
        <w:rPr>
          <w:bCs/>
          <w:color w:val="auto"/>
          <w:sz w:val="20"/>
          <w:szCs w:val="20"/>
        </w:rPr>
        <w:t xml:space="preserve">Jedná se o státní podniky v likvidaci, </w:t>
      </w:r>
      <w:r w:rsidR="005D5527" w:rsidRPr="00AC2B6D">
        <w:rPr>
          <w:bCs/>
          <w:color w:val="auto"/>
          <w:sz w:val="20"/>
          <w:szCs w:val="20"/>
        </w:rPr>
        <w:t>včetně státních podniků, u nichž byla likvidace přerušena z důvodu prohlášení konkursu.</w:t>
      </w:r>
    </w:p>
    <w:p w14:paraId="559A8DB0" w14:textId="3E823626" w:rsidR="00AC2B6D" w:rsidRDefault="006301DC" w:rsidP="00AC2B6D">
      <w:pPr>
        <w:tabs>
          <w:tab w:val="left" w:pos="1115"/>
        </w:tabs>
        <w:rPr>
          <w:bCs/>
          <w:color w:val="auto"/>
          <w:sz w:val="20"/>
          <w:szCs w:val="20"/>
        </w:rPr>
      </w:pPr>
      <w:r w:rsidRPr="00AC2B6D">
        <w:rPr>
          <w:b/>
          <w:color w:val="auto"/>
          <w:sz w:val="20"/>
          <w:szCs w:val="20"/>
        </w:rPr>
        <w:t>Zdroj:</w:t>
      </w:r>
      <w:r w:rsidRPr="00AC2B6D">
        <w:rPr>
          <w:bCs/>
          <w:color w:val="auto"/>
          <w:sz w:val="20"/>
          <w:szCs w:val="20"/>
        </w:rPr>
        <w:t xml:space="preserve"> </w:t>
      </w:r>
      <w:r w:rsidR="00C8471D">
        <w:rPr>
          <w:bCs/>
          <w:color w:val="auto"/>
          <w:sz w:val="20"/>
          <w:szCs w:val="20"/>
        </w:rPr>
        <w:t>o</w:t>
      </w:r>
      <w:r w:rsidRPr="00AC2B6D">
        <w:rPr>
          <w:bCs/>
          <w:color w:val="auto"/>
          <w:sz w:val="20"/>
          <w:szCs w:val="20"/>
        </w:rPr>
        <w:t>bchodní rejstřík</w:t>
      </w:r>
      <w:r w:rsidR="00A73F8F" w:rsidRPr="00AC2B6D">
        <w:rPr>
          <w:bCs/>
          <w:color w:val="auto"/>
          <w:sz w:val="20"/>
          <w:szCs w:val="20"/>
        </w:rPr>
        <w:t>.</w:t>
      </w:r>
    </w:p>
    <w:p w14:paraId="16972D78" w14:textId="77777777" w:rsidR="00AC2B6D" w:rsidRDefault="00AC2B6D">
      <w:pPr>
        <w:spacing w:after="160" w:line="259" w:lineRule="auto"/>
        <w:jc w:val="left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br w:type="page"/>
      </w:r>
    </w:p>
    <w:bookmarkEnd w:id="1"/>
    <w:bookmarkEnd w:id="2"/>
    <w:bookmarkEnd w:id="3"/>
    <w:p w14:paraId="418C9628" w14:textId="066AE8D6" w:rsidR="00AB3724" w:rsidRDefault="00F50CDE" w:rsidP="006F6445">
      <w:pPr>
        <w:pStyle w:val="Nadpis1"/>
        <w:spacing w:after="240"/>
        <w:ind w:left="0" w:firstLine="0"/>
      </w:pPr>
      <w:r>
        <w:lastRenderedPageBreak/>
        <w:t xml:space="preserve"> </w:t>
      </w:r>
      <w:r w:rsidR="00AB3724" w:rsidRPr="004F1E9C">
        <w:t>Shrnutí a vyhodnocení</w:t>
      </w:r>
    </w:p>
    <w:p w14:paraId="4CA68CB7" w14:textId="58629FD2" w:rsidR="00F73733" w:rsidRPr="0028248F" w:rsidRDefault="00B971CD" w:rsidP="0028248F">
      <w:pPr>
        <w:spacing w:after="120"/>
      </w:pPr>
      <w:r w:rsidRPr="0066171C">
        <w:t xml:space="preserve">NKÚ provedl kontrolu </w:t>
      </w:r>
      <w:r w:rsidR="00502852">
        <w:t xml:space="preserve">u </w:t>
      </w:r>
      <w:r w:rsidR="00F3164E">
        <w:t>sedmi státních podniků v</w:t>
      </w:r>
      <w:r w:rsidR="00895AF6">
        <w:t> </w:t>
      </w:r>
      <w:r w:rsidR="00F3164E">
        <w:t>likvidaci</w:t>
      </w:r>
      <w:r w:rsidR="00895AF6">
        <w:t xml:space="preserve">, </w:t>
      </w:r>
      <w:r w:rsidR="00F3164E">
        <w:t>Ministerstva průmyslu a</w:t>
      </w:r>
      <w:r w:rsidR="00417E14">
        <w:t> </w:t>
      </w:r>
      <w:r w:rsidR="00F3164E">
        <w:t>obchodu a Ministerstva zemědělství</w:t>
      </w:r>
      <w:r w:rsidR="007A7A3A">
        <w:t xml:space="preserve"> jako zakladatelů kontrolovaných státních podniků</w:t>
      </w:r>
      <w:r w:rsidR="008E39D0">
        <w:t xml:space="preserve"> či jako ministerstev vykonávajících funkci zakladatele jménem státu (dále jen „zakladatel“ nebo „zakladatelé“)</w:t>
      </w:r>
      <w:r w:rsidR="00F3164E">
        <w:t xml:space="preserve">. </w:t>
      </w:r>
      <w:r w:rsidR="00AD59C8">
        <w:rPr>
          <w:rFonts w:cstheme="minorHAnsi"/>
        </w:rPr>
        <w:t>Cílem kontroly bylo</w:t>
      </w:r>
      <w:r w:rsidR="00606F44">
        <w:rPr>
          <w:rFonts w:cstheme="minorHAnsi"/>
        </w:rPr>
        <w:t xml:space="preserve"> p</w:t>
      </w:r>
      <w:r w:rsidR="00606F44" w:rsidRPr="00606F44">
        <w:rPr>
          <w:rFonts w:cstheme="minorHAnsi"/>
        </w:rPr>
        <w:t>rověřit, zda vybrané státní podniky v likvidaci v resortu Ministerstva průmyslu a obchodu a Ministerstva zemědělství hospodařily s majetkem a</w:t>
      </w:r>
      <w:r w:rsidR="008E39D0">
        <w:rPr>
          <w:rFonts w:cstheme="minorHAnsi"/>
        </w:rPr>
        <w:t> </w:t>
      </w:r>
      <w:r w:rsidR="00606F44" w:rsidRPr="00606F44">
        <w:rPr>
          <w:rFonts w:cstheme="minorHAnsi"/>
        </w:rPr>
        <w:t>peněžními prostředky státu účelně, hospodárně a v souladu s</w:t>
      </w:r>
      <w:r w:rsidR="00417E14">
        <w:rPr>
          <w:rFonts w:cstheme="minorHAnsi"/>
        </w:rPr>
        <w:t> </w:t>
      </w:r>
      <w:r w:rsidR="00606F44" w:rsidRPr="00606F44">
        <w:rPr>
          <w:rFonts w:cstheme="minorHAnsi"/>
        </w:rPr>
        <w:t>právními předpisy</w:t>
      </w:r>
      <w:r w:rsidR="00895AF6" w:rsidRPr="00562C4B">
        <w:rPr>
          <w:rFonts w:cstheme="minorHAnsi"/>
        </w:rPr>
        <w:t xml:space="preserve">; </w:t>
      </w:r>
      <w:r w:rsidR="00895AF6" w:rsidRPr="00056FBA">
        <w:rPr>
          <w:rFonts w:cstheme="minorHAnsi"/>
        </w:rPr>
        <w:t>prov</w:t>
      </w:r>
      <w:r w:rsidR="00895AF6" w:rsidRPr="00BC779C">
        <w:rPr>
          <w:rFonts w:cstheme="minorHAnsi"/>
        </w:rPr>
        <w:t>ěřit</w:t>
      </w:r>
      <w:r w:rsidR="00BC779C" w:rsidRPr="00BC779C">
        <w:rPr>
          <w:rFonts w:cstheme="minorHAnsi"/>
        </w:rPr>
        <w:t xml:space="preserve">, </w:t>
      </w:r>
      <w:r w:rsidR="00606F44" w:rsidRPr="00606F44">
        <w:rPr>
          <w:rFonts w:cstheme="minorHAnsi"/>
        </w:rPr>
        <w:t>jak uvedená ministerstva plní funkci zakladatele vůči vybraným státním podnikům</w:t>
      </w:r>
      <w:r w:rsidR="00606F44">
        <w:rPr>
          <w:rFonts w:cstheme="minorHAnsi"/>
        </w:rPr>
        <w:t>.</w:t>
      </w:r>
    </w:p>
    <w:p w14:paraId="0DA599CA" w14:textId="43515012" w:rsidR="00F73733" w:rsidRPr="006F6445" w:rsidRDefault="00DA09C0" w:rsidP="0028248F">
      <w:pPr>
        <w:spacing w:after="120"/>
        <w:rPr>
          <w:b/>
        </w:rPr>
      </w:pPr>
      <w:r>
        <w:rPr>
          <w:b/>
        </w:rPr>
        <w:t xml:space="preserve">MPO a </w:t>
      </w:r>
      <w:proofErr w:type="spellStart"/>
      <w:r>
        <w:rPr>
          <w:b/>
        </w:rPr>
        <w:t>MZe</w:t>
      </w:r>
      <w:proofErr w:type="spellEnd"/>
      <w:r>
        <w:rPr>
          <w:b/>
        </w:rPr>
        <w:t xml:space="preserve"> byly k</w:t>
      </w:r>
      <w:r w:rsidR="0022128A">
        <w:rPr>
          <w:b/>
        </w:rPr>
        <w:t> počátku roku</w:t>
      </w:r>
      <w:r w:rsidR="007710FD">
        <w:rPr>
          <w:b/>
        </w:rPr>
        <w:t xml:space="preserve"> 2020 zakladateli </w:t>
      </w:r>
      <w:bookmarkStart w:id="5" w:name="_Hlk200613801"/>
      <w:r w:rsidR="007710FD">
        <w:rPr>
          <w:b/>
        </w:rPr>
        <w:t>2</w:t>
      </w:r>
      <w:r w:rsidR="00C5187C">
        <w:rPr>
          <w:b/>
        </w:rPr>
        <w:t>8</w:t>
      </w:r>
      <w:r w:rsidR="007710FD">
        <w:rPr>
          <w:b/>
        </w:rPr>
        <w:t xml:space="preserve"> státních podniků v likvidaci</w:t>
      </w:r>
      <w:bookmarkEnd w:id="5"/>
      <w:r w:rsidR="007710FD">
        <w:rPr>
          <w:b/>
        </w:rPr>
        <w:t xml:space="preserve">, v roce 2024 </w:t>
      </w:r>
      <w:r w:rsidR="00F23462">
        <w:rPr>
          <w:b/>
        </w:rPr>
        <w:t>tento počet klesl na</w:t>
      </w:r>
      <w:r w:rsidR="007710FD">
        <w:rPr>
          <w:b/>
        </w:rPr>
        <w:t xml:space="preserve"> 13. </w:t>
      </w:r>
      <w:r w:rsidR="00F73733">
        <w:rPr>
          <w:b/>
        </w:rPr>
        <w:t>U </w:t>
      </w:r>
      <w:r w:rsidR="00205797">
        <w:rPr>
          <w:b/>
        </w:rPr>
        <w:t xml:space="preserve">kontrolovaných </w:t>
      </w:r>
      <w:r w:rsidR="00F73733">
        <w:rPr>
          <w:b/>
        </w:rPr>
        <w:t xml:space="preserve">sedmi státních podniků </w:t>
      </w:r>
      <w:r w:rsidR="00CE1371">
        <w:rPr>
          <w:b/>
        </w:rPr>
        <w:t xml:space="preserve">nebyly likvidace v kontrolovaném období ukončeny a ke konci roku 2024 trvaly </w:t>
      </w:r>
      <w:r w:rsidR="00245545" w:rsidRPr="00245545">
        <w:rPr>
          <w:b/>
        </w:rPr>
        <w:t>8 až 23</w:t>
      </w:r>
      <w:r w:rsidR="00F23462" w:rsidRPr="00245545">
        <w:rPr>
          <w:b/>
        </w:rPr>
        <w:t xml:space="preserve"> </w:t>
      </w:r>
      <w:r w:rsidR="00F73733" w:rsidRPr="00245545">
        <w:rPr>
          <w:b/>
        </w:rPr>
        <w:t>let</w:t>
      </w:r>
      <w:r w:rsidR="00D029BF" w:rsidRPr="00245545">
        <w:rPr>
          <w:rStyle w:val="Znakapoznpodarou"/>
          <w:b/>
        </w:rPr>
        <w:footnoteReference w:id="1"/>
      </w:r>
      <w:r w:rsidR="00F73733" w:rsidRPr="00245545">
        <w:rPr>
          <w:b/>
        </w:rPr>
        <w:t>.</w:t>
      </w:r>
      <w:r w:rsidR="00F73733">
        <w:rPr>
          <w:b/>
        </w:rPr>
        <w:t xml:space="preserve"> </w:t>
      </w:r>
      <w:r w:rsidR="00F23462">
        <w:rPr>
          <w:b/>
        </w:rPr>
        <w:t>Ve</w:t>
      </w:r>
      <w:r w:rsidR="00A73F8F">
        <w:rPr>
          <w:b/>
        </w:rPr>
        <w:t> </w:t>
      </w:r>
      <w:r w:rsidR="00F23462">
        <w:rPr>
          <w:b/>
        </w:rPr>
        <w:t xml:space="preserve">většině případů jsou důvodem bránícím </w:t>
      </w:r>
      <w:r w:rsidR="00742CD3">
        <w:rPr>
          <w:b/>
        </w:rPr>
        <w:t>ukončení likvidace</w:t>
      </w:r>
      <w:r w:rsidR="00F23462">
        <w:rPr>
          <w:b/>
        </w:rPr>
        <w:t xml:space="preserve"> </w:t>
      </w:r>
      <w:r w:rsidR="00742CD3">
        <w:rPr>
          <w:b/>
        </w:rPr>
        <w:t xml:space="preserve">skutečnosti, jejichž vyřešení nemůže likvidátor ani zakladatel ovlivnit. </w:t>
      </w:r>
      <w:r w:rsidR="00155B0A">
        <w:rPr>
          <w:b/>
        </w:rPr>
        <w:t>U </w:t>
      </w:r>
      <w:r w:rsidR="00742CD3">
        <w:rPr>
          <w:b/>
        </w:rPr>
        <w:t xml:space="preserve">jednoho státního podniku v likvidaci </w:t>
      </w:r>
      <w:r w:rsidR="00C54F3A">
        <w:rPr>
          <w:b/>
        </w:rPr>
        <w:t xml:space="preserve">ale </w:t>
      </w:r>
      <w:r w:rsidR="00742CD3">
        <w:rPr>
          <w:b/>
        </w:rPr>
        <w:t>NKÚ považuje nečinnost</w:t>
      </w:r>
      <w:r w:rsidR="00155B0A">
        <w:rPr>
          <w:b/>
        </w:rPr>
        <w:t xml:space="preserve"> </w:t>
      </w:r>
      <w:r w:rsidR="00155B0A" w:rsidRPr="00BF2F4A">
        <w:rPr>
          <w:b/>
        </w:rPr>
        <w:t>tehdejšího</w:t>
      </w:r>
      <w:r w:rsidR="00155B0A">
        <w:rPr>
          <w:b/>
        </w:rPr>
        <w:t xml:space="preserve"> ředitele</w:t>
      </w:r>
      <w:r w:rsidR="006514DC">
        <w:rPr>
          <w:b/>
        </w:rPr>
        <w:t xml:space="preserve">, který se stal </w:t>
      </w:r>
      <w:r w:rsidR="00464A30">
        <w:rPr>
          <w:b/>
        </w:rPr>
        <w:t xml:space="preserve">poté </w:t>
      </w:r>
      <w:r w:rsidR="006514DC">
        <w:rPr>
          <w:b/>
        </w:rPr>
        <w:t>likvidátorem,</w:t>
      </w:r>
      <w:r w:rsidR="00155B0A">
        <w:rPr>
          <w:b/>
        </w:rPr>
        <w:t xml:space="preserve"> </w:t>
      </w:r>
      <w:r w:rsidR="00742CD3">
        <w:rPr>
          <w:b/>
        </w:rPr>
        <w:t>za důvod, který následně vedl k překážkám v ukončení likvidace.</w:t>
      </w:r>
    </w:p>
    <w:p w14:paraId="5B6C5C71" w14:textId="79D61EEC" w:rsidR="00D44E21" w:rsidRPr="00BF2F4A" w:rsidRDefault="00D44E21" w:rsidP="0028248F">
      <w:pPr>
        <w:spacing w:after="120"/>
        <w:rPr>
          <w:bCs/>
        </w:rPr>
      </w:pPr>
      <w:bookmarkStart w:id="6" w:name="_Hlk165379568"/>
      <w:r w:rsidRPr="00D44E21">
        <w:rPr>
          <w:b/>
        </w:rPr>
        <w:t xml:space="preserve">NKÚ zjistil, že </w:t>
      </w:r>
      <w:r w:rsidR="00A73F8F">
        <w:rPr>
          <w:b/>
        </w:rPr>
        <w:t xml:space="preserve">MPO </w:t>
      </w:r>
      <w:r w:rsidR="00F73733" w:rsidRPr="00D44E21">
        <w:rPr>
          <w:b/>
        </w:rPr>
        <w:t>neplnil</w:t>
      </w:r>
      <w:r w:rsidR="002E4D3E">
        <w:rPr>
          <w:b/>
        </w:rPr>
        <w:t>o</w:t>
      </w:r>
      <w:r w:rsidR="00F73733" w:rsidRPr="00D44E21">
        <w:rPr>
          <w:b/>
        </w:rPr>
        <w:t xml:space="preserve"> zákonn</w:t>
      </w:r>
      <w:r w:rsidR="002E4D3E">
        <w:rPr>
          <w:b/>
        </w:rPr>
        <w:t>ou</w:t>
      </w:r>
      <w:r w:rsidR="00F73733" w:rsidRPr="00D44E21">
        <w:rPr>
          <w:b/>
        </w:rPr>
        <w:t xml:space="preserve"> povinnost zakladatele státních podniků v</w:t>
      </w:r>
      <w:r w:rsidR="00A73F8F">
        <w:rPr>
          <w:b/>
        </w:rPr>
        <w:t> </w:t>
      </w:r>
      <w:r w:rsidR="00F73733" w:rsidRPr="00D44E21">
        <w:rPr>
          <w:b/>
        </w:rPr>
        <w:t xml:space="preserve">oblasti schvalování účetních závěrek. </w:t>
      </w:r>
      <w:r w:rsidR="00A73F8F">
        <w:rPr>
          <w:b/>
        </w:rPr>
        <w:t>MPO</w:t>
      </w:r>
      <w:r w:rsidRPr="00D44E21">
        <w:rPr>
          <w:b/>
        </w:rPr>
        <w:t xml:space="preserve"> na rozdíl od </w:t>
      </w:r>
      <w:proofErr w:type="spellStart"/>
      <w:r w:rsidR="00A73F8F">
        <w:rPr>
          <w:b/>
        </w:rPr>
        <w:t>MZe</w:t>
      </w:r>
      <w:proofErr w:type="spellEnd"/>
      <w:r w:rsidRPr="00D44E21">
        <w:rPr>
          <w:b/>
        </w:rPr>
        <w:t xml:space="preserve"> neprovádělo kontroly u</w:t>
      </w:r>
      <w:r w:rsidR="00A73F8F">
        <w:rPr>
          <w:b/>
        </w:rPr>
        <w:t> </w:t>
      </w:r>
      <w:r w:rsidRPr="00D44E21">
        <w:rPr>
          <w:b/>
        </w:rPr>
        <w:t xml:space="preserve">státních podniků v likvidaci. </w:t>
      </w:r>
      <w:proofErr w:type="spellStart"/>
      <w:r w:rsidR="00A73F8F">
        <w:rPr>
          <w:b/>
        </w:rPr>
        <w:t>MZe</w:t>
      </w:r>
      <w:proofErr w:type="spellEnd"/>
      <w:r w:rsidRPr="00D44E21">
        <w:rPr>
          <w:b/>
        </w:rPr>
        <w:t xml:space="preserve"> u jednoho státního podniku v</w:t>
      </w:r>
      <w:r w:rsidR="00A73F8F">
        <w:rPr>
          <w:b/>
        </w:rPr>
        <w:t> </w:t>
      </w:r>
      <w:r w:rsidRPr="00D44E21">
        <w:rPr>
          <w:b/>
        </w:rPr>
        <w:t>likvidaci</w:t>
      </w:r>
      <w:r w:rsidR="00A73F8F">
        <w:rPr>
          <w:b/>
        </w:rPr>
        <w:t xml:space="preserve"> nebylo schopno jednoznačně identifikovat</w:t>
      </w:r>
      <w:r w:rsidRPr="00D44E21">
        <w:rPr>
          <w:b/>
        </w:rPr>
        <w:t xml:space="preserve"> určený majetek, s</w:t>
      </w:r>
      <w:r w:rsidR="007710FD">
        <w:rPr>
          <w:b/>
        </w:rPr>
        <w:t> </w:t>
      </w:r>
      <w:r w:rsidRPr="00D44E21">
        <w:rPr>
          <w:b/>
        </w:rPr>
        <w:t>kterým může podnik nakládat jen se souhlasem ministerstva. Obě ministerstva každoročně informovala M</w:t>
      </w:r>
      <w:r w:rsidR="00CA087C">
        <w:rPr>
          <w:b/>
        </w:rPr>
        <w:t>inisterstvo financí, r</w:t>
      </w:r>
      <w:r w:rsidRPr="00D44E21">
        <w:rPr>
          <w:b/>
        </w:rPr>
        <w:t>esp. vládu o</w:t>
      </w:r>
      <w:r w:rsidR="00245545">
        <w:rPr>
          <w:b/>
        </w:rPr>
        <w:t> </w:t>
      </w:r>
      <w:r w:rsidRPr="00D44E21">
        <w:rPr>
          <w:b/>
        </w:rPr>
        <w:t>vývoji státních podniků v</w:t>
      </w:r>
      <w:r w:rsidR="00A73F8F">
        <w:rPr>
          <w:b/>
        </w:rPr>
        <w:t> </w:t>
      </w:r>
      <w:r w:rsidRPr="00D44E21">
        <w:rPr>
          <w:b/>
        </w:rPr>
        <w:t>likvidaci</w:t>
      </w:r>
      <w:r w:rsidR="00A73F8F">
        <w:rPr>
          <w:b/>
        </w:rPr>
        <w:t xml:space="preserve">, </w:t>
      </w:r>
      <w:r w:rsidRPr="00D44E21">
        <w:rPr>
          <w:b/>
        </w:rPr>
        <w:t xml:space="preserve">ale informace předkládané </w:t>
      </w:r>
      <w:r w:rsidR="00A73F8F">
        <w:rPr>
          <w:b/>
        </w:rPr>
        <w:t>MPO</w:t>
      </w:r>
      <w:r w:rsidRPr="00D44E21">
        <w:rPr>
          <w:b/>
        </w:rPr>
        <w:t xml:space="preserve"> </w:t>
      </w:r>
      <w:r w:rsidR="00FF06A1">
        <w:rPr>
          <w:b/>
        </w:rPr>
        <w:t>nebyly</w:t>
      </w:r>
      <w:r w:rsidR="00BD7D9B">
        <w:rPr>
          <w:b/>
        </w:rPr>
        <w:t xml:space="preserve"> aktuální a</w:t>
      </w:r>
      <w:r w:rsidR="000934B6">
        <w:rPr>
          <w:b/>
        </w:rPr>
        <w:t> </w:t>
      </w:r>
      <w:r w:rsidR="00FF06A1">
        <w:rPr>
          <w:b/>
        </w:rPr>
        <w:t>úplné</w:t>
      </w:r>
      <w:r w:rsidR="00BF2F4A" w:rsidRPr="005703BD">
        <w:rPr>
          <w:b/>
        </w:rPr>
        <w:t>.</w:t>
      </w:r>
    </w:p>
    <w:p w14:paraId="12DD2606" w14:textId="450E4B63" w:rsidR="00D44E21" w:rsidRDefault="007328B9" w:rsidP="0028248F">
      <w:r w:rsidRPr="007328B9">
        <w:rPr>
          <w:b/>
        </w:rPr>
        <w:t xml:space="preserve">Čtyři ze sedmi kontrolovaných </w:t>
      </w:r>
      <w:r>
        <w:rPr>
          <w:b/>
        </w:rPr>
        <w:t xml:space="preserve">státních podniků </w:t>
      </w:r>
      <w:r w:rsidRPr="007328B9">
        <w:rPr>
          <w:b/>
        </w:rPr>
        <w:t>v likvidaci porušily právní předpisy</w:t>
      </w:r>
      <w:r w:rsidR="00831740">
        <w:rPr>
          <w:b/>
        </w:rPr>
        <w:t xml:space="preserve">, </w:t>
      </w:r>
      <w:r w:rsidR="00C8471D">
        <w:rPr>
          <w:b/>
        </w:rPr>
        <w:t xml:space="preserve">a to </w:t>
      </w:r>
      <w:r w:rsidR="003573F9">
        <w:rPr>
          <w:b/>
        </w:rPr>
        <w:t>buď</w:t>
      </w:r>
      <w:r w:rsidRPr="007328B9">
        <w:rPr>
          <w:b/>
        </w:rPr>
        <w:t xml:space="preserve"> v</w:t>
      </w:r>
      <w:r w:rsidR="00056FBA">
        <w:rPr>
          <w:b/>
        </w:rPr>
        <w:t> </w:t>
      </w:r>
      <w:r w:rsidRPr="007328B9">
        <w:rPr>
          <w:b/>
        </w:rPr>
        <w:t xml:space="preserve">oblasti </w:t>
      </w:r>
      <w:r w:rsidR="00832ACE" w:rsidRPr="00DA09C0">
        <w:rPr>
          <w:b/>
        </w:rPr>
        <w:t>vedení účetnictví</w:t>
      </w:r>
      <w:r w:rsidR="00831740">
        <w:rPr>
          <w:b/>
        </w:rPr>
        <w:t xml:space="preserve"> a provádění </w:t>
      </w:r>
      <w:r w:rsidR="00831740" w:rsidRPr="007328B9">
        <w:rPr>
          <w:b/>
        </w:rPr>
        <w:t>inventarizace</w:t>
      </w:r>
      <w:r w:rsidR="006514DC">
        <w:rPr>
          <w:b/>
        </w:rPr>
        <w:t>,</w:t>
      </w:r>
      <w:r w:rsidR="00831740">
        <w:rPr>
          <w:b/>
        </w:rPr>
        <w:t xml:space="preserve"> nebo</w:t>
      </w:r>
      <w:r w:rsidR="001F0876">
        <w:rPr>
          <w:b/>
        </w:rPr>
        <w:t xml:space="preserve"> </w:t>
      </w:r>
      <w:r w:rsidR="00C8471D">
        <w:rPr>
          <w:b/>
        </w:rPr>
        <w:t xml:space="preserve">při </w:t>
      </w:r>
      <w:r w:rsidRPr="00DA09C0">
        <w:rPr>
          <w:b/>
        </w:rPr>
        <w:t>předkládání</w:t>
      </w:r>
      <w:r w:rsidR="00BD7D9B">
        <w:rPr>
          <w:b/>
        </w:rPr>
        <w:t xml:space="preserve"> </w:t>
      </w:r>
      <w:r>
        <w:rPr>
          <w:b/>
        </w:rPr>
        <w:t>a</w:t>
      </w:r>
      <w:r w:rsidR="00056FBA">
        <w:rPr>
          <w:b/>
        </w:rPr>
        <w:t> </w:t>
      </w:r>
      <w:r>
        <w:rPr>
          <w:b/>
        </w:rPr>
        <w:t>zveřejňování účetních závěrek</w:t>
      </w:r>
      <w:r w:rsidRPr="007328B9">
        <w:rPr>
          <w:b/>
        </w:rPr>
        <w:t xml:space="preserve">, </w:t>
      </w:r>
      <w:r w:rsidR="00831740">
        <w:rPr>
          <w:b/>
        </w:rPr>
        <w:t>anebo</w:t>
      </w:r>
      <w:r w:rsidRPr="007328B9">
        <w:rPr>
          <w:b/>
        </w:rPr>
        <w:t xml:space="preserve"> </w:t>
      </w:r>
      <w:r w:rsidR="00C8471D">
        <w:rPr>
          <w:b/>
        </w:rPr>
        <w:t xml:space="preserve">při </w:t>
      </w:r>
      <w:r w:rsidRPr="007328B9">
        <w:rPr>
          <w:b/>
        </w:rPr>
        <w:t xml:space="preserve">vedení peněžních prostředků na účtu </w:t>
      </w:r>
      <w:r>
        <w:rPr>
          <w:b/>
        </w:rPr>
        <w:t xml:space="preserve">v </w:t>
      </w:r>
      <w:r w:rsidRPr="007328B9">
        <w:rPr>
          <w:b/>
        </w:rPr>
        <w:t xml:space="preserve">ČNB. U </w:t>
      </w:r>
      <w:r w:rsidR="00E02B45">
        <w:rPr>
          <w:b/>
        </w:rPr>
        <w:t>dvou státních podniků v likvidaci NKÚ zjistil, že likvidátoři nepostupovali s péči řádného hospodáře</w:t>
      </w:r>
      <w:r w:rsidR="00C8471D">
        <w:rPr>
          <w:b/>
        </w:rPr>
        <w:t>;</w:t>
      </w:r>
      <w:r w:rsidR="00E02B45">
        <w:rPr>
          <w:b/>
        </w:rPr>
        <w:t xml:space="preserve"> f</w:t>
      </w:r>
      <w:r w:rsidRPr="007328B9">
        <w:rPr>
          <w:b/>
        </w:rPr>
        <w:t>inanční dopad činil v součtu 160,6 tis</w:t>
      </w:r>
      <w:r w:rsidR="00C8471D">
        <w:rPr>
          <w:b/>
        </w:rPr>
        <w:t>.</w:t>
      </w:r>
      <w:r w:rsidRPr="007328B9">
        <w:rPr>
          <w:b/>
        </w:rPr>
        <w:t xml:space="preserve"> Kč.</w:t>
      </w:r>
      <w:r>
        <w:rPr>
          <w:b/>
        </w:rPr>
        <w:t xml:space="preserve"> </w:t>
      </w:r>
      <w:r w:rsidR="00D44E21" w:rsidRPr="00D44E21">
        <w:rPr>
          <w:b/>
        </w:rPr>
        <w:t>U</w:t>
      </w:r>
      <w:r w:rsidR="00D44E21">
        <w:rPr>
          <w:b/>
        </w:rPr>
        <w:t> </w:t>
      </w:r>
      <w:r w:rsidR="00D44E21" w:rsidRPr="00D44E21">
        <w:rPr>
          <w:b/>
        </w:rPr>
        <w:t>kontrolovaných podniků nebylo zjištěno neúčelné hospodaření s majetkem a peněžními prostředky státu.</w:t>
      </w:r>
    </w:p>
    <w:p w14:paraId="6051EC52" w14:textId="77777777" w:rsidR="0028248F" w:rsidRDefault="0028248F" w:rsidP="0028248F"/>
    <w:p w14:paraId="4C574C7B" w14:textId="0E9C079F" w:rsidR="00C938C5" w:rsidRDefault="00B971CD" w:rsidP="00B75AE3">
      <w:pPr>
        <w:spacing w:after="120"/>
      </w:pPr>
      <w:r w:rsidRPr="0066171C">
        <w:t>Celkové vyhodnocení vyplývá z následujících skutečností zjištěných kontrolou:</w:t>
      </w:r>
      <w:bookmarkStart w:id="7" w:name="_Hlk164170343"/>
      <w:bookmarkStart w:id="8" w:name="_Hlk164171116"/>
      <w:bookmarkEnd w:id="6"/>
    </w:p>
    <w:p w14:paraId="7FE03F4E" w14:textId="07ED5D47" w:rsidR="00025C81" w:rsidRDefault="006F6445" w:rsidP="006F6445">
      <w:pPr>
        <w:tabs>
          <w:tab w:val="left" w:pos="426"/>
        </w:tabs>
        <w:spacing w:before="120" w:after="120"/>
      </w:pPr>
      <w:bookmarkStart w:id="9" w:name="_Hlk201049873"/>
      <w:bookmarkStart w:id="10" w:name="_Hlk197415625"/>
      <w:r>
        <w:rPr>
          <w:rFonts w:cstheme="minorHAnsi"/>
        </w:rPr>
        <w:t xml:space="preserve">1.1 </w:t>
      </w:r>
      <w:r>
        <w:rPr>
          <w:rFonts w:cstheme="minorHAnsi"/>
        </w:rPr>
        <w:tab/>
      </w:r>
      <w:r w:rsidR="00742CD3" w:rsidRPr="006F6445">
        <w:rPr>
          <w:rFonts w:cstheme="minorHAnsi"/>
        </w:rPr>
        <w:t>U</w:t>
      </w:r>
      <w:bookmarkStart w:id="11" w:name="_Hlk201050361"/>
      <w:r w:rsidR="00742CD3" w:rsidRPr="006F6445">
        <w:rPr>
          <w:rFonts w:cstheme="minorHAnsi"/>
        </w:rPr>
        <w:t xml:space="preserve">končení likvidace státních podniků brání zejména </w:t>
      </w:r>
      <w:r w:rsidR="00D5557C" w:rsidRPr="006F6445">
        <w:rPr>
          <w:rFonts w:cstheme="minorHAnsi"/>
        </w:rPr>
        <w:t xml:space="preserve">probíhající </w:t>
      </w:r>
      <w:r w:rsidR="00742CD3" w:rsidRPr="006F6445">
        <w:rPr>
          <w:rFonts w:cstheme="minorHAnsi"/>
        </w:rPr>
        <w:t>soudní spory, nevypořádané restituce</w:t>
      </w:r>
      <w:r w:rsidR="00AE1F40" w:rsidRPr="006F6445">
        <w:rPr>
          <w:rFonts w:cstheme="minorHAnsi"/>
        </w:rPr>
        <w:t xml:space="preserve">, zbývající majetek a </w:t>
      </w:r>
      <w:r w:rsidR="00D5557C" w:rsidRPr="006F6445">
        <w:rPr>
          <w:rFonts w:cstheme="minorHAnsi"/>
        </w:rPr>
        <w:t xml:space="preserve">neukončené </w:t>
      </w:r>
      <w:r w:rsidR="00005704" w:rsidRPr="006F6445">
        <w:rPr>
          <w:rFonts w:cstheme="minorHAnsi"/>
        </w:rPr>
        <w:t>exekuce. V</w:t>
      </w:r>
      <w:r w:rsidR="00742CD3" w:rsidRPr="006F6445">
        <w:rPr>
          <w:rFonts w:cstheme="minorHAnsi"/>
        </w:rPr>
        <w:t xml:space="preserve"> případě státního podniku </w:t>
      </w:r>
      <w:r w:rsidR="00742CD3" w:rsidRPr="00C222F6">
        <w:t>Cihlářské a keramické závody Teplice, státní</w:t>
      </w:r>
      <w:r w:rsidR="00B91D36">
        <w:t xml:space="preserve"> podnik v</w:t>
      </w:r>
      <w:r w:rsidR="002B31C8">
        <w:t> </w:t>
      </w:r>
      <w:r w:rsidR="00B91D36">
        <w:t>likvidaci</w:t>
      </w:r>
      <w:r w:rsidR="002B31C8">
        <w:t>,</w:t>
      </w:r>
      <w:r w:rsidR="00742CD3" w:rsidRPr="00C222F6">
        <w:t xml:space="preserve"> </w:t>
      </w:r>
      <w:r w:rsidR="00025C81" w:rsidRPr="006F6445">
        <w:rPr>
          <w:rFonts w:cstheme="minorHAnsi"/>
        </w:rPr>
        <w:t>byla likvidace v kontrolovaném období významně omezena exekucí zahájenou vůči státnímu podniku</w:t>
      </w:r>
      <w:r w:rsidR="003573F9" w:rsidRPr="006F6445">
        <w:rPr>
          <w:rFonts w:cstheme="minorHAnsi"/>
        </w:rPr>
        <w:t>. Důvodem byla</w:t>
      </w:r>
      <w:r w:rsidR="00025C81" w:rsidRPr="006F6445">
        <w:rPr>
          <w:rFonts w:cstheme="minorHAnsi"/>
        </w:rPr>
        <w:t xml:space="preserve"> </w:t>
      </w:r>
      <w:bookmarkEnd w:id="9"/>
      <w:bookmarkEnd w:id="11"/>
      <w:r w:rsidR="00025C81" w:rsidRPr="006F6445">
        <w:rPr>
          <w:rFonts w:cstheme="minorHAnsi"/>
        </w:rPr>
        <w:t>nečinnost</w:t>
      </w:r>
      <w:r w:rsidR="00BC54E9" w:rsidRPr="006F6445">
        <w:rPr>
          <w:rFonts w:cstheme="minorHAnsi"/>
        </w:rPr>
        <w:t xml:space="preserve"> </w:t>
      </w:r>
      <w:r w:rsidR="00025C81" w:rsidRPr="006F6445">
        <w:rPr>
          <w:rFonts w:cstheme="minorHAnsi"/>
        </w:rPr>
        <w:t xml:space="preserve">tehdejšího ředitele, který </w:t>
      </w:r>
      <w:r w:rsidR="003573F9" w:rsidRPr="006F6445">
        <w:rPr>
          <w:rFonts w:cstheme="minorHAnsi"/>
        </w:rPr>
        <w:t xml:space="preserve">byl následně jmenován </w:t>
      </w:r>
      <w:r w:rsidR="00025C81" w:rsidRPr="006F6445">
        <w:rPr>
          <w:rFonts w:cstheme="minorHAnsi"/>
        </w:rPr>
        <w:t>likvidátorem</w:t>
      </w:r>
      <w:r w:rsidR="002000CA" w:rsidRPr="006F6445">
        <w:rPr>
          <w:rFonts w:cstheme="minorHAnsi"/>
        </w:rPr>
        <w:t>, protože se</w:t>
      </w:r>
      <w:r w:rsidR="00530B46" w:rsidRPr="006F6445">
        <w:rPr>
          <w:rFonts w:cstheme="minorHAnsi"/>
        </w:rPr>
        <w:t xml:space="preserve"> bez omluvy</w:t>
      </w:r>
      <w:r w:rsidR="002000CA" w:rsidRPr="006F6445">
        <w:rPr>
          <w:rFonts w:cstheme="minorHAnsi"/>
        </w:rPr>
        <w:t xml:space="preserve"> nedostavil k</w:t>
      </w:r>
      <w:r w:rsidR="00530B46" w:rsidRPr="006F6445">
        <w:rPr>
          <w:rFonts w:cstheme="minorHAnsi"/>
        </w:rPr>
        <w:t> </w:t>
      </w:r>
      <w:r w:rsidR="002000CA" w:rsidRPr="006F6445">
        <w:rPr>
          <w:rFonts w:cstheme="minorHAnsi"/>
        </w:rPr>
        <w:t>soudu</w:t>
      </w:r>
      <w:r w:rsidR="00530B46" w:rsidRPr="006F6445">
        <w:rPr>
          <w:rFonts w:cstheme="minorHAnsi"/>
        </w:rPr>
        <w:t xml:space="preserve"> </w:t>
      </w:r>
      <w:r w:rsidR="0038427D" w:rsidRPr="006F6445">
        <w:rPr>
          <w:rFonts w:cstheme="minorHAnsi"/>
        </w:rPr>
        <w:t xml:space="preserve">a </w:t>
      </w:r>
      <w:r w:rsidR="00BD7D9B" w:rsidRPr="006F6445">
        <w:rPr>
          <w:rFonts w:cstheme="minorHAnsi"/>
        </w:rPr>
        <w:t xml:space="preserve">následně </w:t>
      </w:r>
      <w:r w:rsidR="002000CA" w:rsidRPr="006F6445">
        <w:rPr>
          <w:rFonts w:cstheme="minorHAnsi"/>
        </w:rPr>
        <w:t xml:space="preserve">neuhradil </w:t>
      </w:r>
      <w:r w:rsidR="00BD7D9B" w:rsidRPr="006F6445">
        <w:rPr>
          <w:rFonts w:cstheme="minorHAnsi"/>
        </w:rPr>
        <w:t xml:space="preserve">částku, kterou v rozsudku stanovil </w:t>
      </w:r>
      <w:r w:rsidR="00530B46" w:rsidRPr="006F6445">
        <w:rPr>
          <w:rFonts w:cstheme="minorHAnsi"/>
        </w:rPr>
        <w:t>soud</w:t>
      </w:r>
      <w:r w:rsidR="002000CA" w:rsidRPr="006F6445">
        <w:rPr>
          <w:rFonts w:cstheme="minorHAnsi"/>
        </w:rPr>
        <w:t>.</w:t>
      </w:r>
    </w:p>
    <w:p w14:paraId="421F52C6" w14:textId="50CB6323" w:rsidR="002E4D3E" w:rsidRDefault="006F6445" w:rsidP="006F6445">
      <w:pPr>
        <w:tabs>
          <w:tab w:val="left" w:pos="426"/>
        </w:tabs>
        <w:spacing w:before="120" w:after="120"/>
      </w:pPr>
      <w:r>
        <w:t xml:space="preserve">1.2 </w:t>
      </w:r>
      <w:r>
        <w:tab/>
      </w:r>
      <w:r w:rsidR="005245EF">
        <w:t>MPO</w:t>
      </w:r>
      <w:r w:rsidR="002A1C92">
        <w:t xml:space="preserve"> v celém kontrolovaném období u všech čtyř kontrolovaných státních podniků v likvidaci neplnilo svou zákonnou povinnost a neschvalovalo každoročně účetní závěrky těchto státních podniků. </w:t>
      </w:r>
    </w:p>
    <w:p w14:paraId="270F7AB4" w14:textId="29DABDDA" w:rsidR="007710FD" w:rsidRPr="00F747BA" w:rsidRDefault="00C32A54" w:rsidP="006F6445">
      <w:pPr>
        <w:tabs>
          <w:tab w:val="left" w:pos="426"/>
        </w:tabs>
        <w:spacing w:before="120" w:after="120"/>
        <w:rPr>
          <w:strike/>
        </w:rPr>
      </w:pPr>
      <w:bookmarkStart w:id="12" w:name="_Hlk197423728"/>
      <w:r>
        <w:t xml:space="preserve">1.3 </w:t>
      </w:r>
      <w:r>
        <w:tab/>
      </w:r>
      <w:r w:rsidR="005245EF">
        <w:t>MPO</w:t>
      </w:r>
      <w:r w:rsidR="002A1C92" w:rsidRPr="00F3164E">
        <w:t xml:space="preserve"> na rozdíl od </w:t>
      </w:r>
      <w:proofErr w:type="spellStart"/>
      <w:r w:rsidR="005245EF">
        <w:t>MZe</w:t>
      </w:r>
      <w:proofErr w:type="spellEnd"/>
      <w:r w:rsidR="002A1C92" w:rsidRPr="00F3164E">
        <w:t xml:space="preserve"> </w:t>
      </w:r>
      <w:r w:rsidR="002A1C92">
        <w:t xml:space="preserve">neprovádělo </w:t>
      </w:r>
      <w:r w:rsidR="000F6B94">
        <w:t xml:space="preserve">veřejnosprávní </w:t>
      </w:r>
      <w:r w:rsidR="002A1C92">
        <w:t>kontroly u státních podniků</w:t>
      </w:r>
      <w:r w:rsidR="00BA0EF5">
        <w:t xml:space="preserve">, čímž </w:t>
      </w:r>
      <w:r w:rsidR="00BA0EF5" w:rsidRPr="00C32A54">
        <w:rPr>
          <w:rFonts w:asciiTheme="minorHAnsi" w:hAnsiTheme="minorHAnsi" w:cstheme="minorHAnsi"/>
        </w:rPr>
        <w:t>dle NKÚ nevyužilo vhodný a účinný nástroj pro dohled nad dodržováním zásad</w:t>
      </w:r>
      <w:r>
        <w:rPr>
          <w:rFonts w:asciiTheme="minorHAnsi" w:hAnsiTheme="minorHAnsi" w:cstheme="minorHAnsi"/>
        </w:rPr>
        <w:t xml:space="preserve"> </w:t>
      </w:r>
      <w:r w:rsidR="00BA0EF5" w:rsidRPr="00C32A54">
        <w:rPr>
          <w:rFonts w:asciiTheme="minorHAnsi" w:hAnsiTheme="minorHAnsi" w:cstheme="minorHAnsi"/>
        </w:rPr>
        <w:t xml:space="preserve">účelnosti </w:t>
      </w:r>
      <w:r w:rsidR="00BA0EF5" w:rsidRPr="00C32A54">
        <w:rPr>
          <w:rFonts w:asciiTheme="minorHAnsi" w:hAnsiTheme="minorHAnsi" w:cstheme="minorHAnsi"/>
        </w:rPr>
        <w:lastRenderedPageBreak/>
        <w:t>a hospodárnosti.</w:t>
      </w:r>
      <w:r w:rsidR="00BA0EF5">
        <w:t xml:space="preserve"> </w:t>
      </w:r>
      <w:r w:rsidR="005245EF">
        <w:t>MPO</w:t>
      </w:r>
      <w:r w:rsidR="00D5557C">
        <w:t xml:space="preserve"> </w:t>
      </w:r>
      <w:r w:rsidR="005245EF">
        <w:t xml:space="preserve">nezjistilo pochybení likvidátorů, které kontrolou zjistil NKÚ. </w:t>
      </w:r>
      <w:proofErr w:type="spellStart"/>
      <w:r w:rsidR="005245EF">
        <w:t>MZe</w:t>
      </w:r>
      <w:proofErr w:type="spellEnd"/>
      <w:r w:rsidR="002A1C92">
        <w:t xml:space="preserve"> </w:t>
      </w:r>
      <w:r w:rsidR="005245EF">
        <w:t>veřejnosprávní</w:t>
      </w:r>
      <w:r w:rsidR="000F6B94">
        <w:t xml:space="preserve"> </w:t>
      </w:r>
      <w:r w:rsidR="002A1C92">
        <w:t xml:space="preserve">kontroly </w:t>
      </w:r>
      <w:r w:rsidR="00BA0EF5">
        <w:t xml:space="preserve">naopak </w:t>
      </w:r>
      <w:r w:rsidR="002A1C92">
        <w:t>prováděl</w:t>
      </w:r>
      <w:r w:rsidR="00BA0EF5">
        <w:t>o. V</w:t>
      </w:r>
      <w:r w:rsidR="002A1C92">
        <w:t xml:space="preserve">ýsledkem jedné kontroly u státního podniku </w:t>
      </w:r>
      <w:r w:rsidR="002A1C92" w:rsidRPr="00C32A54">
        <w:rPr>
          <w:rFonts w:asciiTheme="minorHAnsi" w:hAnsiTheme="minorHAnsi" w:cstheme="minorHAnsi"/>
        </w:rPr>
        <w:t>Státní statek Jeneč, státní podnik v</w:t>
      </w:r>
      <w:r w:rsidR="002B31C8">
        <w:rPr>
          <w:rFonts w:asciiTheme="minorHAnsi" w:hAnsiTheme="minorHAnsi" w:cstheme="minorHAnsi"/>
        </w:rPr>
        <w:t> </w:t>
      </w:r>
      <w:r w:rsidR="002A1C92" w:rsidRPr="00C32A54">
        <w:rPr>
          <w:rFonts w:asciiTheme="minorHAnsi" w:hAnsiTheme="minorHAnsi" w:cstheme="minorHAnsi"/>
        </w:rPr>
        <w:t>likvidaci</w:t>
      </w:r>
      <w:r w:rsidR="002B31C8">
        <w:rPr>
          <w:rFonts w:asciiTheme="minorHAnsi" w:hAnsiTheme="minorHAnsi" w:cstheme="minorHAnsi"/>
        </w:rPr>
        <w:t>,</w:t>
      </w:r>
      <w:r w:rsidR="002A1C92" w:rsidRPr="00C32A54">
        <w:rPr>
          <w:rFonts w:asciiTheme="minorHAnsi" w:hAnsiTheme="minorHAnsi" w:cstheme="minorHAnsi"/>
        </w:rPr>
        <w:t xml:space="preserve"> bylo odvolání tehdejšího likvidátora a následné vypovězení smlouvy na</w:t>
      </w:r>
      <w:r>
        <w:rPr>
          <w:rFonts w:asciiTheme="minorHAnsi" w:hAnsiTheme="minorHAnsi" w:cstheme="minorHAnsi"/>
        </w:rPr>
        <w:t xml:space="preserve"> </w:t>
      </w:r>
      <w:r w:rsidR="002A1C92" w:rsidRPr="00C32A54">
        <w:rPr>
          <w:rFonts w:asciiTheme="minorHAnsi" w:hAnsiTheme="minorHAnsi" w:cstheme="minorHAnsi"/>
        </w:rPr>
        <w:t xml:space="preserve">právní služby, kterou </w:t>
      </w:r>
      <w:proofErr w:type="spellStart"/>
      <w:r w:rsidR="00B45008" w:rsidRPr="00C32A54">
        <w:rPr>
          <w:rFonts w:asciiTheme="minorHAnsi" w:hAnsiTheme="minorHAnsi" w:cstheme="minorHAnsi"/>
        </w:rPr>
        <w:t>MZe</w:t>
      </w:r>
      <w:proofErr w:type="spellEnd"/>
      <w:r w:rsidR="002A1C92" w:rsidRPr="00C32A54">
        <w:rPr>
          <w:rFonts w:asciiTheme="minorHAnsi" w:hAnsiTheme="minorHAnsi" w:cstheme="minorHAnsi"/>
        </w:rPr>
        <w:t xml:space="preserve"> vyhodnotilo jako </w:t>
      </w:r>
      <w:r w:rsidR="00946AD3" w:rsidRPr="00C32A54">
        <w:rPr>
          <w:rFonts w:asciiTheme="minorHAnsi" w:hAnsiTheme="minorHAnsi" w:cstheme="minorHAnsi"/>
        </w:rPr>
        <w:t xml:space="preserve">zvlášť </w:t>
      </w:r>
      <w:r w:rsidR="002A1C92" w:rsidRPr="00C32A54">
        <w:rPr>
          <w:rFonts w:asciiTheme="minorHAnsi" w:hAnsiTheme="minorHAnsi" w:cstheme="minorHAnsi"/>
        </w:rPr>
        <w:t>nevýhodnou pro</w:t>
      </w:r>
      <w:r w:rsidR="006F6445">
        <w:rPr>
          <w:rFonts w:asciiTheme="minorHAnsi" w:hAnsiTheme="minorHAnsi" w:cstheme="minorHAnsi"/>
        </w:rPr>
        <w:t xml:space="preserve"> </w:t>
      </w:r>
      <w:r w:rsidR="002A1C92" w:rsidRPr="00C32A54">
        <w:rPr>
          <w:rFonts w:asciiTheme="minorHAnsi" w:hAnsiTheme="minorHAnsi" w:cstheme="minorHAnsi"/>
        </w:rPr>
        <w:t>státní podnik</w:t>
      </w:r>
      <w:r w:rsidR="00BA0EF5" w:rsidRPr="00C32A54">
        <w:rPr>
          <w:rFonts w:asciiTheme="minorHAnsi" w:hAnsiTheme="minorHAnsi" w:cstheme="minorHAnsi"/>
        </w:rPr>
        <w:t>.</w:t>
      </w:r>
      <w:r w:rsidR="00D5557C" w:rsidRPr="00C32A54">
        <w:rPr>
          <w:rFonts w:asciiTheme="minorHAnsi" w:hAnsiTheme="minorHAnsi" w:cstheme="minorHAnsi"/>
        </w:rPr>
        <w:t xml:space="preserve"> </w:t>
      </w:r>
      <w:proofErr w:type="spellStart"/>
      <w:r w:rsidR="00BA0EF5" w:rsidRPr="00C32A54">
        <w:rPr>
          <w:rFonts w:asciiTheme="minorHAnsi" w:hAnsiTheme="minorHAnsi" w:cstheme="minorHAnsi"/>
        </w:rPr>
        <w:t>MZe</w:t>
      </w:r>
      <w:proofErr w:type="spellEnd"/>
      <w:r w:rsidR="00BA0EF5" w:rsidRPr="00C32A54">
        <w:rPr>
          <w:rFonts w:asciiTheme="minorHAnsi" w:hAnsiTheme="minorHAnsi" w:cstheme="minorHAnsi"/>
        </w:rPr>
        <w:t xml:space="preserve"> tím </w:t>
      </w:r>
      <w:r w:rsidR="002A1C92" w:rsidRPr="00C32A54">
        <w:rPr>
          <w:rFonts w:asciiTheme="minorHAnsi" w:hAnsiTheme="minorHAnsi" w:cstheme="minorHAnsi"/>
        </w:rPr>
        <w:t>zabránilo případnému dalšímu nehospodárnému vynakládání peněžních prostředků.</w:t>
      </w:r>
      <w:bookmarkEnd w:id="10"/>
      <w:bookmarkEnd w:id="12"/>
    </w:p>
    <w:p w14:paraId="5A0630A8" w14:textId="53AB5A11" w:rsidR="00F747BA" w:rsidRPr="00F747BA" w:rsidRDefault="00C32A54" w:rsidP="006F6445">
      <w:pPr>
        <w:tabs>
          <w:tab w:val="left" w:pos="426"/>
        </w:tabs>
        <w:spacing w:before="120" w:after="120"/>
        <w:rPr>
          <w:strike/>
        </w:rPr>
      </w:pPr>
      <w:r>
        <w:t xml:space="preserve">1.4 </w:t>
      </w:r>
      <w:r>
        <w:tab/>
      </w:r>
      <w:r w:rsidR="007710FD" w:rsidRPr="00D44E21">
        <w:t>Podle zákona č. 77/1997 Sb., o státním podniku</w:t>
      </w:r>
      <w:r w:rsidR="00BB36D1">
        <w:t>,</w:t>
      </w:r>
      <w:r w:rsidR="007710FD" w:rsidRPr="00D44E21">
        <w:t xml:space="preserve"> má zakladatel státního podniku vymezit v zakládací listině určený majetek. S určeným majetkem může </w:t>
      </w:r>
      <w:r w:rsidR="002E6C66">
        <w:t xml:space="preserve">státní </w:t>
      </w:r>
      <w:r w:rsidR="007710FD" w:rsidRPr="00D44E21">
        <w:t xml:space="preserve">podnik nakládat pouze </w:t>
      </w:r>
      <w:r w:rsidR="00960AC4">
        <w:t>s předchozím schválením</w:t>
      </w:r>
      <w:r w:rsidR="007710FD" w:rsidRPr="00D44E21">
        <w:t xml:space="preserve"> zakladatele. </w:t>
      </w:r>
      <w:proofErr w:type="spellStart"/>
      <w:r w:rsidR="00B45008">
        <w:t>MZe</w:t>
      </w:r>
      <w:proofErr w:type="spellEnd"/>
      <w:r w:rsidR="007710FD" w:rsidRPr="00D44E21">
        <w:t xml:space="preserve"> jako zakladatel Státního statku Valtice, </w:t>
      </w:r>
      <w:proofErr w:type="spellStart"/>
      <w:r w:rsidR="007710FD" w:rsidRPr="00D44E21">
        <w:t>s.p</w:t>
      </w:r>
      <w:proofErr w:type="spellEnd"/>
      <w:r w:rsidR="007710FD" w:rsidRPr="00D44E21">
        <w:t>.</w:t>
      </w:r>
      <w:r w:rsidR="00C44053">
        <w:t> </w:t>
      </w:r>
      <w:r w:rsidR="007710FD" w:rsidRPr="00D44E21">
        <w:t>v</w:t>
      </w:r>
      <w:r w:rsidR="00D029BF">
        <w:t> </w:t>
      </w:r>
      <w:r w:rsidR="007710FD" w:rsidRPr="00D44E21">
        <w:t>likvidaci</w:t>
      </w:r>
      <w:r w:rsidR="002B31C8">
        <w:t>,</w:t>
      </w:r>
      <w:r w:rsidR="007710FD" w:rsidRPr="00D44E21">
        <w:t xml:space="preserve"> sice mělo informaci o celkové hodnotě určeného majetku tohoto podniku, ale ministerstvo ani likvidátor nebyli schopni </w:t>
      </w:r>
      <w:r w:rsidR="005245EF">
        <w:t>identifikovat</w:t>
      </w:r>
      <w:r w:rsidR="007710FD" w:rsidRPr="00D44E21">
        <w:t xml:space="preserve">, o jaký majetek se konkrétně jedná. NKÚ upozorňuje na riziko, že pokud by státní podnik nakládal s určeným majetkem bez souhlasu zakladatele, </w:t>
      </w:r>
      <w:r w:rsidR="00AB2BB9">
        <w:t>mohla by být</w:t>
      </w:r>
      <w:r w:rsidR="007710FD" w:rsidRPr="00D44E21">
        <w:t xml:space="preserve"> </w:t>
      </w:r>
      <w:r w:rsidR="004E0574">
        <w:t>příslušná</w:t>
      </w:r>
      <w:r w:rsidR="007710FD" w:rsidRPr="00D44E21">
        <w:t xml:space="preserve"> právní ujednání neplatná.</w:t>
      </w:r>
    </w:p>
    <w:p w14:paraId="32EC1B09" w14:textId="4EE286AA" w:rsidR="00D44E21" w:rsidRPr="00D91A03" w:rsidRDefault="00C32A54" w:rsidP="006F6445">
      <w:pPr>
        <w:tabs>
          <w:tab w:val="left" w:pos="426"/>
        </w:tabs>
        <w:spacing w:before="120" w:after="120"/>
      </w:pPr>
      <w:r>
        <w:t xml:space="preserve">1.5 </w:t>
      </w:r>
      <w:r>
        <w:tab/>
      </w:r>
      <w:r w:rsidR="00B45008">
        <w:t>MPO</w:t>
      </w:r>
      <w:r w:rsidR="00C938C5">
        <w:t xml:space="preserve"> a </w:t>
      </w:r>
      <w:proofErr w:type="spellStart"/>
      <w:r w:rsidR="00B45008">
        <w:t>MZe</w:t>
      </w:r>
      <w:proofErr w:type="spellEnd"/>
      <w:r w:rsidR="00C938C5" w:rsidRPr="00CC3A09">
        <w:t xml:space="preserve"> měl</w:t>
      </w:r>
      <w:r w:rsidR="00650032">
        <w:t>y</w:t>
      </w:r>
      <w:r w:rsidR="00C938C5" w:rsidRPr="00CC3A09">
        <w:t xml:space="preserve"> každoročně povinnost předkládat vlád</w:t>
      </w:r>
      <w:r w:rsidR="00C938C5">
        <w:t>ě</w:t>
      </w:r>
      <w:r w:rsidR="00C938C5" w:rsidRPr="00CC3A09">
        <w:t xml:space="preserve"> ČR informace mimo jiné o</w:t>
      </w:r>
      <w:r w:rsidR="00C938C5">
        <w:t> </w:t>
      </w:r>
      <w:r w:rsidR="00C938C5" w:rsidRPr="00CC3A09">
        <w:t xml:space="preserve">počtu a majetku státních podniků v likvidaci, </w:t>
      </w:r>
      <w:r w:rsidR="00960AC4">
        <w:t>jejichž</w:t>
      </w:r>
      <w:r w:rsidR="00C938C5" w:rsidRPr="00CC3A09">
        <w:t xml:space="preserve"> byl</w:t>
      </w:r>
      <w:r w:rsidR="00650032">
        <w:t>y</w:t>
      </w:r>
      <w:r w:rsidR="00C938C5" w:rsidRPr="00CC3A09">
        <w:t xml:space="preserve"> zakladateli. NKÚ zjistil, že</w:t>
      </w:r>
      <w:r w:rsidR="00C938C5">
        <w:t xml:space="preserve"> obě ministerstva </w:t>
      </w:r>
      <w:r w:rsidR="00C222F6">
        <w:t>informace předkládal</w:t>
      </w:r>
      <w:r w:rsidR="004E0574">
        <w:t>a</w:t>
      </w:r>
      <w:r w:rsidR="00C938C5">
        <w:t xml:space="preserve"> v požadovaných termínech, ale</w:t>
      </w:r>
      <w:r w:rsidR="00C938C5" w:rsidRPr="00CC3A09">
        <w:t xml:space="preserve"> informace předložené </w:t>
      </w:r>
      <w:r w:rsidR="00B45008">
        <w:t>MPO</w:t>
      </w:r>
      <w:r w:rsidR="00C938C5" w:rsidRPr="00CC3A09">
        <w:t xml:space="preserve"> </w:t>
      </w:r>
      <w:r w:rsidR="00FF06A1">
        <w:t>nebyly aktuální a úplné</w:t>
      </w:r>
      <w:r w:rsidR="00C938C5" w:rsidRPr="00CC3A09">
        <w:t>.</w:t>
      </w:r>
      <w:r w:rsidR="00C938C5">
        <w:t xml:space="preserve"> </w:t>
      </w:r>
    </w:p>
    <w:p w14:paraId="04A29734" w14:textId="4D3F2B60" w:rsidR="00D91A03" w:rsidRDefault="00C32A54" w:rsidP="006F6445">
      <w:pPr>
        <w:tabs>
          <w:tab w:val="left" w:pos="426"/>
        </w:tabs>
        <w:spacing w:before="120" w:after="120"/>
      </w:pPr>
      <w:bookmarkStart w:id="13" w:name="_Hlk197415448"/>
      <w:r>
        <w:t xml:space="preserve">1.6 </w:t>
      </w:r>
      <w:r>
        <w:tab/>
      </w:r>
      <w:r w:rsidR="004320C0" w:rsidRPr="00D91A03">
        <w:t xml:space="preserve">Barvy a laky, státní podnik </w:t>
      </w:r>
      <w:r w:rsidR="00293364" w:rsidRPr="00606F44">
        <w:rPr>
          <w:rFonts w:asciiTheme="minorHAnsi" w:hAnsiTheme="minorHAnsi" w:cstheme="minorHAnsi"/>
        </w:rPr>
        <w:t>"</w:t>
      </w:r>
      <w:r w:rsidR="004320C0" w:rsidRPr="00D91A03">
        <w:t>v likvidaci</w:t>
      </w:r>
      <w:r w:rsidR="00324ED4" w:rsidRPr="00606F44">
        <w:rPr>
          <w:rFonts w:asciiTheme="minorHAnsi" w:hAnsiTheme="minorHAnsi" w:cstheme="minorHAnsi"/>
        </w:rPr>
        <w:t>"</w:t>
      </w:r>
      <w:r w:rsidR="002B31C8">
        <w:t>,</w:t>
      </w:r>
      <w:r w:rsidR="004320C0">
        <w:t xml:space="preserve"> a </w:t>
      </w:r>
      <w:r w:rsidR="004320C0" w:rsidRPr="00D91A03">
        <w:t>Cihlářské a</w:t>
      </w:r>
      <w:r w:rsidR="004320C0">
        <w:t> </w:t>
      </w:r>
      <w:r w:rsidR="004320C0" w:rsidRPr="00D91A03">
        <w:t>keramické závody Teplice, státní podnik v</w:t>
      </w:r>
      <w:r w:rsidR="002B31C8">
        <w:t> </w:t>
      </w:r>
      <w:r w:rsidR="004320C0" w:rsidRPr="00D91A03">
        <w:t>likvidaci</w:t>
      </w:r>
      <w:r w:rsidR="002B31C8">
        <w:t>,</w:t>
      </w:r>
      <w:r w:rsidR="004320C0" w:rsidRPr="00D91A03">
        <w:t xml:space="preserve"> </w:t>
      </w:r>
      <w:r w:rsidR="004320C0">
        <w:t>neplnily zákonné povinnosti v oblasti vedení účetnictví a provádění inventarizace.</w:t>
      </w:r>
      <w:r w:rsidR="00D91A03" w:rsidRPr="00D91A03">
        <w:t xml:space="preserve"> Barvy a laky, státní podnik </w:t>
      </w:r>
      <w:r w:rsidR="00293364" w:rsidRPr="00606F44">
        <w:rPr>
          <w:rFonts w:asciiTheme="minorHAnsi" w:hAnsiTheme="minorHAnsi" w:cstheme="minorHAnsi"/>
        </w:rPr>
        <w:t>"</w:t>
      </w:r>
      <w:r w:rsidR="00D91A03" w:rsidRPr="00D91A03">
        <w:t>v likvidaci</w:t>
      </w:r>
      <w:r w:rsidR="00324ED4" w:rsidRPr="00606F44">
        <w:rPr>
          <w:rFonts w:asciiTheme="minorHAnsi" w:hAnsiTheme="minorHAnsi" w:cstheme="minorHAnsi"/>
        </w:rPr>
        <w:t>"</w:t>
      </w:r>
      <w:r w:rsidR="00D91A03" w:rsidRPr="00D91A03">
        <w:t>, Cihlářské a</w:t>
      </w:r>
      <w:r w:rsidR="00361D4A">
        <w:t> </w:t>
      </w:r>
      <w:r w:rsidR="00D91A03" w:rsidRPr="00D91A03">
        <w:t>keramické závody Teplice, státní podnik v</w:t>
      </w:r>
      <w:r w:rsidR="002B31C8">
        <w:t> </w:t>
      </w:r>
      <w:r w:rsidR="00D91A03" w:rsidRPr="00D91A03">
        <w:t>likvidaci</w:t>
      </w:r>
      <w:r w:rsidR="002B31C8">
        <w:t>,</w:t>
      </w:r>
      <w:r w:rsidR="00D91A03" w:rsidRPr="00D91A03">
        <w:t xml:space="preserve"> a Státní statek Česká Kamenice v</w:t>
      </w:r>
      <w:r w:rsidR="00361D4A">
        <w:t> </w:t>
      </w:r>
      <w:r w:rsidR="00D91A03" w:rsidRPr="00D91A03">
        <w:t xml:space="preserve">likvidaci </w:t>
      </w:r>
      <w:r w:rsidR="00F13E18">
        <w:t>porušily</w:t>
      </w:r>
      <w:r w:rsidR="00D91A03" w:rsidRPr="00D91A03">
        <w:t xml:space="preserve"> </w:t>
      </w:r>
      <w:r w:rsidR="00F13E18">
        <w:t>zákonné povinnosti</w:t>
      </w:r>
      <w:r w:rsidR="00F6095B">
        <w:t xml:space="preserve"> spočívající v</w:t>
      </w:r>
      <w:r w:rsidR="00F13E18" w:rsidRPr="00C32A54">
        <w:rPr>
          <w:rFonts w:eastAsiaTheme="minorHAnsi"/>
          <w:sz w:val="23"/>
          <w:szCs w:val="23"/>
        </w:rPr>
        <w:t xml:space="preserve"> </w:t>
      </w:r>
      <w:r w:rsidR="00D91A03" w:rsidRPr="00D91A03">
        <w:t>předložení účetní závěrky</w:t>
      </w:r>
      <w:r w:rsidR="00BD7D9B">
        <w:t xml:space="preserve"> ověřené auditorem</w:t>
      </w:r>
      <w:r w:rsidR="00D91A03" w:rsidRPr="00D91A03">
        <w:t xml:space="preserve"> </w:t>
      </w:r>
      <w:r w:rsidR="009C14C7">
        <w:t xml:space="preserve">ke schválení </w:t>
      </w:r>
      <w:r w:rsidR="00D91A03" w:rsidRPr="00D91A03">
        <w:t xml:space="preserve">zakladateli a </w:t>
      </w:r>
      <w:r w:rsidR="00F6095B">
        <w:t xml:space="preserve">její </w:t>
      </w:r>
      <w:r w:rsidR="00D91A03" w:rsidRPr="00D91A03">
        <w:t>zveřejnění ve</w:t>
      </w:r>
      <w:r w:rsidR="00056FBA">
        <w:t> </w:t>
      </w:r>
      <w:r w:rsidR="00F6095B">
        <w:t>sbírce listin obchodního rejstříku</w:t>
      </w:r>
      <w:r w:rsidR="00D91A03" w:rsidRPr="00D91A03">
        <w:t>.</w:t>
      </w:r>
      <w:bookmarkEnd w:id="13"/>
    </w:p>
    <w:p w14:paraId="2ECFC033" w14:textId="0F24A697" w:rsidR="009E46B4" w:rsidRPr="008C014D" w:rsidRDefault="00C32A54" w:rsidP="006F6445">
      <w:pPr>
        <w:tabs>
          <w:tab w:val="left" w:pos="426"/>
        </w:tabs>
        <w:spacing w:before="120" w:after="120"/>
      </w:pPr>
      <w:r>
        <w:rPr>
          <w:rFonts w:cstheme="minorHAnsi"/>
        </w:rPr>
        <w:t xml:space="preserve">1.7 </w:t>
      </w:r>
      <w:r>
        <w:rPr>
          <w:rFonts w:cstheme="minorHAnsi"/>
        </w:rPr>
        <w:tab/>
      </w:r>
      <w:r w:rsidR="007710FD" w:rsidRPr="00C32A54">
        <w:rPr>
          <w:rFonts w:cstheme="minorHAnsi"/>
        </w:rPr>
        <w:t>Brněnské papírny, státní podnik – v</w:t>
      </w:r>
      <w:r w:rsidR="002B31C8">
        <w:rPr>
          <w:rFonts w:cstheme="minorHAnsi"/>
        </w:rPr>
        <w:t> </w:t>
      </w:r>
      <w:r w:rsidR="007710FD" w:rsidRPr="00C32A54">
        <w:rPr>
          <w:rFonts w:cstheme="minorHAnsi"/>
        </w:rPr>
        <w:t>likvidaci</w:t>
      </w:r>
      <w:r w:rsidR="002B31C8">
        <w:rPr>
          <w:rFonts w:cstheme="minorHAnsi"/>
        </w:rPr>
        <w:t>,</w:t>
      </w:r>
      <w:r w:rsidR="007710FD" w:rsidRPr="00C32A54">
        <w:rPr>
          <w:rFonts w:cstheme="minorHAnsi"/>
        </w:rPr>
        <w:t xml:space="preserve"> a </w:t>
      </w:r>
      <w:r w:rsidR="00263C49" w:rsidRPr="00C32A54">
        <w:rPr>
          <w:rFonts w:cstheme="minorHAnsi"/>
        </w:rPr>
        <w:t xml:space="preserve">Barvy a laky, státní podnik </w:t>
      </w:r>
      <w:r w:rsidR="00324ED4" w:rsidRPr="00606F44">
        <w:rPr>
          <w:rFonts w:asciiTheme="minorHAnsi" w:hAnsiTheme="minorHAnsi" w:cstheme="minorHAnsi"/>
        </w:rPr>
        <w:t>"</w:t>
      </w:r>
      <w:r w:rsidR="00263C49" w:rsidRPr="00C32A54">
        <w:rPr>
          <w:rFonts w:cstheme="minorHAnsi"/>
        </w:rPr>
        <w:t>v likvidaci</w:t>
      </w:r>
      <w:r w:rsidR="00324ED4" w:rsidRPr="00606F44">
        <w:rPr>
          <w:rFonts w:asciiTheme="minorHAnsi" w:hAnsiTheme="minorHAnsi" w:cstheme="minorHAnsi"/>
        </w:rPr>
        <w:t>"</w:t>
      </w:r>
      <w:r w:rsidR="00263C49" w:rsidRPr="00C32A54">
        <w:rPr>
          <w:rFonts w:cstheme="minorHAnsi"/>
        </w:rPr>
        <w:t xml:space="preserve"> nesplnily zákonnou povinnost, když nepřevedly peněžní prostředky státního podniku </w:t>
      </w:r>
      <w:r w:rsidR="00960AC4" w:rsidRPr="00C32A54">
        <w:rPr>
          <w:rFonts w:cstheme="minorHAnsi"/>
        </w:rPr>
        <w:t>na</w:t>
      </w:r>
      <w:r w:rsidR="00056FBA" w:rsidRPr="00C32A54">
        <w:rPr>
          <w:rFonts w:cstheme="minorHAnsi"/>
        </w:rPr>
        <w:t> </w:t>
      </w:r>
      <w:r w:rsidR="00960AC4" w:rsidRPr="00C32A54">
        <w:rPr>
          <w:rFonts w:cstheme="minorHAnsi"/>
        </w:rPr>
        <w:t>bankovní účet vedený v</w:t>
      </w:r>
      <w:r w:rsidR="00263C49" w:rsidRPr="00C32A54">
        <w:rPr>
          <w:rFonts w:cstheme="minorHAnsi"/>
        </w:rPr>
        <w:t xml:space="preserve"> České národní ban</w:t>
      </w:r>
      <w:r w:rsidR="00960AC4" w:rsidRPr="00C32A54">
        <w:rPr>
          <w:rFonts w:cstheme="minorHAnsi"/>
        </w:rPr>
        <w:t>ce</w:t>
      </w:r>
      <w:r w:rsidR="00263C49" w:rsidRPr="00C32A54">
        <w:rPr>
          <w:rFonts w:cstheme="minorHAnsi"/>
        </w:rPr>
        <w:t xml:space="preserve"> a ani nepožádaly Ministerstvo financí o</w:t>
      </w:r>
      <w:r w:rsidR="00056FBA" w:rsidRPr="00C32A54">
        <w:rPr>
          <w:rFonts w:cstheme="minorHAnsi"/>
        </w:rPr>
        <w:t> </w:t>
      </w:r>
      <w:r w:rsidR="00263C49" w:rsidRPr="00C32A54">
        <w:rPr>
          <w:rFonts w:cstheme="minorHAnsi"/>
        </w:rPr>
        <w:t xml:space="preserve">výjimku vést bankovní účty mimo Českou národní banku. </w:t>
      </w:r>
    </w:p>
    <w:p w14:paraId="6883CC3C" w14:textId="3D9A551B" w:rsidR="00C938C5" w:rsidRDefault="00C32A54" w:rsidP="006F6445">
      <w:pPr>
        <w:tabs>
          <w:tab w:val="left" w:pos="426"/>
        </w:tabs>
        <w:spacing w:before="120" w:after="120"/>
      </w:pPr>
      <w:bookmarkStart w:id="14" w:name="_Hlk197415516"/>
      <w:bookmarkStart w:id="15" w:name="_Hlk195700323"/>
      <w:r>
        <w:t xml:space="preserve">1.8 </w:t>
      </w:r>
      <w:r>
        <w:tab/>
      </w:r>
      <w:r w:rsidR="00F13E18">
        <w:t xml:space="preserve">Likvidátor státního podniku </w:t>
      </w:r>
      <w:r w:rsidR="00F13E18" w:rsidRPr="00FC0A08">
        <w:t xml:space="preserve">Barvy a laky, státní podnik </w:t>
      </w:r>
      <w:r w:rsidR="00324ED4" w:rsidRPr="00606F44">
        <w:rPr>
          <w:rFonts w:asciiTheme="minorHAnsi" w:hAnsiTheme="minorHAnsi" w:cstheme="minorHAnsi"/>
        </w:rPr>
        <w:t>"</w:t>
      </w:r>
      <w:r w:rsidR="00F13E18" w:rsidRPr="00FC0A08">
        <w:t>v likvidaci</w:t>
      </w:r>
      <w:r w:rsidR="00324ED4" w:rsidRPr="00606F44">
        <w:rPr>
          <w:rFonts w:asciiTheme="minorHAnsi" w:hAnsiTheme="minorHAnsi" w:cstheme="minorHAnsi"/>
        </w:rPr>
        <w:t>"</w:t>
      </w:r>
      <w:r w:rsidR="00324ED4">
        <w:rPr>
          <w:rFonts w:asciiTheme="minorHAnsi" w:hAnsiTheme="minorHAnsi" w:cstheme="minorHAnsi"/>
        </w:rPr>
        <w:t>,</w:t>
      </w:r>
      <w:r w:rsidR="00F13E18">
        <w:t xml:space="preserve"> </w:t>
      </w:r>
      <w:r w:rsidR="0024117B">
        <w:t xml:space="preserve">porušil svou zákonnou povinnost jednat s péčí </w:t>
      </w:r>
      <w:r w:rsidR="00F13E18">
        <w:t>řádného hospodáře, když vynaložil peněžní prostředky</w:t>
      </w:r>
      <w:r w:rsidR="00C459F8">
        <w:t xml:space="preserve"> státního podniku</w:t>
      </w:r>
      <w:r w:rsidR="00D44E21">
        <w:t xml:space="preserve"> </w:t>
      </w:r>
      <w:r w:rsidR="00F13E18">
        <w:t>na</w:t>
      </w:r>
      <w:r w:rsidR="0024117B">
        <w:t> </w:t>
      </w:r>
      <w:r w:rsidR="00F13E18">
        <w:t>úhradu faktury</w:t>
      </w:r>
      <w:r w:rsidR="00C459F8">
        <w:t xml:space="preserve"> ve výši </w:t>
      </w:r>
      <w:r w:rsidR="009E46B4">
        <w:t>49,9 tis.</w:t>
      </w:r>
      <w:r w:rsidR="00C459F8">
        <w:t xml:space="preserve"> Kč za</w:t>
      </w:r>
      <w:r w:rsidR="009E46B4">
        <w:t> </w:t>
      </w:r>
      <w:r w:rsidR="00C459F8">
        <w:t xml:space="preserve">ekonomické poradenství, které poskytl sám sobě. </w:t>
      </w:r>
      <w:r w:rsidR="00D951CA">
        <w:t xml:space="preserve">Dle NKÚ se </w:t>
      </w:r>
      <w:r w:rsidR="00D951CA" w:rsidRPr="00C32A54">
        <w:rPr>
          <w:rFonts w:eastAsiaTheme="minorHAnsi"/>
        </w:rPr>
        <w:t>nejednalo o rozsáhlé a</w:t>
      </w:r>
      <w:r w:rsidR="005700E2" w:rsidRPr="00C32A54">
        <w:rPr>
          <w:rFonts w:eastAsiaTheme="minorHAnsi"/>
        </w:rPr>
        <w:t> </w:t>
      </w:r>
      <w:r w:rsidR="00D951CA" w:rsidRPr="00C32A54">
        <w:rPr>
          <w:rFonts w:eastAsiaTheme="minorHAnsi"/>
        </w:rPr>
        <w:t xml:space="preserve">složité úkony, ale o úkony, které měl vzhledem k rozsahu majetku státního podniku likvidátor vykonat sám z titulu funkce statutárního orgánu. Navíc fakturované činnosti nebyly provedeny </w:t>
      </w:r>
      <w:r w:rsidR="0011017F" w:rsidRPr="00C32A54">
        <w:rPr>
          <w:rFonts w:eastAsiaTheme="minorHAnsi"/>
        </w:rPr>
        <w:t xml:space="preserve">řádně a </w:t>
      </w:r>
      <w:r w:rsidR="00D951CA" w:rsidRPr="00C32A54">
        <w:rPr>
          <w:rFonts w:eastAsiaTheme="minorHAnsi"/>
        </w:rPr>
        <w:t>v</w:t>
      </w:r>
      <w:r w:rsidR="0011017F" w:rsidRPr="00C32A54">
        <w:rPr>
          <w:rFonts w:eastAsiaTheme="minorHAnsi"/>
        </w:rPr>
        <w:t> </w:t>
      </w:r>
      <w:r w:rsidR="00D951CA" w:rsidRPr="00C32A54">
        <w:rPr>
          <w:rFonts w:eastAsiaTheme="minorHAnsi"/>
        </w:rPr>
        <w:t>zákon</w:t>
      </w:r>
      <w:r w:rsidR="0011017F" w:rsidRPr="00C32A54">
        <w:rPr>
          <w:rFonts w:eastAsiaTheme="minorHAnsi"/>
        </w:rPr>
        <w:t xml:space="preserve">em stanoveném </w:t>
      </w:r>
      <w:r w:rsidR="00D951CA" w:rsidRPr="00C32A54">
        <w:rPr>
          <w:rFonts w:eastAsiaTheme="minorHAnsi"/>
        </w:rPr>
        <w:t>rozsahu</w:t>
      </w:r>
      <w:r w:rsidR="006301DC" w:rsidRPr="00C32A54">
        <w:rPr>
          <w:rFonts w:eastAsiaTheme="minorHAnsi"/>
        </w:rPr>
        <w:t>.</w:t>
      </w:r>
    </w:p>
    <w:bookmarkEnd w:id="14"/>
    <w:p w14:paraId="1F8DDA39" w14:textId="4A0083EA" w:rsidR="001643A1" w:rsidRPr="001F53BC" w:rsidRDefault="00C32A54" w:rsidP="006F6445">
      <w:pPr>
        <w:tabs>
          <w:tab w:val="left" w:pos="426"/>
        </w:tabs>
        <w:spacing w:before="120" w:after="120"/>
      </w:pPr>
      <w:r>
        <w:t xml:space="preserve">1.9 </w:t>
      </w:r>
      <w:r>
        <w:tab/>
      </w:r>
      <w:r w:rsidR="001F53BC" w:rsidRPr="001F53BC">
        <w:t xml:space="preserve">Likvidátor státního podniku </w:t>
      </w:r>
      <w:r w:rsidR="00CF62CA" w:rsidRPr="00C32A54">
        <w:rPr>
          <w:rFonts w:asciiTheme="minorHAnsi" w:hAnsiTheme="minorHAnsi" w:cstheme="minorHAnsi"/>
        </w:rPr>
        <w:t>Brněnské papírny, státní podnik – v likvidaci</w:t>
      </w:r>
      <w:r w:rsidR="002B31C8">
        <w:rPr>
          <w:rFonts w:asciiTheme="minorHAnsi" w:hAnsiTheme="minorHAnsi" w:cstheme="minorHAnsi"/>
        </w:rPr>
        <w:t>,</w:t>
      </w:r>
      <w:r w:rsidR="00CF62CA" w:rsidRPr="001F53BC">
        <w:t xml:space="preserve"> </w:t>
      </w:r>
      <w:r w:rsidR="001F53BC" w:rsidRPr="001F53BC">
        <w:t xml:space="preserve">porušil zákonnou povinnost jednat s péči řádného hospodáře, když nevyužil ujednání o navyšování nájemného o inflaci, a tím snížil </w:t>
      </w:r>
      <w:r w:rsidR="007406E6">
        <w:t xml:space="preserve">za období </w:t>
      </w:r>
      <w:r w:rsidR="001A214D">
        <w:t xml:space="preserve">2017 až 2024 </w:t>
      </w:r>
      <w:r w:rsidR="001F53BC" w:rsidRPr="001F53BC">
        <w:t xml:space="preserve">výnos ze svěřeného majetku </w:t>
      </w:r>
      <w:r w:rsidR="00F47AB6">
        <w:t>(čtyř</w:t>
      </w:r>
      <w:r w:rsidR="00F47AB6" w:rsidRPr="00A003F6">
        <w:t xml:space="preserve"> pozemk</w:t>
      </w:r>
      <w:r w:rsidR="00F47AB6">
        <w:t>ů</w:t>
      </w:r>
      <w:r w:rsidR="00F47AB6" w:rsidRPr="00A003F6">
        <w:t xml:space="preserve"> na golfovém hřišti</w:t>
      </w:r>
      <w:r w:rsidR="00F47AB6">
        <w:t xml:space="preserve">) </w:t>
      </w:r>
      <w:r w:rsidR="001F53BC" w:rsidRPr="001F53BC">
        <w:t>o 110</w:t>
      </w:r>
      <w:r w:rsidR="009E46B4">
        <w:t>,7 tis.</w:t>
      </w:r>
      <w:r w:rsidR="001F53BC" w:rsidRPr="001F53BC">
        <w:t xml:space="preserve"> Kč.</w:t>
      </w:r>
    </w:p>
    <w:bookmarkEnd w:id="7"/>
    <w:bookmarkEnd w:id="8"/>
    <w:p w14:paraId="71D07D40" w14:textId="0653B248" w:rsidR="00AC2B6D" w:rsidRDefault="00AC2B6D">
      <w:pPr>
        <w:spacing w:after="160" w:line="259" w:lineRule="auto"/>
        <w:jc w:val="left"/>
        <w:rPr>
          <w:strike/>
        </w:rPr>
      </w:pPr>
      <w:r>
        <w:rPr>
          <w:strike/>
        </w:rPr>
        <w:br w:type="page"/>
      </w:r>
    </w:p>
    <w:bookmarkEnd w:id="15"/>
    <w:p w14:paraId="7F340EC1" w14:textId="1F1D51CC" w:rsidR="00FC3BF4" w:rsidRDefault="00F50CDE" w:rsidP="00687DB4">
      <w:pPr>
        <w:pStyle w:val="Nadpis1"/>
        <w:spacing w:after="240"/>
        <w:ind w:left="0" w:firstLine="0"/>
      </w:pPr>
      <w:r>
        <w:lastRenderedPageBreak/>
        <w:t xml:space="preserve"> </w:t>
      </w:r>
      <w:r w:rsidR="00AB3724" w:rsidRPr="00B971CD">
        <w:t>Informace o kontrolované oblasti</w:t>
      </w:r>
    </w:p>
    <w:p w14:paraId="3DB493C4" w14:textId="699DAA7E" w:rsidR="0060569D" w:rsidRPr="00DC5F61" w:rsidRDefault="0060569D" w:rsidP="00687DB4">
      <w:pPr>
        <w:spacing w:before="120" w:after="120"/>
      </w:pPr>
      <w:r w:rsidRPr="00DD6A47">
        <w:rPr>
          <w:b/>
        </w:rPr>
        <w:t>Státní podnik</w:t>
      </w:r>
      <w:r>
        <w:t xml:space="preserve"> je právnickou osobou, která provozuje podnikatelskou činnost vlastním jménem a na vlastní odpovědnost za účelem plnění významných strategických, hospodářských, společenských, bezpečnostních nebo dalších zájmů státu. Státní podnik nemá vlastní majetek, </w:t>
      </w:r>
      <w:r w:rsidRPr="00DC5F61">
        <w:t xml:space="preserve">ale má právo hospodařit s majetkem státu. </w:t>
      </w:r>
      <w:r w:rsidR="00327449">
        <w:t xml:space="preserve">Státní podnik může být založen pouze na základě předchozího souhlasu vlády. </w:t>
      </w:r>
    </w:p>
    <w:p w14:paraId="54168B36" w14:textId="1D2FEDA7" w:rsidR="00156B55" w:rsidRDefault="00156B55" w:rsidP="00687DB4">
      <w:pPr>
        <w:spacing w:before="120" w:after="120"/>
      </w:pPr>
      <w:r w:rsidRPr="00DD6A47">
        <w:rPr>
          <w:b/>
        </w:rPr>
        <w:t>Zakladatelem</w:t>
      </w:r>
      <w:r>
        <w:t xml:space="preserve"> státního podniku je stát. Jménem státu vykonává funkci zakladatele ministerstvo</w:t>
      </w:r>
      <w:r w:rsidR="00327449">
        <w:t xml:space="preserve"> nebo jiný ústřední správní úřad</w:t>
      </w:r>
      <w:r>
        <w:t>, do jehož působnosti spadá předmět podnikání státního podniku</w:t>
      </w:r>
      <w:r w:rsidR="00327449">
        <w:t>, pokud zákon nestanoví jinak</w:t>
      </w:r>
      <w:r>
        <w:t>. Státní podnik se zakládá zakládací listinou</w:t>
      </w:r>
      <w:r w:rsidR="00327449">
        <w:t>, kterou vydává zakladatel.</w:t>
      </w:r>
      <w:r>
        <w:t xml:space="preserve"> Státní podnik vzniká zápisem do veřejného rejstříku.  </w:t>
      </w:r>
    </w:p>
    <w:p w14:paraId="7CC86CA6" w14:textId="4F81B725" w:rsidR="000B0D7E" w:rsidRDefault="001E658A" w:rsidP="00687DB4">
      <w:pPr>
        <w:spacing w:before="120" w:after="120"/>
        <w:rPr>
          <w:rFonts w:asciiTheme="minorHAnsi" w:hAnsiTheme="minorHAnsi" w:cstheme="minorHAnsi"/>
          <w:lang w:eastAsia="cs-CZ"/>
        </w:rPr>
      </w:pPr>
      <w:r w:rsidRPr="008C32BE">
        <w:rPr>
          <w:rFonts w:asciiTheme="minorHAnsi" w:hAnsiTheme="minorHAnsi" w:cstheme="minorHAnsi"/>
          <w:b/>
          <w:bCs/>
          <w:lang w:eastAsia="cs-CZ"/>
        </w:rPr>
        <w:t>Strategie vlastnické politiky státu</w:t>
      </w:r>
      <w:r>
        <w:rPr>
          <w:rFonts w:asciiTheme="minorHAnsi" w:hAnsiTheme="minorHAnsi" w:cstheme="minorHAnsi"/>
          <w:lang w:eastAsia="cs-CZ"/>
        </w:rPr>
        <w:t xml:space="preserve"> je k</w:t>
      </w:r>
      <w:r w:rsidR="008C32BE" w:rsidRPr="00022167">
        <w:rPr>
          <w:rFonts w:asciiTheme="minorHAnsi" w:hAnsiTheme="minorHAnsi" w:cstheme="minorHAnsi"/>
          <w:lang w:eastAsia="cs-CZ"/>
        </w:rPr>
        <w:t>oncepční</w:t>
      </w:r>
      <w:r w:rsidR="008C32BE">
        <w:rPr>
          <w:rFonts w:asciiTheme="minorHAnsi" w:hAnsiTheme="minorHAnsi" w:cstheme="minorHAnsi"/>
          <w:lang w:eastAsia="cs-CZ"/>
        </w:rPr>
        <w:t>m</w:t>
      </w:r>
      <w:r w:rsidR="008C32BE" w:rsidRPr="00022167">
        <w:rPr>
          <w:rFonts w:asciiTheme="minorHAnsi" w:hAnsiTheme="minorHAnsi" w:cstheme="minorHAnsi"/>
          <w:lang w:eastAsia="cs-CZ"/>
        </w:rPr>
        <w:t xml:space="preserve"> dokument</w:t>
      </w:r>
      <w:r w:rsidR="008C32BE">
        <w:rPr>
          <w:rFonts w:asciiTheme="minorHAnsi" w:hAnsiTheme="minorHAnsi" w:cstheme="minorHAnsi"/>
          <w:lang w:eastAsia="cs-CZ"/>
        </w:rPr>
        <w:t>em</w:t>
      </w:r>
      <w:r w:rsidR="008C32BE">
        <w:rPr>
          <w:rFonts w:asciiTheme="minorHAnsi" w:hAnsiTheme="minorHAnsi" w:cstheme="minorHAnsi"/>
        </w:rPr>
        <w:t xml:space="preserve">, který </w:t>
      </w:r>
      <w:r w:rsidR="008C32BE">
        <w:rPr>
          <w:rFonts w:asciiTheme="minorHAnsi" w:hAnsiTheme="minorHAnsi" w:cstheme="minorHAnsi"/>
          <w:lang w:eastAsia="cs-CZ"/>
        </w:rPr>
        <w:t xml:space="preserve">stanovuje </w:t>
      </w:r>
      <w:r w:rsidR="008C32BE" w:rsidRPr="00022167">
        <w:rPr>
          <w:rFonts w:asciiTheme="minorHAnsi" w:hAnsiTheme="minorHAnsi" w:cstheme="minorHAnsi"/>
          <w:lang w:eastAsia="cs-CZ"/>
        </w:rPr>
        <w:t>základní principy chování státu jako vlastníka, a</w:t>
      </w:r>
      <w:r w:rsidR="008C32BE">
        <w:rPr>
          <w:rFonts w:asciiTheme="minorHAnsi" w:hAnsiTheme="minorHAnsi" w:cstheme="minorHAnsi"/>
          <w:lang w:eastAsia="cs-CZ"/>
        </w:rPr>
        <w:t> </w:t>
      </w:r>
      <w:r w:rsidR="008C32BE" w:rsidRPr="00022167">
        <w:rPr>
          <w:rFonts w:asciiTheme="minorHAnsi" w:hAnsiTheme="minorHAnsi" w:cstheme="minorHAnsi"/>
          <w:lang w:eastAsia="cs-CZ"/>
        </w:rPr>
        <w:t>to primárně ve vztahu k</w:t>
      </w:r>
      <w:r w:rsidR="008C32BE">
        <w:rPr>
          <w:rFonts w:asciiTheme="minorHAnsi" w:hAnsiTheme="minorHAnsi" w:cstheme="minorHAnsi"/>
          <w:lang w:eastAsia="cs-CZ"/>
        </w:rPr>
        <w:t> </w:t>
      </w:r>
      <w:r w:rsidR="008C32BE" w:rsidRPr="00022167">
        <w:rPr>
          <w:rFonts w:asciiTheme="minorHAnsi" w:hAnsiTheme="minorHAnsi" w:cstheme="minorHAnsi"/>
          <w:lang w:eastAsia="cs-CZ"/>
        </w:rPr>
        <w:t>obchodním společnostem a</w:t>
      </w:r>
      <w:r w:rsidR="00442BE5">
        <w:rPr>
          <w:rFonts w:asciiTheme="minorHAnsi" w:hAnsiTheme="minorHAnsi" w:cstheme="minorHAnsi"/>
          <w:lang w:eastAsia="cs-CZ"/>
        </w:rPr>
        <w:t> </w:t>
      </w:r>
      <w:r w:rsidR="008C32BE" w:rsidRPr="00022167">
        <w:rPr>
          <w:rFonts w:asciiTheme="minorHAnsi" w:hAnsiTheme="minorHAnsi" w:cstheme="minorHAnsi"/>
          <w:lang w:eastAsia="cs-CZ"/>
        </w:rPr>
        <w:t>státním podnikům a případně analogicky k dalším subjektům, které vykonávají podnikatelskou činnost</w:t>
      </w:r>
      <w:r>
        <w:rPr>
          <w:rFonts w:asciiTheme="minorHAnsi" w:hAnsiTheme="minorHAnsi" w:cstheme="minorHAnsi"/>
          <w:lang w:eastAsia="cs-CZ"/>
        </w:rPr>
        <w:t>.</w:t>
      </w:r>
      <w:r w:rsidR="00327449">
        <w:rPr>
          <w:rFonts w:asciiTheme="minorHAnsi" w:hAnsiTheme="minorHAnsi" w:cstheme="minorHAnsi"/>
          <w:lang w:eastAsia="cs-CZ"/>
        </w:rPr>
        <w:t xml:space="preserve"> </w:t>
      </w:r>
      <w:r w:rsidR="004D4140" w:rsidRPr="004D4140">
        <w:rPr>
          <w:rFonts w:asciiTheme="minorHAnsi" w:hAnsiTheme="minorHAnsi" w:cstheme="minorHAnsi"/>
          <w:lang w:eastAsia="cs-CZ"/>
        </w:rPr>
        <w:t xml:space="preserve">Strategie vlastnické politiky státu byla schválena dne 17. </w:t>
      </w:r>
      <w:r w:rsidR="00832ACE">
        <w:rPr>
          <w:rFonts w:asciiTheme="minorHAnsi" w:hAnsiTheme="minorHAnsi" w:cstheme="minorHAnsi"/>
          <w:lang w:eastAsia="cs-CZ"/>
        </w:rPr>
        <w:t>února</w:t>
      </w:r>
      <w:r w:rsidR="004D4140" w:rsidRPr="004D4140">
        <w:rPr>
          <w:rFonts w:asciiTheme="minorHAnsi" w:hAnsiTheme="minorHAnsi" w:cstheme="minorHAnsi"/>
          <w:lang w:eastAsia="cs-CZ"/>
        </w:rPr>
        <w:t xml:space="preserve"> 2020 usnesením vlády ČR č. 115</w:t>
      </w:r>
      <w:r w:rsidR="00AB2BB9">
        <w:rPr>
          <w:rFonts w:asciiTheme="minorHAnsi" w:hAnsiTheme="minorHAnsi" w:cstheme="minorHAnsi"/>
          <w:lang w:eastAsia="cs-CZ"/>
        </w:rPr>
        <w:t>,</w:t>
      </w:r>
      <w:r w:rsidR="004D4140" w:rsidRPr="004D4140">
        <w:rPr>
          <w:rFonts w:asciiTheme="minorHAnsi" w:hAnsiTheme="minorHAnsi" w:cstheme="minorHAnsi"/>
          <w:lang w:eastAsia="cs-CZ"/>
        </w:rPr>
        <w:t xml:space="preserve"> </w:t>
      </w:r>
      <w:r w:rsidR="004D4140" w:rsidRPr="005703BD">
        <w:rPr>
          <w:rFonts w:asciiTheme="minorHAnsi" w:hAnsiTheme="minorHAnsi" w:cstheme="minorHAnsi"/>
          <w:i/>
          <w:iCs/>
          <w:lang w:eastAsia="cs-CZ"/>
        </w:rPr>
        <w:t>o Strategii vlastnické politiky státu</w:t>
      </w:r>
      <w:r w:rsidR="004D4140" w:rsidRPr="004D4140">
        <w:rPr>
          <w:rFonts w:asciiTheme="minorHAnsi" w:hAnsiTheme="minorHAnsi" w:cstheme="minorHAnsi"/>
          <w:lang w:eastAsia="cs-CZ"/>
        </w:rPr>
        <w:t>.</w:t>
      </w:r>
    </w:p>
    <w:p w14:paraId="6DA70A3D" w14:textId="00957790" w:rsidR="0060569D" w:rsidRDefault="001E658A" w:rsidP="00687DB4">
      <w:pPr>
        <w:spacing w:before="120" w:after="120"/>
      </w:pPr>
      <w:r>
        <w:rPr>
          <w:b/>
        </w:rPr>
        <w:t>Z</w:t>
      </w:r>
      <w:r w:rsidRPr="00156B55">
        <w:rPr>
          <w:b/>
        </w:rPr>
        <w:t>ákon o státním podniku</w:t>
      </w:r>
      <w:r>
        <w:t xml:space="preserve"> upravuje p</w:t>
      </w:r>
      <w:r w:rsidR="0060569D">
        <w:t>ostavení a právní poměry státního podniku. Od </w:t>
      </w:r>
      <w:r w:rsidR="0060569D" w:rsidRPr="00F64309">
        <w:t>1.</w:t>
      </w:r>
      <w:r w:rsidR="0060569D">
        <w:t xml:space="preserve"> května </w:t>
      </w:r>
      <w:r w:rsidR="0060569D" w:rsidRPr="00F64309">
        <w:t>1990</w:t>
      </w:r>
      <w:r w:rsidR="0060569D">
        <w:t xml:space="preserve"> byl účinný zákon č. 111/1990 Sb., o státním podniku, který byl s účinností od 1. července 1997 nahrazen zákonem č. 77/1997 Sb., o státním podniku. </w:t>
      </w:r>
      <w:r w:rsidR="00BD7D9B">
        <w:t>Kontrolované</w:t>
      </w:r>
      <w:r w:rsidR="0060569D" w:rsidRPr="001A5117">
        <w:t xml:space="preserve"> </w:t>
      </w:r>
      <w:r w:rsidR="00BD7D9B">
        <w:t>s</w:t>
      </w:r>
      <w:r w:rsidR="0060569D">
        <w:t>tátní podniky, které přizpůsobily zakládací listinu a statut zákonu č. 77/1997 Sb. a současně podaly návrh na zápis provedených změn do obchodního rejstříku,</w:t>
      </w:r>
      <w:r w:rsidR="0060569D" w:rsidRPr="00D5566C">
        <w:t xml:space="preserve"> </w:t>
      </w:r>
      <w:r w:rsidR="0060569D">
        <w:t>přešly do režimu zákona č. 77/1997 Sb. Státní podniky, u</w:t>
      </w:r>
      <w:r w:rsidR="00442BE5">
        <w:t> </w:t>
      </w:r>
      <w:r w:rsidR="0060569D">
        <w:t xml:space="preserve">kterých zakladatel neprovedl požadované změny, zůstaly nadále v režimu předešlého zákona č. 111/1990 Sb. </w:t>
      </w:r>
      <w:r w:rsidR="00831740">
        <w:t>a bylo rozhodnuto o jejich zrušení.</w:t>
      </w:r>
    </w:p>
    <w:p w14:paraId="764E0233" w14:textId="2898172D" w:rsidR="0060569D" w:rsidRDefault="00327449" w:rsidP="0060569D">
      <w:pPr>
        <w:jc w:val="left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>Mezi zákony o státním podniku byly mj. tyto z</w:t>
      </w:r>
      <w:r w:rsidR="0060569D" w:rsidRPr="00882B47">
        <w:rPr>
          <w:rFonts w:asciiTheme="minorHAnsi" w:hAnsiTheme="minorHAnsi" w:cstheme="minorHAnsi"/>
          <w:b/>
          <w:bCs/>
          <w:lang w:eastAsia="cs-CZ"/>
        </w:rPr>
        <w:t>ásadní rozdíly</w:t>
      </w:r>
      <w:r w:rsidR="00861B3F">
        <w:rPr>
          <w:rFonts w:asciiTheme="minorHAnsi" w:hAnsiTheme="minorHAnsi" w:cstheme="minorHAnsi"/>
          <w:b/>
          <w:bCs/>
          <w:lang w:eastAsia="cs-CZ"/>
        </w:rPr>
        <w:t>:</w:t>
      </w:r>
      <w:r w:rsidR="0060569D" w:rsidRPr="00882B47">
        <w:rPr>
          <w:rFonts w:asciiTheme="minorHAnsi" w:hAnsiTheme="minorHAnsi" w:cstheme="minorHAnsi"/>
          <w:b/>
          <w:bCs/>
          <w:lang w:eastAsia="cs-CZ"/>
        </w:rPr>
        <w:t xml:space="preserve"> </w:t>
      </w:r>
    </w:p>
    <w:tbl>
      <w:tblPr>
        <w:tblStyle w:val="Stednseznam2zvraznn1"/>
        <w:tblW w:w="4944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88"/>
        <w:gridCol w:w="2987"/>
        <w:gridCol w:w="2987"/>
      </w:tblGrid>
      <w:tr w:rsidR="00861B3F" w14:paraId="0E6018A7" w14:textId="77777777" w:rsidTr="0057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29B755AA" w14:textId="77777777" w:rsidR="0060569D" w:rsidRPr="00580067" w:rsidRDefault="0060569D" w:rsidP="00B14F45">
            <w:pPr>
              <w:spacing w:before="40" w:after="4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single" w:sz="2" w:space="0" w:color="000000"/>
              <w:left w:val="single" w:sz="2" w:space="0" w:color="000000"/>
              <w:right w:val="single" w:sz="12" w:space="0" w:color="2EB3A1" w:themeColor="accent1"/>
            </w:tcBorders>
            <w:vAlign w:val="center"/>
          </w:tcPr>
          <w:p w14:paraId="795E2D67" w14:textId="77777777" w:rsidR="0060569D" w:rsidRPr="00580067" w:rsidRDefault="0060569D" w:rsidP="00B14F4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580067">
              <w:rPr>
                <w:b/>
                <w:bCs/>
                <w:sz w:val="20"/>
                <w:szCs w:val="20"/>
              </w:rPr>
              <w:t>Zákon č. 111/1990 Sb.</w:t>
            </w:r>
          </w:p>
        </w:tc>
        <w:tc>
          <w:tcPr>
            <w:tcW w:w="0" w:type="pct"/>
            <w:tcBorders>
              <w:top w:val="single" w:sz="2" w:space="0" w:color="000000"/>
              <w:left w:val="single" w:sz="12" w:space="0" w:color="2EB3A1" w:themeColor="accent1"/>
              <w:right w:val="single" w:sz="2" w:space="0" w:color="000000"/>
            </w:tcBorders>
            <w:vAlign w:val="center"/>
          </w:tcPr>
          <w:p w14:paraId="2D00AFAC" w14:textId="77777777" w:rsidR="0060569D" w:rsidRPr="00580067" w:rsidRDefault="0060569D" w:rsidP="00B14F4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580067">
              <w:rPr>
                <w:b/>
                <w:bCs/>
                <w:sz w:val="20"/>
                <w:szCs w:val="20"/>
              </w:rPr>
              <w:t>Zákon č. 77/1997 Sb.</w:t>
            </w:r>
          </w:p>
        </w:tc>
      </w:tr>
      <w:tr w:rsidR="0060569D" w14:paraId="35B91B19" w14:textId="77777777" w:rsidTr="0057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24" w:space="0" w:color="2EB3A1" w:themeColor="accent1"/>
              <w:left w:val="single" w:sz="2" w:space="0" w:color="000000"/>
              <w:bottom w:val="single" w:sz="2" w:space="0" w:color="000000"/>
              <w:right w:val="single" w:sz="12" w:space="0" w:color="2EB3A1" w:themeColor="accent1"/>
            </w:tcBorders>
            <w:noWrap/>
            <w:vAlign w:val="center"/>
          </w:tcPr>
          <w:p w14:paraId="179E76DE" w14:textId="77777777" w:rsidR="0060569D" w:rsidRPr="00580067" w:rsidRDefault="0060569D" w:rsidP="00B14F45">
            <w:pPr>
              <w:spacing w:before="40" w:after="4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Vydání statutu</w:t>
            </w:r>
          </w:p>
        </w:tc>
        <w:tc>
          <w:tcPr>
            <w:tcW w:w="0" w:type="pct"/>
            <w:tcBorders>
              <w:top w:val="single" w:sz="24" w:space="0" w:color="2EB3A1" w:themeColor="accent1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3542DEF7" w14:textId="77777777" w:rsidR="0060569D" w:rsidRPr="00580067" w:rsidRDefault="0060569D" w:rsidP="00B14F4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Ne</w:t>
            </w:r>
          </w:p>
        </w:tc>
        <w:tc>
          <w:tcPr>
            <w:tcW w:w="0" w:type="pct"/>
            <w:tcBorders>
              <w:top w:val="single" w:sz="24" w:space="0" w:color="2EB3A1" w:themeColor="accent1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61708C09" w14:textId="77777777" w:rsidR="0060569D" w:rsidRPr="00580067" w:rsidRDefault="0060569D" w:rsidP="00B14F4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Ano</w:t>
            </w:r>
          </w:p>
        </w:tc>
      </w:tr>
      <w:tr w:rsidR="0060569D" w14:paraId="27848399" w14:textId="77777777" w:rsidTr="005703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2EB3A1" w:themeColor="accent1"/>
            </w:tcBorders>
            <w:noWrap/>
            <w:vAlign w:val="center"/>
          </w:tcPr>
          <w:p w14:paraId="19516227" w14:textId="77777777" w:rsidR="0060569D" w:rsidRPr="00580067" w:rsidRDefault="0060569D" w:rsidP="00B14F45">
            <w:pPr>
              <w:spacing w:before="40" w:after="4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Stanovení určeného majetku</w:t>
            </w:r>
          </w:p>
        </w:tc>
        <w:tc>
          <w:tcPr>
            <w:tcW w:w="0" w:type="pct"/>
            <w:tcBorders>
              <w:top w:val="single" w:sz="2" w:space="0" w:color="000000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622F445D" w14:textId="77777777" w:rsidR="0060569D" w:rsidRPr="00580067" w:rsidRDefault="0060569D" w:rsidP="00B14F4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Ne</w:t>
            </w:r>
          </w:p>
        </w:tc>
        <w:tc>
          <w:tcPr>
            <w:tcW w:w="0" w:type="pct"/>
            <w:tcBorders>
              <w:top w:val="single" w:sz="2" w:space="0" w:color="000000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4A5E8797" w14:textId="77777777" w:rsidR="0060569D" w:rsidRPr="00580067" w:rsidRDefault="0060569D" w:rsidP="00B14F4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Ano</w:t>
            </w:r>
          </w:p>
        </w:tc>
      </w:tr>
      <w:tr w:rsidR="0060569D" w14:paraId="3AF884B0" w14:textId="77777777" w:rsidTr="0057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2EB3A1" w:themeColor="accent1"/>
            </w:tcBorders>
            <w:noWrap/>
            <w:vAlign w:val="center"/>
          </w:tcPr>
          <w:p w14:paraId="21B952F6" w14:textId="66FEED0C" w:rsidR="0060569D" w:rsidRPr="00580067" w:rsidRDefault="0060569D" w:rsidP="00B14F45">
            <w:pPr>
              <w:spacing w:before="40" w:after="4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 xml:space="preserve">Souhlas s nakládáním </w:t>
            </w:r>
            <w:r w:rsidR="00327449">
              <w:rPr>
                <w:sz w:val="20"/>
                <w:szCs w:val="20"/>
              </w:rPr>
              <w:t xml:space="preserve">s </w:t>
            </w:r>
            <w:r w:rsidRPr="00580067">
              <w:rPr>
                <w:sz w:val="20"/>
                <w:szCs w:val="20"/>
              </w:rPr>
              <w:t>majetk</w:t>
            </w:r>
            <w:r w:rsidR="00327449">
              <w:rPr>
                <w:sz w:val="20"/>
                <w:szCs w:val="20"/>
              </w:rPr>
              <w:t>em</w:t>
            </w:r>
            <w:r w:rsidRPr="00580067">
              <w:rPr>
                <w:sz w:val="20"/>
                <w:szCs w:val="20"/>
              </w:rPr>
              <w:t xml:space="preserve"> mimo veřejné dražby</w:t>
            </w:r>
          </w:p>
        </w:tc>
        <w:tc>
          <w:tcPr>
            <w:tcW w:w="0" w:type="pct"/>
            <w:tcBorders>
              <w:top w:val="single" w:sz="2" w:space="0" w:color="000000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5DB05AB1" w14:textId="77777777" w:rsidR="0060569D" w:rsidRPr="00580067" w:rsidRDefault="0060569D" w:rsidP="00B14F4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Ministerstvo financí</w:t>
            </w:r>
          </w:p>
        </w:tc>
        <w:tc>
          <w:tcPr>
            <w:tcW w:w="0" w:type="pct"/>
            <w:tcBorders>
              <w:top w:val="single" w:sz="2" w:space="0" w:color="000000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51942266" w14:textId="77777777" w:rsidR="0060569D" w:rsidRPr="00580067" w:rsidRDefault="0060569D" w:rsidP="00B14F4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 xml:space="preserve">Zakladatel </w:t>
            </w:r>
          </w:p>
        </w:tc>
      </w:tr>
      <w:tr w:rsidR="0060569D" w14:paraId="77ECC6E6" w14:textId="77777777" w:rsidTr="005703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2EB3A1" w:themeColor="accent1"/>
            </w:tcBorders>
            <w:noWrap/>
            <w:vAlign w:val="center"/>
          </w:tcPr>
          <w:p w14:paraId="6B072169" w14:textId="77777777" w:rsidR="0060569D" w:rsidRPr="00580067" w:rsidRDefault="0060569D" w:rsidP="00B14F45">
            <w:pPr>
              <w:spacing w:before="40" w:after="4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Zákon č. 219/2000 Sb., o majetku České republiky a jejím vystupování v právních vztazích</w:t>
            </w:r>
          </w:p>
        </w:tc>
        <w:tc>
          <w:tcPr>
            <w:tcW w:w="0" w:type="pct"/>
            <w:tcBorders>
              <w:top w:val="single" w:sz="2" w:space="0" w:color="000000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0B99B24F" w14:textId="77777777" w:rsidR="0060569D" w:rsidRPr="00580067" w:rsidRDefault="0060569D" w:rsidP="00B14F4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Vztahuje</w:t>
            </w:r>
            <w:r>
              <w:rPr>
                <w:sz w:val="20"/>
                <w:szCs w:val="20"/>
              </w:rPr>
              <w:t xml:space="preserve"> se </w:t>
            </w:r>
          </w:p>
        </w:tc>
        <w:tc>
          <w:tcPr>
            <w:tcW w:w="0" w:type="pct"/>
            <w:tcBorders>
              <w:top w:val="single" w:sz="2" w:space="0" w:color="000000"/>
              <w:left w:val="single" w:sz="12" w:space="0" w:color="2EB3A1" w:themeColor="accent1"/>
              <w:bottom w:val="single" w:sz="2" w:space="0" w:color="000000"/>
              <w:right w:val="single" w:sz="12" w:space="0" w:color="2EB3A1" w:themeColor="accent1"/>
            </w:tcBorders>
            <w:shd w:val="clear" w:color="auto" w:fill="FFFFFF" w:themeFill="background1"/>
            <w:vAlign w:val="center"/>
          </w:tcPr>
          <w:p w14:paraId="225A293D" w14:textId="77777777" w:rsidR="0060569D" w:rsidRPr="00580067" w:rsidRDefault="0060569D" w:rsidP="00B14F4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80067">
              <w:rPr>
                <w:sz w:val="20"/>
                <w:szCs w:val="20"/>
              </w:rPr>
              <w:t>Nevztahuje</w:t>
            </w:r>
            <w:r>
              <w:rPr>
                <w:sz w:val="20"/>
                <w:szCs w:val="20"/>
              </w:rPr>
              <w:t xml:space="preserve"> se</w:t>
            </w:r>
          </w:p>
        </w:tc>
      </w:tr>
    </w:tbl>
    <w:p w14:paraId="3644AAF3" w14:textId="410DF6D6" w:rsidR="0060569D" w:rsidRPr="003D5F35" w:rsidRDefault="0060569D" w:rsidP="00687DB4">
      <w:pPr>
        <w:spacing w:before="240"/>
      </w:pPr>
      <w:r w:rsidRPr="003D5F35">
        <w:t>Z</w:t>
      </w:r>
      <w:r w:rsidR="00D17C0C">
        <w:t xml:space="preserve"> kontrolovaných</w:t>
      </w:r>
      <w:r w:rsidRPr="003D5F35">
        <w:t xml:space="preserve"> státních podniků v likvidaci byly </w:t>
      </w:r>
      <w:r w:rsidRPr="003D5F35">
        <w:rPr>
          <w:b/>
        </w:rPr>
        <w:t>v režimu zákona č. 77/1997 Sb.</w:t>
      </w:r>
      <w:r w:rsidRPr="005703BD">
        <w:rPr>
          <w:b/>
          <w:bCs/>
        </w:rPr>
        <w:t>:</w:t>
      </w:r>
    </w:p>
    <w:p w14:paraId="035F0E70" w14:textId="29888A5C" w:rsidR="0060569D" w:rsidRPr="003D5F35" w:rsidRDefault="0060569D" w:rsidP="0060569D">
      <w:pPr>
        <w:pStyle w:val="Odstavecseseznamem"/>
        <w:numPr>
          <w:ilvl w:val="0"/>
          <w:numId w:val="32"/>
        </w:numPr>
      </w:pPr>
      <w:r w:rsidRPr="003D5F35">
        <w:t>Brněnské papírny, státní podnik – v</w:t>
      </w:r>
      <w:r w:rsidR="00861B3F">
        <w:t> </w:t>
      </w:r>
      <w:r w:rsidRPr="003D5F35">
        <w:t>likvidaci</w:t>
      </w:r>
      <w:r w:rsidR="00861B3F">
        <w:t>,</w:t>
      </w:r>
    </w:p>
    <w:p w14:paraId="70B99036" w14:textId="559175FF" w:rsidR="0060569D" w:rsidRPr="003D5F35" w:rsidRDefault="0060569D" w:rsidP="0060569D">
      <w:pPr>
        <w:pStyle w:val="Odstavecseseznamem"/>
        <w:numPr>
          <w:ilvl w:val="0"/>
          <w:numId w:val="32"/>
        </w:numPr>
      </w:pPr>
      <w:r w:rsidRPr="003D5F35">
        <w:t>Cihlářské a keramické závody Teplice, státní podnik v likvidaci</w:t>
      </w:r>
      <w:r w:rsidR="00861B3F">
        <w:t>,</w:t>
      </w:r>
    </w:p>
    <w:p w14:paraId="19DE6A4B" w14:textId="7630C196" w:rsidR="0060569D" w:rsidRPr="003D5F35" w:rsidRDefault="0060569D" w:rsidP="0060569D">
      <w:pPr>
        <w:pStyle w:val="Odstavecseseznamem"/>
        <w:numPr>
          <w:ilvl w:val="0"/>
          <w:numId w:val="32"/>
        </w:numPr>
      </w:pPr>
      <w:r w:rsidRPr="003D5F35">
        <w:t>Státní statek Jeneč, státní podnik v</w:t>
      </w:r>
      <w:r w:rsidR="00861B3F">
        <w:t> </w:t>
      </w:r>
      <w:r w:rsidRPr="003D5F35">
        <w:t>likvidaci</w:t>
      </w:r>
      <w:r w:rsidR="00861B3F">
        <w:t>,</w:t>
      </w:r>
    </w:p>
    <w:p w14:paraId="04A090B2" w14:textId="2F899F58" w:rsidR="0060569D" w:rsidRDefault="0060569D" w:rsidP="0060569D">
      <w:pPr>
        <w:pStyle w:val="Odstavecseseznamem"/>
        <w:numPr>
          <w:ilvl w:val="0"/>
          <w:numId w:val="32"/>
        </w:numPr>
        <w:spacing w:after="120"/>
        <w:ind w:left="714" w:hanging="357"/>
      </w:pPr>
      <w:r w:rsidRPr="003D5F35">
        <w:t xml:space="preserve">Státní statek Valtice, </w:t>
      </w:r>
      <w:proofErr w:type="spellStart"/>
      <w:r w:rsidRPr="003D5F35">
        <w:t>s.p</w:t>
      </w:r>
      <w:proofErr w:type="spellEnd"/>
      <w:r w:rsidRPr="003D5F35">
        <w:t>. v</w:t>
      </w:r>
      <w:r w:rsidR="006A2F92">
        <w:t> </w:t>
      </w:r>
      <w:r w:rsidRPr="003D5F35">
        <w:t>likvidaci</w:t>
      </w:r>
      <w:r w:rsidR="00861B3F">
        <w:t>.</w:t>
      </w:r>
    </w:p>
    <w:p w14:paraId="1EDBC127" w14:textId="5F2288E9" w:rsidR="0060569D" w:rsidRPr="003D5F35" w:rsidRDefault="00D17C0C" w:rsidP="0060569D">
      <w:r w:rsidRPr="003D5F35">
        <w:t>Z</w:t>
      </w:r>
      <w:r>
        <w:t xml:space="preserve"> kontrolovaných</w:t>
      </w:r>
      <w:r w:rsidR="0060569D" w:rsidRPr="003D5F35">
        <w:t xml:space="preserve"> státních podniků v likvidaci byly </w:t>
      </w:r>
      <w:r w:rsidR="0060569D" w:rsidRPr="003D5F35">
        <w:rPr>
          <w:b/>
        </w:rPr>
        <w:t>v režimu zákona č. 111/1990 Sb.</w:t>
      </w:r>
      <w:r w:rsidR="0060569D" w:rsidRPr="005703BD">
        <w:rPr>
          <w:b/>
          <w:bCs/>
        </w:rPr>
        <w:t>:</w:t>
      </w:r>
    </w:p>
    <w:p w14:paraId="6F8DA964" w14:textId="1891EE8A" w:rsidR="0060569D" w:rsidRPr="003D5F35" w:rsidRDefault="0060569D" w:rsidP="0060569D">
      <w:pPr>
        <w:pStyle w:val="Odstavecseseznamem"/>
        <w:numPr>
          <w:ilvl w:val="0"/>
          <w:numId w:val="33"/>
        </w:numPr>
      </w:pPr>
      <w:r w:rsidRPr="003D5F35">
        <w:t>Barvy a laky, státní podnik "v likvidaci"</w:t>
      </w:r>
      <w:r w:rsidR="00861B3F">
        <w:t>,</w:t>
      </w:r>
    </w:p>
    <w:p w14:paraId="28A85252" w14:textId="13DED978" w:rsidR="0060569D" w:rsidRPr="003D5F35" w:rsidRDefault="0060569D" w:rsidP="0060569D">
      <w:pPr>
        <w:pStyle w:val="Odstavecseseznamem"/>
        <w:numPr>
          <w:ilvl w:val="0"/>
          <w:numId w:val="33"/>
        </w:numPr>
      </w:pPr>
      <w:r w:rsidRPr="003D5F35">
        <w:t>RKT – Rovnací a kotevní technika, státní podnik v likvidaci</w:t>
      </w:r>
      <w:r w:rsidR="00861B3F">
        <w:t>,</w:t>
      </w:r>
    </w:p>
    <w:p w14:paraId="5C6AEA54" w14:textId="2DC9AFCB" w:rsidR="0060569D" w:rsidRDefault="0060569D" w:rsidP="0060569D">
      <w:pPr>
        <w:pStyle w:val="Odstavecseseznamem"/>
        <w:numPr>
          <w:ilvl w:val="0"/>
          <w:numId w:val="33"/>
        </w:numPr>
      </w:pPr>
      <w:r w:rsidRPr="003D5F35">
        <w:t>Státní statek Česká Kamenice v</w:t>
      </w:r>
      <w:r>
        <w:t> </w:t>
      </w:r>
      <w:r w:rsidRPr="003D5F35">
        <w:t>likvidaci</w:t>
      </w:r>
      <w:r w:rsidR="00861B3F">
        <w:t>.</w:t>
      </w:r>
    </w:p>
    <w:p w14:paraId="4A0774C4" w14:textId="68380E57" w:rsidR="0060569D" w:rsidRPr="0082345E" w:rsidRDefault="0060569D" w:rsidP="00687DB4">
      <w:pPr>
        <w:spacing w:before="120" w:after="120"/>
        <w:rPr>
          <w:rFonts w:asciiTheme="minorHAnsi" w:hAnsiTheme="minorHAnsi" w:cstheme="minorHAnsi"/>
          <w:color w:val="232323"/>
          <w:shd w:val="clear" w:color="auto" w:fill="FFFFFF"/>
        </w:rPr>
      </w:pPr>
      <w:r>
        <w:rPr>
          <w:rFonts w:asciiTheme="minorHAnsi" w:hAnsiTheme="minorHAnsi" w:cstheme="minorHAnsi"/>
          <w:b/>
          <w:color w:val="232323"/>
          <w:shd w:val="clear" w:color="auto" w:fill="FFFFFF"/>
        </w:rPr>
        <w:t>Z</w:t>
      </w:r>
      <w:r w:rsidRPr="0082345E">
        <w:rPr>
          <w:rFonts w:asciiTheme="minorHAnsi" w:hAnsiTheme="minorHAnsi" w:cstheme="minorHAnsi"/>
          <w:b/>
          <w:color w:val="232323"/>
          <w:shd w:val="clear" w:color="auto" w:fill="FFFFFF"/>
        </w:rPr>
        <w:t>ákon č. 219/2000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 </w:t>
      </w:r>
      <w:r w:rsidRPr="00B45D6D">
        <w:rPr>
          <w:rFonts w:asciiTheme="minorHAnsi" w:hAnsiTheme="minorHAnsi" w:cstheme="minorHAnsi"/>
          <w:b/>
          <w:color w:val="232323"/>
          <w:shd w:val="clear" w:color="auto" w:fill="FFFFFF"/>
        </w:rPr>
        <w:t>Sb.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, o majetku České republiky a jejím vystupování v právních vztazích, začlenil státní podniky </w:t>
      </w:r>
      <w:r w:rsidR="00D17C0C">
        <w:rPr>
          <w:rFonts w:asciiTheme="minorHAnsi" w:hAnsiTheme="minorHAnsi" w:cstheme="minorHAnsi"/>
          <w:color w:val="232323"/>
          <w:shd w:val="clear" w:color="auto" w:fill="FFFFFF"/>
        </w:rPr>
        <w:t>v režimu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 zákona č. 111/1990 Sb.</w:t>
      </w:r>
      <w:r>
        <w:rPr>
          <w:rFonts w:asciiTheme="minorHAnsi" w:hAnsiTheme="minorHAnsi" w:cstheme="minorHAnsi"/>
          <w:color w:val="232323"/>
          <w:shd w:val="clear" w:color="auto" w:fill="FFFFFF"/>
        </w:rPr>
        <w:t xml:space="preserve">, 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t>do kategorie „</w:t>
      </w:r>
      <w:r w:rsidRPr="008E0363">
        <w:rPr>
          <w:rFonts w:asciiTheme="minorHAnsi" w:hAnsiTheme="minorHAnsi" w:cstheme="minorHAnsi"/>
          <w:i/>
          <w:iCs/>
          <w:color w:val="232323"/>
          <w:shd w:val="clear" w:color="auto" w:fill="FFFFFF"/>
        </w:rPr>
        <w:t>jiné státní organizace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“ 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lastRenderedPageBreak/>
        <w:t xml:space="preserve">a podřídil je obecné úpravě hospodaření s majetkem státu. Tento zákon se nevztahuje na státní podniky </w:t>
      </w:r>
      <w:r>
        <w:rPr>
          <w:rFonts w:asciiTheme="minorHAnsi" w:hAnsiTheme="minorHAnsi" w:cstheme="minorHAnsi"/>
          <w:color w:val="232323"/>
          <w:shd w:val="clear" w:color="auto" w:fill="FFFFFF"/>
        </w:rPr>
        <w:t>v režimu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 zákona č. 77/1997 Sb</w:t>
      </w:r>
      <w:r>
        <w:rPr>
          <w:rFonts w:asciiTheme="minorHAnsi" w:hAnsiTheme="minorHAnsi" w:cstheme="minorHAnsi"/>
          <w:color w:val="232323"/>
          <w:shd w:val="clear" w:color="auto" w:fill="FFFFFF"/>
        </w:rPr>
        <w:t>.</w:t>
      </w:r>
    </w:p>
    <w:p w14:paraId="15F05895" w14:textId="3EC304DE" w:rsidR="000B0D7E" w:rsidRPr="0082345E" w:rsidRDefault="0060569D" w:rsidP="00687DB4">
      <w:pPr>
        <w:spacing w:before="120" w:after="120"/>
        <w:rPr>
          <w:rFonts w:asciiTheme="minorHAnsi" w:hAnsiTheme="minorHAnsi" w:cstheme="minorHAnsi"/>
          <w:color w:val="232323"/>
          <w:shd w:val="clear" w:color="auto" w:fill="FFFFFF"/>
        </w:rPr>
      </w:pPr>
      <w:r w:rsidRPr="009E46B4">
        <w:rPr>
          <w:rFonts w:asciiTheme="minorHAnsi" w:hAnsiTheme="minorHAnsi" w:cstheme="minorHAnsi"/>
          <w:b/>
          <w:bCs/>
          <w:color w:val="232323"/>
          <w:shd w:val="clear" w:color="auto" w:fill="FFFFFF"/>
        </w:rPr>
        <w:t>Likvidace</w:t>
      </w:r>
      <w:r w:rsidR="009E46B4" w:rsidRPr="009E46B4">
        <w:rPr>
          <w:rFonts w:asciiTheme="minorHAnsi" w:hAnsiTheme="minorHAnsi" w:cstheme="minorHAnsi"/>
          <w:b/>
          <w:bCs/>
          <w:color w:val="232323"/>
          <w:shd w:val="clear" w:color="auto" w:fill="FFFFFF"/>
        </w:rPr>
        <w:t xml:space="preserve"> státního podniku</w:t>
      </w:r>
      <w:r>
        <w:rPr>
          <w:rFonts w:asciiTheme="minorHAnsi" w:hAnsiTheme="minorHAnsi" w:cstheme="minorHAnsi"/>
          <w:color w:val="232323"/>
          <w:shd w:val="clear" w:color="auto" w:fill="FFFFFF"/>
        </w:rPr>
        <w:t xml:space="preserve"> začíná </w:t>
      </w:r>
      <w:r w:rsidRPr="0082345E">
        <w:rPr>
          <w:rFonts w:asciiTheme="minorHAnsi" w:hAnsiTheme="minorHAnsi" w:cstheme="minorHAnsi"/>
          <w:color w:val="232323"/>
          <w:shd w:val="clear" w:color="auto" w:fill="FFFFFF"/>
        </w:rPr>
        <w:t>rozhodnutím zakladatele</w:t>
      </w:r>
      <w:r>
        <w:rPr>
          <w:rFonts w:asciiTheme="minorHAnsi" w:hAnsiTheme="minorHAnsi" w:cstheme="minorHAnsi"/>
          <w:color w:val="232323"/>
          <w:shd w:val="clear" w:color="auto" w:fill="FFFFFF"/>
        </w:rPr>
        <w:t xml:space="preserve"> nebo </w:t>
      </w:r>
      <w:r w:rsidRPr="009E46B4">
        <w:rPr>
          <w:rFonts w:asciiTheme="minorHAnsi" w:hAnsiTheme="minorHAnsi" w:cstheme="minorHAnsi"/>
          <w:color w:val="232323"/>
          <w:shd w:val="clear" w:color="auto" w:fill="FFFFFF"/>
        </w:rPr>
        <w:t xml:space="preserve">soudu o </w:t>
      </w:r>
      <w:r w:rsidR="000B0D7E" w:rsidRPr="009E46B4">
        <w:rPr>
          <w:rFonts w:asciiTheme="minorHAnsi" w:hAnsiTheme="minorHAnsi" w:cstheme="minorHAnsi"/>
          <w:color w:val="232323"/>
          <w:shd w:val="clear" w:color="auto" w:fill="FFFFFF"/>
        </w:rPr>
        <w:t>zrušení státního podniku</w:t>
      </w:r>
      <w:r w:rsidR="007B3CA0">
        <w:rPr>
          <w:rFonts w:asciiTheme="minorHAnsi" w:hAnsiTheme="minorHAnsi" w:cstheme="minorHAnsi"/>
          <w:color w:val="232323"/>
          <w:shd w:val="clear" w:color="auto" w:fill="FFFFFF"/>
        </w:rPr>
        <w:t xml:space="preserve"> a nařízením likvidace</w:t>
      </w:r>
      <w:r w:rsidR="000B0D7E"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. </w:t>
      </w:r>
      <w:r w:rsidR="000B0D7E">
        <w:t xml:space="preserve">Vstup do likvidace se zapisuje do obchodního rejstříku. </w:t>
      </w:r>
      <w:r w:rsidR="000B0D7E" w:rsidRPr="0082345E">
        <w:rPr>
          <w:rFonts w:asciiTheme="minorHAnsi" w:hAnsiTheme="minorHAnsi" w:cstheme="minorHAnsi"/>
          <w:color w:val="232323"/>
          <w:shd w:val="clear" w:color="auto" w:fill="FFFFFF"/>
        </w:rPr>
        <w:t>Po</w:t>
      </w:r>
      <w:r w:rsidR="009E46B4">
        <w:rPr>
          <w:rFonts w:asciiTheme="minorHAnsi" w:hAnsiTheme="minorHAnsi" w:cstheme="minorHAnsi"/>
          <w:color w:val="232323"/>
          <w:shd w:val="clear" w:color="auto" w:fill="FFFFFF"/>
        </w:rPr>
        <w:t> </w:t>
      </w:r>
      <w:r w:rsidR="000B0D7E" w:rsidRPr="0082345E">
        <w:rPr>
          <w:rFonts w:asciiTheme="minorHAnsi" w:hAnsiTheme="minorHAnsi" w:cstheme="minorHAnsi"/>
          <w:color w:val="232323"/>
          <w:shd w:val="clear" w:color="auto" w:fill="FFFFFF"/>
        </w:rPr>
        <w:t>dobu likvidace užívá</w:t>
      </w:r>
      <w:r w:rsidR="000B0D7E">
        <w:rPr>
          <w:rFonts w:asciiTheme="minorHAnsi" w:hAnsiTheme="minorHAnsi" w:cstheme="minorHAnsi"/>
          <w:color w:val="232323"/>
          <w:shd w:val="clear" w:color="auto" w:fill="FFFFFF"/>
        </w:rPr>
        <w:t xml:space="preserve"> státní podnik</w:t>
      </w:r>
      <w:r w:rsidR="000B0D7E"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 svůj název s dodatkem </w:t>
      </w:r>
      <w:r w:rsidR="000E3AAF">
        <w:rPr>
          <w:rFonts w:asciiTheme="minorHAnsi" w:hAnsiTheme="minorHAnsi" w:cstheme="minorHAnsi"/>
          <w:color w:val="232323"/>
          <w:shd w:val="clear" w:color="auto" w:fill="FFFFFF"/>
        </w:rPr>
        <w:t>„</w:t>
      </w:r>
      <w:r w:rsidR="000B0D7E" w:rsidRPr="00052813">
        <w:t>v</w:t>
      </w:r>
      <w:r w:rsidR="000B0D7E">
        <w:t> </w:t>
      </w:r>
      <w:r w:rsidR="000B0D7E" w:rsidRPr="00052813">
        <w:t>likvidaci</w:t>
      </w:r>
      <w:r w:rsidR="000E3AAF">
        <w:t>“</w:t>
      </w:r>
      <w:r w:rsidR="000B0D7E" w:rsidRPr="00B45D6D">
        <w:rPr>
          <w:rFonts w:asciiTheme="minorHAnsi" w:hAnsiTheme="minorHAnsi" w:cstheme="minorHAnsi"/>
          <w:color w:val="232323"/>
          <w:shd w:val="clear" w:color="auto" w:fill="FFFFFF"/>
        </w:rPr>
        <w:t>.</w:t>
      </w:r>
      <w:r w:rsidR="000B0D7E" w:rsidRPr="0082345E">
        <w:rPr>
          <w:rFonts w:asciiTheme="minorHAnsi" w:hAnsiTheme="minorHAnsi" w:cstheme="minorHAnsi"/>
          <w:color w:val="232323"/>
          <w:shd w:val="clear" w:color="auto" w:fill="FFFFFF"/>
        </w:rPr>
        <w:t xml:space="preserve"> Při vstupu do likvidace je povolán likvidátor. Zakladatel je při svém jednání, jímž ovlivňuje činnost likvidátora, povinen sledovat účel likvidace</w:t>
      </w:r>
      <w:r w:rsidR="007B3CA0">
        <w:rPr>
          <w:rFonts w:asciiTheme="minorHAnsi" w:hAnsiTheme="minorHAnsi" w:cstheme="minorHAnsi"/>
          <w:color w:val="232323"/>
          <w:shd w:val="clear" w:color="auto" w:fill="FFFFFF"/>
        </w:rPr>
        <w:t xml:space="preserve"> jaký odpovídá povaze a cíli likvidace.</w:t>
      </w:r>
    </w:p>
    <w:p w14:paraId="504A4FFF" w14:textId="0E2F84EF" w:rsidR="0060569D" w:rsidRDefault="0060569D" w:rsidP="00687DB4">
      <w:pPr>
        <w:spacing w:before="120" w:after="120"/>
      </w:pPr>
      <w:r w:rsidRPr="005843B5">
        <w:rPr>
          <w:b/>
        </w:rPr>
        <w:t>Účel likvidace</w:t>
      </w:r>
      <w:r>
        <w:t xml:space="preserve"> </w:t>
      </w:r>
      <w:r w:rsidR="00ED5427" w:rsidRPr="00ED5427">
        <w:rPr>
          <w:b/>
          <w:bCs/>
        </w:rPr>
        <w:t>státního podniku</w:t>
      </w:r>
      <w:r>
        <w:t xml:space="preserve"> </w:t>
      </w:r>
      <w:r w:rsidR="00A72D35" w:rsidRPr="00A72D35">
        <w:rPr>
          <w:rFonts w:eastAsia="Calibri"/>
          <w:bCs/>
        </w:rPr>
        <w:t>spočívá ve vypořádání majetku zrušeného státního podniku (likvidační podstaty), vyrovnání dluhů věřitelů státního podniku a naložení s čistým majetkovým zůstatkem, jenž z likvidace vyplyne (s likvidačním zůstatkem), podle zákona</w:t>
      </w:r>
      <w:r w:rsidR="00A72D35" w:rsidRPr="00A72D35">
        <w:rPr>
          <w:rFonts w:eastAsia="Calibri"/>
          <w:bCs/>
          <w:vertAlign w:val="superscript"/>
        </w:rPr>
        <w:footnoteReference w:id="2"/>
      </w:r>
      <w:r w:rsidR="00A72D35" w:rsidRPr="00A72D35">
        <w:rPr>
          <w:rFonts w:eastAsia="Calibri"/>
          <w:bCs/>
        </w:rPr>
        <w:t>, tj.</w:t>
      </w:r>
      <w:r w:rsidR="00A72D35">
        <w:rPr>
          <w:rFonts w:eastAsia="Calibri"/>
          <w:bCs/>
        </w:rPr>
        <w:t> </w:t>
      </w:r>
      <w:r w:rsidR="00A72D35" w:rsidRPr="00A72D35">
        <w:rPr>
          <w:rFonts w:eastAsia="Calibri"/>
        </w:rPr>
        <w:t>v</w:t>
      </w:r>
      <w:r w:rsidR="00A72D35">
        <w:rPr>
          <w:rFonts w:eastAsia="Calibri"/>
        </w:rPr>
        <w:t> </w:t>
      </w:r>
      <w:r w:rsidR="00A72D35" w:rsidRPr="00A72D35">
        <w:rPr>
          <w:rFonts w:eastAsia="Calibri"/>
        </w:rPr>
        <w:t>převodu likvidačního zůstatku zakladatelem státního podniku do státních finančních aktiv</w:t>
      </w:r>
      <w:r w:rsidR="00A72D35" w:rsidRPr="00A72D35">
        <w:rPr>
          <w:rFonts w:eastAsia="Calibri"/>
          <w:bCs/>
        </w:rPr>
        <w:t>.</w:t>
      </w:r>
      <w:r w:rsidR="00A72D35" w:rsidRPr="00F55FBD">
        <w:rPr>
          <w:rFonts w:eastAsia="Calibri"/>
          <w:bCs/>
          <w:i/>
          <w:iCs/>
        </w:rPr>
        <w:t xml:space="preserve"> </w:t>
      </w:r>
      <w:r w:rsidR="00A72D35">
        <w:t>U státního podniku v likvidaci může být prohlášen konkurs.</w:t>
      </w:r>
      <w:r>
        <w:t xml:space="preserve"> V průběhu konkursu je proces likvidace p</w:t>
      </w:r>
      <w:r w:rsidR="00EE5D11">
        <w:t>řerušen</w:t>
      </w:r>
      <w:r>
        <w:t xml:space="preserve"> a likvidátor svoji funkci nevykonává a poskytuje pouze nezbytnou součinnost </w:t>
      </w:r>
      <w:r w:rsidR="00EE5D11">
        <w:t>insolvenčnímu</w:t>
      </w:r>
      <w:r>
        <w:t xml:space="preserve"> správci</w:t>
      </w:r>
      <w:r w:rsidR="00EE5D11">
        <w:rPr>
          <w:rStyle w:val="Znakapoznpodarou"/>
        </w:rPr>
        <w:footnoteReference w:id="3"/>
      </w:r>
      <w:r>
        <w:t xml:space="preserve">. </w:t>
      </w:r>
    </w:p>
    <w:p w14:paraId="6A9CBB22" w14:textId="46A3B274" w:rsidR="0060569D" w:rsidRDefault="0060569D" w:rsidP="00687DB4">
      <w:pPr>
        <w:spacing w:before="120" w:after="120"/>
      </w:pPr>
      <w:r w:rsidRPr="008A5F47">
        <w:rPr>
          <w:b/>
        </w:rPr>
        <w:t>Likvidátora</w:t>
      </w:r>
      <w:r>
        <w:t xml:space="preserve"> </w:t>
      </w:r>
      <w:r w:rsidR="008B686A" w:rsidRPr="008B686A">
        <w:rPr>
          <w:b/>
          <w:bCs/>
        </w:rPr>
        <w:t>státního podniku</w:t>
      </w:r>
      <w:r w:rsidR="008B686A">
        <w:t xml:space="preserve"> </w:t>
      </w:r>
      <w:r>
        <w:t>jmenuje zakladatel nebo soud</w:t>
      </w:r>
      <w:r w:rsidR="008B686A">
        <w:t xml:space="preserve"> a odvolává ho ten, kdo ho jmenoval.</w:t>
      </w:r>
      <w:r>
        <w:t xml:space="preserve"> Okamžikem svého </w:t>
      </w:r>
      <w:r w:rsidR="008B686A">
        <w:t>jmenování</w:t>
      </w:r>
      <w:r>
        <w:t xml:space="preserve"> nabývá likvidátor působnosti statutárního orgánu</w:t>
      </w:r>
      <w:r w:rsidR="00A72D35">
        <w:t>, resp. ředitele státního podniku</w:t>
      </w:r>
      <w:r>
        <w:t>. Likvidátor činí jménem státního podniku pouze úkony směřující k naplnění účelu likvidace</w:t>
      </w:r>
      <w:r w:rsidR="001E658A">
        <w:t xml:space="preserve">, </w:t>
      </w:r>
      <w:r w:rsidR="001E658A">
        <w:rPr>
          <w:bCs/>
        </w:rPr>
        <w:t>má za povinnost si počínat s péči řádného hospodáře, což zahrnuje</w:t>
      </w:r>
      <w:r w:rsidR="00BD7D9B">
        <w:rPr>
          <w:bCs/>
        </w:rPr>
        <w:t xml:space="preserve"> i</w:t>
      </w:r>
      <w:r w:rsidR="001E658A">
        <w:rPr>
          <w:bCs/>
        </w:rPr>
        <w:t xml:space="preserve"> účelné a hospodárné nakládání s majetkem státu.</w:t>
      </w:r>
    </w:p>
    <w:p w14:paraId="0F6E4F41" w14:textId="7EE2B264" w:rsidR="0060569D" w:rsidRDefault="0060569D" w:rsidP="0060569D">
      <w:pPr>
        <w:rPr>
          <w:rFonts w:asciiTheme="minorHAnsi" w:hAnsiTheme="minorHAnsi" w:cstheme="minorHAnsi"/>
          <w:lang w:eastAsia="cs-CZ"/>
        </w:rPr>
      </w:pPr>
      <w:r w:rsidRPr="00620F65">
        <w:rPr>
          <w:b/>
        </w:rPr>
        <w:t xml:space="preserve">Odměnu likvidátora </w:t>
      </w:r>
      <w:r w:rsidR="008B686A">
        <w:rPr>
          <w:b/>
        </w:rPr>
        <w:t xml:space="preserve">státního podniku </w:t>
      </w:r>
      <w:r w:rsidRPr="00022167">
        <w:rPr>
          <w:rFonts w:asciiTheme="minorHAnsi" w:hAnsiTheme="minorHAnsi" w:cstheme="minorHAnsi"/>
          <w:lang w:eastAsia="cs-CZ"/>
        </w:rPr>
        <w:t xml:space="preserve">a způsob její výplaty </w:t>
      </w:r>
      <w:r w:rsidRPr="00620F65">
        <w:rPr>
          <w:rFonts w:asciiTheme="minorHAnsi" w:hAnsiTheme="minorHAnsi" w:cstheme="minorHAnsi"/>
          <w:lang w:eastAsia="cs-CZ"/>
        </w:rPr>
        <w:t>určuje likvidátorovi ten, kdo jej jmenoval.</w:t>
      </w:r>
    </w:p>
    <w:p w14:paraId="15E328AA" w14:textId="77777777" w:rsidR="0060569D" w:rsidRDefault="0060569D" w:rsidP="00B14F45">
      <w:pPr>
        <w:pStyle w:val="Odstavecseseznamem"/>
        <w:numPr>
          <w:ilvl w:val="0"/>
          <w:numId w:val="34"/>
        </w:numPr>
        <w:ind w:left="284" w:hanging="284"/>
        <w:rPr>
          <w:rFonts w:asciiTheme="minorHAnsi" w:hAnsiTheme="minorHAnsi" w:cstheme="minorHAnsi"/>
          <w:i/>
          <w:lang w:eastAsia="cs-CZ"/>
        </w:rPr>
      </w:pPr>
      <w:r w:rsidRPr="005703BD">
        <w:rPr>
          <w:rFonts w:asciiTheme="minorHAnsi" w:hAnsiTheme="minorHAnsi" w:cstheme="minorHAnsi"/>
          <w:b/>
          <w:bCs/>
          <w:lang w:eastAsia="cs-CZ"/>
        </w:rPr>
        <w:t>V případě jmenování likvidátora soudem</w:t>
      </w:r>
      <w:r w:rsidRPr="00620F65">
        <w:rPr>
          <w:rFonts w:asciiTheme="minorHAnsi" w:hAnsiTheme="minorHAnsi" w:cstheme="minorHAnsi"/>
          <w:lang w:eastAsia="cs-CZ"/>
        </w:rPr>
        <w:t xml:space="preserve"> byla odměna likvidátora stanovena právním předpisem, a to nařízením vlády č. 351/2013 Sb.</w:t>
      </w:r>
      <w:r>
        <w:rPr>
          <w:rStyle w:val="Znakapoznpodarou"/>
          <w:rFonts w:asciiTheme="minorHAnsi" w:hAnsiTheme="minorHAnsi" w:cstheme="minorHAnsi"/>
          <w:lang w:eastAsia="cs-CZ"/>
        </w:rPr>
        <w:footnoteReference w:id="4"/>
      </w:r>
      <w:r>
        <w:rPr>
          <w:rFonts w:asciiTheme="minorHAnsi" w:hAnsiTheme="minorHAnsi" w:cstheme="minorHAnsi"/>
          <w:lang w:eastAsia="cs-CZ"/>
        </w:rPr>
        <w:t xml:space="preserve">, </w:t>
      </w:r>
      <w:r w:rsidRPr="00620F65">
        <w:rPr>
          <w:rFonts w:asciiTheme="minorHAnsi" w:hAnsiTheme="minorHAnsi" w:cstheme="minorHAnsi"/>
          <w:lang w:eastAsia="cs-CZ"/>
        </w:rPr>
        <w:t xml:space="preserve">konkrétně v části třetí </w:t>
      </w:r>
      <w:r w:rsidRPr="00620F65">
        <w:rPr>
          <w:rFonts w:asciiTheme="minorHAnsi" w:hAnsiTheme="minorHAnsi" w:cstheme="minorHAnsi"/>
          <w:i/>
          <w:lang w:eastAsia="cs-CZ"/>
        </w:rPr>
        <w:t xml:space="preserve">Odměna likvidátora, likvidačního správce a člena orgánu právnické osoby jmenovaného soudem. </w:t>
      </w:r>
    </w:p>
    <w:p w14:paraId="469BB023" w14:textId="77777777" w:rsidR="0060569D" w:rsidRPr="00B14F45" w:rsidRDefault="0060569D" w:rsidP="00B14F45">
      <w:pPr>
        <w:pStyle w:val="Odstavecseseznamem"/>
        <w:numPr>
          <w:ilvl w:val="0"/>
          <w:numId w:val="34"/>
        </w:numPr>
        <w:ind w:left="284" w:hanging="284"/>
        <w:rPr>
          <w:rFonts w:asciiTheme="minorHAnsi" w:hAnsiTheme="minorHAnsi" w:cstheme="minorHAnsi"/>
          <w:lang w:eastAsia="cs-CZ"/>
        </w:rPr>
      </w:pPr>
      <w:r w:rsidRPr="005703BD">
        <w:rPr>
          <w:rFonts w:asciiTheme="minorHAnsi" w:hAnsiTheme="minorHAnsi" w:cstheme="minorHAnsi"/>
          <w:b/>
          <w:bCs/>
          <w:lang w:eastAsia="cs-CZ"/>
        </w:rPr>
        <w:t>V případě jmenování likvidátora zakladatelem</w:t>
      </w:r>
      <w:r>
        <w:rPr>
          <w:rFonts w:asciiTheme="minorHAnsi" w:hAnsiTheme="minorHAnsi" w:cstheme="minorHAnsi"/>
          <w:lang w:eastAsia="cs-CZ"/>
        </w:rPr>
        <w:t xml:space="preserve"> stanovilo MPO a </w:t>
      </w:r>
      <w:proofErr w:type="spellStart"/>
      <w:r>
        <w:rPr>
          <w:rFonts w:asciiTheme="minorHAnsi" w:hAnsiTheme="minorHAnsi" w:cstheme="minorHAnsi"/>
          <w:lang w:eastAsia="cs-CZ"/>
        </w:rPr>
        <w:t>MZe</w:t>
      </w:r>
      <w:proofErr w:type="spellEnd"/>
      <w:r>
        <w:rPr>
          <w:rFonts w:asciiTheme="minorHAnsi" w:hAnsiTheme="minorHAnsi" w:cstheme="minorHAnsi"/>
          <w:lang w:eastAsia="cs-CZ"/>
        </w:rPr>
        <w:t xml:space="preserve"> způsob stanovení odměny a její výplaty svým vnitřním předpisem</w:t>
      </w:r>
      <w:r w:rsidRPr="00B14F45">
        <w:rPr>
          <w:rFonts w:asciiTheme="minorHAnsi" w:hAnsiTheme="minorHAnsi" w:cstheme="minorHAnsi"/>
          <w:lang w:eastAsia="cs-CZ"/>
        </w:rPr>
        <w:t>.</w:t>
      </w:r>
    </w:p>
    <w:p w14:paraId="0E253398" w14:textId="77777777" w:rsidR="0060569D" w:rsidRPr="00B75AE3" w:rsidRDefault="0060569D" w:rsidP="00687DB4">
      <w:pPr>
        <w:spacing w:before="120"/>
        <w:rPr>
          <w:rFonts w:asciiTheme="minorHAnsi" w:hAnsiTheme="minorHAnsi" w:cstheme="minorHAnsi"/>
          <w:bCs/>
        </w:rPr>
      </w:pPr>
      <w:r w:rsidRPr="001E658A">
        <w:rPr>
          <w:rFonts w:asciiTheme="minorHAnsi" w:hAnsiTheme="minorHAnsi" w:cstheme="minorHAnsi"/>
          <w:b/>
          <w:bCs/>
        </w:rPr>
        <w:t>Základním způsobem</w:t>
      </w:r>
      <w:r w:rsidRPr="00AA5780">
        <w:rPr>
          <w:rFonts w:asciiTheme="minorHAnsi" w:hAnsiTheme="minorHAnsi" w:cstheme="minorHAnsi"/>
        </w:rPr>
        <w:t xml:space="preserve"> </w:t>
      </w:r>
      <w:r w:rsidRPr="00B75AE3">
        <w:rPr>
          <w:rFonts w:asciiTheme="minorHAnsi" w:hAnsiTheme="minorHAnsi" w:cstheme="minorHAnsi"/>
          <w:b/>
          <w:bCs/>
        </w:rPr>
        <w:t xml:space="preserve">zpeněžení </w:t>
      </w:r>
      <w:r w:rsidRPr="001E658A">
        <w:rPr>
          <w:rFonts w:asciiTheme="minorHAnsi" w:hAnsiTheme="minorHAnsi" w:cstheme="minorHAnsi"/>
          <w:b/>
          <w:bCs/>
        </w:rPr>
        <w:t>majetku</w:t>
      </w:r>
      <w:r w:rsidRPr="001E658A">
        <w:rPr>
          <w:rFonts w:asciiTheme="minorHAnsi" w:hAnsiTheme="minorHAnsi" w:cstheme="minorHAnsi"/>
        </w:rPr>
        <w:t xml:space="preserve"> státního podniku</w:t>
      </w:r>
      <w:r w:rsidRPr="00AA5780">
        <w:rPr>
          <w:rFonts w:asciiTheme="minorHAnsi" w:hAnsiTheme="minorHAnsi" w:cstheme="minorHAnsi"/>
        </w:rPr>
        <w:t xml:space="preserve"> v likvidaci je </w:t>
      </w:r>
      <w:r w:rsidRPr="00B75AE3">
        <w:rPr>
          <w:rFonts w:asciiTheme="minorHAnsi" w:hAnsiTheme="minorHAnsi" w:cstheme="minorHAnsi"/>
          <w:bCs/>
        </w:rPr>
        <w:t>prodej ve veřejné dražbě</w:t>
      </w:r>
      <w:r>
        <w:rPr>
          <w:rFonts w:asciiTheme="minorHAnsi" w:hAnsiTheme="minorHAnsi" w:cstheme="minorHAnsi"/>
          <w:bCs/>
        </w:rPr>
        <w:t>. Dalšími způsoby</w:t>
      </w:r>
      <w:r w:rsidRPr="00B75A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nakládání s majetkem je úplatný převod mimo veřejnou dražbu a bezúplatný převod. Použití jiného způsobu nakládání s majetkem než zpeněžení veřejnou dražbou podléhá předchozímu souhlasu</w:t>
      </w:r>
      <w:r w:rsidRPr="00B75AE3">
        <w:rPr>
          <w:rFonts w:asciiTheme="minorHAnsi" w:hAnsiTheme="minorHAnsi" w:cstheme="minorHAnsi"/>
          <w:bCs/>
        </w:rPr>
        <w:t>:</w:t>
      </w:r>
    </w:p>
    <w:p w14:paraId="443907EA" w14:textId="65AE1EBB" w:rsidR="0060569D" w:rsidRPr="003B101F" w:rsidRDefault="0060569D" w:rsidP="00B14F45">
      <w:pPr>
        <w:pStyle w:val="Odstavecseseznamem"/>
        <w:numPr>
          <w:ilvl w:val="0"/>
          <w:numId w:val="29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Ministerstva financí </w:t>
      </w:r>
      <w:r w:rsidRPr="00B75AE3">
        <w:rPr>
          <w:rFonts w:asciiTheme="minorHAnsi" w:hAnsiTheme="minorHAnsi" w:cstheme="minorHAnsi"/>
          <w:bCs/>
        </w:rPr>
        <w:t xml:space="preserve">u </w:t>
      </w:r>
      <w:r>
        <w:rPr>
          <w:rFonts w:asciiTheme="minorHAnsi" w:hAnsiTheme="minorHAnsi" w:cstheme="minorHAnsi"/>
          <w:bCs/>
        </w:rPr>
        <w:t xml:space="preserve">státních </w:t>
      </w:r>
      <w:r w:rsidRPr="00B75AE3">
        <w:rPr>
          <w:rFonts w:asciiTheme="minorHAnsi" w:hAnsiTheme="minorHAnsi" w:cstheme="minorHAnsi"/>
          <w:bCs/>
        </w:rPr>
        <w:t>podniků v likvidaci v režimu zákona č. 111/1990 Sb.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a řídí se </w:t>
      </w:r>
      <w:r w:rsidRPr="00AA5780">
        <w:rPr>
          <w:rFonts w:asciiTheme="minorHAnsi" w:hAnsiTheme="minorHAnsi" w:cstheme="minorHAnsi"/>
        </w:rPr>
        <w:t>zákonem č. 92/1991 Sb., o podmínkách převodu majetku státu na jiné osoby</w:t>
      </w:r>
      <w:r w:rsidRPr="00562C4B">
        <w:rPr>
          <w:rFonts w:asciiTheme="minorHAnsi" w:hAnsiTheme="minorHAnsi" w:cstheme="minorHAnsi"/>
        </w:rPr>
        <w:t>;</w:t>
      </w:r>
    </w:p>
    <w:p w14:paraId="5AF1709A" w14:textId="0A784126" w:rsidR="0060569D" w:rsidRDefault="000E3AAF" w:rsidP="00B14F45">
      <w:pPr>
        <w:pStyle w:val="Odstavecseseznamem"/>
        <w:numPr>
          <w:ilvl w:val="0"/>
          <w:numId w:val="29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60569D">
        <w:rPr>
          <w:rFonts w:asciiTheme="minorHAnsi" w:hAnsiTheme="minorHAnsi" w:cstheme="minorHAnsi"/>
        </w:rPr>
        <w:t>akladatele u</w:t>
      </w:r>
      <w:r w:rsidR="0060569D" w:rsidRPr="00AA5780">
        <w:rPr>
          <w:rFonts w:asciiTheme="minorHAnsi" w:hAnsiTheme="minorHAnsi" w:cstheme="minorHAnsi"/>
        </w:rPr>
        <w:t xml:space="preserve"> </w:t>
      </w:r>
      <w:r w:rsidR="0060569D">
        <w:rPr>
          <w:rFonts w:asciiTheme="minorHAnsi" w:hAnsiTheme="minorHAnsi" w:cstheme="minorHAnsi"/>
        </w:rPr>
        <w:t xml:space="preserve">státních </w:t>
      </w:r>
      <w:r w:rsidR="0060569D" w:rsidRPr="00AA5780">
        <w:rPr>
          <w:rFonts w:asciiTheme="minorHAnsi" w:hAnsiTheme="minorHAnsi" w:cstheme="minorHAnsi"/>
        </w:rPr>
        <w:t>podniků v režimu zákona č. 77/1997 Sb.</w:t>
      </w:r>
      <w:r w:rsidR="0060569D">
        <w:rPr>
          <w:rFonts w:asciiTheme="minorHAnsi" w:hAnsiTheme="minorHAnsi" w:cstheme="minorHAnsi"/>
        </w:rPr>
        <w:t xml:space="preserve"> a řídí</w:t>
      </w:r>
      <w:r w:rsidR="0060569D" w:rsidRPr="00AA5780">
        <w:rPr>
          <w:rFonts w:asciiTheme="minorHAnsi" w:hAnsiTheme="minorHAnsi" w:cstheme="minorHAnsi"/>
        </w:rPr>
        <w:t xml:space="preserve"> </w:t>
      </w:r>
      <w:r w:rsidR="0060569D">
        <w:rPr>
          <w:rFonts w:asciiTheme="minorHAnsi" w:hAnsiTheme="minorHAnsi" w:cstheme="minorHAnsi"/>
        </w:rPr>
        <w:t>se</w:t>
      </w:r>
      <w:r w:rsidR="0060569D" w:rsidRPr="00AA5780">
        <w:rPr>
          <w:rFonts w:asciiTheme="minorHAnsi" w:hAnsiTheme="minorHAnsi" w:cstheme="minorHAnsi"/>
        </w:rPr>
        <w:t xml:space="preserve"> ustanovením §</w:t>
      </w:r>
      <w:r w:rsidR="00442BE5">
        <w:rPr>
          <w:rFonts w:asciiTheme="minorHAnsi" w:hAnsiTheme="minorHAnsi" w:cstheme="minorHAnsi"/>
        </w:rPr>
        <w:t> </w:t>
      </w:r>
      <w:r w:rsidR="0060569D" w:rsidRPr="00AA5780">
        <w:rPr>
          <w:rFonts w:asciiTheme="minorHAnsi" w:hAnsiTheme="minorHAnsi" w:cstheme="minorHAnsi"/>
        </w:rPr>
        <w:t>9 tohoto zákona.</w:t>
      </w:r>
    </w:p>
    <w:p w14:paraId="14220F36" w14:textId="19E4BD79" w:rsidR="009E46B4" w:rsidRPr="007F09E8" w:rsidRDefault="008A2E3A" w:rsidP="000734E9">
      <w:pPr>
        <w:spacing w:before="120" w:after="120"/>
        <w:rPr>
          <w:rFonts w:asciiTheme="minorHAnsi" w:hAnsiTheme="minorHAnsi" w:cstheme="minorHAnsi"/>
          <w:lang w:eastAsia="cs-CZ"/>
        </w:rPr>
      </w:pPr>
      <w:r>
        <w:rPr>
          <w:bCs/>
          <w:color w:val="000000" w:themeColor="text1"/>
        </w:rPr>
        <w:t>Jedním ze způsobů zániku státního podniku je</w:t>
      </w:r>
      <w:r w:rsidR="009E46B4" w:rsidRPr="004E5184">
        <w:rPr>
          <w:bCs/>
          <w:color w:val="000000" w:themeColor="text1"/>
        </w:rPr>
        <w:t xml:space="preserve"> </w:t>
      </w:r>
      <w:r w:rsidR="009E46B4" w:rsidRPr="009E46B4">
        <w:rPr>
          <w:b/>
          <w:color w:val="000000" w:themeColor="text1"/>
        </w:rPr>
        <w:t>fúz</w:t>
      </w:r>
      <w:r>
        <w:rPr>
          <w:b/>
          <w:color w:val="000000" w:themeColor="text1"/>
        </w:rPr>
        <w:t>e</w:t>
      </w:r>
      <w:r w:rsidR="00BD7D9B">
        <w:rPr>
          <w:b/>
          <w:color w:val="000000" w:themeColor="text1"/>
        </w:rPr>
        <w:t xml:space="preserve"> sloučením</w:t>
      </w:r>
      <w:r w:rsidR="009E46B4" w:rsidRPr="009E46B4">
        <w:rPr>
          <w:b/>
          <w:color w:val="000000" w:themeColor="text1"/>
        </w:rPr>
        <w:t xml:space="preserve"> s jiným státním podnikem</w:t>
      </w:r>
      <w:r w:rsidR="009E46B4" w:rsidRPr="005703BD">
        <w:rPr>
          <w:b/>
          <w:color w:val="000000" w:themeColor="text1"/>
        </w:rPr>
        <w:t>.</w:t>
      </w:r>
      <w:r w:rsidR="009E46B4" w:rsidRPr="004E5184">
        <w:rPr>
          <w:bCs/>
          <w:color w:val="000000" w:themeColor="text1"/>
        </w:rPr>
        <w:t xml:space="preserve"> </w:t>
      </w:r>
      <w:r w:rsidR="009E46B4" w:rsidRPr="009E46B4">
        <w:rPr>
          <w:bCs/>
          <w:color w:val="000000" w:themeColor="text1"/>
        </w:rPr>
        <w:t>Fúze státního podniku</w:t>
      </w:r>
      <w:r w:rsidR="009E46B4" w:rsidRPr="004E5184">
        <w:rPr>
          <w:color w:val="000000" w:themeColor="text1"/>
        </w:rPr>
        <w:t xml:space="preserve"> je přeměn</w:t>
      </w:r>
      <w:r>
        <w:rPr>
          <w:color w:val="000000" w:themeColor="text1"/>
        </w:rPr>
        <w:t>a</w:t>
      </w:r>
      <w:r w:rsidR="00832ACE">
        <w:rPr>
          <w:color w:val="000000" w:themeColor="text1"/>
        </w:rPr>
        <w:t>,</w:t>
      </w:r>
      <w:r>
        <w:rPr>
          <w:color w:val="000000" w:themeColor="text1"/>
        </w:rPr>
        <w:t xml:space="preserve"> při níž se sloučí alespoň</w:t>
      </w:r>
      <w:r w:rsidR="009E46B4" w:rsidRPr="004E5184">
        <w:rPr>
          <w:color w:val="000000" w:themeColor="text1"/>
        </w:rPr>
        <w:t xml:space="preserve"> dva státní podniky. K fúzi </w:t>
      </w:r>
      <w:r w:rsidR="00BD7D9B">
        <w:rPr>
          <w:color w:val="000000" w:themeColor="text1"/>
        </w:rPr>
        <w:t xml:space="preserve">sloučením </w:t>
      </w:r>
      <w:r w:rsidR="009E46B4" w:rsidRPr="004E5184">
        <w:rPr>
          <w:color w:val="000000" w:themeColor="text1"/>
        </w:rPr>
        <w:lastRenderedPageBreak/>
        <w:t xml:space="preserve">dochází v případě, že jeden ze zúčastněných státních podniků zaniká a jeho jmění přechází na nástupnický podnik jako právního nástupce. </w:t>
      </w:r>
      <w:r w:rsidR="009E46B4">
        <w:rPr>
          <w:color w:val="000000" w:themeColor="text1"/>
        </w:rPr>
        <w:t>V kontrolovaném období došlo k jedné fúzi</w:t>
      </w:r>
      <w:r w:rsidR="00BD7D9B">
        <w:rPr>
          <w:color w:val="000000" w:themeColor="text1"/>
        </w:rPr>
        <w:t xml:space="preserve"> sloučením</w:t>
      </w:r>
      <w:r w:rsidR="009E46B4">
        <w:rPr>
          <w:color w:val="000000" w:themeColor="text1"/>
        </w:rPr>
        <w:t>. Došlo k zániku</w:t>
      </w:r>
      <w:r w:rsidR="009E46B4" w:rsidRPr="004F1545">
        <w:rPr>
          <w:rFonts w:asciiTheme="minorHAnsi" w:hAnsiTheme="minorHAnsi" w:cstheme="minorHAnsi"/>
          <w:lang w:eastAsia="cs-CZ"/>
        </w:rPr>
        <w:t xml:space="preserve"> státní</w:t>
      </w:r>
      <w:r w:rsidR="009E46B4">
        <w:rPr>
          <w:rFonts w:asciiTheme="minorHAnsi" w:hAnsiTheme="minorHAnsi" w:cstheme="minorHAnsi"/>
          <w:lang w:eastAsia="cs-CZ"/>
        </w:rPr>
        <w:t xml:space="preserve">ho </w:t>
      </w:r>
      <w:r w:rsidR="009E46B4" w:rsidRPr="004F1545">
        <w:rPr>
          <w:rFonts w:asciiTheme="minorHAnsi" w:hAnsiTheme="minorHAnsi" w:cstheme="minorHAnsi"/>
          <w:lang w:eastAsia="cs-CZ"/>
        </w:rPr>
        <w:t>podnik</w:t>
      </w:r>
      <w:r w:rsidR="009E46B4">
        <w:rPr>
          <w:rFonts w:asciiTheme="minorHAnsi" w:hAnsiTheme="minorHAnsi" w:cstheme="minorHAnsi"/>
          <w:lang w:eastAsia="cs-CZ"/>
        </w:rPr>
        <w:t>u</w:t>
      </w:r>
      <w:r w:rsidR="009E46B4" w:rsidRPr="004F1545">
        <w:rPr>
          <w:rFonts w:asciiTheme="minorHAnsi" w:hAnsiTheme="minorHAnsi" w:cstheme="minorHAnsi"/>
          <w:lang w:eastAsia="cs-CZ"/>
        </w:rPr>
        <w:t xml:space="preserve"> MILNEA státní podnik v</w:t>
      </w:r>
      <w:r w:rsidR="009E46B4">
        <w:rPr>
          <w:rFonts w:asciiTheme="minorHAnsi" w:hAnsiTheme="minorHAnsi" w:cstheme="minorHAnsi"/>
          <w:lang w:eastAsia="cs-CZ"/>
        </w:rPr>
        <w:t> </w:t>
      </w:r>
      <w:r w:rsidR="009E46B4" w:rsidRPr="004F1545">
        <w:rPr>
          <w:rFonts w:asciiTheme="minorHAnsi" w:hAnsiTheme="minorHAnsi" w:cstheme="minorHAnsi"/>
          <w:lang w:eastAsia="cs-CZ"/>
        </w:rPr>
        <w:t>likvidaci</w:t>
      </w:r>
      <w:r w:rsidR="009E46B4">
        <w:rPr>
          <w:rFonts w:asciiTheme="minorHAnsi" w:hAnsiTheme="minorHAnsi" w:cstheme="minorHAnsi"/>
          <w:lang w:eastAsia="cs-CZ"/>
        </w:rPr>
        <w:t xml:space="preserve"> </w:t>
      </w:r>
      <w:r w:rsidR="009E46B4" w:rsidRPr="004F1545">
        <w:rPr>
          <w:rFonts w:asciiTheme="minorHAnsi" w:hAnsiTheme="minorHAnsi" w:cstheme="minorHAnsi"/>
          <w:lang w:eastAsia="cs-CZ"/>
        </w:rPr>
        <w:t xml:space="preserve">a </w:t>
      </w:r>
      <w:r w:rsidR="009E46B4">
        <w:rPr>
          <w:rFonts w:asciiTheme="minorHAnsi" w:hAnsiTheme="minorHAnsi" w:cstheme="minorHAnsi"/>
          <w:lang w:eastAsia="cs-CZ"/>
        </w:rPr>
        <w:t xml:space="preserve">státního podniku </w:t>
      </w:r>
      <w:r w:rsidR="009E46B4" w:rsidRPr="004F1545">
        <w:rPr>
          <w:rFonts w:asciiTheme="minorHAnsi" w:hAnsiTheme="minorHAnsi" w:cstheme="minorHAnsi"/>
          <w:lang w:eastAsia="cs-CZ"/>
        </w:rPr>
        <w:t>Zemědělský podnik Razová, státní podnik v likvidaci</w:t>
      </w:r>
      <w:r w:rsidR="000E3AAF">
        <w:rPr>
          <w:rFonts w:asciiTheme="minorHAnsi" w:hAnsiTheme="minorHAnsi" w:cstheme="minorHAnsi"/>
          <w:lang w:eastAsia="cs-CZ"/>
        </w:rPr>
        <w:t>,</w:t>
      </w:r>
      <w:r w:rsidR="009E46B4" w:rsidRPr="004F1545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fúzí</w:t>
      </w:r>
      <w:r w:rsidR="009E46B4" w:rsidRPr="007F09E8">
        <w:rPr>
          <w:rFonts w:asciiTheme="minorHAnsi" w:hAnsiTheme="minorHAnsi" w:cstheme="minorHAnsi"/>
          <w:lang w:eastAsia="cs-CZ"/>
        </w:rPr>
        <w:t xml:space="preserve"> se státním podnikem Státní statek Jeneč, státní podnik v</w:t>
      </w:r>
      <w:r>
        <w:rPr>
          <w:rFonts w:asciiTheme="minorHAnsi" w:hAnsiTheme="minorHAnsi" w:cstheme="minorHAnsi"/>
          <w:lang w:eastAsia="cs-CZ"/>
        </w:rPr>
        <w:t> </w:t>
      </w:r>
      <w:r w:rsidR="009E46B4" w:rsidRPr="007F09E8">
        <w:rPr>
          <w:rFonts w:asciiTheme="minorHAnsi" w:hAnsiTheme="minorHAnsi" w:cstheme="minorHAnsi"/>
          <w:lang w:eastAsia="cs-CZ"/>
        </w:rPr>
        <w:t>likvidaci</w:t>
      </w:r>
      <w:r>
        <w:rPr>
          <w:rFonts w:asciiTheme="minorHAnsi" w:hAnsiTheme="minorHAnsi" w:cstheme="minorHAnsi"/>
          <w:lang w:eastAsia="cs-CZ"/>
        </w:rPr>
        <w:t>.</w:t>
      </w:r>
    </w:p>
    <w:p w14:paraId="3DBE3BA9" w14:textId="397165DB" w:rsidR="004E5184" w:rsidRDefault="004E5184" w:rsidP="000734E9">
      <w:pPr>
        <w:spacing w:before="120" w:after="120"/>
      </w:pPr>
      <w:r>
        <w:t xml:space="preserve">Státní podnik </w:t>
      </w:r>
      <w:r w:rsidRPr="00FE0C65">
        <w:rPr>
          <w:b/>
        </w:rPr>
        <w:t>zaniká dnem výmazu</w:t>
      </w:r>
      <w:r>
        <w:t xml:space="preserve"> z obchodního rejstříku. Zjistí-li se neznámý majetek po</w:t>
      </w:r>
      <w:r w:rsidR="000061EB">
        <w:t xml:space="preserve"> </w:t>
      </w:r>
      <w:r>
        <w:t xml:space="preserve">jeho výmazu z obchodního rejstříku nebo objeví-li se jiný zájem hodný právní ochrany, soud na návrh toho, kdo osvědčí právní zájem, výmaz zruší, rozhodne o likvidaci a jmenuje likvidátora. Od obnovení likvidace se na státní podnik hledí, jako by nikdy nezanikl. K takovému zrušení výmazu a obnovení likvidace došlo v kontrolovaném období u dvou státních podniků vybraných ke kontrole, a to </w:t>
      </w:r>
      <w:r w:rsidR="000D01A8">
        <w:t xml:space="preserve">u </w:t>
      </w:r>
      <w:r>
        <w:t xml:space="preserve">státních podniků </w:t>
      </w:r>
      <w:r w:rsidRPr="00D77A0C">
        <w:t xml:space="preserve">Barvy a laky, státní podnik </w:t>
      </w:r>
      <w:r w:rsidR="00293364" w:rsidRPr="00606F44">
        <w:rPr>
          <w:rFonts w:asciiTheme="minorHAnsi" w:hAnsiTheme="minorHAnsi" w:cstheme="minorHAnsi"/>
        </w:rPr>
        <w:t>"</w:t>
      </w:r>
      <w:r w:rsidRPr="00606F44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606F44">
        <w:rPr>
          <w:rFonts w:asciiTheme="minorHAnsi" w:hAnsiTheme="minorHAnsi" w:cstheme="minorHAnsi"/>
        </w:rPr>
        <w:t>likvidaci</w:t>
      </w:r>
      <w:r w:rsidR="00324ED4" w:rsidRPr="00606F44">
        <w:rPr>
          <w:rFonts w:asciiTheme="minorHAnsi" w:hAnsiTheme="minorHAnsi" w:cstheme="minorHAnsi"/>
        </w:rPr>
        <w:t>"</w:t>
      </w:r>
      <w:r w:rsidR="000E3AAF">
        <w:rPr>
          <w:rFonts w:asciiTheme="minorHAnsi" w:hAnsiTheme="minorHAnsi" w:cstheme="minorHAnsi"/>
        </w:rPr>
        <w:t>,</w:t>
      </w:r>
      <w:r w:rsidRPr="00562C4B">
        <w:rPr>
          <w:rFonts w:asciiTheme="minorHAnsi" w:hAnsiTheme="minorHAnsi" w:cstheme="minorHAnsi"/>
        </w:rPr>
        <w:t xml:space="preserve"> </w:t>
      </w:r>
      <w:r>
        <w:t>a</w:t>
      </w:r>
      <w:r w:rsidR="000E3AAF">
        <w:t> </w:t>
      </w:r>
      <w:r w:rsidRPr="00D77A0C">
        <w:t>Státní statek Česká Kamenice v</w:t>
      </w:r>
      <w:r>
        <w:t> </w:t>
      </w:r>
      <w:r w:rsidRPr="00D77A0C">
        <w:t>likvidaci</w:t>
      </w:r>
      <w:r>
        <w:t>.</w:t>
      </w:r>
    </w:p>
    <w:p w14:paraId="3805521E" w14:textId="77777777" w:rsidR="004E5184" w:rsidRPr="000061EB" w:rsidRDefault="004E5184" w:rsidP="004E5184">
      <w:pPr>
        <w:rPr>
          <w:bCs/>
          <w:color w:val="000000" w:themeColor="text1"/>
          <w:highlight w:val="lightGray"/>
        </w:rPr>
      </w:pPr>
    </w:p>
    <w:p w14:paraId="1E59FCEB" w14:textId="3BCB8D40" w:rsidR="00B971CD" w:rsidRDefault="00F50CDE" w:rsidP="00F50CDE">
      <w:pPr>
        <w:pStyle w:val="Nadpis1"/>
        <w:spacing w:before="480" w:after="240"/>
        <w:ind w:left="0" w:firstLine="0"/>
      </w:pPr>
      <w:r>
        <w:t xml:space="preserve"> </w:t>
      </w:r>
      <w:r w:rsidR="00AB3724" w:rsidRPr="001F66B2">
        <w:t>Rozsah kontroly</w:t>
      </w:r>
    </w:p>
    <w:p w14:paraId="7553007C" w14:textId="0D4DC4B5" w:rsidR="0000075B" w:rsidRPr="0000075B" w:rsidRDefault="00C16A89" w:rsidP="00B14F45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Předmětem kontroly </w:t>
      </w:r>
      <w:r w:rsidRPr="0000075B">
        <w:rPr>
          <w:rFonts w:asciiTheme="minorHAnsi" w:hAnsiTheme="minorHAnsi" w:cstheme="minorHAnsi"/>
        </w:rPr>
        <w:t xml:space="preserve">byl </w:t>
      </w:r>
      <w:r w:rsidR="0000075B" w:rsidRPr="0000075B">
        <w:rPr>
          <w:rFonts w:asciiTheme="minorHAnsi" w:hAnsiTheme="minorHAnsi" w:cstheme="minorHAnsi"/>
        </w:rPr>
        <w:t>majetek a peněžní prostředky státu, se kterými mají právo hospodařit vybrané státní podniky v likvidaci v resortu Ministerstva průmyslu a obchodu a Ministerstva zemědělství</w:t>
      </w:r>
      <w:r w:rsidR="0000075B">
        <w:rPr>
          <w:rFonts w:asciiTheme="minorHAnsi" w:hAnsiTheme="minorHAnsi" w:cstheme="minorHAnsi"/>
        </w:rPr>
        <w:t>.</w:t>
      </w:r>
    </w:p>
    <w:p w14:paraId="4BEA8A27" w14:textId="526CACB6" w:rsidR="0000075B" w:rsidRDefault="0000075B" w:rsidP="00B14F45">
      <w:pPr>
        <w:autoSpaceDE w:val="0"/>
        <w:autoSpaceDN w:val="0"/>
        <w:adjustRightInd w:val="0"/>
        <w:spacing w:before="120" w:after="120"/>
      </w:pPr>
      <w:r w:rsidRPr="0000075B">
        <w:rPr>
          <w:b/>
          <w:bCs/>
          <w:color w:val="000000" w:themeColor="text1"/>
        </w:rPr>
        <w:t>Cílem kontroly</w:t>
      </w:r>
      <w:r w:rsidRPr="00876251">
        <w:rPr>
          <w:color w:val="000000" w:themeColor="text1"/>
        </w:rPr>
        <w:t xml:space="preserve"> bylo</w:t>
      </w:r>
      <w:r>
        <w:rPr>
          <w:rFonts w:asciiTheme="minorHAnsi" w:hAnsiTheme="minorHAnsi" w:cstheme="minorHAnsi"/>
        </w:rPr>
        <w:t xml:space="preserve"> p</w:t>
      </w:r>
      <w:r w:rsidRPr="00746DF8">
        <w:rPr>
          <w:rFonts w:asciiTheme="minorHAnsi" w:hAnsiTheme="minorHAnsi" w:cstheme="minorHAnsi"/>
        </w:rPr>
        <w:t>rověřit</w:t>
      </w:r>
      <w:r>
        <w:t>, zda vybrané státní podniky v likvidaci v resortu Ministerstva průmyslu a obchodu a Ministerstva zemědělství hospodařily s majetkem a peněžními prostředky státu účelně, hospodárně a v souladu s právními předpisy</w:t>
      </w:r>
      <w:r w:rsidR="004B6A00" w:rsidRPr="00562C4B">
        <w:t>;</w:t>
      </w:r>
      <w:r w:rsidR="00056FBA" w:rsidRPr="00562C4B">
        <w:t xml:space="preserve"> </w:t>
      </w:r>
      <w:r>
        <w:t>prověřit, jak uvedená ministerstva plní funkci zakladatele vůči vybraným státním podnikům.</w:t>
      </w:r>
    </w:p>
    <w:p w14:paraId="7CD30F3F" w14:textId="3096980F" w:rsidR="00AE4E5B" w:rsidRPr="00216D5A" w:rsidRDefault="00AE4E5B" w:rsidP="00B14F45">
      <w:pPr>
        <w:spacing w:before="120" w:after="120"/>
        <w:rPr>
          <w:rFonts w:asciiTheme="minorHAnsi" w:hAnsiTheme="minorHAnsi" w:cstheme="minorHAnsi"/>
        </w:rPr>
      </w:pPr>
      <w:r w:rsidRPr="00931AE2">
        <w:rPr>
          <w:rFonts w:asciiTheme="minorHAnsi" w:hAnsiTheme="minorHAnsi" w:cstheme="minorHAnsi"/>
          <w:b/>
        </w:rPr>
        <w:t xml:space="preserve">Kontrole bylo podrobeno období </w:t>
      </w:r>
      <w:r w:rsidRPr="003D5F35">
        <w:rPr>
          <w:rFonts w:asciiTheme="minorHAnsi" w:hAnsiTheme="minorHAnsi" w:cstheme="minorHAnsi"/>
        </w:rPr>
        <w:t>od roku 2020 do roku 2024.</w:t>
      </w:r>
      <w:r w:rsidRPr="00022167">
        <w:rPr>
          <w:rFonts w:asciiTheme="minorHAnsi" w:hAnsiTheme="minorHAnsi" w:cstheme="minorHAnsi"/>
        </w:rPr>
        <w:t xml:space="preserve"> V případě věcných souvislostí i období předcházející a následující. </w:t>
      </w:r>
    </w:p>
    <w:p w14:paraId="4F6C4EF9" w14:textId="75326BBB" w:rsidR="001A4796" w:rsidRDefault="00AE4E5B" w:rsidP="00B14F45">
      <w:pPr>
        <w:spacing w:before="120" w:after="120"/>
        <w:rPr>
          <w:rFonts w:asciiTheme="minorHAnsi" w:hAnsiTheme="minorHAnsi" w:cstheme="minorHAnsi"/>
          <w:b/>
        </w:rPr>
      </w:pPr>
      <w:r w:rsidRPr="00931AE2">
        <w:rPr>
          <w:rFonts w:asciiTheme="minorHAnsi" w:hAnsiTheme="minorHAnsi" w:cstheme="minorHAnsi"/>
          <w:b/>
        </w:rPr>
        <w:t xml:space="preserve">Kontrolovanými osobami </w:t>
      </w:r>
      <w:r w:rsidRPr="003D5F35">
        <w:rPr>
          <w:rFonts w:asciiTheme="minorHAnsi" w:hAnsiTheme="minorHAnsi" w:cstheme="minorHAnsi"/>
        </w:rPr>
        <w:t xml:space="preserve">bylo </w:t>
      </w:r>
      <w:r w:rsidR="00B45008">
        <w:rPr>
          <w:rFonts w:asciiTheme="minorHAnsi" w:hAnsiTheme="minorHAnsi" w:cstheme="minorHAnsi"/>
        </w:rPr>
        <w:t>MPO</w:t>
      </w:r>
      <w:r w:rsidR="00DC4F6A">
        <w:rPr>
          <w:rFonts w:asciiTheme="minorHAnsi" w:hAnsiTheme="minorHAnsi" w:cstheme="minorHAnsi"/>
        </w:rPr>
        <w:t xml:space="preserve">, </w:t>
      </w:r>
      <w:proofErr w:type="spellStart"/>
      <w:r w:rsidR="00B45008">
        <w:rPr>
          <w:rFonts w:asciiTheme="minorHAnsi" w:hAnsiTheme="minorHAnsi" w:cstheme="minorHAnsi"/>
        </w:rPr>
        <w:t>MZe</w:t>
      </w:r>
      <w:proofErr w:type="spellEnd"/>
      <w:r w:rsidRPr="003D5F35">
        <w:rPr>
          <w:rFonts w:asciiTheme="minorHAnsi" w:hAnsiTheme="minorHAnsi" w:cstheme="minorHAnsi"/>
        </w:rPr>
        <w:t xml:space="preserve"> a</w:t>
      </w:r>
      <w:r w:rsidR="00FB2ACF">
        <w:rPr>
          <w:rFonts w:asciiTheme="minorHAnsi" w:hAnsiTheme="minorHAnsi" w:cstheme="minorHAnsi"/>
        </w:rPr>
        <w:t> </w:t>
      </w:r>
      <w:r w:rsidRPr="003D5F35">
        <w:rPr>
          <w:rFonts w:asciiTheme="minorHAnsi" w:hAnsiTheme="minorHAnsi" w:cstheme="minorHAnsi"/>
        </w:rPr>
        <w:t>sedm státních podniků v</w:t>
      </w:r>
      <w:r w:rsidR="00A6778A">
        <w:rPr>
          <w:rFonts w:asciiTheme="minorHAnsi" w:hAnsiTheme="minorHAnsi" w:cstheme="minorHAnsi"/>
        </w:rPr>
        <w:t> </w:t>
      </w:r>
      <w:r w:rsidRPr="003D5F35">
        <w:rPr>
          <w:rFonts w:asciiTheme="minorHAnsi" w:hAnsiTheme="minorHAnsi" w:cstheme="minorHAnsi"/>
        </w:rPr>
        <w:t>likvidaci</w:t>
      </w:r>
      <w:r w:rsidR="00A6778A">
        <w:rPr>
          <w:rFonts w:asciiTheme="minorHAnsi" w:hAnsiTheme="minorHAnsi" w:cstheme="minorHAnsi"/>
        </w:rPr>
        <w:t xml:space="preserve"> (z tohoto čtyři, u nichž bylo zakladatelem </w:t>
      </w:r>
      <w:r w:rsidR="00B45008">
        <w:rPr>
          <w:rFonts w:asciiTheme="minorHAnsi" w:hAnsiTheme="minorHAnsi" w:cstheme="minorHAnsi"/>
        </w:rPr>
        <w:t>MPO</w:t>
      </w:r>
      <w:r w:rsidR="00A6778A">
        <w:rPr>
          <w:rFonts w:asciiTheme="minorHAnsi" w:hAnsiTheme="minorHAnsi" w:cstheme="minorHAnsi"/>
        </w:rPr>
        <w:t xml:space="preserve"> a tři, u nichž bylo zakladatelem </w:t>
      </w:r>
      <w:proofErr w:type="spellStart"/>
      <w:r w:rsidR="00B45008">
        <w:rPr>
          <w:rFonts w:asciiTheme="minorHAnsi" w:hAnsiTheme="minorHAnsi" w:cstheme="minorHAnsi"/>
        </w:rPr>
        <w:t>MZe</w:t>
      </w:r>
      <w:proofErr w:type="spellEnd"/>
      <w:r w:rsidR="00A6778A">
        <w:rPr>
          <w:rFonts w:asciiTheme="minorHAnsi" w:hAnsiTheme="minorHAnsi" w:cstheme="minorHAnsi"/>
        </w:rPr>
        <w:t>)</w:t>
      </w:r>
      <w:r w:rsidRPr="003D5F35">
        <w:rPr>
          <w:rFonts w:asciiTheme="minorHAnsi" w:hAnsiTheme="minorHAnsi" w:cstheme="minorHAnsi"/>
        </w:rPr>
        <w:t>.</w:t>
      </w:r>
      <w:r w:rsidR="00A6778A">
        <w:rPr>
          <w:rFonts w:asciiTheme="minorHAnsi" w:hAnsiTheme="minorHAnsi" w:cstheme="minorHAnsi"/>
        </w:rPr>
        <w:t xml:space="preserve"> </w:t>
      </w:r>
      <w:r w:rsidRPr="00931AE2">
        <w:rPr>
          <w:rFonts w:asciiTheme="minorHAnsi" w:hAnsiTheme="minorHAnsi" w:cstheme="minorHAnsi"/>
          <w:b/>
        </w:rPr>
        <w:t xml:space="preserve"> </w:t>
      </w:r>
    </w:p>
    <w:p w14:paraId="60D2B38A" w14:textId="3CA635D7" w:rsidR="00A6778A" w:rsidRDefault="00A6778A" w:rsidP="00687DB4">
      <w:pPr>
        <w:keepNext/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Způsob výběru státních podniků v likvidaci ke kontrole:</w:t>
      </w:r>
    </w:p>
    <w:p w14:paraId="715EEC16" w14:textId="3AE56E55" w:rsidR="00BD7D9B" w:rsidRDefault="00A6778A" w:rsidP="00687DB4">
      <w:pPr>
        <w:spacing w:after="120"/>
        <w:rPr>
          <w:rFonts w:asciiTheme="minorHAnsi" w:hAnsiTheme="minorHAnsi" w:cstheme="minorHAnsi"/>
        </w:rPr>
      </w:pPr>
      <w:r w:rsidRPr="00A6778A">
        <w:rPr>
          <w:rFonts w:asciiTheme="minorHAnsi" w:hAnsiTheme="minorHAnsi" w:cstheme="minorHAnsi"/>
          <w:bCs/>
        </w:rPr>
        <w:t xml:space="preserve">V době zahájení kontroly evidovalo </w:t>
      </w:r>
      <w:r w:rsidR="00B45008">
        <w:rPr>
          <w:rFonts w:asciiTheme="minorHAnsi" w:hAnsiTheme="minorHAnsi" w:cstheme="minorHAnsi"/>
          <w:bCs/>
        </w:rPr>
        <w:t>MPO</w:t>
      </w:r>
      <w:r w:rsidRPr="00A6778A">
        <w:rPr>
          <w:rFonts w:asciiTheme="minorHAnsi" w:hAnsiTheme="minorHAnsi" w:cstheme="minorHAnsi"/>
          <w:bCs/>
        </w:rPr>
        <w:t xml:space="preserve"> sedm státních podniků v likvidaci a </w:t>
      </w:r>
      <w:proofErr w:type="spellStart"/>
      <w:r w:rsidR="00B45008">
        <w:rPr>
          <w:rFonts w:asciiTheme="minorHAnsi" w:hAnsiTheme="minorHAnsi" w:cstheme="minorHAnsi"/>
          <w:bCs/>
        </w:rPr>
        <w:t>MZe</w:t>
      </w:r>
      <w:proofErr w:type="spellEnd"/>
      <w:r w:rsidRPr="00A6778A">
        <w:rPr>
          <w:rFonts w:asciiTheme="minorHAnsi" w:hAnsiTheme="minorHAnsi" w:cstheme="minorHAnsi"/>
          <w:bCs/>
        </w:rPr>
        <w:t xml:space="preserve"> šest státních podniků v likvidaci. </w:t>
      </w:r>
      <w:r>
        <w:rPr>
          <w:rFonts w:asciiTheme="minorHAnsi" w:hAnsiTheme="minorHAnsi" w:cstheme="minorHAnsi"/>
          <w:bCs/>
        </w:rPr>
        <w:t xml:space="preserve">NKÚ </w:t>
      </w:r>
      <w:r>
        <w:rPr>
          <w:rFonts w:asciiTheme="minorHAnsi" w:hAnsiTheme="minorHAnsi" w:cstheme="minorHAnsi"/>
        </w:rPr>
        <w:t>k</w:t>
      </w:r>
      <w:r w:rsidR="005401BC">
        <w:rPr>
          <w:rFonts w:asciiTheme="minorHAnsi" w:hAnsiTheme="minorHAnsi" w:cstheme="minorHAnsi"/>
        </w:rPr>
        <w:t xml:space="preserve">e kontrole </w:t>
      </w:r>
      <w:r w:rsidR="00E228A3">
        <w:rPr>
          <w:rFonts w:asciiTheme="minorHAnsi" w:hAnsiTheme="minorHAnsi" w:cstheme="minorHAnsi"/>
        </w:rPr>
        <w:t xml:space="preserve">z těchto </w:t>
      </w:r>
      <w:r w:rsidR="00597E14" w:rsidRPr="00DA09C0">
        <w:rPr>
          <w:rFonts w:asciiTheme="minorHAnsi" w:hAnsiTheme="minorHAnsi" w:cstheme="minorHAnsi"/>
        </w:rPr>
        <w:t xml:space="preserve">třinácti </w:t>
      </w:r>
      <w:r w:rsidR="00E228A3" w:rsidRPr="00DA09C0">
        <w:rPr>
          <w:rFonts w:asciiTheme="minorHAnsi" w:hAnsiTheme="minorHAnsi" w:cstheme="minorHAnsi"/>
        </w:rPr>
        <w:t>státních podniků</w:t>
      </w:r>
      <w:r w:rsidR="005401BC" w:rsidRPr="00DA09C0">
        <w:rPr>
          <w:rFonts w:asciiTheme="minorHAnsi" w:hAnsiTheme="minorHAnsi" w:cstheme="minorHAnsi"/>
        </w:rPr>
        <w:t xml:space="preserve"> vybral </w:t>
      </w:r>
      <w:r w:rsidR="00E228A3" w:rsidRPr="00DA09C0">
        <w:rPr>
          <w:rFonts w:asciiTheme="minorHAnsi" w:hAnsiTheme="minorHAnsi" w:cstheme="minorHAnsi"/>
        </w:rPr>
        <w:t>celkem sedm státních podniků</w:t>
      </w:r>
      <w:r w:rsidR="005401BC" w:rsidRPr="00DA09C0">
        <w:rPr>
          <w:rFonts w:asciiTheme="minorHAnsi" w:hAnsiTheme="minorHAnsi" w:cstheme="minorHAnsi"/>
        </w:rPr>
        <w:t>, které byly k</w:t>
      </w:r>
      <w:r w:rsidR="00B3735C" w:rsidRPr="00DA09C0">
        <w:rPr>
          <w:rFonts w:asciiTheme="minorHAnsi" w:hAnsiTheme="minorHAnsi" w:cstheme="minorHAnsi"/>
        </w:rPr>
        <w:t> 31.</w:t>
      </w:r>
      <w:r w:rsidR="005700E2" w:rsidRPr="00DA09C0">
        <w:rPr>
          <w:rFonts w:asciiTheme="minorHAnsi" w:hAnsiTheme="minorHAnsi" w:cstheme="minorHAnsi"/>
        </w:rPr>
        <w:t> </w:t>
      </w:r>
      <w:r w:rsidR="00B3735C" w:rsidRPr="00DA09C0">
        <w:rPr>
          <w:rFonts w:asciiTheme="minorHAnsi" w:hAnsiTheme="minorHAnsi" w:cstheme="minorHAnsi"/>
        </w:rPr>
        <w:t>srpn</w:t>
      </w:r>
      <w:r w:rsidR="00E228A3" w:rsidRPr="00DA09C0">
        <w:rPr>
          <w:rFonts w:asciiTheme="minorHAnsi" w:hAnsiTheme="minorHAnsi" w:cstheme="minorHAnsi"/>
        </w:rPr>
        <w:t>u</w:t>
      </w:r>
      <w:r w:rsidR="005401BC" w:rsidRPr="00DA09C0">
        <w:rPr>
          <w:rFonts w:asciiTheme="minorHAnsi" w:hAnsiTheme="minorHAnsi" w:cstheme="minorHAnsi"/>
        </w:rPr>
        <w:t xml:space="preserve"> 2024 v likvidaci a k tomuto datu u nich</w:t>
      </w:r>
      <w:r w:rsidR="007A3768" w:rsidRPr="007A3768">
        <w:rPr>
          <w:rFonts w:asciiTheme="minorHAnsi" w:hAnsiTheme="minorHAnsi" w:cstheme="minorHAnsi"/>
        </w:rPr>
        <w:t xml:space="preserve"> </w:t>
      </w:r>
      <w:r w:rsidR="007A3768" w:rsidRPr="00DA09C0">
        <w:rPr>
          <w:rFonts w:asciiTheme="minorHAnsi" w:hAnsiTheme="minorHAnsi" w:cstheme="minorHAnsi"/>
        </w:rPr>
        <w:t>nebyl</w:t>
      </w:r>
      <w:r w:rsidR="007A3768">
        <w:rPr>
          <w:rFonts w:asciiTheme="minorHAnsi" w:hAnsiTheme="minorHAnsi" w:cstheme="minorHAnsi"/>
        </w:rPr>
        <w:t>o</w:t>
      </w:r>
      <w:r w:rsidR="005401BC" w:rsidRPr="00DA09C0">
        <w:rPr>
          <w:rFonts w:asciiTheme="minorHAnsi" w:hAnsiTheme="minorHAnsi" w:cstheme="minorHAnsi"/>
        </w:rPr>
        <w:t xml:space="preserve"> v obchodní</w:t>
      </w:r>
      <w:r w:rsidR="00273D8B">
        <w:rPr>
          <w:rFonts w:asciiTheme="minorHAnsi" w:hAnsiTheme="minorHAnsi" w:cstheme="minorHAnsi"/>
        </w:rPr>
        <w:t>m</w:t>
      </w:r>
      <w:r w:rsidR="005401BC" w:rsidRPr="00DA09C0">
        <w:rPr>
          <w:rFonts w:asciiTheme="minorHAnsi" w:hAnsiTheme="minorHAnsi" w:cstheme="minorHAnsi"/>
        </w:rPr>
        <w:t xml:space="preserve"> rejstříku zapsán</w:t>
      </w:r>
      <w:r w:rsidR="00273D8B">
        <w:rPr>
          <w:rFonts w:asciiTheme="minorHAnsi" w:hAnsiTheme="minorHAnsi" w:cstheme="minorHAnsi"/>
        </w:rPr>
        <w:t>o přerušení likvidace</w:t>
      </w:r>
      <w:r w:rsidR="005401BC" w:rsidRPr="00DA09C0">
        <w:rPr>
          <w:rFonts w:asciiTheme="minorHAnsi" w:hAnsiTheme="minorHAnsi" w:cstheme="minorHAnsi"/>
        </w:rPr>
        <w:t xml:space="preserve"> konkurs</w:t>
      </w:r>
      <w:r w:rsidR="00273D8B">
        <w:rPr>
          <w:rFonts w:asciiTheme="minorHAnsi" w:hAnsiTheme="minorHAnsi" w:cstheme="minorHAnsi"/>
        </w:rPr>
        <w:t>em</w:t>
      </w:r>
      <w:r w:rsidR="005401BC" w:rsidRPr="00DA09C0">
        <w:rPr>
          <w:rFonts w:asciiTheme="minorHAnsi" w:hAnsiTheme="minorHAnsi" w:cstheme="minorHAnsi"/>
        </w:rPr>
        <w:t>.</w:t>
      </w:r>
      <w:r w:rsidR="00E228A3" w:rsidRPr="00DA09C0">
        <w:rPr>
          <w:rFonts w:asciiTheme="minorHAnsi" w:hAnsiTheme="minorHAnsi" w:cstheme="minorHAnsi"/>
        </w:rPr>
        <w:t xml:space="preserve"> NKÚ ke kontrole n</w:t>
      </w:r>
      <w:r w:rsidR="00E228A3">
        <w:rPr>
          <w:rFonts w:asciiTheme="minorHAnsi" w:hAnsiTheme="minorHAnsi" w:cstheme="minorHAnsi"/>
        </w:rPr>
        <w:t>evybral dva státní podniky v likvidaci, u nichž byla již z pohledu MPO likvidace ukončena, ale nebyly ještě vymazány z obchodního rejstříku</w:t>
      </w:r>
      <w:r w:rsidR="007A3768">
        <w:rPr>
          <w:rFonts w:asciiTheme="minorHAnsi" w:hAnsiTheme="minorHAnsi" w:cstheme="minorHAnsi"/>
        </w:rPr>
        <w:t>,</w:t>
      </w:r>
      <w:r w:rsidR="00BD7D9B">
        <w:rPr>
          <w:rFonts w:asciiTheme="minorHAnsi" w:hAnsiTheme="minorHAnsi" w:cstheme="minorHAnsi"/>
        </w:rPr>
        <w:t xml:space="preserve"> a</w:t>
      </w:r>
      <w:r w:rsidR="007A3768">
        <w:rPr>
          <w:rFonts w:asciiTheme="minorHAnsi" w:hAnsiTheme="minorHAnsi" w:cstheme="minorHAnsi"/>
        </w:rPr>
        <w:t> rovněž</w:t>
      </w:r>
      <w:r w:rsidR="00BD7D9B">
        <w:rPr>
          <w:rFonts w:asciiTheme="minorHAnsi" w:hAnsiTheme="minorHAnsi" w:cstheme="minorHAnsi"/>
        </w:rPr>
        <w:t xml:space="preserve"> nevybral čtyři státní podniky,</w:t>
      </w:r>
      <w:r w:rsidR="00687DB4">
        <w:rPr>
          <w:rFonts w:asciiTheme="minorHAnsi" w:hAnsiTheme="minorHAnsi" w:cstheme="minorHAnsi"/>
        </w:rPr>
        <w:t xml:space="preserve"> </w:t>
      </w:r>
      <w:r w:rsidR="00BD7D9B">
        <w:rPr>
          <w:rFonts w:asciiTheme="minorHAnsi" w:hAnsiTheme="minorHAnsi" w:cstheme="minorHAnsi"/>
        </w:rPr>
        <w:t xml:space="preserve">u nichž </w:t>
      </w:r>
      <w:r w:rsidR="00010B8C">
        <w:rPr>
          <w:rFonts w:asciiTheme="minorHAnsi" w:hAnsiTheme="minorHAnsi" w:cstheme="minorHAnsi"/>
        </w:rPr>
        <w:t>bylo v době zahájení kontroly v obchodním rejstříku zapsáno přerušení likvidace prohlášením konkursu.</w:t>
      </w:r>
    </w:p>
    <w:p w14:paraId="269EC56C" w14:textId="71CD2EFD" w:rsidR="00E07E61" w:rsidRDefault="00AE4E5B" w:rsidP="00B14F45">
      <w:pPr>
        <w:spacing w:before="120" w:after="120"/>
        <w:rPr>
          <w:rFonts w:asciiTheme="minorHAnsi" w:hAnsiTheme="minorHAnsi" w:cstheme="minorHAnsi"/>
        </w:rPr>
      </w:pPr>
      <w:r w:rsidRPr="00E07E61">
        <w:rPr>
          <w:rFonts w:asciiTheme="minorHAnsi" w:hAnsiTheme="minorHAnsi" w:cstheme="minorHAnsi"/>
          <w:b/>
          <w:bCs/>
        </w:rPr>
        <w:t xml:space="preserve">Kontrolovaný objem u MPO a </w:t>
      </w:r>
      <w:proofErr w:type="spellStart"/>
      <w:r w:rsidRPr="00E07E61">
        <w:rPr>
          <w:rFonts w:asciiTheme="minorHAnsi" w:hAnsiTheme="minorHAnsi" w:cstheme="minorHAnsi"/>
          <w:b/>
          <w:bCs/>
        </w:rPr>
        <w:t>MZe</w:t>
      </w:r>
      <w:proofErr w:type="spellEnd"/>
      <w:r w:rsidRPr="00216D5A">
        <w:rPr>
          <w:rFonts w:asciiTheme="minorHAnsi" w:hAnsiTheme="minorHAnsi" w:cstheme="minorHAnsi"/>
        </w:rPr>
        <w:t xml:space="preserve"> činil 439 381 </w:t>
      </w:r>
      <w:r w:rsidR="009E46B4">
        <w:rPr>
          <w:rFonts w:asciiTheme="minorHAnsi" w:hAnsiTheme="minorHAnsi" w:cstheme="minorHAnsi"/>
        </w:rPr>
        <w:t>125</w:t>
      </w:r>
      <w:r w:rsidRPr="00216D5A">
        <w:rPr>
          <w:rFonts w:asciiTheme="minorHAnsi" w:hAnsiTheme="minorHAnsi" w:cstheme="minorHAnsi"/>
        </w:rPr>
        <w:t xml:space="preserve"> Kč a byl stanoven jako součet výše aktiv, které vykazoval</w:t>
      </w:r>
      <w:r w:rsidR="0014241B">
        <w:rPr>
          <w:rFonts w:asciiTheme="minorHAnsi" w:hAnsiTheme="minorHAnsi" w:cstheme="minorHAnsi"/>
        </w:rPr>
        <w:t>o sedm vybraných státních podniků v</w:t>
      </w:r>
      <w:r w:rsidR="009E46B4">
        <w:rPr>
          <w:rFonts w:asciiTheme="minorHAnsi" w:hAnsiTheme="minorHAnsi" w:cstheme="minorHAnsi"/>
        </w:rPr>
        <w:t> </w:t>
      </w:r>
      <w:r w:rsidR="0014241B">
        <w:rPr>
          <w:rFonts w:asciiTheme="minorHAnsi" w:hAnsiTheme="minorHAnsi" w:cstheme="minorHAnsi"/>
        </w:rPr>
        <w:t>likvidaci</w:t>
      </w:r>
      <w:r w:rsidRPr="00216D5A">
        <w:rPr>
          <w:rFonts w:asciiTheme="minorHAnsi" w:hAnsiTheme="minorHAnsi" w:cstheme="minorHAnsi"/>
        </w:rPr>
        <w:t xml:space="preserve"> k počátku kontrolovaného období</w:t>
      </w:r>
      <w:r w:rsidR="007A3768">
        <w:rPr>
          <w:rFonts w:asciiTheme="minorHAnsi" w:hAnsiTheme="minorHAnsi" w:cstheme="minorHAnsi"/>
        </w:rPr>
        <w:t xml:space="preserve"> </w:t>
      </w:r>
      <w:r w:rsidRPr="00216D5A">
        <w:rPr>
          <w:rFonts w:asciiTheme="minorHAnsi" w:hAnsiTheme="minorHAnsi" w:cstheme="minorHAnsi"/>
        </w:rPr>
        <w:t xml:space="preserve">(resp. k 31. prosinci 2019) a likvidačních zůstatků státních podniků, u kterých byla likvidace ukončena v kontrolovaném období. </w:t>
      </w:r>
    </w:p>
    <w:p w14:paraId="06501530" w14:textId="340895F4" w:rsidR="00AE4E5B" w:rsidRDefault="00AE4E5B" w:rsidP="00B14F45">
      <w:pPr>
        <w:spacing w:before="120" w:after="120"/>
        <w:rPr>
          <w:rFonts w:asciiTheme="minorHAnsi" w:hAnsiTheme="minorHAnsi" w:cstheme="minorHAnsi"/>
        </w:rPr>
      </w:pPr>
      <w:r w:rsidRPr="00E07E61">
        <w:rPr>
          <w:rFonts w:asciiTheme="minorHAnsi" w:hAnsiTheme="minorHAnsi" w:cstheme="minorHAnsi"/>
          <w:b/>
          <w:bCs/>
        </w:rPr>
        <w:t>Kontrolovaný objem státních podniků</w:t>
      </w:r>
      <w:r w:rsidRPr="00216D5A">
        <w:rPr>
          <w:rFonts w:asciiTheme="minorHAnsi" w:hAnsiTheme="minorHAnsi" w:cstheme="minorHAnsi"/>
        </w:rPr>
        <w:t xml:space="preserve"> ve výši 222 932</w:t>
      </w:r>
      <w:r w:rsidR="009E46B4">
        <w:rPr>
          <w:rFonts w:asciiTheme="minorHAnsi" w:hAnsiTheme="minorHAnsi" w:cstheme="minorHAnsi"/>
        </w:rPr>
        <w:t xml:space="preserve"> 113 </w:t>
      </w:r>
      <w:r w:rsidRPr="00216D5A">
        <w:rPr>
          <w:rFonts w:asciiTheme="minorHAnsi" w:hAnsiTheme="minorHAnsi" w:cstheme="minorHAnsi"/>
        </w:rPr>
        <w:t>Kč tvořily veškeré výnosy, pohledávky a vyplacené odměny v kontrolovaném období</w:t>
      </w:r>
      <w:r>
        <w:rPr>
          <w:rFonts w:asciiTheme="minorHAnsi" w:hAnsiTheme="minorHAnsi" w:cstheme="minorHAnsi"/>
        </w:rPr>
        <w:t xml:space="preserve">, </w:t>
      </w:r>
      <w:r w:rsidRPr="00216D5A">
        <w:rPr>
          <w:rFonts w:asciiTheme="minorHAnsi" w:hAnsiTheme="minorHAnsi" w:cstheme="minorHAnsi"/>
        </w:rPr>
        <w:t>ho</w:t>
      </w:r>
      <w:r w:rsidRPr="00517034">
        <w:rPr>
          <w:rFonts w:asciiTheme="minorHAnsi" w:hAnsiTheme="minorHAnsi" w:cstheme="minorHAnsi"/>
        </w:rPr>
        <w:t>dnota kontrolovaných smluv/objednávek vybraných ke kontrole a účetní hodnota vybraného vzorku majetku převedeného</w:t>
      </w:r>
      <w:r>
        <w:rPr>
          <w:rFonts w:asciiTheme="minorHAnsi" w:hAnsiTheme="minorHAnsi" w:cstheme="minorHAnsi"/>
        </w:rPr>
        <w:t xml:space="preserve"> úplatně nebo bezúplatně</w:t>
      </w:r>
      <w:r w:rsidRPr="00517034">
        <w:rPr>
          <w:rFonts w:asciiTheme="minorHAnsi" w:hAnsiTheme="minorHAnsi" w:cstheme="minorHAnsi"/>
        </w:rPr>
        <w:t>.</w:t>
      </w:r>
    </w:p>
    <w:p w14:paraId="26428B6D" w14:textId="07760DF8" w:rsidR="00C459F8" w:rsidRDefault="00845F19" w:rsidP="00B14F45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Z hlediska</w:t>
      </w:r>
      <w:r w:rsidR="00AE4E5B" w:rsidRPr="00931AE2">
        <w:rPr>
          <w:rFonts w:asciiTheme="minorHAnsi" w:hAnsiTheme="minorHAnsi" w:cstheme="minorHAnsi"/>
          <w:b/>
        </w:rPr>
        <w:t xml:space="preserve"> legality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kontroloval</w:t>
      </w:r>
      <w:r w:rsidRPr="00EF7F32">
        <w:rPr>
          <w:rFonts w:asciiTheme="minorHAnsi" w:hAnsiTheme="minorHAnsi" w:cstheme="minorHAnsi"/>
        </w:rPr>
        <w:t xml:space="preserve"> </w:t>
      </w:r>
      <w:r w:rsidRPr="00845F19">
        <w:rPr>
          <w:rFonts w:asciiTheme="minorHAnsi" w:hAnsiTheme="minorHAnsi" w:cstheme="minorHAnsi"/>
        </w:rPr>
        <w:t xml:space="preserve">NKÚ u </w:t>
      </w:r>
      <w:r w:rsidR="004B6A00">
        <w:rPr>
          <w:rFonts w:asciiTheme="minorHAnsi" w:hAnsiTheme="minorHAnsi" w:cstheme="minorHAnsi"/>
        </w:rPr>
        <w:t>ministerstev</w:t>
      </w:r>
      <w:r w:rsidRPr="00845F19">
        <w:rPr>
          <w:rFonts w:asciiTheme="minorHAnsi" w:hAnsiTheme="minorHAnsi" w:cstheme="minorHAnsi"/>
        </w:rPr>
        <w:t xml:space="preserve"> plnění</w:t>
      </w:r>
      <w:r w:rsidRPr="00EF7F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úkolů a </w:t>
      </w:r>
      <w:r w:rsidRPr="00EF7F32">
        <w:rPr>
          <w:rFonts w:asciiTheme="minorHAnsi" w:hAnsiTheme="minorHAnsi" w:cstheme="minorHAnsi"/>
        </w:rPr>
        <w:t xml:space="preserve">opatření stanovených </w:t>
      </w:r>
      <w:r>
        <w:rPr>
          <w:rFonts w:asciiTheme="minorHAnsi" w:hAnsiTheme="minorHAnsi" w:cstheme="minorHAnsi"/>
        </w:rPr>
        <w:t xml:space="preserve">v souvislosti s přijetím </w:t>
      </w:r>
      <w:r w:rsidRPr="005703BD">
        <w:rPr>
          <w:rFonts w:asciiTheme="minorHAnsi" w:hAnsiTheme="minorHAnsi" w:cstheme="minorHAnsi"/>
          <w:i/>
          <w:iCs/>
        </w:rPr>
        <w:t>Strategie vlastnické politiky státu</w:t>
      </w:r>
      <w:r>
        <w:rPr>
          <w:rFonts w:asciiTheme="minorHAnsi" w:hAnsiTheme="minorHAnsi" w:cstheme="minorHAnsi"/>
        </w:rPr>
        <w:t xml:space="preserve"> a </w:t>
      </w:r>
      <w:r w:rsidRPr="00EF7F32">
        <w:rPr>
          <w:rFonts w:asciiTheme="minorHAnsi" w:hAnsiTheme="minorHAnsi" w:cstheme="minorHAnsi"/>
        </w:rPr>
        <w:t xml:space="preserve">plnění </w:t>
      </w:r>
      <w:r>
        <w:rPr>
          <w:rFonts w:asciiTheme="minorHAnsi" w:hAnsiTheme="minorHAnsi" w:cstheme="minorHAnsi"/>
        </w:rPr>
        <w:t xml:space="preserve">jejich </w:t>
      </w:r>
      <w:r w:rsidRPr="00EF7F32">
        <w:rPr>
          <w:rFonts w:asciiTheme="minorHAnsi" w:hAnsiTheme="minorHAnsi" w:cstheme="minorHAnsi"/>
        </w:rPr>
        <w:t>povinností jako zakladatel</w:t>
      </w:r>
      <w:r>
        <w:rPr>
          <w:rFonts w:asciiTheme="minorHAnsi" w:hAnsiTheme="minorHAnsi" w:cstheme="minorHAnsi"/>
        </w:rPr>
        <w:t>ů</w:t>
      </w:r>
      <w:r w:rsidRPr="00EF7F32">
        <w:rPr>
          <w:rFonts w:asciiTheme="minorHAnsi" w:hAnsiTheme="minorHAnsi" w:cstheme="minorHAnsi"/>
        </w:rPr>
        <w:t xml:space="preserve"> státních podniků</w:t>
      </w:r>
      <w:r>
        <w:rPr>
          <w:rFonts w:asciiTheme="minorHAnsi" w:hAnsiTheme="minorHAnsi" w:cstheme="minorHAnsi"/>
        </w:rPr>
        <w:t>, zejména v oblasti vydávání souhlasů s nakládáním s</w:t>
      </w:r>
      <w:r w:rsidR="000D01A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majetkem</w:t>
      </w:r>
      <w:r w:rsidR="000D01A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schvalování účetních závěrek a provádění veřejnosprávních kontrol. NKÚ se dále zabýval postupem </w:t>
      </w:r>
      <w:r w:rsidR="007A3768">
        <w:rPr>
          <w:rFonts w:asciiTheme="minorHAnsi" w:hAnsiTheme="minorHAnsi" w:cstheme="minorHAnsi"/>
        </w:rPr>
        <w:t>ministerstev</w:t>
      </w:r>
      <w:r w:rsidRPr="00EF7F32">
        <w:rPr>
          <w:rFonts w:asciiTheme="minorHAnsi" w:hAnsiTheme="minorHAnsi" w:cstheme="minorHAnsi"/>
        </w:rPr>
        <w:t xml:space="preserve"> při likvidaci státních podniků</w:t>
      </w:r>
      <w:r>
        <w:rPr>
          <w:rFonts w:asciiTheme="minorHAnsi" w:hAnsiTheme="minorHAnsi" w:cstheme="minorHAnsi"/>
        </w:rPr>
        <w:t xml:space="preserve">, zejména </w:t>
      </w:r>
      <w:r w:rsidR="00297B27">
        <w:rPr>
          <w:rFonts w:asciiTheme="minorHAnsi" w:hAnsiTheme="minorHAnsi" w:cstheme="minorHAnsi"/>
        </w:rPr>
        <w:t xml:space="preserve">při </w:t>
      </w:r>
      <w:r w:rsidRPr="00CE56A6">
        <w:rPr>
          <w:rFonts w:asciiTheme="minorHAnsi" w:hAnsiTheme="minorHAnsi" w:cstheme="minorHAnsi"/>
        </w:rPr>
        <w:t>jmenování likvidátora, stanovení jeho odměny, sledování průběhu likvidace</w:t>
      </w:r>
      <w:r>
        <w:rPr>
          <w:rFonts w:asciiTheme="minorHAnsi" w:hAnsiTheme="minorHAnsi" w:cstheme="minorHAnsi"/>
        </w:rPr>
        <w:t xml:space="preserve">, </w:t>
      </w:r>
      <w:r w:rsidRPr="00CE56A6">
        <w:rPr>
          <w:rFonts w:asciiTheme="minorHAnsi" w:hAnsiTheme="minorHAnsi" w:cstheme="minorHAnsi"/>
        </w:rPr>
        <w:t xml:space="preserve">rozhodnutí o fúzi </w:t>
      </w:r>
      <w:r>
        <w:rPr>
          <w:rFonts w:asciiTheme="minorHAnsi" w:hAnsiTheme="minorHAnsi" w:cstheme="minorHAnsi"/>
        </w:rPr>
        <w:t xml:space="preserve">a </w:t>
      </w:r>
      <w:r w:rsidR="00297B27">
        <w:rPr>
          <w:rFonts w:asciiTheme="minorHAnsi" w:hAnsiTheme="minorHAnsi" w:cstheme="minorHAnsi"/>
        </w:rPr>
        <w:t xml:space="preserve">při </w:t>
      </w:r>
      <w:r w:rsidRPr="00CE56A6">
        <w:rPr>
          <w:rFonts w:asciiTheme="minorHAnsi" w:hAnsiTheme="minorHAnsi" w:cstheme="minorHAnsi"/>
        </w:rPr>
        <w:t>převodu likvidačních zůstatků a</w:t>
      </w:r>
      <w:r>
        <w:rPr>
          <w:rFonts w:asciiTheme="minorHAnsi" w:hAnsiTheme="minorHAnsi" w:cstheme="minorHAnsi"/>
        </w:rPr>
        <w:t> </w:t>
      </w:r>
      <w:r w:rsidRPr="00CE56A6">
        <w:rPr>
          <w:rFonts w:asciiTheme="minorHAnsi" w:hAnsiTheme="minorHAnsi" w:cstheme="minorHAnsi"/>
        </w:rPr>
        <w:t>výmaz</w:t>
      </w:r>
      <w:r>
        <w:rPr>
          <w:rFonts w:asciiTheme="minorHAnsi" w:hAnsiTheme="minorHAnsi" w:cstheme="minorHAnsi"/>
        </w:rPr>
        <w:t>ů státních podniků</w:t>
      </w:r>
      <w:r w:rsidRPr="00CE56A6">
        <w:rPr>
          <w:rFonts w:asciiTheme="minorHAnsi" w:hAnsiTheme="minorHAnsi" w:cstheme="minorHAnsi"/>
        </w:rPr>
        <w:t xml:space="preserve"> z obchodního rejstříku</w:t>
      </w:r>
      <w:r>
        <w:rPr>
          <w:rFonts w:asciiTheme="minorHAnsi" w:hAnsiTheme="minorHAnsi" w:cstheme="minorHAnsi"/>
        </w:rPr>
        <w:t>. U státních podniků se NKÚ zabýval kontrolou plnění zákonných povinností spočívajících v</w:t>
      </w:r>
      <w:r w:rsidR="000D01A8">
        <w:rPr>
          <w:rFonts w:asciiTheme="minorHAnsi" w:hAnsiTheme="minorHAnsi" w:cstheme="minorHAnsi"/>
        </w:rPr>
        <w:t>e vedení účetnictví, provádění inventarizace,</w:t>
      </w:r>
      <w:r w:rsidRPr="00334010">
        <w:rPr>
          <w:rFonts w:asciiTheme="minorHAnsi" w:hAnsiTheme="minorHAnsi" w:cstheme="minorHAnsi"/>
        </w:rPr>
        <w:t xml:space="preserve"> sestavení účetních závěrek, jejich ověření auditorem, </w:t>
      </w:r>
      <w:r w:rsidR="000D01A8">
        <w:rPr>
          <w:rFonts w:asciiTheme="minorHAnsi" w:hAnsiTheme="minorHAnsi" w:cstheme="minorHAnsi"/>
        </w:rPr>
        <w:t xml:space="preserve">jejich </w:t>
      </w:r>
      <w:r w:rsidRPr="00334010">
        <w:rPr>
          <w:rFonts w:asciiTheme="minorHAnsi" w:hAnsiTheme="minorHAnsi" w:cstheme="minorHAnsi"/>
        </w:rPr>
        <w:t xml:space="preserve">předkládání zakladateli a </w:t>
      </w:r>
      <w:r w:rsidR="000D01A8">
        <w:rPr>
          <w:rFonts w:asciiTheme="minorHAnsi" w:hAnsiTheme="minorHAnsi" w:cstheme="minorHAnsi"/>
        </w:rPr>
        <w:t xml:space="preserve">jejich </w:t>
      </w:r>
      <w:r w:rsidRPr="00334010">
        <w:rPr>
          <w:rFonts w:asciiTheme="minorHAnsi" w:hAnsiTheme="minorHAnsi" w:cstheme="minorHAnsi"/>
        </w:rPr>
        <w:t xml:space="preserve">zveřejnění </w:t>
      </w:r>
      <w:r>
        <w:rPr>
          <w:rFonts w:asciiTheme="minorHAnsi" w:hAnsiTheme="minorHAnsi" w:cstheme="minorHAnsi"/>
        </w:rPr>
        <w:t>v</w:t>
      </w:r>
      <w:r w:rsidR="000D01A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obchodním rejstříku ve sbírce listin</w:t>
      </w:r>
      <w:r w:rsidRPr="00334010">
        <w:rPr>
          <w:rFonts w:asciiTheme="minorHAnsi" w:hAnsiTheme="minorHAnsi" w:cstheme="minorHAnsi"/>
        </w:rPr>
        <w:t xml:space="preserve"> a</w:t>
      </w:r>
      <w:r w:rsidR="007A3768">
        <w:rPr>
          <w:rFonts w:asciiTheme="minorHAnsi" w:hAnsiTheme="minorHAnsi" w:cstheme="minorHAnsi"/>
        </w:rPr>
        <w:t> </w:t>
      </w:r>
      <w:r w:rsidRPr="00334010">
        <w:rPr>
          <w:rFonts w:asciiTheme="minorHAnsi" w:hAnsiTheme="minorHAnsi" w:cstheme="minorHAnsi"/>
        </w:rPr>
        <w:t>předkládání zpráv</w:t>
      </w:r>
      <w:r>
        <w:rPr>
          <w:rFonts w:asciiTheme="minorHAnsi" w:hAnsiTheme="minorHAnsi" w:cstheme="minorHAnsi"/>
        </w:rPr>
        <w:t xml:space="preserve"> o průběhu likvidace</w:t>
      </w:r>
      <w:r w:rsidRPr="00334010">
        <w:rPr>
          <w:rFonts w:asciiTheme="minorHAnsi" w:hAnsiTheme="minorHAnsi" w:cstheme="minorHAnsi"/>
        </w:rPr>
        <w:t xml:space="preserve"> zakladateli. Dále se NKÚ zaměřil na kontrolu </w:t>
      </w:r>
      <w:r w:rsidR="000D01A8">
        <w:rPr>
          <w:rFonts w:asciiTheme="minorHAnsi" w:hAnsiTheme="minorHAnsi" w:cstheme="minorHAnsi"/>
        </w:rPr>
        <w:t xml:space="preserve">plnění zákonných povinností při </w:t>
      </w:r>
      <w:r w:rsidRPr="00334010">
        <w:rPr>
          <w:rFonts w:asciiTheme="minorHAnsi" w:hAnsiTheme="minorHAnsi" w:cstheme="minorHAnsi"/>
        </w:rPr>
        <w:t>nakládání s</w:t>
      </w:r>
      <w:r w:rsidR="00CA6C71">
        <w:rPr>
          <w:rFonts w:asciiTheme="minorHAnsi" w:hAnsiTheme="minorHAnsi" w:cstheme="minorHAnsi"/>
        </w:rPr>
        <w:t> </w:t>
      </w:r>
      <w:r w:rsidRPr="00334010">
        <w:rPr>
          <w:rFonts w:asciiTheme="minorHAnsi" w:hAnsiTheme="minorHAnsi" w:cstheme="minorHAnsi"/>
        </w:rPr>
        <w:t>majetkem</w:t>
      </w:r>
      <w:r w:rsidR="00CA6C71">
        <w:rPr>
          <w:rFonts w:asciiTheme="minorHAnsi" w:hAnsiTheme="minorHAnsi" w:cstheme="minorHAnsi"/>
        </w:rPr>
        <w:t xml:space="preserve"> státu</w:t>
      </w:r>
      <w:r w:rsidRPr="00334010">
        <w:rPr>
          <w:rFonts w:asciiTheme="minorHAnsi" w:hAnsiTheme="minorHAnsi" w:cstheme="minorHAnsi"/>
        </w:rPr>
        <w:t>.</w:t>
      </w:r>
    </w:p>
    <w:p w14:paraId="3C74B810" w14:textId="6B152597" w:rsidR="009E46B4" w:rsidRDefault="009E46B4" w:rsidP="00B14F45">
      <w:pPr>
        <w:spacing w:before="120" w:after="120"/>
        <w:rPr>
          <w:rFonts w:asciiTheme="minorHAnsi" w:hAnsiTheme="minorHAnsi" w:cstheme="minorHAnsi"/>
        </w:rPr>
      </w:pPr>
      <w:r w:rsidRPr="009E46B4">
        <w:rPr>
          <w:b/>
          <w:bCs/>
        </w:rPr>
        <w:t>Za účelné</w:t>
      </w:r>
      <w:r>
        <w:t xml:space="preserve"> se dle ustanovení § 2 písm. o) zákona č. 320/2001 Sb., o finanční kontrole ve veřejné správě a o změně některých zákonů (zákon o finanční kontrole), považuje takové použití veřejných prostředků, které zajistí optimální míru dosažení cílů při plnění stanovených úkolů.</w:t>
      </w:r>
      <w:r>
        <w:rPr>
          <w:rFonts w:asciiTheme="minorHAnsi" w:hAnsiTheme="minorHAnsi" w:cstheme="minorHAnsi"/>
        </w:rPr>
        <w:t xml:space="preserve"> </w:t>
      </w:r>
      <w:r w:rsidR="004B4F3F" w:rsidRPr="009E46B4">
        <w:rPr>
          <w:rFonts w:asciiTheme="minorHAnsi" w:hAnsiTheme="minorHAnsi" w:cstheme="minorHAnsi"/>
          <w:bCs/>
        </w:rPr>
        <w:t>Z hlediska účelnosti</w:t>
      </w:r>
      <w:r w:rsidR="004B4F3F" w:rsidRPr="009335B0">
        <w:rPr>
          <w:rFonts w:asciiTheme="minorHAnsi" w:hAnsiTheme="minorHAnsi" w:cstheme="minorHAnsi"/>
        </w:rPr>
        <w:t xml:space="preserve"> </w:t>
      </w:r>
      <w:r w:rsidR="004B4F3F">
        <w:rPr>
          <w:rFonts w:asciiTheme="minorHAnsi" w:hAnsiTheme="minorHAnsi" w:cstheme="minorHAnsi"/>
        </w:rPr>
        <w:t>posuzoval NKÚ, zda</w:t>
      </w:r>
      <w:r w:rsidR="00AE4E5B" w:rsidRPr="00931AE2">
        <w:rPr>
          <w:rFonts w:asciiTheme="minorHAnsi" w:hAnsiTheme="minorHAnsi" w:cstheme="minorHAnsi"/>
        </w:rPr>
        <w:t xml:space="preserve"> </w:t>
      </w:r>
      <w:r w:rsidR="004B4F3F">
        <w:rPr>
          <w:rFonts w:asciiTheme="minorHAnsi" w:hAnsiTheme="minorHAnsi" w:cstheme="minorHAnsi"/>
        </w:rPr>
        <w:t>státní podniky</w:t>
      </w:r>
      <w:r w:rsidR="00AE4E5B" w:rsidRPr="00931AE2">
        <w:rPr>
          <w:rFonts w:asciiTheme="minorHAnsi" w:hAnsiTheme="minorHAnsi" w:cstheme="minorHAnsi"/>
        </w:rPr>
        <w:t xml:space="preserve"> v</w:t>
      </w:r>
      <w:r w:rsidR="008163D3">
        <w:rPr>
          <w:rFonts w:asciiTheme="minorHAnsi" w:hAnsiTheme="minorHAnsi" w:cstheme="minorHAnsi"/>
        </w:rPr>
        <w:t> </w:t>
      </w:r>
      <w:r w:rsidR="00AE4E5B" w:rsidRPr="00931AE2">
        <w:rPr>
          <w:rFonts w:asciiTheme="minorHAnsi" w:hAnsiTheme="minorHAnsi" w:cstheme="minorHAnsi"/>
        </w:rPr>
        <w:t>likvidaci</w:t>
      </w:r>
      <w:r w:rsidR="008163D3">
        <w:rPr>
          <w:rFonts w:asciiTheme="minorHAnsi" w:hAnsiTheme="minorHAnsi" w:cstheme="minorHAnsi"/>
        </w:rPr>
        <w:t xml:space="preserve"> nevynakládaly peněžní prostředky</w:t>
      </w:r>
      <w:r w:rsidR="00AE4E5B" w:rsidRPr="00931AE2">
        <w:rPr>
          <w:rFonts w:asciiTheme="minorHAnsi" w:hAnsiTheme="minorHAnsi" w:cstheme="minorHAnsi"/>
        </w:rPr>
        <w:t xml:space="preserve"> na činnosti, dodávky a služby, které nesouvisely s</w:t>
      </w:r>
      <w:r w:rsidR="008163D3">
        <w:rPr>
          <w:rFonts w:asciiTheme="minorHAnsi" w:hAnsiTheme="minorHAnsi" w:cstheme="minorHAnsi"/>
        </w:rPr>
        <w:t>e zákonnými povinnostmi a</w:t>
      </w:r>
      <w:r w:rsidR="00AE4E5B" w:rsidRPr="00931AE2">
        <w:rPr>
          <w:rFonts w:asciiTheme="minorHAnsi" w:hAnsiTheme="minorHAnsi" w:cstheme="minorHAnsi"/>
        </w:rPr>
        <w:t> likvidací anebo nebyly k dokončení procesu</w:t>
      </w:r>
      <w:r w:rsidR="007A3768">
        <w:rPr>
          <w:rFonts w:asciiTheme="minorHAnsi" w:hAnsiTheme="minorHAnsi" w:cstheme="minorHAnsi"/>
        </w:rPr>
        <w:t xml:space="preserve"> </w:t>
      </w:r>
      <w:r w:rsidR="00AE4E5B" w:rsidRPr="00931AE2">
        <w:rPr>
          <w:rFonts w:asciiTheme="minorHAnsi" w:hAnsiTheme="minorHAnsi" w:cstheme="minorHAnsi"/>
        </w:rPr>
        <w:t>likvidace potřebné.</w:t>
      </w:r>
    </w:p>
    <w:p w14:paraId="1D3FF0E2" w14:textId="500197D0" w:rsidR="00881FD5" w:rsidRDefault="009E46B4" w:rsidP="00B14F45">
      <w:pPr>
        <w:spacing w:before="120" w:after="120"/>
        <w:rPr>
          <w:rFonts w:asciiTheme="minorHAnsi" w:hAnsiTheme="minorHAnsi" w:cstheme="minorHAnsi"/>
        </w:rPr>
      </w:pPr>
      <w:r w:rsidRPr="009E46B4">
        <w:rPr>
          <w:b/>
          <w:bCs/>
        </w:rPr>
        <w:t>Za hospodárné</w:t>
      </w:r>
      <w:r>
        <w:t xml:space="preserve"> se dle ustanovení § 2 písm. m) zák. č. 320/2001 Sb</w:t>
      </w:r>
      <w:r w:rsidR="00442BE5">
        <w:t xml:space="preserve">. </w:t>
      </w:r>
      <w:r>
        <w:t xml:space="preserve">považuje takové použití veřejných prostředků, které vede k zajištění stanovených úkolů s co nejnižším vynaložením těchto prostředků, a to při dodržení odpovídající kvality plněných úkolů. </w:t>
      </w:r>
      <w:r w:rsidR="008163D3" w:rsidRPr="009E46B4">
        <w:rPr>
          <w:rFonts w:asciiTheme="minorHAnsi" w:hAnsiTheme="minorHAnsi" w:cstheme="minorHAnsi"/>
          <w:bCs/>
        </w:rPr>
        <w:t>Z</w:t>
      </w:r>
      <w:r w:rsidRPr="009E46B4">
        <w:rPr>
          <w:rFonts w:asciiTheme="minorHAnsi" w:hAnsiTheme="minorHAnsi" w:cstheme="minorHAnsi"/>
          <w:bCs/>
        </w:rPr>
        <w:t> </w:t>
      </w:r>
      <w:r w:rsidR="008163D3" w:rsidRPr="009E46B4">
        <w:rPr>
          <w:rFonts w:asciiTheme="minorHAnsi" w:hAnsiTheme="minorHAnsi" w:cstheme="minorHAnsi"/>
          <w:bCs/>
        </w:rPr>
        <w:t>hlediska hospodárnosti posuzoval</w:t>
      </w:r>
      <w:r w:rsidR="008163D3" w:rsidRPr="00C16A89">
        <w:rPr>
          <w:rFonts w:asciiTheme="minorHAnsi" w:hAnsiTheme="minorHAnsi" w:cstheme="minorHAnsi"/>
        </w:rPr>
        <w:t xml:space="preserve"> NKÚ, zda nebyla likvidátorům vyplácena vyšší odměna</w:t>
      </w:r>
      <w:r w:rsidR="00AE4E5B" w:rsidRPr="00931AE2">
        <w:rPr>
          <w:rFonts w:asciiTheme="minorHAnsi" w:hAnsiTheme="minorHAnsi" w:cstheme="minorHAnsi"/>
        </w:rPr>
        <w:t xml:space="preserve"> než smluvně stanoven</w:t>
      </w:r>
      <w:r w:rsidR="008163D3">
        <w:rPr>
          <w:rFonts w:asciiTheme="minorHAnsi" w:hAnsiTheme="minorHAnsi" w:cstheme="minorHAnsi"/>
        </w:rPr>
        <w:t>á</w:t>
      </w:r>
      <w:r w:rsidR="00AE4E5B" w:rsidRPr="00931AE2">
        <w:rPr>
          <w:rFonts w:asciiTheme="minorHAnsi" w:hAnsiTheme="minorHAnsi" w:cstheme="minorHAnsi"/>
        </w:rPr>
        <w:t xml:space="preserve"> nebo </w:t>
      </w:r>
      <w:r w:rsidR="008163D3">
        <w:rPr>
          <w:rFonts w:asciiTheme="minorHAnsi" w:hAnsiTheme="minorHAnsi" w:cstheme="minorHAnsi"/>
        </w:rPr>
        <w:t>zda jim nebyla vyplácena odměna</w:t>
      </w:r>
      <w:r w:rsidR="00AE4E5B" w:rsidRPr="00931AE2">
        <w:rPr>
          <w:rFonts w:asciiTheme="minorHAnsi" w:hAnsiTheme="minorHAnsi" w:cstheme="minorHAnsi"/>
        </w:rPr>
        <w:t xml:space="preserve">, přestože žádné činnosti v souvislosti s likvidací </w:t>
      </w:r>
      <w:r w:rsidR="008163D3">
        <w:rPr>
          <w:rFonts w:asciiTheme="minorHAnsi" w:hAnsiTheme="minorHAnsi" w:cstheme="minorHAnsi"/>
        </w:rPr>
        <w:t xml:space="preserve">nevykonávali. NKÚ dále posuzoval, zda </w:t>
      </w:r>
      <w:r w:rsidR="005A1C19">
        <w:rPr>
          <w:rFonts w:asciiTheme="minorHAnsi" w:hAnsiTheme="minorHAnsi" w:cstheme="minorHAnsi"/>
        </w:rPr>
        <w:t>státní podnik v likvidaci nevynaložil</w:t>
      </w:r>
      <w:r w:rsidR="00AE4E5B" w:rsidRPr="00931AE2">
        <w:rPr>
          <w:rFonts w:asciiTheme="minorHAnsi" w:hAnsiTheme="minorHAnsi" w:cstheme="minorHAnsi"/>
        </w:rPr>
        <w:t xml:space="preserve"> </w:t>
      </w:r>
      <w:r w:rsidR="005A1C19">
        <w:rPr>
          <w:rFonts w:asciiTheme="minorHAnsi" w:hAnsiTheme="minorHAnsi" w:cstheme="minorHAnsi"/>
        </w:rPr>
        <w:t>peněžní prostředky</w:t>
      </w:r>
      <w:r w:rsidR="00AE4E5B" w:rsidRPr="00931AE2">
        <w:rPr>
          <w:rFonts w:asciiTheme="minorHAnsi" w:hAnsiTheme="minorHAnsi" w:cstheme="minorHAnsi"/>
        </w:rPr>
        <w:t xml:space="preserve"> na činnosti, dodávky a služby za cenu vyšší než v daném místě a čase obvyklou nebo za cenu vyšší než smluvně stanovenou</w:t>
      </w:r>
      <w:r w:rsidR="001643A1">
        <w:rPr>
          <w:rFonts w:asciiTheme="minorHAnsi" w:hAnsiTheme="minorHAnsi" w:cstheme="minorHAnsi"/>
        </w:rPr>
        <w:t xml:space="preserve"> nebo </w:t>
      </w:r>
      <w:r w:rsidR="005A1C19">
        <w:rPr>
          <w:rFonts w:asciiTheme="minorHAnsi" w:hAnsiTheme="minorHAnsi" w:cstheme="minorHAnsi"/>
        </w:rPr>
        <w:t xml:space="preserve">zda při provedených dražbách </w:t>
      </w:r>
      <w:r w:rsidR="005A1C19">
        <w:rPr>
          <w:rFonts w:asciiTheme="minorHAnsi" w:hAnsiTheme="minorHAnsi" w:cstheme="minorHAnsi"/>
          <w:bCs/>
        </w:rPr>
        <w:t xml:space="preserve">nepřevýšily </w:t>
      </w:r>
      <w:r w:rsidR="00AE4E5B" w:rsidRPr="00931AE2">
        <w:rPr>
          <w:rFonts w:asciiTheme="minorHAnsi" w:hAnsiTheme="minorHAnsi" w:cstheme="minorHAnsi"/>
          <w:bCs/>
        </w:rPr>
        <w:t>náklady na dražbu prodejní cenu majetku.</w:t>
      </w:r>
      <w:r w:rsidR="00AE4E5B" w:rsidRPr="00931AE2">
        <w:rPr>
          <w:rFonts w:asciiTheme="minorHAnsi" w:hAnsiTheme="minorHAnsi" w:cstheme="minorHAnsi"/>
        </w:rPr>
        <w:t xml:space="preserve"> </w:t>
      </w:r>
      <w:r w:rsidR="00AE4E5B" w:rsidRPr="00931AE2">
        <w:rPr>
          <w:rFonts w:asciiTheme="minorHAnsi" w:hAnsiTheme="minorHAnsi" w:cstheme="minorHAnsi"/>
          <w:bCs/>
        </w:rPr>
        <w:t>V případě zpeněžení majetku jiným způsobem</w:t>
      </w:r>
      <w:r w:rsidR="001643A1">
        <w:rPr>
          <w:rFonts w:asciiTheme="minorHAnsi" w:hAnsiTheme="minorHAnsi" w:cstheme="minorHAnsi"/>
          <w:bCs/>
        </w:rPr>
        <w:t xml:space="preserve"> </w:t>
      </w:r>
      <w:r w:rsidR="00AE4E5B" w:rsidRPr="00931AE2">
        <w:rPr>
          <w:rFonts w:asciiTheme="minorHAnsi" w:hAnsiTheme="minorHAnsi" w:cstheme="minorHAnsi"/>
          <w:bCs/>
        </w:rPr>
        <w:t xml:space="preserve">než dražbou </w:t>
      </w:r>
      <w:r w:rsidR="005A1C19">
        <w:rPr>
          <w:rFonts w:asciiTheme="minorHAnsi" w:hAnsiTheme="minorHAnsi" w:cstheme="minorHAnsi"/>
          <w:bCs/>
        </w:rPr>
        <w:t>kontroloval</w:t>
      </w:r>
      <w:r w:rsidR="007A3768" w:rsidRPr="007A3768">
        <w:rPr>
          <w:rFonts w:asciiTheme="minorHAnsi" w:hAnsiTheme="minorHAnsi" w:cstheme="minorHAnsi"/>
          <w:bCs/>
        </w:rPr>
        <w:t xml:space="preserve"> </w:t>
      </w:r>
      <w:r w:rsidR="007A3768">
        <w:rPr>
          <w:rFonts w:asciiTheme="minorHAnsi" w:hAnsiTheme="minorHAnsi" w:cstheme="minorHAnsi"/>
          <w:bCs/>
        </w:rPr>
        <w:t>NKÚ</w:t>
      </w:r>
      <w:r w:rsidR="005A1C19">
        <w:rPr>
          <w:rFonts w:asciiTheme="minorHAnsi" w:hAnsiTheme="minorHAnsi" w:cstheme="minorHAnsi"/>
          <w:bCs/>
        </w:rPr>
        <w:t xml:space="preserve">, zda nebyl majetek zpeněžen </w:t>
      </w:r>
      <w:r w:rsidR="00AE4E5B" w:rsidRPr="00931AE2">
        <w:rPr>
          <w:rFonts w:asciiTheme="minorHAnsi" w:hAnsiTheme="minorHAnsi" w:cstheme="minorHAnsi"/>
          <w:bCs/>
        </w:rPr>
        <w:t xml:space="preserve">za cenu nižší než </w:t>
      </w:r>
      <w:r w:rsidR="005A1C19">
        <w:rPr>
          <w:rFonts w:asciiTheme="minorHAnsi" w:hAnsiTheme="minorHAnsi" w:cstheme="minorHAnsi"/>
          <w:bCs/>
        </w:rPr>
        <w:t>cenu</w:t>
      </w:r>
      <w:r w:rsidR="00AE4E5B" w:rsidRPr="00931AE2">
        <w:rPr>
          <w:rFonts w:asciiTheme="minorHAnsi" w:hAnsiTheme="minorHAnsi" w:cstheme="minorHAnsi"/>
          <w:bCs/>
        </w:rPr>
        <w:t xml:space="preserve"> stanoven</w:t>
      </w:r>
      <w:r w:rsidR="005A1C19">
        <w:rPr>
          <w:rFonts w:asciiTheme="minorHAnsi" w:hAnsiTheme="minorHAnsi" w:cstheme="minorHAnsi"/>
          <w:bCs/>
        </w:rPr>
        <w:t>ou</w:t>
      </w:r>
      <w:r w:rsidR="00AE4E5B" w:rsidRPr="00931AE2">
        <w:rPr>
          <w:rFonts w:asciiTheme="minorHAnsi" w:hAnsiTheme="minorHAnsi" w:cstheme="minorHAnsi"/>
          <w:bCs/>
        </w:rPr>
        <w:t xml:space="preserve"> znaleckým posudkem bez řádného zdůvodnění.</w:t>
      </w:r>
      <w:r w:rsidR="00AE4E5B" w:rsidRPr="00931AE2">
        <w:rPr>
          <w:rFonts w:asciiTheme="minorHAnsi" w:hAnsiTheme="minorHAnsi" w:cstheme="minorHAnsi"/>
        </w:rPr>
        <w:t xml:space="preserve"> </w:t>
      </w:r>
    </w:p>
    <w:p w14:paraId="6FA312BC" w14:textId="17FD40C2" w:rsidR="00B75AE3" w:rsidRDefault="00AE4E5B" w:rsidP="00B14F45">
      <w:pPr>
        <w:spacing w:before="120" w:after="120"/>
        <w:rPr>
          <w:rFonts w:asciiTheme="minorHAnsi" w:hAnsiTheme="minorHAnsi" w:cstheme="minorHAnsi"/>
        </w:rPr>
      </w:pPr>
      <w:r w:rsidRPr="00931AE2">
        <w:rPr>
          <w:rFonts w:asciiTheme="minorHAnsi" w:hAnsiTheme="minorHAnsi" w:cstheme="minorHAnsi"/>
        </w:rPr>
        <w:t xml:space="preserve">V případě pronájmů majetku </w:t>
      </w:r>
      <w:r w:rsidR="005A1C19">
        <w:rPr>
          <w:rFonts w:asciiTheme="minorHAnsi" w:hAnsiTheme="minorHAnsi" w:cstheme="minorHAnsi"/>
        </w:rPr>
        <w:t>NKÚ posuzoval, zda</w:t>
      </w:r>
      <w:r w:rsidRPr="00931AE2">
        <w:rPr>
          <w:rFonts w:asciiTheme="minorHAnsi" w:hAnsiTheme="minorHAnsi" w:cstheme="minorHAnsi"/>
        </w:rPr>
        <w:t xml:space="preserve"> </w:t>
      </w:r>
      <w:r w:rsidR="005A1C19">
        <w:rPr>
          <w:rFonts w:asciiTheme="minorHAnsi" w:hAnsiTheme="minorHAnsi" w:cstheme="minorHAnsi"/>
        </w:rPr>
        <w:t>státní podnik v likvidaci neuzavřel smlouvy, u nichž byla výš</w:t>
      </w:r>
      <w:r w:rsidR="00881FD5">
        <w:rPr>
          <w:rFonts w:asciiTheme="minorHAnsi" w:hAnsiTheme="minorHAnsi" w:cstheme="minorHAnsi"/>
        </w:rPr>
        <w:t>e</w:t>
      </w:r>
      <w:r w:rsidR="005A1C19">
        <w:rPr>
          <w:rFonts w:asciiTheme="minorHAnsi" w:hAnsiTheme="minorHAnsi" w:cstheme="minorHAnsi"/>
        </w:rPr>
        <w:t xml:space="preserve"> nájemného </w:t>
      </w:r>
      <w:r w:rsidRPr="00931AE2">
        <w:rPr>
          <w:rFonts w:asciiTheme="minorHAnsi" w:hAnsiTheme="minorHAnsi" w:cstheme="minorHAnsi"/>
        </w:rPr>
        <w:t xml:space="preserve">výrazně nižší než cena v daném místě a čase obvyklá </w:t>
      </w:r>
      <w:r w:rsidR="005A1C19">
        <w:rPr>
          <w:rFonts w:asciiTheme="minorHAnsi" w:hAnsiTheme="minorHAnsi" w:cstheme="minorHAnsi"/>
        </w:rPr>
        <w:t>a zda v</w:t>
      </w:r>
      <w:r w:rsidR="001643A1">
        <w:rPr>
          <w:rFonts w:asciiTheme="minorHAnsi" w:hAnsiTheme="minorHAnsi" w:cstheme="minorHAnsi"/>
        </w:rPr>
        <w:t> </w:t>
      </w:r>
      <w:r w:rsidR="005A1C19">
        <w:rPr>
          <w:rFonts w:asciiTheme="minorHAnsi" w:hAnsiTheme="minorHAnsi" w:cstheme="minorHAnsi"/>
        </w:rPr>
        <w:t>případě</w:t>
      </w:r>
      <w:r w:rsidR="001643A1">
        <w:rPr>
          <w:rFonts w:asciiTheme="minorHAnsi" w:hAnsiTheme="minorHAnsi" w:cstheme="minorHAnsi"/>
        </w:rPr>
        <w:t xml:space="preserve"> smluvního</w:t>
      </w:r>
      <w:r w:rsidR="005A1C19">
        <w:rPr>
          <w:rFonts w:asciiTheme="minorHAnsi" w:hAnsiTheme="minorHAnsi" w:cstheme="minorHAnsi"/>
        </w:rPr>
        <w:t xml:space="preserve"> ustanovení o zvyšování nájmu o inflaci toto ustanovení státní podnik v likvidaci uplatňoval</w:t>
      </w:r>
      <w:r w:rsidR="00442BE5">
        <w:rPr>
          <w:rFonts w:asciiTheme="minorHAnsi" w:hAnsiTheme="minorHAnsi" w:cstheme="minorHAnsi"/>
        </w:rPr>
        <w:t>.</w:t>
      </w:r>
    </w:p>
    <w:p w14:paraId="3D08BE68" w14:textId="10A1F45B" w:rsidR="00687DB4" w:rsidRDefault="00DC5F61" w:rsidP="000061EB">
      <w:pPr>
        <w:spacing w:before="240" w:after="12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DC5FA5">
        <w:rPr>
          <w:rFonts w:asciiTheme="minorHAnsi" w:hAnsiTheme="minorHAnsi" w:cstheme="minorHAnsi"/>
          <w:b/>
          <w:sz w:val="20"/>
          <w:szCs w:val="20"/>
        </w:rPr>
        <w:t>Pozn.: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DC5FA5">
        <w:rPr>
          <w:rFonts w:asciiTheme="minorHAnsi" w:hAnsiTheme="minorHAnsi" w:cstheme="minorHAnsi"/>
          <w:sz w:val="20"/>
          <w:szCs w:val="20"/>
        </w:rPr>
        <w:t xml:space="preserve">Právní předpisy uvedené v tomto kontrolním </w:t>
      </w:r>
      <w:r>
        <w:rPr>
          <w:rFonts w:asciiTheme="minorHAnsi" w:hAnsiTheme="minorHAnsi" w:cstheme="minorHAnsi"/>
          <w:sz w:val="20"/>
          <w:szCs w:val="20"/>
        </w:rPr>
        <w:t>závěru</w:t>
      </w:r>
      <w:r w:rsidRPr="00DC5FA5">
        <w:rPr>
          <w:rFonts w:asciiTheme="minorHAnsi" w:hAnsiTheme="minorHAnsi" w:cstheme="minorHAnsi"/>
          <w:sz w:val="20"/>
          <w:szCs w:val="20"/>
        </w:rPr>
        <w:t xml:space="preserve"> jsou aplikovány ve z</w:t>
      </w:r>
      <w:r>
        <w:rPr>
          <w:rFonts w:asciiTheme="minorHAnsi" w:hAnsiTheme="minorHAnsi" w:cstheme="minorHAnsi"/>
          <w:sz w:val="20"/>
          <w:szCs w:val="20"/>
        </w:rPr>
        <w:t>nění účinném pro </w:t>
      </w:r>
      <w:r w:rsidRPr="00DC5FA5">
        <w:rPr>
          <w:rFonts w:asciiTheme="minorHAnsi" w:hAnsiTheme="minorHAnsi" w:cstheme="minorHAnsi"/>
          <w:sz w:val="20"/>
          <w:szCs w:val="20"/>
        </w:rPr>
        <w:t>kontrolované období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B3FC11A" w14:textId="6967E0F5" w:rsidR="006F6445" w:rsidRDefault="006F6445">
      <w:pPr>
        <w:spacing w:after="160" w:line="259" w:lineRule="auto"/>
        <w:jc w:val="left"/>
      </w:pPr>
      <w:r>
        <w:br w:type="page"/>
      </w:r>
    </w:p>
    <w:p w14:paraId="208443B6" w14:textId="2138D027" w:rsidR="00D26589" w:rsidRDefault="00F50CDE" w:rsidP="00F50CDE">
      <w:pPr>
        <w:pStyle w:val="Nadpis1"/>
        <w:spacing w:before="480" w:after="240"/>
        <w:ind w:left="0" w:firstLine="0"/>
      </w:pPr>
      <w:r>
        <w:lastRenderedPageBreak/>
        <w:t xml:space="preserve"> </w:t>
      </w:r>
      <w:r w:rsidR="00AB3724" w:rsidRPr="00AB3724">
        <w:t>Podrobné skutečnosti zjištěné kontrolou</w:t>
      </w:r>
    </w:p>
    <w:p w14:paraId="16B4F092" w14:textId="7C80D2DF" w:rsidR="00C54F3A" w:rsidRPr="000061EB" w:rsidRDefault="001D3EF5" w:rsidP="000061EB">
      <w:pPr>
        <w:pStyle w:val="Nadpis4"/>
        <w:spacing w:before="240" w:after="120"/>
        <w:ind w:left="425" w:hanging="425"/>
        <w:rPr>
          <w:u w:val="none"/>
        </w:rPr>
      </w:pPr>
      <w:bookmarkStart w:id="16" w:name="_Hlk195700950"/>
      <w:bookmarkStart w:id="17" w:name="_Hlk195700780"/>
      <w:bookmarkStart w:id="18" w:name="_Hlk195700660"/>
      <w:r w:rsidRPr="000061EB">
        <w:rPr>
          <w:u w:val="none"/>
        </w:rPr>
        <w:t>Důvody bránící ukončení likvidace</w:t>
      </w:r>
    </w:p>
    <w:p w14:paraId="49A9E2CF" w14:textId="41F82F17" w:rsidR="006321D3" w:rsidRDefault="001D3EF5" w:rsidP="00C36DCF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</w:pPr>
      <w:r w:rsidRPr="001D3EF5">
        <w:t>NKÚ se v průběhu kontroly zabýval důvody bránícími ukončení likvidace a</w:t>
      </w:r>
      <w:r w:rsidR="007A3768">
        <w:t> posoudil,</w:t>
      </w:r>
      <w:r w:rsidRPr="001D3EF5">
        <w:t xml:space="preserve"> zda tyto důvody mohl</w:t>
      </w:r>
      <w:r w:rsidR="00D272B5">
        <w:t>i</w:t>
      </w:r>
      <w:r w:rsidRPr="001D3EF5">
        <w:t xml:space="preserve"> likvidátoři nebo zakladatelé státních podniků ovlivnit.</w:t>
      </w:r>
    </w:p>
    <w:p w14:paraId="11A528B8" w14:textId="55D52C16" w:rsidR="005551C0" w:rsidRDefault="006321D3" w:rsidP="00131C17">
      <w:pPr>
        <w:spacing w:before="120" w:after="120"/>
      </w:pPr>
      <w:r w:rsidRPr="006321D3">
        <w:t xml:space="preserve">K 1. lednu 2020 </w:t>
      </w:r>
      <w:r w:rsidR="00AB2BB9">
        <w:t>byl</w:t>
      </w:r>
      <w:r w:rsidR="00CA6C71">
        <w:t>y</w:t>
      </w:r>
      <w:r w:rsidRPr="006321D3">
        <w:t xml:space="preserve"> MPO a </w:t>
      </w:r>
      <w:proofErr w:type="spellStart"/>
      <w:r w:rsidRPr="006321D3">
        <w:t>MZe</w:t>
      </w:r>
      <w:proofErr w:type="spellEnd"/>
      <w:r w:rsidR="00AB2BB9">
        <w:t xml:space="preserve"> zakladateli</w:t>
      </w:r>
      <w:r w:rsidRPr="006321D3">
        <w:t xml:space="preserve"> celkem 28 státních podniků v likvidaci.</w:t>
      </w:r>
      <w:r>
        <w:t xml:space="preserve"> V průběhu kontrolovaného období dva státní podniky v likvidaci přibyly (jeden zrušením výmazu a</w:t>
      </w:r>
      <w:r w:rsidR="000061EB">
        <w:t> </w:t>
      </w:r>
      <w:r>
        <w:t>obnovením likvidace</w:t>
      </w:r>
      <w:r>
        <w:rPr>
          <w:rStyle w:val="Znakapoznpodarou"/>
        </w:rPr>
        <w:footnoteReference w:id="5"/>
      </w:r>
      <w:r>
        <w:t xml:space="preserve"> a druhý vstupem do likvidace</w:t>
      </w:r>
      <w:r>
        <w:rPr>
          <w:rStyle w:val="Znakapoznpodarou"/>
        </w:rPr>
        <w:footnoteReference w:id="6"/>
      </w:r>
      <w:r>
        <w:t>). Do konce roku</w:t>
      </w:r>
      <w:r w:rsidRPr="00AB6427">
        <w:t xml:space="preserve"> 2024 došlo </w:t>
      </w:r>
      <w:r w:rsidRPr="00F64309">
        <w:t>u</w:t>
      </w:r>
      <w:r w:rsidR="00442BE5">
        <w:t> </w:t>
      </w:r>
      <w:r w:rsidRPr="00F64309">
        <w:t xml:space="preserve">17 </w:t>
      </w:r>
      <w:r>
        <w:t>státních podniků</w:t>
      </w:r>
      <w:r w:rsidRPr="00AB6427">
        <w:t xml:space="preserve"> k ukončení likvidace</w:t>
      </w:r>
      <w:r>
        <w:t xml:space="preserve"> a jejich výmazu z obchodního rejstříku. U dvou státních podniků došlo k ukončení likvidace, ale do doby ukončení kontroly nebyly vymazány z obchodního rejstříku.</w:t>
      </w:r>
      <w:r w:rsidRPr="00AB6427">
        <w:t xml:space="preserve"> </w:t>
      </w:r>
      <w:r>
        <w:t>U čtyř státních podniků byla likvidace přerušena z důvodu prohlášení konkursu</w:t>
      </w:r>
      <w:r w:rsidR="00FF06A1">
        <w:rPr>
          <w:rStyle w:val="Znakapoznpodarou"/>
        </w:rPr>
        <w:footnoteReference w:id="7"/>
      </w:r>
      <w:r>
        <w:t xml:space="preserve">. Sedm státních podniků bylo v likvidaci. </w:t>
      </w:r>
      <w:r w:rsidRPr="00AB6427">
        <w:t>Přehled všech státních podniků,</w:t>
      </w:r>
      <w:r>
        <w:t xml:space="preserve"> u </w:t>
      </w:r>
      <w:r w:rsidRPr="00DC4F6A">
        <w:t xml:space="preserve">nichž bylo zakladatelem MPO nebo </w:t>
      </w:r>
      <w:proofErr w:type="spellStart"/>
      <w:r w:rsidRPr="00DC4F6A">
        <w:t>MZe</w:t>
      </w:r>
      <w:proofErr w:type="spellEnd"/>
      <w:r w:rsidRPr="00DC4F6A">
        <w:t xml:space="preserve"> a které byly v letech 2020 až 2024 v likvidaci, je uveden v</w:t>
      </w:r>
      <w:r>
        <w:t> </w:t>
      </w:r>
      <w:r w:rsidRPr="00DC4F6A">
        <w:t>příloze</w:t>
      </w:r>
      <w:r>
        <w:t xml:space="preserve"> č. 1</w:t>
      </w:r>
      <w:r w:rsidRPr="00DC4F6A">
        <w:t>.</w:t>
      </w:r>
    </w:p>
    <w:p w14:paraId="323FA413" w14:textId="1109E3C2" w:rsidR="001C1E1D" w:rsidRDefault="00155B0A" w:rsidP="000061EB">
      <w:pPr>
        <w:spacing w:before="120" w:after="120"/>
      </w:pPr>
      <w:r>
        <w:t>NKÚ u sedmi</w:t>
      </w:r>
      <w:r w:rsidR="00C36DCF">
        <w:t xml:space="preserve"> kontrolovaných</w:t>
      </w:r>
      <w:r>
        <w:t xml:space="preserve"> státních podniků v likvidaci sledoval délku trvání likvidace, a</w:t>
      </w:r>
      <w:r w:rsidR="00442BE5">
        <w:t> </w:t>
      </w:r>
      <w:r>
        <w:t>zjistil, že se pohybovala</w:t>
      </w:r>
      <w:r w:rsidR="00245545">
        <w:t xml:space="preserve"> (po odečtení doby, kdy byl prohlášen na majetek státního podniku konkurs)</w:t>
      </w:r>
      <w:r>
        <w:t xml:space="preserve"> v</w:t>
      </w:r>
      <w:r w:rsidR="00C54F3A">
        <w:t> </w:t>
      </w:r>
      <w:r>
        <w:t xml:space="preserve">rozmezí </w:t>
      </w:r>
      <w:r w:rsidR="00170BF5">
        <w:t>od osmi</w:t>
      </w:r>
      <w:r w:rsidR="00245545" w:rsidRPr="00442BE5">
        <w:t xml:space="preserve"> </w:t>
      </w:r>
      <w:r w:rsidR="00170BF5">
        <w:t>do</w:t>
      </w:r>
      <w:r w:rsidR="00245545" w:rsidRPr="00442BE5">
        <w:t xml:space="preserve"> 23</w:t>
      </w:r>
      <w:r w:rsidRPr="00442BE5">
        <w:t xml:space="preserve"> let (v průměru </w:t>
      </w:r>
      <w:r w:rsidR="00D029BF" w:rsidRPr="00442BE5">
        <w:t>1</w:t>
      </w:r>
      <w:r w:rsidR="00245545" w:rsidRPr="00442BE5">
        <w:t>4</w:t>
      </w:r>
      <w:r w:rsidR="00D029BF" w:rsidRPr="00442BE5">
        <w:t xml:space="preserve"> let</w:t>
      </w:r>
      <w:r w:rsidRPr="00442BE5">
        <w:t>).</w:t>
      </w:r>
      <w:r>
        <w:t xml:space="preserve"> </w:t>
      </w:r>
    </w:p>
    <w:p w14:paraId="72E8A43D" w14:textId="1792C5A3" w:rsidR="00E228A3" w:rsidRPr="000061EB" w:rsidRDefault="00E228A3" w:rsidP="000061EB">
      <w:pPr>
        <w:spacing w:before="120" w:after="40"/>
        <w:rPr>
          <w:b/>
          <w:bCs/>
        </w:rPr>
      </w:pPr>
      <w:r w:rsidRPr="000061EB">
        <w:rPr>
          <w:rFonts w:asciiTheme="minorHAnsi" w:hAnsiTheme="minorHAnsi" w:cstheme="minorHAnsi"/>
          <w:b/>
          <w:bCs/>
        </w:rPr>
        <w:t>Tabulka č. 1: Délka likvidace vybraných státních podniků</w:t>
      </w:r>
    </w:p>
    <w:tbl>
      <w:tblPr>
        <w:tblStyle w:val="Mkatabulky"/>
        <w:tblW w:w="909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5"/>
        <w:gridCol w:w="3515"/>
        <w:gridCol w:w="1247"/>
        <w:gridCol w:w="1531"/>
        <w:gridCol w:w="1531"/>
      </w:tblGrid>
      <w:tr w:rsidR="001C1E1D" w:rsidRPr="00666E7E" w14:paraId="1FFC6B2D" w14:textId="77777777" w:rsidTr="0045443F">
        <w:trPr>
          <w:trHeight w:val="283"/>
        </w:trPr>
        <w:tc>
          <w:tcPr>
            <w:tcW w:w="1275" w:type="dxa"/>
            <w:shd w:val="clear" w:color="auto" w:fill="E6E6E6"/>
            <w:vAlign w:val="center"/>
          </w:tcPr>
          <w:p w14:paraId="602621EF" w14:textId="27282AB5" w:rsidR="001C1E1D" w:rsidRPr="00666E7E" w:rsidRDefault="001C1E1D" w:rsidP="00666E7E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66E7E">
              <w:rPr>
                <w:b/>
                <w:color w:val="auto"/>
                <w:sz w:val="20"/>
                <w:szCs w:val="20"/>
              </w:rPr>
              <w:t>Zakladatel</w:t>
            </w:r>
          </w:p>
        </w:tc>
        <w:tc>
          <w:tcPr>
            <w:tcW w:w="3515" w:type="dxa"/>
            <w:shd w:val="clear" w:color="auto" w:fill="E6E6E6"/>
            <w:vAlign w:val="center"/>
          </w:tcPr>
          <w:p w14:paraId="31F0C0C4" w14:textId="4AFB3500" w:rsidR="001C1E1D" w:rsidRPr="00666E7E" w:rsidRDefault="001C1E1D" w:rsidP="00666E7E">
            <w:pPr>
              <w:spacing w:before="20" w:after="20"/>
              <w:rPr>
                <w:sz w:val="20"/>
                <w:szCs w:val="20"/>
              </w:rPr>
            </w:pPr>
            <w:r w:rsidRPr="00666E7E">
              <w:rPr>
                <w:b/>
                <w:color w:val="auto"/>
                <w:sz w:val="20"/>
                <w:szCs w:val="20"/>
              </w:rPr>
              <w:t>Název státního podniku</w:t>
            </w:r>
          </w:p>
        </w:tc>
        <w:tc>
          <w:tcPr>
            <w:tcW w:w="1247" w:type="dxa"/>
            <w:shd w:val="clear" w:color="auto" w:fill="E6E6E6"/>
            <w:vAlign w:val="center"/>
          </w:tcPr>
          <w:p w14:paraId="533B4BF0" w14:textId="6A5D10F5" w:rsidR="001C1E1D" w:rsidRPr="00666E7E" w:rsidRDefault="001C1E1D" w:rsidP="00666E7E">
            <w:pPr>
              <w:spacing w:before="20" w:after="20"/>
              <w:jc w:val="center"/>
              <w:rPr>
                <w:b/>
                <w:color w:val="auto"/>
                <w:sz w:val="20"/>
                <w:szCs w:val="20"/>
              </w:rPr>
            </w:pPr>
            <w:r w:rsidRPr="00666E7E">
              <w:rPr>
                <w:b/>
                <w:color w:val="auto"/>
                <w:sz w:val="20"/>
                <w:szCs w:val="20"/>
              </w:rPr>
              <w:t>Vstup do likvidace</w:t>
            </w:r>
          </w:p>
        </w:tc>
        <w:tc>
          <w:tcPr>
            <w:tcW w:w="1531" w:type="dxa"/>
            <w:shd w:val="clear" w:color="auto" w:fill="E6E6E6"/>
          </w:tcPr>
          <w:p w14:paraId="24DD1C04" w14:textId="1F91C223" w:rsidR="001C1E1D" w:rsidRPr="00666E7E" w:rsidRDefault="001C1E1D" w:rsidP="00666E7E">
            <w:pPr>
              <w:spacing w:before="20" w:after="20"/>
              <w:jc w:val="center"/>
              <w:rPr>
                <w:b/>
                <w:color w:val="auto"/>
                <w:sz w:val="20"/>
                <w:szCs w:val="20"/>
              </w:rPr>
            </w:pPr>
            <w:r w:rsidRPr="00666E7E">
              <w:rPr>
                <w:b/>
                <w:color w:val="auto"/>
                <w:sz w:val="20"/>
                <w:szCs w:val="20"/>
              </w:rPr>
              <w:t>Délka likvidace</w:t>
            </w:r>
            <w:r w:rsidR="00666E7E" w:rsidRPr="00666E7E">
              <w:rPr>
                <w:b/>
                <w:color w:val="auto"/>
                <w:sz w:val="20"/>
                <w:szCs w:val="20"/>
              </w:rPr>
              <w:t xml:space="preserve"> </w:t>
            </w:r>
            <w:r w:rsidR="00D029BF" w:rsidRPr="00666E7E">
              <w:rPr>
                <w:b/>
                <w:color w:val="auto"/>
                <w:sz w:val="20"/>
                <w:szCs w:val="20"/>
              </w:rPr>
              <w:t>k 31.</w:t>
            </w:r>
            <w:r w:rsidR="0045443F">
              <w:rPr>
                <w:b/>
                <w:color w:val="auto"/>
                <w:sz w:val="20"/>
                <w:szCs w:val="20"/>
              </w:rPr>
              <w:t> </w:t>
            </w:r>
            <w:r w:rsidR="00D029BF" w:rsidRPr="00666E7E">
              <w:rPr>
                <w:b/>
                <w:color w:val="auto"/>
                <w:sz w:val="20"/>
                <w:szCs w:val="20"/>
              </w:rPr>
              <w:t>12.</w:t>
            </w:r>
            <w:r w:rsidR="0045443F">
              <w:rPr>
                <w:b/>
                <w:color w:val="auto"/>
                <w:sz w:val="20"/>
                <w:szCs w:val="20"/>
              </w:rPr>
              <w:t> </w:t>
            </w:r>
            <w:r w:rsidR="00D029BF" w:rsidRPr="00666E7E">
              <w:rPr>
                <w:b/>
                <w:color w:val="auto"/>
                <w:sz w:val="20"/>
                <w:szCs w:val="20"/>
              </w:rPr>
              <w:t>2024</w:t>
            </w:r>
            <w:r w:rsidR="00666E7E" w:rsidRPr="00666E7E">
              <w:rPr>
                <w:b/>
                <w:color w:val="auto"/>
                <w:sz w:val="20"/>
                <w:szCs w:val="20"/>
              </w:rPr>
              <w:t xml:space="preserve"> </w:t>
            </w:r>
            <w:r w:rsidR="00832ACE" w:rsidRPr="00666E7E">
              <w:rPr>
                <w:b/>
                <w:color w:val="auto"/>
                <w:sz w:val="20"/>
                <w:szCs w:val="20"/>
              </w:rPr>
              <w:t>vč.</w:t>
            </w:r>
            <w:r w:rsidR="00666E7E" w:rsidRPr="00666E7E">
              <w:rPr>
                <w:b/>
                <w:color w:val="auto"/>
                <w:sz w:val="20"/>
                <w:szCs w:val="20"/>
              </w:rPr>
              <w:t> </w:t>
            </w:r>
            <w:r w:rsidR="00FB408D" w:rsidRPr="00666E7E">
              <w:rPr>
                <w:b/>
                <w:color w:val="auto"/>
                <w:sz w:val="20"/>
                <w:szCs w:val="20"/>
              </w:rPr>
              <w:t xml:space="preserve">případného </w:t>
            </w:r>
            <w:r w:rsidR="00832ACE" w:rsidRPr="00666E7E">
              <w:rPr>
                <w:b/>
                <w:color w:val="auto"/>
                <w:sz w:val="20"/>
                <w:szCs w:val="20"/>
              </w:rPr>
              <w:t>konkursu</w:t>
            </w:r>
            <w:r w:rsidRPr="00666E7E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7C1FEB1A" w14:textId="2BB8396E" w:rsidR="001C1E1D" w:rsidRPr="00666E7E" w:rsidRDefault="00832ACE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b/>
                <w:color w:val="auto"/>
                <w:sz w:val="20"/>
                <w:szCs w:val="20"/>
              </w:rPr>
              <w:t>Délka likvidace</w:t>
            </w:r>
            <w:r w:rsidR="00666E7E" w:rsidRPr="00666E7E">
              <w:rPr>
                <w:b/>
                <w:color w:val="auto"/>
                <w:sz w:val="20"/>
                <w:szCs w:val="20"/>
              </w:rPr>
              <w:t xml:space="preserve"> </w:t>
            </w:r>
            <w:r w:rsidR="00D029BF" w:rsidRPr="00666E7E">
              <w:rPr>
                <w:b/>
                <w:color w:val="auto"/>
                <w:sz w:val="20"/>
                <w:szCs w:val="20"/>
              </w:rPr>
              <w:t>k 31.</w:t>
            </w:r>
            <w:r w:rsidR="0045443F">
              <w:rPr>
                <w:b/>
                <w:color w:val="auto"/>
                <w:sz w:val="20"/>
                <w:szCs w:val="20"/>
              </w:rPr>
              <w:t> </w:t>
            </w:r>
            <w:r w:rsidR="00D029BF" w:rsidRPr="00666E7E">
              <w:rPr>
                <w:b/>
                <w:color w:val="auto"/>
                <w:sz w:val="20"/>
                <w:szCs w:val="20"/>
              </w:rPr>
              <w:t>12.</w:t>
            </w:r>
            <w:r w:rsidR="0045443F">
              <w:rPr>
                <w:b/>
                <w:color w:val="auto"/>
                <w:sz w:val="20"/>
                <w:szCs w:val="20"/>
              </w:rPr>
              <w:t> </w:t>
            </w:r>
            <w:r w:rsidR="00D029BF" w:rsidRPr="00666E7E">
              <w:rPr>
                <w:b/>
                <w:color w:val="auto"/>
                <w:sz w:val="20"/>
                <w:szCs w:val="20"/>
              </w:rPr>
              <w:t>2024</w:t>
            </w:r>
            <w:r w:rsidR="00666E7E" w:rsidRPr="00666E7E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66E7E">
              <w:rPr>
                <w:b/>
                <w:color w:val="auto"/>
                <w:sz w:val="20"/>
                <w:szCs w:val="20"/>
              </w:rPr>
              <w:t>bez konkursu</w:t>
            </w:r>
          </w:p>
        </w:tc>
      </w:tr>
      <w:tr w:rsidR="00D029BF" w:rsidRPr="00666E7E" w14:paraId="59107A83" w14:textId="77777777" w:rsidTr="0045443F">
        <w:trPr>
          <w:trHeight w:val="283"/>
        </w:trPr>
        <w:tc>
          <w:tcPr>
            <w:tcW w:w="1275" w:type="dxa"/>
            <w:vMerge w:val="restart"/>
            <w:vAlign w:val="center"/>
          </w:tcPr>
          <w:p w14:paraId="488DDAFB" w14:textId="6E54045A" w:rsidR="00D029BF" w:rsidRPr="00666E7E" w:rsidRDefault="00D029BF" w:rsidP="00666E7E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66E7E">
              <w:rPr>
                <w:b/>
                <w:sz w:val="20"/>
                <w:szCs w:val="20"/>
              </w:rPr>
              <w:t>Ministerstvo průmyslu a</w:t>
            </w:r>
            <w:r w:rsidR="00666E7E" w:rsidRPr="00666E7E">
              <w:rPr>
                <w:b/>
                <w:sz w:val="20"/>
                <w:szCs w:val="20"/>
              </w:rPr>
              <w:t> </w:t>
            </w:r>
            <w:r w:rsidRPr="00666E7E">
              <w:rPr>
                <w:b/>
                <w:sz w:val="20"/>
                <w:szCs w:val="20"/>
              </w:rPr>
              <w:t>obchodu</w:t>
            </w:r>
          </w:p>
        </w:tc>
        <w:tc>
          <w:tcPr>
            <w:tcW w:w="3515" w:type="dxa"/>
            <w:vAlign w:val="center"/>
          </w:tcPr>
          <w:p w14:paraId="0516B9A9" w14:textId="695F9A49" w:rsidR="00D029BF" w:rsidRPr="00666E7E" w:rsidRDefault="00D029BF" w:rsidP="00666E7E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Barvy a laky, státní podnik "v likvidaci"</w:t>
            </w:r>
          </w:p>
        </w:tc>
        <w:tc>
          <w:tcPr>
            <w:tcW w:w="1247" w:type="dxa"/>
            <w:vAlign w:val="center"/>
          </w:tcPr>
          <w:p w14:paraId="00767BE1" w14:textId="7A3972E0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8.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1.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1998</w:t>
            </w:r>
          </w:p>
        </w:tc>
        <w:tc>
          <w:tcPr>
            <w:tcW w:w="1531" w:type="dxa"/>
            <w:vAlign w:val="center"/>
          </w:tcPr>
          <w:p w14:paraId="5C7B242E" w14:textId="3E0279F3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2</w:t>
            </w:r>
            <w:r w:rsidR="00442BE5" w:rsidRPr="00666E7E">
              <w:rPr>
                <w:sz w:val="20"/>
                <w:szCs w:val="20"/>
              </w:rPr>
              <w:t>7</w:t>
            </w:r>
            <w:r w:rsidRPr="00666E7E">
              <w:rPr>
                <w:sz w:val="20"/>
                <w:szCs w:val="20"/>
              </w:rPr>
              <w:t xml:space="preserve"> let</w:t>
            </w:r>
          </w:p>
        </w:tc>
        <w:tc>
          <w:tcPr>
            <w:tcW w:w="1531" w:type="dxa"/>
            <w:vAlign w:val="center"/>
          </w:tcPr>
          <w:p w14:paraId="53DD4024" w14:textId="697CCFBB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16 let</w:t>
            </w:r>
          </w:p>
        </w:tc>
      </w:tr>
      <w:tr w:rsidR="00D029BF" w:rsidRPr="00666E7E" w14:paraId="19767FAA" w14:textId="77777777" w:rsidTr="0045443F">
        <w:trPr>
          <w:trHeight w:val="283"/>
        </w:trPr>
        <w:tc>
          <w:tcPr>
            <w:tcW w:w="1275" w:type="dxa"/>
            <w:vMerge/>
            <w:vAlign w:val="center"/>
          </w:tcPr>
          <w:p w14:paraId="6838DCC9" w14:textId="77777777" w:rsidR="00D029BF" w:rsidRPr="00666E7E" w:rsidRDefault="00D029BF" w:rsidP="00666E7E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687B0C1E" w14:textId="074389C2" w:rsidR="00D029BF" w:rsidRPr="00666E7E" w:rsidRDefault="00D029BF" w:rsidP="00666E7E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Brněnské papírny, státní podnik</w:t>
            </w:r>
            <w:r w:rsidR="00666E7E" w:rsidRPr="00666E7E">
              <w:rPr>
                <w:sz w:val="20"/>
                <w:szCs w:val="20"/>
              </w:rPr>
              <w:t xml:space="preserve"> –</w:t>
            </w:r>
            <w:r w:rsidR="00245545" w:rsidRPr="00666E7E">
              <w:rPr>
                <w:sz w:val="20"/>
                <w:szCs w:val="20"/>
              </w:rPr>
              <w:t xml:space="preserve"> </w:t>
            </w:r>
            <w:r w:rsidRPr="00666E7E">
              <w:rPr>
                <w:sz w:val="20"/>
                <w:szCs w:val="20"/>
              </w:rPr>
              <w:t>v</w:t>
            </w:r>
            <w:r w:rsidR="00666E7E" w:rsidRPr="00666E7E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likvidaci</w:t>
            </w:r>
          </w:p>
        </w:tc>
        <w:tc>
          <w:tcPr>
            <w:tcW w:w="1247" w:type="dxa"/>
            <w:vAlign w:val="center"/>
          </w:tcPr>
          <w:p w14:paraId="4174CBFB" w14:textId="3458DA39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10.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11.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2009</w:t>
            </w:r>
          </w:p>
        </w:tc>
        <w:tc>
          <w:tcPr>
            <w:tcW w:w="1531" w:type="dxa"/>
            <w:vAlign w:val="center"/>
          </w:tcPr>
          <w:p w14:paraId="38C22DEE" w14:textId="6AF4EB0B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15 let</w:t>
            </w:r>
          </w:p>
        </w:tc>
        <w:tc>
          <w:tcPr>
            <w:tcW w:w="1531" w:type="dxa"/>
            <w:vAlign w:val="center"/>
          </w:tcPr>
          <w:p w14:paraId="538CD9D3" w14:textId="29235B78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15 let</w:t>
            </w:r>
          </w:p>
        </w:tc>
      </w:tr>
      <w:tr w:rsidR="00D029BF" w:rsidRPr="00666E7E" w14:paraId="454E7C7E" w14:textId="77777777" w:rsidTr="0045443F">
        <w:trPr>
          <w:trHeight w:val="283"/>
        </w:trPr>
        <w:tc>
          <w:tcPr>
            <w:tcW w:w="1275" w:type="dxa"/>
            <w:vMerge/>
          </w:tcPr>
          <w:p w14:paraId="720C57A6" w14:textId="77777777" w:rsidR="00D029BF" w:rsidRPr="00666E7E" w:rsidRDefault="00D029BF" w:rsidP="00666E7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5E8B72AA" w14:textId="77777777" w:rsidR="00D029BF" w:rsidRPr="00666E7E" w:rsidRDefault="00D029BF" w:rsidP="00666E7E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Cihlářské a keramické závody Teplice, státní podnik v likvidaci</w:t>
            </w:r>
          </w:p>
        </w:tc>
        <w:tc>
          <w:tcPr>
            <w:tcW w:w="1247" w:type="dxa"/>
            <w:vAlign w:val="center"/>
          </w:tcPr>
          <w:p w14:paraId="2EF8B965" w14:textId="50A0F8B4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31.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3.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2017</w:t>
            </w:r>
          </w:p>
        </w:tc>
        <w:tc>
          <w:tcPr>
            <w:tcW w:w="1531" w:type="dxa"/>
            <w:vAlign w:val="center"/>
          </w:tcPr>
          <w:p w14:paraId="16ED23D2" w14:textId="14F93539" w:rsidR="00D029BF" w:rsidRPr="00666E7E" w:rsidRDefault="00442BE5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8</w:t>
            </w:r>
            <w:r w:rsidR="00D029BF" w:rsidRPr="00666E7E">
              <w:rPr>
                <w:sz w:val="20"/>
                <w:szCs w:val="20"/>
              </w:rPr>
              <w:t xml:space="preserve"> let</w:t>
            </w:r>
          </w:p>
        </w:tc>
        <w:tc>
          <w:tcPr>
            <w:tcW w:w="1531" w:type="dxa"/>
            <w:vAlign w:val="center"/>
          </w:tcPr>
          <w:p w14:paraId="26BACB3C" w14:textId="61CF9E39" w:rsidR="00D029BF" w:rsidRPr="00666E7E" w:rsidRDefault="00442BE5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8</w:t>
            </w:r>
            <w:r w:rsidR="00D029BF" w:rsidRPr="00666E7E">
              <w:rPr>
                <w:sz w:val="20"/>
                <w:szCs w:val="20"/>
              </w:rPr>
              <w:t xml:space="preserve"> let</w:t>
            </w:r>
          </w:p>
        </w:tc>
      </w:tr>
      <w:tr w:rsidR="00D029BF" w:rsidRPr="00666E7E" w14:paraId="76E104DD" w14:textId="77777777" w:rsidTr="0045443F">
        <w:trPr>
          <w:trHeight w:val="283"/>
        </w:trPr>
        <w:tc>
          <w:tcPr>
            <w:tcW w:w="1275" w:type="dxa"/>
            <w:vMerge/>
          </w:tcPr>
          <w:p w14:paraId="6F0AC4EA" w14:textId="77777777" w:rsidR="00D029BF" w:rsidRPr="00666E7E" w:rsidRDefault="00D029BF" w:rsidP="00666E7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0B31285E" w14:textId="77777777" w:rsidR="00D029BF" w:rsidRPr="00666E7E" w:rsidRDefault="00D029BF" w:rsidP="00666E7E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RKT – Rovnací a kotevní technika, státní podnik v likvidaci</w:t>
            </w:r>
          </w:p>
        </w:tc>
        <w:tc>
          <w:tcPr>
            <w:tcW w:w="1247" w:type="dxa"/>
            <w:vAlign w:val="center"/>
          </w:tcPr>
          <w:p w14:paraId="3BC426AA" w14:textId="13972730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1.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2002</w:t>
            </w:r>
          </w:p>
        </w:tc>
        <w:tc>
          <w:tcPr>
            <w:tcW w:w="1531" w:type="dxa"/>
            <w:vAlign w:val="center"/>
          </w:tcPr>
          <w:p w14:paraId="6F0C1E26" w14:textId="17B6EE4F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2</w:t>
            </w:r>
            <w:r w:rsidR="00442BE5" w:rsidRPr="00666E7E">
              <w:rPr>
                <w:sz w:val="20"/>
                <w:szCs w:val="20"/>
              </w:rPr>
              <w:t>3</w:t>
            </w:r>
            <w:r w:rsidRPr="00666E7E">
              <w:rPr>
                <w:sz w:val="20"/>
                <w:szCs w:val="20"/>
              </w:rPr>
              <w:t xml:space="preserve"> let</w:t>
            </w:r>
          </w:p>
        </w:tc>
        <w:tc>
          <w:tcPr>
            <w:tcW w:w="1531" w:type="dxa"/>
            <w:vAlign w:val="center"/>
          </w:tcPr>
          <w:p w14:paraId="77E64C3A" w14:textId="14906CB9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2</w:t>
            </w:r>
            <w:r w:rsidR="00442BE5" w:rsidRPr="00666E7E">
              <w:rPr>
                <w:sz w:val="20"/>
                <w:szCs w:val="20"/>
              </w:rPr>
              <w:t>3</w:t>
            </w:r>
            <w:r w:rsidRPr="00666E7E">
              <w:rPr>
                <w:sz w:val="20"/>
                <w:szCs w:val="20"/>
              </w:rPr>
              <w:t xml:space="preserve"> let</w:t>
            </w:r>
          </w:p>
        </w:tc>
      </w:tr>
      <w:tr w:rsidR="00D029BF" w:rsidRPr="00666E7E" w14:paraId="5AD9DEC9" w14:textId="77777777" w:rsidTr="0045443F">
        <w:trPr>
          <w:trHeight w:val="283"/>
        </w:trPr>
        <w:tc>
          <w:tcPr>
            <w:tcW w:w="1275" w:type="dxa"/>
            <w:vMerge w:val="restart"/>
            <w:vAlign w:val="center"/>
          </w:tcPr>
          <w:p w14:paraId="3184938A" w14:textId="77777777" w:rsidR="00D029BF" w:rsidRPr="00666E7E" w:rsidRDefault="00D029BF" w:rsidP="00666E7E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66E7E">
              <w:rPr>
                <w:b/>
                <w:sz w:val="20"/>
                <w:szCs w:val="20"/>
              </w:rPr>
              <w:t>Ministerstvo zemědělství</w:t>
            </w:r>
          </w:p>
        </w:tc>
        <w:tc>
          <w:tcPr>
            <w:tcW w:w="3515" w:type="dxa"/>
            <w:vAlign w:val="center"/>
          </w:tcPr>
          <w:p w14:paraId="461CD559" w14:textId="77777777" w:rsidR="00D029BF" w:rsidRPr="00666E7E" w:rsidRDefault="00D029BF" w:rsidP="00666E7E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Státní statek Česká Kamenice v likvidaci</w:t>
            </w:r>
          </w:p>
        </w:tc>
        <w:tc>
          <w:tcPr>
            <w:tcW w:w="1247" w:type="dxa"/>
            <w:vAlign w:val="center"/>
          </w:tcPr>
          <w:p w14:paraId="38A8DC08" w14:textId="1147A496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3.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12.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1998</w:t>
            </w:r>
          </w:p>
        </w:tc>
        <w:tc>
          <w:tcPr>
            <w:tcW w:w="1531" w:type="dxa"/>
            <w:vAlign w:val="center"/>
          </w:tcPr>
          <w:p w14:paraId="410E0243" w14:textId="545C13BA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26 let</w:t>
            </w:r>
          </w:p>
        </w:tc>
        <w:tc>
          <w:tcPr>
            <w:tcW w:w="1531" w:type="dxa"/>
            <w:vAlign w:val="center"/>
          </w:tcPr>
          <w:p w14:paraId="5B31845B" w14:textId="2220EC32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10 let</w:t>
            </w:r>
          </w:p>
        </w:tc>
      </w:tr>
      <w:tr w:rsidR="00D029BF" w:rsidRPr="00666E7E" w14:paraId="1CE31212" w14:textId="77777777" w:rsidTr="0045443F">
        <w:trPr>
          <w:trHeight w:val="283"/>
        </w:trPr>
        <w:tc>
          <w:tcPr>
            <w:tcW w:w="1275" w:type="dxa"/>
            <w:vMerge/>
          </w:tcPr>
          <w:p w14:paraId="7344AB85" w14:textId="77777777" w:rsidR="00D029BF" w:rsidRPr="00666E7E" w:rsidRDefault="00D029BF" w:rsidP="00666E7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2C74F9BD" w14:textId="4B836775" w:rsidR="00D029BF" w:rsidRPr="00666E7E" w:rsidRDefault="00D029BF" w:rsidP="00666E7E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Státní statek Jeneč, státní podnik v</w:t>
            </w:r>
            <w:r w:rsidR="00245545" w:rsidRPr="00666E7E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likvidaci</w:t>
            </w:r>
          </w:p>
        </w:tc>
        <w:tc>
          <w:tcPr>
            <w:tcW w:w="1247" w:type="dxa"/>
            <w:vAlign w:val="center"/>
          </w:tcPr>
          <w:p w14:paraId="40E165F4" w14:textId="70F705E9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1.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2009</w:t>
            </w:r>
          </w:p>
        </w:tc>
        <w:tc>
          <w:tcPr>
            <w:tcW w:w="1531" w:type="dxa"/>
            <w:vAlign w:val="center"/>
          </w:tcPr>
          <w:p w14:paraId="22111916" w14:textId="593A68B4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</w:t>
            </w:r>
            <w:r w:rsidR="00442BE5" w:rsidRPr="00666E7E">
              <w:rPr>
                <w:sz w:val="20"/>
                <w:szCs w:val="20"/>
              </w:rPr>
              <w:t>6</w:t>
            </w:r>
            <w:r w:rsidRPr="00666E7E">
              <w:rPr>
                <w:sz w:val="20"/>
                <w:szCs w:val="20"/>
              </w:rPr>
              <w:t xml:space="preserve"> let</w:t>
            </w:r>
          </w:p>
        </w:tc>
        <w:tc>
          <w:tcPr>
            <w:tcW w:w="1531" w:type="dxa"/>
            <w:vAlign w:val="center"/>
          </w:tcPr>
          <w:p w14:paraId="1E9D9B35" w14:textId="54C7F32C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</w:t>
            </w:r>
            <w:r w:rsidR="00442BE5" w:rsidRPr="00666E7E">
              <w:rPr>
                <w:sz w:val="20"/>
                <w:szCs w:val="20"/>
              </w:rPr>
              <w:t>6</w:t>
            </w:r>
            <w:r w:rsidRPr="00666E7E">
              <w:rPr>
                <w:sz w:val="20"/>
                <w:szCs w:val="20"/>
              </w:rPr>
              <w:t xml:space="preserve"> let</w:t>
            </w:r>
          </w:p>
        </w:tc>
      </w:tr>
      <w:tr w:rsidR="00D029BF" w:rsidRPr="00666E7E" w14:paraId="73A18221" w14:textId="77777777" w:rsidTr="0045443F">
        <w:trPr>
          <w:trHeight w:val="283"/>
        </w:trPr>
        <w:tc>
          <w:tcPr>
            <w:tcW w:w="1275" w:type="dxa"/>
            <w:vMerge/>
          </w:tcPr>
          <w:p w14:paraId="4E38FD34" w14:textId="77777777" w:rsidR="00D029BF" w:rsidRPr="00666E7E" w:rsidRDefault="00D029BF" w:rsidP="00666E7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7B56845C" w14:textId="378028FA" w:rsidR="00D029BF" w:rsidRPr="00666E7E" w:rsidRDefault="00D029BF" w:rsidP="00666E7E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 xml:space="preserve">Státní statek Valtice, </w:t>
            </w:r>
            <w:proofErr w:type="spellStart"/>
            <w:r w:rsidRPr="00666E7E">
              <w:rPr>
                <w:sz w:val="20"/>
                <w:szCs w:val="20"/>
              </w:rPr>
              <w:t>s.p</w:t>
            </w:r>
            <w:proofErr w:type="spellEnd"/>
            <w:r w:rsidRPr="00666E7E">
              <w:rPr>
                <w:sz w:val="20"/>
                <w:szCs w:val="20"/>
              </w:rPr>
              <w:t>. v likvidaci</w:t>
            </w:r>
          </w:p>
        </w:tc>
        <w:tc>
          <w:tcPr>
            <w:tcW w:w="1247" w:type="dxa"/>
            <w:vAlign w:val="center"/>
          </w:tcPr>
          <w:p w14:paraId="5584B2F2" w14:textId="4F4814FB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30.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9.</w:t>
            </w:r>
            <w:r w:rsidR="0045443F">
              <w:rPr>
                <w:sz w:val="20"/>
                <w:szCs w:val="20"/>
              </w:rPr>
              <w:t> </w:t>
            </w:r>
            <w:r w:rsidRPr="00666E7E">
              <w:rPr>
                <w:sz w:val="20"/>
                <w:szCs w:val="20"/>
              </w:rPr>
              <w:t>2005</w:t>
            </w:r>
          </w:p>
        </w:tc>
        <w:tc>
          <w:tcPr>
            <w:tcW w:w="1531" w:type="dxa"/>
            <w:vAlign w:val="center"/>
          </w:tcPr>
          <w:p w14:paraId="5ED1D683" w14:textId="6351C7F9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19 let</w:t>
            </w:r>
          </w:p>
        </w:tc>
        <w:tc>
          <w:tcPr>
            <w:tcW w:w="1531" w:type="dxa"/>
            <w:vAlign w:val="center"/>
          </w:tcPr>
          <w:p w14:paraId="4120C0C5" w14:textId="0141DCCD" w:rsidR="00D029BF" w:rsidRPr="00666E7E" w:rsidRDefault="00D029BF" w:rsidP="00666E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66E7E">
              <w:rPr>
                <w:sz w:val="20"/>
                <w:szCs w:val="20"/>
              </w:rPr>
              <w:t>8 let</w:t>
            </w:r>
          </w:p>
        </w:tc>
      </w:tr>
    </w:tbl>
    <w:p w14:paraId="160A2407" w14:textId="2A51EB19" w:rsidR="00E228A3" w:rsidRPr="00666E7E" w:rsidRDefault="00E228A3" w:rsidP="00666E7E">
      <w:pPr>
        <w:spacing w:before="40" w:after="120"/>
        <w:rPr>
          <w:rFonts w:asciiTheme="minorHAnsi" w:hAnsiTheme="minorHAnsi" w:cstheme="minorHAnsi"/>
          <w:iCs/>
          <w:sz w:val="20"/>
          <w:szCs w:val="20"/>
        </w:rPr>
      </w:pPr>
      <w:r w:rsidRPr="000061EB">
        <w:rPr>
          <w:rFonts w:asciiTheme="minorHAnsi" w:hAnsiTheme="minorHAnsi" w:cstheme="minorHAnsi"/>
          <w:b/>
          <w:bCs/>
          <w:iCs/>
          <w:sz w:val="20"/>
          <w:szCs w:val="20"/>
        </w:rPr>
        <w:t>Zdroj:</w:t>
      </w:r>
      <w:r w:rsidRPr="00666E7E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45443F">
        <w:rPr>
          <w:rFonts w:asciiTheme="minorHAnsi" w:hAnsiTheme="minorHAnsi" w:cstheme="minorHAnsi"/>
          <w:iCs/>
          <w:sz w:val="20"/>
          <w:szCs w:val="20"/>
        </w:rPr>
        <w:t>o</w:t>
      </w:r>
      <w:r w:rsidRPr="00666E7E">
        <w:rPr>
          <w:rFonts w:asciiTheme="minorHAnsi" w:hAnsiTheme="minorHAnsi" w:cstheme="minorHAnsi"/>
          <w:iCs/>
          <w:sz w:val="20"/>
          <w:szCs w:val="20"/>
        </w:rPr>
        <w:t>bchodní rejstřík.</w:t>
      </w:r>
    </w:p>
    <w:p w14:paraId="1381FDBC" w14:textId="4A60F5E3" w:rsidR="00B45008" w:rsidRDefault="00E84CDE" w:rsidP="00D042D5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</w:rPr>
      </w:pPr>
      <w:r w:rsidRPr="00B45008">
        <w:rPr>
          <w:rFonts w:asciiTheme="minorHAnsi" w:hAnsiTheme="minorHAnsi" w:cstheme="minorHAnsi"/>
          <w:b/>
          <w:bCs/>
        </w:rPr>
        <w:t>Důvody bránící ukončení likvidace</w:t>
      </w:r>
      <w:r w:rsidRPr="00DC0C9E">
        <w:rPr>
          <w:rFonts w:asciiTheme="minorHAnsi" w:hAnsiTheme="minorHAnsi" w:cstheme="minorHAnsi"/>
        </w:rPr>
        <w:t xml:space="preserve"> jsou zejména soudní spory a nevypořádané restituční nároky. </w:t>
      </w:r>
      <w:r w:rsidR="00DC0C9E" w:rsidRPr="00DC0C9E">
        <w:rPr>
          <w:rFonts w:asciiTheme="minorHAnsi" w:hAnsiTheme="minorHAnsi" w:cstheme="minorHAnsi"/>
        </w:rPr>
        <w:t>Vyřešení těchto sporů a nároků nemůže likvidátor ani zakladatel státního podniku ovlivnit, neboť rozhodnutí záleží na příslušném soud</w:t>
      </w:r>
      <w:r w:rsidR="00DC0C9E">
        <w:rPr>
          <w:rFonts w:asciiTheme="minorHAnsi" w:hAnsiTheme="minorHAnsi" w:cstheme="minorHAnsi"/>
        </w:rPr>
        <w:t>u</w:t>
      </w:r>
      <w:r w:rsidR="00DC0C9E" w:rsidRPr="00DC0C9E">
        <w:rPr>
          <w:rFonts w:asciiTheme="minorHAnsi" w:hAnsiTheme="minorHAnsi" w:cstheme="minorHAnsi"/>
        </w:rPr>
        <w:t xml:space="preserve">. </w:t>
      </w:r>
      <w:r w:rsidRPr="00DC0C9E">
        <w:rPr>
          <w:rFonts w:asciiTheme="minorHAnsi" w:hAnsiTheme="minorHAnsi" w:cstheme="minorHAnsi"/>
        </w:rPr>
        <w:t xml:space="preserve">Dalšími důvody </w:t>
      </w:r>
      <w:r w:rsidR="00131C17">
        <w:rPr>
          <w:rFonts w:asciiTheme="minorHAnsi" w:hAnsiTheme="minorHAnsi" w:cstheme="minorHAnsi"/>
        </w:rPr>
        <w:t>jsou exekuce a neukončené vypořádání zbylého majetku.</w:t>
      </w:r>
      <w:r w:rsidRPr="00DC0C9E">
        <w:rPr>
          <w:rFonts w:asciiTheme="minorHAnsi" w:hAnsiTheme="minorHAnsi" w:cstheme="minorHAnsi"/>
        </w:rPr>
        <w:t xml:space="preserve"> </w:t>
      </w:r>
    </w:p>
    <w:p w14:paraId="4BDD81FD" w14:textId="75F304CF" w:rsidR="00C97187" w:rsidRPr="006D6F9B" w:rsidRDefault="00C97187" w:rsidP="00D272B5">
      <w:pPr>
        <w:pStyle w:val="Odstavecseseznamem"/>
        <w:spacing w:before="120" w:after="120"/>
        <w:ind w:left="0"/>
        <w:contextualSpacing w:val="0"/>
        <w:rPr>
          <w:rFonts w:cstheme="minorHAnsi"/>
        </w:rPr>
      </w:pPr>
      <w:r w:rsidRPr="006D6F9B">
        <w:rPr>
          <w:rFonts w:asciiTheme="minorHAnsi" w:hAnsiTheme="minorHAnsi" w:cstheme="minorHAnsi"/>
        </w:rPr>
        <w:t xml:space="preserve">V případě </w:t>
      </w:r>
      <w:r w:rsidRPr="006D6F9B">
        <w:rPr>
          <w:rFonts w:cstheme="minorHAnsi"/>
        </w:rPr>
        <w:t xml:space="preserve">státního podniku </w:t>
      </w:r>
      <w:r w:rsidRPr="006D6F9B">
        <w:rPr>
          <w:b/>
          <w:bCs/>
        </w:rPr>
        <w:t>Cihlářské a keramické závody Teplice, státní podnik v</w:t>
      </w:r>
      <w:r w:rsidR="0045443F">
        <w:rPr>
          <w:b/>
          <w:bCs/>
        </w:rPr>
        <w:t> </w:t>
      </w:r>
      <w:r w:rsidRPr="006D6F9B">
        <w:rPr>
          <w:b/>
          <w:bCs/>
        </w:rPr>
        <w:t>likvidaci</w:t>
      </w:r>
      <w:r w:rsidR="0045443F">
        <w:rPr>
          <w:b/>
          <w:bCs/>
        </w:rPr>
        <w:t>,</w:t>
      </w:r>
      <w:r w:rsidRPr="006D6F9B">
        <w:rPr>
          <w:rFonts w:cstheme="minorHAnsi"/>
        </w:rPr>
        <w:t xml:space="preserve"> bylo ukončení likvidace v kontrolovaném období významně omezeno neukončenou exekucí.</w:t>
      </w:r>
    </w:p>
    <w:p w14:paraId="2C983CC0" w14:textId="562945D6" w:rsidR="00C97187" w:rsidRDefault="00C97187" w:rsidP="00D272B5">
      <w:pPr>
        <w:pStyle w:val="Odstavecseseznamem"/>
        <w:spacing w:before="120" w:after="120"/>
        <w:ind w:left="0"/>
        <w:contextualSpacing w:val="0"/>
        <w:rPr>
          <w:b/>
          <w:bCs/>
        </w:rPr>
      </w:pPr>
      <w:r w:rsidRPr="006D6F9B">
        <w:rPr>
          <w:rFonts w:cstheme="minorHAnsi"/>
        </w:rPr>
        <w:lastRenderedPageBreak/>
        <w:t>V</w:t>
      </w:r>
      <w:r w:rsidR="00D403D8" w:rsidRPr="006D6F9B">
        <w:rPr>
          <w:rFonts w:cstheme="minorHAnsi"/>
        </w:rPr>
        <w:t> </w:t>
      </w:r>
      <w:r w:rsidRPr="006D6F9B">
        <w:rPr>
          <w:rFonts w:cstheme="minorHAnsi"/>
        </w:rPr>
        <w:t>období</w:t>
      </w:r>
      <w:r w:rsidR="00D403D8" w:rsidRPr="006D6F9B">
        <w:rPr>
          <w:rFonts w:cstheme="minorHAnsi"/>
        </w:rPr>
        <w:t xml:space="preserve">, </w:t>
      </w:r>
      <w:r w:rsidRPr="006D6F9B">
        <w:rPr>
          <w:rFonts w:cstheme="minorHAnsi"/>
        </w:rPr>
        <w:t>kdy ještě státní podnik nebyl v</w:t>
      </w:r>
      <w:r w:rsidR="00D403D8" w:rsidRPr="006D6F9B">
        <w:rPr>
          <w:rFonts w:cstheme="minorHAnsi"/>
        </w:rPr>
        <w:t> </w:t>
      </w:r>
      <w:r w:rsidRPr="006D6F9B">
        <w:rPr>
          <w:rFonts w:cstheme="minorHAnsi"/>
        </w:rPr>
        <w:t>likvidaci</w:t>
      </w:r>
      <w:r w:rsidR="00D403D8" w:rsidRPr="006D6F9B">
        <w:rPr>
          <w:rFonts w:cstheme="minorHAnsi"/>
        </w:rPr>
        <w:t>,</w:t>
      </w:r>
      <w:r w:rsidRPr="006D6F9B">
        <w:rPr>
          <w:rFonts w:cstheme="minorHAnsi"/>
        </w:rPr>
        <w:t xml:space="preserve"> byl usnesením soudu ze dne 21. listopadu 2000 prohlášen konkurs na majetek státního podniku. Tento konkurs byl zrušen usnesením soudu ze dne 7. ledna 2016. V konkursním řízení nebyla uspokojena pohledávka, kterou následně </w:t>
      </w:r>
      <w:r w:rsidR="004B02F5" w:rsidRPr="006D6F9B">
        <w:rPr>
          <w:rFonts w:cstheme="minorHAnsi"/>
        </w:rPr>
        <w:t xml:space="preserve">majitel pohledávky vymáhal </w:t>
      </w:r>
      <w:r w:rsidR="005551C0" w:rsidRPr="006D6F9B">
        <w:rPr>
          <w:rFonts w:cstheme="minorHAnsi"/>
        </w:rPr>
        <w:t>soudní cestou</w:t>
      </w:r>
      <w:r w:rsidR="004B02F5" w:rsidRPr="006D6F9B">
        <w:rPr>
          <w:rFonts w:cstheme="minorHAnsi"/>
        </w:rPr>
        <w:t>. Soudní jednání proběhlo 1. července 2016. Statutární orgán (ředitel) se k</w:t>
      </w:r>
      <w:r w:rsidR="00AB2BB9">
        <w:rPr>
          <w:rFonts w:cstheme="minorHAnsi"/>
        </w:rPr>
        <w:t xml:space="preserve"> tomuto </w:t>
      </w:r>
      <w:r w:rsidR="004B02F5" w:rsidRPr="006D6F9B">
        <w:rPr>
          <w:rFonts w:cstheme="minorHAnsi"/>
        </w:rPr>
        <w:t xml:space="preserve">soudnímu jednání nedostavil a ani </w:t>
      </w:r>
      <w:r w:rsidR="00CA6C71">
        <w:rPr>
          <w:rFonts w:cstheme="minorHAnsi"/>
        </w:rPr>
        <w:t xml:space="preserve">se </w:t>
      </w:r>
      <w:r w:rsidR="004B02F5" w:rsidRPr="006D6F9B">
        <w:rPr>
          <w:rFonts w:cstheme="minorHAnsi"/>
        </w:rPr>
        <w:t>řádně neomluvil, a proto soud rozhodl rozsudkem pro zmeškání</w:t>
      </w:r>
      <w:r w:rsidR="00D403D8" w:rsidRPr="006D6F9B">
        <w:rPr>
          <w:rStyle w:val="Znakapoznpodarou"/>
          <w:rFonts w:cstheme="minorHAnsi"/>
        </w:rPr>
        <w:footnoteReference w:id="8"/>
      </w:r>
      <w:r w:rsidR="00AB2BB9">
        <w:rPr>
          <w:rFonts w:cstheme="minorHAnsi"/>
        </w:rPr>
        <w:t xml:space="preserve"> a </w:t>
      </w:r>
      <w:r w:rsidR="004B02F5" w:rsidRPr="006D6F9B">
        <w:rPr>
          <w:rFonts w:cstheme="minorHAnsi"/>
        </w:rPr>
        <w:t>státnímu podniku</w:t>
      </w:r>
      <w:r w:rsidR="00FB408D">
        <w:rPr>
          <w:rFonts w:cstheme="minorHAnsi"/>
        </w:rPr>
        <w:t xml:space="preserve"> </w:t>
      </w:r>
      <w:r w:rsidR="00FB408D" w:rsidRPr="006D6F9B">
        <w:t>Cihlářské a keramické závody Teplice, státní podnik</w:t>
      </w:r>
      <w:r w:rsidR="00170BF5">
        <w:t>,</w:t>
      </w:r>
      <w:r w:rsidR="004B02F5" w:rsidRPr="006D6F9B">
        <w:rPr>
          <w:rFonts w:cstheme="minorHAnsi"/>
        </w:rPr>
        <w:t xml:space="preserve"> </w:t>
      </w:r>
      <w:r w:rsidR="004B02F5" w:rsidRPr="006D6F9B">
        <w:t>uložil povinnost zaplatit žalovanou částku a uhradit soudní poplatek ve výši 4 % ze žalované částky.</w:t>
      </w:r>
      <w:r w:rsidR="004B02F5" w:rsidRPr="006D6F9B">
        <w:rPr>
          <w:b/>
          <w:bCs/>
        </w:rPr>
        <w:t xml:space="preserve"> </w:t>
      </w:r>
    </w:p>
    <w:p w14:paraId="2C60C424" w14:textId="2B1DD87D" w:rsidR="003F2716" w:rsidRPr="003F2716" w:rsidRDefault="003F2716" w:rsidP="00D272B5">
      <w:pPr>
        <w:pStyle w:val="Odstavecseseznamem"/>
        <w:spacing w:before="120" w:after="120"/>
        <w:ind w:left="0"/>
        <w:contextualSpacing w:val="0"/>
        <w:rPr>
          <w:rFonts w:cstheme="minorHAnsi"/>
        </w:rPr>
      </w:pPr>
      <w:r w:rsidRPr="006D6F9B">
        <w:rPr>
          <w:rFonts w:cstheme="minorHAnsi"/>
        </w:rPr>
        <w:t>Vzhledem k tomu, že státní podnik neuhradil ani dlužnou částku a ani soudní poplatek, soud pověřil k vymožení dlužné částky dne 1. prosince 2016 soudního exekutora a</w:t>
      </w:r>
      <w:r>
        <w:rPr>
          <w:rFonts w:cstheme="minorHAnsi"/>
        </w:rPr>
        <w:t xml:space="preserve"> následně pověřil dalšího soudního exekutora</w:t>
      </w:r>
      <w:r w:rsidRPr="006D6F9B">
        <w:rPr>
          <w:rFonts w:cstheme="minorHAnsi"/>
        </w:rPr>
        <w:t xml:space="preserve"> k vymožení soudního poplatku. </w:t>
      </w:r>
    </w:p>
    <w:p w14:paraId="14A11416" w14:textId="3306F054" w:rsidR="004B02F5" w:rsidRPr="006D6F9B" w:rsidRDefault="004B02F5" w:rsidP="00D272B5">
      <w:pPr>
        <w:pStyle w:val="Odstavecseseznamem"/>
        <w:spacing w:before="120" w:after="120"/>
        <w:ind w:left="0"/>
        <w:contextualSpacing w:val="0"/>
        <w:rPr>
          <w:rFonts w:cstheme="minorHAnsi"/>
        </w:rPr>
      </w:pPr>
      <w:r w:rsidRPr="006D6F9B">
        <w:rPr>
          <w:rFonts w:cstheme="minorHAnsi"/>
        </w:rPr>
        <w:t>Dne 9. března 2017 byl státní podnik zrušen usnesením soudu, které nabylo právní moci dne 31. března 2017. Usnesením byla zároveň nařízena likvidace státního podniku a likvidátorem byl na návrh MPO soudem jmenován stávající ředitel státního podniku, který byl ředitelem od 1. listopadu 2010 a byl ředitel</w:t>
      </w:r>
      <w:r w:rsidR="003F2716">
        <w:rPr>
          <w:rFonts w:cstheme="minorHAnsi"/>
        </w:rPr>
        <w:t>em</w:t>
      </w:r>
      <w:r w:rsidRPr="006D6F9B">
        <w:rPr>
          <w:rFonts w:cstheme="minorHAnsi"/>
        </w:rPr>
        <w:t xml:space="preserve"> v době soudního jednání, které proběhlo dne 1. července 2016.</w:t>
      </w:r>
    </w:p>
    <w:p w14:paraId="5C35689F" w14:textId="1A2F6DA5" w:rsidR="00C97187" w:rsidRPr="006D6F9B" w:rsidRDefault="00D403D8" w:rsidP="00D272B5">
      <w:pPr>
        <w:pStyle w:val="Odstavecseseznamem"/>
        <w:spacing w:before="120" w:after="120"/>
        <w:ind w:left="0"/>
        <w:contextualSpacing w:val="0"/>
        <w:rPr>
          <w:rFonts w:cstheme="minorHAnsi"/>
        </w:rPr>
      </w:pPr>
      <w:r w:rsidRPr="006D6F9B">
        <w:rPr>
          <w:rFonts w:cstheme="minorHAnsi"/>
        </w:rPr>
        <w:t>NKÚ považuje nečinnost tehdejšího ředitele</w:t>
      </w:r>
      <w:r w:rsidR="00DE1552">
        <w:rPr>
          <w:rFonts w:cstheme="minorHAnsi"/>
        </w:rPr>
        <w:t>, který byl likvidátorem v kontrolovaném období</w:t>
      </w:r>
      <w:r w:rsidRPr="006D6F9B">
        <w:rPr>
          <w:rFonts w:cstheme="minorHAnsi"/>
        </w:rPr>
        <w:t>, za důvod, který vedl k zahájení exekuce</w:t>
      </w:r>
      <w:r w:rsidR="00DE29E4">
        <w:rPr>
          <w:rFonts w:cstheme="minorHAnsi"/>
        </w:rPr>
        <w:t>. Tato exekuce</w:t>
      </w:r>
      <w:r w:rsidR="00782D34" w:rsidRPr="006D6F9B">
        <w:rPr>
          <w:rFonts w:cstheme="minorHAnsi"/>
        </w:rPr>
        <w:t xml:space="preserve"> byla a dále je</w:t>
      </w:r>
      <w:r w:rsidRPr="006D6F9B">
        <w:rPr>
          <w:rFonts w:cstheme="minorHAnsi"/>
        </w:rPr>
        <w:t xml:space="preserve"> překážkou v ukončení likvidace</w:t>
      </w:r>
      <w:r w:rsidR="005551C0" w:rsidRPr="006D6F9B">
        <w:rPr>
          <w:rFonts w:cstheme="minorHAnsi"/>
        </w:rPr>
        <w:t>, protože exekucí je zatížen majetek a peněžní prostředky</w:t>
      </w:r>
      <w:r w:rsidR="006D6F9B" w:rsidRPr="006D6F9B">
        <w:rPr>
          <w:rFonts w:cstheme="minorHAnsi"/>
        </w:rPr>
        <w:t>, se kterými má právo hospodařit</w:t>
      </w:r>
      <w:r w:rsidR="005551C0" w:rsidRPr="006D6F9B">
        <w:rPr>
          <w:rFonts w:cstheme="minorHAnsi"/>
        </w:rPr>
        <w:t xml:space="preserve"> státní</w:t>
      </w:r>
      <w:r w:rsidR="006D6F9B" w:rsidRPr="006D6F9B">
        <w:rPr>
          <w:rFonts w:cstheme="minorHAnsi"/>
        </w:rPr>
        <w:t xml:space="preserve"> podnik</w:t>
      </w:r>
      <w:r w:rsidR="00CA6C71">
        <w:rPr>
          <w:rFonts w:cstheme="minorHAnsi"/>
        </w:rPr>
        <w:t xml:space="preserve"> v likvidaci</w:t>
      </w:r>
      <w:r w:rsidR="005551C0" w:rsidRPr="006D6F9B">
        <w:rPr>
          <w:rFonts w:cstheme="minorHAnsi"/>
        </w:rPr>
        <w:t>.</w:t>
      </w:r>
    </w:p>
    <w:p w14:paraId="013F4079" w14:textId="2C3E93D8" w:rsidR="001D3EF5" w:rsidRPr="005022EA" w:rsidRDefault="001D3EF5" w:rsidP="001D3EF5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autoSpaceDE w:val="0"/>
        <w:autoSpaceDN w:val="0"/>
        <w:adjustRightInd w:val="0"/>
        <w:rPr>
          <w:rFonts w:eastAsiaTheme="minorHAnsi"/>
          <w:b/>
          <w:bCs/>
          <w:color w:val="auto"/>
        </w:rPr>
      </w:pPr>
      <w:r>
        <w:rPr>
          <w:b/>
        </w:rPr>
        <w:t xml:space="preserve">U vybraných sedmi státních podniků v likvidaci zjistil NKÚ, že jejich likvidace </w:t>
      </w:r>
      <w:r w:rsidR="00DE29E4">
        <w:rPr>
          <w:b/>
        </w:rPr>
        <w:t xml:space="preserve">nebyly v kontrolovaném období ukončeny a </w:t>
      </w:r>
      <w:r w:rsidR="006D6F9B">
        <w:rPr>
          <w:b/>
        </w:rPr>
        <w:t xml:space="preserve">ke konci </w:t>
      </w:r>
      <w:r w:rsidR="00DE29E4">
        <w:rPr>
          <w:b/>
        </w:rPr>
        <w:t>roku 2024 trvaly</w:t>
      </w:r>
      <w:r w:rsidR="002E4D3E">
        <w:rPr>
          <w:b/>
        </w:rPr>
        <w:t xml:space="preserve"> </w:t>
      </w:r>
      <w:r w:rsidR="00C54F3A">
        <w:rPr>
          <w:b/>
        </w:rPr>
        <w:t xml:space="preserve">v nejkratším případě </w:t>
      </w:r>
      <w:r w:rsidR="00170BF5">
        <w:rPr>
          <w:b/>
        </w:rPr>
        <w:t>osm</w:t>
      </w:r>
      <w:r w:rsidR="00C54F3A">
        <w:rPr>
          <w:b/>
        </w:rPr>
        <w:t xml:space="preserve"> le</w:t>
      </w:r>
      <w:r w:rsidR="00C13933">
        <w:rPr>
          <w:b/>
        </w:rPr>
        <w:t>t</w:t>
      </w:r>
      <w:r w:rsidR="00C54F3A">
        <w:rPr>
          <w:b/>
        </w:rPr>
        <w:t xml:space="preserve"> a</w:t>
      </w:r>
      <w:r w:rsidR="003F2716">
        <w:rPr>
          <w:b/>
        </w:rPr>
        <w:t> </w:t>
      </w:r>
      <w:r w:rsidR="00C54F3A">
        <w:rPr>
          <w:b/>
        </w:rPr>
        <w:t>v</w:t>
      </w:r>
      <w:r w:rsidR="003F2716">
        <w:rPr>
          <w:b/>
        </w:rPr>
        <w:t> </w:t>
      </w:r>
      <w:r>
        <w:rPr>
          <w:b/>
        </w:rPr>
        <w:t xml:space="preserve">nejdelším případě </w:t>
      </w:r>
      <w:r w:rsidR="00442BE5">
        <w:rPr>
          <w:b/>
        </w:rPr>
        <w:t>23</w:t>
      </w:r>
      <w:r>
        <w:rPr>
          <w:b/>
        </w:rPr>
        <w:t xml:space="preserve"> let. </w:t>
      </w:r>
      <w:r w:rsidR="008B3463">
        <w:rPr>
          <w:b/>
        </w:rPr>
        <w:t>Soudní spory a restituční nároky,</w:t>
      </w:r>
      <w:r>
        <w:rPr>
          <w:b/>
        </w:rPr>
        <w:t xml:space="preserve"> které brání ukončení likvidace, </w:t>
      </w:r>
      <w:r w:rsidRPr="001D3EF5">
        <w:rPr>
          <w:b/>
        </w:rPr>
        <w:t>jsou skutečnosti, jejichž vyřešení nemůže likvidátor ani zakladatel ovlivnit</w:t>
      </w:r>
      <w:r w:rsidR="00150834">
        <w:rPr>
          <w:b/>
        </w:rPr>
        <w:t>, neboť závisí na</w:t>
      </w:r>
      <w:r w:rsidR="007146B0">
        <w:rPr>
          <w:b/>
        </w:rPr>
        <w:t> </w:t>
      </w:r>
      <w:r w:rsidR="00150834">
        <w:rPr>
          <w:b/>
        </w:rPr>
        <w:t>rozhodnutí příslušného soudu.</w:t>
      </w:r>
      <w:r w:rsidRPr="001D3EF5">
        <w:rPr>
          <w:b/>
        </w:rPr>
        <w:t xml:space="preserve"> </w:t>
      </w:r>
      <w:r w:rsidR="00DE29E4">
        <w:rPr>
          <w:b/>
        </w:rPr>
        <w:t xml:space="preserve">Pouze </w:t>
      </w:r>
      <w:r w:rsidR="00B45008">
        <w:rPr>
          <w:b/>
        </w:rPr>
        <w:t>v</w:t>
      </w:r>
      <w:r w:rsidRPr="001D3EF5">
        <w:rPr>
          <w:b/>
        </w:rPr>
        <w:t> případě státního podniku Cihlářské a</w:t>
      </w:r>
      <w:r w:rsidR="003F2716">
        <w:rPr>
          <w:b/>
        </w:rPr>
        <w:t> </w:t>
      </w:r>
      <w:r w:rsidRPr="001D3EF5">
        <w:rPr>
          <w:b/>
        </w:rPr>
        <w:t>keramické závody Teplice, státní podnik</w:t>
      </w:r>
      <w:r w:rsidRPr="001D3EF5">
        <w:rPr>
          <w:rFonts w:cstheme="minorHAnsi"/>
          <w:b/>
        </w:rPr>
        <w:t xml:space="preserve"> </w:t>
      </w:r>
      <w:r w:rsidRPr="001D3EF5">
        <w:rPr>
          <w:b/>
        </w:rPr>
        <w:t>v likvidaci</w:t>
      </w:r>
      <w:r w:rsidR="00170BF5">
        <w:rPr>
          <w:b/>
        </w:rPr>
        <w:t>,</w:t>
      </w:r>
      <w:r w:rsidRPr="001D3EF5">
        <w:rPr>
          <w:b/>
        </w:rPr>
        <w:t xml:space="preserve"> NKÚ považuje nečinnost</w:t>
      </w:r>
      <w:r w:rsidR="00C54F3A">
        <w:rPr>
          <w:b/>
        </w:rPr>
        <w:t xml:space="preserve"> </w:t>
      </w:r>
      <w:r w:rsidR="00836140">
        <w:rPr>
          <w:b/>
        </w:rPr>
        <w:t>statutárního orgánu</w:t>
      </w:r>
      <w:r w:rsidR="008B3463">
        <w:rPr>
          <w:b/>
        </w:rPr>
        <w:t xml:space="preserve"> v</w:t>
      </w:r>
      <w:r w:rsidR="007146B0">
        <w:rPr>
          <w:b/>
        </w:rPr>
        <w:t> </w:t>
      </w:r>
      <w:r w:rsidR="008B3463">
        <w:rPr>
          <w:b/>
        </w:rPr>
        <w:t>minulosti</w:t>
      </w:r>
      <w:r w:rsidRPr="001D3EF5">
        <w:rPr>
          <w:b/>
        </w:rPr>
        <w:t xml:space="preserve"> za </w:t>
      </w:r>
      <w:r w:rsidR="008625A4">
        <w:rPr>
          <w:b/>
        </w:rPr>
        <w:t>hlavní důvod</w:t>
      </w:r>
      <w:r w:rsidR="00B45008">
        <w:rPr>
          <w:b/>
        </w:rPr>
        <w:t xml:space="preserve"> bránící ukončení likvidace</w:t>
      </w:r>
      <w:r>
        <w:rPr>
          <w:b/>
        </w:rPr>
        <w:t>.</w:t>
      </w:r>
    </w:p>
    <w:p w14:paraId="006E955B" w14:textId="77777777" w:rsidR="001D3EF5" w:rsidRDefault="001D3EF5" w:rsidP="00DA1936">
      <w:pPr>
        <w:pStyle w:val="Odstavecseseznamem"/>
        <w:ind w:left="0"/>
        <w:contextualSpacing w:val="0"/>
      </w:pPr>
    </w:p>
    <w:p w14:paraId="40ED4595" w14:textId="3D2974F6" w:rsidR="002A1C92" w:rsidRPr="00666E7E" w:rsidRDefault="002A1C92" w:rsidP="00666E7E">
      <w:pPr>
        <w:pStyle w:val="Nadpis4"/>
        <w:spacing w:before="120" w:after="120"/>
        <w:ind w:left="426" w:hanging="426"/>
        <w:rPr>
          <w:u w:val="none"/>
        </w:rPr>
      </w:pPr>
      <w:r w:rsidRPr="00666E7E">
        <w:rPr>
          <w:u w:val="none"/>
        </w:rPr>
        <w:t>Porušení povinnosti schvalování účetních závěrek ze strany zakladatele</w:t>
      </w:r>
      <w:bookmarkEnd w:id="16"/>
    </w:p>
    <w:p w14:paraId="69934CE7" w14:textId="217784E4" w:rsidR="002A1C92" w:rsidRPr="00FB4E80" w:rsidRDefault="002A1C92" w:rsidP="002A1C92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</w:pPr>
      <w:r>
        <w:t>Dle</w:t>
      </w:r>
      <w:r w:rsidR="00831740">
        <w:t xml:space="preserve"> ustanovení</w:t>
      </w:r>
      <w:r>
        <w:t xml:space="preserve"> § 25 zákona č. 111/1990 Sb.</w:t>
      </w:r>
      <w:r w:rsidR="00227613">
        <w:t xml:space="preserve"> </w:t>
      </w:r>
      <w:r>
        <w:t xml:space="preserve">a dle </w:t>
      </w:r>
      <w:r w:rsidR="00831740">
        <w:t xml:space="preserve">ustanovení </w:t>
      </w:r>
      <w:r>
        <w:t>§ 15 zákona</w:t>
      </w:r>
      <w:r w:rsidRPr="00FB4E80">
        <w:t xml:space="preserve"> č. 77/1997 Sb.</w:t>
      </w:r>
      <w:r w:rsidR="00227613">
        <w:t xml:space="preserve"> </w:t>
      </w:r>
      <w:r w:rsidRPr="00FB4E80">
        <w:t>zakladatel schval</w:t>
      </w:r>
      <w:r>
        <w:t>uje</w:t>
      </w:r>
      <w:r w:rsidRPr="00FB4E80">
        <w:t xml:space="preserve"> roční účetní závěrku</w:t>
      </w:r>
      <w:r>
        <w:t xml:space="preserve"> státního podniku</w:t>
      </w:r>
      <w:r w:rsidRPr="00FB4E80">
        <w:t xml:space="preserve"> a </w:t>
      </w:r>
      <w:r>
        <w:t>rozhoduje</w:t>
      </w:r>
      <w:r w:rsidRPr="00FB4E80">
        <w:t xml:space="preserve"> o rozdělení použitelného zisku. </w:t>
      </w:r>
    </w:p>
    <w:p w14:paraId="3A4CBBBE" w14:textId="12CC0FD2" w:rsidR="006D6786" w:rsidRPr="00551A18" w:rsidRDefault="002A1C92" w:rsidP="002A1C92">
      <w:pPr>
        <w:pStyle w:val="KZ-normln"/>
        <w:rPr>
          <w:i/>
          <w:lang w:eastAsia="cs-CZ"/>
        </w:rPr>
      </w:pPr>
      <w:r>
        <w:rPr>
          <w:lang w:eastAsia="cs-CZ"/>
        </w:rPr>
        <w:t>V roce</w:t>
      </w:r>
      <w:r w:rsidRPr="00284DF5">
        <w:rPr>
          <w:lang w:eastAsia="cs-CZ"/>
        </w:rPr>
        <w:t xml:space="preserve"> 2020 se </w:t>
      </w:r>
      <w:proofErr w:type="spellStart"/>
      <w:r w:rsidR="008B3463">
        <w:rPr>
          <w:lang w:eastAsia="cs-CZ"/>
        </w:rPr>
        <w:t>MZe</w:t>
      </w:r>
      <w:proofErr w:type="spellEnd"/>
      <w:r w:rsidRPr="00284DF5">
        <w:rPr>
          <w:lang w:eastAsia="cs-CZ"/>
        </w:rPr>
        <w:t xml:space="preserve"> obrátilo na </w:t>
      </w:r>
      <w:r w:rsidR="008B3463">
        <w:rPr>
          <w:lang w:eastAsia="cs-CZ"/>
        </w:rPr>
        <w:t>MPO</w:t>
      </w:r>
      <w:r w:rsidRPr="00284DF5">
        <w:rPr>
          <w:lang w:eastAsia="cs-CZ"/>
        </w:rPr>
        <w:t xml:space="preserve"> (jakožto gestora </w:t>
      </w:r>
      <w:r w:rsidR="002E4D3E">
        <w:t>zákona</w:t>
      </w:r>
      <w:r w:rsidR="002E4D3E" w:rsidRPr="00FB4E80">
        <w:t xml:space="preserve"> č. 77/1997 Sb.</w:t>
      </w:r>
      <w:r w:rsidRPr="00284DF5">
        <w:rPr>
          <w:lang w:eastAsia="cs-CZ"/>
        </w:rPr>
        <w:t>) se žádostí o</w:t>
      </w:r>
      <w:r w:rsidR="006A2F92">
        <w:rPr>
          <w:lang w:eastAsia="cs-CZ"/>
        </w:rPr>
        <w:t> </w:t>
      </w:r>
      <w:r w:rsidRPr="00284DF5">
        <w:rPr>
          <w:lang w:eastAsia="cs-CZ"/>
        </w:rPr>
        <w:t>stanovisko ve věci povinnosti likvidátorů předkládat zakladateli ke</w:t>
      </w:r>
      <w:r>
        <w:rPr>
          <w:lang w:eastAsia="cs-CZ"/>
        </w:rPr>
        <w:t> </w:t>
      </w:r>
      <w:r w:rsidRPr="00284DF5">
        <w:rPr>
          <w:lang w:eastAsia="cs-CZ"/>
        </w:rPr>
        <w:t>schválení auditované účetní závěrky a návrhy na</w:t>
      </w:r>
      <w:r w:rsidR="008E0363">
        <w:rPr>
          <w:lang w:eastAsia="cs-CZ"/>
        </w:rPr>
        <w:t> </w:t>
      </w:r>
      <w:r w:rsidRPr="00284DF5">
        <w:rPr>
          <w:lang w:eastAsia="cs-CZ"/>
        </w:rPr>
        <w:t>zaúčtování hospodářských výsledků u</w:t>
      </w:r>
      <w:r>
        <w:rPr>
          <w:lang w:eastAsia="cs-CZ"/>
        </w:rPr>
        <w:t> </w:t>
      </w:r>
      <w:r w:rsidRPr="00284DF5">
        <w:rPr>
          <w:lang w:eastAsia="cs-CZ"/>
        </w:rPr>
        <w:t>státních podniků v režimu zákona č. 111/1990 Sb</w:t>
      </w:r>
      <w:r>
        <w:rPr>
          <w:lang w:eastAsia="cs-CZ"/>
        </w:rPr>
        <w:t>.</w:t>
      </w:r>
      <w:r w:rsidRPr="00284DF5">
        <w:rPr>
          <w:lang w:eastAsia="cs-CZ"/>
        </w:rPr>
        <w:t xml:space="preserve"> </w:t>
      </w:r>
      <w:r w:rsidR="008B3463">
        <w:rPr>
          <w:lang w:eastAsia="cs-CZ"/>
        </w:rPr>
        <w:t>MPO</w:t>
      </w:r>
      <w:r w:rsidRPr="00284DF5">
        <w:rPr>
          <w:lang w:eastAsia="cs-CZ"/>
        </w:rPr>
        <w:t xml:space="preserve"> na</w:t>
      </w:r>
      <w:r>
        <w:rPr>
          <w:lang w:eastAsia="cs-CZ"/>
        </w:rPr>
        <w:t> </w:t>
      </w:r>
      <w:r w:rsidRPr="00284DF5">
        <w:rPr>
          <w:lang w:eastAsia="cs-CZ"/>
        </w:rPr>
        <w:t xml:space="preserve">tuto žádost </w:t>
      </w:r>
      <w:r w:rsidRPr="00594DE3">
        <w:rPr>
          <w:lang w:eastAsia="cs-CZ"/>
        </w:rPr>
        <w:t>mimo jiné odpovědělo</w:t>
      </w:r>
      <w:r w:rsidR="00594DE3" w:rsidRPr="00594DE3">
        <w:rPr>
          <w:lang w:eastAsia="cs-CZ"/>
        </w:rPr>
        <w:t>, že i</w:t>
      </w:r>
      <w:r w:rsidR="00594DE3">
        <w:rPr>
          <w:lang w:eastAsia="cs-CZ"/>
        </w:rPr>
        <w:t xml:space="preserve"> </w:t>
      </w:r>
      <w:r w:rsidRPr="00594DE3">
        <w:rPr>
          <w:lang w:eastAsia="cs-CZ"/>
        </w:rPr>
        <w:t xml:space="preserve">když je činnost státních podniků v likvidaci výrazně omezena a limitována naplňováním účelu likvidace, jsou z hlediska účetního </w:t>
      </w:r>
      <w:r w:rsidR="00594DE3" w:rsidRPr="00594DE3">
        <w:rPr>
          <w:lang w:eastAsia="cs-CZ"/>
        </w:rPr>
        <w:t>státní podniky v likvidaci</w:t>
      </w:r>
      <w:r w:rsidRPr="00594DE3">
        <w:rPr>
          <w:lang w:eastAsia="cs-CZ"/>
        </w:rPr>
        <w:t xml:space="preserve"> účetními jednotkami, </w:t>
      </w:r>
      <w:r w:rsidR="00594DE3" w:rsidRPr="00594DE3">
        <w:rPr>
          <w:lang w:eastAsia="cs-CZ"/>
        </w:rPr>
        <w:t xml:space="preserve">u nichž ze zákona </w:t>
      </w:r>
      <w:r w:rsidRPr="00594DE3">
        <w:rPr>
          <w:lang w:eastAsia="cs-CZ"/>
        </w:rPr>
        <w:t xml:space="preserve">účetní závěrka </w:t>
      </w:r>
      <w:r w:rsidRPr="00594DE3">
        <w:rPr>
          <w:lang w:eastAsia="cs-CZ"/>
        </w:rPr>
        <w:lastRenderedPageBreak/>
        <w:t>podléhá ověření auditorem a poté schválení zakladatelem</w:t>
      </w:r>
      <w:bookmarkStart w:id="19" w:name="_Hlk199499140"/>
      <w:r w:rsidRPr="00594DE3">
        <w:rPr>
          <w:lang w:eastAsia="cs-CZ"/>
        </w:rPr>
        <w:t>.</w:t>
      </w:r>
      <w:r w:rsidR="001670EC">
        <w:rPr>
          <w:i/>
          <w:lang w:eastAsia="cs-CZ"/>
        </w:rPr>
        <w:t xml:space="preserve"> </w:t>
      </w:r>
      <w:r w:rsidR="00B8389F">
        <w:rPr>
          <w:iCs/>
          <w:lang w:eastAsia="cs-CZ"/>
        </w:rPr>
        <w:t>Stejné stanovisko</w:t>
      </w:r>
      <w:r w:rsidR="001670EC">
        <w:rPr>
          <w:iCs/>
          <w:lang w:eastAsia="cs-CZ"/>
        </w:rPr>
        <w:t xml:space="preserve"> uvedlo MPO i ve svém vnitřním předpisu</w:t>
      </w:r>
      <w:r w:rsidR="00C52CA3">
        <w:rPr>
          <w:iCs/>
          <w:lang w:eastAsia="cs-CZ"/>
        </w:rPr>
        <w:t xml:space="preserve"> </w:t>
      </w:r>
      <w:r w:rsidR="00C52CA3" w:rsidRPr="00C52CA3">
        <w:rPr>
          <w:i/>
          <w:lang w:eastAsia="cs-CZ"/>
        </w:rPr>
        <w:t>Metodický postup při výkonu zakladatelské funkce Ministerstva průmyslu a obchodu vůči státním podnikům</w:t>
      </w:r>
      <w:r w:rsidR="001670EC">
        <w:rPr>
          <w:iCs/>
          <w:lang w:eastAsia="cs-CZ"/>
        </w:rPr>
        <w:t xml:space="preserve"> </w:t>
      </w:r>
      <w:r w:rsidR="00C52CA3">
        <w:rPr>
          <w:iCs/>
          <w:lang w:eastAsia="cs-CZ"/>
        </w:rPr>
        <w:t>a</w:t>
      </w:r>
      <w:r w:rsidR="001670EC">
        <w:rPr>
          <w:iCs/>
          <w:lang w:eastAsia="cs-CZ"/>
        </w:rPr>
        <w:t xml:space="preserve"> </w:t>
      </w:r>
      <w:r w:rsidR="004F176F">
        <w:rPr>
          <w:iCs/>
          <w:lang w:eastAsia="cs-CZ"/>
        </w:rPr>
        <w:t xml:space="preserve">na svých internetových stránkách </w:t>
      </w:r>
      <w:r w:rsidR="00C52CA3">
        <w:rPr>
          <w:iCs/>
          <w:lang w:eastAsia="cs-CZ"/>
        </w:rPr>
        <w:t>(</w:t>
      </w:r>
      <w:r w:rsidR="004F176F">
        <w:rPr>
          <w:iCs/>
          <w:lang w:eastAsia="cs-CZ"/>
        </w:rPr>
        <w:t xml:space="preserve">prostřednictvím stanoviska č. </w:t>
      </w:r>
      <w:r w:rsidR="00C52CA3">
        <w:rPr>
          <w:iCs/>
          <w:lang w:eastAsia="cs-CZ"/>
        </w:rPr>
        <w:t>1/2021 pod bodem 7</w:t>
      </w:r>
      <w:r w:rsidR="00C52CA3">
        <w:rPr>
          <w:rStyle w:val="Znakapoznpodarou"/>
          <w:iCs/>
          <w:lang w:eastAsia="cs-CZ"/>
        </w:rPr>
        <w:footnoteReference w:id="9"/>
      </w:r>
      <w:r w:rsidR="00C52CA3">
        <w:rPr>
          <w:iCs/>
          <w:lang w:eastAsia="cs-CZ"/>
        </w:rPr>
        <w:t>)</w:t>
      </w:r>
      <w:r w:rsidR="00551A18">
        <w:rPr>
          <w:iCs/>
          <w:lang w:eastAsia="cs-CZ"/>
        </w:rPr>
        <w:t>.</w:t>
      </w:r>
      <w:bookmarkEnd w:id="19"/>
    </w:p>
    <w:p w14:paraId="621F0541" w14:textId="05AA881B" w:rsidR="002A1C92" w:rsidRPr="00666E7E" w:rsidRDefault="002A1C92" w:rsidP="002A1C92">
      <w:pPr>
        <w:pStyle w:val="KZ-normln"/>
        <w:rPr>
          <w:rFonts w:eastAsiaTheme="minorHAnsi"/>
          <w:color w:val="000000" w:themeColor="text1"/>
        </w:rPr>
      </w:pPr>
      <w:r>
        <w:rPr>
          <w:rFonts w:eastAsiaTheme="minorHAnsi"/>
          <w:b/>
          <w:color w:val="auto"/>
        </w:rPr>
        <w:t>Ministerstvo průmyslu a obchodu</w:t>
      </w:r>
      <w:r w:rsidRPr="00284DF5">
        <w:rPr>
          <w:rFonts w:eastAsiaTheme="minorHAnsi"/>
          <w:color w:val="auto"/>
        </w:rPr>
        <w:t xml:space="preserve"> v kontrolovaném období obdrželo od státních podniků v</w:t>
      </w:r>
      <w:r>
        <w:rPr>
          <w:rFonts w:eastAsiaTheme="minorHAnsi"/>
          <w:color w:val="auto"/>
        </w:rPr>
        <w:t> </w:t>
      </w:r>
      <w:r w:rsidRPr="00284DF5">
        <w:rPr>
          <w:rFonts w:eastAsiaTheme="minorHAnsi"/>
          <w:color w:val="auto"/>
        </w:rPr>
        <w:t>likvidaci účetní závěrky</w:t>
      </w:r>
      <w:r>
        <w:rPr>
          <w:rFonts w:eastAsiaTheme="minorHAnsi"/>
          <w:color w:val="auto"/>
        </w:rPr>
        <w:t xml:space="preserve"> za roky 2020 až 2023</w:t>
      </w:r>
      <w:r w:rsidRPr="00284DF5">
        <w:rPr>
          <w:rFonts w:eastAsiaTheme="minorHAnsi"/>
          <w:color w:val="auto"/>
        </w:rPr>
        <w:t>, které byly ověřeny auditorem pouze od dvou ze čtyř kontrolovaných státních podniků v likvidaci. Auditované účetní závěrky předložil</w:t>
      </w:r>
      <w:r>
        <w:rPr>
          <w:rFonts w:eastAsiaTheme="minorHAnsi"/>
          <w:color w:val="auto"/>
        </w:rPr>
        <w:t>y</w:t>
      </w:r>
      <w:r w:rsidRPr="00284DF5">
        <w:rPr>
          <w:rFonts w:eastAsiaTheme="minorHAnsi"/>
          <w:color w:val="auto"/>
        </w:rPr>
        <w:t xml:space="preserve"> Brněnské papírny, státní podnik – v</w:t>
      </w:r>
      <w:r w:rsidR="00170BF5">
        <w:rPr>
          <w:rFonts w:eastAsiaTheme="minorHAnsi"/>
          <w:color w:val="auto"/>
        </w:rPr>
        <w:t> </w:t>
      </w:r>
      <w:r w:rsidRPr="00284DF5">
        <w:rPr>
          <w:rFonts w:eastAsiaTheme="minorHAnsi"/>
          <w:color w:val="auto"/>
        </w:rPr>
        <w:t>likvidaci</w:t>
      </w:r>
      <w:r w:rsidR="00170BF5">
        <w:rPr>
          <w:rFonts w:eastAsiaTheme="minorHAnsi"/>
          <w:color w:val="auto"/>
        </w:rPr>
        <w:t>,</w:t>
      </w:r>
      <w:r w:rsidRPr="00284DF5">
        <w:rPr>
          <w:rFonts w:eastAsiaTheme="minorHAnsi"/>
          <w:color w:val="auto"/>
        </w:rPr>
        <w:t xml:space="preserve"> a RKT – Rovnací a kotevní technika, státní podnik v likvidaci. Cihlářské a</w:t>
      </w:r>
      <w:r w:rsidR="006B30B6">
        <w:rPr>
          <w:rFonts w:eastAsiaTheme="minorHAnsi"/>
          <w:color w:val="auto"/>
        </w:rPr>
        <w:t> </w:t>
      </w:r>
      <w:r w:rsidRPr="00284DF5">
        <w:rPr>
          <w:rFonts w:eastAsiaTheme="minorHAnsi"/>
          <w:color w:val="auto"/>
        </w:rPr>
        <w:t>keramické závody Teplice, státní podnik v likvidaci</w:t>
      </w:r>
      <w:r w:rsidR="00170BF5">
        <w:rPr>
          <w:rFonts w:eastAsiaTheme="minorHAnsi"/>
          <w:color w:val="auto"/>
        </w:rPr>
        <w:t>,</w:t>
      </w:r>
      <w:r w:rsidRPr="00284DF5">
        <w:rPr>
          <w:rFonts w:eastAsiaTheme="minorHAnsi"/>
          <w:color w:val="auto"/>
        </w:rPr>
        <w:t xml:space="preserve"> </w:t>
      </w:r>
      <w:r w:rsidR="006B30B6">
        <w:rPr>
          <w:rFonts w:eastAsiaTheme="minorHAnsi"/>
          <w:color w:val="auto"/>
        </w:rPr>
        <w:t xml:space="preserve">předložil MPO účetní závěrky, které neodpovídaly skutečnosti, nebyly </w:t>
      </w:r>
      <w:r w:rsidR="006B30B6" w:rsidRPr="006B30B6">
        <w:rPr>
          <w:rFonts w:eastAsiaTheme="minorHAnsi"/>
          <w:color w:val="auto"/>
        </w:rPr>
        <w:t xml:space="preserve">auditované a byly pouze </w:t>
      </w:r>
      <w:r w:rsidR="006B30B6" w:rsidRPr="006B30B6">
        <w:t>ve</w:t>
      </w:r>
      <w:r w:rsidR="006B30B6" w:rsidRPr="00883D9E">
        <w:t xml:space="preserve"> zjednodušeném</w:t>
      </w:r>
      <w:r w:rsidR="006B30B6">
        <w:t xml:space="preserve"> rozsahu</w:t>
      </w:r>
      <w:r w:rsidR="006B30B6">
        <w:rPr>
          <w:rFonts w:eastAsiaTheme="minorHAnsi"/>
          <w:color w:val="auto"/>
        </w:rPr>
        <w:t xml:space="preserve">. </w:t>
      </w:r>
      <w:r w:rsidRPr="00284DF5">
        <w:rPr>
          <w:rFonts w:eastAsiaTheme="minorHAnsi"/>
          <w:color w:val="auto"/>
        </w:rPr>
        <w:t>Barvy a laky, státní podnik "v likvidaci"</w:t>
      </w:r>
      <w:r w:rsidR="00170BF5">
        <w:rPr>
          <w:rFonts w:eastAsiaTheme="minorHAnsi"/>
          <w:color w:val="auto"/>
        </w:rPr>
        <w:t>,</w:t>
      </w:r>
      <w:r w:rsidR="006B30B6">
        <w:rPr>
          <w:rFonts w:eastAsiaTheme="minorHAnsi"/>
          <w:color w:val="auto"/>
        </w:rPr>
        <w:t xml:space="preserve"> nepředložil MPO žádné účetní závěrky</w:t>
      </w:r>
      <w:r>
        <w:rPr>
          <w:rFonts w:eastAsiaTheme="minorHAnsi"/>
          <w:color w:val="auto"/>
        </w:rPr>
        <w:t>.</w:t>
      </w:r>
      <w:r w:rsidR="0032130D">
        <w:rPr>
          <w:rFonts w:eastAsiaTheme="minorHAnsi"/>
          <w:color w:val="auto"/>
        </w:rPr>
        <w:t xml:space="preserve"> MPO </w:t>
      </w:r>
      <w:r w:rsidR="00640D34">
        <w:rPr>
          <w:rFonts w:eastAsiaTheme="minorHAnsi"/>
          <w:color w:val="auto"/>
        </w:rPr>
        <w:t>výše popsaný stav akceptovalo a ž</w:t>
      </w:r>
      <w:r w:rsidR="0032130D">
        <w:rPr>
          <w:rFonts w:eastAsiaTheme="minorHAnsi"/>
          <w:color w:val="auto"/>
        </w:rPr>
        <w:t>ádnou z předložených účetních závěrek ne</w:t>
      </w:r>
      <w:r w:rsidR="0032130D" w:rsidRPr="00666E7E">
        <w:rPr>
          <w:rFonts w:eastAsiaTheme="minorHAnsi"/>
          <w:color w:val="000000" w:themeColor="text1"/>
        </w:rPr>
        <w:t>schválilo.</w:t>
      </w:r>
    </w:p>
    <w:p w14:paraId="5B197C28" w14:textId="4D9F219B" w:rsidR="002A1C92" w:rsidRPr="00666E7E" w:rsidRDefault="002A1C92" w:rsidP="002A1C92">
      <w:pPr>
        <w:pStyle w:val="KZ-normln"/>
        <w:rPr>
          <w:rFonts w:cstheme="minorHAnsi"/>
          <w:bCs/>
          <w:color w:val="000000" w:themeColor="text1"/>
        </w:rPr>
      </w:pPr>
      <w:r w:rsidRPr="00666E7E">
        <w:rPr>
          <w:rFonts w:eastAsiaTheme="minorHAnsi"/>
          <w:b/>
          <w:color w:val="000000" w:themeColor="text1"/>
        </w:rPr>
        <w:t xml:space="preserve">Ministerstvo zemědělství </w:t>
      </w:r>
      <w:r w:rsidR="00DE7C45" w:rsidRPr="00666E7E">
        <w:rPr>
          <w:rFonts w:cstheme="minorHAnsi"/>
          <w:bCs/>
          <w:color w:val="000000" w:themeColor="text1"/>
        </w:rPr>
        <w:t>v kontrolovaném období předložené účetní závěrky schválilo.</w:t>
      </w:r>
    </w:p>
    <w:p w14:paraId="7BBCF9CC" w14:textId="36DF7C02" w:rsidR="002A1C92" w:rsidRPr="005022EA" w:rsidRDefault="002A1C92" w:rsidP="002A1C92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autoSpaceDE w:val="0"/>
        <w:autoSpaceDN w:val="0"/>
        <w:adjustRightInd w:val="0"/>
        <w:rPr>
          <w:rFonts w:eastAsiaTheme="minorHAnsi"/>
          <w:b/>
          <w:bCs/>
          <w:color w:val="auto"/>
        </w:rPr>
      </w:pPr>
      <w:r w:rsidRPr="005022EA">
        <w:rPr>
          <w:rFonts w:eastAsiaTheme="minorHAnsi"/>
          <w:b/>
          <w:bCs/>
          <w:color w:val="auto"/>
        </w:rPr>
        <w:t xml:space="preserve">Tím, že MPO </w:t>
      </w:r>
      <w:r w:rsidRPr="00D6542A">
        <w:rPr>
          <w:rFonts w:eastAsiaTheme="minorHAnsi"/>
          <w:b/>
          <w:bCs/>
          <w:color w:val="auto"/>
        </w:rPr>
        <w:t>neschv</w:t>
      </w:r>
      <w:r w:rsidR="00AB2BB9">
        <w:rPr>
          <w:rFonts w:eastAsiaTheme="minorHAnsi"/>
          <w:b/>
          <w:bCs/>
          <w:color w:val="auto"/>
        </w:rPr>
        <w:t>alovalo</w:t>
      </w:r>
      <w:r w:rsidRPr="00D6542A">
        <w:rPr>
          <w:rFonts w:eastAsiaTheme="minorHAnsi"/>
          <w:b/>
          <w:bCs/>
          <w:color w:val="auto"/>
        </w:rPr>
        <w:t xml:space="preserve"> auditované účetní závěrky státních podniků v likvidaci, nesplnil</w:t>
      </w:r>
      <w:r w:rsidR="002E4D3E">
        <w:rPr>
          <w:rFonts w:eastAsiaTheme="minorHAnsi"/>
          <w:b/>
          <w:bCs/>
          <w:color w:val="auto"/>
        </w:rPr>
        <w:t>o</w:t>
      </w:r>
      <w:r w:rsidRPr="00D6542A">
        <w:rPr>
          <w:rFonts w:eastAsiaTheme="minorHAnsi"/>
          <w:b/>
          <w:bCs/>
          <w:color w:val="auto"/>
        </w:rPr>
        <w:t xml:space="preserve"> svou povinnost zakladatele</w:t>
      </w:r>
      <w:r w:rsidRPr="005022EA">
        <w:rPr>
          <w:rFonts w:eastAsiaTheme="minorHAnsi"/>
          <w:b/>
          <w:bCs/>
          <w:color w:val="auto"/>
        </w:rPr>
        <w:t xml:space="preserve"> stanovenou</w:t>
      </w:r>
      <w:r w:rsidR="00831740">
        <w:rPr>
          <w:rFonts w:eastAsiaTheme="minorHAnsi"/>
          <w:b/>
          <w:bCs/>
          <w:color w:val="auto"/>
        </w:rPr>
        <w:t xml:space="preserve"> ustanovením</w:t>
      </w:r>
      <w:r w:rsidRPr="005022EA">
        <w:rPr>
          <w:rFonts w:eastAsiaTheme="minorHAnsi"/>
          <w:b/>
          <w:bCs/>
          <w:color w:val="auto"/>
        </w:rPr>
        <w:t xml:space="preserve"> </w:t>
      </w:r>
      <w:r w:rsidR="00DC6E88">
        <w:rPr>
          <w:rFonts w:eastAsiaTheme="minorHAnsi"/>
          <w:b/>
          <w:bCs/>
          <w:color w:val="auto"/>
        </w:rPr>
        <w:t xml:space="preserve">§ 25 </w:t>
      </w:r>
      <w:r>
        <w:rPr>
          <w:rFonts w:eastAsiaTheme="minorHAnsi"/>
          <w:b/>
          <w:bCs/>
          <w:color w:val="auto"/>
        </w:rPr>
        <w:t>zákon</w:t>
      </w:r>
      <w:r w:rsidR="00DC6E88">
        <w:rPr>
          <w:rFonts w:eastAsiaTheme="minorHAnsi"/>
          <w:b/>
          <w:bCs/>
          <w:color w:val="auto"/>
        </w:rPr>
        <w:t>a</w:t>
      </w:r>
      <w:r>
        <w:rPr>
          <w:rFonts w:eastAsiaTheme="minorHAnsi"/>
          <w:b/>
          <w:bCs/>
          <w:color w:val="auto"/>
        </w:rPr>
        <w:t xml:space="preserve"> </w:t>
      </w:r>
      <w:r w:rsidRPr="005022EA">
        <w:rPr>
          <w:rFonts w:eastAsiaTheme="minorHAnsi"/>
          <w:b/>
          <w:bCs/>
          <w:color w:val="auto"/>
        </w:rPr>
        <w:t>č. 111/1990 Sb.</w:t>
      </w:r>
      <w:r w:rsidR="00C54F3A">
        <w:rPr>
          <w:rFonts w:eastAsiaTheme="minorHAnsi"/>
          <w:b/>
          <w:bCs/>
          <w:color w:val="auto"/>
        </w:rPr>
        <w:t>, respektive</w:t>
      </w:r>
      <w:r w:rsidR="00831740">
        <w:rPr>
          <w:rFonts w:eastAsiaTheme="minorHAnsi"/>
          <w:b/>
          <w:bCs/>
          <w:color w:val="auto"/>
        </w:rPr>
        <w:t xml:space="preserve"> ustanovením</w:t>
      </w:r>
      <w:r w:rsidR="00C54F3A">
        <w:rPr>
          <w:rFonts w:eastAsiaTheme="minorHAnsi"/>
          <w:b/>
          <w:bCs/>
          <w:color w:val="auto"/>
        </w:rPr>
        <w:t xml:space="preserve"> </w:t>
      </w:r>
      <w:r w:rsidR="00DC6E88">
        <w:rPr>
          <w:rFonts w:eastAsiaTheme="minorHAnsi"/>
          <w:b/>
          <w:bCs/>
          <w:color w:val="auto"/>
        </w:rPr>
        <w:t xml:space="preserve">§ 15 </w:t>
      </w:r>
      <w:r>
        <w:rPr>
          <w:rFonts w:eastAsiaTheme="minorHAnsi"/>
          <w:b/>
          <w:bCs/>
          <w:color w:val="auto"/>
        </w:rPr>
        <w:t>zákon</w:t>
      </w:r>
      <w:r w:rsidR="00DC6E88">
        <w:rPr>
          <w:rFonts w:eastAsiaTheme="minorHAnsi"/>
          <w:b/>
          <w:bCs/>
          <w:color w:val="auto"/>
        </w:rPr>
        <w:t>a</w:t>
      </w:r>
      <w:r w:rsidRPr="005022EA">
        <w:rPr>
          <w:rFonts w:eastAsiaTheme="minorHAnsi"/>
          <w:b/>
          <w:bCs/>
          <w:color w:val="auto"/>
        </w:rPr>
        <w:t xml:space="preserve"> č. 77/1997 Sb.</w:t>
      </w:r>
      <w:r w:rsidR="009B2FB8">
        <w:rPr>
          <w:rFonts w:eastAsiaTheme="minorHAnsi"/>
          <w:b/>
          <w:bCs/>
          <w:color w:val="auto"/>
        </w:rPr>
        <w:t xml:space="preserve"> </w:t>
      </w:r>
    </w:p>
    <w:p w14:paraId="1BC7FD33" w14:textId="77777777" w:rsidR="002A1C92" w:rsidRDefault="002A1C92" w:rsidP="002A1C92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3E5DF73C" w14:textId="78FB4DC3" w:rsidR="002A1C92" w:rsidRPr="00666E7E" w:rsidRDefault="008B3463" w:rsidP="00666E7E">
      <w:pPr>
        <w:pStyle w:val="Nadpis4"/>
        <w:spacing w:before="120" w:after="120"/>
        <w:ind w:left="426" w:hanging="426"/>
        <w:rPr>
          <w:u w:val="none"/>
        </w:rPr>
      </w:pPr>
      <w:r w:rsidRPr="00666E7E">
        <w:rPr>
          <w:u w:val="none"/>
        </w:rPr>
        <w:t>MPO</w:t>
      </w:r>
      <w:r w:rsidR="00DC6E88" w:rsidRPr="00666E7E">
        <w:rPr>
          <w:u w:val="none"/>
        </w:rPr>
        <w:t xml:space="preserve"> </w:t>
      </w:r>
      <w:r w:rsidR="00B8389F" w:rsidRPr="00666E7E">
        <w:rPr>
          <w:u w:val="none"/>
        </w:rPr>
        <w:t xml:space="preserve">nezjistilo pochybení, </w:t>
      </w:r>
      <w:r w:rsidRPr="00666E7E">
        <w:rPr>
          <w:u w:val="none"/>
        </w:rPr>
        <w:t>kterých</w:t>
      </w:r>
      <w:r w:rsidR="00B8389F" w:rsidRPr="00666E7E">
        <w:rPr>
          <w:u w:val="none"/>
        </w:rPr>
        <w:t xml:space="preserve"> se dopustili likvidátoři</w:t>
      </w:r>
    </w:p>
    <w:p w14:paraId="35E28813" w14:textId="3D764A3C" w:rsidR="002A1C92" w:rsidRDefault="002A1C92" w:rsidP="002A1C92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  <w:rPr>
          <w:rFonts w:eastAsia="Calibri"/>
        </w:rPr>
      </w:pPr>
      <w:r>
        <w:rPr>
          <w:rFonts w:eastAsia="Calibri"/>
        </w:rPr>
        <w:t>Dle zákona o státním podniku (jak zákona č. 111/1990 Sb., tak zákona č. 77/1997 Sb.) hospodaří s</w:t>
      </w:r>
      <w:r w:rsidRPr="00B3571D">
        <w:rPr>
          <w:rFonts w:eastAsia="Calibri"/>
        </w:rPr>
        <w:t>tátní podniky s majetkem státu</w:t>
      </w:r>
      <w:r>
        <w:rPr>
          <w:rFonts w:eastAsia="Calibri"/>
        </w:rPr>
        <w:t xml:space="preserve">. </w:t>
      </w:r>
      <w:r w:rsidR="00B8389F">
        <w:rPr>
          <w:rFonts w:eastAsia="Calibri"/>
        </w:rPr>
        <w:t>S</w:t>
      </w:r>
      <w:r w:rsidRPr="00B3571D">
        <w:rPr>
          <w:rFonts w:eastAsia="Calibri"/>
        </w:rPr>
        <w:t xml:space="preserve"> účinností od 1. ledna 2002 </w:t>
      </w:r>
      <w:r w:rsidR="00941349">
        <w:rPr>
          <w:rFonts w:eastAsia="Calibri"/>
        </w:rPr>
        <w:t>je oprávněno</w:t>
      </w:r>
      <w:r>
        <w:rPr>
          <w:rFonts w:eastAsia="Calibri"/>
        </w:rPr>
        <w:t xml:space="preserve"> příslušné ministerstvo jako</w:t>
      </w:r>
      <w:r w:rsidRPr="00B3571D">
        <w:rPr>
          <w:rFonts w:eastAsia="Calibri"/>
        </w:rPr>
        <w:t xml:space="preserve"> zakladatel provádět kontrolní činnost státních podniků dle zákona č.</w:t>
      </w:r>
      <w:r w:rsidR="00B8389F">
        <w:rPr>
          <w:rFonts w:eastAsia="Calibri"/>
        </w:rPr>
        <w:t> </w:t>
      </w:r>
      <w:r w:rsidRPr="00B3571D">
        <w:rPr>
          <w:rFonts w:eastAsia="Calibri"/>
        </w:rPr>
        <w:t>320/2001 Sb.</w:t>
      </w:r>
      <w:r w:rsidR="00442BE5">
        <w:rPr>
          <w:rFonts w:eastAsia="Calibri"/>
        </w:rPr>
        <w:t xml:space="preserve"> </w:t>
      </w:r>
      <w:r>
        <w:rPr>
          <w:rFonts w:eastAsia="Calibri"/>
        </w:rPr>
        <w:t>Jedná se o provádění</w:t>
      </w:r>
      <w:r w:rsidRPr="00B3571D">
        <w:rPr>
          <w:rFonts w:eastAsia="Calibri"/>
        </w:rPr>
        <w:t xml:space="preserve"> tzv.</w:t>
      </w:r>
      <w:r>
        <w:rPr>
          <w:rFonts w:eastAsia="Calibri"/>
        </w:rPr>
        <w:t> </w:t>
      </w:r>
      <w:r w:rsidRPr="00B3571D">
        <w:rPr>
          <w:rFonts w:eastAsia="Calibri"/>
        </w:rPr>
        <w:t>veřejnosprávní kontro</w:t>
      </w:r>
      <w:r>
        <w:rPr>
          <w:rFonts w:eastAsia="Calibri"/>
        </w:rPr>
        <w:t>ly</w:t>
      </w:r>
      <w:r w:rsidRPr="00B3571D">
        <w:rPr>
          <w:rFonts w:eastAsia="Calibri"/>
        </w:rPr>
        <w:t xml:space="preserve">, která zahrnuje </w:t>
      </w:r>
      <w:r>
        <w:rPr>
          <w:rFonts w:eastAsia="Calibri"/>
        </w:rPr>
        <w:t xml:space="preserve">zejména </w:t>
      </w:r>
      <w:r w:rsidRPr="00B3571D">
        <w:rPr>
          <w:rFonts w:eastAsia="Calibri"/>
        </w:rPr>
        <w:t xml:space="preserve">kontrolu </w:t>
      </w:r>
      <w:r w:rsidRPr="009D2B66">
        <w:rPr>
          <w:rFonts w:eastAsia="Calibri"/>
        </w:rPr>
        <w:t>soulad</w:t>
      </w:r>
      <w:r>
        <w:rPr>
          <w:rFonts w:eastAsia="Calibri"/>
        </w:rPr>
        <w:t>u</w:t>
      </w:r>
      <w:r w:rsidRPr="009D2B66">
        <w:rPr>
          <w:rFonts w:eastAsia="Calibri"/>
        </w:rPr>
        <w:t xml:space="preserve"> s</w:t>
      </w:r>
      <w:r>
        <w:rPr>
          <w:rFonts w:eastAsia="Calibri"/>
        </w:rPr>
        <w:t> </w:t>
      </w:r>
      <w:r w:rsidRPr="009D2B66">
        <w:rPr>
          <w:rFonts w:eastAsia="Calibri"/>
        </w:rPr>
        <w:t>právními předpisy</w:t>
      </w:r>
      <w:r>
        <w:rPr>
          <w:rFonts w:eastAsia="Calibri"/>
        </w:rPr>
        <w:t xml:space="preserve"> a kontrolu </w:t>
      </w:r>
      <w:r w:rsidRPr="009D2B66">
        <w:rPr>
          <w:rFonts w:eastAsia="Calibri"/>
        </w:rPr>
        <w:t>hospodárnost</w:t>
      </w:r>
      <w:r>
        <w:rPr>
          <w:rFonts w:eastAsia="Calibri"/>
        </w:rPr>
        <w:t>i</w:t>
      </w:r>
      <w:r w:rsidRPr="009D2B66">
        <w:rPr>
          <w:rFonts w:eastAsia="Calibri"/>
        </w:rPr>
        <w:t>, účelnost</w:t>
      </w:r>
      <w:r>
        <w:rPr>
          <w:rFonts w:eastAsia="Calibri"/>
        </w:rPr>
        <w:t xml:space="preserve">i </w:t>
      </w:r>
      <w:r w:rsidRPr="009D2B66">
        <w:rPr>
          <w:rFonts w:eastAsia="Calibri"/>
        </w:rPr>
        <w:t>a</w:t>
      </w:r>
      <w:r w:rsidR="00B8389F">
        <w:rPr>
          <w:rFonts w:eastAsia="Calibri"/>
        </w:rPr>
        <w:t> </w:t>
      </w:r>
      <w:r w:rsidRPr="009D2B66">
        <w:rPr>
          <w:rFonts w:eastAsia="Calibri"/>
        </w:rPr>
        <w:t>efektivnost</w:t>
      </w:r>
      <w:r>
        <w:rPr>
          <w:rFonts w:eastAsia="Calibri"/>
        </w:rPr>
        <w:t>i</w:t>
      </w:r>
      <w:r w:rsidRPr="009D2B66">
        <w:rPr>
          <w:rFonts w:eastAsia="Calibri"/>
        </w:rPr>
        <w:t xml:space="preserve"> při nakládání </w:t>
      </w:r>
      <w:r w:rsidR="00C74316">
        <w:rPr>
          <w:rFonts w:eastAsia="Calibri"/>
        </w:rPr>
        <w:t>s veřejnými</w:t>
      </w:r>
      <w:r w:rsidRPr="009D2B66">
        <w:rPr>
          <w:rFonts w:eastAsia="Calibri"/>
        </w:rPr>
        <w:t xml:space="preserve"> prostředky</w:t>
      </w:r>
      <w:r>
        <w:rPr>
          <w:rFonts w:eastAsia="Calibri"/>
        </w:rPr>
        <w:t>.</w:t>
      </w:r>
    </w:p>
    <w:p w14:paraId="48432B91" w14:textId="6701A491" w:rsidR="002A1C92" w:rsidRPr="00883D9E" w:rsidRDefault="002A1C92" w:rsidP="002A1C92">
      <w:pPr>
        <w:pStyle w:val="KZ-normln"/>
        <w:rPr>
          <w:rFonts w:eastAsiaTheme="minorHAnsi"/>
          <w:color w:val="auto"/>
        </w:rPr>
      </w:pPr>
      <w:r w:rsidRPr="008032B7">
        <w:rPr>
          <w:rFonts w:eastAsiaTheme="minorHAnsi"/>
          <w:b/>
          <w:color w:val="auto"/>
        </w:rPr>
        <w:t>Ministerstvo průmyslu a obchodu</w:t>
      </w:r>
      <w:r w:rsidRPr="008032B7">
        <w:rPr>
          <w:rFonts w:eastAsiaTheme="minorHAnsi"/>
          <w:color w:val="auto"/>
        </w:rPr>
        <w:t xml:space="preserve"> v kontrolovaném období</w:t>
      </w:r>
      <w:r w:rsidR="00C74316">
        <w:rPr>
          <w:rFonts w:eastAsiaTheme="minorHAnsi"/>
          <w:color w:val="auto"/>
        </w:rPr>
        <w:t xml:space="preserve"> k provedení veřejnosprávní kontroly nevybralo žádný státní podnik</w:t>
      </w:r>
      <w:r>
        <w:rPr>
          <w:rFonts w:eastAsiaTheme="minorHAnsi"/>
          <w:color w:val="auto"/>
        </w:rPr>
        <w:t>, který byl v kontrolovaném období</w:t>
      </w:r>
      <w:r w:rsidRPr="008032B7">
        <w:rPr>
          <w:rFonts w:eastAsiaTheme="minorHAnsi"/>
          <w:color w:val="auto"/>
        </w:rPr>
        <w:t xml:space="preserve"> v likvidaci. </w:t>
      </w:r>
      <w:r>
        <w:rPr>
          <w:rFonts w:eastAsiaTheme="minorHAnsi"/>
          <w:color w:val="auto"/>
        </w:rPr>
        <w:t xml:space="preserve">MPO tak </w:t>
      </w:r>
      <w:r w:rsidR="008B3463">
        <w:rPr>
          <w:rFonts w:eastAsiaTheme="minorHAnsi"/>
          <w:color w:val="auto"/>
        </w:rPr>
        <w:t>neodhalilo</w:t>
      </w:r>
      <w:r>
        <w:rPr>
          <w:rFonts w:eastAsiaTheme="minorHAnsi"/>
          <w:color w:val="auto"/>
        </w:rPr>
        <w:t xml:space="preserve"> některá pochybení, kterých se dopustili likvidátoři a které </w:t>
      </w:r>
      <w:r w:rsidRPr="008B3463">
        <w:rPr>
          <w:rFonts w:eastAsiaTheme="minorHAnsi"/>
          <w:color w:val="auto"/>
        </w:rPr>
        <w:t>zjistil NKÚ. Jednalo se zejména o porušení povinnosti vést bankovní účty u Č</w:t>
      </w:r>
      <w:r w:rsidR="0032130D">
        <w:rPr>
          <w:rFonts w:eastAsiaTheme="minorHAnsi"/>
          <w:color w:val="auto"/>
        </w:rPr>
        <w:t>eské národní banky</w:t>
      </w:r>
      <w:r w:rsidRPr="008B3463">
        <w:rPr>
          <w:rFonts w:eastAsiaTheme="minorHAnsi"/>
          <w:color w:val="auto"/>
        </w:rPr>
        <w:t xml:space="preserve"> (viz kapitola 4.</w:t>
      </w:r>
      <w:r w:rsidR="00B8389F" w:rsidRPr="008B3463">
        <w:rPr>
          <w:rFonts w:eastAsiaTheme="minorHAnsi"/>
          <w:color w:val="auto"/>
        </w:rPr>
        <w:t>7</w:t>
      </w:r>
      <w:r w:rsidRPr="008B3463">
        <w:rPr>
          <w:rFonts w:eastAsiaTheme="minorHAnsi"/>
          <w:color w:val="auto"/>
        </w:rPr>
        <w:t>)</w:t>
      </w:r>
      <w:r w:rsidR="007C2775">
        <w:rPr>
          <w:rFonts w:eastAsiaTheme="minorHAnsi"/>
          <w:color w:val="auto"/>
        </w:rPr>
        <w:t xml:space="preserve"> a</w:t>
      </w:r>
      <w:r w:rsidR="00C74316">
        <w:rPr>
          <w:rFonts w:eastAsiaTheme="minorHAnsi"/>
          <w:color w:val="auto"/>
        </w:rPr>
        <w:t> </w:t>
      </w:r>
      <w:r w:rsidR="004F6852">
        <w:rPr>
          <w:rFonts w:eastAsiaTheme="minorHAnsi"/>
          <w:color w:val="auto"/>
        </w:rPr>
        <w:t>porušení povinnosti likvidátorů postupovat s péčí řádného hospodáře</w:t>
      </w:r>
      <w:r w:rsidRPr="008B3463">
        <w:rPr>
          <w:rFonts w:eastAsiaTheme="minorHAnsi"/>
          <w:color w:val="auto"/>
        </w:rPr>
        <w:t xml:space="preserve"> (viz kapitola 4.</w:t>
      </w:r>
      <w:r w:rsidR="00B8389F" w:rsidRPr="008B3463">
        <w:rPr>
          <w:rFonts w:eastAsiaTheme="minorHAnsi"/>
          <w:color w:val="auto"/>
        </w:rPr>
        <w:t>8</w:t>
      </w:r>
      <w:r w:rsidR="004F6852">
        <w:rPr>
          <w:rFonts w:eastAsiaTheme="minorHAnsi"/>
          <w:color w:val="auto"/>
        </w:rPr>
        <w:t xml:space="preserve"> a 4.9</w:t>
      </w:r>
      <w:r w:rsidRPr="008B3463">
        <w:rPr>
          <w:rFonts w:eastAsiaTheme="minorHAnsi"/>
          <w:color w:val="auto"/>
        </w:rPr>
        <w:t>).</w:t>
      </w:r>
      <w:r>
        <w:rPr>
          <w:rFonts w:eastAsiaTheme="minorHAnsi"/>
          <w:color w:val="auto"/>
        </w:rPr>
        <w:t xml:space="preserve"> </w:t>
      </w:r>
    </w:p>
    <w:p w14:paraId="53EB40A0" w14:textId="18C5ED29" w:rsidR="002A1C92" w:rsidRPr="00883D9E" w:rsidRDefault="002A1C92" w:rsidP="002A1C92">
      <w:pPr>
        <w:pStyle w:val="KZ-normln"/>
        <w:rPr>
          <w:rFonts w:eastAsia="Calibri"/>
          <w:bCs/>
        </w:rPr>
      </w:pPr>
      <w:r w:rsidRPr="00AE2261">
        <w:rPr>
          <w:rFonts w:eastAsiaTheme="minorHAnsi"/>
          <w:b/>
          <w:color w:val="auto"/>
        </w:rPr>
        <w:t>Ministerstvo zemědělství</w:t>
      </w:r>
      <w:r w:rsidRPr="00AE2261">
        <w:rPr>
          <w:rFonts w:eastAsiaTheme="minorHAnsi"/>
          <w:bCs/>
          <w:color w:val="auto"/>
        </w:rPr>
        <w:t xml:space="preserve"> v kontrolovaném období provedlo tři veřejnosprávní kontroly u</w:t>
      </w:r>
      <w:r>
        <w:rPr>
          <w:rFonts w:eastAsiaTheme="minorHAnsi"/>
          <w:bCs/>
          <w:color w:val="auto"/>
        </w:rPr>
        <w:t> </w:t>
      </w:r>
      <w:r w:rsidRPr="00AE2261">
        <w:rPr>
          <w:rFonts w:eastAsiaTheme="minorHAnsi"/>
          <w:bCs/>
          <w:color w:val="auto"/>
        </w:rPr>
        <w:t>státních podniků v</w:t>
      </w:r>
      <w:r w:rsidR="0032130D">
        <w:rPr>
          <w:rFonts w:eastAsiaTheme="minorHAnsi"/>
          <w:bCs/>
          <w:color w:val="auto"/>
        </w:rPr>
        <w:t> </w:t>
      </w:r>
      <w:r w:rsidRPr="00AE2261">
        <w:rPr>
          <w:rFonts w:eastAsiaTheme="minorHAnsi"/>
          <w:bCs/>
          <w:color w:val="auto"/>
        </w:rPr>
        <w:t>likvidaci</w:t>
      </w:r>
      <w:r w:rsidR="0032130D">
        <w:rPr>
          <w:rFonts w:eastAsiaTheme="minorHAnsi"/>
          <w:bCs/>
          <w:color w:val="auto"/>
        </w:rPr>
        <w:t>.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MZe</w:t>
      </w:r>
      <w:proofErr w:type="spellEnd"/>
      <w:r>
        <w:rPr>
          <w:lang w:eastAsia="cs-CZ"/>
        </w:rPr>
        <w:t xml:space="preserve"> se při provedených veřejnosprávních kontrolách zabývalo jak kontrolou dodržení právních předpisů, tak kontrolou účelnosti a hospodárnosti. Při</w:t>
      </w:r>
      <w:r w:rsidR="00170BF5">
        <w:rPr>
          <w:lang w:eastAsia="cs-CZ"/>
        </w:rPr>
        <w:t xml:space="preserve"> </w:t>
      </w:r>
      <w:r>
        <w:rPr>
          <w:lang w:eastAsia="cs-CZ"/>
        </w:rPr>
        <w:t xml:space="preserve">veřejnosprávní kontrole u </w:t>
      </w:r>
      <w:r w:rsidRPr="00954433">
        <w:rPr>
          <w:lang w:eastAsia="cs-CZ"/>
        </w:rPr>
        <w:t>státního podniku Státní statek Jeneč, státní podnik</w:t>
      </w:r>
      <w:r w:rsidRPr="00D23232">
        <w:rPr>
          <w:rFonts w:cstheme="minorHAnsi"/>
          <w:color w:val="000000" w:themeColor="text1"/>
          <w:lang w:eastAsia="cs-CZ"/>
        </w:rPr>
        <w:t xml:space="preserve"> </w:t>
      </w:r>
      <w:r w:rsidRPr="00954433">
        <w:rPr>
          <w:lang w:eastAsia="cs-CZ"/>
        </w:rPr>
        <w:t>v</w:t>
      </w:r>
      <w:r>
        <w:rPr>
          <w:lang w:eastAsia="cs-CZ"/>
        </w:rPr>
        <w:t> </w:t>
      </w:r>
      <w:r w:rsidRPr="00954433">
        <w:rPr>
          <w:lang w:eastAsia="cs-CZ"/>
        </w:rPr>
        <w:t>likvidaci</w:t>
      </w:r>
      <w:r w:rsidR="00170BF5">
        <w:rPr>
          <w:lang w:eastAsia="cs-CZ"/>
        </w:rPr>
        <w:t>,</w:t>
      </w:r>
      <w:r>
        <w:rPr>
          <w:lang w:eastAsia="cs-CZ"/>
        </w:rPr>
        <w:t xml:space="preserve"> provedené v roce 2023 vyhodnotilo </w:t>
      </w:r>
      <w:proofErr w:type="spellStart"/>
      <w:r>
        <w:rPr>
          <w:lang w:eastAsia="cs-CZ"/>
        </w:rPr>
        <w:t>MZe</w:t>
      </w:r>
      <w:proofErr w:type="spellEnd"/>
      <w:r>
        <w:rPr>
          <w:lang w:eastAsia="cs-CZ"/>
        </w:rPr>
        <w:t>, že likvidátor uzavřel</w:t>
      </w:r>
      <w:r w:rsidRPr="00C34EBD">
        <w:rPr>
          <w:rFonts w:cstheme="minorHAnsi"/>
          <w:color w:val="333333"/>
        </w:rPr>
        <w:t xml:space="preserve"> </w:t>
      </w:r>
      <w:r w:rsidR="00682942">
        <w:rPr>
          <w:rFonts w:cstheme="minorHAnsi"/>
          <w:color w:val="333333"/>
        </w:rPr>
        <w:t xml:space="preserve">zvlášť </w:t>
      </w:r>
      <w:r w:rsidRPr="00C34EBD">
        <w:rPr>
          <w:rFonts w:cstheme="minorHAnsi"/>
          <w:color w:val="333333"/>
        </w:rPr>
        <w:t>nevýhodn</w:t>
      </w:r>
      <w:r>
        <w:rPr>
          <w:rFonts w:cstheme="minorHAnsi"/>
          <w:color w:val="333333"/>
        </w:rPr>
        <w:t>ou</w:t>
      </w:r>
      <w:r w:rsidRPr="00C34EBD">
        <w:rPr>
          <w:rFonts w:cstheme="minorHAnsi"/>
          <w:color w:val="333333"/>
        </w:rPr>
        <w:t xml:space="preserve"> smlouv</w:t>
      </w:r>
      <w:r>
        <w:rPr>
          <w:rFonts w:cstheme="minorHAnsi"/>
          <w:color w:val="333333"/>
        </w:rPr>
        <w:t>u</w:t>
      </w:r>
      <w:r w:rsidRPr="00C34EBD">
        <w:rPr>
          <w:rFonts w:cstheme="minorHAnsi"/>
          <w:color w:val="333333"/>
        </w:rPr>
        <w:t xml:space="preserve"> s advokátní kanceláří</w:t>
      </w:r>
      <w:r w:rsidR="007C2775">
        <w:rPr>
          <w:rFonts w:cstheme="minorHAnsi"/>
          <w:color w:val="333333"/>
        </w:rPr>
        <w:t xml:space="preserve">. Advokátní kancelář </w:t>
      </w:r>
      <w:r w:rsidRPr="00C34EBD">
        <w:rPr>
          <w:rFonts w:cstheme="minorHAnsi"/>
          <w:color w:val="333333"/>
        </w:rPr>
        <w:t>nedostatečně vysvětlila a duplicitně fakturovala některé úkony.</w:t>
      </w:r>
      <w:r>
        <w:rPr>
          <w:rFonts w:cstheme="minorHAnsi"/>
          <w:color w:val="333333"/>
        </w:rPr>
        <w:t xml:space="preserve"> </w:t>
      </w:r>
      <w:proofErr w:type="spellStart"/>
      <w:r>
        <w:rPr>
          <w:rFonts w:cstheme="minorHAnsi"/>
          <w:color w:val="333333"/>
        </w:rPr>
        <w:t>MZe</w:t>
      </w:r>
      <w:proofErr w:type="spellEnd"/>
      <w:r>
        <w:rPr>
          <w:rFonts w:cstheme="minorHAnsi"/>
          <w:color w:val="333333"/>
        </w:rPr>
        <w:t xml:space="preserve"> </w:t>
      </w:r>
      <w:r w:rsidR="00682942">
        <w:rPr>
          <w:rFonts w:cstheme="minorHAnsi"/>
          <w:color w:val="333333"/>
        </w:rPr>
        <w:t>skutečnosti zjištěné kontrolou vyhodnotilo jako porušení hospodárnosti při vynakládání peněžních prostředků</w:t>
      </w:r>
      <w:r>
        <w:rPr>
          <w:rFonts w:cstheme="minorHAnsi"/>
        </w:rPr>
        <w:t xml:space="preserve"> a </w:t>
      </w:r>
      <w:r w:rsidR="00682942">
        <w:rPr>
          <w:rFonts w:cstheme="minorHAnsi"/>
        </w:rPr>
        <w:t xml:space="preserve">následně ministr zemědělství </w:t>
      </w:r>
      <w:r>
        <w:rPr>
          <w:rFonts w:cstheme="minorHAnsi"/>
        </w:rPr>
        <w:t>odvolal likvidátora a</w:t>
      </w:r>
      <w:r w:rsidR="00C74316">
        <w:rPr>
          <w:rFonts w:cstheme="minorHAnsi"/>
        </w:rPr>
        <w:t> </w:t>
      </w:r>
      <w:r>
        <w:rPr>
          <w:rFonts w:cstheme="minorHAnsi"/>
        </w:rPr>
        <w:t>jmenoval likvidátora nového, který právní kanceláři reklamoval sporné částky a</w:t>
      </w:r>
      <w:r w:rsidR="008E0363">
        <w:rPr>
          <w:rFonts w:cstheme="minorHAnsi"/>
        </w:rPr>
        <w:t> </w:t>
      </w:r>
      <w:r>
        <w:rPr>
          <w:rFonts w:cstheme="minorHAnsi"/>
        </w:rPr>
        <w:t xml:space="preserve">smlouvu </w:t>
      </w:r>
      <w:r w:rsidR="00682942">
        <w:rPr>
          <w:rFonts w:cstheme="minorHAnsi"/>
        </w:rPr>
        <w:t>s ní</w:t>
      </w:r>
      <w:r>
        <w:rPr>
          <w:rFonts w:cstheme="minorHAnsi"/>
        </w:rPr>
        <w:t xml:space="preserve"> vypověděl. </w:t>
      </w:r>
      <w:proofErr w:type="spellStart"/>
      <w:r w:rsidR="007C2775">
        <w:rPr>
          <w:rFonts w:cstheme="minorHAnsi"/>
        </w:rPr>
        <w:t>MZe</w:t>
      </w:r>
      <w:proofErr w:type="spellEnd"/>
      <w:r>
        <w:rPr>
          <w:rFonts w:cstheme="minorHAnsi"/>
        </w:rPr>
        <w:t xml:space="preserve"> svým postupem zabránilo dalšímu možnému nehospodárnému vynakládání peněžních prostředků</w:t>
      </w:r>
      <w:r w:rsidR="007C2775">
        <w:rPr>
          <w:rFonts w:cstheme="minorHAnsi"/>
        </w:rPr>
        <w:t xml:space="preserve"> státního podniku</w:t>
      </w:r>
      <w:r>
        <w:rPr>
          <w:rFonts w:cstheme="minorHAnsi"/>
        </w:rPr>
        <w:t>.</w:t>
      </w:r>
    </w:p>
    <w:p w14:paraId="6770BBFE" w14:textId="6FE0DCAA" w:rsidR="00B6334B" w:rsidRPr="00C824D5" w:rsidRDefault="00393ED3" w:rsidP="00C824D5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rPr>
          <w:rFonts w:eastAsia="Calibri"/>
          <w:b/>
          <w:bCs/>
        </w:rPr>
      </w:pPr>
      <w:bookmarkStart w:id="20" w:name="_Hlk197936445"/>
      <w:r w:rsidRPr="003D591B">
        <w:rPr>
          <w:rFonts w:eastAsia="Calibri"/>
          <w:b/>
          <w:bCs/>
        </w:rPr>
        <w:lastRenderedPageBreak/>
        <w:t>MPO</w:t>
      </w:r>
      <w:r>
        <w:rPr>
          <w:rFonts w:eastAsia="Calibri"/>
          <w:b/>
          <w:bCs/>
        </w:rPr>
        <w:t xml:space="preserve"> v kontrolovaném období veřejnosprávní</w:t>
      </w:r>
      <w:r w:rsidRPr="003D591B">
        <w:rPr>
          <w:rFonts w:eastAsia="Calibri"/>
          <w:b/>
          <w:bCs/>
        </w:rPr>
        <w:t xml:space="preserve"> kontroly u</w:t>
      </w:r>
      <w:r>
        <w:rPr>
          <w:rFonts w:eastAsia="Calibri"/>
          <w:b/>
          <w:bCs/>
        </w:rPr>
        <w:t> </w:t>
      </w:r>
      <w:r w:rsidRPr="003D591B">
        <w:rPr>
          <w:rFonts w:eastAsia="Calibri"/>
          <w:b/>
          <w:bCs/>
        </w:rPr>
        <w:t>státních podniků v likvidaci neprovádě</w:t>
      </w:r>
      <w:r>
        <w:rPr>
          <w:rFonts w:eastAsia="Calibri"/>
          <w:b/>
          <w:bCs/>
        </w:rPr>
        <w:t xml:space="preserve">lo a nezjistilo pochybení likvidátorů, které zjistil NKÚ. </w:t>
      </w:r>
      <w:proofErr w:type="spellStart"/>
      <w:r w:rsidR="002A1C92" w:rsidRPr="003D591B">
        <w:rPr>
          <w:rFonts w:eastAsia="Calibri"/>
          <w:b/>
          <w:bCs/>
        </w:rPr>
        <w:t>MZe</w:t>
      </w:r>
      <w:proofErr w:type="spellEnd"/>
      <w:r w:rsidR="002A1C92" w:rsidRPr="003D591B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naopak </w:t>
      </w:r>
      <w:r w:rsidR="002A1C92" w:rsidRPr="003D591B">
        <w:rPr>
          <w:rFonts w:eastAsia="Calibri"/>
          <w:b/>
          <w:bCs/>
        </w:rPr>
        <w:t>prov</w:t>
      </w:r>
      <w:r w:rsidR="002A1C92">
        <w:rPr>
          <w:rFonts w:eastAsia="Calibri"/>
          <w:b/>
          <w:bCs/>
        </w:rPr>
        <w:t>edlo tři veřejnosprávní kontroly u státních podniků v</w:t>
      </w:r>
      <w:r w:rsidR="007C2775">
        <w:rPr>
          <w:rFonts w:eastAsia="Calibri"/>
          <w:b/>
          <w:bCs/>
        </w:rPr>
        <w:t> </w:t>
      </w:r>
      <w:r w:rsidR="002A1C92">
        <w:rPr>
          <w:rFonts w:eastAsia="Calibri"/>
          <w:b/>
          <w:bCs/>
        </w:rPr>
        <w:t>likvidaci</w:t>
      </w:r>
      <w:r w:rsidR="007C2775">
        <w:rPr>
          <w:rFonts w:eastAsia="Calibri"/>
          <w:b/>
          <w:bCs/>
        </w:rPr>
        <w:t>,</w:t>
      </w:r>
      <w:r w:rsidR="002A1C92">
        <w:rPr>
          <w:rFonts w:eastAsia="Calibri"/>
          <w:b/>
          <w:bCs/>
        </w:rPr>
        <w:t xml:space="preserve"> a tím</w:t>
      </w:r>
      <w:r w:rsidR="002A1C92" w:rsidRPr="003D591B">
        <w:rPr>
          <w:rFonts w:eastAsia="Calibri"/>
          <w:b/>
          <w:bCs/>
        </w:rPr>
        <w:t xml:space="preserve"> využilo jeden z</w:t>
      </w:r>
      <w:r w:rsidR="002A1C92">
        <w:rPr>
          <w:rFonts w:eastAsia="Calibri"/>
          <w:b/>
          <w:bCs/>
        </w:rPr>
        <w:t> vhodných a</w:t>
      </w:r>
      <w:r w:rsidR="002A1C92" w:rsidRPr="003D591B">
        <w:rPr>
          <w:rFonts w:eastAsia="Calibri"/>
          <w:b/>
          <w:bCs/>
        </w:rPr>
        <w:t> </w:t>
      </w:r>
      <w:r w:rsidR="00AD3585">
        <w:rPr>
          <w:rFonts w:eastAsia="Calibri"/>
          <w:b/>
          <w:bCs/>
        </w:rPr>
        <w:t>účinných</w:t>
      </w:r>
      <w:r w:rsidR="002A1C92" w:rsidRPr="003D591B">
        <w:rPr>
          <w:rFonts w:eastAsia="Calibri"/>
          <w:b/>
          <w:bCs/>
        </w:rPr>
        <w:t xml:space="preserve"> nástrojů pro dohled nad účelností a</w:t>
      </w:r>
      <w:r w:rsidR="00B8389F">
        <w:rPr>
          <w:rFonts w:eastAsia="Calibri"/>
          <w:b/>
          <w:bCs/>
        </w:rPr>
        <w:t> </w:t>
      </w:r>
      <w:r w:rsidR="002A1C92" w:rsidRPr="003D591B">
        <w:rPr>
          <w:rFonts w:eastAsia="Calibri"/>
          <w:b/>
          <w:bCs/>
        </w:rPr>
        <w:t>hospodárností</w:t>
      </w:r>
      <w:r w:rsidR="007C2775">
        <w:rPr>
          <w:rFonts w:eastAsia="Calibri"/>
          <w:b/>
          <w:bCs/>
        </w:rPr>
        <w:t xml:space="preserve"> </w:t>
      </w:r>
      <w:r w:rsidR="000D60E5">
        <w:rPr>
          <w:rFonts w:eastAsia="Calibri"/>
          <w:b/>
          <w:bCs/>
        </w:rPr>
        <w:t>při nakládání s</w:t>
      </w:r>
      <w:r w:rsidR="00C74316">
        <w:rPr>
          <w:rFonts w:eastAsia="Calibri"/>
          <w:b/>
          <w:bCs/>
        </w:rPr>
        <w:t> veřejnými prostředky</w:t>
      </w:r>
      <w:r w:rsidR="002A1C92" w:rsidRPr="003D591B">
        <w:rPr>
          <w:rFonts w:eastAsia="Calibri"/>
          <w:b/>
          <w:bCs/>
        </w:rPr>
        <w:t xml:space="preserve">. </w:t>
      </w:r>
      <w:bookmarkEnd w:id="20"/>
    </w:p>
    <w:p w14:paraId="742F745F" w14:textId="77777777" w:rsidR="000D60E5" w:rsidRDefault="000D60E5" w:rsidP="000D60E5">
      <w:pPr>
        <w:pStyle w:val="KZ-normln"/>
      </w:pPr>
    </w:p>
    <w:p w14:paraId="59BECBBD" w14:textId="7FFEFCA6" w:rsidR="007710FD" w:rsidRPr="00666E7E" w:rsidRDefault="007710FD" w:rsidP="00666E7E">
      <w:pPr>
        <w:pStyle w:val="Nadpis4"/>
        <w:spacing w:before="120" w:after="120"/>
        <w:ind w:left="426" w:hanging="426"/>
        <w:rPr>
          <w:u w:val="none"/>
        </w:rPr>
      </w:pPr>
      <w:r w:rsidRPr="00666E7E">
        <w:rPr>
          <w:u w:val="none"/>
        </w:rPr>
        <w:t>Absence informace o určeném majetku</w:t>
      </w:r>
    </w:p>
    <w:p w14:paraId="079AF46B" w14:textId="1B4D6669" w:rsidR="007710FD" w:rsidRPr="00FB4E80" w:rsidRDefault="007710FD" w:rsidP="007710FD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  <w:rPr>
          <w:lang w:eastAsia="cs-CZ"/>
        </w:rPr>
      </w:pPr>
      <w:r w:rsidRPr="00FB4E80">
        <w:rPr>
          <w:rFonts w:eastAsia="Calibri"/>
        </w:rPr>
        <w:t>U státních podniků v režimu zákona č. 77/1997 Sb.</w:t>
      </w:r>
      <w:r>
        <w:rPr>
          <w:rFonts w:eastAsia="Calibri"/>
        </w:rPr>
        <w:t xml:space="preserve"> </w:t>
      </w:r>
      <w:r w:rsidRPr="00FB4E80">
        <w:rPr>
          <w:rFonts w:eastAsia="Calibri"/>
        </w:rPr>
        <w:t xml:space="preserve">zakladatel </w:t>
      </w:r>
      <w:r>
        <w:rPr>
          <w:rFonts w:eastAsia="Calibri"/>
        </w:rPr>
        <w:t xml:space="preserve">vymezí v zakládací listině </w:t>
      </w:r>
      <w:r w:rsidRPr="00FB4E80">
        <w:rPr>
          <w:rFonts w:eastAsia="Calibri"/>
        </w:rPr>
        <w:t xml:space="preserve">majetek, který bude určeným majetkem. </w:t>
      </w:r>
      <w:r>
        <w:rPr>
          <w:rFonts w:eastAsia="Calibri"/>
        </w:rPr>
        <w:t>Dle z</w:t>
      </w:r>
      <w:r w:rsidRPr="00FB4E80">
        <w:rPr>
          <w:rFonts w:eastAsia="Calibri"/>
        </w:rPr>
        <w:t>ákona č.</w:t>
      </w:r>
      <w:r>
        <w:rPr>
          <w:rFonts w:eastAsia="Calibri"/>
        </w:rPr>
        <w:t> </w:t>
      </w:r>
      <w:r w:rsidRPr="00FB4E80">
        <w:rPr>
          <w:rFonts w:eastAsia="Calibri"/>
        </w:rPr>
        <w:t>77/1997 Sb.</w:t>
      </w:r>
      <w:r>
        <w:rPr>
          <w:rFonts w:eastAsia="Calibri"/>
        </w:rPr>
        <w:t xml:space="preserve"> může s určeným</w:t>
      </w:r>
      <w:r w:rsidRPr="00FB4E80">
        <w:rPr>
          <w:rFonts w:eastAsia="Calibri"/>
        </w:rPr>
        <w:t xml:space="preserve"> majetkem státní podnik nakládat pouze s předchozím schválením zakladatele</w:t>
      </w:r>
      <w:r>
        <w:rPr>
          <w:rFonts w:eastAsia="Calibri"/>
        </w:rPr>
        <w:t>, určený majetek se zapisuje</w:t>
      </w:r>
      <w:r w:rsidRPr="00FB4E80">
        <w:rPr>
          <w:lang w:eastAsia="cs-CZ"/>
        </w:rPr>
        <w:t xml:space="preserve"> do obchodního rejstříku a zakladatel může rozhodnout o zvýšení nebo snížení jeho rozsahu.</w:t>
      </w:r>
      <w:r>
        <w:rPr>
          <w:lang w:eastAsia="cs-CZ"/>
        </w:rPr>
        <w:t xml:space="preserve"> Zákon č. 77/1997 Sb. stanoví, že </w:t>
      </w:r>
      <w:r w:rsidRPr="00615AB9">
        <w:rPr>
          <w:rFonts w:asciiTheme="minorHAnsi" w:hAnsiTheme="minorHAnsi" w:cstheme="minorHAnsi"/>
          <w:lang w:eastAsia="cs-CZ"/>
        </w:rPr>
        <w:t>právní jednání vztahující se k</w:t>
      </w:r>
      <w:r>
        <w:rPr>
          <w:rFonts w:asciiTheme="minorHAnsi" w:hAnsiTheme="minorHAnsi" w:cstheme="minorHAnsi"/>
          <w:lang w:eastAsia="cs-CZ"/>
        </w:rPr>
        <w:t xml:space="preserve"> určenému </w:t>
      </w:r>
      <w:r w:rsidRPr="00615AB9">
        <w:rPr>
          <w:rFonts w:asciiTheme="minorHAnsi" w:hAnsiTheme="minorHAnsi" w:cstheme="minorHAnsi"/>
          <w:lang w:eastAsia="cs-CZ"/>
        </w:rPr>
        <w:t>majetku učiněná státním podnikem bez předchozího schválení zakladatele předepsané</w:t>
      </w:r>
      <w:r w:rsidR="00F21618">
        <w:rPr>
          <w:rFonts w:asciiTheme="minorHAnsi" w:hAnsiTheme="minorHAnsi" w:cstheme="minorHAnsi"/>
          <w:lang w:eastAsia="cs-CZ"/>
        </w:rPr>
        <w:t>ho</w:t>
      </w:r>
      <w:r w:rsidRPr="00615AB9">
        <w:rPr>
          <w:rFonts w:asciiTheme="minorHAnsi" w:hAnsiTheme="minorHAnsi" w:cstheme="minorHAnsi"/>
          <w:lang w:eastAsia="cs-CZ"/>
        </w:rPr>
        <w:t xml:space="preserve"> zákonem </w:t>
      </w:r>
      <w:r w:rsidR="00BE3163" w:rsidRPr="00FB4E80">
        <w:rPr>
          <w:rFonts w:eastAsia="Calibri"/>
        </w:rPr>
        <w:t>č.</w:t>
      </w:r>
      <w:r w:rsidR="00BE3163">
        <w:rPr>
          <w:rFonts w:eastAsia="Calibri"/>
        </w:rPr>
        <w:t> </w:t>
      </w:r>
      <w:r w:rsidR="00BE3163" w:rsidRPr="00FB4E80">
        <w:rPr>
          <w:rFonts w:eastAsia="Calibri"/>
        </w:rPr>
        <w:t>77/1997 Sb.</w:t>
      </w:r>
      <w:r w:rsidR="00BE3163">
        <w:rPr>
          <w:rFonts w:eastAsia="Calibri"/>
        </w:rPr>
        <w:t xml:space="preserve"> </w:t>
      </w:r>
      <w:r w:rsidR="00C74316">
        <w:rPr>
          <w:rFonts w:asciiTheme="minorHAnsi" w:hAnsiTheme="minorHAnsi" w:cstheme="minorHAnsi"/>
          <w:lang w:eastAsia="cs-CZ"/>
        </w:rPr>
        <w:t>mohou být</w:t>
      </w:r>
      <w:r w:rsidRPr="00615AB9">
        <w:rPr>
          <w:rFonts w:asciiTheme="minorHAnsi" w:hAnsiTheme="minorHAnsi" w:cstheme="minorHAnsi"/>
          <w:lang w:eastAsia="cs-CZ"/>
        </w:rPr>
        <w:t xml:space="preserve"> neplatná.</w:t>
      </w:r>
    </w:p>
    <w:p w14:paraId="5E9F6FC8" w14:textId="48C38F9D" w:rsidR="007710FD" w:rsidRDefault="007710FD" w:rsidP="007710FD">
      <w:pPr>
        <w:pStyle w:val="KZ-normln"/>
        <w:rPr>
          <w:rFonts w:eastAsia="Calibri"/>
        </w:rPr>
      </w:pPr>
      <w:r>
        <w:rPr>
          <w:rFonts w:eastAsia="Calibri"/>
        </w:rPr>
        <w:t>Ze sedmi</w:t>
      </w:r>
      <w:r w:rsidR="00612A4A">
        <w:rPr>
          <w:rFonts w:eastAsia="Calibri"/>
        </w:rPr>
        <w:t xml:space="preserve"> </w:t>
      </w:r>
      <w:r>
        <w:rPr>
          <w:rFonts w:eastAsia="Calibri"/>
        </w:rPr>
        <w:t xml:space="preserve">kontrolovaných státních podniků v likvidaci byly čtyři v režimu zákona </w:t>
      </w:r>
      <w:r w:rsidRPr="00FB4E80">
        <w:rPr>
          <w:rFonts w:eastAsia="Calibri"/>
        </w:rPr>
        <w:t>č.</w:t>
      </w:r>
      <w:r>
        <w:rPr>
          <w:rFonts w:eastAsia="Calibri"/>
        </w:rPr>
        <w:t> </w:t>
      </w:r>
      <w:r w:rsidRPr="00FB4E80">
        <w:rPr>
          <w:rFonts w:eastAsia="Calibri"/>
        </w:rPr>
        <w:t>77/1997</w:t>
      </w:r>
      <w:r>
        <w:rPr>
          <w:rFonts w:eastAsia="Calibri"/>
        </w:rPr>
        <w:t> </w:t>
      </w:r>
      <w:r w:rsidRPr="00FB4E80">
        <w:rPr>
          <w:rFonts w:eastAsia="Calibri"/>
        </w:rPr>
        <w:t>Sb</w:t>
      </w:r>
      <w:r>
        <w:rPr>
          <w:rFonts w:eastAsia="Calibri"/>
        </w:rPr>
        <w:t xml:space="preserve">. U jednoho z nich NKÚ zjistil, že </w:t>
      </w:r>
      <w:proofErr w:type="spellStart"/>
      <w:r>
        <w:rPr>
          <w:rFonts w:eastAsia="Calibri"/>
        </w:rPr>
        <w:t>MZe</w:t>
      </w:r>
      <w:proofErr w:type="spellEnd"/>
      <w:r>
        <w:rPr>
          <w:rFonts w:eastAsia="Calibri"/>
        </w:rPr>
        <w:t xml:space="preserve"> jako zakladatel u něj v minulosti stanovilo celkovou hodnotu určeného majetku, ale v době kontroly nemělo informace o konkrétních položkách tohoto majetku.</w:t>
      </w:r>
    </w:p>
    <w:p w14:paraId="25902D5D" w14:textId="33815D07" w:rsidR="007710FD" w:rsidRDefault="007710FD" w:rsidP="007710FD">
      <w:pPr>
        <w:pStyle w:val="KZ-normln"/>
        <w:rPr>
          <w:lang w:eastAsia="cs-CZ"/>
        </w:rPr>
      </w:pPr>
      <w:r w:rsidRPr="00284DF5">
        <w:rPr>
          <w:b/>
          <w:lang w:eastAsia="cs-CZ"/>
        </w:rPr>
        <w:t xml:space="preserve">Státní statek Valtice, </w:t>
      </w:r>
      <w:proofErr w:type="spellStart"/>
      <w:r w:rsidRPr="00284DF5">
        <w:rPr>
          <w:b/>
          <w:lang w:eastAsia="cs-CZ"/>
        </w:rPr>
        <w:t>s.p</w:t>
      </w:r>
      <w:proofErr w:type="spellEnd"/>
      <w:r w:rsidRPr="00284DF5">
        <w:rPr>
          <w:b/>
          <w:lang w:eastAsia="cs-CZ"/>
        </w:rPr>
        <w:t>.</w:t>
      </w:r>
      <w:r w:rsidRPr="00284DF5">
        <w:rPr>
          <w:lang w:eastAsia="cs-CZ"/>
        </w:rPr>
        <w:t xml:space="preserve"> </w:t>
      </w:r>
      <w:r w:rsidRPr="00977EA0">
        <w:rPr>
          <w:b/>
          <w:bCs/>
          <w:lang w:eastAsia="cs-CZ"/>
        </w:rPr>
        <w:t>v likvidaci</w:t>
      </w:r>
      <w:r w:rsidR="00612A4A">
        <w:rPr>
          <w:b/>
          <w:bCs/>
          <w:lang w:eastAsia="cs-CZ"/>
        </w:rPr>
        <w:t>,</w:t>
      </w:r>
      <w:r w:rsidRPr="00284DF5">
        <w:rPr>
          <w:lang w:eastAsia="cs-CZ"/>
        </w:rPr>
        <w:t xml:space="preserve"> byl od </w:t>
      </w:r>
      <w:r>
        <w:rPr>
          <w:rFonts w:cstheme="minorHAnsi"/>
          <w:lang w:eastAsia="cs-CZ"/>
        </w:rPr>
        <w:t>roku</w:t>
      </w:r>
      <w:r w:rsidRPr="00284DF5">
        <w:rPr>
          <w:rFonts w:cstheme="minorHAnsi"/>
          <w:lang w:eastAsia="cs-CZ"/>
        </w:rPr>
        <w:t xml:space="preserve"> 2012 v konkursu a proces likvidace byl </w:t>
      </w:r>
      <w:r w:rsidR="00672260">
        <w:rPr>
          <w:rFonts w:cstheme="minorHAnsi"/>
          <w:lang w:eastAsia="cs-CZ"/>
        </w:rPr>
        <w:t>přerušen</w:t>
      </w:r>
      <w:r w:rsidRPr="00284DF5">
        <w:rPr>
          <w:rFonts w:cstheme="minorHAnsi"/>
          <w:lang w:eastAsia="cs-CZ"/>
        </w:rPr>
        <w:t>. Dne 27. dubna 2024 nabylo právní moci usnesení o zrušení konkursu a</w:t>
      </w:r>
      <w:r w:rsidR="00BE3163">
        <w:rPr>
          <w:rFonts w:cstheme="minorHAnsi"/>
          <w:lang w:eastAsia="cs-CZ"/>
        </w:rPr>
        <w:t> </w:t>
      </w:r>
      <w:r w:rsidR="000D4AA7" w:rsidRPr="000D4AA7">
        <w:rPr>
          <w:rFonts w:cstheme="minorHAnsi"/>
          <w:lang w:eastAsia="cs-CZ"/>
        </w:rPr>
        <w:t>přerušení likvidace státního podniku tímto dnem skončilo</w:t>
      </w:r>
      <w:r w:rsidRPr="00284DF5">
        <w:rPr>
          <w:rFonts w:cstheme="minorHAnsi"/>
          <w:lang w:eastAsia="cs-CZ"/>
        </w:rPr>
        <w:t>.</w:t>
      </w:r>
      <w:r w:rsidRPr="00517807">
        <w:rPr>
          <w:rFonts w:eastAsia="Calibri"/>
          <w:bCs/>
          <w:color w:val="auto"/>
        </w:rPr>
        <w:t xml:space="preserve"> </w:t>
      </w:r>
      <w:r w:rsidRPr="00284DF5">
        <w:rPr>
          <w:lang w:eastAsia="cs-CZ"/>
        </w:rPr>
        <w:t xml:space="preserve">V době kontroly NKÚ likvidátor ani </w:t>
      </w:r>
      <w:proofErr w:type="spellStart"/>
      <w:r w:rsidRPr="00284DF5">
        <w:rPr>
          <w:lang w:eastAsia="cs-CZ"/>
        </w:rPr>
        <w:t>MZe</w:t>
      </w:r>
      <w:proofErr w:type="spellEnd"/>
      <w:r w:rsidRPr="00284DF5">
        <w:rPr>
          <w:lang w:eastAsia="cs-CZ"/>
        </w:rPr>
        <w:t xml:space="preserve"> u státního podniku Státní statek Valtice, </w:t>
      </w:r>
      <w:proofErr w:type="spellStart"/>
      <w:r w:rsidRPr="00284DF5">
        <w:rPr>
          <w:lang w:eastAsia="cs-CZ"/>
        </w:rPr>
        <w:t>s.p</w:t>
      </w:r>
      <w:proofErr w:type="spellEnd"/>
      <w:r w:rsidRPr="00284DF5">
        <w:rPr>
          <w:lang w:eastAsia="cs-CZ"/>
        </w:rPr>
        <w:t>. v likvidaci</w:t>
      </w:r>
      <w:r w:rsidR="00612A4A">
        <w:rPr>
          <w:lang w:eastAsia="cs-CZ"/>
        </w:rPr>
        <w:t>,</w:t>
      </w:r>
      <w:r w:rsidRPr="00284DF5">
        <w:rPr>
          <w:lang w:eastAsia="cs-CZ"/>
        </w:rPr>
        <w:t xml:space="preserve"> nedohledali a neměli k dispozici dokument, </w:t>
      </w:r>
      <w:r w:rsidR="00C74316">
        <w:rPr>
          <w:lang w:eastAsia="cs-CZ"/>
        </w:rPr>
        <w:t xml:space="preserve">kterým </w:t>
      </w:r>
      <w:proofErr w:type="spellStart"/>
      <w:r w:rsidR="00C74316">
        <w:rPr>
          <w:lang w:eastAsia="cs-CZ"/>
        </w:rPr>
        <w:t>MZe</w:t>
      </w:r>
      <w:proofErr w:type="spellEnd"/>
      <w:r w:rsidR="00C74316">
        <w:rPr>
          <w:lang w:eastAsia="cs-CZ"/>
        </w:rPr>
        <w:t xml:space="preserve"> v roce 2001 vymezilo určený majetek a na základě kterého </w:t>
      </w:r>
      <w:r w:rsidR="008F0375">
        <w:rPr>
          <w:lang w:eastAsia="cs-CZ"/>
        </w:rPr>
        <w:t>informace o určeném majetku zapsal soud do obchodního rejstříku</w:t>
      </w:r>
      <w:r w:rsidRPr="00284DF5">
        <w:rPr>
          <w:lang w:eastAsia="cs-CZ"/>
        </w:rPr>
        <w:t>.</w:t>
      </w:r>
      <w:r>
        <w:rPr>
          <w:lang w:eastAsia="cs-CZ"/>
        </w:rPr>
        <w:t xml:space="preserve"> Takový dokument neměl ani příslušný soud, který v průběhu kontroly </w:t>
      </w:r>
      <w:proofErr w:type="spellStart"/>
      <w:r>
        <w:rPr>
          <w:lang w:eastAsia="cs-CZ"/>
        </w:rPr>
        <w:t>MZe</w:t>
      </w:r>
      <w:proofErr w:type="spellEnd"/>
      <w:r>
        <w:rPr>
          <w:lang w:eastAsia="cs-CZ"/>
        </w:rPr>
        <w:t xml:space="preserve"> oslovilo. </w:t>
      </w:r>
      <w:proofErr w:type="spellStart"/>
      <w:r>
        <w:rPr>
          <w:lang w:eastAsia="cs-CZ"/>
        </w:rPr>
        <w:t>MZe</w:t>
      </w:r>
      <w:proofErr w:type="spellEnd"/>
      <w:r>
        <w:rPr>
          <w:lang w:eastAsia="cs-CZ"/>
        </w:rPr>
        <w:t xml:space="preserve"> znalo pouze skutečnost zapsanou v obchodním rejstříku</w:t>
      </w:r>
      <w:r w:rsidR="008F0375">
        <w:rPr>
          <w:lang w:eastAsia="cs-CZ"/>
        </w:rPr>
        <w:t>,</w:t>
      </w:r>
      <w:r>
        <w:rPr>
          <w:lang w:eastAsia="cs-CZ"/>
        </w:rPr>
        <w:t xml:space="preserve"> že</w:t>
      </w:r>
      <w:r w:rsidRPr="00284DF5">
        <w:rPr>
          <w:lang w:eastAsia="cs-CZ"/>
        </w:rPr>
        <w:t xml:space="preserve"> celková hodnota určeného majetku </w:t>
      </w:r>
      <w:r>
        <w:rPr>
          <w:lang w:eastAsia="cs-CZ"/>
        </w:rPr>
        <w:t>je </w:t>
      </w:r>
      <w:r w:rsidRPr="00284DF5">
        <w:rPr>
          <w:lang w:eastAsia="cs-CZ"/>
        </w:rPr>
        <w:t>3</w:t>
      </w:r>
      <w:r>
        <w:rPr>
          <w:lang w:eastAsia="cs-CZ"/>
        </w:rPr>
        <w:t> </w:t>
      </w:r>
      <w:r w:rsidRPr="00284DF5">
        <w:rPr>
          <w:lang w:eastAsia="cs-CZ"/>
        </w:rPr>
        <w:t>814</w:t>
      </w:r>
      <w:r>
        <w:rPr>
          <w:lang w:eastAsia="cs-CZ"/>
        </w:rPr>
        <w:t> </w:t>
      </w:r>
      <w:r w:rsidRPr="00284DF5">
        <w:rPr>
          <w:lang w:eastAsia="cs-CZ"/>
        </w:rPr>
        <w:t>tis. Kč</w:t>
      </w:r>
      <w:r>
        <w:rPr>
          <w:lang w:eastAsia="cs-CZ"/>
        </w:rPr>
        <w:t>, ale nebylo mu známo, o jaký majetek se konkrétně jedná.</w:t>
      </w:r>
      <w:r w:rsidRPr="00284DF5">
        <w:rPr>
          <w:lang w:eastAsia="cs-CZ"/>
        </w:rPr>
        <w:t xml:space="preserve"> </w:t>
      </w:r>
    </w:p>
    <w:p w14:paraId="27291D3B" w14:textId="7EA0CDF4" w:rsidR="007710FD" w:rsidRPr="00883D9E" w:rsidRDefault="008B3463" w:rsidP="007710FD">
      <w:pPr>
        <w:pStyle w:val="KZ-normln"/>
        <w:rPr>
          <w:szCs w:val="24"/>
          <w:lang w:eastAsia="cs-CZ"/>
        </w:rPr>
      </w:pPr>
      <w:r>
        <w:rPr>
          <w:lang w:eastAsia="cs-CZ"/>
        </w:rPr>
        <w:t xml:space="preserve">V průběhu kontroly NKÚ upozornil </w:t>
      </w:r>
      <w:proofErr w:type="spellStart"/>
      <w:r>
        <w:rPr>
          <w:lang w:eastAsia="cs-CZ"/>
        </w:rPr>
        <w:t>MZe</w:t>
      </w:r>
      <w:proofErr w:type="spellEnd"/>
      <w:r>
        <w:rPr>
          <w:lang w:eastAsia="cs-CZ"/>
        </w:rPr>
        <w:t xml:space="preserve"> na riziko, že pokud bude</w:t>
      </w:r>
      <w:r w:rsidRPr="008B3463">
        <w:rPr>
          <w:rFonts w:eastAsia="Calibri"/>
          <w:color w:val="auto"/>
        </w:rPr>
        <w:t xml:space="preserve"> </w:t>
      </w:r>
      <w:r w:rsidRPr="008B3463">
        <w:rPr>
          <w:lang w:eastAsia="cs-CZ"/>
        </w:rPr>
        <w:t xml:space="preserve">Státní statek Valtice, </w:t>
      </w:r>
      <w:proofErr w:type="spellStart"/>
      <w:r w:rsidRPr="008B3463">
        <w:rPr>
          <w:lang w:eastAsia="cs-CZ"/>
        </w:rPr>
        <w:t>s.p</w:t>
      </w:r>
      <w:proofErr w:type="spellEnd"/>
      <w:r w:rsidRPr="008B3463">
        <w:rPr>
          <w:lang w:eastAsia="cs-CZ"/>
        </w:rPr>
        <w:t>.</w:t>
      </w:r>
      <w:r w:rsidR="00395449">
        <w:rPr>
          <w:lang w:eastAsia="cs-CZ"/>
        </w:rPr>
        <w:t> </w:t>
      </w:r>
      <w:r w:rsidRPr="008B3463">
        <w:rPr>
          <w:lang w:eastAsia="cs-CZ"/>
        </w:rPr>
        <w:t>v</w:t>
      </w:r>
      <w:r>
        <w:rPr>
          <w:lang w:eastAsia="cs-CZ"/>
        </w:rPr>
        <w:t> </w:t>
      </w:r>
      <w:r w:rsidRPr="008B3463">
        <w:rPr>
          <w:lang w:eastAsia="cs-CZ"/>
        </w:rPr>
        <w:t>likvidaci</w:t>
      </w:r>
      <w:r w:rsidR="00612A4A">
        <w:rPr>
          <w:lang w:eastAsia="cs-CZ"/>
        </w:rPr>
        <w:t>,</w:t>
      </w:r>
      <w:r>
        <w:rPr>
          <w:lang w:eastAsia="cs-CZ"/>
        </w:rPr>
        <w:t xml:space="preserve"> nakládat s majetkem, který je určeným majetkem, bez souhlasu zakladatele, </w:t>
      </w:r>
      <w:r w:rsidR="00BD4BF5">
        <w:rPr>
          <w:lang w:eastAsia="cs-CZ"/>
        </w:rPr>
        <w:t>příslušná</w:t>
      </w:r>
      <w:r>
        <w:rPr>
          <w:lang w:eastAsia="cs-CZ"/>
        </w:rPr>
        <w:t xml:space="preserve"> právní ujednání </w:t>
      </w:r>
      <w:r w:rsidR="00612A4A">
        <w:rPr>
          <w:lang w:eastAsia="cs-CZ"/>
        </w:rPr>
        <w:t xml:space="preserve">mohou být </w:t>
      </w:r>
      <w:r>
        <w:rPr>
          <w:lang w:eastAsia="cs-CZ"/>
        </w:rPr>
        <w:t xml:space="preserve">neplatná. </w:t>
      </w:r>
      <w:r w:rsidR="007710FD" w:rsidRPr="00A43902">
        <w:rPr>
          <w:lang w:eastAsia="cs-CZ"/>
        </w:rPr>
        <w:t xml:space="preserve">Na základě upozornění ze strany NKÚ začalo </w:t>
      </w:r>
      <w:proofErr w:type="spellStart"/>
      <w:r w:rsidR="007710FD" w:rsidRPr="00A43902">
        <w:rPr>
          <w:lang w:eastAsia="cs-CZ"/>
        </w:rPr>
        <w:t>MZe</w:t>
      </w:r>
      <w:proofErr w:type="spellEnd"/>
      <w:r w:rsidR="007710FD" w:rsidRPr="00A43902">
        <w:rPr>
          <w:lang w:eastAsia="cs-CZ"/>
        </w:rPr>
        <w:t xml:space="preserve"> ještě v průběhu kontroly připravovat opatření k </w:t>
      </w:r>
      <w:r w:rsidR="007710FD">
        <w:rPr>
          <w:lang w:eastAsia="cs-CZ"/>
        </w:rPr>
        <w:t>zamezení</w:t>
      </w:r>
      <w:r w:rsidR="007710FD" w:rsidRPr="00A43902">
        <w:rPr>
          <w:lang w:eastAsia="cs-CZ"/>
        </w:rPr>
        <w:t xml:space="preserve"> </w:t>
      </w:r>
      <w:r w:rsidR="00B6334B">
        <w:rPr>
          <w:lang w:eastAsia="cs-CZ"/>
        </w:rPr>
        <w:t xml:space="preserve">tohoto </w:t>
      </w:r>
      <w:r w:rsidR="007710FD" w:rsidRPr="00A43902">
        <w:rPr>
          <w:lang w:eastAsia="cs-CZ"/>
        </w:rPr>
        <w:t>rizika</w:t>
      </w:r>
      <w:r w:rsidR="00B6334B">
        <w:rPr>
          <w:lang w:eastAsia="cs-CZ"/>
        </w:rPr>
        <w:t>.</w:t>
      </w:r>
    </w:p>
    <w:p w14:paraId="11359D4A" w14:textId="0C2CCD87" w:rsidR="00B6334B" w:rsidRPr="00832ACE" w:rsidRDefault="007710FD" w:rsidP="00832ACE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spacing w:after="160" w:line="259" w:lineRule="auto"/>
        <w:rPr>
          <w:b/>
          <w:bCs/>
          <w:lang w:eastAsia="cs-CZ"/>
        </w:rPr>
      </w:pPr>
      <w:r w:rsidRPr="00B73035">
        <w:rPr>
          <w:b/>
          <w:bCs/>
          <w:lang w:eastAsia="cs-CZ"/>
        </w:rPr>
        <w:t>Na základě upozornění ze strany NKÚ na riziko neplatnosti právních ujednání vztahující</w:t>
      </w:r>
      <w:r w:rsidR="00CA6C71">
        <w:rPr>
          <w:b/>
          <w:bCs/>
          <w:lang w:eastAsia="cs-CZ"/>
        </w:rPr>
        <w:t>ch</w:t>
      </w:r>
      <w:r w:rsidRPr="00B73035">
        <w:rPr>
          <w:b/>
          <w:bCs/>
          <w:lang w:eastAsia="cs-CZ"/>
        </w:rPr>
        <w:t xml:space="preserve"> se k určenému majetku</w:t>
      </w:r>
      <w:r>
        <w:rPr>
          <w:b/>
          <w:bCs/>
          <w:lang w:eastAsia="cs-CZ"/>
        </w:rPr>
        <w:t xml:space="preserve"> u státního podniku </w:t>
      </w:r>
      <w:r w:rsidRPr="00977EA0">
        <w:rPr>
          <w:b/>
          <w:bCs/>
          <w:lang w:eastAsia="cs-CZ"/>
        </w:rPr>
        <w:t xml:space="preserve">Státní statek Valtice, </w:t>
      </w:r>
      <w:proofErr w:type="spellStart"/>
      <w:r w:rsidRPr="00977EA0">
        <w:rPr>
          <w:b/>
          <w:bCs/>
          <w:lang w:eastAsia="cs-CZ"/>
        </w:rPr>
        <w:t>s.p</w:t>
      </w:r>
      <w:proofErr w:type="spellEnd"/>
      <w:r w:rsidRPr="00977EA0">
        <w:rPr>
          <w:b/>
          <w:bCs/>
          <w:lang w:eastAsia="cs-CZ"/>
        </w:rPr>
        <w:t>. v</w:t>
      </w:r>
      <w:r w:rsidR="00734CC7">
        <w:rPr>
          <w:b/>
          <w:bCs/>
          <w:lang w:eastAsia="cs-CZ"/>
        </w:rPr>
        <w:t> </w:t>
      </w:r>
      <w:r w:rsidRPr="00977EA0">
        <w:rPr>
          <w:b/>
          <w:bCs/>
          <w:lang w:eastAsia="cs-CZ"/>
        </w:rPr>
        <w:t>likvidaci</w:t>
      </w:r>
      <w:r w:rsidR="00734CC7">
        <w:rPr>
          <w:b/>
          <w:bCs/>
          <w:lang w:eastAsia="cs-CZ"/>
        </w:rPr>
        <w:t>,</w:t>
      </w:r>
      <w:r w:rsidRPr="00B73035">
        <w:rPr>
          <w:b/>
          <w:bCs/>
          <w:lang w:eastAsia="cs-CZ"/>
        </w:rPr>
        <w:t xml:space="preserve"> začalo </w:t>
      </w:r>
      <w:proofErr w:type="spellStart"/>
      <w:r w:rsidRPr="00B73035">
        <w:rPr>
          <w:b/>
          <w:bCs/>
          <w:lang w:eastAsia="cs-CZ"/>
        </w:rPr>
        <w:t>MZe</w:t>
      </w:r>
      <w:proofErr w:type="spellEnd"/>
      <w:r w:rsidRPr="00B73035">
        <w:rPr>
          <w:b/>
          <w:bCs/>
          <w:lang w:eastAsia="cs-CZ"/>
        </w:rPr>
        <w:t xml:space="preserve"> ještě v průběhu kontroly připravovat opatření</w:t>
      </w:r>
      <w:r>
        <w:rPr>
          <w:b/>
          <w:bCs/>
          <w:lang w:eastAsia="cs-CZ"/>
        </w:rPr>
        <w:t>, aby naplnění tohoto rizika zabránilo.</w:t>
      </w:r>
    </w:p>
    <w:p w14:paraId="5A59E720" w14:textId="77777777" w:rsidR="00672260" w:rsidRDefault="00672260" w:rsidP="00672260">
      <w:pPr>
        <w:pStyle w:val="KZ-normln"/>
      </w:pPr>
    </w:p>
    <w:p w14:paraId="3ADDF7F7" w14:textId="61B2F33D" w:rsidR="00C938C5" w:rsidRPr="003657C5" w:rsidRDefault="006E282A" w:rsidP="003657C5">
      <w:pPr>
        <w:pStyle w:val="Nadpis4"/>
        <w:spacing w:before="120" w:after="120"/>
        <w:ind w:left="426" w:hanging="426"/>
        <w:rPr>
          <w:u w:val="none"/>
        </w:rPr>
      </w:pPr>
      <w:r w:rsidRPr="003657C5">
        <w:rPr>
          <w:u w:val="none"/>
        </w:rPr>
        <w:t>Neaktuální a n</w:t>
      </w:r>
      <w:r w:rsidR="00C938C5" w:rsidRPr="003657C5">
        <w:rPr>
          <w:u w:val="none"/>
        </w:rPr>
        <w:t>eúplné informace</w:t>
      </w:r>
      <w:r w:rsidR="001409C1" w:rsidRPr="003657C5">
        <w:rPr>
          <w:u w:val="none"/>
        </w:rPr>
        <w:t xml:space="preserve"> od </w:t>
      </w:r>
      <w:r w:rsidR="00B6334B" w:rsidRPr="003657C5">
        <w:rPr>
          <w:u w:val="none"/>
        </w:rPr>
        <w:t>MPO</w:t>
      </w:r>
      <w:r w:rsidR="00C938C5" w:rsidRPr="003657C5">
        <w:rPr>
          <w:u w:val="none"/>
        </w:rPr>
        <w:t xml:space="preserve"> předkládané vládě</w:t>
      </w:r>
    </w:p>
    <w:p w14:paraId="707E8BAE" w14:textId="625DFD28" w:rsidR="00C938C5" w:rsidRDefault="00C938C5" w:rsidP="00C938C5">
      <w:pPr>
        <w:pStyle w:val="KZ-normln"/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BF6F2" w:themeFill="accent4" w:themeFillTint="3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Pr="002B1EA7">
        <w:rPr>
          <w:rFonts w:ascii="Calibri" w:hAnsi="Calibri" w:cs="Calibri"/>
          <w:szCs w:val="24"/>
        </w:rPr>
        <w:t xml:space="preserve">láda ČR usnesením ze dne 17. února 2020 č. 115, </w:t>
      </w:r>
      <w:r w:rsidRPr="00517807">
        <w:rPr>
          <w:rFonts w:ascii="Calibri" w:hAnsi="Calibri" w:cs="Calibri"/>
          <w:i/>
          <w:iCs/>
          <w:szCs w:val="24"/>
        </w:rPr>
        <w:t>o Strategii vlastnické politiky státu</w:t>
      </w:r>
      <w:r w:rsidR="002540CA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uložila mimo jiné </w:t>
      </w:r>
      <w:r w:rsidR="00787090">
        <w:rPr>
          <w:rFonts w:ascii="Calibri" w:hAnsi="Calibri" w:cs="Calibri"/>
          <w:szCs w:val="24"/>
        </w:rPr>
        <w:t>dotčeným</w:t>
      </w:r>
      <w:r>
        <w:rPr>
          <w:rFonts w:ascii="Calibri" w:hAnsi="Calibri" w:cs="Calibri"/>
          <w:szCs w:val="24"/>
        </w:rPr>
        <w:t xml:space="preserve"> ministrům </w:t>
      </w:r>
      <w:r w:rsidR="00DC1F6D">
        <w:rPr>
          <w:rFonts w:ascii="Calibri" w:hAnsi="Calibri" w:cs="Calibri"/>
          <w:szCs w:val="24"/>
        </w:rPr>
        <w:t>předkládat</w:t>
      </w:r>
      <w:r>
        <w:rPr>
          <w:rFonts w:ascii="Calibri" w:hAnsi="Calibri" w:cs="Calibri"/>
          <w:szCs w:val="24"/>
        </w:rPr>
        <w:t xml:space="preserve"> každoročně </w:t>
      </w:r>
      <w:r w:rsidR="00B3735C">
        <w:rPr>
          <w:rFonts w:ascii="Calibri" w:hAnsi="Calibri" w:cs="Calibri"/>
          <w:szCs w:val="24"/>
        </w:rPr>
        <w:t>Ministerstvu</w:t>
      </w:r>
      <w:r>
        <w:rPr>
          <w:rFonts w:ascii="Calibri" w:hAnsi="Calibri" w:cs="Calibri"/>
          <w:szCs w:val="24"/>
        </w:rPr>
        <w:t xml:space="preserve"> financí informace o činnosti a výsledcích státních podniků za předcházející rok.</w:t>
      </w:r>
    </w:p>
    <w:p w14:paraId="41C180F5" w14:textId="33BD9587" w:rsidR="00C938C5" w:rsidRDefault="00C938C5" w:rsidP="00C938C5">
      <w:pPr>
        <w:pStyle w:val="KZ-normln"/>
      </w:pPr>
      <w:r w:rsidRPr="00883D9E">
        <w:t>Požadované informace měly mimo jiné obsahovat přehled všech státních podniků, u nichž bylo dané ministerstvo zakladatelem</w:t>
      </w:r>
      <w:r w:rsidR="00DC1F6D">
        <w:t>,</w:t>
      </w:r>
      <w:r w:rsidRPr="00883D9E">
        <w:t xml:space="preserve"> a informace o jejich kapitálu a aktivech. U státních podniků </w:t>
      </w:r>
      <w:r w:rsidRPr="00883D9E">
        <w:lastRenderedPageBreak/>
        <w:t xml:space="preserve">v likvidaci měl být navíc ještě uveden (pokud byl znám) předpokládaný datum ukončení likvidace a očekávaný výnos pro státní rozpočet. NKÚ u </w:t>
      </w:r>
      <w:r w:rsidR="00B6334B">
        <w:t xml:space="preserve">MPO a </w:t>
      </w:r>
      <w:proofErr w:type="spellStart"/>
      <w:r w:rsidR="00B6334B">
        <w:t>MZe</w:t>
      </w:r>
      <w:proofErr w:type="spellEnd"/>
      <w:r w:rsidRPr="00883D9E">
        <w:t xml:space="preserve"> ověřil, že obě ministerstva v letech 2021 až 2024 </w:t>
      </w:r>
      <w:r w:rsidR="00B3735C">
        <w:t>Ministerstvu</w:t>
      </w:r>
      <w:r w:rsidRPr="00883D9E">
        <w:t xml:space="preserve"> financí předložila informace o činnosti a výsledcích státních podniků za roky 2020 až 2023 ve stanovených termínech. </w:t>
      </w:r>
      <w:r w:rsidR="001409C1">
        <w:t>I</w:t>
      </w:r>
      <w:r w:rsidRPr="00883D9E">
        <w:t xml:space="preserve">nformace Ministerstvo financí využívalo pro zpracování </w:t>
      </w:r>
      <w:r w:rsidR="00DC1F6D">
        <w:t>z</w:t>
      </w:r>
      <w:r w:rsidRPr="00883D9E">
        <w:t>práv o plnění opatření vyplývajících ze </w:t>
      </w:r>
      <w:r w:rsidRPr="00517807">
        <w:rPr>
          <w:i/>
          <w:iCs/>
        </w:rPr>
        <w:t>Strategie vlastnické politiky státu</w:t>
      </w:r>
      <w:r w:rsidRPr="00883D9E">
        <w:t>, kterou každoročně předkládalo k projednání vládě ČR.</w:t>
      </w:r>
    </w:p>
    <w:p w14:paraId="377CFC77" w14:textId="25A67438" w:rsidR="00C938C5" w:rsidRPr="00883D9E" w:rsidRDefault="00C938C5" w:rsidP="00C938C5">
      <w:pPr>
        <w:pStyle w:val="KZ-normln"/>
      </w:pPr>
      <w:r w:rsidRPr="00883D9E">
        <w:t>NKÚ zjistil, že MPO v přehled</w:t>
      </w:r>
      <w:r w:rsidR="00B75AE3">
        <w:t>ech</w:t>
      </w:r>
      <w:r w:rsidRPr="00883D9E">
        <w:t xml:space="preserve"> státních podniků</w:t>
      </w:r>
      <w:r w:rsidR="00063D1B">
        <w:t>, kter</w:t>
      </w:r>
      <w:r w:rsidR="00B75AE3">
        <w:t>é</w:t>
      </w:r>
      <w:r w:rsidR="00063D1B">
        <w:t xml:space="preserve"> předalo </w:t>
      </w:r>
      <w:r w:rsidR="00B3735C">
        <w:t>Ministerstvu</w:t>
      </w:r>
      <w:r w:rsidR="00063D1B">
        <w:t xml:space="preserve"> financí,</w:t>
      </w:r>
      <w:r w:rsidRPr="00883D9E">
        <w:t xml:space="preserve"> neuvedlo Barvy a laky, státní podnik "v likvidaci", jehož výmaz byl soudem zrušen a</w:t>
      </w:r>
      <w:r w:rsidR="00B75AE3">
        <w:t> </w:t>
      </w:r>
      <w:r w:rsidRPr="00883D9E">
        <w:t>likvidace byla obnovena v roce 2021. MPO obnovu likvidace zjistilo z veřejně dostupných zdrojů v roce 2022</w:t>
      </w:r>
      <w:r w:rsidR="006321D3">
        <w:t xml:space="preserve">, </w:t>
      </w:r>
      <w:r w:rsidRPr="00883D9E">
        <w:t xml:space="preserve">a přesto ho neuvedlo ani v informacích za rok 2022 ani za rok 2023. Informace uvedené MPO </w:t>
      </w:r>
      <w:r w:rsidR="00DC1F6D">
        <w:t xml:space="preserve">tedy </w:t>
      </w:r>
      <w:r w:rsidR="00EA5F19">
        <w:t>neobsahovaly aktuální, resp. úplné informace.</w:t>
      </w:r>
    </w:p>
    <w:p w14:paraId="4710E7E5" w14:textId="7F2B9F01" w:rsidR="00B75AE3" w:rsidRPr="00883D9E" w:rsidRDefault="00C938C5" w:rsidP="00C938C5">
      <w:pPr>
        <w:pStyle w:val="KZ-normln"/>
      </w:pPr>
      <w:r w:rsidRPr="00883D9E">
        <w:t xml:space="preserve">NKÚ dále zjistil, že v předložených </w:t>
      </w:r>
      <w:r w:rsidR="001409C1">
        <w:t>informacích</w:t>
      </w:r>
      <w:r w:rsidRPr="00883D9E">
        <w:t xml:space="preserve"> MPO sice každoročně uvádělo Cihlářské a keramické závody Teplice, státní podnik v likvidaci, ale uvádělo u něj nulové hodnoty kapitálu, aktiv a očekávaného výnosu pro státní rozpočet. V kontrolovaném období likvidátor </w:t>
      </w:r>
      <w:r w:rsidR="00056FBA">
        <w:t xml:space="preserve">tohoto </w:t>
      </w:r>
      <w:r w:rsidRPr="00883D9E">
        <w:t xml:space="preserve">státního podniku sice sestavil účetní závěrky, ale v rozporu se zákonem byly ve zjednodušeném rozsahu a s nulovými stavy všech položek. NKÚ v průběhu kontroly zjistil, že státní podnik v kontrolovaném období měl právo hospodařit s nemovitým majetkem (pozemky), který likvidátor pro potřeby účetnictví neocenil. Dále tento státní podnik evidoval i nevypořádané závazky, jejichž hodnota v roce 2024 dosáhla částky 1 866 680 Kč. Nulové hodnoty majetku, které MPO uvádělo v informacích předložených </w:t>
      </w:r>
      <w:r w:rsidR="00EA7001">
        <w:t>Ministerstvu</w:t>
      </w:r>
      <w:r w:rsidRPr="00883D9E">
        <w:t xml:space="preserve"> financí tedy neodpovídaly skutečnosti.</w:t>
      </w:r>
    </w:p>
    <w:p w14:paraId="4C27D645" w14:textId="20DB2BBB" w:rsidR="00150834" w:rsidRPr="00150834" w:rsidRDefault="00C938C5" w:rsidP="00150834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rPr>
          <w:rFonts w:eastAsia="Calibri"/>
          <w:b/>
          <w:bCs/>
        </w:rPr>
      </w:pPr>
      <w:r w:rsidRPr="00281621">
        <w:rPr>
          <w:rFonts w:eastAsia="Calibri"/>
          <w:b/>
          <w:bCs/>
        </w:rPr>
        <w:t xml:space="preserve">MPO </w:t>
      </w:r>
      <w:r>
        <w:rPr>
          <w:rFonts w:eastAsia="Calibri"/>
          <w:b/>
          <w:bCs/>
        </w:rPr>
        <w:t xml:space="preserve">a </w:t>
      </w:r>
      <w:proofErr w:type="spellStart"/>
      <w:r>
        <w:rPr>
          <w:rFonts w:eastAsia="Calibri"/>
          <w:b/>
          <w:bCs/>
        </w:rPr>
        <w:t>MZe</w:t>
      </w:r>
      <w:proofErr w:type="spellEnd"/>
      <w:r>
        <w:rPr>
          <w:rFonts w:eastAsia="Calibri"/>
          <w:b/>
          <w:bCs/>
        </w:rPr>
        <w:t xml:space="preserve"> v </w:t>
      </w:r>
      <w:r w:rsidRPr="008C32BE">
        <w:rPr>
          <w:rFonts w:eastAsia="Calibri"/>
          <w:b/>
          <w:bCs/>
        </w:rPr>
        <w:t>kontrolovaném období v požadovaných termínech informoval</w:t>
      </w:r>
      <w:r w:rsidR="00930E6F">
        <w:rPr>
          <w:rFonts w:eastAsia="Calibri"/>
          <w:b/>
          <w:bCs/>
        </w:rPr>
        <w:t>y</w:t>
      </w:r>
      <w:r w:rsidRPr="008C32BE">
        <w:rPr>
          <w:rFonts w:eastAsia="Calibri"/>
          <w:b/>
          <w:bCs/>
        </w:rPr>
        <w:t xml:space="preserve"> každoročně </w:t>
      </w:r>
      <w:r w:rsidR="003C68A5">
        <w:rPr>
          <w:rFonts w:eastAsia="Calibri"/>
          <w:b/>
          <w:bCs/>
        </w:rPr>
        <w:t>Ministerstvo</w:t>
      </w:r>
      <w:r w:rsidRPr="008C32BE">
        <w:rPr>
          <w:rFonts w:eastAsia="Calibri"/>
          <w:b/>
          <w:bCs/>
        </w:rPr>
        <w:t xml:space="preserve"> financí mimo jiné o počtu a majetku státních podniků v likvidaci. NKÚ zjistil</w:t>
      </w:r>
      <w:r>
        <w:rPr>
          <w:rFonts w:eastAsia="Calibri"/>
          <w:b/>
          <w:bCs/>
        </w:rPr>
        <w:t xml:space="preserve">, že </w:t>
      </w:r>
      <w:r w:rsidRPr="00281621">
        <w:rPr>
          <w:rFonts w:eastAsia="Calibri"/>
          <w:b/>
          <w:bCs/>
        </w:rPr>
        <w:t>informace</w:t>
      </w:r>
      <w:r>
        <w:rPr>
          <w:rFonts w:eastAsia="Calibri"/>
          <w:b/>
          <w:bCs/>
        </w:rPr>
        <w:t xml:space="preserve"> předložené MP</w:t>
      </w:r>
      <w:r w:rsidR="00EA5F19">
        <w:rPr>
          <w:rFonts w:eastAsia="Calibri"/>
          <w:b/>
          <w:bCs/>
        </w:rPr>
        <w:t>O neobsahovaly aktuální</w:t>
      </w:r>
      <w:r w:rsidR="008F0375">
        <w:rPr>
          <w:rFonts w:eastAsia="Calibri"/>
          <w:b/>
          <w:bCs/>
        </w:rPr>
        <w:t xml:space="preserve"> a </w:t>
      </w:r>
      <w:r w:rsidR="00EA5F19">
        <w:rPr>
          <w:rFonts w:eastAsia="Calibri"/>
          <w:b/>
          <w:bCs/>
        </w:rPr>
        <w:t>úplné informace</w:t>
      </w:r>
      <w:r>
        <w:rPr>
          <w:rFonts w:eastAsia="Calibri"/>
          <w:b/>
          <w:bCs/>
        </w:rPr>
        <w:t>.</w:t>
      </w:r>
    </w:p>
    <w:p w14:paraId="47594864" w14:textId="77777777" w:rsidR="00523C69" w:rsidRDefault="00523C69" w:rsidP="00150834">
      <w:pPr>
        <w:pStyle w:val="KZ-normln"/>
      </w:pPr>
    </w:p>
    <w:p w14:paraId="0D74A63D" w14:textId="44CFAB9F" w:rsidR="00D17E15" w:rsidRPr="003657C5" w:rsidRDefault="00D17E15" w:rsidP="003657C5">
      <w:pPr>
        <w:pStyle w:val="Nadpis4"/>
        <w:spacing w:before="120" w:after="120"/>
        <w:ind w:left="426" w:hanging="426"/>
        <w:jc w:val="left"/>
        <w:rPr>
          <w:u w:val="none"/>
        </w:rPr>
      </w:pPr>
      <w:r w:rsidRPr="003657C5">
        <w:rPr>
          <w:u w:val="none"/>
        </w:rPr>
        <w:t xml:space="preserve">Porušení </w:t>
      </w:r>
      <w:r w:rsidR="00AD1746" w:rsidRPr="003657C5">
        <w:rPr>
          <w:u w:val="none"/>
        </w:rPr>
        <w:t xml:space="preserve">povinností </w:t>
      </w:r>
      <w:r w:rsidR="001409C1" w:rsidRPr="003657C5">
        <w:rPr>
          <w:u w:val="none"/>
        </w:rPr>
        <w:t xml:space="preserve">státních podniků v likvidaci </w:t>
      </w:r>
      <w:r w:rsidR="00AD1746" w:rsidRPr="003657C5">
        <w:rPr>
          <w:u w:val="none"/>
        </w:rPr>
        <w:t xml:space="preserve">v oblasti vedení účetnictví a </w:t>
      </w:r>
      <w:r w:rsidR="00F13E18" w:rsidRPr="003657C5">
        <w:rPr>
          <w:u w:val="none"/>
        </w:rPr>
        <w:t xml:space="preserve">v oblasti </w:t>
      </w:r>
      <w:r w:rsidR="00AD1746" w:rsidRPr="003657C5">
        <w:rPr>
          <w:u w:val="none"/>
        </w:rPr>
        <w:t>účetní závěrky</w:t>
      </w:r>
    </w:p>
    <w:bookmarkEnd w:id="17"/>
    <w:p w14:paraId="356D1AD0" w14:textId="70A700EF" w:rsidR="00AD1746" w:rsidRPr="00076BD0" w:rsidRDefault="00002B4E" w:rsidP="00F70FC4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BF6F2" w:themeFill="accent4" w:themeFillTint="33"/>
        <w:autoSpaceDE w:val="0"/>
        <w:autoSpaceDN w:val="0"/>
        <w:adjustRightInd w:val="0"/>
        <w:spacing w:after="120"/>
        <w:rPr>
          <w:rFonts w:eastAsiaTheme="minorHAnsi"/>
          <w:sz w:val="23"/>
          <w:szCs w:val="23"/>
        </w:rPr>
      </w:pPr>
      <w:r w:rsidRPr="00076BD0">
        <w:rPr>
          <w:rFonts w:eastAsiaTheme="minorHAnsi"/>
          <w:sz w:val="23"/>
          <w:szCs w:val="23"/>
        </w:rPr>
        <w:t>Státní podniky jsou účetními jednotkami</w:t>
      </w:r>
      <w:r w:rsidR="002C61CA" w:rsidRPr="00076BD0">
        <w:rPr>
          <w:rFonts w:eastAsiaTheme="minorHAnsi"/>
          <w:sz w:val="23"/>
          <w:szCs w:val="23"/>
        </w:rPr>
        <w:t xml:space="preserve"> a d</w:t>
      </w:r>
      <w:r w:rsidRPr="00076BD0">
        <w:rPr>
          <w:rFonts w:eastAsiaTheme="minorHAnsi"/>
          <w:sz w:val="23"/>
          <w:szCs w:val="23"/>
        </w:rPr>
        <w:t>le zákona č. 563/1991 Sb., o účetnictví</w:t>
      </w:r>
      <w:r w:rsidR="00BB36D1">
        <w:rPr>
          <w:rFonts w:eastAsiaTheme="minorHAnsi"/>
          <w:sz w:val="23"/>
          <w:szCs w:val="23"/>
        </w:rPr>
        <w:t>,</w:t>
      </w:r>
      <w:r w:rsidRPr="00076BD0">
        <w:rPr>
          <w:rFonts w:eastAsiaTheme="minorHAnsi"/>
          <w:sz w:val="23"/>
          <w:szCs w:val="23"/>
        </w:rPr>
        <w:t xml:space="preserve"> jsou</w:t>
      </w:r>
      <w:r w:rsidR="006D61DC">
        <w:rPr>
          <w:rFonts w:eastAsiaTheme="minorHAnsi"/>
          <w:sz w:val="23"/>
          <w:szCs w:val="23"/>
        </w:rPr>
        <w:t xml:space="preserve"> mj.</w:t>
      </w:r>
      <w:r w:rsidRPr="00076BD0">
        <w:rPr>
          <w:rFonts w:eastAsiaTheme="minorHAnsi"/>
          <w:sz w:val="23"/>
          <w:szCs w:val="23"/>
        </w:rPr>
        <w:t xml:space="preserve"> povinny</w:t>
      </w:r>
      <w:r w:rsidR="005734F4" w:rsidRPr="00076BD0">
        <w:rPr>
          <w:rFonts w:eastAsiaTheme="minorHAnsi"/>
          <w:sz w:val="23"/>
          <w:szCs w:val="23"/>
        </w:rPr>
        <w:t xml:space="preserve"> zachycovat skutečnosti, které jsou předmětem účetnictví</w:t>
      </w:r>
      <w:r w:rsidR="006A0A9D" w:rsidRPr="00076BD0">
        <w:rPr>
          <w:rFonts w:eastAsiaTheme="minorHAnsi"/>
          <w:sz w:val="23"/>
          <w:szCs w:val="23"/>
        </w:rPr>
        <w:t xml:space="preserve">, </w:t>
      </w:r>
      <w:r w:rsidR="00CC6321" w:rsidRPr="00076BD0">
        <w:rPr>
          <w:rFonts w:eastAsiaTheme="minorHAnsi"/>
          <w:sz w:val="23"/>
          <w:szCs w:val="23"/>
        </w:rPr>
        <w:t>inventarizovat majetek a</w:t>
      </w:r>
      <w:r w:rsidR="005734F4" w:rsidRPr="00076BD0">
        <w:rPr>
          <w:rFonts w:eastAsiaTheme="minorHAnsi"/>
          <w:sz w:val="23"/>
          <w:szCs w:val="23"/>
        </w:rPr>
        <w:t> </w:t>
      </w:r>
      <w:r w:rsidR="00CC6321" w:rsidRPr="00076BD0">
        <w:rPr>
          <w:rFonts w:eastAsiaTheme="minorHAnsi"/>
          <w:sz w:val="23"/>
          <w:szCs w:val="23"/>
        </w:rPr>
        <w:t>závazky</w:t>
      </w:r>
      <w:r w:rsidR="006A0A9D" w:rsidRPr="00076BD0">
        <w:rPr>
          <w:rFonts w:eastAsiaTheme="minorHAnsi"/>
          <w:sz w:val="23"/>
          <w:szCs w:val="23"/>
        </w:rPr>
        <w:t xml:space="preserve">, </w:t>
      </w:r>
      <w:r w:rsidR="00AD1746" w:rsidRPr="00076BD0">
        <w:rPr>
          <w:rFonts w:eastAsiaTheme="minorHAnsi"/>
          <w:sz w:val="23"/>
          <w:szCs w:val="23"/>
        </w:rPr>
        <w:t xml:space="preserve">sestavovat účetní závěrku </w:t>
      </w:r>
      <w:r w:rsidR="00F13E18" w:rsidRPr="00076BD0">
        <w:rPr>
          <w:rFonts w:eastAsiaTheme="minorHAnsi"/>
          <w:sz w:val="23"/>
          <w:szCs w:val="23"/>
        </w:rPr>
        <w:t xml:space="preserve">v plném rozsahu </w:t>
      </w:r>
      <w:r w:rsidR="00AD1746" w:rsidRPr="00076BD0">
        <w:rPr>
          <w:rFonts w:eastAsiaTheme="minorHAnsi"/>
          <w:sz w:val="23"/>
          <w:szCs w:val="23"/>
        </w:rPr>
        <w:t>a zveřej</w:t>
      </w:r>
      <w:r w:rsidR="006A0A9D" w:rsidRPr="00076BD0">
        <w:rPr>
          <w:rFonts w:eastAsiaTheme="minorHAnsi"/>
          <w:sz w:val="23"/>
          <w:szCs w:val="23"/>
        </w:rPr>
        <w:t>ňovat</w:t>
      </w:r>
      <w:r w:rsidR="00AD1746" w:rsidRPr="00076BD0">
        <w:rPr>
          <w:rFonts w:eastAsiaTheme="minorHAnsi"/>
          <w:sz w:val="23"/>
          <w:szCs w:val="23"/>
        </w:rPr>
        <w:t xml:space="preserve"> ji </w:t>
      </w:r>
      <w:r w:rsidR="006D61DC">
        <w:rPr>
          <w:rFonts w:eastAsiaTheme="minorHAnsi"/>
          <w:sz w:val="23"/>
          <w:szCs w:val="23"/>
        </w:rPr>
        <w:t>ve sbírce listin obchodního re</w:t>
      </w:r>
      <w:r w:rsidR="00045B07">
        <w:rPr>
          <w:rFonts w:eastAsiaTheme="minorHAnsi"/>
          <w:sz w:val="23"/>
          <w:szCs w:val="23"/>
        </w:rPr>
        <w:t>js</w:t>
      </w:r>
      <w:r w:rsidR="006D61DC">
        <w:rPr>
          <w:rFonts w:eastAsiaTheme="minorHAnsi"/>
          <w:sz w:val="23"/>
          <w:szCs w:val="23"/>
        </w:rPr>
        <w:t>tříku</w:t>
      </w:r>
      <w:r w:rsidR="00AD1746" w:rsidRPr="00076BD0">
        <w:rPr>
          <w:rFonts w:eastAsiaTheme="minorHAnsi"/>
          <w:sz w:val="23"/>
          <w:szCs w:val="23"/>
        </w:rPr>
        <w:t>. Jak v režimu zákona č. 77/1997 Sb., tak v režimu zákona č.</w:t>
      </w:r>
      <w:r w:rsidR="00D75823" w:rsidRPr="00076BD0">
        <w:rPr>
          <w:rFonts w:eastAsiaTheme="minorHAnsi"/>
          <w:sz w:val="23"/>
          <w:szCs w:val="23"/>
        </w:rPr>
        <w:t> </w:t>
      </w:r>
      <w:r w:rsidR="00AD1746" w:rsidRPr="00076BD0">
        <w:rPr>
          <w:rFonts w:eastAsiaTheme="minorHAnsi"/>
          <w:sz w:val="23"/>
          <w:szCs w:val="23"/>
        </w:rPr>
        <w:t>111/199</w:t>
      </w:r>
      <w:r w:rsidR="00F64309" w:rsidRPr="00076BD0">
        <w:rPr>
          <w:rFonts w:eastAsiaTheme="minorHAnsi"/>
          <w:sz w:val="23"/>
          <w:szCs w:val="23"/>
        </w:rPr>
        <w:t>0</w:t>
      </w:r>
      <w:r w:rsidR="00D75823" w:rsidRPr="00076BD0">
        <w:rPr>
          <w:rFonts w:eastAsiaTheme="minorHAnsi"/>
          <w:sz w:val="23"/>
          <w:szCs w:val="23"/>
        </w:rPr>
        <w:t> </w:t>
      </w:r>
      <w:r w:rsidR="00AD1746" w:rsidRPr="00076BD0">
        <w:rPr>
          <w:rFonts w:eastAsiaTheme="minorHAnsi"/>
          <w:sz w:val="23"/>
          <w:szCs w:val="23"/>
        </w:rPr>
        <w:t>Sb</w:t>
      </w:r>
      <w:r w:rsidR="00930E6F">
        <w:rPr>
          <w:rFonts w:eastAsiaTheme="minorHAnsi"/>
          <w:sz w:val="23"/>
          <w:szCs w:val="23"/>
        </w:rPr>
        <w:t xml:space="preserve">. </w:t>
      </w:r>
      <w:r w:rsidR="006A0A9D" w:rsidRPr="00076BD0">
        <w:rPr>
          <w:rFonts w:eastAsiaTheme="minorHAnsi"/>
          <w:sz w:val="23"/>
          <w:szCs w:val="23"/>
        </w:rPr>
        <w:t xml:space="preserve">mají </w:t>
      </w:r>
      <w:r w:rsidR="00AD1746" w:rsidRPr="00076BD0">
        <w:rPr>
          <w:rFonts w:eastAsiaTheme="minorHAnsi"/>
          <w:sz w:val="23"/>
          <w:szCs w:val="23"/>
        </w:rPr>
        <w:t xml:space="preserve">státní podniky povinnost účetní závěrku nechat ověřit auditorem a předložit ji </w:t>
      </w:r>
      <w:r w:rsidR="005236AF" w:rsidRPr="00076BD0">
        <w:rPr>
          <w:rFonts w:eastAsiaTheme="minorHAnsi"/>
          <w:sz w:val="23"/>
          <w:szCs w:val="23"/>
        </w:rPr>
        <w:t xml:space="preserve">ke schválení </w:t>
      </w:r>
      <w:r w:rsidR="00AD1746" w:rsidRPr="00076BD0">
        <w:rPr>
          <w:rFonts w:eastAsiaTheme="minorHAnsi"/>
          <w:sz w:val="23"/>
          <w:szCs w:val="23"/>
        </w:rPr>
        <w:t>zakladateli.</w:t>
      </w:r>
      <w:r w:rsidR="0053124B" w:rsidRPr="00076BD0">
        <w:rPr>
          <w:rFonts w:eastAsiaTheme="minorHAnsi"/>
          <w:sz w:val="23"/>
          <w:szCs w:val="23"/>
        </w:rPr>
        <w:t xml:space="preserve"> </w:t>
      </w:r>
    </w:p>
    <w:p w14:paraId="7343F054" w14:textId="1612B0BE" w:rsidR="00D75823" w:rsidRPr="00DD5584" w:rsidRDefault="00056FBA" w:rsidP="00883D9E">
      <w:pPr>
        <w:pStyle w:val="KZ-normln"/>
        <w:rPr>
          <w:rFonts w:eastAsiaTheme="minorHAnsi"/>
          <w:bCs/>
        </w:rPr>
      </w:pPr>
      <w:r>
        <w:rPr>
          <w:rFonts w:eastAsiaTheme="minorHAnsi"/>
        </w:rPr>
        <w:t>U</w:t>
      </w:r>
      <w:r w:rsidR="00E617A1" w:rsidRPr="00DA25A8">
        <w:rPr>
          <w:rFonts w:eastAsiaTheme="minorHAnsi"/>
        </w:rPr>
        <w:t xml:space="preserve"> s</w:t>
      </w:r>
      <w:r w:rsidR="006D5D90" w:rsidRPr="00DA25A8">
        <w:rPr>
          <w:rFonts w:eastAsiaTheme="minorHAnsi"/>
        </w:rPr>
        <w:t>tátní</w:t>
      </w:r>
      <w:r w:rsidR="00E617A1" w:rsidRPr="00DA25A8">
        <w:rPr>
          <w:rFonts w:eastAsiaTheme="minorHAnsi"/>
        </w:rPr>
        <w:t>ho</w:t>
      </w:r>
      <w:r w:rsidR="006D5D90" w:rsidRPr="00DA25A8">
        <w:rPr>
          <w:rFonts w:eastAsiaTheme="minorHAnsi"/>
        </w:rPr>
        <w:t xml:space="preserve"> podnik</w:t>
      </w:r>
      <w:r w:rsidR="00E617A1" w:rsidRPr="00DA25A8">
        <w:rPr>
          <w:rFonts w:eastAsiaTheme="minorHAnsi"/>
        </w:rPr>
        <w:t>u</w:t>
      </w:r>
      <w:r w:rsidR="006D5D90" w:rsidRPr="00DA25A8">
        <w:rPr>
          <w:rFonts w:eastAsiaTheme="minorHAnsi"/>
        </w:rPr>
        <w:t xml:space="preserve"> </w:t>
      </w:r>
      <w:r w:rsidR="002C61CA" w:rsidRPr="00DA25A8">
        <w:rPr>
          <w:rFonts w:eastAsiaTheme="minorHAnsi"/>
          <w:b/>
        </w:rPr>
        <w:t>Barvy a laky, státní podnik "v likvidaci"</w:t>
      </w:r>
      <w:r w:rsidR="00DD5584">
        <w:rPr>
          <w:rFonts w:eastAsiaTheme="minorHAnsi"/>
          <w:b/>
        </w:rPr>
        <w:t>,</w:t>
      </w:r>
      <w:r w:rsidR="00E617A1">
        <w:rPr>
          <w:rFonts w:eastAsiaTheme="minorHAnsi"/>
          <w:b/>
        </w:rPr>
        <w:t xml:space="preserve"> </w:t>
      </w:r>
      <w:r w:rsidRPr="00056FBA">
        <w:rPr>
          <w:rFonts w:eastAsiaTheme="minorHAnsi"/>
          <w:bCs/>
        </w:rPr>
        <w:t>likvidátor</w:t>
      </w:r>
      <w:r w:rsidRPr="00517807">
        <w:rPr>
          <w:rFonts w:eastAsiaTheme="minorHAnsi"/>
          <w:bCs/>
        </w:rPr>
        <w:t xml:space="preserve"> </w:t>
      </w:r>
      <w:r w:rsidR="005734F4" w:rsidRPr="0035337F">
        <w:rPr>
          <w:rFonts w:eastAsiaTheme="minorHAnsi"/>
        </w:rPr>
        <w:t xml:space="preserve">v průběhu kontroly </w:t>
      </w:r>
      <w:r w:rsidR="0035337F" w:rsidRPr="0035337F">
        <w:rPr>
          <w:rFonts w:eastAsiaTheme="minorHAnsi"/>
        </w:rPr>
        <w:t xml:space="preserve">NKÚ uvedl, že státní podnik </w:t>
      </w:r>
      <w:r w:rsidR="0035337F">
        <w:rPr>
          <w:rFonts w:eastAsiaTheme="minorHAnsi"/>
        </w:rPr>
        <w:t>nedisponoval v letech 2020 až 2023 žádným majetkem</w:t>
      </w:r>
      <w:r w:rsidR="002C61CA">
        <w:rPr>
          <w:rFonts w:eastAsiaTheme="minorHAnsi"/>
        </w:rPr>
        <w:t>,</w:t>
      </w:r>
      <w:r w:rsidR="0035337F">
        <w:rPr>
          <w:rFonts w:eastAsiaTheme="minorHAnsi"/>
        </w:rPr>
        <w:t xml:space="preserve"> a proto nevydával příkaz k provedení </w:t>
      </w:r>
      <w:r w:rsidR="00842A92">
        <w:rPr>
          <w:rFonts w:eastAsiaTheme="minorHAnsi"/>
        </w:rPr>
        <w:t>inventarizace</w:t>
      </w:r>
      <w:r w:rsidR="00DA25A8">
        <w:rPr>
          <w:rFonts w:eastAsiaTheme="minorHAnsi"/>
        </w:rPr>
        <w:t xml:space="preserve"> majetku a závazků</w:t>
      </w:r>
      <w:r w:rsidR="00E617A1">
        <w:rPr>
          <w:rFonts w:eastAsiaTheme="minorHAnsi"/>
        </w:rPr>
        <w:t xml:space="preserve"> a inventarizace nebyla prováděna</w:t>
      </w:r>
      <w:r w:rsidR="00842A92">
        <w:rPr>
          <w:rFonts w:eastAsiaTheme="minorHAnsi"/>
        </w:rPr>
        <w:t xml:space="preserve">. </w:t>
      </w:r>
      <w:r w:rsidR="0035337F">
        <w:rPr>
          <w:rFonts w:eastAsiaTheme="minorHAnsi"/>
        </w:rPr>
        <w:t xml:space="preserve">NKÚ ale zjistil, že </w:t>
      </w:r>
      <w:r w:rsidR="00DA25A8">
        <w:rPr>
          <w:rFonts w:eastAsiaTheme="minorHAnsi"/>
        </w:rPr>
        <w:t xml:space="preserve">v účetní závěrce za rok 2022 byla vykázána částka 50 000 Kč. Jednalo se </w:t>
      </w:r>
      <w:r w:rsidR="00384E19">
        <w:rPr>
          <w:rFonts w:eastAsiaTheme="minorHAnsi"/>
        </w:rPr>
        <w:t xml:space="preserve">o </w:t>
      </w:r>
      <w:r w:rsidR="00DA25A8">
        <w:rPr>
          <w:rFonts w:eastAsiaTheme="minorHAnsi"/>
        </w:rPr>
        <w:t>zálohu na náklady konkursního řízení, o jejímž vrácení státnímu podniku rozhodl příslušný soud v roce 2022. Z této částky použil likvidátor částku ve výši 49 900 Kč v roce 2023 na úhradu faktury za ekonomické poradenství.</w:t>
      </w:r>
      <w:r w:rsidR="00DA25A8" w:rsidRPr="00517807">
        <w:rPr>
          <w:rFonts w:eastAsiaTheme="minorHAnsi"/>
          <w:bCs/>
        </w:rPr>
        <w:t xml:space="preserve"> </w:t>
      </w:r>
      <w:r w:rsidR="00842A92" w:rsidRPr="00842A92">
        <w:rPr>
          <w:rFonts w:eastAsiaTheme="minorHAnsi"/>
        </w:rPr>
        <w:t>NKÚ dále zjistil, že státní podnik</w:t>
      </w:r>
      <w:r w:rsidR="00930E6F">
        <w:rPr>
          <w:rFonts w:eastAsiaTheme="minorHAnsi"/>
        </w:rPr>
        <w:t xml:space="preserve"> v </w:t>
      </w:r>
      <w:r w:rsidR="00192ED2">
        <w:rPr>
          <w:rFonts w:eastAsiaTheme="minorHAnsi"/>
        </w:rPr>
        <w:t>rozporu se zákonem</w:t>
      </w:r>
      <w:r w:rsidR="00842A92" w:rsidRPr="00842A92">
        <w:rPr>
          <w:rFonts w:eastAsiaTheme="minorHAnsi"/>
        </w:rPr>
        <w:t xml:space="preserve"> sestavoval účetní závěrku</w:t>
      </w:r>
      <w:r w:rsidR="00C1607C" w:rsidRPr="00842A92">
        <w:rPr>
          <w:rFonts w:eastAsiaTheme="minorHAnsi"/>
        </w:rPr>
        <w:t xml:space="preserve"> pouze </w:t>
      </w:r>
      <w:r w:rsidR="00C1607C" w:rsidRPr="00DA25A8">
        <w:rPr>
          <w:rFonts w:eastAsiaTheme="minorHAnsi"/>
        </w:rPr>
        <w:t>ve zkráceném rozsahu</w:t>
      </w:r>
      <w:r w:rsidR="00842A92" w:rsidRPr="00842A92">
        <w:rPr>
          <w:rFonts w:eastAsiaTheme="minorHAnsi"/>
        </w:rPr>
        <w:t xml:space="preserve"> a</w:t>
      </w:r>
      <w:r w:rsidR="00842A92">
        <w:rPr>
          <w:rFonts w:eastAsiaTheme="minorHAnsi"/>
        </w:rPr>
        <w:t> </w:t>
      </w:r>
      <w:r w:rsidR="00842A92" w:rsidRPr="00842A92">
        <w:rPr>
          <w:rFonts w:eastAsiaTheme="minorHAnsi"/>
        </w:rPr>
        <w:t xml:space="preserve">likvidátor nezajistil ověření účetní závěrky auditorem. Likvidátor v kontrolovaném období nepředložil žádnou účetní závěrku </w:t>
      </w:r>
      <w:r w:rsidR="00E617A1">
        <w:rPr>
          <w:rFonts w:eastAsiaTheme="minorHAnsi"/>
        </w:rPr>
        <w:t xml:space="preserve">ke schválení </w:t>
      </w:r>
      <w:r w:rsidR="00842A92" w:rsidRPr="00842A92">
        <w:rPr>
          <w:rFonts w:eastAsiaTheme="minorHAnsi"/>
        </w:rPr>
        <w:t>zakladateli a účetní závěrky</w:t>
      </w:r>
      <w:r w:rsidR="00DA25A8">
        <w:rPr>
          <w:rFonts w:eastAsiaTheme="minorHAnsi"/>
        </w:rPr>
        <w:t xml:space="preserve"> </w:t>
      </w:r>
      <w:r w:rsidR="00DA25A8" w:rsidRPr="001A214D">
        <w:rPr>
          <w:rFonts w:eastAsiaTheme="minorHAnsi"/>
        </w:rPr>
        <w:t>nebyly</w:t>
      </w:r>
      <w:r w:rsidR="008F0375">
        <w:rPr>
          <w:rFonts w:eastAsiaTheme="minorHAnsi"/>
        </w:rPr>
        <w:t xml:space="preserve"> v kontrolovaném období</w:t>
      </w:r>
      <w:r w:rsidR="00DA25A8" w:rsidRPr="001A214D">
        <w:rPr>
          <w:rFonts w:eastAsiaTheme="minorHAnsi"/>
        </w:rPr>
        <w:t xml:space="preserve"> zveřejněny</w:t>
      </w:r>
      <w:r w:rsidR="00842A92" w:rsidRPr="001A214D">
        <w:rPr>
          <w:rFonts w:eastAsiaTheme="minorHAnsi"/>
        </w:rPr>
        <w:t xml:space="preserve"> </w:t>
      </w:r>
      <w:r w:rsidR="00DA25A8" w:rsidRPr="001A214D">
        <w:rPr>
          <w:rFonts w:eastAsiaTheme="minorHAnsi"/>
        </w:rPr>
        <w:t>v</w:t>
      </w:r>
      <w:r w:rsidR="008F0375">
        <w:rPr>
          <w:rFonts w:eastAsiaTheme="minorHAnsi"/>
        </w:rPr>
        <w:t>e sbírce listin</w:t>
      </w:r>
      <w:r w:rsidR="00DD5584">
        <w:rPr>
          <w:rFonts w:eastAsiaTheme="minorHAnsi"/>
        </w:rPr>
        <w:t xml:space="preserve"> </w:t>
      </w:r>
      <w:r w:rsidR="00DA25A8" w:rsidRPr="001A214D">
        <w:rPr>
          <w:rFonts w:eastAsiaTheme="minorHAnsi"/>
        </w:rPr>
        <w:t>obchodn</w:t>
      </w:r>
      <w:r w:rsidR="008F0375">
        <w:rPr>
          <w:rFonts w:eastAsiaTheme="minorHAnsi"/>
        </w:rPr>
        <w:t>ího</w:t>
      </w:r>
      <w:r w:rsidR="00DA25A8" w:rsidRPr="001A214D">
        <w:rPr>
          <w:rFonts w:eastAsiaTheme="minorHAnsi"/>
        </w:rPr>
        <w:t xml:space="preserve"> rejstříku.</w:t>
      </w:r>
    </w:p>
    <w:p w14:paraId="5101CB22" w14:textId="6263ABD3" w:rsidR="002A1C92" w:rsidRDefault="00E617A1" w:rsidP="00883D9E">
      <w:pPr>
        <w:pStyle w:val="KZ-normln"/>
        <w:rPr>
          <w:rFonts w:eastAsiaTheme="minorHAnsi"/>
          <w:b/>
        </w:rPr>
      </w:pPr>
      <w:r>
        <w:rPr>
          <w:rFonts w:eastAsiaTheme="minorHAnsi"/>
          <w:bCs/>
        </w:rPr>
        <w:lastRenderedPageBreak/>
        <w:t>U s</w:t>
      </w:r>
      <w:r w:rsidR="00D75823" w:rsidRPr="00D75823">
        <w:rPr>
          <w:rFonts w:eastAsiaTheme="minorHAnsi"/>
          <w:bCs/>
        </w:rPr>
        <w:t>tátní</w:t>
      </w:r>
      <w:r>
        <w:rPr>
          <w:rFonts w:eastAsiaTheme="minorHAnsi"/>
          <w:bCs/>
        </w:rPr>
        <w:t>ho</w:t>
      </w:r>
      <w:r w:rsidR="00D75823" w:rsidRPr="00D75823">
        <w:rPr>
          <w:rFonts w:eastAsiaTheme="minorHAnsi"/>
          <w:bCs/>
        </w:rPr>
        <w:t xml:space="preserve"> podnik</w:t>
      </w:r>
      <w:r>
        <w:rPr>
          <w:rFonts w:eastAsiaTheme="minorHAnsi"/>
          <w:bCs/>
        </w:rPr>
        <w:t>u</w:t>
      </w:r>
      <w:r w:rsidR="00D75823" w:rsidRPr="00D75823">
        <w:rPr>
          <w:rFonts w:eastAsiaTheme="minorHAnsi"/>
          <w:bCs/>
        </w:rPr>
        <w:t xml:space="preserve"> </w:t>
      </w:r>
      <w:r w:rsidR="00D75823" w:rsidRPr="00D75823">
        <w:rPr>
          <w:rFonts w:eastAsiaTheme="minorHAnsi"/>
          <w:b/>
        </w:rPr>
        <w:t>Cihlářské a keramické závody Teplice, státní podnik v</w:t>
      </w:r>
      <w:r>
        <w:rPr>
          <w:rFonts w:eastAsiaTheme="minorHAnsi"/>
          <w:b/>
        </w:rPr>
        <w:t> </w:t>
      </w:r>
      <w:r w:rsidR="00D75823" w:rsidRPr="00D75823">
        <w:rPr>
          <w:rFonts w:eastAsiaTheme="minorHAnsi"/>
          <w:b/>
        </w:rPr>
        <w:t>likvidaci</w:t>
      </w:r>
      <w:r w:rsidR="00DD5584">
        <w:rPr>
          <w:rFonts w:eastAsiaTheme="minorHAnsi"/>
          <w:b/>
        </w:rPr>
        <w:t>,</w:t>
      </w:r>
      <w:r>
        <w:rPr>
          <w:rFonts w:eastAsiaTheme="minorHAnsi"/>
          <w:bCs/>
        </w:rPr>
        <w:t xml:space="preserve"> zjistil</w:t>
      </w:r>
      <w:r w:rsidR="00B01655" w:rsidRPr="00B01655">
        <w:rPr>
          <w:rFonts w:eastAsiaTheme="minorHAnsi"/>
          <w:bCs/>
        </w:rPr>
        <w:t xml:space="preserve"> </w:t>
      </w:r>
      <w:r w:rsidR="00B01655">
        <w:rPr>
          <w:rFonts w:eastAsiaTheme="minorHAnsi"/>
          <w:bCs/>
        </w:rPr>
        <w:t>NKÚ</w:t>
      </w:r>
      <w:r>
        <w:rPr>
          <w:rFonts w:eastAsiaTheme="minorHAnsi"/>
          <w:bCs/>
        </w:rPr>
        <w:t>, že</w:t>
      </w:r>
      <w:r w:rsidR="000966F9">
        <w:rPr>
          <w:rFonts w:eastAsiaTheme="minorHAnsi"/>
          <w:bCs/>
        </w:rPr>
        <w:t xml:space="preserve"> likvidátor</w:t>
      </w:r>
      <w:r w:rsidR="0074040C">
        <w:rPr>
          <w:rFonts w:eastAsiaTheme="minorHAnsi"/>
          <w:bCs/>
        </w:rPr>
        <w:t xml:space="preserve"> nepostupoval v souladu se zákonem č. 563/1991 Sb., neboť v letech 2020 až 2023 neinventarizoval závazky minimálně v hodnotě 1 558 tis. Kč. V případě nemovitého majetku nezjistil jeho hodnotu</w:t>
      </w:r>
      <w:r w:rsidR="000966F9">
        <w:rPr>
          <w:rFonts w:eastAsiaTheme="minorHAnsi"/>
          <w:bCs/>
        </w:rPr>
        <w:t>.</w:t>
      </w:r>
      <w:r>
        <w:rPr>
          <w:rFonts w:eastAsiaTheme="minorHAnsi"/>
          <w:bCs/>
        </w:rPr>
        <w:t xml:space="preserve"> </w:t>
      </w:r>
      <w:r w:rsidR="0074040C">
        <w:rPr>
          <w:rFonts w:eastAsiaTheme="minorHAnsi"/>
          <w:bCs/>
        </w:rPr>
        <w:t xml:space="preserve">Dále </w:t>
      </w:r>
      <w:r w:rsidR="000966F9">
        <w:rPr>
          <w:rFonts w:eastAsiaTheme="minorHAnsi"/>
          <w:bCs/>
        </w:rPr>
        <w:t>v rozporu se zákonem</w:t>
      </w:r>
      <w:r w:rsidR="001409C1">
        <w:rPr>
          <w:rFonts w:eastAsiaTheme="minorHAnsi"/>
          <w:bCs/>
        </w:rPr>
        <w:t xml:space="preserve"> </w:t>
      </w:r>
      <w:r w:rsidR="0074040C">
        <w:rPr>
          <w:rFonts w:eastAsiaTheme="minorHAnsi"/>
          <w:bCs/>
        </w:rPr>
        <w:t xml:space="preserve">č. 563/1991 Sb. </w:t>
      </w:r>
      <w:r w:rsidR="000966F9">
        <w:rPr>
          <w:rFonts w:eastAsiaTheme="minorHAnsi"/>
          <w:bCs/>
        </w:rPr>
        <w:t xml:space="preserve">sestavoval </w:t>
      </w:r>
      <w:r w:rsidR="000966F9" w:rsidRPr="00842A92">
        <w:rPr>
          <w:rFonts w:eastAsiaTheme="minorHAnsi"/>
          <w:bCs/>
        </w:rPr>
        <w:t xml:space="preserve">účetní závěrku pouze </w:t>
      </w:r>
      <w:r w:rsidR="000966F9" w:rsidRPr="00DA25A8">
        <w:rPr>
          <w:rFonts w:eastAsiaTheme="minorHAnsi"/>
          <w:bCs/>
        </w:rPr>
        <w:t>ve zkráceném rozsahu</w:t>
      </w:r>
      <w:r w:rsidR="000966F9" w:rsidRPr="00842A92">
        <w:rPr>
          <w:rFonts w:eastAsiaTheme="minorHAnsi"/>
          <w:bCs/>
        </w:rPr>
        <w:t xml:space="preserve"> a</w:t>
      </w:r>
      <w:r w:rsidR="00DE29C1">
        <w:rPr>
          <w:rFonts w:eastAsiaTheme="minorHAnsi"/>
          <w:bCs/>
        </w:rPr>
        <w:t> </w:t>
      </w:r>
      <w:r w:rsidR="000966F9" w:rsidRPr="00D75823">
        <w:rPr>
          <w:rFonts w:eastAsiaTheme="minorHAnsi"/>
          <w:bCs/>
        </w:rPr>
        <w:t>uváděl v</w:t>
      </w:r>
      <w:r w:rsidR="004B0618">
        <w:rPr>
          <w:rFonts w:eastAsiaTheme="minorHAnsi"/>
          <w:bCs/>
        </w:rPr>
        <w:t> </w:t>
      </w:r>
      <w:r w:rsidR="000966F9" w:rsidRPr="00D75823">
        <w:rPr>
          <w:rFonts w:eastAsiaTheme="minorHAnsi"/>
          <w:bCs/>
        </w:rPr>
        <w:t xml:space="preserve">účetních závěrkách nulové stavy </w:t>
      </w:r>
      <w:r w:rsidR="000966F9">
        <w:rPr>
          <w:rFonts w:eastAsiaTheme="minorHAnsi"/>
          <w:bCs/>
        </w:rPr>
        <w:t>všech položek</w:t>
      </w:r>
      <w:r w:rsidR="00BC4A5C">
        <w:rPr>
          <w:rFonts w:eastAsiaTheme="minorHAnsi"/>
          <w:bCs/>
        </w:rPr>
        <w:t>, což neodpovídalo skutečnému stavu</w:t>
      </w:r>
      <w:r w:rsidR="000966F9" w:rsidRPr="00D75823">
        <w:rPr>
          <w:rFonts w:eastAsiaTheme="minorHAnsi"/>
          <w:bCs/>
        </w:rPr>
        <w:t xml:space="preserve">. </w:t>
      </w:r>
      <w:r w:rsidR="000966F9">
        <w:rPr>
          <w:rFonts w:eastAsiaTheme="minorHAnsi"/>
          <w:bCs/>
        </w:rPr>
        <w:t>Likvidátor</w:t>
      </w:r>
      <w:r w:rsidR="000966F9" w:rsidRPr="00D75823">
        <w:rPr>
          <w:rFonts w:eastAsiaTheme="minorHAnsi"/>
          <w:bCs/>
        </w:rPr>
        <w:t xml:space="preserve"> </w:t>
      </w:r>
      <w:r w:rsidR="000966F9" w:rsidRPr="00842A92">
        <w:rPr>
          <w:rFonts w:eastAsiaTheme="minorHAnsi"/>
          <w:bCs/>
        </w:rPr>
        <w:t>nezajistil ověření účetní závěrky auditorem</w:t>
      </w:r>
      <w:r w:rsidR="000966F9">
        <w:rPr>
          <w:rFonts w:eastAsiaTheme="minorHAnsi"/>
          <w:bCs/>
        </w:rPr>
        <w:t xml:space="preserve"> a nepředložil auditované účetní závěrky ke schválení zakladateli</w:t>
      </w:r>
      <w:r w:rsidR="00D75823" w:rsidRPr="00D75823">
        <w:rPr>
          <w:rFonts w:eastAsiaTheme="minorHAnsi"/>
          <w:bCs/>
        </w:rPr>
        <w:t>. Účetní závěrk</w:t>
      </w:r>
      <w:r>
        <w:rPr>
          <w:rFonts w:eastAsiaTheme="minorHAnsi"/>
          <w:bCs/>
        </w:rPr>
        <w:t>y</w:t>
      </w:r>
      <w:r w:rsidR="000966F9">
        <w:rPr>
          <w:rFonts w:eastAsiaTheme="minorHAnsi"/>
          <w:bCs/>
        </w:rPr>
        <w:t xml:space="preserve"> </w:t>
      </w:r>
      <w:r w:rsidR="00BC4A5C">
        <w:rPr>
          <w:rFonts w:eastAsiaTheme="minorHAnsi"/>
          <w:bCs/>
        </w:rPr>
        <w:t>za</w:t>
      </w:r>
      <w:r w:rsidR="00BD70D9">
        <w:rPr>
          <w:rFonts w:eastAsiaTheme="minorHAnsi"/>
          <w:bCs/>
        </w:rPr>
        <w:t> </w:t>
      </w:r>
      <w:r w:rsidR="00BC4A5C">
        <w:rPr>
          <w:rFonts w:eastAsiaTheme="minorHAnsi"/>
          <w:bCs/>
        </w:rPr>
        <w:t xml:space="preserve">rok 2020 </w:t>
      </w:r>
      <w:r w:rsidR="00BC4A5C" w:rsidRPr="00A1547C">
        <w:rPr>
          <w:rFonts w:eastAsiaTheme="minorHAnsi"/>
          <w:bCs/>
        </w:rPr>
        <w:t xml:space="preserve">až 2022 </w:t>
      </w:r>
      <w:r w:rsidR="00D75823" w:rsidRPr="00A1547C">
        <w:rPr>
          <w:rFonts w:eastAsiaTheme="minorHAnsi"/>
          <w:bCs/>
        </w:rPr>
        <w:t>byly zveřejněny v</w:t>
      </w:r>
      <w:r w:rsidR="00BC4A5C" w:rsidRPr="00A1547C">
        <w:rPr>
          <w:rFonts w:eastAsiaTheme="minorHAnsi"/>
          <w:bCs/>
        </w:rPr>
        <w:t xml:space="preserve">e sbírce listin </w:t>
      </w:r>
      <w:r w:rsidR="000966F9" w:rsidRPr="00A1547C">
        <w:rPr>
          <w:rFonts w:eastAsiaTheme="minorHAnsi"/>
          <w:bCs/>
        </w:rPr>
        <w:t>o</w:t>
      </w:r>
      <w:r w:rsidR="00D75823" w:rsidRPr="00A1547C">
        <w:rPr>
          <w:rFonts w:eastAsiaTheme="minorHAnsi"/>
          <w:bCs/>
        </w:rPr>
        <w:t>bchodn</w:t>
      </w:r>
      <w:r w:rsidR="00BC4A5C" w:rsidRPr="00A1547C">
        <w:rPr>
          <w:rFonts w:eastAsiaTheme="minorHAnsi"/>
          <w:bCs/>
        </w:rPr>
        <w:t>ího</w:t>
      </w:r>
      <w:r w:rsidR="00D75823" w:rsidRPr="00A1547C">
        <w:rPr>
          <w:rFonts w:eastAsiaTheme="minorHAnsi"/>
          <w:bCs/>
        </w:rPr>
        <w:t xml:space="preserve"> rejstříku</w:t>
      </w:r>
      <w:r w:rsidR="000966F9" w:rsidRPr="00A1547C">
        <w:rPr>
          <w:rFonts w:eastAsiaTheme="minorHAnsi"/>
          <w:bCs/>
        </w:rPr>
        <w:t xml:space="preserve"> </w:t>
      </w:r>
      <w:r w:rsidR="00CE7EB7" w:rsidRPr="00A1547C">
        <w:rPr>
          <w:rFonts w:eastAsiaTheme="minorHAnsi"/>
          <w:bCs/>
        </w:rPr>
        <w:t>v rozporu se zákonem č.</w:t>
      </w:r>
      <w:r w:rsidR="00DD5584">
        <w:rPr>
          <w:rFonts w:eastAsiaTheme="minorHAnsi"/>
          <w:bCs/>
        </w:rPr>
        <w:t> </w:t>
      </w:r>
      <w:r w:rsidR="00CE7EB7" w:rsidRPr="00A1547C">
        <w:rPr>
          <w:rFonts w:eastAsiaTheme="minorHAnsi"/>
          <w:bCs/>
        </w:rPr>
        <w:t>563/1991</w:t>
      </w:r>
      <w:r w:rsidR="00DD5584">
        <w:rPr>
          <w:rFonts w:eastAsiaTheme="minorHAnsi"/>
          <w:bCs/>
        </w:rPr>
        <w:t> </w:t>
      </w:r>
      <w:r w:rsidR="00CE7EB7" w:rsidRPr="00A1547C">
        <w:rPr>
          <w:rFonts w:eastAsiaTheme="minorHAnsi"/>
          <w:bCs/>
        </w:rPr>
        <w:t>Sb.</w:t>
      </w:r>
      <w:r w:rsidR="00BC4A5C" w:rsidRPr="00A1547C">
        <w:rPr>
          <w:rFonts w:eastAsiaTheme="minorHAnsi"/>
          <w:bCs/>
        </w:rPr>
        <w:t xml:space="preserve"> až 2. září 2024 a za rok 2023 zveřejněna nebyla</w:t>
      </w:r>
      <w:r w:rsidR="00BC4A5C">
        <w:rPr>
          <w:rFonts w:eastAsiaTheme="minorHAnsi"/>
          <w:bCs/>
        </w:rPr>
        <w:t xml:space="preserve">. </w:t>
      </w:r>
    </w:p>
    <w:p w14:paraId="11775481" w14:textId="22F8CB91" w:rsidR="009F59BC" w:rsidRPr="00D460DB" w:rsidRDefault="00E617A1" w:rsidP="00883D9E">
      <w:pPr>
        <w:pStyle w:val="KZ-normln"/>
        <w:rPr>
          <w:rFonts w:cstheme="minorHAnsi"/>
          <w:bCs/>
        </w:rPr>
      </w:pPr>
      <w:r>
        <w:rPr>
          <w:rFonts w:eastAsiaTheme="minorHAnsi"/>
          <w:bCs/>
        </w:rPr>
        <w:t>U s</w:t>
      </w:r>
      <w:r w:rsidR="00D75823" w:rsidRPr="00D75823">
        <w:rPr>
          <w:rFonts w:eastAsiaTheme="minorHAnsi"/>
          <w:bCs/>
        </w:rPr>
        <w:t>tátní</w:t>
      </w:r>
      <w:r>
        <w:rPr>
          <w:rFonts w:eastAsiaTheme="minorHAnsi"/>
          <w:bCs/>
        </w:rPr>
        <w:t>ho</w:t>
      </w:r>
      <w:r w:rsidR="00D75823" w:rsidRPr="00D75823">
        <w:rPr>
          <w:rFonts w:eastAsiaTheme="minorHAnsi"/>
          <w:bCs/>
        </w:rPr>
        <w:t xml:space="preserve"> podnik</w:t>
      </w:r>
      <w:r w:rsidR="00B01655">
        <w:rPr>
          <w:rFonts w:eastAsiaTheme="minorHAnsi"/>
          <w:bCs/>
        </w:rPr>
        <w:t>u</w:t>
      </w:r>
      <w:r w:rsidR="00D75823" w:rsidRPr="00D75823">
        <w:rPr>
          <w:rFonts w:eastAsiaTheme="minorHAnsi"/>
          <w:bCs/>
        </w:rPr>
        <w:t xml:space="preserve"> </w:t>
      </w:r>
      <w:r w:rsidR="00D75823" w:rsidRPr="00D75823">
        <w:rPr>
          <w:rFonts w:eastAsiaTheme="minorHAnsi"/>
          <w:b/>
        </w:rPr>
        <w:t>Státní statek Česká Kamenice v</w:t>
      </w:r>
      <w:r>
        <w:rPr>
          <w:rFonts w:eastAsiaTheme="minorHAnsi"/>
          <w:b/>
        </w:rPr>
        <w:t> </w:t>
      </w:r>
      <w:r w:rsidR="00D75823" w:rsidRPr="00D75823">
        <w:rPr>
          <w:rFonts w:eastAsiaTheme="minorHAnsi"/>
          <w:b/>
        </w:rPr>
        <w:t>likvidaci</w:t>
      </w:r>
      <w:r>
        <w:rPr>
          <w:rFonts w:eastAsiaTheme="minorHAnsi"/>
          <w:b/>
        </w:rPr>
        <w:t xml:space="preserve"> </w:t>
      </w:r>
      <w:r w:rsidR="00D75823" w:rsidRPr="00D75823">
        <w:rPr>
          <w:rFonts w:eastAsiaTheme="minorHAnsi"/>
          <w:bCs/>
        </w:rPr>
        <w:t>zjistil</w:t>
      </w:r>
      <w:r w:rsidR="00B01655" w:rsidRPr="00B01655">
        <w:rPr>
          <w:rFonts w:eastAsiaTheme="minorHAnsi"/>
          <w:bCs/>
        </w:rPr>
        <w:t xml:space="preserve"> </w:t>
      </w:r>
      <w:r w:rsidR="00B01655" w:rsidRPr="00D75823">
        <w:rPr>
          <w:rFonts w:eastAsiaTheme="minorHAnsi"/>
          <w:bCs/>
        </w:rPr>
        <w:t>NKÚ</w:t>
      </w:r>
      <w:r w:rsidR="00D75823" w:rsidRPr="00D75823">
        <w:rPr>
          <w:rFonts w:eastAsiaTheme="minorHAnsi"/>
          <w:bCs/>
        </w:rPr>
        <w:t>, že</w:t>
      </w:r>
      <w:r w:rsidR="00AC3D54">
        <w:rPr>
          <w:rFonts w:eastAsiaTheme="minorHAnsi"/>
          <w:bCs/>
        </w:rPr>
        <w:t xml:space="preserve"> likvidátor v kontrolovaném období zajišťoval provedení inventarizace. Likvidátor v průběhu kontroly doložil účetní závěrky za roky 2020 až 2024. </w:t>
      </w:r>
      <w:r w:rsidR="00C9497B">
        <w:rPr>
          <w:rFonts w:eastAsiaTheme="minorHAnsi"/>
          <w:bCs/>
        </w:rPr>
        <w:t>Zajištění ověření účetní závěr</w:t>
      </w:r>
      <w:r w:rsidR="006578B8">
        <w:rPr>
          <w:rFonts w:eastAsiaTheme="minorHAnsi"/>
          <w:bCs/>
        </w:rPr>
        <w:t>ky</w:t>
      </w:r>
      <w:r w:rsidR="00C9497B">
        <w:rPr>
          <w:rFonts w:eastAsiaTheme="minorHAnsi"/>
          <w:bCs/>
        </w:rPr>
        <w:t xml:space="preserve"> </w:t>
      </w:r>
      <w:r w:rsidR="006578B8">
        <w:rPr>
          <w:rFonts w:eastAsiaTheme="minorHAnsi"/>
          <w:bCs/>
        </w:rPr>
        <w:t xml:space="preserve">auditorem </w:t>
      </w:r>
      <w:r w:rsidR="00C9497B">
        <w:rPr>
          <w:rFonts w:eastAsiaTheme="minorHAnsi"/>
          <w:bCs/>
        </w:rPr>
        <w:t xml:space="preserve">za rok 2020 bylo povinností bývalého likvidátora, který tuto </w:t>
      </w:r>
      <w:r w:rsidR="00C9497B" w:rsidRPr="009B2FB8">
        <w:rPr>
          <w:rFonts w:eastAsiaTheme="minorHAnsi"/>
          <w:bCs/>
        </w:rPr>
        <w:t xml:space="preserve">povinnost nesplnil. </w:t>
      </w:r>
      <w:r w:rsidR="006578B8" w:rsidRPr="009B2FB8">
        <w:rPr>
          <w:rFonts w:cstheme="minorHAnsi"/>
          <w:bCs/>
        </w:rPr>
        <w:t xml:space="preserve">K 19. listopadu 2021 byl státní podnik vymazán z obchodního rejstříku a tím zanikl. </w:t>
      </w:r>
      <w:r w:rsidR="00CE7EB7">
        <w:rPr>
          <w:rFonts w:cstheme="minorHAnsi"/>
          <w:bCs/>
        </w:rPr>
        <w:t>Ke dni 16.</w:t>
      </w:r>
      <w:r w:rsidR="00CA6C71">
        <w:rPr>
          <w:rFonts w:cstheme="minorHAnsi"/>
          <w:bCs/>
        </w:rPr>
        <w:t> </w:t>
      </w:r>
      <w:r w:rsidR="00CE7EB7">
        <w:rPr>
          <w:rFonts w:cstheme="minorHAnsi"/>
          <w:bCs/>
        </w:rPr>
        <w:t>července</w:t>
      </w:r>
      <w:r w:rsidR="00CA6C71">
        <w:rPr>
          <w:rFonts w:cstheme="minorHAnsi"/>
          <w:bCs/>
        </w:rPr>
        <w:t xml:space="preserve"> 2022</w:t>
      </w:r>
      <w:r w:rsidR="00CE7EB7">
        <w:rPr>
          <w:rFonts w:cstheme="minorHAnsi"/>
          <w:bCs/>
        </w:rPr>
        <w:t xml:space="preserve"> bylo pravomocně rozhodnuto</w:t>
      </w:r>
      <w:r w:rsidR="006578B8" w:rsidRPr="009B2FB8">
        <w:rPr>
          <w:rFonts w:cstheme="minorHAnsi"/>
          <w:bCs/>
        </w:rPr>
        <w:t xml:space="preserve"> o zrušení výmazu, obnovení likvidace a</w:t>
      </w:r>
      <w:r w:rsidR="00CA6C71">
        <w:rPr>
          <w:rFonts w:cstheme="minorHAnsi"/>
          <w:bCs/>
        </w:rPr>
        <w:t> </w:t>
      </w:r>
      <w:r w:rsidR="006578B8" w:rsidRPr="009B2FB8">
        <w:rPr>
          <w:rFonts w:cstheme="minorHAnsi"/>
          <w:bCs/>
        </w:rPr>
        <w:t xml:space="preserve">jmenování nového likvidátora. </w:t>
      </w:r>
      <w:r w:rsidR="00C9497B" w:rsidRPr="009B2FB8">
        <w:rPr>
          <w:rFonts w:eastAsiaTheme="minorHAnsi"/>
          <w:bCs/>
        </w:rPr>
        <w:t>Likvidátor</w:t>
      </w:r>
      <w:r w:rsidR="00C90A55">
        <w:rPr>
          <w:rFonts w:eastAsiaTheme="minorHAnsi"/>
          <w:bCs/>
        </w:rPr>
        <w:t xml:space="preserve"> </w:t>
      </w:r>
      <w:r w:rsidR="00C9497B" w:rsidRPr="009B2FB8">
        <w:rPr>
          <w:rFonts w:eastAsiaTheme="minorHAnsi"/>
          <w:bCs/>
        </w:rPr>
        <w:t xml:space="preserve">v době kontroly NKÚ měl povinnost zajistit sestavení účetní závěrky </w:t>
      </w:r>
      <w:r w:rsidR="00CE7EB7">
        <w:rPr>
          <w:rFonts w:eastAsiaTheme="minorHAnsi"/>
          <w:bCs/>
        </w:rPr>
        <w:t>za</w:t>
      </w:r>
      <w:r w:rsidR="00DD5584">
        <w:rPr>
          <w:rFonts w:eastAsiaTheme="minorHAnsi"/>
          <w:bCs/>
        </w:rPr>
        <w:t xml:space="preserve"> </w:t>
      </w:r>
      <w:r w:rsidR="00CE7EB7">
        <w:rPr>
          <w:rFonts w:eastAsiaTheme="minorHAnsi"/>
          <w:bCs/>
        </w:rPr>
        <w:t>rok</w:t>
      </w:r>
      <w:r w:rsidR="00C9497B" w:rsidRPr="009B2FB8">
        <w:rPr>
          <w:rFonts w:eastAsiaTheme="minorHAnsi"/>
          <w:bCs/>
        </w:rPr>
        <w:t xml:space="preserve"> 2022.</w:t>
      </w:r>
      <w:r w:rsidR="006578B8" w:rsidRPr="009B2FB8">
        <w:rPr>
          <w:rFonts w:eastAsiaTheme="minorHAnsi"/>
          <w:bCs/>
        </w:rPr>
        <w:t xml:space="preserve"> Za rok 2022 </w:t>
      </w:r>
      <w:r w:rsidR="005E0D21" w:rsidRPr="009B2FB8">
        <w:rPr>
          <w:rFonts w:eastAsiaTheme="minorHAnsi"/>
          <w:bCs/>
        </w:rPr>
        <w:t xml:space="preserve">likvidátor </w:t>
      </w:r>
      <w:r w:rsidR="006578B8" w:rsidRPr="009B2FB8">
        <w:rPr>
          <w:rFonts w:eastAsiaTheme="minorHAnsi"/>
          <w:bCs/>
        </w:rPr>
        <w:t xml:space="preserve">účetní závěrku sestavil, ale nezajistil její ověření auditorem. </w:t>
      </w:r>
      <w:r w:rsidR="006578B8" w:rsidRPr="009B2FB8">
        <w:rPr>
          <w:rFonts w:cstheme="minorHAnsi"/>
          <w:bCs/>
        </w:rPr>
        <w:t>U</w:t>
      </w:r>
      <w:r w:rsidR="00BD7D9B">
        <w:rPr>
          <w:rFonts w:cstheme="minorHAnsi"/>
          <w:bCs/>
        </w:rPr>
        <w:t> </w:t>
      </w:r>
      <w:r w:rsidR="006578B8" w:rsidRPr="009B2FB8">
        <w:rPr>
          <w:rFonts w:cstheme="minorHAnsi"/>
          <w:bCs/>
        </w:rPr>
        <w:t>účetní závěrky za rok 2023 již likvidátor zajistil její ověření auditorem, ale auditor k ní vydal výrok s výhradou. Ověření účetní závěrky za rok 2024 auditorem ještě neměl likvidátor v době ukončení kontroly k dispozic</w:t>
      </w:r>
      <w:r w:rsidR="00B47118" w:rsidRPr="009B2FB8">
        <w:rPr>
          <w:rFonts w:cstheme="minorHAnsi"/>
          <w:bCs/>
        </w:rPr>
        <w:t>i</w:t>
      </w:r>
      <w:r w:rsidR="006578B8" w:rsidRPr="009B2FB8">
        <w:rPr>
          <w:rFonts w:cstheme="minorHAnsi"/>
          <w:bCs/>
        </w:rPr>
        <w:t xml:space="preserve">. </w:t>
      </w:r>
      <w:r w:rsidR="00C9497B" w:rsidRPr="009B2FB8">
        <w:rPr>
          <w:rFonts w:eastAsiaTheme="minorHAnsi"/>
          <w:bCs/>
        </w:rPr>
        <w:t>V</w:t>
      </w:r>
      <w:r w:rsidR="008F0375">
        <w:rPr>
          <w:rFonts w:eastAsiaTheme="minorHAnsi"/>
          <w:bCs/>
        </w:rPr>
        <w:t> době kontroly byly ve sbírce listin</w:t>
      </w:r>
      <w:r w:rsidR="007F38B0">
        <w:rPr>
          <w:rFonts w:eastAsiaTheme="minorHAnsi"/>
          <w:bCs/>
        </w:rPr>
        <w:t xml:space="preserve"> </w:t>
      </w:r>
      <w:r w:rsidR="00B01655" w:rsidRPr="009B2FB8">
        <w:rPr>
          <w:rFonts w:eastAsiaTheme="minorHAnsi"/>
          <w:bCs/>
        </w:rPr>
        <w:t>obchodní</w:t>
      </w:r>
      <w:r w:rsidR="008F0375">
        <w:rPr>
          <w:rFonts w:eastAsiaTheme="minorHAnsi"/>
          <w:bCs/>
        </w:rPr>
        <w:t xml:space="preserve">ho </w:t>
      </w:r>
      <w:r w:rsidR="00D75823" w:rsidRPr="009B2FB8">
        <w:rPr>
          <w:rFonts w:eastAsiaTheme="minorHAnsi"/>
          <w:bCs/>
        </w:rPr>
        <w:t>rejstříku u</w:t>
      </w:r>
      <w:r w:rsidR="00BD7D9B">
        <w:rPr>
          <w:rFonts w:eastAsiaTheme="minorHAnsi"/>
          <w:bCs/>
        </w:rPr>
        <w:t> </w:t>
      </w:r>
      <w:r w:rsidR="00D75823" w:rsidRPr="009B2FB8">
        <w:rPr>
          <w:rFonts w:eastAsiaTheme="minorHAnsi"/>
          <w:bCs/>
        </w:rPr>
        <w:t>státního podniku zveřejněny účetní závěrky za roky 2022 a 2023</w:t>
      </w:r>
      <w:r w:rsidR="00AF5DEE" w:rsidRPr="009B2FB8">
        <w:rPr>
          <w:rFonts w:eastAsiaTheme="minorHAnsi"/>
          <w:bCs/>
        </w:rPr>
        <w:t>.</w:t>
      </w:r>
      <w:r w:rsidR="000776E9" w:rsidRPr="009B2FB8">
        <w:rPr>
          <w:rFonts w:eastAsiaTheme="minorHAnsi"/>
          <w:bCs/>
        </w:rPr>
        <w:t xml:space="preserve"> Účetní závěrky za roky 2020 a 2021 zveřejněny nebyly.</w:t>
      </w:r>
      <w:r w:rsidR="00AF5DEE" w:rsidRPr="009B2FB8">
        <w:rPr>
          <w:rFonts w:eastAsiaTheme="minorHAnsi"/>
          <w:bCs/>
        </w:rPr>
        <w:t xml:space="preserve"> Likvidátor v průběhu kontroly NKÚ </w:t>
      </w:r>
      <w:r w:rsidR="000776E9" w:rsidRPr="009B2FB8">
        <w:rPr>
          <w:rFonts w:eastAsiaTheme="minorHAnsi"/>
          <w:bCs/>
        </w:rPr>
        <w:t xml:space="preserve">reagoval na zjištění NKÚ a </w:t>
      </w:r>
      <w:r w:rsidR="00AF5DEE" w:rsidRPr="009B2FB8">
        <w:rPr>
          <w:rFonts w:eastAsiaTheme="minorHAnsi"/>
          <w:bCs/>
        </w:rPr>
        <w:t xml:space="preserve">doložil doklad o </w:t>
      </w:r>
      <w:r w:rsidR="000776E9" w:rsidRPr="009B2FB8">
        <w:rPr>
          <w:rFonts w:eastAsiaTheme="minorHAnsi"/>
          <w:bCs/>
        </w:rPr>
        <w:t xml:space="preserve">dodatečném </w:t>
      </w:r>
      <w:r w:rsidR="00AF5DEE" w:rsidRPr="009B2FB8">
        <w:rPr>
          <w:rFonts w:eastAsiaTheme="minorHAnsi"/>
          <w:bCs/>
        </w:rPr>
        <w:t xml:space="preserve">zaslání účetních závěrek za roky 2020 a 2021 do sbírky listin. </w:t>
      </w:r>
      <w:r w:rsidR="00D75823" w:rsidRPr="009B2FB8">
        <w:rPr>
          <w:rFonts w:eastAsiaTheme="minorHAnsi"/>
          <w:bCs/>
        </w:rPr>
        <w:t>U</w:t>
      </w:r>
      <w:r w:rsidR="00C9497B" w:rsidRPr="009B2FB8">
        <w:rPr>
          <w:rFonts w:eastAsiaTheme="minorHAnsi"/>
          <w:bCs/>
        </w:rPr>
        <w:t> </w:t>
      </w:r>
      <w:r w:rsidR="00D75823" w:rsidRPr="009B2FB8">
        <w:rPr>
          <w:rFonts w:eastAsiaTheme="minorHAnsi"/>
          <w:bCs/>
        </w:rPr>
        <w:t>žádné zveřejněné účetní závěrky ale nebyla zveřejněna zpráva auditora o</w:t>
      </w:r>
      <w:r w:rsidR="00617E01" w:rsidRPr="009B2FB8">
        <w:rPr>
          <w:rFonts w:eastAsiaTheme="minorHAnsi"/>
          <w:bCs/>
        </w:rPr>
        <w:t> </w:t>
      </w:r>
      <w:r w:rsidR="00D75823" w:rsidRPr="009B2FB8">
        <w:rPr>
          <w:rFonts w:eastAsiaTheme="minorHAnsi"/>
          <w:bCs/>
        </w:rPr>
        <w:t>ověření účetní závěrky.</w:t>
      </w:r>
      <w:r w:rsidR="00D460DB">
        <w:rPr>
          <w:rFonts w:eastAsiaTheme="minorHAnsi"/>
          <w:bCs/>
        </w:rPr>
        <w:t xml:space="preserve"> </w:t>
      </w:r>
      <w:r w:rsidR="00D460DB" w:rsidRPr="009B2FB8">
        <w:rPr>
          <w:rFonts w:cstheme="minorHAnsi"/>
          <w:bCs/>
        </w:rPr>
        <w:t>Likvidátor</w:t>
      </w:r>
      <w:r w:rsidR="00D460DB">
        <w:rPr>
          <w:rFonts w:cstheme="minorHAnsi"/>
          <w:bCs/>
        </w:rPr>
        <w:t xml:space="preserve"> nepředložil zakladateli ke schválení účetní závěrku</w:t>
      </w:r>
      <w:r w:rsidR="00ED0881">
        <w:rPr>
          <w:rFonts w:cstheme="minorHAnsi"/>
          <w:bCs/>
        </w:rPr>
        <w:t xml:space="preserve"> ověřenou auditorem</w:t>
      </w:r>
      <w:r w:rsidR="00D460DB">
        <w:rPr>
          <w:rFonts w:cstheme="minorHAnsi"/>
          <w:bCs/>
        </w:rPr>
        <w:t xml:space="preserve"> za rok 2020 až 2022 a</w:t>
      </w:r>
      <w:r w:rsidR="00D460DB" w:rsidRPr="009B2FB8">
        <w:rPr>
          <w:rFonts w:cstheme="minorHAnsi"/>
          <w:bCs/>
        </w:rPr>
        <w:t xml:space="preserve"> předložil a </w:t>
      </w:r>
      <w:proofErr w:type="spellStart"/>
      <w:r w:rsidR="00D460DB" w:rsidRPr="009B2FB8">
        <w:rPr>
          <w:rFonts w:cstheme="minorHAnsi"/>
          <w:bCs/>
        </w:rPr>
        <w:t>MZe</w:t>
      </w:r>
      <w:proofErr w:type="spellEnd"/>
      <w:r w:rsidR="00D460DB" w:rsidRPr="009B2FB8">
        <w:rPr>
          <w:rFonts w:cstheme="minorHAnsi"/>
          <w:bCs/>
        </w:rPr>
        <w:t xml:space="preserve"> schválilo až účetní závěrku </w:t>
      </w:r>
      <w:r w:rsidR="00ED0881">
        <w:rPr>
          <w:rFonts w:cstheme="minorHAnsi"/>
          <w:bCs/>
        </w:rPr>
        <w:t xml:space="preserve">ověřenou auditorem </w:t>
      </w:r>
      <w:r w:rsidR="00D460DB" w:rsidRPr="009B2FB8">
        <w:rPr>
          <w:rFonts w:cstheme="minorHAnsi"/>
          <w:bCs/>
        </w:rPr>
        <w:t xml:space="preserve">za rok 2023. </w:t>
      </w:r>
    </w:p>
    <w:p w14:paraId="3EC60795" w14:textId="2DA0C729" w:rsidR="00AD1746" w:rsidRPr="00AD1746" w:rsidRDefault="00427DD1" w:rsidP="00F70FC4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rPr>
          <w:b/>
          <w:bCs/>
        </w:rPr>
      </w:pPr>
      <w:r w:rsidRPr="005022EA">
        <w:rPr>
          <w:b/>
          <w:bCs/>
        </w:rPr>
        <w:t>Barvy a laky, státní podnik "v likvidaci"</w:t>
      </w:r>
      <w:r w:rsidR="007F38B0">
        <w:rPr>
          <w:b/>
          <w:bCs/>
        </w:rPr>
        <w:t>,</w:t>
      </w:r>
      <w:r w:rsidRPr="005022EA">
        <w:rPr>
          <w:b/>
          <w:bCs/>
        </w:rPr>
        <w:t xml:space="preserve"> a </w:t>
      </w:r>
      <w:r w:rsidR="00D735DD" w:rsidRPr="006D5D90">
        <w:rPr>
          <w:rFonts w:asciiTheme="minorHAnsi" w:hAnsiTheme="minorHAnsi" w:cstheme="minorHAnsi"/>
          <w:b/>
          <w:bCs/>
        </w:rPr>
        <w:t>Cihlářské a keramické závody Teplice, státní podnik v likvidaci</w:t>
      </w:r>
      <w:r w:rsidR="007F38B0">
        <w:rPr>
          <w:rFonts w:asciiTheme="minorHAnsi" w:hAnsiTheme="minorHAnsi" w:cstheme="minorHAnsi"/>
          <w:b/>
          <w:bCs/>
        </w:rPr>
        <w:t>,</w:t>
      </w:r>
      <w:r w:rsidR="00D735DD" w:rsidRPr="005022EA">
        <w:rPr>
          <w:b/>
          <w:bCs/>
        </w:rPr>
        <w:t xml:space="preserve"> </w:t>
      </w:r>
      <w:r w:rsidRPr="005022EA">
        <w:rPr>
          <w:b/>
          <w:bCs/>
        </w:rPr>
        <w:t xml:space="preserve">porušily </w:t>
      </w:r>
      <w:r w:rsidR="00D460DB">
        <w:rPr>
          <w:b/>
          <w:bCs/>
        </w:rPr>
        <w:t xml:space="preserve">ustanovení </w:t>
      </w:r>
      <w:r w:rsidR="00BB4814">
        <w:rPr>
          <w:b/>
          <w:bCs/>
        </w:rPr>
        <w:t>§ 6</w:t>
      </w:r>
      <w:r w:rsidR="00BD7D9B">
        <w:rPr>
          <w:b/>
          <w:bCs/>
        </w:rPr>
        <w:t xml:space="preserve"> odst. 1 a 3</w:t>
      </w:r>
      <w:r w:rsidR="00BB4814">
        <w:rPr>
          <w:b/>
          <w:bCs/>
        </w:rPr>
        <w:t>, § 18</w:t>
      </w:r>
      <w:r w:rsidR="00BD7D9B">
        <w:rPr>
          <w:b/>
          <w:bCs/>
        </w:rPr>
        <w:t xml:space="preserve"> odst. 4</w:t>
      </w:r>
      <w:r w:rsidR="00AE0B85">
        <w:rPr>
          <w:b/>
          <w:bCs/>
        </w:rPr>
        <w:t xml:space="preserve"> </w:t>
      </w:r>
      <w:r w:rsidR="00BB4814">
        <w:rPr>
          <w:b/>
          <w:bCs/>
        </w:rPr>
        <w:t>a § 20</w:t>
      </w:r>
      <w:r w:rsidR="00BD7D9B">
        <w:rPr>
          <w:b/>
          <w:bCs/>
        </w:rPr>
        <w:t xml:space="preserve"> odst. 1</w:t>
      </w:r>
      <w:r w:rsidR="00AE0B85">
        <w:rPr>
          <w:b/>
          <w:bCs/>
        </w:rPr>
        <w:t xml:space="preserve"> </w:t>
      </w:r>
      <w:r w:rsidRPr="005022EA">
        <w:rPr>
          <w:b/>
          <w:bCs/>
        </w:rPr>
        <w:t>zákon</w:t>
      </w:r>
      <w:r w:rsidR="00BB4814">
        <w:rPr>
          <w:b/>
          <w:bCs/>
        </w:rPr>
        <w:t>a</w:t>
      </w:r>
      <w:r w:rsidRPr="005022EA">
        <w:rPr>
          <w:b/>
          <w:bCs/>
        </w:rPr>
        <w:t xml:space="preserve"> č.</w:t>
      </w:r>
      <w:r w:rsidR="007F38B0">
        <w:rPr>
          <w:b/>
          <w:bCs/>
        </w:rPr>
        <w:t> </w:t>
      </w:r>
      <w:r w:rsidRPr="005022EA">
        <w:rPr>
          <w:b/>
          <w:bCs/>
        </w:rPr>
        <w:t>563/1991 Sb.</w:t>
      </w:r>
      <w:r w:rsidR="00442BE5">
        <w:rPr>
          <w:b/>
          <w:bCs/>
        </w:rPr>
        <w:t xml:space="preserve"> </w:t>
      </w:r>
      <w:r w:rsidRPr="005022EA">
        <w:rPr>
          <w:b/>
          <w:bCs/>
        </w:rPr>
        <w:t>tím, že</w:t>
      </w:r>
      <w:r w:rsidR="007F38B0">
        <w:rPr>
          <w:b/>
          <w:bCs/>
        </w:rPr>
        <w:t xml:space="preserve"> </w:t>
      </w:r>
      <w:r w:rsidRPr="005022EA">
        <w:rPr>
          <w:b/>
          <w:bCs/>
        </w:rPr>
        <w:t xml:space="preserve">nevedly </w:t>
      </w:r>
      <w:r w:rsidR="002C61CA">
        <w:rPr>
          <w:b/>
          <w:bCs/>
        </w:rPr>
        <w:t xml:space="preserve">řádně </w:t>
      </w:r>
      <w:r w:rsidRPr="005022EA">
        <w:rPr>
          <w:b/>
          <w:bCs/>
        </w:rPr>
        <w:t>účetnictví</w:t>
      </w:r>
      <w:r w:rsidR="006A0A9D">
        <w:rPr>
          <w:b/>
          <w:bCs/>
        </w:rPr>
        <w:t xml:space="preserve">, </w:t>
      </w:r>
      <w:r w:rsidRPr="005022EA">
        <w:rPr>
          <w:b/>
          <w:bCs/>
        </w:rPr>
        <w:t>neprováděl</w:t>
      </w:r>
      <w:r w:rsidR="003B493D" w:rsidRPr="005022EA">
        <w:rPr>
          <w:b/>
          <w:bCs/>
        </w:rPr>
        <w:t>y</w:t>
      </w:r>
      <w:r w:rsidRPr="005022EA">
        <w:rPr>
          <w:b/>
          <w:bCs/>
        </w:rPr>
        <w:t xml:space="preserve"> inventarizaci</w:t>
      </w:r>
      <w:r w:rsidR="006A0A9D">
        <w:rPr>
          <w:b/>
          <w:bCs/>
        </w:rPr>
        <w:t xml:space="preserve"> a nesestavovaly roční účetní závěrku v plném rozsahu</w:t>
      </w:r>
      <w:r w:rsidR="003B493D" w:rsidRPr="005022EA">
        <w:rPr>
          <w:b/>
          <w:bCs/>
        </w:rPr>
        <w:t>.</w:t>
      </w:r>
      <w:r w:rsidR="00F063D3">
        <w:rPr>
          <w:b/>
          <w:bCs/>
        </w:rPr>
        <w:t xml:space="preserve"> </w:t>
      </w:r>
      <w:r w:rsidR="00AD1746" w:rsidRPr="005022EA" w:rsidDel="004320C0">
        <w:rPr>
          <w:b/>
          <w:bCs/>
        </w:rPr>
        <w:t xml:space="preserve">Barvy a laky, státní podnik </w:t>
      </w:r>
      <w:r w:rsidR="00AD1746" w:rsidRPr="005022EA">
        <w:rPr>
          <w:b/>
          <w:bCs/>
        </w:rPr>
        <w:t>"</w:t>
      </w:r>
      <w:r w:rsidR="00AD1746" w:rsidRPr="005022EA" w:rsidDel="004320C0">
        <w:rPr>
          <w:b/>
          <w:bCs/>
        </w:rPr>
        <w:t>v</w:t>
      </w:r>
      <w:r w:rsidR="00BB4814" w:rsidDel="004320C0">
        <w:rPr>
          <w:b/>
          <w:bCs/>
        </w:rPr>
        <w:t> </w:t>
      </w:r>
      <w:r w:rsidR="00AD1746" w:rsidRPr="005022EA" w:rsidDel="004320C0">
        <w:rPr>
          <w:b/>
          <w:bCs/>
        </w:rPr>
        <w:t>likvidaci</w:t>
      </w:r>
      <w:r w:rsidR="00AD1746" w:rsidRPr="005022EA">
        <w:rPr>
          <w:b/>
          <w:bCs/>
        </w:rPr>
        <w:t>"</w:t>
      </w:r>
      <w:r w:rsidR="00AD1746">
        <w:rPr>
          <w:b/>
          <w:bCs/>
        </w:rPr>
        <w:t>,</w:t>
      </w:r>
      <w:r w:rsidR="00AD1746" w:rsidDel="004320C0">
        <w:rPr>
          <w:b/>
          <w:bCs/>
        </w:rPr>
        <w:t xml:space="preserve"> </w:t>
      </w:r>
      <w:r w:rsidR="00AD1746" w:rsidRPr="00AD1746" w:rsidDel="004320C0">
        <w:rPr>
          <w:b/>
          <w:bCs/>
        </w:rPr>
        <w:t>Cihlářské a</w:t>
      </w:r>
      <w:r w:rsidR="00367391" w:rsidDel="004320C0">
        <w:rPr>
          <w:b/>
          <w:bCs/>
        </w:rPr>
        <w:t> </w:t>
      </w:r>
      <w:r w:rsidR="00AD1746" w:rsidRPr="00AD1746" w:rsidDel="004320C0">
        <w:rPr>
          <w:b/>
          <w:bCs/>
        </w:rPr>
        <w:t>keramické závody Teplice, státní podnik v</w:t>
      </w:r>
      <w:r w:rsidR="007F38B0">
        <w:rPr>
          <w:b/>
          <w:bCs/>
        </w:rPr>
        <w:t> </w:t>
      </w:r>
      <w:r w:rsidR="00AD1746" w:rsidRPr="00AD1746" w:rsidDel="004320C0">
        <w:rPr>
          <w:b/>
          <w:bCs/>
        </w:rPr>
        <w:t>likvidaci</w:t>
      </w:r>
      <w:r w:rsidR="007F38B0">
        <w:rPr>
          <w:b/>
          <w:bCs/>
        </w:rPr>
        <w:t>,</w:t>
      </w:r>
      <w:r w:rsidR="00AD1746" w:rsidRPr="00AD1746" w:rsidDel="004320C0">
        <w:rPr>
          <w:b/>
          <w:bCs/>
        </w:rPr>
        <w:t xml:space="preserve"> a Státní statek Česká Kamenice v</w:t>
      </w:r>
      <w:r w:rsidR="00AD1746" w:rsidDel="004320C0">
        <w:rPr>
          <w:b/>
          <w:bCs/>
        </w:rPr>
        <w:t> </w:t>
      </w:r>
      <w:r w:rsidR="00AD1746" w:rsidRPr="00AD1746" w:rsidDel="004320C0">
        <w:rPr>
          <w:b/>
          <w:bCs/>
        </w:rPr>
        <w:t>likvidaci</w:t>
      </w:r>
      <w:r w:rsidR="00AD1746" w:rsidDel="004320C0">
        <w:rPr>
          <w:b/>
          <w:bCs/>
        </w:rPr>
        <w:t xml:space="preserve"> porušil</w:t>
      </w:r>
      <w:r w:rsidR="00BB4814" w:rsidDel="004320C0">
        <w:rPr>
          <w:b/>
          <w:bCs/>
        </w:rPr>
        <w:t>y</w:t>
      </w:r>
      <w:r w:rsidR="00AD1746" w:rsidDel="004320C0">
        <w:rPr>
          <w:b/>
          <w:bCs/>
        </w:rPr>
        <w:t xml:space="preserve"> </w:t>
      </w:r>
      <w:r w:rsidR="00D460DB" w:rsidDel="004320C0">
        <w:rPr>
          <w:b/>
          <w:bCs/>
        </w:rPr>
        <w:t xml:space="preserve">ustanovení </w:t>
      </w:r>
      <w:r w:rsidR="00BB4814" w:rsidDel="004320C0">
        <w:rPr>
          <w:b/>
          <w:bCs/>
        </w:rPr>
        <w:t>§ 17b</w:t>
      </w:r>
      <w:r w:rsidR="00BD7D9B">
        <w:rPr>
          <w:b/>
          <w:bCs/>
        </w:rPr>
        <w:t xml:space="preserve"> odst. 5</w:t>
      </w:r>
      <w:r w:rsidR="00AE0B85">
        <w:rPr>
          <w:b/>
          <w:bCs/>
        </w:rPr>
        <w:t xml:space="preserve"> </w:t>
      </w:r>
      <w:r w:rsidR="00AD1746" w:rsidDel="004320C0">
        <w:rPr>
          <w:b/>
          <w:bCs/>
        </w:rPr>
        <w:t>zákon</w:t>
      </w:r>
      <w:r w:rsidR="00BB4814" w:rsidDel="004320C0">
        <w:rPr>
          <w:b/>
          <w:bCs/>
        </w:rPr>
        <w:t>a</w:t>
      </w:r>
      <w:r w:rsidR="00AD1746" w:rsidDel="004320C0">
        <w:rPr>
          <w:b/>
          <w:bCs/>
        </w:rPr>
        <w:t xml:space="preserve"> č. 77/1997 Sb</w:t>
      </w:r>
      <w:r w:rsidR="00D6542A" w:rsidDel="004320C0">
        <w:rPr>
          <w:b/>
          <w:bCs/>
        </w:rPr>
        <w:t>.</w:t>
      </w:r>
      <w:r w:rsidR="00AA59F3" w:rsidDel="004320C0">
        <w:rPr>
          <w:b/>
          <w:bCs/>
        </w:rPr>
        <w:t xml:space="preserve"> </w:t>
      </w:r>
      <w:r w:rsidR="00D6542A" w:rsidDel="004320C0">
        <w:rPr>
          <w:b/>
          <w:bCs/>
        </w:rPr>
        <w:t>příp.</w:t>
      </w:r>
      <w:r w:rsidR="00AD1746" w:rsidDel="004320C0">
        <w:rPr>
          <w:b/>
          <w:bCs/>
        </w:rPr>
        <w:t xml:space="preserve"> </w:t>
      </w:r>
      <w:r w:rsidR="00BB4814" w:rsidDel="004320C0">
        <w:rPr>
          <w:b/>
          <w:bCs/>
        </w:rPr>
        <w:t>§ 9</w:t>
      </w:r>
      <w:r w:rsidR="00BD7D9B">
        <w:rPr>
          <w:b/>
          <w:bCs/>
        </w:rPr>
        <w:t xml:space="preserve"> odst. 4 a 5</w:t>
      </w:r>
      <w:r w:rsidR="00AE0B85">
        <w:rPr>
          <w:b/>
          <w:bCs/>
        </w:rPr>
        <w:t xml:space="preserve"> </w:t>
      </w:r>
      <w:r w:rsidR="00AA59F3" w:rsidDel="004320C0">
        <w:rPr>
          <w:b/>
          <w:bCs/>
        </w:rPr>
        <w:t>zákon</w:t>
      </w:r>
      <w:r w:rsidR="00BB4814" w:rsidDel="004320C0">
        <w:rPr>
          <w:b/>
          <w:bCs/>
        </w:rPr>
        <w:t>a</w:t>
      </w:r>
      <w:r w:rsidR="00AA59F3" w:rsidDel="004320C0">
        <w:rPr>
          <w:b/>
          <w:bCs/>
        </w:rPr>
        <w:t xml:space="preserve"> č.</w:t>
      </w:r>
      <w:r w:rsidR="00BB4814" w:rsidDel="004320C0">
        <w:rPr>
          <w:b/>
          <w:bCs/>
        </w:rPr>
        <w:t> </w:t>
      </w:r>
      <w:r w:rsidR="00AD1746" w:rsidDel="004320C0">
        <w:rPr>
          <w:b/>
          <w:bCs/>
        </w:rPr>
        <w:t>111/199</w:t>
      </w:r>
      <w:r w:rsidR="00F64309" w:rsidDel="004320C0">
        <w:rPr>
          <w:b/>
          <w:bCs/>
        </w:rPr>
        <w:t>0</w:t>
      </w:r>
      <w:r w:rsidR="00AD1746" w:rsidDel="004320C0">
        <w:rPr>
          <w:b/>
          <w:bCs/>
        </w:rPr>
        <w:t xml:space="preserve"> Sb.</w:t>
      </w:r>
      <w:r w:rsidR="00D6542A" w:rsidDel="004320C0">
        <w:rPr>
          <w:b/>
          <w:bCs/>
        </w:rPr>
        <w:t xml:space="preserve"> </w:t>
      </w:r>
      <w:r w:rsidR="00AD1746" w:rsidDel="004320C0">
        <w:rPr>
          <w:b/>
          <w:bCs/>
        </w:rPr>
        <w:t>tím, že</w:t>
      </w:r>
      <w:r w:rsidR="00367391" w:rsidDel="004320C0">
        <w:rPr>
          <w:b/>
          <w:bCs/>
        </w:rPr>
        <w:t> </w:t>
      </w:r>
      <w:r w:rsidR="006578B8" w:rsidDel="004320C0">
        <w:rPr>
          <w:b/>
          <w:bCs/>
        </w:rPr>
        <w:t>nezajistili ověření účetní závěrky</w:t>
      </w:r>
      <w:r w:rsidR="00AD1746" w:rsidDel="004320C0">
        <w:rPr>
          <w:b/>
          <w:bCs/>
        </w:rPr>
        <w:t xml:space="preserve"> auditorem a</w:t>
      </w:r>
      <w:r w:rsidR="004A5E97" w:rsidDel="004320C0">
        <w:rPr>
          <w:b/>
          <w:bCs/>
        </w:rPr>
        <w:t> </w:t>
      </w:r>
      <w:r w:rsidR="00AD1746" w:rsidDel="004320C0">
        <w:rPr>
          <w:b/>
          <w:bCs/>
        </w:rPr>
        <w:t xml:space="preserve">nepředložily </w:t>
      </w:r>
      <w:r w:rsidR="00943756" w:rsidDel="004320C0">
        <w:rPr>
          <w:b/>
          <w:bCs/>
        </w:rPr>
        <w:t>tyto auditované účetní závěrky</w:t>
      </w:r>
      <w:r w:rsidR="005F5D89" w:rsidDel="004320C0">
        <w:rPr>
          <w:b/>
          <w:bCs/>
        </w:rPr>
        <w:t xml:space="preserve"> ke schválení</w:t>
      </w:r>
      <w:r w:rsidR="00AD1746" w:rsidDel="004320C0">
        <w:rPr>
          <w:b/>
          <w:bCs/>
        </w:rPr>
        <w:t xml:space="preserve"> zakladateli. Současně tyto tři státní podniky v likvidaci porušily</w:t>
      </w:r>
      <w:r w:rsidR="00D460DB" w:rsidDel="004320C0">
        <w:rPr>
          <w:b/>
          <w:bCs/>
        </w:rPr>
        <w:t xml:space="preserve"> ustanovení</w:t>
      </w:r>
      <w:r w:rsidR="00BB4814" w:rsidDel="004320C0">
        <w:rPr>
          <w:b/>
          <w:bCs/>
        </w:rPr>
        <w:t xml:space="preserve"> § 21a</w:t>
      </w:r>
      <w:r w:rsidR="00AD1746" w:rsidDel="004320C0">
        <w:rPr>
          <w:b/>
          <w:bCs/>
        </w:rPr>
        <w:t xml:space="preserve"> zákon</w:t>
      </w:r>
      <w:r w:rsidR="00BB4814" w:rsidDel="004320C0">
        <w:rPr>
          <w:b/>
          <w:bCs/>
        </w:rPr>
        <w:t>a</w:t>
      </w:r>
      <w:r w:rsidR="00AD1746" w:rsidDel="004320C0">
        <w:rPr>
          <w:b/>
          <w:bCs/>
        </w:rPr>
        <w:t xml:space="preserve"> č. </w:t>
      </w:r>
      <w:r w:rsidR="00AD1746" w:rsidRPr="00AD1746" w:rsidDel="004320C0">
        <w:rPr>
          <w:b/>
          <w:bCs/>
        </w:rPr>
        <w:t>563/1991 Sb</w:t>
      </w:r>
      <w:r w:rsidR="00442BE5" w:rsidDel="004320C0">
        <w:rPr>
          <w:b/>
          <w:bCs/>
        </w:rPr>
        <w:t>.</w:t>
      </w:r>
      <w:r w:rsidR="00DC4F6A" w:rsidDel="004320C0">
        <w:rPr>
          <w:b/>
          <w:bCs/>
        </w:rPr>
        <w:t>,</w:t>
      </w:r>
      <w:r w:rsidR="00AD1746" w:rsidDel="004320C0">
        <w:rPr>
          <w:b/>
          <w:bCs/>
        </w:rPr>
        <w:t xml:space="preserve"> protože </w:t>
      </w:r>
      <w:r w:rsidR="00D460DB" w:rsidDel="004320C0">
        <w:rPr>
          <w:b/>
          <w:bCs/>
        </w:rPr>
        <w:t>ve sbírce listin obchodního rejstříku</w:t>
      </w:r>
      <w:r w:rsidR="0053124B" w:rsidDel="004320C0">
        <w:rPr>
          <w:b/>
          <w:bCs/>
        </w:rPr>
        <w:t xml:space="preserve"> nezveřejnily </w:t>
      </w:r>
      <w:r w:rsidR="00AD1746" w:rsidDel="004320C0">
        <w:rPr>
          <w:b/>
          <w:bCs/>
        </w:rPr>
        <w:t>účetní závěrky</w:t>
      </w:r>
      <w:r w:rsidR="00AC3D54" w:rsidDel="004320C0">
        <w:rPr>
          <w:b/>
          <w:bCs/>
        </w:rPr>
        <w:t xml:space="preserve"> </w:t>
      </w:r>
      <w:r w:rsidR="00D55FCD" w:rsidDel="004320C0">
        <w:rPr>
          <w:b/>
          <w:bCs/>
        </w:rPr>
        <w:t>se zprávou auditora o ověření účetní závěrky</w:t>
      </w:r>
      <w:r w:rsidR="00AD1746" w:rsidDel="004320C0">
        <w:rPr>
          <w:b/>
          <w:bCs/>
        </w:rPr>
        <w:t>.</w:t>
      </w:r>
      <w:r w:rsidR="00B4666B" w:rsidDel="004320C0">
        <w:rPr>
          <w:b/>
          <w:bCs/>
        </w:rPr>
        <w:t xml:space="preserve"> </w:t>
      </w:r>
    </w:p>
    <w:p w14:paraId="56E3993D" w14:textId="77777777" w:rsidR="00F70FC4" w:rsidRPr="001E782B" w:rsidRDefault="00F70FC4" w:rsidP="00213CE8">
      <w:pPr>
        <w:pStyle w:val="KZ-normln"/>
      </w:pPr>
      <w:bookmarkStart w:id="21" w:name="_Hlk195700896"/>
    </w:p>
    <w:p w14:paraId="164A5A46" w14:textId="2761AF64" w:rsidR="00D17E15" w:rsidRPr="003657C5" w:rsidRDefault="00D17E15" w:rsidP="003657C5">
      <w:pPr>
        <w:pStyle w:val="Nadpis4"/>
        <w:spacing w:before="120" w:after="120"/>
        <w:ind w:left="426" w:hanging="426"/>
        <w:rPr>
          <w:u w:val="none"/>
        </w:rPr>
      </w:pPr>
      <w:r w:rsidRPr="003657C5">
        <w:rPr>
          <w:u w:val="none"/>
        </w:rPr>
        <w:t xml:space="preserve">Porušení povinnosti </w:t>
      </w:r>
      <w:r w:rsidR="001409C1" w:rsidRPr="003657C5">
        <w:rPr>
          <w:u w:val="none"/>
        </w:rPr>
        <w:t xml:space="preserve">státních podniků </w:t>
      </w:r>
      <w:r w:rsidR="007F6463" w:rsidRPr="003657C5">
        <w:rPr>
          <w:u w:val="none"/>
        </w:rPr>
        <w:t>vést bankovní účty</w:t>
      </w:r>
      <w:r w:rsidRPr="003657C5">
        <w:rPr>
          <w:u w:val="none"/>
        </w:rPr>
        <w:t xml:space="preserve"> u Č</w:t>
      </w:r>
      <w:r w:rsidR="007F6463" w:rsidRPr="003657C5">
        <w:rPr>
          <w:u w:val="none"/>
        </w:rPr>
        <w:t>eské národní banky</w:t>
      </w:r>
    </w:p>
    <w:bookmarkEnd w:id="21"/>
    <w:p w14:paraId="047C4D5A" w14:textId="6DE99FAA" w:rsidR="004F0136" w:rsidRPr="002F643E" w:rsidRDefault="00C67681" w:rsidP="002F643E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0" w:color="2EB3A1" w:themeColor="accent1"/>
          <w:right w:val="single" w:sz="18" w:space="4" w:color="2EB3A1" w:themeColor="accent1"/>
        </w:pBdr>
        <w:shd w:val="clear" w:color="auto" w:fill="EBF6F2" w:themeFill="accent4" w:themeFillTint="33"/>
        <w:autoSpaceDE w:val="0"/>
        <w:autoSpaceDN w:val="0"/>
        <w:adjustRightInd w:val="0"/>
        <w:spacing w:after="120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Z</w:t>
      </w:r>
      <w:r w:rsidR="003E15EE" w:rsidRPr="00284DF5">
        <w:rPr>
          <w:rFonts w:eastAsiaTheme="minorHAnsi"/>
          <w:sz w:val="23"/>
          <w:szCs w:val="23"/>
        </w:rPr>
        <w:t>ákon č. 254/2023 Sb.</w:t>
      </w:r>
      <w:r w:rsidR="00442BE5">
        <w:rPr>
          <w:rStyle w:val="Znakapoznpodarou"/>
          <w:rFonts w:eastAsiaTheme="minorHAnsi"/>
          <w:sz w:val="23"/>
          <w:szCs w:val="23"/>
        </w:rPr>
        <w:footnoteReference w:id="10"/>
      </w:r>
      <w:r w:rsidR="008A0298">
        <w:rPr>
          <w:rFonts w:eastAsiaTheme="minorHAnsi"/>
          <w:sz w:val="23"/>
          <w:szCs w:val="23"/>
        </w:rPr>
        <w:t xml:space="preserve"> čl. III </w:t>
      </w:r>
      <w:r w:rsidR="003E15EE" w:rsidRPr="00284DF5">
        <w:rPr>
          <w:rFonts w:eastAsiaTheme="minorHAnsi"/>
          <w:sz w:val="23"/>
          <w:szCs w:val="23"/>
        </w:rPr>
        <w:t>přechodn</w:t>
      </w:r>
      <w:r w:rsidR="008A0298">
        <w:rPr>
          <w:rFonts w:eastAsiaTheme="minorHAnsi"/>
          <w:sz w:val="23"/>
          <w:szCs w:val="23"/>
        </w:rPr>
        <w:t>á</w:t>
      </w:r>
      <w:r w:rsidR="003E15EE" w:rsidRPr="00284DF5">
        <w:rPr>
          <w:rFonts w:eastAsiaTheme="minorHAnsi"/>
          <w:sz w:val="23"/>
          <w:szCs w:val="23"/>
        </w:rPr>
        <w:t xml:space="preserve"> ustanovení </w:t>
      </w:r>
      <w:r w:rsidR="00CA6C71">
        <w:rPr>
          <w:rFonts w:eastAsiaTheme="minorHAnsi"/>
          <w:sz w:val="23"/>
          <w:szCs w:val="23"/>
        </w:rPr>
        <w:t>stanoví</w:t>
      </w:r>
      <w:r w:rsidR="003E15EE" w:rsidRPr="00284DF5">
        <w:rPr>
          <w:rFonts w:eastAsiaTheme="minorHAnsi"/>
          <w:sz w:val="23"/>
          <w:szCs w:val="23"/>
        </w:rPr>
        <w:t xml:space="preserve">, že: </w:t>
      </w:r>
      <w:r w:rsidR="003E15EE" w:rsidRPr="00284DF5">
        <w:rPr>
          <w:rFonts w:eastAsiaTheme="minorHAnsi"/>
          <w:bCs/>
          <w:iCs/>
          <w:sz w:val="23"/>
          <w:szCs w:val="23"/>
        </w:rPr>
        <w:t>„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Státní podniky</w:t>
      </w:r>
      <w:r w:rsidR="003E15EE" w:rsidRPr="00284DF5">
        <w:rPr>
          <w:rFonts w:eastAsiaTheme="minorHAnsi"/>
          <w:i/>
          <w:iCs/>
          <w:sz w:val="23"/>
          <w:szCs w:val="23"/>
        </w:rPr>
        <w:t xml:space="preserve">, které mají vedeny účty u poskytovatelů platebních služeb, 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zřídí nejpozději do</w:t>
      </w:r>
      <w:r w:rsidR="00211DBA" w:rsidRPr="00284DF5">
        <w:rPr>
          <w:rFonts w:eastAsiaTheme="minorHAnsi"/>
          <w:bCs/>
          <w:i/>
          <w:iCs/>
          <w:sz w:val="23"/>
          <w:szCs w:val="23"/>
        </w:rPr>
        <w:t> 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31.</w:t>
      </w:r>
      <w:r w:rsidR="00211DBA" w:rsidRPr="00284DF5">
        <w:rPr>
          <w:rFonts w:eastAsiaTheme="minorHAnsi"/>
          <w:bCs/>
          <w:i/>
          <w:iCs/>
          <w:sz w:val="23"/>
          <w:szCs w:val="23"/>
        </w:rPr>
        <w:t> 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 xml:space="preserve">března 2024 místo nich nové účty 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lastRenderedPageBreak/>
        <w:t>u</w:t>
      </w:r>
      <w:r w:rsidR="007F38B0">
        <w:rPr>
          <w:rFonts w:eastAsiaTheme="minorHAnsi"/>
          <w:bCs/>
          <w:i/>
          <w:iCs/>
          <w:sz w:val="23"/>
          <w:szCs w:val="23"/>
        </w:rPr>
        <w:t> 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České národní banky, převedou na ně peněžní prostředky z</w:t>
      </w:r>
      <w:r w:rsidR="00211DBA" w:rsidRPr="00284DF5">
        <w:rPr>
          <w:rFonts w:eastAsiaTheme="minorHAnsi"/>
          <w:bCs/>
          <w:i/>
          <w:iCs/>
          <w:sz w:val="23"/>
          <w:szCs w:val="23"/>
        </w:rPr>
        <w:t> 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dosavadních účtů u</w:t>
      </w:r>
      <w:r w:rsidR="00711B1B">
        <w:rPr>
          <w:rFonts w:eastAsiaTheme="minorHAnsi"/>
          <w:bCs/>
          <w:i/>
          <w:iCs/>
          <w:sz w:val="23"/>
          <w:szCs w:val="23"/>
        </w:rPr>
        <w:t> 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poskytovatelů platebních služeb a tyto dosavadní účty zruší</w:t>
      </w:r>
      <w:r w:rsidR="003E15EE" w:rsidRPr="00284DF5">
        <w:rPr>
          <w:rFonts w:eastAsiaTheme="minorHAnsi"/>
          <w:bCs/>
          <w:iCs/>
          <w:sz w:val="23"/>
          <w:szCs w:val="23"/>
        </w:rPr>
        <w:t>…“</w:t>
      </w:r>
      <w:r w:rsidR="003E15EE" w:rsidRPr="00284DF5">
        <w:rPr>
          <w:rFonts w:eastAsiaTheme="minorHAnsi"/>
          <w:iCs/>
          <w:sz w:val="23"/>
          <w:szCs w:val="23"/>
        </w:rPr>
        <w:t xml:space="preserve"> a dále </w:t>
      </w:r>
      <w:r w:rsidR="00CA6C71">
        <w:rPr>
          <w:rFonts w:eastAsiaTheme="minorHAnsi"/>
          <w:iCs/>
          <w:sz w:val="23"/>
          <w:szCs w:val="23"/>
        </w:rPr>
        <w:t>stanoví</w:t>
      </w:r>
      <w:r w:rsidR="003E15EE" w:rsidRPr="00284DF5">
        <w:rPr>
          <w:rFonts w:eastAsiaTheme="minorHAnsi"/>
          <w:iCs/>
          <w:sz w:val="23"/>
          <w:szCs w:val="23"/>
        </w:rPr>
        <w:t xml:space="preserve">: </w:t>
      </w:r>
      <w:r w:rsidR="003E15EE" w:rsidRPr="00517807">
        <w:rPr>
          <w:rFonts w:eastAsiaTheme="minorHAnsi"/>
          <w:bCs/>
          <w:sz w:val="23"/>
          <w:szCs w:val="23"/>
        </w:rPr>
        <w:t>„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Státní podniky mohou se souhlasem ministerstva uděleným do 3 měsíců ode dne nabytí účinnosti tohoto zákona na základě odůvodněné žádosti zachovat účty, které mají vedeny u</w:t>
      </w:r>
      <w:r w:rsidR="00211DBA" w:rsidRPr="00284DF5">
        <w:rPr>
          <w:rFonts w:eastAsiaTheme="minorHAnsi"/>
          <w:bCs/>
          <w:i/>
          <w:iCs/>
          <w:sz w:val="23"/>
          <w:szCs w:val="23"/>
        </w:rPr>
        <w:t> 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poskytovatelů platebních služeb, a</w:t>
      </w:r>
      <w:r w:rsidR="00ED0881">
        <w:rPr>
          <w:rFonts w:eastAsiaTheme="minorHAnsi"/>
          <w:bCs/>
          <w:i/>
          <w:iCs/>
          <w:sz w:val="23"/>
          <w:szCs w:val="23"/>
        </w:rPr>
        <w:t> </w:t>
      </w:r>
      <w:r w:rsidR="003E15EE" w:rsidRPr="00284DF5">
        <w:rPr>
          <w:rFonts w:eastAsiaTheme="minorHAnsi"/>
          <w:bCs/>
          <w:i/>
          <w:iCs/>
          <w:sz w:val="23"/>
          <w:szCs w:val="23"/>
        </w:rPr>
        <w:t>nepřevádět z nich peněžní prostředky na nové účty u České národní banky.</w:t>
      </w:r>
      <w:r w:rsidR="003E15EE" w:rsidRPr="00284DF5">
        <w:rPr>
          <w:rFonts w:eastAsiaTheme="minorHAnsi"/>
          <w:bCs/>
          <w:iCs/>
          <w:sz w:val="23"/>
          <w:szCs w:val="23"/>
        </w:rPr>
        <w:t>“</w:t>
      </w:r>
      <w:r w:rsidR="002F74A8">
        <w:rPr>
          <w:rFonts w:eastAsiaTheme="minorHAnsi"/>
          <w:bCs/>
          <w:iCs/>
          <w:sz w:val="23"/>
          <w:szCs w:val="23"/>
        </w:rPr>
        <w:t>.</w:t>
      </w:r>
    </w:p>
    <w:p w14:paraId="5499F665" w14:textId="3F807EC6" w:rsidR="004F0136" w:rsidRPr="00DC50B4" w:rsidRDefault="004F0136" w:rsidP="00883D9E">
      <w:pPr>
        <w:pStyle w:val="KZ-normln"/>
        <w:rPr>
          <w:rFonts w:eastAsiaTheme="minorHAnsi"/>
        </w:rPr>
      </w:pPr>
      <w:r w:rsidRPr="00DC50B4">
        <w:rPr>
          <w:rFonts w:eastAsiaTheme="minorHAnsi"/>
          <w:b/>
        </w:rPr>
        <w:t>Barvy a laky, státní podnik "v likvidaci"</w:t>
      </w:r>
      <w:r w:rsidR="007F38B0">
        <w:rPr>
          <w:rFonts w:eastAsiaTheme="minorHAnsi"/>
          <w:b/>
        </w:rPr>
        <w:t>,</w:t>
      </w:r>
      <w:r w:rsidRPr="00DC50B4">
        <w:rPr>
          <w:rFonts w:eastAsiaTheme="minorHAnsi"/>
        </w:rPr>
        <w:t xml:space="preserve"> </w:t>
      </w:r>
      <w:r w:rsidR="00211DBA" w:rsidRPr="00DC50B4">
        <w:rPr>
          <w:rFonts w:eastAsiaTheme="minorHAnsi"/>
        </w:rPr>
        <w:t>v kontrolovaném období</w:t>
      </w:r>
      <w:r w:rsidRPr="00DC50B4">
        <w:rPr>
          <w:rFonts w:eastAsiaTheme="minorHAnsi"/>
        </w:rPr>
        <w:t xml:space="preserve"> </w:t>
      </w:r>
      <w:r w:rsidR="00647EB6" w:rsidRPr="00DC50B4">
        <w:rPr>
          <w:rFonts w:eastAsiaTheme="minorHAnsi"/>
        </w:rPr>
        <w:t xml:space="preserve">vedl </w:t>
      </w:r>
      <w:r w:rsidR="00211DBA" w:rsidRPr="00DC50B4">
        <w:rPr>
          <w:rFonts w:eastAsiaTheme="minorHAnsi"/>
        </w:rPr>
        <w:t>pouze jeden běžný účet u poskytovatele platebních služeb. Tímto poskytovatelem</w:t>
      </w:r>
      <w:r w:rsidR="008668FE" w:rsidRPr="00DC50B4">
        <w:rPr>
          <w:rFonts w:eastAsiaTheme="minorHAnsi"/>
        </w:rPr>
        <w:t xml:space="preserve"> </w:t>
      </w:r>
      <w:r w:rsidR="00211DBA" w:rsidRPr="00DC50B4">
        <w:rPr>
          <w:rFonts w:eastAsiaTheme="minorHAnsi"/>
        </w:rPr>
        <w:t>nebyla ČNB. Státní podnik nezřídil účet u ČNB.</w:t>
      </w:r>
    </w:p>
    <w:p w14:paraId="7CE214A5" w14:textId="2064A174" w:rsidR="004248F7" w:rsidRPr="00883D9E" w:rsidRDefault="004248F7" w:rsidP="00883D9E">
      <w:pPr>
        <w:pStyle w:val="KZ-normln"/>
        <w:rPr>
          <w:rFonts w:eastAsiaTheme="minorHAnsi"/>
          <w:szCs w:val="24"/>
        </w:rPr>
      </w:pPr>
      <w:r w:rsidRPr="00DC50B4">
        <w:rPr>
          <w:rFonts w:eastAsiaTheme="minorHAnsi"/>
          <w:b/>
        </w:rPr>
        <w:t>Brněnské papírny, státní podnik – v likvidaci</w:t>
      </w:r>
      <w:r w:rsidR="007F38B0">
        <w:rPr>
          <w:rFonts w:eastAsiaTheme="minorHAnsi"/>
          <w:b/>
        </w:rPr>
        <w:t>,</w:t>
      </w:r>
      <w:r w:rsidRPr="00DC50B4">
        <w:rPr>
          <w:rFonts w:eastAsiaTheme="minorHAnsi"/>
        </w:rPr>
        <w:t xml:space="preserve"> </w:t>
      </w:r>
      <w:r w:rsidR="004E18E5" w:rsidRPr="00DC50B4">
        <w:rPr>
          <w:rFonts w:eastAsiaTheme="minorHAnsi"/>
        </w:rPr>
        <w:t>v</w:t>
      </w:r>
      <w:r w:rsidR="00D951CA">
        <w:rPr>
          <w:rFonts w:eastAsiaTheme="minorHAnsi"/>
        </w:rPr>
        <w:t> kontrolovaném období vedl</w:t>
      </w:r>
      <w:r w:rsidR="004E18E5" w:rsidRPr="00DC50B4">
        <w:rPr>
          <w:rFonts w:eastAsiaTheme="minorHAnsi"/>
        </w:rPr>
        <w:t xml:space="preserve"> běžný účet a</w:t>
      </w:r>
      <w:r w:rsidR="00263C49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>termínovaný účet. Dne 5. března 2024 byl státnímu podniku zřízen běžný účet u</w:t>
      </w:r>
      <w:r w:rsidR="00D951CA">
        <w:rPr>
          <w:rFonts w:eastAsiaTheme="minorHAnsi"/>
        </w:rPr>
        <w:t> </w:t>
      </w:r>
      <w:r w:rsidR="004E18E5" w:rsidRPr="00DC50B4">
        <w:rPr>
          <w:rFonts w:eastAsiaTheme="minorHAnsi"/>
        </w:rPr>
        <w:t>ČNB. Dne</w:t>
      </w:r>
      <w:r w:rsidR="00263C49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>26.</w:t>
      </w:r>
      <w:r w:rsidR="00263C49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 xml:space="preserve">března 2024 uzavřel státní podnik </w:t>
      </w:r>
      <w:r w:rsidR="007F38B0">
        <w:rPr>
          <w:rFonts w:eastAsiaTheme="minorHAnsi"/>
        </w:rPr>
        <w:t>d</w:t>
      </w:r>
      <w:r w:rsidR="004E18E5" w:rsidRPr="00DC50B4">
        <w:rPr>
          <w:rFonts w:eastAsiaTheme="minorHAnsi"/>
        </w:rPr>
        <w:t xml:space="preserve">ohodu o ukončení </w:t>
      </w:r>
      <w:r w:rsidR="007F38B0">
        <w:rPr>
          <w:rFonts w:eastAsiaTheme="minorHAnsi"/>
        </w:rPr>
        <w:t>s</w:t>
      </w:r>
      <w:r w:rsidR="004E18E5" w:rsidRPr="00DC50B4">
        <w:rPr>
          <w:rFonts w:eastAsiaTheme="minorHAnsi"/>
        </w:rPr>
        <w:t>mlouvy o vedení běžného účtu u</w:t>
      </w:r>
      <w:r w:rsidR="00263C49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 xml:space="preserve">jiného poskytovatele platebních služeb a zůstatek účtu ve výši 4 340 </w:t>
      </w:r>
      <w:r w:rsidR="000C7129">
        <w:rPr>
          <w:rFonts w:eastAsiaTheme="minorHAnsi"/>
        </w:rPr>
        <w:t>506</w:t>
      </w:r>
      <w:r w:rsidR="004E18E5" w:rsidRPr="00DC50B4">
        <w:rPr>
          <w:rFonts w:eastAsiaTheme="minorHAnsi"/>
        </w:rPr>
        <w:t xml:space="preserve"> Kč byl ke dni zániku smlouvy převeden na nový účet v ČNB. </w:t>
      </w:r>
      <w:r w:rsidR="00610B03" w:rsidRPr="00DC50B4">
        <w:rPr>
          <w:rFonts w:eastAsiaTheme="minorHAnsi"/>
        </w:rPr>
        <w:t>T</w:t>
      </w:r>
      <w:r w:rsidR="004E18E5" w:rsidRPr="00DC50B4">
        <w:rPr>
          <w:rFonts w:eastAsiaTheme="minorHAnsi"/>
        </w:rPr>
        <w:t>ermínovan</w:t>
      </w:r>
      <w:r w:rsidR="00610B03" w:rsidRPr="00DC50B4">
        <w:rPr>
          <w:rFonts w:eastAsiaTheme="minorHAnsi"/>
        </w:rPr>
        <w:t xml:space="preserve">ý </w:t>
      </w:r>
      <w:r w:rsidR="004E18E5" w:rsidRPr="00DC50B4">
        <w:rPr>
          <w:rFonts w:eastAsiaTheme="minorHAnsi"/>
        </w:rPr>
        <w:t>úč</w:t>
      </w:r>
      <w:r w:rsidR="00610B03" w:rsidRPr="00DC50B4">
        <w:rPr>
          <w:rFonts w:eastAsiaTheme="minorHAnsi"/>
        </w:rPr>
        <w:t>e</w:t>
      </w:r>
      <w:r w:rsidR="004E18E5" w:rsidRPr="00DC50B4">
        <w:rPr>
          <w:rFonts w:eastAsiaTheme="minorHAnsi"/>
        </w:rPr>
        <w:t>t státní podnik nezrušil a</w:t>
      </w:r>
      <w:r w:rsidR="00D131D9">
        <w:rPr>
          <w:rFonts w:eastAsiaTheme="minorHAnsi"/>
        </w:rPr>
        <w:t> </w:t>
      </w:r>
      <w:r w:rsidR="004E18E5" w:rsidRPr="00DC50B4">
        <w:rPr>
          <w:rFonts w:eastAsiaTheme="minorHAnsi"/>
        </w:rPr>
        <w:t>do</w:t>
      </w:r>
      <w:r w:rsidR="00ED0881">
        <w:rPr>
          <w:rFonts w:eastAsiaTheme="minorHAnsi"/>
        </w:rPr>
        <w:t> </w:t>
      </w:r>
      <w:r w:rsidR="004E18E5" w:rsidRPr="00DC50B4">
        <w:rPr>
          <w:rFonts w:eastAsiaTheme="minorHAnsi"/>
        </w:rPr>
        <w:t>stanoveného termínu 31. března 2024 z něj peníze na nově zřízený účet u</w:t>
      </w:r>
      <w:r w:rsidR="00263C49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 xml:space="preserve">ČNB nepřevedl. Naopak dne 6. února 2024 uzavřel likvidátor </w:t>
      </w:r>
      <w:r w:rsidR="007F38B0">
        <w:rPr>
          <w:rFonts w:eastAsiaTheme="minorHAnsi"/>
        </w:rPr>
        <w:t>d</w:t>
      </w:r>
      <w:r w:rsidR="004E18E5" w:rsidRPr="00DC50B4">
        <w:rPr>
          <w:rFonts w:eastAsiaTheme="minorHAnsi"/>
        </w:rPr>
        <w:t xml:space="preserve">odatek č. 6 ke </w:t>
      </w:r>
      <w:r w:rsidR="007F38B0">
        <w:rPr>
          <w:rFonts w:eastAsiaTheme="minorHAnsi"/>
        </w:rPr>
        <w:t>s</w:t>
      </w:r>
      <w:r w:rsidR="004E18E5" w:rsidRPr="00DC50B4">
        <w:rPr>
          <w:rFonts w:eastAsiaTheme="minorHAnsi"/>
        </w:rPr>
        <w:t xml:space="preserve">mlouvě o vkladu na vklad ve výši 77 000 000 Kč s dobou trvání vkladu </w:t>
      </w:r>
      <w:r w:rsidR="007F38B0">
        <w:rPr>
          <w:rFonts w:eastAsiaTheme="minorHAnsi"/>
        </w:rPr>
        <w:t>jeden</w:t>
      </w:r>
      <w:r w:rsidR="004E18E5" w:rsidRPr="00DC50B4">
        <w:rPr>
          <w:rFonts w:eastAsiaTheme="minorHAnsi"/>
        </w:rPr>
        <w:t xml:space="preserve"> rok od uzavření smlouvy. Dále pak dne 5. února 2025 uzavřel likvidátor </w:t>
      </w:r>
      <w:r w:rsidR="007F38B0">
        <w:rPr>
          <w:rFonts w:eastAsiaTheme="minorHAnsi"/>
        </w:rPr>
        <w:t>d</w:t>
      </w:r>
      <w:r w:rsidR="004E18E5" w:rsidRPr="00DC50B4">
        <w:rPr>
          <w:rFonts w:eastAsiaTheme="minorHAnsi"/>
        </w:rPr>
        <w:t xml:space="preserve">odatek č. 7 ke </w:t>
      </w:r>
      <w:r w:rsidR="007F38B0">
        <w:rPr>
          <w:rFonts w:eastAsiaTheme="minorHAnsi"/>
        </w:rPr>
        <w:t>s</w:t>
      </w:r>
      <w:r w:rsidR="004E18E5" w:rsidRPr="00DC50B4">
        <w:rPr>
          <w:rFonts w:eastAsiaTheme="minorHAnsi"/>
        </w:rPr>
        <w:t>mlouvě o vkladu na vklad ve</w:t>
      </w:r>
      <w:r w:rsidR="00263C49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>výši 86</w:t>
      </w:r>
      <w:r w:rsidR="00842A92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>000</w:t>
      </w:r>
      <w:r w:rsidR="00842A92" w:rsidRPr="00DC50B4">
        <w:rPr>
          <w:rFonts w:eastAsiaTheme="minorHAnsi"/>
        </w:rPr>
        <w:t> </w:t>
      </w:r>
      <w:r w:rsidR="004E18E5" w:rsidRPr="00DC50B4">
        <w:rPr>
          <w:rFonts w:eastAsiaTheme="minorHAnsi"/>
        </w:rPr>
        <w:t xml:space="preserve">000 Kč s dobou trvání vkladu </w:t>
      </w:r>
      <w:r w:rsidR="007F38B0">
        <w:rPr>
          <w:rFonts w:eastAsiaTheme="minorHAnsi"/>
        </w:rPr>
        <w:t>jeden</w:t>
      </w:r>
      <w:r w:rsidR="004E18E5" w:rsidRPr="00DC50B4">
        <w:rPr>
          <w:rFonts w:eastAsiaTheme="minorHAnsi"/>
        </w:rPr>
        <w:t xml:space="preserve"> rok od uzavření smlouvy. Oba dodatky likvidátor uzavřel, aniž by </w:t>
      </w:r>
      <w:r w:rsidR="007F38B0">
        <w:rPr>
          <w:rFonts w:eastAsiaTheme="minorHAnsi"/>
        </w:rPr>
        <w:t>u</w:t>
      </w:r>
      <w:r w:rsidR="00ED0881">
        <w:rPr>
          <w:rFonts w:eastAsiaTheme="minorHAnsi"/>
        </w:rPr>
        <w:t> </w:t>
      </w:r>
      <w:r w:rsidR="004E18E5" w:rsidRPr="00DC50B4">
        <w:rPr>
          <w:rFonts w:eastAsiaTheme="minorHAnsi"/>
        </w:rPr>
        <w:t>Ministerstv</w:t>
      </w:r>
      <w:r w:rsidR="007F38B0">
        <w:rPr>
          <w:rFonts w:eastAsiaTheme="minorHAnsi"/>
        </w:rPr>
        <w:t>a</w:t>
      </w:r>
      <w:r w:rsidR="004E18E5" w:rsidRPr="00DC50B4">
        <w:rPr>
          <w:rFonts w:eastAsiaTheme="minorHAnsi"/>
        </w:rPr>
        <w:t xml:space="preserve"> financí </w:t>
      </w:r>
      <w:r w:rsidR="00181212">
        <w:rPr>
          <w:rFonts w:eastAsiaTheme="minorHAnsi"/>
        </w:rPr>
        <w:t>podal žádost</w:t>
      </w:r>
      <w:r w:rsidR="004E18E5" w:rsidRPr="00DC50B4">
        <w:rPr>
          <w:rFonts w:eastAsiaTheme="minorHAnsi"/>
        </w:rPr>
        <w:t xml:space="preserve"> </w:t>
      </w:r>
      <w:r w:rsidR="008C00C0" w:rsidRPr="008C00C0">
        <w:rPr>
          <w:rFonts w:eastAsiaTheme="minorHAnsi"/>
        </w:rPr>
        <w:t>o</w:t>
      </w:r>
      <w:r w:rsidR="008C00C0">
        <w:rPr>
          <w:rFonts w:eastAsiaTheme="minorHAnsi"/>
        </w:rPr>
        <w:t xml:space="preserve"> souhlas se</w:t>
      </w:r>
      <w:r w:rsidR="008C00C0" w:rsidRPr="008C00C0">
        <w:rPr>
          <w:rFonts w:eastAsiaTheme="minorHAnsi"/>
        </w:rPr>
        <w:t xml:space="preserve"> zachování</w:t>
      </w:r>
      <w:r w:rsidR="008C00C0">
        <w:rPr>
          <w:rFonts w:eastAsiaTheme="minorHAnsi"/>
        </w:rPr>
        <w:t xml:space="preserve">m </w:t>
      </w:r>
      <w:r w:rsidR="008C00C0" w:rsidRPr="008C00C0">
        <w:rPr>
          <w:rFonts w:eastAsiaTheme="minorHAnsi"/>
        </w:rPr>
        <w:t>termínovaného účtu vedeného u</w:t>
      </w:r>
      <w:r w:rsidR="008C00C0">
        <w:rPr>
          <w:rFonts w:eastAsiaTheme="minorHAnsi"/>
        </w:rPr>
        <w:t> </w:t>
      </w:r>
      <w:r w:rsidR="008C00C0" w:rsidRPr="008C00C0">
        <w:rPr>
          <w:rFonts w:eastAsiaTheme="minorHAnsi"/>
        </w:rPr>
        <w:t xml:space="preserve">poskytovatele platebních služeb a </w:t>
      </w:r>
      <w:r w:rsidR="008C00C0">
        <w:rPr>
          <w:rFonts w:eastAsiaTheme="minorHAnsi"/>
        </w:rPr>
        <w:t>s nepřevedením</w:t>
      </w:r>
      <w:r w:rsidR="008C00C0" w:rsidRPr="008C00C0">
        <w:rPr>
          <w:rFonts w:eastAsiaTheme="minorHAnsi"/>
        </w:rPr>
        <w:t xml:space="preserve"> peněžních prostředků na účet u ČNB</w:t>
      </w:r>
      <w:r w:rsidR="008C00C0">
        <w:rPr>
          <w:rFonts w:eastAsiaTheme="minorHAnsi"/>
        </w:rPr>
        <w:t>.</w:t>
      </w:r>
    </w:p>
    <w:p w14:paraId="4BCFBA66" w14:textId="04BF30AE" w:rsidR="004248F7" w:rsidRPr="00130828" w:rsidRDefault="00211DBA" w:rsidP="00F70FC4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rPr>
          <w:b/>
        </w:rPr>
      </w:pPr>
      <w:r w:rsidRPr="00130828">
        <w:rPr>
          <w:rFonts w:eastAsiaTheme="minorHAnsi"/>
          <w:b/>
        </w:rPr>
        <w:t>Tím, že Barvy a laky, státní podnik "v likvidaci"</w:t>
      </w:r>
      <w:r w:rsidR="00062EE0">
        <w:rPr>
          <w:rFonts w:eastAsiaTheme="minorHAnsi"/>
          <w:b/>
        </w:rPr>
        <w:t>,</w:t>
      </w:r>
      <w:r w:rsidRPr="00130828">
        <w:rPr>
          <w:rFonts w:eastAsiaTheme="minorHAnsi"/>
          <w:b/>
        </w:rPr>
        <w:t xml:space="preserve"> a Brněnské papírny, státní podnik – v</w:t>
      </w:r>
      <w:r w:rsidR="00062EE0">
        <w:rPr>
          <w:rFonts w:eastAsiaTheme="minorHAnsi"/>
          <w:b/>
        </w:rPr>
        <w:t> </w:t>
      </w:r>
      <w:r w:rsidRPr="00130828">
        <w:rPr>
          <w:rFonts w:eastAsiaTheme="minorHAnsi"/>
          <w:b/>
        </w:rPr>
        <w:t>likvidaci</w:t>
      </w:r>
      <w:r w:rsidR="00062EE0">
        <w:rPr>
          <w:rFonts w:eastAsiaTheme="minorHAnsi"/>
          <w:b/>
        </w:rPr>
        <w:t>,</w:t>
      </w:r>
      <w:r w:rsidRPr="00130828">
        <w:rPr>
          <w:rFonts w:eastAsiaTheme="minorHAnsi"/>
          <w:b/>
        </w:rPr>
        <w:t xml:space="preserve"> </w:t>
      </w:r>
      <w:r w:rsidR="007C5950" w:rsidRPr="00130828">
        <w:rPr>
          <w:rFonts w:eastAsiaTheme="minorHAnsi"/>
          <w:b/>
        </w:rPr>
        <w:t xml:space="preserve">do </w:t>
      </w:r>
      <w:r w:rsidRPr="00130828">
        <w:rPr>
          <w:rFonts w:eastAsiaTheme="minorHAnsi"/>
          <w:b/>
        </w:rPr>
        <w:t>stanoveného termínu nepřevedly peněžní prostředky, se kterými měl</w:t>
      </w:r>
      <w:r w:rsidR="00FB4E80" w:rsidRPr="00130828">
        <w:rPr>
          <w:rFonts w:eastAsiaTheme="minorHAnsi"/>
          <w:b/>
        </w:rPr>
        <w:t>y</w:t>
      </w:r>
      <w:r w:rsidRPr="00130828">
        <w:rPr>
          <w:rFonts w:eastAsiaTheme="minorHAnsi"/>
          <w:b/>
        </w:rPr>
        <w:t xml:space="preserve"> právo hospodařit</w:t>
      </w:r>
      <w:r w:rsidR="00062EE0">
        <w:rPr>
          <w:rFonts w:eastAsiaTheme="minorHAnsi"/>
          <w:b/>
        </w:rPr>
        <w:t>,</w:t>
      </w:r>
      <w:r w:rsidRPr="00130828">
        <w:rPr>
          <w:rFonts w:eastAsiaTheme="minorHAnsi"/>
          <w:b/>
        </w:rPr>
        <w:t xml:space="preserve"> </w:t>
      </w:r>
      <w:r w:rsidR="00062EE0">
        <w:rPr>
          <w:rFonts w:eastAsiaTheme="minorHAnsi"/>
          <w:b/>
        </w:rPr>
        <w:t>do</w:t>
      </w:r>
      <w:r w:rsidRPr="00130828">
        <w:rPr>
          <w:rFonts w:eastAsiaTheme="minorHAnsi"/>
          <w:b/>
        </w:rPr>
        <w:t xml:space="preserve"> ČNB ani nepožádaly Ministerstvo financí o souhlas se zachováním účtů vedených u</w:t>
      </w:r>
      <w:r w:rsidR="00FB4E80" w:rsidRPr="00130828">
        <w:rPr>
          <w:rFonts w:eastAsiaTheme="minorHAnsi"/>
          <w:b/>
        </w:rPr>
        <w:t> </w:t>
      </w:r>
      <w:r w:rsidRPr="00130828">
        <w:rPr>
          <w:rFonts w:eastAsiaTheme="minorHAnsi"/>
          <w:b/>
        </w:rPr>
        <w:t xml:space="preserve">jiných poskytovatelů platebních služeb, </w:t>
      </w:r>
      <w:r w:rsidR="004248F7" w:rsidRPr="00130828">
        <w:rPr>
          <w:rFonts w:eastAsiaTheme="minorHAnsi"/>
          <w:b/>
        </w:rPr>
        <w:t>porušily</w:t>
      </w:r>
      <w:r w:rsidR="00D951CA">
        <w:rPr>
          <w:rFonts w:eastAsiaTheme="minorHAnsi"/>
          <w:b/>
        </w:rPr>
        <w:t xml:space="preserve"> </w:t>
      </w:r>
      <w:r w:rsidR="008A0298">
        <w:rPr>
          <w:rFonts w:eastAsiaTheme="minorHAnsi"/>
          <w:b/>
        </w:rPr>
        <w:t xml:space="preserve">čl. III </w:t>
      </w:r>
      <w:r w:rsidR="00D951CA">
        <w:rPr>
          <w:rFonts w:eastAsiaTheme="minorHAnsi"/>
          <w:b/>
        </w:rPr>
        <w:t>přechodná ustanovení</w:t>
      </w:r>
      <w:r w:rsidR="003E15EE" w:rsidRPr="00130828">
        <w:rPr>
          <w:rFonts w:eastAsiaTheme="minorHAnsi"/>
          <w:b/>
        </w:rPr>
        <w:t xml:space="preserve"> </w:t>
      </w:r>
      <w:r w:rsidR="00884546" w:rsidRPr="00130828">
        <w:rPr>
          <w:rFonts w:eastAsiaTheme="minorHAnsi"/>
          <w:b/>
        </w:rPr>
        <w:t>zákon</w:t>
      </w:r>
      <w:r w:rsidR="00D951CA">
        <w:rPr>
          <w:rFonts w:eastAsiaTheme="minorHAnsi"/>
          <w:b/>
        </w:rPr>
        <w:t>a</w:t>
      </w:r>
      <w:r w:rsidR="00884546" w:rsidRPr="00130828">
        <w:rPr>
          <w:rFonts w:eastAsiaTheme="minorHAnsi"/>
          <w:b/>
        </w:rPr>
        <w:t xml:space="preserve"> </w:t>
      </w:r>
      <w:r w:rsidR="00FB4E80" w:rsidRPr="00130828">
        <w:rPr>
          <w:rFonts w:eastAsiaTheme="minorHAnsi"/>
          <w:b/>
        </w:rPr>
        <w:t>č. 254/2023 Sb.</w:t>
      </w:r>
    </w:p>
    <w:p w14:paraId="3C710837" w14:textId="77777777" w:rsidR="00150834" w:rsidRDefault="00150834" w:rsidP="003E15EE"/>
    <w:p w14:paraId="60495DBF" w14:textId="41FFC0C9" w:rsidR="00842FD3" w:rsidRPr="003657C5" w:rsidRDefault="00D951CA" w:rsidP="003657C5">
      <w:pPr>
        <w:pStyle w:val="Nadpis4"/>
        <w:spacing w:after="120"/>
        <w:ind w:left="426" w:hanging="426"/>
        <w:rPr>
          <w:u w:val="none"/>
        </w:rPr>
      </w:pPr>
      <w:r w:rsidRPr="003657C5">
        <w:rPr>
          <w:u w:val="none"/>
        </w:rPr>
        <w:t>Peněžní prostředky, které vynaložil likvidátor nehospodárně</w:t>
      </w:r>
      <w:r w:rsidR="001643A1" w:rsidRPr="003657C5">
        <w:rPr>
          <w:u w:val="none"/>
        </w:rPr>
        <w:t xml:space="preserve"> </w:t>
      </w:r>
    </w:p>
    <w:bookmarkEnd w:id="18"/>
    <w:p w14:paraId="05689B8D" w14:textId="1F68D3F3" w:rsidR="007C5950" w:rsidRPr="007C5950" w:rsidRDefault="007C5950" w:rsidP="002F643E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  <w:autoSpaceDE w:val="0"/>
        <w:autoSpaceDN w:val="0"/>
        <w:adjustRightInd w:val="0"/>
        <w:spacing w:before="120" w:after="120"/>
        <w:rPr>
          <w:rFonts w:eastAsiaTheme="minorHAnsi"/>
        </w:rPr>
      </w:pPr>
      <w:r w:rsidRPr="0014241B">
        <w:rPr>
          <w:rFonts w:eastAsiaTheme="minorHAnsi"/>
        </w:rPr>
        <w:t>Zákon č.</w:t>
      </w:r>
      <w:r w:rsidRPr="007C5950">
        <w:rPr>
          <w:rFonts w:eastAsiaTheme="minorHAnsi"/>
        </w:rPr>
        <w:t xml:space="preserve"> 219/2000 Sb., o majetku České republiky a jejím vystupování v právních vztazích </w:t>
      </w:r>
      <w:r w:rsidR="00F12641">
        <w:rPr>
          <w:rFonts w:eastAsiaTheme="minorHAnsi"/>
        </w:rPr>
        <w:t>v</w:t>
      </w:r>
      <w:r w:rsidR="00F7668A">
        <w:rPr>
          <w:rFonts w:eastAsiaTheme="minorHAnsi"/>
        </w:rPr>
        <w:t xml:space="preserve"> ustanovení </w:t>
      </w:r>
      <w:r w:rsidR="00D767CF" w:rsidRPr="00A03349">
        <w:rPr>
          <w:rFonts w:eastAsiaTheme="minorHAnsi"/>
        </w:rPr>
        <w:t>§</w:t>
      </w:r>
      <w:r w:rsidR="004C26A0">
        <w:rPr>
          <w:rFonts w:eastAsiaTheme="minorHAnsi"/>
        </w:rPr>
        <w:t> </w:t>
      </w:r>
      <w:r w:rsidR="00D767CF" w:rsidRPr="00A03349">
        <w:rPr>
          <w:rFonts w:eastAsiaTheme="minorHAnsi"/>
        </w:rPr>
        <w:t>14 odst. 1</w:t>
      </w:r>
      <w:r w:rsidR="00F12641" w:rsidRPr="00F12641">
        <w:rPr>
          <w:rFonts w:eastAsiaTheme="minorHAnsi"/>
        </w:rPr>
        <w:t xml:space="preserve"> </w:t>
      </w:r>
      <w:r w:rsidR="00027C33">
        <w:rPr>
          <w:rFonts w:eastAsiaTheme="minorHAnsi"/>
        </w:rPr>
        <w:t>stanoví:</w:t>
      </w:r>
      <w:r w:rsidRPr="007C5950">
        <w:rPr>
          <w:rFonts w:eastAsiaTheme="minorHAnsi"/>
        </w:rPr>
        <w:t xml:space="preserve"> „</w:t>
      </w:r>
      <w:r w:rsidRPr="007C5950">
        <w:rPr>
          <w:rFonts w:eastAsiaTheme="minorHAnsi"/>
          <w:i/>
        </w:rPr>
        <w:t>Majetek musí být využíván účelně a hospodárně k plnění funkcí státu a</w:t>
      </w:r>
      <w:r w:rsidR="004C26A0">
        <w:rPr>
          <w:rFonts w:eastAsiaTheme="minorHAnsi"/>
          <w:i/>
        </w:rPr>
        <w:t> </w:t>
      </w:r>
      <w:r w:rsidRPr="007C5950">
        <w:rPr>
          <w:rFonts w:eastAsiaTheme="minorHAnsi"/>
          <w:i/>
        </w:rPr>
        <w:t>k</w:t>
      </w:r>
      <w:r w:rsidR="004C26A0">
        <w:rPr>
          <w:rFonts w:eastAsiaTheme="minorHAnsi"/>
          <w:i/>
        </w:rPr>
        <w:t> </w:t>
      </w:r>
      <w:r w:rsidRPr="007C5950">
        <w:rPr>
          <w:rFonts w:eastAsiaTheme="minorHAnsi"/>
          <w:i/>
        </w:rPr>
        <w:t>výkonu stanovených činností; jiným způsobem lze majetek použít nebo s ním naložit pouze za podmínek stanovených zvláštním právním předpisem anebo tímto zákonem.</w:t>
      </w:r>
      <w:r w:rsidRPr="007C5950">
        <w:rPr>
          <w:rFonts w:eastAsiaTheme="minorHAnsi"/>
        </w:rPr>
        <w:t>“</w:t>
      </w:r>
    </w:p>
    <w:p w14:paraId="506D1EC9" w14:textId="7A09F828" w:rsidR="007C5950" w:rsidRPr="00284DF5" w:rsidRDefault="007C5950" w:rsidP="002F643E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  <w:autoSpaceDE w:val="0"/>
        <w:autoSpaceDN w:val="0"/>
        <w:adjustRightInd w:val="0"/>
        <w:spacing w:before="120" w:after="120"/>
        <w:rPr>
          <w:rFonts w:eastAsiaTheme="minorHAnsi"/>
        </w:rPr>
      </w:pPr>
      <w:r>
        <w:rPr>
          <w:rFonts w:eastAsiaTheme="minorHAnsi"/>
        </w:rPr>
        <w:t>Zákon</w:t>
      </w:r>
      <w:r w:rsidRPr="007C5950">
        <w:rPr>
          <w:rFonts w:eastAsiaTheme="minorHAnsi"/>
        </w:rPr>
        <w:t xml:space="preserve"> č. 89/2012 Sb., občanský zákoník</w:t>
      </w:r>
      <w:r w:rsidR="00BB36D1">
        <w:rPr>
          <w:rFonts w:eastAsiaTheme="minorHAnsi"/>
        </w:rPr>
        <w:t>,</w:t>
      </w:r>
      <w:r w:rsidR="00EA661D">
        <w:rPr>
          <w:rFonts w:eastAsiaTheme="minorHAnsi"/>
        </w:rPr>
        <w:t xml:space="preserve"> v</w:t>
      </w:r>
      <w:r w:rsidR="00F7668A">
        <w:rPr>
          <w:rFonts w:eastAsiaTheme="minorHAnsi"/>
        </w:rPr>
        <w:t xml:space="preserve"> ustanovení </w:t>
      </w:r>
      <w:r w:rsidR="00EA661D">
        <w:rPr>
          <w:rFonts w:eastAsiaTheme="minorHAnsi"/>
        </w:rPr>
        <w:t>§ 193</w:t>
      </w:r>
      <w:r w:rsidRPr="007C5950">
        <w:rPr>
          <w:rFonts w:eastAsiaTheme="minorHAnsi"/>
        </w:rPr>
        <w:t xml:space="preserve"> </w:t>
      </w:r>
      <w:r w:rsidR="00027C33">
        <w:rPr>
          <w:rFonts w:eastAsiaTheme="minorHAnsi"/>
        </w:rPr>
        <w:t>stanoví</w:t>
      </w:r>
      <w:r w:rsidRPr="007C5950">
        <w:rPr>
          <w:rFonts w:eastAsiaTheme="minorHAnsi"/>
        </w:rPr>
        <w:t>: „</w:t>
      </w:r>
      <w:r w:rsidRPr="007C5950">
        <w:rPr>
          <w:rFonts w:eastAsiaTheme="minorHAnsi"/>
          <w:i/>
        </w:rPr>
        <w:t>Likvidátor nabývá působnosti statutárního orgánu okamžikem svého povolání. Za řádný výkon funkce likvidátor odpovídá stejně jako člen statutárního orgánu.</w:t>
      </w:r>
      <w:r w:rsidRPr="003657C5">
        <w:rPr>
          <w:rFonts w:eastAsiaTheme="minorHAnsi"/>
          <w:iCs/>
        </w:rPr>
        <w:t>“</w:t>
      </w:r>
      <w:r>
        <w:rPr>
          <w:rFonts w:eastAsiaTheme="minorHAnsi"/>
          <w:i/>
        </w:rPr>
        <w:t xml:space="preserve"> </w:t>
      </w:r>
      <w:r w:rsidR="005E2DC0">
        <w:rPr>
          <w:rFonts w:eastAsiaTheme="minorHAnsi"/>
        </w:rPr>
        <w:t>V</w:t>
      </w:r>
      <w:r w:rsidR="00F7668A">
        <w:rPr>
          <w:rFonts w:eastAsiaTheme="minorHAnsi"/>
        </w:rPr>
        <w:t xml:space="preserve"> ustanovení</w:t>
      </w:r>
      <w:r w:rsidR="00D767CF" w:rsidRPr="00EA661D">
        <w:rPr>
          <w:rFonts w:eastAsiaTheme="minorHAnsi"/>
        </w:rPr>
        <w:t xml:space="preserve"> § 159 stanov</w:t>
      </w:r>
      <w:r w:rsidR="00B924C7">
        <w:rPr>
          <w:rFonts w:eastAsiaTheme="minorHAnsi"/>
        </w:rPr>
        <w:t>í</w:t>
      </w:r>
      <w:r w:rsidR="00D767CF" w:rsidRPr="00EA661D">
        <w:rPr>
          <w:rFonts w:eastAsiaTheme="minorHAnsi"/>
        </w:rPr>
        <w:t>:</w:t>
      </w:r>
      <w:r w:rsidR="00D767CF" w:rsidRPr="003657C5">
        <w:rPr>
          <w:rFonts w:eastAsiaTheme="minorHAnsi"/>
          <w:iCs/>
        </w:rPr>
        <w:t xml:space="preserve"> „</w:t>
      </w:r>
      <w:r w:rsidR="00D767CF" w:rsidRPr="00D767CF">
        <w:rPr>
          <w:rFonts w:eastAsiaTheme="minorHAnsi"/>
          <w:i/>
        </w:rPr>
        <w:t>Kdo přijme funkci člena voleného orgánu, zavazuje se, že ji bude vykonávat s nezbytnou loajalitou i</w:t>
      </w:r>
      <w:r w:rsidR="00ED0881">
        <w:rPr>
          <w:rFonts w:eastAsiaTheme="minorHAnsi"/>
          <w:i/>
        </w:rPr>
        <w:t> </w:t>
      </w:r>
      <w:r w:rsidR="00D767CF" w:rsidRPr="00D767CF">
        <w:rPr>
          <w:rFonts w:eastAsiaTheme="minorHAnsi"/>
          <w:i/>
        </w:rPr>
        <w:t>s</w:t>
      </w:r>
      <w:r w:rsidR="00ED0881">
        <w:rPr>
          <w:rFonts w:eastAsiaTheme="minorHAnsi"/>
          <w:i/>
        </w:rPr>
        <w:t> </w:t>
      </w:r>
      <w:r w:rsidR="00D767CF" w:rsidRPr="00D767CF">
        <w:rPr>
          <w:rFonts w:eastAsiaTheme="minorHAnsi"/>
          <w:i/>
        </w:rPr>
        <w:t>potřebnými znalostmi a</w:t>
      </w:r>
      <w:r w:rsidR="004C26A0">
        <w:rPr>
          <w:rFonts w:eastAsiaTheme="minorHAnsi"/>
          <w:i/>
        </w:rPr>
        <w:t> </w:t>
      </w:r>
      <w:r w:rsidR="00D767CF" w:rsidRPr="00D767CF">
        <w:rPr>
          <w:rFonts w:eastAsiaTheme="minorHAnsi"/>
          <w:i/>
        </w:rPr>
        <w:t>pečlivost</w:t>
      </w:r>
      <w:r w:rsidR="00D767CF">
        <w:rPr>
          <w:rFonts w:eastAsiaTheme="minorHAnsi"/>
          <w:i/>
        </w:rPr>
        <w:t>í.</w:t>
      </w:r>
      <w:r w:rsidR="00D767CF" w:rsidRPr="003657C5">
        <w:rPr>
          <w:rFonts w:eastAsiaTheme="minorHAnsi"/>
          <w:iCs/>
        </w:rPr>
        <w:t>“</w:t>
      </w:r>
    </w:p>
    <w:p w14:paraId="4A6AD725" w14:textId="71335A98" w:rsidR="007C5950" w:rsidRPr="00284DF5" w:rsidRDefault="00A80713" w:rsidP="00883D9E">
      <w:pPr>
        <w:pStyle w:val="KZ-normln"/>
        <w:rPr>
          <w:rFonts w:eastAsiaTheme="minorHAnsi"/>
        </w:rPr>
      </w:pPr>
      <w:r w:rsidRPr="00D752C4">
        <w:rPr>
          <w:b/>
          <w:bCs/>
        </w:rPr>
        <w:t>Barvy a laky, státní podnik "v likvidaci"</w:t>
      </w:r>
      <w:r w:rsidR="00062EE0">
        <w:rPr>
          <w:b/>
          <w:bCs/>
        </w:rPr>
        <w:t>,</w:t>
      </w:r>
      <w:r w:rsidRPr="00A80713">
        <w:t xml:space="preserve"> </w:t>
      </w:r>
      <w:r w:rsidRPr="00A80713">
        <w:rPr>
          <w:rFonts w:eastAsiaTheme="minorHAnsi"/>
        </w:rPr>
        <w:t>byl vymazán z obchodního rejstříku ke</w:t>
      </w:r>
      <w:r>
        <w:rPr>
          <w:rFonts w:eastAsiaTheme="minorHAnsi"/>
        </w:rPr>
        <w:t> </w:t>
      </w:r>
      <w:r w:rsidRPr="00A80713">
        <w:rPr>
          <w:rFonts w:eastAsiaTheme="minorHAnsi"/>
        </w:rPr>
        <w:t>dni 6. března 2019. Následně dne 7. září 2021 byl výmaz</w:t>
      </w:r>
      <w:r w:rsidR="00D70111">
        <w:rPr>
          <w:rFonts w:eastAsiaTheme="minorHAnsi"/>
        </w:rPr>
        <w:t xml:space="preserve"> soudem</w:t>
      </w:r>
      <w:r w:rsidRPr="00A80713">
        <w:rPr>
          <w:rFonts w:eastAsiaTheme="minorHAnsi"/>
        </w:rPr>
        <w:t xml:space="preserve"> </w:t>
      </w:r>
      <w:r w:rsidR="00181212">
        <w:rPr>
          <w:rFonts w:eastAsiaTheme="minorHAnsi"/>
        </w:rPr>
        <w:t xml:space="preserve">pravomocně </w:t>
      </w:r>
      <w:r w:rsidRPr="00A80713">
        <w:rPr>
          <w:rFonts w:eastAsiaTheme="minorHAnsi"/>
        </w:rPr>
        <w:t xml:space="preserve">zrušen a </w:t>
      </w:r>
      <w:r w:rsidR="00D70111">
        <w:rPr>
          <w:rFonts w:eastAsiaTheme="minorHAnsi"/>
        </w:rPr>
        <w:t>byla o</w:t>
      </w:r>
      <w:r w:rsidRPr="00A80713">
        <w:rPr>
          <w:rFonts w:eastAsiaTheme="minorHAnsi"/>
        </w:rPr>
        <w:t>bnovena likvidace z</w:t>
      </w:r>
      <w:r>
        <w:rPr>
          <w:rFonts w:eastAsiaTheme="minorHAnsi"/>
        </w:rPr>
        <w:t> </w:t>
      </w:r>
      <w:r w:rsidRPr="00A80713">
        <w:rPr>
          <w:rFonts w:eastAsiaTheme="minorHAnsi"/>
        </w:rPr>
        <w:t xml:space="preserve">důvodu </w:t>
      </w:r>
      <w:r w:rsidR="000F5E83">
        <w:rPr>
          <w:rFonts w:eastAsiaTheme="minorHAnsi"/>
        </w:rPr>
        <w:t xml:space="preserve">zjištění dosud neznámého </w:t>
      </w:r>
      <w:r>
        <w:rPr>
          <w:rFonts w:eastAsiaTheme="minorHAnsi"/>
        </w:rPr>
        <w:t xml:space="preserve">nemovitého majetku. </w:t>
      </w:r>
      <w:r w:rsidR="007C5950">
        <w:rPr>
          <w:rFonts w:eastAsiaTheme="minorHAnsi"/>
        </w:rPr>
        <w:t>Před výmazem i</w:t>
      </w:r>
      <w:r w:rsidR="00D131D9">
        <w:rPr>
          <w:rFonts w:eastAsiaTheme="minorHAnsi"/>
        </w:rPr>
        <w:t> </w:t>
      </w:r>
      <w:r w:rsidR="007C5950">
        <w:rPr>
          <w:rFonts w:eastAsiaTheme="minorHAnsi"/>
        </w:rPr>
        <w:t>po</w:t>
      </w:r>
      <w:r w:rsidR="00D131D9">
        <w:rPr>
          <w:rFonts w:eastAsiaTheme="minorHAnsi"/>
        </w:rPr>
        <w:t> </w:t>
      </w:r>
      <w:r w:rsidR="007C5950">
        <w:rPr>
          <w:rFonts w:eastAsiaTheme="minorHAnsi"/>
        </w:rPr>
        <w:t>zrušení výmazu a</w:t>
      </w:r>
      <w:r>
        <w:rPr>
          <w:rFonts w:eastAsiaTheme="minorHAnsi"/>
        </w:rPr>
        <w:t> </w:t>
      </w:r>
      <w:r w:rsidR="007C5950">
        <w:rPr>
          <w:rFonts w:eastAsiaTheme="minorHAnsi"/>
        </w:rPr>
        <w:t xml:space="preserve">obnovení likvidace byl </w:t>
      </w:r>
      <w:r w:rsidR="007C5950" w:rsidRPr="00284DF5">
        <w:t>Barvy a laky, státní podnik "v</w:t>
      </w:r>
      <w:r w:rsidR="00D131D9">
        <w:t> </w:t>
      </w:r>
      <w:r w:rsidR="007C5950" w:rsidRPr="00284DF5">
        <w:t>likvidaci"</w:t>
      </w:r>
      <w:r w:rsidR="00062EE0">
        <w:t>,</w:t>
      </w:r>
      <w:r w:rsidR="007C5950">
        <w:t xml:space="preserve"> v režimu zákona č.</w:t>
      </w:r>
      <w:r w:rsidR="00ED0881">
        <w:t> </w:t>
      </w:r>
      <w:r w:rsidR="007C5950">
        <w:t xml:space="preserve">111/1990 Sb. </w:t>
      </w:r>
      <w:r w:rsidR="00F7668A">
        <w:t>a v</w:t>
      </w:r>
      <w:r w:rsidR="00EA661D">
        <w:t>ztahoval</w:t>
      </w:r>
      <w:r w:rsidR="00610B03">
        <w:t>a</w:t>
      </w:r>
      <w:r w:rsidR="00EA661D">
        <w:t xml:space="preserve"> se na něj tedy příslušná ustanovení zákona </w:t>
      </w:r>
      <w:r w:rsidR="00EA661D" w:rsidRPr="007C5950">
        <w:rPr>
          <w:rFonts w:eastAsiaTheme="minorHAnsi"/>
        </w:rPr>
        <w:t>č. 219/2000 Sb</w:t>
      </w:r>
      <w:r w:rsidR="00EA661D">
        <w:rPr>
          <w:rFonts w:eastAsiaTheme="minorHAnsi"/>
        </w:rPr>
        <w:t>.</w:t>
      </w:r>
    </w:p>
    <w:p w14:paraId="12146DF7" w14:textId="09D16E00" w:rsidR="00544713" w:rsidRPr="00DC50B4" w:rsidRDefault="002F0A12" w:rsidP="00883D9E">
      <w:pPr>
        <w:pStyle w:val="KZ-normln"/>
        <w:rPr>
          <w:rFonts w:eastAsiaTheme="minorHAnsi"/>
        </w:rPr>
      </w:pPr>
      <w:r>
        <w:rPr>
          <w:rFonts w:eastAsiaTheme="minorHAnsi"/>
        </w:rPr>
        <w:t>Státní podnik vedl soudní spor o vlastnictví nemovitého majetku a j</w:t>
      </w:r>
      <w:r w:rsidR="00544713" w:rsidRPr="00284DF5">
        <w:rPr>
          <w:rFonts w:eastAsiaTheme="minorHAnsi"/>
        </w:rPr>
        <w:t>ediným</w:t>
      </w:r>
      <w:r>
        <w:rPr>
          <w:rFonts w:eastAsiaTheme="minorHAnsi"/>
        </w:rPr>
        <w:t xml:space="preserve"> </w:t>
      </w:r>
      <w:r w:rsidR="00544713" w:rsidRPr="00284DF5">
        <w:rPr>
          <w:rFonts w:eastAsiaTheme="minorHAnsi"/>
        </w:rPr>
        <w:t>majetkem</w:t>
      </w:r>
      <w:r w:rsidR="00544713" w:rsidRPr="00284DF5">
        <w:t xml:space="preserve">, se kterým měl v kontrolovaném období </w:t>
      </w:r>
      <w:r>
        <w:t>státní podnik</w:t>
      </w:r>
      <w:r w:rsidRPr="00284DF5">
        <w:t xml:space="preserve"> </w:t>
      </w:r>
      <w:r w:rsidR="00544713" w:rsidRPr="00284DF5">
        <w:t>právo</w:t>
      </w:r>
      <w:r>
        <w:t xml:space="preserve"> </w:t>
      </w:r>
      <w:r w:rsidR="00544713" w:rsidRPr="00284DF5">
        <w:t>hospodařit</w:t>
      </w:r>
      <w:r w:rsidR="00062EE0">
        <w:t>,</w:t>
      </w:r>
      <w:r w:rsidR="00544713" w:rsidRPr="00284DF5">
        <w:t xml:space="preserve"> byly peněžní prostředky ve výši 50 000 Kč. Tyto</w:t>
      </w:r>
      <w:r w:rsidR="00062EE0">
        <w:t xml:space="preserve"> </w:t>
      </w:r>
      <w:r w:rsidR="00544713" w:rsidRPr="00284DF5">
        <w:t xml:space="preserve">peněžní prostředky zaslal dne </w:t>
      </w:r>
      <w:r w:rsidR="00544713" w:rsidRPr="00284DF5">
        <w:rPr>
          <w:rFonts w:eastAsiaTheme="minorHAnsi"/>
          <w:sz w:val="23"/>
          <w:szCs w:val="23"/>
        </w:rPr>
        <w:t xml:space="preserve">9. prosince 2022 </w:t>
      </w:r>
      <w:r w:rsidR="00544713" w:rsidRPr="00284DF5">
        <w:t xml:space="preserve">na bankovní účet </w:t>
      </w:r>
      <w:r w:rsidR="00544713" w:rsidRPr="00284DF5">
        <w:lastRenderedPageBreak/>
        <w:t xml:space="preserve">státního podniku </w:t>
      </w:r>
      <w:r w:rsidR="000C7129">
        <w:rPr>
          <w:rFonts w:eastAsiaTheme="minorHAnsi"/>
        </w:rPr>
        <w:t>soud</w:t>
      </w:r>
      <w:r w:rsidR="00544713" w:rsidRPr="00DC50B4">
        <w:rPr>
          <w:rFonts w:eastAsiaTheme="minorHAnsi"/>
        </w:rPr>
        <w:t>. Jednalo se o vrácení zálohy na náklady konkursního řízení, kterou státní podnik složil v roce 2003 a o její</w:t>
      </w:r>
      <w:r w:rsidR="007F09E8" w:rsidRPr="00DC50B4">
        <w:rPr>
          <w:rFonts w:eastAsiaTheme="minorHAnsi"/>
        </w:rPr>
        <w:t>ž</w:t>
      </w:r>
      <w:r w:rsidR="00544713" w:rsidRPr="00DC50B4">
        <w:rPr>
          <w:rFonts w:eastAsiaTheme="minorHAnsi"/>
        </w:rPr>
        <w:t xml:space="preserve"> vrácení rozhodl příslušný soud</w:t>
      </w:r>
      <w:r w:rsidR="007F09E8" w:rsidRPr="00DC50B4">
        <w:rPr>
          <w:rFonts w:eastAsiaTheme="minorHAnsi"/>
        </w:rPr>
        <w:t xml:space="preserve"> svým usnesením.</w:t>
      </w:r>
    </w:p>
    <w:p w14:paraId="0DC274ED" w14:textId="05C5B295" w:rsidR="007F09E8" w:rsidRPr="00883D9E" w:rsidRDefault="007F09E8" w:rsidP="00883D9E">
      <w:pPr>
        <w:pStyle w:val="KZ-normln"/>
        <w:rPr>
          <w:rFonts w:eastAsiaTheme="minorHAnsi"/>
        </w:rPr>
      </w:pPr>
      <w:r w:rsidRPr="00DC50B4">
        <w:rPr>
          <w:rFonts w:eastAsiaTheme="minorHAnsi"/>
        </w:rPr>
        <w:t>Dne 6. ledna 2023 vystavila osoba, která</w:t>
      </w:r>
      <w:r w:rsidR="00854C58" w:rsidRPr="00DC50B4">
        <w:rPr>
          <w:rFonts w:eastAsiaTheme="minorHAnsi"/>
        </w:rPr>
        <w:t xml:space="preserve"> současně</w:t>
      </w:r>
      <w:r w:rsidRPr="00DC50B4">
        <w:rPr>
          <w:rFonts w:eastAsiaTheme="minorHAnsi"/>
        </w:rPr>
        <w:t xml:space="preserve"> vykonávala funkci likvidátora</w:t>
      </w:r>
      <w:r w:rsidR="00854C58" w:rsidRPr="00DC50B4">
        <w:rPr>
          <w:rFonts w:eastAsiaTheme="minorHAnsi"/>
        </w:rPr>
        <w:t>,</w:t>
      </w:r>
      <w:r w:rsidRPr="00DC50B4">
        <w:rPr>
          <w:rFonts w:eastAsiaTheme="minorHAnsi"/>
        </w:rPr>
        <w:t xml:space="preserve"> fakturu</w:t>
      </w:r>
      <w:r w:rsidR="00854C58" w:rsidRPr="00DC50B4">
        <w:rPr>
          <w:rFonts w:eastAsiaTheme="minorHAnsi"/>
        </w:rPr>
        <w:t xml:space="preserve"> státnímu podniku</w:t>
      </w:r>
      <w:r w:rsidRPr="00DC50B4">
        <w:rPr>
          <w:rFonts w:eastAsiaTheme="minorHAnsi"/>
        </w:rPr>
        <w:t xml:space="preserve"> z pozice daňového poradce</w:t>
      </w:r>
      <w:r w:rsidR="00C35BDB" w:rsidRPr="00DC50B4">
        <w:rPr>
          <w:rFonts w:eastAsiaTheme="minorHAnsi"/>
        </w:rPr>
        <w:t xml:space="preserve"> </w:t>
      </w:r>
      <w:r w:rsidR="00854C58" w:rsidRPr="00DC50B4">
        <w:rPr>
          <w:rFonts w:eastAsiaTheme="minorHAnsi"/>
        </w:rPr>
        <w:t>za</w:t>
      </w:r>
      <w:r w:rsidR="00284DF5" w:rsidRPr="00DC50B4">
        <w:rPr>
          <w:rFonts w:eastAsiaTheme="minorHAnsi"/>
        </w:rPr>
        <w:t> </w:t>
      </w:r>
      <w:r w:rsidR="00854C58" w:rsidRPr="00DC50B4">
        <w:rPr>
          <w:rFonts w:eastAsiaTheme="minorHAnsi"/>
        </w:rPr>
        <w:t>provedení ekonomického poradenství</w:t>
      </w:r>
      <w:r w:rsidR="00C35BDB" w:rsidRPr="00DC50B4">
        <w:rPr>
          <w:rFonts w:eastAsiaTheme="minorHAnsi"/>
        </w:rPr>
        <w:t xml:space="preserve"> za</w:t>
      </w:r>
      <w:r w:rsidR="00DC50B4">
        <w:rPr>
          <w:rFonts w:eastAsiaTheme="minorHAnsi"/>
        </w:rPr>
        <w:t> </w:t>
      </w:r>
      <w:r w:rsidR="00854C58" w:rsidRPr="00DC50B4">
        <w:rPr>
          <w:rFonts w:eastAsiaTheme="minorHAnsi"/>
        </w:rPr>
        <w:t>49</w:t>
      </w:r>
      <w:r w:rsidR="00DC50B4">
        <w:rPr>
          <w:rFonts w:eastAsiaTheme="minorHAnsi"/>
        </w:rPr>
        <w:t> </w:t>
      </w:r>
      <w:r w:rsidR="00854C58" w:rsidRPr="00DC50B4">
        <w:rPr>
          <w:rFonts w:eastAsiaTheme="minorHAnsi"/>
        </w:rPr>
        <w:t>900 Kč vč. DPH. K této faktuře likvidátor v průběhu kontroly NKÚ nedoložil žádnou smlouvu nebo objednávku</w:t>
      </w:r>
      <w:r w:rsidR="008E3AB1" w:rsidRPr="00DC50B4">
        <w:rPr>
          <w:rFonts w:eastAsiaTheme="minorHAnsi"/>
        </w:rPr>
        <w:t xml:space="preserve"> a ani nedoložil žádný doklad prokazující, že by likvidátor provedl průzkum trhu ke zjištění ceny v daném místě a čase obvyklé</w:t>
      </w:r>
      <w:r w:rsidR="00854C58" w:rsidRPr="00DC50B4">
        <w:rPr>
          <w:rFonts w:eastAsiaTheme="minorHAnsi"/>
        </w:rPr>
        <w:t>. Likvidátor fakturu, kterou vystavil státnímu podniku z pozice daňového poradce</w:t>
      </w:r>
      <w:r w:rsidR="00D6542A">
        <w:rPr>
          <w:rFonts w:eastAsiaTheme="minorHAnsi"/>
        </w:rPr>
        <w:t>,</w:t>
      </w:r>
      <w:r w:rsidR="00854C58" w:rsidRPr="00DC50B4">
        <w:rPr>
          <w:rFonts w:eastAsiaTheme="minorHAnsi"/>
        </w:rPr>
        <w:t xml:space="preserve"> uhradil dne 10.</w:t>
      </w:r>
      <w:r w:rsidR="00D17E15" w:rsidRPr="00DC50B4">
        <w:rPr>
          <w:rFonts w:eastAsiaTheme="minorHAnsi"/>
        </w:rPr>
        <w:t> </w:t>
      </w:r>
      <w:r w:rsidR="00854C58" w:rsidRPr="00DC50B4">
        <w:rPr>
          <w:rFonts w:eastAsiaTheme="minorHAnsi"/>
        </w:rPr>
        <w:t>ledna 2023. V průběhu kontroly NKÚ likvidátor doplnil, že se jednalo o služby vedení účetnictví a přípravu přiznání k</w:t>
      </w:r>
      <w:r w:rsidR="00D131D9">
        <w:rPr>
          <w:rFonts w:eastAsiaTheme="minorHAnsi"/>
        </w:rPr>
        <w:t> </w:t>
      </w:r>
      <w:r w:rsidR="00854C58" w:rsidRPr="00DC50B4">
        <w:rPr>
          <w:rFonts w:eastAsiaTheme="minorHAnsi"/>
        </w:rPr>
        <w:t>dani z</w:t>
      </w:r>
      <w:r w:rsidR="00CD2570">
        <w:rPr>
          <w:rFonts w:eastAsiaTheme="minorHAnsi"/>
        </w:rPr>
        <w:t> </w:t>
      </w:r>
      <w:r w:rsidR="00854C58" w:rsidRPr="00DC50B4">
        <w:rPr>
          <w:rFonts w:eastAsiaTheme="minorHAnsi"/>
        </w:rPr>
        <w:t>příjmů právnických osob za roky 2018, 2019, 2020, 2021 a</w:t>
      </w:r>
      <w:r w:rsidR="00284DF5" w:rsidRPr="00DC50B4">
        <w:rPr>
          <w:rFonts w:eastAsiaTheme="minorHAnsi"/>
        </w:rPr>
        <w:t> </w:t>
      </w:r>
      <w:r w:rsidR="00854C58" w:rsidRPr="00DC50B4">
        <w:rPr>
          <w:rFonts w:eastAsiaTheme="minorHAnsi"/>
        </w:rPr>
        <w:t>2022.</w:t>
      </w:r>
    </w:p>
    <w:p w14:paraId="01216A25" w14:textId="332081DC" w:rsidR="004C26A0" w:rsidRPr="00883D9E" w:rsidRDefault="002C61CA" w:rsidP="00883D9E">
      <w:pPr>
        <w:pStyle w:val="KZ-normln"/>
        <w:rPr>
          <w:rFonts w:eastAsiaTheme="minorHAnsi"/>
          <w:szCs w:val="24"/>
        </w:rPr>
      </w:pPr>
      <w:r w:rsidRPr="00DC50B4">
        <w:rPr>
          <w:rFonts w:eastAsiaTheme="minorHAnsi"/>
        </w:rPr>
        <w:t>Částku ve výši 49 900 Kč vyhodnotil NKÚ jako vynaloženou nehospodárně</w:t>
      </w:r>
      <w:r w:rsidR="004C26A0" w:rsidRPr="00DC50B4">
        <w:rPr>
          <w:rFonts w:eastAsiaTheme="minorHAnsi"/>
        </w:rPr>
        <w:t xml:space="preserve">, neboť </w:t>
      </w:r>
      <w:r w:rsidR="00CA6C71">
        <w:rPr>
          <w:rFonts w:eastAsiaTheme="minorHAnsi"/>
        </w:rPr>
        <w:t>p</w:t>
      </w:r>
      <w:r w:rsidR="00CA6C71" w:rsidRPr="00CA6C71">
        <w:rPr>
          <w:rFonts w:eastAsiaTheme="minorHAnsi"/>
        </w:rPr>
        <w:t>ro fakturovanou činnost, resp. úkony, které měly být obsahem této činnosti, měl likvidátor potřebné znalosti a dovednosti</w:t>
      </w:r>
      <w:r w:rsidR="00CA6C71">
        <w:rPr>
          <w:rFonts w:eastAsiaTheme="minorHAnsi"/>
        </w:rPr>
        <w:t>. L</w:t>
      </w:r>
      <w:r w:rsidR="00CA6C71" w:rsidRPr="00CA6C71">
        <w:rPr>
          <w:rFonts w:eastAsiaTheme="minorHAnsi"/>
        </w:rPr>
        <w:t>ikvidátor byl jmenován soudem ze seznamu daňových poradců, a tedy měl</w:t>
      </w:r>
      <w:r w:rsidR="00CA6C71">
        <w:rPr>
          <w:rFonts w:eastAsiaTheme="minorHAnsi"/>
        </w:rPr>
        <w:t xml:space="preserve"> fakturovanou činnost</w:t>
      </w:r>
      <w:r w:rsidR="00CA6C71" w:rsidRPr="00CA6C71">
        <w:rPr>
          <w:rFonts w:eastAsiaTheme="minorHAnsi"/>
        </w:rPr>
        <w:t xml:space="preserve"> </w:t>
      </w:r>
      <w:r w:rsidR="00CA6C71">
        <w:rPr>
          <w:rFonts w:eastAsiaTheme="minorHAnsi"/>
        </w:rPr>
        <w:t>vykonávat</w:t>
      </w:r>
      <w:r w:rsidR="00CA6C71" w:rsidRPr="00CA6C71">
        <w:rPr>
          <w:rFonts w:eastAsiaTheme="minorHAnsi"/>
        </w:rPr>
        <w:t xml:space="preserve"> osobně z titulu výkonu funkce statutárního orgánu státního podniku</w:t>
      </w:r>
      <w:r w:rsidR="00CA6C71">
        <w:rPr>
          <w:rFonts w:eastAsiaTheme="minorHAnsi"/>
        </w:rPr>
        <w:t xml:space="preserve">. </w:t>
      </w:r>
      <w:r w:rsidR="00CD2570">
        <w:rPr>
          <w:rFonts w:eastAsiaTheme="minorHAnsi"/>
        </w:rPr>
        <w:t xml:space="preserve">Státní podnik v tomto období nevykazoval žádnou ekonomickou činnost, neměl žádné zaměstnance a kromě 50 000 Kč neměl žádný jiný majetek. </w:t>
      </w:r>
      <w:r w:rsidR="004C26A0" w:rsidRPr="00DC50B4">
        <w:rPr>
          <w:rFonts w:eastAsiaTheme="minorHAnsi"/>
        </w:rPr>
        <w:t>Navíc</w:t>
      </w:r>
      <w:r w:rsidR="00CD2570">
        <w:rPr>
          <w:rFonts w:eastAsiaTheme="minorHAnsi"/>
        </w:rPr>
        <w:t xml:space="preserve"> </w:t>
      </w:r>
      <w:r w:rsidR="004C26A0" w:rsidRPr="00DC50B4">
        <w:rPr>
          <w:rFonts w:eastAsiaTheme="minorHAnsi"/>
        </w:rPr>
        <w:t>fakturované činnosti nebyly provedeny</w:t>
      </w:r>
      <w:r w:rsidR="00062EE0">
        <w:rPr>
          <w:rFonts w:eastAsiaTheme="minorHAnsi"/>
        </w:rPr>
        <w:t xml:space="preserve"> </w:t>
      </w:r>
      <w:r w:rsidR="0011017F">
        <w:rPr>
          <w:rFonts w:eastAsiaTheme="minorHAnsi"/>
        </w:rPr>
        <w:t xml:space="preserve">řádně a </w:t>
      </w:r>
      <w:r w:rsidR="004C26A0" w:rsidRPr="00DC50B4">
        <w:rPr>
          <w:rFonts w:eastAsiaTheme="minorHAnsi"/>
        </w:rPr>
        <w:t>v</w:t>
      </w:r>
      <w:r w:rsidR="0011017F">
        <w:rPr>
          <w:rFonts w:eastAsiaTheme="minorHAnsi"/>
        </w:rPr>
        <w:t> </w:t>
      </w:r>
      <w:r w:rsidR="004C26A0" w:rsidRPr="00DC50B4">
        <w:rPr>
          <w:rFonts w:eastAsiaTheme="minorHAnsi"/>
        </w:rPr>
        <w:t>zákon</w:t>
      </w:r>
      <w:r w:rsidR="0011017F">
        <w:rPr>
          <w:rFonts w:eastAsiaTheme="minorHAnsi"/>
        </w:rPr>
        <w:t>em stanoveném</w:t>
      </w:r>
      <w:r w:rsidR="004C26A0" w:rsidRPr="00DC50B4">
        <w:rPr>
          <w:rFonts w:eastAsiaTheme="minorHAnsi"/>
        </w:rPr>
        <w:t xml:space="preserve"> rozsahu</w:t>
      </w:r>
      <w:r w:rsidR="00D70111" w:rsidRPr="00DC50B4">
        <w:rPr>
          <w:rFonts w:eastAsiaTheme="minorHAnsi"/>
        </w:rPr>
        <w:t xml:space="preserve"> (</w:t>
      </w:r>
      <w:r w:rsidR="00842A92" w:rsidRPr="00DC50B4">
        <w:rPr>
          <w:rFonts w:eastAsiaTheme="minorHAnsi"/>
        </w:rPr>
        <w:t xml:space="preserve">nebylo vedeno řádné účetnictví, </w:t>
      </w:r>
      <w:r w:rsidR="004C26A0" w:rsidRPr="00DC50B4">
        <w:rPr>
          <w:rFonts w:eastAsiaTheme="minorHAnsi"/>
        </w:rPr>
        <w:t>nebyl</w:t>
      </w:r>
      <w:r w:rsidR="00842A92" w:rsidRPr="00DC50B4">
        <w:rPr>
          <w:rFonts w:eastAsiaTheme="minorHAnsi"/>
        </w:rPr>
        <w:t>a</w:t>
      </w:r>
      <w:r w:rsidR="004C26A0" w:rsidRPr="00DC50B4">
        <w:rPr>
          <w:rFonts w:eastAsiaTheme="minorHAnsi"/>
        </w:rPr>
        <w:t xml:space="preserve"> provedena inventarizace, účetní závěrka byla sestavena pouze ve zkráceném rozsahu</w:t>
      </w:r>
      <w:r w:rsidR="00062EE0">
        <w:rPr>
          <w:rFonts w:eastAsiaTheme="minorHAnsi"/>
        </w:rPr>
        <w:t>,</w:t>
      </w:r>
      <w:r w:rsidR="004C26A0" w:rsidRPr="00DC50B4">
        <w:rPr>
          <w:rFonts w:eastAsiaTheme="minorHAnsi"/>
        </w:rPr>
        <w:t xml:space="preserve"> nikoliv v plném rozsahu).</w:t>
      </w:r>
    </w:p>
    <w:p w14:paraId="0445A06D" w14:textId="3419FC0F" w:rsidR="001643A1" w:rsidRPr="005022EA" w:rsidRDefault="009A323D" w:rsidP="00F70FC4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autoSpaceDE w:val="0"/>
        <w:autoSpaceDN w:val="0"/>
        <w:adjustRightInd w:val="0"/>
        <w:rPr>
          <w:b/>
          <w:bCs/>
        </w:rPr>
      </w:pPr>
      <w:r w:rsidRPr="005022EA">
        <w:rPr>
          <w:rFonts w:eastAsiaTheme="minorHAnsi"/>
          <w:b/>
          <w:bCs/>
        </w:rPr>
        <w:t>Likvidátor</w:t>
      </w:r>
      <w:r w:rsidR="00BF14F7" w:rsidRPr="005022EA">
        <w:rPr>
          <w:rFonts w:eastAsiaTheme="minorHAnsi"/>
          <w:b/>
          <w:bCs/>
        </w:rPr>
        <w:t xml:space="preserve"> </w:t>
      </w:r>
      <w:r w:rsidR="0007194A">
        <w:rPr>
          <w:rFonts w:eastAsiaTheme="minorHAnsi"/>
          <w:b/>
          <w:bCs/>
        </w:rPr>
        <w:t xml:space="preserve">státního podniku </w:t>
      </w:r>
      <w:r w:rsidR="0007194A" w:rsidRPr="00D752C4">
        <w:rPr>
          <w:b/>
          <w:bCs/>
        </w:rPr>
        <w:t>Barvy a laky, státní podnik "v likvidaci"</w:t>
      </w:r>
      <w:r w:rsidR="0005322E">
        <w:rPr>
          <w:b/>
          <w:bCs/>
        </w:rPr>
        <w:t>,</w:t>
      </w:r>
      <w:r w:rsidR="0007194A">
        <w:rPr>
          <w:b/>
          <w:bCs/>
        </w:rPr>
        <w:t xml:space="preserve"> </w:t>
      </w:r>
      <w:r w:rsidR="006A0A9D">
        <w:rPr>
          <w:rFonts w:eastAsiaTheme="minorHAnsi"/>
          <w:b/>
          <w:bCs/>
        </w:rPr>
        <w:t xml:space="preserve">vynaložil </w:t>
      </w:r>
      <w:r w:rsidR="00B76912">
        <w:rPr>
          <w:rFonts w:eastAsiaTheme="minorHAnsi"/>
          <w:b/>
          <w:bCs/>
        </w:rPr>
        <w:t xml:space="preserve">nehospodárně </w:t>
      </w:r>
      <w:r w:rsidR="006A0A9D">
        <w:rPr>
          <w:rFonts w:eastAsiaTheme="minorHAnsi"/>
          <w:b/>
          <w:bCs/>
        </w:rPr>
        <w:t>peněžní prostředky</w:t>
      </w:r>
      <w:r w:rsidR="00B76912">
        <w:rPr>
          <w:rFonts w:eastAsiaTheme="minorHAnsi"/>
          <w:b/>
          <w:bCs/>
        </w:rPr>
        <w:t xml:space="preserve"> </w:t>
      </w:r>
      <w:r w:rsidR="00B76912" w:rsidRPr="005022EA">
        <w:rPr>
          <w:rFonts w:eastAsiaTheme="minorHAnsi"/>
          <w:b/>
          <w:bCs/>
        </w:rPr>
        <w:t>ve výši 49</w:t>
      </w:r>
      <w:r w:rsidR="000C7129">
        <w:rPr>
          <w:rFonts w:eastAsiaTheme="minorHAnsi"/>
          <w:b/>
          <w:bCs/>
        </w:rPr>
        <w:t xml:space="preserve"> 900 </w:t>
      </w:r>
      <w:r w:rsidR="00B76912" w:rsidRPr="005022EA">
        <w:rPr>
          <w:rFonts w:eastAsiaTheme="minorHAnsi"/>
          <w:b/>
          <w:bCs/>
        </w:rPr>
        <w:t xml:space="preserve">Kč </w:t>
      </w:r>
      <w:r w:rsidR="0024117B">
        <w:rPr>
          <w:rFonts w:eastAsiaTheme="minorHAnsi"/>
          <w:b/>
          <w:bCs/>
        </w:rPr>
        <w:t>za</w:t>
      </w:r>
      <w:r w:rsidR="007F6463">
        <w:rPr>
          <w:rFonts w:eastAsiaTheme="minorHAnsi"/>
          <w:b/>
          <w:bCs/>
        </w:rPr>
        <w:t xml:space="preserve"> ekonomické poradenství</w:t>
      </w:r>
      <w:r w:rsidR="00B76912">
        <w:rPr>
          <w:rFonts w:eastAsiaTheme="minorHAnsi"/>
          <w:b/>
          <w:bCs/>
        </w:rPr>
        <w:t>, které poskytl sám sobě.</w:t>
      </w:r>
      <w:r w:rsidR="006A0A9D">
        <w:rPr>
          <w:rFonts w:eastAsiaTheme="minorHAnsi"/>
          <w:b/>
          <w:bCs/>
        </w:rPr>
        <w:t xml:space="preserve"> </w:t>
      </w:r>
      <w:r w:rsidR="00EA661D" w:rsidRPr="005022EA">
        <w:rPr>
          <w:rFonts w:eastAsiaTheme="minorHAnsi"/>
          <w:b/>
          <w:bCs/>
        </w:rPr>
        <w:t>Likvidátor</w:t>
      </w:r>
      <w:r w:rsidR="00D13C2E" w:rsidRPr="005022EA">
        <w:rPr>
          <w:rFonts w:eastAsiaTheme="minorHAnsi"/>
          <w:b/>
          <w:bCs/>
        </w:rPr>
        <w:t xml:space="preserve"> tím</w:t>
      </w:r>
      <w:r w:rsidR="00EA661D" w:rsidRPr="005022EA">
        <w:rPr>
          <w:rFonts w:eastAsiaTheme="minorHAnsi"/>
          <w:b/>
          <w:bCs/>
        </w:rPr>
        <w:t xml:space="preserve"> nepostupoval s péči řádného hospodáře</w:t>
      </w:r>
      <w:r w:rsidR="00C81574">
        <w:rPr>
          <w:rFonts w:eastAsiaTheme="minorHAnsi"/>
          <w:b/>
          <w:bCs/>
        </w:rPr>
        <w:t xml:space="preserve"> a </w:t>
      </w:r>
      <w:r w:rsidR="00EA661D" w:rsidRPr="005022EA">
        <w:rPr>
          <w:rFonts w:eastAsiaTheme="minorHAnsi"/>
          <w:b/>
          <w:bCs/>
        </w:rPr>
        <w:t>porušil</w:t>
      </w:r>
      <w:r w:rsidR="0005322E">
        <w:rPr>
          <w:rFonts w:eastAsiaTheme="minorHAnsi"/>
          <w:b/>
          <w:bCs/>
        </w:rPr>
        <w:t xml:space="preserve"> </w:t>
      </w:r>
      <w:r w:rsidR="00C575F8">
        <w:rPr>
          <w:rFonts w:eastAsiaTheme="minorHAnsi"/>
          <w:b/>
          <w:bCs/>
        </w:rPr>
        <w:t xml:space="preserve">ustanovení </w:t>
      </w:r>
      <w:r w:rsidR="00C575F8" w:rsidRPr="00C575F8">
        <w:rPr>
          <w:rFonts w:eastAsiaTheme="minorHAnsi"/>
          <w:b/>
          <w:bCs/>
        </w:rPr>
        <w:t>§ 159</w:t>
      </w:r>
      <w:r w:rsidR="00FB408D">
        <w:rPr>
          <w:rFonts w:eastAsiaTheme="minorHAnsi"/>
          <w:b/>
          <w:bCs/>
        </w:rPr>
        <w:t xml:space="preserve"> odst. 1</w:t>
      </w:r>
      <w:r w:rsidR="00C575F8" w:rsidRPr="00C575F8">
        <w:rPr>
          <w:rFonts w:eastAsiaTheme="minorHAnsi"/>
          <w:b/>
          <w:bCs/>
        </w:rPr>
        <w:t xml:space="preserve"> </w:t>
      </w:r>
      <w:r w:rsidR="007F6463">
        <w:rPr>
          <w:rFonts w:eastAsiaTheme="minorHAnsi"/>
          <w:b/>
          <w:bCs/>
        </w:rPr>
        <w:t>zákon</w:t>
      </w:r>
      <w:r w:rsidR="00C575F8">
        <w:rPr>
          <w:rFonts w:eastAsiaTheme="minorHAnsi"/>
          <w:b/>
          <w:bCs/>
        </w:rPr>
        <w:t>a</w:t>
      </w:r>
      <w:r w:rsidR="007F6463">
        <w:rPr>
          <w:rFonts w:eastAsiaTheme="minorHAnsi"/>
          <w:b/>
          <w:bCs/>
        </w:rPr>
        <w:t xml:space="preserve"> č. </w:t>
      </w:r>
      <w:r w:rsidR="00BF14F7" w:rsidRPr="005022EA">
        <w:rPr>
          <w:rFonts w:eastAsiaTheme="minorHAnsi"/>
          <w:b/>
          <w:bCs/>
        </w:rPr>
        <w:t>89/2012 Sb</w:t>
      </w:r>
      <w:r w:rsidR="00EA661D" w:rsidRPr="005022EA">
        <w:rPr>
          <w:rFonts w:eastAsiaTheme="minorHAnsi"/>
          <w:b/>
          <w:bCs/>
        </w:rPr>
        <w:t>.</w:t>
      </w:r>
    </w:p>
    <w:p w14:paraId="6B5C7710" w14:textId="77777777" w:rsidR="00C639AA" w:rsidRDefault="00C639AA" w:rsidP="007C2DEC"/>
    <w:p w14:paraId="18993F4E" w14:textId="13CF594B" w:rsidR="00571C81" w:rsidRPr="003657C5" w:rsidRDefault="00D951CA" w:rsidP="003657C5">
      <w:pPr>
        <w:pStyle w:val="Nadpis4"/>
        <w:spacing w:before="120" w:after="120"/>
        <w:ind w:left="426" w:hanging="426"/>
        <w:rPr>
          <w:u w:val="none"/>
        </w:rPr>
      </w:pPr>
      <w:r w:rsidRPr="003657C5">
        <w:rPr>
          <w:u w:val="none"/>
        </w:rPr>
        <w:t>Pozemky, u nichž likvidátor snížil výnos z pronájmu</w:t>
      </w:r>
    </w:p>
    <w:p w14:paraId="0C07A0B6" w14:textId="531E4C6C" w:rsidR="00193F89" w:rsidRDefault="00193F89" w:rsidP="00F70FC4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</w:pPr>
      <w:r w:rsidRPr="00193F89">
        <w:t>Likvidátor státního podniku se po své</w:t>
      </w:r>
      <w:r>
        <w:t>m</w:t>
      </w:r>
      <w:r w:rsidRPr="00193F89">
        <w:t xml:space="preserve"> jmenování stává statutární</w:t>
      </w:r>
      <w:r w:rsidR="00D6542A">
        <w:t>m</w:t>
      </w:r>
      <w:r w:rsidRPr="00193F89">
        <w:t xml:space="preserve"> orgánem státního podniku a vztahují se na něj stejné povinnosti jako na ředitele státního podniku.</w:t>
      </w:r>
      <w:r>
        <w:t xml:space="preserve"> </w:t>
      </w:r>
    </w:p>
    <w:p w14:paraId="6E17DB4A" w14:textId="2856AF28" w:rsidR="00193F89" w:rsidRDefault="0083660B" w:rsidP="00F70FC4">
      <w:pPr>
        <w:pBdr>
          <w:top w:val="single" w:sz="18" w:space="1" w:color="2EB3A1" w:themeColor="accent1"/>
          <w:left w:val="single" w:sz="18" w:space="4" w:color="2EB3A1" w:themeColor="accent1"/>
          <w:bottom w:val="single" w:sz="18" w:space="1" w:color="2EB3A1" w:themeColor="accent1"/>
          <w:right w:val="single" w:sz="18" w:space="4" w:color="2EB3A1" w:themeColor="accent1"/>
        </w:pBdr>
        <w:shd w:val="clear" w:color="auto" w:fill="E2F1EE"/>
      </w:pPr>
      <w:r>
        <w:t>Zákon č. 77/1997 Sb.</w:t>
      </w:r>
      <w:r w:rsidR="00D6542A">
        <w:t xml:space="preserve"> </w:t>
      </w:r>
      <w:r w:rsidR="003B493D">
        <w:t>v</w:t>
      </w:r>
      <w:r w:rsidR="00831740">
        <w:t xml:space="preserve"> ustanovení </w:t>
      </w:r>
      <w:r w:rsidR="003B493D">
        <w:t>§ 12a</w:t>
      </w:r>
      <w:r>
        <w:t xml:space="preserve"> stanov</w:t>
      </w:r>
      <w:r w:rsidR="00760F1D">
        <w:t>í</w:t>
      </w:r>
      <w:r w:rsidR="00193F89">
        <w:t xml:space="preserve">: </w:t>
      </w:r>
      <w:r w:rsidR="00193F89" w:rsidRPr="00193F89">
        <w:t>„</w:t>
      </w:r>
      <w:r w:rsidR="00193F89" w:rsidRPr="00193F89">
        <w:rPr>
          <w:i/>
        </w:rPr>
        <w:t>Ředitel je povinen počínat si s</w:t>
      </w:r>
      <w:r w:rsidR="003B493D">
        <w:rPr>
          <w:i/>
        </w:rPr>
        <w:t> </w:t>
      </w:r>
      <w:r w:rsidR="00193F89" w:rsidRPr="00193F89">
        <w:rPr>
          <w:i/>
        </w:rPr>
        <w:t>péčí řádného hospodáře a zajistit, aby plnění významných strategických, hospodářských, společenských, bezpečnostních a dalších zájmů státu bylo realizováno účelně, hospodárně a</w:t>
      </w:r>
      <w:r w:rsidR="003B493D">
        <w:rPr>
          <w:i/>
        </w:rPr>
        <w:t> </w:t>
      </w:r>
      <w:r w:rsidR="00193F89" w:rsidRPr="00193F89">
        <w:rPr>
          <w:i/>
        </w:rPr>
        <w:t>efektivně.</w:t>
      </w:r>
      <w:r w:rsidR="00193F89" w:rsidRPr="00517807">
        <w:rPr>
          <w:iCs/>
        </w:rPr>
        <w:t>“</w:t>
      </w:r>
    </w:p>
    <w:p w14:paraId="27B4E758" w14:textId="6E033242" w:rsidR="002A1C92" w:rsidRDefault="00CF62CA" w:rsidP="00883D9E">
      <w:pPr>
        <w:pStyle w:val="KZ-normln"/>
      </w:pPr>
      <w:r w:rsidRPr="00C1607C">
        <w:rPr>
          <w:b/>
          <w:bCs/>
        </w:rPr>
        <w:t>Brněnské papírny, státní podnik – v</w:t>
      </w:r>
      <w:r w:rsidR="0005322E">
        <w:rPr>
          <w:b/>
          <w:bCs/>
        </w:rPr>
        <w:t> </w:t>
      </w:r>
      <w:r w:rsidRPr="00C1607C">
        <w:rPr>
          <w:b/>
          <w:bCs/>
        </w:rPr>
        <w:t>likvidaci</w:t>
      </w:r>
      <w:r w:rsidR="0005322E">
        <w:rPr>
          <w:b/>
          <w:bCs/>
        </w:rPr>
        <w:t>,</w:t>
      </w:r>
      <w:r w:rsidRPr="00284DF5">
        <w:t xml:space="preserve"> </w:t>
      </w:r>
      <w:r w:rsidR="00BF14F7" w:rsidRPr="00284DF5">
        <w:t>měl</w:t>
      </w:r>
      <w:r w:rsidRPr="00284DF5">
        <w:t xml:space="preserve"> v kontrolovaném období</w:t>
      </w:r>
      <w:r w:rsidR="00BF14F7" w:rsidRPr="00284DF5">
        <w:t xml:space="preserve"> právo hospodařit se </w:t>
      </w:r>
      <w:r w:rsidRPr="00284DF5">
        <w:t>čtyřmi</w:t>
      </w:r>
      <w:r w:rsidR="00BF14F7" w:rsidRPr="00284DF5">
        <w:t xml:space="preserve"> pozemky</w:t>
      </w:r>
      <w:r w:rsidRPr="00284DF5">
        <w:t>, které pronajímal</w:t>
      </w:r>
      <w:r w:rsidR="003637C9">
        <w:t xml:space="preserve"> golfovému klubu</w:t>
      </w:r>
      <w:r w:rsidR="00C575F8">
        <w:t xml:space="preserve"> k provozování golfového hřiště</w:t>
      </w:r>
      <w:r w:rsidRPr="00284DF5">
        <w:t xml:space="preserve"> na</w:t>
      </w:r>
      <w:r w:rsidR="0005322E">
        <w:t xml:space="preserve"> </w:t>
      </w:r>
      <w:r w:rsidRPr="00284DF5">
        <w:t xml:space="preserve">základě </w:t>
      </w:r>
      <w:r w:rsidR="0005322E">
        <w:t>s</w:t>
      </w:r>
      <w:r w:rsidR="00BF14F7" w:rsidRPr="00284DF5">
        <w:t>mlouvy o nájmu pozemků ze</w:t>
      </w:r>
      <w:r w:rsidR="003657C5">
        <w:t xml:space="preserve"> </w:t>
      </w:r>
      <w:r w:rsidR="00BF14F7" w:rsidRPr="00284DF5">
        <w:t>dne 9. </w:t>
      </w:r>
      <w:r w:rsidR="001E528D">
        <w:t>března</w:t>
      </w:r>
      <w:r w:rsidR="00BF14F7" w:rsidRPr="00284DF5">
        <w:t xml:space="preserve"> 2017</w:t>
      </w:r>
      <w:r w:rsidRPr="00284DF5">
        <w:t xml:space="preserve">. </w:t>
      </w:r>
      <w:r w:rsidR="00DD62DE">
        <w:t>N</w:t>
      </w:r>
      <w:r w:rsidR="00BF14F7" w:rsidRPr="00284DF5">
        <w:t>ájemné za</w:t>
      </w:r>
      <w:r w:rsidR="003657C5">
        <w:t xml:space="preserve"> </w:t>
      </w:r>
      <w:r w:rsidR="00BF14F7" w:rsidRPr="00284DF5">
        <w:t xml:space="preserve">užívání pozemků </w:t>
      </w:r>
      <w:r w:rsidRPr="00284DF5">
        <w:t>bylo stanoveno</w:t>
      </w:r>
      <w:r w:rsidR="00BF14F7" w:rsidRPr="00284DF5">
        <w:t xml:space="preserve"> znaleckým posudkem vypracovaným </w:t>
      </w:r>
      <w:r w:rsidRPr="00284DF5">
        <w:t>v roce 2016</w:t>
      </w:r>
      <w:r w:rsidR="00BF14F7" w:rsidRPr="00284DF5">
        <w:t xml:space="preserve"> </w:t>
      </w:r>
      <w:r w:rsidRPr="00284DF5">
        <w:t>ve výši</w:t>
      </w:r>
      <w:r w:rsidR="00BF14F7" w:rsidRPr="00284DF5">
        <w:t xml:space="preserve"> 122 640 Kč ročně.</w:t>
      </w:r>
    </w:p>
    <w:p w14:paraId="1C9DF30C" w14:textId="0BAC0B56" w:rsidR="00BF14F7" w:rsidRPr="00284DF5" w:rsidRDefault="00BF14F7" w:rsidP="00883D9E">
      <w:pPr>
        <w:pStyle w:val="KZ-normln"/>
        <w:rPr>
          <w:lang w:eastAsia="cs-CZ"/>
        </w:rPr>
      </w:pPr>
      <w:r w:rsidRPr="00284DF5">
        <w:rPr>
          <w:lang w:eastAsia="cs-CZ"/>
        </w:rPr>
        <w:t>V čl. VII</w:t>
      </w:r>
      <w:r w:rsidR="007A289E" w:rsidRPr="00284DF5">
        <w:rPr>
          <w:lang w:eastAsia="cs-CZ"/>
        </w:rPr>
        <w:t xml:space="preserve">. </w:t>
      </w:r>
      <w:r w:rsidR="0005322E">
        <w:rPr>
          <w:lang w:eastAsia="cs-CZ"/>
        </w:rPr>
        <w:t>s</w:t>
      </w:r>
      <w:r w:rsidRPr="00284DF5">
        <w:rPr>
          <w:lang w:eastAsia="cs-CZ"/>
        </w:rPr>
        <w:t xml:space="preserve">mlouvy o nájmu pozemků </w:t>
      </w:r>
      <w:r w:rsidR="00CF62CA" w:rsidRPr="00284DF5">
        <w:rPr>
          <w:lang w:eastAsia="cs-CZ"/>
        </w:rPr>
        <w:t>bylo</w:t>
      </w:r>
      <w:r w:rsidRPr="00284DF5">
        <w:rPr>
          <w:lang w:eastAsia="cs-CZ"/>
        </w:rPr>
        <w:t xml:space="preserve"> uvedeno:</w:t>
      </w:r>
      <w:r w:rsidR="003657C5">
        <w:rPr>
          <w:lang w:eastAsia="cs-CZ"/>
        </w:rPr>
        <w:t xml:space="preserve"> </w:t>
      </w:r>
    </w:p>
    <w:p w14:paraId="77C9F081" w14:textId="22E3D7C5" w:rsidR="00BF14F7" w:rsidRPr="003657C5" w:rsidRDefault="00BF14F7" w:rsidP="00883D9E">
      <w:pPr>
        <w:pStyle w:val="KZ-normln"/>
        <w:rPr>
          <w:iCs/>
          <w:lang w:eastAsia="cs-CZ"/>
        </w:rPr>
      </w:pPr>
      <w:r w:rsidRPr="003657C5">
        <w:rPr>
          <w:iCs/>
          <w:lang w:eastAsia="cs-CZ"/>
        </w:rPr>
        <w:t>„</w:t>
      </w:r>
      <w:r w:rsidRPr="00284DF5">
        <w:rPr>
          <w:i/>
          <w:lang w:eastAsia="cs-CZ"/>
        </w:rPr>
        <w:t>S ohledem na možný pohyb cen a míru inflace se smluvní strany dohodly, že výše nájemného bude v tomto směru upravována, přičemž podkladem k těmto úpravám budou oficiální údaje o míře inflace vyhlašované Česk</w:t>
      </w:r>
      <w:r w:rsidR="00C1607C">
        <w:rPr>
          <w:i/>
          <w:lang w:eastAsia="cs-CZ"/>
        </w:rPr>
        <w:t>ý</w:t>
      </w:r>
      <w:r w:rsidRPr="00284DF5">
        <w:rPr>
          <w:i/>
          <w:lang w:eastAsia="cs-CZ"/>
        </w:rPr>
        <w:t>m statistickým úřadem</w:t>
      </w:r>
      <w:r w:rsidRPr="003657C5">
        <w:rPr>
          <w:iCs/>
          <w:lang w:eastAsia="cs-CZ"/>
        </w:rPr>
        <w:t>.“</w:t>
      </w:r>
    </w:p>
    <w:p w14:paraId="38647F93" w14:textId="332E9E42" w:rsidR="00BF14F7" w:rsidRPr="00284DF5" w:rsidRDefault="00A741B9" w:rsidP="00883D9E">
      <w:pPr>
        <w:pStyle w:val="KZ-normln"/>
      </w:pPr>
      <w:r>
        <w:t>L</w:t>
      </w:r>
      <w:r w:rsidR="00BF14F7" w:rsidRPr="00284DF5">
        <w:t>ikvidátor</w:t>
      </w:r>
      <w:r w:rsidR="007F1184">
        <w:t xml:space="preserve"> státního podniku </w:t>
      </w:r>
      <w:r w:rsidR="005E0D21">
        <w:t>(jmenován do funkce likvidátora 1</w:t>
      </w:r>
      <w:r w:rsidR="00C575F8">
        <w:t>6</w:t>
      </w:r>
      <w:r w:rsidR="005E0D21">
        <w:t>. srpna 2018 a působící na této pozici do doby ukončení kontroly)</w:t>
      </w:r>
      <w:r>
        <w:t xml:space="preserve"> předložil NKÚ</w:t>
      </w:r>
      <w:r w:rsidR="007F1184">
        <w:t xml:space="preserve"> v průběhu kontroly</w:t>
      </w:r>
      <w:r>
        <w:t xml:space="preserve"> </w:t>
      </w:r>
      <w:r w:rsidR="00D6542A">
        <w:t>písemný</w:t>
      </w:r>
      <w:r w:rsidR="007F1184">
        <w:t xml:space="preserve"> dokument</w:t>
      </w:r>
      <w:r w:rsidR="00D6542A">
        <w:t xml:space="preserve"> </w:t>
      </w:r>
      <w:r>
        <w:t>ze</w:t>
      </w:r>
      <w:r w:rsidR="00ED0881">
        <w:t> </w:t>
      </w:r>
      <w:r>
        <w:t>d</w:t>
      </w:r>
      <w:r w:rsidRPr="00284DF5">
        <w:t xml:space="preserve">ne 15. </w:t>
      </w:r>
      <w:r>
        <w:t>ledna</w:t>
      </w:r>
      <w:r w:rsidRPr="00284DF5">
        <w:t xml:space="preserve"> 2018</w:t>
      </w:r>
      <w:r>
        <w:t>, ve které</w:t>
      </w:r>
      <w:r w:rsidR="007F1184">
        <w:t>m</w:t>
      </w:r>
      <w:r>
        <w:t xml:space="preserve"> </w:t>
      </w:r>
      <w:r w:rsidRPr="007F1184">
        <w:t>předchozí</w:t>
      </w:r>
      <w:r>
        <w:t xml:space="preserve"> likvidátor reagoval</w:t>
      </w:r>
      <w:r w:rsidRPr="00284DF5">
        <w:t xml:space="preserve"> </w:t>
      </w:r>
      <w:r w:rsidR="00BF14F7" w:rsidRPr="00284DF5">
        <w:t xml:space="preserve">na žádost </w:t>
      </w:r>
      <w:r w:rsidR="00C575F8">
        <w:t>nájemce</w:t>
      </w:r>
      <w:r w:rsidR="003637C9">
        <w:t xml:space="preserve"> </w:t>
      </w:r>
      <w:r w:rsidR="00BF14F7" w:rsidRPr="00284DF5">
        <w:t>o</w:t>
      </w:r>
      <w:r w:rsidR="005E0D21">
        <w:t> </w:t>
      </w:r>
      <w:r w:rsidR="00BF14F7" w:rsidRPr="00284DF5">
        <w:t xml:space="preserve">neuplatnění zvýšení nájemného o inflaci. </w:t>
      </w:r>
      <w:r w:rsidR="005E0D21">
        <w:t>Předchozí l</w:t>
      </w:r>
      <w:r w:rsidR="00CF62CA" w:rsidRPr="00284DF5">
        <w:t>ikvidátor</w:t>
      </w:r>
      <w:r w:rsidR="00BF14F7" w:rsidRPr="00284DF5">
        <w:t xml:space="preserve"> žádost</w:t>
      </w:r>
      <w:r w:rsidR="003637C9">
        <w:t xml:space="preserve"> </w:t>
      </w:r>
      <w:r w:rsidR="00BF14F7" w:rsidRPr="00284DF5">
        <w:t xml:space="preserve">akceptoval s upřesněním, že výše nájemného nebude upravována, pokud průměrná roční míra inflace dle </w:t>
      </w:r>
      <w:r w:rsidR="000C7129">
        <w:lastRenderedPageBreak/>
        <w:t>Českého statistického úřadu (dále jen „</w:t>
      </w:r>
      <w:r w:rsidR="00BF14F7" w:rsidRPr="00284DF5">
        <w:t>ČSÚ</w:t>
      </w:r>
      <w:r w:rsidR="000C7129">
        <w:t>“)</w:t>
      </w:r>
      <w:r w:rsidR="00BF14F7" w:rsidRPr="00284DF5">
        <w:t xml:space="preserve"> nepřekročí hranici 4 %. </w:t>
      </w:r>
      <w:r w:rsidR="005E0D21">
        <w:t>Předchozí l</w:t>
      </w:r>
      <w:r w:rsidR="00CF62CA" w:rsidRPr="00284DF5">
        <w:t>ikvidátor</w:t>
      </w:r>
      <w:r w:rsidR="00BF14F7" w:rsidRPr="00284DF5">
        <w:t xml:space="preserve"> při akceptaci výše uvedené žádosti o</w:t>
      </w:r>
      <w:r w:rsidR="003637C9">
        <w:t> </w:t>
      </w:r>
      <w:r w:rsidR="00BF14F7" w:rsidRPr="00284DF5">
        <w:t xml:space="preserve">neuplatnění zvýšení nájemného o inflaci nepostupoval v souladu s článkem </w:t>
      </w:r>
      <w:r w:rsidR="007A289E" w:rsidRPr="00284DF5">
        <w:t xml:space="preserve">IX. </w:t>
      </w:r>
      <w:r w:rsidR="0005322E">
        <w:t>s</w:t>
      </w:r>
      <w:r w:rsidR="00BF14F7" w:rsidRPr="00284DF5">
        <w:t>mlouvy o</w:t>
      </w:r>
      <w:r w:rsidR="003637C9">
        <w:t> </w:t>
      </w:r>
      <w:r w:rsidR="00BF14F7" w:rsidRPr="00284DF5">
        <w:t xml:space="preserve">nájmu pozemků, kde </w:t>
      </w:r>
      <w:r w:rsidR="00CF62CA" w:rsidRPr="00284DF5">
        <w:t>bylo</w:t>
      </w:r>
      <w:r w:rsidR="00BF14F7" w:rsidRPr="00284DF5">
        <w:t xml:space="preserve"> uvedeno:</w:t>
      </w:r>
      <w:r w:rsidR="00EB4633" w:rsidRPr="00284DF5">
        <w:t xml:space="preserve"> </w:t>
      </w:r>
      <w:r w:rsidR="00BF14F7" w:rsidRPr="003657C5">
        <w:rPr>
          <w:iCs/>
        </w:rPr>
        <w:t>„</w:t>
      </w:r>
      <w:r w:rsidR="00BF14F7" w:rsidRPr="00284DF5">
        <w:rPr>
          <w:i/>
        </w:rPr>
        <w:t>Změny této smlouvy lze činit pouze písemnými číslovanými dodatky podepsanými oběma smluvními stranami</w:t>
      </w:r>
      <w:r w:rsidR="00006D3C" w:rsidRPr="00517807">
        <w:rPr>
          <w:iCs/>
        </w:rPr>
        <w:t>…</w:t>
      </w:r>
      <w:r w:rsidR="00BF14F7" w:rsidRPr="00006D3C">
        <w:rPr>
          <w:iCs/>
        </w:rPr>
        <w:t>“</w:t>
      </w:r>
      <w:r w:rsidR="00EB4633" w:rsidRPr="00006D3C">
        <w:rPr>
          <w:iCs/>
        </w:rPr>
        <w:t>,</w:t>
      </w:r>
      <w:r w:rsidR="00EB4633" w:rsidRPr="00284DF5">
        <w:t xml:space="preserve"> neboť </w:t>
      </w:r>
      <w:r w:rsidR="00BF14F7" w:rsidRPr="00284DF5">
        <w:t xml:space="preserve">neuzavřel </w:t>
      </w:r>
      <w:r w:rsidR="00EB4633" w:rsidRPr="00284DF5">
        <w:t>písemný d</w:t>
      </w:r>
      <w:r w:rsidR="00BF14F7" w:rsidRPr="00284DF5">
        <w:t>odatek ke</w:t>
      </w:r>
      <w:r w:rsidR="003637C9">
        <w:t> </w:t>
      </w:r>
      <w:r w:rsidR="0005322E">
        <w:t>s</w:t>
      </w:r>
      <w:r w:rsidR="00BF14F7" w:rsidRPr="00284DF5">
        <w:t xml:space="preserve">mlouvě </w:t>
      </w:r>
      <w:r w:rsidR="00EB4633" w:rsidRPr="00284DF5">
        <w:t>o</w:t>
      </w:r>
      <w:r w:rsidR="00442BE5">
        <w:t> </w:t>
      </w:r>
      <w:r w:rsidR="00BF14F7" w:rsidRPr="00284DF5">
        <w:t>nájmu pozemků.</w:t>
      </w:r>
    </w:p>
    <w:p w14:paraId="4261F2A0" w14:textId="5D956637" w:rsidR="00BF14F7" w:rsidRPr="00284DF5" w:rsidRDefault="00BF14F7" w:rsidP="00883D9E">
      <w:pPr>
        <w:pStyle w:val="KZ-normln"/>
      </w:pPr>
      <w:r w:rsidRPr="00284DF5">
        <w:t xml:space="preserve">Dne 23. </w:t>
      </w:r>
      <w:r w:rsidR="00EB4633" w:rsidRPr="00284DF5">
        <w:t>ledna</w:t>
      </w:r>
      <w:r w:rsidRPr="00284DF5">
        <w:t xml:space="preserve"> 2023 zaslal </w:t>
      </w:r>
      <w:r w:rsidR="0027676E">
        <w:t xml:space="preserve">nový </w:t>
      </w:r>
      <w:r w:rsidR="00193F89">
        <w:t>likvidátor</w:t>
      </w:r>
      <w:r w:rsidR="00E4142C" w:rsidRPr="00284DF5">
        <w:t xml:space="preserve"> nájemci </w:t>
      </w:r>
      <w:r w:rsidRPr="00284DF5">
        <w:t xml:space="preserve">oznámení o valorizaci nájmu pozemků včetně přílohy týkající se informací o míře inflace včetně jejího vyčíslení. Průměrná roční míra inflace dle </w:t>
      </w:r>
      <w:r w:rsidR="00C575F8">
        <w:t xml:space="preserve">dat </w:t>
      </w:r>
      <w:r w:rsidRPr="00284DF5">
        <w:t>ČSÚ za rok 2022 činila 15,1 %</w:t>
      </w:r>
      <w:r w:rsidR="00E4142C" w:rsidRPr="00284DF5">
        <w:t xml:space="preserve"> a státní podnik jako pronajímatel </w:t>
      </w:r>
      <w:r w:rsidRPr="00284DF5">
        <w:t xml:space="preserve">upravil </w:t>
      </w:r>
      <w:r w:rsidR="00E4142C" w:rsidRPr="00284DF5">
        <w:t xml:space="preserve">nájemci </w:t>
      </w:r>
      <w:r w:rsidRPr="00284DF5">
        <w:t xml:space="preserve">roční nájemné na rok 2023 </w:t>
      </w:r>
      <w:r w:rsidR="005160CE" w:rsidRPr="00284DF5">
        <w:t xml:space="preserve">z částky 122 640 Kč </w:t>
      </w:r>
      <w:r w:rsidRPr="00284DF5">
        <w:t>na částku 141</w:t>
      </w:r>
      <w:r w:rsidR="005160CE" w:rsidRPr="00284DF5">
        <w:t> </w:t>
      </w:r>
      <w:r w:rsidRPr="00284DF5">
        <w:t>158</w:t>
      </w:r>
      <w:r w:rsidR="005160CE" w:rsidRPr="00284DF5">
        <w:t xml:space="preserve"> </w:t>
      </w:r>
      <w:r w:rsidRPr="00284DF5">
        <w:t xml:space="preserve">Kč. </w:t>
      </w:r>
      <w:r w:rsidR="005E0D21">
        <w:t>V roce 2024 likvidátor roční nájemné o inflaci neupravil, přestože míra inflace za rok 2023 činila 10,7</w:t>
      </w:r>
      <w:r w:rsidR="00AC742D">
        <w:t> </w:t>
      </w:r>
      <w:r w:rsidR="005E0D21">
        <w:t>%.</w:t>
      </w:r>
    </w:p>
    <w:p w14:paraId="6CC16EF8" w14:textId="783C0137" w:rsidR="00CE7C40" w:rsidRDefault="00DA695F" w:rsidP="005E0D21">
      <w:pPr>
        <w:pStyle w:val="KZ-normln"/>
        <w:spacing w:before="0" w:after="0"/>
        <w:rPr>
          <w:rFonts w:ascii="Calibri" w:hAnsi="Calibri" w:cs="Calibri"/>
        </w:rPr>
      </w:pPr>
      <w:r w:rsidRPr="00284DF5">
        <w:rPr>
          <w:rFonts w:ascii="Calibri" w:hAnsi="Calibri" w:cs="Calibri"/>
        </w:rPr>
        <w:t>Brněnské papírny, státní podnik – v</w:t>
      </w:r>
      <w:r w:rsidR="0005322E">
        <w:rPr>
          <w:rFonts w:ascii="Calibri" w:hAnsi="Calibri" w:cs="Calibri"/>
        </w:rPr>
        <w:t> </w:t>
      </w:r>
      <w:r w:rsidRPr="00284DF5">
        <w:rPr>
          <w:rFonts w:ascii="Calibri" w:hAnsi="Calibri" w:cs="Calibri"/>
        </w:rPr>
        <w:t>likvidaci</w:t>
      </w:r>
      <w:r w:rsidR="0005322E">
        <w:rPr>
          <w:rFonts w:ascii="Calibri" w:hAnsi="Calibri" w:cs="Calibri"/>
        </w:rPr>
        <w:t>,</w:t>
      </w:r>
      <w:r w:rsidRPr="00284DF5">
        <w:rPr>
          <w:rFonts w:ascii="Calibri" w:hAnsi="Calibri" w:cs="Calibri"/>
        </w:rPr>
        <w:t xml:space="preserve"> </w:t>
      </w:r>
      <w:r w:rsidR="00052813" w:rsidRPr="00284DF5">
        <w:rPr>
          <w:rFonts w:ascii="Calibri" w:hAnsi="Calibri" w:cs="Calibri"/>
        </w:rPr>
        <w:t>uplatnil</w:t>
      </w:r>
      <w:r w:rsidRPr="00284DF5">
        <w:rPr>
          <w:rFonts w:ascii="Calibri" w:hAnsi="Calibri" w:cs="Calibri"/>
        </w:rPr>
        <w:t xml:space="preserve"> inflační doložku </w:t>
      </w:r>
      <w:r w:rsidR="005D109F">
        <w:rPr>
          <w:rFonts w:ascii="Calibri" w:hAnsi="Calibri" w:cs="Calibri"/>
        </w:rPr>
        <w:t>pouze</w:t>
      </w:r>
      <w:r w:rsidRPr="00284DF5">
        <w:rPr>
          <w:rFonts w:ascii="Calibri" w:hAnsi="Calibri" w:cs="Calibri"/>
        </w:rPr>
        <w:t xml:space="preserve"> </w:t>
      </w:r>
      <w:r w:rsidR="00052813" w:rsidRPr="00284DF5">
        <w:rPr>
          <w:rFonts w:ascii="Calibri" w:hAnsi="Calibri" w:cs="Calibri"/>
        </w:rPr>
        <w:t>v</w:t>
      </w:r>
      <w:r w:rsidR="004B0618">
        <w:rPr>
          <w:rFonts w:ascii="Calibri" w:hAnsi="Calibri" w:cs="Calibri"/>
        </w:rPr>
        <w:t> </w:t>
      </w:r>
      <w:r w:rsidR="00052813" w:rsidRPr="00284DF5">
        <w:rPr>
          <w:rFonts w:ascii="Calibri" w:hAnsi="Calibri" w:cs="Calibri"/>
        </w:rPr>
        <w:t>roce</w:t>
      </w:r>
      <w:r w:rsidRPr="00284DF5">
        <w:rPr>
          <w:rFonts w:ascii="Calibri" w:hAnsi="Calibri" w:cs="Calibri"/>
        </w:rPr>
        <w:t xml:space="preserve"> 2023. NKÚ v průběhu kontroly vypočítal, že p</w:t>
      </w:r>
      <w:r w:rsidR="00BF14F7" w:rsidRPr="00284DF5">
        <w:rPr>
          <w:rFonts w:ascii="Calibri" w:hAnsi="Calibri" w:cs="Calibri"/>
        </w:rPr>
        <w:t xml:space="preserve">okud by likvidátor </w:t>
      </w:r>
      <w:r w:rsidRPr="00284DF5">
        <w:rPr>
          <w:rFonts w:ascii="Calibri" w:hAnsi="Calibri" w:cs="Calibri"/>
        </w:rPr>
        <w:t>využíval</w:t>
      </w:r>
      <w:r w:rsidR="00BF14F7" w:rsidRPr="00284DF5">
        <w:rPr>
          <w:rFonts w:ascii="Calibri" w:hAnsi="Calibri" w:cs="Calibri"/>
        </w:rPr>
        <w:t xml:space="preserve"> inflační doložku každoročně</w:t>
      </w:r>
      <w:r w:rsidRPr="00284DF5">
        <w:rPr>
          <w:rFonts w:ascii="Calibri" w:hAnsi="Calibri" w:cs="Calibri"/>
        </w:rPr>
        <w:t xml:space="preserve"> od</w:t>
      </w:r>
      <w:r w:rsidR="00ED0881">
        <w:rPr>
          <w:rFonts w:ascii="Calibri" w:hAnsi="Calibri" w:cs="Calibri"/>
        </w:rPr>
        <w:t> </w:t>
      </w:r>
      <w:r w:rsidRPr="00284DF5">
        <w:rPr>
          <w:rFonts w:ascii="Calibri" w:hAnsi="Calibri" w:cs="Calibri"/>
        </w:rPr>
        <w:t xml:space="preserve">doby uzavření </w:t>
      </w:r>
      <w:r w:rsidR="0005322E">
        <w:rPr>
          <w:rFonts w:ascii="Calibri" w:hAnsi="Calibri" w:cs="Calibri"/>
        </w:rPr>
        <w:t>s</w:t>
      </w:r>
      <w:r w:rsidRPr="00284DF5">
        <w:rPr>
          <w:rFonts w:ascii="Calibri" w:hAnsi="Calibri" w:cs="Calibri"/>
        </w:rPr>
        <w:t>mlouv</w:t>
      </w:r>
      <w:r w:rsidR="00A741B9">
        <w:rPr>
          <w:rFonts w:ascii="Calibri" w:hAnsi="Calibri" w:cs="Calibri"/>
        </w:rPr>
        <w:t>y</w:t>
      </w:r>
      <w:r w:rsidRPr="00284DF5">
        <w:rPr>
          <w:rFonts w:ascii="Calibri" w:hAnsi="Calibri" w:cs="Calibri"/>
        </w:rPr>
        <w:t xml:space="preserve"> o nájmu pozemků</w:t>
      </w:r>
      <w:r w:rsidR="00BF14F7" w:rsidRPr="00284DF5">
        <w:rPr>
          <w:rFonts w:ascii="Calibri" w:hAnsi="Calibri" w:cs="Calibri"/>
        </w:rPr>
        <w:t xml:space="preserve">, </w:t>
      </w:r>
      <w:r w:rsidR="003D3A90">
        <w:rPr>
          <w:rFonts w:ascii="Calibri" w:hAnsi="Calibri" w:cs="Calibri"/>
        </w:rPr>
        <w:t>byla by</w:t>
      </w:r>
      <w:r w:rsidR="00BF14F7" w:rsidRPr="00284DF5">
        <w:rPr>
          <w:rFonts w:ascii="Calibri" w:hAnsi="Calibri" w:cs="Calibri"/>
        </w:rPr>
        <w:t xml:space="preserve"> v roce 2024 výše ročního nájemného 180</w:t>
      </w:r>
      <w:r w:rsidR="00395449">
        <w:rPr>
          <w:rFonts w:ascii="Calibri" w:hAnsi="Calibri" w:cs="Calibri"/>
        </w:rPr>
        <w:t> </w:t>
      </w:r>
      <w:r w:rsidR="005160CE" w:rsidRPr="00284DF5">
        <w:rPr>
          <w:rFonts w:ascii="Calibri" w:hAnsi="Calibri" w:cs="Calibri"/>
        </w:rPr>
        <w:t>084</w:t>
      </w:r>
      <w:r w:rsidR="00395449">
        <w:rPr>
          <w:rFonts w:ascii="Calibri" w:hAnsi="Calibri" w:cs="Calibri"/>
        </w:rPr>
        <w:t> </w:t>
      </w:r>
      <w:r w:rsidR="00BF14F7" w:rsidRPr="00284DF5">
        <w:rPr>
          <w:rFonts w:ascii="Calibri" w:hAnsi="Calibri" w:cs="Calibri"/>
        </w:rPr>
        <w:t>Kč</w:t>
      </w:r>
      <w:r w:rsidR="004A22FB" w:rsidRPr="00284DF5">
        <w:rPr>
          <w:rFonts w:ascii="Calibri" w:hAnsi="Calibri" w:cs="Calibri"/>
        </w:rPr>
        <w:t xml:space="preserve"> místo 141 158 Kč</w:t>
      </w:r>
      <w:r w:rsidR="00BF14F7" w:rsidRPr="00284DF5">
        <w:rPr>
          <w:rFonts w:ascii="Calibri" w:hAnsi="Calibri" w:cs="Calibri"/>
        </w:rPr>
        <w:t xml:space="preserve"> a celkové příjmy z nájemného od</w:t>
      </w:r>
      <w:r w:rsidR="004B0618">
        <w:rPr>
          <w:rFonts w:ascii="Calibri" w:hAnsi="Calibri" w:cs="Calibri"/>
        </w:rPr>
        <w:t> </w:t>
      </w:r>
      <w:r w:rsidR="00BF14F7" w:rsidRPr="00284DF5">
        <w:rPr>
          <w:rFonts w:ascii="Calibri" w:hAnsi="Calibri" w:cs="Calibri"/>
        </w:rPr>
        <w:t xml:space="preserve">podpisu </w:t>
      </w:r>
      <w:r w:rsidR="0005322E">
        <w:rPr>
          <w:rFonts w:ascii="Calibri" w:hAnsi="Calibri" w:cs="Calibri"/>
        </w:rPr>
        <w:t>s</w:t>
      </w:r>
      <w:r w:rsidR="00AA6E5B" w:rsidRPr="00284DF5">
        <w:rPr>
          <w:rFonts w:ascii="Calibri" w:hAnsi="Calibri" w:cs="Calibri"/>
        </w:rPr>
        <w:t>mlouvy o nájmu pozemků</w:t>
      </w:r>
      <w:r w:rsidR="00BF14F7" w:rsidRPr="00284DF5">
        <w:rPr>
          <w:rFonts w:ascii="Calibri" w:hAnsi="Calibri" w:cs="Calibri"/>
        </w:rPr>
        <w:t xml:space="preserve"> do konce roku 2024 by byly </w:t>
      </w:r>
      <w:r w:rsidR="005160CE" w:rsidRPr="00284DF5">
        <w:rPr>
          <w:rFonts w:ascii="Calibri" w:hAnsi="Calibri" w:cs="Calibri"/>
        </w:rPr>
        <w:t>o</w:t>
      </w:r>
      <w:r w:rsidR="00BF14F7" w:rsidRPr="00284DF5">
        <w:rPr>
          <w:rFonts w:ascii="Calibri" w:hAnsi="Calibri" w:cs="Calibri"/>
        </w:rPr>
        <w:t xml:space="preserve"> </w:t>
      </w:r>
      <w:r w:rsidR="005160CE" w:rsidRPr="00284DF5">
        <w:rPr>
          <w:rFonts w:ascii="Calibri" w:hAnsi="Calibri" w:cs="Calibri"/>
        </w:rPr>
        <w:t xml:space="preserve">110 734 </w:t>
      </w:r>
      <w:r w:rsidR="00BF14F7" w:rsidRPr="00284DF5">
        <w:rPr>
          <w:rFonts w:ascii="Calibri" w:hAnsi="Calibri" w:cs="Calibri"/>
        </w:rPr>
        <w:t>Kč vyšší</w:t>
      </w:r>
      <w:r w:rsidR="00883D9E">
        <w:rPr>
          <w:rFonts w:ascii="Calibri" w:hAnsi="Calibri" w:cs="Calibri"/>
        </w:rPr>
        <w:t>.</w:t>
      </w:r>
    </w:p>
    <w:p w14:paraId="54835767" w14:textId="53268B5E" w:rsidR="00E4142C" w:rsidRPr="003657C5" w:rsidRDefault="00E4142C" w:rsidP="00C966F5">
      <w:pPr>
        <w:spacing w:before="120" w:after="40"/>
        <w:rPr>
          <w:rFonts w:asciiTheme="minorHAnsi" w:hAnsiTheme="minorHAnsi" w:cstheme="minorHAnsi"/>
          <w:b/>
          <w:bCs/>
        </w:rPr>
      </w:pPr>
      <w:r w:rsidRPr="003657C5">
        <w:rPr>
          <w:rFonts w:asciiTheme="minorHAnsi" w:hAnsiTheme="minorHAnsi" w:cstheme="minorHAnsi"/>
          <w:b/>
          <w:bCs/>
        </w:rPr>
        <w:t xml:space="preserve">Tabulka č. </w:t>
      </w:r>
      <w:r w:rsidR="00B6334B" w:rsidRPr="003657C5">
        <w:rPr>
          <w:rFonts w:asciiTheme="minorHAnsi" w:hAnsiTheme="minorHAnsi" w:cstheme="minorHAnsi"/>
          <w:b/>
          <w:bCs/>
        </w:rPr>
        <w:t>2</w:t>
      </w:r>
      <w:r w:rsidRPr="003657C5">
        <w:rPr>
          <w:rFonts w:asciiTheme="minorHAnsi" w:hAnsiTheme="minorHAnsi" w:cstheme="minorHAnsi"/>
          <w:b/>
          <w:bCs/>
        </w:rPr>
        <w:t>: Výpočet výše nájemného v případě každoročního využití inflační doložky</w:t>
      </w:r>
    </w:p>
    <w:tbl>
      <w:tblPr>
        <w:tblW w:w="4968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248"/>
        <w:gridCol w:w="2839"/>
        <w:gridCol w:w="2046"/>
        <w:gridCol w:w="1736"/>
      </w:tblGrid>
      <w:tr w:rsidR="00C966F5" w:rsidRPr="00682821" w14:paraId="5230B36E" w14:textId="77777777" w:rsidTr="001E57D6">
        <w:trPr>
          <w:trHeight w:val="113"/>
          <w:jc w:val="center"/>
        </w:trPr>
        <w:tc>
          <w:tcPr>
            <w:tcW w:w="631" w:type="pc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3D8FC" w14:textId="77777777" w:rsidR="00DF63A3" w:rsidRPr="00682821" w:rsidRDefault="00DF63A3" w:rsidP="00FF352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68282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693" w:type="pc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8329C" w14:textId="1ABC5867" w:rsidR="00DF63A3" w:rsidRPr="00682821" w:rsidRDefault="00DF63A3" w:rsidP="00FF352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68282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Průměrná roční inflace</w:t>
            </w:r>
          </w:p>
        </w:tc>
        <w:tc>
          <w:tcPr>
            <w:tcW w:w="1576" w:type="pc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A5633" w14:textId="77777777" w:rsidR="00DF63A3" w:rsidRPr="00682821" w:rsidRDefault="00DF63A3" w:rsidP="00FF352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68282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Vypočtená výše ročního nájemného v případě každoroční valorizace v Kč</w:t>
            </w:r>
          </w:p>
        </w:tc>
        <w:tc>
          <w:tcPr>
            <w:tcW w:w="1136" w:type="pc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9BFF6" w14:textId="77777777" w:rsidR="00DF63A3" w:rsidRPr="00682821" w:rsidRDefault="00DF63A3" w:rsidP="00FF352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68282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Skutečná výše ročního nájemného v Kč</w:t>
            </w:r>
          </w:p>
        </w:tc>
        <w:tc>
          <w:tcPr>
            <w:tcW w:w="964" w:type="pc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62D9E" w14:textId="77777777" w:rsidR="00DF63A3" w:rsidRPr="00682821" w:rsidRDefault="00DF63A3" w:rsidP="00FF352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68282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Rozdíl v Kč</w:t>
            </w:r>
          </w:p>
        </w:tc>
      </w:tr>
      <w:tr w:rsidR="00C966F5" w:rsidRPr="00284DF5" w14:paraId="3511643C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58BBE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EF468" w14:textId="31A81C82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2,50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30157" w14:textId="50B4224D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122 640,00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72BFE" w14:textId="3045676C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122 640,00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F6A65" w14:textId="344BF782" w:rsidR="00E4142C" w:rsidRPr="00284DF5" w:rsidRDefault="00E4142C" w:rsidP="001E57D6">
            <w:pPr>
              <w:ind w:right="572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</w:t>
            </w:r>
          </w:p>
        </w:tc>
      </w:tr>
      <w:tr w:rsidR="00C966F5" w:rsidRPr="00284DF5" w14:paraId="1782B3A1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F11F8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15A2E" w14:textId="7C4D043A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2,10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D7B57" w14:textId="73A4CBBD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125 706,00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19045" w14:textId="1942F16D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122 640,00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894D6" w14:textId="35AE21BF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3 066,00</w:t>
            </w:r>
          </w:p>
        </w:tc>
      </w:tr>
      <w:tr w:rsidR="00C966F5" w:rsidRPr="00284DF5" w14:paraId="6D9599EB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1F1D2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6BFF5" w14:textId="0B955E3D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2,80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EFC76" w14:textId="513C4150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128 345,83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8086C" w14:textId="01B7D5A8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122 640,00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7CAA4" w14:textId="380C94DD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5 705,83</w:t>
            </w:r>
          </w:p>
        </w:tc>
      </w:tr>
      <w:tr w:rsidR="00C966F5" w:rsidRPr="00284DF5" w14:paraId="646F25E0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EC0E1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A2D50" w14:textId="71A96BB1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3,20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92B07" w14:textId="1599A526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131 939,51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4AAFE" w14:textId="661328BB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122 640,00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0D16E" w14:textId="464E2FFA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9 299,51</w:t>
            </w:r>
          </w:p>
        </w:tc>
      </w:tr>
      <w:tr w:rsidR="00C966F5" w:rsidRPr="00284DF5" w14:paraId="5C2E62A5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CF611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8AF08" w14:textId="6633F0CA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3,80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FC355" w14:textId="5D234528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136 161,57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596A1" w14:textId="6D44C2F8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122 640,00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076E7" w14:textId="4A5468E9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13 521,57</w:t>
            </w:r>
          </w:p>
        </w:tc>
      </w:tr>
      <w:tr w:rsidR="00C966F5" w:rsidRPr="00284DF5" w14:paraId="2D0E72F6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B2EE7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34163" w14:textId="4AE8F60B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15,10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05B57" w14:textId="3CE9C500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141 335,71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CF36B" w14:textId="095BA2CD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122 640,00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32F67" w14:textId="4D3BE2F4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18 695,71</w:t>
            </w:r>
          </w:p>
        </w:tc>
      </w:tr>
      <w:tr w:rsidR="00C966F5" w:rsidRPr="00284DF5" w14:paraId="5F526340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D1A77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D0B90" w14:textId="21A0CDC4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10,70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18653" w14:textId="7B8CD08B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162 677,41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B1776" w14:textId="12966321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141 158,00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FE6B4" w14:textId="5B66CF8A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21 519,41</w:t>
            </w:r>
          </w:p>
        </w:tc>
      </w:tr>
      <w:tr w:rsidR="00C966F5" w:rsidRPr="00284DF5" w14:paraId="6CB5BB2D" w14:textId="77777777" w:rsidTr="001E57D6">
        <w:trPr>
          <w:trHeight w:val="113"/>
          <w:jc w:val="center"/>
        </w:trPr>
        <w:tc>
          <w:tcPr>
            <w:tcW w:w="63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6829C" w14:textId="77777777" w:rsidR="00E4142C" w:rsidRPr="00284DF5" w:rsidRDefault="00E4142C" w:rsidP="004E18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D9E3F" w14:textId="310293B3" w:rsidR="00E4142C" w:rsidRPr="00284DF5" w:rsidRDefault="00E4142C" w:rsidP="00C966F5">
            <w:pPr>
              <w:ind w:right="10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2,40</w:t>
            </w:r>
            <w:r w:rsidR="00AA6E5B"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CAF3A" w14:textId="0C3CF1CE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180 083,89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B23D5" w14:textId="40F69A27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141 158,00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A5B19" w14:textId="49D01CE8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38 925,89</w:t>
            </w:r>
          </w:p>
        </w:tc>
      </w:tr>
      <w:tr w:rsidR="00C966F5" w:rsidRPr="00284DF5" w14:paraId="4611ED5B" w14:textId="77777777" w:rsidTr="003657C5">
        <w:trPr>
          <w:trHeight w:val="113"/>
          <w:jc w:val="center"/>
        </w:trPr>
        <w:tc>
          <w:tcPr>
            <w:tcW w:w="6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A992C" w14:textId="310786CE" w:rsidR="00E4142C" w:rsidRPr="00284DF5" w:rsidRDefault="00EB2088" w:rsidP="004E18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C</w:t>
            </w:r>
            <w:r w:rsidR="00E4142C" w:rsidRPr="00284DF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elkem</w:t>
            </w:r>
          </w:p>
        </w:tc>
        <w:tc>
          <w:tcPr>
            <w:tcW w:w="6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2EF25" w14:textId="77777777" w:rsidR="00E4142C" w:rsidRPr="00284DF5" w:rsidRDefault="00E4142C" w:rsidP="003657C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5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D4731" w14:textId="2FA168C1" w:rsidR="00E4142C" w:rsidRPr="00284DF5" w:rsidRDefault="00E4142C" w:rsidP="001E57D6">
            <w:pPr>
              <w:ind w:right="757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1 128 889,92</w:t>
            </w:r>
          </w:p>
        </w:tc>
        <w:tc>
          <w:tcPr>
            <w:tcW w:w="1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0FA18" w14:textId="165F2A99" w:rsidR="00E4142C" w:rsidRPr="00284DF5" w:rsidRDefault="00E4142C" w:rsidP="001E57D6">
            <w:pPr>
              <w:ind w:right="537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1 018 156,00</w:t>
            </w:r>
          </w:p>
        </w:tc>
        <w:tc>
          <w:tcPr>
            <w:tcW w:w="9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735A6" w14:textId="0EC6A258" w:rsidR="00E4142C" w:rsidRPr="00284DF5" w:rsidRDefault="00E4142C" w:rsidP="001E57D6">
            <w:pPr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284DF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110 733,92</w:t>
            </w:r>
          </w:p>
        </w:tc>
      </w:tr>
    </w:tbl>
    <w:p w14:paraId="7169FE89" w14:textId="3DC09724" w:rsidR="005E0D21" w:rsidRPr="000734E9" w:rsidRDefault="00E4142C" w:rsidP="00C966F5">
      <w:pPr>
        <w:ind w:left="567" w:hanging="567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C966F5"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  <w:t xml:space="preserve">Zdroj: </w:t>
      </w:r>
      <w:r w:rsidR="0005322E">
        <w:rPr>
          <w:rFonts w:asciiTheme="minorHAnsi" w:eastAsiaTheme="minorHAnsi" w:hAnsiTheme="minorHAnsi" w:cstheme="minorHAnsi"/>
          <w:iCs/>
          <w:sz w:val="20"/>
          <w:szCs w:val="20"/>
        </w:rPr>
        <w:t>s</w:t>
      </w:r>
      <w:r w:rsidR="00460AAE" w:rsidRPr="000734E9">
        <w:rPr>
          <w:rFonts w:asciiTheme="minorHAnsi" w:eastAsiaTheme="minorHAnsi" w:hAnsiTheme="minorHAnsi" w:cstheme="minorHAnsi"/>
          <w:iCs/>
          <w:sz w:val="20"/>
          <w:szCs w:val="20"/>
        </w:rPr>
        <w:t>mlouva o nájmu pozemků ze dne 9. března 2017, m</w:t>
      </w:r>
      <w:r w:rsidR="00AA6E5B" w:rsidRPr="000734E9">
        <w:rPr>
          <w:rFonts w:asciiTheme="minorHAnsi" w:eastAsiaTheme="minorHAnsi" w:hAnsiTheme="minorHAnsi" w:cstheme="minorHAnsi"/>
          <w:iCs/>
          <w:sz w:val="20"/>
          <w:szCs w:val="20"/>
        </w:rPr>
        <w:t>íra inflace v letech 2017 až 2024 zveřejněná ČSÚ</w:t>
      </w:r>
      <w:r w:rsidR="0005322E">
        <w:rPr>
          <w:rFonts w:asciiTheme="minorHAnsi" w:eastAsiaTheme="minorHAnsi" w:hAnsiTheme="minorHAnsi" w:cstheme="minorHAnsi"/>
          <w:iCs/>
          <w:sz w:val="20"/>
          <w:szCs w:val="20"/>
        </w:rPr>
        <w:t>,</w:t>
      </w:r>
      <w:r w:rsidR="00AA6E5B" w:rsidRPr="000734E9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0734E9">
        <w:rPr>
          <w:rFonts w:asciiTheme="minorHAnsi" w:eastAsiaTheme="minorHAnsi" w:hAnsiTheme="minorHAnsi" w:cstheme="minorHAnsi"/>
          <w:iCs/>
          <w:sz w:val="20"/>
          <w:szCs w:val="20"/>
        </w:rPr>
        <w:t>výpočet</w:t>
      </w:r>
      <w:r w:rsidR="0005322E">
        <w:rPr>
          <w:rFonts w:asciiTheme="minorHAnsi" w:eastAsiaTheme="minorHAnsi" w:hAnsiTheme="minorHAnsi" w:cstheme="minorHAnsi"/>
          <w:iCs/>
          <w:sz w:val="20"/>
          <w:szCs w:val="20"/>
        </w:rPr>
        <w:t xml:space="preserve"> vypracoval</w:t>
      </w:r>
      <w:r w:rsidR="00AA6E5B" w:rsidRPr="000734E9">
        <w:rPr>
          <w:rFonts w:asciiTheme="minorHAnsi" w:eastAsiaTheme="minorHAnsi" w:hAnsiTheme="minorHAnsi" w:cstheme="minorHAnsi"/>
          <w:iCs/>
          <w:sz w:val="20"/>
          <w:szCs w:val="20"/>
        </w:rPr>
        <w:t xml:space="preserve"> NKÚ.</w:t>
      </w:r>
    </w:p>
    <w:p w14:paraId="3D0953B9" w14:textId="77777777" w:rsidR="005E0D21" w:rsidRPr="00C966F5" w:rsidRDefault="005E0D21" w:rsidP="005E0D21">
      <w:pPr>
        <w:rPr>
          <w:rFonts w:eastAsiaTheme="minorHAnsi"/>
          <w:iCs/>
        </w:rPr>
      </w:pPr>
    </w:p>
    <w:p w14:paraId="1FCAAB33" w14:textId="53E9FB81" w:rsidR="004502C7" w:rsidRPr="00024CA0" w:rsidRDefault="00BF14F7" w:rsidP="00024CA0">
      <w:pPr>
        <w:pBdr>
          <w:top w:val="single" w:sz="18" w:space="1" w:color="AF1953" w:themeColor="accent3"/>
          <w:left w:val="single" w:sz="18" w:space="4" w:color="AF1953" w:themeColor="accent3"/>
          <w:bottom w:val="single" w:sz="18" w:space="1" w:color="AF1953" w:themeColor="accent3"/>
          <w:right w:val="single" w:sz="18" w:space="4" w:color="AF1953" w:themeColor="accent3"/>
        </w:pBdr>
        <w:shd w:val="clear" w:color="auto" w:fill="F4E4E8" w:themeFill="accent6" w:themeFillTint="33"/>
        <w:rPr>
          <w:b/>
          <w:bCs/>
          <w:szCs w:val="22"/>
        </w:rPr>
      </w:pPr>
      <w:r w:rsidRPr="005022EA">
        <w:rPr>
          <w:b/>
          <w:bCs/>
          <w:szCs w:val="22"/>
          <w:lang w:eastAsia="cs-CZ"/>
        </w:rPr>
        <w:t>Likvidátor státního podniku Brněnské papírny, státní podnik – v</w:t>
      </w:r>
      <w:r w:rsidR="0005322E">
        <w:rPr>
          <w:b/>
          <w:bCs/>
          <w:szCs w:val="22"/>
          <w:lang w:eastAsia="cs-CZ"/>
        </w:rPr>
        <w:t> </w:t>
      </w:r>
      <w:r w:rsidRPr="005022EA">
        <w:rPr>
          <w:b/>
          <w:bCs/>
          <w:szCs w:val="22"/>
          <w:lang w:eastAsia="cs-CZ"/>
        </w:rPr>
        <w:t>likvidaci</w:t>
      </w:r>
      <w:r w:rsidR="0005322E">
        <w:rPr>
          <w:b/>
          <w:bCs/>
          <w:szCs w:val="22"/>
          <w:lang w:eastAsia="cs-CZ"/>
        </w:rPr>
        <w:t>,</w:t>
      </w:r>
      <w:r w:rsidRPr="005022EA">
        <w:rPr>
          <w:b/>
          <w:bCs/>
          <w:szCs w:val="22"/>
          <w:lang w:eastAsia="cs-CZ"/>
        </w:rPr>
        <w:t xml:space="preserve"> porušil</w:t>
      </w:r>
      <w:r w:rsidR="00193F89" w:rsidRPr="005022EA">
        <w:rPr>
          <w:b/>
          <w:bCs/>
          <w:szCs w:val="22"/>
          <w:lang w:eastAsia="cs-CZ"/>
        </w:rPr>
        <w:t xml:space="preserve"> povinnost</w:t>
      </w:r>
      <w:r w:rsidR="001E528D" w:rsidRPr="005022EA">
        <w:rPr>
          <w:b/>
          <w:bCs/>
          <w:szCs w:val="22"/>
          <w:lang w:eastAsia="cs-CZ"/>
        </w:rPr>
        <w:t xml:space="preserve"> počínat si s péči řádného hospodáře</w:t>
      </w:r>
      <w:r w:rsidR="00193F89" w:rsidRPr="005022EA">
        <w:rPr>
          <w:b/>
          <w:bCs/>
          <w:szCs w:val="22"/>
          <w:lang w:eastAsia="cs-CZ"/>
        </w:rPr>
        <w:t xml:space="preserve"> danou</w:t>
      </w:r>
      <w:r w:rsidR="003B493D" w:rsidRPr="005022EA">
        <w:rPr>
          <w:b/>
          <w:bCs/>
          <w:szCs w:val="22"/>
          <w:lang w:eastAsia="cs-CZ"/>
        </w:rPr>
        <w:t xml:space="preserve"> </w:t>
      </w:r>
      <w:r w:rsidR="00023E34">
        <w:rPr>
          <w:b/>
          <w:bCs/>
          <w:szCs w:val="22"/>
          <w:lang w:eastAsia="cs-CZ"/>
        </w:rPr>
        <w:t>zákonem</w:t>
      </w:r>
      <w:r w:rsidRPr="005022EA">
        <w:rPr>
          <w:b/>
          <w:bCs/>
          <w:szCs w:val="22"/>
        </w:rPr>
        <w:t xml:space="preserve"> č. 77/1997 Sb.</w:t>
      </w:r>
      <w:r w:rsidR="007F1184">
        <w:rPr>
          <w:b/>
          <w:bCs/>
          <w:szCs w:val="22"/>
        </w:rPr>
        <w:t xml:space="preserve"> </w:t>
      </w:r>
      <w:r w:rsidRPr="005022EA">
        <w:rPr>
          <w:b/>
          <w:bCs/>
          <w:szCs w:val="22"/>
          <w:lang w:eastAsia="cs-CZ"/>
        </w:rPr>
        <w:t xml:space="preserve">tím, </w:t>
      </w:r>
      <w:r w:rsidRPr="005022EA">
        <w:rPr>
          <w:b/>
          <w:bCs/>
          <w:szCs w:val="22"/>
        </w:rPr>
        <w:t>že nevyužil ujednání o </w:t>
      </w:r>
      <w:r w:rsidR="007F1184" w:rsidRPr="000C7129">
        <w:rPr>
          <w:b/>
          <w:bCs/>
          <w:szCs w:val="22"/>
        </w:rPr>
        <w:t>z</w:t>
      </w:r>
      <w:r w:rsidRPr="000C7129">
        <w:rPr>
          <w:b/>
          <w:bCs/>
          <w:szCs w:val="22"/>
        </w:rPr>
        <w:t>vyšování nájemného o inflaci, a tím snížil v letech 2017 až 2024 výnos ze</w:t>
      </w:r>
      <w:r w:rsidR="003657C5">
        <w:rPr>
          <w:b/>
          <w:bCs/>
          <w:szCs w:val="22"/>
        </w:rPr>
        <w:t xml:space="preserve"> </w:t>
      </w:r>
      <w:r w:rsidRPr="000C7129">
        <w:rPr>
          <w:b/>
          <w:bCs/>
          <w:szCs w:val="22"/>
        </w:rPr>
        <w:t>svěřeného majetku o </w:t>
      </w:r>
      <w:r w:rsidR="000C7129" w:rsidRPr="000C7129">
        <w:rPr>
          <w:b/>
          <w:bCs/>
        </w:rPr>
        <w:t xml:space="preserve">110 734 </w:t>
      </w:r>
      <w:r w:rsidRPr="000C7129">
        <w:rPr>
          <w:b/>
          <w:bCs/>
          <w:szCs w:val="22"/>
        </w:rPr>
        <w:t>Kč.</w:t>
      </w:r>
      <w:r w:rsidRPr="005022EA">
        <w:rPr>
          <w:b/>
          <w:bCs/>
          <w:szCs w:val="22"/>
        </w:rPr>
        <w:t xml:space="preserve"> </w:t>
      </w:r>
    </w:p>
    <w:p w14:paraId="1473C1E3" w14:textId="77777777" w:rsidR="00FF06A1" w:rsidRPr="000734E9" w:rsidRDefault="00FF06A1" w:rsidP="000C7129">
      <w:pPr>
        <w:spacing w:after="160" w:line="259" w:lineRule="auto"/>
        <w:rPr>
          <w:bCs/>
          <w:color w:val="auto"/>
        </w:rPr>
      </w:pPr>
    </w:p>
    <w:p w14:paraId="7615D829" w14:textId="0C4B3A3E" w:rsidR="00B6334B" w:rsidRPr="000734E9" w:rsidRDefault="00B6334B" w:rsidP="000734E9">
      <w:pPr>
        <w:spacing w:before="480" w:after="120"/>
        <w:rPr>
          <w:bCs/>
          <w:color w:val="auto"/>
        </w:rPr>
      </w:pPr>
      <w:r w:rsidRPr="000734E9">
        <w:rPr>
          <w:rFonts w:eastAsia="Calibri"/>
          <w:b/>
          <w:color w:val="auto"/>
        </w:rPr>
        <w:t>Seznam zkratek</w:t>
      </w:r>
    </w:p>
    <w:p w14:paraId="46D14909" w14:textId="60EADC86" w:rsidR="00B6334B" w:rsidRPr="00284DF5" w:rsidRDefault="00B6334B" w:rsidP="000734E9">
      <w:pPr>
        <w:spacing w:before="120" w:after="120"/>
        <w:ind w:left="2268" w:hanging="2268"/>
        <w:jc w:val="left"/>
        <w:rPr>
          <w:rFonts w:asciiTheme="minorHAnsi" w:eastAsia="Calibri" w:hAnsiTheme="minorHAnsi" w:cstheme="minorHAnsi"/>
          <w:color w:val="auto"/>
        </w:rPr>
      </w:pPr>
      <w:r w:rsidRPr="00284DF5">
        <w:rPr>
          <w:rFonts w:asciiTheme="minorHAnsi" w:eastAsia="Calibri" w:hAnsiTheme="minorHAnsi" w:cstheme="minorHAnsi"/>
          <w:color w:val="auto"/>
        </w:rPr>
        <w:t>ČNB</w:t>
      </w:r>
      <w:r w:rsidRPr="00284DF5">
        <w:rPr>
          <w:rFonts w:asciiTheme="minorHAnsi" w:eastAsia="Calibri" w:hAnsiTheme="minorHAnsi" w:cstheme="minorHAnsi"/>
          <w:color w:val="auto"/>
        </w:rPr>
        <w:tab/>
      </w:r>
      <w:r w:rsidRPr="00284DF5">
        <w:rPr>
          <w:rFonts w:asciiTheme="minorHAnsi" w:eastAsia="Calibri" w:hAnsiTheme="minorHAnsi" w:cstheme="minorHAnsi"/>
          <w:color w:val="auto"/>
        </w:rPr>
        <w:tab/>
        <w:t>Česká národní banka</w:t>
      </w:r>
    </w:p>
    <w:p w14:paraId="65EBB509" w14:textId="603D2C29" w:rsidR="00B6334B" w:rsidRPr="00284DF5" w:rsidRDefault="00B6334B" w:rsidP="000734E9">
      <w:pPr>
        <w:spacing w:before="120" w:after="120"/>
        <w:ind w:left="2268" w:hanging="2268"/>
        <w:jc w:val="left"/>
        <w:rPr>
          <w:rFonts w:asciiTheme="minorHAnsi" w:eastAsia="Calibri" w:hAnsiTheme="minorHAnsi" w:cstheme="minorHAnsi"/>
          <w:color w:val="auto"/>
        </w:rPr>
      </w:pPr>
      <w:r w:rsidRPr="00284DF5">
        <w:rPr>
          <w:rFonts w:asciiTheme="minorHAnsi" w:eastAsia="Calibri" w:hAnsiTheme="minorHAnsi" w:cstheme="minorHAnsi"/>
          <w:color w:val="auto"/>
        </w:rPr>
        <w:t>ČR</w:t>
      </w:r>
      <w:r w:rsidRPr="00284DF5">
        <w:rPr>
          <w:rFonts w:asciiTheme="minorHAnsi" w:eastAsia="Calibri" w:hAnsiTheme="minorHAnsi" w:cstheme="minorHAnsi"/>
          <w:color w:val="auto"/>
        </w:rPr>
        <w:tab/>
      </w:r>
      <w:r w:rsidRPr="00284DF5">
        <w:rPr>
          <w:rFonts w:asciiTheme="minorHAnsi" w:eastAsia="Calibri" w:hAnsiTheme="minorHAnsi" w:cstheme="minorHAnsi"/>
          <w:color w:val="auto"/>
        </w:rPr>
        <w:tab/>
        <w:t>Česká republika</w:t>
      </w:r>
    </w:p>
    <w:p w14:paraId="1E8D0126" w14:textId="0595FE1B" w:rsidR="00B6334B" w:rsidRPr="00284DF5" w:rsidRDefault="00B6334B" w:rsidP="000734E9">
      <w:pPr>
        <w:spacing w:before="120" w:after="120"/>
        <w:ind w:left="2268" w:hanging="2268"/>
        <w:jc w:val="left"/>
        <w:rPr>
          <w:rFonts w:asciiTheme="minorHAnsi" w:eastAsia="Calibri" w:hAnsiTheme="minorHAnsi" w:cstheme="minorHAnsi"/>
          <w:color w:val="auto"/>
        </w:rPr>
      </w:pPr>
      <w:r w:rsidRPr="00284DF5">
        <w:rPr>
          <w:rFonts w:asciiTheme="minorHAnsi" w:eastAsia="Calibri" w:hAnsiTheme="minorHAnsi" w:cstheme="minorHAnsi"/>
          <w:color w:val="auto"/>
        </w:rPr>
        <w:t>ČSÚ</w:t>
      </w:r>
      <w:r w:rsidRPr="00284DF5">
        <w:rPr>
          <w:rFonts w:asciiTheme="minorHAnsi" w:eastAsia="Calibri" w:hAnsiTheme="minorHAnsi" w:cstheme="minorHAnsi"/>
          <w:color w:val="auto"/>
        </w:rPr>
        <w:tab/>
      </w:r>
      <w:r w:rsidRPr="00284DF5">
        <w:rPr>
          <w:rFonts w:asciiTheme="minorHAnsi" w:eastAsia="Calibri" w:hAnsiTheme="minorHAnsi" w:cstheme="minorHAnsi"/>
          <w:color w:val="auto"/>
        </w:rPr>
        <w:tab/>
        <w:t>Český statistický úřad</w:t>
      </w:r>
    </w:p>
    <w:p w14:paraId="2271D158" w14:textId="7FB98300" w:rsidR="00B6334B" w:rsidRPr="00284DF5" w:rsidRDefault="00B6334B" w:rsidP="000734E9">
      <w:pPr>
        <w:spacing w:before="120" w:after="120"/>
        <w:ind w:left="2268" w:hanging="2268"/>
        <w:jc w:val="left"/>
        <w:rPr>
          <w:rFonts w:asciiTheme="minorHAnsi" w:eastAsia="Calibri" w:hAnsiTheme="minorHAnsi" w:cstheme="minorHAnsi"/>
          <w:color w:val="auto"/>
        </w:rPr>
      </w:pPr>
      <w:r w:rsidRPr="00284DF5">
        <w:rPr>
          <w:rFonts w:asciiTheme="minorHAnsi" w:eastAsia="Calibri" w:hAnsiTheme="minorHAnsi" w:cstheme="minorHAnsi"/>
          <w:color w:val="auto"/>
        </w:rPr>
        <w:t>MPO</w:t>
      </w:r>
      <w:r w:rsidRPr="00284DF5">
        <w:rPr>
          <w:rFonts w:asciiTheme="minorHAnsi" w:eastAsia="Calibri" w:hAnsiTheme="minorHAnsi" w:cstheme="minorHAnsi"/>
          <w:color w:val="auto"/>
        </w:rPr>
        <w:tab/>
      </w:r>
      <w:r w:rsidRPr="00284DF5">
        <w:rPr>
          <w:rFonts w:asciiTheme="minorHAnsi" w:eastAsia="Calibri" w:hAnsiTheme="minorHAnsi" w:cstheme="minorHAnsi"/>
          <w:color w:val="auto"/>
        </w:rPr>
        <w:tab/>
        <w:t>Ministerstvo průmyslu a obchodu</w:t>
      </w:r>
    </w:p>
    <w:p w14:paraId="0378DBD6" w14:textId="4658C81B" w:rsidR="00B6334B" w:rsidRPr="00284DF5" w:rsidRDefault="00B6334B" w:rsidP="000734E9">
      <w:pPr>
        <w:spacing w:before="120" w:after="120"/>
        <w:ind w:left="2268" w:hanging="2268"/>
        <w:jc w:val="left"/>
        <w:rPr>
          <w:rFonts w:asciiTheme="minorHAnsi" w:eastAsia="Calibri" w:hAnsiTheme="minorHAnsi" w:cstheme="minorHAnsi"/>
          <w:color w:val="auto"/>
        </w:rPr>
      </w:pPr>
      <w:proofErr w:type="spellStart"/>
      <w:r w:rsidRPr="00284DF5">
        <w:rPr>
          <w:rFonts w:asciiTheme="minorHAnsi" w:eastAsia="Calibri" w:hAnsiTheme="minorHAnsi" w:cstheme="minorHAnsi"/>
          <w:color w:val="auto"/>
        </w:rPr>
        <w:t>MZe</w:t>
      </w:r>
      <w:proofErr w:type="spellEnd"/>
      <w:r w:rsidRPr="00284DF5">
        <w:rPr>
          <w:rFonts w:asciiTheme="minorHAnsi" w:eastAsia="Calibri" w:hAnsiTheme="minorHAnsi" w:cstheme="minorHAnsi"/>
          <w:color w:val="auto"/>
        </w:rPr>
        <w:tab/>
      </w:r>
      <w:r w:rsidRPr="00284DF5">
        <w:rPr>
          <w:rFonts w:asciiTheme="minorHAnsi" w:eastAsia="Calibri" w:hAnsiTheme="minorHAnsi" w:cstheme="minorHAnsi"/>
          <w:color w:val="auto"/>
        </w:rPr>
        <w:tab/>
        <w:t>Ministerstvo zemědělství</w:t>
      </w:r>
    </w:p>
    <w:p w14:paraId="021A2921" w14:textId="7FC20370" w:rsidR="00442BE5" w:rsidRDefault="00B6334B" w:rsidP="000734E9">
      <w:pPr>
        <w:spacing w:before="120" w:after="120"/>
        <w:ind w:left="2268" w:hanging="2268"/>
        <w:jc w:val="left"/>
        <w:rPr>
          <w:rFonts w:asciiTheme="minorHAnsi" w:eastAsia="Calibri" w:hAnsiTheme="minorHAnsi" w:cstheme="minorHAnsi"/>
          <w:color w:val="auto"/>
        </w:rPr>
      </w:pPr>
      <w:r w:rsidRPr="00284DF5">
        <w:rPr>
          <w:rFonts w:asciiTheme="minorHAnsi" w:eastAsia="Calibri" w:hAnsiTheme="minorHAnsi" w:cstheme="minorHAnsi"/>
          <w:color w:val="auto"/>
        </w:rPr>
        <w:t>NKÚ</w:t>
      </w:r>
      <w:r w:rsidRPr="00284DF5">
        <w:rPr>
          <w:rFonts w:asciiTheme="minorHAnsi" w:eastAsia="Calibri" w:hAnsiTheme="minorHAnsi" w:cstheme="minorHAnsi"/>
          <w:color w:val="auto"/>
        </w:rPr>
        <w:tab/>
      </w:r>
      <w:r w:rsidRPr="00284DF5">
        <w:rPr>
          <w:rFonts w:asciiTheme="minorHAnsi" w:eastAsia="Calibri" w:hAnsiTheme="minorHAnsi" w:cstheme="minorHAnsi"/>
          <w:color w:val="auto"/>
        </w:rPr>
        <w:tab/>
        <w:t>Nejvyšší kontrolní úřad</w:t>
      </w:r>
    </w:p>
    <w:p w14:paraId="327846D9" w14:textId="3DC58A0E" w:rsidR="00DF63A3" w:rsidRPr="000734E9" w:rsidRDefault="00F7668A" w:rsidP="008F0375">
      <w:pPr>
        <w:spacing w:after="160" w:line="259" w:lineRule="auto"/>
        <w:jc w:val="right"/>
        <w:rPr>
          <w:rFonts w:asciiTheme="minorHAnsi" w:eastAsia="Calibri" w:hAnsiTheme="minorHAnsi" w:cstheme="minorHAnsi"/>
          <w:b/>
          <w:color w:val="auto"/>
        </w:rPr>
      </w:pPr>
      <w:r>
        <w:rPr>
          <w:rFonts w:asciiTheme="minorHAnsi" w:eastAsia="Calibri" w:hAnsiTheme="minorHAnsi" w:cstheme="minorHAnsi"/>
          <w:color w:val="auto"/>
        </w:rPr>
        <w:br w:type="page"/>
      </w:r>
      <w:r w:rsidR="00C938C5" w:rsidRPr="000734E9">
        <w:rPr>
          <w:b/>
          <w:color w:val="auto"/>
        </w:rPr>
        <w:lastRenderedPageBreak/>
        <w:t>Příloha</w:t>
      </w:r>
      <w:r w:rsidR="0025323E" w:rsidRPr="000734E9">
        <w:rPr>
          <w:b/>
          <w:color w:val="auto"/>
        </w:rPr>
        <w:t xml:space="preserve"> č. 1</w:t>
      </w:r>
    </w:p>
    <w:p w14:paraId="223539A9" w14:textId="6972AF35" w:rsidR="00C938C5" w:rsidRPr="002F1B9F" w:rsidRDefault="00C938C5" w:rsidP="000734E9">
      <w:pPr>
        <w:pStyle w:val="Odstavecseseznamem"/>
        <w:spacing w:before="240" w:after="120"/>
        <w:ind w:left="0"/>
        <w:contextualSpacing w:val="0"/>
        <w:jc w:val="center"/>
        <w:rPr>
          <w:b/>
          <w:color w:val="auto"/>
        </w:rPr>
      </w:pPr>
      <w:r w:rsidRPr="0082345E">
        <w:rPr>
          <w:rFonts w:asciiTheme="minorHAnsi" w:hAnsiTheme="minorHAnsi" w:cstheme="minorHAnsi"/>
          <w:b/>
          <w:color w:val="232323"/>
          <w:shd w:val="clear" w:color="auto" w:fill="FFFFFF"/>
        </w:rPr>
        <w:t xml:space="preserve">Státní podniky v likvidaci v letech 2020 až 2024, </w:t>
      </w:r>
      <w:r w:rsidR="00C36DCF">
        <w:rPr>
          <w:rFonts w:asciiTheme="minorHAnsi" w:hAnsiTheme="minorHAnsi" w:cstheme="minorHAnsi"/>
          <w:b/>
          <w:color w:val="232323"/>
          <w:shd w:val="clear" w:color="auto" w:fill="FFFFFF"/>
        </w:rPr>
        <w:t>jejichž</w:t>
      </w:r>
      <w:r w:rsidRPr="0082345E">
        <w:rPr>
          <w:rFonts w:asciiTheme="minorHAnsi" w:hAnsiTheme="minorHAnsi" w:cstheme="minorHAnsi"/>
          <w:b/>
          <w:color w:val="232323"/>
          <w:shd w:val="clear" w:color="auto" w:fill="FFFFFF"/>
        </w:rPr>
        <w:t xml:space="preserve"> zakladatelem</w:t>
      </w:r>
      <w:r>
        <w:rPr>
          <w:rFonts w:asciiTheme="minorHAnsi" w:hAnsiTheme="minorHAnsi" w:cstheme="minorHAnsi"/>
          <w:b/>
          <w:color w:val="232323"/>
          <w:shd w:val="clear" w:color="auto" w:fill="FFFFFF"/>
        </w:rPr>
        <w:t xml:space="preserve"> </w:t>
      </w:r>
      <w:r w:rsidR="00C36DCF" w:rsidRPr="0082345E">
        <w:rPr>
          <w:rFonts w:asciiTheme="minorHAnsi" w:hAnsiTheme="minorHAnsi" w:cstheme="minorHAnsi"/>
          <w:b/>
          <w:color w:val="232323"/>
          <w:shd w:val="clear" w:color="auto" w:fill="FFFFFF"/>
        </w:rPr>
        <w:t>bylo</w:t>
      </w:r>
      <w:r w:rsidR="00C36DCF">
        <w:rPr>
          <w:rFonts w:asciiTheme="minorHAnsi" w:hAnsiTheme="minorHAnsi" w:cstheme="minorHAnsi"/>
          <w:b/>
          <w:color w:val="232323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232323"/>
          <w:shd w:val="clear" w:color="auto" w:fill="FFFFFF"/>
        </w:rPr>
        <w:t xml:space="preserve">MPO a </w:t>
      </w:r>
      <w:proofErr w:type="spellStart"/>
      <w:r>
        <w:rPr>
          <w:rFonts w:asciiTheme="minorHAnsi" w:hAnsiTheme="minorHAnsi" w:cstheme="minorHAnsi"/>
          <w:b/>
          <w:color w:val="232323"/>
          <w:shd w:val="clear" w:color="auto" w:fill="FFFFFF"/>
        </w:rPr>
        <w:t>MZe</w:t>
      </w:r>
      <w:proofErr w:type="spellEnd"/>
    </w:p>
    <w:tbl>
      <w:tblPr>
        <w:tblStyle w:val="Mkatabulky"/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4252"/>
        <w:gridCol w:w="964"/>
        <w:gridCol w:w="3118"/>
      </w:tblGrid>
      <w:tr w:rsidR="00DF63A3" w:rsidRPr="00D9624A" w14:paraId="6851B03A" w14:textId="77777777" w:rsidTr="00812267">
        <w:trPr>
          <w:trHeight w:val="255"/>
          <w:jc w:val="center"/>
        </w:trPr>
        <w:tc>
          <w:tcPr>
            <w:tcW w:w="737" w:type="dxa"/>
            <w:shd w:val="clear" w:color="auto" w:fill="E6E6E6"/>
            <w:vAlign w:val="center"/>
          </w:tcPr>
          <w:p w14:paraId="09BA1994" w14:textId="63D42C94" w:rsidR="00DF63A3" w:rsidRPr="00D9624A" w:rsidRDefault="00DF63A3" w:rsidP="00D9624A">
            <w:pPr>
              <w:spacing w:before="100" w:after="10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  <w:proofErr w:type="spellStart"/>
            <w:r w:rsidRPr="00D9624A">
              <w:rPr>
                <w:b/>
                <w:color w:val="auto"/>
                <w:sz w:val="18"/>
                <w:szCs w:val="18"/>
              </w:rPr>
              <w:t>Zakla</w:t>
            </w:r>
            <w:proofErr w:type="spellEnd"/>
            <w:r w:rsidR="0005322E">
              <w:rPr>
                <w:b/>
                <w:color w:val="auto"/>
                <w:sz w:val="18"/>
                <w:szCs w:val="18"/>
              </w:rPr>
              <w:t>-</w:t>
            </w:r>
            <w:r w:rsidRPr="00D9624A">
              <w:rPr>
                <w:b/>
                <w:color w:val="auto"/>
                <w:sz w:val="18"/>
                <w:szCs w:val="18"/>
              </w:rPr>
              <w:t>datel</w:t>
            </w:r>
          </w:p>
        </w:tc>
        <w:tc>
          <w:tcPr>
            <w:tcW w:w="4252" w:type="dxa"/>
            <w:shd w:val="clear" w:color="auto" w:fill="E6E6E6"/>
            <w:vAlign w:val="center"/>
          </w:tcPr>
          <w:p w14:paraId="4373E682" w14:textId="36CFD929" w:rsidR="00DF63A3" w:rsidRPr="00D9624A" w:rsidRDefault="00DF63A3" w:rsidP="00D9624A">
            <w:pPr>
              <w:spacing w:before="100" w:after="10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/>
                <w:color w:val="auto"/>
                <w:sz w:val="18"/>
                <w:szCs w:val="18"/>
              </w:rPr>
              <w:t>Název státního podniku</w:t>
            </w:r>
          </w:p>
        </w:tc>
        <w:tc>
          <w:tcPr>
            <w:tcW w:w="964" w:type="dxa"/>
            <w:shd w:val="clear" w:color="auto" w:fill="E6E6E6"/>
            <w:vAlign w:val="center"/>
          </w:tcPr>
          <w:p w14:paraId="505ED55A" w14:textId="5ECABDDA" w:rsidR="00DF63A3" w:rsidRPr="00D9624A" w:rsidRDefault="00DF63A3" w:rsidP="00D9624A">
            <w:pPr>
              <w:spacing w:before="100" w:after="100"/>
              <w:jc w:val="center"/>
              <w:rPr>
                <w:sz w:val="18"/>
                <w:szCs w:val="18"/>
              </w:rPr>
            </w:pPr>
            <w:r w:rsidRPr="00D9624A">
              <w:rPr>
                <w:b/>
                <w:color w:val="auto"/>
                <w:sz w:val="18"/>
                <w:szCs w:val="18"/>
              </w:rPr>
              <w:t>IČ</w:t>
            </w:r>
          </w:p>
        </w:tc>
        <w:tc>
          <w:tcPr>
            <w:tcW w:w="3118" w:type="dxa"/>
            <w:shd w:val="clear" w:color="auto" w:fill="E6E6E6"/>
            <w:vAlign w:val="center"/>
          </w:tcPr>
          <w:p w14:paraId="612BCC83" w14:textId="22E24ABC" w:rsidR="00DF63A3" w:rsidRPr="00D9624A" w:rsidRDefault="00DF63A3" w:rsidP="00D9624A">
            <w:pPr>
              <w:spacing w:before="100" w:after="10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/>
                <w:color w:val="auto"/>
                <w:sz w:val="18"/>
                <w:szCs w:val="18"/>
              </w:rPr>
              <w:t>Stav k 31. srpnu 2024</w:t>
            </w:r>
          </w:p>
        </w:tc>
      </w:tr>
      <w:tr w:rsidR="00C938C5" w:rsidRPr="00D9624A" w14:paraId="43A9134B" w14:textId="77777777" w:rsidTr="00812267">
        <w:trPr>
          <w:jc w:val="center"/>
        </w:trPr>
        <w:tc>
          <w:tcPr>
            <w:tcW w:w="737" w:type="dxa"/>
            <w:vMerge w:val="restart"/>
            <w:vAlign w:val="center"/>
          </w:tcPr>
          <w:p w14:paraId="3FCB90F3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  <w:bookmarkStart w:id="22" w:name="_Hlk179806004"/>
            <w:bookmarkStart w:id="23" w:name="_Hlk176518654"/>
            <w:r w:rsidRPr="00D9624A">
              <w:rPr>
                <w:bCs/>
                <w:color w:val="232323"/>
                <w:sz w:val="18"/>
                <w:szCs w:val="18"/>
                <w:shd w:val="clear" w:color="auto" w:fill="FFFFFF"/>
              </w:rPr>
              <w:t>MPO</w:t>
            </w:r>
          </w:p>
        </w:tc>
        <w:tc>
          <w:tcPr>
            <w:tcW w:w="4252" w:type="dxa"/>
            <w:vAlign w:val="center"/>
          </w:tcPr>
          <w:p w14:paraId="7F848640" w14:textId="46E28EE5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Barvy a laky, státní podnik "v likvidaci"</w:t>
            </w:r>
          </w:p>
        </w:tc>
        <w:tc>
          <w:tcPr>
            <w:tcW w:w="964" w:type="dxa"/>
            <w:vAlign w:val="center"/>
          </w:tcPr>
          <w:p w14:paraId="1A1F4C80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hyperlink r:id="rId13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00011762</w:t>
              </w:r>
            </w:hyperlink>
          </w:p>
        </w:tc>
        <w:tc>
          <w:tcPr>
            <w:tcW w:w="3118" w:type="dxa"/>
            <w:vAlign w:val="center"/>
          </w:tcPr>
          <w:p w14:paraId="3DC678BB" w14:textId="303A6D83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6. 3. 2019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2127A8D" w14:textId="2159F129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Výmaz </w:t>
            </w:r>
            <w:r w:rsidR="00430CDF" w:rsidRPr="00D9624A">
              <w:rPr>
                <w:bCs/>
                <w:sz w:val="18"/>
                <w:szCs w:val="18"/>
                <w:shd w:val="clear" w:color="auto" w:fill="FFFFFF"/>
              </w:rPr>
              <w:t xml:space="preserve">pravomocně 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zrušen 7. 9. 2021. </w:t>
            </w:r>
          </w:p>
          <w:p w14:paraId="19F413D2" w14:textId="5BE3673B" w:rsidR="00C938C5" w:rsidRPr="00D9624A" w:rsidRDefault="00B6334B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Obnoven</w:t>
            </w:r>
            <w:r w:rsidR="0005322E">
              <w:rPr>
                <w:bCs/>
                <w:sz w:val="18"/>
                <w:szCs w:val="18"/>
                <w:shd w:val="clear" w:color="auto" w:fill="FFFFFF"/>
              </w:rPr>
              <w:t>a</w:t>
            </w:r>
            <w:r w:rsidR="00C938C5" w:rsidRPr="00D9624A">
              <w:rPr>
                <w:bCs/>
                <w:sz w:val="18"/>
                <w:szCs w:val="18"/>
                <w:shd w:val="clear" w:color="auto" w:fill="FFFFFF"/>
              </w:rPr>
              <w:t xml:space="preserve"> likvidace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bookmarkEnd w:id="22"/>
      <w:tr w:rsidR="00C938C5" w:rsidRPr="00D9624A" w14:paraId="1D905F16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855F0F9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40A5A4C" w14:textId="56A3949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BENZINA, státní podnik "v likvidaci"</w:t>
            </w:r>
          </w:p>
        </w:tc>
        <w:tc>
          <w:tcPr>
            <w:tcW w:w="964" w:type="dxa"/>
            <w:vAlign w:val="center"/>
          </w:tcPr>
          <w:p w14:paraId="3C36E748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14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00012033</w:t>
              </w:r>
            </w:hyperlink>
          </w:p>
        </w:tc>
        <w:tc>
          <w:tcPr>
            <w:tcW w:w="3118" w:type="dxa"/>
            <w:vAlign w:val="center"/>
          </w:tcPr>
          <w:p w14:paraId="21538E8C" w14:textId="4C87F735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8. 7. 2021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6D29B9B8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69C9ABF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0E95D5E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Brněnské cihelny, státní podnik – v likvidaci</w:t>
            </w:r>
          </w:p>
        </w:tc>
        <w:tc>
          <w:tcPr>
            <w:tcW w:w="964" w:type="dxa"/>
            <w:vAlign w:val="center"/>
          </w:tcPr>
          <w:p w14:paraId="13AF99AC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hyperlink r:id="rId15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00015296</w:t>
              </w:r>
            </w:hyperlink>
          </w:p>
        </w:tc>
        <w:tc>
          <w:tcPr>
            <w:tcW w:w="3118" w:type="dxa"/>
            <w:vAlign w:val="center"/>
          </w:tcPr>
          <w:p w14:paraId="52A709A4" w14:textId="560ACE59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V konkursu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06D8A76D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74C6C7F8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8F26650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Brněnské papírny, státní podnik – v likvidaci</w:t>
            </w:r>
          </w:p>
        </w:tc>
        <w:tc>
          <w:tcPr>
            <w:tcW w:w="964" w:type="dxa"/>
            <w:vAlign w:val="center"/>
          </w:tcPr>
          <w:p w14:paraId="564BD038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16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00012343</w:t>
              </w:r>
            </w:hyperlink>
          </w:p>
        </w:tc>
        <w:tc>
          <w:tcPr>
            <w:tcW w:w="3118" w:type="dxa"/>
            <w:vAlign w:val="center"/>
          </w:tcPr>
          <w:p w14:paraId="357FE749" w14:textId="779B20D8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Neukončená likvidace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5F66CE94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09BB426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305AEE72" w14:textId="0B3E7908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Cihlářské a keramické závody Teplice, státní podnik v</w:t>
            </w:r>
            <w:r w:rsidR="00F37577" w:rsidRPr="00D9624A">
              <w:rPr>
                <w:bCs/>
                <w:sz w:val="18"/>
                <w:szCs w:val="18"/>
                <w:shd w:val="clear" w:color="auto" w:fill="FFFFFF"/>
              </w:rPr>
              <w:t> 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>likvidaci</w:t>
            </w:r>
          </w:p>
        </w:tc>
        <w:tc>
          <w:tcPr>
            <w:tcW w:w="964" w:type="dxa"/>
            <w:vAlign w:val="center"/>
          </w:tcPr>
          <w:p w14:paraId="2B7A60AF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17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00015270</w:t>
              </w:r>
            </w:hyperlink>
          </w:p>
        </w:tc>
        <w:tc>
          <w:tcPr>
            <w:tcW w:w="3118" w:type="dxa"/>
            <w:vAlign w:val="center"/>
          </w:tcPr>
          <w:p w14:paraId="10DBE82D" w14:textId="1547E99F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Neukončená likvidace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4FE988B6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060FE181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12D77CE4" w14:textId="709812D1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České energetické závody, státní podnik "v likvidaci "</w:t>
            </w:r>
          </w:p>
        </w:tc>
        <w:tc>
          <w:tcPr>
            <w:tcW w:w="964" w:type="dxa"/>
            <w:vAlign w:val="center"/>
          </w:tcPr>
          <w:p w14:paraId="6FDEF22B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18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00002691</w:t>
              </w:r>
            </w:hyperlink>
          </w:p>
        </w:tc>
        <w:tc>
          <w:tcPr>
            <w:tcW w:w="3118" w:type="dxa"/>
            <w:vAlign w:val="center"/>
          </w:tcPr>
          <w:p w14:paraId="56FD566D" w14:textId="05700264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22. 10. 2021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085BA7A4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D2E8449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C95BA04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Jihomoravské dřevařské závody Brno, v likvidaci</w:t>
            </w:r>
          </w:p>
        </w:tc>
        <w:tc>
          <w:tcPr>
            <w:tcW w:w="964" w:type="dxa"/>
            <w:vAlign w:val="center"/>
          </w:tcPr>
          <w:p w14:paraId="670DE898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hyperlink r:id="rId19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00014079</w:t>
              </w:r>
            </w:hyperlink>
          </w:p>
        </w:tc>
        <w:tc>
          <w:tcPr>
            <w:tcW w:w="3118" w:type="dxa"/>
            <w:vAlign w:val="center"/>
          </w:tcPr>
          <w:p w14:paraId="1BA0F174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10. 9. 2024.</w:t>
            </w:r>
          </w:p>
        </w:tc>
      </w:tr>
      <w:tr w:rsidR="00C938C5" w:rsidRPr="00D9624A" w14:paraId="7DC50C02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3F3AF068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5325979A" w14:textId="29246E72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Mototechna, státní podnik "v likvidaci"</w:t>
            </w:r>
          </w:p>
        </w:tc>
        <w:tc>
          <w:tcPr>
            <w:tcW w:w="964" w:type="dxa"/>
            <w:vAlign w:val="center"/>
          </w:tcPr>
          <w:p w14:paraId="6435D645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hyperlink r:id="rId20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00009334</w:t>
              </w:r>
            </w:hyperlink>
          </w:p>
        </w:tc>
        <w:tc>
          <w:tcPr>
            <w:tcW w:w="3118" w:type="dxa"/>
            <w:vAlign w:val="center"/>
          </w:tcPr>
          <w:p w14:paraId="006A016B" w14:textId="17238413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25. 6. 2022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011169FD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0B6A9407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12BD969B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OSAN, obchodní podnik v likvidaci</w:t>
            </w:r>
          </w:p>
        </w:tc>
        <w:tc>
          <w:tcPr>
            <w:tcW w:w="964" w:type="dxa"/>
            <w:vAlign w:val="center"/>
          </w:tcPr>
          <w:p w14:paraId="0E47656B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21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00009563</w:t>
              </w:r>
            </w:hyperlink>
          </w:p>
        </w:tc>
        <w:tc>
          <w:tcPr>
            <w:tcW w:w="3118" w:type="dxa"/>
            <w:vAlign w:val="center"/>
          </w:tcPr>
          <w:p w14:paraId="640A7AAF" w14:textId="488E7BE2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30. 5. 2020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58931F9C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141BBD4B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739AA70" w14:textId="260DDC2A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PRIOR – Severočeské obchodní domy, státní podnik v</w:t>
            </w:r>
            <w:r w:rsidR="00F37577" w:rsidRPr="00D9624A">
              <w:rPr>
                <w:bCs/>
                <w:sz w:val="18"/>
                <w:szCs w:val="18"/>
                <w:shd w:val="clear" w:color="auto" w:fill="FFFFFF"/>
              </w:rPr>
              <w:t> 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>"likvidaci"</w:t>
            </w:r>
          </w:p>
        </w:tc>
        <w:tc>
          <w:tcPr>
            <w:tcW w:w="964" w:type="dxa"/>
            <w:vAlign w:val="center"/>
          </w:tcPr>
          <w:p w14:paraId="4A4C2E8A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hyperlink r:id="rId22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00157287</w:t>
              </w:r>
            </w:hyperlink>
          </w:p>
        </w:tc>
        <w:tc>
          <w:tcPr>
            <w:tcW w:w="3118" w:type="dxa"/>
            <w:vAlign w:val="center"/>
          </w:tcPr>
          <w:p w14:paraId="67A24DE4" w14:textId="031EBDD6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4. 7. 2024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41E8C4EE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1F308036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2B3579C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PRIOR – Severomoravské OD Ostrava v likvidaci, státní podnik</w:t>
            </w:r>
          </w:p>
        </w:tc>
        <w:tc>
          <w:tcPr>
            <w:tcW w:w="964" w:type="dxa"/>
            <w:vAlign w:val="center"/>
          </w:tcPr>
          <w:p w14:paraId="5534B3CB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23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00157325</w:t>
              </w:r>
            </w:hyperlink>
          </w:p>
        </w:tc>
        <w:tc>
          <w:tcPr>
            <w:tcW w:w="3118" w:type="dxa"/>
            <w:vAlign w:val="center"/>
          </w:tcPr>
          <w:p w14:paraId="61E24E75" w14:textId="35185FC4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5. 5. 2021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5CAAA2C9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19D7C3EB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A5A3763" w14:textId="59C7C261" w:rsidR="00C938C5" w:rsidRPr="00D9624A" w:rsidRDefault="00C938C5" w:rsidP="00812267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RKT – Rovnací a kotevní technika, státní podnik v</w:t>
            </w:r>
            <w:r w:rsidR="00812267">
              <w:rPr>
                <w:bCs/>
                <w:sz w:val="18"/>
                <w:szCs w:val="18"/>
                <w:shd w:val="clear" w:color="auto" w:fill="FFFFFF"/>
              </w:rPr>
              <w:t> 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>likvidaci</w:t>
            </w:r>
          </w:p>
        </w:tc>
        <w:tc>
          <w:tcPr>
            <w:tcW w:w="964" w:type="dxa"/>
            <w:vAlign w:val="center"/>
          </w:tcPr>
          <w:p w14:paraId="620B8C88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24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00664073</w:t>
              </w:r>
            </w:hyperlink>
          </w:p>
        </w:tc>
        <w:tc>
          <w:tcPr>
            <w:tcW w:w="3118" w:type="dxa"/>
            <w:vAlign w:val="center"/>
          </w:tcPr>
          <w:p w14:paraId="701B26C1" w14:textId="4D65649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Neukončená likvidace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7581949B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1933EFC9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882A1AC" w14:textId="6409C75A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Severočeské keramické závody Most, státní podnik v</w:t>
            </w:r>
            <w:r w:rsidR="00F37577" w:rsidRPr="00D9624A">
              <w:rPr>
                <w:bCs/>
                <w:sz w:val="18"/>
                <w:szCs w:val="18"/>
                <w:shd w:val="clear" w:color="auto" w:fill="FFFFFF"/>
              </w:rPr>
              <w:t> 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>likvidaci</w:t>
            </w:r>
          </w:p>
        </w:tc>
        <w:tc>
          <w:tcPr>
            <w:tcW w:w="964" w:type="dxa"/>
            <w:vAlign w:val="center"/>
          </w:tcPr>
          <w:p w14:paraId="46813167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25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00015156</w:t>
              </w:r>
            </w:hyperlink>
          </w:p>
        </w:tc>
        <w:tc>
          <w:tcPr>
            <w:tcW w:w="3118" w:type="dxa"/>
            <w:vAlign w:val="center"/>
          </w:tcPr>
          <w:p w14:paraId="6551283D" w14:textId="45D0CCA3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23. 12. 2023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01DE49F8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072F0675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32176BA1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D9624A">
              <w:rPr>
                <w:bCs/>
                <w:sz w:val="18"/>
                <w:szCs w:val="18"/>
                <w:shd w:val="clear" w:color="auto" w:fill="FFFFFF"/>
              </w:rPr>
              <w:t>Severokámen</w:t>
            </w:r>
            <w:proofErr w:type="spellEnd"/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 Liberec, státní podnik v likvidaci</w:t>
            </w:r>
          </w:p>
        </w:tc>
        <w:tc>
          <w:tcPr>
            <w:tcW w:w="964" w:type="dxa"/>
            <w:vAlign w:val="center"/>
          </w:tcPr>
          <w:p w14:paraId="4788D103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26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00015415</w:t>
              </w:r>
            </w:hyperlink>
          </w:p>
        </w:tc>
        <w:tc>
          <w:tcPr>
            <w:tcW w:w="3118" w:type="dxa"/>
            <w:vAlign w:val="center"/>
          </w:tcPr>
          <w:p w14:paraId="66C72B8A" w14:textId="76475EDB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28. 3. 2023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5D77B0B9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7C853BC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3D67EC29" w14:textId="073E4FDD" w:rsidR="00C938C5" w:rsidRPr="00D9624A" w:rsidRDefault="00C938C5" w:rsidP="00812267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Středočeské energetické závody, státní podnik "v</w:t>
            </w:r>
            <w:r w:rsidR="00812267">
              <w:rPr>
                <w:bCs/>
                <w:sz w:val="18"/>
                <w:szCs w:val="18"/>
                <w:shd w:val="clear" w:color="auto" w:fill="FFFFFF"/>
              </w:rPr>
              <w:t> 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>likvidaci"</w:t>
            </w:r>
          </w:p>
        </w:tc>
        <w:tc>
          <w:tcPr>
            <w:tcW w:w="964" w:type="dxa"/>
            <w:vAlign w:val="center"/>
          </w:tcPr>
          <w:p w14:paraId="56DBA8C0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hyperlink r:id="rId27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00008141</w:t>
              </w:r>
            </w:hyperlink>
          </w:p>
        </w:tc>
        <w:tc>
          <w:tcPr>
            <w:tcW w:w="3118" w:type="dxa"/>
            <w:vAlign w:val="center"/>
          </w:tcPr>
          <w:p w14:paraId="43E5AF02" w14:textId="2B0EE900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</w:rPr>
            </w:pPr>
            <w:r w:rsidRPr="00D9624A">
              <w:rPr>
                <w:bCs/>
                <w:sz w:val="18"/>
                <w:szCs w:val="18"/>
              </w:rPr>
              <w:t>Datum výmazu 28. 4. 2020</w:t>
            </w:r>
            <w:r w:rsidR="009D7964" w:rsidRPr="00D9624A">
              <w:rPr>
                <w:bCs/>
                <w:sz w:val="18"/>
                <w:szCs w:val="18"/>
              </w:rPr>
              <w:t>.</w:t>
            </w:r>
          </w:p>
        </w:tc>
      </w:tr>
      <w:tr w:rsidR="00C938C5" w:rsidRPr="00D9624A" w14:paraId="63E4655B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53C3909B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108F7DA0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TECHNOMAT, státní podnik "v likvidaci"</w:t>
            </w:r>
          </w:p>
        </w:tc>
        <w:tc>
          <w:tcPr>
            <w:tcW w:w="964" w:type="dxa"/>
            <w:vAlign w:val="center"/>
          </w:tcPr>
          <w:p w14:paraId="6BD32B81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28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00002321</w:t>
              </w:r>
            </w:hyperlink>
          </w:p>
        </w:tc>
        <w:tc>
          <w:tcPr>
            <w:tcW w:w="3118" w:type="dxa"/>
            <w:vAlign w:val="center"/>
          </w:tcPr>
          <w:p w14:paraId="1F38DF8A" w14:textId="15159240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</w:rPr>
            </w:pPr>
            <w:r w:rsidRPr="00D9624A">
              <w:rPr>
                <w:bCs/>
                <w:sz w:val="18"/>
                <w:szCs w:val="18"/>
              </w:rPr>
              <w:t>Likvidace byla dle sdělení MPO ukončena k datu 31. 8. 2022. Neproběhl</w:t>
            </w:r>
            <w:r w:rsidR="00812267">
              <w:rPr>
                <w:bCs/>
                <w:sz w:val="18"/>
                <w:szCs w:val="18"/>
              </w:rPr>
              <w:t xml:space="preserve"> </w:t>
            </w:r>
            <w:r w:rsidRPr="00D9624A">
              <w:rPr>
                <w:bCs/>
                <w:sz w:val="18"/>
                <w:szCs w:val="18"/>
              </w:rPr>
              <w:t>výmaz.</w:t>
            </w:r>
          </w:p>
        </w:tc>
      </w:tr>
      <w:tr w:rsidR="00C938C5" w:rsidRPr="00D9624A" w14:paraId="3F55536F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C11450D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15CC34AD" w14:textId="27C9D0DE" w:rsidR="00C938C5" w:rsidRPr="00D9624A" w:rsidRDefault="00C938C5" w:rsidP="00812267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Východočeské energetické závody, státní podnik </w:t>
            </w:r>
            <w:r w:rsidR="00812267">
              <w:rPr>
                <w:bCs/>
                <w:sz w:val="18"/>
                <w:szCs w:val="18"/>
                <w:shd w:val="clear" w:color="auto" w:fill="FFFFFF"/>
              </w:rPr>
              <w:t>v 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>likvidaci</w:t>
            </w:r>
          </w:p>
        </w:tc>
        <w:tc>
          <w:tcPr>
            <w:tcW w:w="964" w:type="dxa"/>
            <w:vAlign w:val="center"/>
          </w:tcPr>
          <w:p w14:paraId="560D9FBF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29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00008184</w:t>
              </w:r>
            </w:hyperlink>
          </w:p>
        </w:tc>
        <w:tc>
          <w:tcPr>
            <w:tcW w:w="3118" w:type="dxa"/>
            <w:vAlign w:val="center"/>
          </w:tcPr>
          <w:p w14:paraId="63B6467D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Likvidace byla dle sdělení MPO ukončena k datu 20. 6. 2024. </w:t>
            </w:r>
          </w:p>
          <w:p w14:paraId="62BB1D06" w14:textId="105453D4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Neproběhl výmaz</w:t>
            </w:r>
            <w:r w:rsidR="001F409E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56DF6E80" w14:textId="77777777" w:rsidTr="00812267">
        <w:trPr>
          <w:jc w:val="center"/>
        </w:trPr>
        <w:tc>
          <w:tcPr>
            <w:tcW w:w="737" w:type="dxa"/>
            <w:vMerge w:val="restart"/>
            <w:vAlign w:val="center"/>
          </w:tcPr>
          <w:p w14:paraId="476EA483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  <w:proofErr w:type="spellStart"/>
            <w:r w:rsidRPr="00D9624A">
              <w:rPr>
                <w:bCs/>
                <w:color w:val="232323"/>
                <w:sz w:val="18"/>
                <w:szCs w:val="18"/>
                <w:shd w:val="clear" w:color="auto" w:fill="FFFFFF"/>
              </w:rPr>
              <w:t>MZe</w:t>
            </w:r>
            <w:proofErr w:type="spellEnd"/>
          </w:p>
        </w:tc>
        <w:tc>
          <w:tcPr>
            <w:tcW w:w="4252" w:type="dxa"/>
            <w:vAlign w:val="center"/>
          </w:tcPr>
          <w:p w14:paraId="7AAA1199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Dostihové závodiště Praha, státní podnik v likvidaci</w:t>
            </w:r>
          </w:p>
        </w:tc>
        <w:tc>
          <w:tcPr>
            <w:tcW w:w="964" w:type="dxa"/>
            <w:vAlign w:val="center"/>
          </w:tcPr>
          <w:p w14:paraId="69721CE1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0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00017388</w:t>
              </w:r>
            </w:hyperlink>
          </w:p>
        </w:tc>
        <w:tc>
          <w:tcPr>
            <w:tcW w:w="3118" w:type="dxa"/>
            <w:vAlign w:val="center"/>
          </w:tcPr>
          <w:p w14:paraId="59CADF25" w14:textId="760D7F23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26. 8. 2024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7CDEF0D6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549EF918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1C6EA54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MILNEA státní podnik v likvidaci*</w:t>
            </w:r>
          </w:p>
        </w:tc>
        <w:tc>
          <w:tcPr>
            <w:tcW w:w="964" w:type="dxa"/>
            <w:vAlign w:val="center"/>
          </w:tcPr>
          <w:p w14:paraId="771885D5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1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00016187</w:t>
              </w:r>
            </w:hyperlink>
          </w:p>
        </w:tc>
        <w:tc>
          <w:tcPr>
            <w:tcW w:w="3118" w:type="dxa"/>
            <w:vAlign w:val="center"/>
          </w:tcPr>
          <w:p w14:paraId="02D33D2F" w14:textId="7ED34F42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4. 6. 2024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938C5" w:rsidRPr="00D9624A" w14:paraId="61F2C577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0FCA4DDD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5F19D519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Pražské pekárny a mlýny, státní podnik v likvidaci</w:t>
            </w:r>
          </w:p>
        </w:tc>
        <w:tc>
          <w:tcPr>
            <w:tcW w:w="964" w:type="dxa"/>
            <w:vAlign w:val="center"/>
          </w:tcPr>
          <w:p w14:paraId="7D111AA9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2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00016616</w:t>
              </w:r>
            </w:hyperlink>
          </w:p>
        </w:tc>
        <w:tc>
          <w:tcPr>
            <w:tcW w:w="3118" w:type="dxa"/>
            <w:vAlign w:val="center"/>
          </w:tcPr>
          <w:p w14:paraId="1438CBE5" w14:textId="0B948666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18. 3. 2023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714C2EA7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398E45B1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1E12ACF" w14:textId="048CD51E" w:rsidR="00C938C5" w:rsidRPr="00D9624A" w:rsidRDefault="00C938C5" w:rsidP="00812267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Služby pro zemědělství Střížovice, státní podnik v</w:t>
            </w:r>
            <w:r w:rsidR="00812267">
              <w:rPr>
                <w:bCs/>
                <w:sz w:val="18"/>
                <w:szCs w:val="18"/>
                <w:shd w:val="clear" w:color="auto" w:fill="FFFFFF"/>
              </w:rPr>
              <w:t> 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likvidaci </w:t>
            </w:r>
          </w:p>
        </w:tc>
        <w:tc>
          <w:tcPr>
            <w:tcW w:w="964" w:type="dxa"/>
            <w:vAlign w:val="center"/>
          </w:tcPr>
          <w:p w14:paraId="36340B29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3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14868334</w:t>
              </w:r>
            </w:hyperlink>
          </w:p>
        </w:tc>
        <w:tc>
          <w:tcPr>
            <w:tcW w:w="3118" w:type="dxa"/>
            <w:vAlign w:val="center"/>
          </w:tcPr>
          <w:p w14:paraId="059CF413" w14:textId="5BF4AE6D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V konkursu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39764829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12A6ADE3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1F69A2A0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Státní podnik zemědělské techniky v likvidaci </w:t>
            </w:r>
          </w:p>
        </w:tc>
        <w:tc>
          <w:tcPr>
            <w:tcW w:w="964" w:type="dxa"/>
            <w:vAlign w:val="center"/>
          </w:tcPr>
          <w:p w14:paraId="3290A0B4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4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00212172</w:t>
              </w:r>
            </w:hyperlink>
          </w:p>
        </w:tc>
        <w:tc>
          <w:tcPr>
            <w:tcW w:w="3118" w:type="dxa"/>
            <w:vAlign w:val="center"/>
          </w:tcPr>
          <w:p w14:paraId="7171E54A" w14:textId="54D46E5A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V konkursu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4A29FC26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09BB258A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6B9BCE09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Státní statek Bílý Kostel, státní podnik v likvidaci</w:t>
            </w:r>
          </w:p>
        </w:tc>
        <w:tc>
          <w:tcPr>
            <w:tcW w:w="964" w:type="dxa"/>
            <w:vAlign w:val="center"/>
          </w:tcPr>
          <w:p w14:paraId="533C243B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5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18382282</w:t>
              </w:r>
            </w:hyperlink>
          </w:p>
        </w:tc>
        <w:tc>
          <w:tcPr>
            <w:tcW w:w="3118" w:type="dxa"/>
            <w:vAlign w:val="center"/>
          </w:tcPr>
          <w:p w14:paraId="4546DA1A" w14:textId="749A5BF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24. 11. 2021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3D83C173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7BB1C70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03EDE55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Státní statek Česká Kamenice v likvidaci</w:t>
            </w:r>
          </w:p>
        </w:tc>
        <w:tc>
          <w:tcPr>
            <w:tcW w:w="964" w:type="dxa"/>
            <w:vAlign w:val="center"/>
          </w:tcPr>
          <w:p w14:paraId="36E4676E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6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00119521</w:t>
              </w:r>
            </w:hyperlink>
          </w:p>
        </w:tc>
        <w:tc>
          <w:tcPr>
            <w:tcW w:w="3118" w:type="dxa"/>
            <w:vAlign w:val="center"/>
          </w:tcPr>
          <w:p w14:paraId="7360A6DF" w14:textId="60C71ACC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19. 11. 2021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  <w:p w14:paraId="5DEEB6E4" w14:textId="607225D0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Výmaz</w:t>
            </w:r>
            <w:r w:rsidR="00430CDF" w:rsidRPr="00D9624A">
              <w:rPr>
                <w:bCs/>
                <w:sz w:val="18"/>
                <w:szCs w:val="18"/>
                <w:shd w:val="clear" w:color="auto" w:fill="FFFFFF"/>
              </w:rPr>
              <w:t xml:space="preserve"> pravomocně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 zrušen 16. 7. 2022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  <w:p w14:paraId="29EB28AA" w14:textId="6D9E9968" w:rsidR="00C938C5" w:rsidRPr="00D9624A" w:rsidRDefault="00B6334B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Obnoven</w:t>
            </w:r>
            <w:r w:rsidR="00812267">
              <w:rPr>
                <w:bCs/>
                <w:sz w:val="18"/>
                <w:szCs w:val="18"/>
                <w:shd w:val="clear" w:color="auto" w:fill="FFFFFF"/>
              </w:rPr>
              <w:t>a</w:t>
            </w:r>
            <w:r w:rsidR="00C938C5" w:rsidRPr="00D9624A">
              <w:rPr>
                <w:bCs/>
                <w:sz w:val="18"/>
                <w:szCs w:val="18"/>
                <w:shd w:val="clear" w:color="auto" w:fill="FFFFFF"/>
              </w:rPr>
              <w:t xml:space="preserve"> likvidace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10B9DF9A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02A11B65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9A49128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bookmarkStart w:id="24" w:name="_Hlk178681466"/>
            <w:r w:rsidRPr="00D9624A">
              <w:rPr>
                <w:bCs/>
                <w:sz w:val="18"/>
                <w:szCs w:val="18"/>
                <w:shd w:val="clear" w:color="auto" w:fill="FFFFFF"/>
              </w:rPr>
              <w:t>Státní statek Jeneč, státní podnik v likvidaci</w:t>
            </w:r>
            <w:bookmarkEnd w:id="24"/>
          </w:p>
        </w:tc>
        <w:tc>
          <w:tcPr>
            <w:tcW w:w="964" w:type="dxa"/>
            <w:vAlign w:val="center"/>
          </w:tcPr>
          <w:p w14:paraId="3961B6D3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7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00016918</w:t>
              </w:r>
            </w:hyperlink>
          </w:p>
        </w:tc>
        <w:tc>
          <w:tcPr>
            <w:tcW w:w="3118" w:type="dxa"/>
            <w:vAlign w:val="center"/>
          </w:tcPr>
          <w:p w14:paraId="74AFA0D4" w14:textId="6A25378E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Neukončená likvidace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2BE4AFDE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5C3D0B7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42AD80C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Státní statek Křivoklát v likvidaci </w:t>
            </w:r>
          </w:p>
        </w:tc>
        <w:tc>
          <w:tcPr>
            <w:tcW w:w="964" w:type="dxa"/>
            <w:vAlign w:val="center"/>
          </w:tcPr>
          <w:p w14:paraId="7AAEF67C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8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00132551</w:t>
              </w:r>
            </w:hyperlink>
          </w:p>
        </w:tc>
        <w:tc>
          <w:tcPr>
            <w:tcW w:w="3118" w:type="dxa"/>
            <w:vAlign w:val="center"/>
          </w:tcPr>
          <w:p w14:paraId="2532E0BE" w14:textId="30D14291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V konkursu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40F1CD3C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7F3B9F20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D5499C5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Státní statek Valtice, </w:t>
            </w:r>
            <w:proofErr w:type="spellStart"/>
            <w:r w:rsidRPr="00D9624A">
              <w:rPr>
                <w:bCs/>
                <w:sz w:val="18"/>
                <w:szCs w:val="18"/>
                <w:shd w:val="clear" w:color="auto" w:fill="FFFFFF"/>
              </w:rPr>
              <w:t>s.p</w:t>
            </w:r>
            <w:proofErr w:type="spellEnd"/>
            <w:r w:rsidRPr="00D9624A">
              <w:rPr>
                <w:bCs/>
                <w:sz w:val="18"/>
                <w:szCs w:val="18"/>
                <w:shd w:val="clear" w:color="auto" w:fill="FFFFFF"/>
              </w:rPr>
              <w:t>. v likvidaci</w:t>
            </w:r>
          </w:p>
        </w:tc>
        <w:tc>
          <w:tcPr>
            <w:tcW w:w="964" w:type="dxa"/>
            <w:vAlign w:val="center"/>
          </w:tcPr>
          <w:p w14:paraId="219BD9E2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39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00488992</w:t>
              </w:r>
            </w:hyperlink>
          </w:p>
        </w:tc>
        <w:tc>
          <w:tcPr>
            <w:tcW w:w="3118" w:type="dxa"/>
            <w:vAlign w:val="center"/>
          </w:tcPr>
          <w:p w14:paraId="7302793B" w14:textId="66F37171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Neukončená likvidace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C938C5" w:rsidRPr="00D9624A" w14:paraId="531B0A87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175B59EE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695BEDA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 xml:space="preserve">Státní statek Veselí nad Moravou – v likvidaci </w:t>
            </w:r>
          </w:p>
        </w:tc>
        <w:tc>
          <w:tcPr>
            <w:tcW w:w="964" w:type="dxa"/>
            <w:vAlign w:val="center"/>
          </w:tcPr>
          <w:p w14:paraId="59C77E4C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40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00135607</w:t>
              </w:r>
            </w:hyperlink>
          </w:p>
        </w:tc>
        <w:tc>
          <w:tcPr>
            <w:tcW w:w="3118" w:type="dxa"/>
            <w:vAlign w:val="center"/>
          </w:tcPr>
          <w:p w14:paraId="5544FFED" w14:textId="2453E1CE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7. 9. 2021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938C5" w:rsidRPr="00D9624A" w14:paraId="684D8737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4F6FB84E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  <w:bookmarkStart w:id="25" w:name="_Hlk178061098"/>
          </w:p>
        </w:tc>
        <w:tc>
          <w:tcPr>
            <w:tcW w:w="4252" w:type="dxa"/>
            <w:vAlign w:val="center"/>
          </w:tcPr>
          <w:p w14:paraId="0BFE6B52" w14:textId="77777777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Vodní zdroje, Praha v likvidaci</w:t>
            </w:r>
          </w:p>
        </w:tc>
        <w:tc>
          <w:tcPr>
            <w:tcW w:w="964" w:type="dxa"/>
            <w:vAlign w:val="center"/>
          </w:tcPr>
          <w:p w14:paraId="3A67DA3E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hyperlink r:id="rId41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00020656</w:t>
              </w:r>
            </w:hyperlink>
          </w:p>
        </w:tc>
        <w:tc>
          <w:tcPr>
            <w:tcW w:w="3118" w:type="dxa"/>
            <w:vAlign w:val="center"/>
          </w:tcPr>
          <w:p w14:paraId="3D2C51DE" w14:textId="410A68F0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2. 11. 2021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bookmarkEnd w:id="25"/>
      <w:tr w:rsidR="00C938C5" w:rsidRPr="00D9624A" w14:paraId="4DAF8BB3" w14:textId="77777777" w:rsidTr="00812267">
        <w:trPr>
          <w:jc w:val="center"/>
        </w:trPr>
        <w:tc>
          <w:tcPr>
            <w:tcW w:w="737" w:type="dxa"/>
            <w:vMerge/>
            <w:vAlign w:val="center"/>
          </w:tcPr>
          <w:p w14:paraId="01493375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color w:val="23232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CB3C17D" w14:textId="4A65DC4B" w:rsidR="00C938C5" w:rsidRPr="00D9624A" w:rsidRDefault="00C938C5" w:rsidP="00D9624A">
            <w:pPr>
              <w:spacing w:before="20" w:after="20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Zemědělský podnik Razová, státní podnik v likvidaci*</w:t>
            </w:r>
          </w:p>
        </w:tc>
        <w:tc>
          <w:tcPr>
            <w:tcW w:w="964" w:type="dxa"/>
            <w:vAlign w:val="center"/>
          </w:tcPr>
          <w:p w14:paraId="67129254" w14:textId="77777777" w:rsidR="00C938C5" w:rsidRPr="00D9624A" w:rsidRDefault="00C938C5" w:rsidP="00D9624A">
            <w:pPr>
              <w:spacing w:before="20" w:after="2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hyperlink r:id="rId42" w:history="1">
              <w:r w:rsidRPr="00D9624A">
                <w:rPr>
                  <w:rStyle w:val="Hypertextovodkaz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13642090</w:t>
              </w:r>
            </w:hyperlink>
          </w:p>
        </w:tc>
        <w:tc>
          <w:tcPr>
            <w:tcW w:w="3118" w:type="dxa"/>
            <w:vAlign w:val="center"/>
          </w:tcPr>
          <w:p w14:paraId="4E848A04" w14:textId="123C594C" w:rsidR="00C938C5" w:rsidRPr="00D9624A" w:rsidRDefault="00C938C5" w:rsidP="00D9624A">
            <w:pPr>
              <w:spacing w:before="20" w:after="20"/>
              <w:jc w:val="left"/>
              <w:rPr>
                <w:bCs/>
                <w:sz w:val="18"/>
                <w:szCs w:val="18"/>
                <w:shd w:val="clear" w:color="auto" w:fill="FFFFFF"/>
              </w:rPr>
            </w:pPr>
            <w:r w:rsidRPr="00D9624A">
              <w:rPr>
                <w:bCs/>
                <w:sz w:val="18"/>
                <w:szCs w:val="18"/>
                <w:shd w:val="clear" w:color="auto" w:fill="FFFFFF"/>
              </w:rPr>
              <w:t>Datum výmazu 4. 6. 2024</w:t>
            </w:r>
            <w:r w:rsidR="009D7964" w:rsidRPr="00D9624A">
              <w:rPr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bookmarkEnd w:id="23"/>
    <w:p w14:paraId="628F4078" w14:textId="0B9D5F8C" w:rsidR="00C938C5" w:rsidRPr="000734E9" w:rsidRDefault="00C938C5" w:rsidP="00D9624A">
      <w:pPr>
        <w:spacing w:before="40"/>
        <w:ind w:left="142" w:hanging="142"/>
        <w:rPr>
          <w:rFonts w:asciiTheme="minorHAnsi" w:hAnsiTheme="minorHAnsi" w:cstheme="minorHAnsi"/>
          <w:bCs/>
          <w:iCs/>
        </w:rPr>
      </w:pPr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>*</w:t>
      </w:r>
      <w:r w:rsidRPr="000734E9">
        <w:rPr>
          <w:rFonts w:asciiTheme="minorHAnsi" w:hAnsiTheme="minorHAnsi" w:cstheme="minorHAnsi"/>
          <w:bCs/>
          <w:iCs/>
        </w:rPr>
        <w:t xml:space="preserve"> </w:t>
      </w:r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  <w:lang w:eastAsia="cs-CZ"/>
        </w:rPr>
        <w:t xml:space="preserve">Fúze sloučením se </w:t>
      </w:r>
      <w:r w:rsidR="00C97B59"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  <w:lang w:eastAsia="cs-CZ"/>
        </w:rPr>
        <w:t>státním podnikem</w:t>
      </w:r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  <w:lang w:eastAsia="cs-CZ"/>
        </w:rPr>
        <w:t xml:space="preserve"> Státní statek Jeneč, státní podnik v likvidaci.</w:t>
      </w:r>
    </w:p>
    <w:p w14:paraId="4482821D" w14:textId="7010F59C" w:rsidR="00B27D67" w:rsidRPr="000734E9" w:rsidRDefault="00C938C5" w:rsidP="000734E9">
      <w:pPr>
        <w:ind w:left="567" w:hanging="567"/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</w:pPr>
      <w:r w:rsidRPr="000734E9">
        <w:rPr>
          <w:rFonts w:asciiTheme="minorHAnsi" w:hAnsiTheme="minorHAnsi" w:cstheme="minorHAnsi"/>
          <w:b/>
          <w:iCs/>
          <w:color w:val="232323"/>
          <w:sz w:val="20"/>
          <w:szCs w:val="20"/>
          <w:shd w:val="clear" w:color="auto" w:fill="FFFFFF"/>
        </w:rPr>
        <w:t xml:space="preserve">Zdroj: </w:t>
      </w:r>
      <w:r w:rsidR="00A506CD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>z</w:t>
      </w:r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 xml:space="preserve">právy o plnění </w:t>
      </w:r>
      <w:r w:rsidRPr="00A0110A">
        <w:rPr>
          <w:rFonts w:asciiTheme="minorHAnsi" w:hAnsiTheme="minorHAnsi" w:cstheme="minorHAnsi"/>
          <w:bCs/>
          <w:i/>
          <w:color w:val="232323"/>
          <w:sz w:val="20"/>
          <w:szCs w:val="20"/>
          <w:shd w:val="clear" w:color="auto" w:fill="FFFFFF"/>
        </w:rPr>
        <w:t>Strategie vlastnické politiky státu</w:t>
      </w:r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 xml:space="preserve"> v letech 2020</w:t>
      </w:r>
      <w:r w:rsidR="00A506CD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>–</w:t>
      </w:r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 xml:space="preserve">2023, údaje evidované v obchodním rejstříku k 31. srpnu 2024 a informace získané od MPO a </w:t>
      </w:r>
      <w:proofErr w:type="spellStart"/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>MZe</w:t>
      </w:r>
      <w:proofErr w:type="spellEnd"/>
      <w:r w:rsidRPr="000734E9">
        <w:rPr>
          <w:rFonts w:asciiTheme="minorHAnsi" w:hAnsiTheme="minorHAnsi" w:cstheme="minorHAnsi"/>
          <w:bCs/>
          <w:iCs/>
          <w:color w:val="232323"/>
          <w:sz w:val="20"/>
          <w:szCs w:val="20"/>
          <w:shd w:val="clear" w:color="auto" w:fill="FFFFFF"/>
        </w:rPr>
        <w:t xml:space="preserve"> v průběhu kontroly.</w:t>
      </w:r>
    </w:p>
    <w:sectPr w:rsidR="00B27D67" w:rsidRPr="000734E9" w:rsidSect="006C1E17"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8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DAD6" w14:textId="77777777" w:rsidR="00523157" w:rsidRDefault="00523157" w:rsidP="00D0493E">
      <w:r>
        <w:separator/>
      </w:r>
    </w:p>
  </w:endnote>
  <w:endnote w:type="continuationSeparator" w:id="0">
    <w:p w14:paraId="4C3CB113" w14:textId="77777777" w:rsidR="00523157" w:rsidRDefault="00523157" w:rsidP="00D0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AE00" w14:textId="1EAA7649" w:rsidR="00A65404" w:rsidRDefault="006720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8887B1" wp14:editId="567FAA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553534816" name="Textové pole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50C8" w14:textId="4E3BCD11" w:rsidR="00672012" w:rsidRPr="00672012" w:rsidRDefault="00672012" w:rsidP="00672012">
                          <w:pPr>
                            <w:rPr>
                              <w:rFonts w:eastAsia="Calibri"/>
                              <w:noProof/>
                              <w:color w:val="828282"/>
                            </w:rPr>
                          </w:pPr>
                          <w:r w:rsidRPr="00672012">
                            <w:rPr>
                              <w:rFonts w:eastAsia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887B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TLP:CLEAR" style="position:absolute;left:0;text-align:left;margin-left:0;margin-top:0;width:71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" filled="f" stroked="f">
              <v:textbox style="mso-fit-shape-to-text:t" inset="20pt,0,0,15pt">
                <w:txbxContent>
                  <w:p w14:paraId="2A2450C8" w14:textId="4E3BCD11" w:rsidR="00672012" w:rsidRPr="00672012" w:rsidRDefault="00672012" w:rsidP="00672012">
                    <w:pPr>
                      <w:rPr>
                        <w:rFonts w:eastAsia="Calibri"/>
                        <w:noProof/>
                        <w:color w:val="828282"/>
                      </w:rPr>
                    </w:pPr>
                    <w:r w:rsidRPr="00672012">
                      <w:rPr>
                        <w:rFonts w:eastAsia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EC7E" w14:textId="102DA41F" w:rsidR="00783DA7" w:rsidRDefault="00672012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FDE4CC" wp14:editId="21877A92">
              <wp:simplePos x="901065" y="1005649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237487476" name="Textové pole 8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61DDC" w14:textId="1F444DCD" w:rsidR="00672012" w:rsidRPr="00672012" w:rsidRDefault="00672012" w:rsidP="00672012">
                          <w:pPr>
                            <w:rPr>
                              <w:rFonts w:eastAsia="Calibri"/>
                              <w:noProof/>
                              <w:color w:val="828282"/>
                            </w:rPr>
                          </w:pPr>
                          <w:r w:rsidRPr="00672012">
                            <w:rPr>
                              <w:rFonts w:eastAsia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DE4C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TLP:CLEAR" style="position:absolute;left:0;text-align:left;margin-left:0;margin-top:0;width:71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" filled="f" stroked="f">
              <v:textbox style="mso-fit-shape-to-text:t" inset="20pt,0,0,15pt">
                <w:txbxContent>
                  <w:p w14:paraId="46D61DDC" w14:textId="1F444DCD" w:rsidR="00672012" w:rsidRPr="00672012" w:rsidRDefault="00672012" w:rsidP="00672012">
                    <w:pPr>
                      <w:rPr>
                        <w:rFonts w:eastAsia="Calibri"/>
                        <w:noProof/>
                        <w:color w:val="828282"/>
                      </w:rPr>
                    </w:pPr>
                    <w:r w:rsidRPr="00672012">
                      <w:rPr>
                        <w:rFonts w:eastAsia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97372727"/>
        <w:docPartObj>
          <w:docPartGallery w:val="Page Numbers (Bottom of Page)"/>
          <w:docPartUnique/>
        </w:docPartObj>
      </w:sdtPr>
      <w:sdtEndPr/>
      <w:sdtContent>
        <w:r w:rsidR="00783DA7">
          <w:fldChar w:fldCharType="begin"/>
        </w:r>
        <w:r w:rsidR="00783DA7">
          <w:instrText>PAGE   \* MERGEFORMAT</w:instrText>
        </w:r>
        <w:r w:rsidR="00783DA7">
          <w:fldChar w:fldCharType="separate"/>
        </w:r>
        <w:r w:rsidR="00783DA7">
          <w:rPr>
            <w:noProof/>
          </w:rPr>
          <w:t>14</w:t>
        </w:r>
        <w:r w:rsidR="00783DA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9ECF" w14:textId="36EDC653" w:rsidR="00A65404" w:rsidRDefault="006720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DE24CD" wp14:editId="731E5972">
              <wp:simplePos x="902752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92267396" name="Textové pole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3441C" w14:textId="00889DEC" w:rsidR="00672012" w:rsidRPr="00672012" w:rsidRDefault="00672012" w:rsidP="00672012">
                          <w:pPr>
                            <w:rPr>
                              <w:rFonts w:eastAsia="Calibri"/>
                              <w:noProof/>
                              <w:color w:val="828282"/>
                            </w:rPr>
                          </w:pPr>
                          <w:r w:rsidRPr="00672012">
                            <w:rPr>
                              <w:rFonts w:eastAsia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E24C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TLP:CLEAR" style="position:absolute;left:0;text-align:left;margin-left:0;margin-top:0;width:71.1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Jkcvzc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25F3441C" w14:textId="00889DEC" w:rsidR="00672012" w:rsidRPr="00672012" w:rsidRDefault="00672012" w:rsidP="00672012">
                    <w:pPr>
                      <w:rPr>
                        <w:rFonts w:eastAsia="Calibri"/>
                        <w:noProof/>
                        <w:color w:val="828282"/>
                      </w:rPr>
                    </w:pPr>
                    <w:r w:rsidRPr="00672012">
                      <w:rPr>
                        <w:rFonts w:eastAsia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97AB" w14:textId="77777777" w:rsidR="00523157" w:rsidRDefault="00523157" w:rsidP="00D0493E">
      <w:r>
        <w:separator/>
      </w:r>
    </w:p>
  </w:footnote>
  <w:footnote w:type="continuationSeparator" w:id="0">
    <w:p w14:paraId="70C7ED8C" w14:textId="77777777" w:rsidR="00523157" w:rsidRDefault="00523157" w:rsidP="00D0493E">
      <w:r>
        <w:continuationSeparator/>
      </w:r>
    </w:p>
  </w:footnote>
  <w:footnote w:id="1">
    <w:p w14:paraId="7961A2AC" w14:textId="290421A2" w:rsidR="00D029BF" w:rsidRDefault="00D029BF" w:rsidP="00AC2B6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C2B6D">
        <w:tab/>
      </w:r>
      <w:r>
        <w:t>Jedná se o údaj po odečtení doby, kdy byl na kontrolované státní podniky prohlášen konkurs</w:t>
      </w:r>
      <w:r w:rsidR="002B31C8">
        <w:t>,</w:t>
      </w:r>
      <w:r>
        <w:t xml:space="preserve"> a likvidace byla </w:t>
      </w:r>
      <w:r w:rsidR="00DA09C0">
        <w:t>z toho</w:t>
      </w:r>
      <w:r w:rsidR="00FB408D">
        <w:t>to</w:t>
      </w:r>
      <w:r w:rsidR="00DA09C0">
        <w:t xml:space="preserve"> důvodu </w:t>
      </w:r>
      <w:r>
        <w:t>přerušena.</w:t>
      </w:r>
    </w:p>
  </w:footnote>
  <w:footnote w:id="2">
    <w:p w14:paraId="7F488F0C" w14:textId="41C9B129" w:rsidR="00A72D35" w:rsidRPr="00C34B9D" w:rsidRDefault="00A72D35" w:rsidP="00B14F45">
      <w:pPr>
        <w:pStyle w:val="Textpoznpodarou"/>
        <w:ind w:left="284" w:hanging="284"/>
        <w:jc w:val="both"/>
        <w:rPr>
          <w:noProof/>
        </w:rPr>
      </w:pPr>
      <w:r w:rsidRPr="00C34B9D">
        <w:rPr>
          <w:rStyle w:val="Znakapoznpodarou"/>
        </w:rPr>
        <w:footnoteRef/>
      </w:r>
      <w:r w:rsidRPr="00C34B9D">
        <w:t xml:space="preserve"> </w:t>
      </w:r>
      <w:r w:rsidR="00B14F45">
        <w:tab/>
      </w:r>
      <w:r w:rsidRPr="00C34B9D">
        <w:rPr>
          <w:noProof/>
        </w:rPr>
        <w:t>Ustanovení § 15 odst. 1 písm. j) zákona č. 77/1997 Sb., o státním podniku</w:t>
      </w:r>
      <w:r w:rsidR="000E3AAF">
        <w:rPr>
          <w:noProof/>
        </w:rPr>
        <w:t>,</w:t>
      </w:r>
      <w:r w:rsidRPr="00C34B9D">
        <w:rPr>
          <w:noProof/>
        </w:rPr>
        <w:t xml:space="preserve"> ve spojení s ustanovením § 36 odst.</w:t>
      </w:r>
      <w:r>
        <w:rPr>
          <w:noProof/>
        </w:rPr>
        <w:t> </w:t>
      </w:r>
      <w:r w:rsidRPr="00C34B9D">
        <w:rPr>
          <w:noProof/>
        </w:rPr>
        <w:t xml:space="preserve">2 písm. a) zák. č. 218/2000 Sb., o rozpočtových pravidlech a o změně některých souvisejících zákonů (rozpočtová pravidla). </w:t>
      </w:r>
    </w:p>
  </w:footnote>
  <w:footnote w:id="3">
    <w:p w14:paraId="189063FC" w14:textId="3B28EDEE" w:rsidR="00EE5D11" w:rsidRDefault="00EE5D11" w:rsidP="00B14F4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B14F45">
        <w:tab/>
      </w:r>
      <w:r w:rsidR="00BD7D9B">
        <w:t xml:space="preserve">Pojem </w:t>
      </w:r>
      <w:r w:rsidR="008820C1" w:rsidRPr="008820C1">
        <w:t>„správce podstaty“ pro konkursní řízení zahájená před 1. 1. 2008, resp. před účinností zákona č.</w:t>
      </w:r>
      <w:r w:rsidR="00B14F45">
        <w:t> </w:t>
      </w:r>
      <w:r w:rsidR="008820C1" w:rsidRPr="008820C1">
        <w:t>182/2006 Sb., o úpadku a způsobech jeho řešení (insolvenční zákon).</w:t>
      </w:r>
    </w:p>
  </w:footnote>
  <w:footnote w:id="4">
    <w:p w14:paraId="7B79A08E" w14:textId="7E1C1862" w:rsidR="0060569D" w:rsidRDefault="0060569D" w:rsidP="00B14F4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B14F45">
        <w:tab/>
      </w:r>
      <w:r w:rsidRPr="007547E4">
        <w:t xml:space="preserve">Nařízení vlády č. 351/2013 Sb., kterým se určuje výše úroků z prodlení a nákladů spojených s uplatněním pohledávky, určuje odměna likvidátora, likvidačního správce a člena orgánu právnické osoby jmenovaného soudem a upravují některé otázky </w:t>
      </w:r>
      <w:r w:rsidRPr="005703BD">
        <w:rPr>
          <w:i/>
          <w:iCs/>
        </w:rPr>
        <w:t>Obchodního věstníku</w:t>
      </w:r>
      <w:r w:rsidRPr="007547E4">
        <w:t>, veřejných rejstříků právnických a fyzických osob a</w:t>
      </w:r>
      <w:r>
        <w:t> </w:t>
      </w:r>
      <w:r w:rsidRPr="007547E4">
        <w:t>evidence svěřenských fondů a evidence údajů o skutečných majitelích</w:t>
      </w:r>
      <w:r w:rsidR="008B686A">
        <w:t>.</w:t>
      </w:r>
    </w:p>
  </w:footnote>
  <w:footnote w:id="5">
    <w:p w14:paraId="5E3D9BD4" w14:textId="6547A44A" w:rsidR="006321D3" w:rsidRPr="00666E7E" w:rsidRDefault="006321D3" w:rsidP="00666E7E">
      <w:pPr>
        <w:pStyle w:val="Textpoznpodarou"/>
        <w:ind w:left="284" w:hanging="284"/>
        <w:jc w:val="both"/>
        <w:rPr>
          <w:rFonts w:cs="Calibri"/>
          <w:bCs/>
          <w:shd w:val="clear" w:color="auto" w:fill="FFFFFF"/>
        </w:rPr>
      </w:pPr>
      <w:r w:rsidRPr="00666E7E">
        <w:rPr>
          <w:rStyle w:val="Znakapoznpodarou"/>
          <w:rFonts w:cs="Calibri"/>
        </w:rPr>
        <w:footnoteRef/>
      </w:r>
      <w:r w:rsidRPr="00666E7E">
        <w:rPr>
          <w:rFonts w:cs="Calibri"/>
        </w:rPr>
        <w:t xml:space="preserve"> </w:t>
      </w:r>
      <w:r w:rsidR="00666E7E">
        <w:rPr>
          <w:rFonts w:cs="Calibri"/>
        </w:rPr>
        <w:tab/>
      </w:r>
      <w:r w:rsidR="00457827" w:rsidRPr="00666E7E">
        <w:rPr>
          <w:rFonts w:cs="Calibri"/>
          <w:bCs/>
          <w:shd w:val="clear" w:color="auto" w:fill="FFFFFF"/>
        </w:rPr>
        <w:t xml:space="preserve">Barvy a laky, státní podnik "v likvidaci" </w:t>
      </w:r>
      <w:r w:rsidR="0045443F" w:rsidRPr="00666E7E">
        <w:rPr>
          <w:rFonts w:cs="Calibri"/>
        </w:rPr>
        <w:t>–</w:t>
      </w:r>
      <w:r w:rsidR="00457827" w:rsidRPr="00666E7E">
        <w:rPr>
          <w:rFonts w:cs="Calibri"/>
          <w:bCs/>
          <w:shd w:val="clear" w:color="auto" w:fill="FFFFFF"/>
        </w:rPr>
        <w:t xml:space="preserve"> vymazán v roce 2019 a poté výmaz zrušen soudem v roce 2021 a obnovena likvidace.</w:t>
      </w:r>
    </w:p>
  </w:footnote>
  <w:footnote w:id="6">
    <w:p w14:paraId="6B25E68D" w14:textId="0876A518" w:rsidR="006321D3" w:rsidRPr="00666E7E" w:rsidRDefault="006321D3" w:rsidP="00666E7E">
      <w:pPr>
        <w:pStyle w:val="Textpoznpodarou"/>
        <w:ind w:left="284" w:hanging="284"/>
        <w:rPr>
          <w:rFonts w:cs="Calibri"/>
        </w:rPr>
      </w:pPr>
      <w:r w:rsidRPr="00666E7E">
        <w:rPr>
          <w:rStyle w:val="Znakapoznpodarou"/>
          <w:rFonts w:cs="Calibri"/>
        </w:rPr>
        <w:footnoteRef/>
      </w:r>
      <w:r w:rsidRPr="00666E7E">
        <w:rPr>
          <w:rFonts w:cs="Calibri"/>
        </w:rPr>
        <w:t xml:space="preserve"> </w:t>
      </w:r>
      <w:r w:rsidR="00666E7E">
        <w:rPr>
          <w:rFonts w:cs="Calibri"/>
        </w:rPr>
        <w:tab/>
      </w:r>
      <w:r w:rsidR="00457827" w:rsidRPr="00666E7E">
        <w:rPr>
          <w:rFonts w:cs="Calibri"/>
        </w:rPr>
        <w:t>Jihomoravské dřevařské závody Brno, v likvidaci – vstup do likvidace v roce 2021</w:t>
      </w:r>
      <w:r w:rsidR="00727672">
        <w:rPr>
          <w:rFonts w:cs="Calibri"/>
        </w:rPr>
        <w:t>.</w:t>
      </w:r>
    </w:p>
  </w:footnote>
  <w:footnote w:id="7">
    <w:p w14:paraId="6E6E12D1" w14:textId="55933ECC" w:rsidR="00FF06A1" w:rsidRPr="00666E7E" w:rsidRDefault="00FF06A1" w:rsidP="00666E7E">
      <w:pPr>
        <w:pStyle w:val="Textpoznpodarou"/>
        <w:ind w:left="284" w:hanging="284"/>
        <w:jc w:val="both"/>
        <w:rPr>
          <w:rFonts w:cs="Calibri"/>
        </w:rPr>
      </w:pPr>
      <w:r w:rsidRPr="00666E7E">
        <w:rPr>
          <w:rStyle w:val="Znakapoznpodarou"/>
          <w:rFonts w:cs="Calibri"/>
        </w:rPr>
        <w:footnoteRef/>
      </w:r>
      <w:r w:rsidRPr="00666E7E">
        <w:rPr>
          <w:rFonts w:cs="Calibri"/>
        </w:rPr>
        <w:t xml:space="preserve"> </w:t>
      </w:r>
      <w:r w:rsidR="00666E7E">
        <w:rPr>
          <w:rFonts w:cs="Calibri"/>
        </w:rPr>
        <w:tab/>
      </w:r>
      <w:r w:rsidRPr="00666E7E">
        <w:rPr>
          <w:rFonts w:cs="Calibri"/>
        </w:rPr>
        <w:t>U státního podniku Státní statek Křivoklát v likvidaci, státní podnik</w:t>
      </w:r>
      <w:r w:rsidR="0045443F">
        <w:rPr>
          <w:rFonts w:cs="Calibri"/>
        </w:rPr>
        <w:t>,</w:t>
      </w:r>
      <w:r w:rsidRPr="00666E7E">
        <w:rPr>
          <w:rFonts w:cs="Calibri"/>
        </w:rPr>
        <w:t xml:space="preserve"> byl konkurs zrušen rozhodnutím soudu ze dne 22.</w:t>
      </w:r>
      <w:r w:rsidR="00F64E29" w:rsidRPr="00666E7E">
        <w:rPr>
          <w:rFonts w:cs="Calibri"/>
        </w:rPr>
        <w:t xml:space="preserve"> srpna</w:t>
      </w:r>
      <w:r w:rsidR="001F0876" w:rsidRPr="00666E7E">
        <w:rPr>
          <w:rFonts w:cs="Calibri"/>
        </w:rPr>
        <w:t xml:space="preserve"> </w:t>
      </w:r>
      <w:r w:rsidRPr="00666E7E">
        <w:rPr>
          <w:rFonts w:cs="Calibri"/>
        </w:rPr>
        <w:t>2024. Zrušení konkursu</w:t>
      </w:r>
      <w:r w:rsidR="001F0876" w:rsidRPr="00666E7E">
        <w:rPr>
          <w:rFonts w:cs="Calibri"/>
        </w:rPr>
        <w:t xml:space="preserve"> </w:t>
      </w:r>
      <w:r w:rsidRPr="00666E7E">
        <w:rPr>
          <w:rFonts w:cs="Calibri"/>
        </w:rPr>
        <w:t>bylo zapsáno do obchodního rejstříku až 26. února 2025.</w:t>
      </w:r>
    </w:p>
  </w:footnote>
  <w:footnote w:id="8">
    <w:p w14:paraId="0B27039C" w14:textId="7F3288D1" w:rsidR="00D403D8" w:rsidRPr="00666E7E" w:rsidRDefault="00D403D8" w:rsidP="00666E7E">
      <w:pPr>
        <w:pStyle w:val="Textpoznpodarou"/>
        <w:ind w:left="284" w:hanging="284"/>
        <w:jc w:val="both"/>
        <w:rPr>
          <w:rFonts w:cs="Calibri"/>
        </w:rPr>
      </w:pPr>
      <w:r w:rsidRPr="00666E7E">
        <w:rPr>
          <w:rStyle w:val="Znakapoznpodarou"/>
          <w:rFonts w:cs="Calibri"/>
        </w:rPr>
        <w:footnoteRef/>
      </w:r>
      <w:r w:rsidRPr="00666E7E">
        <w:rPr>
          <w:rFonts w:cs="Calibri"/>
        </w:rPr>
        <w:t xml:space="preserve"> </w:t>
      </w:r>
      <w:r w:rsidR="00666E7E">
        <w:rPr>
          <w:rFonts w:cs="Calibri"/>
        </w:rPr>
        <w:tab/>
      </w:r>
      <w:r w:rsidR="002F74A8" w:rsidRPr="00666E7E">
        <w:rPr>
          <w:rFonts w:cs="Calibri"/>
        </w:rPr>
        <w:t>U</w:t>
      </w:r>
      <w:r w:rsidR="007A4DC8" w:rsidRPr="00666E7E">
        <w:rPr>
          <w:rFonts w:cs="Calibri"/>
        </w:rPr>
        <w:t>stanovení § 153b odst. 1 zákona č. 99/1963 Sb., občanský soudní řád: „</w:t>
      </w:r>
      <w:r w:rsidR="007A4DC8" w:rsidRPr="00666E7E">
        <w:rPr>
          <w:rFonts w:cs="Calibri"/>
          <w:i/>
          <w:iCs/>
        </w:rPr>
        <w:t>Zmešká-li žalovaný, kterému byly řádně doručeny do jeho vlastních rukou (§ 49) žaloba a předvolání k jednání nejméně deset dnů přede dnem, kdy se jednání má konat, a který byl o následcích nedostavení se poučen, bez důvodné a včasné omluvy první jednání, které se ve věci konalo, a navrhne-li to žalobce, který se dostavil k jednání, pokládají se tvrzení žalobce</w:t>
      </w:r>
      <w:r w:rsidR="007A4DC8" w:rsidRPr="007A4DC8">
        <w:rPr>
          <w:i/>
          <w:iCs/>
        </w:rPr>
        <w:t xml:space="preserve"> obsažená </w:t>
      </w:r>
      <w:r w:rsidR="007A4DC8" w:rsidRPr="00666E7E">
        <w:rPr>
          <w:rFonts w:cs="Calibri"/>
          <w:i/>
          <w:iCs/>
        </w:rPr>
        <w:t>v žalobě o skutkových okolnostech, týkající se sporu, za nesporná a na tomto základě může soud rozhodnout o žalobě rozsudkem pro zmeškání.</w:t>
      </w:r>
      <w:r w:rsidR="007A4DC8" w:rsidRPr="00666E7E">
        <w:rPr>
          <w:rFonts w:cs="Calibri"/>
        </w:rPr>
        <w:t>“</w:t>
      </w:r>
    </w:p>
  </w:footnote>
  <w:footnote w:id="9">
    <w:p w14:paraId="2C090B8F" w14:textId="05674DDA" w:rsidR="00C52CA3" w:rsidRPr="00666E7E" w:rsidRDefault="00C52CA3" w:rsidP="00666E7E">
      <w:pPr>
        <w:pStyle w:val="Textpoznpodarou"/>
        <w:ind w:left="284" w:hanging="284"/>
        <w:rPr>
          <w:rFonts w:cs="Calibri"/>
        </w:rPr>
      </w:pPr>
      <w:r w:rsidRPr="00666E7E">
        <w:rPr>
          <w:rStyle w:val="Znakapoznpodarou"/>
          <w:rFonts w:cs="Calibri"/>
        </w:rPr>
        <w:footnoteRef/>
      </w:r>
      <w:r w:rsidRPr="00666E7E">
        <w:rPr>
          <w:rFonts w:cs="Calibri"/>
        </w:rPr>
        <w:t xml:space="preserve"> </w:t>
      </w:r>
      <w:r w:rsidR="00666E7E">
        <w:rPr>
          <w:rFonts w:cs="Calibri"/>
        </w:rPr>
        <w:tab/>
      </w:r>
      <w:r w:rsidRPr="00666E7E">
        <w:rPr>
          <w:rFonts w:cs="Calibri"/>
        </w:rPr>
        <w:t>Ministerstvo průmyslu a obchodu. Publikováno dne 18.</w:t>
      </w:r>
      <w:r w:rsidR="00612A4A">
        <w:rPr>
          <w:rFonts w:cs="Calibri"/>
        </w:rPr>
        <w:t> </w:t>
      </w:r>
      <w:r w:rsidR="00F64E29" w:rsidRPr="00666E7E">
        <w:rPr>
          <w:rFonts w:cs="Calibri"/>
        </w:rPr>
        <w:t xml:space="preserve">února </w:t>
      </w:r>
      <w:r w:rsidRPr="00666E7E">
        <w:rPr>
          <w:rFonts w:cs="Calibri"/>
        </w:rPr>
        <w:t xml:space="preserve">2021. Dostupné z: </w:t>
      </w:r>
      <w:hyperlink r:id="rId1" w:history="1">
        <w:r w:rsidRPr="00666E7E">
          <w:rPr>
            <w:rStyle w:val="Hypertextovodkaz"/>
            <w:rFonts w:cs="Calibri"/>
          </w:rPr>
          <w:t>https://mpo.gov.cz/cz/rozcestnik/ministerstvo/o-ministerstvu/aplikace-zakona-c-77-1997-sb/metodicky-pokyn-ministerstva-prumyslu-a-obchodu-c--1-2021--259667/</w:t>
        </w:r>
      </w:hyperlink>
      <w:r w:rsidRPr="00666E7E">
        <w:rPr>
          <w:rFonts w:cs="Calibri"/>
        </w:rPr>
        <w:t xml:space="preserve">. </w:t>
      </w:r>
    </w:p>
  </w:footnote>
  <w:footnote w:id="10">
    <w:p w14:paraId="3833C478" w14:textId="119A3CFD" w:rsidR="00442BE5" w:rsidRDefault="00442BE5" w:rsidP="003657C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3657C5">
        <w:tab/>
      </w:r>
      <w:r w:rsidR="00CA6C71">
        <w:t>Zákon</w:t>
      </w:r>
      <w:r w:rsidRPr="00442BE5">
        <w:t xml:space="preserve"> č. 254/2023 Sb., kterým se mění zákon č. 77/1997 Sb., o státním podniku</w:t>
      </w:r>
      <w:r w:rsidR="00F7668A">
        <w:t>, ve znění pozdějších předpisů</w:t>
      </w:r>
      <w:r w:rsidR="007F38B0">
        <w:t>,</w:t>
      </w:r>
      <w:r w:rsidRPr="00442BE5">
        <w:t xml:space="preserve"> a zákon č. 218/2000 Sb., o</w:t>
      </w:r>
      <w:r w:rsidR="00F7668A">
        <w:t> </w:t>
      </w:r>
      <w:r w:rsidRPr="00442BE5">
        <w:t>rozpočtových pravidlech a o změně některých souvisejících zákonů (rozpočtová pravidla),</w:t>
      </w:r>
      <w:r>
        <w:t xml:space="preserve">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908C" w14:textId="77777777" w:rsidR="00783DA7" w:rsidRPr="00F50CDE" w:rsidRDefault="00783DA7" w:rsidP="00972D3C">
    <w:pPr>
      <w:pStyle w:val="Zhlav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51AD"/>
    <w:multiLevelType w:val="hybridMultilevel"/>
    <w:tmpl w:val="0D8C0FBA"/>
    <w:lvl w:ilvl="0" w:tplc="BDB08A54">
      <w:start w:val="1"/>
      <w:numFmt w:val="decimal"/>
      <w:lvlText w:val="Tabulka č. %1:"/>
      <w:lvlJc w:val="left"/>
      <w:pPr>
        <w:ind w:left="0" w:firstLine="0"/>
      </w:pPr>
      <w:rPr>
        <w:rFonts w:ascii="Calibri" w:hAnsi="Calibri" w:hint="default"/>
        <w:b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 w:tplc="5002DFEE" w:tentative="1">
      <w:start w:val="1"/>
      <w:numFmt w:val="lowerLetter"/>
      <w:lvlText w:val="%2."/>
      <w:lvlJc w:val="left"/>
      <w:pPr>
        <w:ind w:left="1440" w:hanging="360"/>
      </w:pPr>
    </w:lvl>
    <w:lvl w:ilvl="2" w:tplc="4322C176" w:tentative="1">
      <w:start w:val="1"/>
      <w:numFmt w:val="lowerRoman"/>
      <w:lvlText w:val="%3."/>
      <w:lvlJc w:val="right"/>
      <w:pPr>
        <w:ind w:left="2160" w:hanging="180"/>
      </w:pPr>
    </w:lvl>
    <w:lvl w:ilvl="3" w:tplc="62667914" w:tentative="1">
      <w:start w:val="1"/>
      <w:numFmt w:val="decimal"/>
      <w:lvlText w:val="%4."/>
      <w:lvlJc w:val="left"/>
      <w:pPr>
        <w:ind w:left="2880" w:hanging="360"/>
      </w:pPr>
    </w:lvl>
    <w:lvl w:ilvl="4" w:tplc="59EAEA90" w:tentative="1">
      <w:start w:val="1"/>
      <w:numFmt w:val="lowerLetter"/>
      <w:lvlText w:val="%5."/>
      <w:lvlJc w:val="left"/>
      <w:pPr>
        <w:ind w:left="3600" w:hanging="360"/>
      </w:pPr>
    </w:lvl>
    <w:lvl w:ilvl="5" w:tplc="3154DE7C" w:tentative="1">
      <w:start w:val="1"/>
      <w:numFmt w:val="lowerRoman"/>
      <w:lvlText w:val="%6."/>
      <w:lvlJc w:val="right"/>
      <w:pPr>
        <w:ind w:left="4320" w:hanging="180"/>
      </w:pPr>
    </w:lvl>
    <w:lvl w:ilvl="6" w:tplc="BE72D5DC" w:tentative="1">
      <w:start w:val="1"/>
      <w:numFmt w:val="decimal"/>
      <w:lvlText w:val="%7."/>
      <w:lvlJc w:val="left"/>
      <w:pPr>
        <w:ind w:left="5040" w:hanging="360"/>
      </w:pPr>
    </w:lvl>
    <w:lvl w:ilvl="7" w:tplc="16528DE4" w:tentative="1">
      <w:start w:val="1"/>
      <w:numFmt w:val="lowerLetter"/>
      <w:lvlText w:val="%8."/>
      <w:lvlJc w:val="left"/>
      <w:pPr>
        <w:ind w:left="5760" w:hanging="360"/>
      </w:pPr>
    </w:lvl>
    <w:lvl w:ilvl="8" w:tplc="EDAA3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1894"/>
    <w:multiLevelType w:val="multilevel"/>
    <w:tmpl w:val="CAB65A8C"/>
    <w:lvl w:ilvl="0">
      <w:start w:val="1"/>
      <w:numFmt w:val="decimal"/>
      <w:pStyle w:val="Nadpis2"/>
      <w:lvlText w:val="2.%1"/>
      <w:lvlJc w:val="left"/>
      <w:pPr>
        <w:ind w:left="107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hint="default"/>
      </w:rPr>
    </w:lvl>
  </w:abstractNum>
  <w:abstractNum w:abstractNumId="2" w15:restartNumberingAfterBreak="0">
    <w:nsid w:val="17A66D9A"/>
    <w:multiLevelType w:val="hybridMultilevel"/>
    <w:tmpl w:val="FB741C20"/>
    <w:lvl w:ilvl="0" w:tplc="65CCB966">
      <w:start w:val="1"/>
      <w:numFmt w:val="decimal"/>
      <w:lvlText w:val="2.%1"/>
      <w:lvlJc w:val="left"/>
      <w:pPr>
        <w:ind w:left="1134" w:hanging="77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230"/>
    <w:multiLevelType w:val="hybridMultilevel"/>
    <w:tmpl w:val="79A892CA"/>
    <w:lvl w:ilvl="0" w:tplc="0B6A58C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1A75"/>
    <w:multiLevelType w:val="hybridMultilevel"/>
    <w:tmpl w:val="6C462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35FA5"/>
    <w:multiLevelType w:val="hybridMultilevel"/>
    <w:tmpl w:val="FDC04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378B"/>
    <w:multiLevelType w:val="hybridMultilevel"/>
    <w:tmpl w:val="18AA9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7BE2"/>
    <w:multiLevelType w:val="hybridMultilevel"/>
    <w:tmpl w:val="9E1C23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F4CFC"/>
    <w:multiLevelType w:val="hybridMultilevel"/>
    <w:tmpl w:val="AA2E2B72"/>
    <w:lvl w:ilvl="0" w:tplc="180CF054">
      <w:start w:val="1"/>
      <w:numFmt w:val="decimal"/>
      <w:pStyle w:val="Nadpis3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1145"/>
    <w:multiLevelType w:val="hybridMultilevel"/>
    <w:tmpl w:val="8BB65E50"/>
    <w:lvl w:ilvl="0" w:tplc="0B6A58C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2604F"/>
    <w:multiLevelType w:val="hybridMultilevel"/>
    <w:tmpl w:val="FDF67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35DD"/>
    <w:multiLevelType w:val="hybridMultilevel"/>
    <w:tmpl w:val="263637B6"/>
    <w:lvl w:ilvl="0" w:tplc="9D8C8E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B6184"/>
    <w:multiLevelType w:val="hybridMultilevel"/>
    <w:tmpl w:val="48A0AC3C"/>
    <w:lvl w:ilvl="0" w:tplc="75D4B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51627"/>
    <w:multiLevelType w:val="hybridMultilevel"/>
    <w:tmpl w:val="3A3A3D0C"/>
    <w:lvl w:ilvl="0" w:tplc="7D4EC0B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05C4A"/>
    <w:multiLevelType w:val="hybridMultilevel"/>
    <w:tmpl w:val="9ECC8050"/>
    <w:lvl w:ilvl="0" w:tplc="0B6A58C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3003B"/>
    <w:multiLevelType w:val="hybridMultilevel"/>
    <w:tmpl w:val="C14E6C98"/>
    <w:lvl w:ilvl="0" w:tplc="0B6A58C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25405"/>
    <w:multiLevelType w:val="hybridMultilevel"/>
    <w:tmpl w:val="1EF62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027D6"/>
    <w:multiLevelType w:val="hybridMultilevel"/>
    <w:tmpl w:val="E806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C575B"/>
    <w:multiLevelType w:val="hybridMultilevel"/>
    <w:tmpl w:val="D278F19E"/>
    <w:lvl w:ilvl="0" w:tplc="153609FE">
      <w:start w:val="1"/>
      <w:numFmt w:val="decimal"/>
      <w:pStyle w:val="Nadpis4"/>
      <w:lvlText w:val="4.%1"/>
      <w:lvlJc w:val="left"/>
      <w:pPr>
        <w:ind w:left="759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33A6A"/>
    <w:multiLevelType w:val="hybridMultilevel"/>
    <w:tmpl w:val="9704114E"/>
    <w:lvl w:ilvl="0" w:tplc="7AC45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40E0B"/>
    <w:multiLevelType w:val="hybridMultilevel"/>
    <w:tmpl w:val="E0CA2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52C29"/>
    <w:multiLevelType w:val="hybridMultilevel"/>
    <w:tmpl w:val="B420C19C"/>
    <w:lvl w:ilvl="0" w:tplc="0B6A58C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C42F1"/>
    <w:multiLevelType w:val="hybridMultilevel"/>
    <w:tmpl w:val="C0EA5CF0"/>
    <w:lvl w:ilvl="0" w:tplc="0B6A58C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E162D"/>
    <w:multiLevelType w:val="hybridMultilevel"/>
    <w:tmpl w:val="C7BE6EFA"/>
    <w:lvl w:ilvl="0" w:tplc="9D8C8E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45B48"/>
    <w:multiLevelType w:val="multilevel"/>
    <w:tmpl w:val="14E054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7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9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851"/>
      </w:pPr>
      <w:rPr>
        <w:rFonts w:hint="default"/>
      </w:rPr>
    </w:lvl>
  </w:abstractNum>
  <w:abstractNum w:abstractNumId="25" w15:restartNumberingAfterBreak="0">
    <w:nsid w:val="71D91BAC"/>
    <w:multiLevelType w:val="hybridMultilevel"/>
    <w:tmpl w:val="F7DE51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31409A4"/>
    <w:multiLevelType w:val="hybridMultilevel"/>
    <w:tmpl w:val="338CDA46"/>
    <w:lvl w:ilvl="0" w:tplc="0B6A58C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75988">
    <w:abstractNumId w:val="1"/>
  </w:num>
  <w:num w:numId="2" w16cid:durableId="1144159149">
    <w:abstractNumId w:val="24"/>
  </w:num>
  <w:num w:numId="3" w16cid:durableId="594632044">
    <w:abstractNumId w:val="13"/>
  </w:num>
  <w:num w:numId="4" w16cid:durableId="1276331424">
    <w:abstractNumId w:val="19"/>
  </w:num>
  <w:num w:numId="5" w16cid:durableId="726611113">
    <w:abstractNumId w:val="1"/>
  </w:num>
  <w:num w:numId="6" w16cid:durableId="1069350920">
    <w:abstractNumId w:val="8"/>
  </w:num>
  <w:num w:numId="7" w16cid:durableId="1860776862">
    <w:abstractNumId w:val="18"/>
  </w:num>
  <w:num w:numId="8" w16cid:durableId="273176711">
    <w:abstractNumId w:val="7"/>
  </w:num>
  <w:num w:numId="9" w16cid:durableId="1356150130">
    <w:abstractNumId w:val="20"/>
  </w:num>
  <w:num w:numId="10" w16cid:durableId="176386447">
    <w:abstractNumId w:val="4"/>
  </w:num>
  <w:num w:numId="11" w16cid:durableId="1501851933">
    <w:abstractNumId w:val="2"/>
  </w:num>
  <w:num w:numId="12" w16cid:durableId="1443723694">
    <w:abstractNumId w:val="23"/>
  </w:num>
  <w:num w:numId="13" w16cid:durableId="74127915">
    <w:abstractNumId w:val="11"/>
  </w:num>
  <w:num w:numId="14" w16cid:durableId="716245636">
    <w:abstractNumId w:val="15"/>
  </w:num>
  <w:num w:numId="15" w16cid:durableId="1799957767">
    <w:abstractNumId w:val="22"/>
  </w:num>
  <w:num w:numId="16" w16cid:durableId="848719042">
    <w:abstractNumId w:val="3"/>
  </w:num>
  <w:num w:numId="17" w16cid:durableId="1955165110">
    <w:abstractNumId w:val="18"/>
  </w:num>
  <w:num w:numId="18" w16cid:durableId="857431578">
    <w:abstractNumId w:val="21"/>
  </w:num>
  <w:num w:numId="19" w16cid:durableId="1034573644">
    <w:abstractNumId w:val="18"/>
  </w:num>
  <w:num w:numId="20" w16cid:durableId="616640826">
    <w:abstractNumId w:val="14"/>
  </w:num>
  <w:num w:numId="21" w16cid:durableId="2024941124">
    <w:abstractNumId w:val="18"/>
  </w:num>
  <w:num w:numId="22" w16cid:durableId="1747413909">
    <w:abstractNumId w:val="9"/>
  </w:num>
  <w:num w:numId="23" w16cid:durableId="899099031">
    <w:abstractNumId w:val="18"/>
  </w:num>
  <w:num w:numId="24" w16cid:durableId="1937251549">
    <w:abstractNumId w:val="26"/>
  </w:num>
  <w:num w:numId="25" w16cid:durableId="1907377570">
    <w:abstractNumId w:val="18"/>
  </w:num>
  <w:num w:numId="26" w16cid:durableId="899828922">
    <w:abstractNumId w:val="18"/>
  </w:num>
  <w:num w:numId="27" w16cid:durableId="697970168">
    <w:abstractNumId w:val="18"/>
  </w:num>
  <w:num w:numId="28" w16cid:durableId="1550727617">
    <w:abstractNumId w:val="18"/>
  </w:num>
  <w:num w:numId="29" w16cid:durableId="1482189372">
    <w:abstractNumId w:val="10"/>
  </w:num>
  <w:num w:numId="30" w16cid:durableId="16818095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1054537">
    <w:abstractNumId w:val="25"/>
  </w:num>
  <w:num w:numId="32" w16cid:durableId="542521045">
    <w:abstractNumId w:val="17"/>
  </w:num>
  <w:num w:numId="33" w16cid:durableId="760637429">
    <w:abstractNumId w:val="16"/>
  </w:num>
  <w:num w:numId="34" w16cid:durableId="345597592">
    <w:abstractNumId w:val="6"/>
  </w:num>
  <w:num w:numId="35" w16cid:durableId="1835147394">
    <w:abstractNumId w:val="0"/>
  </w:num>
  <w:num w:numId="36" w16cid:durableId="17699388">
    <w:abstractNumId w:val="5"/>
  </w:num>
  <w:num w:numId="37" w16cid:durableId="7714176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24"/>
    <w:rsid w:val="000001A4"/>
    <w:rsid w:val="00000330"/>
    <w:rsid w:val="00000739"/>
    <w:rsid w:val="0000075B"/>
    <w:rsid w:val="00000BCF"/>
    <w:rsid w:val="00001B9E"/>
    <w:rsid w:val="0000251F"/>
    <w:rsid w:val="00002599"/>
    <w:rsid w:val="00002B4E"/>
    <w:rsid w:val="000031B6"/>
    <w:rsid w:val="00003288"/>
    <w:rsid w:val="00003383"/>
    <w:rsid w:val="000056A2"/>
    <w:rsid w:val="00005704"/>
    <w:rsid w:val="00005BF6"/>
    <w:rsid w:val="000061EB"/>
    <w:rsid w:val="00006C82"/>
    <w:rsid w:val="00006D3C"/>
    <w:rsid w:val="00007D0E"/>
    <w:rsid w:val="00010542"/>
    <w:rsid w:val="00010B8C"/>
    <w:rsid w:val="00010B91"/>
    <w:rsid w:val="00010FCA"/>
    <w:rsid w:val="000125BA"/>
    <w:rsid w:val="000128B2"/>
    <w:rsid w:val="00014047"/>
    <w:rsid w:val="000144BA"/>
    <w:rsid w:val="00015B0A"/>
    <w:rsid w:val="00015DA3"/>
    <w:rsid w:val="00016254"/>
    <w:rsid w:val="000162F2"/>
    <w:rsid w:val="0001658D"/>
    <w:rsid w:val="00016623"/>
    <w:rsid w:val="00016AFF"/>
    <w:rsid w:val="00016CAB"/>
    <w:rsid w:val="00016D60"/>
    <w:rsid w:val="00020393"/>
    <w:rsid w:val="00020D87"/>
    <w:rsid w:val="000212E0"/>
    <w:rsid w:val="00021654"/>
    <w:rsid w:val="0002374B"/>
    <w:rsid w:val="00023E34"/>
    <w:rsid w:val="0002404E"/>
    <w:rsid w:val="00024651"/>
    <w:rsid w:val="00024CA0"/>
    <w:rsid w:val="00025C81"/>
    <w:rsid w:val="0002611C"/>
    <w:rsid w:val="00026AE9"/>
    <w:rsid w:val="00027C33"/>
    <w:rsid w:val="00027EB2"/>
    <w:rsid w:val="000302B5"/>
    <w:rsid w:val="00032905"/>
    <w:rsid w:val="00033308"/>
    <w:rsid w:val="0003457C"/>
    <w:rsid w:val="000370C0"/>
    <w:rsid w:val="0003724A"/>
    <w:rsid w:val="000402A6"/>
    <w:rsid w:val="000411BB"/>
    <w:rsid w:val="000418A9"/>
    <w:rsid w:val="00041A1D"/>
    <w:rsid w:val="000425B6"/>
    <w:rsid w:val="0004553D"/>
    <w:rsid w:val="00045928"/>
    <w:rsid w:val="00045B07"/>
    <w:rsid w:val="0004637C"/>
    <w:rsid w:val="000473AF"/>
    <w:rsid w:val="00047AC0"/>
    <w:rsid w:val="00050F15"/>
    <w:rsid w:val="00052813"/>
    <w:rsid w:val="0005322E"/>
    <w:rsid w:val="000534E1"/>
    <w:rsid w:val="00053C38"/>
    <w:rsid w:val="0005647F"/>
    <w:rsid w:val="000566DC"/>
    <w:rsid w:val="00056FBA"/>
    <w:rsid w:val="00056FDA"/>
    <w:rsid w:val="0005757F"/>
    <w:rsid w:val="00062EE0"/>
    <w:rsid w:val="00063024"/>
    <w:rsid w:val="00063978"/>
    <w:rsid w:val="00063B25"/>
    <w:rsid w:val="00063C16"/>
    <w:rsid w:val="00063D1B"/>
    <w:rsid w:val="000708A7"/>
    <w:rsid w:val="00071284"/>
    <w:rsid w:val="000715F7"/>
    <w:rsid w:val="0007194A"/>
    <w:rsid w:val="00072A8A"/>
    <w:rsid w:val="000734E9"/>
    <w:rsid w:val="000735CE"/>
    <w:rsid w:val="00073940"/>
    <w:rsid w:val="00073B70"/>
    <w:rsid w:val="00074295"/>
    <w:rsid w:val="00076077"/>
    <w:rsid w:val="00076BBF"/>
    <w:rsid w:val="00076BD0"/>
    <w:rsid w:val="000776E9"/>
    <w:rsid w:val="00080C46"/>
    <w:rsid w:val="00081F74"/>
    <w:rsid w:val="00082A4F"/>
    <w:rsid w:val="00083E4E"/>
    <w:rsid w:val="00084344"/>
    <w:rsid w:val="000847FB"/>
    <w:rsid w:val="000849EF"/>
    <w:rsid w:val="00085681"/>
    <w:rsid w:val="000875BD"/>
    <w:rsid w:val="00087C57"/>
    <w:rsid w:val="000902DA"/>
    <w:rsid w:val="00090A4D"/>
    <w:rsid w:val="0009161F"/>
    <w:rsid w:val="00092573"/>
    <w:rsid w:val="00092EF1"/>
    <w:rsid w:val="00093487"/>
    <w:rsid w:val="000934B6"/>
    <w:rsid w:val="0009379F"/>
    <w:rsid w:val="00093BFE"/>
    <w:rsid w:val="000945B7"/>
    <w:rsid w:val="000945E8"/>
    <w:rsid w:val="00094621"/>
    <w:rsid w:val="000966F9"/>
    <w:rsid w:val="00097AA5"/>
    <w:rsid w:val="000A123C"/>
    <w:rsid w:val="000A1CBC"/>
    <w:rsid w:val="000A1F3F"/>
    <w:rsid w:val="000A312F"/>
    <w:rsid w:val="000A3343"/>
    <w:rsid w:val="000A37FD"/>
    <w:rsid w:val="000A3C79"/>
    <w:rsid w:val="000A4338"/>
    <w:rsid w:val="000A59D2"/>
    <w:rsid w:val="000A60E3"/>
    <w:rsid w:val="000A7BAF"/>
    <w:rsid w:val="000A7FC8"/>
    <w:rsid w:val="000B0AC1"/>
    <w:rsid w:val="000B0D7E"/>
    <w:rsid w:val="000B1ADC"/>
    <w:rsid w:val="000B3054"/>
    <w:rsid w:val="000B3DBA"/>
    <w:rsid w:val="000B3E62"/>
    <w:rsid w:val="000B518E"/>
    <w:rsid w:val="000B674B"/>
    <w:rsid w:val="000B7C8A"/>
    <w:rsid w:val="000B7DA4"/>
    <w:rsid w:val="000C013D"/>
    <w:rsid w:val="000C16B8"/>
    <w:rsid w:val="000C1B1A"/>
    <w:rsid w:val="000C215A"/>
    <w:rsid w:val="000C4972"/>
    <w:rsid w:val="000C4CE6"/>
    <w:rsid w:val="000C5ED6"/>
    <w:rsid w:val="000C7129"/>
    <w:rsid w:val="000C7943"/>
    <w:rsid w:val="000C7F33"/>
    <w:rsid w:val="000D00F5"/>
    <w:rsid w:val="000D01A8"/>
    <w:rsid w:val="000D14BA"/>
    <w:rsid w:val="000D187D"/>
    <w:rsid w:val="000D19A3"/>
    <w:rsid w:val="000D267A"/>
    <w:rsid w:val="000D2F5B"/>
    <w:rsid w:val="000D38B6"/>
    <w:rsid w:val="000D45C7"/>
    <w:rsid w:val="000D4AA7"/>
    <w:rsid w:val="000D4F90"/>
    <w:rsid w:val="000D5164"/>
    <w:rsid w:val="000D60E5"/>
    <w:rsid w:val="000E0037"/>
    <w:rsid w:val="000E04E8"/>
    <w:rsid w:val="000E04EB"/>
    <w:rsid w:val="000E31DB"/>
    <w:rsid w:val="000E37B7"/>
    <w:rsid w:val="000E3AAF"/>
    <w:rsid w:val="000E4069"/>
    <w:rsid w:val="000E6DDD"/>
    <w:rsid w:val="000E73F7"/>
    <w:rsid w:val="000E7D3B"/>
    <w:rsid w:val="000F0E1F"/>
    <w:rsid w:val="000F1BD3"/>
    <w:rsid w:val="000F2A2C"/>
    <w:rsid w:val="000F2DD0"/>
    <w:rsid w:val="000F4C22"/>
    <w:rsid w:val="000F56DE"/>
    <w:rsid w:val="000F59D3"/>
    <w:rsid w:val="000F5E83"/>
    <w:rsid w:val="000F619C"/>
    <w:rsid w:val="000F6B94"/>
    <w:rsid w:val="00100BD7"/>
    <w:rsid w:val="0010184E"/>
    <w:rsid w:val="0010316E"/>
    <w:rsid w:val="00103864"/>
    <w:rsid w:val="00103CE0"/>
    <w:rsid w:val="00103F25"/>
    <w:rsid w:val="0010528B"/>
    <w:rsid w:val="001078FE"/>
    <w:rsid w:val="00107907"/>
    <w:rsid w:val="0011017F"/>
    <w:rsid w:val="00110F83"/>
    <w:rsid w:val="0011228B"/>
    <w:rsid w:val="001122ED"/>
    <w:rsid w:val="001138E6"/>
    <w:rsid w:val="00115124"/>
    <w:rsid w:val="0011527E"/>
    <w:rsid w:val="00115B23"/>
    <w:rsid w:val="00116B75"/>
    <w:rsid w:val="001174E4"/>
    <w:rsid w:val="001174E8"/>
    <w:rsid w:val="00117528"/>
    <w:rsid w:val="00117FD9"/>
    <w:rsid w:val="0012019F"/>
    <w:rsid w:val="0012037F"/>
    <w:rsid w:val="00121499"/>
    <w:rsid w:val="00121B98"/>
    <w:rsid w:val="00121BDD"/>
    <w:rsid w:val="0012264D"/>
    <w:rsid w:val="00122916"/>
    <w:rsid w:val="001230EC"/>
    <w:rsid w:val="00124A87"/>
    <w:rsid w:val="001266AE"/>
    <w:rsid w:val="001269DF"/>
    <w:rsid w:val="00126B2F"/>
    <w:rsid w:val="00126CB7"/>
    <w:rsid w:val="00126CF8"/>
    <w:rsid w:val="00130828"/>
    <w:rsid w:val="001317AE"/>
    <w:rsid w:val="00131C17"/>
    <w:rsid w:val="00134731"/>
    <w:rsid w:val="00135404"/>
    <w:rsid w:val="00137860"/>
    <w:rsid w:val="0013799D"/>
    <w:rsid w:val="001409C1"/>
    <w:rsid w:val="0014241B"/>
    <w:rsid w:val="00142CBD"/>
    <w:rsid w:val="00143A22"/>
    <w:rsid w:val="001443CF"/>
    <w:rsid w:val="00144F18"/>
    <w:rsid w:val="00145DE8"/>
    <w:rsid w:val="00145F43"/>
    <w:rsid w:val="0014708B"/>
    <w:rsid w:val="00147093"/>
    <w:rsid w:val="001502F0"/>
    <w:rsid w:val="00150834"/>
    <w:rsid w:val="001525E4"/>
    <w:rsid w:val="00152620"/>
    <w:rsid w:val="00152C0C"/>
    <w:rsid w:val="00155B0A"/>
    <w:rsid w:val="00156B55"/>
    <w:rsid w:val="00156DF3"/>
    <w:rsid w:val="001579EC"/>
    <w:rsid w:val="0016119A"/>
    <w:rsid w:val="00161A3B"/>
    <w:rsid w:val="00161F79"/>
    <w:rsid w:val="001622C4"/>
    <w:rsid w:val="00163C52"/>
    <w:rsid w:val="001643A1"/>
    <w:rsid w:val="00164A80"/>
    <w:rsid w:val="00164B71"/>
    <w:rsid w:val="00165319"/>
    <w:rsid w:val="00165414"/>
    <w:rsid w:val="001659D3"/>
    <w:rsid w:val="00165ECB"/>
    <w:rsid w:val="00166798"/>
    <w:rsid w:val="00166C24"/>
    <w:rsid w:val="001670EC"/>
    <w:rsid w:val="00167B6A"/>
    <w:rsid w:val="00170BF5"/>
    <w:rsid w:val="0017219A"/>
    <w:rsid w:val="001722C0"/>
    <w:rsid w:val="0017312D"/>
    <w:rsid w:val="00173C33"/>
    <w:rsid w:val="00173CB0"/>
    <w:rsid w:val="001756AD"/>
    <w:rsid w:val="00175806"/>
    <w:rsid w:val="00176E0F"/>
    <w:rsid w:val="00177679"/>
    <w:rsid w:val="00180440"/>
    <w:rsid w:val="00181212"/>
    <w:rsid w:val="001814FA"/>
    <w:rsid w:val="001853F9"/>
    <w:rsid w:val="0018613A"/>
    <w:rsid w:val="00186FF9"/>
    <w:rsid w:val="001918A3"/>
    <w:rsid w:val="00192ED2"/>
    <w:rsid w:val="00193E1B"/>
    <w:rsid w:val="00193F89"/>
    <w:rsid w:val="00194DC5"/>
    <w:rsid w:val="00196ABE"/>
    <w:rsid w:val="00197654"/>
    <w:rsid w:val="00197657"/>
    <w:rsid w:val="001A0F61"/>
    <w:rsid w:val="001A108A"/>
    <w:rsid w:val="001A12F3"/>
    <w:rsid w:val="001A214D"/>
    <w:rsid w:val="001A3136"/>
    <w:rsid w:val="001A34F4"/>
    <w:rsid w:val="001A3EA2"/>
    <w:rsid w:val="001A4796"/>
    <w:rsid w:val="001A5887"/>
    <w:rsid w:val="001A60A7"/>
    <w:rsid w:val="001A7427"/>
    <w:rsid w:val="001A775E"/>
    <w:rsid w:val="001B0710"/>
    <w:rsid w:val="001B0B82"/>
    <w:rsid w:val="001B0BAD"/>
    <w:rsid w:val="001B16BD"/>
    <w:rsid w:val="001B18BE"/>
    <w:rsid w:val="001B239B"/>
    <w:rsid w:val="001B3FB7"/>
    <w:rsid w:val="001B4895"/>
    <w:rsid w:val="001B5F3D"/>
    <w:rsid w:val="001B65F2"/>
    <w:rsid w:val="001B71ED"/>
    <w:rsid w:val="001B72B7"/>
    <w:rsid w:val="001C01D2"/>
    <w:rsid w:val="001C029A"/>
    <w:rsid w:val="001C1E1D"/>
    <w:rsid w:val="001C28D0"/>
    <w:rsid w:val="001C2EDF"/>
    <w:rsid w:val="001C35A0"/>
    <w:rsid w:val="001C47C9"/>
    <w:rsid w:val="001C4BDD"/>
    <w:rsid w:val="001C6024"/>
    <w:rsid w:val="001C6682"/>
    <w:rsid w:val="001C6951"/>
    <w:rsid w:val="001C6F1C"/>
    <w:rsid w:val="001C7EC9"/>
    <w:rsid w:val="001D1C04"/>
    <w:rsid w:val="001D2BC9"/>
    <w:rsid w:val="001D2EE2"/>
    <w:rsid w:val="001D332B"/>
    <w:rsid w:val="001D3A9E"/>
    <w:rsid w:val="001D3B28"/>
    <w:rsid w:val="001D3EF5"/>
    <w:rsid w:val="001D4B45"/>
    <w:rsid w:val="001D4E9E"/>
    <w:rsid w:val="001D5632"/>
    <w:rsid w:val="001D56CB"/>
    <w:rsid w:val="001D5D98"/>
    <w:rsid w:val="001D62D4"/>
    <w:rsid w:val="001D6CB6"/>
    <w:rsid w:val="001E05E8"/>
    <w:rsid w:val="001E0DF6"/>
    <w:rsid w:val="001E3132"/>
    <w:rsid w:val="001E449A"/>
    <w:rsid w:val="001E528D"/>
    <w:rsid w:val="001E5436"/>
    <w:rsid w:val="001E57D6"/>
    <w:rsid w:val="001E5D44"/>
    <w:rsid w:val="001E630A"/>
    <w:rsid w:val="001E658A"/>
    <w:rsid w:val="001E6FC4"/>
    <w:rsid w:val="001E782B"/>
    <w:rsid w:val="001E7E6C"/>
    <w:rsid w:val="001E7FAF"/>
    <w:rsid w:val="001F0876"/>
    <w:rsid w:val="001F1614"/>
    <w:rsid w:val="001F290E"/>
    <w:rsid w:val="001F292E"/>
    <w:rsid w:val="001F3E15"/>
    <w:rsid w:val="001F409E"/>
    <w:rsid w:val="001F53BC"/>
    <w:rsid w:val="001F552E"/>
    <w:rsid w:val="001F56F8"/>
    <w:rsid w:val="001F59D1"/>
    <w:rsid w:val="001F607A"/>
    <w:rsid w:val="001F6123"/>
    <w:rsid w:val="001F6320"/>
    <w:rsid w:val="001F66B2"/>
    <w:rsid w:val="001F6704"/>
    <w:rsid w:val="001F685C"/>
    <w:rsid w:val="002000CA"/>
    <w:rsid w:val="002003D1"/>
    <w:rsid w:val="002009DF"/>
    <w:rsid w:val="00200BF3"/>
    <w:rsid w:val="002016C2"/>
    <w:rsid w:val="00201D5A"/>
    <w:rsid w:val="002023AE"/>
    <w:rsid w:val="002024F5"/>
    <w:rsid w:val="00203177"/>
    <w:rsid w:val="002054FD"/>
    <w:rsid w:val="002056B4"/>
    <w:rsid w:val="00205797"/>
    <w:rsid w:val="00206ED9"/>
    <w:rsid w:val="0020750D"/>
    <w:rsid w:val="00207B9D"/>
    <w:rsid w:val="00207C28"/>
    <w:rsid w:val="002105E0"/>
    <w:rsid w:val="0021088E"/>
    <w:rsid w:val="0021145B"/>
    <w:rsid w:val="002118FF"/>
    <w:rsid w:val="00211DBA"/>
    <w:rsid w:val="00212B3B"/>
    <w:rsid w:val="00213221"/>
    <w:rsid w:val="002132E1"/>
    <w:rsid w:val="00213CE8"/>
    <w:rsid w:val="00214767"/>
    <w:rsid w:val="002157FF"/>
    <w:rsid w:val="002158A7"/>
    <w:rsid w:val="00217248"/>
    <w:rsid w:val="002172EC"/>
    <w:rsid w:val="002173F7"/>
    <w:rsid w:val="00217429"/>
    <w:rsid w:val="0021759B"/>
    <w:rsid w:val="002200F7"/>
    <w:rsid w:val="002206D0"/>
    <w:rsid w:val="0022128A"/>
    <w:rsid w:val="00221C60"/>
    <w:rsid w:val="00223341"/>
    <w:rsid w:val="00223CAA"/>
    <w:rsid w:val="00223FC7"/>
    <w:rsid w:val="00223FF7"/>
    <w:rsid w:val="00224676"/>
    <w:rsid w:val="0022689B"/>
    <w:rsid w:val="00227613"/>
    <w:rsid w:val="00227A2F"/>
    <w:rsid w:val="00230A63"/>
    <w:rsid w:val="00231E45"/>
    <w:rsid w:val="00232C82"/>
    <w:rsid w:val="0023307A"/>
    <w:rsid w:val="00234BCD"/>
    <w:rsid w:val="00235FBE"/>
    <w:rsid w:val="00236E56"/>
    <w:rsid w:val="00237172"/>
    <w:rsid w:val="00237183"/>
    <w:rsid w:val="0023745A"/>
    <w:rsid w:val="00240044"/>
    <w:rsid w:val="0024117B"/>
    <w:rsid w:val="00241731"/>
    <w:rsid w:val="0024184E"/>
    <w:rsid w:val="00241F14"/>
    <w:rsid w:val="002429E5"/>
    <w:rsid w:val="002433BF"/>
    <w:rsid w:val="00243E20"/>
    <w:rsid w:val="00244BF1"/>
    <w:rsid w:val="00245231"/>
    <w:rsid w:val="00245545"/>
    <w:rsid w:val="0024599E"/>
    <w:rsid w:val="00245C04"/>
    <w:rsid w:val="00246E02"/>
    <w:rsid w:val="00246ED7"/>
    <w:rsid w:val="00250779"/>
    <w:rsid w:val="00250958"/>
    <w:rsid w:val="002511A6"/>
    <w:rsid w:val="00251457"/>
    <w:rsid w:val="002524CD"/>
    <w:rsid w:val="00252FA9"/>
    <w:rsid w:val="0025323E"/>
    <w:rsid w:val="00253838"/>
    <w:rsid w:val="002540CA"/>
    <w:rsid w:val="00254663"/>
    <w:rsid w:val="00255BF4"/>
    <w:rsid w:val="00261133"/>
    <w:rsid w:val="0026124B"/>
    <w:rsid w:val="0026163E"/>
    <w:rsid w:val="00261F2C"/>
    <w:rsid w:val="00262585"/>
    <w:rsid w:val="00263A2D"/>
    <w:rsid w:val="00263C49"/>
    <w:rsid w:val="002641C0"/>
    <w:rsid w:val="00265796"/>
    <w:rsid w:val="0026607D"/>
    <w:rsid w:val="00266632"/>
    <w:rsid w:val="00267E99"/>
    <w:rsid w:val="00272348"/>
    <w:rsid w:val="00272463"/>
    <w:rsid w:val="00272D08"/>
    <w:rsid w:val="00273193"/>
    <w:rsid w:val="00273D8B"/>
    <w:rsid w:val="00274719"/>
    <w:rsid w:val="00274A6C"/>
    <w:rsid w:val="00275D8B"/>
    <w:rsid w:val="0027676E"/>
    <w:rsid w:val="00277B4A"/>
    <w:rsid w:val="00277BD8"/>
    <w:rsid w:val="002807CB"/>
    <w:rsid w:val="00280A7C"/>
    <w:rsid w:val="00281496"/>
    <w:rsid w:val="00281621"/>
    <w:rsid w:val="0028248F"/>
    <w:rsid w:val="002835F3"/>
    <w:rsid w:val="00284D5F"/>
    <w:rsid w:val="00284DF5"/>
    <w:rsid w:val="00285AFC"/>
    <w:rsid w:val="00286791"/>
    <w:rsid w:val="0028711E"/>
    <w:rsid w:val="002872B0"/>
    <w:rsid w:val="002877D5"/>
    <w:rsid w:val="00292067"/>
    <w:rsid w:val="002926C0"/>
    <w:rsid w:val="00293364"/>
    <w:rsid w:val="002941D9"/>
    <w:rsid w:val="002945A6"/>
    <w:rsid w:val="00295D79"/>
    <w:rsid w:val="00296828"/>
    <w:rsid w:val="00297B27"/>
    <w:rsid w:val="002A0F98"/>
    <w:rsid w:val="002A1A48"/>
    <w:rsid w:val="002A1C92"/>
    <w:rsid w:val="002A1D99"/>
    <w:rsid w:val="002A1E7A"/>
    <w:rsid w:val="002A3A3E"/>
    <w:rsid w:val="002A40C6"/>
    <w:rsid w:val="002A439F"/>
    <w:rsid w:val="002A7F5B"/>
    <w:rsid w:val="002B06B6"/>
    <w:rsid w:val="002B0E05"/>
    <w:rsid w:val="002B0F62"/>
    <w:rsid w:val="002B1EA7"/>
    <w:rsid w:val="002B2CC9"/>
    <w:rsid w:val="002B31C8"/>
    <w:rsid w:val="002B31DB"/>
    <w:rsid w:val="002B465B"/>
    <w:rsid w:val="002B4DBD"/>
    <w:rsid w:val="002B6C70"/>
    <w:rsid w:val="002C06DA"/>
    <w:rsid w:val="002C0736"/>
    <w:rsid w:val="002C0F54"/>
    <w:rsid w:val="002C1F93"/>
    <w:rsid w:val="002C489E"/>
    <w:rsid w:val="002C5CBB"/>
    <w:rsid w:val="002C61CA"/>
    <w:rsid w:val="002C65BE"/>
    <w:rsid w:val="002C6951"/>
    <w:rsid w:val="002D0F91"/>
    <w:rsid w:val="002D114B"/>
    <w:rsid w:val="002D1E8E"/>
    <w:rsid w:val="002D2959"/>
    <w:rsid w:val="002D4405"/>
    <w:rsid w:val="002D45BE"/>
    <w:rsid w:val="002D6F56"/>
    <w:rsid w:val="002D732A"/>
    <w:rsid w:val="002E01CE"/>
    <w:rsid w:val="002E0C5E"/>
    <w:rsid w:val="002E1BEA"/>
    <w:rsid w:val="002E1F65"/>
    <w:rsid w:val="002E32F3"/>
    <w:rsid w:val="002E39AF"/>
    <w:rsid w:val="002E49BC"/>
    <w:rsid w:val="002E4D3E"/>
    <w:rsid w:val="002E4FB4"/>
    <w:rsid w:val="002E536E"/>
    <w:rsid w:val="002E5F2D"/>
    <w:rsid w:val="002E6C66"/>
    <w:rsid w:val="002E7028"/>
    <w:rsid w:val="002E70D5"/>
    <w:rsid w:val="002F0A12"/>
    <w:rsid w:val="002F1B9F"/>
    <w:rsid w:val="002F2199"/>
    <w:rsid w:val="002F238A"/>
    <w:rsid w:val="002F303A"/>
    <w:rsid w:val="002F3884"/>
    <w:rsid w:val="002F4B90"/>
    <w:rsid w:val="002F5F79"/>
    <w:rsid w:val="002F632D"/>
    <w:rsid w:val="002F643E"/>
    <w:rsid w:val="002F6D8E"/>
    <w:rsid w:val="002F74A8"/>
    <w:rsid w:val="002F782A"/>
    <w:rsid w:val="002F7BC2"/>
    <w:rsid w:val="002F7FC6"/>
    <w:rsid w:val="0030010D"/>
    <w:rsid w:val="00301C60"/>
    <w:rsid w:val="0030214E"/>
    <w:rsid w:val="00303922"/>
    <w:rsid w:val="00303C45"/>
    <w:rsid w:val="00303D2C"/>
    <w:rsid w:val="00304C83"/>
    <w:rsid w:val="0030589D"/>
    <w:rsid w:val="003064CE"/>
    <w:rsid w:val="00307B55"/>
    <w:rsid w:val="003100F8"/>
    <w:rsid w:val="003101E2"/>
    <w:rsid w:val="00310748"/>
    <w:rsid w:val="003112DB"/>
    <w:rsid w:val="0031169F"/>
    <w:rsid w:val="00312788"/>
    <w:rsid w:val="00313416"/>
    <w:rsid w:val="00313BAD"/>
    <w:rsid w:val="00313CD3"/>
    <w:rsid w:val="00313CE1"/>
    <w:rsid w:val="00313ED9"/>
    <w:rsid w:val="003143F0"/>
    <w:rsid w:val="00316136"/>
    <w:rsid w:val="0031643B"/>
    <w:rsid w:val="003169A2"/>
    <w:rsid w:val="00320920"/>
    <w:rsid w:val="0032130D"/>
    <w:rsid w:val="00324B95"/>
    <w:rsid w:val="00324ED4"/>
    <w:rsid w:val="00325213"/>
    <w:rsid w:val="0032524C"/>
    <w:rsid w:val="0032569C"/>
    <w:rsid w:val="00325987"/>
    <w:rsid w:val="00325BBF"/>
    <w:rsid w:val="00326A8A"/>
    <w:rsid w:val="00327449"/>
    <w:rsid w:val="00327F42"/>
    <w:rsid w:val="00330378"/>
    <w:rsid w:val="003308D6"/>
    <w:rsid w:val="00332553"/>
    <w:rsid w:val="00332E92"/>
    <w:rsid w:val="00333158"/>
    <w:rsid w:val="0033408B"/>
    <w:rsid w:val="00334763"/>
    <w:rsid w:val="0033479C"/>
    <w:rsid w:val="00334E93"/>
    <w:rsid w:val="0033501E"/>
    <w:rsid w:val="00336275"/>
    <w:rsid w:val="003410FA"/>
    <w:rsid w:val="0034159E"/>
    <w:rsid w:val="00344627"/>
    <w:rsid w:val="003461DD"/>
    <w:rsid w:val="00346600"/>
    <w:rsid w:val="003504DF"/>
    <w:rsid w:val="003519E7"/>
    <w:rsid w:val="00351A3A"/>
    <w:rsid w:val="00352C02"/>
    <w:rsid w:val="0035337F"/>
    <w:rsid w:val="00355CEA"/>
    <w:rsid w:val="00355E02"/>
    <w:rsid w:val="003566A8"/>
    <w:rsid w:val="003568E9"/>
    <w:rsid w:val="003571BA"/>
    <w:rsid w:val="003573F9"/>
    <w:rsid w:val="00357888"/>
    <w:rsid w:val="00360E01"/>
    <w:rsid w:val="00361D4A"/>
    <w:rsid w:val="0036360F"/>
    <w:rsid w:val="003637C9"/>
    <w:rsid w:val="003639C6"/>
    <w:rsid w:val="00364C35"/>
    <w:rsid w:val="003657C5"/>
    <w:rsid w:val="00366E57"/>
    <w:rsid w:val="00367391"/>
    <w:rsid w:val="00371419"/>
    <w:rsid w:val="003716A0"/>
    <w:rsid w:val="003723CF"/>
    <w:rsid w:val="0037321A"/>
    <w:rsid w:val="00373BB6"/>
    <w:rsid w:val="003745E6"/>
    <w:rsid w:val="003745FB"/>
    <w:rsid w:val="00374921"/>
    <w:rsid w:val="00374C56"/>
    <w:rsid w:val="003750ED"/>
    <w:rsid w:val="0037582E"/>
    <w:rsid w:val="00375B58"/>
    <w:rsid w:val="00375C28"/>
    <w:rsid w:val="00376252"/>
    <w:rsid w:val="00377CE5"/>
    <w:rsid w:val="00380C24"/>
    <w:rsid w:val="00381D93"/>
    <w:rsid w:val="00381F21"/>
    <w:rsid w:val="00382465"/>
    <w:rsid w:val="00383CC8"/>
    <w:rsid w:val="00384249"/>
    <w:rsid w:val="0038427D"/>
    <w:rsid w:val="00384C3C"/>
    <w:rsid w:val="00384E19"/>
    <w:rsid w:val="003850E9"/>
    <w:rsid w:val="0038594F"/>
    <w:rsid w:val="00385BE9"/>
    <w:rsid w:val="00386D7A"/>
    <w:rsid w:val="00386FDE"/>
    <w:rsid w:val="003877FB"/>
    <w:rsid w:val="0039054C"/>
    <w:rsid w:val="00390BEB"/>
    <w:rsid w:val="00390FBC"/>
    <w:rsid w:val="003911EA"/>
    <w:rsid w:val="00392BCA"/>
    <w:rsid w:val="00393DFB"/>
    <w:rsid w:val="00393ED3"/>
    <w:rsid w:val="00395449"/>
    <w:rsid w:val="00395F79"/>
    <w:rsid w:val="00396FDB"/>
    <w:rsid w:val="003A00CF"/>
    <w:rsid w:val="003A0190"/>
    <w:rsid w:val="003A01D5"/>
    <w:rsid w:val="003A0474"/>
    <w:rsid w:val="003A049A"/>
    <w:rsid w:val="003A0624"/>
    <w:rsid w:val="003A0D9F"/>
    <w:rsid w:val="003A0DBE"/>
    <w:rsid w:val="003A3D0C"/>
    <w:rsid w:val="003A566D"/>
    <w:rsid w:val="003B045C"/>
    <w:rsid w:val="003B07FF"/>
    <w:rsid w:val="003B0D6E"/>
    <w:rsid w:val="003B101F"/>
    <w:rsid w:val="003B2877"/>
    <w:rsid w:val="003B3871"/>
    <w:rsid w:val="003B46DA"/>
    <w:rsid w:val="003B47C2"/>
    <w:rsid w:val="003B493D"/>
    <w:rsid w:val="003B64DE"/>
    <w:rsid w:val="003B6F97"/>
    <w:rsid w:val="003B6FF8"/>
    <w:rsid w:val="003B7857"/>
    <w:rsid w:val="003C13E3"/>
    <w:rsid w:val="003C15DB"/>
    <w:rsid w:val="003C1EB9"/>
    <w:rsid w:val="003C28CF"/>
    <w:rsid w:val="003C6238"/>
    <w:rsid w:val="003C63D6"/>
    <w:rsid w:val="003C68A5"/>
    <w:rsid w:val="003C6987"/>
    <w:rsid w:val="003C79DE"/>
    <w:rsid w:val="003C7B45"/>
    <w:rsid w:val="003D0C6D"/>
    <w:rsid w:val="003D2390"/>
    <w:rsid w:val="003D35A2"/>
    <w:rsid w:val="003D3A90"/>
    <w:rsid w:val="003D3AEA"/>
    <w:rsid w:val="003D591B"/>
    <w:rsid w:val="003D5F35"/>
    <w:rsid w:val="003D6040"/>
    <w:rsid w:val="003D633D"/>
    <w:rsid w:val="003D6933"/>
    <w:rsid w:val="003D75BD"/>
    <w:rsid w:val="003E07B7"/>
    <w:rsid w:val="003E0B8A"/>
    <w:rsid w:val="003E15EE"/>
    <w:rsid w:val="003E1A86"/>
    <w:rsid w:val="003E1ADA"/>
    <w:rsid w:val="003E20E0"/>
    <w:rsid w:val="003E336F"/>
    <w:rsid w:val="003E3A70"/>
    <w:rsid w:val="003E3DE0"/>
    <w:rsid w:val="003F2716"/>
    <w:rsid w:val="003F35DE"/>
    <w:rsid w:val="003F3C95"/>
    <w:rsid w:val="003F3D04"/>
    <w:rsid w:val="003F4B01"/>
    <w:rsid w:val="003F4BD9"/>
    <w:rsid w:val="003F4FFE"/>
    <w:rsid w:val="003F514B"/>
    <w:rsid w:val="003F53D6"/>
    <w:rsid w:val="003F60D4"/>
    <w:rsid w:val="004006FA"/>
    <w:rsid w:val="0040083D"/>
    <w:rsid w:val="00401892"/>
    <w:rsid w:val="00402948"/>
    <w:rsid w:val="00402C5B"/>
    <w:rsid w:val="0040394E"/>
    <w:rsid w:val="0040425A"/>
    <w:rsid w:val="00404AEC"/>
    <w:rsid w:val="00406E51"/>
    <w:rsid w:val="00406F7F"/>
    <w:rsid w:val="00407605"/>
    <w:rsid w:val="0040796A"/>
    <w:rsid w:val="00410A46"/>
    <w:rsid w:val="00411624"/>
    <w:rsid w:val="00411DC2"/>
    <w:rsid w:val="00412085"/>
    <w:rsid w:val="00412AE3"/>
    <w:rsid w:val="00413C39"/>
    <w:rsid w:val="00416D3D"/>
    <w:rsid w:val="00417E14"/>
    <w:rsid w:val="004212E1"/>
    <w:rsid w:val="00421ADC"/>
    <w:rsid w:val="00422CC0"/>
    <w:rsid w:val="00422D27"/>
    <w:rsid w:val="00423117"/>
    <w:rsid w:val="004238BE"/>
    <w:rsid w:val="00423CB0"/>
    <w:rsid w:val="00423D3A"/>
    <w:rsid w:val="004248F7"/>
    <w:rsid w:val="00425FEA"/>
    <w:rsid w:val="004269F8"/>
    <w:rsid w:val="0042731F"/>
    <w:rsid w:val="00427DD1"/>
    <w:rsid w:val="00430CDF"/>
    <w:rsid w:val="004320C0"/>
    <w:rsid w:val="00432168"/>
    <w:rsid w:val="0043216F"/>
    <w:rsid w:val="00432791"/>
    <w:rsid w:val="00432A4D"/>
    <w:rsid w:val="00433642"/>
    <w:rsid w:val="00433785"/>
    <w:rsid w:val="004346B8"/>
    <w:rsid w:val="00434A31"/>
    <w:rsid w:val="0043512D"/>
    <w:rsid w:val="0043526F"/>
    <w:rsid w:val="00435AB3"/>
    <w:rsid w:val="00435F06"/>
    <w:rsid w:val="00436B83"/>
    <w:rsid w:val="00436E41"/>
    <w:rsid w:val="00437F6B"/>
    <w:rsid w:val="0044094F"/>
    <w:rsid w:val="00442BE5"/>
    <w:rsid w:val="00445C6C"/>
    <w:rsid w:val="00445F96"/>
    <w:rsid w:val="00446055"/>
    <w:rsid w:val="004460BB"/>
    <w:rsid w:val="00446D2D"/>
    <w:rsid w:val="0044705E"/>
    <w:rsid w:val="0044728A"/>
    <w:rsid w:val="00447769"/>
    <w:rsid w:val="0044782F"/>
    <w:rsid w:val="004502C7"/>
    <w:rsid w:val="0045047F"/>
    <w:rsid w:val="00451695"/>
    <w:rsid w:val="00451E2F"/>
    <w:rsid w:val="00451FD0"/>
    <w:rsid w:val="00453684"/>
    <w:rsid w:val="0045443F"/>
    <w:rsid w:val="004551EC"/>
    <w:rsid w:val="004553E4"/>
    <w:rsid w:val="00455965"/>
    <w:rsid w:val="00455ED4"/>
    <w:rsid w:val="00455FB5"/>
    <w:rsid w:val="00456526"/>
    <w:rsid w:val="00456D5E"/>
    <w:rsid w:val="00457588"/>
    <w:rsid w:val="00457827"/>
    <w:rsid w:val="0046016A"/>
    <w:rsid w:val="00460875"/>
    <w:rsid w:val="00460AAE"/>
    <w:rsid w:val="00460C53"/>
    <w:rsid w:val="00461DCF"/>
    <w:rsid w:val="004622C3"/>
    <w:rsid w:val="00462915"/>
    <w:rsid w:val="00462D2C"/>
    <w:rsid w:val="0046350D"/>
    <w:rsid w:val="00463BEF"/>
    <w:rsid w:val="0046475E"/>
    <w:rsid w:val="00464944"/>
    <w:rsid w:val="00464A30"/>
    <w:rsid w:val="0046676B"/>
    <w:rsid w:val="0046759F"/>
    <w:rsid w:val="00467972"/>
    <w:rsid w:val="00470A0A"/>
    <w:rsid w:val="00470CC6"/>
    <w:rsid w:val="0047159B"/>
    <w:rsid w:val="00473FAE"/>
    <w:rsid w:val="004748C2"/>
    <w:rsid w:val="00474D1E"/>
    <w:rsid w:val="0047579F"/>
    <w:rsid w:val="00475A33"/>
    <w:rsid w:val="00475D0F"/>
    <w:rsid w:val="00476FC7"/>
    <w:rsid w:val="00477CAD"/>
    <w:rsid w:val="00480156"/>
    <w:rsid w:val="00481431"/>
    <w:rsid w:val="004828CC"/>
    <w:rsid w:val="00484816"/>
    <w:rsid w:val="00485937"/>
    <w:rsid w:val="004876A5"/>
    <w:rsid w:val="00487F83"/>
    <w:rsid w:val="0049011F"/>
    <w:rsid w:val="004901C2"/>
    <w:rsid w:val="00490B20"/>
    <w:rsid w:val="0049337D"/>
    <w:rsid w:val="0049365C"/>
    <w:rsid w:val="0049392F"/>
    <w:rsid w:val="004942A4"/>
    <w:rsid w:val="0049557D"/>
    <w:rsid w:val="0049583F"/>
    <w:rsid w:val="00496BBA"/>
    <w:rsid w:val="00496C71"/>
    <w:rsid w:val="0049744D"/>
    <w:rsid w:val="004A0926"/>
    <w:rsid w:val="004A0DB4"/>
    <w:rsid w:val="004A22FB"/>
    <w:rsid w:val="004A2C8C"/>
    <w:rsid w:val="004A3C19"/>
    <w:rsid w:val="004A3E35"/>
    <w:rsid w:val="004A46D7"/>
    <w:rsid w:val="004A5E97"/>
    <w:rsid w:val="004A6F6E"/>
    <w:rsid w:val="004B02F5"/>
    <w:rsid w:val="004B0618"/>
    <w:rsid w:val="004B2F4C"/>
    <w:rsid w:val="004B38CA"/>
    <w:rsid w:val="004B4F3F"/>
    <w:rsid w:val="004B50DA"/>
    <w:rsid w:val="004B52CF"/>
    <w:rsid w:val="004B5740"/>
    <w:rsid w:val="004B5D78"/>
    <w:rsid w:val="004B6147"/>
    <w:rsid w:val="004B6193"/>
    <w:rsid w:val="004B6A00"/>
    <w:rsid w:val="004B7602"/>
    <w:rsid w:val="004B7B94"/>
    <w:rsid w:val="004C0E82"/>
    <w:rsid w:val="004C13CA"/>
    <w:rsid w:val="004C1E85"/>
    <w:rsid w:val="004C26A0"/>
    <w:rsid w:val="004C299C"/>
    <w:rsid w:val="004C4AC0"/>
    <w:rsid w:val="004C51CA"/>
    <w:rsid w:val="004C5EA6"/>
    <w:rsid w:val="004C66D5"/>
    <w:rsid w:val="004C7442"/>
    <w:rsid w:val="004C7AC3"/>
    <w:rsid w:val="004C7D5B"/>
    <w:rsid w:val="004C7FD2"/>
    <w:rsid w:val="004D0460"/>
    <w:rsid w:val="004D07AB"/>
    <w:rsid w:val="004D1443"/>
    <w:rsid w:val="004D1C6E"/>
    <w:rsid w:val="004D23D6"/>
    <w:rsid w:val="004D26CD"/>
    <w:rsid w:val="004D2C87"/>
    <w:rsid w:val="004D2E45"/>
    <w:rsid w:val="004D3996"/>
    <w:rsid w:val="004D3B5F"/>
    <w:rsid w:val="004D4140"/>
    <w:rsid w:val="004D44FA"/>
    <w:rsid w:val="004D6AA5"/>
    <w:rsid w:val="004D7FFC"/>
    <w:rsid w:val="004E0574"/>
    <w:rsid w:val="004E17FE"/>
    <w:rsid w:val="004E18E5"/>
    <w:rsid w:val="004E1A7A"/>
    <w:rsid w:val="004E34E9"/>
    <w:rsid w:val="004E34EB"/>
    <w:rsid w:val="004E3B42"/>
    <w:rsid w:val="004E4466"/>
    <w:rsid w:val="004E5184"/>
    <w:rsid w:val="004E6283"/>
    <w:rsid w:val="004F0136"/>
    <w:rsid w:val="004F0509"/>
    <w:rsid w:val="004F09DE"/>
    <w:rsid w:val="004F176F"/>
    <w:rsid w:val="004F230F"/>
    <w:rsid w:val="004F25AD"/>
    <w:rsid w:val="004F4301"/>
    <w:rsid w:val="004F4998"/>
    <w:rsid w:val="004F616C"/>
    <w:rsid w:val="004F6852"/>
    <w:rsid w:val="00501CD5"/>
    <w:rsid w:val="005022EA"/>
    <w:rsid w:val="00502687"/>
    <w:rsid w:val="00502852"/>
    <w:rsid w:val="005028BE"/>
    <w:rsid w:val="00503245"/>
    <w:rsid w:val="00503493"/>
    <w:rsid w:val="005035F8"/>
    <w:rsid w:val="0050448E"/>
    <w:rsid w:val="00504BFE"/>
    <w:rsid w:val="00505183"/>
    <w:rsid w:val="00506EA3"/>
    <w:rsid w:val="005076FA"/>
    <w:rsid w:val="00507B15"/>
    <w:rsid w:val="00507C8E"/>
    <w:rsid w:val="00507FDE"/>
    <w:rsid w:val="005100FE"/>
    <w:rsid w:val="00510847"/>
    <w:rsid w:val="00510928"/>
    <w:rsid w:val="00512C4D"/>
    <w:rsid w:val="005137A5"/>
    <w:rsid w:val="005160CE"/>
    <w:rsid w:val="005175CC"/>
    <w:rsid w:val="00517807"/>
    <w:rsid w:val="00517B0E"/>
    <w:rsid w:val="00520074"/>
    <w:rsid w:val="00520509"/>
    <w:rsid w:val="00520526"/>
    <w:rsid w:val="00521FAF"/>
    <w:rsid w:val="0052225F"/>
    <w:rsid w:val="00522470"/>
    <w:rsid w:val="00522AB8"/>
    <w:rsid w:val="00523157"/>
    <w:rsid w:val="00523318"/>
    <w:rsid w:val="005236AF"/>
    <w:rsid w:val="00523B4D"/>
    <w:rsid w:val="00523C69"/>
    <w:rsid w:val="005245EF"/>
    <w:rsid w:val="00524CC3"/>
    <w:rsid w:val="00527BC1"/>
    <w:rsid w:val="00527CF8"/>
    <w:rsid w:val="00530866"/>
    <w:rsid w:val="00530B46"/>
    <w:rsid w:val="00530EDF"/>
    <w:rsid w:val="00530F09"/>
    <w:rsid w:val="0053124B"/>
    <w:rsid w:val="00533433"/>
    <w:rsid w:val="00533C93"/>
    <w:rsid w:val="00533E99"/>
    <w:rsid w:val="00533F62"/>
    <w:rsid w:val="0053480C"/>
    <w:rsid w:val="00534D55"/>
    <w:rsid w:val="005357C2"/>
    <w:rsid w:val="00536124"/>
    <w:rsid w:val="00536360"/>
    <w:rsid w:val="00536A6E"/>
    <w:rsid w:val="00536B15"/>
    <w:rsid w:val="00536F1E"/>
    <w:rsid w:val="0053745A"/>
    <w:rsid w:val="005379C8"/>
    <w:rsid w:val="00537BA1"/>
    <w:rsid w:val="005401BC"/>
    <w:rsid w:val="00540F9E"/>
    <w:rsid w:val="00544713"/>
    <w:rsid w:val="0054559C"/>
    <w:rsid w:val="00545CAF"/>
    <w:rsid w:val="0054621C"/>
    <w:rsid w:val="00546C15"/>
    <w:rsid w:val="005470F0"/>
    <w:rsid w:val="005477D2"/>
    <w:rsid w:val="005500D7"/>
    <w:rsid w:val="005506B4"/>
    <w:rsid w:val="00550BDA"/>
    <w:rsid w:val="00551A18"/>
    <w:rsid w:val="00552159"/>
    <w:rsid w:val="00552B18"/>
    <w:rsid w:val="00553DC2"/>
    <w:rsid w:val="0055409B"/>
    <w:rsid w:val="00554525"/>
    <w:rsid w:val="005546D1"/>
    <w:rsid w:val="005549D4"/>
    <w:rsid w:val="00555188"/>
    <w:rsid w:val="005551C0"/>
    <w:rsid w:val="005556AD"/>
    <w:rsid w:val="00555C3C"/>
    <w:rsid w:val="00556425"/>
    <w:rsid w:val="005567CE"/>
    <w:rsid w:val="00557DE2"/>
    <w:rsid w:val="00561684"/>
    <w:rsid w:val="005616B2"/>
    <w:rsid w:val="0056229A"/>
    <w:rsid w:val="0056295A"/>
    <w:rsid w:val="00562C4B"/>
    <w:rsid w:val="00563388"/>
    <w:rsid w:val="00563FFD"/>
    <w:rsid w:val="00564360"/>
    <w:rsid w:val="00564866"/>
    <w:rsid w:val="005659A5"/>
    <w:rsid w:val="00565AC8"/>
    <w:rsid w:val="005664FC"/>
    <w:rsid w:val="00567C29"/>
    <w:rsid w:val="00567F50"/>
    <w:rsid w:val="005700E2"/>
    <w:rsid w:val="00570313"/>
    <w:rsid w:val="0057031C"/>
    <w:rsid w:val="005703BD"/>
    <w:rsid w:val="00570605"/>
    <w:rsid w:val="005706D1"/>
    <w:rsid w:val="00571C81"/>
    <w:rsid w:val="00572471"/>
    <w:rsid w:val="005734F4"/>
    <w:rsid w:val="00573E61"/>
    <w:rsid w:val="00574467"/>
    <w:rsid w:val="00575078"/>
    <w:rsid w:val="0057577E"/>
    <w:rsid w:val="005762DD"/>
    <w:rsid w:val="00580201"/>
    <w:rsid w:val="00580212"/>
    <w:rsid w:val="005808FF"/>
    <w:rsid w:val="005831EA"/>
    <w:rsid w:val="005848E1"/>
    <w:rsid w:val="0058522C"/>
    <w:rsid w:val="00585CE7"/>
    <w:rsid w:val="005860E0"/>
    <w:rsid w:val="0058664F"/>
    <w:rsid w:val="00590F30"/>
    <w:rsid w:val="00590FC2"/>
    <w:rsid w:val="00591BF4"/>
    <w:rsid w:val="00593D74"/>
    <w:rsid w:val="00594DE3"/>
    <w:rsid w:val="00594E2F"/>
    <w:rsid w:val="0059514E"/>
    <w:rsid w:val="00595646"/>
    <w:rsid w:val="00595B69"/>
    <w:rsid w:val="00595EC5"/>
    <w:rsid w:val="00596197"/>
    <w:rsid w:val="005962DA"/>
    <w:rsid w:val="00596E47"/>
    <w:rsid w:val="00597E14"/>
    <w:rsid w:val="005A02E5"/>
    <w:rsid w:val="005A07E2"/>
    <w:rsid w:val="005A0DCC"/>
    <w:rsid w:val="005A0EF1"/>
    <w:rsid w:val="005A17ED"/>
    <w:rsid w:val="005A1C19"/>
    <w:rsid w:val="005A1ED7"/>
    <w:rsid w:val="005A213C"/>
    <w:rsid w:val="005A2801"/>
    <w:rsid w:val="005A3093"/>
    <w:rsid w:val="005A3F78"/>
    <w:rsid w:val="005A47C6"/>
    <w:rsid w:val="005A57BA"/>
    <w:rsid w:val="005A5F86"/>
    <w:rsid w:val="005A6C26"/>
    <w:rsid w:val="005A7429"/>
    <w:rsid w:val="005A752E"/>
    <w:rsid w:val="005A7950"/>
    <w:rsid w:val="005B0148"/>
    <w:rsid w:val="005B06DA"/>
    <w:rsid w:val="005B0830"/>
    <w:rsid w:val="005B0857"/>
    <w:rsid w:val="005B1BCD"/>
    <w:rsid w:val="005B1EE7"/>
    <w:rsid w:val="005B29C8"/>
    <w:rsid w:val="005B47F1"/>
    <w:rsid w:val="005B5953"/>
    <w:rsid w:val="005B6F40"/>
    <w:rsid w:val="005B6F8D"/>
    <w:rsid w:val="005B7BD7"/>
    <w:rsid w:val="005C1191"/>
    <w:rsid w:val="005C2196"/>
    <w:rsid w:val="005C4A99"/>
    <w:rsid w:val="005C5421"/>
    <w:rsid w:val="005C6AE1"/>
    <w:rsid w:val="005C6B18"/>
    <w:rsid w:val="005C6D42"/>
    <w:rsid w:val="005D029F"/>
    <w:rsid w:val="005D040D"/>
    <w:rsid w:val="005D09F0"/>
    <w:rsid w:val="005D0ACA"/>
    <w:rsid w:val="005D0F6D"/>
    <w:rsid w:val="005D109F"/>
    <w:rsid w:val="005D162F"/>
    <w:rsid w:val="005D1D1B"/>
    <w:rsid w:val="005D27C4"/>
    <w:rsid w:val="005D2A69"/>
    <w:rsid w:val="005D4D94"/>
    <w:rsid w:val="005D5527"/>
    <w:rsid w:val="005D6774"/>
    <w:rsid w:val="005D6C59"/>
    <w:rsid w:val="005D766A"/>
    <w:rsid w:val="005D78E5"/>
    <w:rsid w:val="005E0CE4"/>
    <w:rsid w:val="005E0D21"/>
    <w:rsid w:val="005E1956"/>
    <w:rsid w:val="005E19AA"/>
    <w:rsid w:val="005E2DC0"/>
    <w:rsid w:val="005E3890"/>
    <w:rsid w:val="005E389E"/>
    <w:rsid w:val="005E529E"/>
    <w:rsid w:val="005E5C07"/>
    <w:rsid w:val="005E6B58"/>
    <w:rsid w:val="005E749D"/>
    <w:rsid w:val="005F1608"/>
    <w:rsid w:val="005F2ABB"/>
    <w:rsid w:val="005F2FFB"/>
    <w:rsid w:val="005F3807"/>
    <w:rsid w:val="005F3828"/>
    <w:rsid w:val="005F3D8A"/>
    <w:rsid w:val="005F5D89"/>
    <w:rsid w:val="00600246"/>
    <w:rsid w:val="00601468"/>
    <w:rsid w:val="00602087"/>
    <w:rsid w:val="00602263"/>
    <w:rsid w:val="006043E0"/>
    <w:rsid w:val="0060569D"/>
    <w:rsid w:val="006066D8"/>
    <w:rsid w:val="00606A0A"/>
    <w:rsid w:val="00606F44"/>
    <w:rsid w:val="00607083"/>
    <w:rsid w:val="0061043D"/>
    <w:rsid w:val="006107C0"/>
    <w:rsid w:val="00610B03"/>
    <w:rsid w:val="006115CB"/>
    <w:rsid w:val="00611F54"/>
    <w:rsid w:val="006120D0"/>
    <w:rsid w:val="00612A4A"/>
    <w:rsid w:val="006139B0"/>
    <w:rsid w:val="00614886"/>
    <w:rsid w:val="00614D8D"/>
    <w:rsid w:val="00614E2F"/>
    <w:rsid w:val="0061518D"/>
    <w:rsid w:val="00615731"/>
    <w:rsid w:val="006157F4"/>
    <w:rsid w:val="00615CC4"/>
    <w:rsid w:val="006179FC"/>
    <w:rsid w:val="00617E01"/>
    <w:rsid w:val="006202C9"/>
    <w:rsid w:val="00620F65"/>
    <w:rsid w:val="00621D20"/>
    <w:rsid w:val="00622C3E"/>
    <w:rsid w:val="00622CA1"/>
    <w:rsid w:val="006248E5"/>
    <w:rsid w:val="006266A5"/>
    <w:rsid w:val="006269A0"/>
    <w:rsid w:val="00626AB8"/>
    <w:rsid w:val="00627C40"/>
    <w:rsid w:val="006301DC"/>
    <w:rsid w:val="00630C8A"/>
    <w:rsid w:val="00630D4D"/>
    <w:rsid w:val="0063105E"/>
    <w:rsid w:val="006315FC"/>
    <w:rsid w:val="00631733"/>
    <w:rsid w:val="00631AFB"/>
    <w:rsid w:val="006321D3"/>
    <w:rsid w:val="00632A7F"/>
    <w:rsid w:val="006344C1"/>
    <w:rsid w:val="00635236"/>
    <w:rsid w:val="00635E36"/>
    <w:rsid w:val="00636555"/>
    <w:rsid w:val="00637795"/>
    <w:rsid w:val="0064045C"/>
    <w:rsid w:val="00640D07"/>
    <w:rsid w:val="00640D34"/>
    <w:rsid w:val="00641468"/>
    <w:rsid w:val="00642057"/>
    <w:rsid w:val="00642528"/>
    <w:rsid w:val="00642CE7"/>
    <w:rsid w:val="0064309F"/>
    <w:rsid w:val="00643C03"/>
    <w:rsid w:val="00643C6F"/>
    <w:rsid w:val="00644B17"/>
    <w:rsid w:val="00644DB7"/>
    <w:rsid w:val="00645410"/>
    <w:rsid w:val="00646160"/>
    <w:rsid w:val="006468A6"/>
    <w:rsid w:val="00646AFD"/>
    <w:rsid w:val="00646CA5"/>
    <w:rsid w:val="00646D7F"/>
    <w:rsid w:val="00647EB6"/>
    <w:rsid w:val="00650032"/>
    <w:rsid w:val="0065095C"/>
    <w:rsid w:val="00650FC4"/>
    <w:rsid w:val="006514DC"/>
    <w:rsid w:val="00651757"/>
    <w:rsid w:val="00652A0F"/>
    <w:rsid w:val="0065341E"/>
    <w:rsid w:val="00655311"/>
    <w:rsid w:val="00656086"/>
    <w:rsid w:val="006562EA"/>
    <w:rsid w:val="00656D0C"/>
    <w:rsid w:val="00657048"/>
    <w:rsid w:val="00657592"/>
    <w:rsid w:val="006578B8"/>
    <w:rsid w:val="0066073D"/>
    <w:rsid w:val="00661385"/>
    <w:rsid w:val="0066195D"/>
    <w:rsid w:val="00662E1F"/>
    <w:rsid w:val="00664008"/>
    <w:rsid w:val="00665266"/>
    <w:rsid w:val="00666E7E"/>
    <w:rsid w:val="0066711D"/>
    <w:rsid w:val="006673A0"/>
    <w:rsid w:val="00670687"/>
    <w:rsid w:val="00670865"/>
    <w:rsid w:val="006717C0"/>
    <w:rsid w:val="00672012"/>
    <w:rsid w:val="00672260"/>
    <w:rsid w:val="00672A67"/>
    <w:rsid w:val="00675ED4"/>
    <w:rsid w:val="0067602C"/>
    <w:rsid w:val="006761C8"/>
    <w:rsid w:val="00677F7C"/>
    <w:rsid w:val="00680633"/>
    <w:rsid w:val="00680997"/>
    <w:rsid w:val="006817BC"/>
    <w:rsid w:val="00681F55"/>
    <w:rsid w:val="00682821"/>
    <w:rsid w:val="00682942"/>
    <w:rsid w:val="00683B95"/>
    <w:rsid w:val="00683D3A"/>
    <w:rsid w:val="00684789"/>
    <w:rsid w:val="006855F5"/>
    <w:rsid w:val="00685891"/>
    <w:rsid w:val="00687DB4"/>
    <w:rsid w:val="00687E8D"/>
    <w:rsid w:val="0069089F"/>
    <w:rsid w:val="00691432"/>
    <w:rsid w:val="00691E40"/>
    <w:rsid w:val="0069252D"/>
    <w:rsid w:val="006938FF"/>
    <w:rsid w:val="00693CC8"/>
    <w:rsid w:val="006944B1"/>
    <w:rsid w:val="006947EA"/>
    <w:rsid w:val="00695A16"/>
    <w:rsid w:val="00697995"/>
    <w:rsid w:val="00697997"/>
    <w:rsid w:val="006A0A9D"/>
    <w:rsid w:val="006A1F65"/>
    <w:rsid w:val="006A2F92"/>
    <w:rsid w:val="006A4507"/>
    <w:rsid w:val="006A4802"/>
    <w:rsid w:val="006A5ECB"/>
    <w:rsid w:val="006B1A78"/>
    <w:rsid w:val="006B30B6"/>
    <w:rsid w:val="006B37FE"/>
    <w:rsid w:val="006B38BC"/>
    <w:rsid w:val="006B4B82"/>
    <w:rsid w:val="006B5078"/>
    <w:rsid w:val="006B587C"/>
    <w:rsid w:val="006B5AD1"/>
    <w:rsid w:val="006B5FDB"/>
    <w:rsid w:val="006B67F7"/>
    <w:rsid w:val="006B75D5"/>
    <w:rsid w:val="006C0456"/>
    <w:rsid w:val="006C1E17"/>
    <w:rsid w:val="006C2FF2"/>
    <w:rsid w:val="006C3BA9"/>
    <w:rsid w:val="006C44A2"/>
    <w:rsid w:val="006C4DD0"/>
    <w:rsid w:val="006C50A3"/>
    <w:rsid w:val="006C59BC"/>
    <w:rsid w:val="006C680D"/>
    <w:rsid w:val="006C6C38"/>
    <w:rsid w:val="006C7133"/>
    <w:rsid w:val="006C72FC"/>
    <w:rsid w:val="006C75ED"/>
    <w:rsid w:val="006D0F1B"/>
    <w:rsid w:val="006D11FA"/>
    <w:rsid w:val="006D1D72"/>
    <w:rsid w:val="006D2564"/>
    <w:rsid w:val="006D2634"/>
    <w:rsid w:val="006D41D4"/>
    <w:rsid w:val="006D47A0"/>
    <w:rsid w:val="006D4881"/>
    <w:rsid w:val="006D4E62"/>
    <w:rsid w:val="006D4EAE"/>
    <w:rsid w:val="006D5510"/>
    <w:rsid w:val="006D5D90"/>
    <w:rsid w:val="006D5E42"/>
    <w:rsid w:val="006D61DC"/>
    <w:rsid w:val="006D6786"/>
    <w:rsid w:val="006D6C44"/>
    <w:rsid w:val="006D6F9B"/>
    <w:rsid w:val="006D745A"/>
    <w:rsid w:val="006D7CF6"/>
    <w:rsid w:val="006D7EFF"/>
    <w:rsid w:val="006E01FC"/>
    <w:rsid w:val="006E030A"/>
    <w:rsid w:val="006E0CFA"/>
    <w:rsid w:val="006E0DB4"/>
    <w:rsid w:val="006E1FCD"/>
    <w:rsid w:val="006E282A"/>
    <w:rsid w:val="006E3928"/>
    <w:rsid w:val="006E435A"/>
    <w:rsid w:val="006E505C"/>
    <w:rsid w:val="006E529B"/>
    <w:rsid w:val="006E5709"/>
    <w:rsid w:val="006E6638"/>
    <w:rsid w:val="006E6786"/>
    <w:rsid w:val="006E6C8A"/>
    <w:rsid w:val="006E7F8C"/>
    <w:rsid w:val="006F012D"/>
    <w:rsid w:val="006F115D"/>
    <w:rsid w:val="006F12EB"/>
    <w:rsid w:val="006F19CF"/>
    <w:rsid w:val="006F2C6E"/>
    <w:rsid w:val="006F322D"/>
    <w:rsid w:val="006F3676"/>
    <w:rsid w:val="006F5D64"/>
    <w:rsid w:val="006F61F9"/>
    <w:rsid w:val="006F6445"/>
    <w:rsid w:val="006F6738"/>
    <w:rsid w:val="006F6F16"/>
    <w:rsid w:val="006F754E"/>
    <w:rsid w:val="0070066C"/>
    <w:rsid w:val="00701E7C"/>
    <w:rsid w:val="00702FE1"/>
    <w:rsid w:val="00704481"/>
    <w:rsid w:val="007049B9"/>
    <w:rsid w:val="00707C7D"/>
    <w:rsid w:val="00707DE4"/>
    <w:rsid w:val="00707EB0"/>
    <w:rsid w:val="00711356"/>
    <w:rsid w:val="00711662"/>
    <w:rsid w:val="00711B1B"/>
    <w:rsid w:val="00711E96"/>
    <w:rsid w:val="007123B1"/>
    <w:rsid w:val="00712D77"/>
    <w:rsid w:val="00713526"/>
    <w:rsid w:val="007142DA"/>
    <w:rsid w:val="00714414"/>
    <w:rsid w:val="007145E9"/>
    <w:rsid w:val="0071466C"/>
    <w:rsid w:val="007146B0"/>
    <w:rsid w:val="00716090"/>
    <w:rsid w:val="007163A7"/>
    <w:rsid w:val="00717BA7"/>
    <w:rsid w:val="00720A3E"/>
    <w:rsid w:val="00721570"/>
    <w:rsid w:val="00721695"/>
    <w:rsid w:val="00721774"/>
    <w:rsid w:val="00721CDB"/>
    <w:rsid w:val="0072225F"/>
    <w:rsid w:val="00724107"/>
    <w:rsid w:val="00725040"/>
    <w:rsid w:val="00726B96"/>
    <w:rsid w:val="007274E9"/>
    <w:rsid w:val="00727672"/>
    <w:rsid w:val="00731587"/>
    <w:rsid w:val="0073163C"/>
    <w:rsid w:val="007328B9"/>
    <w:rsid w:val="00733D04"/>
    <w:rsid w:val="00734605"/>
    <w:rsid w:val="00734CC7"/>
    <w:rsid w:val="0073550F"/>
    <w:rsid w:val="00736652"/>
    <w:rsid w:val="00736858"/>
    <w:rsid w:val="0074040C"/>
    <w:rsid w:val="007406E6"/>
    <w:rsid w:val="00740BF8"/>
    <w:rsid w:val="0074104D"/>
    <w:rsid w:val="00741AC2"/>
    <w:rsid w:val="00742CD3"/>
    <w:rsid w:val="00743898"/>
    <w:rsid w:val="007471A5"/>
    <w:rsid w:val="007474C6"/>
    <w:rsid w:val="00747BA2"/>
    <w:rsid w:val="00750230"/>
    <w:rsid w:val="007502FE"/>
    <w:rsid w:val="007520C7"/>
    <w:rsid w:val="00752881"/>
    <w:rsid w:val="00752E7F"/>
    <w:rsid w:val="00753BC3"/>
    <w:rsid w:val="0075509E"/>
    <w:rsid w:val="00755653"/>
    <w:rsid w:val="00755A98"/>
    <w:rsid w:val="00755F90"/>
    <w:rsid w:val="00756D4B"/>
    <w:rsid w:val="00760F1D"/>
    <w:rsid w:val="00760FBC"/>
    <w:rsid w:val="00761B26"/>
    <w:rsid w:val="00763CD6"/>
    <w:rsid w:val="00763E4E"/>
    <w:rsid w:val="00764C68"/>
    <w:rsid w:val="00764D7A"/>
    <w:rsid w:val="007657EF"/>
    <w:rsid w:val="00765885"/>
    <w:rsid w:val="00767275"/>
    <w:rsid w:val="0076760D"/>
    <w:rsid w:val="007710CE"/>
    <w:rsid w:val="007710FD"/>
    <w:rsid w:val="007715AA"/>
    <w:rsid w:val="00771CE9"/>
    <w:rsid w:val="007723E4"/>
    <w:rsid w:val="00772D5F"/>
    <w:rsid w:val="00772D7D"/>
    <w:rsid w:val="0077441C"/>
    <w:rsid w:val="0077696E"/>
    <w:rsid w:val="00776A12"/>
    <w:rsid w:val="007776F4"/>
    <w:rsid w:val="007802F2"/>
    <w:rsid w:val="00780EFE"/>
    <w:rsid w:val="00781729"/>
    <w:rsid w:val="0078209C"/>
    <w:rsid w:val="007828E3"/>
    <w:rsid w:val="00782D34"/>
    <w:rsid w:val="00783111"/>
    <w:rsid w:val="00783DA7"/>
    <w:rsid w:val="007841E1"/>
    <w:rsid w:val="00784EB9"/>
    <w:rsid w:val="007855F1"/>
    <w:rsid w:val="00785DAB"/>
    <w:rsid w:val="00785DFE"/>
    <w:rsid w:val="00786D59"/>
    <w:rsid w:val="00786F26"/>
    <w:rsid w:val="00787090"/>
    <w:rsid w:val="007878C3"/>
    <w:rsid w:val="00787F93"/>
    <w:rsid w:val="007908D7"/>
    <w:rsid w:val="00790B70"/>
    <w:rsid w:val="007938BA"/>
    <w:rsid w:val="007945DC"/>
    <w:rsid w:val="00795C74"/>
    <w:rsid w:val="0079691E"/>
    <w:rsid w:val="00796F2D"/>
    <w:rsid w:val="007A0287"/>
    <w:rsid w:val="007A1A20"/>
    <w:rsid w:val="007A289E"/>
    <w:rsid w:val="007A31A8"/>
    <w:rsid w:val="007A3240"/>
    <w:rsid w:val="007A3768"/>
    <w:rsid w:val="007A3D1C"/>
    <w:rsid w:val="007A3F7C"/>
    <w:rsid w:val="007A4DC8"/>
    <w:rsid w:val="007A5AB2"/>
    <w:rsid w:val="007A64C5"/>
    <w:rsid w:val="007A6D63"/>
    <w:rsid w:val="007A7743"/>
    <w:rsid w:val="007A7911"/>
    <w:rsid w:val="007A7A3A"/>
    <w:rsid w:val="007A7C4B"/>
    <w:rsid w:val="007B08EA"/>
    <w:rsid w:val="007B0EDD"/>
    <w:rsid w:val="007B0F7F"/>
    <w:rsid w:val="007B14ED"/>
    <w:rsid w:val="007B373E"/>
    <w:rsid w:val="007B3C1D"/>
    <w:rsid w:val="007B3CA0"/>
    <w:rsid w:val="007B5EB9"/>
    <w:rsid w:val="007B5F10"/>
    <w:rsid w:val="007B6061"/>
    <w:rsid w:val="007B7A1F"/>
    <w:rsid w:val="007C0AA6"/>
    <w:rsid w:val="007C0FA7"/>
    <w:rsid w:val="007C123B"/>
    <w:rsid w:val="007C181A"/>
    <w:rsid w:val="007C1E0F"/>
    <w:rsid w:val="007C22CD"/>
    <w:rsid w:val="007C2775"/>
    <w:rsid w:val="007C2DEC"/>
    <w:rsid w:val="007C30E3"/>
    <w:rsid w:val="007C4AF8"/>
    <w:rsid w:val="007C5697"/>
    <w:rsid w:val="007C5950"/>
    <w:rsid w:val="007C5AF0"/>
    <w:rsid w:val="007C646D"/>
    <w:rsid w:val="007C6D11"/>
    <w:rsid w:val="007C7ADC"/>
    <w:rsid w:val="007C7B5A"/>
    <w:rsid w:val="007D169A"/>
    <w:rsid w:val="007D2841"/>
    <w:rsid w:val="007D2B08"/>
    <w:rsid w:val="007D3A23"/>
    <w:rsid w:val="007D5563"/>
    <w:rsid w:val="007D5B21"/>
    <w:rsid w:val="007D5E70"/>
    <w:rsid w:val="007D5EC7"/>
    <w:rsid w:val="007D5EFD"/>
    <w:rsid w:val="007D7A69"/>
    <w:rsid w:val="007E0457"/>
    <w:rsid w:val="007E0958"/>
    <w:rsid w:val="007E0A1C"/>
    <w:rsid w:val="007E12FD"/>
    <w:rsid w:val="007E1953"/>
    <w:rsid w:val="007E1F73"/>
    <w:rsid w:val="007E214D"/>
    <w:rsid w:val="007E21AB"/>
    <w:rsid w:val="007E28E0"/>
    <w:rsid w:val="007E3061"/>
    <w:rsid w:val="007E377F"/>
    <w:rsid w:val="007E4B0C"/>
    <w:rsid w:val="007E6875"/>
    <w:rsid w:val="007E7B5E"/>
    <w:rsid w:val="007F09E8"/>
    <w:rsid w:val="007F1184"/>
    <w:rsid w:val="007F16B4"/>
    <w:rsid w:val="007F2BB0"/>
    <w:rsid w:val="007F38B0"/>
    <w:rsid w:val="007F3FDE"/>
    <w:rsid w:val="007F5141"/>
    <w:rsid w:val="007F5FA8"/>
    <w:rsid w:val="007F6463"/>
    <w:rsid w:val="007F651F"/>
    <w:rsid w:val="008009BC"/>
    <w:rsid w:val="00800BA7"/>
    <w:rsid w:val="00801608"/>
    <w:rsid w:val="00801FBA"/>
    <w:rsid w:val="008023FE"/>
    <w:rsid w:val="00802B46"/>
    <w:rsid w:val="008032B7"/>
    <w:rsid w:val="008053F7"/>
    <w:rsid w:val="00805C20"/>
    <w:rsid w:val="008066E6"/>
    <w:rsid w:val="0080704C"/>
    <w:rsid w:val="008079C5"/>
    <w:rsid w:val="008101D1"/>
    <w:rsid w:val="00810407"/>
    <w:rsid w:val="00810E7C"/>
    <w:rsid w:val="00811B1A"/>
    <w:rsid w:val="00812167"/>
    <w:rsid w:val="00812267"/>
    <w:rsid w:val="00812DFF"/>
    <w:rsid w:val="00813428"/>
    <w:rsid w:val="008135D4"/>
    <w:rsid w:val="008138E0"/>
    <w:rsid w:val="008145F8"/>
    <w:rsid w:val="0081468C"/>
    <w:rsid w:val="008163D3"/>
    <w:rsid w:val="008207D4"/>
    <w:rsid w:val="00820DB5"/>
    <w:rsid w:val="00822A89"/>
    <w:rsid w:val="00823191"/>
    <w:rsid w:val="0082415B"/>
    <w:rsid w:val="008247BB"/>
    <w:rsid w:val="008260DF"/>
    <w:rsid w:val="008267C4"/>
    <w:rsid w:val="00826C26"/>
    <w:rsid w:val="00830AB2"/>
    <w:rsid w:val="00830C79"/>
    <w:rsid w:val="00831740"/>
    <w:rsid w:val="00832056"/>
    <w:rsid w:val="008326F9"/>
    <w:rsid w:val="00832ACE"/>
    <w:rsid w:val="00832D1F"/>
    <w:rsid w:val="008336FE"/>
    <w:rsid w:val="0083370B"/>
    <w:rsid w:val="008349BF"/>
    <w:rsid w:val="00834D41"/>
    <w:rsid w:val="00836140"/>
    <w:rsid w:val="0083660B"/>
    <w:rsid w:val="00836E96"/>
    <w:rsid w:val="00837E04"/>
    <w:rsid w:val="0084002D"/>
    <w:rsid w:val="00840681"/>
    <w:rsid w:val="00840E0E"/>
    <w:rsid w:val="00840E83"/>
    <w:rsid w:val="00841AFC"/>
    <w:rsid w:val="00842A92"/>
    <w:rsid w:val="00842D1B"/>
    <w:rsid w:val="00842FD3"/>
    <w:rsid w:val="0084392C"/>
    <w:rsid w:val="00843D0F"/>
    <w:rsid w:val="0084542E"/>
    <w:rsid w:val="008454D2"/>
    <w:rsid w:val="00845842"/>
    <w:rsid w:val="00845F19"/>
    <w:rsid w:val="0084642C"/>
    <w:rsid w:val="0084672E"/>
    <w:rsid w:val="0084757B"/>
    <w:rsid w:val="0084758C"/>
    <w:rsid w:val="00847938"/>
    <w:rsid w:val="00847DA5"/>
    <w:rsid w:val="00850C78"/>
    <w:rsid w:val="0085172A"/>
    <w:rsid w:val="00851DDB"/>
    <w:rsid w:val="00851FA9"/>
    <w:rsid w:val="008527CE"/>
    <w:rsid w:val="00854199"/>
    <w:rsid w:val="008544C8"/>
    <w:rsid w:val="00854793"/>
    <w:rsid w:val="00854C58"/>
    <w:rsid w:val="0085746C"/>
    <w:rsid w:val="00857983"/>
    <w:rsid w:val="00861B3F"/>
    <w:rsid w:val="008625A4"/>
    <w:rsid w:val="00864196"/>
    <w:rsid w:val="00864EC0"/>
    <w:rsid w:val="008668FE"/>
    <w:rsid w:val="00866F39"/>
    <w:rsid w:val="0086765F"/>
    <w:rsid w:val="00870A3E"/>
    <w:rsid w:val="008716B2"/>
    <w:rsid w:val="00871A3A"/>
    <w:rsid w:val="008731B7"/>
    <w:rsid w:val="00874FC3"/>
    <w:rsid w:val="008757A2"/>
    <w:rsid w:val="00875B79"/>
    <w:rsid w:val="00876289"/>
    <w:rsid w:val="00877AB8"/>
    <w:rsid w:val="00881FD5"/>
    <w:rsid w:val="008820C1"/>
    <w:rsid w:val="00882845"/>
    <w:rsid w:val="00882B47"/>
    <w:rsid w:val="0088303A"/>
    <w:rsid w:val="008835BF"/>
    <w:rsid w:val="00883D9E"/>
    <w:rsid w:val="00884546"/>
    <w:rsid w:val="0088485B"/>
    <w:rsid w:val="008859D7"/>
    <w:rsid w:val="00885CFA"/>
    <w:rsid w:val="00885F93"/>
    <w:rsid w:val="00887E21"/>
    <w:rsid w:val="00893D59"/>
    <w:rsid w:val="00893DBA"/>
    <w:rsid w:val="00894561"/>
    <w:rsid w:val="00895AF6"/>
    <w:rsid w:val="00895D4C"/>
    <w:rsid w:val="008A0298"/>
    <w:rsid w:val="008A02AA"/>
    <w:rsid w:val="008A248F"/>
    <w:rsid w:val="008A2E3A"/>
    <w:rsid w:val="008A30CD"/>
    <w:rsid w:val="008A329C"/>
    <w:rsid w:val="008A391A"/>
    <w:rsid w:val="008A3B12"/>
    <w:rsid w:val="008A5519"/>
    <w:rsid w:val="008A5640"/>
    <w:rsid w:val="008A5D50"/>
    <w:rsid w:val="008A5EC4"/>
    <w:rsid w:val="008A67DB"/>
    <w:rsid w:val="008A74B6"/>
    <w:rsid w:val="008A74C3"/>
    <w:rsid w:val="008B08DF"/>
    <w:rsid w:val="008B0ECA"/>
    <w:rsid w:val="008B13D7"/>
    <w:rsid w:val="008B146D"/>
    <w:rsid w:val="008B158F"/>
    <w:rsid w:val="008B1F0A"/>
    <w:rsid w:val="008B3463"/>
    <w:rsid w:val="008B4223"/>
    <w:rsid w:val="008B43D6"/>
    <w:rsid w:val="008B4E00"/>
    <w:rsid w:val="008B50CB"/>
    <w:rsid w:val="008B5B5A"/>
    <w:rsid w:val="008B686A"/>
    <w:rsid w:val="008B722F"/>
    <w:rsid w:val="008C00C0"/>
    <w:rsid w:val="008C1048"/>
    <w:rsid w:val="008C2ED6"/>
    <w:rsid w:val="008C32BE"/>
    <w:rsid w:val="008C4B55"/>
    <w:rsid w:val="008C4B83"/>
    <w:rsid w:val="008C4BD2"/>
    <w:rsid w:val="008C534F"/>
    <w:rsid w:val="008C6419"/>
    <w:rsid w:val="008C686C"/>
    <w:rsid w:val="008C6C69"/>
    <w:rsid w:val="008C705E"/>
    <w:rsid w:val="008C7884"/>
    <w:rsid w:val="008C791B"/>
    <w:rsid w:val="008C7C16"/>
    <w:rsid w:val="008D012F"/>
    <w:rsid w:val="008D128E"/>
    <w:rsid w:val="008D14A7"/>
    <w:rsid w:val="008D180F"/>
    <w:rsid w:val="008D1D83"/>
    <w:rsid w:val="008D2811"/>
    <w:rsid w:val="008D2AAB"/>
    <w:rsid w:val="008D4455"/>
    <w:rsid w:val="008D4CC4"/>
    <w:rsid w:val="008D52F8"/>
    <w:rsid w:val="008D5BA6"/>
    <w:rsid w:val="008D6018"/>
    <w:rsid w:val="008D605F"/>
    <w:rsid w:val="008D68B9"/>
    <w:rsid w:val="008E0252"/>
    <w:rsid w:val="008E0363"/>
    <w:rsid w:val="008E05F6"/>
    <w:rsid w:val="008E07F7"/>
    <w:rsid w:val="008E272E"/>
    <w:rsid w:val="008E2EA9"/>
    <w:rsid w:val="008E39D0"/>
    <w:rsid w:val="008E3A97"/>
    <w:rsid w:val="008E3AB1"/>
    <w:rsid w:val="008E3CBF"/>
    <w:rsid w:val="008E5A0D"/>
    <w:rsid w:val="008E62B7"/>
    <w:rsid w:val="008E7E2B"/>
    <w:rsid w:val="008E7F25"/>
    <w:rsid w:val="008F0375"/>
    <w:rsid w:val="008F20BE"/>
    <w:rsid w:val="008F21F6"/>
    <w:rsid w:val="008F221E"/>
    <w:rsid w:val="008F2741"/>
    <w:rsid w:val="008F38E6"/>
    <w:rsid w:val="008F593B"/>
    <w:rsid w:val="008F6406"/>
    <w:rsid w:val="008F70A5"/>
    <w:rsid w:val="00900023"/>
    <w:rsid w:val="00900533"/>
    <w:rsid w:val="009009F5"/>
    <w:rsid w:val="00906895"/>
    <w:rsid w:val="00911BC3"/>
    <w:rsid w:val="00912834"/>
    <w:rsid w:val="0091354E"/>
    <w:rsid w:val="00914024"/>
    <w:rsid w:val="009164CA"/>
    <w:rsid w:val="00917F28"/>
    <w:rsid w:val="00920774"/>
    <w:rsid w:val="00920A46"/>
    <w:rsid w:val="00920C4C"/>
    <w:rsid w:val="00921287"/>
    <w:rsid w:val="00922E32"/>
    <w:rsid w:val="00924439"/>
    <w:rsid w:val="009253F0"/>
    <w:rsid w:val="009262B5"/>
    <w:rsid w:val="00926B90"/>
    <w:rsid w:val="009270E7"/>
    <w:rsid w:val="009272D1"/>
    <w:rsid w:val="00927A04"/>
    <w:rsid w:val="00927C5D"/>
    <w:rsid w:val="00927EB6"/>
    <w:rsid w:val="0093015C"/>
    <w:rsid w:val="0093073E"/>
    <w:rsid w:val="00930AA7"/>
    <w:rsid w:val="00930C5E"/>
    <w:rsid w:val="00930E6F"/>
    <w:rsid w:val="00930F39"/>
    <w:rsid w:val="00931F0D"/>
    <w:rsid w:val="009324F6"/>
    <w:rsid w:val="0093277C"/>
    <w:rsid w:val="00932AB9"/>
    <w:rsid w:val="00932F5F"/>
    <w:rsid w:val="00933078"/>
    <w:rsid w:val="009331B9"/>
    <w:rsid w:val="009335B0"/>
    <w:rsid w:val="0093363E"/>
    <w:rsid w:val="00933731"/>
    <w:rsid w:val="00934B51"/>
    <w:rsid w:val="00935A49"/>
    <w:rsid w:val="009364DB"/>
    <w:rsid w:val="0093666A"/>
    <w:rsid w:val="00936D1B"/>
    <w:rsid w:val="00936FB2"/>
    <w:rsid w:val="009371F7"/>
    <w:rsid w:val="00937B4D"/>
    <w:rsid w:val="00937D26"/>
    <w:rsid w:val="009401B3"/>
    <w:rsid w:val="00941349"/>
    <w:rsid w:val="009429D0"/>
    <w:rsid w:val="00943756"/>
    <w:rsid w:val="00946AD3"/>
    <w:rsid w:val="00946E72"/>
    <w:rsid w:val="00950550"/>
    <w:rsid w:val="0095216A"/>
    <w:rsid w:val="009531F6"/>
    <w:rsid w:val="00955891"/>
    <w:rsid w:val="009567C9"/>
    <w:rsid w:val="0096041A"/>
    <w:rsid w:val="0096071C"/>
    <w:rsid w:val="00960AC4"/>
    <w:rsid w:val="00960DCE"/>
    <w:rsid w:val="00961010"/>
    <w:rsid w:val="00963BD7"/>
    <w:rsid w:val="0096542F"/>
    <w:rsid w:val="00966206"/>
    <w:rsid w:val="0096632E"/>
    <w:rsid w:val="0096746B"/>
    <w:rsid w:val="00967518"/>
    <w:rsid w:val="009675E6"/>
    <w:rsid w:val="00967940"/>
    <w:rsid w:val="009715C0"/>
    <w:rsid w:val="009722F2"/>
    <w:rsid w:val="00972381"/>
    <w:rsid w:val="00972D3C"/>
    <w:rsid w:val="00974DFB"/>
    <w:rsid w:val="00975BFB"/>
    <w:rsid w:val="009769C9"/>
    <w:rsid w:val="009772A9"/>
    <w:rsid w:val="009777CB"/>
    <w:rsid w:val="00977EA0"/>
    <w:rsid w:val="00980BC7"/>
    <w:rsid w:val="00980BE7"/>
    <w:rsid w:val="0098299C"/>
    <w:rsid w:val="00982CEC"/>
    <w:rsid w:val="00982DEE"/>
    <w:rsid w:val="009845CB"/>
    <w:rsid w:val="0098663C"/>
    <w:rsid w:val="00990368"/>
    <w:rsid w:val="009906D2"/>
    <w:rsid w:val="00990D5D"/>
    <w:rsid w:val="0099102A"/>
    <w:rsid w:val="00991D5F"/>
    <w:rsid w:val="00994A30"/>
    <w:rsid w:val="00997408"/>
    <w:rsid w:val="009A0980"/>
    <w:rsid w:val="009A0D33"/>
    <w:rsid w:val="009A0FD1"/>
    <w:rsid w:val="009A1CC7"/>
    <w:rsid w:val="009A1E7B"/>
    <w:rsid w:val="009A1F1C"/>
    <w:rsid w:val="009A2376"/>
    <w:rsid w:val="009A2A3A"/>
    <w:rsid w:val="009A2FD4"/>
    <w:rsid w:val="009A323D"/>
    <w:rsid w:val="009A6746"/>
    <w:rsid w:val="009A7EB9"/>
    <w:rsid w:val="009B0884"/>
    <w:rsid w:val="009B2435"/>
    <w:rsid w:val="009B2B4C"/>
    <w:rsid w:val="009B2FB8"/>
    <w:rsid w:val="009B2FE3"/>
    <w:rsid w:val="009B3B76"/>
    <w:rsid w:val="009B3CB1"/>
    <w:rsid w:val="009B3F22"/>
    <w:rsid w:val="009B467C"/>
    <w:rsid w:val="009B4F22"/>
    <w:rsid w:val="009B5634"/>
    <w:rsid w:val="009B6C68"/>
    <w:rsid w:val="009B6E7C"/>
    <w:rsid w:val="009B7CFD"/>
    <w:rsid w:val="009C0BBE"/>
    <w:rsid w:val="009C14C7"/>
    <w:rsid w:val="009C2244"/>
    <w:rsid w:val="009C22B3"/>
    <w:rsid w:val="009C2D5D"/>
    <w:rsid w:val="009C3079"/>
    <w:rsid w:val="009C3411"/>
    <w:rsid w:val="009C3861"/>
    <w:rsid w:val="009C4535"/>
    <w:rsid w:val="009C4996"/>
    <w:rsid w:val="009C4A3C"/>
    <w:rsid w:val="009C51BF"/>
    <w:rsid w:val="009C53B2"/>
    <w:rsid w:val="009C5AFE"/>
    <w:rsid w:val="009C5FAB"/>
    <w:rsid w:val="009C650F"/>
    <w:rsid w:val="009C6BE1"/>
    <w:rsid w:val="009D21A6"/>
    <w:rsid w:val="009D24C2"/>
    <w:rsid w:val="009D2B66"/>
    <w:rsid w:val="009D366A"/>
    <w:rsid w:val="009D3FBB"/>
    <w:rsid w:val="009D52E0"/>
    <w:rsid w:val="009D62D9"/>
    <w:rsid w:val="009D63E0"/>
    <w:rsid w:val="009D6F7B"/>
    <w:rsid w:val="009D7964"/>
    <w:rsid w:val="009D79C5"/>
    <w:rsid w:val="009E0298"/>
    <w:rsid w:val="009E0499"/>
    <w:rsid w:val="009E0A08"/>
    <w:rsid w:val="009E1B6B"/>
    <w:rsid w:val="009E1D66"/>
    <w:rsid w:val="009E2B24"/>
    <w:rsid w:val="009E3567"/>
    <w:rsid w:val="009E458D"/>
    <w:rsid w:val="009E46B4"/>
    <w:rsid w:val="009E740B"/>
    <w:rsid w:val="009F193E"/>
    <w:rsid w:val="009F1F47"/>
    <w:rsid w:val="009F21B8"/>
    <w:rsid w:val="009F319A"/>
    <w:rsid w:val="009F4362"/>
    <w:rsid w:val="009F54C8"/>
    <w:rsid w:val="009F5768"/>
    <w:rsid w:val="009F5989"/>
    <w:rsid w:val="009F59BC"/>
    <w:rsid w:val="009F5A36"/>
    <w:rsid w:val="009F5B31"/>
    <w:rsid w:val="009F5C6A"/>
    <w:rsid w:val="009F67D7"/>
    <w:rsid w:val="009F72A0"/>
    <w:rsid w:val="009F74A2"/>
    <w:rsid w:val="009F7707"/>
    <w:rsid w:val="009F77E9"/>
    <w:rsid w:val="009F7DCE"/>
    <w:rsid w:val="00A0037E"/>
    <w:rsid w:val="00A0110A"/>
    <w:rsid w:val="00A01735"/>
    <w:rsid w:val="00A017BD"/>
    <w:rsid w:val="00A01AFE"/>
    <w:rsid w:val="00A02C6E"/>
    <w:rsid w:val="00A03349"/>
    <w:rsid w:val="00A03514"/>
    <w:rsid w:val="00A047E2"/>
    <w:rsid w:val="00A04B85"/>
    <w:rsid w:val="00A04FE8"/>
    <w:rsid w:val="00A05893"/>
    <w:rsid w:val="00A05B76"/>
    <w:rsid w:val="00A05E1A"/>
    <w:rsid w:val="00A0746E"/>
    <w:rsid w:val="00A10362"/>
    <w:rsid w:val="00A11426"/>
    <w:rsid w:val="00A11876"/>
    <w:rsid w:val="00A12C51"/>
    <w:rsid w:val="00A1366A"/>
    <w:rsid w:val="00A14513"/>
    <w:rsid w:val="00A14B10"/>
    <w:rsid w:val="00A1547C"/>
    <w:rsid w:val="00A154DE"/>
    <w:rsid w:val="00A15E2A"/>
    <w:rsid w:val="00A16DC6"/>
    <w:rsid w:val="00A16DEA"/>
    <w:rsid w:val="00A1730A"/>
    <w:rsid w:val="00A179F5"/>
    <w:rsid w:val="00A21019"/>
    <w:rsid w:val="00A210C7"/>
    <w:rsid w:val="00A21B0A"/>
    <w:rsid w:val="00A21E42"/>
    <w:rsid w:val="00A22908"/>
    <w:rsid w:val="00A23639"/>
    <w:rsid w:val="00A24307"/>
    <w:rsid w:val="00A244EA"/>
    <w:rsid w:val="00A25236"/>
    <w:rsid w:val="00A277E8"/>
    <w:rsid w:val="00A27DF5"/>
    <w:rsid w:val="00A3022A"/>
    <w:rsid w:val="00A30CDC"/>
    <w:rsid w:val="00A317AD"/>
    <w:rsid w:val="00A32818"/>
    <w:rsid w:val="00A32944"/>
    <w:rsid w:val="00A32FD2"/>
    <w:rsid w:val="00A33483"/>
    <w:rsid w:val="00A3388A"/>
    <w:rsid w:val="00A3398C"/>
    <w:rsid w:val="00A3409F"/>
    <w:rsid w:val="00A342E9"/>
    <w:rsid w:val="00A34552"/>
    <w:rsid w:val="00A350DF"/>
    <w:rsid w:val="00A35300"/>
    <w:rsid w:val="00A370AE"/>
    <w:rsid w:val="00A3771C"/>
    <w:rsid w:val="00A43777"/>
    <w:rsid w:val="00A43902"/>
    <w:rsid w:val="00A44258"/>
    <w:rsid w:val="00A4441D"/>
    <w:rsid w:val="00A44B83"/>
    <w:rsid w:val="00A450E3"/>
    <w:rsid w:val="00A45126"/>
    <w:rsid w:val="00A45453"/>
    <w:rsid w:val="00A461B8"/>
    <w:rsid w:val="00A46504"/>
    <w:rsid w:val="00A46599"/>
    <w:rsid w:val="00A47AC8"/>
    <w:rsid w:val="00A47B2E"/>
    <w:rsid w:val="00A47D0A"/>
    <w:rsid w:val="00A50168"/>
    <w:rsid w:val="00A506CD"/>
    <w:rsid w:val="00A50C26"/>
    <w:rsid w:val="00A50D14"/>
    <w:rsid w:val="00A5312A"/>
    <w:rsid w:val="00A53DAE"/>
    <w:rsid w:val="00A54876"/>
    <w:rsid w:val="00A5500C"/>
    <w:rsid w:val="00A55731"/>
    <w:rsid w:val="00A55776"/>
    <w:rsid w:val="00A5646F"/>
    <w:rsid w:val="00A56505"/>
    <w:rsid w:val="00A565EB"/>
    <w:rsid w:val="00A56A43"/>
    <w:rsid w:val="00A57AE9"/>
    <w:rsid w:val="00A57DAF"/>
    <w:rsid w:val="00A60E69"/>
    <w:rsid w:val="00A61083"/>
    <w:rsid w:val="00A6123D"/>
    <w:rsid w:val="00A615E1"/>
    <w:rsid w:val="00A62576"/>
    <w:rsid w:val="00A63650"/>
    <w:rsid w:val="00A63780"/>
    <w:rsid w:val="00A63F7C"/>
    <w:rsid w:val="00A640E1"/>
    <w:rsid w:val="00A65404"/>
    <w:rsid w:val="00A65FDA"/>
    <w:rsid w:val="00A66876"/>
    <w:rsid w:val="00A66C7B"/>
    <w:rsid w:val="00A6778A"/>
    <w:rsid w:val="00A67B3C"/>
    <w:rsid w:val="00A70CEE"/>
    <w:rsid w:val="00A71073"/>
    <w:rsid w:val="00A719E7"/>
    <w:rsid w:val="00A72067"/>
    <w:rsid w:val="00A72D35"/>
    <w:rsid w:val="00A73F8F"/>
    <w:rsid w:val="00A741B9"/>
    <w:rsid w:val="00A77C4F"/>
    <w:rsid w:val="00A77C9F"/>
    <w:rsid w:val="00A77D88"/>
    <w:rsid w:val="00A80713"/>
    <w:rsid w:val="00A80D59"/>
    <w:rsid w:val="00A8137A"/>
    <w:rsid w:val="00A81897"/>
    <w:rsid w:val="00A81BA9"/>
    <w:rsid w:val="00A83868"/>
    <w:rsid w:val="00A841EB"/>
    <w:rsid w:val="00A8452B"/>
    <w:rsid w:val="00A84BA9"/>
    <w:rsid w:val="00A856B9"/>
    <w:rsid w:val="00A8576E"/>
    <w:rsid w:val="00A85C00"/>
    <w:rsid w:val="00A85C33"/>
    <w:rsid w:val="00A86A57"/>
    <w:rsid w:val="00A87210"/>
    <w:rsid w:val="00A878D9"/>
    <w:rsid w:val="00A90A90"/>
    <w:rsid w:val="00A91015"/>
    <w:rsid w:val="00A91549"/>
    <w:rsid w:val="00A9241C"/>
    <w:rsid w:val="00A92862"/>
    <w:rsid w:val="00A93362"/>
    <w:rsid w:val="00A93A92"/>
    <w:rsid w:val="00A93FD4"/>
    <w:rsid w:val="00A97840"/>
    <w:rsid w:val="00A97CD9"/>
    <w:rsid w:val="00A97D29"/>
    <w:rsid w:val="00AA0005"/>
    <w:rsid w:val="00AA1876"/>
    <w:rsid w:val="00AA1B23"/>
    <w:rsid w:val="00AA2CF0"/>
    <w:rsid w:val="00AA2D3D"/>
    <w:rsid w:val="00AA305B"/>
    <w:rsid w:val="00AA48F2"/>
    <w:rsid w:val="00AA5307"/>
    <w:rsid w:val="00AA59F3"/>
    <w:rsid w:val="00AA6E5B"/>
    <w:rsid w:val="00AB1976"/>
    <w:rsid w:val="00AB2BB9"/>
    <w:rsid w:val="00AB3724"/>
    <w:rsid w:val="00AB4524"/>
    <w:rsid w:val="00AB4895"/>
    <w:rsid w:val="00AB4D34"/>
    <w:rsid w:val="00AB4F58"/>
    <w:rsid w:val="00AB53E7"/>
    <w:rsid w:val="00AB6427"/>
    <w:rsid w:val="00AB6891"/>
    <w:rsid w:val="00AB7755"/>
    <w:rsid w:val="00AC10C7"/>
    <w:rsid w:val="00AC2762"/>
    <w:rsid w:val="00AC2933"/>
    <w:rsid w:val="00AC2B6D"/>
    <w:rsid w:val="00AC3D54"/>
    <w:rsid w:val="00AC4BE8"/>
    <w:rsid w:val="00AC5925"/>
    <w:rsid w:val="00AC5F80"/>
    <w:rsid w:val="00AC742D"/>
    <w:rsid w:val="00AD081C"/>
    <w:rsid w:val="00AD0A5D"/>
    <w:rsid w:val="00AD1746"/>
    <w:rsid w:val="00AD1855"/>
    <w:rsid w:val="00AD1DD2"/>
    <w:rsid w:val="00AD3063"/>
    <w:rsid w:val="00AD3585"/>
    <w:rsid w:val="00AD59C8"/>
    <w:rsid w:val="00AE0B85"/>
    <w:rsid w:val="00AE0CC1"/>
    <w:rsid w:val="00AE1F40"/>
    <w:rsid w:val="00AE2261"/>
    <w:rsid w:val="00AE361F"/>
    <w:rsid w:val="00AE3703"/>
    <w:rsid w:val="00AE3A1E"/>
    <w:rsid w:val="00AE49F2"/>
    <w:rsid w:val="00AE4E5B"/>
    <w:rsid w:val="00AE4E9E"/>
    <w:rsid w:val="00AE554B"/>
    <w:rsid w:val="00AE5D85"/>
    <w:rsid w:val="00AE5FF0"/>
    <w:rsid w:val="00AE604E"/>
    <w:rsid w:val="00AE71A1"/>
    <w:rsid w:val="00AE7E46"/>
    <w:rsid w:val="00AF09D4"/>
    <w:rsid w:val="00AF1EE6"/>
    <w:rsid w:val="00AF45E7"/>
    <w:rsid w:val="00AF5DEE"/>
    <w:rsid w:val="00AF65C3"/>
    <w:rsid w:val="00AF6F03"/>
    <w:rsid w:val="00AF70CC"/>
    <w:rsid w:val="00B01655"/>
    <w:rsid w:val="00B01DD6"/>
    <w:rsid w:val="00B023D7"/>
    <w:rsid w:val="00B02B2F"/>
    <w:rsid w:val="00B02DE3"/>
    <w:rsid w:val="00B05E7D"/>
    <w:rsid w:val="00B06227"/>
    <w:rsid w:val="00B0732C"/>
    <w:rsid w:val="00B07760"/>
    <w:rsid w:val="00B07815"/>
    <w:rsid w:val="00B1091D"/>
    <w:rsid w:val="00B118FA"/>
    <w:rsid w:val="00B130D2"/>
    <w:rsid w:val="00B1369D"/>
    <w:rsid w:val="00B1427D"/>
    <w:rsid w:val="00B14463"/>
    <w:rsid w:val="00B14F45"/>
    <w:rsid w:val="00B1502F"/>
    <w:rsid w:val="00B1516A"/>
    <w:rsid w:val="00B15594"/>
    <w:rsid w:val="00B15B51"/>
    <w:rsid w:val="00B1601A"/>
    <w:rsid w:val="00B20393"/>
    <w:rsid w:val="00B21E32"/>
    <w:rsid w:val="00B22405"/>
    <w:rsid w:val="00B2343F"/>
    <w:rsid w:val="00B23BA3"/>
    <w:rsid w:val="00B25AAC"/>
    <w:rsid w:val="00B26B19"/>
    <w:rsid w:val="00B2741A"/>
    <w:rsid w:val="00B2767A"/>
    <w:rsid w:val="00B27D67"/>
    <w:rsid w:val="00B30AC8"/>
    <w:rsid w:val="00B31098"/>
    <w:rsid w:val="00B31284"/>
    <w:rsid w:val="00B31921"/>
    <w:rsid w:val="00B319C4"/>
    <w:rsid w:val="00B31C04"/>
    <w:rsid w:val="00B328B9"/>
    <w:rsid w:val="00B339DF"/>
    <w:rsid w:val="00B33C5C"/>
    <w:rsid w:val="00B3415F"/>
    <w:rsid w:val="00B3418C"/>
    <w:rsid w:val="00B3494C"/>
    <w:rsid w:val="00B34E41"/>
    <w:rsid w:val="00B35438"/>
    <w:rsid w:val="00B3571D"/>
    <w:rsid w:val="00B3596F"/>
    <w:rsid w:val="00B35ADC"/>
    <w:rsid w:val="00B3626F"/>
    <w:rsid w:val="00B362F4"/>
    <w:rsid w:val="00B37011"/>
    <w:rsid w:val="00B3735C"/>
    <w:rsid w:val="00B37929"/>
    <w:rsid w:val="00B400F7"/>
    <w:rsid w:val="00B410F4"/>
    <w:rsid w:val="00B4263A"/>
    <w:rsid w:val="00B42BEB"/>
    <w:rsid w:val="00B43549"/>
    <w:rsid w:val="00B43AE3"/>
    <w:rsid w:val="00B4475C"/>
    <w:rsid w:val="00B44A27"/>
    <w:rsid w:val="00B45008"/>
    <w:rsid w:val="00B45D6D"/>
    <w:rsid w:val="00B4666B"/>
    <w:rsid w:val="00B47118"/>
    <w:rsid w:val="00B47743"/>
    <w:rsid w:val="00B50774"/>
    <w:rsid w:val="00B518B7"/>
    <w:rsid w:val="00B51BBC"/>
    <w:rsid w:val="00B52287"/>
    <w:rsid w:val="00B52D72"/>
    <w:rsid w:val="00B5311A"/>
    <w:rsid w:val="00B548C8"/>
    <w:rsid w:val="00B54A85"/>
    <w:rsid w:val="00B550B1"/>
    <w:rsid w:val="00B55279"/>
    <w:rsid w:val="00B55990"/>
    <w:rsid w:val="00B56F90"/>
    <w:rsid w:val="00B571D9"/>
    <w:rsid w:val="00B572B5"/>
    <w:rsid w:val="00B57E1E"/>
    <w:rsid w:val="00B6039F"/>
    <w:rsid w:val="00B60B47"/>
    <w:rsid w:val="00B6118F"/>
    <w:rsid w:val="00B61A72"/>
    <w:rsid w:val="00B62126"/>
    <w:rsid w:val="00B626D4"/>
    <w:rsid w:val="00B62CF2"/>
    <w:rsid w:val="00B6334B"/>
    <w:rsid w:val="00B64EB6"/>
    <w:rsid w:val="00B6583B"/>
    <w:rsid w:val="00B702E0"/>
    <w:rsid w:val="00B70E33"/>
    <w:rsid w:val="00B7297E"/>
    <w:rsid w:val="00B73035"/>
    <w:rsid w:val="00B73E4C"/>
    <w:rsid w:val="00B74EDB"/>
    <w:rsid w:val="00B7509A"/>
    <w:rsid w:val="00B750E0"/>
    <w:rsid w:val="00B75AE3"/>
    <w:rsid w:val="00B75D2D"/>
    <w:rsid w:val="00B76912"/>
    <w:rsid w:val="00B77270"/>
    <w:rsid w:val="00B80A38"/>
    <w:rsid w:val="00B80A3A"/>
    <w:rsid w:val="00B81530"/>
    <w:rsid w:val="00B8389F"/>
    <w:rsid w:val="00B83C9F"/>
    <w:rsid w:val="00B85F4D"/>
    <w:rsid w:val="00B877E7"/>
    <w:rsid w:val="00B903B5"/>
    <w:rsid w:val="00B91248"/>
    <w:rsid w:val="00B91D36"/>
    <w:rsid w:val="00B924C7"/>
    <w:rsid w:val="00B928E9"/>
    <w:rsid w:val="00B92A7B"/>
    <w:rsid w:val="00B9360C"/>
    <w:rsid w:val="00B938AA"/>
    <w:rsid w:val="00B948A6"/>
    <w:rsid w:val="00B948C5"/>
    <w:rsid w:val="00B94ED9"/>
    <w:rsid w:val="00B957E0"/>
    <w:rsid w:val="00B960B5"/>
    <w:rsid w:val="00B96C2A"/>
    <w:rsid w:val="00B970D7"/>
    <w:rsid w:val="00B971CD"/>
    <w:rsid w:val="00B97578"/>
    <w:rsid w:val="00BA0577"/>
    <w:rsid w:val="00BA09C7"/>
    <w:rsid w:val="00BA0EF5"/>
    <w:rsid w:val="00BA1A2C"/>
    <w:rsid w:val="00BA2F54"/>
    <w:rsid w:val="00BA396D"/>
    <w:rsid w:val="00BA4372"/>
    <w:rsid w:val="00BA55E2"/>
    <w:rsid w:val="00BA6388"/>
    <w:rsid w:val="00BA6400"/>
    <w:rsid w:val="00BA66D3"/>
    <w:rsid w:val="00BA6856"/>
    <w:rsid w:val="00BA77AF"/>
    <w:rsid w:val="00BB117B"/>
    <w:rsid w:val="00BB11BB"/>
    <w:rsid w:val="00BB2B91"/>
    <w:rsid w:val="00BB2F43"/>
    <w:rsid w:val="00BB3243"/>
    <w:rsid w:val="00BB328E"/>
    <w:rsid w:val="00BB36D1"/>
    <w:rsid w:val="00BB3781"/>
    <w:rsid w:val="00BB37BE"/>
    <w:rsid w:val="00BB3A86"/>
    <w:rsid w:val="00BB430B"/>
    <w:rsid w:val="00BB4814"/>
    <w:rsid w:val="00BB4F82"/>
    <w:rsid w:val="00BB5A63"/>
    <w:rsid w:val="00BB73FA"/>
    <w:rsid w:val="00BC3232"/>
    <w:rsid w:val="00BC368C"/>
    <w:rsid w:val="00BC4A5C"/>
    <w:rsid w:val="00BC54E9"/>
    <w:rsid w:val="00BC5A0B"/>
    <w:rsid w:val="00BC757B"/>
    <w:rsid w:val="00BC779C"/>
    <w:rsid w:val="00BD0987"/>
    <w:rsid w:val="00BD1260"/>
    <w:rsid w:val="00BD2152"/>
    <w:rsid w:val="00BD4628"/>
    <w:rsid w:val="00BD4BF5"/>
    <w:rsid w:val="00BD5759"/>
    <w:rsid w:val="00BD69E9"/>
    <w:rsid w:val="00BD70D9"/>
    <w:rsid w:val="00BD7D9B"/>
    <w:rsid w:val="00BE1BBF"/>
    <w:rsid w:val="00BE2CCC"/>
    <w:rsid w:val="00BE2D59"/>
    <w:rsid w:val="00BE2F61"/>
    <w:rsid w:val="00BE3163"/>
    <w:rsid w:val="00BE567E"/>
    <w:rsid w:val="00BE59FA"/>
    <w:rsid w:val="00BE5F88"/>
    <w:rsid w:val="00BE6519"/>
    <w:rsid w:val="00BE663C"/>
    <w:rsid w:val="00BF14F7"/>
    <w:rsid w:val="00BF179E"/>
    <w:rsid w:val="00BF245D"/>
    <w:rsid w:val="00BF2F4A"/>
    <w:rsid w:val="00BF31DC"/>
    <w:rsid w:val="00BF368E"/>
    <w:rsid w:val="00BF3805"/>
    <w:rsid w:val="00BF3869"/>
    <w:rsid w:val="00BF4ED3"/>
    <w:rsid w:val="00BF5A29"/>
    <w:rsid w:val="00BF6CEE"/>
    <w:rsid w:val="00BF714A"/>
    <w:rsid w:val="00C01D13"/>
    <w:rsid w:val="00C020B4"/>
    <w:rsid w:val="00C02604"/>
    <w:rsid w:val="00C02DD6"/>
    <w:rsid w:val="00C04F7A"/>
    <w:rsid w:val="00C05102"/>
    <w:rsid w:val="00C05662"/>
    <w:rsid w:val="00C05951"/>
    <w:rsid w:val="00C067EB"/>
    <w:rsid w:val="00C068B5"/>
    <w:rsid w:val="00C115C7"/>
    <w:rsid w:val="00C11775"/>
    <w:rsid w:val="00C118F7"/>
    <w:rsid w:val="00C12510"/>
    <w:rsid w:val="00C1382F"/>
    <w:rsid w:val="00C13933"/>
    <w:rsid w:val="00C14EE7"/>
    <w:rsid w:val="00C15CEE"/>
    <w:rsid w:val="00C1607C"/>
    <w:rsid w:val="00C16446"/>
    <w:rsid w:val="00C16A89"/>
    <w:rsid w:val="00C1726F"/>
    <w:rsid w:val="00C20634"/>
    <w:rsid w:val="00C20BA2"/>
    <w:rsid w:val="00C20CA8"/>
    <w:rsid w:val="00C2171B"/>
    <w:rsid w:val="00C222F6"/>
    <w:rsid w:val="00C23E19"/>
    <w:rsid w:val="00C258A3"/>
    <w:rsid w:val="00C25E27"/>
    <w:rsid w:val="00C26602"/>
    <w:rsid w:val="00C26877"/>
    <w:rsid w:val="00C26FB7"/>
    <w:rsid w:val="00C27737"/>
    <w:rsid w:val="00C27BD0"/>
    <w:rsid w:val="00C27F73"/>
    <w:rsid w:val="00C30B8E"/>
    <w:rsid w:val="00C30FBC"/>
    <w:rsid w:val="00C31412"/>
    <w:rsid w:val="00C316DA"/>
    <w:rsid w:val="00C328AA"/>
    <w:rsid w:val="00C32916"/>
    <w:rsid w:val="00C32A54"/>
    <w:rsid w:val="00C32D17"/>
    <w:rsid w:val="00C33132"/>
    <w:rsid w:val="00C336EE"/>
    <w:rsid w:val="00C35A32"/>
    <w:rsid w:val="00C35BDB"/>
    <w:rsid w:val="00C35D04"/>
    <w:rsid w:val="00C35D56"/>
    <w:rsid w:val="00C36A1B"/>
    <w:rsid w:val="00C36DCF"/>
    <w:rsid w:val="00C37114"/>
    <w:rsid w:val="00C37C38"/>
    <w:rsid w:val="00C40232"/>
    <w:rsid w:val="00C404CD"/>
    <w:rsid w:val="00C40A08"/>
    <w:rsid w:val="00C42F8A"/>
    <w:rsid w:val="00C44053"/>
    <w:rsid w:val="00C45218"/>
    <w:rsid w:val="00C459F8"/>
    <w:rsid w:val="00C45C30"/>
    <w:rsid w:val="00C46260"/>
    <w:rsid w:val="00C47CCC"/>
    <w:rsid w:val="00C47FD8"/>
    <w:rsid w:val="00C5187C"/>
    <w:rsid w:val="00C52574"/>
    <w:rsid w:val="00C52B71"/>
    <w:rsid w:val="00C52CA3"/>
    <w:rsid w:val="00C53B74"/>
    <w:rsid w:val="00C53E4C"/>
    <w:rsid w:val="00C54F3A"/>
    <w:rsid w:val="00C55DF2"/>
    <w:rsid w:val="00C56075"/>
    <w:rsid w:val="00C56587"/>
    <w:rsid w:val="00C573CE"/>
    <w:rsid w:val="00C575F8"/>
    <w:rsid w:val="00C57D97"/>
    <w:rsid w:val="00C60A11"/>
    <w:rsid w:val="00C61904"/>
    <w:rsid w:val="00C6276C"/>
    <w:rsid w:val="00C6292D"/>
    <w:rsid w:val="00C63958"/>
    <w:rsid w:val="00C639AA"/>
    <w:rsid w:val="00C64030"/>
    <w:rsid w:val="00C649AE"/>
    <w:rsid w:val="00C64CFD"/>
    <w:rsid w:val="00C64F87"/>
    <w:rsid w:val="00C652CA"/>
    <w:rsid w:val="00C66621"/>
    <w:rsid w:val="00C66DC8"/>
    <w:rsid w:val="00C67681"/>
    <w:rsid w:val="00C7076B"/>
    <w:rsid w:val="00C72894"/>
    <w:rsid w:val="00C728F5"/>
    <w:rsid w:val="00C7299B"/>
    <w:rsid w:val="00C72A98"/>
    <w:rsid w:val="00C73853"/>
    <w:rsid w:val="00C74316"/>
    <w:rsid w:val="00C74AB8"/>
    <w:rsid w:val="00C75C43"/>
    <w:rsid w:val="00C76D9A"/>
    <w:rsid w:val="00C7762C"/>
    <w:rsid w:val="00C77917"/>
    <w:rsid w:val="00C80666"/>
    <w:rsid w:val="00C80FE4"/>
    <w:rsid w:val="00C81574"/>
    <w:rsid w:val="00C81C4A"/>
    <w:rsid w:val="00C824D5"/>
    <w:rsid w:val="00C828B7"/>
    <w:rsid w:val="00C82FBB"/>
    <w:rsid w:val="00C83D5F"/>
    <w:rsid w:val="00C84237"/>
    <w:rsid w:val="00C844EE"/>
    <w:rsid w:val="00C8471D"/>
    <w:rsid w:val="00C84C57"/>
    <w:rsid w:val="00C85CD5"/>
    <w:rsid w:val="00C862E2"/>
    <w:rsid w:val="00C87BCA"/>
    <w:rsid w:val="00C90A55"/>
    <w:rsid w:val="00C91F64"/>
    <w:rsid w:val="00C92515"/>
    <w:rsid w:val="00C9389B"/>
    <w:rsid w:val="00C938C5"/>
    <w:rsid w:val="00C9497B"/>
    <w:rsid w:val="00C9541F"/>
    <w:rsid w:val="00C9568E"/>
    <w:rsid w:val="00C9599B"/>
    <w:rsid w:val="00C95AE3"/>
    <w:rsid w:val="00C966F5"/>
    <w:rsid w:val="00C96BC5"/>
    <w:rsid w:val="00C97187"/>
    <w:rsid w:val="00C979F5"/>
    <w:rsid w:val="00C97B59"/>
    <w:rsid w:val="00C97D06"/>
    <w:rsid w:val="00CA01AA"/>
    <w:rsid w:val="00CA0778"/>
    <w:rsid w:val="00CA087C"/>
    <w:rsid w:val="00CA1F1A"/>
    <w:rsid w:val="00CA2599"/>
    <w:rsid w:val="00CA3390"/>
    <w:rsid w:val="00CA35FD"/>
    <w:rsid w:val="00CA4016"/>
    <w:rsid w:val="00CA4623"/>
    <w:rsid w:val="00CA6C71"/>
    <w:rsid w:val="00CA779B"/>
    <w:rsid w:val="00CA7CB1"/>
    <w:rsid w:val="00CA7F33"/>
    <w:rsid w:val="00CB1D31"/>
    <w:rsid w:val="00CB2A3A"/>
    <w:rsid w:val="00CB3269"/>
    <w:rsid w:val="00CB395A"/>
    <w:rsid w:val="00CB3EAF"/>
    <w:rsid w:val="00CB419C"/>
    <w:rsid w:val="00CB4E79"/>
    <w:rsid w:val="00CB5177"/>
    <w:rsid w:val="00CB53B2"/>
    <w:rsid w:val="00CB6750"/>
    <w:rsid w:val="00CB6890"/>
    <w:rsid w:val="00CB7510"/>
    <w:rsid w:val="00CB7FE8"/>
    <w:rsid w:val="00CC00C0"/>
    <w:rsid w:val="00CC16C7"/>
    <w:rsid w:val="00CC2285"/>
    <w:rsid w:val="00CC3A09"/>
    <w:rsid w:val="00CC4136"/>
    <w:rsid w:val="00CC5450"/>
    <w:rsid w:val="00CC6321"/>
    <w:rsid w:val="00CC6D11"/>
    <w:rsid w:val="00CC773E"/>
    <w:rsid w:val="00CC7F8A"/>
    <w:rsid w:val="00CC7FC7"/>
    <w:rsid w:val="00CD0BCC"/>
    <w:rsid w:val="00CD0D6A"/>
    <w:rsid w:val="00CD11AF"/>
    <w:rsid w:val="00CD1B67"/>
    <w:rsid w:val="00CD212B"/>
    <w:rsid w:val="00CD216E"/>
    <w:rsid w:val="00CD2570"/>
    <w:rsid w:val="00CD34C9"/>
    <w:rsid w:val="00CD3AB4"/>
    <w:rsid w:val="00CD4509"/>
    <w:rsid w:val="00CD46CC"/>
    <w:rsid w:val="00CD4D2C"/>
    <w:rsid w:val="00CD5F23"/>
    <w:rsid w:val="00CD7666"/>
    <w:rsid w:val="00CD76A8"/>
    <w:rsid w:val="00CE0607"/>
    <w:rsid w:val="00CE06E1"/>
    <w:rsid w:val="00CE11DE"/>
    <w:rsid w:val="00CE1371"/>
    <w:rsid w:val="00CE18B3"/>
    <w:rsid w:val="00CE1BCE"/>
    <w:rsid w:val="00CE27D1"/>
    <w:rsid w:val="00CE2C23"/>
    <w:rsid w:val="00CE3A7D"/>
    <w:rsid w:val="00CE4087"/>
    <w:rsid w:val="00CE5B50"/>
    <w:rsid w:val="00CE65D4"/>
    <w:rsid w:val="00CE77C0"/>
    <w:rsid w:val="00CE796F"/>
    <w:rsid w:val="00CE7C40"/>
    <w:rsid w:val="00CE7EB7"/>
    <w:rsid w:val="00CF091E"/>
    <w:rsid w:val="00CF2E66"/>
    <w:rsid w:val="00CF3987"/>
    <w:rsid w:val="00CF4039"/>
    <w:rsid w:val="00CF4411"/>
    <w:rsid w:val="00CF456D"/>
    <w:rsid w:val="00CF4BDC"/>
    <w:rsid w:val="00CF4F55"/>
    <w:rsid w:val="00CF553B"/>
    <w:rsid w:val="00CF56B4"/>
    <w:rsid w:val="00CF5832"/>
    <w:rsid w:val="00CF62CA"/>
    <w:rsid w:val="00D029BF"/>
    <w:rsid w:val="00D042D5"/>
    <w:rsid w:val="00D0493E"/>
    <w:rsid w:val="00D04C66"/>
    <w:rsid w:val="00D050AE"/>
    <w:rsid w:val="00D05799"/>
    <w:rsid w:val="00D07FA0"/>
    <w:rsid w:val="00D102C7"/>
    <w:rsid w:val="00D115CC"/>
    <w:rsid w:val="00D1200E"/>
    <w:rsid w:val="00D12EEE"/>
    <w:rsid w:val="00D131D9"/>
    <w:rsid w:val="00D13C2E"/>
    <w:rsid w:val="00D147F5"/>
    <w:rsid w:val="00D15A27"/>
    <w:rsid w:val="00D15B08"/>
    <w:rsid w:val="00D15BBF"/>
    <w:rsid w:val="00D1623A"/>
    <w:rsid w:val="00D17A48"/>
    <w:rsid w:val="00D17C0C"/>
    <w:rsid w:val="00D17E15"/>
    <w:rsid w:val="00D202EB"/>
    <w:rsid w:val="00D20A25"/>
    <w:rsid w:val="00D20EC3"/>
    <w:rsid w:val="00D21D0D"/>
    <w:rsid w:val="00D23232"/>
    <w:rsid w:val="00D2329F"/>
    <w:rsid w:val="00D236E2"/>
    <w:rsid w:val="00D26589"/>
    <w:rsid w:val="00D26EA0"/>
    <w:rsid w:val="00D272B5"/>
    <w:rsid w:val="00D274F1"/>
    <w:rsid w:val="00D304EE"/>
    <w:rsid w:val="00D31374"/>
    <w:rsid w:val="00D3212C"/>
    <w:rsid w:val="00D3441D"/>
    <w:rsid w:val="00D348CC"/>
    <w:rsid w:val="00D349D5"/>
    <w:rsid w:val="00D34F32"/>
    <w:rsid w:val="00D351A9"/>
    <w:rsid w:val="00D35F98"/>
    <w:rsid w:val="00D3712D"/>
    <w:rsid w:val="00D403D8"/>
    <w:rsid w:val="00D40960"/>
    <w:rsid w:val="00D40DF3"/>
    <w:rsid w:val="00D41732"/>
    <w:rsid w:val="00D4243B"/>
    <w:rsid w:val="00D42D52"/>
    <w:rsid w:val="00D42E55"/>
    <w:rsid w:val="00D43822"/>
    <w:rsid w:val="00D43DB7"/>
    <w:rsid w:val="00D44E21"/>
    <w:rsid w:val="00D460DB"/>
    <w:rsid w:val="00D4664F"/>
    <w:rsid w:val="00D47D98"/>
    <w:rsid w:val="00D47F00"/>
    <w:rsid w:val="00D51CFD"/>
    <w:rsid w:val="00D5226D"/>
    <w:rsid w:val="00D5242D"/>
    <w:rsid w:val="00D5258B"/>
    <w:rsid w:val="00D54364"/>
    <w:rsid w:val="00D54B44"/>
    <w:rsid w:val="00D54CD1"/>
    <w:rsid w:val="00D5557C"/>
    <w:rsid w:val="00D5566C"/>
    <w:rsid w:val="00D55991"/>
    <w:rsid w:val="00D55A05"/>
    <w:rsid w:val="00D55FCD"/>
    <w:rsid w:val="00D56411"/>
    <w:rsid w:val="00D56FE1"/>
    <w:rsid w:val="00D5777C"/>
    <w:rsid w:val="00D57C9F"/>
    <w:rsid w:val="00D605CD"/>
    <w:rsid w:val="00D60B01"/>
    <w:rsid w:val="00D63667"/>
    <w:rsid w:val="00D63FB5"/>
    <w:rsid w:val="00D64131"/>
    <w:rsid w:val="00D644FF"/>
    <w:rsid w:val="00D6542A"/>
    <w:rsid w:val="00D65B44"/>
    <w:rsid w:val="00D65D44"/>
    <w:rsid w:val="00D70111"/>
    <w:rsid w:val="00D7048B"/>
    <w:rsid w:val="00D713CF"/>
    <w:rsid w:val="00D71ACF"/>
    <w:rsid w:val="00D71B65"/>
    <w:rsid w:val="00D7200D"/>
    <w:rsid w:val="00D72489"/>
    <w:rsid w:val="00D72B57"/>
    <w:rsid w:val="00D735DD"/>
    <w:rsid w:val="00D73A99"/>
    <w:rsid w:val="00D73B29"/>
    <w:rsid w:val="00D749CC"/>
    <w:rsid w:val="00D75044"/>
    <w:rsid w:val="00D752C4"/>
    <w:rsid w:val="00D75823"/>
    <w:rsid w:val="00D76123"/>
    <w:rsid w:val="00D767CF"/>
    <w:rsid w:val="00D76A81"/>
    <w:rsid w:val="00D77988"/>
    <w:rsid w:val="00D77A0C"/>
    <w:rsid w:val="00D8052A"/>
    <w:rsid w:val="00D80632"/>
    <w:rsid w:val="00D82E43"/>
    <w:rsid w:val="00D83D6A"/>
    <w:rsid w:val="00D84911"/>
    <w:rsid w:val="00D8525A"/>
    <w:rsid w:val="00D8530D"/>
    <w:rsid w:val="00D85A55"/>
    <w:rsid w:val="00D86AAE"/>
    <w:rsid w:val="00D86B1D"/>
    <w:rsid w:val="00D87223"/>
    <w:rsid w:val="00D87640"/>
    <w:rsid w:val="00D8771E"/>
    <w:rsid w:val="00D909CE"/>
    <w:rsid w:val="00D9160A"/>
    <w:rsid w:val="00D91A03"/>
    <w:rsid w:val="00D93B76"/>
    <w:rsid w:val="00D93F3C"/>
    <w:rsid w:val="00D942FF"/>
    <w:rsid w:val="00D951CA"/>
    <w:rsid w:val="00D9523C"/>
    <w:rsid w:val="00D953D2"/>
    <w:rsid w:val="00D95995"/>
    <w:rsid w:val="00D9624A"/>
    <w:rsid w:val="00D96911"/>
    <w:rsid w:val="00D96C6C"/>
    <w:rsid w:val="00D96E77"/>
    <w:rsid w:val="00D973E8"/>
    <w:rsid w:val="00D974C8"/>
    <w:rsid w:val="00D97793"/>
    <w:rsid w:val="00DA00C5"/>
    <w:rsid w:val="00DA09C0"/>
    <w:rsid w:val="00DA0D58"/>
    <w:rsid w:val="00DA0DF4"/>
    <w:rsid w:val="00DA1936"/>
    <w:rsid w:val="00DA25A8"/>
    <w:rsid w:val="00DA482C"/>
    <w:rsid w:val="00DA4A0B"/>
    <w:rsid w:val="00DA695F"/>
    <w:rsid w:val="00DA6D5F"/>
    <w:rsid w:val="00DA6FBB"/>
    <w:rsid w:val="00DA7959"/>
    <w:rsid w:val="00DB0E60"/>
    <w:rsid w:val="00DB0EC5"/>
    <w:rsid w:val="00DB1C60"/>
    <w:rsid w:val="00DB2C0C"/>
    <w:rsid w:val="00DB4B08"/>
    <w:rsid w:val="00DB5331"/>
    <w:rsid w:val="00DB67D6"/>
    <w:rsid w:val="00DB6AAD"/>
    <w:rsid w:val="00DB6FD8"/>
    <w:rsid w:val="00DB7495"/>
    <w:rsid w:val="00DC0089"/>
    <w:rsid w:val="00DC0C3F"/>
    <w:rsid w:val="00DC0C9E"/>
    <w:rsid w:val="00DC0E61"/>
    <w:rsid w:val="00DC1F6D"/>
    <w:rsid w:val="00DC316C"/>
    <w:rsid w:val="00DC4F59"/>
    <w:rsid w:val="00DC4F6A"/>
    <w:rsid w:val="00DC50B4"/>
    <w:rsid w:val="00DC5F61"/>
    <w:rsid w:val="00DC62D3"/>
    <w:rsid w:val="00DC6381"/>
    <w:rsid w:val="00DC67A4"/>
    <w:rsid w:val="00DC6C24"/>
    <w:rsid w:val="00DC6C55"/>
    <w:rsid w:val="00DC6E88"/>
    <w:rsid w:val="00DC7072"/>
    <w:rsid w:val="00DC7722"/>
    <w:rsid w:val="00DC799C"/>
    <w:rsid w:val="00DC7F16"/>
    <w:rsid w:val="00DD1337"/>
    <w:rsid w:val="00DD1C39"/>
    <w:rsid w:val="00DD2212"/>
    <w:rsid w:val="00DD2259"/>
    <w:rsid w:val="00DD2A21"/>
    <w:rsid w:val="00DD2DB7"/>
    <w:rsid w:val="00DD2FF3"/>
    <w:rsid w:val="00DD3C8F"/>
    <w:rsid w:val="00DD4A43"/>
    <w:rsid w:val="00DD5077"/>
    <w:rsid w:val="00DD52EB"/>
    <w:rsid w:val="00DD5584"/>
    <w:rsid w:val="00DD60CA"/>
    <w:rsid w:val="00DD62DE"/>
    <w:rsid w:val="00DD742E"/>
    <w:rsid w:val="00DD7F92"/>
    <w:rsid w:val="00DE1552"/>
    <w:rsid w:val="00DE1CDA"/>
    <w:rsid w:val="00DE29C1"/>
    <w:rsid w:val="00DE29E4"/>
    <w:rsid w:val="00DE34EE"/>
    <w:rsid w:val="00DE46B3"/>
    <w:rsid w:val="00DE553A"/>
    <w:rsid w:val="00DE6194"/>
    <w:rsid w:val="00DE6518"/>
    <w:rsid w:val="00DE6C03"/>
    <w:rsid w:val="00DE7C45"/>
    <w:rsid w:val="00DF12E7"/>
    <w:rsid w:val="00DF18C7"/>
    <w:rsid w:val="00DF3F45"/>
    <w:rsid w:val="00DF5812"/>
    <w:rsid w:val="00DF5A9E"/>
    <w:rsid w:val="00DF61D9"/>
    <w:rsid w:val="00DF63A3"/>
    <w:rsid w:val="00DF669C"/>
    <w:rsid w:val="00DF789B"/>
    <w:rsid w:val="00E01192"/>
    <w:rsid w:val="00E02153"/>
    <w:rsid w:val="00E02B45"/>
    <w:rsid w:val="00E0394C"/>
    <w:rsid w:val="00E03997"/>
    <w:rsid w:val="00E056A7"/>
    <w:rsid w:val="00E06896"/>
    <w:rsid w:val="00E070D8"/>
    <w:rsid w:val="00E07E61"/>
    <w:rsid w:val="00E1033B"/>
    <w:rsid w:val="00E1044D"/>
    <w:rsid w:val="00E113C5"/>
    <w:rsid w:val="00E11D80"/>
    <w:rsid w:val="00E12AC1"/>
    <w:rsid w:val="00E13246"/>
    <w:rsid w:val="00E13C47"/>
    <w:rsid w:val="00E13CFB"/>
    <w:rsid w:val="00E144C5"/>
    <w:rsid w:val="00E15984"/>
    <w:rsid w:val="00E15DB3"/>
    <w:rsid w:val="00E15EE6"/>
    <w:rsid w:val="00E16EC1"/>
    <w:rsid w:val="00E1746F"/>
    <w:rsid w:val="00E207A6"/>
    <w:rsid w:val="00E21168"/>
    <w:rsid w:val="00E21900"/>
    <w:rsid w:val="00E228A3"/>
    <w:rsid w:val="00E23281"/>
    <w:rsid w:val="00E2358B"/>
    <w:rsid w:val="00E23A99"/>
    <w:rsid w:val="00E2474A"/>
    <w:rsid w:val="00E254C8"/>
    <w:rsid w:val="00E25D2A"/>
    <w:rsid w:val="00E26D2B"/>
    <w:rsid w:val="00E26D38"/>
    <w:rsid w:val="00E27A5C"/>
    <w:rsid w:val="00E30D49"/>
    <w:rsid w:val="00E30EA3"/>
    <w:rsid w:val="00E33149"/>
    <w:rsid w:val="00E3332E"/>
    <w:rsid w:val="00E33FC7"/>
    <w:rsid w:val="00E347E7"/>
    <w:rsid w:val="00E34BCD"/>
    <w:rsid w:val="00E35353"/>
    <w:rsid w:val="00E36530"/>
    <w:rsid w:val="00E36856"/>
    <w:rsid w:val="00E36BD4"/>
    <w:rsid w:val="00E40007"/>
    <w:rsid w:val="00E40926"/>
    <w:rsid w:val="00E4142C"/>
    <w:rsid w:val="00E42111"/>
    <w:rsid w:val="00E421B8"/>
    <w:rsid w:val="00E43868"/>
    <w:rsid w:val="00E43DEB"/>
    <w:rsid w:val="00E45EF4"/>
    <w:rsid w:val="00E471BD"/>
    <w:rsid w:val="00E50E66"/>
    <w:rsid w:val="00E50FA8"/>
    <w:rsid w:val="00E52145"/>
    <w:rsid w:val="00E53396"/>
    <w:rsid w:val="00E549C1"/>
    <w:rsid w:val="00E55D86"/>
    <w:rsid w:val="00E56421"/>
    <w:rsid w:val="00E56511"/>
    <w:rsid w:val="00E56E12"/>
    <w:rsid w:val="00E574A1"/>
    <w:rsid w:val="00E603AF"/>
    <w:rsid w:val="00E61088"/>
    <w:rsid w:val="00E617A1"/>
    <w:rsid w:val="00E6193E"/>
    <w:rsid w:val="00E622D7"/>
    <w:rsid w:val="00E630EC"/>
    <w:rsid w:val="00E633EF"/>
    <w:rsid w:val="00E6344B"/>
    <w:rsid w:val="00E638DB"/>
    <w:rsid w:val="00E639EC"/>
    <w:rsid w:val="00E64F0B"/>
    <w:rsid w:val="00E671A9"/>
    <w:rsid w:val="00E6753D"/>
    <w:rsid w:val="00E67869"/>
    <w:rsid w:val="00E67F3B"/>
    <w:rsid w:val="00E709A6"/>
    <w:rsid w:val="00E70B16"/>
    <w:rsid w:val="00E70F2C"/>
    <w:rsid w:val="00E7256F"/>
    <w:rsid w:val="00E729AB"/>
    <w:rsid w:val="00E729C2"/>
    <w:rsid w:val="00E7313F"/>
    <w:rsid w:val="00E73562"/>
    <w:rsid w:val="00E75983"/>
    <w:rsid w:val="00E75A93"/>
    <w:rsid w:val="00E808DB"/>
    <w:rsid w:val="00E81F3D"/>
    <w:rsid w:val="00E82029"/>
    <w:rsid w:val="00E820F5"/>
    <w:rsid w:val="00E828A5"/>
    <w:rsid w:val="00E82AF2"/>
    <w:rsid w:val="00E82BA2"/>
    <w:rsid w:val="00E82E0B"/>
    <w:rsid w:val="00E83372"/>
    <w:rsid w:val="00E836C2"/>
    <w:rsid w:val="00E83CCC"/>
    <w:rsid w:val="00E8449E"/>
    <w:rsid w:val="00E84A0F"/>
    <w:rsid w:val="00E84CDE"/>
    <w:rsid w:val="00E855D8"/>
    <w:rsid w:val="00E85B2A"/>
    <w:rsid w:val="00E863A6"/>
    <w:rsid w:val="00E90BC8"/>
    <w:rsid w:val="00E91789"/>
    <w:rsid w:val="00E92663"/>
    <w:rsid w:val="00E953AD"/>
    <w:rsid w:val="00E95D28"/>
    <w:rsid w:val="00E96E68"/>
    <w:rsid w:val="00EA0C73"/>
    <w:rsid w:val="00EA1B56"/>
    <w:rsid w:val="00EA2CB0"/>
    <w:rsid w:val="00EA5E1D"/>
    <w:rsid w:val="00EA5F19"/>
    <w:rsid w:val="00EA61CB"/>
    <w:rsid w:val="00EA661D"/>
    <w:rsid w:val="00EA7001"/>
    <w:rsid w:val="00EA7280"/>
    <w:rsid w:val="00EA77A5"/>
    <w:rsid w:val="00EB14DA"/>
    <w:rsid w:val="00EB2088"/>
    <w:rsid w:val="00EB256E"/>
    <w:rsid w:val="00EB39A1"/>
    <w:rsid w:val="00EB3C00"/>
    <w:rsid w:val="00EB4633"/>
    <w:rsid w:val="00EB6F24"/>
    <w:rsid w:val="00EB75D5"/>
    <w:rsid w:val="00EC027C"/>
    <w:rsid w:val="00EC07E4"/>
    <w:rsid w:val="00EC0C2D"/>
    <w:rsid w:val="00EC0D96"/>
    <w:rsid w:val="00EC0F0E"/>
    <w:rsid w:val="00EC19A6"/>
    <w:rsid w:val="00EC3684"/>
    <w:rsid w:val="00EC50A8"/>
    <w:rsid w:val="00EC54A6"/>
    <w:rsid w:val="00EC581C"/>
    <w:rsid w:val="00EC68FA"/>
    <w:rsid w:val="00EC7C69"/>
    <w:rsid w:val="00ED0443"/>
    <w:rsid w:val="00ED0881"/>
    <w:rsid w:val="00ED16F2"/>
    <w:rsid w:val="00ED1BF0"/>
    <w:rsid w:val="00ED2233"/>
    <w:rsid w:val="00ED2785"/>
    <w:rsid w:val="00ED2EEB"/>
    <w:rsid w:val="00ED36BC"/>
    <w:rsid w:val="00ED3DCB"/>
    <w:rsid w:val="00ED5427"/>
    <w:rsid w:val="00ED6130"/>
    <w:rsid w:val="00ED6593"/>
    <w:rsid w:val="00ED6DC5"/>
    <w:rsid w:val="00ED76DA"/>
    <w:rsid w:val="00ED7721"/>
    <w:rsid w:val="00ED7981"/>
    <w:rsid w:val="00ED7B34"/>
    <w:rsid w:val="00EE109D"/>
    <w:rsid w:val="00EE589D"/>
    <w:rsid w:val="00EE58AF"/>
    <w:rsid w:val="00EE5D11"/>
    <w:rsid w:val="00EE5F9A"/>
    <w:rsid w:val="00EE708A"/>
    <w:rsid w:val="00EE762C"/>
    <w:rsid w:val="00EF0121"/>
    <w:rsid w:val="00EF1B14"/>
    <w:rsid w:val="00EF238A"/>
    <w:rsid w:val="00EF2F35"/>
    <w:rsid w:val="00EF37EE"/>
    <w:rsid w:val="00EF3D7E"/>
    <w:rsid w:val="00EF56E0"/>
    <w:rsid w:val="00EF5804"/>
    <w:rsid w:val="00EF5DB0"/>
    <w:rsid w:val="00F00B60"/>
    <w:rsid w:val="00F019DE"/>
    <w:rsid w:val="00F01C57"/>
    <w:rsid w:val="00F029B2"/>
    <w:rsid w:val="00F063D3"/>
    <w:rsid w:val="00F0711E"/>
    <w:rsid w:val="00F07240"/>
    <w:rsid w:val="00F078B5"/>
    <w:rsid w:val="00F07AF9"/>
    <w:rsid w:val="00F11B76"/>
    <w:rsid w:val="00F122CC"/>
    <w:rsid w:val="00F12641"/>
    <w:rsid w:val="00F1312E"/>
    <w:rsid w:val="00F13B05"/>
    <w:rsid w:val="00F13E18"/>
    <w:rsid w:val="00F141B5"/>
    <w:rsid w:val="00F14EE3"/>
    <w:rsid w:val="00F16EA2"/>
    <w:rsid w:val="00F174E2"/>
    <w:rsid w:val="00F21374"/>
    <w:rsid w:val="00F21618"/>
    <w:rsid w:val="00F21EAA"/>
    <w:rsid w:val="00F23462"/>
    <w:rsid w:val="00F23CA0"/>
    <w:rsid w:val="00F24324"/>
    <w:rsid w:val="00F26CFC"/>
    <w:rsid w:val="00F3164E"/>
    <w:rsid w:val="00F31FE0"/>
    <w:rsid w:val="00F326F7"/>
    <w:rsid w:val="00F34AFB"/>
    <w:rsid w:val="00F37577"/>
    <w:rsid w:val="00F3766F"/>
    <w:rsid w:val="00F400F0"/>
    <w:rsid w:val="00F41B6B"/>
    <w:rsid w:val="00F431D4"/>
    <w:rsid w:val="00F43C69"/>
    <w:rsid w:val="00F44D4E"/>
    <w:rsid w:val="00F4632C"/>
    <w:rsid w:val="00F471D3"/>
    <w:rsid w:val="00F47AB6"/>
    <w:rsid w:val="00F47EAD"/>
    <w:rsid w:val="00F50C4A"/>
    <w:rsid w:val="00F50CDE"/>
    <w:rsid w:val="00F52097"/>
    <w:rsid w:val="00F54E49"/>
    <w:rsid w:val="00F55D43"/>
    <w:rsid w:val="00F561F9"/>
    <w:rsid w:val="00F60130"/>
    <w:rsid w:val="00F6095B"/>
    <w:rsid w:val="00F6097D"/>
    <w:rsid w:val="00F62B3B"/>
    <w:rsid w:val="00F62DFF"/>
    <w:rsid w:val="00F6317D"/>
    <w:rsid w:val="00F63369"/>
    <w:rsid w:val="00F6337D"/>
    <w:rsid w:val="00F63BB9"/>
    <w:rsid w:val="00F64309"/>
    <w:rsid w:val="00F649B2"/>
    <w:rsid w:val="00F64E29"/>
    <w:rsid w:val="00F65D3D"/>
    <w:rsid w:val="00F65DA2"/>
    <w:rsid w:val="00F66B9D"/>
    <w:rsid w:val="00F67B60"/>
    <w:rsid w:val="00F706BD"/>
    <w:rsid w:val="00F70C25"/>
    <w:rsid w:val="00F70FC4"/>
    <w:rsid w:val="00F72AF7"/>
    <w:rsid w:val="00F73021"/>
    <w:rsid w:val="00F73733"/>
    <w:rsid w:val="00F747BA"/>
    <w:rsid w:val="00F7563D"/>
    <w:rsid w:val="00F75D1A"/>
    <w:rsid w:val="00F75D36"/>
    <w:rsid w:val="00F7620E"/>
    <w:rsid w:val="00F7668A"/>
    <w:rsid w:val="00F76E94"/>
    <w:rsid w:val="00F8007C"/>
    <w:rsid w:val="00F817BF"/>
    <w:rsid w:val="00F82C93"/>
    <w:rsid w:val="00F84B32"/>
    <w:rsid w:val="00F84BCB"/>
    <w:rsid w:val="00F84C8E"/>
    <w:rsid w:val="00F85E5F"/>
    <w:rsid w:val="00F8604E"/>
    <w:rsid w:val="00F87EFC"/>
    <w:rsid w:val="00F914A8"/>
    <w:rsid w:val="00F9222A"/>
    <w:rsid w:val="00F93E61"/>
    <w:rsid w:val="00F94FB6"/>
    <w:rsid w:val="00F9556B"/>
    <w:rsid w:val="00F96137"/>
    <w:rsid w:val="00F96B50"/>
    <w:rsid w:val="00F96EDE"/>
    <w:rsid w:val="00F97096"/>
    <w:rsid w:val="00F97FD3"/>
    <w:rsid w:val="00FA0812"/>
    <w:rsid w:val="00FA3FF5"/>
    <w:rsid w:val="00FA4F1F"/>
    <w:rsid w:val="00FA4FBA"/>
    <w:rsid w:val="00FA630C"/>
    <w:rsid w:val="00FA66A3"/>
    <w:rsid w:val="00FA6D5B"/>
    <w:rsid w:val="00FA765D"/>
    <w:rsid w:val="00FB0A3F"/>
    <w:rsid w:val="00FB2173"/>
    <w:rsid w:val="00FB21B3"/>
    <w:rsid w:val="00FB2ACF"/>
    <w:rsid w:val="00FB3272"/>
    <w:rsid w:val="00FB36A2"/>
    <w:rsid w:val="00FB3992"/>
    <w:rsid w:val="00FB408D"/>
    <w:rsid w:val="00FB47C1"/>
    <w:rsid w:val="00FB4E80"/>
    <w:rsid w:val="00FB5FBC"/>
    <w:rsid w:val="00FB6F1C"/>
    <w:rsid w:val="00FB71A8"/>
    <w:rsid w:val="00FB73DE"/>
    <w:rsid w:val="00FB7536"/>
    <w:rsid w:val="00FB7E78"/>
    <w:rsid w:val="00FC031C"/>
    <w:rsid w:val="00FC0A08"/>
    <w:rsid w:val="00FC112D"/>
    <w:rsid w:val="00FC1708"/>
    <w:rsid w:val="00FC21BF"/>
    <w:rsid w:val="00FC2902"/>
    <w:rsid w:val="00FC2BA0"/>
    <w:rsid w:val="00FC3BF4"/>
    <w:rsid w:val="00FC4C95"/>
    <w:rsid w:val="00FC5313"/>
    <w:rsid w:val="00FC5DAB"/>
    <w:rsid w:val="00FC66C8"/>
    <w:rsid w:val="00FD12F5"/>
    <w:rsid w:val="00FD1C62"/>
    <w:rsid w:val="00FD4F55"/>
    <w:rsid w:val="00FD579B"/>
    <w:rsid w:val="00FD79FE"/>
    <w:rsid w:val="00FD7C7F"/>
    <w:rsid w:val="00FE0ABE"/>
    <w:rsid w:val="00FE0D7D"/>
    <w:rsid w:val="00FE1583"/>
    <w:rsid w:val="00FE158C"/>
    <w:rsid w:val="00FE1B65"/>
    <w:rsid w:val="00FE3A22"/>
    <w:rsid w:val="00FE42F7"/>
    <w:rsid w:val="00FE4B44"/>
    <w:rsid w:val="00FE6758"/>
    <w:rsid w:val="00FE6D0A"/>
    <w:rsid w:val="00FE7154"/>
    <w:rsid w:val="00FE7288"/>
    <w:rsid w:val="00FE7456"/>
    <w:rsid w:val="00FE7580"/>
    <w:rsid w:val="00FE75BA"/>
    <w:rsid w:val="00FF02AE"/>
    <w:rsid w:val="00FF03E3"/>
    <w:rsid w:val="00FF06A1"/>
    <w:rsid w:val="00FF15CE"/>
    <w:rsid w:val="00FF2445"/>
    <w:rsid w:val="00FF2607"/>
    <w:rsid w:val="00FF51C7"/>
    <w:rsid w:val="00FF63BB"/>
    <w:rsid w:val="00FF6972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64C4E"/>
  <w15:docId w15:val="{AE1919A5-403E-470C-8D66-38EB6FDA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EF5"/>
    <w:pPr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50E0"/>
    <w:pPr>
      <w:keepNext/>
      <w:numPr>
        <w:numId w:val="3"/>
      </w:numPr>
      <w:ind w:left="414" w:hanging="57"/>
      <w:jc w:val="center"/>
      <w:outlineLvl w:val="0"/>
    </w:pPr>
    <w:rPr>
      <w:b/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5653"/>
    <w:pPr>
      <w:numPr>
        <w:numId w:val="5"/>
      </w:numPr>
      <w:outlineLvl w:val="1"/>
    </w:pPr>
    <w:rPr>
      <w:rFonts w:eastAsiaTheme="majorEastAsia" w:cstheme="majorBidi"/>
      <w:color w:val="auto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5653"/>
    <w:pPr>
      <w:numPr>
        <w:numId w:val="6"/>
      </w:numPr>
      <w:outlineLvl w:val="2"/>
    </w:pPr>
    <w:rPr>
      <w:rFonts w:eastAsiaTheme="majorEastAsia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066C"/>
    <w:pPr>
      <w:keepNext/>
      <w:keepLines/>
      <w:numPr>
        <w:numId w:val="7"/>
      </w:numPr>
      <w:outlineLvl w:val="3"/>
    </w:pPr>
    <w:rPr>
      <w:rFonts w:eastAsiaTheme="majorEastAsia" w:cstheme="majorBidi"/>
      <w:b/>
      <w:i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3724"/>
    <w:rPr>
      <w:b/>
      <w:bCs/>
    </w:rPr>
  </w:style>
  <w:style w:type="table" w:styleId="Mkatabulky">
    <w:name w:val="Table Grid"/>
    <w:basedOn w:val="Normlntabulka"/>
    <w:uiPriority w:val="39"/>
    <w:rsid w:val="00AB3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Nad,Nadpis pro KZ,odrážky,List Paragraph_0,List Paragraph_1,List Paragraph_2,Odstavec se seznamem1,Odstavec se seznamem2,můj Nadpis 2,List Paragraph,Odstavec cíl se seznamem,Odstavec_muj,Odstavec se seznamem5,_Odstavec se seznamem"/>
    <w:basedOn w:val="Normln"/>
    <w:link w:val="OdstavecseseznamemChar"/>
    <w:uiPriority w:val="34"/>
    <w:qFormat/>
    <w:rsid w:val="00AB3724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rážky Char,List Paragraph_0 Char,List Paragraph_1 Char,List Paragraph_2 Char,Odstavec se seznamem1 Char,Odstavec se seznamem2 Char,můj Nadpis 2 Char,List Paragraph Char,Odstavec_muj Char"/>
    <w:link w:val="Odstavecseseznamem"/>
    <w:uiPriority w:val="34"/>
    <w:qFormat/>
    <w:rsid w:val="00AB3724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18">
    <w:name w:val="Pa18"/>
    <w:basedOn w:val="Normln"/>
    <w:next w:val="Normln"/>
    <w:uiPriority w:val="99"/>
    <w:rsid w:val="00AB3724"/>
    <w:pPr>
      <w:autoSpaceDE w:val="0"/>
      <w:autoSpaceDN w:val="0"/>
      <w:adjustRightInd w:val="0"/>
      <w:spacing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AB3724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AB3724"/>
    <w:pPr>
      <w:autoSpaceDE w:val="0"/>
      <w:autoSpaceDN w:val="0"/>
      <w:adjustRightInd w:val="0"/>
      <w:spacing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Nadpis1Char">
    <w:name w:val="Nadpis 1 Char"/>
    <w:basedOn w:val="Standardnpsmoodstavce"/>
    <w:link w:val="Nadpis1"/>
    <w:rsid w:val="00B750E0"/>
    <w:rPr>
      <w:rFonts w:ascii="Calibri" w:eastAsia="Times New Roman" w:hAnsi="Calibri" w:cs="Calibri"/>
      <w:b/>
      <w:bCs/>
      <w:color w:val="00000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55653"/>
    <w:rPr>
      <w:rFonts w:ascii="Calibri" w:eastAsiaTheme="majorEastAsia" w:hAnsi="Calibri" w:cstheme="majorBidi"/>
      <w:sz w:val="24"/>
      <w:szCs w:val="26"/>
    </w:rPr>
  </w:style>
  <w:style w:type="paragraph" w:styleId="Textpoznpodarou">
    <w:name w:val="footnote text"/>
    <w:aliases w:val="Boston 10,Font: Geneva 9,Fußnotentextf,Geneva 9,Podrozdzia3,Podrozdział,Schriftart: 10 pt,Schriftart: 8 pt,Schriftart: 9 pt,Text poznámky pod čiarou 007,f,pozn. pod čarou,Char Char,Char,Char Char Char1,Char1,Text pozn. pod čarou1,fn"/>
    <w:basedOn w:val="Normln"/>
    <w:link w:val="TextpoznpodarouChar"/>
    <w:uiPriority w:val="99"/>
    <w:unhideWhenUsed/>
    <w:qFormat/>
    <w:rsid w:val="00D0493E"/>
    <w:pPr>
      <w:jc w:val="left"/>
    </w:pPr>
    <w:rPr>
      <w:rFonts w:cs="Times New Roman"/>
      <w:color w:val="auto"/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Podrozdzia3 Char,Podrozdział Char,Schriftart: 10 pt Char,Schriftart: 8 pt Char,Schriftart: 9 pt Char,Text poznámky pod čiarou 007 Char,f Char,Char Char Char"/>
    <w:basedOn w:val="Standardnpsmoodstavce"/>
    <w:link w:val="Textpoznpodarou"/>
    <w:uiPriority w:val="99"/>
    <w:qFormat/>
    <w:rsid w:val="00D0493E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aliases w:val="12 b.,Footnote,PGI Fußnote Ziffer,PGI Fußnote Ziffer + Times New Roman,Zúžené o ...,Appel note de bas de p,Appel note de bas de page,BVI fnr,Char Car Car Car Car,Footnote Reference Superscript,Footnote call,Footnote symbol,Légende"/>
    <w:basedOn w:val="Standardnpsmoodstavce"/>
    <w:link w:val="BVIfnrCharChar"/>
    <w:uiPriority w:val="99"/>
    <w:unhideWhenUsed/>
    <w:qFormat/>
    <w:rsid w:val="00D0493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671A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B7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06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605"/>
    <w:rPr>
      <w:rFonts w:ascii="Calibri" w:eastAsia="Times New Roman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nhideWhenUsed/>
    <w:rsid w:val="005706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605"/>
    <w:rPr>
      <w:rFonts w:ascii="Calibri" w:eastAsia="Times New Roman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B1C6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D7F9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lang w:eastAsia="cs-CZ"/>
    </w:rPr>
  </w:style>
  <w:style w:type="character" w:customStyle="1" w:styleId="A1">
    <w:name w:val="A1"/>
    <w:uiPriority w:val="99"/>
    <w:rsid w:val="00A50168"/>
    <w:rPr>
      <w:color w:val="000000"/>
      <w:sz w:val="28"/>
      <w:szCs w:val="28"/>
    </w:rPr>
  </w:style>
  <w:style w:type="character" w:customStyle="1" w:styleId="A4">
    <w:name w:val="A4"/>
    <w:uiPriority w:val="99"/>
    <w:rsid w:val="00A50168"/>
    <w:rPr>
      <w:color w:val="000000"/>
      <w:sz w:val="60"/>
      <w:szCs w:val="60"/>
    </w:rPr>
  </w:style>
  <w:style w:type="character" w:customStyle="1" w:styleId="A5">
    <w:name w:val="A5"/>
    <w:uiPriority w:val="99"/>
    <w:rsid w:val="00A50168"/>
    <w:rPr>
      <w:b/>
      <w:bCs/>
      <w:color w:val="000000"/>
      <w:sz w:val="40"/>
      <w:szCs w:val="40"/>
    </w:rPr>
  </w:style>
  <w:style w:type="paragraph" w:customStyle="1" w:styleId="Default">
    <w:name w:val="Default"/>
    <w:rsid w:val="00393D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Bodytext2">
    <w:name w:val="Body text|2_"/>
    <w:basedOn w:val="Standardnpsmoodstavce"/>
    <w:link w:val="Bodytext20"/>
    <w:rsid w:val="00930F3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930F39"/>
    <w:pPr>
      <w:widowControl w:val="0"/>
      <w:shd w:val="clear" w:color="auto" w:fill="FFFFFF"/>
      <w:spacing w:after="4560" w:line="206" w:lineRule="exact"/>
      <w:ind w:hanging="360"/>
      <w:jc w:val="left"/>
    </w:pPr>
    <w:rPr>
      <w:rFonts w:eastAsia="Calibri"/>
      <w:color w:val="auto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755653"/>
    <w:rPr>
      <w:rFonts w:ascii="Calibri" w:eastAsiaTheme="majorEastAsia" w:hAnsi="Calibri" w:cstheme="majorBidi"/>
      <w:color w:val="000000" w:themeColor="text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34E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4E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4E93"/>
    <w:rPr>
      <w:rFonts w:ascii="Calibri" w:eastAsia="Times New Roman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E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E93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l4">
    <w:name w:val="l4"/>
    <w:basedOn w:val="Normln"/>
    <w:rsid w:val="00936D1B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cs-CZ"/>
    </w:rPr>
  </w:style>
  <w:style w:type="paragraph" w:customStyle="1" w:styleId="l5">
    <w:name w:val="l5"/>
    <w:basedOn w:val="Normln"/>
    <w:rsid w:val="00C37C38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C3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8C4B55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70066C"/>
    <w:rPr>
      <w:rFonts w:ascii="Calibri" w:eastAsiaTheme="majorEastAsia" w:hAnsi="Calibri" w:cstheme="majorBidi"/>
      <w:b/>
      <w:iCs/>
      <w:sz w:val="24"/>
      <w:szCs w:val="24"/>
      <w:u w:val="single"/>
    </w:rPr>
  </w:style>
  <w:style w:type="paragraph" w:customStyle="1" w:styleId="KZ-normln">
    <w:name w:val="KZ-normální"/>
    <w:basedOn w:val="Normln"/>
    <w:link w:val="KZ-normlnChar"/>
    <w:qFormat/>
    <w:rsid w:val="00883D9E"/>
    <w:pPr>
      <w:spacing w:before="120" w:after="120"/>
    </w:pPr>
    <w:rPr>
      <w:rFonts w:asciiTheme="minorHAnsi" w:hAnsiTheme="minorHAnsi" w:cs="Arial"/>
      <w:szCs w:val="22"/>
    </w:rPr>
  </w:style>
  <w:style w:type="character" w:customStyle="1" w:styleId="KZ-normlnChar">
    <w:name w:val="KZ-normální Char"/>
    <w:link w:val="KZ-normln"/>
    <w:rsid w:val="00883D9E"/>
    <w:rPr>
      <w:rFonts w:eastAsia="Times New Roman" w:cs="Arial"/>
      <w:color w:val="000000"/>
      <w:sz w:val="24"/>
    </w:rPr>
  </w:style>
  <w:style w:type="paragraph" w:styleId="Revize">
    <w:name w:val="Revision"/>
    <w:hidden/>
    <w:uiPriority w:val="99"/>
    <w:semiHidden/>
    <w:rsid w:val="003C63D6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Kalend2">
    <w:name w:val="Kalendář 2"/>
    <w:basedOn w:val="Normlntabulka"/>
    <w:uiPriority w:val="99"/>
    <w:qFormat/>
    <w:rsid w:val="00C83D5F"/>
    <w:pPr>
      <w:spacing w:after="0" w:line="240" w:lineRule="auto"/>
      <w:jc w:val="center"/>
    </w:pPr>
    <w:rPr>
      <w:rFonts w:eastAsiaTheme="minorEastAsia"/>
      <w:sz w:val="28"/>
      <w:szCs w:val="28"/>
      <w:lang w:eastAsia="cs-CZ"/>
    </w:rPr>
    <w:tblPr>
      <w:tblBorders>
        <w:insideV w:val="single" w:sz="4" w:space="0" w:color="76DCCE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2EB3A1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cimalAligned">
    <w:name w:val="Decimal Aligned"/>
    <w:basedOn w:val="Normln"/>
    <w:uiPriority w:val="40"/>
    <w:qFormat/>
    <w:rsid w:val="00C83D5F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color w:val="auto"/>
      <w:sz w:val="22"/>
      <w:szCs w:val="22"/>
      <w:lang w:eastAsia="cs-CZ"/>
    </w:rPr>
  </w:style>
  <w:style w:type="character" w:styleId="Zdraznnjemn">
    <w:name w:val="Subtle Emphasis"/>
    <w:basedOn w:val="Standardnpsmoodstavce"/>
    <w:uiPriority w:val="19"/>
    <w:qFormat/>
    <w:rsid w:val="00C83D5F"/>
    <w:rPr>
      <w:i/>
      <w:iCs/>
    </w:rPr>
  </w:style>
  <w:style w:type="table" w:styleId="Svtlstnovnzvraznn1">
    <w:name w:val="Light Shading Accent 1"/>
    <w:basedOn w:val="Normlntabulka"/>
    <w:uiPriority w:val="60"/>
    <w:rsid w:val="00C83D5F"/>
    <w:pPr>
      <w:spacing w:after="0" w:line="240" w:lineRule="auto"/>
    </w:pPr>
    <w:rPr>
      <w:rFonts w:eastAsiaTheme="minorEastAsia"/>
      <w:color w:val="228578" w:themeColor="accent1" w:themeShade="BF"/>
      <w:lang w:eastAsia="cs-CZ"/>
    </w:rPr>
    <w:tblPr>
      <w:tblStyleRowBandSize w:val="1"/>
      <w:tblStyleColBandSize w:val="1"/>
      <w:tblBorders>
        <w:top w:val="single" w:sz="8" w:space="0" w:color="2EB3A1" w:themeColor="accent1"/>
        <w:bottom w:val="single" w:sz="8" w:space="0" w:color="2EB3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B3A1" w:themeColor="accent1"/>
          <w:left w:val="nil"/>
          <w:bottom w:val="single" w:sz="8" w:space="0" w:color="2EB3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B3A1" w:themeColor="accent1"/>
          <w:left w:val="nil"/>
          <w:bottom w:val="single" w:sz="8" w:space="0" w:color="2EB3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F0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F0EA" w:themeFill="accent1" w:themeFillTint="3F"/>
      </w:tcPr>
    </w:tblStylePr>
  </w:style>
  <w:style w:type="table" w:styleId="Stednseznam2zvraznn1">
    <w:name w:val="Medium List 2 Accent 1"/>
    <w:basedOn w:val="Normlntabulka"/>
    <w:uiPriority w:val="66"/>
    <w:rsid w:val="00C83D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2EB3A1" w:themeColor="accent1"/>
        <w:left w:val="single" w:sz="8" w:space="0" w:color="2EB3A1" w:themeColor="accent1"/>
        <w:bottom w:val="single" w:sz="8" w:space="0" w:color="2EB3A1" w:themeColor="accent1"/>
        <w:right w:val="single" w:sz="8" w:space="0" w:color="2EB3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B3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B3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B3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B3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F0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F0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A72D35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justice.cz/ias/ui/rejstrik-$firma?p%3A%3Asubmit=x&amp;.%2Frejstrik-%24firma=&amp;nazev=&amp;ico=11762&amp;obec=&amp;ulice=&amp;forma=&amp;oddil=&amp;vlozka=&amp;soud=&amp;polozek=50&amp;typHledani=STARTS_WITH&amp;jenPlatne=PLATNE&amp;typHledaniSpolku=ALL" TargetMode="External"/><Relationship Id="rId18" Type="http://schemas.openxmlformats.org/officeDocument/2006/relationships/hyperlink" Target="https://or.justice.cz/ias/ui/rejstrik-$firma?p%3A%3Asubmit=x&amp;.%2Frejstrik-%24firma=&amp;nazev=&amp;ico=2691&amp;obec=&amp;ulice=&amp;forma=&amp;oddil=&amp;vlozka=&amp;soud=&amp;polozek=50&amp;typHledani=STARTS_WITH&amp;jenPlatne=VSECHNY&amp;typHledaniSpolku=ALL" TargetMode="External"/><Relationship Id="rId26" Type="http://schemas.openxmlformats.org/officeDocument/2006/relationships/hyperlink" Target="https://or.justice.cz/ias/ui/rejstrik-$firma?p%3A%3Asubmit=x&amp;.%2Frejstrik-%24firma=&amp;nazev=&amp;ico=15415&amp;obec=&amp;ulice=&amp;forma=&amp;oddil=&amp;vlozka=&amp;soud=&amp;polozek=50&amp;typHledani=STARTS_WITH&amp;jenPlatne=VSECHNY&amp;typHledaniSpolku=ALL" TargetMode="External"/><Relationship Id="rId39" Type="http://schemas.openxmlformats.org/officeDocument/2006/relationships/hyperlink" Target="https://or.justice.cz/ias/ui/rejstrik-$firma?p%3A%3Asubmit=x&amp;.%2Frejstrik-%24firma=&amp;nazev=&amp;ico=488992&amp;obec=&amp;ulice=&amp;forma=&amp;oddil=&amp;vlozka=&amp;soud=&amp;polozek=50&amp;typHledani=STARTS_WITH&amp;jenPlatne=PLATNE&amp;typHledaniSpolku=ALL" TargetMode="External"/><Relationship Id="rId21" Type="http://schemas.openxmlformats.org/officeDocument/2006/relationships/hyperlink" Target="https://or.justice.cz/ias/ui/rejstrik-$firma?p%3A%3Asubmit=x&amp;.%2Frejstrik-%24firma=&amp;nazev=&amp;ico=9563&amp;obec=&amp;ulice=&amp;forma=&amp;oddil=&amp;vlozka=&amp;soud=&amp;polozek=50&amp;typHledani=STARTS_WITH&amp;jenPlatne=VSECHNY&amp;typHledaniSpolku=ALL" TargetMode="External"/><Relationship Id="rId34" Type="http://schemas.openxmlformats.org/officeDocument/2006/relationships/hyperlink" Target="https://or.justice.cz/ias/ui/rejstrik-$firma?p%3A%3Asubmit=x&amp;.%2Frejstrik-%24firma=&amp;nazev=&amp;ico=212172&amp;obec=&amp;ulice=&amp;forma=&amp;oddil=&amp;vlozka=&amp;soud=&amp;polozek=50&amp;typHledani=STARTS_WITH&amp;jenPlatne=PLATNE&amp;typHledaniSpolku=ALL" TargetMode="External"/><Relationship Id="rId42" Type="http://schemas.openxmlformats.org/officeDocument/2006/relationships/hyperlink" Target="https://or.justice.cz/ias/ui/rejstrik-$firma?p%3A%3Asubmit=x&amp;.%2Frejstrik-%24firma=&amp;nazev=&amp;ico=13642090&amp;obec=&amp;ulice=&amp;forma=&amp;oddil=&amp;vlozka=&amp;soud=&amp;polozek=50&amp;typHledani=STARTS_WITH&amp;jenPlatne=VSECHNY&amp;typHledaniSpolku=AL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r.justice.cz/ias/ui/rejstrik-$firma?p%3A%3Asubmit=x&amp;.%2Frejstrik-%24firma=&amp;nazev=&amp;ico=12343&amp;obec=&amp;ulice=&amp;forma=&amp;oddil=&amp;vlozka=&amp;soud=&amp;polozek=50&amp;typHledani=STARTS_WITH&amp;jenPlatne=PLATNE&amp;typHledaniSpolku=ALL" TargetMode="External"/><Relationship Id="rId29" Type="http://schemas.openxmlformats.org/officeDocument/2006/relationships/hyperlink" Target="https://or.justice.cz/ias/ui/rejstrik-$firma?p%3A%3Asubmit=x&amp;.%2Frejstrik-%24firma=&amp;nazev=&amp;ico=8184&amp;obec=&amp;ulice=&amp;forma=&amp;oddil=&amp;vlozka=&amp;soud=&amp;polozek=50&amp;typHledani=STARTS_WITH&amp;jenPlatne=PLATNE&amp;typHledaniSpolku=A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or.justice.cz/ias/ui/rejstrik-$firma?p%3A%3Asubmit=x&amp;.%2Frejstrik-%24firma=&amp;nazev=&amp;ico=664073&amp;obec=&amp;ulice=&amp;forma=&amp;oddil=&amp;vlozka=&amp;soud=&amp;polozek=50&amp;typHledani=STARTS_WITH&amp;jenPlatne=PLATNE&amp;typHledaniSpolku=ALL" TargetMode="External"/><Relationship Id="rId32" Type="http://schemas.openxmlformats.org/officeDocument/2006/relationships/hyperlink" Target="https://or.justice.cz/ias/ui/rejstrik-$firma?p%3A%3Asubmit=x&amp;.%2Frejstrik-%24firma=&amp;nazev=&amp;ico=16616&amp;obec=&amp;ulice=&amp;forma=&amp;oddil=&amp;vlozka=&amp;soud=&amp;polozek=50&amp;typHledani=STARTS_WITH&amp;jenPlatne=VSECHNY&amp;typHledaniSpolku=ALL" TargetMode="External"/><Relationship Id="rId37" Type="http://schemas.openxmlformats.org/officeDocument/2006/relationships/hyperlink" Target="https://or.justice.cz/ias/ui/rejstrik-$firma?p%3A%3Asubmit=x&amp;.%2Frejstrik-%24firma=&amp;nazev=&amp;ico=16918&amp;obec=&amp;ulice=&amp;forma=&amp;oddil=&amp;vlozka=&amp;soud=&amp;polozek=50&amp;typHledani=STARTS_WITH&amp;jenPlatne=PLATNE&amp;typHledaniSpolku=ALL" TargetMode="External"/><Relationship Id="rId40" Type="http://schemas.openxmlformats.org/officeDocument/2006/relationships/hyperlink" Target="https://or.justice.cz/ias/ui/rejstrik-$firma?p%3A%3Asubmit=x&amp;.%2Frejstrik-%24firma=&amp;nazev=&amp;ico=135607&amp;obec=&amp;ulice=&amp;forma=&amp;oddil=&amp;vlozka=&amp;soud=&amp;polozek=50&amp;typHledani=STARTS_WITH&amp;jenPlatne=VSECHNY&amp;typHledaniSpolku=ALL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r.justice.cz/ias/ui/rejstrik-$firma?p%3A%3Asubmit=x&amp;.%2Frejstrik-%24firma=&amp;nazev=&amp;ico=15296&amp;obec=&amp;ulice=&amp;forma=&amp;oddil=&amp;vlozka=&amp;soud=&amp;polozek=50&amp;typHledani=STARTS_WITH&amp;jenPlatne=PLATNE&amp;typHledaniSpolku=ALL" TargetMode="External"/><Relationship Id="rId23" Type="http://schemas.openxmlformats.org/officeDocument/2006/relationships/hyperlink" Target="https://or.justice.cz/ias/ui/rejstrik-$firma?p%3A%3Asubmit=x&amp;.%2Frejstrik-%24firma=&amp;nazev=&amp;ico=157325&amp;obec=&amp;ulice=&amp;forma=&amp;oddil=&amp;vlozka=&amp;soud=&amp;polozek=50&amp;typHledani=STARTS_WITH&amp;jenPlatne=VSECHNY&amp;typHledaniSpolku=ALL" TargetMode="External"/><Relationship Id="rId28" Type="http://schemas.openxmlformats.org/officeDocument/2006/relationships/hyperlink" Target="https://or.justice.cz/ias/ui/rejstrik-$firma?p%3A%3Asubmit=x&amp;.%2Frejstrik-%24firma=&amp;nazev=&amp;ico=2321&amp;obec=&amp;ulice=&amp;forma=&amp;oddil=&amp;vlozka=&amp;soud=&amp;polozek=50&amp;typHledani=STARTS_WITH&amp;jenPlatne=PLATNE&amp;typHledaniSpolku=ALL" TargetMode="External"/><Relationship Id="rId36" Type="http://schemas.openxmlformats.org/officeDocument/2006/relationships/hyperlink" Target="https://or.justice.cz/ias/ui/rejstrik-$firma?p%3A%3Asubmit=x&amp;.%2Frejstrik-%24firma=&amp;nazev=&amp;ico=119521&amp;obec=&amp;ulice=&amp;forma=&amp;oddil=&amp;vlozka=&amp;soud=&amp;polozek=50&amp;typHledani=STARTS_WITH&amp;jenPlatne=PLATNE&amp;typHledaniSpolku=AL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r.justice.cz/ias/ui/rejstrik-$firma?p%3A%3Asubmit=x&amp;.%2Frejstrik-%24firma=&amp;nazev=&amp;ico=14079&amp;obec=&amp;ulice=&amp;forma=&amp;oddil=&amp;vlozka=&amp;soud=&amp;polozek=50&amp;typHledani=STARTS_WITH&amp;jenPlatne=PLATNE&amp;typHledaniSpolku=ALL" TargetMode="External"/><Relationship Id="rId31" Type="http://schemas.openxmlformats.org/officeDocument/2006/relationships/hyperlink" Target="https://or.justice.cz/ias/ui/rejstrik-$firma?p%3A%3Asubmit=x&amp;.%2Frejstrik-%24firma=&amp;nazev=&amp;ico=16187&amp;obec=&amp;ulice=&amp;forma=&amp;oddil=&amp;vlozka=&amp;soud=&amp;polozek=50&amp;typHledani=STARTS_WITH&amp;jenPlatne=VSECHNY&amp;typHledaniSpolku=ALL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.justice.cz/ias/ui/rejstrik-$firma?p%3A%3Asubmit=x&amp;.%2Frejstrik-%24firma=&amp;nazev=&amp;ico=12033&amp;obec=&amp;ulice=&amp;forma=&amp;oddil=&amp;vlozka=&amp;soud=&amp;polozek=50&amp;typHledani=STARTS_WITH&amp;jenPlatne=VSECHNY&amp;typHledaniSpolku=ALL" TargetMode="External"/><Relationship Id="rId22" Type="http://schemas.openxmlformats.org/officeDocument/2006/relationships/hyperlink" Target="https://or.justice.cz/ias/ui/rejstrik-$firma?p%3A%3Asubmit=x&amp;.%2Frejstrik-%24firma=&amp;nazev=&amp;ico=157287&amp;obec=&amp;ulice=&amp;forma=&amp;oddil=&amp;vlozka=&amp;soud=&amp;polozek=50&amp;typHledani=STARTS_WITH&amp;jenPlatne=VSECHNY&amp;typHledaniSpolku=ALL" TargetMode="External"/><Relationship Id="rId27" Type="http://schemas.openxmlformats.org/officeDocument/2006/relationships/hyperlink" Target="https://or.justice.cz/ias/ui/rejstrik-$firma?p%3A%3Asubmit=x&amp;.%2Frejstrik-%24firma=&amp;nazev=&amp;ico=8141&amp;obec=&amp;ulice=&amp;forma=&amp;oddil=&amp;vlozka=&amp;soud=&amp;polozek=50&amp;typHledani=STARTS_WITH&amp;jenPlatne=VSECHNY&amp;typHledaniSpolku=ALL" TargetMode="External"/><Relationship Id="rId30" Type="http://schemas.openxmlformats.org/officeDocument/2006/relationships/hyperlink" Target="https://or.justice.cz/ias/ui/rejstrik-$firma?p%3A%3Asubmit=x&amp;.%2Frejstrik-%24firma=&amp;nazev=&amp;ico=17388&amp;obec=&amp;ulice=&amp;forma=&amp;oddil=&amp;vlozka=&amp;soud=&amp;polozek=50&amp;typHledani=STARTS_WITH&amp;jenPlatne=VSECHNY&amp;typHledaniSpolku=ALL" TargetMode="External"/><Relationship Id="rId35" Type="http://schemas.openxmlformats.org/officeDocument/2006/relationships/hyperlink" Target="https://or.justice.cz/ias/ui/rejstrik-$firma?p%3A%3Asubmit=x&amp;.%2Frejstrik-%24firma=&amp;nazev=&amp;ico=18382282&amp;obec=&amp;ulice=&amp;forma=&amp;oddil=&amp;vlozka=&amp;soud=&amp;polozek=50&amp;typHledani=STARTS_WITH&amp;jenPlatne=VSECHNY&amp;typHledaniSpolku=ALL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or.justice.cz/ias/ui/rejstrik-$firma?p%3A%3Asubmit=x&amp;.%2Frejstrik-%24firma=&amp;nazev=&amp;ico=15270&amp;obec=&amp;ulice=&amp;forma=&amp;oddil=&amp;vlozka=&amp;soud=&amp;polozek=50&amp;typHledani=STARTS_WITH&amp;jenPlatne=PLATNE&amp;typHledaniSpolku=ALL" TargetMode="External"/><Relationship Id="rId25" Type="http://schemas.openxmlformats.org/officeDocument/2006/relationships/hyperlink" Target="https://or.justice.cz/ias/ui/rejstrik-$firma?p%3A%3Asubmit=x&amp;.%2Frejstrik-%24firma=&amp;nazev=&amp;ico=15156&amp;obec=&amp;ulice=&amp;forma=&amp;oddil=&amp;vlozka=&amp;soud=&amp;polozek=50&amp;typHledani=STARTS_WITH&amp;jenPlatne=VSECHNY&amp;typHledaniSpolku=ALL" TargetMode="External"/><Relationship Id="rId33" Type="http://schemas.openxmlformats.org/officeDocument/2006/relationships/hyperlink" Target="https://or.justice.cz/ias/ui/rejstrik-$firma?p%3A%3Asubmit=x&amp;.%2Frejstrik-%24firma=&amp;nazev=&amp;ico=14868334&amp;obec=&amp;ulice=&amp;forma=&amp;oddil=&amp;vlozka=&amp;soud=&amp;polozek=50&amp;typHledani=STARTS_WITH&amp;jenPlatne=PLATNE&amp;typHledaniSpolku=ALL" TargetMode="External"/><Relationship Id="rId38" Type="http://schemas.openxmlformats.org/officeDocument/2006/relationships/hyperlink" Target="https://or.justice.cz/ias/ui/rejstrik-$firma?p%3A%3Asubmit=x&amp;.%2Frejstrik-%24firma=&amp;nazev=&amp;ico=132551&amp;obec=&amp;ulice=&amp;forma=&amp;oddil=&amp;vlozka=&amp;soud=&amp;polozek=50&amp;typHledani=STARTS_WITH&amp;jenPlatne=PLATNE&amp;typHledaniSpolku=ALL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or.justice.cz/ias/ui/rejstrik-$firma?p%3A%3Asubmit=x&amp;.%2Frejstrik-%24firma=&amp;nazev=&amp;ico=9334&amp;obec=&amp;ulice=&amp;forma=&amp;oddil=&amp;vlozka=&amp;soud=&amp;polozek=50&amp;typHledani=STARTS_WITH&amp;jenPlatne=VSECHNY&amp;typHledaniSpolku=ALL" TargetMode="External"/><Relationship Id="rId41" Type="http://schemas.openxmlformats.org/officeDocument/2006/relationships/hyperlink" Target="https://or.justice.cz/ias/ui/rejstrik-$firma?p%3A%3Asubmit=x&amp;.%2Frejstrik-%24firma=&amp;nazev=&amp;ico=00020656&amp;obec=&amp;ulice=&amp;forma=&amp;oddil=&amp;vlozka=&amp;soud=&amp;polozek=50&amp;typHledani=STARTS_WITH&amp;jenPlatne=VSECHNY&amp;typHledaniSpolku=AL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po.gov.cz/cz/rozcestnik/ministerstvo/o-ministerstvu/aplikace-zakona-c-77-1997-sb/metodicky-pokyn-ministerstva-prumyslu-a-obchodu-c--1-2021--259667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CHUDOBOVA\KA%2024_21%20(st&#225;tn&#237;%20podniky%20v%20likvidaci)\aKONTRON&#205;%20Z&#193;V&#282;R\KZ%20-%20pomocn&#23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468427143893209E-2"/>
          <c:y val="6.934732571144446E-2"/>
          <c:w val="0.92199365245979037"/>
          <c:h val="0.67631770203760389"/>
        </c:manualLayout>
      </c:layout>
      <c:lineChart>
        <c:grouping val="standard"/>
        <c:varyColors val="0"/>
        <c:ser>
          <c:idx val="0"/>
          <c:order val="0"/>
          <c:tx>
            <c:strRef>
              <c:f>'počet s.p.'!$B$50</c:f>
              <c:strCache>
                <c:ptCount val="1"/>
                <c:pt idx="0">
                  <c:v>MZe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'počet s.p.'!$C$49:$G$49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'počet s.p.'!$C$50:$G$50</c:f>
              <c:numCache>
                <c:formatCode>General</c:formatCode>
                <c:ptCount val="5"/>
                <c:pt idx="0">
                  <c:v>13</c:v>
                </c:pt>
                <c:pt idx="1">
                  <c:v>9</c:v>
                </c:pt>
                <c:pt idx="2">
                  <c:v>10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73-4055-997A-42806F8FC189}"/>
            </c:ext>
          </c:extLst>
        </c:ser>
        <c:ser>
          <c:idx val="1"/>
          <c:order val="1"/>
          <c:tx>
            <c:strRef>
              <c:f>'počet s.p.'!$B$51</c:f>
              <c:strCache>
                <c:ptCount val="1"/>
                <c:pt idx="0">
                  <c:v>MPO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'počet s.p.'!$C$49:$G$49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'počet s.p.'!$C$51:$G$51</c:f>
              <c:numCache>
                <c:formatCode>General</c:formatCode>
                <c:ptCount val="5"/>
                <c:pt idx="0">
                  <c:v>15</c:v>
                </c:pt>
                <c:pt idx="1">
                  <c:v>12</c:v>
                </c:pt>
                <c:pt idx="2">
                  <c:v>11</c:v>
                </c:pt>
                <c:pt idx="3">
                  <c:v>9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73-4055-997A-42806F8FC18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77521631"/>
        <c:axId val="1577524031"/>
      </c:lineChart>
      <c:catAx>
        <c:axId val="1577521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77524031"/>
        <c:crosses val="autoZero"/>
        <c:auto val="1"/>
        <c:lblAlgn val="ctr"/>
        <c:lblOffset val="100"/>
        <c:noMultiLvlLbl val="0"/>
      </c:catAx>
      <c:valAx>
        <c:axId val="157752403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775216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746882837895236"/>
          <c:y val="0.63564854611514177"/>
          <c:w val="0.26712998538394439"/>
          <c:h val="0.108901801938219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B3A1"/>
      </a:accent1>
      <a:accent2>
        <a:srgbClr val="FDC300"/>
      </a:accent2>
      <a:accent3>
        <a:srgbClr val="AF1953"/>
      </a:accent3>
      <a:accent4>
        <a:srgbClr val="9DD3C3"/>
      </a:accent4>
      <a:accent5>
        <a:srgbClr val="FFDB7C"/>
      </a:accent5>
      <a:accent6>
        <a:srgbClr val="CC7A8E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DC5C-83D1-41EA-9ECB-79BEAAECC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544D2-2867-406A-97EB-33A077FCB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BF207-80F3-4C2F-89F8-C50F492DDF8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4CA2B6-D0AB-4551-8162-97939830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8534</Words>
  <Characters>50356</Characters>
  <Application>Microsoft Office Word</Application>
  <DocSecurity>0</DocSecurity>
  <Lines>419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24/21 - Majetek a peněžní prostředky státu, se kterými mají právo hospodařit vybrané státní podniky v likvidaci v resortu Ministerstva průmyslu a obchodu a Ministerstva zemědělství</vt:lpstr>
    </vt:vector>
  </TitlesOfParts>
  <Company>NKU</Company>
  <LinksUpToDate>false</LinksUpToDate>
  <CharactersWithSpaces>58773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24/21 - Majetek a peněžní prostředky státu, se kterými mají právo hospodařit vybrané státní podniky v likvidaci v resortu Ministerstva průmyslu a obchodu a Ministerstva zemědělství</dc:title>
  <dc:subject>Kontrolní závěr z kontrolní akce NKÚ č. 24/21 - Majetek a peněžní prostředky státu, se kterými mají právo hospodařit vybrané státní podniky v likvidaci v resortu Ministerstva průmyslu a obchodu a Ministerstva zemědělství</dc:subject>
  <dc:creator>nku@NKU.cz</dc:creator>
  <cp:keywords>kontrolní závěr; státní podniky; Ministerstvo průmyslu a obchodu; MPO; Mnisterstvo zemědělství; MZe</cp:keywords>
  <dc:description/>
  <cp:lastModifiedBy>KOKRDA Daniel</cp:lastModifiedBy>
  <cp:revision>7</cp:revision>
  <cp:lastPrinted>2025-08-11T12:03:00Z</cp:lastPrinted>
  <dcterms:created xsi:type="dcterms:W3CDTF">2025-08-11T12:01:00Z</dcterms:created>
  <dcterms:modified xsi:type="dcterms:W3CDTF">2025-11-20T06:06:00Z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  <property fmtid="{D5CDD505-2E9C-101B-9397-08002B2CF9AE}" pid="3" name="ClassificationContentMarkingFooterShapeIds">
    <vt:lpwstr>b75c484,20fe4560,e27c574</vt:lpwstr>
  </property>
  <property fmtid="{D5CDD505-2E9C-101B-9397-08002B2CF9AE}" pid="4" name="ClassificationContentMarkingFooterFontProps">
    <vt:lpwstr>#828282,12,Calibri</vt:lpwstr>
  </property>
  <property fmtid="{D5CDD505-2E9C-101B-9397-08002B2CF9AE}" pid="5" name="ClassificationContentMarkingFooterText">
    <vt:lpwstr>TLP:CLEAR</vt:lpwstr>
  </property>
  <property fmtid="{D5CDD505-2E9C-101B-9397-08002B2CF9AE}" pid="6" name="MSIP_Label_2a5ca00b-f9dd-452b-9d75-e1b2c69cf7c5_Enabled">
    <vt:lpwstr>true</vt:lpwstr>
  </property>
  <property fmtid="{D5CDD505-2E9C-101B-9397-08002B2CF9AE}" pid="7" name="MSIP_Label_2a5ca00b-f9dd-452b-9d75-e1b2c69cf7c5_SetDate">
    <vt:lpwstr>2025-08-06T10:56:23Z</vt:lpwstr>
  </property>
  <property fmtid="{D5CDD505-2E9C-101B-9397-08002B2CF9AE}" pid="8" name="MSIP_Label_2a5ca00b-f9dd-452b-9d75-e1b2c69cf7c5_Method">
    <vt:lpwstr>Privileged</vt:lpwstr>
  </property>
  <property fmtid="{D5CDD505-2E9C-101B-9397-08002B2CF9AE}" pid="9" name="MSIP_Label_2a5ca00b-f9dd-452b-9d75-e1b2c69cf7c5_Name">
    <vt:lpwstr>Nízká</vt:lpwstr>
  </property>
  <property fmtid="{D5CDD505-2E9C-101B-9397-08002B2CF9AE}" pid="10" name="MSIP_Label_2a5ca00b-f9dd-452b-9d75-e1b2c69cf7c5_SiteId">
    <vt:lpwstr>e6d36204-fa0a-4bdb-9b60-80f84bb090cf</vt:lpwstr>
  </property>
  <property fmtid="{D5CDD505-2E9C-101B-9397-08002B2CF9AE}" pid="11" name="MSIP_Label_2a5ca00b-f9dd-452b-9d75-e1b2c69cf7c5_ActionId">
    <vt:lpwstr>2fadadb3-4e61-41dc-b513-9aab85a565e5</vt:lpwstr>
  </property>
  <property fmtid="{D5CDD505-2E9C-101B-9397-08002B2CF9AE}" pid="12" name="MSIP_Label_2a5ca00b-f9dd-452b-9d75-e1b2c69cf7c5_ContentBits">
    <vt:lpwstr>2</vt:lpwstr>
  </property>
  <property fmtid="{D5CDD505-2E9C-101B-9397-08002B2CF9AE}" pid="13" name="MSIP_Label_2a5ca00b-f9dd-452b-9d75-e1b2c69cf7c5_Tag">
    <vt:lpwstr>10, 0, 1, 1</vt:lpwstr>
  </property>
</Properties>
</file>