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DD37" w14:textId="77777777" w:rsidR="00291417" w:rsidRPr="004920C6" w:rsidRDefault="00E869D5" w:rsidP="00291417">
      <w:pPr>
        <w:spacing w:after="0"/>
        <w:jc w:val="center"/>
      </w:pPr>
      <w:r w:rsidRPr="004920C6">
        <w:rPr>
          <w:noProof/>
        </w:rPr>
        <w:drawing>
          <wp:inline distT="0" distB="0" distL="0" distR="0" wp14:anchorId="65A14558" wp14:editId="76EE2C30">
            <wp:extent cx="827405" cy="713740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1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7553A2" w14:textId="77777777" w:rsidR="00291417" w:rsidRPr="004920C6" w:rsidRDefault="00291417" w:rsidP="00291417">
      <w:pPr>
        <w:spacing w:after="0"/>
        <w:jc w:val="center"/>
      </w:pPr>
    </w:p>
    <w:p w14:paraId="6B1657B9" w14:textId="77777777" w:rsidR="00291417" w:rsidRPr="004920C6" w:rsidRDefault="00291417" w:rsidP="00291417">
      <w:pPr>
        <w:spacing w:after="0"/>
        <w:jc w:val="center"/>
      </w:pPr>
    </w:p>
    <w:p w14:paraId="5330475F" w14:textId="77777777" w:rsidR="00291417" w:rsidRPr="004920C6" w:rsidRDefault="00291417" w:rsidP="00291417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4920C6">
        <w:rPr>
          <w:rFonts w:asciiTheme="minorHAnsi" w:eastAsiaTheme="minorHAnsi" w:hAnsiTheme="minorHAnsi" w:cstheme="minorHAnsi"/>
          <w:b/>
          <w:sz w:val="28"/>
          <w:szCs w:val="28"/>
        </w:rPr>
        <w:t>Kontrolní závěr z kontrolní akce</w:t>
      </w:r>
    </w:p>
    <w:p w14:paraId="7E2EE864" w14:textId="77777777" w:rsidR="00031FF6" w:rsidRPr="004920C6" w:rsidRDefault="00031FF6" w:rsidP="00031FF6">
      <w:pPr>
        <w:spacing w:after="0"/>
        <w:jc w:val="center"/>
      </w:pPr>
    </w:p>
    <w:p w14:paraId="68963F35" w14:textId="12CF1834" w:rsidR="00EC3A0D" w:rsidRPr="004920C6" w:rsidRDefault="0000654C" w:rsidP="00031FF6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4920C6">
        <w:rPr>
          <w:rFonts w:asciiTheme="minorHAnsi" w:eastAsiaTheme="minorHAnsi" w:hAnsiTheme="minorHAnsi" w:cstheme="minorHAnsi"/>
          <w:b/>
          <w:sz w:val="28"/>
          <w:szCs w:val="28"/>
        </w:rPr>
        <w:t>2</w:t>
      </w:r>
      <w:r w:rsidR="00D262F1" w:rsidRPr="004920C6">
        <w:rPr>
          <w:rFonts w:asciiTheme="minorHAnsi" w:eastAsiaTheme="minorHAnsi" w:hAnsiTheme="minorHAnsi" w:cstheme="minorHAnsi"/>
          <w:b/>
          <w:sz w:val="28"/>
          <w:szCs w:val="28"/>
        </w:rPr>
        <w:t>4/20</w:t>
      </w:r>
    </w:p>
    <w:p w14:paraId="6703D042" w14:textId="77777777" w:rsidR="00031FF6" w:rsidRPr="004920C6" w:rsidRDefault="00031FF6" w:rsidP="00031FF6">
      <w:pPr>
        <w:spacing w:after="0"/>
        <w:jc w:val="center"/>
      </w:pPr>
    </w:p>
    <w:p w14:paraId="1859656C" w14:textId="759B7354" w:rsidR="00937A73" w:rsidRPr="004920C6" w:rsidRDefault="00D262F1" w:rsidP="00DB6C92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4920C6">
        <w:rPr>
          <w:rFonts w:cs="Calibri"/>
          <w:b/>
          <w:bCs/>
          <w:sz w:val="28"/>
          <w:szCs w:val="28"/>
          <w:lang w:eastAsia="cs-CZ"/>
        </w:rPr>
        <w:t xml:space="preserve">Závěrečný účet kapitoly státního rozpočtu </w:t>
      </w:r>
      <w:r w:rsidRPr="004920C6">
        <w:rPr>
          <w:rFonts w:cs="Calibri"/>
          <w:b/>
          <w:bCs/>
          <w:i/>
          <w:iCs/>
          <w:sz w:val="28"/>
          <w:szCs w:val="28"/>
          <w:lang w:eastAsia="cs-CZ"/>
        </w:rPr>
        <w:t xml:space="preserve">Ministerstvo </w:t>
      </w:r>
      <w:r w:rsidRPr="004920C6">
        <w:rPr>
          <w:rFonts w:cs="Calibri"/>
          <w:b/>
          <w:bCs/>
          <w:i/>
          <w:iCs/>
          <w:sz w:val="28"/>
          <w:szCs w:val="28"/>
        </w:rPr>
        <w:t>kultury</w:t>
      </w:r>
      <w:r w:rsidRPr="004920C6">
        <w:rPr>
          <w:rFonts w:cs="Calibri"/>
          <w:b/>
          <w:bCs/>
          <w:sz w:val="28"/>
          <w:szCs w:val="28"/>
        </w:rPr>
        <w:t xml:space="preserve"> </w:t>
      </w:r>
      <w:r w:rsidRPr="004920C6">
        <w:rPr>
          <w:rFonts w:cs="Calibri"/>
          <w:b/>
          <w:bCs/>
          <w:sz w:val="28"/>
          <w:szCs w:val="28"/>
          <w:lang w:eastAsia="cs-CZ"/>
        </w:rPr>
        <w:t>za rok 202</w:t>
      </w:r>
      <w:r w:rsidRPr="004920C6">
        <w:rPr>
          <w:rFonts w:cs="Calibri"/>
          <w:b/>
          <w:bCs/>
          <w:sz w:val="28"/>
          <w:szCs w:val="28"/>
        </w:rPr>
        <w:t>4</w:t>
      </w:r>
      <w:r w:rsidRPr="004920C6">
        <w:rPr>
          <w:rFonts w:cs="Calibri"/>
          <w:b/>
          <w:bCs/>
          <w:sz w:val="28"/>
          <w:szCs w:val="28"/>
          <w:lang w:eastAsia="cs-CZ"/>
        </w:rPr>
        <w:t xml:space="preserve">, účetní závěrka Ministerstva </w:t>
      </w:r>
      <w:r w:rsidRPr="004920C6">
        <w:rPr>
          <w:rFonts w:cs="Calibri"/>
          <w:b/>
          <w:bCs/>
          <w:sz w:val="28"/>
          <w:szCs w:val="28"/>
        </w:rPr>
        <w:t xml:space="preserve">kultury za rok 2024 </w:t>
      </w:r>
      <w:r w:rsidRPr="004920C6">
        <w:rPr>
          <w:rFonts w:cs="Calibri"/>
          <w:b/>
          <w:bCs/>
          <w:sz w:val="28"/>
          <w:szCs w:val="28"/>
          <w:lang w:eastAsia="cs-CZ"/>
        </w:rPr>
        <w:t xml:space="preserve">a údaje předkládané Ministerstvem </w:t>
      </w:r>
      <w:r w:rsidRPr="004920C6">
        <w:rPr>
          <w:rFonts w:cs="Calibri"/>
          <w:b/>
          <w:bCs/>
          <w:sz w:val="28"/>
          <w:szCs w:val="28"/>
        </w:rPr>
        <w:t xml:space="preserve">kultury </w:t>
      </w:r>
      <w:r w:rsidRPr="004920C6">
        <w:rPr>
          <w:rFonts w:cs="Calibri"/>
          <w:b/>
          <w:bCs/>
          <w:sz w:val="28"/>
          <w:szCs w:val="28"/>
          <w:lang w:eastAsia="cs-CZ"/>
        </w:rPr>
        <w:t>pro hodnocení plnění státního rozpočtu za rok 202</w:t>
      </w:r>
      <w:r w:rsidRPr="004920C6">
        <w:rPr>
          <w:rFonts w:cs="Calibri"/>
          <w:b/>
          <w:bCs/>
          <w:sz w:val="28"/>
          <w:szCs w:val="28"/>
        </w:rPr>
        <w:t>4</w:t>
      </w:r>
    </w:p>
    <w:p w14:paraId="389493DC" w14:textId="77777777" w:rsidR="00937A73" w:rsidRPr="004920C6" w:rsidRDefault="00937A73" w:rsidP="00031FF6">
      <w:pPr>
        <w:spacing w:after="0"/>
        <w:jc w:val="both"/>
      </w:pPr>
    </w:p>
    <w:p w14:paraId="36F93E88" w14:textId="77777777" w:rsidR="00E86085" w:rsidRPr="004920C6" w:rsidRDefault="00E86085" w:rsidP="00031FF6">
      <w:pPr>
        <w:spacing w:after="0"/>
        <w:jc w:val="both"/>
      </w:pPr>
    </w:p>
    <w:p w14:paraId="12E0B88F" w14:textId="547EC9D8" w:rsidR="00EC3A0D" w:rsidRPr="004920C6" w:rsidRDefault="00DB6C92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</w:rPr>
        <w:t>Kontrolní akce</w:t>
      </w:r>
      <w:r w:rsidR="000377B3" w:rsidRPr="004920C6">
        <w:rPr>
          <w:rFonts w:asciiTheme="minorHAnsi" w:eastAsiaTheme="minorHAnsi" w:hAnsiTheme="minorHAnsi" w:cstheme="minorHAnsi"/>
        </w:rPr>
        <w:t xml:space="preserve"> </w:t>
      </w:r>
      <w:r w:rsidRPr="004920C6">
        <w:rPr>
          <w:rFonts w:asciiTheme="minorHAnsi" w:eastAsiaTheme="minorHAnsi" w:hAnsiTheme="minorHAnsi" w:cstheme="minorHAnsi"/>
        </w:rPr>
        <w:t xml:space="preserve">byla zařazena do plánu kontrolní činnosti Nejvyššího kontrolního úřadu (dále </w:t>
      </w:r>
      <w:r w:rsidR="007D50B9" w:rsidRPr="004920C6">
        <w:rPr>
          <w:rFonts w:asciiTheme="minorHAnsi" w:eastAsiaTheme="minorHAnsi" w:hAnsiTheme="minorHAnsi" w:cstheme="minorHAnsi"/>
        </w:rPr>
        <w:t>také</w:t>
      </w:r>
      <w:r w:rsidRPr="004920C6">
        <w:rPr>
          <w:rFonts w:asciiTheme="minorHAnsi" w:eastAsiaTheme="minorHAnsi" w:hAnsiTheme="minorHAnsi" w:cstheme="minorHAnsi"/>
        </w:rPr>
        <w:t xml:space="preserve"> „NKÚ“) na rok </w:t>
      </w:r>
      <w:r w:rsidR="0000654C" w:rsidRPr="004920C6">
        <w:rPr>
          <w:rFonts w:asciiTheme="minorHAnsi" w:eastAsiaTheme="minorHAnsi" w:hAnsiTheme="minorHAnsi" w:cstheme="minorHAnsi"/>
        </w:rPr>
        <w:t>202</w:t>
      </w:r>
      <w:r w:rsidR="00D262F1" w:rsidRPr="004920C6">
        <w:rPr>
          <w:rFonts w:asciiTheme="minorHAnsi" w:eastAsiaTheme="minorHAnsi" w:hAnsiTheme="minorHAnsi" w:cstheme="minorHAnsi"/>
        </w:rPr>
        <w:t>4</w:t>
      </w:r>
      <w:r w:rsidR="0000654C" w:rsidRPr="004920C6">
        <w:rPr>
          <w:rFonts w:asciiTheme="minorHAnsi" w:eastAsiaTheme="minorHAnsi" w:hAnsiTheme="minorHAnsi" w:cstheme="minorHAnsi"/>
        </w:rPr>
        <w:t xml:space="preserve"> pod číslem 2</w:t>
      </w:r>
      <w:r w:rsidR="00D262F1" w:rsidRPr="004920C6">
        <w:rPr>
          <w:rFonts w:asciiTheme="minorHAnsi" w:eastAsiaTheme="minorHAnsi" w:hAnsiTheme="minorHAnsi" w:cstheme="minorHAnsi"/>
        </w:rPr>
        <w:t>4/20</w:t>
      </w:r>
      <w:r w:rsidRPr="004920C6">
        <w:rPr>
          <w:rFonts w:asciiTheme="minorHAnsi" w:eastAsiaTheme="minorHAnsi" w:hAnsiTheme="minorHAnsi" w:cstheme="minorHAnsi"/>
        </w:rPr>
        <w:t>. Kontrolní akci řídil</w:t>
      </w:r>
      <w:r w:rsidR="009D08EC" w:rsidRPr="004920C6">
        <w:rPr>
          <w:rFonts w:asciiTheme="minorHAnsi" w:eastAsiaTheme="minorHAnsi" w:hAnsiTheme="minorHAnsi" w:cstheme="minorHAnsi"/>
        </w:rPr>
        <w:t>a</w:t>
      </w:r>
      <w:r w:rsidRPr="004920C6">
        <w:rPr>
          <w:rFonts w:asciiTheme="minorHAnsi" w:eastAsiaTheme="minorHAnsi" w:hAnsiTheme="minorHAnsi" w:cstheme="minorHAnsi"/>
        </w:rPr>
        <w:t xml:space="preserve"> a</w:t>
      </w:r>
      <w:r w:rsidR="000E2690" w:rsidRPr="004920C6">
        <w:rPr>
          <w:rFonts w:asciiTheme="minorHAnsi" w:eastAsiaTheme="minorHAnsi" w:hAnsiTheme="minorHAnsi" w:cstheme="minorHAnsi"/>
        </w:rPr>
        <w:t> </w:t>
      </w:r>
      <w:r w:rsidRPr="004920C6">
        <w:rPr>
          <w:rFonts w:asciiTheme="minorHAnsi" w:eastAsiaTheme="minorHAnsi" w:hAnsiTheme="minorHAnsi" w:cstheme="minorHAnsi"/>
        </w:rPr>
        <w:t>kontrolní závěr vypracoval</w:t>
      </w:r>
      <w:r w:rsidR="009D08EC" w:rsidRPr="004920C6">
        <w:rPr>
          <w:rFonts w:asciiTheme="minorHAnsi" w:eastAsiaTheme="minorHAnsi" w:hAnsiTheme="minorHAnsi" w:cstheme="minorHAnsi"/>
        </w:rPr>
        <w:t>a</w:t>
      </w:r>
      <w:r w:rsidRPr="004920C6">
        <w:rPr>
          <w:rFonts w:asciiTheme="minorHAnsi" w:eastAsiaTheme="minorHAnsi" w:hAnsiTheme="minorHAnsi" w:cstheme="minorHAnsi"/>
        </w:rPr>
        <w:t xml:space="preserve"> člen</w:t>
      </w:r>
      <w:r w:rsidR="009D08EC" w:rsidRPr="004920C6">
        <w:rPr>
          <w:rFonts w:asciiTheme="minorHAnsi" w:eastAsiaTheme="minorHAnsi" w:hAnsiTheme="minorHAnsi" w:cstheme="minorHAnsi"/>
        </w:rPr>
        <w:t>ka</w:t>
      </w:r>
      <w:r w:rsidRPr="004920C6">
        <w:rPr>
          <w:rFonts w:asciiTheme="minorHAnsi" w:eastAsiaTheme="minorHAnsi" w:hAnsiTheme="minorHAnsi" w:cstheme="minorHAnsi"/>
        </w:rPr>
        <w:t xml:space="preserve"> NKÚ </w:t>
      </w:r>
      <w:r w:rsidR="00090AB0" w:rsidRPr="004920C6">
        <w:rPr>
          <w:rFonts w:asciiTheme="minorHAnsi" w:eastAsiaTheme="minorHAnsi" w:hAnsiTheme="minorHAnsi" w:cstheme="minorHAnsi"/>
        </w:rPr>
        <w:t>Ing.</w:t>
      </w:r>
      <w:r w:rsidR="009D08EC" w:rsidRPr="004920C6">
        <w:rPr>
          <w:rFonts w:asciiTheme="minorHAnsi" w:eastAsiaTheme="minorHAnsi" w:hAnsiTheme="minorHAnsi" w:cstheme="minorHAnsi"/>
        </w:rPr>
        <w:t xml:space="preserve"> Jaromíra </w:t>
      </w:r>
      <w:proofErr w:type="spellStart"/>
      <w:r w:rsidR="009D08EC" w:rsidRPr="004920C6">
        <w:rPr>
          <w:rFonts w:asciiTheme="minorHAnsi" w:eastAsiaTheme="minorHAnsi" w:hAnsiTheme="minorHAnsi" w:cstheme="minorHAnsi"/>
        </w:rPr>
        <w:t>Steidlová</w:t>
      </w:r>
      <w:proofErr w:type="spellEnd"/>
      <w:r w:rsidRPr="004920C6">
        <w:rPr>
          <w:rFonts w:asciiTheme="minorHAnsi" w:eastAsiaTheme="minorHAnsi" w:hAnsiTheme="minorHAnsi" w:cstheme="minorHAnsi"/>
        </w:rPr>
        <w:t>.</w:t>
      </w:r>
    </w:p>
    <w:p w14:paraId="5214EE8F" w14:textId="77777777" w:rsidR="00031FF6" w:rsidRPr="004920C6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0810CF07" w14:textId="38688D95" w:rsidR="00CC0706" w:rsidRPr="004920C6" w:rsidRDefault="00DB6C92" w:rsidP="00CC0706">
      <w:pPr>
        <w:spacing w:after="0"/>
        <w:jc w:val="both"/>
        <w:rPr>
          <w:rFonts w:asciiTheme="minorHAnsi" w:eastAsiaTheme="minorHAnsi" w:hAnsiTheme="minorHAnsi" w:cstheme="minorHAnsi"/>
          <w:bCs/>
        </w:rPr>
      </w:pPr>
      <w:r w:rsidRPr="004920C6">
        <w:rPr>
          <w:rFonts w:asciiTheme="minorHAnsi" w:eastAsiaTheme="minorHAnsi" w:hAnsiTheme="minorHAnsi" w:cstheme="minorHAnsi"/>
        </w:rPr>
        <w:t>Cílem kontroly bylo</w:t>
      </w:r>
      <w:r w:rsidR="00090AB0" w:rsidRPr="004920C6">
        <w:rPr>
          <w:rFonts w:asciiTheme="minorHAnsi" w:eastAsiaTheme="minorHAnsi" w:hAnsiTheme="minorHAnsi" w:cstheme="minorHAnsi"/>
        </w:rPr>
        <w:t xml:space="preserve"> prověřit, zda</w:t>
      </w:r>
      <w:r w:rsidR="00E50BB7" w:rsidRPr="004920C6">
        <w:rPr>
          <w:rFonts w:asciiTheme="minorHAnsi" w:eastAsiaTheme="minorHAnsi" w:hAnsiTheme="minorHAnsi" w:cstheme="minorHAnsi"/>
        </w:rPr>
        <w:t xml:space="preserve"> Ministerstvo kultury</w:t>
      </w:r>
      <w:r w:rsidR="00090AB0" w:rsidRPr="004920C6">
        <w:rPr>
          <w:rFonts w:asciiTheme="minorHAnsi" w:eastAsiaTheme="minorHAnsi" w:hAnsiTheme="minorHAnsi" w:cstheme="minorHAnsi"/>
        </w:rPr>
        <w:t xml:space="preserve"> při sestavení závěrečného účtu a při vedení účetnictví a sestavení účetní závěrky a předkládání údajů pro</w:t>
      </w:r>
      <w:r w:rsidR="006C672C" w:rsidRPr="004920C6">
        <w:rPr>
          <w:rFonts w:asciiTheme="minorHAnsi" w:eastAsiaTheme="minorHAnsi" w:hAnsiTheme="minorHAnsi" w:cstheme="minorHAnsi"/>
        </w:rPr>
        <w:t xml:space="preserve"> </w:t>
      </w:r>
      <w:r w:rsidR="00090AB0" w:rsidRPr="004920C6">
        <w:rPr>
          <w:rFonts w:asciiTheme="minorHAnsi" w:eastAsiaTheme="minorHAnsi" w:hAnsiTheme="minorHAnsi" w:cstheme="minorHAnsi"/>
        </w:rPr>
        <w:t>hodnocení plnění státního rozpočtu za rok 202</w:t>
      </w:r>
      <w:r w:rsidR="00E50BB7" w:rsidRPr="004920C6">
        <w:rPr>
          <w:rFonts w:asciiTheme="minorHAnsi" w:eastAsiaTheme="minorHAnsi" w:hAnsiTheme="minorHAnsi" w:cstheme="minorHAnsi"/>
        </w:rPr>
        <w:t>4</w:t>
      </w:r>
      <w:r w:rsidR="00090AB0" w:rsidRPr="004920C6">
        <w:rPr>
          <w:rFonts w:asciiTheme="minorHAnsi" w:eastAsiaTheme="minorHAnsi" w:hAnsiTheme="minorHAnsi" w:cstheme="minorHAnsi"/>
        </w:rPr>
        <w:t xml:space="preserve"> postupoval</w:t>
      </w:r>
      <w:r w:rsidR="00E50BB7" w:rsidRPr="004920C6">
        <w:rPr>
          <w:rFonts w:asciiTheme="minorHAnsi" w:eastAsiaTheme="minorHAnsi" w:hAnsiTheme="minorHAnsi" w:cstheme="minorHAnsi"/>
        </w:rPr>
        <w:t>o</w:t>
      </w:r>
      <w:r w:rsidR="00090AB0" w:rsidRPr="004920C6">
        <w:rPr>
          <w:rFonts w:asciiTheme="minorHAnsi" w:eastAsiaTheme="minorHAnsi" w:hAnsiTheme="minorHAnsi" w:cstheme="minorHAnsi"/>
        </w:rPr>
        <w:t xml:space="preserve"> v souladu s příslušnými právními předpisy.</w:t>
      </w:r>
    </w:p>
    <w:p w14:paraId="07E2E250" w14:textId="77777777" w:rsidR="00031FF6" w:rsidRPr="004920C6" w:rsidRDefault="00031FF6" w:rsidP="00031FF6">
      <w:pPr>
        <w:spacing w:after="0"/>
        <w:jc w:val="both"/>
        <w:rPr>
          <w:rFonts w:asciiTheme="minorHAnsi" w:eastAsiaTheme="minorHAnsi" w:hAnsiTheme="minorHAnsi" w:cstheme="minorHAnsi"/>
          <w:bCs/>
        </w:rPr>
      </w:pPr>
    </w:p>
    <w:p w14:paraId="2610D554" w14:textId="77777777" w:rsidR="00EC3A0D" w:rsidRPr="004920C6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  <w:b/>
        </w:rPr>
        <w:t>Kontrolovaná osoba:</w:t>
      </w:r>
    </w:p>
    <w:p w14:paraId="6ED4CF2E" w14:textId="1D2143BA" w:rsidR="00EC3A0D" w:rsidRPr="004920C6" w:rsidRDefault="00E50BB7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</w:rPr>
        <w:t>Ministerstvo kultury</w:t>
      </w:r>
      <w:r w:rsidR="009A214C" w:rsidRPr="004920C6">
        <w:rPr>
          <w:rFonts w:asciiTheme="minorHAnsi" w:eastAsiaTheme="minorHAnsi" w:hAnsiTheme="minorHAnsi" w:cstheme="minorHAnsi"/>
        </w:rPr>
        <w:t xml:space="preserve"> </w:t>
      </w:r>
      <w:r w:rsidR="00DB6C92" w:rsidRPr="004920C6">
        <w:rPr>
          <w:rFonts w:asciiTheme="minorHAnsi" w:eastAsiaTheme="minorHAnsi" w:hAnsiTheme="minorHAnsi" w:cstheme="minorHAnsi"/>
        </w:rPr>
        <w:t>(dále také „</w:t>
      </w:r>
      <w:r w:rsidRPr="004920C6">
        <w:rPr>
          <w:rFonts w:asciiTheme="minorHAnsi" w:eastAsiaTheme="minorHAnsi" w:hAnsiTheme="minorHAnsi" w:cstheme="minorHAnsi"/>
        </w:rPr>
        <w:t>MK</w:t>
      </w:r>
      <w:r w:rsidR="00DB6C92" w:rsidRPr="004920C6">
        <w:rPr>
          <w:rFonts w:asciiTheme="minorHAnsi" w:eastAsiaTheme="minorHAnsi" w:hAnsiTheme="minorHAnsi" w:cstheme="minorHAnsi"/>
        </w:rPr>
        <w:t>“).</w:t>
      </w:r>
    </w:p>
    <w:p w14:paraId="751D057A" w14:textId="77777777" w:rsidR="00031FF6" w:rsidRPr="004920C6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75681D91" w14:textId="1689CA44" w:rsidR="00EC3A0D" w:rsidRPr="004920C6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</w:rPr>
        <w:t xml:space="preserve">Kontrolováno bylo období roku </w:t>
      </w:r>
      <w:r w:rsidR="0000654C" w:rsidRPr="004920C6">
        <w:rPr>
          <w:rFonts w:asciiTheme="minorHAnsi" w:eastAsiaTheme="minorHAnsi" w:hAnsiTheme="minorHAnsi" w:cstheme="minorHAnsi"/>
        </w:rPr>
        <w:t>202</w:t>
      </w:r>
      <w:r w:rsidR="00B64D22" w:rsidRPr="004920C6">
        <w:rPr>
          <w:rFonts w:asciiTheme="minorHAnsi" w:eastAsiaTheme="minorHAnsi" w:hAnsiTheme="minorHAnsi" w:cstheme="minorHAnsi"/>
        </w:rPr>
        <w:t>4</w:t>
      </w:r>
      <w:r w:rsidR="004E3929" w:rsidRPr="004920C6">
        <w:rPr>
          <w:rFonts w:asciiTheme="minorHAnsi" w:eastAsiaTheme="minorHAnsi" w:hAnsiTheme="minorHAnsi" w:cstheme="minorHAnsi"/>
        </w:rPr>
        <w:t xml:space="preserve"> včetně</w:t>
      </w:r>
      <w:r w:rsidRPr="004920C6">
        <w:rPr>
          <w:rFonts w:asciiTheme="minorHAnsi" w:eastAsiaTheme="minorHAnsi" w:hAnsiTheme="minorHAnsi" w:cstheme="minorHAnsi"/>
        </w:rPr>
        <w:t xml:space="preserve"> související</w:t>
      </w:r>
      <w:r w:rsidR="004E3929" w:rsidRPr="004920C6">
        <w:rPr>
          <w:rFonts w:asciiTheme="minorHAnsi" w:eastAsiaTheme="minorHAnsi" w:hAnsiTheme="minorHAnsi" w:cstheme="minorHAnsi"/>
        </w:rPr>
        <w:t>ch</w:t>
      </w:r>
      <w:r w:rsidRPr="004920C6">
        <w:rPr>
          <w:rFonts w:asciiTheme="minorHAnsi" w:eastAsiaTheme="minorHAnsi" w:hAnsiTheme="minorHAnsi" w:cstheme="minorHAnsi"/>
        </w:rPr>
        <w:t xml:space="preserve"> skutečnost</w:t>
      </w:r>
      <w:r w:rsidR="004E3929" w:rsidRPr="004920C6">
        <w:rPr>
          <w:rFonts w:asciiTheme="minorHAnsi" w:eastAsiaTheme="minorHAnsi" w:hAnsiTheme="minorHAnsi" w:cstheme="minorHAnsi"/>
        </w:rPr>
        <w:t>í</w:t>
      </w:r>
      <w:r w:rsidRPr="004920C6">
        <w:rPr>
          <w:rFonts w:asciiTheme="minorHAnsi" w:eastAsiaTheme="minorHAnsi" w:hAnsiTheme="minorHAnsi" w:cstheme="minorHAnsi"/>
        </w:rPr>
        <w:t xml:space="preserve"> </w:t>
      </w:r>
      <w:r w:rsidRPr="004920C6">
        <w:rPr>
          <w:rFonts w:asciiTheme="minorHAnsi" w:eastAsiaTheme="minorHAnsi" w:hAnsiTheme="minorHAnsi" w:cstheme="minorHAnsi"/>
          <w:spacing w:val="-2"/>
        </w:rPr>
        <w:t>z let předchozích a roku následujícího</w:t>
      </w:r>
      <w:r w:rsidRPr="004920C6">
        <w:rPr>
          <w:rFonts w:asciiTheme="minorHAnsi" w:eastAsiaTheme="minorHAnsi" w:hAnsiTheme="minorHAnsi" w:cstheme="minorHAnsi"/>
        </w:rPr>
        <w:t>.</w:t>
      </w:r>
    </w:p>
    <w:p w14:paraId="36433472" w14:textId="77777777" w:rsidR="00031FF6" w:rsidRPr="004920C6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4B3FBB20" w14:textId="50241ADC" w:rsidR="00EC3A0D" w:rsidRPr="004920C6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</w:rPr>
        <w:t>Kontrola byla prováděna u kontrolované osoby v době od</w:t>
      </w:r>
      <w:r w:rsidR="00F946C1" w:rsidRPr="004920C6">
        <w:rPr>
          <w:rFonts w:asciiTheme="minorHAnsi" w:eastAsiaTheme="minorHAnsi" w:hAnsiTheme="minorHAnsi" w:cstheme="minorHAnsi"/>
        </w:rPr>
        <w:t xml:space="preserve"> </w:t>
      </w:r>
      <w:r w:rsidR="00090AB0" w:rsidRPr="004920C6">
        <w:rPr>
          <w:rFonts w:asciiTheme="minorHAnsi" w:eastAsiaTheme="minorHAnsi" w:hAnsiTheme="minorHAnsi" w:cstheme="minorHAnsi"/>
        </w:rPr>
        <w:t>srpna</w:t>
      </w:r>
      <w:r w:rsidR="005F2754" w:rsidRPr="004920C6">
        <w:rPr>
          <w:rFonts w:asciiTheme="minorHAnsi" w:eastAsiaTheme="minorHAnsi" w:hAnsiTheme="minorHAnsi" w:cstheme="minorHAnsi"/>
        </w:rPr>
        <w:t xml:space="preserve"> </w:t>
      </w:r>
      <w:r w:rsidR="0000654C" w:rsidRPr="004920C6">
        <w:rPr>
          <w:rFonts w:asciiTheme="minorHAnsi" w:eastAsiaTheme="minorHAnsi" w:hAnsiTheme="minorHAnsi" w:cstheme="minorHAnsi"/>
        </w:rPr>
        <w:t>202</w:t>
      </w:r>
      <w:r w:rsidR="00B64D22" w:rsidRPr="004920C6">
        <w:rPr>
          <w:rFonts w:asciiTheme="minorHAnsi" w:eastAsiaTheme="minorHAnsi" w:hAnsiTheme="minorHAnsi" w:cstheme="minorHAnsi"/>
        </w:rPr>
        <w:t>4</w:t>
      </w:r>
      <w:r w:rsidR="00DB6C92" w:rsidRPr="004920C6">
        <w:rPr>
          <w:rFonts w:asciiTheme="minorHAnsi" w:eastAsiaTheme="minorHAnsi" w:hAnsiTheme="minorHAnsi" w:cstheme="minorHAnsi"/>
        </w:rPr>
        <w:t xml:space="preserve"> do</w:t>
      </w:r>
      <w:r w:rsidR="00B64D22" w:rsidRPr="004920C6">
        <w:rPr>
          <w:rFonts w:asciiTheme="minorHAnsi" w:eastAsiaTheme="minorHAnsi" w:hAnsiTheme="minorHAnsi" w:cstheme="minorHAnsi"/>
        </w:rPr>
        <w:t xml:space="preserve"> května</w:t>
      </w:r>
      <w:r w:rsidR="00DB6C92" w:rsidRPr="004920C6">
        <w:rPr>
          <w:rFonts w:asciiTheme="minorHAnsi" w:eastAsiaTheme="minorHAnsi" w:hAnsiTheme="minorHAnsi" w:cstheme="minorHAnsi"/>
        </w:rPr>
        <w:t xml:space="preserve"> 202</w:t>
      </w:r>
      <w:r w:rsidR="00B64D22" w:rsidRPr="004920C6">
        <w:rPr>
          <w:rFonts w:asciiTheme="minorHAnsi" w:eastAsiaTheme="minorHAnsi" w:hAnsiTheme="minorHAnsi" w:cstheme="minorHAnsi"/>
        </w:rPr>
        <w:t>5</w:t>
      </w:r>
      <w:r w:rsidRPr="004920C6">
        <w:rPr>
          <w:rFonts w:asciiTheme="minorHAnsi" w:eastAsiaTheme="minorHAnsi" w:hAnsiTheme="minorHAnsi" w:cstheme="minorHAnsi"/>
        </w:rPr>
        <w:t>.</w:t>
      </w:r>
    </w:p>
    <w:p w14:paraId="66FA9FED" w14:textId="77777777" w:rsidR="00EC3A0D" w:rsidRPr="004920C6" w:rsidRDefault="00EC3A0D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37D6371E" w14:textId="77777777" w:rsidR="00031FF6" w:rsidRPr="004920C6" w:rsidRDefault="00031FF6" w:rsidP="00031FF6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300D4295" w14:textId="48F65E7E" w:rsidR="00EC3A0D" w:rsidRPr="004920C6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Kolegium</w:t>
      </w:r>
      <w:r w:rsidRPr="004920C6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4920C6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NKÚ</w:t>
      </w:r>
      <w:r w:rsidRPr="004920C6">
        <w:rPr>
          <w:rFonts w:asciiTheme="minorHAnsi" w:eastAsiaTheme="minorHAnsi" w:hAnsiTheme="minorHAnsi" w:cstheme="minorHAnsi"/>
        </w:rPr>
        <w:t xml:space="preserve">   na svém</w:t>
      </w:r>
      <w:r w:rsidR="00CC0706" w:rsidRPr="004920C6">
        <w:rPr>
          <w:rFonts w:asciiTheme="minorHAnsi" w:eastAsiaTheme="minorHAnsi" w:hAnsiTheme="minorHAnsi" w:cstheme="minorHAnsi"/>
        </w:rPr>
        <w:t xml:space="preserve"> </w:t>
      </w:r>
      <w:r w:rsidR="00B1093F">
        <w:rPr>
          <w:rFonts w:asciiTheme="minorHAnsi" w:eastAsiaTheme="minorHAnsi" w:hAnsiTheme="minorHAnsi" w:cstheme="minorHAnsi"/>
        </w:rPr>
        <w:t>IX.</w:t>
      </w:r>
      <w:r w:rsidR="00AC3C37">
        <w:rPr>
          <w:rFonts w:asciiTheme="minorHAnsi" w:eastAsiaTheme="minorHAnsi" w:hAnsiTheme="minorHAnsi" w:cstheme="minorHAnsi"/>
        </w:rPr>
        <w:t xml:space="preserve"> </w:t>
      </w:r>
      <w:r w:rsidRPr="004920C6">
        <w:rPr>
          <w:rFonts w:asciiTheme="minorHAnsi" w:eastAsiaTheme="minorHAnsi" w:hAnsiTheme="minorHAnsi" w:cstheme="minorHAnsi"/>
        </w:rPr>
        <w:t>jednání, které se konalo dne</w:t>
      </w:r>
      <w:r w:rsidR="00243613" w:rsidRPr="004920C6">
        <w:rPr>
          <w:rFonts w:asciiTheme="minorHAnsi" w:eastAsiaTheme="minorHAnsi" w:hAnsiTheme="minorHAnsi" w:cstheme="minorHAnsi"/>
        </w:rPr>
        <w:t xml:space="preserve"> </w:t>
      </w:r>
      <w:r w:rsidR="00B1093F">
        <w:rPr>
          <w:rFonts w:asciiTheme="minorHAnsi" w:eastAsiaTheme="minorHAnsi" w:hAnsiTheme="minorHAnsi" w:cstheme="minorHAnsi"/>
        </w:rPr>
        <w:t>23. června</w:t>
      </w:r>
      <w:r w:rsidR="00F85EEF" w:rsidRPr="004920C6">
        <w:rPr>
          <w:rFonts w:asciiTheme="minorHAnsi" w:eastAsiaTheme="minorHAnsi" w:hAnsiTheme="minorHAnsi" w:cstheme="minorHAnsi"/>
        </w:rPr>
        <w:t xml:space="preserve"> </w:t>
      </w:r>
      <w:r w:rsidR="009E57D6" w:rsidRPr="004920C6">
        <w:rPr>
          <w:rFonts w:asciiTheme="minorHAnsi" w:eastAsiaTheme="minorHAnsi" w:hAnsiTheme="minorHAnsi" w:cstheme="minorHAnsi"/>
        </w:rPr>
        <w:t>2</w:t>
      </w:r>
      <w:r w:rsidR="00DB6C92" w:rsidRPr="004920C6">
        <w:rPr>
          <w:rFonts w:asciiTheme="minorHAnsi" w:eastAsiaTheme="minorHAnsi" w:hAnsiTheme="minorHAnsi" w:cstheme="minorHAnsi"/>
        </w:rPr>
        <w:t>02</w:t>
      </w:r>
      <w:r w:rsidR="00B64D22" w:rsidRPr="004920C6">
        <w:rPr>
          <w:rFonts w:asciiTheme="minorHAnsi" w:eastAsiaTheme="minorHAnsi" w:hAnsiTheme="minorHAnsi" w:cstheme="minorHAnsi"/>
        </w:rPr>
        <w:t>5</w:t>
      </w:r>
      <w:r w:rsidRPr="004920C6">
        <w:rPr>
          <w:rFonts w:asciiTheme="minorHAnsi" w:eastAsiaTheme="minorHAnsi" w:hAnsiTheme="minorHAnsi" w:cstheme="minorHAnsi"/>
        </w:rPr>
        <w:t>,</w:t>
      </w:r>
    </w:p>
    <w:p w14:paraId="07C008F4" w14:textId="1FC75CD8" w:rsidR="00EC3A0D" w:rsidRPr="004920C6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schválilo</w:t>
      </w:r>
      <w:r w:rsidRPr="004920C6">
        <w:rPr>
          <w:rFonts w:asciiTheme="minorHAnsi" w:eastAsiaTheme="minorHAnsi" w:hAnsiTheme="minorHAnsi" w:cstheme="minorHAnsi"/>
        </w:rPr>
        <w:t xml:space="preserve">   usnesením č.</w:t>
      </w:r>
      <w:r w:rsidR="00D17E40" w:rsidRPr="004920C6">
        <w:rPr>
          <w:rFonts w:asciiTheme="minorHAnsi" w:eastAsiaTheme="minorHAnsi" w:hAnsiTheme="minorHAnsi" w:cstheme="minorHAnsi"/>
        </w:rPr>
        <w:t xml:space="preserve"> </w:t>
      </w:r>
      <w:r w:rsidR="00C02970">
        <w:rPr>
          <w:rFonts w:asciiTheme="minorHAnsi" w:eastAsiaTheme="minorHAnsi" w:hAnsiTheme="minorHAnsi" w:cstheme="minorHAnsi"/>
        </w:rPr>
        <w:t>7</w:t>
      </w:r>
      <w:r w:rsidR="00B1093F">
        <w:rPr>
          <w:rFonts w:asciiTheme="minorHAnsi" w:eastAsiaTheme="minorHAnsi" w:hAnsiTheme="minorHAnsi" w:cstheme="minorHAnsi"/>
        </w:rPr>
        <w:t>/IX</w:t>
      </w:r>
      <w:r w:rsidR="00AC3C37">
        <w:rPr>
          <w:rFonts w:asciiTheme="minorHAnsi" w:eastAsiaTheme="minorHAnsi" w:hAnsiTheme="minorHAnsi" w:cstheme="minorHAnsi"/>
        </w:rPr>
        <w:t>/</w:t>
      </w:r>
      <w:r w:rsidRPr="004920C6">
        <w:rPr>
          <w:rFonts w:asciiTheme="minorHAnsi" w:eastAsiaTheme="minorHAnsi" w:hAnsiTheme="minorHAnsi" w:cstheme="minorHAnsi"/>
        </w:rPr>
        <w:t>20</w:t>
      </w:r>
      <w:r w:rsidR="00DB6C92" w:rsidRPr="004920C6">
        <w:rPr>
          <w:rFonts w:asciiTheme="minorHAnsi" w:eastAsiaTheme="minorHAnsi" w:hAnsiTheme="minorHAnsi" w:cstheme="minorHAnsi"/>
        </w:rPr>
        <w:t>2</w:t>
      </w:r>
      <w:r w:rsidR="00B64D22" w:rsidRPr="004920C6">
        <w:rPr>
          <w:rFonts w:asciiTheme="minorHAnsi" w:eastAsiaTheme="minorHAnsi" w:hAnsiTheme="minorHAnsi" w:cstheme="minorHAnsi"/>
        </w:rPr>
        <w:t>5</w:t>
      </w:r>
    </w:p>
    <w:p w14:paraId="6D241C4E" w14:textId="77777777" w:rsidR="00EC3A0D" w:rsidRPr="004920C6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kontrolní</w:t>
      </w:r>
      <w:r w:rsidRPr="004920C6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4920C6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závěr</w:t>
      </w:r>
      <w:r w:rsidRPr="004920C6">
        <w:rPr>
          <w:rFonts w:asciiTheme="minorHAnsi" w:eastAsiaTheme="minorHAnsi" w:hAnsiTheme="minorHAnsi" w:cstheme="minorHAnsi"/>
        </w:rPr>
        <w:t xml:space="preserve">   v tomto znění:</w:t>
      </w:r>
    </w:p>
    <w:p w14:paraId="1D5EC7DC" w14:textId="77777777" w:rsidR="00CA5B95" w:rsidRPr="004920C6" w:rsidRDefault="00CA5B95" w:rsidP="00CA5B95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58260F93" w14:textId="77777777" w:rsidR="00CA5B95" w:rsidRPr="004920C6" w:rsidRDefault="00CA5B95" w:rsidP="00CA5B95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47304D46" w14:textId="77777777" w:rsidR="00F129C7" w:rsidRPr="004920C6" w:rsidRDefault="00CA5B95">
      <w:pPr>
        <w:spacing w:after="160" w:line="259" w:lineRule="auto"/>
        <w:rPr>
          <w:rStyle w:val="A4"/>
          <w:rFonts w:eastAsiaTheme="majorEastAsia"/>
          <w:b/>
          <w:color w:val="BDD6EE" w:themeColor="accent1" w:themeTint="66"/>
          <w:sz w:val="40"/>
          <w:szCs w:val="40"/>
        </w:rPr>
      </w:pPr>
      <w:r w:rsidRPr="004920C6">
        <w:rPr>
          <w:rStyle w:val="A4"/>
          <w:rFonts w:eastAsiaTheme="majorEastAsia"/>
          <w:b/>
          <w:color w:val="BDD6EE" w:themeColor="accent1" w:themeTint="66"/>
          <w:sz w:val="40"/>
          <w:szCs w:val="40"/>
        </w:rPr>
        <w:br w:type="page"/>
      </w:r>
    </w:p>
    <w:p w14:paraId="23114C3A" w14:textId="04AB05AB" w:rsidR="0062547B" w:rsidRPr="004920C6" w:rsidRDefault="0062547B" w:rsidP="00250385">
      <w:pPr>
        <w:jc w:val="center"/>
        <w:rPr>
          <w:rFonts w:asciiTheme="minorHAnsi" w:hAnsiTheme="minorHAnsi"/>
          <w:b/>
          <w:sz w:val="32"/>
          <w:szCs w:val="22"/>
        </w:rPr>
      </w:pPr>
      <w:r w:rsidRPr="004920C6">
        <w:rPr>
          <w:b/>
          <w:sz w:val="32"/>
        </w:rPr>
        <w:lastRenderedPageBreak/>
        <w:t>Účetní závěrka, výkaz pro hodnocení plnění rozpočtu, závěrečný účet a vnitřní kontrolní systém</w:t>
      </w:r>
      <w:r w:rsidR="00367FAD" w:rsidRPr="004920C6">
        <w:rPr>
          <w:b/>
          <w:sz w:val="32"/>
        </w:rPr>
        <w:t xml:space="preserve"> MK</w:t>
      </w:r>
      <w:r w:rsidRPr="004920C6">
        <w:rPr>
          <w:b/>
          <w:sz w:val="32"/>
        </w:rPr>
        <w:t xml:space="preserve"> za rok 202</w:t>
      </w:r>
      <w:r w:rsidR="00367FAD" w:rsidRPr="004920C6">
        <w:rPr>
          <w:b/>
          <w:sz w:val="32"/>
        </w:rPr>
        <w:t>4</w:t>
      </w:r>
    </w:p>
    <w:p w14:paraId="69A5FFB8" w14:textId="77777777" w:rsidR="0062547B" w:rsidRPr="004920C6" w:rsidRDefault="0062547B" w:rsidP="0062547B"/>
    <w:p w14:paraId="20502DF5" w14:textId="0541010E" w:rsidR="0062547B" w:rsidRPr="004920C6" w:rsidRDefault="0062547B" w:rsidP="005C513C">
      <w:pPr>
        <w:jc w:val="both"/>
        <w:rPr>
          <w:b/>
        </w:rPr>
      </w:pPr>
      <w:r w:rsidRPr="004920C6">
        <w:rPr>
          <w:b/>
        </w:rPr>
        <w:t xml:space="preserve">NKÚ zahájil kontrolu </w:t>
      </w:r>
      <w:r w:rsidR="007C2F04" w:rsidRPr="004920C6">
        <w:rPr>
          <w:b/>
        </w:rPr>
        <w:t>v</w:t>
      </w:r>
      <w:r w:rsidR="0058282E" w:rsidRPr="004920C6">
        <w:rPr>
          <w:b/>
        </w:rPr>
        <w:t xml:space="preserve"> </w:t>
      </w:r>
      <w:r w:rsidR="007C2F04" w:rsidRPr="004920C6">
        <w:rPr>
          <w:b/>
        </w:rPr>
        <w:t xml:space="preserve">průběhu kontrolovaného období </w:t>
      </w:r>
      <w:r w:rsidRPr="004920C6">
        <w:rPr>
          <w:b/>
        </w:rPr>
        <w:t>202</w:t>
      </w:r>
      <w:r w:rsidR="00367FAD" w:rsidRPr="004920C6">
        <w:rPr>
          <w:b/>
        </w:rPr>
        <w:t>4</w:t>
      </w:r>
      <w:r w:rsidRPr="004920C6">
        <w:rPr>
          <w:b/>
        </w:rPr>
        <w:t>.</w:t>
      </w:r>
      <w:r w:rsidR="00367FAD" w:rsidRPr="004920C6">
        <w:rPr>
          <w:b/>
        </w:rPr>
        <w:t xml:space="preserve"> Ministerstvo kultury</w:t>
      </w:r>
      <w:r w:rsidRPr="004920C6">
        <w:rPr>
          <w:b/>
        </w:rPr>
        <w:t xml:space="preserve"> tak mohl</w:t>
      </w:r>
      <w:r w:rsidR="00367FAD" w:rsidRPr="004920C6">
        <w:rPr>
          <w:b/>
        </w:rPr>
        <w:t>o</w:t>
      </w:r>
      <w:r w:rsidRPr="004920C6">
        <w:rPr>
          <w:b/>
        </w:rPr>
        <w:t xml:space="preserve"> zjištěné nedostatky průběžně opravovat.</w:t>
      </w:r>
    </w:p>
    <w:p w14:paraId="3EFFCA00" w14:textId="77777777" w:rsidR="0062547B" w:rsidRPr="004920C6" w:rsidRDefault="0062547B" w:rsidP="0062547B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405"/>
        <w:gridCol w:w="856"/>
        <w:gridCol w:w="2551"/>
      </w:tblGrid>
      <w:tr w:rsidR="0062547B" w:rsidRPr="004920C6" w14:paraId="08955CC6" w14:textId="77777777" w:rsidTr="0062547B">
        <w:tc>
          <w:tcPr>
            <w:tcW w:w="2835" w:type="dxa"/>
            <w:vAlign w:val="center"/>
          </w:tcPr>
          <w:p w14:paraId="75F52C1A" w14:textId="77777777" w:rsidR="0062547B" w:rsidRPr="004920C6" w:rsidRDefault="0062547B">
            <w:pPr>
              <w:spacing w:after="0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9A9D3EF" w14:textId="77777777" w:rsidR="0062547B" w:rsidRPr="004920C6" w:rsidRDefault="0062547B">
            <w:pPr>
              <w:rPr>
                <w:b/>
              </w:rPr>
            </w:pPr>
          </w:p>
        </w:tc>
        <w:tc>
          <w:tcPr>
            <w:tcW w:w="2405" w:type="dxa"/>
            <w:vAlign w:val="center"/>
            <w:hideMark/>
          </w:tcPr>
          <w:p w14:paraId="633466A4" w14:textId="77777777" w:rsidR="0062547B" w:rsidRPr="004920C6" w:rsidRDefault="0062547B">
            <w:pPr>
              <w:spacing w:after="240"/>
              <w:jc w:val="center"/>
              <w:rPr>
                <w:b/>
                <w:sz w:val="28"/>
              </w:rPr>
            </w:pPr>
            <w:r w:rsidRPr="004920C6">
              <w:rPr>
                <w:b/>
              </w:rPr>
              <w:t xml:space="preserve">Opravy v průběhu </w:t>
            </w:r>
            <w:r w:rsidRPr="004920C6">
              <w:rPr>
                <w:b/>
              </w:rPr>
              <w:br/>
              <w:t>kontroly NKÚ</w:t>
            </w:r>
          </w:p>
        </w:tc>
        <w:tc>
          <w:tcPr>
            <w:tcW w:w="856" w:type="dxa"/>
            <w:vAlign w:val="center"/>
          </w:tcPr>
          <w:p w14:paraId="6C529437" w14:textId="77777777" w:rsidR="0062547B" w:rsidRPr="004920C6" w:rsidRDefault="0062547B">
            <w:pPr>
              <w:rPr>
                <w:b/>
              </w:rPr>
            </w:pPr>
          </w:p>
        </w:tc>
        <w:tc>
          <w:tcPr>
            <w:tcW w:w="2551" w:type="dxa"/>
            <w:vAlign w:val="center"/>
            <w:hideMark/>
          </w:tcPr>
          <w:p w14:paraId="370CFEBD" w14:textId="77777777" w:rsidR="0062547B" w:rsidRPr="004920C6" w:rsidRDefault="0062547B">
            <w:pPr>
              <w:spacing w:after="240"/>
              <w:jc w:val="center"/>
              <w:rPr>
                <w:b/>
              </w:rPr>
            </w:pPr>
            <w:r w:rsidRPr="004920C6">
              <w:rPr>
                <w:b/>
              </w:rPr>
              <w:t>Výsledný stav po provedených opravách</w:t>
            </w:r>
          </w:p>
        </w:tc>
      </w:tr>
    </w:tbl>
    <w:p w14:paraId="6514CFAD" w14:textId="77777777" w:rsidR="0062547B" w:rsidRPr="004920C6" w:rsidRDefault="0062547B" w:rsidP="0062547B">
      <w:pPr>
        <w:rPr>
          <w:rFonts w:asciiTheme="minorHAnsi" w:hAnsiTheme="minorHAnsi" w:cstheme="minorBidi"/>
          <w:sz w:val="22"/>
          <w:szCs w:val="22"/>
        </w:rPr>
      </w:pPr>
      <w:r w:rsidRPr="004920C6">
        <w:rPr>
          <w:noProof/>
        </w:rPr>
        <w:drawing>
          <wp:inline distT="0" distB="0" distL="0" distR="0" wp14:anchorId="2A222ADE" wp14:editId="656F3866">
            <wp:extent cx="5772150" cy="714375"/>
            <wp:effectExtent l="38100" t="0" r="19050" b="28575"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6A6FFF14" w14:textId="77777777" w:rsidR="0062547B" w:rsidRPr="004920C6" w:rsidRDefault="0062547B" w:rsidP="0062547B">
      <w:r w:rsidRPr="004920C6">
        <w:rPr>
          <w:noProof/>
        </w:rPr>
        <w:drawing>
          <wp:inline distT="0" distB="0" distL="0" distR="0" wp14:anchorId="7790E86C" wp14:editId="32277FBB">
            <wp:extent cx="5772150" cy="714375"/>
            <wp:effectExtent l="38100" t="0" r="19050" b="28575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0E67C5CB" w14:textId="6CE06C0F" w:rsidR="001B656F" w:rsidRPr="004920C6" w:rsidRDefault="001B656F" w:rsidP="0062547B">
      <w:r w:rsidRPr="004920C6">
        <w:rPr>
          <w:noProof/>
        </w:rPr>
        <w:drawing>
          <wp:inline distT="0" distB="0" distL="0" distR="0" wp14:anchorId="789E5B5B" wp14:editId="3CF77EC9">
            <wp:extent cx="5759450" cy="715010"/>
            <wp:effectExtent l="38100" t="0" r="12700" b="27940"/>
            <wp:docPr id="57945629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51345030" w14:textId="77777777" w:rsidR="0062547B" w:rsidRPr="004920C6" w:rsidRDefault="0062547B" w:rsidP="0062547B">
      <w:r w:rsidRPr="004920C6">
        <w:rPr>
          <w:noProof/>
        </w:rPr>
        <w:drawing>
          <wp:inline distT="0" distB="0" distL="0" distR="0" wp14:anchorId="301E87A8" wp14:editId="584C09F4">
            <wp:extent cx="5772150" cy="714375"/>
            <wp:effectExtent l="38100" t="0" r="19050" b="28575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14:paraId="5EF52AA3" w14:textId="77777777" w:rsidR="0062547B" w:rsidRPr="004920C6" w:rsidRDefault="0062547B" w:rsidP="0062547B"/>
    <w:p w14:paraId="7E7189F3" w14:textId="77777777" w:rsidR="00893010" w:rsidRPr="004920C6" w:rsidRDefault="00893010" w:rsidP="0062547B">
      <w:pPr>
        <w:rPr>
          <w:b/>
        </w:rPr>
      </w:pPr>
    </w:p>
    <w:p w14:paraId="64C62E34" w14:textId="77777777" w:rsidR="00250385" w:rsidRPr="004920C6" w:rsidRDefault="00250385" w:rsidP="0062547B">
      <w:pPr>
        <w:rPr>
          <w:b/>
        </w:rPr>
      </w:pPr>
    </w:p>
    <w:p w14:paraId="21E775B5" w14:textId="77777777" w:rsidR="0062547B" w:rsidRPr="004920C6" w:rsidRDefault="0062547B" w:rsidP="00250385">
      <w:pPr>
        <w:ind w:left="142"/>
      </w:pPr>
      <w:r w:rsidRPr="004920C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62F5913" wp14:editId="0178FEFB">
                <wp:simplePos x="0" y="0"/>
                <wp:positionH relativeFrom="column">
                  <wp:posOffset>-4445</wp:posOffset>
                </wp:positionH>
                <wp:positionV relativeFrom="paragraph">
                  <wp:posOffset>1905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19" name="Obdélník: se zakulacenými roh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2EB3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AC5565" id="Obdélník: se zakulacenými rohy 19" o:spid="_x0000_s1026" style="position:absolute;margin-left:-.35pt;margin-top:.15pt;width:14.15pt;height:14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" fillcolor="#2eb3a1" stroked="f" strokeweight="1pt">
                <v:stroke joinstyle="miter"/>
                <w10:wrap type="tight"/>
              </v:roundrect>
            </w:pict>
          </mc:Fallback>
        </mc:AlternateContent>
      </w:r>
      <w:r w:rsidRPr="004920C6">
        <w:t xml:space="preserve">  </w:t>
      </w:r>
      <w:r w:rsidR="00913B78" w:rsidRPr="004920C6">
        <w:tab/>
      </w:r>
      <w:r w:rsidRPr="004920C6">
        <w:t>Nebyly zjištěny významné nesprávnosti</w:t>
      </w:r>
      <w:r w:rsidR="00913B78" w:rsidRPr="004920C6">
        <w:t>/nedostatky</w:t>
      </w:r>
    </w:p>
    <w:p w14:paraId="479B5B0C" w14:textId="77777777" w:rsidR="0062547B" w:rsidRPr="004920C6" w:rsidRDefault="0062547B" w:rsidP="0062547B">
      <w:r w:rsidRPr="004920C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9DA84D4" wp14:editId="6F2681D8">
                <wp:simplePos x="0" y="0"/>
                <wp:positionH relativeFrom="column">
                  <wp:posOffset>-4445</wp:posOffset>
                </wp:positionH>
                <wp:positionV relativeFrom="paragraph">
                  <wp:posOffset>4445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14" name="Obdélník: se zakulacenými roh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FDC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E7D27D" id="Obdélník: se zakulacenými rohy 14" o:spid="_x0000_s1026" style="position:absolute;margin-left:-.35pt;margin-top:.35pt;width:14.15pt;height:14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" fillcolor="#fdc300" stroked="f" strokeweight="1pt">
                <v:stroke joinstyle="miter"/>
                <w10:wrap type="tight"/>
              </v:roundrect>
            </w:pict>
          </mc:Fallback>
        </mc:AlternateContent>
      </w:r>
      <w:r w:rsidRPr="004920C6">
        <w:t xml:space="preserve">  </w:t>
      </w:r>
      <w:r w:rsidR="00913B78" w:rsidRPr="004920C6">
        <w:tab/>
      </w:r>
      <w:r w:rsidRPr="004920C6">
        <w:t>Byly zjištěny významné nesprávnosti</w:t>
      </w:r>
      <w:r w:rsidR="00913B78" w:rsidRPr="004920C6">
        <w:t>/nedostatky</w:t>
      </w:r>
    </w:p>
    <w:p w14:paraId="79A73E35" w14:textId="77777777" w:rsidR="00BE2A30" w:rsidRDefault="0062547B" w:rsidP="00BE2A30">
      <w:pPr>
        <w:spacing w:after="0"/>
      </w:pPr>
      <w:r w:rsidRPr="004920C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3503617" wp14:editId="2737E0E8">
                <wp:simplePos x="0" y="0"/>
                <wp:positionH relativeFrom="column">
                  <wp:posOffset>-4445</wp:posOffset>
                </wp:positionH>
                <wp:positionV relativeFrom="paragraph">
                  <wp:posOffset>-2540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13" name="Obdélník: se zakulacenými roh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AF19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30F9CB" id="Obdélník: se zakulacenými rohy 13" o:spid="_x0000_s1026" style="position:absolute;margin-left:-.35pt;margin-top:-.2pt;width:14.15pt;height:14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" fillcolor="#af1953" stroked="f" strokeweight="1pt">
                <v:stroke joinstyle="miter"/>
                <w10:wrap type="tight"/>
              </v:roundrect>
            </w:pict>
          </mc:Fallback>
        </mc:AlternateContent>
      </w:r>
      <w:r w:rsidR="00BE2A30">
        <w:t xml:space="preserve">  </w:t>
      </w:r>
      <w:r w:rsidR="00BE2A30">
        <w:tab/>
      </w:r>
      <w:r w:rsidRPr="004920C6">
        <w:t>Byly zjištěny významné nesprávnosti</w:t>
      </w:r>
      <w:r w:rsidR="00913B78" w:rsidRPr="004920C6">
        <w:t>/nedostatky</w:t>
      </w:r>
      <w:r w:rsidRPr="004920C6">
        <w:t xml:space="preserve"> s rozsáhlým dopadem na oblast </w:t>
      </w:r>
    </w:p>
    <w:p w14:paraId="2E00C157" w14:textId="1008FD73" w:rsidR="0062547B" w:rsidRPr="004920C6" w:rsidRDefault="00BE2A30" w:rsidP="00BE2A30">
      <w:pPr>
        <w:ind w:left="720" w:hanging="720"/>
      </w:pPr>
      <w:r>
        <w:tab/>
      </w:r>
      <w:r w:rsidR="0062547B" w:rsidRPr="004920C6">
        <w:t>kontroly</w:t>
      </w:r>
    </w:p>
    <w:p w14:paraId="6E05E23F" w14:textId="77777777" w:rsidR="0062547B" w:rsidRPr="004920C6" w:rsidRDefault="0062547B" w:rsidP="0062547B">
      <w:pPr>
        <w:rPr>
          <w:sz w:val="22"/>
          <w:szCs w:val="22"/>
        </w:rPr>
      </w:pPr>
    </w:p>
    <w:p w14:paraId="72C57B34" w14:textId="77777777" w:rsidR="00335214" w:rsidRPr="004920C6" w:rsidRDefault="00335214" w:rsidP="00335214">
      <w:pPr>
        <w:jc w:val="both"/>
        <w:rPr>
          <w:rStyle w:val="A4"/>
          <w:rFonts w:eastAsiaTheme="majorEastAsia"/>
          <w:sz w:val="24"/>
          <w:szCs w:val="24"/>
        </w:rPr>
      </w:pPr>
    </w:p>
    <w:p w14:paraId="1D145E86" w14:textId="77777777" w:rsidR="00BF14F7" w:rsidRPr="004920C6" w:rsidRDefault="00BF14F7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</w:rPr>
      </w:pPr>
      <w:r w:rsidRPr="004920C6">
        <w:br w:type="page"/>
      </w:r>
    </w:p>
    <w:p w14:paraId="317AEC0F" w14:textId="77777777" w:rsidR="0033466E" w:rsidRPr="004920C6" w:rsidRDefault="001A0567" w:rsidP="004F0412">
      <w:pPr>
        <w:pStyle w:val="Styl1"/>
        <w:numPr>
          <w:ilvl w:val="0"/>
          <w:numId w:val="0"/>
        </w:numPr>
        <w:spacing w:after="240"/>
      </w:pPr>
      <w:r w:rsidRPr="004920C6">
        <w:lastRenderedPageBreak/>
        <w:t xml:space="preserve">I. </w:t>
      </w:r>
      <w:r w:rsidR="00A640AE" w:rsidRPr="004920C6">
        <w:t>Shrnutí a vyhodnocení</w:t>
      </w:r>
    </w:p>
    <w:p w14:paraId="53BEC9D3" w14:textId="3ACE3602" w:rsidR="003E3D74" w:rsidRPr="004920C6" w:rsidRDefault="003E3D74" w:rsidP="001A0567">
      <w:pPr>
        <w:spacing w:before="120"/>
        <w:jc w:val="both"/>
        <w:rPr>
          <w:rFonts w:asciiTheme="minorHAnsi" w:eastAsiaTheme="minorHAnsi" w:hAnsiTheme="minorHAnsi" w:cstheme="minorHAnsi"/>
          <w:bCs/>
        </w:rPr>
      </w:pPr>
      <w:r w:rsidRPr="004920C6">
        <w:rPr>
          <w:rFonts w:asciiTheme="minorHAnsi" w:eastAsiaTheme="minorHAnsi" w:hAnsiTheme="minorHAnsi" w:cstheme="minorHAnsi"/>
        </w:rPr>
        <w:t>Cílem kontroly bylo prověřit, zda</w:t>
      </w:r>
      <w:r w:rsidR="003673A1" w:rsidRPr="004920C6">
        <w:rPr>
          <w:rFonts w:asciiTheme="minorHAnsi" w:eastAsiaTheme="minorHAnsi" w:hAnsiTheme="minorHAnsi" w:cstheme="minorHAnsi"/>
        </w:rPr>
        <w:t xml:space="preserve"> Ministerstvo kultury</w:t>
      </w:r>
      <w:r w:rsidRPr="004920C6">
        <w:rPr>
          <w:rFonts w:asciiTheme="minorHAnsi" w:eastAsiaTheme="minorHAnsi" w:hAnsiTheme="minorHAnsi" w:cstheme="minorHAnsi"/>
        </w:rPr>
        <w:t xml:space="preserve"> při sestavení závěrečného účtu</w:t>
      </w:r>
      <w:r w:rsidR="004C26DB" w:rsidRPr="004920C6">
        <w:rPr>
          <w:rFonts w:asciiTheme="minorHAnsi" w:eastAsiaTheme="minorHAnsi" w:hAnsiTheme="minorHAnsi" w:cstheme="minorHAnsi"/>
        </w:rPr>
        <w:t>,</w:t>
      </w:r>
      <w:r w:rsidR="00D84537" w:rsidRPr="004920C6">
        <w:rPr>
          <w:rFonts w:asciiTheme="minorHAnsi" w:eastAsiaTheme="minorHAnsi" w:hAnsiTheme="minorHAnsi" w:cstheme="minorHAnsi"/>
        </w:rPr>
        <w:t xml:space="preserve"> </w:t>
      </w:r>
      <w:r w:rsidRPr="004920C6">
        <w:rPr>
          <w:rFonts w:asciiTheme="minorHAnsi" w:eastAsiaTheme="minorHAnsi" w:hAnsiTheme="minorHAnsi" w:cstheme="minorHAnsi"/>
        </w:rPr>
        <w:t>při vedení účetnictví</w:t>
      </w:r>
      <w:r w:rsidR="004C26DB" w:rsidRPr="004920C6">
        <w:rPr>
          <w:rFonts w:asciiTheme="minorHAnsi" w:eastAsiaTheme="minorHAnsi" w:hAnsiTheme="minorHAnsi" w:cstheme="minorHAnsi"/>
        </w:rPr>
        <w:t>,</w:t>
      </w:r>
      <w:r w:rsidR="001D7D0D" w:rsidRPr="004920C6">
        <w:rPr>
          <w:rFonts w:asciiTheme="minorHAnsi" w:eastAsiaTheme="minorHAnsi" w:hAnsiTheme="minorHAnsi" w:cstheme="minorHAnsi"/>
        </w:rPr>
        <w:t xml:space="preserve"> </w:t>
      </w:r>
      <w:r w:rsidRPr="004920C6">
        <w:rPr>
          <w:rFonts w:asciiTheme="minorHAnsi" w:eastAsiaTheme="minorHAnsi" w:hAnsiTheme="minorHAnsi" w:cstheme="minorHAnsi"/>
        </w:rPr>
        <w:t>sestavení účetní závěrky a předkládání údajů pro</w:t>
      </w:r>
      <w:r w:rsidR="00977A7D" w:rsidRPr="004920C6">
        <w:rPr>
          <w:rFonts w:asciiTheme="minorHAnsi" w:eastAsiaTheme="minorHAnsi" w:hAnsiTheme="minorHAnsi" w:cstheme="minorHAnsi"/>
        </w:rPr>
        <w:t xml:space="preserve"> </w:t>
      </w:r>
      <w:r w:rsidRPr="004920C6">
        <w:rPr>
          <w:rFonts w:asciiTheme="minorHAnsi" w:eastAsiaTheme="minorHAnsi" w:hAnsiTheme="minorHAnsi" w:cstheme="minorHAnsi"/>
        </w:rPr>
        <w:t>hodnocení plnění státního rozpočtu za rok 202</w:t>
      </w:r>
      <w:r w:rsidR="003673A1" w:rsidRPr="004920C6">
        <w:rPr>
          <w:rFonts w:asciiTheme="minorHAnsi" w:eastAsiaTheme="minorHAnsi" w:hAnsiTheme="minorHAnsi" w:cstheme="minorHAnsi"/>
        </w:rPr>
        <w:t>4</w:t>
      </w:r>
      <w:r w:rsidRPr="004920C6">
        <w:rPr>
          <w:rFonts w:asciiTheme="minorHAnsi" w:eastAsiaTheme="minorHAnsi" w:hAnsiTheme="minorHAnsi" w:cstheme="minorHAnsi"/>
        </w:rPr>
        <w:t xml:space="preserve"> postupoval</w:t>
      </w:r>
      <w:r w:rsidR="003673A1" w:rsidRPr="004920C6">
        <w:rPr>
          <w:rFonts w:asciiTheme="minorHAnsi" w:eastAsiaTheme="minorHAnsi" w:hAnsiTheme="minorHAnsi" w:cstheme="minorHAnsi"/>
        </w:rPr>
        <w:t>o</w:t>
      </w:r>
      <w:r w:rsidRPr="004920C6">
        <w:rPr>
          <w:rFonts w:asciiTheme="minorHAnsi" w:eastAsiaTheme="minorHAnsi" w:hAnsiTheme="minorHAnsi" w:cstheme="minorHAnsi"/>
        </w:rPr>
        <w:t xml:space="preserve"> v souladu s příslušnými právními předpisy.</w:t>
      </w:r>
    </w:p>
    <w:p w14:paraId="59517D57" w14:textId="43EDC17E" w:rsidR="001A0567" w:rsidRPr="004920C6" w:rsidRDefault="00EA4390" w:rsidP="001A0567">
      <w:pPr>
        <w:spacing w:before="120"/>
        <w:jc w:val="both"/>
        <w:rPr>
          <w:rFonts w:eastAsiaTheme="minorHAnsi" w:cs="Calibri"/>
        </w:rPr>
      </w:pPr>
      <w:r w:rsidRPr="004920C6">
        <w:rPr>
          <w:rFonts w:eastAsiaTheme="minorHAnsi" w:cs="Calibri"/>
        </w:rPr>
        <w:t>K</w:t>
      </w:r>
      <w:r w:rsidR="00824FEA" w:rsidRPr="004920C6">
        <w:rPr>
          <w:rFonts w:eastAsiaTheme="minorHAnsi" w:cs="Calibri"/>
        </w:rPr>
        <w:t>ontrolní akce</w:t>
      </w:r>
      <w:r w:rsidR="00F7140E" w:rsidRPr="004920C6">
        <w:rPr>
          <w:rFonts w:eastAsiaTheme="minorHAnsi" w:cs="Calibri"/>
        </w:rPr>
        <w:t xml:space="preserve"> byla zahájena v průběhu kontrolovaného účetního a rozpočtového období 202</w:t>
      </w:r>
      <w:r w:rsidR="003673A1" w:rsidRPr="004920C6">
        <w:rPr>
          <w:rFonts w:eastAsiaTheme="minorHAnsi" w:cs="Calibri"/>
        </w:rPr>
        <w:t>4</w:t>
      </w:r>
      <w:r w:rsidR="00F7140E" w:rsidRPr="004920C6">
        <w:rPr>
          <w:rFonts w:eastAsiaTheme="minorHAnsi" w:cs="Calibri"/>
        </w:rPr>
        <w:t>.</w:t>
      </w:r>
      <w:r w:rsidRPr="004920C6">
        <w:rPr>
          <w:rFonts w:eastAsiaTheme="minorHAnsi" w:cs="Calibri"/>
        </w:rPr>
        <w:t xml:space="preserve"> </w:t>
      </w:r>
    </w:p>
    <w:p w14:paraId="26425CB5" w14:textId="1342591E" w:rsidR="0029520A" w:rsidRPr="004920C6" w:rsidRDefault="00D966F6" w:rsidP="00B3615F">
      <w:pPr>
        <w:pStyle w:val="Styl2"/>
        <w:numPr>
          <w:ilvl w:val="0"/>
          <w:numId w:val="27"/>
        </w:numPr>
        <w:spacing w:before="240" w:after="120"/>
        <w:ind w:left="284" w:hanging="284"/>
      </w:pPr>
      <w:r w:rsidRPr="004920C6">
        <w:t>Vedení účetnictví</w:t>
      </w:r>
      <w:r w:rsidR="00FA571D" w:rsidRPr="004920C6">
        <w:t xml:space="preserve"> a účetní závěrka</w:t>
      </w:r>
    </w:p>
    <w:p w14:paraId="228995BE" w14:textId="63A8BB12" w:rsidR="00B3615F" w:rsidRPr="004920C6" w:rsidRDefault="00B3615F" w:rsidP="00B3615F">
      <w:pPr>
        <w:spacing w:before="120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hAnsiTheme="minorHAnsi" w:cstheme="minorHAnsi"/>
        </w:rPr>
        <w:t>NKÚ provedl kontrolu účetní závěrky MK sestavené k 31. prosinci 2024 (dále také „ÚZ“)</w:t>
      </w:r>
      <w:r w:rsidRPr="004920C6">
        <w:rPr>
          <w:rStyle w:val="Znakapoznpodarou"/>
          <w:rFonts w:eastAsiaTheme="minorHAnsi" w:cs="Calibri"/>
        </w:rPr>
        <w:t xml:space="preserve"> </w:t>
      </w:r>
      <w:r w:rsidRPr="004920C6">
        <w:rPr>
          <w:rStyle w:val="Znakapoznpodarou"/>
          <w:rFonts w:eastAsiaTheme="minorHAnsi" w:cs="Calibri"/>
        </w:rPr>
        <w:footnoteReference w:id="2"/>
      </w:r>
      <w:r w:rsidRPr="004920C6">
        <w:rPr>
          <w:rFonts w:asciiTheme="minorHAnsi" w:hAnsiTheme="minorHAnsi" w:cstheme="minorHAnsi"/>
        </w:rPr>
        <w:t>, která se skládá z rozvahy, výkazu zisku a ztráty,</w:t>
      </w:r>
      <w:r w:rsidR="003D5233"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přehledu o peněžních tocích</w:t>
      </w:r>
      <w:r w:rsidR="003D5233" w:rsidRPr="004920C6">
        <w:rPr>
          <w:rFonts w:asciiTheme="minorHAnsi" w:hAnsiTheme="minorHAnsi" w:cstheme="minorHAnsi"/>
        </w:rPr>
        <w:t xml:space="preserve">, </w:t>
      </w:r>
      <w:r w:rsidRPr="004920C6">
        <w:rPr>
          <w:rFonts w:asciiTheme="minorHAnsi" w:hAnsiTheme="minorHAnsi" w:cstheme="minorHAnsi"/>
        </w:rPr>
        <w:t>přehledu o změnách vlastního kapitálu</w:t>
      </w:r>
      <w:r w:rsidR="003D5233" w:rsidRPr="004920C6">
        <w:rPr>
          <w:rFonts w:asciiTheme="minorHAnsi" w:hAnsiTheme="minorHAnsi" w:cstheme="minorHAnsi"/>
        </w:rPr>
        <w:t xml:space="preserve"> a přílohy</w:t>
      </w:r>
      <w:r w:rsidRPr="004920C6">
        <w:rPr>
          <w:rFonts w:asciiTheme="minorHAnsi" w:hAnsiTheme="minorHAnsi" w:cstheme="minorHAnsi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060"/>
      </w:tblGrid>
      <w:tr w:rsidR="000B0387" w:rsidRPr="004920C6" w14:paraId="0F107EA9" w14:textId="77777777" w:rsidTr="003E2981">
        <w:tc>
          <w:tcPr>
            <w:tcW w:w="9060" w:type="dxa"/>
            <w:shd w:val="clear" w:color="auto" w:fill="E6E6E6"/>
          </w:tcPr>
          <w:p w14:paraId="5AEB4705" w14:textId="438B7F5F" w:rsidR="000B0387" w:rsidRPr="004920C6" w:rsidRDefault="000B0387" w:rsidP="00C34868">
            <w:pPr>
              <w:spacing w:before="120"/>
              <w:jc w:val="both"/>
              <w:rPr>
                <w:rFonts w:eastAsiaTheme="minorHAnsi" w:cs="Calibri"/>
                <w:b/>
              </w:rPr>
            </w:pPr>
            <w:r w:rsidRPr="004920C6">
              <w:rPr>
                <w:rFonts w:eastAsiaTheme="minorHAnsi" w:cs="Calibri"/>
                <w:b/>
              </w:rPr>
              <w:t>Účetní závěrka</w:t>
            </w:r>
            <w:r w:rsidR="00B718F7" w:rsidRPr="004920C6">
              <w:rPr>
                <w:rFonts w:eastAsiaTheme="minorHAnsi" w:cs="Calibri"/>
                <w:b/>
              </w:rPr>
              <w:t xml:space="preserve"> MK</w:t>
            </w:r>
            <w:r w:rsidRPr="004920C6">
              <w:rPr>
                <w:rFonts w:eastAsiaTheme="minorHAnsi" w:cs="Calibri"/>
                <w:b/>
              </w:rPr>
              <w:t xml:space="preserve"> </w:t>
            </w:r>
            <w:r w:rsidR="00E73D5D" w:rsidRPr="004920C6">
              <w:rPr>
                <w:rFonts w:eastAsiaTheme="minorHAnsi" w:cs="Calibri"/>
                <w:b/>
              </w:rPr>
              <w:t xml:space="preserve">sestavená </w:t>
            </w:r>
            <w:r w:rsidRPr="004920C6">
              <w:rPr>
                <w:rFonts w:eastAsiaTheme="minorHAnsi" w:cs="Calibri"/>
                <w:b/>
              </w:rPr>
              <w:t>k 31.</w:t>
            </w:r>
            <w:r w:rsidR="00B718F7" w:rsidRPr="004920C6">
              <w:rPr>
                <w:rFonts w:eastAsiaTheme="minorHAnsi" w:cs="Calibri"/>
                <w:b/>
              </w:rPr>
              <w:t> </w:t>
            </w:r>
            <w:r w:rsidRPr="004920C6">
              <w:rPr>
                <w:rFonts w:eastAsiaTheme="minorHAnsi" w:cs="Calibri"/>
                <w:b/>
              </w:rPr>
              <w:t>prosinci</w:t>
            </w:r>
            <w:r w:rsidR="00B718F7" w:rsidRPr="004920C6">
              <w:rPr>
                <w:rFonts w:eastAsiaTheme="minorHAnsi" w:cs="Calibri"/>
                <w:b/>
              </w:rPr>
              <w:t> </w:t>
            </w:r>
            <w:r w:rsidRPr="004920C6">
              <w:rPr>
                <w:rFonts w:eastAsiaTheme="minorHAnsi" w:cs="Calibri"/>
                <w:b/>
              </w:rPr>
              <w:t>202</w:t>
            </w:r>
            <w:r w:rsidR="00B718F7" w:rsidRPr="004920C6">
              <w:rPr>
                <w:rFonts w:eastAsiaTheme="minorHAnsi" w:cs="Calibri"/>
                <w:b/>
              </w:rPr>
              <w:t>4</w:t>
            </w:r>
            <w:r w:rsidR="00B3615F" w:rsidRPr="004920C6">
              <w:rPr>
                <w:rFonts w:eastAsiaTheme="minorHAnsi" w:cs="Calibri"/>
                <w:b/>
              </w:rPr>
              <w:t xml:space="preserve"> </w:t>
            </w:r>
            <w:r w:rsidRPr="004920C6">
              <w:rPr>
                <w:rFonts w:eastAsiaTheme="minorHAnsi" w:cs="Calibri"/>
                <w:b/>
              </w:rPr>
              <w:t>podává dle NKÚ ve všech významných ohledech věrný a poctivý obraz předmětu účetnictví a finanční situace účetní jednotky</w:t>
            </w:r>
            <w:r w:rsidR="00891832" w:rsidRPr="004920C6">
              <w:rPr>
                <w:rFonts w:eastAsiaTheme="minorHAnsi" w:cs="Calibri"/>
                <w:b/>
              </w:rPr>
              <w:t>, a</w:t>
            </w:r>
            <w:r w:rsidR="003A0D23">
              <w:rPr>
                <w:rFonts w:eastAsiaTheme="minorHAnsi" w:cs="Calibri"/>
                <w:b/>
              </w:rPr>
              <w:t> </w:t>
            </w:r>
            <w:r w:rsidR="00891832" w:rsidRPr="004920C6">
              <w:rPr>
                <w:rFonts w:eastAsiaTheme="minorHAnsi" w:cs="Calibri"/>
                <w:b/>
              </w:rPr>
              <w:t xml:space="preserve">to </w:t>
            </w:r>
            <w:r w:rsidRPr="004920C6">
              <w:rPr>
                <w:rFonts w:eastAsiaTheme="minorHAnsi" w:cs="Calibri"/>
                <w:b/>
              </w:rPr>
              <w:t>dle účetních předpisů pro některé vybrané účetní jednotky</w:t>
            </w:r>
            <w:r w:rsidR="00B74F4C">
              <w:rPr>
                <w:rStyle w:val="Znakapoznpodarou"/>
                <w:rFonts w:eastAsiaTheme="minorHAnsi" w:cs="Calibri"/>
                <w:b/>
              </w:rPr>
              <w:footnoteReference w:id="3"/>
            </w:r>
            <w:r w:rsidRPr="004920C6">
              <w:rPr>
                <w:rFonts w:eastAsiaTheme="minorHAnsi" w:cs="Calibri"/>
                <w:b/>
              </w:rPr>
              <w:t>.</w:t>
            </w:r>
          </w:p>
        </w:tc>
      </w:tr>
    </w:tbl>
    <w:p w14:paraId="06D7C5D5" w14:textId="2C0E4B0E" w:rsidR="00911271" w:rsidRPr="004920C6" w:rsidRDefault="00911271" w:rsidP="00624D38">
      <w:pPr>
        <w:spacing w:before="120"/>
        <w:jc w:val="both"/>
        <w:rPr>
          <w:rFonts w:eastAsiaTheme="minorHAnsi" w:cs="Calibri"/>
        </w:rPr>
      </w:pPr>
      <w:r w:rsidRPr="004920C6">
        <w:rPr>
          <w:rFonts w:asciiTheme="minorHAnsi" w:eastAsiaTheme="minorHAnsi" w:hAnsiTheme="minorHAnsi" w:cstheme="minorHAnsi"/>
        </w:rPr>
        <w:t>NKÚ v průběhu kontroly identifikoval</w:t>
      </w:r>
      <w:r w:rsidR="00B718F7" w:rsidRPr="004920C6">
        <w:rPr>
          <w:rFonts w:asciiTheme="minorHAnsi" w:eastAsiaTheme="minorHAnsi" w:hAnsiTheme="minorHAnsi" w:cstheme="minorHAnsi"/>
        </w:rPr>
        <w:t xml:space="preserve"> </w:t>
      </w:r>
      <w:r w:rsidRPr="004920C6">
        <w:rPr>
          <w:rFonts w:asciiTheme="minorHAnsi" w:eastAsiaTheme="minorHAnsi" w:hAnsiTheme="minorHAnsi" w:cstheme="minorHAnsi"/>
        </w:rPr>
        <w:t>nedostatky ve vedení účetnictví</w:t>
      </w:r>
      <w:r w:rsidR="003D5233" w:rsidRPr="004920C6">
        <w:rPr>
          <w:rFonts w:asciiTheme="minorHAnsi" w:eastAsiaTheme="minorHAnsi" w:hAnsiTheme="minorHAnsi" w:cstheme="minorHAnsi"/>
        </w:rPr>
        <w:t xml:space="preserve"> MK</w:t>
      </w:r>
      <w:r w:rsidR="00A61F2A" w:rsidRPr="004920C6">
        <w:rPr>
          <w:rFonts w:asciiTheme="minorHAnsi" w:eastAsiaTheme="minorHAnsi" w:hAnsiTheme="minorHAnsi" w:cstheme="minorHAnsi"/>
        </w:rPr>
        <w:t xml:space="preserve">. </w:t>
      </w:r>
      <w:r w:rsidR="00A61F2A" w:rsidRPr="004920C6">
        <w:rPr>
          <w:rFonts w:asciiTheme="minorHAnsi" w:hAnsiTheme="minorHAnsi" w:cs="Calibri"/>
        </w:rPr>
        <w:t>Tyto nedostatky ve výši 6,6 mld. Kč</w:t>
      </w:r>
      <w:r w:rsidR="007003E3" w:rsidRPr="004920C6">
        <w:rPr>
          <w:rFonts w:asciiTheme="minorHAnsi" w:hAnsiTheme="minorHAnsi" w:cs="Calibri"/>
        </w:rPr>
        <w:t xml:space="preserve"> </w:t>
      </w:r>
      <w:r w:rsidR="00A61F2A" w:rsidRPr="004920C6">
        <w:rPr>
          <w:rFonts w:asciiTheme="minorHAnsi" w:hAnsiTheme="minorHAnsi" w:cs="Calibri"/>
        </w:rPr>
        <w:t>by měly významný</w:t>
      </w:r>
      <w:r w:rsidR="00A61F2A" w:rsidRPr="004920C6">
        <w:rPr>
          <w:rFonts w:asciiTheme="minorHAnsi" w:hAnsiTheme="minorHAnsi"/>
        </w:rPr>
        <w:t xml:space="preserve"> </w:t>
      </w:r>
      <w:r w:rsidR="00A61F2A" w:rsidRPr="004920C6">
        <w:rPr>
          <w:rFonts w:asciiTheme="minorHAnsi" w:hAnsiTheme="minorHAnsi" w:cs="Calibri"/>
        </w:rPr>
        <w:t>vliv na zůstatky položek</w:t>
      </w:r>
      <w:r w:rsidR="007003E3" w:rsidRPr="004920C6">
        <w:rPr>
          <w:rFonts w:asciiTheme="minorHAnsi" w:hAnsiTheme="minorHAnsi" w:cs="Calibri"/>
        </w:rPr>
        <w:t xml:space="preserve"> ÚZ </w:t>
      </w:r>
      <w:r w:rsidR="00A61F2A" w:rsidRPr="004920C6">
        <w:rPr>
          <w:rFonts w:asciiTheme="minorHAnsi" w:hAnsiTheme="minorHAnsi" w:cs="Calibri"/>
        </w:rPr>
        <w:t>(zejména</w:t>
      </w:r>
      <w:r w:rsidR="007003E3" w:rsidRPr="004920C6">
        <w:rPr>
          <w:rFonts w:asciiTheme="minorHAnsi" w:hAnsiTheme="minorHAnsi" w:cs="Calibri"/>
        </w:rPr>
        <w:t xml:space="preserve"> přílohy ÚZ</w:t>
      </w:r>
      <w:r w:rsidR="00A61F2A" w:rsidRPr="004920C6">
        <w:rPr>
          <w:rFonts w:asciiTheme="minorHAnsi" w:hAnsiTheme="minorHAnsi" w:cs="Calibri"/>
        </w:rPr>
        <w:t>)</w:t>
      </w:r>
      <w:r w:rsidRPr="004920C6">
        <w:rPr>
          <w:rFonts w:asciiTheme="minorHAnsi" w:eastAsiaTheme="minorHAnsi" w:hAnsiTheme="minorHAnsi" w:cstheme="minorHAnsi"/>
        </w:rPr>
        <w:t xml:space="preserve">. </w:t>
      </w:r>
      <w:r w:rsidR="001C6A0E" w:rsidRPr="004920C6">
        <w:rPr>
          <w:rFonts w:asciiTheme="minorHAnsi" w:eastAsiaTheme="minorHAnsi" w:hAnsiTheme="minorHAnsi" w:cstheme="minorHAnsi"/>
        </w:rPr>
        <w:t>MK</w:t>
      </w:r>
      <w:r w:rsidR="007003E3" w:rsidRPr="004920C6">
        <w:rPr>
          <w:rFonts w:asciiTheme="minorHAnsi" w:eastAsiaTheme="minorHAnsi" w:hAnsiTheme="minorHAnsi" w:cstheme="minorHAnsi"/>
        </w:rPr>
        <w:t xml:space="preserve"> zjištěné </w:t>
      </w:r>
      <w:r w:rsidRPr="004920C6">
        <w:rPr>
          <w:rFonts w:asciiTheme="minorHAnsi" w:eastAsiaTheme="minorHAnsi" w:hAnsiTheme="minorHAnsi" w:cstheme="minorHAnsi"/>
        </w:rPr>
        <w:t>nedostatky</w:t>
      </w:r>
      <w:r w:rsidR="002551B9" w:rsidRPr="004920C6">
        <w:rPr>
          <w:rFonts w:asciiTheme="minorHAnsi" w:eastAsiaTheme="minorHAnsi" w:hAnsiTheme="minorHAnsi" w:cstheme="minorHAnsi"/>
        </w:rPr>
        <w:t xml:space="preserve"> </w:t>
      </w:r>
      <w:r w:rsidRPr="004920C6">
        <w:rPr>
          <w:rFonts w:asciiTheme="minorHAnsi" w:eastAsiaTheme="minorHAnsi" w:hAnsiTheme="minorHAnsi" w:cstheme="minorHAnsi"/>
        </w:rPr>
        <w:t>opravil</w:t>
      </w:r>
      <w:r w:rsidR="001C6A0E" w:rsidRPr="004920C6">
        <w:rPr>
          <w:rFonts w:asciiTheme="minorHAnsi" w:eastAsiaTheme="minorHAnsi" w:hAnsiTheme="minorHAnsi" w:cstheme="minorHAnsi"/>
        </w:rPr>
        <w:t>o</w:t>
      </w:r>
      <w:r w:rsidR="00966A8A" w:rsidRPr="004920C6">
        <w:rPr>
          <w:rFonts w:asciiTheme="minorHAnsi" w:eastAsiaTheme="minorHAnsi" w:hAnsiTheme="minorHAnsi" w:cstheme="minorHAnsi"/>
        </w:rPr>
        <w:t xml:space="preserve"> ještě před sestavením</w:t>
      </w:r>
      <w:r w:rsidR="0052067D" w:rsidRPr="004920C6">
        <w:rPr>
          <w:rFonts w:asciiTheme="minorHAnsi" w:eastAsiaTheme="minorHAnsi" w:hAnsiTheme="minorHAnsi" w:cstheme="minorHAnsi"/>
        </w:rPr>
        <w:t xml:space="preserve"> účetní závěrky</w:t>
      </w:r>
      <w:r w:rsidR="003D5233" w:rsidRPr="004920C6">
        <w:rPr>
          <w:rFonts w:asciiTheme="minorHAnsi" w:eastAsiaTheme="minorHAnsi" w:hAnsiTheme="minorHAnsi" w:cstheme="minorHAnsi"/>
        </w:rPr>
        <w:t xml:space="preserve"> </w:t>
      </w:r>
      <w:r w:rsidR="00120D87" w:rsidRPr="004920C6">
        <w:rPr>
          <w:rFonts w:asciiTheme="minorHAnsi" w:hAnsiTheme="minorHAnsi" w:cstheme="minorHAnsi"/>
        </w:rPr>
        <w:t>(viz část IV.</w:t>
      </w:r>
      <w:r w:rsidR="00DA297E" w:rsidRPr="004920C6">
        <w:rPr>
          <w:rFonts w:asciiTheme="minorHAnsi" w:hAnsiTheme="minorHAnsi" w:cstheme="minorHAnsi"/>
        </w:rPr>
        <w:t>1.1</w:t>
      </w:r>
      <w:r w:rsidR="00120D87" w:rsidRPr="004920C6">
        <w:rPr>
          <w:rFonts w:asciiTheme="minorHAnsi" w:hAnsiTheme="minorHAnsi" w:cstheme="minorHAnsi"/>
        </w:rPr>
        <w:t xml:space="preserve"> tohoto kontrolního závěru)</w:t>
      </w:r>
      <w:r w:rsidR="002A6063" w:rsidRPr="004920C6">
        <w:rPr>
          <w:rFonts w:asciiTheme="minorHAnsi" w:eastAsiaTheme="minorHAnsi" w:hAnsiTheme="minorHAnsi" w:cstheme="minorHAnsi"/>
        </w:rPr>
        <w:t>.</w:t>
      </w:r>
    </w:p>
    <w:p w14:paraId="1ECD24D8" w14:textId="2289F0ED" w:rsidR="0069309F" w:rsidRPr="004920C6" w:rsidRDefault="000B0387" w:rsidP="00C34868">
      <w:pPr>
        <w:spacing w:before="120"/>
        <w:jc w:val="both"/>
        <w:rPr>
          <w:rFonts w:eastAsiaTheme="minorHAnsi" w:cs="Calibri"/>
          <w:b/>
        </w:rPr>
      </w:pPr>
      <w:r w:rsidRPr="004920C6">
        <w:rPr>
          <w:rFonts w:eastAsiaTheme="minorHAnsi" w:cs="Calibri"/>
          <w:b/>
        </w:rPr>
        <w:t>V důsledku provedení účetních oprav a přijetí</w:t>
      </w:r>
      <w:r w:rsidR="00891832" w:rsidRPr="004920C6">
        <w:rPr>
          <w:rFonts w:eastAsiaTheme="minorHAnsi" w:cs="Calibri"/>
          <w:b/>
        </w:rPr>
        <w:t xml:space="preserve"> </w:t>
      </w:r>
      <w:r w:rsidRPr="004920C6">
        <w:rPr>
          <w:rFonts w:eastAsiaTheme="minorHAnsi" w:cs="Calibri"/>
          <w:b/>
        </w:rPr>
        <w:t xml:space="preserve">potřebných opatření k eliminaci systémových nedostatků </w:t>
      </w:r>
      <w:r w:rsidR="00824FEA" w:rsidRPr="004920C6">
        <w:rPr>
          <w:rFonts w:eastAsiaTheme="minorHAnsi" w:cs="Calibri"/>
          <w:b/>
        </w:rPr>
        <w:t>v</w:t>
      </w:r>
      <w:r w:rsidR="002D2E09" w:rsidRPr="004920C6">
        <w:rPr>
          <w:rFonts w:eastAsiaTheme="minorHAnsi" w:cs="Calibri"/>
          <w:b/>
        </w:rPr>
        <w:t xml:space="preserve"> </w:t>
      </w:r>
      <w:r w:rsidR="00824FEA" w:rsidRPr="004920C6">
        <w:rPr>
          <w:rFonts w:eastAsiaTheme="minorHAnsi" w:cs="Calibri"/>
          <w:b/>
        </w:rPr>
        <w:t xml:space="preserve">průběhu kontroly NKÚ </w:t>
      </w:r>
      <w:r w:rsidRPr="004920C6">
        <w:rPr>
          <w:rFonts w:eastAsiaTheme="minorHAnsi" w:cs="Calibri"/>
          <w:b/>
        </w:rPr>
        <w:t>bylo účetnictví</w:t>
      </w:r>
      <w:r w:rsidR="00F5561F" w:rsidRPr="004920C6">
        <w:rPr>
          <w:rFonts w:eastAsiaTheme="minorHAnsi" w:cs="Calibri"/>
          <w:b/>
        </w:rPr>
        <w:t xml:space="preserve"> MK</w:t>
      </w:r>
      <w:r w:rsidR="002551B9" w:rsidRPr="004920C6">
        <w:rPr>
          <w:rFonts w:eastAsiaTheme="minorHAnsi" w:cs="Calibri"/>
          <w:b/>
        </w:rPr>
        <w:t xml:space="preserve"> v</w:t>
      </w:r>
      <w:r w:rsidR="002D2E09" w:rsidRPr="004920C6">
        <w:rPr>
          <w:rFonts w:eastAsiaTheme="minorHAnsi" w:cs="Calibri"/>
          <w:b/>
        </w:rPr>
        <w:t xml:space="preserve"> </w:t>
      </w:r>
      <w:r w:rsidR="002551B9" w:rsidRPr="004920C6">
        <w:rPr>
          <w:rFonts w:eastAsiaTheme="minorHAnsi" w:cs="Calibri"/>
          <w:b/>
        </w:rPr>
        <w:t>roce 202</w:t>
      </w:r>
      <w:r w:rsidR="00F5561F" w:rsidRPr="004920C6">
        <w:rPr>
          <w:rFonts w:eastAsiaTheme="minorHAnsi" w:cs="Calibri"/>
          <w:b/>
        </w:rPr>
        <w:t>4</w:t>
      </w:r>
      <w:r w:rsidRPr="004920C6">
        <w:rPr>
          <w:rFonts w:eastAsiaTheme="minorHAnsi" w:cs="Calibri"/>
          <w:b/>
        </w:rPr>
        <w:t xml:space="preserve"> vedeno v souladu s</w:t>
      </w:r>
      <w:r w:rsidR="003E2981" w:rsidRPr="004920C6">
        <w:rPr>
          <w:rFonts w:eastAsiaTheme="minorHAnsi" w:cs="Calibri"/>
          <w:b/>
        </w:rPr>
        <w:t> </w:t>
      </w:r>
      <w:r w:rsidRPr="004920C6">
        <w:rPr>
          <w:rFonts w:eastAsiaTheme="minorHAnsi" w:cs="Calibri"/>
          <w:b/>
        </w:rPr>
        <w:t>příslušnými právními předpisy.</w:t>
      </w:r>
      <w:bookmarkStart w:id="0" w:name="_Hlk105757989"/>
    </w:p>
    <w:p w14:paraId="3F0B293E" w14:textId="21D12673" w:rsidR="00FA317B" w:rsidRPr="004920C6" w:rsidRDefault="0069309F" w:rsidP="00C34868">
      <w:pPr>
        <w:spacing w:after="240"/>
        <w:jc w:val="both"/>
        <w:rPr>
          <w:rFonts w:asciiTheme="minorHAnsi" w:eastAsiaTheme="minorHAnsi" w:hAnsiTheme="minorHAnsi" w:cs="Calibri"/>
        </w:rPr>
      </w:pPr>
      <w:r w:rsidRPr="004920C6">
        <w:rPr>
          <w:rFonts w:asciiTheme="minorHAnsi" w:hAnsiTheme="minorHAnsi" w:cstheme="minorHAnsi"/>
        </w:rPr>
        <w:t>Nesprávnosti, které</w:t>
      </w:r>
      <w:r w:rsidR="0000276E" w:rsidRPr="004920C6">
        <w:rPr>
          <w:rFonts w:asciiTheme="minorHAnsi" w:hAnsiTheme="minorHAnsi" w:cstheme="minorHAnsi"/>
        </w:rPr>
        <w:t xml:space="preserve"> MK</w:t>
      </w:r>
      <w:r w:rsidRPr="004920C6">
        <w:rPr>
          <w:rFonts w:asciiTheme="minorHAnsi" w:hAnsiTheme="minorHAnsi" w:cstheme="minorHAnsi"/>
        </w:rPr>
        <w:t xml:space="preserve"> neopravil</w:t>
      </w:r>
      <w:r w:rsidR="0000276E" w:rsidRPr="004920C6">
        <w:rPr>
          <w:rFonts w:asciiTheme="minorHAnsi" w:hAnsiTheme="minorHAnsi" w:cstheme="minorHAnsi"/>
        </w:rPr>
        <w:t>o</w:t>
      </w:r>
      <w:r w:rsidRPr="004920C6">
        <w:rPr>
          <w:rFonts w:asciiTheme="minorHAnsi" w:hAnsiTheme="minorHAnsi" w:cstheme="minorHAnsi"/>
        </w:rPr>
        <w:t>, neměly významný dopad na údaje ÚZ. Jednalo se o údaje za</w:t>
      </w:r>
      <w:r w:rsidR="00723218"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běžné účetní období v</w:t>
      </w:r>
      <w:r w:rsidR="002D2E09"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celkové výši</w:t>
      </w:r>
      <w:r w:rsidR="00B27982" w:rsidRPr="004920C6">
        <w:rPr>
          <w:rFonts w:asciiTheme="minorHAnsi" w:hAnsiTheme="minorHAnsi" w:cstheme="minorHAnsi"/>
        </w:rPr>
        <w:t xml:space="preserve"> </w:t>
      </w:r>
      <w:r w:rsidR="0000276E" w:rsidRPr="004920C6">
        <w:rPr>
          <w:rFonts w:asciiTheme="minorHAnsi" w:hAnsiTheme="minorHAnsi" w:cstheme="minorHAnsi"/>
        </w:rPr>
        <w:t>834</w:t>
      </w:r>
      <w:r w:rsidR="00B27982" w:rsidRPr="004920C6">
        <w:rPr>
          <w:rFonts w:asciiTheme="minorHAnsi" w:hAnsiTheme="minorHAnsi" w:cstheme="minorHAnsi"/>
        </w:rPr>
        <w:t>,5</w:t>
      </w:r>
      <w:r w:rsidR="0000276E" w:rsidRPr="004920C6">
        <w:rPr>
          <w:rFonts w:asciiTheme="minorHAnsi" w:hAnsiTheme="minorHAnsi" w:cstheme="minorHAnsi"/>
        </w:rPr>
        <w:t> </w:t>
      </w:r>
      <w:r w:rsidR="00B27982" w:rsidRPr="004920C6">
        <w:rPr>
          <w:rFonts w:asciiTheme="minorHAnsi" w:hAnsiTheme="minorHAnsi" w:cstheme="minorHAnsi"/>
        </w:rPr>
        <w:t>tis.</w:t>
      </w:r>
      <w:r w:rsidR="0000276E" w:rsidRPr="004920C6">
        <w:t> </w:t>
      </w:r>
      <w:r w:rsidRPr="004920C6">
        <w:rPr>
          <w:rFonts w:asciiTheme="minorHAnsi" w:hAnsiTheme="minorHAnsi" w:cstheme="minorHAnsi"/>
        </w:rPr>
        <w:t>Kč, které</w:t>
      </w:r>
      <w:r w:rsidR="0000276E" w:rsidRPr="004920C6">
        <w:rPr>
          <w:rFonts w:asciiTheme="minorHAnsi" w:hAnsiTheme="minorHAnsi" w:cstheme="minorHAnsi"/>
        </w:rPr>
        <w:t xml:space="preserve"> MK</w:t>
      </w:r>
      <w:r w:rsidRPr="004920C6">
        <w:rPr>
          <w:rFonts w:asciiTheme="minorHAnsi" w:hAnsiTheme="minorHAnsi" w:cstheme="minorHAnsi"/>
        </w:rPr>
        <w:t xml:space="preserve"> v</w:t>
      </w:r>
      <w:r w:rsidR="006B230A" w:rsidRPr="004920C6">
        <w:rPr>
          <w:rFonts w:asciiTheme="minorHAnsi" w:hAnsiTheme="minorHAnsi" w:cstheme="minorHAnsi"/>
        </w:rPr>
        <w:t xml:space="preserve"> přehledu o peněžních tocích </w:t>
      </w:r>
      <w:r w:rsidRPr="004920C6">
        <w:rPr>
          <w:rFonts w:asciiTheme="minorHAnsi" w:hAnsiTheme="minorHAnsi" w:cstheme="minorHAnsi"/>
        </w:rPr>
        <w:t>nevykázal</w:t>
      </w:r>
      <w:r w:rsidR="0000276E" w:rsidRPr="004920C6">
        <w:rPr>
          <w:rFonts w:asciiTheme="minorHAnsi" w:hAnsiTheme="minorHAnsi" w:cstheme="minorHAnsi"/>
        </w:rPr>
        <w:t>o</w:t>
      </w:r>
      <w:r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="Calibri"/>
        </w:rPr>
        <w:t xml:space="preserve">v </w:t>
      </w:r>
      <w:r w:rsidRPr="004920C6">
        <w:rPr>
          <w:rFonts w:asciiTheme="minorHAnsi" w:hAnsiTheme="minorHAnsi" w:cstheme="minorHAnsi"/>
        </w:rPr>
        <w:t xml:space="preserve">souladu s právními </w:t>
      </w:r>
      <w:r w:rsidRPr="004920C6">
        <w:rPr>
          <w:rFonts w:asciiTheme="minorHAnsi" w:eastAsiaTheme="minorHAnsi" w:hAnsiTheme="minorHAnsi" w:cs="Calibri"/>
        </w:rPr>
        <w:t xml:space="preserve">předpisy upravujícími vedení účetnictví </w:t>
      </w:r>
      <w:r w:rsidR="00B27982" w:rsidRPr="004920C6">
        <w:rPr>
          <w:rFonts w:asciiTheme="minorHAnsi" w:eastAsiaTheme="minorHAnsi" w:hAnsiTheme="minorHAnsi" w:cs="Calibri"/>
        </w:rPr>
        <w:t xml:space="preserve">a účetní výkaznictví </w:t>
      </w:r>
      <w:r w:rsidRPr="004920C6">
        <w:rPr>
          <w:rFonts w:asciiTheme="minorHAnsi" w:eastAsiaTheme="minorHAnsi" w:hAnsiTheme="minorHAnsi" w:cs="Calibri"/>
        </w:rPr>
        <w:t>(viz část IV.1.2</w:t>
      </w:r>
      <w:r w:rsidR="00723218" w:rsidRPr="004920C6">
        <w:rPr>
          <w:rFonts w:asciiTheme="minorHAnsi" w:eastAsiaTheme="minorHAnsi" w:hAnsiTheme="minorHAnsi" w:cstheme="minorHAnsi"/>
        </w:rPr>
        <w:t xml:space="preserve"> tohoto kontrolního závěru</w:t>
      </w:r>
      <w:r w:rsidRPr="004920C6">
        <w:rPr>
          <w:rFonts w:asciiTheme="minorHAnsi" w:eastAsiaTheme="minorHAnsi" w:hAnsiTheme="minorHAnsi" w:cs="Calibri"/>
        </w:rPr>
        <w:t>).</w:t>
      </w:r>
      <w:bookmarkEnd w:id="0"/>
    </w:p>
    <w:p w14:paraId="2A3A00E6" w14:textId="61862207" w:rsidR="00F37FEB" w:rsidRPr="004920C6" w:rsidRDefault="00A640AE" w:rsidP="003D5233">
      <w:pPr>
        <w:pStyle w:val="Styl2"/>
        <w:numPr>
          <w:ilvl w:val="0"/>
          <w:numId w:val="27"/>
        </w:numPr>
        <w:spacing w:before="240" w:after="120"/>
        <w:ind w:left="284" w:hanging="284"/>
      </w:pPr>
      <w:r w:rsidRPr="004920C6">
        <w:t xml:space="preserve">Údaje </w:t>
      </w:r>
      <w:r w:rsidR="002352D7" w:rsidRPr="004920C6">
        <w:t>předkládané</w:t>
      </w:r>
      <w:r w:rsidR="00E6724F" w:rsidRPr="004920C6">
        <w:t xml:space="preserve"> Ministerstvem kultury</w:t>
      </w:r>
      <w:r w:rsidR="00F94732" w:rsidRPr="004920C6">
        <w:t xml:space="preserve"> </w:t>
      </w:r>
      <w:r w:rsidRPr="004920C6">
        <w:t xml:space="preserve">pro hodnocení plnění </w:t>
      </w:r>
      <w:r w:rsidR="0087086A" w:rsidRPr="004920C6">
        <w:t xml:space="preserve">státního </w:t>
      </w:r>
      <w:r w:rsidRPr="004920C6">
        <w:t>rozpočtu</w:t>
      </w:r>
    </w:p>
    <w:p w14:paraId="7D83B6DB" w14:textId="00C63638" w:rsidR="00B3615F" w:rsidRPr="004920C6" w:rsidRDefault="00B3615F" w:rsidP="00B3615F">
      <w:pPr>
        <w:spacing w:before="120"/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</w:rPr>
        <w:t xml:space="preserve">NKÚ provedl ve výkazu </w:t>
      </w:r>
      <w:r w:rsidRPr="004920C6">
        <w:rPr>
          <w:rFonts w:eastAsiaTheme="minorHAnsi" w:cs="Calibri"/>
        </w:rPr>
        <w:t>pro hodnocení plnění rozpočtu MK za rok 2024 (dále také „výkaz FIN 1-12 OSS“)</w:t>
      </w:r>
      <w:r w:rsidRPr="004920C6">
        <w:rPr>
          <w:rStyle w:val="Znakapoznpodarou"/>
          <w:rFonts w:asciiTheme="minorHAnsi" w:hAnsiTheme="minorHAnsi" w:cstheme="minorHAnsi"/>
        </w:rPr>
        <w:footnoteReference w:id="4"/>
      </w:r>
      <w:r w:rsidR="00972942"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 xml:space="preserve">u údajů o příjmech a výdajích ve sloupci </w:t>
      </w:r>
      <w:r w:rsidRPr="004920C6">
        <w:rPr>
          <w:rFonts w:asciiTheme="minorHAnsi" w:hAnsiTheme="minorHAnsi" w:cstheme="minorHAnsi"/>
          <w:i/>
          <w:iCs/>
        </w:rPr>
        <w:t>Skutečnost</w:t>
      </w:r>
      <w:r w:rsidRPr="004920C6">
        <w:rPr>
          <w:rFonts w:asciiTheme="minorHAnsi" w:hAnsiTheme="minorHAnsi" w:cstheme="minorHAnsi"/>
        </w:rPr>
        <w:t xml:space="preserve"> kontrolu správnosti jejich třídění z hlediska druhového, odvětvového a prostorového dle rozpočtové skladby.</w:t>
      </w:r>
    </w:p>
    <w:tbl>
      <w:tblPr>
        <w:tblStyle w:val="Mkatabulky"/>
        <w:tblW w:w="9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028"/>
      </w:tblGrid>
      <w:tr w:rsidR="0047376D" w:rsidRPr="004920C6" w14:paraId="769DD23F" w14:textId="77777777" w:rsidTr="003E2981">
        <w:trPr>
          <w:trHeight w:val="767"/>
        </w:trPr>
        <w:tc>
          <w:tcPr>
            <w:tcW w:w="9028" w:type="dxa"/>
            <w:shd w:val="clear" w:color="auto" w:fill="E6E6E6"/>
          </w:tcPr>
          <w:p w14:paraId="0E413513" w14:textId="5388FF5B" w:rsidR="0047376D" w:rsidRPr="004920C6" w:rsidRDefault="00E73D5D" w:rsidP="00C34868">
            <w:pPr>
              <w:spacing w:before="120"/>
              <w:jc w:val="both"/>
              <w:rPr>
                <w:rFonts w:eastAsiaTheme="minorHAnsi" w:cs="Calibri"/>
                <w:b/>
              </w:rPr>
            </w:pPr>
            <w:bookmarkStart w:id="1" w:name="_Hlk105757622"/>
            <w:r w:rsidRPr="004920C6">
              <w:rPr>
                <w:rFonts w:eastAsiaTheme="minorHAnsi" w:cs="Calibri"/>
                <w:b/>
              </w:rPr>
              <w:t>Pod</w:t>
            </w:r>
            <w:r w:rsidR="00EC4DE8" w:rsidRPr="004920C6">
              <w:rPr>
                <w:rFonts w:eastAsiaTheme="minorHAnsi" w:cs="Calibri"/>
                <w:b/>
              </w:rPr>
              <w:t xml:space="preserve">le </w:t>
            </w:r>
            <w:r w:rsidRPr="004920C6">
              <w:rPr>
                <w:rFonts w:eastAsiaTheme="minorHAnsi" w:cs="Calibri"/>
                <w:b/>
              </w:rPr>
              <w:t>NKÚ byl v</w:t>
            </w:r>
            <w:r w:rsidR="0092468E" w:rsidRPr="004920C6">
              <w:rPr>
                <w:rFonts w:eastAsiaTheme="minorHAnsi" w:cs="Calibri"/>
                <w:b/>
              </w:rPr>
              <w:t>ýkaz pro hodnocení plnění rozpočtu</w:t>
            </w:r>
            <w:r w:rsidR="00440D25" w:rsidRPr="004920C6">
              <w:rPr>
                <w:rFonts w:eastAsiaTheme="minorHAnsi" w:cs="Calibri"/>
                <w:b/>
              </w:rPr>
              <w:t xml:space="preserve"> MK</w:t>
            </w:r>
            <w:r w:rsidR="00CD0477" w:rsidRPr="004920C6">
              <w:rPr>
                <w:rFonts w:eastAsiaTheme="minorHAnsi" w:cs="Calibri"/>
                <w:b/>
              </w:rPr>
              <w:t xml:space="preserve"> </w:t>
            </w:r>
            <w:r w:rsidR="008412ED" w:rsidRPr="004920C6">
              <w:rPr>
                <w:rFonts w:eastAsiaTheme="minorHAnsi" w:cs="Calibri"/>
                <w:b/>
              </w:rPr>
              <w:t>za rok</w:t>
            </w:r>
            <w:r w:rsidR="00CD0477" w:rsidRPr="004920C6">
              <w:rPr>
                <w:rFonts w:eastAsiaTheme="minorHAnsi" w:cs="Calibri"/>
                <w:b/>
              </w:rPr>
              <w:t xml:space="preserve"> 202</w:t>
            </w:r>
            <w:r w:rsidR="00440D25" w:rsidRPr="004920C6">
              <w:rPr>
                <w:rFonts w:eastAsiaTheme="minorHAnsi" w:cs="Calibri"/>
                <w:b/>
              </w:rPr>
              <w:t>4</w:t>
            </w:r>
            <w:r w:rsidR="00972942" w:rsidRPr="004920C6">
              <w:rPr>
                <w:rFonts w:eastAsiaTheme="minorHAnsi" w:cs="Calibri"/>
                <w:b/>
              </w:rPr>
              <w:t xml:space="preserve"> </w:t>
            </w:r>
            <w:r w:rsidR="0092468E" w:rsidRPr="004920C6">
              <w:rPr>
                <w:rFonts w:eastAsiaTheme="minorHAnsi" w:cs="Calibri"/>
                <w:b/>
              </w:rPr>
              <w:t>ve všech významných ohledech sestaven v souladu s příslušnými právními předpisy.</w:t>
            </w:r>
          </w:p>
        </w:tc>
      </w:tr>
    </w:tbl>
    <w:bookmarkEnd w:id="1"/>
    <w:p w14:paraId="1F97AB82" w14:textId="72D256B7" w:rsidR="00447664" w:rsidRPr="004920C6" w:rsidRDefault="00447664" w:rsidP="00601F1B">
      <w:pPr>
        <w:spacing w:before="120"/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</w:rPr>
        <w:t>NKÚ</w:t>
      </w:r>
      <w:r w:rsidR="00CF031C" w:rsidRPr="004920C6">
        <w:rPr>
          <w:rFonts w:asciiTheme="minorHAnsi" w:hAnsiTheme="minorHAnsi" w:cstheme="minorHAnsi"/>
        </w:rPr>
        <w:t xml:space="preserve"> ne</w:t>
      </w:r>
      <w:r w:rsidR="0039056F" w:rsidRPr="004920C6">
        <w:rPr>
          <w:rFonts w:asciiTheme="minorHAnsi" w:hAnsiTheme="minorHAnsi" w:cstheme="minorHAnsi"/>
        </w:rPr>
        <w:t>identifikoval</w:t>
      </w:r>
      <w:r w:rsidR="00966A8A"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v</w:t>
      </w:r>
      <w:r w:rsidR="00972942" w:rsidRPr="004920C6">
        <w:rPr>
          <w:rFonts w:asciiTheme="minorHAnsi" w:hAnsiTheme="minorHAnsi" w:cstheme="minorHAnsi"/>
        </w:rPr>
        <w:t xml:space="preserve"> kontrolovaných </w:t>
      </w:r>
      <w:r w:rsidRPr="004920C6">
        <w:rPr>
          <w:rFonts w:asciiTheme="minorHAnsi" w:hAnsiTheme="minorHAnsi" w:cstheme="minorHAnsi"/>
        </w:rPr>
        <w:t>údajích</w:t>
      </w:r>
      <w:r w:rsidR="006B230A"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nedostat</w:t>
      </w:r>
      <w:r w:rsidR="00CF031C" w:rsidRPr="004920C6">
        <w:rPr>
          <w:rFonts w:asciiTheme="minorHAnsi" w:hAnsiTheme="minorHAnsi" w:cstheme="minorHAnsi"/>
        </w:rPr>
        <w:t xml:space="preserve">ky </w:t>
      </w:r>
      <w:r w:rsidR="00966A8A" w:rsidRPr="004920C6">
        <w:rPr>
          <w:rFonts w:asciiTheme="minorHAnsi" w:hAnsiTheme="minorHAnsi" w:cstheme="minorHAnsi"/>
        </w:rPr>
        <w:t>(viz část IV.</w:t>
      </w:r>
      <w:r w:rsidR="00DA297E" w:rsidRPr="004920C6">
        <w:rPr>
          <w:rFonts w:asciiTheme="minorHAnsi" w:hAnsiTheme="minorHAnsi" w:cstheme="minorHAnsi"/>
        </w:rPr>
        <w:t>2</w:t>
      </w:r>
      <w:r w:rsidR="00966A8A" w:rsidRPr="004920C6">
        <w:rPr>
          <w:rFonts w:asciiTheme="minorHAnsi" w:hAnsiTheme="minorHAnsi" w:cstheme="minorHAnsi"/>
        </w:rPr>
        <w:t xml:space="preserve"> tohoto kontrolního závěru)</w:t>
      </w:r>
      <w:r w:rsidRPr="004920C6">
        <w:rPr>
          <w:rFonts w:asciiTheme="minorHAnsi" w:hAnsiTheme="minorHAnsi" w:cstheme="minorHAnsi"/>
        </w:rPr>
        <w:t>.</w:t>
      </w:r>
    </w:p>
    <w:p w14:paraId="189B4E01" w14:textId="62521FED" w:rsidR="00822B34" w:rsidRPr="004920C6" w:rsidRDefault="00865CC2" w:rsidP="003D5233">
      <w:pPr>
        <w:pStyle w:val="Styl2"/>
        <w:numPr>
          <w:ilvl w:val="0"/>
          <w:numId w:val="27"/>
        </w:numPr>
        <w:spacing w:before="240" w:after="120"/>
        <w:ind w:left="284" w:hanging="284"/>
      </w:pPr>
      <w:r w:rsidRPr="004920C6">
        <w:lastRenderedPageBreak/>
        <w:t xml:space="preserve">Závěrečný účet kapitoly </w:t>
      </w:r>
      <w:r w:rsidR="00723343" w:rsidRPr="004920C6">
        <w:t xml:space="preserve">státního rozpočtu </w:t>
      </w:r>
      <w:r w:rsidR="00E27D8D" w:rsidRPr="004920C6">
        <w:t>3</w:t>
      </w:r>
      <w:r w:rsidR="00CF031C" w:rsidRPr="004920C6">
        <w:t>34</w:t>
      </w:r>
      <w:r w:rsidR="00723343" w:rsidRPr="004920C6">
        <w:t xml:space="preserve"> </w:t>
      </w:r>
      <w:r w:rsidR="004C5BCF" w:rsidRPr="004920C6">
        <w:t>–</w:t>
      </w:r>
      <w:r w:rsidR="00723343" w:rsidRPr="004920C6">
        <w:t xml:space="preserve"> </w:t>
      </w:r>
      <w:r w:rsidR="00CF031C" w:rsidRPr="00CD0C06">
        <w:rPr>
          <w:i/>
          <w:iCs/>
        </w:rPr>
        <w:t>Ministerstvo kultury</w:t>
      </w:r>
    </w:p>
    <w:p w14:paraId="3DB84A16" w14:textId="4DD2C7E5" w:rsidR="003D5233" w:rsidRPr="004920C6" w:rsidRDefault="003D5233" w:rsidP="003D5233">
      <w:pPr>
        <w:jc w:val="both"/>
        <w:rPr>
          <w:rFonts w:ascii="Times New Roman" w:hAnsi="Times New Roman"/>
          <w:lang w:eastAsia="cs-CZ"/>
        </w:rPr>
      </w:pPr>
      <w:r w:rsidRPr="004920C6">
        <w:rPr>
          <w:rFonts w:cs="Calibri"/>
        </w:rPr>
        <w:t xml:space="preserve">NKÚ prověřil soulad sestavení závěrečného účtu kapitoly státního rozpočtu 334 – </w:t>
      </w:r>
      <w:r w:rsidRPr="004920C6">
        <w:rPr>
          <w:rFonts w:cs="Calibri"/>
          <w:i/>
          <w:iCs/>
        </w:rPr>
        <w:t>Ministerstvo kultury</w:t>
      </w:r>
      <w:r w:rsidRPr="004920C6">
        <w:rPr>
          <w:rFonts w:cs="Calibri"/>
        </w:rPr>
        <w:t xml:space="preserve"> za rok 2024 (dále také „ZÚ“) s vyhláškou č. 419/2001 Sb.</w:t>
      </w:r>
      <w:r w:rsidRPr="00CD0C06">
        <w:rPr>
          <w:rStyle w:val="Znakapoznpodarou"/>
        </w:rPr>
        <w:footnoteReference w:id="5"/>
      </w:r>
      <w:r w:rsidRPr="00BC6AAD">
        <w:rPr>
          <w:rFonts w:cs="Calibri"/>
        </w:rPr>
        <w:t xml:space="preserve"> </w:t>
      </w:r>
      <w:r w:rsidRPr="004920C6">
        <w:rPr>
          <w:rFonts w:cs="Calibri"/>
        </w:rPr>
        <w:t>a shodu informací v něm uvedených se vstupními údaji v rozpočtovém systému, s finančními výkazy a údaji dalších evidencí.</w:t>
      </w:r>
      <w:r w:rsidRPr="004920C6">
        <w:rPr>
          <w:rFonts w:ascii="Times New Roman" w:hAnsi="Times New Roman"/>
          <w:lang w:eastAsia="cs-CZ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060"/>
      </w:tblGrid>
      <w:tr w:rsidR="006604DB" w:rsidRPr="004920C6" w14:paraId="06881AC5" w14:textId="77777777" w:rsidTr="003E2981">
        <w:tc>
          <w:tcPr>
            <w:tcW w:w="9060" w:type="dxa"/>
            <w:shd w:val="clear" w:color="auto" w:fill="E6E6E6"/>
          </w:tcPr>
          <w:p w14:paraId="190C438C" w14:textId="04FA11C0" w:rsidR="006604DB" w:rsidRPr="004920C6" w:rsidRDefault="00E73D5D" w:rsidP="00C34868">
            <w:pPr>
              <w:spacing w:before="120"/>
              <w:jc w:val="both"/>
              <w:rPr>
                <w:rFonts w:eastAsiaTheme="minorHAnsi" w:cs="Calibri"/>
                <w:b/>
              </w:rPr>
            </w:pPr>
            <w:bookmarkStart w:id="2" w:name="_Hlk135915103"/>
            <w:r w:rsidRPr="004920C6">
              <w:rPr>
                <w:rFonts w:eastAsiaTheme="minorHAnsi" w:cs="Calibri"/>
                <w:b/>
              </w:rPr>
              <w:t>Dle NKÚ je z</w:t>
            </w:r>
            <w:r w:rsidR="006604DB" w:rsidRPr="004920C6">
              <w:rPr>
                <w:rFonts w:eastAsiaTheme="minorHAnsi" w:cs="Calibri"/>
                <w:b/>
              </w:rPr>
              <w:t>ávěrečný účet kapitoly státního rozpočtu 3</w:t>
            </w:r>
            <w:r w:rsidR="00A26932" w:rsidRPr="004920C6">
              <w:rPr>
                <w:rFonts w:eastAsiaTheme="minorHAnsi" w:cs="Calibri"/>
                <w:b/>
              </w:rPr>
              <w:t>34</w:t>
            </w:r>
            <w:r w:rsidR="006604DB" w:rsidRPr="004920C6">
              <w:rPr>
                <w:rFonts w:eastAsiaTheme="minorHAnsi" w:cs="Calibri"/>
                <w:b/>
              </w:rPr>
              <w:t xml:space="preserve"> – </w:t>
            </w:r>
            <w:r w:rsidR="00A26932" w:rsidRPr="004920C6">
              <w:rPr>
                <w:rFonts w:eastAsiaTheme="minorHAnsi" w:cs="Calibri"/>
                <w:b/>
                <w:i/>
                <w:iCs/>
              </w:rPr>
              <w:t>Ministerstvo kultury</w:t>
            </w:r>
            <w:r w:rsidR="006604DB" w:rsidRPr="004920C6">
              <w:rPr>
                <w:rFonts w:eastAsiaTheme="minorHAnsi" w:cs="Calibri"/>
                <w:b/>
              </w:rPr>
              <w:t xml:space="preserve"> za</w:t>
            </w:r>
            <w:r w:rsidR="003D5233" w:rsidRPr="004920C6">
              <w:rPr>
                <w:rFonts w:eastAsiaTheme="minorHAnsi" w:cs="Calibri"/>
                <w:b/>
              </w:rPr>
              <w:t xml:space="preserve"> </w:t>
            </w:r>
            <w:r w:rsidR="006604DB" w:rsidRPr="004920C6">
              <w:rPr>
                <w:rFonts w:eastAsiaTheme="minorHAnsi" w:cs="Calibri"/>
                <w:b/>
              </w:rPr>
              <w:t>rok</w:t>
            </w:r>
            <w:r w:rsidR="003D5233" w:rsidRPr="004920C6">
              <w:rPr>
                <w:rFonts w:eastAsiaTheme="minorHAnsi" w:cs="Calibri"/>
                <w:b/>
              </w:rPr>
              <w:t xml:space="preserve"> </w:t>
            </w:r>
            <w:r w:rsidR="006604DB" w:rsidRPr="004920C6">
              <w:rPr>
                <w:rFonts w:eastAsiaTheme="minorHAnsi" w:cs="Calibri"/>
                <w:b/>
              </w:rPr>
              <w:t>202</w:t>
            </w:r>
            <w:r w:rsidR="00A26932" w:rsidRPr="004920C6">
              <w:rPr>
                <w:rFonts w:eastAsiaTheme="minorHAnsi" w:cs="Calibri"/>
                <w:b/>
              </w:rPr>
              <w:t>4</w:t>
            </w:r>
            <w:r w:rsidR="003D5233" w:rsidRPr="004920C6">
              <w:rPr>
                <w:rFonts w:eastAsiaTheme="minorHAnsi" w:cs="Calibri"/>
                <w:b/>
              </w:rPr>
              <w:t xml:space="preserve"> </w:t>
            </w:r>
            <w:r w:rsidR="006604DB" w:rsidRPr="004920C6">
              <w:rPr>
                <w:rFonts w:eastAsiaTheme="minorHAnsi" w:cs="Calibri"/>
                <w:b/>
              </w:rPr>
              <w:t xml:space="preserve">sestaven v rozsahu dle </w:t>
            </w:r>
            <w:r w:rsidR="006604DB" w:rsidRPr="004920C6">
              <w:rPr>
                <w:b/>
                <w:bCs/>
              </w:rPr>
              <w:t>vyhlášky č. 419/2001</w:t>
            </w:r>
            <w:r w:rsidR="001A0567" w:rsidRPr="004920C6">
              <w:rPr>
                <w:b/>
                <w:bCs/>
              </w:rPr>
              <w:t> </w:t>
            </w:r>
            <w:r w:rsidR="006604DB" w:rsidRPr="004920C6">
              <w:rPr>
                <w:b/>
                <w:bCs/>
              </w:rPr>
              <w:t>Sb.</w:t>
            </w:r>
            <w:r w:rsidR="003D5233" w:rsidRPr="004920C6">
              <w:rPr>
                <w:b/>
                <w:bCs/>
              </w:rPr>
              <w:t xml:space="preserve"> </w:t>
            </w:r>
            <w:r w:rsidR="006604DB" w:rsidRPr="004920C6">
              <w:rPr>
                <w:b/>
              </w:rPr>
              <w:t>a</w:t>
            </w:r>
            <w:r w:rsidR="00BC0A15" w:rsidRPr="004920C6">
              <w:rPr>
                <w:b/>
              </w:rPr>
              <w:t xml:space="preserve"> </w:t>
            </w:r>
            <w:r w:rsidR="006604DB" w:rsidRPr="004920C6">
              <w:rPr>
                <w:b/>
              </w:rPr>
              <w:t>informace v něm uvedené odpovídají údajům v</w:t>
            </w:r>
            <w:r w:rsidR="00BC0A15" w:rsidRPr="004920C6">
              <w:rPr>
                <w:b/>
              </w:rPr>
              <w:t xml:space="preserve"> </w:t>
            </w:r>
            <w:r w:rsidR="006604DB" w:rsidRPr="004920C6">
              <w:rPr>
                <w:b/>
              </w:rPr>
              <w:t>rozpočtovém systému, finančním výkazům a údajům z dalších evidencí</w:t>
            </w:r>
            <w:r w:rsidR="006604DB" w:rsidRPr="004920C6">
              <w:rPr>
                <w:rFonts w:eastAsiaTheme="minorHAnsi" w:cs="Calibri"/>
                <w:b/>
              </w:rPr>
              <w:t>.</w:t>
            </w:r>
          </w:p>
        </w:tc>
      </w:tr>
    </w:tbl>
    <w:bookmarkEnd w:id="2"/>
    <w:p w14:paraId="2E77A0EE" w14:textId="1B8236FF" w:rsidR="00822B34" w:rsidRPr="004920C6" w:rsidRDefault="00190F2D" w:rsidP="00830E7E">
      <w:pPr>
        <w:spacing w:before="120" w:after="240"/>
        <w:jc w:val="both"/>
        <w:rPr>
          <w:bCs/>
          <w:lang w:eastAsia="cs-CZ"/>
        </w:rPr>
      </w:pPr>
      <w:r w:rsidRPr="004920C6">
        <w:rPr>
          <w:rFonts w:cs="Calibri"/>
        </w:rPr>
        <w:t>NKÚ v průběhu kontroly</w:t>
      </w:r>
      <w:r w:rsidR="00C143CE" w:rsidRPr="004920C6">
        <w:rPr>
          <w:rFonts w:cs="Calibri"/>
        </w:rPr>
        <w:t xml:space="preserve"> identifikoval nedostatky</w:t>
      </w:r>
      <w:r w:rsidRPr="004920C6">
        <w:rPr>
          <w:rFonts w:cs="Calibri"/>
        </w:rPr>
        <w:t xml:space="preserve"> v návr</w:t>
      </w:r>
      <w:r w:rsidR="00DC536C" w:rsidRPr="004920C6">
        <w:rPr>
          <w:rFonts w:cs="Calibri"/>
        </w:rPr>
        <w:t>zích</w:t>
      </w:r>
      <w:r w:rsidRPr="004920C6">
        <w:rPr>
          <w:rFonts w:cs="Calibri"/>
        </w:rPr>
        <w:t xml:space="preserve"> </w:t>
      </w:r>
      <w:r w:rsidR="00E86A7F" w:rsidRPr="004920C6">
        <w:rPr>
          <w:rFonts w:cs="Calibri"/>
        </w:rPr>
        <w:t>Z</w:t>
      </w:r>
      <w:r w:rsidR="00C143CE" w:rsidRPr="004920C6">
        <w:rPr>
          <w:rFonts w:cs="Calibri"/>
        </w:rPr>
        <w:t>Ú. T</w:t>
      </w:r>
      <w:r w:rsidRPr="004920C6">
        <w:rPr>
          <w:rFonts w:cs="Calibri"/>
        </w:rPr>
        <w:t>y</w:t>
      </w:r>
      <w:r w:rsidR="00C143CE" w:rsidRPr="004920C6">
        <w:rPr>
          <w:rFonts w:cs="Calibri"/>
        </w:rPr>
        <w:t xml:space="preserve">to nedostatky by </w:t>
      </w:r>
      <w:r w:rsidR="00DC536C" w:rsidRPr="004920C6">
        <w:rPr>
          <w:rFonts w:cs="Calibri"/>
        </w:rPr>
        <w:t>ne</w:t>
      </w:r>
      <w:r w:rsidR="00977687" w:rsidRPr="004920C6">
        <w:rPr>
          <w:rFonts w:cs="Calibri"/>
        </w:rPr>
        <w:t xml:space="preserve">měly </w:t>
      </w:r>
      <w:r w:rsidR="00DC536C" w:rsidRPr="004920C6">
        <w:rPr>
          <w:rFonts w:cs="Calibri"/>
        </w:rPr>
        <w:t xml:space="preserve">významný </w:t>
      </w:r>
      <w:r w:rsidR="00977687" w:rsidRPr="004920C6">
        <w:rPr>
          <w:rFonts w:cs="Calibri"/>
        </w:rPr>
        <w:t>vliv na vypovídací</w:t>
      </w:r>
      <w:r w:rsidR="00C143CE" w:rsidRPr="004920C6">
        <w:rPr>
          <w:rFonts w:cs="Calibri"/>
        </w:rPr>
        <w:t xml:space="preserve"> schopnost ZÚ</w:t>
      </w:r>
      <w:r w:rsidR="002E1A7E" w:rsidRPr="004920C6">
        <w:rPr>
          <w:rFonts w:cs="Calibri"/>
        </w:rPr>
        <w:t xml:space="preserve">. </w:t>
      </w:r>
      <w:r w:rsidR="00DC536C" w:rsidRPr="004920C6">
        <w:rPr>
          <w:rFonts w:cs="Calibri"/>
        </w:rPr>
        <w:t>MK</w:t>
      </w:r>
      <w:r w:rsidRPr="004920C6">
        <w:rPr>
          <w:rFonts w:cs="Calibri"/>
        </w:rPr>
        <w:t xml:space="preserve"> </w:t>
      </w:r>
      <w:r w:rsidR="00DC536C" w:rsidRPr="004920C6">
        <w:rPr>
          <w:rFonts w:asciiTheme="minorHAnsi" w:hAnsiTheme="minorHAnsi" w:cstheme="minorHAnsi"/>
          <w:lang w:eastAsia="cs-CZ"/>
        </w:rPr>
        <w:t>převážnou většinu identif</w:t>
      </w:r>
      <w:r w:rsidR="00D0499D" w:rsidRPr="004920C6">
        <w:rPr>
          <w:rFonts w:asciiTheme="minorHAnsi" w:hAnsiTheme="minorHAnsi" w:cstheme="minorHAnsi"/>
          <w:lang w:eastAsia="cs-CZ"/>
        </w:rPr>
        <w:t xml:space="preserve">ikovaných nedostatků </w:t>
      </w:r>
      <w:r w:rsidR="00C143CE" w:rsidRPr="004920C6">
        <w:rPr>
          <w:rFonts w:asciiTheme="minorHAnsi" w:hAnsiTheme="minorHAnsi" w:cstheme="minorHAnsi"/>
          <w:lang w:eastAsia="cs-CZ"/>
        </w:rPr>
        <w:t xml:space="preserve">po upozornění NKÚ </w:t>
      </w:r>
      <w:r w:rsidR="00DC536C" w:rsidRPr="004920C6">
        <w:rPr>
          <w:rFonts w:asciiTheme="minorHAnsi" w:hAnsiTheme="minorHAnsi" w:cstheme="minorHAnsi"/>
          <w:lang w:eastAsia="cs-CZ"/>
        </w:rPr>
        <w:t xml:space="preserve">opravilo </w:t>
      </w:r>
      <w:r w:rsidR="00C143CE" w:rsidRPr="004920C6">
        <w:rPr>
          <w:rFonts w:asciiTheme="minorHAnsi" w:hAnsiTheme="minorHAnsi" w:cstheme="minorHAnsi"/>
          <w:lang w:eastAsia="cs-CZ"/>
        </w:rPr>
        <w:t xml:space="preserve">ještě před sestavením </w:t>
      </w:r>
      <w:r w:rsidR="00DC536C" w:rsidRPr="004920C6">
        <w:rPr>
          <w:rFonts w:asciiTheme="minorHAnsi" w:hAnsiTheme="minorHAnsi" w:cstheme="minorHAnsi"/>
          <w:lang w:eastAsia="cs-CZ"/>
        </w:rPr>
        <w:t>ZÚ</w:t>
      </w:r>
      <w:r w:rsidR="00C143CE" w:rsidRPr="004920C6">
        <w:rPr>
          <w:rFonts w:asciiTheme="minorHAnsi" w:hAnsiTheme="minorHAnsi" w:cstheme="minorHAnsi"/>
          <w:lang w:eastAsia="cs-CZ"/>
        </w:rPr>
        <w:t xml:space="preserve"> </w:t>
      </w:r>
      <w:r w:rsidR="00C34868" w:rsidRPr="004920C6">
        <w:rPr>
          <w:rFonts w:eastAsiaTheme="minorHAnsi" w:cs="Calibri"/>
          <w:bCs/>
        </w:rPr>
        <w:t>(</w:t>
      </w:r>
      <w:r w:rsidR="00C34868" w:rsidRPr="004920C6">
        <w:rPr>
          <w:rFonts w:asciiTheme="minorHAnsi" w:hAnsiTheme="minorHAnsi" w:cstheme="minorHAnsi"/>
          <w:bCs/>
          <w:spacing w:val="-2"/>
        </w:rPr>
        <w:t>viz část IV.3</w:t>
      </w:r>
      <w:r w:rsidR="00C34868" w:rsidRPr="004920C6">
        <w:rPr>
          <w:rFonts w:asciiTheme="minorHAnsi" w:eastAsiaTheme="minorHAnsi" w:hAnsiTheme="minorHAnsi" w:cstheme="minorHAnsi"/>
        </w:rPr>
        <w:t xml:space="preserve"> tohoto kontrolního závěru</w:t>
      </w:r>
      <w:r w:rsidR="00C34868" w:rsidRPr="004920C6">
        <w:rPr>
          <w:rFonts w:asciiTheme="minorHAnsi" w:hAnsiTheme="minorHAnsi" w:cstheme="minorHAnsi"/>
          <w:bCs/>
          <w:spacing w:val="-2"/>
        </w:rPr>
        <w:t>)</w:t>
      </w:r>
      <w:r w:rsidRPr="004920C6">
        <w:rPr>
          <w:bCs/>
          <w:lang w:eastAsia="cs-CZ"/>
        </w:rPr>
        <w:t>.</w:t>
      </w:r>
    </w:p>
    <w:p w14:paraId="3E658821" w14:textId="426281C0" w:rsidR="002C0C07" w:rsidRPr="004920C6" w:rsidRDefault="00495EFA" w:rsidP="003D5233">
      <w:pPr>
        <w:pStyle w:val="Styl2"/>
        <w:numPr>
          <w:ilvl w:val="0"/>
          <w:numId w:val="27"/>
        </w:numPr>
        <w:spacing w:before="240" w:after="120"/>
        <w:ind w:left="284" w:hanging="284"/>
      </w:pPr>
      <w:r w:rsidRPr="004920C6">
        <w:t>Vnitřní kontrolní systém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E2DB"/>
        <w:tblLook w:val="04A0" w:firstRow="1" w:lastRow="0" w:firstColumn="1" w:lastColumn="0" w:noHBand="0" w:noVBand="1"/>
      </w:tblPr>
      <w:tblGrid>
        <w:gridCol w:w="9060"/>
      </w:tblGrid>
      <w:tr w:rsidR="002C0C07" w:rsidRPr="004920C6" w14:paraId="7CF6DF70" w14:textId="77777777" w:rsidTr="003E2981">
        <w:tc>
          <w:tcPr>
            <w:tcW w:w="9060" w:type="dxa"/>
            <w:shd w:val="clear" w:color="auto" w:fill="E6E6E6"/>
          </w:tcPr>
          <w:p w14:paraId="58242045" w14:textId="4ED1E4A2" w:rsidR="002C0C07" w:rsidRPr="004920C6" w:rsidRDefault="002C0C07" w:rsidP="00717CA5">
            <w:pPr>
              <w:spacing w:before="120"/>
              <w:jc w:val="both"/>
              <w:rPr>
                <w:rFonts w:eastAsiaTheme="minorHAnsi" w:cs="Calibri"/>
                <w:b/>
              </w:rPr>
            </w:pPr>
            <w:r w:rsidRPr="004920C6">
              <w:rPr>
                <w:b/>
              </w:rPr>
              <w:t>Dle NKÚ lze vnitřní kontrolní systém</w:t>
            </w:r>
            <w:r w:rsidR="002324AA" w:rsidRPr="004920C6">
              <w:rPr>
                <w:b/>
              </w:rPr>
              <w:t xml:space="preserve"> MK</w:t>
            </w:r>
            <w:r w:rsidR="00C34868" w:rsidRPr="004920C6">
              <w:rPr>
                <w:b/>
              </w:rPr>
              <w:t xml:space="preserve"> </w:t>
            </w:r>
            <w:r w:rsidR="00E86A7F" w:rsidRPr="004920C6">
              <w:rPr>
                <w:b/>
              </w:rPr>
              <w:t>(dále také „VKS“)</w:t>
            </w:r>
            <w:r w:rsidR="001E5452" w:rsidRPr="004920C6">
              <w:rPr>
                <w:b/>
              </w:rPr>
              <w:t xml:space="preserve"> </w:t>
            </w:r>
            <w:r w:rsidRPr="004920C6">
              <w:rPr>
                <w:b/>
              </w:rPr>
              <w:t>po opatřeních</w:t>
            </w:r>
            <w:r w:rsidR="001C6713" w:rsidRPr="004920C6">
              <w:rPr>
                <w:b/>
              </w:rPr>
              <w:t xml:space="preserve"> přijatých</w:t>
            </w:r>
            <w:r w:rsidR="003E4488">
              <w:rPr>
                <w:b/>
              </w:rPr>
              <w:t xml:space="preserve"> </w:t>
            </w:r>
            <w:r w:rsidR="00970754" w:rsidRPr="004920C6">
              <w:rPr>
                <w:b/>
              </w:rPr>
              <w:t>v</w:t>
            </w:r>
            <w:r w:rsidR="00C34868" w:rsidRPr="004920C6">
              <w:rPr>
                <w:b/>
              </w:rPr>
              <w:t> </w:t>
            </w:r>
            <w:r w:rsidR="00970754" w:rsidRPr="004920C6">
              <w:rPr>
                <w:b/>
              </w:rPr>
              <w:t>průběhu</w:t>
            </w:r>
            <w:r w:rsidRPr="004920C6">
              <w:rPr>
                <w:b/>
              </w:rPr>
              <w:t xml:space="preserve"> kontroly považovat v prověřovaných oblastech za účinný</w:t>
            </w:r>
            <w:r w:rsidRPr="004920C6">
              <w:rPr>
                <w:rFonts w:eastAsiaTheme="minorHAnsi" w:cs="Calibri"/>
                <w:b/>
              </w:rPr>
              <w:t xml:space="preserve">. </w:t>
            </w:r>
          </w:p>
        </w:tc>
      </w:tr>
    </w:tbl>
    <w:p w14:paraId="55F026FC" w14:textId="13D94279" w:rsidR="006B230A" w:rsidRPr="004920C6" w:rsidRDefault="006B230A" w:rsidP="00830E7E">
      <w:pPr>
        <w:spacing w:before="120" w:after="240"/>
        <w:jc w:val="both"/>
        <w:rPr>
          <w:rFonts w:cs="Calibri"/>
        </w:rPr>
      </w:pPr>
      <w:r w:rsidRPr="004920C6">
        <w:rPr>
          <w:rFonts w:cs="Calibri"/>
        </w:rPr>
        <w:t>NKÚ v</w:t>
      </w:r>
      <w:r w:rsidR="00BC6AAD">
        <w:rPr>
          <w:rFonts w:cs="Calibri"/>
        </w:rPr>
        <w:t xml:space="preserve"> </w:t>
      </w:r>
      <w:r w:rsidRPr="004920C6">
        <w:rPr>
          <w:rFonts w:cs="Calibri"/>
        </w:rPr>
        <w:t xml:space="preserve">průběhu kontroly </w:t>
      </w:r>
      <w:r w:rsidR="00E73D5D" w:rsidRPr="004920C6">
        <w:rPr>
          <w:rFonts w:cs="Calibri"/>
        </w:rPr>
        <w:t xml:space="preserve">zjistil </w:t>
      </w:r>
      <w:r w:rsidRPr="004920C6">
        <w:rPr>
          <w:rFonts w:cs="Calibri"/>
        </w:rPr>
        <w:t>v</w:t>
      </w:r>
      <w:r w:rsidR="00BC6AAD">
        <w:rPr>
          <w:rFonts w:cs="Calibri"/>
        </w:rPr>
        <w:t xml:space="preserve"> </w:t>
      </w:r>
      <w:r w:rsidRPr="004920C6">
        <w:rPr>
          <w:rFonts w:cs="Calibri"/>
        </w:rPr>
        <w:t>oblasti účetnictví systémové nedostatky (z nich jeden významný), které VKS neidentifikoval. MK je opravilo a přijalo ve VKS dostatečná opatření k jejich nápravě. Pokud by MK nápravu těchto nedostatků v oblasti účetnictví neprovedlo tak, aby byla realizována s účinností již pro rok 2024, vyhodnotil by NKÚ celý VKS jako účinný s výhradou oblasti podmíněných závazků z transferů u národních dotací</w:t>
      </w:r>
      <w:r w:rsidR="00C143CE" w:rsidRPr="004920C6">
        <w:rPr>
          <w:rFonts w:cs="Calibri"/>
        </w:rPr>
        <w:t xml:space="preserve"> </w:t>
      </w:r>
      <w:r w:rsidRPr="004920C6">
        <w:rPr>
          <w:rFonts w:cs="Calibri"/>
        </w:rPr>
        <w:t>(viz část IV.4 tohoto kontrolního závěru).</w:t>
      </w:r>
    </w:p>
    <w:p w14:paraId="07E0BD03" w14:textId="79A17694" w:rsidR="00830E7E" w:rsidRPr="004920C6" w:rsidRDefault="00A67C27" w:rsidP="003D5233">
      <w:pPr>
        <w:pStyle w:val="Styl2"/>
        <w:numPr>
          <w:ilvl w:val="0"/>
          <w:numId w:val="27"/>
        </w:numPr>
        <w:spacing w:before="240" w:after="120"/>
        <w:ind w:left="284" w:hanging="284"/>
      </w:pPr>
      <w:r w:rsidRPr="004920C6">
        <w:t>Vyhodnocení o</w:t>
      </w:r>
      <w:r w:rsidR="00830E7E" w:rsidRPr="004920C6">
        <w:t xml:space="preserve">patření </w:t>
      </w:r>
      <w:r w:rsidR="00EC6D3A" w:rsidRPr="004920C6">
        <w:t xml:space="preserve">přijatých k </w:t>
      </w:r>
      <w:r w:rsidRPr="004920C6">
        <w:t>odstranění</w:t>
      </w:r>
      <w:r w:rsidR="00830E7E" w:rsidRPr="004920C6">
        <w:t xml:space="preserve"> nedostatků</w:t>
      </w:r>
      <w:r w:rsidR="00EC6D3A" w:rsidRPr="004920C6">
        <w:t xml:space="preserve"> zjištěných </w:t>
      </w:r>
      <w:r w:rsidR="00830E7E" w:rsidRPr="004920C6">
        <w:t>kontrolní akc</w:t>
      </w:r>
      <w:r w:rsidR="00BC6AAD">
        <w:t>í</w:t>
      </w:r>
      <w:r w:rsidR="00830E7E" w:rsidRPr="004920C6">
        <w:t xml:space="preserve"> NKÚ č.</w:t>
      </w:r>
      <w:r w:rsidR="00C01A6F">
        <w:t> </w:t>
      </w:r>
      <w:r w:rsidR="00830E7E" w:rsidRPr="004920C6">
        <w:t>19/</w:t>
      </w:r>
      <w:r w:rsidRPr="004920C6">
        <w:t>03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E2DB"/>
        <w:tblLook w:val="04A0" w:firstRow="1" w:lastRow="0" w:firstColumn="1" w:lastColumn="0" w:noHBand="0" w:noVBand="1"/>
      </w:tblPr>
      <w:tblGrid>
        <w:gridCol w:w="9060"/>
      </w:tblGrid>
      <w:tr w:rsidR="00830E7E" w:rsidRPr="004920C6" w14:paraId="005421CF" w14:textId="77777777" w:rsidTr="00830E7E">
        <w:tc>
          <w:tcPr>
            <w:tcW w:w="9060" w:type="dxa"/>
            <w:shd w:val="clear" w:color="auto" w:fill="E6E6E6"/>
            <w:hideMark/>
          </w:tcPr>
          <w:p w14:paraId="53BFCE24" w14:textId="27CA265A" w:rsidR="00830E7E" w:rsidRPr="004920C6" w:rsidRDefault="00830E7E">
            <w:pPr>
              <w:spacing w:before="120"/>
              <w:jc w:val="both"/>
              <w:rPr>
                <w:rFonts w:eastAsiaTheme="minorHAnsi" w:cs="Calibri"/>
                <w:b/>
              </w:rPr>
            </w:pPr>
            <w:bookmarkStart w:id="3" w:name="_Hlk136606220"/>
            <w:r w:rsidRPr="004920C6">
              <w:rPr>
                <w:rFonts w:asciiTheme="minorHAnsi" w:hAnsiTheme="minorHAnsi" w:cstheme="minorHAnsi"/>
                <w:b/>
                <w:bCs/>
              </w:rPr>
              <w:t>M</w:t>
            </w:r>
            <w:r w:rsidR="00E40904" w:rsidRPr="004920C6">
              <w:rPr>
                <w:rFonts w:asciiTheme="minorHAnsi" w:hAnsiTheme="minorHAnsi" w:cstheme="minorHAnsi"/>
                <w:b/>
                <w:bCs/>
              </w:rPr>
              <w:t>K</w:t>
            </w:r>
            <w:r w:rsidRPr="004920C6">
              <w:rPr>
                <w:rFonts w:asciiTheme="minorHAnsi" w:hAnsiTheme="minorHAnsi" w:cstheme="minorHAnsi"/>
                <w:b/>
                <w:bCs/>
              </w:rPr>
              <w:t xml:space="preserve"> realizovalo úplně a správně </w:t>
            </w:r>
            <w:r w:rsidR="00E40904" w:rsidRPr="004920C6">
              <w:rPr>
                <w:rFonts w:asciiTheme="minorHAnsi" w:hAnsiTheme="minorHAnsi" w:cstheme="minorHAnsi"/>
                <w:b/>
                <w:bCs/>
              </w:rPr>
              <w:t>opatření k</w:t>
            </w:r>
            <w:r w:rsidR="00BC6AA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40904" w:rsidRPr="004920C6">
              <w:rPr>
                <w:rFonts w:asciiTheme="minorHAnsi" w:hAnsiTheme="minorHAnsi" w:cstheme="minorHAnsi"/>
                <w:b/>
                <w:bCs/>
              </w:rPr>
              <w:t>nápravě všech 18 nedostatků uvedených v kontrolním závěru z</w:t>
            </w:r>
            <w:r w:rsidR="00BC6AA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40904" w:rsidRPr="004920C6">
              <w:rPr>
                <w:rFonts w:asciiTheme="minorHAnsi" w:hAnsiTheme="minorHAnsi" w:cstheme="minorHAnsi"/>
                <w:b/>
                <w:bCs/>
              </w:rPr>
              <w:t>kontrolní akce č. 19/03</w:t>
            </w:r>
            <w:r w:rsidR="008A23B4" w:rsidRPr="004920C6">
              <w:rPr>
                <w:rStyle w:val="Znakapoznpodarou"/>
                <w:rFonts w:asciiTheme="minorHAnsi" w:eastAsiaTheme="majorEastAsia" w:hAnsiTheme="minorHAnsi" w:cstheme="minorHAnsi"/>
              </w:rPr>
              <w:footnoteReference w:id="6"/>
            </w:r>
            <w:r w:rsidR="008A23B4" w:rsidRPr="004920C6">
              <w:rPr>
                <w:rFonts w:asciiTheme="minorHAnsi" w:hAnsiTheme="minorHAnsi" w:cstheme="minorHAnsi"/>
                <w:b/>
                <w:bCs/>
              </w:rPr>
              <w:t xml:space="preserve">, ve třech případech </w:t>
            </w:r>
            <w:r w:rsidR="00FB5F08" w:rsidRPr="004920C6">
              <w:rPr>
                <w:rFonts w:asciiTheme="minorHAnsi" w:hAnsiTheme="minorHAnsi" w:cstheme="minorHAnsi"/>
                <w:b/>
                <w:bCs/>
              </w:rPr>
              <w:t xml:space="preserve">však </w:t>
            </w:r>
            <w:r w:rsidR="008A23B4" w:rsidRPr="004920C6">
              <w:rPr>
                <w:rFonts w:asciiTheme="minorHAnsi" w:hAnsiTheme="minorHAnsi" w:cstheme="minorHAnsi"/>
                <w:b/>
                <w:bCs/>
              </w:rPr>
              <w:t>až na základě pro</w:t>
            </w:r>
            <w:r w:rsidR="00B0735E" w:rsidRPr="004920C6">
              <w:rPr>
                <w:rFonts w:asciiTheme="minorHAnsi" w:hAnsiTheme="minorHAnsi" w:cstheme="minorHAnsi"/>
                <w:b/>
                <w:bCs/>
              </w:rPr>
              <w:t>bíhající</w:t>
            </w:r>
            <w:r w:rsidR="008A23B4" w:rsidRPr="004920C6">
              <w:rPr>
                <w:rFonts w:asciiTheme="minorHAnsi" w:hAnsiTheme="minorHAnsi" w:cstheme="minorHAnsi"/>
                <w:b/>
                <w:bCs/>
              </w:rPr>
              <w:t xml:space="preserve"> kontroly</w:t>
            </w:r>
            <w:r w:rsidR="00184C87" w:rsidRPr="004920C6">
              <w:rPr>
                <w:rFonts w:asciiTheme="minorHAnsi" w:hAnsiTheme="minorHAnsi" w:cstheme="minorHAnsi"/>
                <w:b/>
                <w:bCs/>
              </w:rPr>
              <w:t xml:space="preserve"> NKÚ</w:t>
            </w:r>
            <w:r w:rsidR="0087457B">
              <w:rPr>
                <w:rFonts w:asciiTheme="minorHAnsi" w:hAnsiTheme="minorHAnsi" w:cstheme="minorHAnsi"/>
                <w:b/>
                <w:bCs/>
              </w:rPr>
              <w:t xml:space="preserve"> č. 24/20</w:t>
            </w:r>
            <w:r w:rsidRPr="004920C6">
              <w:rPr>
                <w:rFonts w:asciiTheme="minorHAnsi" w:hAnsiTheme="minorHAnsi" w:cstheme="minorHAnsi"/>
                <w:b/>
                <w:bCs/>
              </w:rPr>
              <w:t>.</w:t>
            </w:r>
            <w:r w:rsidRPr="004920C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bookmarkEnd w:id="3"/>
    <w:p w14:paraId="60B5CAB6" w14:textId="7BB92819" w:rsidR="00BC6316" w:rsidRPr="004920C6" w:rsidRDefault="00830E7E" w:rsidP="0091645E">
      <w:pPr>
        <w:spacing w:before="120" w:after="0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</w:rPr>
        <w:t>M</w:t>
      </w:r>
      <w:r w:rsidR="008A23B4" w:rsidRPr="004920C6">
        <w:rPr>
          <w:rFonts w:asciiTheme="minorHAnsi" w:hAnsiTheme="minorHAnsi" w:cstheme="minorHAnsi"/>
        </w:rPr>
        <w:t>K realizovalo</w:t>
      </w:r>
      <w:r w:rsidRPr="004920C6">
        <w:rPr>
          <w:rFonts w:asciiTheme="minorHAnsi" w:hAnsiTheme="minorHAnsi" w:cstheme="minorHAnsi"/>
        </w:rPr>
        <w:t xml:space="preserve"> na základě usnesení vlády</w:t>
      </w:r>
      <w:r w:rsidR="00601F1B" w:rsidRPr="004920C6">
        <w:rPr>
          <w:rStyle w:val="Znakapoznpodarou"/>
          <w:rFonts w:asciiTheme="minorHAnsi" w:eastAsiaTheme="majorEastAsia" w:hAnsiTheme="minorHAnsi" w:cstheme="minorHAnsi"/>
        </w:rPr>
        <w:footnoteReference w:id="7"/>
      </w:r>
      <w:r w:rsidRPr="004920C6">
        <w:rPr>
          <w:rFonts w:asciiTheme="minorHAnsi" w:hAnsiTheme="minorHAnsi" w:cstheme="minorHAnsi"/>
        </w:rPr>
        <w:t xml:space="preserve"> opatření, která </w:t>
      </w:r>
      <w:r w:rsidR="008A23B4" w:rsidRPr="004920C6">
        <w:rPr>
          <w:rFonts w:asciiTheme="minorHAnsi" w:hAnsiTheme="minorHAnsi" w:cstheme="minorHAnsi"/>
        </w:rPr>
        <w:t xml:space="preserve">ve většině případů </w:t>
      </w:r>
      <w:r w:rsidRPr="004920C6">
        <w:rPr>
          <w:rFonts w:asciiTheme="minorHAnsi" w:hAnsiTheme="minorHAnsi" w:cstheme="minorHAnsi"/>
        </w:rPr>
        <w:t>přispěla k</w:t>
      </w:r>
      <w:r w:rsidR="000B0478" w:rsidRPr="004920C6">
        <w:rPr>
          <w:rFonts w:asciiTheme="minorHAnsi" w:hAnsiTheme="minorHAnsi" w:cstheme="minorHAnsi"/>
        </w:rPr>
        <w:t> </w:t>
      </w:r>
      <w:r w:rsidRPr="004920C6">
        <w:rPr>
          <w:rFonts w:asciiTheme="minorHAnsi" w:hAnsiTheme="minorHAnsi" w:cstheme="minorHAnsi"/>
        </w:rPr>
        <w:t>odstranění identifikovaných nesprávností</w:t>
      </w:r>
      <w:r w:rsidR="008A23B4" w:rsidRPr="004920C6">
        <w:rPr>
          <w:rFonts w:asciiTheme="minorHAnsi" w:hAnsiTheme="minorHAnsi" w:cstheme="minorHAnsi"/>
        </w:rPr>
        <w:t xml:space="preserve"> a k zamezení jejich výskytu v roce 2024</w:t>
      </w:r>
      <w:r w:rsidR="006B230A" w:rsidRPr="004920C6">
        <w:rPr>
          <w:rFonts w:asciiTheme="minorHAnsi" w:hAnsiTheme="minorHAnsi" w:cstheme="minorHAnsi"/>
        </w:rPr>
        <w:t>. Pokud by MK účinně realizovalo veškerá opatření k odstranění nedostatků, mohlo předejít opravám, o</w:t>
      </w:r>
      <w:r w:rsidR="00374846" w:rsidRPr="004920C6">
        <w:rPr>
          <w:rFonts w:asciiTheme="minorHAnsi" w:hAnsiTheme="minorHAnsi" w:cstheme="minorHAnsi"/>
        </w:rPr>
        <w:t> </w:t>
      </w:r>
      <w:r w:rsidR="006B230A" w:rsidRPr="004920C6">
        <w:rPr>
          <w:rFonts w:asciiTheme="minorHAnsi" w:hAnsiTheme="minorHAnsi" w:cstheme="minorHAnsi"/>
        </w:rPr>
        <w:t>nichž účtovalo v roce 2024 ve výši 6,4 mld. Kč</w:t>
      </w:r>
      <w:r w:rsidR="008A23B4"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(viz část IV.</w:t>
      </w:r>
      <w:r w:rsidR="008A23B4" w:rsidRPr="004920C6">
        <w:rPr>
          <w:rFonts w:asciiTheme="minorHAnsi" w:hAnsiTheme="minorHAnsi" w:cstheme="minorHAnsi"/>
        </w:rPr>
        <w:t>5</w:t>
      </w:r>
      <w:r w:rsidRPr="004920C6">
        <w:rPr>
          <w:rFonts w:asciiTheme="minorHAnsi" w:hAnsiTheme="minorHAnsi" w:cstheme="minorHAnsi"/>
        </w:rPr>
        <w:t xml:space="preserve"> tohoto kontrolního závěru)</w:t>
      </w:r>
      <w:r w:rsidRPr="004920C6">
        <w:rPr>
          <w:rFonts w:asciiTheme="minorHAnsi" w:hAnsiTheme="minorHAnsi" w:cstheme="minorHAnsi"/>
          <w:bCs/>
        </w:rPr>
        <w:t>.</w:t>
      </w:r>
      <w:r w:rsidR="0091645E">
        <w:rPr>
          <w:rFonts w:asciiTheme="minorHAnsi" w:hAnsiTheme="minorHAnsi" w:cstheme="minorHAnsi"/>
          <w:bCs/>
        </w:rPr>
        <w:t xml:space="preserve"> </w:t>
      </w:r>
    </w:p>
    <w:p w14:paraId="4AC569B0" w14:textId="77777777" w:rsidR="00E91FF5" w:rsidRPr="004920C6" w:rsidRDefault="001A0567" w:rsidP="0091645E">
      <w:pPr>
        <w:pStyle w:val="Styl1"/>
        <w:numPr>
          <w:ilvl w:val="0"/>
          <w:numId w:val="0"/>
        </w:numPr>
        <w:spacing w:before="720" w:after="240"/>
      </w:pPr>
      <w:r w:rsidRPr="004920C6">
        <w:lastRenderedPageBreak/>
        <w:t xml:space="preserve">II. </w:t>
      </w:r>
      <w:r w:rsidR="00A640AE" w:rsidRPr="004920C6">
        <w:t>Informace o kontrolované oblasti</w:t>
      </w:r>
    </w:p>
    <w:p w14:paraId="26E1210F" w14:textId="2D52B681" w:rsidR="0089578D" w:rsidRPr="004920C6" w:rsidRDefault="0089578D" w:rsidP="0089578D">
      <w:pPr>
        <w:jc w:val="both"/>
        <w:rPr>
          <w:rFonts w:asciiTheme="minorHAnsi" w:hAnsiTheme="minorHAnsi" w:cstheme="minorHAnsi"/>
          <w:color w:val="212529"/>
          <w:lang w:eastAsia="cs-CZ"/>
        </w:rPr>
      </w:pPr>
      <w:r w:rsidRPr="004920C6">
        <w:rPr>
          <w:rFonts w:asciiTheme="minorHAnsi" w:hAnsiTheme="minorHAnsi" w:cstheme="minorHAnsi"/>
          <w:color w:val="212529"/>
          <w:shd w:val="clear" w:color="auto" w:fill="FFFFFF"/>
          <w:lang w:eastAsia="cs-CZ"/>
        </w:rPr>
        <w:t xml:space="preserve">MK je podle § 8 zákona </w:t>
      </w:r>
      <w:r w:rsidR="000D03AD">
        <w:rPr>
          <w:rFonts w:asciiTheme="minorHAnsi" w:hAnsiTheme="minorHAnsi" w:cstheme="minorHAnsi"/>
          <w:color w:val="212529"/>
          <w:shd w:val="clear" w:color="auto" w:fill="FFFFFF"/>
          <w:lang w:eastAsia="cs-CZ"/>
        </w:rPr>
        <w:t xml:space="preserve">České národní rady </w:t>
      </w:r>
      <w:r w:rsidRPr="004920C6">
        <w:rPr>
          <w:rFonts w:asciiTheme="minorHAnsi" w:hAnsiTheme="minorHAnsi" w:cstheme="minorHAnsi"/>
          <w:color w:val="212529"/>
          <w:shd w:val="clear" w:color="auto" w:fill="FFFFFF"/>
          <w:lang w:eastAsia="cs-CZ"/>
        </w:rPr>
        <w:t>č. 2/1969 Sb.</w:t>
      </w:r>
      <w:r w:rsidRPr="004920C6">
        <w:rPr>
          <w:rStyle w:val="Znakapoznpodarou"/>
          <w:rFonts w:asciiTheme="minorHAnsi" w:hAnsiTheme="minorHAnsi" w:cstheme="minorHAnsi"/>
          <w:color w:val="212529"/>
          <w:shd w:val="clear" w:color="auto" w:fill="FFFFFF"/>
          <w:lang w:eastAsia="cs-CZ"/>
        </w:rPr>
        <w:footnoteReference w:id="8"/>
      </w:r>
      <w:r w:rsidRPr="004920C6">
        <w:rPr>
          <w:rFonts w:asciiTheme="minorHAnsi" w:hAnsiTheme="minorHAnsi" w:cstheme="minorHAnsi"/>
          <w:color w:val="212529"/>
          <w:shd w:val="clear" w:color="auto" w:fill="FFFFFF"/>
          <w:lang w:eastAsia="cs-CZ"/>
        </w:rPr>
        <w:t xml:space="preserve"> ústředním orgánem státní správy pro:</w:t>
      </w:r>
    </w:p>
    <w:p w14:paraId="25BE0FB2" w14:textId="7F9D7F1D" w:rsidR="0089578D" w:rsidRPr="004920C6" w:rsidRDefault="0089578D" w:rsidP="0089578D">
      <w:pPr>
        <w:numPr>
          <w:ilvl w:val="0"/>
          <w:numId w:val="19"/>
        </w:numPr>
        <w:spacing w:after="0" w:line="264" w:lineRule="auto"/>
        <w:ind w:left="850" w:hanging="493"/>
        <w:jc w:val="both"/>
        <w:rPr>
          <w:rFonts w:asciiTheme="minorHAnsi" w:hAnsiTheme="minorHAnsi" w:cstheme="minorHAnsi"/>
          <w:color w:val="212529"/>
          <w:lang w:eastAsia="cs-CZ"/>
        </w:rPr>
      </w:pPr>
      <w:r w:rsidRPr="004920C6">
        <w:rPr>
          <w:rFonts w:asciiTheme="minorHAnsi" w:hAnsiTheme="minorHAnsi" w:cstheme="minorHAnsi"/>
          <w:color w:val="212529"/>
          <w:shd w:val="clear" w:color="auto" w:fill="FFFFFF"/>
          <w:lang w:eastAsia="cs-CZ"/>
        </w:rPr>
        <w:t>umění,</w:t>
      </w:r>
    </w:p>
    <w:p w14:paraId="076CF1F0" w14:textId="77777777" w:rsidR="0089578D" w:rsidRPr="00ED5E53" w:rsidRDefault="0089578D" w:rsidP="0089578D">
      <w:pPr>
        <w:numPr>
          <w:ilvl w:val="0"/>
          <w:numId w:val="19"/>
        </w:numPr>
        <w:spacing w:after="0" w:line="264" w:lineRule="auto"/>
        <w:ind w:left="850" w:hanging="493"/>
        <w:jc w:val="both"/>
        <w:rPr>
          <w:rFonts w:asciiTheme="minorHAnsi" w:hAnsiTheme="minorHAnsi" w:cstheme="minorHAnsi"/>
          <w:color w:val="212529"/>
          <w:lang w:eastAsia="cs-CZ"/>
        </w:rPr>
      </w:pPr>
      <w:r w:rsidRPr="004920C6">
        <w:rPr>
          <w:rFonts w:asciiTheme="minorHAnsi" w:hAnsiTheme="minorHAnsi" w:cstheme="minorHAnsi"/>
          <w:color w:val="212529"/>
          <w:shd w:val="clear" w:color="auto" w:fill="FFFFFF"/>
          <w:lang w:eastAsia="cs-CZ"/>
        </w:rPr>
        <w:t>kulturně výchovnou činnost,</w:t>
      </w:r>
    </w:p>
    <w:p w14:paraId="500B57E7" w14:textId="192C5B1C" w:rsidR="00ED5E53" w:rsidRPr="004920C6" w:rsidRDefault="00ED5E53" w:rsidP="0089578D">
      <w:pPr>
        <w:numPr>
          <w:ilvl w:val="0"/>
          <w:numId w:val="19"/>
        </w:numPr>
        <w:spacing w:after="0" w:line="264" w:lineRule="auto"/>
        <w:ind w:left="850" w:hanging="493"/>
        <w:jc w:val="both"/>
        <w:rPr>
          <w:rFonts w:asciiTheme="minorHAnsi" w:hAnsiTheme="minorHAnsi" w:cstheme="minorHAnsi"/>
          <w:color w:val="212529"/>
          <w:lang w:eastAsia="cs-CZ"/>
        </w:rPr>
      </w:pPr>
      <w:r>
        <w:rPr>
          <w:rFonts w:asciiTheme="minorHAnsi" w:hAnsiTheme="minorHAnsi" w:cstheme="minorHAnsi"/>
          <w:color w:val="212529"/>
          <w:shd w:val="clear" w:color="auto" w:fill="FFFFFF"/>
          <w:lang w:eastAsia="cs-CZ"/>
        </w:rPr>
        <w:t>kulturní statky,</w:t>
      </w:r>
    </w:p>
    <w:p w14:paraId="798A4898" w14:textId="77777777" w:rsidR="0089578D" w:rsidRPr="004920C6" w:rsidRDefault="0089578D" w:rsidP="0089578D">
      <w:pPr>
        <w:numPr>
          <w:ilvl w:val="0"/>
          <w:numId w:val="19"/>
        </w:numPr>
        <w:spacing w:after="0" w:line="264" w:lineRule="auto"/>
        <w:ind w:left="850" w:hanging="493"/>
        <w:jc w:val="both"/>
        <w:rPr>
          <w:rFonts w:asciiTheme="minorHAnsi" w:hAnsiTheme="minorHAnsi" w:cstheme="minorHAnsi"/>
          <w:color w:val="212529"/>
          <w:lang w:eastAsia="cs-CZ"/>
        </w:rPr>
      </w:pPr>
      <w:r w:rsidRPr="004920C6">
        <w:rPr>
          <w:rFonts w:asciiTheme="minorHAnsi" w:hAnsiTheme="minorHAnsi" w:cstheme="minorHAnsi"/>
          <w:color w:val="212529"/>
          <w:shd w:val="clear" w:color="auto" w:fill="FFFFFF"/>
          <w:lang w:eastAsia="cs-CZ"/>
        </w:rPr>
        <w:t>kulturní památky,</w:t>
      </w:r>
    </w:p>
    <w:p w14:paraId="490FE934" w14:textId="77777777" w:rsidR="0089578D" w:rsidRPr="004920C6" w:rsidRDefault="0089578D" w:rsidP="0089578D">
      <w:pPr>
        <w:numPr>
          <w:ilvl w:val="0"/>
          <w:numId w:val="19"/>
        </w:numPr>
        <w:spacing w:after="0" w:line="264" w:lineRule="auto"/>
        <w:ind w:left="850" w:hanging="493"/>
        <w:jc w:val="both"/>
        <w:rPr>
          <w:rFonts w:asciiTheme="minorHAnsi" w:hAnsiTheme="minorHAnsi" w:cstheme="minorHAnsi"/>
          <w:color w:val="212529"/>
          <w:lang w:eastAsia="cs-CZ"/>
        </w:rPr>
      </w:pPr>
      <w:r w:rsidRPr="004920C6">
        <w:rPr>
          <w:rFonts w:asciiTheme="minorHAnsi" w:hAnsiTheme="minorHAnsi" w:cstheme="minorHAnsi"/>
          <w:color w:val="212529"/>
          <w:shd w:val="clear" w:color="auto" w:fill="FFFFFF"/>
          <w:lang w:eastAsia="cs-CZ"/>
        </w:rPr>
        <w:t>věci církví a náboženských společností,</w:t>
      </w:r>
    </w:p>
    <w:p w14:paraId="02723EA5" w14:textId="77777777" w:rsidR="0089578D" w:rsidRPr="004920C6" w:rsidRDefault="0089578D" w:rsidP="0089578D">
      <w:pPr>
        <w:numPr>
          <w:ilvl w:val="0"/>
          <w:numId w:val="19"/>
        </w:numPr>
        <w:spacing w:after="0" w:line="264" w:lineRule="auto"/>
        <w:ind w:left="850" w:hanging="493"/>
        <w:jc w:val="both"/>
        <w:rPr>
          <w:rFonts w:asciiTheme="minorHAnsi" w:hAnsiTheme="minorHAnsi" w:cstheme="minorHAnsi"/>
          <w:color w:val="212529"/>
          <w:lang w:eastAsia="cs-CZ"/>
        </w:rPr>
      </w:pPr>
      <w:r w:rsidRPr="004920C6">
        <w:rPr>
          <w:rFonts w:asciiTheme="minorHAnsi" w:hAnsiTheme="minorHAnsi" w:cstheme="minorHAnsi"/>
          <w:color w:val="212529"/>
          <w:shd w:val="clear" w:color="auto" w:fill="FFFFFF"/>
          <w:lang w:eastAsia="cs-CZ"/>
        </w:rPr>
        <w:t>věci tisku, včetně vydávání neperiodického tisku a jiných informačních prostředků,</w:t>
      </w:r>
    </w:p>
    <w:p w14:paraId="73D9EFBE" w14:textId="066C00AE" w:rsidR="0089578D" w:rsidRPr="004920C6" w:rsidRDefault="0089578D" w:rsidP="0089578D">
      <w:pPr>
        <w:numPr>
          <w:ilvl w:val="0"/>
          <w:numId w:val="19"/>
        </w:numPr>
        <w:spacing w:after="0" w:line="264" w:lineRule="auto"/>
        <w:ind w:left="709" w:hanging="352"/>
        <w:jc w:val="both"/>
        <w:rPr>
          <w:rFonts w:asciiTheme="minorHAnsi" w:hAnsiTheme="minorHAnsi" w:cstheme="minorHAnsi"/>
          <w:color w:val="212529"/>
          <w:lang w:eastAsia="cs-CZ"/>
        </w:rPr>
      </w:pPr>
      <w:r w:rsidRPr="004920C6">
        <w:rPr>
          <w:rFonts w:asciiTheme="minorHAnsi" w:hAnsiTheme="minorHAnsi" w:cstheme="minorHAnsi"/>
          <w:color w:val="212529"/>
          <w:shd w:val="clear" w:color="auto" w:fill="FFFFFF"/>
          <w:lang w:eastAsia="cs-CZ"/>
        </w:rPr>
        <w:t>rozhlasové a</w:t>
      </w:r>
      <w:r w:rsidR="00D64D5A">
        <w:rPr>
          <w:rFonts w:asciiTheme="minorHAnsi" w:hAnsiTheme="minorHAnsi" w:cstheme="minorHAnsi"/>
          <w:color w:val="212529"/>
          <w:shd w:val="clear" w:color="auto" w:fill="FFFFFF"/>
          <w:lang w:eastAsia="cs-CZ"/>
        </w:rPr>
        <w:t> </w:t>
      </w:r>
      <w:r w:rsidRPr="004920C6">
        <w:rPr>
          <w:rFonts w:asciiTheme="minorHAnsi" w:hAnsiTheme="minorHAnsi" w:cstheme="minorHAnsi"/>
          <w:color w:val="212529"/>
          <w:shd w:val="clear" w:color="auto" w:fill="FFFFFF"/>
          <w:lang w:eastAsia="cs-CZ"/>
        </w:rPr>
        <w:t>televizní vysílání</w:t>
      </w:r>
      <w:r w:rsidR="00ED5E53">
        <w:rPr>
          <w:rFonts w:asciiTheme="minorHAnsi" w:hAnsiTheme="minorHAnsi" w:cstheme="minorHAnsi"/>
          <w:color w:val="212529"/>
          <w:shd w:val="clear" w:color="auto" w:fill="FFFFFF"/>
          <w:lang w:eastAsia="cs-CZ"/>
        </w:rPr>
        <w:t>, nestanoví-li zvláštní zákon jinak</w:t>
      </w:r>
      <w:r w:rsidRPr="004920C6">
        <w:rPr>
          <w:rFonts w:asciiTheme="minorHAnsi" w:hAnsiTheme="minorHAnsi" w:cstheme="minorHAnsi"/>
          <w:color w:val="212529"/>
          <w:shd w:val="clear" w:color="auto" w:fill="FFFFFF"/>
          <w:lang w:eastAsia="cs-CZ"/>
        </w:rPr>
        <w:t>,</w:t>
      </w:r>
    </w:p>
    <w:p w14:paraId="0ACF47E3" w14:textId="77777777" w:rsidR="0089578D" w:rsidRPr="004920C6" w:rsidRDefault="0089578D" w:rsidP="0089578D">
      <w:pPr>
        <w:numPr>
          <w:ilvl w:val="0"/>
          <w:numId w:val="19"/>
        </w:numPr>
        <w:spacing w:after="0" w:line="264" w:lineRule="auto"/>
        <w:ind w:left="850" w:hanging="493"/>
        <w:jc w:val="both"/>
        <w:rPr>
          <w:rFonts w:asciiTheme="minorHAnsi" w:hAnsiTheme="minorHAnsi" w:cstheme="minorHAnsi"/>
          <w:color w:val="212529"/>
          <w:lang w:eastAsia="cs-CZ"/>
        </w:rPr>
      </w:pPr>
      <w:r w:rsidRPr="004920C6">
        <w:rPr>
          <w:rFonts w:asciiTheme="minorHAnsi" w:hAnsiTheme="minorHAnsi" w:cstheme="minorHAnsi"/>
          <w:color w:val="212529"/>
          <w:shd w:val="clear" w:color="auto" w:fill="FFFFFF"/>
          <w:lang w:eastAsia="cs-CZ"/>
        </w:rPr>
        <w:t>provádění autorského zákona a</w:t>
      </w:r>
    </w:p>
    <w:p w14:paraId="12746FA3" w14:textId="4D057D3F" w:rsidR="009160FB" w:rsidRPr="004920C6" w:rsidRDefault="0089578D" w:rsidP="0089578D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4920C6">
        <w:rPr>
          <w:rFonts w:asciiTheme="minorHAnsi" w:hAnsiTheme="minorHAnsi" w:cstheme="minorHAnsi"/>
          <w:color w:val="212529"/>
          <w:shd w:val="clear" w:color="auto" w:fill="FFFFFF"/>
          <w:lang w:eastAsia="cs-CZ"/>
        </w:rPr>
        <w:t>výrobu a obchod v oblasti kultury.</w:t>
      </w:r>
    </w:p>
    <w:p w14:paraId="6737BA88" w14:textId="7862D811" w:rsidR="006D5E85" w:rsidRPr="004920C6" w:rsidRDefault="007F7F73" w:rsidP="00314A7D">
      <w:pPr>
        <w:spacing w:after="0"/>
        <w:jc w:val="both"/>
        <w:rPr>
          <w:rFonts w:ascii="Times New Roman" w:hAnsi="Times New Roman"/>
          <w:lang w:eastAsia="cs-CZ"/>
        </w:rPr>
      </w:pPr>
      <w:r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MK je </w:t>
      </w:r>
      <w:r w:rsidRPr="004920C6">
        <w:rPr>
          <w:rFonts w:asciiTheme="minorHAnsi" w:hAnsiTheme="minorHAnsi" w:cstheme="minorHAnsi"/>
        </w:rPr>
        <w:t>podle zákona č. 219/2000 Sb.</w:t>
      </w:r>
      <w:r w:rsidRPr="004920C6">
        <w:rPr>
          <w:rStyle w:val="Znakapoznpodarou"/>
          <w:rFonts w:asciiTheme="minorHAnsi" w:hAnsiTheme="minorHAnsi" w:cstheme="minorHAnsi"/>
        </w:rPr>
        <w:footnoteReference w:id="9"/>
      </w:r>
      <w:r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>organizační složkou státu</w:t>
      </w:r>
      <w:r w:rsidR="007864CA"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(dále také „OSS“) </w:t>
      </w:r>
      <w:r w:rsidR="00314A7D"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a </w:t>
      </w:r>
      <w:r w:rsidR="00314A7D" w:rsidRPr="004920C6">
        <w:rPr>
          <w:rFonts w:asciiTheme="minorHAnsi" w:hAnsiTheme="minorHAnsi" w:cstheme="minorHAnsi"/>
        </w:rPr>
        <w:t>dle zákona č. 563/1991 Sb.</w:t>
      </w:r>
      <w:r w:rsidR="00314A7D" w:rsidRPr="004920C6">
        <w:rPr>
          <w:rStyle w:val="Znakapoznpodarou"/>
          <w:rFonts w:asciiTheme="minorHAnsi" w:hAnsiTheme="minorHAnsi" w:cstheme="minorHAnsi"/>
        </w:rPr>
        <w:footnoteReference w:id="10"/>
      </w:r>
      <w:r w:rsidR="00314A7D" w:rsidRPr="004920C6">
        <w:rPr>
          <w:rFonts w:asciiTheme="minorHAnsi" w:hAnsiTheme="minorHAnsi" w:cstheme="minorHAnsi"/>
        </w:rPr>
        <w:t xml:space="preserve"> zároveň vybranou účetní jednotkou.</w:t>
      </w:r>
      <w:r w:rsidR="004A75A2"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</w:t>
      </w:r>
      <w:r w:rsidR="00F35A37" w:rsidRPr="004920C6">
        <w:rPr>
          <w:rFonts w:asciiTheme="minorHAnsi" w:hAnsiTheme="minorHAnsi" w:cstheme="minorHAnsi"/>
        </w:rPr>
        <w:t>MK</w:t>
      </w:r>
      <w:r w:rsidR="00314A7D" w:rsidRPr="004920C6">
        <w:rPr>
          <w:rFonts w:asciiTheme="minorHAnsi" w:hAnsiTheme="minorHAnsi" w:cstheme="minorHAnsi"/>
        </w:rPr>
        <w:t xml:space="preserve"> je ústředním orgánem státní správy a v souladu se</w:t>
      </w:r>
      <w:r w:rsidR="00F35A37"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zákon</w:t>
      </w:r>
      <w:r w:rsidR="00F35A37" w:rsidRPr="004920C6">
        <w:rPr>
          <w:rFonts w:asciiTheme="minorHAnsi" w:hAnsiTheme="minorHAnsi" w:cstheme="minorHAnsi"/>
        </w:rPr>
        <w:t>em</w:t>
      </w:r>
      <w:r w:rsidRPr="004920C6">
        <w:rPr>
          <w:rFonts w:asciiTheme="minorHAnsi" w:hAnsiTheme="minorHAnsi" w:cstheme="minorHAnsi"/>
        </w:rPr>
        <w:t xml:space="preserve"> č. 218/2000 Sb.</w:t>
      </w:r>
      <w:r w:rsidRPr="004920C6">
        <w:rPr>
          <w:rStyle w:val="Znakapoznpodarou"/>
          <w:rFonts w:asciiTheme="minorHAnsi" w:hAnsiTheme="minorHAnsi" w:cstheme="minorHAnsi"/>
        </w:rPr>
        <w:footnoteReference w:id="11"/>
      </w:r>
      <w:r w:rsidRPr="004920C6">
        <w:rPr>
          <w:rFonts w:asciiTheme="minorHAnsi" w:hAnsiTheme="minorHAnsi" w:cstheme="minorHAnsi"/>
        </w:rPr>
        <w:t xml:space="preserve"> </w:t>
      </w:r>
      <w:r w:rsidR="00314A7D" w:rsidRPr="004920C6">
        <w:rPr>
          <w:rFonts w:asciiTheme="minorHAnsi" w:hAnsiTheme="minorHAnsi" w:cstheme="minorHAnsi"/>
        </w:rPr>
        <w:t xml:space="preserve">a </w:t>
      </w:r>
      <w:r w:rsidR="00F35A37" w:rsidRPr="004920C6">
        <w:rPr>
          <w:rFonts w:asciiTheme="minorHAnsi" w:hAnsiTheme="minorHAnsi" w:cstheme="minorHAnsi"/>
        </w:rPr>
        <w:t xml:space="preserve">podle </w:t>
      </w:r>
      <w:r w:rsidR="00314A7D" w:rsidRPr="004920C6">
        <w:rPr>
          <w:rFonts w:asciiTheme="minorHAnsi" w:hAnsiTheme="minorHAnsi" w:cstheme="minorHAnsi"/>
        </w:rPr>
        <w:t>vyhlášky č. 412/2021 Sb.</w:t>
      </w:r>
      <w:r w:rsidR="00314A7D" w:rsidRPr="004920C6">
        <w:rPr>
          <w:rFonts w:asciiTheme="minorHAnsi" w:hAnsiTheme="minorHAnsi" w:cstheme="minorHAnsi"/>
          <w:vertAlign w:val="superscript"/>
        </w:rPr>
        <w:footnoteReference w:id="12"/>
      </w:r>
      <w:r w:rsidR="00314A7D" w:rsidRPr="004920C6">
        <w:rPr>
          <w:rFonts w:asciiTheme="minorHAnsi" w:hAnsiTheme="minorHAnsi" w:cstheme="minorHAnsi"/>
          <w:lang w:eastAsia="cs-CZ"/>
        </w:rPr>
        <w:t xml:space="preserve"> </w:t>
      </w:r>
      <w:r w:rsidR="00F35A37" w:rsidRPr="004920C6">
        <w:rPr>
          <w:rFonts w:asciiTheme="minorHAnsi" w:hAnsiTheme="minorHAnsi" w:cstheme="minorHAnsi"/>
          <w:lang w:eastAsia="cs-CZ"/>
        </w:rPr>
        <w:t xml:space="preserve">je </w:t>
      </w:r>
      <w:r w:rsidRPr="004920C6">
        <w:rPr>
          <w:rFonts w:asciiTheme="minorHAnsi" w:hAnsiTheme="minorHAnsi" w:cstheme="minorHAnsi"/>
        </w:rPr>
        <w:t>správcem kapitoly státního rozpočtu 334</w:t>
      </w:r>
      <w:r w:rsidR="000B0478" w:rsidRPr="004920C6">
        <w:rPr>
          <w:rFonts w:asciiTheme="minorHAnsi" w:hAnsiTheme="minorHAnsi" w:cstheme="minorHAnsi"/>
        </w:rPr>
        <w:t xml:space="preserve"> – </w:t>
      </w:r>
      <w:r w:rsidRPr="004920C6">
        <w:rPr>
          <w:rFonts w:asciiTheme="minorHAnsi" w:hAnsiTheme="minorHAnsi" w:cstheme="minorHAnsi"/>
          <w:i/>
          <w:iCs/>
        </w:rPr>
        <w:t>Ministerstvo kultury</w:t>
      </w:r>
      <w:r w:rsidRPr="004920C6">
        <w:rPr>
          <w:rFonts w:asciiTheme="minorHAnsi" w:hAnsiTheme="minorHAnsi" w:cstheme="minorHAnsi"/>
        </w:rPr>
        <w:t xml:space="preserve">. MK bylo k 31. </w:t>
      </w:r>
      <w:r w:rsidR="000D03AD">
        <w:rPr>
          <w:rFonts w:asciiTheme="minorHAnsi" w:hAnsiTheme="minorHAnsi" w:cstheme="minorHAnsi"/>
        </w:rPr>
        <w:t>prosinci</w:t>
      </w:r>
      <w:r w:rsidRPr="004920C6">
        <w:rPr>
          <w:rFonts w:asciiTheme="minorHAnsi" w:hAnsiTheme="minorHAnsi" w:cstheme="minorHAnsi"/>
        </w:rPr>
        <w:t xml:space="preserve"> 2024 zřizovatelem 31</w:t>
      </w:r>
      <w:r w:rsidR="00D64D5A">
        <w:rPr>
          <w:rFonts w:asciiTheme="minorHAnsi" w:hAnsiTheme="minorHAnsi" w:cstheme="minorHAnsi"/>
        </w:rPr>
        <w:t> </w:t>
      </w:r>
      <w:r w:rsidRPr="004920C6">
        <w:rPr>
          <w:rFonts w:asciiTheme="minorHAnsi" w:hAnsiTheme="minorHAnsi" w:cstheme="minorHAnsi"/>
        </w:rPr>
        <w:t>příspěvkových organizací</w:t>
      </w:r>
      <w:r w:rsidR="00677517" w:rsidRPr="004920C6">
        <w:rPr>
          <w:rFonts w:asciiTheme="minorHAnsi" w:hAnsiTheme="minorHAnsi" w:cstheme="minorHAnsi"/>
        </w:rPr>
        <w:t xml:space="preserve"> (dále také „PO“)</w:t>
      </w:r>
      <w:r w:rsidRPr="004920C6">
        <w:rPr>
          <w:rFonts w:asciiTheme="minorHAnsi" w:hAnsiTheme="minorHAnsi" w:cstheme="minorHAnsi"/>
        </w:rPr>
        <w:t>.</w:t>
      </w:r>
    </w:p>
    <w:p w14:paraId="5C2B6278" w14:textId="1B14DD73" w:rsidR="005705EE" w:rsidRPr="004920C6" w:rsidRDefault="00A640AE" w:rsidP="00C85974">
      <w:pPr>
        <w:spacing w:before="120" w:after="240"/>
        <w:jc w:val="both"/>
        <w:rPr>
          <w:rFonts w:asciiTheme="minorHAnsi" w:hAnsiTheme="minorHAnsi" w:cs="Calibri"/>
        </w:rPr>
      </w:pPr>
      <w:r w:rsidRPr="004920C6">
        <w:rPr>
          <w:rFonts w:asciiTheme="minorHAnsi" w:hAnsiTheme="minorHAnsi" w:cs="Calibri"/>
        </w:rPr>
        <w:t>Přehled</w:t>
      </w:r>
      <w:r w:rsidR="00D85D8F" w:rsidRPr="004920C6">
        <w:rPr>
          <w:rFonts w:asciiTheme="minorHAnsi" w:hAnsiTheme="minorHAnsi" w:cs="Calibri"/>
        </w:rPr>
        <w:t xml:space="preserve"> vybraných</w:t>
      </w:r>
      <w:r w:rsidRPr="004920C6">
        <w:rPr>
          <w:rFonts w:asciiTheme="minorHAnsi" w:hAnsiTheme="minorHAnsi" w:cs="Calibri"/>
        </w:rPr>
        <w:t xml:space="preserve"> údajů z</w:t>
      </w:r>
      <w:r w:rsidR="002D2E09" w:rsidRPr="004920C6">
        <w:rPr>
          <w:rFonts w:asciiTheme="minorHAnsi" w:hAnsiTheme="minorHAnsi" w:cs="Calibri"/>
        </w:rPr>
        <w:t xml:space="preserve"> </w:t>
      </w:r>
      <w:r w:rsidR="00D37A9B" w:rsidRPr="004920C6">
        <w:rPr>
          <w:rFonts w:asciiTheme="minorHAnsi" w:hAnsiTheme="minorHAnsi" w:cs="Calibri"/>
        </w:rPr>
        <w:t xml:space="preserve">ÚZ </w:t>
      </w:r>
      <w:r w:rsidRPr="004920C6">
        <w:rPr>
          <w:rFonts w:asciiTheme="minorHAnsi" w:hAnsiTheme="minorHAnsi" w:cs="Calibri"/>
        </w:rPr>
        <w:t>a z</w:t>
      </w:r>
      <w:r w:rsidR="002D2E09" w:rsidRPr="004920C6">
        <w:rPr>
          <w:rFonts w:asciiTheme="minorHAnsi" w:hAnsiTheme="minorHAnsi" w:cs="Calibri"/>
        </w:rPr>
        <w:t xml:space="preserve"> </w:t>
      </w:r>
      <w:r w:rsidRPr="004920C6">
        <w:rPr>
          <w:rFonts w:asciiTheme="minorHAnsi" w:hAnsiTheme="minorHAnsi" w:cs="Calibri"/>
        </w:rPr>
        <w:t>výkazu FIN 1-12 OSS vygenerovaného z</w:t>
      </w:r>
      <w:r w:rsidR="002D2E09" w:rsidRPr="004920C6">
        <w:rPr>
          <w:rFonts w:asciiTheme="minorHAnsi" w:hAnsiTheme="minorHAnsi" w:cs="Calibri"/>
        </w:rPr>
        <w:t xml:space="preserve"> </w:t>
      </w:r>
      <w:r w:rsidRPr="004920C6">
        <w:rPr>
          <w:rFonts w:asciiTheme="minorHAnsi" w:hAnsiTheme="minorHAnsi" w:cs="Calibri"/>
        </w:rPr>
        <w:t>rozpočtového systému</w:t>
      </w:r>
      <w:r w:rsidRPr="004920C6">
        <w:rPr>
          <w:rStyle w:val="Znakapoznpodarou"/>
          <w:rFonts w:asciiTheme="minorHAnsi" w:eastAsiaTheme="minorHAnsi" w:hAnsiTheme="minorHAnsi" w:cs="Calibri"/>
        </w:rPr>
        <w:footnoteReference w:id="13"/>
      </w:r>
      <w:r w:rsidRPr="004920C6">
        <w:rPr>
          <w:rFonts w:asciiTheme="minorHAnsi" w:hAnsiTheme="minorHAnsi" w:cs="Calibri"/>
        </w:rPr>
        <w:t xml:space="preserve"> je uveden v následujících tabulkách.</w:t>
      </w:r>
    </w:p>
    <w:p w14:paraId="076D7522" w14:textId="1C225BFC" w:rsidR="00DE6218" w:rsidRPr="004920C6" w:rsidRDefault="00DE6218" w:rsidP="0089578D">
      <w:pPr>
        <w:pStyle w:val="Titulek"/>
        <w:tabs>
          <w:tab w:val="right" w:pos="9070"/>
        </w:tabs>
        <w:spacing w:before="120" w:after="40"/>
        <w:ind w:left="1304" w:hanging="1304"/>
        <w:jc w:val="both"/>
      </w:pPr>
      <w:r w:rsidRPr="004920C6">
        <w:t xml:space="preserve">Tabulka č. </w:t>
      </w:r>
      <w:fldSimple w:instr=" SEQ Tabulka_č. \* ARABIC ">
        <w:r w:rsidR="00752E21">
          <w:rPr>
            <w:noProof/>
          </w:rPr>
          <w:t>1</w:t>
        </w:r>
      </w:fldSimple>
      <w:r w:rsidRPr="004920C6">
        <w:t xml:space="preserve">: </w:t>
      </w:r>
      <w:r w:rsidR="00DD162C" w:rsidRPr="004920C6">
        <w:tab/>
      </w:r>
      <w:r w:rsidRPr="004920C6">
        <w:t>Údaje ÚZ – rozvaha a výkaz zisku a ztráty</w:t>
      </w:r>
      <w:r w:rsidR="00C85974">
        <w:t xml:space="preserve"> </w:t>
      </w:r>
      <w:r w:rsidRPr="004920C6">
        <w:t>(údaje</w:t>
      </w:r>
      <w:r w:rsidR="008412ED" w:rsidRPr="004920C6">
        <w:t xml:space="preserve"> za běžné období</w:t>
      </w:r>
      <w:r w:rsidR="001E5452" w:rsidRPr="004920C6">
        <w:t xml:space="preserve"> </w:t>
      </w:r>
      <w:r w:rsidR="008412ED" w:rsidRPr="004920C6">
        <w:t>k</w:t>
      </w:r>
      <w:r w:rsidR="001E5452" w:rsidRPr="004920C6">
        <w:t> </w:t>
      </w:r>
      <w:r w:rsidR="008412ED" w:rsidRPr="004920C6">
        <w:t>31.</w:t>
      </w:r>
      <w:r w:rsidR="001E5452" w:rsidRPr="004920C6">
        <w:t> </w:t>
      </w:r>
      <w:r w:rsidR="008412ED" w:rsidRPr="004920C6">
        <w:t>prosinci</w:t>
      </w:r>
      <w:r w:rsidR="00424DBC" w:rsidRPr="004920C6">
        <w:t xml:space="preserve"> 202</w:t>
      </w:r>
      <w:r w:rsidR="00FC63BF" w:rsidRPr="004920C6">
        <w:t>4</w:t>
      </w:r>
      <w:r w:rsidR="00CB3D84" w:rsidRPr="004920C6">
        <w:t>)</w:t>
      </w:r>
      <w:r w:rsidR="00DE6A8C" w:rsidRPr="004920C6">
        <w:t xml:space="preserve"> </w:t>
      </w:r>
      <w:r w:rsidR="00CB3D84" w:rsidRPr="004920C6">
        <w:tab/>
        <w:t>(</w:t>
      </w:r>
      <w:r w:rsidR="00DE6A8C" w:rsidRPr="004920C6">
        <w:t>v mil. Kč</w:t>
      </w:r>
      <w:r w:rsidRPr="004920C6">
        <w:t>)</w:t>
      </w:r>
    </w:p>
    <w:tbl>
      <w:tblPr>
        <w:tblW w:w="907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50080C" w:rsidRPr="004920C6" w14:paraId="0183F02F" w14:textId="77777777" w:rsidTr="002208E5">
        <w:trPr>
          <w:trHeight w:val="283"/>
          <w:jc w:val="center"/>
        </w:trPr>
        <w:tc>
          <w:tcPr>
            <w:tcW w:w="4819" w:type="dxa"/>
            <w:shd w:val="clear" w:color="auto" w:fill="E6E6E6"/>
            <w:noWrap/>
            <w:vAlign w:val="center"/>
            <w:hideMark/>
          </w:tcPr>
          <w:p w14:paraId="0D333D2C" w14:textId="77777777" w:rsidR="00494B0F" w:rsidRPr="004920C6" w:rsidRDefault="00A640AE" w:rsidP="001916B9">
            <w:pPr>
              <w:keepNext/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920C6">
              <w:rPr>
                <w:rFonts w:cs="Arial"/>
                <w:b/>
                <w:bCs/>
                <w:sz w:val="20"/>
                <w:szCs w:val="20"/>
              </w:rPr>
              <w:t>Ukazatel</w:t>
            </w:r>
          </w:p>
        </w:tc>
        <w:tc>
          <w:tcPr>
            <w:tcW w:w="4252" w:type="dxa"/>
            <w:shd w:val="clear" w:color="auto" w:fill="E6E6E6"/>
            <w:noWrap/>
            <w:vAlign w:val="center"/>
            <w:hideMark/>
          </w:tcPr>
          <w:p w14:paraId="01BE6DB8" w14:textId="77777777" w:rsidR="00494B0F" w:rsidRPr="004920C6" w:rsidRDefault="00A640AE" w:rsidP="001916B9">
            <w:pPr>
              <w:keepNext/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920C6">
              <w:rPr>
                <w:rFonts w:cs="Arial"/>
                <w:b/>
                <w:bCs/>
                <w:sz w:val="20"/>
                <w:szCs w:val="20"/>
              </w:rPr>
              <w:t>Částka</w:t>
            </w:r>
          </w:p>
        </w:tc>
      </w:tr>
      <w:tr w:rsidR="00D37A9B" w:rsidRPr="004920C6" w14:paraId="365364A7" w14:textId="77777777" w:rsidTr="002E0D16">
        <w:trPr>
          <w:trHeight w:val="283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3DA1E15E" w14:textId="77777777" w:rsidR="00D37A9B" w:rsidRPr="004920C6" w:rsidRDefault="00D37A9B" w:rsidP="00CD0C06">
            <w:pPr>
              <w:keepNext/>
              <w:spacing w:before="20" w:after="20"/>
              <w:ind w:left="57"/>
              <w:rPr>
                <w:rFonts w:cs="Arial"/>
                <w:sz w:val="20"/>
                <w:szCs w:val="20"/>
              </w:rPr>
            </w:pPr>
            <w:r w:rsidRPr="004920C6">
              <w:rPr>
                <w:rFonts w:cs="Arial"/>
                <w:sz w:val="20"/>
                <w:szCs w:val="20"/>
              </w:rPr>
              <w:t>Aktiva netto</w:t>
            </w:r>
            <w:r w:rsidR="00BD266C" w:rsidRPr="004920C6">
              <w:rPr>
                <w:rFonts w:cs="Arial"/>
                <w:sz w:val="20"/>
                <w:szCs w:val="20"/>
              </w:rPr>
              <w:t>, pasiva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064F96A8" w14:textId="1F59D50C" w:rsidR="00D37A9B" w:rsidRPr="004920C6" w:rsidRDefault="00FC63BF" w:rsidP="00CD0C06">
            <w:pPr>
              <w:keepNext/>
              <w:spacing w:before="20" w:after="20"/>
              <w:ind w:right="78"/>
              <w:jc w:val="right"/>
              <w:rPr>
                <w:rFonts w:cs="Arial"/>
                <w:bCs/>
                <w:sz w:val="20"/>
                <w:szCs w:val="20"/>
              </w:rPr>
            </w:pPr>
            <w:r w:rsidRPr="004920C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3 589,7</w:t>
            </w:r>
          </w:p>
        </w:tc>
      </w:tr>
      <w:tr w:rsidR="00D37A9B" w:rsidRPr="004920C6" w14:paraId="133B54C5" w14:textId="77777777" w:rsidTr="002E0D16">
        <w:trPr>
          <w:trHeight w:val="283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3849284B" w14:textId="77777777" w:rsidR="00D37A9B" w:rsidRPr="004920C6" w:rsidRDefault="00D37A9B" w:rsidP="00CD0C06">
            <w:pPr>
              <w:keepNext/>
              <w:spacing w:before="20" w:after="20"/>
              <w:ind w:left="57"/>
              <w:rPr>
                <w:rFonts w:cs="Arial"/>
                <w:sz w:val="20"/>
                <w:szCs w:val="20"/>
              </w:rPr>
            </w:pPr>
            <w:r w:rsidRPr="004920C6">
              <w:rPr>
                <w:rFonts w:cs="Arial"/>
                <w:sz w:val="20"/>
                <w:szCs w:val="20"/>
              </w:rPr>
              <w:t>Náklady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699BA5FA" w14:textId="617B110A" w:rsidR="00D37A9B" w:rsidRPr="004920C6" w:rsidRDefault="00FC63BF" w:rsidP="00CD0C06">
            <w:pPr>
              <w:keepNext/>
              <w:spacing w:before="20" w:after="20"/>
              <w:ind w:right="78"/>
              <w:jc w:val="right"/>
              <w:rPr>
                <w:rFonts w:cs="Arial"/>
                <w:sz w:val="20"/>
                <w:szCs w:val="20"/>
              </w:rPr>
            </w:pPr>
            <w:r w:rsidRPr="004920C6">
              <w:rPr>
                <w:rFonts w:asciiTheme="minorHAnsi" w:hAnsiTheme="minorHAnsi" w:cstheme="minorHAnsi"/>
                <w:sz w:val="20"/>
                <w:szCs w:val="20"/>
              </w:rPr>
              <w:t>19 573,0</w:t>
            </w:r>
          </w:p>
        </w:tc>
      </w:tr>
      <w:tr w:rsidR="00D37A9B" w:rsidRPr="004920C6" w14:paraId="54F06F9B" w14:textId="77777777" w:rsidTr="002E0D16">
        <w:trPr>
          <w:trHeight w:val="283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662FC116" w14:textId="77777777" w:rsidR="00D37A9B" w:rsidRPr="004920C6" w:rsidRDefault="00D37A9B" w:rsidP="00CD0C06">
            <w:pPr>
              <w:keepNext/>
              <w:spacing w:before="20" w:after="20"/>
              <w:ind w:left="57"/>
              <w:rPr>
                <w:rFonts w:cs="Arial"/>
                <w:sz w:val="20"/>
                <w:szCs w:val="20"/>
              </w:rPr>
            </w:pPr>
            <w:r w:rsidRPr="004920C6">
              <w:rPr>
                <w:rFonts w:cs="Arial"/>
                <w:sz w:val="20"/>
                <w:szCs w:val="20"/>
              </w:rPr>
              <w:t>Výnosy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510F59AF" w14:textId="0D0D00C1" w:rsidR="00D37A9B" w:rsidRPr="004920C6" w:rsidRDefault="00FC63BF" w:rsidP="00CD0C06">
            <w:pPr>
              <w:keepNext/>
              <w:spacing w:before="20" w:after="20"/>
              <w:ind w:right="78"/>
              <w:jc w:val="right"/>
              <w:rPr>
                <w:rFonts w:cs="Arial"/>
                <w:sz w:val="20"/>
                <w:szCs w:val="20"/>
              </w:rPr>
            </w:pPr>
            <w:r w:rsidRPr="004920C6">
              <w:rPr>
                <w:rFonts w:asciiTheme="minorHAnsi" w:hAnsiTheme="minorHAnsi" w:cstheme="minorHAnsi"/>
                <w:sz w:val="20"/>
                <w:szCs w:val="20"/>
              </w:rPr>
              <w:t>1 467,1</w:t>
            </w:r>
          </w:p>
        </w:tc>
      </w:tr>
      <w:tr w:rsidR="00D37A9B" w:rsidRPr="004920C6" w14:paraId="146E2924" w14:textId="77777777" w:rsidTr="002E0D16">
        <w:trPr>
          <w:trHeight w:val="283"/>
          <w:jc w:val="center"/>
        </w:trPr>
        <w:tc>
          <w:tcPr>
            <w:tcW w:w="4819" w:type="dxa"/>
            <w:shd w:val="clear" w:color="auto" w:fill="auto"/>
            <w:vAlign w:val="center"/>
            <w:hideMark/>
          </w:tcPr>
          <w:p w14:paraId="26F66FC4" w14:textId="77777777" w:rsidR="00D37A9B" w:rsidRPr="004920C6" w:rsidRDefault="00D37A9B" w:rsidP="00CD0C06">
            <w:pPr>
              <w:keepNext/>
              <w:spacing w:before="20" w:after="20"/>
              <w:ind w:left="57"/>
              <w:rPr>
                <w:rFonts w:cs="Arial"/>
                <w:sz w:val="20"/>
                <w:szCs w:val="20"/>
              </w:rPr>
            </w:pPr>
            <w:r w:rsidRPr="004920C6">
              <w:rPr>
                <w:rFonts w:cs="Arial"/>
                <w:sz w:val="20"/>
                <w:szCs w:val="20"/>
              </w:rPr>
              <w:t>Výsledek hospodaření běžného účetního období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572A7F9A" w14:textId="08E21A92" w:rsidR="00D37A9B" w:rsidRPr="004920C6" w:rsidRDefault="004C268B" w:rsidP="00CD0C06">
            <w:pPr>
              <w:keepNext/>
              <w:spacing w:before="20" w:after="20"/>
              <w:ind w:right="78"/>
              <w:jc w:val="right"/>
              <w:rPr>
                <w:rFonts w:cs="Arial"/>
                <w:bCs/>
                <w:sz w:val="20"/>
                <w:szCs w:val="20"/>
              </w:rPr>
            </w:pPr>
            <w:r w:rsidRPr="004920C6">
              <w:rPr>
                <w:rFonts w:cs="Calibri"/>
                <w:sz w:val="20"/>
                <w:szCs w:val="20"/>
              </w:rPr>
              <w:t>−</w:t>
            </w:r>
            <w:r w:rsidR="00FE456D" w:rsidRPr="004920C6">
              <w:rPr>
                <w:rFonts w:cs="Calibri"/>
                <w:sz w:val="20"/>
                <w:szCs w:val="20"/>
              </w:rPr>
              <w:t>18 105</w:t>
            </w:r>
            <w:r w:rsidR="006C2304" w:rsidRPr="004920C6">
              <w:rPr>
                <w:rFonts w:cs="Calibri"/>
                <w:sz w:val="20"/>
                <w:szCs w:val="20"/>
              </w:rPr>
              <w:t>,9</w:t>
            </w:r>
          </w:p>
        </w:tc>
      </w:tr>
    </w:tbl>
    <w:p w14:paraId="612CF6A9" w14:textId="77777777" w:rsidR="00494B0F" w:rsidRPr="004920C6" w:rsidRDefault="00A640AE" w:rsidP="001E5452">
      <w:pPr>
        <w:keepNext/>
        <w:spacing w:before="40" w:after="0"/>
        <w:ind w:left="567" w:hanging="567"/>
        <w:rPr>
          <w:rFonts w:cs="Arial"/>
          <w:bCs/>
          <w:sz w:val="20"/>
          <w:szCs w:val="20"/>
        </w:rPr>
      </w:pPr>
      <w:r w:rsidRPr="004920C6">
        <w:rPr>
          <w:rFonts w:cs="Arial"/>
          <w:b/>
          <w:sz w:val="20"/>
          <w:szCs w:val="20"/>
        </w:rPr>
        <w:t>Zdroj:</w:t>
      </w:r>
      <w:r w:rsidRPr="004920C6">
        <w:rPr>
          <w:rFonts w:cs="Arial"/>
          <w:bCs/>
          <w:sz w:val="20"/>
          <w:szCs w:val="20"/>
        </w:rPr>
        <w:t xml:space="preserve"> </w:t>
      </w:r>
      <w:r w:rsidR="001E5452" w:rsidRPr="004920C6">
        <w:rPr>
          <w:rFonts w:cs="Arial"/>
          <w:bCs/>
          <w:sz w:val="20"/>
          <w:szCs w:val="20"/>
        </w:rPr>
        <w:tab/>
      </w:r>
      <w:r w:rsidR="000B3825" w:rsidRPr="004920C6">
        <w:rPr>
          <w:rFonts w:cs="Arial"/>
          <w:bCs/>
          <w:sz w:val="20"/>
          <w:szCs w:val="20"/>
        </w:rPr>
        <w:t>ÚZ</w:t>
      </w:r>
      <w:r w:rsidR="003444C4" w:rsidRPr="004920C6">
        <w:rPr>
          <w:rFonts w:cs="Arial"/>
          <w:bCs/>
          <w:sz w:val="20"/>
          <w:szCs w:val="20"/>
        </w:rPr>
        <w:t>.</w:t>
      </w:r>
    </w:p>
    <w:p w14:paraId="14FF8E29" w14:textId="42D931B3" w:rsidR="00A94960" w:rsidRPr="004920C6" w:rsidRDefault="00A640AE" w:rsidP="001E5452">
      <w:pPr>
        <w:spacing w:after="0"/>
        <w:ind w:left="567" w:hanging="567"/>
        <w:jc w:val="both"/>
        <w:rPr>
          <w:rFonts w:cs="Arial"/>
          <w:bCs/>
          <w:sz w:val="20"/>
          <w:szCs w:val="20"/>
        </w:rPr>
      </w:pPr>
      <w:r w:rsidRPr="004920C6">
        <w:rPr>
          <w:rFonts w:cs="Arial"/>
          <w:b/>
          <w:sz w:val="20"/>
          <w:szCs w:val="20"/>
        </w:rPr>
        <w:t>Pozn.:</w:t>
      </w:r>
      <w:r w:rsidR="005705EE" w:rsidRPr="004920C6">
        <w:rPr>
          <w:rFonts w:cs="Arial"/>
          <w:bCs/>
          <w:sz w:val="20"/>
          <w:szCs w:val="20"/>
        </w:rPr>
        <w:t xml:space="preserve"> </w:t>
      </w:r>
      <w:r w:rsidR="00BA2B34" w:rsidRPr="004920C6">
        <w:rPr>
          <w:rFonts w:cs="Arial"/>
          <w:bCs/>
          <w:sz w:val="20"/>
          <w:szCs w:val="20"/>
        </w:rPr>
        <w:tab/>
      </w:r>
      <w:r w:rsidR="000C570B" w:rsidRPr="004920C6">
        <w:rPr>
          <w:rFonts w:cs="Arial"/>
          <w:bCs/>
          <w:sz w:val="20"/>
          <w:szCs w:val="20"/>
        </w:rPr>
        <w:t>MK</w:t>
      </w:r>
      <w:r w:rsidRPr="004920C6">
        <w:rPr>
          <w:rFonts w:cs="Arial"/>
          <w:bCs/>
          <w:sz w:val="20"/>
          <w:szCs w:val="20"/>
        </w:rPr>
        <w:t xml:space="preserve"> v ÚZ vykázal</w:t>
      </w:r>
      <w:r w:rsidR="000C570B" w:rsidRPr="004920C6">
        <w:rPr>
          <w:rFonts w:cs="Arial"/>
          <w:bCs/>
          <w:sz w:val="20"/>
          <w:szCs w:val="20"/>
        </w:rPr>
        <w:t>o</w:t>
      </w:r>
      <w:r w:rsidRPr="004920C6">
        <w:rPr>
          <w:rFonts w:cs="Arial"/>
          <w:bCs/>
          <w:sz w:val="20"/>
          <w:szCs w:val="20"/>
        </w:rPr>
        <w:t xml:space="preserve"> aktiva v hodnotě brutto ve výši</w:t>
      </w:r>
      <w:r w:rsidR="000C570B" w:rsidRPr="004920C6">
        <w:rPr>
          <w:rFonts w:cs="Arial"/>
          <w:bCs/>
          <w:sz w:val="20"/>
          <w:szCs w:val="20"/>
        </w:rPr>
        <w:t xml:space="preserve"> 4 226,6</w:t>
      </w:r>
      <w:r w:rsidR="0037405E" w:rsidRPr="004920C6">
        <w:rPr>
          <w:rFonts w:cs="Arial"/>
          <w:bCs/>
          <w:sz w:val="20"/>
          <w:szCs w:val="20"/>
        </w:rPr>
        <w:t xml:space="preserve"> mil.</w:t>
      </w:r>
      <w:r w:rsidR="00792B0B" w:rsidRPr="004920C6">
        <w:rPr>
          <w:rFonts w:cs="Arial"/>
          <w:bCs/>
          <w:sz w:val="20"/>
          <w:szCs w:val="20"/>
        </w:rPr>
        <w:t xml:space="preserve"> </w:t>
      </w:r>
      <w:r w:rsidR="00D37A9B" w:rsidRPr="004920C6">
        <w:rPr>
          <w:rFonts w:cs="Arial"/>
          <w:bCs/>
          <w:sz w:val="20"/>
          <w:szCs w:val="20"/>
        </w:rPr>
        <w:t>Kč</w:t>
      </w:r>
      <w:r w:rsidRPr="004920C6">
        <w:rPr>
          <w:rFonts w:cs="Arial"/>
          <w:bCs/>
          <w:sz w:val="20"/>
          <w:szCs w:val="20"/>
        </w:rPr>
        <w:t xml:space="preserve"> upravené </w:t>
      </w:r>
      <w:r w:rsidR="000B4B25" w:rsidRPr="004920C6">
        <w:rPr>
          <w:rFonts w:cs="Arial"/>
          <w:bCs/>
          <w:sz w:val="20"/>
          <w:szCs w:val="20"/>
        </w:rPr>
        <w:t>o</w:t>
      </w:r>
      <w:r w:rsidR="00854846" w:rsidRPr="004920C6">
        <w:rPr>
          <w:rFonts w:cs="Arial"/>
          <w:bCs/>
          <w:sz w:val="20"/>
          <w:szCs w:val="20"/>
        </w:rPr>
        <w:t xml:space="preserve"> </w:t>
      </w:r>
      <w:r w:rsidRPr="004920C6">
        <w:rPr>
          <w:rFonts w:cs="Arial"/>
          <w:bCs/>
          <w:sz w:val="20"/>
          <w:szCs w:val="20"/>
        </w:rPr>
        <w:t>korekce ve výši</w:t>
      </w:r>
      <w:r w:rsidR="00D863FE" w:rsidRPr="004920C6">
        <w:rPr>
          <w:rFonts w:cs="Arial"/>
          <w:bCs/>
          <w:sz w:val="20"/>
          <w:szCs w:val="20"/>
        </w:rPr>
        <w:t xml:space="preserve"> </w:t>
      </w:r>
      <w:r w:rsidR="000C570B" w:rsidRPr="004920C6">
        <w:rPr>
          <w:rFonts w:cs="Arial"/>
          <w:bCs/>
          <w:sz w:val="20"/>
          <w:szCs w:val="20"/>
        </w:rPr>
        <w:t>636</w:t>
      </w:r>
      <w:r w:rsidR="006C2304" w:rsidRPr="004920C6">
        <w:rPr>
          <w:rFonts w:cs="Arial"/>
          <w:bCs/>
          <w:sz w:val="20"/>
          <w:szCs w:val="20"/>
        </w:rPr>
        <w:t>,</w:t>
      </w:r>
      <w:r w:rsidR="000C570B" w:rsidRPr="004920C6">
        <w:rPr>
          <w:rFonts w:cs="Arial"/>
          <w:bCs/>
          <w:sz w:val="20"/>
          <w:szCs w:val="20"/>
        </w:rPr>
        <w:t>9</w:t>
      </w:r>
      <w:r w:rsidR="00581840" w:rsidRPr="004920C6">
        <w:rPr>
          <w:rFonts w:cs="Arial"/>
          <w:bCs/>
          <w:sz w:val="20"/>
          <w:szCs w:val="20"/>
        </w:rPr>
        <w:t xml:space="preserve"> </w:t>
      </w:r>
      <w:r w:rsidR="0037405E" w:rsidRPr="004920C6">
        <w:rPr>
          <w:rFonts w:cs="Arial"/>
          <w:bCs/>
          <w:sz w:val="20"/>
          <w:szCs w:val="20"/>
        </w:rPr>
        <w:t>mil.</w:t>
      </w:r>
      <w:r w:rsidR="001E5452" w:rsidRPr="004920C6">
        <w:rPr>
          <w:rFonts w:cs="Arial"/>
          <w:bCs/>
          <w:sz w:val="20"/>
          <w:szCs w:val="20"/>
        </w:rPr>
        <w:t> </w:t>
      </w:r>
      <w:r w:rsidRPr="004920C6">
        <w:rPr>
          <w:rFonts w:cs="Arial"/>
          <w:bCs/>
          <w:sz w:val="20"/>
          <w:szCs w:val="20"/>
        </w:rPr>
        <w:t>Kč.</w:t>
      </w:r>
      <w:r w:rsidR="006C2304" w:rsidRPr="004920C6">
        <w:rPr>
          <w:rFonts w:cs="Arial"/>
          <w:bCs/>
          <w:sz w:val="20"/>
          <w:szCs w:val="20"/>
        </w:rPr>
        <w:t xml:space="preserve"> </w:t>
      </w:r>
    </w:p>
    <w:p w14:paraId="3F730214" w14:textId="77777777" w:rsidR="00C85974" w:rsidRDefault="00C85974">
      <w:pPr>
        <w:spacing w:after="160" w:line="259" w:lineRule="auto"/>
        <w:rPr>
          <w:rFonts w:cs="Calibri"/>
          <w:b/>
          <w:bCs/>
          <w:szCs w:val="20"/>
        </w:rPr>
      </w:pPr>
      <w:r>
        <w:br w:type="page"/>
      </w:r>
    </w:p>
    <w:p w14:paraId="2AFD696D" w14:textId="7781FBAB" w:rsidR="00DE6218" w:rsidRPr="004920C6" w:rsidRDefault="00DE6218" w:rsidP="003B783C">
      <w:pPr>
        <w:pStyle w:val="Titulek"/>
        <w:tabs>
          <w:tab w:val="right" w:pos="9070"/>
        </w:tabs>
        <w:spacing w:after="40"/>
        <w:ind w:left="1304" w:hanging="1304"/>
        <w:jc w:val="both"/>
      </w:pPr>
      <w:r w:rsidRPr="004920C6">
        <w:lastRenderedPageBreak/>
        <w:t xml:space="preserve">Tabulka č. </w:t>
      </w:r>
      <w:fldSimple w:instr=" SEQ Tabulka_č. \* ARABIC ">
        <w:r w:rsidR="00752E21">
          <w:rPr>
            <w:noProof/>
          </w:rPr>
          <w:t>2</w:t>
        </w:r>
      </w:fldSimple>
      <w:r w:rsidRPr="004920C6">
        <w:t xml:space="preserve">: </w:t>
      </w:r>
      <w:r w:rsidR="002E0D16" w:rsidRPr="004920C6">
        <w:tab/>
      </w:r>
      <w:r w:rsidRPr="004920C6">
        <w:t>Údaje ÚZ – informace o stavu účtů v knize podrozvahových účtů (údaje</w:t>
      </w:r>
      <w:r w:rsidR="008412ED" w:rsidRPr="004920C6">
        <w:t xml:space="preserve"> za běžné období k 31. prosinci</w:t>
      </w:r>
      <w:r w:rsidR="00424DBC" w:rsidRPr="004920C6">
        <w:t xml:space="preserve"> 202</w:t>
      </w:r>
      <w:r w:rsidR="000C570B" w:rsidRPr="004920C6">
        <w:t>4</w:t>
      </w:r>
      <w:r w:rsidR="00CB3D84" w:rsidRPr="004920C6">
        <w:t>)</w:t>
      </w:r>
      <w:r w:rsidR="00A34B4E" w:rsidRPr="004920C6">
        <w:t xml:space="preserve"> </w:t>
      </w:r>
      <w:r w:rsidR="00CB3D84" w:rsidRPr="004920C6">
        <w:tab/>
        <w:t>(</w:t>
      </w:r>
      <w:r w:rsidR="00A34B4E" w:rsidRPr="004920C6">
        <w:t>v mil. Kč</w:t>
      </w:r>
      <w:r w:rsidRPr="004920C6">
        <w:t>)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C12205" w:rsidRPr="004920C6" w14:paraId="3DFAEE13" w14:textId="77777777" w:rsidTr="00E17338">
        <w:trPr>
          <w:trHeight w:val="255"/>
          <w:tblHeader/>
          <w:jc w:val="center"/>
        </w:trPr>
        <w:tc>
          <w:tcPr>
            <w:tcW w:w="4819" w:type="dxa"/>
            <w:shd w:val="clear" w:color="auto" w:fill="E6E6E6"/>
            <w:vAlign w:val="center"/>
          </w:tcPr>
          <w:p w14:paraId="56C24CB8" w14:textId="77777777" w:rsidR="00C12205" w:rsidRPr="004920C6" w:rsidRDefault="00C12205" w:rsidP="001916B9">
            <w:pPr>
              <w:spacing w:before="20" w:after="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920C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Položka výkazu</w:t>
            </w:r>
          </w:p>
        </w:tc>
        <w:tc>
          <w:tcPr>
            <w:tcW w:w="4252" w:type="dxa"/>
            <w:shd w:val="clear" w:color="auto" w:fill="E6E6E6"/>
            <w:noWrap/>
            <w:vAlign w:val="center"/>
            <w:hideMark/>
          </w:tcPr>
          <w:p w14:paraId="77060BAD" w14:textId="77777777" w:rsidR="00C12205" w:rsidRPr="004920C6" w:rsidRDefault="00C12205" w:rsidP="001916B9">
            <w:pPr>
              <w:spacing w:before="20" w:after="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920C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Částka</w:t>
            </w:r>
          </w:p>
        </w:tc>
      </w:tr>
      <w:tr w:rsidR="0058405E" w:rsidRPr="004920C6" w14:paraId="799EDD6F" w14:textId="77777777" w:rsidTr="00E17338">
        <w:trPr>
          <w:trHeight w:val="255"/>
          <w:jc w:val="center"/>
        </w:trPr>
        <w:tc>
          <w:tcPr>
            <w:tcW w:w="4819" w:type="dxa"/>
            <w:shd w:val="clear" w:color="auto" w:fill="auto"/>
            <w:vAlign w:val="center"/>
          </w:tcPr>
          <w:p w14:paraId="044C5C7B" w14:textId="50C36AFA" w:rsidR="0058405E" w:rsidRPr="004920C6" w:rsidRDefault="0058405E" w:rsidP="0058405E">
            <w:pPr>
              <w:spacing w:before="20" w:after="20"/>
              <w:rPr>
                <w:rFonts w:cstheme="minorHAnsi"/>
                <w:color w:val="000000"/>
                <w:sz w:val="20"/>
                <w:szCs w:val="20"/>
              </w:rPr>
            </w:pPr>
            <w:r w:rsidRPr="004920C6">
              <w:rPr>
                <w:rFonts w:cstheme="minorHAnsi"/>
                <w:color w:val="000000"/>
                <w:sz w:val="20"/>
                <w:szCs w:val="20"/>
              </w:rPr>
              <w:t>P.I. Majetek a závazky účetní jednotky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008496EE" w14:textId="13707B60" w:rsidR="0058405E" w:rsidRPr="004920C6" w:rsidRDefault="0058405E" w:rsidP="00CD0C06">
            <w:pPr>
              <w:spacing w:before="20" w:after="20"/>
              <w:ind w:right="57"/>
              <w:jc w:val="righ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920C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4,4</w:t>
            </w:r>
          </w:p>
        </w:tc>
      </w:tr>
      <w:tr w:rsidR="0058405E" w:rsidRPr="004920C6" w14:paraId="24117252" w14:textId="77777777" w:rsidTr="00E17338">
        <w:trPr>
          <w:trHeight w:val="255"/>
          <w:jc w:val="center"/>
        </w:trPr>
        <w:tc>
          <w:tcPr>
            <w:tcW w:w="4819" w:type="dxa"/>
            <w:shd w:val="clear" w:color="auto" w:fill="auto"/>
            <w:vAlign w:val="center"/>
          </w:tcPr>
          <w:p w14:paraId="58700529" w14:textId="42CCA629" w:rsidR="0058405E" w:rsidRPr="004920C6" w:rsidRDefault="0058405E" w:rsidP="0058405E">
            <w:pPr>
              <w:spacing w:before="20" w:after="20"/>
              <w:rPr>
                <w:rFonts w:cstheme="minorHAnsi"/>
                <w:color w:val="000000"/>
                <w:sz w:val="20"/>
                <w:szCs w:val="20"/>
              </w:rPr>
            </w:pPr>
            <w:r w:rsidRPr="004920C6">
              <w:rPr>
                <w:rFonts w:cstheme="minorHAnsi"/>
                <w:color w:val="000000"/>
                <w:sz w:val="20"/>
                <w:szCs w:val="20"/>
              </w:rPr>
              <w:t>P.II. Krátkodobé podmíněné pohledávky z transferů a</w:t>
            </w:r>
            <w:r w:rsidR="00BC6AAD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4920C6">
              <w:rPr>
                <w:rFonts w:cstheme="minorHAnsi"/>
                <w:color w:val="000000"/>
                <w:sz w:val="20"/>
                <w:szCs w:val="20"/>
              </w:rPr>
              <w:t>krátkodobé podmíněné závazky z transferů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5C82E17D" w14:textId="0C7479C9" w:rsidR="0058405E" w:rsidRPr="004920C6" w:rsidRDefault="0058405E" w:rsidP="00CD0C06">
            <w:pPr>
              <w:spacing w:before="20" w:after="20"/>
              <w:ind w:right="57"/>
              <w:jc w:val="righ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920C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6 442,9</w:t>
            </w:r>
          </w:p>
        </w:tc>
      </w:tr>
      <w:tr w:rsidR="00C12205" w:rsidRPr="004920C6" w14:paraId="74CE491B" w14:textId="77777777" w:rsidTr="00E17338">
        <w:trPr>
          <w:trHeight w:val="255"/>
          <w:jc w:val="center"/>
        </w:trPr>
        <w:tc>
          <w:tcPr>
            <w:tcW w:w="4819" w:type="dxa"/>
            <w:shd w:val="clear" w:color="auto" w:fill="auto"/>
            <w:noWrap/>
            <w:vAlign w:val="center"/>
          </w:tcPr>
          <w:p w14:paraId="5E8C1D0D" w14:textId="6595FEE7" w:rsidR="00C12205" w:rsidRPr="004920C6" w:rsidRDefault="0058405E" w:rsidP="001916B9">
            <w:pPr>
              <w:autoSpaceDE w:val="0"/>
              <w:autoSpaceDN w:val="0"/>
              <w:adjustRightInd w:val="0"/>
              <w:spacing w:before="20" w:after="20"/>
              <w:ind w:right="-57"/>
              <w:rPr>
                <w:rFonts w:eastAsiaTheme="minorHAnsi" w:cstheme="minorHAnsi"/>
                <w:sz w:val="20"/>
                <w:szCs w:val="20"/>
              </w:rPr>
            </w:pPr>
            <w:r w:rsidRPr="004920C6">
              <w:rPr>
                <w:rFonts w:eastAsiaTheme="minorHAnsi" w:cstheme="minorHAnsi"/>
                <w:sz w:val="20"/>
                <w:szCs w:val="20"/>
              </w:rPr>
              <w:t>P.IV. Další podmíněné pohledávky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04366DF" w14:textId="6EF000A4" w:rsidR="00C12205" w:rsidRPr="004920C6" w:rsidRDefault="0058405E" w:rsidP="00CD0C06">
            <w:pPr>
              <w:spacing w:before="20" w:after="20"/>
              <w:ind w:right="57"/>
              <w:jc w:val="righ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920C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8,4</w:t>
            </w:r>
          </w:p>
        </w:tc>
      </w:tr>
      <w:tr w:rsidR="00C12205" w:rsidRPr="004920C6" w14:paraId="23DC6F80" w14:textId="77777777" w:rsidTr="00E17338">
        <w:trPr>
          <w:trHeight w:val="255"/>
          <w:jc w:val="center"/>
        </w:trPr>
        <w:tc>
          <w:tcPr>
            <w:tcW w:w="4819" w:type="dxa"/>
            <w:shd w:val="clear" w:color="auto" w:fill="auto"/>
            <w:noWrap/>
            <w:vAlign w:val="center"/>
          </w:tcPr>
          <w:p w14:paraId="28D797AE" w14:textId="400F48D6" w:rsidR="00C12205" w:rsidRPr="004920C6" w:rsidRDefault="00E17338" w:rsidP="001916B9">
            <w:pPr>
              <w:autoSpaceDE w:val="0"/>
              <w:autoSpaceDN w:val="0"/>
              <w:adjustRightInd w:val="0"/>
              <w:spacing w:before="20" w:after="20"/>
              <w:ind w:right="-57"/>
              <w:rPr>
                <w:rFonts w:eastAsiaTheme="minorHAnsi" w:cstheme="minorHAnsi"/>
                <w:sz w:val="20"/>
                <w:szCs w:val="20"/>
              </w:rPr>
            </w:pPr>
            <w:r w:rsidRPr="004920C6">
              <w:rPr>
                <w:rFonts w:eastAsiaTheme="minorHAnsi" w:cstheme="minorHAnsi"/>
                <w:sz w:val="20"/>
                <w:szCs w:val="20"/>
              </w:rPr>
              <w:t>P.V. Dlouhodobé podmíněné pohledávky z transferů a</w:t>
            </w:r>
            <w:r w:rsidR="00BC6AAD">
              <w:rPr>
                <w:rFonts w:eastAsiaTheme="minorHAnsi" w:cstheme="minorHAnsi"/>
                <w:sz w:val="20"/>
                <w:szCs w:val="20"/>
              </w:rPr>
              <w:t> </w:t>
            </w:r>
            <w:r w:rsidRPr="004920C6">
              <w:rPr>
                <w:rFonts w:eastAsiaTheme="minorHAnsi" w:cstheme="minorHAnsi"/>
                <w:sz w:val="20"/>
                <w:szCs w:val="20"/>
              </w:rPr>
              <w:t>dlouhodobé podmíněné závazky z transferů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1E2C640" w14:textId="063591AD" w:rsidR="00C12205" w:rsidRPr="004920C6" w:rsidRDefault="00E17338" w:rsidP="00CD0C06">
            <w:pPr>
              <w:spacing w:before="20" w:after="20"/>
              <w:ind w:right="57"/>
              <w:jc w:val="righ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920C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2 694,2</w:t>
            </w:r>
          </w:p>
        </w:tc>
      </w:tr>
      <w:tr w:rsidR="00E17338" w:rsidRPr="004920C6" w14:paraId="47CD87AE" w14:textId="77777777" w:rsidTr="00E17338">
        <w:trPr>
          <w:trHeight w:val="255"/>
          <w:jc w:val="center"/>
        </w:trPr>
        <w:tc>
          <w:tcPr>
            <w:tcW w:w="4819" w:type="dxa"/>
            <w:shd w:val="clear" w:color="auto" w:fill="auto"/>
            <w:noWrap/>
            <w:vAlign w:val="center"/>
          </w:tcPr>
          <w:p w14:paraId="57C1A01F" w14:textId="2F0F5F92" w:rsidR="00E17338" w:rsidRPr="004920C6" w:rsidRDefault="00E17338" w:rsidP="001916B9">
            <w:pPr>
              <w:autoSpaceDE w:val="0"/>
              <w:autoSpaceDN w:val="0"/>
              <w:adjustRightInd w:val="0"/>
              <w:spacing w:before="20" w:after="20"/>
              <w:ind w:right="-57"/>
              <w:rPr>
                <w:rFonts w:eastAsiaTheme="minorHAnsi" w:cstheme="minorHAnsi"/>
                <w:sz w:val="20"/>
                <w:szCs w:val="20"/>
              </w:rPr>
            </w:pPr>
            <w:r w:rsidRPr="004920C6">
              <w:rPr>
                <w:rFonts w:eastAsiaTheme="minorHAnsi" w:cstheme="minorHAnsi"/>
                <w:sz w:val="20"/>
                <w:szCs w:val="20"/>
              </w:rPr>
              <w:t>P.VI. Podmíněné závazky z důvodu užívání cizího majetku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A28BC53" w14:textId="28D1EBB0" w:rsidR="00E17338" w:rsidRPr="004920C6" w:rsidRDefault="00E17338" w:rsidP="00CD0C06">
            <w:pPr>
              <w:spacing w:before="20" w:after="20"/>
              <w:ind w:right="57"/>
              <w:jc w:val="righ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920C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73,0</w:t>
            </w:r>
          </w:p>
        </w:tc>
      </w:tr>
      <w:tr w:rsidR="00E17338" w:rsidRPr="004920C6" w14:paraId="3FF6EC10" w14:textId="77777777" w:rsidTr="00E17338">
        <w:trPr>
          <w:trHeight w:val="255"/>
          <w:jc w:val="center"/>
        </w:trPr>
        <w:tc>
          <w:tcPr>
            <w:tcW w:w="4819" w:type="dxa"/>
            <w:shd w:val="clear" w:color="auto" w:fill="auto"/>
            <w:noWrap/>
            <w:vAlign w:val="center"/>
          </w:tcPr>
          <w:p w14:paraId="61FB5743" w14:textId="4B42AFDA" w:rsidR="00E17338" w:rsidRPr="004920C6" w:rsidRDefault="00E17338" w:rsidP="001916B9">
            <w:pPr>
              <w:autoSpaceDE w:val="0"/>
              <w:autoSpaceDN w:val="0"/>
              <w:adjustRightInd w:val="0"/>
              <w:spacing w:before="20" w:after="20"/>
              <w:ind w:right="-57"/>
              <w:rPr>
                <w:rFonts w:eastAsiaTheme="minorHAnsi" w:cstheme="minorHAnsi"/>
                <w:sz w:val="20"/>
                <w:szCs w:val="20"/>
              </w:rPr>
            </w:pPr>
            <w:r w:rsidRPr="004920C6">
              <w:rPr>
                <w:rFonts w:eastAsiaTheme="minorHAnsi" w:cstheme="minorHAnsi"/>
                <w:sz w:val="20"/>
                <w:szCs w:val="20"/>
              </w:rPr>
              <w:t>P.VII. Další podmíněné závazky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24F86E7" w14:textId="5EFBFB77" w:rsidR="00E17338" w:rsidRPr="004920C6" w:rsidRDefault="00E17338" w:rsidP="00CD0C06">
            <w:pPr>
              <w:spacing w:before="20" w:after="20"/>
              <w:ind w:right="57"/>
              <w:jc w:val="righ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920C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158,1</w:t>
            </w:r>
          </w:p>
        </w:tc>
      </w:tr>
      <w:tr w:rsidR="001E7BEB" w:rsidRPr="004920C6" w14:paraId="243BC79C" w14:textId="77777777" w:rsidTr="00E17338">
        <w:trPr>
          <w:trHeight w:val="255"/>
          <w:jc w:val="center"/>
        </w:trPr>
        <w:tc>
          <w:tcPr>
            <w:tcW w:w="4819" w:type="dxa"/>
            <w:shd w:val="clear" w:color="auto" w:fill="auto"/>
            <w:noWrap/>
            <w:vAlign w:val="center"/>
          </w:tcPr>
          <w:p w14:paraId="58C179F5" w14:textId="256A20B2" w:rsidR="001E7BEB" w:rsidRPr="004920C6" w:rsidRDefault="001E7BEB" w:rsidP="001916B9">
            <w:pPr>
              <w:autoSpaceDE w:val="0"/>
              <w:autoSpaceDN w:val="0"/>
              <w:adjustRightInd w:val="0"/>
              <w:spacing w:before="20" w:after="20"/>
              <w:ind w:right="-57"/>
              <w:rPr>
                <w:rFonts w:eastAsiaTheme="minorHAnsi" w:cstheme="minorHAnsi"/>
                <w:sz w:val="20"/>
                <w:szCs w:val="20"/>
              </w:rPr>
            </w:pPr>
            <w:r w:rsidRPr="004920C6">
              <w:rPr>
                <w:rFonts w:eastAsiaTheme="minorHAnsi" w:cstheme="minorHAnsi"/>
                <w:sz w:val="20"/>
                <w:szCs w:val="20"/>
              </w:rPr>
              <w:t>P.VIII. Ostatní podmíněn</w:t>
            </w:r>
            <w:r w:rsidR="00BC6AAD">
              <w:rPr>
                <w:rFonts w:eastAsiaTheme="minorHAnsi" w:cstheme="minorHAnsi"/>
                <w:sz w:val="20"/>
                <w:szCs w:val="20"/>
              </w:rPr>
              <w:t>á</w:t>
            </w:r>
            <w:r w:rsidRPr="004920C6">
              <w:rPr>
                <w:rFonts w:eastAsiaTheme="minorHAnsi" w:cstheme="minorHAnsi"/>
                <w:sz w:val="20"/>
                <w:szCs w:val="20"/>
              </w:rPr>
              <w:t xml:space="preserve"> aktiva a ostatní podmíněná pasiva a vyrovnávací účty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170821A" w14:textId="04E61A16" w:rsidR="001E7BEB" w:rsidRPr="004920C6" w:rsidRDefault="001E7BEB" w:rsidP="00CD0C06">
            <w:pPr>
              <w:spacing w:before="20" w:after="20"/>
              <w:ind w:right="57"/>
              <w:jc w:val="righ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920C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18,1</w:t>
            </w:r>
          </w:p>
        </w:tc>
      </w:tr>
    </w:tbl>
    <w:p w14:paraId="5AAE4ADA" w14:textId="77777777" w:rsidR="00494B0F" w:rsidRPr="004920C6" w:rsidRDefault="00A640AE" w:rsidP="00E6724F">
      <w:pPr>
        <w:spacing w:before="40" w:after="240"/>
        <w:ind w:left="567" w:hanging="567"/>
        <w:rPr>
          <w:bCs/>
          <w:sz w:val="20"/>
          <w:szCs w:val="20"/>
        </w:rPr>
      </w:pPr>
      <w:r w:rsidRPr="004920C6">
        <w:rPr>
          <w:b/>
          <w:sz w:val="20"/>
          <w:szCs w:val="20"/>
        </w:rPr>
        <w:t>Zdroj:</w:t>
      </w:r>
      <w:r w:rsidRPr="004920C6">
        <w:rPr>
          <w:bCs/>
          <w:sz w:val="20"/>
          <w:szCs w:val="20"/>
        </w:rPr>
        <w:t xml:space="preserve"> </w:t>
      </w:r>
      <w:r w:rsidR="001E5452" w:rsidRPr="004920C6">
        <w:rPr>
          <w:bCs/>
          <w:sz w:val="20"/>
          <w:szCs w:val="20"/>
        </w:rPr>
        <w:tab/>
      </w:r>
      <w:r w:rsidR="000B3825" w:rsidRPr="004920C6">
        <w:rPr>
          <w:bCs/>
          <w:sz w:val="20"/>
          <w:szCs w:val="20"/>
        </w:rPr>
        <w:t>ÚZ</w:t>
      </w:r>
      <w:r w:rsidR="003444C4" w:rsidRPr="004920C6">
        <w:rPr>
          <w:bCs/>
          <w:sz w:val="20"/>
          <w:szCs w:val="20"/>
        </w:rPr>
        <w:t>.</w:t>
      </w:r>
    </w:p>
    <w:p w14:paraId="568F7F3C" w14:textId="07B3A73D" w:rsidR="00DE6218" w:rsidRPr="004920C6" w:rsidRDefault="00DE6218" w:rsidP="003B783C">
      <w:pPr>
        <w:pStyle w:val="Titulek"/>
        <w:tabs>
          <w:tab w:val="right" w:pos="9070"/>
        </w:tabs>
        <w:spacing w:after="40"/>
      </w:pPr>
      <w:r w:rsidRPr="004920C6">
        <w:t xml:space="preserve">Tabulka č. </w:t>
      </w:r>
      <w:fldSimple w:instr=" SEQ Tabulka_č. \* ARABIC ">
        <w:r w:rsidR="00752E21">
          <w:rPr>
            <w:noProof/>
          </w:rPr>
          <w:t>3</w:t>
        </w:r>
      </w:fldSimple>
      <w:r w:rsidRPr="004920C6">
        <w:t>: Údaje z výkazu FIN 1-12 OSS</w:t>
      </w:r>
      <w:r w:rsidR="00A34B4E" w:rsidRPr="004920C6">
        <w:t xml:space="preserve"> </w:t>
      </w:r>
      <w:r w:rsidR="008412ED" w:rsidRPr="004920C6">
        <w:t>za rok 202</w:t>
      </w:r>
      <w:r w:rsidR="000C570B" w:rsidRPr="004920C6">
        <w:t>4</w:t>
      </w:r>
      <w:r w:rsidR="008412ED" w:rsidRPr="004920C6">
        <w:t xml:space="preserve"> </w:t>
      </w:r>
      <w:r w:rsidR="00CB3D84" w:rsidRPr="004920C6">
        <w:tab/>
      </w:r>
      <w:r w:rsidR="00A34B4E" w:rsidRPr="004920C6">
        <w:t>(v mil. Kč)</w:t>
      </w:r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50080C" w:rsidRPr="004920C6" w14:paraId="3E615306" w14:textId="77777777" w:rsidTr="002208E5">
        <w:trPr>
          <w:trHeight w:val="255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5A110FC4" w14:textId="77777777" w:rsidR="00494B0F" w:rsidRPr="004920C6" w:rsidRDefault="00A640AE" w:rsidP="001916B9">
            <w:pPr>
              <w:spacing w:before="20" w:after="20"/>
              <w:jc w:val="center"/>
              <w:rPr>
                <w:rFonts w:cs="Arial"/>
                <w:b/>
                <w:bCs/>
                <w:sz w:val="20"/>
              </w:rPr>
            </w:pPr>
            <w:r w:rsidRPr="004920C6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5B96AC6A" w14:textId="77777777" w:rsidR="00494B0F" w:rsidRPr="004920C6" w:rsidRDefault="00A640AE" w:rsidP="001916B9">
            <w:pPr>
              <w:spacing w:before="20" w:after="20"/>
              <w:jc w:val="center"/>
              <w:rPr>
                <w:rFonts w:cs="Arial"/>
                <w:b/>
                <w:bCs/>
                <w:sz w:val="20"/>
              </w:rPr>
            </w:pPr>
            <w:r w:rsidRPr="004920C6">
              <w:rPr>
                <w:rFonts w:cs="Arial"/>
                <w:b/>
                <w:bCs/>
                <w:sz w:val="20"/>
              </w:rPr>
              <w:t>Částka</w:t>
            </w:r>
          </w:p>
        </w:tc>
      </w:tr>
      <w:tr w:rsidR="00D16053" w:rsidRPr="004920C6" w14:paraId="35936586" w14:textId="77777777" w:rsidTr="00B0770B">
        <w:trPr>
          <w:trHeight w:val="255"/>
          <w:jc w:val="center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D1F7" w14:textId="77777777" w:rsidR="00D16053" w:rsidRPr="004920C6" w:rsidRDefault="00D16053" w:rsidP="001916B9">
            <w:pPr>
              <w:spacing w:before="20" w:after="20"/>
              <w:rPr>
                <w:rFonts w:cs="Arial"/>
                <w:sz w:val="20"/>
              </w:rPr>
            </w:pPr>
            <w:r w:rsidRPr="004920C6">
              <w:rPr>
                <w:rFonts w:cs="Arial"/>
                <w:sz w:val="20"/>
              </w:rPr>
              <w:t>Příjmy (skutečnost celkem)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5C0D4" w14:textId="1CAF9968" w:rsidR="00D16053" w:rsidRPr="004920C6" w:rsidRDefault="000C570B" w:rsidP="00CD0C06">
            <w:pPr>
              <w:spacing w:before="20" w:after="20"/>
              <w:ind w:right="57"/>
              <w:jc w:val="right"/>
              <w:rPr>
                <w:rFonts w:cs="Arial"/>
                <w:bCs/>
                <w:sz w:val="20"/>
                <w:szCs w:val="20"/>
              </w:rPr>
            </w:pPr>
            <w:r w:rsidRPr="004920C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1 479,7</w:t>
            </w:r>
          </w:p>
        </w:tc>
      </w:tr>
      <w:tr w:rsidR="00D16053" w:rsidRPr="004920C6" w14:paraId="1C321013" w14:textId="77777777" w:rsidTr="00B0770B">
        <w:trPr>
          <w:trHeight w:val="255"/>
          <w:jc w:val="center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9DB8" w14:textId="77777777" w:rsidR="00D16053" w:rsidRPr="004920C6" w:rsidRDefault="00D16053" w:rsidP="001916B9">
            <w:pPr>
              <w:spacing w:before="20" w:after="20"/>
              <w:rPr>
                <w:rFonts w:cs="Arial"/>
                <w:sz w:val="20"/>
              </w:rPr>
            </w:pPr>
            <w:r w:rsidRPr="004920C6">
              <w:rPr>
                <w:rFonts w:cs="Arial"/>
                <w:sz w:val="20"/>
              </w:rPr>
              <w:t>Výdaje (skutečnost celkem)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18618" w14:textId="1F65DB5A" w:rsidR="00D16053" w:rsidRPr="004920C6" w:rsidRDefault="000C570B" w:rsidP="00CD0C06">
            <w:pPr>
              <w:spacing w:before="20" w:after="20"/>
              <w:ind w:right="57"/>
              <w:jc w:val="right"/>
              <w:rPr>
                <w:rFonts w:cs="Arial"/>
                <w:bCs/>
                <w:sz w:val="20"/>
                <w:szCs w:val="20"/>
              </w:rPr>
            </w:pPr>
            <w:r w:rsidRPr="004920C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16 230,2</w:t>
            </w:r>
          </w:p>
        </w:tc>
      </w:tr>
    </w:tbl>
    <w:p w14:paraId="29CB6A73" w14:textId="42850932" w:rsidR="000C570B" w:rsidRPr="004920C6" w:rsidRDefault="00A640AE" w:rsidP="00913A67">
      <w:pPr>
        <w:spacing w:after="600"/>
        <w:ind w:left="567" w:hanging="567"/>
        <w:rPr>
          <w:bCs/>
          <w:sz w:val="20"/>
          <w:szCs w:val="20"/>
        </w:rPr>
      </w:pPr>
      <w:r w:rsidRPr="004920C6">
        <w:rPr>
          <w:b/>
          <w:sz w:val="20"/>
          <w:szCs w:val="20"/>
        </w:rPr>
        <w:t>Zdroj:</w:t>
      </w:r>
      <w:r w:rsidR="00D16053" w:rsidRPr="004920C6">
        <w:rPr>
          <w:bCs/>
          <w:sz w:val="20"/>
          <w:szCs w:val="20"/>
        </w:rPr>
        <w:t xml:space="preserve"> </w:t>
      </w:r>
      <w:r w:rsidR="001E5452" w:rsidRPr="004920C6">
        <w:rPr>
          <w:bCs/>
          <w:sz w:val="20"/>
          <w:szCs w:val="20"/>
        </w:rPr>
        <w:tab/>
      </w:r>
      <w:r w:rsidR="00D16053" w:rsidRPr="004920C6">
        <w:rPr>
          <w:bCs/>
          <w:sz w:val="20"/>
          <w:szCs w:val="20"/>
        </w:rPr>
        <w:t>výkaz FIN 1-12 OSS</w:t>
      </w:r>
      <w:r w:rsidR="003444C4" w:rsidRPr="004920C6">
        <w:rPr>
          <w:bCs/>
          <w:sz w:val="20"/>
          <w:szCs w:val="20"/>
        </w:rPr>
        <w:t>.</w:t>
      </w:r>
      <w:r w:rsidR="000C570B" w:rsidRPr="004920C6">
        <w:rPr>
          <w:bCs/>
          <w:sz w:val="20"/>
          <w:szCs w:val="20"/>
        </w:rPr>
        <w:br w:type="page"/>
      </w:r>
    </w:p>
    <w:p w14:paraId="5F815743" w14:textId="77777777" w:rsidR="0033466E" w:rsidRPr="004920C6" w:rsidRDefault="00B0770B" w:rsidP="007056F5">
      <w:pPr>
        <w:pStyle w:val="Styl1"/>
        <w:numPr>
          <w:ilvl w:val="0"/>
          <w:numId w:val="0"/>
        </w:numPr>
        <w:spacing w:after="240"/>
      </w:pPr>
      <w:r w:rsidRPr="004920C6">
        <w:lastRenderedPageBreak/>
        <w:t xml:space="preserve">III. </w:t>
      </w:r>
      <w:r w:rsidR="00A640AE" w:rsidRPr="004920C6">
        <w:t>Rozsah kontroly</w:t>
      </w:r>
    </w:p>
    <w:p w14:paraId="7FFD9DF9" w14:textId="0286C33C" w:rsidR="00BB0827" w:rsidRPr="004920C6" w:rsidRDefault="006662D9" w:rsidP="00B0770B">
      <w:pPr>
        <w:spacing w:before="120"/>
        <w:jc w:val="both"/>
        <w:rPr>
          <w:rFonts w:eastAsiaTheme="minorHAnsi" w:cs="Calibri"/>
        </w:rPr>
      </w:pPr>
      <w:r w:rsidRPr="004920C6">
        <w:rPr>
          <w:rFonts w:cs="Calibri"/>
        </w:rPr>
        <w:t>K</w:t>
      </w:r>
      <w:r w:rsidR="00824FEA" w:rsidRPr="004920C6">
        <w:rPr>
          <w:rFonts w:cs="Calibri"/>
        </w:rPr>
        <w:t>ontrolní akce</w:t>
      </w:r>
      <w:r w:rsidRPr="004920C6">
        <w:rPr>
          <w:rFonts w:cs="Calibri"/>
        </w:rPr>
        <w:t xml:space="preserve"> byla kontrolou typu finanční audit a jejím cílem bylo </w:t>
      </w:r>
      <w:r w:rsidRPr="004920C6">
        <w:rPr>
          <w:rFonts w:eastAsiaTheme="minorHAnsi" w:cs="Calibri"/>
        </w:rPr>
        <w:t>prověřit, zda</w:t>
      </w:r>
      <w:r w:rsidR="004A75A2" w:rsidRPr="004920C6">
        <w:rPr>
          <w:rFonts w:eastAsiaTheme="minorHAnsi" w:cs="Calibri"/>
        </w:rPr>
        <w:t xml:space="preserve"> MK</w:t>
      </w:r>
      <w:r w:rsidRPr="004920C6">
        <w:rPr>
          <w:rFonts w:eastAsiaTheme="minorHAnsi" w:cs="Calibri"/>
        </w:rPr>
        <w:t xml:space="preserve"> při vedení účetnictví v roce 202</w:t>
      </w:r>
      <w:r w:rsidR="004A75A2" w:rsidRPr="004920C6">
        <w:rPr>
          <w:rFonts w:eastAsiaTheme="minorHAnsi" w:cs="Calibri"/>
        </w:rPr>
        <w:t>4</w:t>
      </w:r>
      <w:r w:rsidR="00E10672" w:rsidRPr="004920C6">
        <w:rPr>
          <w:rFonts w:eastAsiaTheme="minorHAnsi" w:cs="Calibri"/>
        </w:rPr>
        <w:t>, při</w:t>
      </w:r>
      <w:r w:rsidR="008B4CF5" w:rsidRPr="004920C6">
        <w:rPr>
          <w:rFonts w:eastAsiaTheme="minorHAnsi" w:cs="Calibri"/>
        </w:rPr>
        <w:t xml:space="preserve"> </w:t>
      </w:r>
      <w:r w:rsidRPr="004920C6">
        <w:rPr>
          <w:rFonts w:eastAsiaTheme="minorHAnsi" w:cs="Calibri"/>
        </w:rPr>
        <w:t>sestavení účetní závěrky k 31. prosinci 202</w:t>
      </w:r>
      <w:r w:rsidR="004A75A2" w:rsidRPr="004920C6">
        <w:rPr>
          <w:rFonts w:eastAsiaTheme="minorHAnsi" w:cs="Calibri"/>
        </w:rPr>
        <w:t>4</w:t>
      </w:r>
      <w:r w:rsidRPr="004920C6">
        <w:rPr>
          <w:rFonts w:eastAsiaTheme="minorHAnsi" w:cs="Calibri"/>
        </w:rPr>
        <w:t>, při předkládání údajů pro</w:t>
      </w:r>
      <w:r w:rsidR="00CA780A" w:rsidRPr="004920C6">
        <w:rPr>
          <w:rFonts w:eastAsiaTheme="minorHAnsi" w:cs="Calibri"/>
        </w:rPr>
        <w:t xml:space="preserve"> </w:t>
      </w:r>
      <w:r w:rsidRPr="004920C6">
        <w:rPr>
          <w:rFonts w:eastAsiaTheme="minorHAnsi" w:cs="Calibri"/>
        </w:rPr>
        <w:t>hodnocení plnění státního rozpočtu</w:t>
      </w:r>
      <w:r w:rsidRPr="004920C6">
        <w:rPr>
          <w:rFonts w:eastAsiaTheme="minorHAnsi" w:cs="Calibri"/>
          <w:vertAlign w:val="superscript"/>
        </w:rPr>
        <w:footnoteReference w:id="14"/>
      </w:r>
      <w:r w:rsidR="00ED5E53">
        <w:rPr>
          <w:rFonts w:eastAsiaTheme="minorHAnsi" w:cs="Calibri"/>
        </w:rPr>
        <w:t xml:space="preserve"> za rok 2024</w:t>
      </w:r>
      <w:r w:rsidRPr="004920C6">
        <w:rPr>
          <w:rFonts w:eastAsiaTheme="minorHAnsi" w:cs="Calibri"/>
        </w:rPr>
        <w:t xml:space="preserve"> a</w:t>
      </w:r>
      <w:r w:rsidR="003A2D00" w:rsidRPr="004920C6">
        <w:rPr>
          <w:rFonts w:eastAsiaTheme="minorHAnsi" w:cs="Calibri"/>
        </w:rPr>
        <w:t xml:space="preserve"> </w:t>
      </w:r>
      <w:r w:rsidRPr="004920C6">
        <w:rPr>
          <w:rFonts w:eastAsiaTheme="minorHAnsi" w:cs="Calibri"/>
        </w:rPr>
        <w:t>při sestavení závěrečného účtu za rok 202</w:t>
      </w:r>
      <w:r w:rsidR="004A75A2" w:rsidRPr="004920C6">
        <w:rPr>
          <w:rFonts w:eastAsiaTheme="minorHAnsi" w:cs="Calibri"/>
        </w:rPr>
        <w:t>4</w:t>
      </w:r>
      <w:r w:rsidRPr="004920C6">
        <w:rPr>
          <w:rFonts w:eastAsiaTheme="minorHAnsi" w:cs="Calibri"/>
        </w:rPr>
        <w:t xml:space="preserve"> postupoval</w:t>
      </w:r>
      <w:r w:rsidR="004A75A2" w:rsidRPr="004920C6">
        <w:rPr>
          <w:rFonts w:eastAsiaTheme="minorHAnsi" w:cs="Calibri"/>
        </w:rPr>
        <w:t>o</w:t>
      </w:r>
      <w:r w:rsidRPr="004920C6">
        <w:rPr>
          <w:rFonts w:eastAsiaTheme="minorHAnsi" w:cs="Calibri"/>
        </w:rPr>
        <w:t xml:space="preserve"> v souladu s příslušnými právními předpisy.</w:t>
      </w:r>
    </w:p>
    <w:p w14:paraId="3FA2443B" w14:textId="77777777" w:rsidR="00C0657A" w:rsidRPr="004920C6" w:rsidRDefault="006662D9" w:rsidP="00B0770B">
      <w:pPr>
        <w:spacing w:before="120"/>
        <w:jc w:val="both"/>
        <w:rPr>
          <w:rFonts w:cs="Calibri"/>
        </w:rPr>
      </w:pPr>
      <w:r w:rsidRPr="004920C6">
        <w:rPr>
          <w:rFonts w:cs="Calibri"/>
        </w:rPr>
        <w:t xml:space="preserve">Kontrolovaný objem finančních prostředků a majetku představuje hodnotu aktiv, pasiv, nákladů, výnosů a podrozvahových účtů vykázaných v ÚZ a vyčíslených v tabulkách č. 1 a 2. Kontrolovaný objem finančních prostředků v rámci výkazu FIN 1-12 OSS představuje součet celkových příjmů a výdajů ve sloupci </w:t>
      </w:r>
      <w:r w:rsidRPr="004920C6">
        <w:rPr>
          <w:rFonts w:cs="Calibri"/>
          <w:i/>
        </w:rPr>
        <w:t>Skutečnost</w:t>
      </w:r>
      <w:r w:rsidR="005D18DC" w:rsidRPr="004920C6">
        <w:rPr>
          <w:rFonts w:cs="Calibri"/>
        </w:rPr>
        <w:t xml:space="preserve">, jejichž hodnoty jsou uvedeny </w:t>
      </w:r>
      <w:r w:rsidRPr="004920C6">
        <w:rPr>
          <w:rFonts w:cs="Calibri"/>
        </w:rPr>
        <w:t>v tabulce č. 3.</w:t>
      </w:r>
    </w:p>
    <w:p w14:paraId="4F205F21" w14:textId="72321F7B" w:rsidR="00C0657A" w:rsidRPr="004920C6" w:rsidRDefault="00A640AE" w:rsidP="00B0770B">
      <w:pPr>
        <w:spacing w:before="120"/>
        <w:jc w:val="both"/>
        <w:rPr>
          <w:rFonts w:cs="Calibri"/>
        </w:rPr>
      </w:pPr>
      <w:r w:rsidRPr="004920C6">
        <w:rPr>
          <w:rFonts w:cs="Calibri"/>
        </w:rPr>
        <w:t>Kontrola se zaměřila na činnosti a skutečnosti, které byly předmětem účetnictví</w:t>
      </w:r>
      <w:r w:rsidRPr="004920C6">
        <w:rPr>
          <w:vertAlign w:val="superscript"/>
        </w:rPr>
        <w:footnoteReference w:id="15"/>
      </w:r>
      <w:r w:rsidR="00291417" w:rsidRPr="005260DD">
        <w:rPr>
          <w:rFonts w:cs="Calibri"/>
        </w:rPr>
        <w:t xml:space="preserve"> </w:t>
      </w:r>
      <w:r w:rsidR="00291417" w:rsidRPr="004920C6">
        <w:rPr>
          <w:rFonts w:cs="Calibri"/>
        </w:rPr>
        <w:t>a měly vliv na</w:t>
      </w:r>
      <w:r w:rsidR="00B03EA6" w:rsidRPr="004920C6">
        <w:rPr>
          <w:rFonts w:cs="Calibri"/>
        </w:rPr>
        <w:t xml:space="preserve"> </w:t>
      </w:r>
      <w:r w:rsidRPr="004920C6">
        <w:rPr>
          <w:rFonts w:cs="Calibri"/>
        </w:rPr>
        <w:t>hodnotu kontrolovaných významných konečných zůstatků účtů v</w:t>
      </w:r>
      <w:r w:rsidR="00FF141F" w:rsidRPr="004920C6">
        <w:rPr>
          <w:rFonts w:cs="Calibri"/>
        </w:rPr>
        <w:t xml:space="preserve"> ÚZ</w:t>
      </w:r>
      <w:r w:rsidR="00BA10E7" w:rsidRPr="004920C6">
        <w:rPr>
          <w:rFonts w:cs="Calibri"/>
        </w:rPr>
        <w:t>,</w:t>
      </w:r>
      <w:r w:rsidR="00FF141F" w:rsidRPr="004920C6">
        <w:rPr>
          <w:rFonts w:cs="Calibri"/>
        </w:rPr>
        <w:t xml:space="preserve"> </w:t>
      </w:r>
      <w:r w:rsidR="00BA10E7" w:rsidRPr="004920C6">
        <w:rPr>
          <w:rFonts w:cs="Calibri"/>
        </w:rPr>
        <w:t>na</w:t>
      </w:r>
      <w:r w:rsidR="00B03EA6" w:rsidRPr="004920C6">
        <w:rPr>
          <w:rFonts w:cs="Calibri"/>
        </w:rPr>
        <w:t xml:space="preserve"> </w:t>
      </w:r>
      <w:r w:rsidRPr="004920C6">
        <w:rPr>
          <w:rFonts w:cs="Calibri"/>
        </w:rPr>
        <w:t>hodnotu významných údajů předkládaných</w:t>
      </w:r>
      <w:r w:rsidR="00FF141F" w:rsidRPr="004920C6">
        <w:rPr>
          <w:rFonts w:cs="Calibri"/>
        </w:rPr>
        <w:t xml:space="preserve"> </w:t>
      </w:r>
      <w:r w:rsidRPr="004920C6">
        <w:rPr>
          <w:rFonts w:cs="Calibri"/>
        </w:rPr>
        <w:t xml:space="preserve">pro hodnocení </w:t>
      </w:r>
      <w:r w:rsidR="005E41D6" w:rsidRPr="004920C6">
        <w:rPr>
          <w:rFonts w:cs="Calibri"/>
        </w:rPr>
        <w:t>plnění státního rozpočtu za</w:t>
      </w:r>
      <w:r w:rsidR="00BB5BEC" w:rsidRPr="004920C6">
        <w:rPr>
          <w:rFonts w:cs="Calibri"/>
        </w:rPr>
        <w:t xml:space="preserve"> </w:t>
      </w:r>
      <w:r w:rsidR="001B0BE7" w:rsidRPr="004920C6">
        <w:rPr>
          <w:rFonts w:cs="Calibri"/>
        </w:rPr>
        <w:t>rok</w:t>
      </w:r>
      <w:r w:rsidR="00854846" w:rsidRPr="004920C6">
        <w:rPr>
          <w:rFonts w:cs="Calibri"/>
        </w:rPr>
        <w:t xml:space="preserve"> </w:t>
      </w:r>
      <w:r w:rsidR="005322AA" w:rsidRPr="004920C6">
        <w:rPr>
          <w:rFonts w:cs="Calibri"/>
        </w:rPr>
        <w:t>202</w:t>
      </w:r>
      <w:r w:rsidR="004A75A2" w:rsidRPr="004920C6">
        <w:rPr>
          <w:rFonts w:cs="Calibri"/>
        </w:rPr>
        <w:t>4</w:t>
      </w:r>
      <w:r w:rsidRPr="004920C6">
        <w:rPr>
          <w:rFonts w:cs="Calibri"/>
        </w:rPr>
        <w:t xml:space="preserve"> a</w:t>
      </w:r>
      <w:r w:rsidR="002D2E09" w:rsidRPr="004920C6">
        <w:rPr>
          <w:rFonts w:cs="Calibri"/>
        </w:rPr>
        <w:t xml:space="preserve"> </w:t>
      </w:r>
      <w:r w:rsidRPr="004920C6">
        <w:rPr>
          <w:rFonts w:cs="Calibri"/>
        </w:rPr>
        <w:t>na</w:t>
      </w:r>
      <w:r w:rsidR="00B0770B" w:rsidRPr="004920C6">
        <w:rPr>
          <w:rFonts w:cs="Calibri"/>
        </w:rPr>
        <w:t xml:space="preserve"> </w:t>
      </w:r>
      <w:r w:rsidR="000377B3" w:rsidRPr="004920C6">
        <w:rPr>
          <w:rFonts w:cs="Calibri"/>
        </w:rPr>
        <w:t>ZÚ</w:t>
      </w:r>
      <w:r w:rsidRPr="004920C6">
        <w:rPr>
          <w:rFonts w:cs="Calibri"/>
        </w:rPr>
        <w:t>.</w:t>
      </w:r>
    </w:p>
    <w:p w14:paraId="27EE4AB5" w14:textId="47BF4BD4" w:rsidR="00F279C1" w:rsidRPr="004920C6" w:rsidRDefault="00F279C1" w:rsidP="00B0770B">
      <w:pPr>
        <w:spacing w:before="120"/>
        <w:jc w:val="both"/>
        <w:rPr>
          <w:rFonts w:cs="Calibri"/>
        </w:rPr>
      </w:pPr>
      <w:r w:rsidRPr="004920C6">
        <w:rPr>
          <w:rFonts w:cs="Calibri"/>
        </w:rPr>
        <w:t>V oblasti vedení účetnictví se kontrola zaměřila na jeho správnost, úplnost, průkaznost a</w:t>
      </w:r>
      <w:r w:rsidR="00B0770B" w:rsidRPr="004920C6">
        <w:rPr>
          <w:rFonts w:cs="Calibri"/>
        </w:rPr>
        <w:t> </w:t>
      </w:r>
      <w:r w:rsidRPr="004920C6">
        <w:rPr>
          <w:rFonts w:cs="Calibri"/>
        </w:rPr>
        <w:t>srozumitelnost. Prověřila</w:t>
      </w:r>
      <w:r w:rsidR="00FD03E7" w:rsidRPr="004920C6">
        <w:rPr>
          <w:rFonts w:cs="Calibri"/>
        </w:rPr>
        <w:t xml:space="preserve"> </w:t>
      </w:r>
      <w:r w:rsidR="00A37324" w:rsidRPr="004920C6">
        <w:rPr>
          <w:rFonts w:cs="Calibri"/>
        </w:rPr>
        <w:t>dodržování směrné účtové osnovy</w:t>
      </w:r>
      <w:r w:rsidR="00FC5172" w:rsidRPr="004920C6">
        <w:rPr>
          <w:rFonts w:cs="Calibri"/>
        </w:rPr>
        <w:t xml:space="preserve">, </w:t>
      </w:r>
      <w:r w:rsidRPr="004920C6">
        <w:rPr>
          <w:rFonts w:cs="Calibri"/>
        </w:rPr>
        <w:t>správnost použív</w:t>
      </w:r>
      <w:r w:rsidR="00852A7F" w:rsidRPr="004920C6">
        <w:rPr>
          <w:rFonts w:cs="Calibri"/>
        </w:rPr>
        <w:t>á</w:t>
      </w:r>
      <w:r w:rsidR="00FD03E7" w:rsidRPr="004920C6">
        <w:rPr>
          <w:rFonts w:cs="Calibri"/>
        </w:rPr>
        <w:t>n</w:t>
      </w:r>
      <w:r w:rsidR="00424DBC" w:rsidRPr="004920C6">
        <w:rPr>
          <w:rFonts w:cs="Calibri"/>
        </w:rPr>
        <w:t>í</w:t>
      </w:r>
      <w:r w:rsidRPr="004920C6">
        <w:rPr>
          <w:rFonts w:cs="Calibri"/>
        </w:rPr>
        <w:t xml:space="preserve"> účetních metod</w:t>
      </w:r>
      <w:r w:rsidR="00FD03E7" w:rsidRPr="004920C6">
        <w:rPr>
          <w:rFonts w:cs="Calibri"/>
        </w:rPr>
        <w:t xml:space="preserve"> a ostatních podmínek vedení účetnictví stanovených </w:t>
      </w:r>
      <w:r w:rsidR="000F4FBC" w:rsidRPr="004920C6">
        <w:rPr>
          <w:rFonts w:cs="Calibri"/>
        </w:rPr>
        <w:t>zákonem č.</w:t>
      </w:r>
      <w:r w:rsidR="0079496F" w:rsidRPr="004920C6">
        <w:rPr>
          <w:rFonts w:cs="Calibri"/>
        </w:rPr>
        <w:t xml:space="preserve"> </w:t>
      </w:r>
      <w:r w:rsidR="000F4FBC" w:rsidRPr="004920C6">
        <w:rPr>
          <w:rFonts w:cs="Calibri"/>
        </w:rPr>
        <w:t>563/1991</w:t>
      </w:r>
      <w:r w:rsidR="0079496F" w:rsidRPr="004920C6">
        <w:rPr>
          <w:rFonts w:cs="Calibri"/>
        </w:rPr>
        <w:t xml:space="preserve"> </w:t>
      </w:r>
      <w:r w:rsidR="000F4FBC" w:rsidRPr="004920C6">
        <w:rPr>
          <w:rFonts w:cs="Calibri"/>
        </w:rPr>
        <w:t>Sb. a</w:t>
      </w:r>
      <w:r w:rsidR="00F657F7" w:rsidRPr="004920C6">
        <w:rPr>
          <w:rFonts w:cs="Calibri"/>
        </w:rPr>
        <w:t> </w:t>
      </w:r>
      <w:r w:rsidR="000F4FBC" w:rsidRPr="004920C6">
        <w:rPr>
          <w:rFonts w:cs="Calibri"/>
        </w:rPr>
        <w:t>vyhláškou č.</w:t>
      </w:r>
      <w:r w:rsidR="00B0770B" w:rsidRPr="004920C6">
        <w:rPr>
          <w:rFonts w:cs="Calibri"/>
        </w:rPr>
        <w:t> </w:t>
      </w:r>
      <w:r w:rsidR="000F4FBC" w:rsidRPr="004920C6">
        <w:rPr>
          <w:rFonts w:cs="Calibri"/>
        </w:rPr>
        <w:t>410/2009</w:t>
      </w:r>
      <w:r w:rsidR="00B0770B" w:rsidRPr="004920C6">
        <w:rPr>
          <w:rFonts w:cs="Calibri"/>
        </w:rPr>
        <w:t> </w:t>
      </w:r>
      <w:r w:rsidR="000F4FBC" w:rsidRPr="004920C6">
        <w:rPr>
          <w:rFonts w:cs="Calibri"/>
        </w:rPr>
        <w:t>Sb.</w:t>
      </w:r>
      <w:r w:rsidR="000F4FBC" w:rsidRPr="004920C6">
        <w:rPr>
          <w:rStyle w:val="Znakapoznpodarou"/>
        </w:rPr>
        <w:footnoteReference w:id="16"/>
      </w:r>
      <w:r w:rsidRPr="004920C6">
        <w:rPr>
          <w:rFonts w:cs="Calibri"/>
        </w:rPr>
        <w:t xml:space="preserve"> U</w:t>
      </w:r>
      <w:r w:rsidR="001F3453" w:rsidRPr="004920C6">
        <w:rPr>
          <w:rFonts w:cs="Calibri"/>
        </w:rPr>
        <w:t xml:space="preserve"> </w:t>
      </w:r>
      <w:r w:rsidRPr="004920C6">
        <w:rPr>
          <w:rFonts w:cs="Calibri"/>
        </w:rPr>
        <w:t>vybraných účetních případů byla provedena kontrola s cílem prověřit systém účtování a</w:t>
      </w:r>
      <w:r w:rsidR="0079496F" w:rsidRPr="004920C6">
        <w:rPr>
          <w:rFonts w:cs="Calibri"/>
        </w:rPr>
        <w:t xml:space="preserve"> </w:t>
      </w:r>
      <w:r w:rsidRPr="004920C6">
        <w:rPr>
          <w:rFonts w:cs="Calibri"/>
        </w:rPr>
        <w:t>vykazování informací o skutečnostech, které jsou předmětem účetnictví.</w:t>
      </w:r>
    </w:p>
    <w:p w14:paraId="7BB4D3CC" w14:textId="3D8E5B70" w:rsidR="00801AD6" w:rsidRPr="004920C6" w:rsidRDefault="00A640AE" w:rsidP="00B0770B">
      <w:pPr>
        <w:spacing w:before="120"/>
        <w:jc w:val="both"/>
        <w:rPr>
          <w:rFonts w:cs="Calibri"/>
        </w:rPr>
      </w:pPr>
      <w:r w:rsidRPr="004920C6">
        <w:rPr>
          <w:rFonts w:cs="Calibri"/>
        </w:rPr>
        <w:t>V případě údajů předkládaných pro hodnocení plnění státního rozpočtu bylo prověřováno, zda byl</w:t>
      </w:r>
      <w:r w:rsidR="0079496F" w:rsidRPr="004920C6">
        <w:rPr>
          <w:rFonts w:cs="Calibri"/>
        </w:rPr>
        <w:t>o</w:t>
      </w:r>
      <w:r w:rsidRPr="004920C6">
        <w:rPr>
          <w:rFonts w:cs="Calibri"/>
        </w:rPr>
        <w:t xml:space="preserve"> dodržen</w:t>
      </w:r>
      <w:r w:rsidR="0079496F" w:rsidRPr="004920C6">
        <w:rPr>
          <w:rFonts w:cs="Calibri"/>
        </w:rPr>
        <w:t>o</w:t>
      </w:r>
      <w:r w:rsidRPr="004920C6">
        <w:rPr>
          <w:rFonts w:cs="Calibri"/>
        </w:rPr>
        <w:t xml:space="preserve"> správn</w:t>
      </w:r>
      <w:r w:rsidR="0079496F" w:rsidRPr="004920C6">
        <w:rPr>
          <w:rFonts w:cs="Calibri"/>
        </w:rPr>
        <w:t>é</w:t>
      </w:r>
      <w:r w:rsidRPr="004920C6">
        <w:rPr>
          <w:rFonts w:cs="Calibri"/>
        </w:rPr>
        <w:t xml:space="preserve"> třídění příjmů a výdajů rozpočtovou skladbou </w:t>
      </w:r>
      <w:r w:rsidR="00441800" w:rsidRPr="004920C6">
        <w:rPr>
          <w:rFonts w:asciiTheme="minorHAnsi" w:hAnsiTheme="minorHAnsi" w:cstheme="minorHAnsi"/>
        </w:rPr>
        <w:t xml:space="preserve">z hlediska druhového, odvětvového a prostorového </w:t>
      </w:r>
      <w:r w:rsidRPr="004920C6">
        <w:rPr>
          <w:rFonts w:cs="Calibri"/>
        </w:rPr>
        <w:t xml:space="preserve">dle vyhlášky č. </w:t>
      </w:r>
      <w:r w:rsidR="00777EF7" w:rsidRPr="004920C6">
        <w:rPr>
          <w:rFonts w:cs="Calibri"/>
        </w:rPr>
        <w:t>412/2021</w:t>
      </w:r>
      <w:r w:rsidRPr="004920C6">
        <w:rPr>
          <w:rFonts w:cs="Calibri"/>
        </w:rPr>
        <w:t xml:space="preserve"> Sb.</w:t>
      </w:r>
    </w:p>
    <w:p w14:paraId="632E3557" w14:textId="2FA8CB86" w:rsidR="00801AD6" w:rsidRPr="004920C6" w:rsidRDefault="00A640AE" w:rsidP="00B0770B">
      <w:pPr>
        <w:spacing w:before="120"/>
        <w:jc w:val="both"/>
        <w:rPr>
          <w:rFonts w:cs="Calibri"/>
        </w:rPr>
      </w:pPr>
      <w:r w:rsidRPr="004920C6">
        <w:rPr>
          <w:rFonts w:cs="Calibri"/>
        </w:rPr>
        <w:t>Výběr položek účetní závěrky a údajů předkládaných</w:t>
      </w:r>
      <w:r w:rsidR="00A24094" w:rsidRPr="004920C6">
        <w:rPr>
          <w:rFonts w:cs="Calibri"/>
        </w:rPr>
        <w:t xml:space="preserve"> Ministerstvem kultury</w:t>
      </w:r>
      <w:r w:rsidRPr="004920C6">
        <w:rPr>
          <w:rFonts w:cs="Calibri"/>
        </w:rPr>
        <w:t xml:space="preserve"> pro hodnocení plnění státního rozpočtu proved</w:t>
      </w:r>
      <w:r w:rsidR="00FB15C1" w:rsidRPr="004920C6">
        <w:rPr>
          <w:rFonts w:cs="Calibri"/>
        </w:rPr>
        <w:t>l NKÚ</w:t>
      </w:r>
      <w:r w:rsidRPr="004920C6">
        <w:rPr>
          <w:rFonts w:cs="Calibri"/>
        </w:rPr>
        <w:t xml:space="preserve"> </w:t>
      </w:r>
      <w:r w:rsidR="00574E94" w:rsidRPr="004920C6">
        <w:rPr>
          <w:rFonts w:cs="Calibri"/>
        </w:rPr>
        <w:t>s ohledem</w:t>
      </w:r>
      <w:r w:rsidRPr="004920C6">
        <w:rPr>
          <w:rFonts w:cs="Calibri"/>
        </w:rPr>
        <w:t xml:space="preserve"> na vyhodnocená rizika nesprávnosti vykázaných údajů.</w:t>
      </w:r>
    </w:p>
    <w:p w14:paraId="7EC12ABC" w14:textId="2688C317" w:rsidR="00801AD6" w:rsidRPr="004920C6" w:rsidRDefault="00A640AE" w:rsidP="00B0770B">
      <w:pPr>
        <w:spacing w:before="120"/>
        <w:jc w:val="both"/>
        <w:rPr>
          <w:rFonts w:cs="Calibri"/>
        </w:rPr>
      </w:pPr>
      <w:r w:rsidRPr="004920C6">
        <w:rPr>
          <w:rFonts w:cs="Calibri"/>
        </w:rPr>
        <w:t xml:space="preserve">U </w:t>
      </w:r>
      <w:r w:rsidR="007D0244" w:rsidRPr="004920C6">
        <w:rPr>
          <w:rFonts w:cs="Calibri"/>
        </w:rPr>
        <w:t xml:space="preserve">relevantních </w:t>
      </w:r>
      <w:r w:rsidRPr="004920C6">
        <w:rPr>
          <w:rFonts w:cs="Calibri"/>
        </w:rPr>
        <w:t xml:space="preserve">transakcí byl prověřován soulad </w:t>
      </w:r>
      <w:r w:rsidR="00243906" w:rsidRPr="004920C6">
        <w:rPr>
          <w:rFonts w:cs="Calibri"/>
        </w:rPr>
        <w:t>s</w:t>
      </w:r>
      <w:r w:rsidR="007D0244" w:rsidRPr="004920C6">
        <w:rPr>
          <w:rFonts w:cs="Calibri"/>
        </w:rPr>
        <w:t> vybranými ustanoveními</w:t>
      </w:r>
      <w:r w:rsidRPr="004920C6">
        <w:rPr>
          <w:rFonts w:cs="Calibri"/>
        </w:rPr>
        <w:t xml:space="preserve"> další</w:t>
      </w:r>
      <w:r w:rsidR="007D0244" w:rsidRPr="004920C6">
        <w:rPr>
          <w:rFonts w:cs="Calibri"/>
        </w:rPr>
        <w:t>ch</w:t>
      </w:r>
      <w:r w:rsidRPr="004920C6">
        <w:rPr>
          <w:rFonts w:cs="Calibri"/>
        </w:rPr>
        <w:t xml:space="preserve"> právní</w:t>
      </w:r>
      <w:r w:rsidR="007D0244" w:rsidRPr="004920C6">
        <w:rPr>
          <w:rFonts w:cs="Calibri"/>
        </w:rPr>
        <w:t>ch</w:t>
      </w:r>
      <w:r w:rsidRPr="004920C6">
        <w:rPr>
          <w:rFonts w:cs="Calibri"/>
        </w:rPr>
        <w:t xml:space="preserve"> předpis</w:t>
      </w:r>
      <w:r w:rsidR="007D0244" w:rsidRPr="004920C6">
        <w:rPr>
          <w:rFonts w:cs="Calibri"/>
        </w:rPr>
        <w:t>ů</w:t>
      </w:r>
      <w:r w:rsidR="001F1F57" w:rsidRPr="004920C6">
        <w:rPr>
          <w:rFonts w:cs="Calibri"/>
        </w:rPr>
        <w:t>,</w:t>
      </w:r>
      <w:r w:rsidRPr="004920C6">
        <w:rPr>
          <w:rFonts w:cs="Calibri"/>
        </w:rPr>
        <w:t xml:space="preserve"> a to zejména </w:t>
      </w:r>
      <w:r w:rsidR="00243906" w:rsidRPr="004920C6">
        <w:rPr>
          <w:rFonts w:cs="Calibri"/>
        </w:rPr>
        <w:t>s</w:t>
      </w:r>
      <w:r w:rsidR="001077EB" w:rsidRPr="004920C6">
        <w:rPr>
          <w:rFonts w:cs="Calibri"/>
        </w:rPr>
        <w:t xml:space="preserve"> ustanoveními </w:t>
      </w:r>
      <w:r w:rsidR="00BA2B34" w:rsidRPr="004920C6">
        <w:rPr>
          <w:rFonts w:cs="Calibri"/>
        </w:rPr>
        <w:t>zákona č. 218/2000 Sb.</w:t>
      </w:r>
      <w:r w:rsidR="001077EB" w:rsidRPr="004920C6">
        <w:rPr>
          <w:rFonts w:cs="Calibri"/>
        </w:rPr>
        <w:t xml:space="preserve"> a zákona</w:t>
      </w:r>
      <w:r w:rsidR="00BA2B34" w:rsidRPr="004920C6">
        <w:rPr>
          <w:rFonts w:cs="Calibri"/>
        </w:rPr>
        <w:t xml:space="preserve"> č. 219/2000 Sb</w:t>
      </w:r>
      <w:r w:rsidR="00A24094" w:rsidRPr="004920C6">
        <w:rPr>
          <w:rFonts w:cs="Calibri"/>
        </w:rPr>
        <w:t>.</w:t>
      </w:r>
    </w:p>
    <w:p w14:paraId="53917039" w14:textId="10CCCD26" w:rsidR="008F46EE" w:rsidRPr="004920C6" w:rsidRDefault="00A640AE" w:rsidP="00B0770B">
      <w:pPr>
        <w:spacing w:before="120"/>
        <w:jc w:val="both"/>
        <w:rPr>
          <w:rFonts w:cs="Calibri"/>
        </w:rPr>
      </w:pPr>
      <w:r w:rsidRPr="004920C6">
        <w:rPr>
          <w:rFonts w:cs="Calibri"/>
        </w:rPr>
        <w:t>V</w:t>
      </w:r>
      <w:r w:rsidR="00E91FF5" w:rsidRPr="004920C6">
        <w:rPr>
          <w:rFonts w:cs="Calibri"/>
        </w:rPr>
        <w:t> </w:t>
      </w:r>
      <w:r w:rsidRPr="004920C6">
        <w:rPr>
          <w:rFonts w:cs="Calibri"/>
        </w:rPr>
        <w:t>případě</w:t>
      </w:r>
      <w:r w:rsidR="00E91FF5" w:rsidRPr="004920C6">
        <w:rPr>
          <w:rFonts w:cs="Calibri"/>
        </w:rPr>
        <w:t xml:space="preserve"> </w:t>
      </w:r>
      <w:r w:rsidR="002902ED" w:rsidRPr="004920C6">
        <w:rPr>
          <w:rFonts w:cs="Calibri"/>
        </w:rPr>
        <w:t>uzavírání</w:t>
      </w:r>
      <w:r w:rsidRPr="004920C6">
        <w:rPr>
          <w:rFonts w:cs="Calibri"/>
        </w:rPr>
        <w:t xml:space="preserve"> smluv </w:t>
      </w:r>
      <w:r w:rsidR="001077EB" w:rsidRPr="004920C6">
        <w:rPr>
          <w:rFonts w:cs="Calibri"/>
        </w:rPr>
        <w:t xml:space="preserve">a objednávek </w:t>
      </w:r>
      <w:r w:rsidRPr="004920C6">
        <w:rPr>
          <w:rFonts w:cs="Calibri"/>
        </w:rPr>
        <w:t xml:space="preserve">bylo </w:t>
      </w:r>
      <w:r w:rsidR="001077EB" w:rsidRPr="004920C6">
        <w:rPr>
          <w:rFonts w:cs="Calibri"/>
        </w:rPr>
        <w:t>prověřováno</w:t>
      </w:r>
      <w:r w:rsidRPr="004920C6">
        <w:rPr>
          <w:rFonts w:cs="Calibri"/>
        </w:rPr>
        <w:t xml:space="preserve"> </w:t>
      </w:r>
      <w:r w:rsidR="00E91FF5" w:rsidRPr="004920C6">
        <w:rPr>
          <w:rFonts w:cs="Calibri"/>
        </w:rPr>
        <w:t>jejich uveřejn</w:t>
      </w:r>
      <w:r w:rsidR="00CD2142" w:rsidRPr="004920C6">
        <w:rPr>
          <w:rFonts w:cs="Calibri"/>
        </w:rPr>
        <w:t>ění v registru smluv dle zák</w:t>
      </w:r>
      <w:r w:rsidR="00F14722" w:rsidRPr="004920C6">
        <w:rPr>
          <w:rFonts w:cs="Calibri"/>
        </w:rPr>
        <w:t>ona</w:t>
      </w:r>
      <w:r w:rsidR="00FB6581" w:rsidRPr="004920C6">
        <w:rPr>
          <w:rFonts w:cs="Calibri"/>
        </w:rPr>
        <w:t xml:space="preserve"> č. 340/2015 Sb.</w:t>
      </w:r>
      <w:r w:rsidR="00BA2B34" w:rsidRPr="004920C6">
        <w:rPr>
          <w:vertAlign w:val="superscript"/>
        </w:rPr>
        <w:footnoteReference w:id="17"/>
      </w:r>
    </w:p>
    <w:p w14:paraId="0D8B135A" w14:textId="1559AA7C" w:rsidR="00C20965" w:rsidRPr="004920C6" w:rsidRDefault="00C20965" w:rsidP="00B0770B">
      <w:pPr>
        <w:spacing w:before="120"/>
        <w:jc w:val="both"/>
      </w:pPr>
      <w:r w:rsidRPr="004920C6">
        <w:t xml:space="preserve">NKÚ na základě prověřovaných skutečností vyhodnotil nastavení VKS </w:t>
      </w:r>
      <w:r w:rsidRPr="004920C6">
        <w:rPr>
          <w:bCs/>
        </w:rPr>
        <w:t>v</w:t>
      </w:r>
      <w:r w:rsidR="002D2E09" w:rsidRPr="004920C6">
        <w:rPr>
          <w:bCs/>
        </w:rPr>
        <w:t xml:space="preserve"> </w:t>
      </w:r>
      <w:r w:rsidRPr="004920C6">
        <w:rPr>
          <w:bCs/>
        </w:rPr>
        <w:t>oblasti účetnictví, plnění rozpočtu a závěrečného účtu</w:t>
      </w:r>
      <w:r w:rsidRPr="004920C6">
        <w:t xml:space="preserve"> (vnitřní předpisy, interní audit, </w:t>
      </w:r>
      <w:r w:rsidR="00C143CE" w:rsidRPr="004920C6">
        <w:t xml:space="preserve">účetní metody, </w:t>
      </w:r>
      <w:r w:rsidRPr="004920C6">
        <w:t xml:space="preserve">účetní </w:t>
      </w:r>
      <w:r w:rsidRPr="004920C6">
        <w:lastRenderedPageBreak/>
        <w:t>doklady, účetní knihy, inventarizace majetku a závazků, účetní závěrka a schvalování účetní závěrky) dle zákonů č. 563/1991 Sb., č. 218/2000 Sb. a dalších právních předpisů a v oblasti řídicí kontroly dle zákona č. 320/2001 Sb.</w:t>
      </w:r>
      <w:r w:rsidR="00F327E8" w:rsidRPr="004920C6">
        <w:rPr>
          <w:rStyle w:val="Znakapoznpodarou"/>
        </w:rPr>
        <w:footnoteReference w:id="18"/>
      </w:r>
      <w:r w:rsidRPr="004920C6">
        <w:t xml:space="preserve"> a vyhlášky č. 416/2004 Sb.</w:t>
      </w:r>
      <w:r w:rsidRPr="004920C6">
        <w:rPr>
          <w:rStyle w:val="Znakapoznpodarou"/>
          <w:rFonts w:eastAsiaTheme="minorHAnsi" w:cs="Calibri"/>
        </w:rPr>
        <w:footnoteReference w:id="19"/>
      </w:r>
      <w:r w:rsidRPr="004920C6">
        <w:t xml:space="preserve"> </w:t>
      </w:r>
      <w:r w:rsidR="006256C8" w:rsidRPr="004920C6">
        <w:t>NKÚ dále u</w:t>
      </w:r>
      <w:r w:rsidR="000D03AD">
        <w:t> </w:t>
      </w:r>
      <w:r w:rsidR="006256C8" w:rsidRPr="004920C6">
        <w:t xml:space="preserve">prověřovaných operací </w:t>
      </w:r>
      <w:r w:rsidR="006256C8" w:rsidRPr="004920C6">
        <w:rPr>
          <w:bCs/>
        </w:rPr>
        <w:t>v oblasti účetnictví, plnění rozpočtu a</w:t>
      </w:r>
      <w:r w:rsidR="00F421E3" w:rsidRPr="004920C6">
        <w:rPr>
          <w:bCs/>
        </w:rPr>
        <w:t xml:space="preserve"> </w:t>
      </w:r>
      <w:r w:rsidR="006256C8" w:rsidRPr="004920C6">
        <w:rPr>
          <w:bCs/>
        </w:rPr>
        <w:t>závěrečného účtu</w:t>
      </w:r>
      <w:r w:rsidR="006256C8" w:rsidRPr="004920C6">
        <w:t xml:space="preserve"> dle zákonů č.</w:t>
      </w:r>
      <w:r w:rsidR="002D2E09" w:rsidRPr="004920C6">
        <w:t xml:space="preserve"> </w:t>
      </w:r>
      <w:r w:rsidR="006256C8" w:rsidRPr="004920C6">
        <w:t xml:space="preserve">563/1991 Sb., č. 218/2000 Sb. a dalších právních předpisů a </w:t>
      </w:r>
      <w:r w:rsidR="006256C8" w:rsidRPr="004920C6">
        <w:rPr>
          <w:bCs/>
        </w:rPr>
        <w:t>v</w:t>
      </w:r>
      <w:r w:rsidR="00A90FA2">
        <w:rPr>
          <w:bCs/>
        </w:rPr>
        <w:t xml:space="preserve"> </w:t>
      </w:r>
      <w:r w:rsidR="006256C8" w:rsidRPr="004920C6">
        <w:rPr>
          <w:bCs/>
        </w:rPr>
        <w:t>oblasti hospodaření s majetkem státu</w:t>
      </w:r>
      <w:r w:rsidR="006256C8" w:rsidRPr="004920C6">
        <w:t xml:space="preserve"> dle zákona č. 219/2000 Sb., </w:t>
      </w:r>
      <w:r w:rsidR="006256C8" w:rsidRPr="004920C6">
        <w:rPr>
          <w:bCs/>
        </w:rPr>
        <w:t>finančního hospodaření</w:t>
      </w:r>
      <w:r w:rsidR="006256C8" w:rsidRPr="004920C6">
        <w:t xml:space="preserve"> dle zákona č. 218/2000 Sb. a dalších právních předpisů (zejména dle zákona č. 340/2015 Sb.) a v oblasti řídicí kontroly dle zákona č.</w:t>
      </w:r>
      <w:r w:rsidR="009A3BD9" w:rsidRPr="004920C6">
        <w:t> </w:t>
      </w:r>
      <w:r w:rsidR="006256C8" w:rsidRPr="004920C6">
        <w:t xml:space="preserve">320/2001 Sb. a vyhlášky č. 416/2004 Sb. </w:t>
      </w:r>
      <w:r w:rsidR="006256C8" w:rsidRPr="004920C6">
        <w:rPr>
          <w:bCs/>
        </w:rPr>
        <w:t>vyhodnotil funkčnost VKS</w:t>
      </w:r>
      <w:r w:rsidR="006256C8" w:rsidRPr="004920C6">
        <w:t xml:space="preserve">, tj. zda jsou prvky VKS implementovány tak, aby bylo zamezeno vzniku nesprávností. </w:t>
      </w:r>
      <w:r w:rsidRPr="004920C6">
        <w:t xml:space="preserve">Kombinace zjištění </w:t>
      </w:r>
      <w:r w:rsidR="00574E94" w:rsidRPr="004920C6">
        <w:t>týkajících se</w:t>
      </w:r>
      <w:r w:rsidRPr="004920C6">
        <w:t xml:space="preserve"> nastavení a funkčnosti </w:t>
      </w:r>
      <w:r w:rsidR="00574E94" w:rsidRPr="004920C6">
        <w:t xml:space="preserve">VKS ve </w:t>
      </w:r>
      <w:r w:rsidRPr="004920C6">
        <w:t>výše uvedených oblast</w:t>
      </w:r>
      <w:r w:rsidR="00574E94" w:rsidRPr="004920C6">
        <w:t>ech</w:t>
      </w:r>
      <w:r w:rsidRPr="004920C6">
        <w:t xml:space="preserve"> pak</w:t>
      </w:r>
      <w:r w:rsidR="00424DBC" w:rsidRPr="004920C6">
        <w:t xml:space="preserve"> byla</w:t>
      </w:r>
      <w:r w:rsidRPr="004920C6">
        <w:t xml:space="preserve"> podkladem </w:t>
      </w:r>
      <w:r w:rsidR="00574E94" w:rsidRPr="004920C6">
        <w:t>pro</w:t>
      </w:r>
      <w:r w:rsidR="00CA780A" w:rsidRPr="004920C6">
        <w:t xml:space="preserve"> </w:t>
      </w:r>
      <w:r w:rsidRPr="004920C6">
        <w:t>hodnocení účinnosti</w:t>
      </w:r>
      <w:r w:rsidR="00574E94" w:rsidRPr="004920C6">
        <w:t xml:space="preserve"> vnitřního kontrolního systému</w:t>
      </w:r>
      <w:r w:rsidR="00A24094" w:rsidRPr="004920C6">
        <w:t xml:space="preserve"> MK</w:t>
      </w:r>
      <w:r w:rsidRPr="004920C6">
        <w:t>.</w:t>
      </w:r>
    </w:p>
    <w:p w14:paraId="2B72129A" w14:textId="014E82B6" w:rsidR="006256C8" w:rsidRPr="004920C6" w:rsidRDefault="00A640AE" w:rsidP="00B0770B">
      <w:pPr>
        <w:spacing w:before="120"/>
        <w:jc w:val="both"/>
        <w:rPr>
          <w:lang w:eastAsia="cs-CZ"/>
        </w:rPr>
      </w:pPr>
      <w:r w:rsidRPr="004920C6">
        <w:rPr>
          <w:rFonts w:cs="Calibri"/>
          <w:lang w:eastAsia="cs-CZ"/>
        </w:rPr>
        <w:t xml:space="preserve">Při kontrole </w:t>
      </w:r>
      <w:r w:rsidR="007102F6" w:rsidRPr="004920C6">
        <w:rPr>
          <w:rFonts w:cs="Calibri"/>
          <w:lang w:eastAsia="cs-CZ"/>
        </w:rPr>
        <w:t>ZÚ</w:t>
      </w:r>
      <w:r w:rsidR="00296885" w:rsidRPr="004920C6">
        <w:rPr>
          <w:rFonts w:cs="Calibri"/>
          <w:lang w:eastAsia="cs-CZ"/>
        </w:rPr>
        <w:t xml:space="preserve"> </w:t>
      </w:r>
      <w:r w:rsidR="0093276B" w:rsidRPr="004920C6">
        <w:rPr>
          <w:rFonts w:cs="Calibri"/>
          <w:lang w:eastAsia="cs-CZ"/>
        </w:rPr>
        <w:t>bylo prověř</w:t>
      </w:r>
      <w:r w:rsidR="00820AC0" w:rsidRPr="004920C6">
        <w:rPr>
          <w:rFonts w:cs="Calibri"/>
          <w:lang w:eastAsia="cs-CZ"/>
        </w:rPr>
        <w:t>eno</w:t>
      </w:r>
      <w:r w:rsidR="0093276B" w:rsidRPr="004920C6">
        <w:rPr>
          <w:rFonts w:cs="Calibri"/>
          <w:lang w:eastAsia="cs-CZ"/>
        </w:rPr>
        <w:t xml:space="preserve">, zda je závěrečný účet </w:t>
      </w:r>
      <w:r w:rsidR="00820AC0" w:rsidRPr="004920C6">
        <w:rPr>
          <w:rFonts w:cs="Calibri"/>
          <w:lang w:eastAsia="cs-CZ"/>
        </w:rPr>
        <w:t xml:space="preserve">sestaven </w:t>
      </w:r>
      <w:r w:rsidR="0093276B" w:rsidRPr="004920C6">
        <w:rPr>
          <w:rFonts w:cs="Calibri"/>
          <w:lang w:eastAsia="cs-CZ"/>
        </w:rPr>
        <w:t>v souladu s požadavky vyhlášky č. 419/2001 Sb.</w:t>
      </w:r>
      <w:r w:rsidR="00820AC0" w:rsidRPr="004920C6">
        <w:rPr>
          <w:rFonts w:cs="Calibri"/>
          <w:lang w:eastAsia="cs-CZ"/>
        </w:rPr>
        <w:t xml:space="preserve"> a</w:t>
      </w:r>
      <w:r w:rsidR="0090755D" w:rsidRPr="004920C6">
        <w:rPr>
          <w:rFonts w:cs="Calibri"/>
          <w:lang w:eastAsia="cs-CZ"/>
        </w:rPr>
        <w:t xml:space="preserve"> </w:t>
      </w:r>
      <w:r w:rsidR="00CE5E3A" w:rsidRPr="004920C6">
        <w:rPr>
          <w:rFonts w:cs="Calibri"/>
          <w:lang w:eastAsia="cs-CZ"/>
        </w:rPr>
        <w:t xml:space="preserve">zda je </w:t>
      </w:r>
      <w:r w:rsidR="0090755D" w:rsidRPr="004920C6">
        <w:rPr>
          <w:rFonts w:cs="Calibri"/>
          <w:lang w:eastAsia="cs-CZ"/>
        </w:rPr>
        <w:t>také</w:t>
      </w:r>
      <w:r w:rsidR="00283F9D" w:rsidRPr="004920C6">
        <w:rPr>
          <w:rFonts w:cs="Calibri"/>
          <w:lang w:eastAsia="cs-CZ"/>
        </w:rPr>
        <w:t xml:space="preserve"> </w:t>
      </w:r>
      <w:r w:rsidR="00A054E6" w:rsidRPr="004920C6">
        <w:rPr>
          <w:rFonts w:cs="Calibri"/>
          <w:lang w:eastAsia="cs-CZ"/>
        </w:rPr>
        <w:t xml:space="preserve">v souladu </w:t>
      </w:r>
      <w:r w:rsidR="00BA10E7" w:rsidRPr="004920C6">
        <w:rPr>
          <w:rFonts w:cs="Calibri"/>
          <w:lang w:eastAsia="cs-CZ"/>
        </w:rPr>
        <w:t>se skutečností, t</w:t>
      </w:r>
      <w:r w:rsidR="00B21492" w:rsidRPr="004920C6">
        <w:rPr>
          <w:rFonts w:cs="Calibri"/>
          <w:lang w:eastAsia="cs-CZ"/>
        </w:rPr>
        <w:t>zn</w:t>
      </w:r>
      <w:r w:rsidR="00820AC0" w:rsidRPr="004920C6">
        <w:rPr>
          <w:rFonts w:cs="Calibri"/>
          <w:lang w:eastAsia="cs-CZ"/>
        </w:rPr>
        <w:t xml:space="preserve">. </w:t>
      </w:r>
      <w:r w:rsidR="0093276B" w:rsidRPr="004920C6">
        <w:rPr>
          <w:rFonts w:cs="Calibri"/>
          <w:lang w:eastAsia="cs-CZ"/>
        </w:rPr>
        <w:t>zda vybrané údaje uváděné v závěrečném účtu jsou správné a úplné ve srovnání s finančními výkazy</w:t>
      </w:r>
      <w:r w:rsidR="00B21492" w:rsidRPr="004920C6">
        <w:rPr>
          <w:rFonts w:cs="Calibri"/>
          <w:lang w:eastAsia="cs-CZ"/>
        </w:rPr>
        <w:t xml:space="preserve"> obsahujícími údaje pro hodnocení plnění rozpočtu</w:t>
      </w:r>
      <w:r w:rsidR="0093276B" w:rsidRPr="004920C6">
        <w:rPr>
          <w:rFonts w:cs="Calibri"/>
          <w:lang w:eastAsia="cs-CZ"/>
        </w:rPr>
        <w:t>, s</w:t>
      </w:r>
      <w:r w:rsidR="005B6987" w:rsidRPr="004920C6">
        <w:rPr>
          <w:rFonts w:cs="Calibri"/>
          <w:lang w:eastAsia="cs-CZ"/>
        </w:rPr>
        <w:t xml:space="preserve"> </w:t>
      </w:r>
      <w:r w:rsidR="0093276B" w:rsidRPr="004920C6">
        <w:rPr>
          <w:rFonts w:cs="Calibri"/>
          <w:lang w:eastAsia="cs-CZ"/>
        </w:rPr>
        <w:t>údaji v</w:t>
      </w:r>
      <w:r w:rsidR="005B6987" w:rsidRPr="004920C6">
        <w:rPr>
          <w:rFonts w:cs="Calibri"/>
          <w:lang w:eastAsia="cs-CZ"/>
        </w:rPr>
        <w:t xml:space="preserve"> </w:t>
      </w:r>
      <w:r w:rsidR="0093276B" w:rsidRPr="004920C6">
        <w:rPr>
          <w:rFonts w:cs="Calibri"/>
          <w:lang w:eastAsia="cs-CZ"/>
        </w:rPr>
        <w:t>účetnictví</w:t>
      </w:r>
      <w:r w:rsidRPr="004920C6">
        <w:rPr>
          <w:rFonts w:cs="Calibri"/>
          <w:lang w:eastAsia="cs-CZ"/>
        </w:rPr>
        <w:t>, s údaji z</w:t>
      </w:r>
      <w:r w:rsidR="005B6987" w:rsidRPr="004920C6">
        <w:rPr>
          <w:rFonts w:cs="Calibri"/>
          <w:lang w:eastAsia="cs-CZ"/>
        </w:rPr>
        <w:t xml:space="preserve"> </w:t>
      </w:r>
      <w:r w:rsidRPr="004920C6">
        <w:rPr>
          <w:rFonts w:cs="Calibri"/>
          <w:lang w:eastAsia="cs-CZ"/>
        </w:rPr>
        <w:t>účetních závěrek</w:t>
      </w:r>
      <w:r w:rsidR="00760191" w:rsidRPr="004920C6">
        <w:rPr>
          <w:rFonts w:cs="Calibri"/>
          <w:lang w:eastAsia="cs-CZ"/>
        </w:rPr>
        <w:t xml:space="preserve"> MK</w:t>
      </w:r>
      <w:r w:rsidR="00791460">
        <w:rPr>
          <w:rFonts w:cs="Calibri"/>
          <w:lang w:eastAsia="cs-CZ"/>
        </w:rPr>
        <w:t xml:space="preserve"> </w:t>
      </w:r>
      <w:r w:rsidR="00F04CD2">
        <w:rPr>
          <w:rFonts w:cs="Calibri"/>
          <w:lang w:eastAsia="cs-CZ"/>
        </w:rPr>
        <w:br/>
      </w:r>
      <w:r w:rsidR="00791460">
        <w:rPr>
          <w:rFonts w:cs="Calibri"/>
          <w:lang w:eastAsia="cs-CZ"/>
        </w:rPr>
        <w:t>a</w:t>
      </w:r>
      <w:r w:rsidR="00F04CD2">
        <w:rPr>
          <w:rFonts w:cs="Calibri"/>
          <w:lang w:eastAsia="cs-CZ"/>
        </w:rPr>
        <w:t xml:space="preserve"> </w:t>
      </w:r>
      <w:r w:rsidR="00791460">
        <w:rPr>
          <w:rFonts w:cs="Calibri"/>
          <w:lang w:eastAsia="cs-CZ"/>
        </w:rPr>
        <w:t>podřízených organizací v</w:t>
      </w:r>
      <w:r w:rsidR="00BC6AAD">
        <w:rPr>
          <w:rFonts w:cs="Calibri"/>
          <w:lang w:eastAsia="cs-CZ"/>
        </w:rPr>
        <w:t xml:space="preserve"> </w:t>
      </w:r>
      <w:r w:rsidR="00791460">
        <w:rPr>
          <w:rFonts w:cs="Calibri"/>
          <w:lang w:eastAsia="cs-CZ"/>
        </w:rPr>
        <w:t>rámci kapitoly státního rozpočtu 334</w:t>
      </w:r>
      <w:r w:rsidR="00BC6AAD">
        <w:rPr>
          <w:rFonts w:cs="Calibri"/>
          <w:lang w:eastAsia="cs-CZ"/>
        </w:rPr>
        <w:t xml:space="preserve"> – </w:t>
      </w:r>
      <w:r w:rsidR="0035424C" w:rsidRPr="005260DD">
        <w:rPr>
          <w:rFonts w:cs="Calibri"/>
          <w:i/>
          <w:iCs/>
          <w:lang w:eastAsia="cs-CZ"/>
        </w:rPr>
        <w:t>M</w:t>
      </w:r>
      <w:r w:rsidR="007E5844" w:rsidRPr="005260DD">
        <w:rPr>
          <w:rFonts w:cs="Calibri"/>
          <w:i/>
          <w:iCs/>
          <w:lang w:eastAsia="cs-CZ"/>
        </w:rPr>
        <w:t>inisterstvo kultury</w:t>
      </w:r>
      <w:r w:rsidR="006256C8" w:rsidRPr="004920C6">
        <w:rPr>
          <w:rFonts w:cs="Calibri"/>
          <w:lang w:eastAsia="cs-CZ"/>
        </w:rPr>
        <w:t xml:space="preserve"> a</w:t>
      </w:r>
      <w:r w:rsidR="00BC6AAD">
        <w:rPr>
          <w:rFonts w:cs="Calibri"/>
          <w:lang w:eastAsia="cs-CZ"/>
        </w:rPr>
        <w:t> </w:t>
      </w:r>
      <w:r w:rsidR="006256C8" w:rsidRPr="004920C6">
        <w:rPr>
          <w:rFonts w:cs="Calibri"/>
          <w:lang w:eastAsia="cs-CZ"/>
        </w:rPr>
        <w:t>s</w:t>
      </w:r>
      <w:r w:rsidR="00BC6AAD">
        <w:rPr>
          <w:rFonts w:cs="Calibri"/>
          <w:lang w:eastAsia="cs-CZ"/>
        </w:rPr>
        <w:t> </w:t>
      </w:r>
      <w:r w:rsidR="006256C8" w:rsidRPr="004920C6">
        <w:rPr>
          <w:lang w:eastAsia="cs-CZ"/>
        </w:rPr>
        <w:t>jinými veřejně dostupnými zdroji, např. usneseními vlády ČR, veřejně přístupnými rejstříky apod.</w:t>
      </w:r>
    </w:p>
    <w:p w14:paraId="695680DB" w14:textId="4A2BFBBB" w:rsidR="00314A7D" w:rsidRPr="004920C6" w:rsidRDefault="00314A7D" w:rsidP="00B0770B">
      <w:pPr>
        <w:spacing w:before="120"/>
        <w:jc w:val="both"/>
        <w:rPr>
          <w:lang w:eastAsia="cs-CZ"/>
        </w:rPr>
      </w:pPr>
      <w:r w:rsidRPr="004920C6">
        <w:rPr>
          <w:rFonts w:cs="Calibri"/>
          <w:color w:val="000000"/>
        </w:rPr>
        <w:t>Při kontrole bylo provedeno také vyhodnocení opatření přijatých k nápravě nedostatků uvedených v kontrolním závěru z kontrolní akce NKÚ č. 19/03.</w:t>
      </w:r>
    </w:p>
    <w:p w14:paraId="52406C8B" w14:textId="2F1AFCFD" w:rsidR="00283F9D" w:rsidRPr="004920C6" w:rsidRDefault="004F1A2C" w:rsidP="00B0770B">
      <w:pPr>
        <w:spacing w:before="120"/>
        <w:jc w:val="both"/>
        <w:rPr>
          <w:lang w:eastAsia="cs-CZ"/>
        </w:rPr>
      </w:pPr>
      <w:r w:rsidRPr="004920C6">
        <w:rPr>
          <w:lang w:eastAsia="cs-CZ"/>
        </w:rPr>
        <w:t xml:space="preserve">V rámci kontroly byl rovněž proveden rozbor výsledku </w:t>
      </w:r>
      <w:r w:rsidR="000911EF" w:rsidRPr="004920C6">
        <w:rPr>
          <w:lang w:eastAsia="cs-CZ"/>
        </w:rPr>
        <w:t>hospodaření</w:t>
      </w:r>
      <w:r w:rsidR="00F35A37" w:rsidRPr="004920C6">
        <w:rPr>
          <w:lang w:eastAsia="cs-CZ"/>
        </w:rPr>
        <w:t xml:space="preserve"> MK</w:t>
      </w:r>
      <w:r w:rsidR="000911EF" w:rsidRPr="004920C6">
        <w:rPr>
          <w:lang w:eastAsia="cs-CZ"/>
        </w:rPr>
        <w:t xml:space="preserve"> z akruálního a</w:t>
      </w:r>
      <w:r w:rsidR="00D84537" w:rsidRPr="004920C6">
        <w:rPr>
          <w:lang w:eastAsia="cs-CZ"/>
        </w:rPr>
        <w:t> </w:t>
      </w:r>
      <w:r w:rsidR="000911EF" w:rsidRPr="004920C6">
        <w:rPr>
          <w:lang w:eastAsia="cs-CZ"/>
        </w:rPr>
        <w:t>peněžního</w:t>
      </w:r>
      <w:r w:rsidR="006D14C1" w:rsidRPr="004920C6">
        <w:rPr>
          <w:lang w:eastAsia="cs-CZ"/>
        </w:rPr>
        <w:t xml:space="preserve"> pohledu</w:t>
      </w:r>
      <w:r w:rsidR="0093263E" w:rsidRPr="004920C6">
        <w:rPr>
          <w:lang w:eastAsia="cs-CZ"/>
        </w:rPr>
        <w:t xml:space="preserve"> (viz příloha č. 1 tohoto kontrolního závěru)</w:t>
      </w:r>
      <w:r w:rsidR="00DD6C97" w:rsidRPr="004920C6">
        <w:rPr>
          <w:lang w:eastAsia="cs-CZ"/>
        </w:rPr>
        <w:t>.</w:t>
      </w:r>
      <w:r w:rsidR="00732ADD" w:rsidRPr="004920C6">
        <w:rPr>
          <w:lang w:eastAsia="cs-CZ"/>
        </w:rPr>
        <w:t xml:space="preserve"> </w:t>
      </w:r>
      <w:r w:rsidR="000911EF" w:rsidRPr="004920C6">
        <w:rPr>
          <w:lang w:eastAsia="cs-CZ"/>
        </w:rPr>
        <w:t xml:space="preserve">Kontrola </w:t>
      </w:r>
      <w:r w:rsidR="00283F9D" w:rsidRPr="004920C6">
        <w:rPr>
          <w:lang w:eastAsia="cs-CZ"/>
        </w:rPr>
        <w:t>se</w:t>
      </w:r>
      <w:r w:rsidR="006922D0" w:rsidRPr="004920C6">
        <w:rPr>
          <w:lang w:eastAsia="cs-CZ"/>
        </w:rPr>
        <w:t xml:space="preserve"> dále</w:t>
      </w:r>
      <w:r w:rsidR="00260562" w:rsidRPr="004920C6">
        <w:rPr>
          <w:lang w:eastAsia="cs-CZ"/>
        </w:rPr>
        <w:t xml:space="preserve"> </w:t>
      </w:r>
      <w:r w:rsidR="00283F9D" w:rsidRPr="004920C6">
        <w:rPr>
          <w:lang w:eastAsia="cs-CZ"/>
        </w:rPr>
        <w:t xml:space="preserve">zaměřila </w:t>
      </w:r>
      <w:r w:rsidR="000911EF" w:rsidRPr="004920C6">
        <w:rPr>
          <w:lang w:eastAsia="cs-CZ"/>
        </w:rPr>
        <w:t>na</w:t>
      </w:r>
      <w:r w:rsidR="00576574" w:rsidRPr="004920C6">
        <w:rPr>
          <w:lang w:eastAsia="cs-CZ"/>
        </w:rPr>
        <w:t xml:space="preserve"> informac</w:t>
      </w:r>
      <w:r w:rsidR="0073092B" w:rsidRPr="004920C6">
        <w:rPr>
          <w:lang w:eastAsia="cs-CZ"/>
        </w:rPr>
        <w:t>e</w:t>
      </w:r>
      <w:r w:rsidR="00576574" w:rsidRPr="004920C6">
        <w:rPr>
          <w:lang w:eastAsia="cs-CZ"/>
        </w:rPr>
        <w:t xml:space="preserve"> vykazovan</w:t>
      </w:r>
      <w:r w:rsidR="0073092B" w:rsidRPr="004920C6">
        <w:rPr>
          <w:lang w:eastAsia="cs-CZ"/>
        </w:rPr>
        <w:t>é</w:t>
      </w:r>
      <w:r w:rsidR="00576574" w:rsidRPr="004920C6">
        <w:rPr>
          <w:lang w:eastAsia="cs-CZ"/>
        </w:rPr>
        <w:t xml:space="preserve"> na podrozvahových účtech</w:t>
      </w:r>
      <w:r w:rsidR="0073092B" w:rsidRPr="004920C6">
        <w:rPr>
          <w:lang w:eastAsia="cs-CZ"/>
        </w:rPr>
        <w:t xml:space="preserve"> </w:t>
      </w:r>
      <w:r w:rsidR="0093263E" w:rsidRPr="004920C6">
        <w:rPr>
          <w:lang w:eastAsia="cs-CZ"/>
        </w:rPr>
        <w:t xml:space="preserve">(viz příloha č. 2 tohoto kontrolního závěru) </w:t>
      </w:r>
      <w:r w:rsidR="0073092B" w:rsidRPr="004920C6">
        <w:rPr>
          <w:lang w:eastAsia="cs-CZ"/>
        </w:rPr>
        <w:t xml:space="preserve">nebo na </w:t>
      </w:r>
      <w:r w:rsidR="00F35A37" w:rsidRPr="004920C6">
        <w:rPr>
          <w:lang w:eastAsia="cs-CZ"/>
        </w:rPr>
        <w:t xml:space="preserve">účetní zachycení </w:t>
      </w:r>
      <w:r w:rsidR="0073092B" w:rsidRPr="004920C6">
        <w:rPr>
          <w:lang w:eastAsia="cs-CZ"/>
        </w:rPr>
        <w:t>skutečnost</w:t>
      </w:r>
      <w:r w:rsidR="00F35A37" w:rsidRPr="004920C6">
        <w:rPr>
          <w:lang w:eastAsia="cs-CZ"/>
        </w:rPr>
        <w:t>í</w:t>
      </w:r>
      <w:r w:rsidR="00EE57EA" w:rsidRPr="004920C6">
        <w:rPr>
          <w:lang w:eastAsia="cs-CZ"/>
        </w:rPr>
        <w:t xml:space="preserve"> v rámci</w:t>
      </w:r>
      <w:r w:rsidR="00F35A37" w:rsidRPr="004920C6">
        <w:rPr>
          <w:lang w:eastAsia="cs-CZ"/>
        </w:rPr>
        <w:t xml:space="preserve"> </w:t>
      </w:r>
      <w:r w:rsidR="00F35A37" w:rsidRPr="005260DD">
        <w:rPr>
          <w:i/>
          <w:iCs/>
          <w:lang w:eastAsia="cs-CZ"/>
        </w:rPr>
        <w:t>Národního plánu obnovy</w:t>
      </w:r>
      <w:r w:rsidR="00F35A37" w:rsidRPr="004920C6">
        <w:rPr>
          <w:lang w:eastAsia="cs-CZ"/>
        </w:rPr>
        <w:t xml:space="preserve"> u MK</w:t>
      </w:r>
      <w:r w:rsidR="0093263E" w:rsidRPr="004920C6">
        <w:rPr>
          <w:lang w:eastAsia="cs-CZ"/>
        </w:rPr>
        <w:t xml:space="preserve"> (viz příloha </w:t>
      </w:r>
      <w:r w:rsidR="00BC6AAD">
        <w:rPr>
          <w:lang w:eastAsia="cs-CZ"/>
        </w:rPr>
        <w:br/>
      </w:r>
      <w:r w:rsidR="0093263E" w:rsidRPr="004920C6">
        <w:rPr>
          <w:lang w:eastAsia="cs-CZ"/>
        </w:rPr>
        <w:t>č. 3 tohoto kontrolního závěru)</w:t>
      </w:r>
      <w:r w:rsidR="00930750" w:rsidRPr="004920C6">
        <w:rPr>
          <w:lang w:eastAsia="cs-CZ"/>
        </w:rPr>
        <w:t>.</w:t>
      </w:r>
    </w:p>
    <w:p w14:paraId="0C90FF18" w14:textId="14E3E8E5" w:rsidR="00964179" w:rsidRPr="004920C6" w:rsidRDefault="00006AE8" w:rsidP="00B0770B">
      <w:pPr>
        <w:spacing w:before="360" w:after="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bookmarkStart w:id="4" w:name="_Hlk170802968"/>
      <w:r w:rsidRPr="004920C6">
        <w:rPr>
          <w:rFonts w:asciiTheme="minorHAnsi" w:hAnsiTheme="minorHAnsi" w:cs="Calibri"/>
          <w:b/>
          <w:sz w:val="20"/>
          <w:szCs w:val="20"/>
        </w:rPr>
        <w:t>Pozn.:</w:t>
      </w:r>
      <w:r w:rsidRPr="004920C6">
        <w:rPr>
          <w:rFonts w:asciiTheme="minorHAnsi" w:hAnsiTheme="minorHAnsi" w:cs="Calibri"/>
          <w:sz w:val="20"/>
          <w:szCs w:val="20"/>
        </w:rPr>
        <w:t xml:space="preserve"> </w:t>
      </w:r>
      <w:r w:rsidRPr="004920C6">
        <w:rPr>
          <w:rFonts w:asciiTheme="minorHAnsi" w:hAnsiTheme="minorHAnsi" w:cs="Calibri"/>
          <w:sz w:val="20"/>
          <w:szCs w:val="20"/>
        </w:rPr>
        <w:tab/>
        <w:t>Všechny právní předpisy uvedené v</w:t>
      </w:r>
      <w:r w:rsidR="002D2E09" w:rsidRPr="004920C6">
        <w:rPr>
          <w:rFonts w:asciiTheme="minorHAnsi" w:hAnsiTheme="minorHAnsi" w:cs="Calibri"/>
          <w:sz w:val="20"/>
          <w:szCs w:val="20"/>
        </w:rPr>
        <w:t xml:space="preserve"> </w:t>
      </w:r>
      <w:r w:rsidRPr="004920C6">
        <w:rPr>
          <w:rFonts w:asciiTheme="minorHAnsi" w:hAnsiTheme="minorHAnsi" w:cs="Calibri"/>
          <w:sz w:val="20"/>
          <w:szCs w:val="20"/>
        </w:rPr>
        <w:t>tomto kontrolním závěru jsou aplikovány ve znění účinném pro kontrolované období.</w:t>
      </w:r>
    </w:p>
    <w:p w14:paraId="1708B609" w14:textId="7238D5E2" w:rsidR="00E6724F" w:rsidRPr="004920C6" w:rsidRDefault="00EC7E5A" w:rsidP="00E6724F">
      <w:pPr>
        <w:ind w:left="567"/>
        <w:jc w:val="both"/>
        <w:rPr>
          <w:sz w:val="20"/>
          <w:szCs w:val="20"/>
        </w:rPr>
      </w:pPr>
      <w:r w:rsidRPr="004920C6">
        <w:rPr>
          <w:sz w:val="20"/>
          <w:szCs w:val="20"/>
        </w:rPr>
        <w:t>Hodnoty uvedené v tomto kontrolním závěru byly zaokrouhleny, čímž může vzniknout drobný nesoulad v</w:t>
      </w:r>
      <w:r w:rsidR="00CA780A" w:rsidRPr="004920C6">
        <w:rPr>
          <w:sz w:val="20"/>
          <w:szCs w:val="20"/>
        </w:rPr>
        <w:t> </w:t>
      </w:r>
      <w:r w:rsidRPr="004920C6">
        <w:rPr>
          <w:sz w:val="20"/>
          <w:szCs w:val="20"/>
        </w:rPr>
        <w:t>uváděných finančních údajích</w:t>
      </w:r>
      <w:r w:rsidR="00D606E5" w:rsidRPr="004920C6">
        <w:rPr>
          <w:rFonts w:cs="Arial"/>
          <w:bCs/>
          <w:sz w:val="20"/>
          <w:szCs w:val="20"/>
        </w:rPr>
        <w:t>.</w:t>
      </w:r>
      <w:r w:rsidR="00E6724F" w:rsidRPr="004920C6">
        <w:rPr>
          <w:sz w:val="20"/>
          <w:szCs w:val="20"/>
        </w:rPr>
        <w:br w:type="page"/>
      </w:r>
    </w:p>
    <w:bookmarkEnd w:id="4"/>
    <w:p w14:paraId="0A89C773" w14:textId="77777777" w:rsidR="0033466E" w:rsidRPr="004920C6" w:rsidRDefault="00B0770B" w:rsidP="00B0770B">
      <w:pPr>
        <w:pStyle w:val="Styl1"/>
        <w:numPr>
          <w:ilvl w:val="0"/>
          <w:numId w:val="0"/>
        </w:numPr>
        <w:spacing w:after="240"/>
      </w:pPr>
      <w:r w:rsidRPr="004920C6">
        <w:lastRenderedPageBreak/>
        <w:t xml:space="preserve">IV. </w:t>
      </w:r>
      <w:r w:rsidR="00A640AE" w:rsidRPr="004920C6">
        <w:t>Podrobné skutečnosti zjištěné kontrolou</w:t>
      </w:r>
    </w:p>
    <w:p w14:paraId="62B5421E" w14:textId="312B3384" w:rsidR="00450C19" w:rsidRPr="004920C6" w:rsidRDefault="00CA70D8" w:rsidP="008A15A3">
      <w:pPr>
        <w:pStyle w:val="Styl2"/>
        <w:numPr>
          <w:ilvl w:val="0"/>
          <w:numId w:val="0"/>
        </w:numPr>
        <w:spacing w:before="240" w:after="120"/>
        <w:ind w:left="284" w:hanging="284"/>
        <w:jc w:val="both"/>
      </w:pPr>
      <w:r w:rsidRPr="004920C6">
        <w:t>1.</w:t>
      </w:r>
      <w:r w:rsidR="00310275" w:rsidRPr="004920C6">
        <w:t xml:space="preserve"> </w:t>
      </w:r>
      <w:r w:rsidRPr="004920C6">
        <w:tab/>
      </w:r>
      <w:r w:rsidR="00450C19" w:rsidRPr="004920C6">
        <w:t>Vedení účetnictví</w:t>
      </w:r>
      <w:r w:rsidR="00712D73" w:rsidRPr="004920C6">
        <w:t xml:space="preserve"> </w:t>
      </w:r>
      <w:r w:rsidR="00450C19" w:rsidRPr="004920C6">
        <w:t>a</w:t>
      </w:r>
      <w:r w:rsidR="00F421E3" w:rsidRPr="004920C6">
        <w:t xml:space="preserve"> </w:t>
      </w:r>
      <w:r w:rsidR="00450C19" w:rsidRPr="004920C6">
        <w:t xml:space="preserve">spolehlivost údajů ÚZ </w:t>
      </w:r>
    </w:p>
    <w:p w14:paraId="5EB673B4" w14:textId="33F2B69F" w:rsidR="00450C19" w:rsidRPr="004920C6" w:rsidRDefault="00310275" w:rsidP="00CA7B8E">
      <w:pPr>
        <w:pStyle w:val="Styl2"/>
        <w:numPr>
          <w:ilvl w:val="0"/>
          <w:numId w:val="0"/>
        </w:numPr>
        <w:spacing w:before="120" w:after="120"/>
        <w:ind w:left="284" w:hanging="284"/>
      </w:pPr>
      <w:r w:rsidRPr="004920C6">
        <w:t xml:space="preserve">1.1 </w:t>
      </w:r>
      <w:r w:rsidR="00450C19" w:rsidRPr="004920C6">
        <w:t>Opravy chyb v účetnictví v průběhu účetního období</w:t>
      </w:r>
    </w:p>
    <w:p w14:paraId="1881B56E" w14:textId="7542B718" w:rsidR="00B8068A" w:rsidRPr="004920C6" w:rsidRDefault="00913B78" w:rsidP="00EB6CBA">
      <w:pPr>
        <w:spacing w:after="60"/>
        <w:jc w:val="both"/>
        <w:rPr>
          <w:rFonts w:asciiTheme="minorHAnsi" w:hAnsiTheme="minorHAnsi" w:cs="Calibri"/>
          <w:bCs/>
        </w:rPr>
      </w:pPr>
      <w:r w:rsidRPr="004920C6">
        <w:rPr>
          <w:rFonts w:asciiTheme="minorHAnsi" w:hAnsiTheme="minorHAnsi" w:cstheme="minorHAnsi"/>
          <w:spacing w:val="-2"/>
        </w:rPr>
        <w:t>NKÚ zahájil k</w:t>
      </w:r>
      <w:r w:rsidR="00450C19" w:rsidRPr="004920C6">
        <w:rPr>
          <w:rFonts w:asciiTheme="minorHAnsi" w:hAnsiTheme="minorHAnsi" w:cstheme="minorHAnsi"/>
          <w:spacing w:val="-2"/>
        </w:rPr>
        <w:t>ontrol</w:t>
      </w:r>
      <w:r w:rsidRPr="004920C6">
        <w:rPr>
          <w:rFonts w:asciiTheme="minorHAnsi" w:hAnsiTheme="minorHAnsi" w:cstheme="minorHAnsi"/>
          <w:spacing w:val="-2"/>
        </w:rPr>
        <w:t>u</w:t>
      </w:r>
      <w:r w:rsidR="0048247D" w:rsidRPr="004920C6">
        <w:rPr>
          <w:rFonts w:asciiTheme="minorHAnsi" w:hAnsiTheme="minorHAnsi" w:cstheme="minorHAnsi"/>
          <w:spacing w:val="-2"/>
        </w:rPr>
        <w:t xml:space="preserve"> </w:t>
      </w:r>
      <w:r w:rsidR="00450C19" w:rsidRPr="004920C6">
        <w:rPr>
          <w:rFonts w:asciiTheme="minorHAnsi" w:hAnsiTheme="minorHAnsi" w:cstheme="minorHAnsi"/>
          <w:spacing w:val="-2"/>
        </w:rPr>
        <w:t xml:space="preserve">v průběhu </w:t>
      </w:r>
      <w:r w:rsidR="0048247D" w:rsidRPr="004920C6">
        <w:rPr>
          <w:rFonts w:asciiTheme="minorHAnsi" w:hAnsiTheme="minorHAnsi" w:cstheme="minorHAnsi"/>
          <w:spacing w:val="-2"/>
        </w:rPr>
        <w:t xml:space="preserve">kontrolovaného </w:t>
      </w:r>
      <w:r w:rsidR="00450C19" w:rsidRPr="004920C6">
        <w:rPr>
          <w:rFonts w:asciiTheme="minorHAnsi" w:hAnsiTheme="minorHAnsi" w:cstheme="minorHAnsi"/>
          <w:spacing w:val="-2"/>
        </w:rPr>
        <w:t>účetního období 202</w:t>
      </w:r>
      <w:r w:rsidR="007E7CD6" w:rsidRPr="004920C6">
        <w:rPr>
          <w:rFonts w:asciiTheme="minorHAnsi" w:hAnsiTheme="minorHAnsi" w:cstheme="minorHAnsi"/>
          <w:spacing w:val="-2"/>
        </w:rPr>
        <w:t>4</w:t>
      </w:r>
      <w:r w:rsidR="00450C19" w:rsidRPr="004920C6">
        <w:rPr>
          <w:rFonts w:asciiTheme="minorHAnsi" w:hAnsiTheme="minorHAnsi" w:cstheme="minorHAnsi"/>
          <w:spacing w:val="-2"/>
        </w:rPr>
        <w:t>, což umožnilo</w:t>
      </w:r>
      <w:r w:rsidR="007E7CD6" w:rsidRPr="004920C6">
        <w:rPr>
          <w:rFonts w:asciiTheme="minorHAnsi" w:hAnsiTheme="minorHAnsi" w:cstheme="minorHAnsi"/>
          <w:spacing w:val="-2"/>
        </w:rPr>
        <w:t xml:space="preserve"> M</w:t>
      </w:r>
      <w:r w:rsidR="00EA7DFB" w:rsidRPr="004920C6">
        <w:rPr>
          <w:rFonts w:asciiTheme="minorHAnsi" w:hAnsiTheme="minorHAnsi" w:cstheme="minorHAnsi"/>
          <w:spacing w:val="-2"/>
        </w:rPr>
        <w:t>inisterstvu kultury</w:t>
      </w:r>
      <w:r w:rsidR="00505D9F" w:rsidRPr="004920C6">
        <w:rPr>
          <w:rFonts w:asciiTheme="minorHAnsi" w:hAnsiTheme="minorHAnsi" w:cstheme="minorHAnsi"/>
          <w:spacing w:val="-2"/>
        </w:rPr>
        <w:t xml:space="preserve"> ještě před uzavřením účetních knih a sestavením účetní závěrky</w:t>
      </w:r>
      <w:r w:rsidR="00450C19" w:rsidRPr="004920C6">
        <w:rPr>
          <w:rFonts w:asciiTheme="minorHAnsi" w:hAnsiTheme="minorHAnsi" w:cstheme="minorHAnsi"/>
          <w:spacing w:val="-2"/>
        </w:rPr>
        <w:t xml:space="preserve"> </w:t>
      </w:r>
      <w:r w:rsidR="00505D9F" w:rsidRPr="004920C6">
        <w:rPr>
          <w:rFonts w:asciiTheme="minorHAnsi" w:hAnsiTheme="minorHAnsi" w:cstheme="minorHAnsi"/>
          <w:spacing w:val="-2"/>
        </w:rPr>
        <w:t>za rok 202</w:t>
      </w:r>
      <w:r w:rsidR="007E7CD6" w:rsidRPr="004920C6">
        <w:rPr>
          <w:rFonts w:asciiTheme="minorHAnsi" w:hAnsiTheme="minorHAnsi" w:cstheme="minorHAnsi"/>
          <w:spacing w:val="-2"/>
        </w:rPr>
        <w:t>4</w:t>
      </w:r>
      <w:r w:rsidR="00505D9F" w:rsidRPr="004920C6">
        <w:rPr>
          <w:rFonts w:asciiTheme="minorHAnsi" w:hAnsiTheme="minorHAnsi" w:cstheme="minorHAnsi"/>
          <w:spacing w:val="-2"/>
        </w:rPr>
        <w:t xml:space="preserve"> </w:t>
      </w:r>
      <w:r w:rsidR="00450C19" w:rsidRPr="004920C6">
        <w:rPr>
          <w:rFonts w:asciiTheme="minorHAnsi" w:hAnsiTheme="minorHAnsi" w:cstheme="minorHAnsi"/>
          <w:spacing w:val="-2"/>
        </w:rPr>
        <w:t>provést opravu nedostatků</w:t>
      </w:r>
      <w:r w:rsidR="00382197" w:rsidRPr="004920C6">
        <w:rPr>
          <w:rFonts w:asciiTheme="minorHAnsi" w:hAnsiTheme="minorHAnsi" w:cstheme="minorHAnsi"/>
          <w:spacing w:val="-2"/>
        </w:rPr>
        <w:t xml:space="preserve"> identifikovaných</w:t>
      </w:r>
      <w:r w:rsidR="008F0153" w:rsidRPr="004920C6">
        <w:rPr>
          <w:rFonts w:asciiTheme="minorHAnsi" w:hAnsiTheme="minorHAnsi" w:cstheme="minorHAnsi"/>
          <w:spacing w:val="-2"/>
        </w:rPr>
        <w:t xml:space="preserve"> </w:t>
      </w:r>
      <w:r w:rsidR="00382197" w:rsidRPr="004920C6">
        <w:rPr>
          <w:rFonts w:asciiTheme="minorHAnsi" w:hAnsiTheme="minorHAnsi" w:cstheme="minorHAnsi"/>
          <w:spacing w:val="-2"/>
        </w:rPr>
        <w:t>v účetnictví</w:t>
      </w:r>
      <w:r w:rsidR="00450C19" w:rsidRPr="004920C6">
        <w:rPr>
          <w:rFonts w:asciiTheme="minorHAnsi" w:hAnsiTheme="minorHAnsi" w:cstheme="minorHAnsi"/>
          <w:spacing w:val="-2"/>
        </w:rPr>
        <w:t>.</w:t>
      </w:r>
      <w:r w:rsidR="007E7CD6" w:rsidRPr="004920C6">
        <w:rPr>
          <w:rFonts w:asciiTheme="minorHAnsi" w:hAnsiTheme="minorHAnsi" w:cstheme="minorHAnsi"/>
          <w:spacing w:val="-2"/>
        </w:rPr>
        <w:t xml:space="preserve"> MK</w:t>
      </w:r>
      <w:r w:rsidR="00450C19" w:rsidRPr="004920C6">
        <w:rPr>
          <w:rFonts w:asciiTheme="minorHAnsi" w:hAnsiTheme="minorHAnsi" w:cs="Calibri"/>
          <w:bCs/>
        </w:rPr>
        <w:t xml:space="preserve"> takto opravil</w:t>
      </w:r>
      <w:r w:rsidR="007E7CD6" w:rsidRPr="004920C6">
        <w:rPr>
          <w:rFonts w:asciiTheme="minorHAnsi" w:hAnsiTheme="minorHAnsi" w:cs="Calibri"/>
          <w:bCs/>
        </w:rPr>
        <w:t>o</w:t>
      </w:r>
      <w:r w:rsidR="00450C19" w:rsidRPr="004920C6">
        <w:rPr>
          <w:rFonts w:asciiTheme="minorHAnsi" w:hAnsiTheme="minorHAnsi" w:cs="Calibri"/>
          <w:bCs/>
        </w:rPr>
        <w:t xml:space="preserve"> většinu</w:t>
      </w:r>
      <w:r w:rsidR="00CF1882" w:rsidRPr="004920C6">
        <w:rPr>
          <w:rFonts w:asciiTheme="minorHAnsi" w:hAnsiTheme="minorHAnsi" w:cs="Calibri"/>
          <w:bCs/>
        </w:rPr>
        <w:t xml:space="preserve"> </w:t>
      </w:r>
      <w:r w:rsidR="00450C19" w:rsidRPr="004920C6">
        <w:rPr>
          <w:rFonts w:asciiTheme="minorHAnsi" w:hAnsiTheme="minorHAnsi" w:cs="Calibri"/>
          <w:bCs/>
        </w:rPr>
        <w:t>zjištěných</w:t>
      </w:r>
      <w:r w:rsidR="00CF1882" w:rsidRPr="004920C6">
        <w:rPr>
          <w:rFonts w:asciiTheme="minorHAnsi" w:hAnsiTheme="minorHAnsi" w:cs="Calibri"/>
          <w:bCs/>
        </w:rPr>
        <w:t xml:space="preserve"> nedostatků</w:t>
      </w:r>
      <w:r w:rsidR="00DD74DA" w:rsidRPr="004920C6">
        <w:rPr>
          <w:rFonts w:asciiTheme="minorHAnsi" w:hAnsiTheme="minorHAnsi" w:cs="Calibri"/>
          <w:bCs/>
        </w:rPr>
        <w:t>,</w:t>
      </w:r>
      <w:r w:rsidR="00CF1882" w:rsidRPr="004920C6">
        <w:rPr>
          <w:rFonts w:asciiTheme="minorHAnsi" w:hAnsiTheme="minorHAnsi" w:cs="Calibri"/>
          <w:bCs/>
        </w:rPr>
        <w:t xml:space="preserve"> z nichž </w:t>
      </w:r>
      <w:r w:rsidR="00F421E3" w:rsidRPr="004920C6">
        <w:rPr>
          <w:rFonts w:asciiTheme="minorHAnsi" w:hAnsiTheme="minorHAnsi" w:cs="Calibri"/>
          <w:bCs/>
        </w:rPr>
        <w:t>některé</w:t>
      </w:r>
      <w:r w:rsidR="00CF1882" w:rsidRPr="004920C6">
        <w:rPr>
          <w:rFonts w:asciiTheme="minorHAnsi" w:hAnsiTheme="minorHAnsi" w:cs="Calibri"/>
          <w:bCs/>
        </w:rPr>
        <w:t xml:space="preserve"> byl</w:t>
      </w:r>
      <w:r w:rsidR="00F421E3" w:rsidRPr="004920C6">
        <w:rPr>
          <w:rFonts w:asciiTheme="minorHAnsi" w:hAnsiTheme="minorHAnsi" w:cs="Calibri"/>
          <w:bCs/>
        </w:rPr>
        <w:t>y</w:t>
      </w:r>
      <w:r w:rsidR="00CF1882" w:rsidRPr="004920C6">
        <w:rPr>
          <w:rFonts w:asciiTheme="minorHAnsi" w:hAnsiTheme="minorHAnsi" w:cs="Calibri"/>
          <w:bCs/>
        </w:rPr>
        <w:t xml:space="preserve"> systémov</w:t>
      </w:r>
      <w:r w:rsidR="00F421E3" w:rsidRPr="004920C6">
        <w:rPr>
          <w:rFonts w:asciiTheme="minorHAnsi" w:hAnsiTheme="minorHAnsi" w:cs="Calibri"/>
          <w:bCs/>
        </w:rPr>
        <w:t>é</w:t>
      </w:r>
      <w:r w:rsidR="00CF1882" w:rsidRPr="004920C6">
        <w:rPr>
          <w:rFonts w:asciiTheme="minorHAnsi" w:hAnsiTheme="minorHAnsi" w:cs="Calibri"/>
          <w:bCs/>
        </w:rPr>
        <w:t xml:space="preserve">. Provedenými opravami </w:t>
      </w:r>
      <w:r w:rsidR="00505D9F" w:rsidRPr="004920C6">
        <w:rPr>
          <w:rFonts w:asciiTheme="minorHAnsi" w:hAnsiTheme="minorHAnsi" w:cs="Calibri"/>
          <w:bCs/>
        </w:rPr>
        <w:t>předešl</w:t>
      </w:r>
      <w:r w:rsidR="007E7CD6" w:rsidRPr="004920C6">
        <w:rPr>
          <w:rFonts w:asciiTheme="minorHAnsi" w:hAnsiTheme="minorHAnsi" w:cs="Calibri"/>
          <w:bCs/>
        </w:rPr>
        <w:t>o MK</w:t>
      </w:r>
      <w:r w:rsidR="00F421E3" w:rsidRPr="004920C6">
        <w:rPr>
          <w:rFonts w:asciiTheme="minorHAnsi" w:hAnsiTheme="minorHAnsi" w:cs="Calibri"/>
          <w:bCs/>
        </w:rPr>
        <w:t xml:space="preserve"> </w:t>
      </w:r>
      <w:r w:rsidR="00505D9F" w:rsidRPr="004920C6">
        <w:rPr>
          <w:rFonts w:asciiTheme="minorHAnsi" w:hAnsiTheme="minorHAnsi" w:cs="Calibri"/>
          <w:bCs/>
        </w:rPr>
        <w:t xml:space="preserve">vzniku </w:t>
      </w:r>
      <w:r w:rsidR="00174CDB" w:rsidRPr="004920C6">
        <w:rPr>
          <w:rFonts w:asciiTheme="minorHAnsi" w:hAnsiTheme="minorHAnsi" w:cs="Calibri"/>
          <w:bCs/>
        </w:rPr>
        <w:t xml:space="preserve">významných </w:t>
      </w:r>
      <w:r w:rsidR="00505D9F" w:rsidRPr="004920C6">
        <w:rPr>
          <w:rFonts w:asciiTheme="minorHAnsi" w:hAnsiTheme="minorHAnsi" w:cs="Calibri"/>
          <w:bCs/>
        </w:rPr>
        <w:t>nesprávností v ÚZ v</w:t>
      </w:r>
      <w:r w:rsidR="00DD74DA" w:rsidRPr="004920C6">
        <w:rPr>
          <w:rFonts w:asciiTheme="minorHAnsi" w:hAnsiTheme="minorHAnsi" w:cs="Calibri"/>
          <w:bCs/>
        </w:rPr>
        <w:t> </w:t>
      </w:r>
      <w:r w:rsidR="00174CDB" w:rsidRPr="004920C6">
        <w:rPr>
          <w:rFonts w:asciiTheme="minorHAnsi" w:hAnsiTheme="minorHAnsi" w:cs="Calibri"/>
          <w:bCs/>
        </w:rPr>
        <w:t>souhrnné</w:t>
      </w:r>
      <w:r w:rsidR="00505D9F" w:rsidRPr="004920C6">
        <w:rPr>
          <w:rFonts w:asciiTheme="minorHAnsi" w:hAnsiTheme="minorHAnsi" w:cs="Calibri"/>
          <w:bCs/>
        </w:rPr>
        <w:t xml:space="preserve"> výši </w:t>
      </w:r>
      <w:r w:rsidR="007E7CD6" w:rsidRPr="004920C6">
        <w:rPr>
          <w:rFonts w:asciiTheme="minorHAnsi" w:eastAsiaTheme="minorHAnsi" w:hAnsiTheme="minorHAnsi" w:cstheme="minorHAnsi"/>
        </w:rPr>
        <w:t>6</w:t>
      </w:r>
      <w:r w:rsidR="00505D9F" w:rsidRPr="004920C6">
        <w:rPr>
          <w:rFonts w:asciiTheme="minorHAnsi" w:eastAsiaTheme="minorHAnsi" w:hAnsiTheme="minorHAnsi" w:cstheme="minorHAnsi"/>
        </w:rPr>
        <w:t>,6 mld. Kč</w:t>
      </w:r>
      <w:r w:rsidR="003B01A5" w:rsidRPr="004920C6">
        <w:rPr>
          <w:rFonts w:asciiTheme="minorHAnsi" w:eastAsiaTheme="minorHAnsi" w:hAnsiTheme="minorHAnsi" w:cstheme="minorHAnsi"/>
        </w:rPr>
        <w:t xml:space="preserve"> (</w:t>
      </w:r>
      <w:r w:rsidR="00505D9F" w:rsidRPr="004920C6">
        <w:rPr>
          <w:rFonts w:asciiTheme="minorHAnsi" w:eastAsiaTheme="minorHAnsi" w:hAnsiTheme="minorHAnsi" w:cstheme="minorHAnsi"/>
        </w:rPr>
        <w:t xml:space="preserve">z toho </w:t>
      </w:r>
      <w:r w:rsidR="00174CDB" w:rsidRPr="004920C6">
        <w:rPr>
          <w:rFonts w:asciiTheme="minorHAnsi" w:eastAsiaTheme="minorHAnsi" w:hAnsiTheme="minorHAnsi" w:cstheme="minorHAnsi"/>
        </w:rPr>
        <w:t>ve výši</w:t>
      </w:r>
      <w:r w:rsidR="007E7CD6" w:rsidRPr="004920C6">
        <w:rPr>
          <w:rFonts w:asciiTheme="minorHAnsi" w:eastAsiaTheme="minorHAnsi" w:hAnsiTheme="minorHAnsi" w:cstheme="minorHAnsi"/>
        </w:rPr>
        <w:t xml:space="preserve"> 6,5</w:t>
      </w:r>
      <w:r w:rsidR="00505D9F" w:rsidRPr="004920C6">
        <w:rPr>
          <w:rFonts w:asciiTheme="minorHAnsi" w:eastAsiaTheme="minorHAnsi" w:hAnsiTheme="minorHAnsi" w:cstheme="minorHAnsi"/>
        </w:rPr>
        <w:t xml:space="preserve"> mld. Kč na podrozvahových účtech</w:t>
      </w:r>
      <w:r w:rsidR="003B01A5" w:rsidRPr="004920C6">
        <w:rPr>
          <w:rFonts w:asciiTheme="minorHAnsi" w:eastAsiaTheme="minorHAnsi" w:hAnsiTheme="minorHAnsi" w:cstheme="minorHAnsi"/>
        </w:rPr>
        <w:t>)</w:t>
      </w:r>
      <w:r w:rsidR="00CF1882" w:rsidRPr="004920C6">
        <w:rPr>
          <w:rFonts w:asciiTheme="minorHAnsi" w:hAnsiTheme="minorHAnsi" w:cs="Calibri"/>
          <w:bCs/>
        </w:rPr>
        <w:t xml:space="preserve">, když </w:t>
      </w:r>
      <w:r w:rsidR="00EB6CBA" w:rsidRPr="004920C6">
        <w:rPr>
          <w:rFonts w:asciiTheme="minorHAnsi" w:hAnsiTheme="minorHAnsi" w:cs="Calibri"/>
          <w:bCs/>
        </w:rPr>
        <w:t>zejména</w:t>
      </w:r>
      <w:r w:rsidR="00B8068A" w:rsidRPr="004920C6">
        <w:rPr>
          <w:rFonts w:asciiTheme="minorHAnsi" w:hAnsiTheme="minorHAnsi" w:cs="Calibri"/>
          <w:bCs/>
        </w:rPr>
        <w:t>:</w:t>
      </w:r>
    </w:p>
    <w:p w14:paraId="3D9242C1" w14:textId="6725F00B" w:rsidR="006B07BA" w:rsidRPr="004920C6" w:rsidRDefault="006B07BA" w:rsidP="001E3F1E">
      <w:pPr>
        <w:pStyle w:val="Odstavecseseznamem"/>
        <w:numPr>
          <w:ilvl w:val="0"/>
          <w:numId w:val="7"/>
        </w:numPr>
        <w:spacing w:after="60"/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 w:rsidRPr="004920C6">
        <w:rPr>
          <w:rFonts w:cs="Calibri"/>
        </w:rPr>
        <w:t xml:space="preserve">nově vykázalo na podrozvahovém účtu 916 – </w:t>
      </w:r>
      <w:r w:rsidRPr="004920C6">
        <w:rPr>
          <w:rFonts w:cs="Calibri"/>
          <w:i/>
          <w:iCs/>
        </w:rPr>
        <w:t>Ostatní krátkodobé podmíněné závazky z transferů</w:t>
      </w:r>
      <w:r w:rsidRPr="004920C6">
        <w:rPr>
          <w:rFonts w:cs="Calibri"/>
        </w:rPr>
        <w:t xml:space="preserve"> podmíněné závazky z titulu vydaných rozhodnutí o poskytnutí dotace u národních dotací v celkové výši 6,4 mld. Kč</w:t>
      </w:r>
      <w:r w:rsidR="002C7776" w:rsidRPr="004920C6">
        <w:rPr>
          <w:rFonts w:cs="Calibri"/>
        </w:rPr>
        <w:t>, a to na základě provedené inventarizace a zejména díky postupům aplikovaným při zjišťování skutečného stavu v</w:t>
      </w:r>
      <w:r w:rsidR="00027C25">
        <w:rPr>
          <w:rFonts w:cs="Calibri"/>
        </w:rPr>
        <w:t xml:space="preserve"> </w:t>
      </w:r>
      <w:r w:rsidR="002C7776" w:rsidRPr="004920C6">
        <w:rPr>
          <w:rFonts w:cs="Calibri"/>
        </w:rPr>
        <w:t>rámci dokladových inventur k 31. prosinci 2024</w:t>
      </w:r>
      <w:r w:rsidRPr="004920C6">
        <w:rPr>
          <w:rFonts w:cs="Calibri"/>
        </w:rPr>
        <w:t>.</w:t>
      </w:r>
      <w:r w:rsidR="002C7776" w:rsidRPr="004920C6">
        <w:rPr>
          <w:rFonts w:cs="Calibri"/>
        </w:rPr>
        <w:t xml:space="preserve"> </w:t>
      </w:r>
      <w:r w:rsidR="00B0735E" w:rsidRPr="004920C6">
        <w:rPr>
          <w:rFonts w:cs="Calibri"/>
        </w:rPr>
        <w:t>Teprve t</w:t>
      </w:r>
      <w:r w:rsidR="002C7776" w:rsidRPr="004920C6">
        <w:rPr>
          <w:rFonts w:cs="Calibri"/>
        </w:rPr>
        <w:t>ím MK</w:t>
      </w:r>
      <w:r w:rsidR="00B0735E" w:rsidRPr="004920C6">
        <w:rPr>
          <w:rFonts w:cs="Calibri"/>
        </w:rPr>
        <w:t xml:space="preserve"> </w:t>
      </w:r>
      <w:r w:rsidR="002B7284">
        <w:rPr>
          <w:rFonts w:cs="Calibri"/>
        </w:rPr>
        <w:t xml:space="preserve">účinně </w:t>
      </w:r>
      <w:r w:rsidR="002C7776" w:rsidRPr="004920C6">
        <w:rPr>
          <w:rFonts w:cs="Calibri"/>
        </w:rPr>
        <w:t xml:space="preserve">realizovalo opatření </w:t>
      </w:r>
      <w:r w:rsidR="00F25539">
        <w:rPr>
          <w:rFonts w:cs="Calibri"/>
        </w:rPr>
        <w:t xml:space="preserve">přijaté na základě </w:t>
      </w:r>
      <w:r w:rsidR="002C7776" w:rsidRPr="004920C6">
        <w:rPr>
          <w:rFonts w:cs="Calibri"/>
        </w:rPr>
        <w:t>kontrolní akce NKÚ č. 19/03</w:t>
      </w:r>
      <w:r w:rsidR="00BC6AAD">
        <w:rPr>
          <w:rFonts w:cs="Calibri"/>
        </w:rPr>
        <w:t>;</w:t>
      </w:r>
    </w:p>
    <w:p w14:paraId="5FB94A00" w14:textId="600C46AA" w:rsidR="00CB6C29" w:rsidRPr="004920C6" w:rsidRDefault="00FE2D68" w:rsidP="001E3F1E">
      <w:pPr>
        <w:pStyle w:val="Odstavecseseznamem"/>
        <w:numPr>
          <w:ilvl w:val="0"/>
          <w:numId w:val="7"/>
        </w:numPr>
        <w:spacing w:after="60"/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 w:rsidRPr="004920C6">
        <w:rPr>
          <w:rFonts w:asciiTheme="minorHAnsi" w:hAnsiTheme="minorHAnsi" w:cs="Calibri"/>
          <w:bCs/>
        </w:rPr>
        <w:t>vytvořilo rozvahovou rezervu ve výši 83,9 mil. Kč z titulu soudního sporu, v němž je MK žalovanou stranou,</w:t>
      </w:r>
      <w:r w:rsidR="002C7776" w:rsidRPr="004920C6">
        <w:rPr>
          <w:rFonts w:asciiTheme="minorHAnsi" w:hAnsiTheme="minorHAnsi" w:cs="Calibri"/>
          <w:bCs/>
        </w:rPr>
        <w:t xml:space="preserve"> přičemž </w:t>
      </w:r>
      <w:r w:rsidR="00F46818" w:rsidRPr="004920C6">
        <w:rPr>
          <w:rFonts w:asciiTheme="minorHAnsi" w:hAnsiTheme="minorHAnsi" w:cs="Calibri"/>
          <w:bCs/>
        </w:rPr>
        <w:t>p</w:t>
      </w:r>
      <w:r w:rsidR="002C7776" w:rsidRPr="004920C6">
        <w:rPr>
          <w:rFonts w:asciiTheme="minorHAnsi" w:hAnsiTheme="minorHAnsi" w:cs="Calibri"/>
          <w:bCs/>
        </w:rPr>
        <w:t>říslušný závazek MK</w:t>
      </w:r>
      <w:r w:rsidRPr="004920C6">
        <w:rPr>
          <w:rFonts w:asciiTheme="minorHAnsi" w:hAnsiTheme="minorHAnsi" w:cs="Calibri"/>
          <w:bCs/>
        </w:rPr>
        <w:t xml:space="preserve"> do</w:t>
      </w:r>
      <w:r w:rsidR="002C7776" w:rsidRPr="004920C6">
        <w:rPr>
          <w:rFonts w:asciiTheme="minorHAnsi" w:hAnsiTheme="minorHAnsi" w:cs="Calibri"/>
          <w:bCs/>
        </w:rPr>
        <w:t xml:space="preserve"> roku 2024</w:t>
      </w:r>
      <w:r w:rsidRPr="004920C6">
        <w:rPr>
          <w:rFonts w:asciiTheme="minorHAnsi" w:hAnsiTheme="minorHAnsi" w:cs="Calibri"/>
          <w:bCs/>
        </w:rPr>
        <w:t xml:space="preserve"> vedlo </w:t>
      </w:r>
      <w:r w:rsidR="002C7776" w:rsidRPr="004920C6">
        <w:rPr>
          <w:rFonts w:asciiTheme="minorHAnsi" w:hAnsiTheme="minorHAnsi" w:cs="Calibri"/>
          <w:bCs/>
        </w:rPr>
        <w:t>jako podmíněný</w:t>
      </w:r>
      <w:r w:rsidR="0073006D" w:rsidRPr="004920C6">
        <w:rPr>
          <w:rFonts w:asciiTheme="minorHAnsi" w:hAnsiTheme="minorHAnsi" w:cs="Calibri"/>
          <w:bCs/>
        </w:rPr>
        <w:t xml:space="preserve"> </w:t>
      </w:r>
      <w:r w:rsidRPr="004920C6">
        <w:rPr>
          <w:rFonts w:asciiTheme="minorHAnsi" w:hAnsiTheme="minorHAnsi" w:cs="Calibri"/>
          <w:bCs/>
        </w:rPr>
        <w:t xml:space="preserve">na podrozvahovém účtu </w:t>
      </w:r>
      <w:r w:rsidRPr="004920C6">
        <w:rPr>
          <w:rFonts w:cs="Calibri"/>
          <w:bCs/>
        </w:rPr>
        <w:t xml:space="preserve">986 – </w:t>
      </w:r>
      <w:r w:rsidRPr="004920C6">
        <w:rPr>
          <w:rFonts w:cs="Calibri"/>
          <w:bCs/>
          <w:i/>
          <w:iCs/>
        </w:rPr>
        <w:t>Dlouhodobé podmíněné závazky ze soudních sporů, správních řízení a jiných řízení</w:t>
      </w:r>
      <w:r w:rsidRPr="005260DD">
        <w:rPr>
          <w:rFonts w:cs="Calibri"/>
          <w:bCs/>
        </w:rPr>
        <w:t>.</w:t>
      </w:r>
      <w:r w:rsidR="002C7776" w:rsidRPr="004920C6">
        <w:rPr>
          <w:rFonts w:cs="Calibri"/>
          <w:bCs/>
          <w:i/>
          <w:iCs/>
        </w:rPr>
        <w:t xml:space="preserve"> </w:t>
      </w:r>
      <w:r w:rsidR="002C7776" w:rsidRPr="004920C6">
        <w:rPr>
          <w:rFonts w:cs="Calibri"/>
          <w:bCs/>
        </w:rPr>
        <w:t>K 31. prosinci 2024</w:t>
      </w:r>
      <w:r w:rsidRPr="004920C6">
        <w:rPr>
          <w:rFonts w:cs="Calibri"/>
          <w:bCs/>
        </w:rPr>
        <w:t xml:space="preserve"> však došlo ke zvýšení pravděpodobnosti rizika, že MK bude hradit předmětnou škodu, což byl opodstatněný důvod pro </w:t>
      </w:r>
      <w:r w:rsidR="002C7776" w:rsidRPr="004920C6">
        <w:rPr>
          <w:rFonts w:cs="Calibri"/>
          <w:bCs/>
        </w:rPr>
        <w:t xml:space="preserve">účtování o </w:t>
      </w:r>
      <w:r w:rsidRPr="004920C6">
        <w:rPr>
          <w:rFonts w:cs="Calibri"/>
          <w:bCs/>
        </w:rPr>
        <w:t>tvorb</w:t>
      </w:r>
      <w:r w:rsidR="002C7776" w:rsidRPr="004920C6">
        <w:rPr>
          <w:rFonts w:cs="Calibri"/>
          <w:bCs/>
        </w:rPr>
        <w:t>ě</w:t>
      </w:r>
      <w:r w:rsidRPr="004920C6">
        <w:rPr>
          <w:rFonts w:cs="Calibri"/>
          <w:bCs/>
        </w:rPr>
        <w:t xml:space="preserve"> rezervy </w:t>
      </w:r>
      <w:r w:rsidR="002C7776" w:rsidRPr="004920C6">
        <w:rPr>
          <w:rFonts w:cs="Calibri"/>
          <w:bCs/>
        </w:rPr>
        <w:t>prostřednictvím účtů 555 – </w:t>
      </w:r>
      <w:r w:rsidR="002C7776" w:rsidRPr="004920C6">
        <w:rPr>
          <w:rFonts w:cs="Calibri"/>
          <w:bCs/>
          <w:i/>
          <w:iCs/>
        </w:rPr>
        <w:t>Tvorba a zúčtování rezerv</w:t>
      </w:r>
      <w:r w:rsidR="002C7776" w:rsidRPr="004920C6">
        <w:rPr>
          <w:rFonts w:cs="Calibri"/>
          <w:bCs/>
        </w:rPr>
        <w:t xml:space="preserve"> a 441 – </w:t>
      </w:r>
      <w:r w:rsidR="002C7776" w:rsidRPr="004920C6">
        <w:rPr>
          <w:rFonts w:cs="Calibri"/>
          <w:bCs/>
          <w:i/>
          <w:iCs/>
        </w:rPr>
        <w:t xml:space="preserve">Rezervy </w:t>
      </w:r>
      <w:r w:rsidR="002C7776" w:rsidRPr="004920C6">
        <w:rPr>
          <w:rFonts w:cs="Calibri"/>
          <w:bCs/>
        </w:rPr>
        <w:t>a její vykázání v</w:t>
      </w:r>
      <w:r w:rsidR="00BC6AAD">
        <w:rPr>
          <w:rFonts w:cs="Calibri"/>
          <w:bCs/>
        </w:rPr>
        <w:t> </w:t>
      </w:r>
      <w:r w:rsidR="002C7776" w:rsidRPr="004920C6">
        <w:rPr>
          <w:rFonts w:cs="Calibri"/>
          <w:bCs/>
        </w:rPr>
        <w:t>ÚZ</w:t>
      </w:r>
      <w:r w:rsidR="00BC6AAD">
        <w:rPr>
          <w:rFonts w:cs="Calibri"/>
          <w:bCs/>
        </w:rPr>
        <w:t>;</w:t>
      </w:r>
    </w:p>
    <w:p w14:paraId="6DEAC788" w14:textId="51FFD993" w:rsidR="0013049C" w:rsidRPr="004920C6" w:rsidRDefault="00CB6C29" w:rsidP="001E3F1E">
      <w:pPr>
        <w:pStyle w:val="Odstavecseseznamem"/>
        <w:numPr>
          <w:ilvl w:val="0"/>
          <w:numId w:val="7"/>
        </w:numPr>
        <w:spacing w:after="60"/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 w:rsidRPr="004920C6">
        <w:rPr>
          <w:rFonts w:cs="Calibri"/>
          <w:bCs/>
        </w:rPr>
        <w:t xml:space="preserve">v případech, </w:t>
      </w:r>
      <w:r w:rsidRPr="004920C6">
        <w:rPr>
          <w:rFonts w:asciiTheme="minorHAnsi" w:hAnsiTheme="minorHAnsi" w:cstheme="minorHAnsi"/>
        </w:rPr>
        <w:t xml:space="preserve">ve kterých bylo MK v pozici konečného příjemce ve smyslu </w:t>
      </w:r>
      <w:r w:rsidR="00BC6AAD">
        <w:rPr>
          <w:rFonts w:asciiTheme="minorHAnsi" w:hAnsiTheme="minorHAnsi" w:cstheme="minorHAnsi"/>
          <w:bCs/>
        </w:rPr>
        <w:t>č</w:t>
      </w:r>
      <w:r w:rsidRPr="004920C6">
        <w:rPr>
          <w:rFonts w:asciiTheme="minorHAnsi" w:hAnsiTheme="minorHAnsi" w:cstheme="minorHAnsi"/>
          <w:bCs/>
        </w:rPr>
        <w:t>eského účetního standardu pro některé vybrané účetní jednotky, které vedou účetnictví podle vyhlášky č. 410/2009 Sb.</w:t>
      </w:r>
      <w:r w:rsidR="002C1BA0" w:rsidRPr="004920C6">
        <w:rPr>
          <w:rFonts w:asciiTheme="minorHAnsi" w:hAnsiTheme="minorHAnsi" w:cstheme="minorHAnsi"/>
          <w:bCs/>
        </w:rPr>
        <w:t>,</w:t>
      </w:r>
      <w:r w:rsidRPr="004920C6">
        <w:rPr>
          <w:rFonts w:asciiTheme="minorHAnsi" w:hAnsiTheme="minorHAnsi" w:cstheme="minorHAnsi"/>
          <w:bCs/>
        </w:rPr>
        <w:t xml:space="preserve"> (dále také „</w:t>
      </w:r>
      <w:r w:rsidRPr="004920C6">
        <w:rPr>
          <w:rFonts w:asciiTheme="minorHAnsi" w:hAnsiTheme="minorHAnsi" w:cstheme="minorHAnsi"/>
        </w:rPr>
        <w:t xml:space="preserve">ČÚS“) č. 703 – </w:t>
      </w:r>
      <w:r w:rsidRPr="004920C6">
        <w:rPr>
          <w:rFonts w:asciiTheme="minorHAnsi" w:hAnsiTheme="minorHAnsi" w:cstheme="minorHAnsi"/>
          <w:i/>
          <w:iCs/>
        </w:rPr>
        <w:t>Transfery</w:t>
      </w:r>
      <w:r w:rsidR="0013049C" w:rsidRPr="004920C6">
        <w:rPr>
          <w:rFonts w:asciiTheme="minorHAnsi" w:hAnsiTheme="minorHAnsi" w:cstheme="minorHAnsi"/>
        </w:rPr>
        <w:t>:</w:t>
      </w:r>
    </w:p>
    <w:p w14:paraId="7F0956CE" w14:textId="25ABF1C3" w:rsidR="0013049C" w:rsidRPr="004920C6" w:rsidRDefault="0071343A" w:rsidP="0013049C">
      <w:pPr>
        <w:pStyle w:val="Odstavecseseznamem"/>
        <w:numPr>
          <w:ilvl w:val="0"/>
          <w:numId w:val="26"/>
        </w:numPr>
        <w:spacing w:after="60"/>
        <w:contextualSpacing w:val="0"/>
        <w:jc w:val="both"/>
        <w:rPr>
          <w:rFonts w:asciiTheme="minorHAnsi" w:hAnsiTheme="minorHAnsi" w:cs="Calibri"/>
          <w:bCs/>
        </w:rPr>
      </w:pPr>
      <w:r w:rsidRPr="004920C6">
        <w:rPr>
          <w:rFonts w:asciiTheme="minorHAnsi" w:hAnsiTheme="minorHAnsi" w:cstheme="minorHAnsi"/>
        </w:rPr>
        <w:t>přeúčtovalo náklady</w:t>
      </w:r>
      <w:r w:rsidR="0013049C" w:rsidRPr="004920C6">
        <w:rPr>
          <w:rFonts w:asciiTheme="minorHAnsi" w:hAnsiTheme="minorHAnsi" w:cstheme="minorHAnsi"/>
        </w:rPr>
        <w:t xml:space="preserve"> </w:t>
      </w:r>
      <w:r w:rsidR="002B3A53" w:rsidRPr="004920C6">
        <w:rPr>
          <w:rFonts w:asciiTheme="minorHAnsi" w:hAnsiTheme="minorHAnsi" w:cstheme="minorHAnsi"/>
        </w:rPr>
        <w:t>v celkové výši 1</w:t>
      </w:r>
      <w:r w:rsidR="00DA3927" w:rsidRPr="004920C6">
        <w:rPr>
          <w:rFonts w:asciiTheme="minorHAnsi" w:hAnsiTheme="minorHAnsi" w:cstheme="minorHAnsi"/>
        </w:rPr>
        <w:t>5,4</w:t>
      </w:r>
      <w:r w:rsidR="002B3A53" w:rsidRPr="004920C6">
        <w:rPr>
          <w:rFonts w:asciiTheme="minorHAnsi" w:hAnsiTheme="minorHAnsi" w:cstheme="minorHAnsi"/>
        </w:rPr>
        <w:t xml:space="preserve"> mil. Kč, </w:t>
      </w:r>
      <w:r w:rsidRPr="004920C6">
        <w:rPr>
          <w:rFonts w:asciiTheme="minorHAnsi" w:hAnsiTheme="minorHAnsi" w:cstheme="minorHAnsi"/>
        </w:rPr>
        <w:t xml:space="preserve">nesprávně vedené na účtech </w:t>
      </w:r>
      <w:r w:rsidR="00D64D5A">
        <w:rPr>
          <w:rFonts w:asciiTheme="minorHAnsi" w:hAnsiTheme="minorHAnsi" w:cstheme="minorHAnsi"/>
        </w:rPr>
        <w:br/>
      </w:r>
      <w:r w:rsidRPr="004920C6">
        <w:rPr>
          <w:rFonts w:asciiTheme="minorHAnsi" w:hAnsiTheme="minorHAnsi" w:cstheme="minorHAnsi"/>
        </w:rPr>
        <w:t xml:space="preserve">571 – </w:t>
      </w:r>
      <w:r w:rsidRPr="004920C6">
        <w:rPr>
          <w:rFonts w:asciiTheme="minorHAnsi" w:hAnsiTheme="minorHAnsi" w:cstheme="minorHAnsi"/>
          <w:i/>
          <w:iCs/>
        </w:rPr>
        <w:t>Náklady vybraných ústředních vládních institucí na transfery</w:t>
      </w:r>
      <w:r w:rsidRPr="004920C6">
        <w:rPr>
          <w:rFonts w:asciiTheme="minorHAnsi" w:hAnsiTheme="minorHAnsi" w:cstheme="minorHAnsi"/>
        </w:rPr>
        <w:t xml:space="preserve"> a 575 – </w:t>
      </w:r>
      <w:r w:rsidRPr="004920C6">
        <w:rPr>
          <w:rFonts w:asciiTheme="minorHAnsi" w:hAnsiTheme="minorHAnsi" w:cstheme="minorHAnsi"/>
          <w:i/>
          <w:iCs/>
        </w:rPr>
        <w:t>Náklady vybraných ústředních vládních institucí na předfinancování transferů</w:t>
      </w:r>
      <w:r w:rsidR="002B3A53" w:rsidRPr="004920C6">
        <w:rPr>
          <w:rFonts w:asciiTheme="minorHAnsi" w:hAnsiTheme="minorHAnsi" w:cstheme="minorHAnsi"/>
        </w:rPr>
        <w:t>,</w:t>
      </w:r>
      <w:r w:rsidR="0069397C" w:rsidRPr="004920C6">
        <w:rPr>
          <w:rFonts w:asciiTheme="minorHAnsi" w:hAnsiTheme="minorHAnsi" w:cstheme="minorHAnsi"/>
          <w:i/>
          <w:iCs/>
        </w:rPr>
        <w:t xml:space="preserve"> </w:t>
      </w:r>
      <w:r w:rsidR="0069397C" w:rsidRPr="004920C6">
        <w:rPr>
          <w:rFonts w:asciiTheme="minorHAnsi" w:hAnsiTheme="minorHAnsi" w:cstheme="minorHAnsi"/>
        </w:rPr>
        <w:t>na odpovídající</w:t>
      </w:r>
      <w:r w:rsidR="002B3A53" w:rsidRPr="004920C6">
        <w:rPr>
          <w:rFonts w:asciiTheme="minorHAnsi" w:hAnsiTheme="minorHAnsi" w:cstheme="minorHAnsi"/>
        </w:rPr>
        <w:t xml:space="preserve"> </w:t>
      </w:r>
      <w:r w:rsidR="0069397C" w:rsidRPr="004920C6">
        <w:rPr>
          <w:rFonts w:asciiTheme="minorHAnsi" w:hAnsiTheme="minorHAnsi" w:cstheme="minorHAnsi"/>
        </w:rPr>
        <w:t>účty</w:t>
      </w:r>
      <w:r w:rsidR="002B3A53" w:rsidRPr="004920C6">
        <w:rPr>
          <w:rFonts w:asciiTheme="minorHAnsi" w:hAnsiTheme="minorHAnsi" w:cstheme="minorHAnsi"/>
        </w:rPr>
        <w:t xml:space="preserve"> pro</w:t>
      </w:r>
      <w:r w:rsidR="00F46818" w:rsidRPr="004920C6">
        <w:rPr>
          <w:rFonts w:asciiTheme="minorHAnsi" w:hAnsiTheme="minorHAnsi" w:cstheme="minorHAnsi"/>
        </w:rPr>
        <w:t xml:space="preserve"> zachycení</w:t>
      </w:r>
      <w:r w:rsidR="002B3A53" w:rsidRPr="004920C6">
        <w:rPr>
          <w:rFonts w:asciiTheme="minorHAnsi" w:hAnsiTheme="minorHAnsi" w:cstheme="minorHAnsi"/>
        </w:rPr>
        <w:t xml:space="preserve"> netransferových nákladů</w:t>
      </w:r>
      <w:r w:rsidR="0013049C" w:rsidRPr="004920C6">
        <w:rPr>
          <w:rFonts w:asciiTheme="minorHAnsi" w:hAnsiTheme="minorHAnsi" w:cstheme="minorHAnsi"/>
          <w:i/>
          <w:iCs/>
        </w:rPr>
        <w:t xml:space="preserve">. </w:t>
      </w:r>
      <w:r w:rsidR="0013049C" w:rsidRPr="004920C6">
        <w:rPr>
          <w:rFonts w:asciiTheme="minorHAnsi" w:hAnsiTheme="minorHAnsi" w:cstheme="minorHAnsi"/>
        </w:rPr>
        <w:t>MK v</w:t>
      </w:r>
      <w:r w:rsidR="00027C25">
        <w:rPr>
          <w:rFonts w:asciiTheme="minorHAnsi" w:hAnsiTheme="minorHAnsi" w:cstheme="minorHAnsi"/>
        </w:rPr>
        <w:t xml:space="preserve"> </w:t>
      </w:r>
      <w:r w:rsidR="0013049C" w:rsidRPr="004920C6">
        <w:rPr>
          <w:rFonts w:asciiTheme="minorHAnsi" w:hAnsiTheme="minorHAnsi" w:cstheme="minorHAnsi"/>
        </w:rPr>
        <w:t xml:space="preserve">uvedených případech hradilo </w:t>
      </w:r>
      <w:r w:rsidR="0065198B" w:rsidRPr="004920C6">
        <w:rPr>
          <w:rFonts w:asciiTheme="minorHAnsi" w:hAnsiTheme="minorHAnsi" w:cstheme="minorHAnsi"/>
        </w:rPr>
        <w:t xml:space="preserve">závazky z titulu mezd nebo </w:t>
      </w:r>
      <w:r w:rsidR="0013049C" w:rsidRPr="004920C6">
        <w:rPr>
          <w:rFonts w:asciiTheme="minorHAnsi" w:hAnsiTheme="minorHAnsi" w:cstheme="minorHAnsi"/>
        </w:rPr>
        <w:t>dodavatelsko-odběratelského vztahu</w:t>
      </w:r>
      <w:r w:rsidR="0065198B" w:rsidRPr="004920C6">
        <w:rPr>
          <w:rFonts w:asciiTheme="minorHAnsi" w:hAnsiTheme="minorHAnsi" w:cstheme="minorHAnsi"/>
        </w:rPr>
        <w:t xml:space="preserve"> </w:t>
      </w:r>
      <w:r w:rsidR="0013049C" w:rsidRPr="004920C6">
        <w:rPr>
          <w:rFonts w:asciiTheme="minorHAnsi" w:hAnsiTheme="minorHAnsi" w:cstheme="minorHAnsi"/>
        </w:rPr>
        <w:t>v rámci vlastních projektů a následně prostředky refundovalo ze zahraničních zdrojů.</w:t>
      </w:r>
      <w:r w:rsidR="0069397C" w:rsidRPr="004920C6">
        <w:rPr>
          <w:rFonts w:asciiTheme="minorHAnsi" w:hAnsiTheme="minorHAnsi" w:cstheme="minorHAnsi"/>
        </w:rPr>
        <w:t xml:space="preserve"> Použití výše uvedených účtů je typické pro poskytovatele transferu ve smyslu ČÚS č. 703, kterým MK v daných případech nebylo</w:t>
      </w:r>
      <w:r w:rsidR="00F25539">
        <w:rPr>
          <w:rFonts w:asciiTheme="minorHAnsi" w:hAnsiTheme="minorHAnsi" w:cstheme="minorHAnsi"/>
        </w:rPr>
        <w:t>;</w:t>
      </w:r>
    </w:p>
    <w:p w14:paraId="59515A82" w14:textId="1BEACC7A" w:rsidR="00CE75F8" w:rsidRPr="004920C6" w:rsidRDefault="0013049C" w:rsidP="0013049C">
      <w:pPr>
        <w:pStyle w:val="Odstavecseseznamem"/>
        <w:numPr>
          <w:ilvl w:val="0"/>
          <w:numId w:val="26"/>
        </w:numPr>
        <w:spacing w:after="60"/>
        <w:contextualSpacing w:val="0"/>
        <w:jc w:val="both"/>
        <w:rPr>
          <w:rFonts w:asciiTheme="minorHAnsi" w:hAnsiTheme="minorHAnsi" w:cs="Calibri"/>
          <w:bCs/>
        </w:rPr>
      </w:pPr>
      <w:r w:rsidRPr="004920C6">
        <w:rPr>
          <w:rFonts w:asciiTheme="minorHAnsi" w:hAnsiTheme="minorHAnsi" w:cstheme="minorHAnsi"/>
        </w:rPr>
        <w:t>přeúčtovalo výnosy</w:t>
      </w:r>
      <w:r w:rsidR="0069397C" w:rsidRPr="004920C6">
        <w:rPr>
          <w:rFonts w:asciiTheme="minorHAnsi" w:hAnsiTheme="minorHAnsi" w:cstheme="minorHAnsi"/>
        </w:rPr>
        <w:t xml:space="preserve"> z titulu refundovaných prostředků </w:t>
      </w:r>
      <w:r w:rsidR="002B3A53" w:rsidRPr="004920C6">
        <w:rPr>
          <w:rFonts w:asciiTheme="minorHAnsi" w:hAnsiTheme="minorHAnsi" w:cstheme="minorHAnsi"/>
        </w:rPr>
        <w:t xml:space="preserve">v celkové výši </w:t>
      </w:r>
      <w:r w:rsidR="00DA3927" w:rsidRPr="004920C6">
        <w:rPr>
          <w:rFonts w:asciiTheme="minorHAnsi" w:hAnsiTheme="minorHAnsi" w:cstheme="minorHAnsi"/>
        </w:rPr>
        <w:t>33,5</w:t>
      </w:r>
      <w:r w:rsidR="002B3A53" w:rsidRPr="004920C6">
        <w:rPr>
          <w:rFonts w:asciiTheme="minorHAnsi" w:hAnsiTheme="minorHAnsi" w:cstheme="minorHAnsi"/>
        </w:rPr>
        <w:t xml:space="preserve"> mil. Kč, </w:t>
      </w:r>
      <w:r w:rsidR="0069397C" w:rsidRPr="004920C6">
        <w:rPr>
          <w:rFonts w:asciiTheme="minorHAnsi" w:hAnsiTheme="minorHAnsi" w:cstheme="minorHAnsi"/>
        </w:rPr>
        <w:t xml:space="preserve">nesprávně vedené na účtu 675 – </w:t>
      </w:r>
      <w:r w:rsidR="0069397C" w:rsidRPr="004920C6">
        <w:rPr>
          <w:rFonts w:asciiTheme="minorHAnsi" w:hAnsiTheme="minorHAnsi" w:cstheme="minorHAnsi"/>
          <w:i/>
          <w:iCs/>
        </w:rPr>
        <w:t>Výnosy vybraných ústředních vládních institucí z předfinancování transferů</w:t>
      </w:r>
      <w:r w:rsidR="002B3A53" w:rsidRPr="004920C6">
        <w:rPr>
          <w:rFonts w:asciiTheme="minorHAnsi" w:hAnsiTheme="minorHAnsi" w:cstheme="minorHAnsi"/>
        </w:rPr>
        <w:t xml:space="preserve">, na odpovídající účty 671 – </w:t>
      </w:r>
      <w:r w:rsidR="002B3A53" w:rsidRPr="004920C6">
        <w:rPr>
          <w:rFonts w:asciiTheme="minorHAnsi" w:hAnsiTheme="minorHAnsi" w:cstheme="minorHAnsi"/>
          <w:i/>
          <w:iCs/>
        </w:rPr>
        <w:t>Výnosy vybraných ústředních vládních institucí z transferů</w:t>
      </w:r>
      <w:r w:rsidR="002B3A53" w:rsidRPr="004920C6">
        <w:rPr>
          <w:rFonts w:asciiTheme="minorHAnsi" w:hAnsiTheme="minorHAnsi" w:cstheme="minorHAnsi"/>
        </w:rPr>
        <w:t xml:space="preserve"> (v případě refundace neinvestičních výdajů) nebo 401 – </w:t>
      </w:r>
      <w:r w:rsidR="002B3A53" w:rsidRPr="004920C6">
        <w:rPr>
          <w:rFonts w:asciiTheme="minorHAnsi" w:hAnsiTheme="minorHAnsi" w:cstheme="minorHAnsi"/>
          <w:i/>
          <w:iCs/>
        </w:rPr>
        <w:t xml:space="preserve">Jmění účetní jednotky </w:t>
      </w:r>
      <w:r w:rsidR="002B3A53" w:rsidRPr="004920C6">
        <w:rPr>
          <w:rFonts w:asciiTheme="minorHAnsi" w:hAnsiTheme="minorHAnsi" w:cstheme="minorHAnsi"/>
        </w:rPr>
        <w:t xml:space="preserve">(v případě refundace investičních výdajů). </w:t>
      </w:r>
      <w:r w:rsidR="00B0735E" w:rsidRPr="004920C6">
        <w:rPr>
          <w:rFonts w:asciiTheme="minorHAnsi" w:hAnsiTheme="minorHAnsi" w:cstheme="minorHAnsi"/>
        </w:rPr>
        <w:t xml:space="preserve">Teprve </w:t>
      </w:r>
      <w:r w:rsidR="00B0735E" w:rsidRPr="004920C6">
        <w:rPr>
          <w:rFonts w:cs="Calibri"/>
        </w:rPr>
        <w:t>t</w:t>
      </w:r>
      <w:r w:rsidR="002B3A53" w:rsidRPr="004920C6">
        <w:rPr>
          <w:rFonts w:cs="Calibri"/>
        </w:rPr>
        <w:t>ím MK</w:t>
      </w:r>
      <w:r w:rsidR="00B0735E" w:rsidRPr="004920C6">
        <w:rPr>
          <w:rFonts w:cs="Calibri"/>
        </w:rPr>
        <w:t xml:space="preserve"> </w:t>
      </w:r>
      <w:r w:rsidR="007F15A6" w:rsidRPr="004920C6">
        <w:rPr>
          <w:rFonts w:cs="Calibri"/>
        </w:rPr>
        <w:t xml:space="preserve">účinně </w:t>
      </w:r>
      <w:r w:rsidR="002B3A53" w:rsidRPr="004920C6">
        <w:rPr>
          <w:rFonts w:cs="Calibri"/>
        </w:rPr>
        <w:t xml:space="preserve">realizovalo </w:t>
      </w:r>
      <w:r w:rsidR="002B3A53" w:rsidRPr="00F25539">
        <w:rPr>
          <w:rFonts w:cs="Calibri"/>
        </w:rPr>
        <w:t xml:space="preserve">opatření </w:t>
      </w:r>
      <w:r w:rsidR="00F25539" w:rsidRPr="00F25539">
        <w:rPr>
          <w:rFonts w:cs="Calibri"/>
        </w:rPr>
        <w:t xml:space="preserve">přijaté na základě </w:t>
      </w:r>
      <w:r w:rsidR="002B3A53" w:rsidRPr="004920C6">
        <w:rPr>
          <w:rFonts w:cs="Calibri"/>
        </w:rPr>
        <w:t>kontrolní akce NKÚ č.</w:t>
      </w:r>
      <w:r w:rsidR="00DA3927" w:rsidRPr="004920C6">
        <w:rPr>
          <w:rFonts w:cs="Calibri"/>
        </w:rPr>
        <w:t> </w:t>
      </w:r>
      <w:r w:rsidR="002B3A53" w:rsidRPr="004920C6">
        <w:rPr>
          <w:rFonts w:cs="Calibri"/>
        </w:rPr>
        <w:t>19/03</w:t>
      </w:r>
      <w:r w:rsidR="00F25539">
        <w:rPr>
          <w:rFonts w:cs="Calibri"/>
        </w:rPr>
        <w:t>;</w:t>
      </w:r>
    </w:p>
    <w:p w14:paraId="08DE8014" w14:textId="5586719D" w:rsidR="00035A43" w:rsidRPr="004920C6" w:rsidRDefault="00F46818" w:rsidP="00374846">
      <w:pPr>
        <w:pStyle w:val="Odstavecseseznamem"/>
        <w:numPr>
          <w:ilvl w:val="0"/>
          <w:numId w:val="7"/>
        </w:numPr>
        <w:spacing w:after="240"/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 w:rsidRPr="004920C6">
        <w:rPr>
          <w:rFonts w:asciiTheme="minorHAnsi" w:hAnsiTheme="minorHAnsi" w:cs="Calibri"/>
          <w:bCs/>
        </w:rPr>
        <w:t>odúčtovalo případy v</w:t>
      </w:r>
      <w:r w:rsidR="00F25539">
        <w:rPr>
          <w:rFonts w:asciiTheme="minorHAnsi" w:hAnsiTheme="minorHAnsi" w:cs="Calibri"/>
          <w:bCs/>
        </w:rPr>
        <w:t xml:space="preserve"> </w:t>
      </w:r>
      <w:r w:rsidRPr="004920C6">
        <w:rPr>
          <w:rFonts w:asciiTheme="minorHAnsi" w:hAnsiTheme="minorHAnsi" w:cs="Calibri"/>
          <w:bCs/>
        </w:rPr>
        <w:t xml:space="preserve">celkové výši 40,7 mil. Kč, </w:t>
      </w:r>
      <w:r w:rsidR="00F25539">
        <w:rPr>
          <w:rFonts w:asciiTheme="minorHAnsi" w:hAnsiTheme="minorHAnsi" w:cs="Calibri"/>
          <w:bCs/>
        </w:rPr>
        <w:t xml:space="preserve">jež </w:t>
      </w:r>
      <w:r w:rsidRPr="004920C6">
        <w:rPr>
          <w:rFonts w:asciiTheme="minorHAnsi" w:hAnsiTheme="minorHAnsi" w:cs="Calibri"/>
          <w:bCs/>
        </w:rPr>
        <w:t>obsahově nenáleže</w:t>
      </w:r>
      <w:r w:rsidR="00F25539">
        <w:rPr>
          <w:rFonts w:asciiTheme="minorHAnsi" w:hAnsiTheme="minorHAnsi" w:cs="Calibri"/>
          <w:bCs/>
        </w:rPr>
        <w:t>ly</w:t>
      </w:r>
      <w:r w:rsidRPr="004920C6">
        <w:rPr>
          <w:rFonts w:asciiTheme="minorHAnsi" w:hAnsiTheme="minorHAnsi" w:cs="Calibri"/>
          <w:bCs/>
        </w:rPr>
        <w:t xml:space="preserve"> na podrozvahový účet </w:t>
      </w:r>
      <w:r w:rsidRPr="004920C6">
        <w:rPr>
          <w:rFonts w:cs="Calibri"/>
          <w:bCs/>
        </w:rPr>
        <w:t xml:space="preserve">954 – </w:t>
      </w:r>
      <w:r w:rsidRPr="004920C6">
        <w:rPr>
          <w:rFonts w:cs="Calibri"/>
          <w:bCs/>
          <w:i/>
          <w:iCs/>
        </w:rPr>
        <w:t>Dlouhodobé podmíněné závazky ze zahraničních transferů</w:t>
      </w:r>
      <w:r w:rsidRPr="004920C6">
        <w:rPr>
          <w:rFonts w:cs="Calibri"/>
          <w:bCs/>
        </w:rPr>
        <w:t>, a</w:t>
      </w:r>
      <w:r w:rsidR="00F25539">
        <w:rPr>
          <w:rFonts w:cs="Calibri"/>
          <w:bCs/>
        </w:rPr>
        <w:t> </w:t>
      </w:r>
      <w:r w:rsidR="0065198B" w:rsidRPr="004920C6">
        <w:rPr>
          <w:rFonts w:cs="Calibri"/>
          <w:bCs/>
        </w:rPr>
        <w:t xml:space="preserve">naopak doúčtovalo skutečnosti v celkové výši 2,8 mil. Kč, které měly být k 31. prosinci 2024 vykázány </w:t>
      </w:r>
      <w:r w:rsidRPr="004920C6">
        <w:rPr>
          <w:rFonts w:cs="Calibri"/>
          <w:bCs/>
        </w:rPr>
        <w:t>na podrozvahov</w:t>
      </w:r>
      <w:r w:rsidR="0065198B" w:rsidRPr="004920C6">
        <w:rPr>
          <w:rFonts w:cs="Calibri"/>
          <w:bCs/>
        </w:rPr>
        <w:t>ých</w:t>
      </w:r>
      <w:r w:rsidRPr="004920C6">
        <w:rPr>
          <w:rFonts w:cs="Calibri"/>
          <w:bCs/>
        </w:rPr>
        <w:t xml:space="preserve"> úč</w:t>
      </w:r>
      <w:r w:rsidR="0065198B" w:rsidRPr="004920C6">
        <w:rPr>
          <w:rFonts w:cs="Calibri"/>
          <w:bCs/>
        </w:rPr>
        <w:t>tech</w:t>
      </w:r>
      <w:r w:rsidRPr="004920C6">
        <w:rPr>
          <w:rFonts w:cs="Calibri"/>
          <w:bCs/>
        </w:rPr>
        <w:t xml:space="preserve"> </w:t>
      </w:r>
      <w:r w:rsidR="003051D0" w:rsidRPr="004920C6">
        <w:rPr>
          <w:rFonts w:cs="Calibri"/>
          <w:bCs/>
        </w:rPr>
        <w:t xml:space="preserve">934 – </w:t>
      </w:r>
      <w:r w:rsidR="003051D0" w:rsidRPr="004920C6">
        <w:rPr>
          <w:rFonts w:cs="Calibri"/>
          <w:bCs/>
          <w:i/>
          <w:iCs/>
        </w:rPr>
        <w:t xml:space="preserve">Dlouhodobé podmíněné pohledávky </w:t>
      </w:r>
      <w:r w:rsidR="003051D0" w:rsidRPr="004920C6">
        <w:rPr>
          <w:rFonts w:cs="Calibri"/>
          <w:bCs/>
          <w:i/>
          <w:iCs/>
        </w:rPr>
        <w:lastRenderedPageBreak/>
        <w:t>z jiných smluv</w:t>
      </w:r>
      <w:r w:rsidR="003051D0" w:rsidRPr="004920C6">
        <w:rPr>
          <w:rFonts w:cs="Calibri"/>
          <w:bCs/>
        </w:rPr>
        <w:t xml:space="preserve"> a 974 – </w:t>
      </w:r>
      <w:r w:rsidR="003051D0" w:rsidRPr="004920C6">
        <w:rPr>
          <w:rFonts w:cs="Calibri"/>
          <w:bCs/>
          <w:i/>
          <w:iCs/>
        </w:rPr>
        <w:t>Dlouhodobé podmíněné závazky z jiných smluv</w:t>
      </w:r>
      <w:r w:rsidR="003051D0" w:rsidRPr="004920C6">
        <w:rPr>
          <w:rFonts w:cs="Calibri"/>
          <w:bCs/>
        </w:rPr>
        <w:t xml:space="preserve"> </w:t>
      </w:r>
      <w:r w:rsidR="003051D0" w:rsidRPr="004920C6">
        <w:rPr>
          <w:rFonts w:asciiTheme="minorHAnsi" w:hAnsiTheme="minorHAnsi" w:cstheme="minorHAnsi"/>
        </w:rPr>
        <w:t>(jednalo se o ocenění u</w:t>
      </w:r>
      <w:r w:rsidR="0065198B" w:rsidRPr="004920C6">
        <w:rPr>
          <w:rFonts w:asciiTheme="minorHAnsi" w:hAnsiTheme="minorHAnsi" w:cstheme="minorHAnsi"/>
        </w:rPr>
        <w:t> </w:t>
      </w:r>
      <w:r w:rsidR="003051D0" w:rsidRPr="004920C6">
        <w:rPr>
          <w:rFonts w:asciiTheme="minorHAnsi" w:hAnsiTheme="minorHAnsi" w:cstheme="minorHAnsi"/>
        </w:rPr>
        <w:t>dlouhodobých smluv v celé výši dle smlouvy).</w:t>
      </w:r>
    </w:p>
    <w:p w14:paraId="126D3850" w14:textId="42CE3BA7" w:rsidR="00B8223B" w:rsidRPr="004920C6" w:rsidRDefault="00B8223B" w:rsidP="001918BB">
      <w:pPr>
        <w:jc w:val="both"/>
        <w:rPr>
          <w:rFonts w:asciiTheme="minorHAnsi" w:hAnsiTheme="minorHAnsi" w:cs="Calibri"/>
          <w:bCs/>
        </w:rPr>
      </w:pPr>
      <w:r w:rsidRPr="004920C6">
        <w:rPr>
          <w:rFonts w:asciiTheme="minorHAnsi" w:hAnsiTheme="minorHAnsi" w:cs="Calibri"/>
          <w:bCs/>
        </w:rPr>
        <w:t>O</w:t>
      </w:r>
      <w:r w:rsidR="00F25539">
        <w:rPr>
          <w:rFonts w:asciiTheme="minorHAnsi" w:hAnsiTheme="minorHAnsi" w:cs="Calibri"/>
          <w:bCs/>
        </w:rPr>
        <w:t xml:space="preserve"> </w:t>
      </w:r>
      <w:r w:rsidRPr="004920C6">
        <w:rPr>
          <w:rFonts w:asciiTheme="minorHAnsi" w:hAnsiTheme="minorHAnsi" w:cs="Calibri"/>
          <w:bCs/>
        </w:rPr>
        <w:t xml:space="preserve">provedených účetních opravách, které měly významný dopad na údaje vykázané </w:t>
      </w:r>
      <w:r w:rsidR="00F25539">
        <w:rPr>
          <w:rFonts w:asciiTheme="minorHAnsi" w:hAnsiTheme="minorHAnsi" w:cs="Calibri"/>
          <w:bCs/>
        </w:rPr>
        <w:br/>
      </w:r>
      <w:r w:rsidRPr="004920C6">
        <w:rPr>
          <w:rFonts w:asciiTheme="minorHAnsi" w:hAnsiTheme="minorHAnsi" w:cs="Calibri"/>
          <w:bCs/>
        </w:rPr>
        <w:t>k</w:t>
      </w:r>
      <w:r w:rsidR="00F25539">
        <w:rPr>
          <w:rFonts w:asciiTheme="minorHAnsi" w:hAnsiTheme="minorHAnsi" w:cs="Calibri"/>
          <w:bCs/>
        </w:rPr>
        <w:t xml:space="preserve"> </w:t>
      </w:r>
      <w:r w:rsidRPr="004920C6">
        <w:rPr>
          <w:rFonts w:asciiTheme="minorHAnsi" w:hAnsiTheme="minorHAnsi" w:cs="Calibri"/>
          <w:bCs/>
        </w:rPr>
        <w:t>31.</w:t>
      </w:r>
      <w:r w:rsidR="00F25539">
        <w:rPr>
          <w:rFonts w:asciiTheme="minorHAnsi" w:hAnsiTheme="minorHAnsi" w:cs="Calibri"/>
          <w:bCs/>
        </w:rPr>
        <w:t xml:space="preserve"> </w:t>
      </w:r>
      <w:r w:rsidRPr="004920C6">
        <w:rPr>
          <w:rFonts w:asciiTheme="minorHAnsi" w:hAnsiTheme="minorHAnsi" w:cs="Calibri"/>
          <w:bCs/>
        </w:rPr>
        <w:t xml:space="preserve">prosinci 2024, informovalo </w:t>
      </w:r>
      <w:r w:rsidR="00F25539">
        <w:rPr>
          <w:rFonts w:asciiTheme="minorHAnsi" w:hAnsiTheme="minorHAnsi" w:cs="Calibri"/>
          <w:bCs/>
        </w:rPr>
        <w:t xml:space="preserve">Ministerstvo kultury </w:t>
      </w:r>
      <w:r w:rsidRPr="004920C6">
        <w:rPr>
          <w:rFonts w:asciiTheme="minorHAnsi" w:hAnsiTheme="minorHAnsi" w:cs="Calibri"/>
          <w:bCs/>
        </w:rPr>
        <w:t>rovněž v</w:t>
      </w:r>
      <w:r w:rsidR="00F25539">
        <w:rPr>
          <w:rFonts w:asciiTheme="minorHAnsi" w:hAnsiTheme="minorHAnsi" w:cs="Calibri"/>
          <w:bCs/>
        </w:rPr>
        <w:t xml:space="preserve"> </w:t>
      </w:r>
      <w:r w:rsidRPr="004920C6">
        <w:rPr>
          <w:rFonts w:asciiTheme="minorHAnsi" w:hAnsiTheme="minorHAnsi" w:cs="Calibri"/>
          <w:bCs/>
        </w:rPr>
        <w:t>příloze ÚZ tak, aby byla zajištěna srovnatelnost údajů ÚZ s údaji za předchozí období.</w:t>
      </w:r>
    </w:p>
    <w:p w14:paraId="5AE43C55" w14:textId="7CD35652" w:rsidR="00450C19" w:rsidRPr="004920C6" w:rsidRDefault="007E7CD6" w:rsidP="001918BB">
      <w:pPr>
        <w:jc w:val="both"/>
        <w:rPr>
          <w:rFonts w:asciiTheme="minorHAnsi" w:hAnsiTheme="minorHAnsi" w:cs="Calibri"/>
          <w:bCs/>
        </w:rPr>
      </w:pPr>
      <w:r w:rsidRPr="004920C6">
        <w:rPr>
          <w:rFonts w:asciiTheme="minorHAnsi" w:hAnsiTheme="minorHAnsi" w:cs="Calibri"/>
          <w:bCs/>
        </w:rPr>
        <w:t>MK</w:t>
      </w:r>
      <w:r w:rsidR="00F421E3" w:rsidRPr="004920C6">
        <w:rPr>
          <w:rFonts w:asciiTheme="minorHAnsi" w:hAnsiTheme="minorHAnsi" w:cs="Calibri"/>
          <w:bCs/>
        </w:rPr>
        <w:t xml:space="preserve"> k</w:t>
      </w:r>
      <w:r w:rsidR="00AD384D" w:rsidRPr="004920C6">
        <w:rPr>
          <w:rFonts w:asciiTheme="minorHAnsi" w:hAnsiTheme="minorHAnsi" w:cs="Calibri"/>
          <w:bCs/>
        </w:rPr>
        <w:t xml:space="preserve">romě výše uvedených oprav </w:t>
      </w:r>
      <w:r w:rsidR="00174CDB" w:rsidRPr="004920C6">
        <w:rPr>
          <w:rFonts w:asciiTheme="minorHAnsi" w:hAnsiTheme="minorHAnsi" w:cs="Calibri"/>
          <w:bCs/>
        </w:rPr>
        <w:t>přijal</w:t>
      </w:r>
      <w:r w:rsidRPr="004920C6">
        <w:rPr>
          <w:rFonts w:asciiTheme="minorHAnsi" w:hAnsiTheme="minorHAnsi" w:cs="Calibri"/>
          <w:bCs/>
        </w:rPr>
        <w:t>o</w:t>
      </w:r>
      <w:r w:rsidR="001918BB" w:rsidRPr="004920C6">
        <w:rPr>
          <w:rFonts w:asciiTheme="minorHAnsi" w:hAnsiTheme="minorHAnsi" w:cs="Calibri"/>
          <w:bCs/>
        </w:rPr>
        <w:t xml:space="preserve"> </w:t>
      </w:r>
      <w:r w:rsidR="00AD384D" w:rsidRPr="004920C6">
        <w:rPr>
          <w:rFonts w:asciiTheme="minorHAnsi" w:hAnsiTheme="minorHAnsi" w:cs="Calibri"/>
          <w:bCs/>
        </w:rPr>
        <w:t xml:space="preserve">i </w:t>
      </w:r>
      <w:r w:rsidR="00174CDB" w:rsidRPr="004920C6">
        <w:rPr>
          <w:rFonts w:asciiTheme="minorHAnsi" w:hAnsiTheme="minorHAnsi" w:cs="Calibri"/>
          <w:bCs/>
        </w:rPr>
        <w:t>odpovídající systémová opatření ve vedení účetnictví a výkaznictví</w:t>
      </w:r>
      <w:r w:rsidR="00AD384D" w:rsidRPr="004920C6">
        <w:rPr>
          <w:rFonts w:asciiTheme="minorHAnsi" w:hAnsiTheme="minorHAnsi" w:cs="Calibri"/>
          <w:bCs/>
        </w:rPr>
        <w:t xml:space="preserve">. </w:t>
      </w:r>
      <w:r w:rsidR="003615F5" w:rsidRPr="004920C6">
        <w:rPr>
          <w:rFonts w:asciiTheme="minorHAnsi" w:hAnsiTheme="minorHAnsi" w:cs="Calibri"/>
          <w:bCs/>
        </w:rPr>
        <w:t>Za zásadní ve vztahu k ÚZ považuje NKÚ opatření, které MK provedlo v oblasti dokladových inventur</w:t>
      </w:r>
      <w:r w:rsidR="001C0832" w:rsidRPr="004920C6">
        <w:rPr>
          <w:rFonts w:asciiTheme="minorHAnsi" w:hAnsiTheme="minorHAnsi" w:cs="Calibri"/>
          <w:bCs/>
        </w:rPr>
        <w:t xml:space="preserve"> za rok 2024</w:t>
      </w:r>
      <w:r w:rsidR="003615F5" w:rsidRPr="004920C6">
        <w:rPr>
          <w:rFonts w:asciiTheme="minorHAnsi" w:hAnsiTheme="minorHAnsi" w:cs="Calibri"/>
          <w:bCs/>
        </w:rPr>
        <w:t xml:space="preserve">. </w:t>
      </w:r>
      <w:r w:rsidR="001C0832" w:rsidRPr="004920C6">
        <w:rPr>
          <w:rFonts w:asciiTheme="minorHAnsi" w:hAnsiTheme="minorHAnsi" w:cs="Calibri"/>
          <w:bCs/>
        </w:rPr>
        <w:t xml:space="preserve">MK na základě kontroly </w:t>
      </w:r>
      <w:r w:rsidR="00D06243">
        <w:rPr>
          <w:rFonts w:asciiTheme="minorHAnsi" w:hAnsiTheme="minorHAnsi" w:cs="Calibri"/>
          <w:bCs/>
        </w:rPr>
        <w:t xml:space="preserve">NKÚ </w:t>
      </w:r>
      <w:r w:rsidR="001C0832" w:rsidRPr="004920C6">
        <w:rPr>
          <w:bCs/>
          <w:iCs/>
        </w:rPr>
        <w:t xml:space="preserve">zlepšilo postup provedení dokladových inventur. Zároveň </w:t>
      </w:r>
      <w:r w:rsidR="00B8223B" w:rsidRPr="004920C6">
        <w:rPr>
          <w:bCs/>
          <w:iCs/>
        </w:rPr>
        <w:t xml:space="preserve">zavedlo </w:t>
      </w:r>
      <w:r w:rsidR="001C0832" w:rsidRPr="004920C6">
        <w:rPr>
          <w:bCs/>
          <w:iCs/>
        </w:rPr>
        <w:t>(ze strany oddělení účetnictví směrem k věcným útvarům)</w:t>
      </w:r>
      <w:r w:rsidR="00B8223B" w:rsidRPr="004920C6">
        <w:rPr>
          <w:bCs/>
          <w:iCs/>
        </w:rPr>
        <w:t xml:space="preserve"> </w:t>
      </w:r>
      <w:r w:rsidR="001C0832" w:rsidRPr="004920C6">
        <w:rPr>
          <w:bCs/>
          <w:iCs/>
        </w:rPr>
        <w:t>správn</w:t>
      </w:r>
      <w:r w:rsidR="00B8223B" w:rsidRPr="004920C6">
        <w:rPr>
          <w:bCs/>
          <w:iCs/>
        </w:rPr>
        <w:t>é</w:t>
      </w:r>
      <w:r w:rsidR="001C0832" w:rsidRPr="004920C6">
        <w:rPr>
          <w:bCs/>
          <w:iCs/>
        </w:rPr>
        <w:t xml:space="preserve"> postup</w:t>
      </w:r>
      <w:r w:rsidR="00B8223B" w:rsidRPr="004920C6">
        <w:rPr>
          <w:bCs/>
          <w:iCs/>
        </w:rPr>
        <w:t>y</w:t>
      </w:r>
      <w:r w:rsidR="001C0832" w:rsidRPr="004920C6">
        <w:rPr>
          <w:bCs/>
          <w:iCs/>
        </w:rPr>
        <w:t xml:space="preserve"> při </w:t>
      </w:r>
      <w:r w:rsidR="00F52D61">
        <w:rPr>
          <w:bCs/>
          <w:iCs/>
        </w:rPr>
        <w:t>zjišťování skutečného stavu inventarizovaných položek</w:t>
      </w:r>
      <w:r w:rsidR="001C0832" w:rsidRPr="004920C6">
        <w:rPr>
          <w:bCs/>
          <w:iCs/>
        </w:rPr>
        <w:t>.</w:t>
      </w:r>
      <w:r w:rsidR="00CB6C29" w:rsidRPr="004920C6">
        <w:rPr>
          <w:bCs/>
          <w:iCs/>
        </w:rPr>
        <w:t xml:space="preserve"> </w:t>
      </w:r>
      <w:r w:rsidR="007F15A6" w:rsidRPr="004920C6">
        <w:rPr>
          <w:bCs/>
          <w:iCs/>
        </w:rPr>
        <w:t>Teprve t</w:t>
      </w:r>
      <w:r w:rsidR="00CB6C29" w:rsidRPr="004920C6">
        <w:rPr>
          <w:bCs/>
          <w:iCs/>
        </w:rPr>
        <w:t xml:space="preserve">ím </w:t>
      </w:r>
      <w:r w:rsidR="00044CCB">
        <w:rPr>
          <w:bCs/>
          <w:iCs/>
        </w:rPr>
        <w:t xml:space="preserve">MK účinně </w:t>
      </w:r>
      <w:r w:rsidR="00CB6C29" w:rsidRPr="004920C6">
        <w:rPr>
          <w:bCs/>
          <w:iCs/>
        </w:rPr>
        <w:t>realiz</w:t>
      </w:r>
      <w:r w:rsidR="00044CCB">
        <w:rPr>
          <w:bCs/>
          <w:iCs/>
        </w:rPr>
        <w:t>ovalo</w:t>
      </w:r>
      <w:r w:rsidR="00CB6C29" w:rsidRPr="004920C6">
        <w:rPr>
          <w:bCs/>
          <w:iCs/>
        </w:rPr>
        <w:t xml:space="preserve"> opatření </w:t>
      </w:r>
      <w:r w:rsidR="00F25539" w:rsidRPr="00F25539">
        <w:rPr>
          <w:bCs/>
          <w:iCs/>
        </w:rPr>
        <w:t xml:space="preserve">přijaté na základě </w:t>
      </w:r>
      <w:r w:rsidR="00CB6C29" w:rsidRPr="004920C6">
        <w:rPr>
          <w:bCs/>
          <w:iCs/>
        </w:rPr>
        <w:t>kontrolní akce NKÚ č. 19/03.</w:t>
      </w:r>
      <w:r w:rsidR="001C0832" w:rsidRPr="004920C6">
        <w:rPr>
          <w:bCs/>
          <w:iCs/>
        </w:rPr>
        <w:t xml:space="preserve"> </w:t>
      </w:r>
    </w:p>
    <w:p w14:paraId="00EB6425" w14:textId="68769811" w:rsidR="00450C19" w:rsidRPr="004920C6" w:rsidRDefault="00041820" w:rsidP="001918BB">
      <w:pPr>
        <w:keepNext/>
        <w:jc w:val="both"/>
        <w:rPr>
          <w:rFonts w:asciiTheme="minorHAnsi" w:hAnsiTheme="minorHAnsi" w:cs="Calibri"/>
          <w:bCs/>
        </w:rPr>
      </w:pPr>
      <w:r w:rsidRPr="004920C6">
        <w:rPr>
          <w:rFonts w:asciiTheme="minorHAnsi" w:hAnsiTheme="minorHAnsi" w:cs="Calibri"/>
          <w:bCs/>
        </w:rPr>
        <w:t>K</w:t>
      </w:r>
      <w:r w:rsidR="00450C19" w:rsidRPr="004920C6">
        <w:rPr>
          <w:rFonts w:asciiTheme="minorHAnsi" w:hAnsiTheme="minorHAnsi" w:cs="Calibri"/>
          <w:bCs/>
        </w:rPr>
        <w:t xml:space="preserve">ontrolou </w:t>
      </w:r>
      <w:r w:rsidRPr="004920C6">
        <w:rPr>
          <w:rFonts w:asciiTheme="minorHAnsi" w:hAnsiTheme="minorHAnsi" w:cs="Calibri"/>
          <w:bCs/>
        </w:rPr>
        <w:t>byly zjištěny</w:t>
      </w:r>
      <w:r w:rsidR="004018F0" w:rsidRPr="004920C6">
        <w:rPr>
          <w:rFonts w:asciiTheme="minorHAnsi" w:hAnsiTheme="minorHAnsi" w:cs="Calibri"/>
          <w:bCs/>
        </w:rPr>
        <w:t xml:space="preserve"> i některé</w:t>
      </w:r>
      <w:r w:rsidRPr="004920C6">
        <w:rPr>
          <w:rFonts w:asciiTheme="minorHAnsi" w:hAnsiTheme="minorHAnsi" w:cs="Calibri"/>
          <w:bCs/>
        </w:rPr>
        <w:t xml:space="preserve"> další </w:t>
      </w:r>
      <w:r w:rsidR="00450C19" w:rsidRPr="004920C6">
        <w:rPr>
          <w:rFonts w:asciiTheme="minorHAnsi" w:hAnsiTheme="minorHAnsi" w:cs="Calibri"/>
          <w:bCs/>
        </w:rPr>
        <w:t>nedostatky.</w:t>
      </w:r>
      <w:r w:rsidR="001918BB" w:rsidRPr="004920C6">
        <w:rPr>
          <w:rFonts w:asciiTheme="minorHAnsi" w:hAnsiTheme="minorHAnsi" w:cs="Calibri"/>
          <w:bCs/>
        </w:rPr>
        <w:t xml:space="preserve"> U</w:t>
      </w:r>
      <w:r w:rsidRPr="004920C6">
        <w:rPr>
          <w:rFonts w:asciiTheme="minorHAnsi" w:hAnsiTheme="minorHAnsi" w:cs="Calibri"/>
          <w:bCs/>
        </w:rPr>
        <w:t> </w:t>
      </w:r>
      <w:r w:rsidR="001918BB" w:rsidRPr="004920C6">
        <w:rPr>
          <w:rFonts w:asciiTheme="minorHAnsi" w:hAnsiTheme="minorHAnsi" w:cs="Calibri"/>
          <w:bCs/>
        </w:rPr>
        <w:t>nich</w:t>
      </w:r>
      <w:r w:rsidR="0065198B" w:rsidRPr="004920C6">
        <w:rPr>
          <w:rFonts w:asciiTheme="minorHAnsi" w:hAnsiTheme="minorHAnsi" w:cs="Calibri"/>
          <w:bCs/>
        </w:rPr>
        <w:t xml:space="preserve"> MK</w:t>
      </w:r>
      <w:r w:rsidR="00AD76D7" w:rsidRPr="004920C6">
        <w:rPr>
          <w:rFonts w:asciiTheme="minorHAnsi" w:hAnsiTheme="minorHAnsi" w:cs="Calibri"/>
          <w:bCs/>
        </w:rPr>
        <w:t xml:space="preserve"> </w:t>
      </w:r>
      <w:r w:rsidR="001A21A3" w:rsidRPr="004920C6">
        <w:rPr>
          <w:rFonts w:asciiTheme="minorHAnsi" w:hAnsiTheme="minorHAnsi" w:cs="Calibri"/>
          <w:bCs/>
        </w:rPr>
        <w:t xml:space="preserve">rovněž </w:t>
      </w:r>
      <w:r w:rsidR="00AD76D7" w:rsidRPr="004920C6">
        <w:rPr>
          <w:rFonts w:asciiTheme="minorHAnsi" w:hAnsiTheme="minorHAnsi" w:cs="Calibri"/>
          <w:bCs/>
        </w:rPr>
        <w:t>provedl</w:t>
      </w:r>
      <w:r w:rsidR="0065198B" w:rsidRPr="004920C6">
        <w:rPr>
          <w:rFonts w:asciiTheme="minorHAnsi" w:hAnsiTheme="minorHAnsi" w:cs="Calibri"/>
          <w:bCs/>
        </w:rPr>
        <w:t>o</w:t>
      </w:r>
      <w:r w:rsidR="00374846" w:rsidRPr="004920C6">
        <w:rPr>
          <w:rFonts w:asciiTheme="minorHAnsi" w:hAnsiTheme="minorHAnsi" w:cs="Calibri"/>
          <w:bCs/>
        </w:rPr>
        <w:t xml:space="preserve"> nápravná opatření</w:t>
      </w:r>
      <w:r w:rsidR="004219D0" w:rsidRPr="004920C6">
        <w:rPr>
          <w:rFonts w:asciiTheme="minorHAnsi" w:hAnsiTheme="minorHAnsi" w:cs="Calibri"/>
          <w:bCs/>
        </w:rPr>
        <w:t xml:space="preserve"> ještě v průběhu kontroly</w:t>
      </w:r>
      <w:r w:rsidR="001A21A3" w:rsidRPr="004920C6">
        <w:rPr>
          <w:rFonts w:asciiTheme="minorHAnsi" w:hAnsiTheme="minorHAnsi" w:cs="Calibri"/>
          <w:bCs/>
        </w:rPr>
        <w:t xml:space="preserve"> NKÚ</w:t>
      </w:r>
      <w:r w:rsidR="004219D0" w:rsidRPr="004920C6">
        <w:rPr>
          <w:rFonts w:asciiTheme="minorHAnsi" w:hAnsiTheme="minorHAnsi" w:cs="Calibri"/>
          <w:bCs/>
        </w:rPr>
        <w:t xml:space="preserve">, </w:t>
      </w:r>
      <w:r w:rsidR="00AD384D" w:rsidRPr="004920C6">
        <w:rPr>
          <w:rFonts w:asciiTheme="minorHAnsi" w:hAnsiTheme="minorHAnsi" w:cs="Calibri"/>
          <w:bCs/>
        </w:rPr>
        <w:t>zejména</w:t>
      </w:r>
      <w:r w:rsidR="004219D0" w:rsidRPr="004920C6">
        <w:rPr>
          <w:rFonts w:asciiTheme="minorHAnsi" w:hAnsiTheme="minorHAnsi" w:cs="Calibri"/>
          <w:bCs/>
        </w:rPr>
        <w:t>:</w:t>
      </w:r>
    </w:p>
    <w:p w14:paraId="1D4A6DD2" w14:textId="5D42549F" w:rsidR="002C1BA0" w:rsidRPr="004920C6" w:rsidRDefault="002C1BA0" w:rsidP="002C1BA0">
      <w:pPr>
        <w:pStyle w:val="Odstavecseseznamem"/>
        <w:keepNext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 w:rsidRPr="004920C6">
        <w:rPr>
          <w:rFonts w:asciiTheme="minorHAnsi" w:hAnsiTheme="minorHAnsi" w:cs="Calibri"/>
          <w:bCs/>
        </w:rPr>
        <w:t>v oblasti odvodu z odpisů pro některé PO zavedl</w:t>
      </w:r>
      <w:r w:rsidR="005E2772" w:rsidRPr="004920C6">
        <w:rPr>
          <w:rFonts w:asciiTheme="minorHAnsi" w:hAnsiTheme="minorHAnsi" w:cs="Calibri"/>
          <w:bCs/>
        </w:rPr>
        <w:t>o</w:t>
      </w:r>
      <w:r w:rsidRPr="004920C6">
        <w:rPr>
          <w:rFonts w:asciiTheme="minorHAnsi" w:hAnsiTheme="minorHAnsi" w:cs="Calibri"/>
          <w:bCs/>
        </w:rPr>
        <w:t xml:space="preserve"> pro účtování o podrozvahových pohledávkách </w:t>
      </w:r>
      <w:r w:rsidR="005E2772" w:rsidRPr="004920C6">
        <w:rPr>
          <w:rFonts w:asciiTheme="minorHAnsi" w:hAnsiTheme="minorHAnsi" w:cs="Calibri"/>
          <w:bCs/>
        </w:rPr>
        <w:t xml:space="preserve">odpovídající podrozvahový účet </w:t>
      </w:r>
      <w:r w:rsidR="005E2772" w:rsidRPr="004920C6">
        <w:rPr>
          <w:rFonts w:asciiTheme="minorHAnsi" w:hAnsiTheme="minorHAnsi" w:cstheme="minorHAnsi"/>
        </w:rPr>
        <w:t xml:space="preserve">991 – </w:t>
      </w:r>
      <w:r w:rsidR="005E2772" w:rsidRPr="004920C6">
        <w:rPr>
          <w:rFonts w:asciiTheme="minorHAnsi" w:hAnsiTheme="minorHAnsi" w:cstheme="minorHAnsi"/>
          <w:i/>
          <w:iCs/>
        </w:rPr>
        <w:t>Ostatní krátkodobá podmíněná aktiva</w:t>
      </w:r>
      <w:r w:rsidR="005E2772" w:rsidRPr="004920C6">
        <w:rPr>
          <w:rFonts w:asciiTheme="minorHAnsi" w:hAnsiTheme="minorHAnsi" w:cstheme="minorHAnsi"/>
        </w:rPr>
        <w:t xml:space="preserve"> (namísto podrozvahového účtu 915 – </w:t>
      </w:r>
      <w:r w:rsidR="005E2772" w:rsidRPr="004920C6">
        <w:rPr>
          <w:rFonts w:asciiTheme="minorHAnsi" w:hAnsiTheme="minorHAnsi" w:cstheme="minorHAnsi"/>
          <w:i/>
          <w:iCs/>
        </w:rPr>
        <w:t>Ostatní krátkodobé podmíněné pohledávky z transferů</w:t>
      </w:r>
      <w:r w:rsidR="005E2772" w:rsidRPr="004920C6">
        <w:rPr>
          <w:rFonts w:asciiTheme="minorHAnsi" w:hAnsiTheme="minorHAnsi" w:cstheme="minorHAnsi"/>
        </w:rPr>
        <w:t xml:space="preserve">, který do roku 2024 používalo); </w:t>
      </w:r>
    </w:p>
    <w:p w14:paraId="616D9C0F" w14:textId="566C8C2D" w:rsidR="00936534" w:rsidRPr="004920C6" w:rsidRDefault="009B3B05" w:rsidP="002C1BA0">
      <w:pPr>
        <w:pStyle w:val="Odstavecseseznamem"/>
        <w:keepNext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 w:rsidRPr="004920C6">
        <w:rPr>
          <w:rFonts w:asciiTheme="minorHAnsi" w:hAnsiTheme="minorHAnsi" w:cs="Calibri"/>
          <w:bCs/>
        </w:rPr>
        <w:t xml:space="preserve">do přílohy ÚZ </w:t>
      </w:r>
      <w:r w:rsidR="00AD384D" w:rsidRPr="004920C6">
        <w:rPr>
          <w:rFonts w:asciiTheme="minorHAnsi" w:hAnsiTheme="minorHAnsi" w:cs="Calibri"/>
          <w:bCs/>
        </w:rPr>
        <w:t>doplnil</w:t>
      </w:r>
      <w:r w:rsidR="002C1BA0" w:rsidRPr="004920C6">
        <w:rPr>
          <w:rFonts w:asciiTheme="minorHAnsi" w:hAnsiTheme="minorHAnsi" w:cs="Calibri"/>
          <w:bCs/>
        </w:rPr>
        <w:t>o</w:t>
      </w:r>
      <w:r w:rsidR="00AD384D" w:rsidRPr="004920C6">
        <w:rPr>
          <w:rFonts w:asciiTheme="minorHAnsi" w:hAnsiTheme="minorHAnsi" w:cs="Calibri"/>
          <w:bCs/>
        </w:rPr>
        <w:t xml:space="preserve"> </w:t>
      </w:r>
      <w:r w:rsidR="008470A0" w:rsidRPr="004920C6">
        <w:rPr>
          <w:rFonts w:asciiTheme="minorHAnsi" w:hAnsiTheme="minorHAnsi" w:cs="Calibri"/>
          <w:bCs/>
        </w:rPr>
        <w:t xml:space="preserve">chybějící </w:t>
      </w:r>
      <w:r w:rsidR="00AD384D" w:rsidRPr="004920C6">
        <w:rPr>
          <w:rFonts w:asciiTheme="minorHAnsi" w:hAnsiTheme="minorHAnsi" w:cs="Calibri"/>
          <w:bCs/>
        </w:rPr>
        <w:t xml:space="preserve">informace o </w:t>
      </w:r>
      <w:r w:rsidR="002C1BA0" w:rsidRPr="004920C6">
        <w:rPr>
          <w:rFonts w:asciiTheme="minorHAnsi" w:hAnsiTheme="minorHAnsi" w:cs="Calibri"/>
          <w:bCs/>
        </w:rPr>
        <w:t xml:space="preserve">některých </w:t>
      </w:r>
      <w:r w:rsidR="008470A0" w:rsidRPr="004920C6">
        <w:rPr>
          <w:rFonts w:asciiTheme="minorHAnsi" w:hAnsiTheme="minorHAnsi" w:cs="Calibri"/>
          <w:bCs/>
        </w:rPr>
        <w:t xml:space="preserve">použitých </w:t>
      </w:r>
      <w:r w:rsidR="00AD384D" w:rsidRPr="004920C6">
        <w:rPr>
          <w:rFonts w:asciiTheme="minorHAnsi" w:hAnsiTheme="minorHAnsi" w:cs="Calibri"/>
          <w:bCs/>
        </w:rPr>
        <w:t>účetních metodách</w:t>
      </w:r>
      <w:r w:rsidR="002C1BA0" w:rsidRPr="004920C6">
        <w:rPr>
          <w:rFonts w:asciiTheme="minorHAnsi" w:hAnsiTheme="minorHAnsi" w:cs="Calibri"/>
          <w:bCs/>
        </w:rPr>
        <w:t xml:space="preserve">, o významných účtech rozvahy a výkazu zisku a ztráty </w:t>
      </w:r>
      <w:r w:rsidR="00AD384D" w:rsidRPr="004920C6">
        <w:rPr>
          <w:rFonts w:asciiTheme="minorHAnsi" w:hAnsiTheme="minorHAnsi" w:cs="Calibri"/>
          <w:bCs/>
        </w:rPr>
        <w:t>a o</w:t>
      </w:r>
      <w:r w:rsidR="002C1BA0" w:rsidRPr="004920C6">
        <w:rPr>
          <w:rFonts w:asciiTheme="minorHAnsi" w:hAnsiTheme="minorHAnsi" w:cs="Calibri"/>
          <w:bCs/>
        </w:rPr>
        <w:t xml:space="preserve"> nově zavedených podrozvahových účtech, na které před rokem 2024 neúčtovalo</w:t>
      </w:r>
      <w:r w:rsidR="00C50DE1" w:rsidRPr="004920C6">
        <w:rPr>
          <w:rFonts w:asciiTheme="minorHAnsi" w:hAnsiTheme="minorHAnsi" w:cstheme="minorHAnsi"/>
        </w:rPr>
        <w:t>;</w:t>
      </w:r>
    </w:p>
    <w:p w14:paraId="07DFB725" w14:textId="65E19336" w:rsidR="000D387A" w:rsidRPr="004920C6" w:rsidRDefault="005E2772" w:rsidP="00C50DE1">
      <w:pPr>
        <w:pStyle w:val="Odstavecseseznamem"/>
        <w:keepNext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 w:rsidRPr="004920C6">
        <w:rPr>
          <w:rFonts w:asciiTheme="minorHAnsi" w:hAnsiTheme="minorHAnsi" w:cs="Calibri"/>
          <w:bCs/>
        </w:rPr>
        <w:t>připravovalo pro účetní období roku 2025 doplnění existujících</w:t>
      </w:r>
      <w:r w:rsidR="004219D0" w:rsidRPr="004920C6">
        <w:rPr>
          <w:rFonts w:asciiTheme="minorHAnsi" w:hAnsiTheme="minorHAnsi" w:cs="Calibri"/>
          <w:bCs/>
        </w:rPr>
        <w:t xml:space="preserve"> </w:t>
      </w:r>
      <w:r w:rsidR="000D387A" w:rsidRPr="004920C6">
        <w:rPr>
          <w:rFonts w:asciiTheme="minorHAnsi" w:hAnsiTheme="minorHAnsi" w:cs="Calibri"/>
          <w:bCs/>
        </w:rPr>
        <w:t>vnitřní</w:t>
      </w:r>
      <w:r w:rsidR="004219D0" w:rsidRPr="004920C6">
        <w:rPr>
          <w:rFonts w:asciiTheme="minorHAnsi" w:hAnsiTheme="minorHAnsi" w:cs="Calibri"/>
          <w:bCs/>
        </w:rPr>
        <w:t xml:space="preserve">ch </w:t>
      </w:r>
      <w:r w:rsidR="000D387A" w:rsidRPr="004920C6">
        <w:rPr>
          <w:rFonts w:asciiTheme="minorHAnsi" w:hAnsiTheme="minorHAnsi" w:cs="Calibri"/>
          <w:bCs/>
        </w:rPr>
        <w:t>předpis</w:t>
      </w:r>
      <w:r w:rsidR="004219D0" w:rsidRPr="004920C6">
        <w:rPr>
          <w:rFonts w:asciiTheme="minorHAnsi" w:hAnsiTheme="minorHAnsi" w:cs="Calibri"/>
          <w:bCs/>
        </w:rPr>
        <w:t>ů</w:t>
      </w:r>
      <w:r w:rsidRPr="004920C6">
        <w:rPr>
          <w:rFonts w:asciiTheme="minorHAnsi" w:hAnsiTheme="minorHAnsi" w:cs="Calibri"/>
          <w:bCs/>
        </w:rPr>
        <w:t xml:space="preserve"> </w:t>
      </w:r>
      <w:r w:rsidR="00835003">
        <w:rPr>
          <w:rFonts w:asciiTheme="minorHAnsi" w:hAnsiTheme="minorHAnsi" w:cs="Calibri"/>
          <w:bCs/>
        </w:rPr>
        <w:br/>
      </w:r>
      <w:r w:rsidRPr="004920C6">
        <w:rPr>
          <w:rFonts w:asciiTheme="minorHAnsi" w:hAnsiTheme="minorHAnsi" w:cs="Calibri"/>
          <w:bCs/>
        </w:rPr>
        <w:t>o</w:t>
      </w:r>
      <w:r w:rsidR="00835003">
        <w:rPr>
          <w:rFonts w:asciiTheme="minorHAnsi" w:hAnsiTheme="minorHAnsi" w:cs="Calibri"/>
          <w:bCs/>
        </w:rPr>
        <w:t xml:space="preserve"> </w:t>
      </w:r>
      <w:r w:rsidRPr="004920C6">
        <w:rPr>
          <w:rFonts w:asciiTheme="minorHAnsi" w:hAnsiTheme="minorHAnsi" w:cs="Calibri"/>
          <w:bCs/>
        </w:rPr>
        <w:t xml:space="preserve">úpravu některých </w:t>
      </w:r>
      <w:r w:rsidR="00856293" w:rsidRPr="004920C6">
        <w:rPr>
          <w:rFonts w:asciiTheme="minorHAnsi" w:hAnsiTheme="minorHAnsi" w:cs="Calibri"/>
          <w:bCs/>
        </w:rPr>
        <w:t>účetní</w:t>
      </w:r>
      <w:r w:rsidR="004219D0" w:rsidRPr="004920C6">
        <w:rPr>
          <w:rFonts w:asciiTheme="minorHAnsi" w:hAnsiTheme="minorHAnsi" w:cs="Calibri"/>
          <w:bCs/>
        </w:rPr>
        <w:t>ch</w:t>
      </w:r>
      <w:r w:rsidR="00856293" w:rsidRPr="004920C6">
        <w:rPr>
          <w:rFonts w:asciiTheme="minorHAnsi" w:hAnsiTheme="minorHAnsi" w:cs="Calibri"/>
          <w:bCs/>
        </w:rPr>
        <w:t xml:space="preserve"> metod,</w:t>
      </w:r>
      <w:r w:rsidR="004219D0" w:rsidRPr="004920C6">
        <w:rPr>
          <w:rFonts w:asciiTheme="minorHAnsi" w:hAnsiTheme="minorHAnsi" w:cs="Calibri"/>
          <w:bCs/>
        </w:rPr>
        <w:t xml:space="preserve"> </w:t>
      </w:r>
      <w:r w:rsidR="00856293" w:rsidRPr="004920C6">
        <w:rPr>
          <w:rFonts w:asciiTheme="minorHAnsi" w:hAnsiTheme="minorHAnsi" w:cs="Calibri"/>
          <w:bCs/>
        </w:rPr>
        <w:t>jejichž existenci vyžaduj</w:t>
      </w:r>
      <w:r w:rsidR="004219D0" w:rsidRPr="004920C6">
        <w:rPr>
          <w:rFonts w:asciiTheme="minorHAnsi" w:hAnsiTheme="minorHAnsi" w:cs="Calibri"/>
          <w:bCs/>
        </w:rPr>
        <w:t xml:space="preserve">í právní předpisy pro </w:t>
      </w:r>
      <w:r w:rsidRPr="004920C6">
        <w:rPr>
          <w:rFonts w:asciiTheme="minorHAnsi" w:hAnsiTheme="minorHAnsi" w:cs="Calibri"/>
          <w:bCs/>
        </w:rPr>
        <w:t xml:space="preserve">vedení </w:t>
      </w:r>
      <w:r w:rsidR="004219D0" w:rsidRPr="004920C6">
        <w:rPr>
          <w:rFonts w:asciiTheme="minorHAnsi" w:hAnsiTheme="minorHAnsi" w:cs="Calibri"/>
          <w:bCs/>
        </w:rPr>
        <w:t>účetnictví</w:t>
      </w:r>
      <w:r w:rsidR="005460A3" w:rsidRPr="004920C6">
        <w:rPr>
          <w:rFonts w:asciiTheme="minorHAnsi" w:hAnsiTheme="minorHAnsi" w:cs="Calibri"/>
          <w:bCs/>
        </w:rPr>
        <w:t>;</w:t>
      </w:r>
    </w:p>
    <w:p w14:paraId="43D3D157" w14:textId="77777777" w:rsidR="00705B2E" w:rsidRPr="004920C6" w:rsidRDefault="00705B2E" w:rsidP="005E2772">
      <w:pPr>
        <w:pStyle w:val="Odstavecseseznamem"/>
        <w:keepNext/>
        <w:numPr>
          <w:ilvl w:val="0"/>
          <w:numId w:val="8"/>
        </w:numPr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 w:rsidRPr="004920C6">
        <w:rPr>
          <w:rFonts w:asciiTheme="minorHAnsi" w:hAnsiTheme="minorHAnsi" w:cs="Calibri"/>
          <w:bCs/>
        </w:rPr>
        <w:t>zahájilo</w:t>
      </w:r>
      <w:r w:rsidRPr="004920C6">
        <w:rPr>
          <w:rFonts w:ascii="Calibri-Italic" w:eastAsia="Calibri" w:hAnsi="Calibri-Italic" w:cs="Calibri-Italic"/>
          <w:lang w:eastAsia="cs-CZ"/>
        </w:rPr>
        <w:t xml:space="preserve"> revizi a vyřazení značného množství zastaralého majetku z evidence MK, s dokončením v účetním období roku 2025;</w:t>
      </w:r>
    </w:p>
    <w:p w14:paraId="07C63E0C" w14:textId="6762210B" w:rsidR="00AD384D" w:rsidRPr="004920C6" w:rsidRDefault="00705B2E" w:rsidP="005E2772">
      <w:pPr>
        <w:pStyle w:val="Odstavecseseznamem"/>
        <w:keepNext/>
        <w:numPr>
          <w:ilvl w:val="0"/>
          <w:numId w:val="8"/>
        </w:numPr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 w:rsidRPr="004920C6">
        <w:rPr>
          <w:rFonts w:ascii="Calibri-Italic" w:eastAsia="Calibri" w:hAnsi="Calibri-Italic" w:cs="Calibri-Italic"/>
          <w:lang w:eastAsia="cs-CZ"/>
        </w:rPr>
        <w:t xml:space="preserve">připravovalo pro účetní období roku 2025 revizi (a případné přeřazení) vybraných majetkových položek zařazených na účtech 013 – </w:t>
      </w:r>
      <w:r w:rsidRPr="004920C6">
        <w:rPr>
          <w:rFonts w:ascii="Calibri-Italic" w:eastAsia="Calibri" w:hAnsi="Calibri-Italic" w:cs="Calibri-Italic"/>
          <w:i/>
          <w:iCs/>
          <w:lang w:eastAsia="cs-CZ"/>
        </w:rPr>
        <w:t>Software</w:t>
      </w:r>
      <w:r w:rsidRPr="004920C6">
        <w:rPr>
          <w:rFonts w:ascii="Calibri-Italic" w:eastAsia="Calibri" w:hAnsi="Calibri-Italic" w:cs="Calibri-Italic"/>
          <w:lang w:eastAsia="cs-CZ"/>
        </w:rPr>
        <w:t xml:space="preserve"> a 022 </w:t>
      </w:r>
      <w:r w:rsidRPr="004920C6">
        <w:rPr>
          <w:rFonts w:cs="Calibri"/>
        </w:rPr>
        <w:t xml:space="preserve">– </w:t>
      </w:r>
      <w:r w:rsidRPr="004920C6">
        <w:rPr>
          <w:rFonts w:asciiTheme="minorHAnsi" w:hAnsiTheme="minorHAnsi" w:cstheme="minorHAnsi"/>
          <w:i/>
          <w:iCs/>
        </w:rPr>
        <w:t>Samostatné hmotné movité věci a soubory hmotných movitých věcí</w:t>
      </w:r>
      <w:r w:rsidRPr="004920C6">
        <w:rPr>
          <w:rFonts w:ascii="Calibri-Italic" w:eastAsia="Calibri" w:hAnsi="Calibri-Italic" w:cs="Calibri-Italic"/>
          <w:lang w:eastAsia="cs-CZ"/>
        </w:rPr>
        <w:t xml:space="preserve"> a v</w:t>
      </w:r>
      <w:r w:rsidR="00F25539">
        <w:rPr>
          <w:rFonts w:ascii="Calibri-Italic" w:eastAsia="Calibri" w:hAnsi="Calibri-Italic" w:cs="Calibri-Italic"/>
          <w:lang w:eastAsia="cs-CZ"/>
        </w:rPr>
        <w:t xml:space="preserve"> </w:t>
      </w:r>
      <w:r w:rsidRPr="004920C6">
        <w:rPr>
          <w:rFonts w:ascii="Calibri-Italic" w:eastAsia="Calibri" w:hAnsi="Calibri-Italic" w:cs="Calibri-Italic"/>
          <w:lang w:eastAsia="cs-CZ"/>
        </w:rPr>
        <w:t xml:space="preserve">té souvislosti zavedení účtů </w:t>
      </w:r>
      <w:r w:rsidR="00F25539">
        <w:rPr>
          <w:rFonts w:ascii="Calibri-Italic" w:eastAsia="Calibri" w:hAnsi="Calibri-Italic" w:cs="Calibri-Italic"/>
          <w:lang w:eastAsia="cs-CZ"/>
        </w:rPr>
        <w:br/>
      </w:r>
      <w:r w:rsidRPr="004920C6">
        <w:rPr>
          <w:rFonts w:ascii="Calibri-Italic" w:eastAsia="Calibri" w:hAnsi="Calibri-Italic" w:cs="Calibri-Italic"/>
          <w:lang w:eastAsia="cs-CZ"/>
        </w:rPr>
        <w:t xml:space="preserve">014 – </w:t>
      </w:r>
      <w:r w:rsidRPr="004920C6">
        <w:rPr>
          <w:rFonts w:ascii="Calibri-Italic" w:eastAsia="Calibri" w:hAnsi="Calibri-Italic" w:cs="Calibri-Italic"/>
          <w:i/>
          <w:iCs/>
          <w:lang w:eastAsia="cs-CZ"/>
        </w:rPr>
        <w:t>Ocenitelná práva</w:t>
      </w:r>
      <w:r w:rsidRPr="004920C6">
        <w:rPr>
          <w:rFonts w:ascii="Calibri-Italic" w:eastAsia="Calibri" w:hAnsi="Calibri-Italic" w:cs="Calibri-Italic"/>
          <w:lang w:eastAsia="cs-CZ"/>
        </w:rPr>
        <w:t xml:space="preserve"> a 019 – </w:t>
      </w:r>
      <w:r w:rsidRPr="004920C6">
        <w:rPr>
          <w:rFonts w:ascii="Calibri-Italic" w:eastAsia="Calibri" w:hAnsi="Calibri-Italic" w:cs="Calibri-Italic"/>
          <w:i/>
          <w:iCs/>
          <w:lang w:eastAsia="cs-CZ"/>
        </w:rPr>
        <w:t>Ostatní dlouhodobý nehmotný majetek</w:t>
      </w:r>
      <w:r w:rsidRPr="004920C6">
        <w:rPr>
          <w:rFonts w:ascii="Calibri-Italic" w:eastAsia="Calibri" w:hAnsi="Calibri-Italic" w:cs="Calibri-Italic"/>
          <w:lang w:eastAsia="cs-CZ"/>
        </w:rPr>
        <w:t xml:space="preserve"> do </w:t>
      </w:r>
      <w:r w:rsidR="00F25539">
        <w:rPr>
          <w:rFonts w:ascii="Calibri-Italic" w:eastAsia="Calibri" w:hAnsi="Calibri-Italic" w:cs="Calibri-Italic"/>
          <w:lang w:eastAsia="cs-CZ"/>
        </w:rPr>
        <w:br/>
      </w:r>
      <w:r w:rsidRPr="004920C6">
        <w:rPr>
          <w:rFonts w:ascii="Calibri-Italic" w:eastAsia="Calibri" w:hAnsi="Calibri-Italic" w:cs="Calibri-Italic"/>
          <w:lang w:eastAsia="cs-CZ"/>
        </w:rPr>
        <w:t>účtového rozvrhu MK a novelizaci vnitřního předpisu, který upravuje hospodaření s majetkem MK.</w:t>
      </w:r>
    </w:p>
    <w:p w14:paraId="5EB7A790" w14:textId="12F0876D" w:rsidR="00450C19" w:rsidRPr="004920C6" w:rsidRDefault="00450C19" w:rsidP="00977687">
      <w:pPr>
        <w:spacing w:before="120" w:after="240"/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  <w:spacing w:val="-2"/>
        </w:rPr>
        <w:t>V</w:t>
      </w:r>
      <w:r w:rsidR="008470A0" w:rsidRPr="004920C6">
        <w:rPr>
          <w:rFonts w:asciiTheme="minorHAnsi" w:hAnsiTheme="minorHAnsi" w:cstheme="minorHAnsi"/>
          <w:spacing w:val="-2"/>
        </w:rPr>
        <w:t xml:space="preserve"> </w:t>
      </w:r>
      <w:r w:rsidRPr="004920C6">
        <w:rPr>
          <w:rFonts w:asciiTheme="minorHAnsi" w:hAnsiTheme="minorHAnsi" w:cstheme="minorHAnsi"/>
          <w:spacing w:val="-2"/>
        </w:rPr>
        <w:t>sestavené</w:t>
      </w:r>
      <w:r w:rsidR="007F15A6" w:rsidRPr="004920C6">
        <w:rPr>
          <w:rStyle w:val="Znakapoznpodarou"/>
          <w:rFonts w:asciiTheme="minorHAnsi" w:hAnsiTheme="minorHAnsi" w:cstheme="minorHAnsi"/>
          <w:spacing w:val="-2"/>
        </w:rPr>
        <w:footnoteReference w:id="20"/>
      </w:r>
      <w:r w:rsidRPr="004920C6">
        <w:rPr>
          <w:rFonts w:asciiTheme="minorHAnsi" w:hAnsiTheme="minorHAnsi" w:cstheme="minorHAnsi"/>
          <w:spacing w:val="-2"/>
        </w:rPr>
        <w:t xml:space="preserve"> účetní závěrc</w:t>
      </w:r>
      <w:r w:rsidR="00973B3D" w:rsidRPr="004920C6">
        <w:rPr>
          <w:rFonts w:asciiTheme="minorHAnsi" w:hAnsiTheme="minorHAnsi" w:cstheme="minorHAnsi"/>
          <w:spacing w:val="-2"/>
        </w:rPr>
        <w:t>e</w:t>
      </w:r>
      <w:r w:rsidR="00103F93" w:rsidRPr="004920C6">
        <w:rPr>
          <w:rFonts w:asciiTheme="minorHAnsi" w:hAnsiTheme="minorHAnsi" w:cstheme="minorHAnsi"/>
          <w:spacing w:val="-2"/>
        </w:rPr>
        <w:t xml:space="preserve"> k</w:t>
      </w:r>
      <w:r w:rsidR="008470A0" w:rsidRPr="004920C6">
        <w:rPr>
          <w:rFonts w:asciiTheme="minorHAnsi" w:hAnsiTheme="minorHAnsi" w:cstheme="minorHAnsi"/>
          <w:spacing w:val="-2"/>
        </w:rPr>
        <w:t xml:space="preserve"> </w:t>
      </w:r>
      <w:r w:rsidR="00103F93" w:rsidRPr="004920C6">
        <w:rPr>
          <w:rFonts w:asciiTheme="minorHAnsi" w:hAnsiTheme="minorHAnsi" w:cstheme="minorHAnsi"/>
          <w:spacing w:val="-2"/>
        </w:rPr>
        <w:t>31. prosinci 202</w:t>
      </w:r>
      <w:r w:rsidR="00F776C4" w:rsidRPr="004920C6">
        <w:rPr>
          <w:rFonts w:asciiTheme="minorHAnsi" w:hAnsiTheme="minorHAnsi" w:cstheme="minorHAnsi"/>
          <w:spacing w:val="-2"/>
        </w:rPr>
        <w:t>4</w:t>
      </w:r>
      <w:r w:rsidR="0028452B" w:rsidRPr="004920C6">
        <w:rPr>
          <w:rFonts w:asciiTheme="minorHAnsi" w:hAnsiTheme="minorHAnsi" w:cstheme="minorHAnsi"/>
          <w:spacing w:val="-2"/>
        </w:rPr>
        <w:t xml:space="preserve"> byly zjištěny </w:t>
      </w:r>
      <w:r w:rsidR="00CF0833" w:rsidRPr="004920C6">
        <w:rPr>
          <w:rFonts w:asciiTheme="minorHAnsi" w:hAnsiTheme="minorHAnsi" w:cstheme="minorHAnsi"/>
          <w:spacing w:val="-2"/>
        </w:rPr>
        <w:t xml:space="preserve">případy neopravených </w:t>
      </w:r>
      <w:r w:rsidRPr="004920C6">
        <w:rPr>
          <w:rFonts w:asciiTheme="minorHAnsi" w:hAnsiTheme="minorHAnsi" w:cstheme="minorHAnsi"/>
          <w:spacing w:val="-2"/>
        </w:rPr>
        <w:t>nesprávnost</w:t>
      </w:r>
      <w:r w:rsidR="00CF0833" w:rsidRPr="004920C6">
        <w:rPr>
          <w:rFonts w:asciiTheme="minorHAnsi" w:hAnsiTheme="minorHAnsi" w:cstheme="minorHAnsi"/>
          <w:spacing w:val="-2"/>
        </w:rPr>
        <w:t>í</w:t>
      </w:r>
      <w:r w:rsidR="00973B3D" w:rsidRPr="004920C6">
        <w:rPr>
          <w:rFonts w:asciiTheme="minorHAnsi" w:hAnsiTheme="minorHAnsi" w:cstheme="minorHAnsi"/>
          <w:spacing w:val="-2"/>
        </w:rPr>
        <w:t>,</w:t>
      </w:r>
      <w:r w:rsidR="0082364E" w:rsidRPr="004920C6">
        <w:rPr>
          <w:rFonts w:asciiTheme="minorHAnsi" w:hAnsiTheme="minorHAnsi" w:cstheme="minorHAnsi"/>
          <w:spacing w:val="-2"/>
        </w:rPr>
        <w:t xml:space="preserve"> </w:t>
      </w:r>
      <w:r w:rsidR="0028452B" w:rsidRPr="004920C6">
        <w:rPr>
          <w:rFonts w:asciiTheme="minorHAnsi" w:hAnsiTheme="minorHAnsi" w:cstheme="minorHAnsi"/>
          <w:spacing w:val="-2"/>
        </w:rPr>
        <w:t xml:space="preserve">které </w:t>
      </w:r>
      <w:r w:rsidR="008470A0" w:rsidRPr="004920C6">
        <w:rPr>
          <w:rFonts w:asciiTheme="minorHAnsi" w:hAnsiTheme="minorHAnsi" w:cstheme="minorHAnsi"/>
          <w:spacing w:val="-2"/>
        </w:rPr>
        <w:t xml:space="preserve">však </w:t>
      </w:r>
      <w:r w:rsidR="0028452B" w:rsidRPr="004920C6">
        <w:rPr>
          <w:rFonts w:asciiTheme="minorHAnsi" w:hAnsiTheme="minorHAnsi" w:cstheme="minorHAnsi"/>
          <w:spacing w:val="-2"/>
        </w:rPr>
        <w:t xml:space="preserve">nebyly významné </w:t>
      </w:r>
      <w:r w:rsidR="00973B3D" w:rsidRPr="004920C6">
        <w:rPr>
          <w:rFonts w:asciiTheme="minorHAnsi" w:hAnsiTheme="minorHAnsi" w:cstheme="minorHAnsi"/>
          <w:spacing w:val="-2"/>
        </w:rPr>
        <w:t xml:space="preserve">(viz </w:t>
      </w:r>
      <w:r w:rsidRPr="004920C6">
        <w:rPr>
          <w:rFonts w:asciiTheme="minorHAnsi" w:hAnsiTheme="minorHAnsi" w:cstheme="minorHAnsi"/>
          <w:spacing w:val="-2"/>
        </w:rPr>
        <w:t>část IV.1.</w:t>
      </w:r>
      <w:r w:rsidR="00D429A9" w:rsidRPr="004920C6">
        <w:rPr>
          <w:rFonts w:asciiTheme="minorHAnsi" w:hAnsiTheme="minorHAnsi" w:cstheme="minorHAnsi"/>
          <w:spacing w:val="-2"/>
        </w:rPr>
        <w:t>2</w:t>
      </w:r>
      <w:r w:rsidRPr="004920C6">
        <w:rPr>
          <w:rFonts w:asciiTheme="minorHAnsi" w:hAnsiTheme="minorHAnsi" w:cstheme="minorHAnsi"/>
          <w:spacing w:val="-2"/>
        </w:rPr>
        <w:t xml:space="preserve"> tohoto kontrolního závěru</w:t>
      </w:r>
      <w:r w:rsidR="00973B3D" w:rsidRPr="004920C6">
        <w:rPr>
          <w:rFonts w:asciiTheme="minorHAnsi" w:hAnsiTheme="minorHAnsi" w:cstheme="minorHAnsi"/>
          <w:spacing w:val="-2"/>
        </w:rPr>
        <w:t>)</w:t>
      </w:r>
      <w:r w:rsidRPr="004920C6">
        <w:rPr>
          <w:rFonts w:asciiTheme="minorHAnsi" w:hAnsiTheme="minorHAnsi" w:cstheme="minorHAnsi"/>
          <w:spacing w:val="-2"/>
        </w:rPr>
        <w:t xml:space="preserve">. </w:t>
      </w:r>
    </w:p>
    <w:p w14:paraId="2EAA9643" w14:textId="77777777" w:rsidR="00F25539" w:rsidRDefault="00F25539">
      <w:pPr>
        <w:spacing w:after="160" w:line="259" w:lineRule="auto"/>
        <w:rPr>
          <w:rFonts w:eastAsia="Calibri" w:cs="Calibri"/>
          <w:b/>
        </w:rPr>
      </w:pPr>
      <w:r>
        <w:br w:type="page"/>
      </w:r>
    </w:p>
    <w:p w14:paraId="46A42032" w14:textId="3699359D" w:rsidR="00F55060" w:rsidRPr="004920C6" w:rsidRDefault="00310275" w:rsidP="00CA7B8E">
      <w:pPr>
        <w:pStyle w:val="Styl2"/>
        <w:numPr>
          <w:ilvl w:val="0"/>
          <w:numId w:val="0"/>
        </w:numPr>
        <w:spacing w:after="120"/>
        <w:ind w:left="284" w:hanging="284"/>
      </w:pPr>
      <w:r w:rsidRPr="004920C6">
        <w:lastRenderedPageBreak/>
        <w:t xml:space="preserve">1.2 </w:t>
      </w:r>
      <w:r w:rsidR="00F55060" w:rsidRPr="004920C6">
        <w:t>Neopravené nesprávnosti v</w:t>
      </w:r>
      <w:r w:rsidR="00A34B4E" w:rsidRPr="004920C6">
        <w:t> </w:t>
      </w:r>
      <w:r w:rsidR="00F55060" w:rsidRPr="004920C6">
        <w:t>účetnictví</w:t>
      </w:r>
    </w:p>
    <w:p w14:paraId="2173F2AF" w14:textId="70A4E4E6" w:rsidR="00461F8E" w:rsidRPr="004920C6" w:rsidRDefault="00FE0BEE" w:rsidP="001D3AF5">
      <w:pPr>
        <w:ind w:right="-103"/>
        <w:jc w:val="both"/>
        <w:rPr>
          <w:rFonts w:asciiTheme="minorHAnsi" w:hAnsiTheme="minorHAnsi" w:cstheme="minorHAnsi"/>
          <w:b/>
          <w:bCs/>
          <w:spacing w:val="-2"/>
        </w:rPr>
      </w:pPr>
      <w:r w:rsidRPr="004920C6">
        <w:rPr>
          <w:rFonts w:asciiTheme="minorHAnsi" w:hAnsiTheme="minorHAnsi" w:cstheme="minorHAnsi"/>
          <w:b/>
          <w:bCs/>
          <w:spacing w:val="-2"/>
        </w:rPr>
        <w:t>V</w:t>
      </w:r>
      <w:r w:rsidR="00826D07" w:rsidRPr="004920C6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555820" w:rsidRPr="004920C6">
        <w:rPr>
          <w:rFonts w:asciiTheme="minorHAnsi" w:hAnsiTheme="minorHAnsi" w:cstheme="minorHAnsi"/>
          <w:b/>
          <w:bCs/>
          <w:spacing w:val="-2"/>
        </w:rPr>
        <w:t xml:space="preserve">údajích </w:t>
      </w:r>
      <w:r w:rsidRPr="004920C6">
        <w:rPr>
          <w:rFonts w:asciiTheme="minorHAnsi" w:hAnsiTheme="minorHAnsi" w:cstheme="minorHAnsi"/>
          <w:b/>
          <w:bCs/>
          <w:spacing w:val="-2"/>
        </w:rPr>
        <w:t>ÚZ</w:t>
      </w:r>
      <w:r w:rsidR="001C492F" w:rsidRPr="004920C6">
        <w:rPr>
          <w:rFonts w:cs="Calibri"/>
          <w:b/>
          <w:bCs/>
        </w:rPr>
        <w:t xml:space="preserve"> </w:t>
      </w:r>
      <w:r w:rsidR="00284952" w:rsidRPr="004920C6">
        <w:rPr>
          <w:rFonts w:asciiTheme="minorHAnsi" w:hAnsiTheme="minorHAnsi" w:cstheme="minorHAnsi"/>
          <w:b/>
          <w:bCs/>
          <w:spacing w:val="-2"/>
        </w:rPr>
        <w:t>kontrola zjistila</w:t>
      </w:r>
      <w:r w:rsidRPr="004920C6">
        <w:rPr>
          <w:rFonts w:asciiTheme="minorHAnsi" w:hAnsiTheme="minorHAnsi" w:cstheme="minorHAnsi"/>
          <w:b/>
          <w:bCs/>
          <w:spacing w:val="-2"/>
        </w:rPr>
        <w:t>, že</w:t>
      </w:r>
      <w:r w:rsidR="000B7B70" w:rsidRPr="004920C6">
        <w:rPr>
          <w:rFonts w:asciiTheme="minorHAnsi" w:hAnsiTheme="minorHAnsi" w:cstheme="minorHAnsi"/>
          <w:b/>
          <w:bCs/>
          <w:spacing w:val="-2"/>
        </w:rPr>
        <w:t xml:space="preserve"> MK</w:t>
      </w:r>
      <w:r w:rsidR="00826D07" w:rsidRPr="004920C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920C6">
        <w:rPr>
          <w:rFonts w:asciiTheme="minorHAnsi" w:hAnsiTheme="minorHAnsi" w:cstheme="minorHAnsi"/>
          <w:b/>
          <w:bCs/>
          <w:spacing w:val="-2"/>
        </w:rPr>
        <w:t>některé informace nevykázal</w:t>
      </w:r>
      <w:r w:rsidR="000B7B70" w:rsidRPr="004920C6">
        <w:rPr>
          <w:rFonts w:asciiTheme="minorHAnsi" w:hAnsiTheme="minorHAnsi" w:cstheme="minorHAnsi"/>
          <w:b/>
          <w:bCs/>
          <w:spacing w:val="-2"/>
        </w:rPr>
        <w:t>o</w:t>
      </w:r>
      <w:r w:rsidRPr="004920C6">
        <w:rPr>
          <w:rFonts w:asciiTheme="minorHAnsi" w:hAnsiTheme="minorHAnsi" w:cstheme="minorHAnsi"/>
          <w:b/>
          <w:bCs/>
          <w:spacing w:val="-2"/>
        </w:rPr>
        <w:t xml:space="preserve"> v</w:t>
      </w:r>
      <w:r w:rsidR="00826D07" w:rsidRPr="004920C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920C6">
        <w:rPr>
          <w:rFonts w:asciiTheme="minorHAnsi" w:hAnsiTheme="minorHAnsi" w:cstheme="minorHAnsi"/>
          <w:b/>
          <w:bCs/>
          <w:spacing w:val="-2"/>
        </w:rPr>
        <w:t>souladu s</w:t>
      </w:r>
      <w:r w:rsidR="00826D07" w:rsidRPr="004920C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920C6">
        <w:rPr>
          <w:rFonts w:asciiTheme="minorHAnsi" w:hAnsiTheme="minorHAnsi" w:cstheme="minorHAnsi"/>
          <w:b/>
          <w:bCs/>
          <w:spacing w:val="-2"/>
        </w:rPr>
        <w:t>právními předpisy upravujícími vedení účetnictví</w:t>
      </w:r>
      <w:r w:rsidR="00B27982" w:rsidRPr="004920C6">
        <w:rPr>
          <w:rFonts w:asciiTheme="minorHAnsi" w:hAnsiTheme="minorHAnsi" w:cstheme="minorHAnsi"/>
          <w:b/>
          <w:bCs/>
          <w:spacing w:val="-2"/>
        </w:rPr>
        <w:t xml:space="preserve"> a účetní výkaznictví</w:t>
      </w:r>
      <w:r w:rsidRPr="004920C6">
        <w:rPr>
          <w:rFonts w:asciiTheme="minorHAnsi" w:hAnsiTheme="minorHAnsi" w:cstheme="minorHAnsi"/>
          <w:b/>
          <w:bCs/>
          <w:spacing w:val="-2"/>
        </w:rPr>
        <w:t>, a to v</w:t>
      </w:r>
      <w:r w:rsidR="00A141E3" w:rsidRPr="004920C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4920C6">
        <w:rPr>
          <w:rFonts w:asciiTheme="minorHAnsi" w:hAnsiTheme="minorHAnsi" w:cstheme="minorHAnsi"/>
          <w:b/>
          <w:bCs/>
          <w:spacing w:val="-2"/>
        </w:rPr>
        <w:t>údajích za běžné účetní období v celkové výši</w:t>
      </w:r>
      <w:r w:rsidR="00B27982" w:rsidRPr="004920C6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0B7B70" w:rsidRPr="004920C6">
        <w:rPr>
          <w:rFonts w:asciiTheme="minorHAnsi" w:hAnsiTheme="minorHAnsi" w:cstheme="minorHAnsi"/>
          <w:b/>
          <w:bCs/>
          <w:spacing w:val="-2"/>
        </w:rPr>
        <w:t>834</w:t>
      </w:r>
      <w:r w:rsidR="00B27982" w:rsidRPr="004920C6">
        <w:rPr>
          <w:rFonts w:asciiTheme="minorHAnsi" w:hAnsiTheme="minorHAnsi" w:cstheme="minorHAnsi"/>
          <w:b/>
          <w:bCs/>
          <w:spacing w:val="-2"/>
        </w:rPr>
        <w:t>,5 tis.</w:t>
      </w:r>
      <w:r w:rsidRPr="004920C6">
        <w:rPr>
          <w:rFonts w:asciiTheme="minorHAnsi" w:hAnsiTheme="minorHAnsi" w:cstheme="minorHAnsi"/>
          <w:b/>
          <w:bCs/>
          <w:spacing w:val="-2"/>
        </w:rPr>
        <w:t xml:space="preserve"> Kč.</w:t>
      </w:r>
      <w:r w:rsidR="00B35CB1" w:rsidRPr="004920C6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AE1893" w:rsidRPr="004920C6">
        <w:rPr>
          <w:rFonts w:asciiTheme="minorHAnsi" w:hAnsiTheme="minorHAnsi" w:cstheme="minorHAnsi"/>
          <w:b/>
          <w:bCs/>
          <w:spacing w:val="-2"/>
        </w:rPr>
        <w:t xml:space="preserve">Tyto nesprávnosti nebyly významné. </w:t>
      </w:r>
    </w:p>
    <w:p w14:paraId="7831F937" w14:textId="64792627" w:rsidR="00AE1893" w:rsidRPr="005260DD" w:rsidRDefault="000C5F50" w:rsidP="00DE6A8C">
      <w:pPr>
        <w:spacing w:after="240"/>
        <w:jc w:val="both"/>
        <w:rPr>
          <w:rFonts w:cs="Calibri"/>
          <w:lang w:eastAsia="cs-CZ"/>
        </w:rPr>
      </w:pPr>
      <w:r w:rsidRPr="004920C6">
        <w:rPr>
          <w:rFonts w:eastAsiaTheme="minorHAnsi" w:cs="Calibri"/>
          <w:bCs/>
        </w:rPr>
        <w:t>Nesprávnosti vznikly</w:t>
      </w:r>
      <w:r w:rsidR="00566F40" w:rsidRPr="004920C6">
        <w:rPr>
          <w:rFonts w:eastAsiaTheme="minorHAnsi" w:cs="Calibri"/>
          <w:bCs/>
        </w:rPr>
        <w:t xml:space="preserve"> v</w:t>
      </w:r>
      <w:r w:rsidR="00CA4810" w:rsidRPr="004920C6">
        <w:rPr>
          <w:rFonts w:eastAsiaTheme="minorHAnsi" w:cs="Calibri"/>
          <w:bCs/>
        </w:rPr>
        <w:t> </w:t>
      </w:r>
      <w:r w:rsidR="00566F40" w:rsidRPr="004920C6">
        <w:rPr>
          <w:rFonts w:eastAsiaTheme="minorHAnsi" w:cs="Calibri"/>
          <w:bCs/>
        </w:rPr>
        <w:t>důsledku</w:t>
      </w:r>
      <w:r w:rsidR="00CA4810" w:rsidRPr="004920C6">
        <w:rPr>
          <w:rFonts w:eastAsiaTheme="minorHAnsi" w:cs="Calibri"/>
          <w:bCs/>
        </w:rPr>
        <w:t xml:space="preserve"> nedodržení obsahového vymezení</w:t>
      </w:r>
      <w:r w:rsidR="00E86A42" w:rsidRPr="004920C6">
        <w:rPr>
          <w:rFonts w:eastAsiaTheme="minorHAnsi" w:cs="Calibri"/>
          <w:bCs/>
        </w:rPr>
        <w:t xml:space="preserve"> několika</w:t>
      </w:r>
      <w:r w:rsidR="00F04CD2">
        <w:rPr>
          <w:rFonts w:eastAsiaTheme="minorHAnsi" w:cs="Calibri"/>
          <w:bCs/>
        </w:rPr>
        <w:t xml:space="preserve"> </w:t>
      </w:r>
      <w:r w:rsidR="00566F40" w:rsidRPr="004920C6">
        <w:rPr>
          <w:rFonts w:eastAsiaTheme="minorHAnsi" w:cs="Calibri"/>
          <w:bCs/>
        </w:rPr>
        <w:t xml:space="preserve">položek přehledu </w:t>
      </w:r>
      <w:r w:rsidR="00610129" w:rsidRPr="004920C6">
        <w:rPr>
          <w:rFonts w:eastAsiaTheme="minorHAnsi" w:cs="Calibri"/>
          <w:bCs/>
        </w:rPr>
        <w:br/>
      </w:r>
      <w:r w:rsidR="00566F40" w:rsidRPr="004920C6">
        <w:rPr>
          <w:rFonts w:eastAsiaTheme="minorHAnsi" w:cs="Calibri"/>
          <w:bCs/>
        </w:rPr>
        <w:t>o</w:t>
      </w:r>
      <w:r w:rsidR="00610129" w:rsidRPr="004920C6">
        <w:rPr>
          <w:rFonts w:eastAsiaTheme="minorHAnsi" w:cs="Calibri"/>
          <w:bCs/>
        </w:rPr>
        <w:t xml:space="preserve"> </w:t>
      </w:r>
      <w:r w:rsidR="00566F40" w:rsidRPr="004920C6">
        <w:rPr>
          <w:rFonts w:eastAsiaTheme="minorHAnsi" w:cs="Calibri"/>
          <w:bCs/>
        </w:rPr>
        <w:t>peněžních tocích</w:t>
      </w:r>
      <w:r w:rsidR="0078365E" w:rsidRPr="004920C6">
        <w:rPr>
          <w:rFonts w:ascii="Times New Roman" w:hAnsi="Times New Roman"/>
          <w:lang w:eastAsia="cs-CZ"/>
        </w:rPr>
        <w:t xml:space="preserve"> </w:t>
      </w:r>
      <w:r w:rsidR="00B9040D" w:rsidRPr="004920C6">
        <w:rPr>
          <w:rFonts w:cs="Calibri"/>
          <w:lang w:eastAsia="cs-CZ"/>
        </w:rPr>
        <w:t>(</w:t>
      </w:r>
      <w:r w:rsidR="00D63CBD" w:rsidRPr="004920C6">
        <w:rPr>
          <w:rFonts w:cs="Calibri"/>
          <w:lang w:eastAsia="cs-CZ"/>
        </w:rPr>
        <w:t>viz část IV.1.</w:t>
      </w:r>
      <w:r w:rsidR="00D84537" w:rsidRPr="004920C6">
        <w:rPr>
          <w:rFonts w:cs="Calibri"/>
          <w:lang w:eastAsia="cs-CZ"/>
        </w:rPr>
        <w:t>2</w:t>
      </w:r>
      <w:r w:rsidR="00D63CBD" w:rsidRPr="004920C6">
        <w:rPr>
          <w:rFonts w:cs="Calibri"/>
          <w:lang w:eastAsia="cs-CZ"/>
        </w:rPr>
        <w:t>.1</w:t>
      </w:r>
      <w:r w:rsidR="00030F7B" w:rsidRPr="004920C6">
        <w:rPr>
          <w:rFonts w:cs="Calibri"/>
          <w:lang w:eastAsia="cs-CZ"/>
        </w:rPr>
        <w:t xml:space="preserve"> tohoto kontrolního závěru</w:t>
      </w:r>
      <w:r w:rsidR="00D63CBD" w:rsidRPr="004920C6">
        <w:rPr>
          <w:rFonts w:cs="Calibri"/>
          <w:lang w:eastAsia="cs-CZ"/>
        </w:rPr>
        <w:t>).</w:t>
      </w:r>
    </w:p>
    <w:p w14:paraId="3032A46C" w14:textId="635D90B6" w:rsidR="00D97069" w:rsidRPr="004920C6" w:rsidRDefault="00310275" w:rsidP="00DE6A8C">
      <w:pPr>
        <w:pStyle w:val="Styl2"/>
        <w:numPr>
          <w:ilvl w:val="0"/>
          <w:numId w:val="0"/>
        </w:numPr>
        <w:spacing w:after="120"/>
        <w:jc w:val="both"/>
      </w:pPr>
      <w:r w:rsidRPr="004920C6">
        <w:t xml:space="preserve">1.2.1 </w:t>
      </w:r>
      <w:r w:rsidR="00566F40" w:rsidRPr="004920C6">
        <w:t>Ne</w:t>
      </w:r>
      <w:r w:rsidR="00CA4810" w:rsidRPr="004920C6">
        <w:t>dodržení obsahového vymezení polož</w:t>
      </w:r>
      <w:r w:rsidR="00E86A42" w:rsidRPr="004920C6">
        <w:t>ek</w:t>
      </w:r>
      <w:r w:rsidR="00CA4810" w:rsidRPr="004920C6">
        <w:t xml:space="preserve"> </w:t>
      </w:r>
      <w:r w:rsidR="00566F40" w:rsidRPr="004920C6">
        <w:t>přehledu o peněžních tocích</w:t>
      </w:r>
    </w:p>
    <w:p w14:paraId="36EEF768" w14:textId="18DC62CB" w:rsidR="0050449D" w:rsidRPr="004920C6" w:rsidRDefault="002C7822" w:rsidP="00D63CB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4920C6">
        <w:rPr>
          <w:rFonts w:cs="Calibri"/>
          <w:iCs/>
          <w:szCs w:val="22"/>
          <w:lang w:eastAsia="cs-CZ"/>
        </w:rPr>
        <w:t>MK</w:t>
      </w:r>
      <w:r w:rsidR="003559E9" w:rsidRPr="004920C6">
        <w:rPr>
          <w:rFonts w:cs="Calibri"/>
          <w:iCs/>
          <w:szCs w:val="22"/>
          <w:lang w:eastAsia="cs-CZ"/>
        </w:rPr>
        <w:t xml:space="preserve"> vykázal</w:t>
      </w:r>
      <w:r w:rsidRPr="004920C6">
        <w:rPr>
          <w:rFonts w:cs="Calibri"/>
          <w:iCs/>
          <w:szCs w:val="22"/>
          <w:lang w:eastAsia="cs-CZ"/>
        </w:rPr>
        <w:t>o</w:t>
      </w:r>
      <w:r w:rsidR="003559E9" w:rsidRPr="004920C6">
        <w:rPr>
          <w:rFonts w:cs="Calibri"/>
          <w:iCs/>
          <w:szCs w:val="22"/>
          <w:lang w:eastAsia="cs-CZ"/>
        </w:rPr>
        <w:t xml:space="preserve"> na položce</w:t>
      </w:r>
      <w:r w:rsidR="0013075B" w:rsidRPr="004920C6">
        <w:rPr>
          <w:rFonts w:asciiTheme="minorHAnsi" w:hAnsiTheme="minorHAnsi" w:cstheme="minorHAnsi"/>
        </w:rPr>
        <w:t xml:space="preserve"> „</w:t>
      </w:r>
      <w:r w:rsidR="0013075B" w:rsidRPr="004920C6">
        <w:rPr>
          <w:rFonts w:asciiTheme="minorHAnsi" w:hAnsiTheme="minorHAnsi" w:cstheme="minorHAnsi"/>
          <w:i/>
          <w:iCs/>
        </w:rPr>
        <w:t>B.I. Výdaje na pořízení dlouhodobých aktiv</w:t>
      </w:r>
      <w:r w:rsidR="0013075B" w:rsidRPr="004920C6">
        <w:rPr>
          <w:rFonts w:asciiTheme="minorHAnsi" w:hAnsiTheme="minorHAnsi" w:cstheme="minorHAnsi"/>
        </w:rPr>
        <w:t xml:space="preserve">“ přehledu </w:t>
      </w:r>
      <w:r w:rsidR="00811250" w:rsidRPr="004920C6">
        <w:rPr>
          <w:rFonts w:asciiTheme="minorHAnsi" w:hAnsiTheme="minorHAnsi" w:cstheme="minorHAnsi"/>
        </w:rPr>
        <w:br/>
      </w:r>
      <w:r w:rsidR="0013075B" w:rsidRPr="004920C6">
        <w:rPr>
          <w:rFonts w:asciiTheme="minorHAnsi" w:hAnsiTheme="minorHAnsi" w:cstheme="minorHAnsi"/>
        </w:rPr>
        <w:t>o peněžních tocích za rok 202</w:t>
      </w:r>
      <w:r w:rsidR="00065AE2" w:rsidRPr="004920C6">
        <w:rPr>
          <w:rFonts w:asciiTheme="minorHAnsi" w:hAnsiTheme="minorHAnsi" w:cstheme="minorHAnsi"/>
        </w:rPr>
        <w:t>4</w:t>
      </w:r>
      <w:r w:rsidR="00153E9A" w:rsidRPr="004920C6">
        <w:rPr>
          <w:rFonts w:asciiTheme="minorHAnsi" w:hAnsiTheme="minorHAnsi" w:cstheme="minorHAnsi"/>
        </w:rPr>
        <w:t xml:space="preserve"> hodnotu</w:t>
      </w:r>
      <w:r w:rsidR="0013075B" w:rsidRPr="004920C6">
        <w:rPr>
          <w:rFonts w:asciiTheme="minorHAnsi" w:hAnsiTheme="minorHAnsi" w:cstheme="minorHAnsi"/>
        </w:rPr>
        <w:t>, kter</w:t>
      </w:r>
      <w:r w:rsidR="00A90C55" w:rsidRPr="004920C6">
        <w:rPr>
          <w:rFonts w:asciiTheme="minorHAnsi" w:hAnsiTheme="minorHAnsi" w:cstheme="minorHAnsi"/>
        </w:rPr>
        <w:t>á byla vypočtena</w:t>
      </w:r>
      <w:r w:rsidR="0013075B" w:rsidRPr="004920C6">
        <w:rPr>
          <w:rFonts w:asciiTheme="minorHAnsi" w:hAnsiTheme="minorHAnsi" w:cstheme="minorHAnsi"/>
        </w:rPr>
        <w:t xml:space="preserve"> z účetních obratů</w:t>
      </w:r>
      <w:r w:rsidR="00CA4810" w:rsidRPr="004920C6">
        <w:rPr>
          <w:rFonts w:asciiTheme="minorHAnsi" w:hAnsiTheme="minorHAnsi" w:cstheme="minorHAnsi"/>
        </w:rPr>
        <w:t xml:space="preserve"> </w:t>
      </w:r>
      <w:r w:rsidR="0013075B" w:rsidRPr="004920C6">
        <w:rPr>
          <w:rFonts w:asciiTheme="minorHAnsi" w:hAnsiTheme="minorHAnsi" w:cstheme="minorHAnsi"/>
        </w:rPr>
        <w:t>na účtech pořízení dlouhodobého majetku</w:t>
      </w:r>
      <w:r w:rsidR="000C465B" w:rsidRPr="004920C6">
        <w:rPr>
          <w:rFonts w:asciiTheme="minorHAnsi" w:hAnsiTheme="minorHAnsi" w:cstheme="minorHAnsi"/>
        </w:rPr>
        <w:t xml:space="preserve"> </w:t>
      </w:r>
      <w:r w:rsidR="00A90C55" w:rsidRPr="004920C6">
        <w:rPr>
          <w:rFonts w:asciiTheme="minorHAnsi" w:hAnsiTheme="minorHAnsi" w:cstheme="minorHAnsi"/>
        </w:rPr>
        <w:t>041</w:t>
      </w:r>
      <w:r w:rsidR="00811250" w:rsidRPr="004920C6">
        <w:rPr>
          <w:rFonts w:asciiTheme="minorHAnsi" w:hAnsiTheme="minorHAnsi" w:cstheme="minorHAnsi"/>
        </w:rPr>
        <w:t xml:space="preserve"> </w:t>
      </w:r>
      <w:r w:rsidR="003559E9" w:rsidRPr="004920C6">
        <w:rPr>
          <w:rFonts w:asciiTheme="minorHAnsi" w:hAnsiTheme="minorHAnsi" w:cstheme="minorHAnsi"/>
        </w:rPr>
        <w:t>–</w:t>
      </w:r>
      <w:r w:rsidR="00811250" w:rsidRPr="004920C6">
        <w:rPr>
          <w:rFonts w:asciiTheme="minorHAnsi" w:hAnsiTheme="minorHAnsi" w:cstheme="minorHAnsi"/>
        </w:rPr>
        <w:t xml:space="preserve"> </w:t>
      </w:r>
      <w:r w:rsidR="003559E9" w:rsidRPr="004920C6">
        <w:rPr>
          <w:rFonts w:asciiTheme="minorHAnsi" w:hAnsiTheme="minorHAnsi" w:cstheme="minorHAnsi"/>
          <w:i/>
          <w:iCs/>
        </w:rPr>
        <w:t>Nedokončený dlouhodobý nehmotný majetek</w:t>
      </w:r>
      <w:r w:rsidR="00A90C55" w:rsidRPr="004920C6">
        <w:rPr>
          <w:rFonts w:asciiTheme="minorHAnsi" w:hAnsiTheme="minorHAnsi" w:cstheme="minorHAnsi"/>
        </w:rPr>
        <w:t xml:space="preserve"> </w:t>
      </w:r>
      <w:r w:rsidR="00811250" w:rsidRPr="004920C6">
        <w:rPr>
          <w:rFonts w:asciiTheme="minorHAnsi" w:hAnsiTheme="minorHAnsi" w:cstheme="minorHAnsi"/>
        </w:rPr>
        <w:br/>
      </w:r>
      <w:r w:rsidR="00A90C55" w:rsidRPr="004920C6">
        <w:rPr>
          <w:rFonts w:asciiTheme="minorHAnsi" w:hAnsiTheme="minorHAnsi" w:cstheme="minorHAnsi"/>
        </w:rPr>
        <w:t>a</w:t>
      </w:r>
      <w:r w:rsidR="00811250" w:rsidRPr="004920C6">
        <w:rPr>
          <w:rFonts w:asciiTheme="minorHAnsi" w:hAnsiTheme="minorHAnsi" w:cstheme="minorHAnsi"/>
        </w:rPr>
        <w:t xml:space="preserve"> </w:t>
      </w:r>
      <w:r w:rsidR="00A90C55" w:rsidRPr="004920C6">
        <w:rPr>
          <w:rFonts w:asciiTheme="minorHAnsi" w:hAnsiTheme="minorHAnsi" w:cstheme="minorHAnsi"/>
        </w:rPr>
        <w:t>042</w:t>
      </w:r>
      <w:r w:rsidR="00811250" w:rsidRPr="004920C6">
        <w:rPr>
          <w:rFonts w:asciiTheme="minorHAnsi" w:hAnsiTheme="minorHAnsi" w:cstheme="minorHAnsi"/>
        </w:rPr>
        <w:t xml:space="preserve"> </w:t>
      </w:r>
      <w:r w:rsidR="00D32CEF" w:rsidRPr="004920C6">
        <w:rPr>
          <w:rFonts w:asciiTheme="minorHAnsi" w:hAnsiTheme="minorHAnsi" w:cstheme="minorHAnsi"/>
        </w:rPr>
        <w:t>–</w:t>
      </w:r>
      <w:r w:rsidR="00811250" w:rsidRPr="004920C6">
        <w:rPr>
          <w:rFonts w:asciiTheme="minorHAnsi" w:hAnsiTheme="minorHAnsi" w:cstheme="minorHAnsi"/>
        </w:rPr>
        <w:t xml:space="preserve"> </w:t>
      </w:r>
      <w:r w:rsidR="003559E9" w:rsidRPr="004920C6">
        <w:rPr>
          <w:rFonts w:asciiTheme="minorHAnsi" w:hAnsiTheme="minorHAnsi" w:cstheme="minorHAnsi"/>
          <w:i/>
          <w:iCs/>
        </w:rPr>
        <w:t>Nedokončený dlouhodobý hmotný majetek</w:t>
      </w:r>
      <w:r w:rsidR="00065AE2" w:rsidRPr="004920C6">
        <w:rPr>
          <w:rStyle w:val="Znakapoznpodarou"/>
          <w:lang w:eastAsia="cs-CZ"/>
        </w:rPr>
        <w:footnoteReference w:id="21"/>
      </w:r>
      <w:r w:rsidR="003559E9" w:rsidRPr="004920C6">
        <w:rPr>
          <w:rFonts w:asciiTheme="minorHAnsi" w:hAnsiTheme="minorHAnsi" w:cstheme="minorHAnsi"/>
        </w:rPr>
        <w:t>. Uvedená položka má však obsahovat snížení stavu peněžních prostředků způsobené pořízením dlouhodobých aktiv, proto ji měl</w:t>
      </w:r>
      <w:r w:rsidR="00065AE2" w:rsidRPr="004920C6">
        <w:rPr>
          <w:rFonts w:asciiTheme="minorHAnsi" w:hAnsiTheme="minorHAnsi" w:cstheme="minorHAnsi"/>
        </w:rPr>
        <w:t>o MK</w:t>
      </w:r>
      <w:r w:rsidR="003559E9" w:rsidRPr="004920C6">
        <w:rPr>
          <w:rFonts w:asciiTheme="minorHAnsi" w:hAnsiTheme="minorHAnsi" w:cstheme="minorHAnsi"/>
        </w:rPr>
        <w:t xml:space="preserve"> stanovit z </w:t>
      </w:r>
      <w:r w:rsidR="00A90C55" w:rsidRPr="004920C6">
        <w:rPr>
          <w:rFonts w:asciiTheme="minorHAnsi" w:hAnsiTheme="minorHAnsi" w:cstheme="minorHAnsi"/>
        </w:rPr>
        <w:t>výdajů klasifikovaných v příslušném seskupení rozpočtových položek</w:t>
      </w:r>
      <w:r w:rsidR="000C465B" w:rsidRPr="004920C6">
        <w:rPr>
          <w:rFonts w:asciiTheme="minorHAnsi" w:hAnsiTheme="minorHAnsi" w:cstheme="minorHAnsi"/>
        </w:rPr>
        <w:t xml:space="preserve"> </w:t>
      </w:r>
      <w:r w:rsidR="00A8059B" w:rsidRPr="004920C6">
        <w:rPr>
          <w:rFonts w:asciiTheme="minorHAnsi" w:hAnsiTheme="minorHAnsi" w:cstheme="minorHAnsi"/>
        </w:rPr>
        <w:br/>
      </w:r>
      <w:r w:rsidR="00A90C55" w:rsidRPr="004920C6">
        <w:rPr>
          <w:rFonts w:asciiTheme="minorHAnsi" w:hAnsiTheme="minorHAnsi" w:cstheme="minorHAnsi"/>
        </w:rPr>
        <w:t>61</w:t>
      </w:r>
      <w:r w:rsidR="003559E9" w:rsidRPr="004920C6">
        <w:rPr>
          <w:rFonts w:asciiTheme="minorHAnsi" w:hAnsiTheme="minorHAnsi" w:cstheme="minorHAnsi"/>
        </w:rPr>
        <w:t xml:space="preserve"> – </w:t>
      </w:r>
      <w:r w:rsidR="003559E9" w:rsidRPr="004920C6">
        <w:rPr>
          <w:rFonts w:asciiTheme="minorHAnsi" w:hAnsiTheme="minorHAnsi" w:cstheme="minorHAnsi"/>
          <w:i/>
          <w:iCs/>
        </w:rPr>
        <w:t>Investiční nákupy a související výdaje</w:t>
      </w:r>
      <w:r w:rsidR="0013075B" w:rsidRPr="004920C6">
        <w:rPr>
          <w:rFonts w:asciiTheme="minorHAnsi" w:hAnsiTheme="minorHAnsi" w:cstheme="minorHAnsi"/>
        </w:rPr>
        <w:t>.</w:t>
      </w:r>
      <w:r w:rsidR="0050449D" w:rsidRPr="004920C6">
        <w:rPr>
          <w:rFonts w:asciiTheme="minorHAnsi" w:hAnsiTheme="minorHAnsi" w:cstheme="minorHAnsi"/>
        </w:rPr>
        <w:t xml:space="preserve"> MK dále n</w:t>
      </w:r>
      <w:r w:rsidR="00065AE2" w:rsidRPr="004920C6">
        <w:rPr>
          <w:rFonts w:asciiTheme="minorHAnsi" w:hAnsiTheme="minorHAnsi" w:cstheme="minorHAnsi"/>
        </w:rPr>
        <w:t xml:space="preserve">a položku </w:t>
      </w:r>
      <w:r w:rsidR="00065AE2" w:rsidRPr="005260DD">
        <w:rPr>
          <w:rFonts w:asciiTheme="minorHAnsi" w:hAnsiTheme="minorHAnsi" w:cstheme="minorHAnsi"/>
          <w:iCs/>
        </w:rPr>
        <w:t>„</w:t>
      </w:r>
      <w:r w:rsidR="00065AE2" w:rsidRPr="004920C6">
        <w:rPr>
          <w:rFonts w:asciiTheme="minorHAnsi" w:hAnsiTheme="minorHAnsi" w:cstheme="minorHAnsi"/>
          <w:i/>
        </w:rPr>
        <w:t>A.II.2. Změna stavu krátkodobých závazků</w:t>
      </w:r>
      <w:r w:rsidR="00065AE2" w:rsidRPr="005260DD">
        <w:rPr>
          <w:rFonts w:asciiTheme="minorHAnsi" w:hAnsiTheme="minorHAnsi" w:cstheme="minorHAnsi"/>
          <w:iCs/>
        </w:rPr>
        <w:t>“</w:t>
      </w:r>
      <w:r w:rsidR="0013075B" w:rsidRPr="004920C6">
        <w:rPr>
          <w:rFonts w:asciiTheme="minorHAnsi" w:hAnsiTheme="minorHAnsi" w:cstheme="minorHAnsi"/>
        </w:rPr>
        <w:t xml:space="preserve"> </w:t>
      </w:r>
      <w:r w:rsidR="0057496F" w:rsidRPr="004920C6">
        <w:rPr>
          <w:rFonts w:asciiTheme="minorHAnsi" w:hAnsiTheme="minorHAnsi" w:cstheme="minorHAnsi"/>
        </w:rPr>
        <w:t xml:space="preserve">nesprávně </w:t>
      </w:r>
      <w:r w:rsidR="00065AE2" w:rsidRPr="004920C6">
        <w:rPr>
          <w:rFonts w:asciiTheme="minorHAnsi" w:hAnsiTheme="minorHAnsi" w:cstheme="minorHAnsi"/>
        </w:rPr>
        <w:t xml:space="preserve">zahrnulo </w:t>
      </w:r>
      <w:r w:rsidR="00065AE2" w:rsidRPr="004920C6">
        <w:rPr>
          <w:rFonts w:asciiTheme="minorHAnsi" w:hAnsiTheme="minorHAnsi" w:cstheme="minorHAnsi"/>
          <w:color w:val="000000" w:themeColor="text1"/>
        </w:rPr>
        <w:t>úhradu</w:t>
      </w:r>
      <w:r w:rsidR="0057496F" w:rsidRPr="004920C6">
        <w:rPr>
          <w:rFonts w:asciiTheme="minorHAnsi" w:hAnsiTheme="minorHAnsi" w:cstheme="minorHAnsi"/>
          <w:color w:val="000000" w:themeColor="text1"/>
        </w:rPr>
        <w:t xml:space="preserve"> závazků z</w:t>
      </w:r>
      <w:r w:rsidR="00065AE2" w:rsidRPr="004920C6">
        <w:rPr>
          <w:rFonts w:asciiTheme="minorHAnsi" w:hAnsiTheme="minorHAnsi" w:cstheme="minorHAnsi"/>
          <w:color w:val="000000" w:themeColor="text1"/>
        </w:rPr>
        <w:t xml:space="preserve"> pořízení dlouhodobého majetku</w:t>
      </w:r>
      <w:r w:rsidR="00065AE2" w:rsidRPr="004920C6">
        <w:rPr>
          <w:rStyle w:val="Znakapoznpodarou"/>
          <w:lang w:eastAsia="cs-CZ"/>
        </w:rPr>
        <w:footnoteReference w:id="22"/>
      </w:r>
      <w:r w:rsidR="0057496F" w:rsidRPr="004920C6">
        <w:rPr>
          <w:rFonts w:asciiTheme="minorHAnsi" w:hAnsiTheme="minorHAnsi" w:cstheme="minorHAnsi"/>
          <w:color w:val="000000" w:themeColor="text1"/>
        </w:rPr>
        <w:t>.</w:t>
      </w:r>
    </w:p>
    <w:p w14:paraId="08962A79" w14:textId="445F5871" w:rsidR="0050449D" w:rsidRPr="004920C6" w:rsidRDefault="0050449D" w:rsidP="0050449D">
      <w:pPr>
        <w:jc w:val="both"/>
        <w:rPr>
          <w:rFonts w:asciiTheme="minorHAnsi" w:hAnsiTheme="minorHAnsi" w:cstheme="minorHAnsi"/>
        </w:rPr>
      </w:pPr>
      <w:bookmarkStart w:id="5" w:name="_Hlk163546800"/>
      <w:r w:rsidRPr="004920C6">
        <w:rPr>
          <w:rFonts w:asciiTheme="minorHAnsi" w:hAnsiTheme="minorHAnsi" w:cstheme="minorHAnsi"/>
        </w:rPr>
        <w:t>Kromě</w:t>
      </w:r>
      <w:r w:rsidR="0065198B" w:rsidRPr="004920C6">
        <w:rPr>
          <w:rFonts w:asciiTheme="minorHAnsi" w:hAnsiTheme="minorHAnsi" w:cstheme="minorHAnsi"/>
        </w:rPr>
        <w:t xml:space="preserve"> toho</w:t>
      </w:r>
      <w:r w:rsidRPr="004920C6">
        <w:rPr>
          <w:rFonts w:asciiTheme="minorHAnsi" w:hAnsiTheme="minorHAnsi" w:cstheme="minorHAnsi"/>
        </w:rPr>
        <w:t xml:space="preserve"> MK na položku </w:t>
      </w:r>
      <w:r w:rsidRPr="005260DD">
        <w:rPr>
          <w:rFonts w:cs="Calibri"/>
        </w:rPr>
        <w:t>„</w:t>
      </w:r>
      <w:r w:rsidRPr="004920C6">
        <w:rPr>
          <w:rFonts w:asciiTheme="minorHAnsi" w:hAnsiTheme="minorHAnsi" w:cstheme="minorHAnsi"/>
          <w:i/>
          <w:iCs/>
        </w:rPr>
        <w:t>C.I. Peněžní toky vyplývající ze změny vlastního kapitálu</w:t>
      </w:r>
      <w:r w:rsidRPr="005260DD">
        <w:rPr>
          <w:rFonts w:asciiTheme="minorHAnsi" w:hAnsiTheme="minorHAnsi" w:cstheme="minorHAnsi"/>
        </w:rPr>
        <w:t>“</w:t>
      </w:r>
      <w:r w:rsidRPr="004920C6">
        <w:rPr>
          <w:rFonts w:asciiTheme="minorHAnsi" w:hAnsiTheme="minorHAnsi" w:cstheme="minorHAnsi"/>
          <w:i/>
          <w:iCs/>
        </w:rPr>
        <w:t xml:space="preserve"> </w:t>
      </w:r>
      <w:r w:rsidRPr="004920C6">
        <w:rPr>
          <w:rFonts w:asciiTheme="minorHAnsi" w:hAnsiTheme="minorHAnsi" w:cstheme="minorHAnsi"/>
        </w:rPr>
        <w:t>zahrnulo bezúplatné převody majetku,</w:t>
      </w:r>
      <w:r w:rsidR="003D567A"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ačkoliv</w:t>
      </w:r>
      <w:r w:rsidR="003D567A" w:rsidRPr="004920C6">
        <w:rPr>
          <w:rFonts w:asciiTheme="minorHAnsi" w:hAnsiTheme="minorHAnsi" w:cstheme="minorHAnsi"/>
        </w:rPr>
        <w:t xml:space="preserve"> z</w:t>
      </w:r>
      <w:r w:rsidR="00835003">
        <w:rPr>
          <w:rFonts w:asciiTheme="minorHAnsi" w:hAnsiTheme="minorHAnsi" w:cstheme="minorHAnsi"/>
        </w:rPr>
        <w:t xml:space="preserve"> </w:t>
      </w:r>
      <w:r w:rsidR="003D567A" w:rsidRPr="004920C6">
        <w:rPr>
          <w:rFonts w:asciiTheme="minorHAnsi" w:hAnsiTheme="minorHAnsi" w:cstheme="minorHAnsi"/>
        </w:rPr>
        <w:t>nich nevyplývaly žádné peněžní toky</w:t>
      </w:r>
      <w:r w:rsidRPr="004920C6">
        <w:rPr>
          <w:rStyle w:val="Znakapoznpodarou"/>
          <w:rFonts w:asciiTheme="minorHAnsi" w:hAnsiTheme="minorHAnsi" w:cstheme="minorHAnsi"/>
        </w:rPr>
        <w:footnoteReference w:id="23"/>
      </w:r>
      <w:r w:rsidRPr="004920C6">
        <w:rPr>
          <w:rFonts w:asciiTheme="minorHAnsi" w:hAnsiTheme="minorHAnsi" w:cstheme="minorHAnsi"/>
        </w:rPr>
        <w:t>. Souvztažně s</w:t>
      </w:r>
      <w:r w:rsidR="003D567A" w:rsidRPr="004920C6">
        <w:rPr>
          <w:rFonts w:asciiTheme="minorHAnsi" w:hAnsiTheme="minorHAnsi" w:cstheme="minorHAnsi"/>
        </w:rPr>
        <w:t> </w:t>
      </w:r>
      <w:r w:rsidRPr="004920C6">
        <w:rPr>
          <w:rFonts w:asciiTheme="minorHAnsi" w:hAnsiTheme="minorHAnsi" w:cstheme="minorHAnsi"/>
        </w:rPr>
        <w:t>tím</w:t>
      </w:r>
      <w:r w:rsidRPr="004920C6">
        <w:rPr>
          <w:rFonts w:cs="Calibri"/>
        </w:rPr>
        <w:t xml:space="preserve"> </w:t>
      </w:r>
      <w:r w:rsidR="003D567A" w:rsidRPr="004920C6">
        <w:rPr>
          <w:rFonts w:cs="Calibri"/>
        </w:rPr>
        <w:t xml:space="preserve">MK </w:t>
      </w:r>
      <w:r w:rsidRPr="004920C6">
        <w:rPr>
          <w:rFonts w:cs="Calibri"/>
        </w:rPr>
        <w:t>zkresl</w:t>
      </w:r>
      <w:r w:rsidR="003D567A" w:rsidRPr="004920C6">
        <w:rPr>
          <w:rFonts w:cs="Calibri"/>
        </w:rPr>
        <w:t>ilo</w:t>
      </w:r>
      <w:r w:rsidRPr="004920C6">
        <w:rPr>
          <w:rFonts w:cs="Calibri"/>
        </w:rPr>
        <w:t xml:space="preserve"> položk</w:t>
      </w:r>
      <w:r w:rsidR="003D567A" w:rsidRPr="004920C6">
        <w:rPr>
          <w:rFonts w:cs="Calibri"/>
        </w:rPr>
        <w:t>u</w:t>
      </w:r>
      <w:r w:rsidRPr="004920C6">
        <w:rPr>
          <w:rFonts w:cs="Calibri"/>
        </w:rPr>
        <w:t xml:space="preserve"> </w:t>
      </w:r>
      <w:r w:rsidRPr="005260DD">
        <w:rPr>
          <w:rFonts w:cs="Calibri"/>
        </w:rPr>
        <w:t>„</w:t>
      </w:r>
      <w:r w:rsidRPr="004920C6">
        <w:rPr>
          <w:rFonts w:cs="Calibri"/>
          <w:i/>
          <w:iCs/>
        </w:rPr>
        <w:t>A.I.6. Ostatní úpravy o nepeněžní operace</w:t>
      </w:r>
      <w:r w:rsidRPr="005260DD">
        <w:rPr>
          <w:rFonts w:cs="Calibri"/>
        </w:rPr>
        <w:t>“</w:t>
      </w:r>
      <w:r w:rsidRPr="004920C6">
        <w:rPr>
          <w:rFonts w:cs="Calibri"/>
        </w:rPr>
        <w:t>.</w:t>
      </w:r>
    </w:p>
    <w:bookmarkEnd w:id="5"/>
    <w:p w14:paraId="5AD4330E" w14:textId="1E470A3B" w:rsidR="0022156F" w:rsidRPr="004920C6" w:rsidRDefault="007A40E2" w:rsidP="00D968EC">
      <w:pPr>
        <w:spacing w:after="240"/>
        <w:jc w:val="both"/>
        <w:rPr>
          <w:rFonts w:cs="Calibri"/>
          <w:bCs/>
          <w:iCs/>
          <w:szCs w:val="22"/>
          <w:lang w:eastAsia="cs-CZ"/>
        </w:rPr>
      </w:pPr>
      <w:r w:rsidRPr="004920C6">
        <w:rPr>
          <w:rFonts w:cs="Calibri"/>
          <w:bCs/>
          <w:iCs/>
          <w:szCs w:val="22"/>
          <w:lang w:eastAsia="cs-CZ"/>
        </w:rPr>
        <w:t>Uveden</w:t>
      </w:r>
      <w:r w:rsidR="0057496F" w:rsidRPr="004920C6">
        <w:rPr>
          <w:rFonts w:cs="Calibri"/>
          <w:bCs/>
          <w:iCs/>
          <w:szCs w:val="22"/>
          <w:lang w:eastAsia="cs-CZ"/>
        </w:rPr>
        <w:t>é</w:t>
      </w:r>
      <w:r w:rsidRPr="004920C6">
        <w:rPr>
          <w:rFonts w:cs="Calibri"/>
          <w:bCs/>
          <w:iCs/>
          <w:szCs w:val="22"/>
          <w:lang w:eastAsia="cs-CZ"/>
        </w:rPr>
        <w:t xml:space="preserve"> skutečnost</w:t>
      </w:r>
      <w:r w:rsidR="0057496F" w:rsidRPr="004920C6">
        <w:rPr>
          <w:rFonts w:cs="Calibri"/>
          <w:bCs/>
          <w:iCs/>
          <w:szCs w:val="22"/>
          <w:lang w:eastAsia="cs-CZ"/>
        </w:rPr>
        <w:t>i</w:t>
      </w:r>
      <w:r w:rsidR="00014D77" w:rsidRPr="004920C6">
        <w:rPr>
          <w:rFonts w:cs="Calibri"/>
          <w:bCs/>
          <w:iCs/>
          <w:szCs w:val="22"/>
          <w:lang w:eastAsia="cs-CZ"/>
        </w:rPr>
        <w:t xml:space="preserve"> měl</w:t>
      </w:r>
      <w:r w:rsidR="0057496F" w:rsidRPr="004920C6">
        <w:rPr>
          <w:rFonts w:cs="Calibri"/>
          <w:bCs/>
          <w:iCs/>
          <w:szCs w:val="22"/>
          <w:lang w:eastAsia="cs-CZ"/>
        </w:rPr>
        <w:t>y</w:t>
      </w:r>
      <w:r w:rsidR="00014D77" w:rsidRPr="004920C6">
        <w:rPr>
          <w:rFonts w:cs="Calibri"/>
          <w:bCs/>
          <w:iCs/>
          <w:szCs w:val="22"/>
          <w:lang w:eastAsia="cs-CZ"/>
        </w:rPr>
        <w:t xml:space="preserve"> dopad na správnost vykázan</w:t>
      </w:r>
      <w:r w:rsidR="00A62D32" w:rsidRPr="004920C6">
        <w:rPr>
          <w:rFonts w:cs="Calibri"/>
          <w:bCs/>
          <w:iCs/>
          <w:szCs w:val="22"/>
          <w:lang w:eastAsia="cs-CZ"/>
        </w:rPr>
        <w:t>ých údajů</w:t>
      </w:r>
      <w:r w:rsidR="003559E9" w:rsidRPr="004920C6">
        <w:rPr>
          <w:rFonts w:cs="Calibri"/>
          <w:bCs/>
          <w:iCs/>
          <w:szCs w:val="22"/>
          <w:lang w:eastAsia="cs-CZ"/>
        </w:rPr>
        <w:t xml:space="preserve"> </w:t>
      </w:r>
      <w:r w:rsidR="006D15A0" w:rsidRPr="004920C6">
        <w:rPr>
          <w:rFonts w:cs="Calibri"/>
          <w:bCs/>
          <w:iCs/>
          <w:szCs w:val="22"/>
          <w:lang w:eastAsia="cs-CZ"/>
        </w:rPr>
        <w:t xml:space="preserve">účetní závěrky </w:t>
      </w:r>
      <w:r w:rsidR="00014D77" w:rsidRPr="004920C6">
        <w:rPr>
          <w:rFonts w:cs="Calibri"/>
          <w:bCs/>
          <w:iCs/>
          <w:szCs w:val="22"/>
          <w:lang w:eastAsia="cs-CZ"/>
        </w:rPr>
        <w:t>v</w:t>
      </w:r>
      <w:r w:rsidR="003559E9" w:rsidRPr="004920C6">
        <w:rPr>
          <w:rFonts w:cs="Calibri"/>
          <w:bCs/>
          <w:iCs/>
          <w:szCs w:val="22"/>
          <w:lang w:eastAsia="cs-CZ"/>
        </w:rPr>
        <w:t> přehledu o</w:t>
      </w:r>
      <w:r w:rsidR="00A62D32" w:rsidRPr="004920C6">
        <w:rPr>
          <w:rFonts w:cs="Calibri"/>
          <w:bCs/>
          <w:iCs/>
          <w:szCs w:val="22"/>
          <w:lang w:eastAsia="cs-CZ"/>
        </w:rPr>
        <w:t> </w:t>
      </w:r>
      <w:r w:rsidR="003559E9" w:rsidRPr="004920C6">
        <w:rPr>
          <w:rFonts w:cs="Calibri"/>
          <w:bCs/>
          <w:iCs/>
          <w:szCs w:val="22"/>
          <w:lang w:eastAsia="cs-CZ"/>
        </w:rPr>
        <w:t>peněžních tocích</w:t>
      </w:r>
      <w:r w:rsidR="00F74464" w:rsidRPr="004920C6">
        <w:rPr>
          <w:rFonts w:cs="Calibri"/>
          <w:bCs/>
          <w:iCs/>
          <w:szCs w:val="22"/>
          <w:lang w:eastAsia="cs-CZ"/>
        </w:rPr>
        <w:t xml:space="preserve"> za rok 202</w:t>
      </w:r>
      <w:r w:rsidR="0057496F" w:rsidRPr="004920C6">
        <w:rPr>
          <w:rFonts w:cs="Calibri"/>
          <w:bCs/>
          <w:iCs/>
          <w:szCs w:val="22"/>
          <w:lang w:eastAsia="cs-CZ"/>
        </w:rPr>
        <w:t>4</w:t>
      </w:r>
      <w:r w:rsidR="00014D77" w:rsidRPr="004920C6">
        <w:rPr>
          <w:rFonts w:cs="Calibri"/>
          <w:bCs/>
          <w:iCs/>
          <w:szCs w:val="22"/>
          <w:lang w:eastAsia="cs-CZ"/>
        </w:rPr>
        <w:t>,</w:t>
      </w:r>
      <w:r w:rsidR="00021C4D" w:rsidRPr="004920C6">
        <w:rPr>
          <w:rFonts w:cs="Calibri"/>
          <w:bCs/>
          <w:iCs/>
          <w:szCs w:val="22"/>
          <w:lang w:eastAsia="cs-CZ"/>
        </w:rPr>
        <w:t xml:space="preserve"> </w:t>
      </w:r>
      <w:r w:rsidRPr="004920C6">
        <w:rPr>
          <w:rFonts w:cs="Calibri"/>
          <w:bCs/>
          <w:iCs/>
          <w:szCs w:val="22"/>
          <w:lang w:eastAsia="cs-CZ"/>
        </w:rPr>
        <w:t>a to</w:t>
      </w:r>
      <w:r w:rsidR="006D15A0" w:rsidRPr="004920C6">
        <w:rPr>
          <w:rFonts w:cs="Calibri"/>
          <w:bCs/>
          <w:iCs/>
          <w:szCs w:val="22"/>
          <w:lang w:eastAsia="cs-CZ"/>
        </w:rPr>
        <w:t xml:space="preserve"> </w:t>
      </w:r>
      <w:r w:rsidR="00F74464" w:rsidRPr="004920C6">
        <w:rPr>
          <w:rFonts w:cs="Calibri"/>
          <w:bCs/>
          <w:iCs/>
          <w:szCs w:val="22"/>
          <w:lang w:eastAsia="cs-CZ"/>
        </w:rPr>
        <w:t>polož</w:t>
      </w:r>
      <w:r w:rsidR="0057496F" w:rsidRPr="004920C6">
        <w:rPr>
          <w:rFonts w:cs="Calibri"/>
          <w:bCs/>
          <w:iCs/>
          <w:szCs w:val="22"/>
          <w:lang w:eastAsia="cs-CZ"/>
        </w:rPr>
        <w:t>ek</w:t>
      </w:r>
      <w:r w:rsidR="00F74464" w:rsidRPr="004920C6">
        <w:rPr>
          <w:rFonts w:cs="Calibri"/>
          <w:bCs/>
          <w:iCs/>
          <w:szCs w:val="22"/>
          <w:lang w:eastAsia="cs-CZ"/>
        </w:rPr>
        <w:t xml:space="preserve"> </w:t>
      </w:r>
      <w:r w:rsidR="0057496F" w:rsidRPr="005260DD">
        <w:rPr>
          <w:rFonts w:asciiTheme="minorHAnsi" w:hAnsiTheme="minorHAnsi" w:cstheme="minorHAnsi"/>
          <w:iCs/>
        </w:rPr>
        <w:t>„</w:t>
      </w:r>
      <w:r w:rsidR="0057496F" w:rsidRPr="004920C6">
        <w:rPr>
          <w:rFonts w:asciiTheme="minorHAnsi" w:hAnsiTheme="minorHAnsi" w:cstheme="minorHAnsi"/>
          <w:i/>
        </w:rPr>
        <w:t>A.II.2. Změna stavu krátkodobých závazků</w:t>
      </w:r>
      <w:r w:rsidR="0057496F" w:rsidRPr="005260DD">
        <w:rPr>
          <w:rFonts w:asciiTheme="minorHAnsi" w:hAnsiTheme="minorHAnsi" w:cstheme="minorHAnsi"/>
          <w:iCs/>
        </w:rPr>
        <w:t>“</w:t>
      </w:r>
      <w:r w:rsidR="0057496F" w:rsidRPr="004920C6">
        <w:rPr>
          <w:rFonts w:cs="Calibri"/>
          <w:bCs/>
          <w:iCs/>
          <w:szCs w:val="22"/>
          <w:lang w:eastAsia="cs-CZ"/>
        </w:rPr>
        <w:t xml:space="preserve"> </w:t>
      </w:r>
      <w:r w:rsidR="0057496F" w:rsidRPr="004920C6">
        <w:rPr>
          <w:rFonts w:asciiTheme="minorHAnsi" w:hAnsiTheme="minorHAnsi" w:cstheme="minorHAnsi"/>
        </w:rPr>
        <w:t>(podhodnocena o 462,2 tis. Kč)</w:t>
      </w:r>
      <w:r w:rsidR="0057496F" w:rsidRPr="004920C6">
        <w:rPr>
          <w:rFonts w:cs="Calibri"/>
          <w:bCs/>
          <w:iCs/>
          <w:szCs w:val="22"/>
          <w:lang w:eastAsia="cs-CZ"/>
        </w:rPr>
        <w:t xml:space="preserve">, </w:t>
      </w:r>
      <w:r w:rsidR="00F74464" w:rsidRPr="004920C6">
        <w:rPr>
          <w:rFonts w:cs="Calibri"/>
          <w:bCs/>
          <w:iCs/>
          <w:szCs w:val="22"/>
          <w:lang w:eastAsia="cs-CZ"/>
        </w:rPr>
        <w:t>„</w:t>
      </w:r>
      <w:r w:rsidR="00F74464" w:rsidRPr="004920C6">
        <w:rPr>
          <w:rFonts w:asciiTheme="minorHAnsi" w:hAnsiTheme="minorHAnsi" w:cstheme="minorHAnsi"/>
          <w:i/>
          <w:iCs/>
        </w:rPr>
        <w:t>B.I. Výdaje na pořízení dlouhodobých aktiv</w:t>
      </w:r>
      <w:r w:rsidR="00F74464" w:rsidRPr="004920C6">
        <w:rPr>
          <w:rFonts w:asciiTheme="minorHAnsi" w:hAnsiTheme="minorHAnsi" w:cstheme="minorHAnsi"/>
        </w:rPr>
        <w:t xml:space="preserve">“ (nadhodnocena o </w:t>
      </w:r>
      <w:r w:rsidR="0057496F" w:rsidRPr="004920C6">
        <w:rPr>
          <w:rFonts w:asciiTheme="minorHAnsi" w:hAnsiTheme="minorHAnsi" w:cstheme="minorHAnsi"/>
        </w:rPr>
        <w:t>462</w:t>
      </w:r>
      <w:r w:rsidR="00F74464" w:rsidRPr="004920C6">
        <w:rPr>
          <w:rFonts w:asciiTheme="minorHAnsi" w:hAnsiTheme="minorHAnsi" w:cstheme="minorHAnsi"/>
        </w:rPr>
        <w:t>,</w:t>
      </w:r>
      <w:r w:rsidR="0057496F" w:rsidRPr="004920C6">
        <w:rPr>
          <w:rFonts w:asciiTheme="minorHAnsi" w:hAnsiTheme="minorHAnsi" w:cstheme="minorHAnsi"/>
        </w:rPr>
        <w:t>2</w:t>
      </w:r>
      <w:r w:rsidR="00F74464" w:rsidRPr="004920C6">
        <w:rPr>
          <w:rFonts w:asciiTheme="minorHAnsi" w:hAnsiTheme="minorHAnsi" w:cstheme="minorHAnsi"/>
        </w:rPr>
        <w:t xml:space="preserve"> tis. Kč)</w:t>
      </w:r>
      <w:r w:rsidR="0057496F" w:rsidRPr="004920C6">
        <w:rPr>
          <w:rFonts w:asciiTheme="minorHAnsi" w:hAnsiTheme="minorHAnsi" w:cstheme="minorHAnsi"/>
        </w:rPr>
        <w:t xml:space="preserve">, </w:t>
      </w:r>
      <w:r w:rsidR="0050449D" w:rsidRPr="005260DD">
        <w:rPr>
          <w:rFonts w:cs="Calibri"/>
        </w:rPr>
        <w:t>„</w:t>
      </w:r>
      <w:r w:rsidR="0050449D" w:rsidRPr="004920C6">
        <w:rPr>
          <w:rFonts w:asciiTheme="minorHAnsi" w:hAnsiTheme="minorHAnsi" w:cstheme="minorHAnsi"/>
          <w:i/>
          <w:iCs/>
        </w:rPr>
        <w:t>C.I. Peněžní toky vyplývající ze změny vlastního kapitálu</w:t>
      </w:r>
      <w:r w:rsidR="0050449D" w:rsidRPr="005260DD">
        <w:rPr>
          <w:rFonts w:asciiTheme="minorHAnsi" w:hAnsiTheme="minorHAnsi" w:cstheme="minorHAnsi"/>
        </w:rPr>
        <w:t>“</w:t>
      </w:r>
      <w:r w:rsidR="0050449D" w:rsidRPr="004920C6">
        <w:rPr>
          <w:rFonts w:asciiTheme="minorHAnsi" w:hAnsiTheme="minorHAnsi" w:cstheme="minorHAnsi"/>
          <w:i/>
          <w:iCs/>
        </w:rPr>
        <w:t xml:space="preserve"> </w:t>
      </w:r>
      <w:r w:rsidR="0050449D" w:rsidRPr="004920C6">
        <w:rPr>
          <w:rFonts w:asciiTheme="minorHAnsi" w:hAnsiTheme="minorHAnsi" w:cstheme="minorHAnsi"/>
        </w:rPr>
        <w:t xml:space="preserve">(podhodnocena o 372,3 tis. Kč) a </w:t>
      </w:r>
      <w:r w:rsidR="0050449D" w:rsidRPr="005260DD">
        <w:rPr>
          <w:rFonts w:cs="Calibri"/>
        </w:rPr>
        <w:t>„</w:t>
      </w:r>
      <w:r w:rsidR="0050449D" w:rsidRPr="004920C6">
        <w:rPr>
          <w:rFonts w:cs="Calibri"/>
          <w:i/>
          <w:iCs/>
        </w:rPr>
        <w:t>A.I.6. Ostatní úpravy o nepeněžní operace</w:t>
      </w:r>
      <w:r w:rsidR="0050449D" w:rsidRPr="005260DD">
        <w:rPr>
          <w:rFonts w:cs="Calibri"/>
        </w:rPr>
        <w:t xml:space="preserve">“ </w:t>
      </w:r>
      <w:r w:rsidR="0050449D" w:rsidRPr="00C01A6F">
        <w:rPr>
          <w:rFonts w:cs="Calibri"/>
        </w:rPr>
        <w:t>(</w:t>
      </w:r>
      <w:r w:rsidR="0050449D" w:rsidRPr="004920C6">
        <w:rPr>
          <w:rFonts w:cs="Calibri"/>
        </w:rPr>
        <w:t>nadhodnocena o 372,3 tis. Kč)</w:t>
      </w:r>
      <w:r w:rsidR="00F74464" w:rsidRPr="004920C6">
        <w:rPr>
          <w:rFonts w:cs="Calibri"/>
          <w:bCs/>
          <w:iCs/>
          <w:szCs w:val="22"/>
          <w:lang w:eastAsia="cs-CZ"/>
        </w:rPr>
        <w:t>.</w:t>
      </w:r>
    </w:p>
    <w:p w14:paraId="5816A0BB" w14:textId="0DCB5841" w:rsidR="0090755D" w:rsidRPr="004920C6" w:rsidRDefault="00310275" w:rsidP="00CA7B8E">
      <w:pPr>
        <w:pStyle w:val="Styl2"/>
        <w:numPr>
          <w:ilvl w:val="0"/>
          <w:numId w:val="0"/>
        </w:numPr>
        <w:spacing w:after="120"/>
        <w:ind w:left="284" w:hanging="284"/>
      </w:pPr>
      <w:r w:rsidRPr="004920C6">
        <w:t xml:space="preserve">1.3 </w:t>
      </w:r>
      <w:r w:rsidR="003F65AE" w:rsidRPr="004920C6">
        <w:t>S</w:t>
      </w:r>
      <w:r w:rsidR="0090755D" w:rsidRPr="004920C6">
        <w:t>polehlivost údajů ÚZ</w:t>
      </w:r>
    </w:p>
    <w:p w14:paraId="77210C6F" w14:textId="35BE99D7" w:rsidR="00CB5F84" w:rsidRPr="004920C6" w:rsidRDefault="00CB5F84" w:rsidP="0009634E">
      <w:pPr>
        <w:widowControl w:val="0"/>
        <w:spacing w:before="120"/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</w:rPr>
        <w:t>Údaje ÚZ byly vykázány v</w:t>
      </w:r>
      <w:r w:rsidR="00811250"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rozvaze,</w:t>
      </w:r>
      <w:r w:rsidR="003D1832" w:rsidRPr="004920C6">
        <w:rPr>
          <w:rFonts w:asciiTheme="minorHAnsi" w:hAnsiTheme="minorHAnsi" w:cstheme="minorHAnsi"/>
        </w:rPr>
        <w:t xml:space="preserve"> ve</w:t>
      </w:r>
      <w:r w:rsidRPr="004920C6">
        <w:rPr>
          <w:rFonts w:asciiTheme="minorHAnsi" w:hAnsiTheme="minorHAnsi" w:cstheme="minorHAnsi"/>
        </w:rPr>
        <w:t xml:space="preserve"> výkazu zisku a ztráty,</w:t>
      </w:r>
      <w:r w:rsidR="00583C50" w:rsidRPr="004920C6">
        <w:rPr>
          <w:rFonts w:asciiTheme="minorHAnsi" w:hAnsiTheme="minorHAnsi" w:cstheme="minorHAnsi"/>
        </w:rPr>
        <w:t xml:space="preserve"> v</w:t>
      </w:r>
      <w:r w:rsidRPr="004920C6">
        <w:rPr>
          <w:rFonts w:asciiTheme="minorHAnsi" w:hAnsiTheme="minorHAnsi" w:cstheme="minorHAnsi"/>
        </w:rPr>
        <w:t xml:space="preserve"> přehledu o peněžních tocích, </w:t>
      </w:r>
      <w:r w:rsidR="008349E7" w:rsidRPr="004920C6">
        <w:rPr>
          <w:rFonts w:asciiTheme="minorHAnsi" w:hAnsiTheme="minorHAnsi" w:cstheme="minorHAnsi"/>
        </w:rPr>
        <w:t>v</w:t>
      </w:r>
      <w:r w:rsidR="008F0153" w:rsidRPr="004920C6">
        <w:rPr>
          <w:rFonts w:asciiTheme="minorHAnsi" w:hAnsiTheme="minorHAnsi" w:cstheme="minorHAnsi"/>
        </w:rPr>
        <w:t> </w:t>
      </w:r>
      <w:r w:rsidRPr="004920C6">
        <w:rPr>
          <w:rFonts w:asciiTheme="minorHAnsi" w:hAnsiTheme="minorHAnsi" w:cstheme="minorHAnsi"/>
        </w:rPr>
        <w:t>přehledu o změnách vlastního kapitálu a v příloze.</w:t>
      </w:r>
    </w:p>
    <w:p w14:paraId="49E6EABF" w14:textId="6EE336CE" w:rsidR="001A391B" w:rsidRPr="004920C6" w:rsidRDefault="001A391B" w:rsidP="0009634E">
      <w:pPr>
        <w:widowControl w:val="0"/>
        <w:spacing w:before="120"/>
        <w:jc w:val="both"/>
        <w:rPr>
          <w:rFonts w:asciiTheme="minorHAnsi" w:hAnsiTheme="minorHAnsi" w:cstheme="minorHAnsi"/>
          <w:spacing w:val="-2"/>
        </w:rPr>
      </w:pPr>
      <w:r w:rsidRPr="004920C6">
        <w:rPr>
          <w:rFonts w:cs="Calibri"/>
        </w:rPr>
        <w:t>Pro vyhodnocení spolehlivosti údajů ÚZ byla stanovena hladina významnosti</w:t>
      </w:r>
      <w:r w:rsidR="00904246" w:rsidRPr="004920C6">
        <w:rPr>
          <w:rStyle w:val="Znakapoznpodarou"/>
          <w:rFonts w:cs="Calibri"/>
        </w:rPr>
        <w:footnoteReference w:id="24"/>
      </w:r>
      <w:r w:rsidRPr="004920C6">
        <w:rPr>
          <w:rFonts w:cs="Calibri"/>
        </w:rPr>
        <w:t xml:space="preserve"> ve výši </w:t>
      </w:r>
      <w:r w:rsidR="00BF3D02" w:rsidRPr="004920C6">
        <w:rPr>
          <w:rFonts w:cs="Calibri"/>
        </w:rPr>
        <w:t>390</w:t>
      </w:r>
      <w:r w:rsidR="00767853" w:rsidRPr="004920C6">
        <w:rPr>
          <w:rFonts w:cs="Calibri"/>
        </w:rPr>
        <w:t> </w:t>
      </w:r>
      <w:r w:rsidRPr="004920C6">
        <w:rPr>
          <w:rFonts w:cs="Calibri"/>
        </w:rPr>
        <w:t>mil.</w:t>
      </w:r>
      <w:r w:rsidR="00767853" w:rsidRPr="004920C6">
        <w:rPr>
          <w:rFonts w:cs="Calibri"/>
        </w:rPr>
        <w:t> </w:t>
      </w:r>
      <w:r w:rsidRPr="004920C6">
        <w:rPr>
          <w:rFonts w:cs="Calibri"/>
        </w:rPr>
        <w:t>Kč</w:t>
      </w:r>
      <w:r w:rsidR="00904246" w:rsidRPr="004920C6">
        <w:rPr>
          <w:rStyle w:val="Znakapoznpodarou"/>
          <w:rFonts w:cs="Calibri"/>
        </w:rPr>
        <w:footnoteReference w:id="25"/>
      </w:r>
      <w:r w:rsidRPr="004920C6">
        <w:rPr>
          <w:rFonts w:cs="Calibri"/>
        </w:rPr>
        <w:t>.</w:t>
      </w:r>
    </w:p>
    <w:p w14:paraId="3AC874EF" w14:textId="07AB275B" w:rsidR="002C44C1" w:rsidRPr="004920C6" w:rsidRDefault="00350785" w:rsidP="00247F88">
      <w:pPr>
        <w:spacing w:before="120"/>
        <w:jc w:val="both"/>
        <w:rPr>
          <w:rFonts w:asciiTheme="minorHAnsi" w:hAnsiTheme="minorHAnsi" w:cstheme="minorHAnsi"/>
          <w:spacing w:val="-2"/>
        </w:rPr>
      </w:pPr>
      <w:r w:rsidRPr="004920C6">
        <w:rPr>
          <w:rFonts w:asciiTheme="minorHAnsi" w:hAnsiTheme="minorHAnsi" w:cstheme="minorHAnsi"/>
          <w:spacing w:val="-2"/>
        </w:rPr>
        <w:t>V</w:t>
      </w:r>
      <w:r w:rsidR="00CF05CF" w:rsidRPr="004920C6">
        <w:rPr>
          <w:rFonts w:asciiTheme="minorHAnsi" w:hAnsiTheme="minorHAnsi" w:cstheme="minorHAnsi"/>
          <w:spacing w:val="-2"/>
        </w:rPr>
        <w:t> účetní závěrce</w:t>
      </w:r>
      <w:r w:rsidRPr="004920C6">
        <w:rPr>
          <w:rFonts w:eastAsia="Calibri" w:cs="Calibri"/>
        </w:rPr>
        <w:t xml:space="preserve"> </w:t>
      </w:r>
      <w:r w:rsidR="00EE2D5D" w:rsidRPr="004920C6">
        <w:rPr>
          <w:rFonts w:eastAsia="Calibri" w:cs="Calibri"/>
        </w:rPr>
        <w:t>sestavené po provedení oprav</w:t>
      </w:r>
      <w:r w:rsidR="00CB5F84" w:rsidRPr="004920C6">
        <w:rPr>
          <w:rFonts w:eastAsia="Calibri" w:cs="Calibri"/>
        </w:rPr>
        <w:t xml:space="preserve"> </w:t>
      </w:r>
      <w:r w:rsidR="00583C50" w:rsidRPr="004920C6">
        <w:rPr>
          <w:rFonts w:eastAsia="Calibri" w:cs="Calibri"/>
        </w:rPr>
        <w:t>(</w:t>
      </w:r>
      <w:r w:rsidR="00EA7DFB" w:rsidRPr="004920C6">
        <w:rPr>
          <w:rFonts w:eastAsia="Calibri" w:cs="Calibri"/>
        </w:rPr>
        <w:t>viz</w:t>
      </w:r>
      <w:r w:rsidR="00CB5F84" w:rsidRPr="004920C6">
        <w:rPr>
          <w:rFonts w:eastAsia="Calibri" w:cs="Calibri"/>
        </w:rPr>
        <w:t> část IV.</w:t>
      </w:r>
      <w:r w:rsidR="00D429A9" w:rsidRPr="004920C6">
        <w:rPr>
          <w:rFonts w:eastAsia="Calibri" w:cs="Calibri"/>
        </w:rPr>
        <w:t>1.1</w:t>
      </w:r>
      <w:r w:rsidR="000975DE" w:rsidRPr="004920C6">
        <w:rPr>
          <w:rFonts w:eastAsia="Calibri" w:cs="Calibri"/>
        </w:rPr>
        <w:t xml:space="preserve"> tohoto kontrolního závěru</w:t>
      </w:r>
      <w:r w:rsidR="00583C50" w:rsidRPr="004920C6">
        <w:rPr>
          <w:rFonts w:eastAsia="Calibri" w:cs="Calibri"/>
        </w:rPr>
        <w:t>)</w:t>
      </w:r>
      <w:r w:rsidR="004E0006" w:rsidRPr="004920C6">
        <w:rPr>
          <w:rFonts w:eastAsia="Calibri" w:cs="Calibri"/>
        </w:rPr>
        <w:t xml:space="preserve"> </w:t>
      </w:r>
      <w:r w:rsidR="00F52D61">
        <w:rPr>
          <w:rFonts w:eastAsia="Calibri" w:cs="Calibri"/>
        </w:rPr>
        <w:t>NKÚ</w:t>
      </w:r>
      <w:r w:rsidR="003F4DEB" w:rsidRPr="004920C6">
        <w:rPr>
          <w:rFonts w:eastAsia="Calibri" w:cs="Calibri"/>
        </w:rPr>
        <w:t xml:space="preserve"> zjistil</w:t>
      </w:r>
      <w:r w:rsidRPr="004920C6">
        <w:rPr>
          <w:rFonts w:asciiTheme="minorHAnsi" w:hAnsiTheme="minorHAnsi" w:cstheme="minorHAnsi"/>
          <w:spacing w:val="-2"/>
        </w:rPr>
        <w:t>, že</w:t>
      </w:r>
      <w:r w:rsidR="00793533" w:rsidRPr="004920C6">
        <w:rPr>
          <w:rFonts w:asciiTheme="minorHAnsi" w:hAnsiTheme="minorHAnsi" w:cstheme="minorHAnsi"/>
          <w:spacing w:val="-2"/>
        </w:rPr>
        <w:t xml:space="preserve"> MK</w:t>
      </w:r>
      <w:r w:rsidR="00284952" w:rsidRPr="004920C6">
        <w:rPr>
          <w:rFonts w:asciiTheme="minorHAnsi" w:hAnsiTheme="minorHAnsi" w:cstheme="minorHAnsi"/>
          <w:spacing w:val="-2"/>
        </w:rPr>
        <w:t xml:space="preserve"> nevykázal</w:t>
      </w:r>
      <w:r w:rsidR="00793533" w:rsidRPr="004920C6">
        <w:rPr>
          <w:rFonts w:asciiTheme="minorHAnsi" w:hAnsiTheme="minorHAnsi" w:cstheme="minorHAnsi"/>
          <w:spacing w:val="-2"/>
        </w:rPr>
        <w:t>o</w:t>
      </w:r>
      <w:r w:rsidRPr="004920C6">
        <w:rPr>
          <w:rFonts w:asciiTheme="minorHAnsi" w:hAnsiTheme="minorHAnsi" w:cstheme="minorHAnsi"/>
          <w:spacing w:val="-2"/>
        </w:rPr>
        <w:t xml:space="preserve"> některé informace v</w:t>
      </w:r>
      <w:r w:rsidR="00AC7770" w:rsidRPr="004920C6">
        <w:rPr>
          <w:rFonts w:asciiTheme="minorHAnsi" w:hAnsiTheme="minorHAnsi" w:cstheme="minorHAnsi"/>
          <w:spacing w:val="-2"/>
        </w:rPr>
        <w:t xml:space="preserve"> </w:t>
      </w:r>
      <w:r w:rsidRPr="004920C6">
        <w:rPr>
          <w:rFonts w:asciiTheme="minorHAnsi" w:hAnsiTheme="minorHAnsi" w:cstheme="minorHAnsi"/>
          <w:spacing w:val="-2"/>
        </w:rPr>
        <w:t>souladu s</w:t>
      </w:r>
      <w:r w:rsidR="004B62F9" w:rsidRPr="004920C6">
        <w:rPr>
          <w:rFonts w:asciiTheme="minorHAnsi" w:hAnsiTheme="minorHAnsi" w:cstheme="minorHAnsi"/>
          <w:spacing w:val="-2"/>
        </w:rPr>
        <w:t> </w:t>
      </w:r>
      <w:r w:rsidRPr="004920C6">
        <w:rPr>
          <w:rFonts w:asciiTheme="minorHAnsi" w:hAnsiTheme="minorHAnsi" w:cstheme="minorHAnsi"/>
          <w:spacing w:val="-2"/>
        </w:rPr>
        <w:t>právními předpisy upravujícími vedení účetnictví</w:t>
      </w:r>
      <w:r w:rsidR="008F6632" w:rsidRPr="004920C6">
        <w:rPr>
          <w:rFonts w:asciiTheme="minorHAnsi" w:hAnsiTheme="minorHAnsi" w:cstheme="minorHAnsi"/>
          <w:spacing w:val="-2"/>
        </w:rPr>
        <w:t xml:space="preserve"> </w:t>
      </w:r>
      <w:r w:rsidR="004B62F9" w:rsidRPr="004920C6">
        <w:rPr>
          <w:rFonts w:asciiTheme="minorHAnsi" w:hAnsiTheme="minorHAnsi" w:cstheme="minorHAnsi"/>
          <w:spacing w:val="-2"/>
        </w:rPr>
        <w:t xml:space="preserve">a účetní výkaznictví </w:t>
      </w:r>
      <w:r w:rsidR="008F6632" w:rsidRPr="004920C6">
        <w:rPr>
          <w:rFonts w:asciiTheme="minorHAnsi" w:hAnsiTheme="minorHAnsi" w:cstheme="minorHAnsi"/>
          <w:spacing w:val="-2"/>
        </w:rPr>
        <w:t>(viz část IV.1.2</w:t>
      </w:r>
      <w:r w:rsidR="00FD5461" w:rsidRPr="004920C6">
        <w:rPr>
          <w:rFonts w:eastAsia="Calibri" w:cs="Calibri"/>
        </w:rPr>
        <w:t xml:space="preserve"> tohoto kontrolního závěru</w:t>
      </w:r>
      <w:r w:rsidR="008F6632" w:rsidRPr="004920C6">
        <w:rPr>
          <w:rFonts w:asciiTheme="minorHAnsi" w:hAnsiTheme="minorHAnsi" w:cstheme="minorHAnsi"/>
          <w:spacing w:val="-2"/>
        </w:rPr>
        <w:t>)</w:t>
      </w:r>
      <w:r w:rsidR="00284952" w:rsidRPr="004920C6">
        <w:rPr>
          <w:rFonts w:asciiTheme="minorHAnsi" w:hAnsiTheme="minorHAnsi" w:cstheme="minorHAnsi"/>
          <w:spacing w:val="-2"/>
        </w:rPr>
        <w:t>. Jednalo se</w:t>
      </w:r>
      <w:r w:rsidRPr="004920C6">
        <w:rPr>
          <w:rFonts w:asciiTheme="minorHAnsi" w:hAnsiTheme="minorHAnsi" w:cstheme="minorHAnsi"/>
          <w:spacing w:val="-2"/>
        </w:rPr>
        <w:t xml:space="preserve"> </w:t>
      </w:r>
      <w:r w:rsidR="00284952" w:rsidRPr="004920C6">
        <w:rPr>
          <w:rFonts w:asciiTheme="minorHAnsi" w:hAnsiTheme="minorHAnsi" w:cstheme="minorHAnsi"/>
          <w:spacing w:val="-2"/>
        </w:rPr>
        <w:t>o</w:t>
      </w:r>
      <w:r w:rsidR="00826D07" w:rsidRPr="004920C6">
        <w:rPr>
          <w:rFonts w:asciiTheme="minorHAnsi" w:hAnsiTheme="minorHAnsi" w:cstheme="minorHAnsi"/>
          <w:spacing w:val="-2"/>
        </w:rPr>
        <w:t xml:space="preserve"> </w:t>
      </w:r>
      <w:r w:rsidRPr="004920C6">
        <w:rPr>
          <w:rFonts w:asciiTheme="minorHAnsi" w:hAnsiTheme="minorHAnsi" w:cstheme="minorHAnsi"/>
          <w:spacing w:val="-2"/>
        </w:rPr>
        <w:t>údaj</w:t>
      </w:r>
      <w:r w:rsidR="00284952" w:rsidRPr="004920C6">
        <w:rPr>
          <w:rFonts w:asciiTheme="minorHAnsi" w:hAnsiTheme="minorHAnsi" w:cstheme="minorHAnsi"/>
          <w:spacing w:val="-2"/>
        </w:rPr>
        <w:t>e</w:t>
      </w:r>
      <w:r w:rsidRPr="004920C6">
        <w:rPr>
          <w:rFonts w:asciiTheme="minorHAnsi" w:hAnsiTheme="minorHAnsi" w:cstheme="minorHAnsi"/>
          <w:spacing w:val="-2"/>
        </w:rPr>
        <w:t xml:space="preserve"> za běžné účetní období v celkové výši</w:t>
      </w:r>
      <w:r w:rsidR="004B62F9" w:rsidRPr="004920C6">
        <w:rPr>
          <w:rFonts w:asciiTheme="minorHAnsi" w:hAnsiTheme="minorHAnsi" w:cstheme="minorHAnsi"/>
          <w:spacing w:val="-2"/>
        </w:rPr>
        <w:t xml:space="preserve"> </w:t>
      </w:r>
      <w:r w:rsidR="00793533" w:rsidRPr="004920C6">
        <w:rPr>
          <w:rFonts w:asciiTheme="minorHAnsi" w:hAnsiTheme="minorHAnsi" w:cstheme="minorHAnsi"/>
          <w:spacing w:val="-2"/>
        </w:rPr>
        <w:t>834</w:t>
      </w:r>
      <w:r w:rsidR="004B62F9" w:rsidRPr="004920C6">
        <w:rPr>
          <w:rFonts w:asciiTheme="minorHAnsi" w:hAnsiTheme="minorHAnsi" w:cstheme="minorHAnsi"/>
          <w:spacing w:val="-2"/>
        </w:rPr>
        <w:t>,5 tis.</w:t>
      </w:r>
      <w:r w:rsidRPr="004920C6">
        <w:rPr>
          <w:rFonts w:asciiTheme="minorHAnsi" w:hAnsiTheme="minorHAnsi" w:cstheme="minorHAnsi"/>
          <w:spacing w:val="-2"/>
        </w:rPr>
        <w:t xml:space="preserve"> Kč v rozsahu uvedeném v následující tabulce.</w:t>
      </w:r>
    </w:p>
    <w:p w14:paraId="373ABC9B" w14:textId="4752DC74" w:rsidR="00DE6218" w:rsidRPr="004920C6" w:rsidRDefault="00DE6218" w:rsidP="003B783C">
      <w:pPr>
        <w:pStyle w:val="Titulek"/>
        <w:tabs>
          <w:tab w:val="right" w:pos="9070"/>
        </w:tabs>
        <w:spacing w:before="120" w:after="40"/>
      </w:pPr>
      <w:r w:rsidRPr="004920C6">
        <w:lastRenderedPageBreak/>
        <w:t xml:space="preserve">Tabulka č. </w:t>
      </w:r>
      <w:fldSimple w:instr=" SEQ Tabulka_č. \* ARABIC ">
        <w:r w:rsidR="00752E21">
          <w:rPr>
            <w:noProof/>
          </w:rPr>
          <w:t>4</w:t>
        </w:r>
      </w:fldSimple>
      <w:r w:rsidRPr="004920C6">
        <w:t>: Přehled vyčíslených nesprávností zjištěných v údajích ÚZ</w:t>
      </w:r>
      <w:r w:rsidR="004B62F9" w:rsidRPr="004920C6">
        <w:t xml:space="preserve"> </w:t>
      </w:r>
      <w:r w:rsidR="00826D07" w:rsidRPr="004920C6">
        <w:tab/>
      </w:r>
      <w:r w:rsidR="004B62F9" w:rsidRPr="004920C6">
        <w:t>(v tis. Kč)</w:t>
      </w:r>
    </w:p>
    <w:tbl>
      <w:tblPr>
        <w:tblW w:w="906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701"/>
        <w:gridCol w:w="1701"/>
        <w:gridCol w:w="1842"/>
      </w:tblGrid>
      <w:tr w:rsidR="00F67192" w:rsidRPr="004920C6" w14:paraId="3D52AD8F" w14:textId="77777777" w:rsidTr="002208E5">
        <w:trPr>
          <w:trHeight w:val="255"/>
          <w:tblHeader/>
          <w:jc w:val="center"/>
        </w:trPr>
        <w:tc>
          <w:tcPr>
            <w:tcW w:w="3823" w:type="dxa"/>
            <w:vMerge w:val="restart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26098" w14:textId="77777777" w:rsidR="00F67192" w:rsidRPr="004920C6" w:rsidRDefault="00F67192" w:rsidP="005C513C">
            <w:pPr>
              <w:keepNext/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Účetní výkaz</w:t>
            </w:r>
          </w:p>
        </w:tc>
        <w:tc>
          <w:tcPr>
            <w:tcW w:w="3402" w:type="dxa"/>
            <w:gridSpan w:val="2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0A2B3" w14:textId="77777777" w:rsidR="00F67192" w:rsidRPr="004920C6" w:rsidRDefault="00F67192" w:rsidP="005C513C">
            <w:pPr>
              <w:keepNext/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Hodnotová chyba</w:t>
            </w:r>
          </w:p>
        </w:tc>
        <w:tc>
          <w:tcPr>
            <w:tcW w:w="1842" w:type="dxa"/>
            <w:vMerge w:val="restart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0E940F" w14:textId="77777777" w:rsidR="004B62F9" w:rsidRPr="004920C6" w:rsidRDefault="00F67192" w:rsidP="004B62F9">
            <w:pPr>
              <w:keepNext/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Celková započtená nesprávnost</w:t>
            </w:r>
          </w:p>
        </w:tc>
      </w:tr>
      <w:tr w:rsidR="00F67192" w:rsidRPr="004920C6" w14:paraId="096CAF43" w14:textId="77777777" w:rsidTr="002208E5">
        <w:trPr>
          <w:trHeight w:val="255"/>
          <w:tblHeader/>
          <w:jc w:val="center"/>
        </w:trPr>
        <w:tc>
          <w:tcPr>
            <w:tcW w:w="3823" w:type="dxa"/>
            <w:vMerge/>
            <w:shd w:val="clear" w:color="auto" w:fill="E6E6E6"/>
            <w:vAlign w:val="center"/>
            <w:hideMark/>
          </w:tcPr>
          <w:p w14:paraId="27D923F0" w14:textId="77777777" w:rsidR="00F67192" w:rsidRPr="004920C6" w:rsidRDefault="00F67192" w:rsidP="005C513C">
            <w:pPr>
              <w:spacing w:before="20" w:after="20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44719F" w14:textId="77777777" w:rsidR="00F67192" w:rsidRPr="004920C6" w:rsidRDefault="00FD5461" w:rsidP="005C513C">
            <w:pPr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F67192" w:rsidRPr="004920C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adhodnocení</w:t>
            </w:r>
          </w:p>
        </w:tc>
        <w:tc>
          <w:tcPr>
            <w:tcW w:w="1701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7CCE1" w14:textId="77777777" w:rsidR="00F67192" w:rsidRPr="004920C6" w:rsidRDefault="00FD5461" w:rsidP="005C513C">
            <w:pPr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F67192" w:rsidRPr="004920C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odhodnocení</w:t>
            </w:r>
          </w:p>
        </w:tc>
        <w:tc>
          <w:tcPr>
            <w:tcW w:w="1842" w:type="dxa"/>
            <w:vMerge/>
            <w:shd w:val="clear" w:color="auto" w:fill="E6E6E6"/>
            <w:vAlign w:val="center"/>
            <w:hideMark/>
          </w:tcPr>
          <w:p w14:paraId="480BD810" w14:textId="77777777" w:rsidR="00F67192" w:rsidRPr="004920C6" w:rsidRDefault="00F67192" w:rsidP="005C513C">
            <w:pPr>
              <w:spacing w:before="20" w:after="20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67192" w:rsidRPr="004920C6" w14:paraId="7BA55916" w14:textId="77777777" w:rsidTr="009C20EE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C61D3" w14:textId="77777777" w:rsidR="00F67192" w:rsidRPr="004920C6" w:rsidRDefault="00F67192" w:rsidP="005C513C">
            <w:pPr>
              <w:spacing w:before="20" w:after="20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b/>
                <w:sz w:val="20"/>
                <w:szCs w:val="20"/>
              </w:rPr>
              <w:t>Celková nesprávnost vykázaných hodnot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1B63F" w14:textId="713BA325" w:rsidR="00F67192" w:rsidRPr="004920C6" w:rsidRDefault="00793533" w:rsidP="004B62F9">
            <w:pPr>
              <w:spacing w:before="20" w:after="20"/>
              <w:ind w:right="74"/>
              <w:jc w:val="right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b/>
                <w:color w:val="000000"/>
                <w:sz w:val="20"/>
                <w:szCs w:val="20"/>
                <w:lang w:eastAsia="cs-CZ"/>
              </w:rPr>
              <w:t>834</w:t>
            </w:r>
            <w:r w:rsidR="004B62F9" w:rsidRPr="004920C6">
              <w:rPr>
                <w:b/>
                <w:color w:val="000000"/>
                <w:sz w:val="20"/>
                <w:szCs w:val="20"/>
                <w:lang w:eastAsia="cs-CZ"/>
              </w:rPr>
              <w:t>,5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93327" w14:textId="6319D01E" w:rsidR="00F67192" w:rsidRPr="004920C6" w:rsidRDefault="00793533" w:rsidP="004B62F9">
            <w:pPr>
              <w:spacing w:before="20" w:after="20"/>
              <w:ind w:right="74"/>
              <w:jc w:val="right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b/>
                <w:color w:val="000000"/>
                <w:sz w:val="20"/>
                <w:szCs w:val="20"/>
                <w:lang w:eastAsia="cs-CZ"/>
              </w:rPr>
              <w:t>834</w:t>
            </w:r>
            <w:r w:rsidR="004B62F9" w:rsidRPr="004920C6">
              <w:rPr>
                <w:b/>
                <w:color w:val="000000"/>
                <w:sz w:val="20"/>
                <w:szCs w:val="20"/>
                <w:lang w:eastAsia="cs-CZ"/>
              </w:rPr>
              <w:t>,</w:t>
            </w:r>
            <w:r w:rsidRPr="004920C6">
              <w:rPr>
                <w:b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C35B6" w14:textId="4BEFD116" w:rsidR="00F67192" w:rsidRPr="004920C6" w:rsidRDefault="00793533" w:rsidP="004B62F9">
            <w:pPr>
              <w:spacing w:before="20" w:after="20"/>
              <w:ind w:right="74"/>
              <w:jc w:val="right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b/>
                <w:color w:val="000000"/>
                <w:sz w:val="20"/>
                <w:szCs w:val="20"/>
                <w:lang w:eastAsia="cs-CZ"/>
              </w:rPr>
              <w:t>834</w:t>
            </w:r>
            <w:r w:rsidR="004B62F9" w:rsidRPr="004920C6">
              <w:rPr>
                <w:b/>
                <w:color w:val="000000"/>
                <w:sz w:val="20"/>
                <w:szCs w:val="20"/>
                <w:lang w:eastAsia="cs-CZ"/>
              </w:rPr>
              <w:t>,5</w:t>
            </w:r>
          </w:p>
        </w:tc>
      </w:tr>
      <w:tr w:rsidR="00F67192" w:rsidRPr="004920C6" w14:paraId="358B82EC" w14:textId="77777777" w:rsidTr="009C20EE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79642" w14:textId="77777777" w:rsidR="00F67192" w:rsidRPr="004920C6" w:rsidRDefault="00F67192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Rozvaha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C1FCA" w14:textId="39739211" w:rsidR="00F67192" w:rsidRPr="004920C6" w:rsidRDefault="00CE6B21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  <w:r w:rsidR="00793533"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,0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CC82F6" w14:textId="45FE2DAA" w:rsidR="00F67192" w:rsidRPr="004920C6" w:rsidRDefault="00793533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C91DDD" w14:textId="52FB88BB" w:rsidR="00F67192" w:rsidRPr="004920C6" w:rsidRDefault="00793533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</w:tr>
      <w:tr w:rsidR="00F67192" w:rsidRPr="004920C6" w14:paraId="0FAC4563" w14:textId="77777777" w:rsidTr="009C20EE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2A7731" w14:textId="77777777" w:rsidR="00F67192" w:rsidRPr="004920C6" w:rsidRDefault="00F67192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Výkaz zisku a ztráty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B7C60" w14:textId="193BBDE4" w:rsidR="00F67192" w:rsidRPr="004920C6" w:rsidRDefault="00793533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4F4618" w14:textId="60522CAD" w:rsidR="00F67192" w:rsidRPr="004920C6" w:rsidRDefault="00BD34C4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  <w:r w:rsidR="00793533"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,0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40CAAE" w14:textId="415015F0" w:rsidR="00F67192" w:rsidRPr="004920C6" w:rsidRDefault="00793533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0,0</w:t>
            </w:r>
          </w:p>
        </w:tc>
      </w:tr>
      <w:tr w:rsidR="00F67192" w:rsidRPr="004920C6" w14:paraId="763CF91B" w14:textId="77777777" w:rsidTr="009C20EE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EA813" w14:textId="77777777" w:rsidR="00F67192" w:rsidRPr="004920C6" w:rsidRDefault="00F67192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Přehled o peněžních tocích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B2DB30" w14:textId="1E31D4FE" w:rsidR="00F67192" w:rsidRPr="004920C6" w:rsidRDefault="00793533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834,5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8F84B2" w14:textId="70BBD755" w:rsidR="00F67192" w:rsidRPr="004920C6" w:rsidRDefault="00793533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834,5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E28CB7" w14:textId="08BB94FD" w:rsidR="00F67192" w:rsidRPr="004920C6" w:rsidRDefault="00793533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834,5</w:t>
            </w:r>
          </w:p>
        </w:tc>
      </w:tr>
      <w:tr w:rsidR="00F67192" w:rsidRPr="004920C6" w14:paraId="53313473" w14:textId="77777777" w:rsidTr="009C20EE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2D7C98" w14:textId="77777777" w:rsidR="00F67192" w:rsidRPr="004920C6" w:rsidRDefault="00F67192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Přehled o změnách vlastního kapitálu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118965" w14:textId="42525068" w:rsidR="00F67192" w:rsidRPr="004920C6" w:rsidRDefault="00CE6B21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  <w:r w:rsidR="00793533"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,0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D0A7AD" w14:textId="4BBA8FBA" w:rsidR="00F67192" w:rsidRPr="004920C6" w:rsidRDefault="00793533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0,</w:t>
            </w:r>
            <w:r w:rsidR="00BD34C4"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BD9CB3" w14:textId="67793DA8" w:rsidR="00F67192" w:rsidRPr="004920C6" w:rsidRDefault="00BD34C4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  <w:r w:rsidR="00793533"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,0</w:t>
            </w:r>
          </w:p>
        </w:tc>
      </w:tr>
      <w:tr w:rsidR="00F67192" w:rsidRPr="004920C6" w14:paraId="720F3DFF" w14:textId="77777777" w:rsidTr="009C20EE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B60D2D" w14:textId="77777777" w:rsidR="00F67192" w:rsidRPr="004920C6" w:rsidRDefault="00F67192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Příloha účetní závěrky (podrozvahové účty)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43251" w14:textId="653B14B6" w:rsidR="00F67192" w:rsidRPr="004920C6" w:rsidRDefault="00BD34C4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  <w:r w:rsidR="00793533"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,0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AB2564" w14:textId="728B3F6A" w:rsidR="00F67192" w:rsidRPr="004920C6" w:rsidRDefault="00BD34C4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  <w:r w:rsidR="00793533"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,0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6509C" w14:textId="7ABC37DD" w:rsidR="00F67192" w:rsidRPr="004920C6" w:rsidRDefault="00BD34C4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  <w:r w:rsidR="00793533" w:rsidRPr="004920C6">
              <w:rPr>
                <w:rFonts w:cs="Calibri"/>
                <w:color w:val="000000"/>
                <w:sz w:val="20"/>
                <w:szCs w:val="20"/>
                <w:lang w:eastAsia="cs-CZ"/>
              </w:rPr>
              <w:t>,0</w:t>
            </w:r>
          </w:p>
        </w:tc>
      </w:tr>
    </w:tbl>
    <w:p w14:paraId="4DCA4ADC" w14:textId="63AA0323" w:rsidR="00350785" w:rsidRPr="004920C6" w:rsidRDefault="00350785" w:rsidP="005260DD">
      <w:pPr>
        <w:spacing w:before="40" w:after="0"/>
        <w:ind w:left="567" w:hanging="567"/>
        <w:rPr>
          <w:rFonts w:asciiTheme="minorHAnsi" w:eastAsiaTheme="minorHAnsi" w:hAnsiTheme="minorHAnsi" w:cs="Calibri"/>
          <w:bCs/>
          <w:sz w:val="20"/>
          <w:szCs w:val="20"/>
        </w:rPr>
      </w:pPr>
      <w:r w:rsidRPr="004920C6">
        <w:rPr>
          <w:rFonts w:asciiTheme="minorHAnsi" w:eastAsiaTheme="minorHAnsi" w:hAnsiTheme="minorHAnsi" w:cs="Calibri"/>
          <w:b/>
          <w:sz w:val="20"/>
          <w:szCs w:val="20"/>
        </w:rPr>
        <w:t>Zdroj:</w:t>
      </w:r>
      <w:r w:rsidRPr="004920C6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="00C01A6F">
        <w:rPr>
          <w:rFonts w:asciiTheme="minorHAnsi" w:eastAsiaTheme="minorHAnsi" w:hAnsiTheme="minorHAnsi" w:cs="Calibri"/>
          <w:bCs/>
          <w:sz w:val="20"/>
          <w:szCs w:val="20"/>
        </w:rPr>
        <w:tab/>
      </w:r>
      <w:r w:rsidR="00583C50" w:rsidRPr="004920C6">
        <w:rPr>
          <w:rFonts w:asciiTheme="minorHAnsi" w:eastAsiaTheme="minorHAnsi" w:hAnsiTheme="minorHAnsi" w:cs="Calibri"/>
          <w:bCs/>
          <w:sz w:val="20"/>
          <w:szCs w:val="20"/>
        </w:rPr>
        <w:t>v</w:t>
      </w:r>
      <w:r w:rsidRPr="004920C6">
        <w:rPr>
          <w:rFonts w:asciiTheme="minorHAnsi" w:eastAsiaTheme="minorHAnsi" w:hAnsiTheme="minorHAnsi" w:cs="Calibri"/>
          <w:bCs/>
          <w:sz w:val="20"/>
          <w:szCs w:val="20"/>
        </w:rPr>
        <w:t>ýpočet provedl NKÚ na základě dat získaných kontrolou.</w:t>
      </w:r>
    </w:p>
    <w:p w14:paraId="64A6B110" w14:textId="7422F46F" w:rsidR="00EF713B" w:rsidRPr="004920C6" w:rsidRDefault="001130AB" w:rsidP="00EA7DFB">
      <w:pPr>
        <w:spacing w:after="240"/>
        <w:ind w:left="567" w:hanging="567"/>
        <w:jc w:val="both"/>
        <w:rPr>
          <w:rFonts w:asciiTheme="minorHAnsi" w:eastAsiaTheme="minorHAnsi" w:hAnsiTheme="minorHAnsi" w:cs="Calibri"/>
          <w:bCs/>
          <w:sz w:val="20"/>
          <w:szCs w:val="20"/>
        </w:rPr>
      </w:pPr>
      <w:r w:rsidRPr="004920C6">
        <w:rPr>
          <w:rFonts w:asciiTheme="minorHAnsi" w:eastAsiaTheme="minorHAnsi" w:hAnsiTheme="minorHAnsi" w:cs="Calibri"/>
          <w:b/>
          <w:sz w:val="20"/>
          <w:szCs w:val="20"/>
        </w:rPr>
        <w:t>Pozn.:</w:t>
      </w:r>
      <w:r w:rsidRPr="005260DD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="00583C50" w:rsidRPr="004920C6">
        <w:rPr>
          <w:rFonts w:asciiTheme="minorHAnsi" w:eastAsiaTheme="minorHAnsi" w:hAnsiTheme="minorHAnsi" w:cs="Calibri"/>
          <w:b/>
          <w:sz w:val="20"/>
          <w:szCs w:val="20"/>
        </w:rPr>
        <w:tab/>
      </w:r>
      <w:r w:rsidR="00B169CD" w:rsidRPr="004920C6">
        <w:rPr>
          <w:rFonts w:asciiTheme="minorHAnsi" w:eastAsiaTheme="minorHAnsi" w:hAnsiTheme="minorHAnsi" w:cs="Calibri"/>
          <w:bCs/>
          <w:sz w:val="20"/>
          <w:szCs w:val="20"/>
        </w:rPr>
        <w:t xml:space="preserve">Smyslem údaje o celkové započtené nesprávnosti je vyjádřit výši nesprávnosti jedním číslem pro potřeby porovnání </w:t>
      </w:r>
      <w:r w:rsidR="00583C50" w:rsidRPr="004920C6">
        <w:rPr>
          <w:rFonts w:asciiTheme="minorHAnsi" w:eastAsiaTheme="minorHAnsi" w:hAnsiTheme="minorHAnsi" w:cs="Calibri"/>
          <w:bCs/>
          <w:sz w:val="20"/>
          <w:szCs w:val="20"/>
        </w:rPr>
        <w:t>se</w:t>
      </w:r>
      <w:r w:rsidR="00B169CD" w:rsidRPr="004920C6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="004946A3" w:rsidRPr="004920C6">
        <w:rPr>
          <w:rFonts w:asciiTheme="minorHAnsi" w:eastAsiaTheme="minorHAnsi" w:hAnsiTheme="minorHAnsi" w:cs="Calibri"/>
          <w:bCs/>
          <w:sz w:val="20"/>
          <w:szCs w:val="20"/>
        </w:rPr>
        <w:t xml:space="preserve">stanovenou </w:t>
      </w:r>
      <w:r w:rsidR="00583C50" w:rsidRPr="004920C6">
        <w:rPr>
          <w:rFonts w:asciiTheme="minorHAnsi" w:eastAsiaTheme="minorHAnsi" w:hAnsiTheme="minorHAnsi" w:cs="Calibri"/>
          <w:bCs/>
          <w:sz w:val="20"/>
          <w:szCs w:val="20"/>
        </w:rPr>
        <w:t xml:space="preserve">hladinou </w:t>
      </w:r>
      <w:r w:rsidR="004946A3" w:rsidRPr="004920C6">
        <w:rPr>
          <w:rFonts w:asciiTheme="minorHAnsi" w:eastAsiaTheme="minorHAnsi" w:hAnsiTheme="minorHAnsi" w:cs="Calibri"/>
          <w:bCs/>
          <w:sz w:val="20"/>
          <w:szCs w:val="20"/>
        </w:rPr>
        <w:t>významnost</w:t>
      </w:r>
      <w:r w:rsidR="00583C50" w:rsidRPr="004920C6">
        <w:rPr>
          <w:rFonts w:asciiTheme="minorHAnsi" w:eastAsiaTheme="minorHAnsi" w:hAnsiTheme="minorHAnsi" w:cs="Calibri"/>
          <w:bCs/>
          <w:sz w:val="20"/>
          <w:szCs w:val="20"/>
        </w:rPr>
        <w:t>i</w:t>
      </w:r>
      <w:r w:rsidR="004946A3" w:rsidRPr="004920C6">
        <w:rPr>
          <w:rFonts w:asciiTheme="minorHAnsi" w:eastAsiaTheme="minorHAnsi" w:hAnsiTheme="minorHAnsi" w:cs="Calibri"/>
          <w:bCs/>
          <w:sz w:val="20"/>
          <w:szCs w:val="20"/>
        </w:rPr>
        <w:t>.</w:t>
      </w:r>
      <w:r w:rsidRPr="004920C6">
        <w:rPr>
          <w:rFonts w:asciiTheme="minorHAnsi" w:eastAsiaTheme="minorHAnsi" w:hAnsiTheme="minorHAnsi" w:cs="Calibri"/>
          <w:b/>
          <w:sz w:val="20"/>
          <w:szCs w:val="20"/>
        </w:rPr>
        <w:t xml:space="preserve"> </w:t>
      </w:r>
    </w:p>
    <w:p w14:paraId="69E3962A" w14:textId="37586CC7" w:rsidR="004E1935" w:rsidRPr="004920C6" w:rsidRDefault="00914FA0" w:rsidP="009C20EE">
      <w:pPr>
        <w:spacing w:before="120"/>
        <w:jc w:val="both"/>
        <w:rPr>
          <w:rFonts w:cs="Calibri"/>
        </w:rPr>
      </w:pPr>
      <w:r w:rsidRPr="004920C6">
        <w:rPr>
          <w:rFonts w:cs="Calibri"/>
        </w:rPr>
        <w:t xml:space="preserve">Celková </w:t>
      </w:r>
      <w:r w:rsidR="00A93504" w:rsidRPr="004920C6">
        <w:rPr>
          <w:rFonts w:cs="Calibri"/>
        </w:rPr>
        <w:t>výše</w:t>
      </w:r>
      <w:r w:rsidRPr="004920C6">
        <w:rPr>
          <w:rFonts w:cs="Calibri"/>
        </w:rPr>
        <w:t xml:space="preserve"> nesprávnost</w:t>
      </w:r>
      <w:r w:rsidR="00793533" w:rsidRPr="004920C6">
        <w:rPr>
          <w:rFonts w:cs="Calibri"/>
        </w:rPr>
        <w:t>i</w:t>
      </w:r>
      <w:r w:rsidRPr="004920C6">
        <w:rPr>
          <w:rFonts w:cs="Calibri"/>
        </w:rPr>
        <w:t>, kter</w:t>
      </w:r>
      <w:r w:rsidR="00793533" w:rsidRPr="004920C6">
        <w:rPr>
          <w:rFonts w:cs="Calibri"/>
        </w:rPr>
        <w:t>ou</w:t>
      </w:r>
      <w:r w:rsidR="00DB2241" w:rsidRPr="004920C6">
        <w:rPr>
          <w:rFonts w:cs="Calibri"/>
        </w:rPr>
        <w:t xml:space="preserve"> kontrola</w:t>
      </w:r>
      <w:r w:rsidRPr="004920C6">
        <w:rPr>
          <w:rFonts w:cs="Calibri"/>
        </w:rPr>
        <w:t xml:space="preserve"> v</w:t>
      </w:r>
      <w:r w:rsidR="00CB5F84" w:rsidRPr="004920C6">
        <w:rPr>
          <w:rFonts w:cs="Calibri"/>
        </w:rPr>
        <w:t xml:space="preserve"> údajích </w:t>
      </w:r>
      <w:r w:rsidRPr="004920C6">
        <w:rPr>
          <w:rFonts w:cs="Calibri"/>
        </w:rPr>
        <w:t>ÚZ zji</w:t>
      </w:r>
      <w:r w:rsidR="00DB2241" w:rsidRPr="004920C6">
        <w:rPr>
          <w:rFonts w:cs="Calibri"/>
        </w:rPr>
        <w:t>stila</w:t>
      </w:r>
      <w:r w:rsidRPr="004920C6">
        <w:rPr>
          <w:rFonts w:cs="Calibri"/>
        </w:rPr>
        <w:t xml:space="preserve"> a vyčís</w:t>
      </w:r>
      <w:r w:rsidR="00DB2241" w:rsidRPr="004920C6">
        <w:rPr>
          <w:rFonts w:cs="Calibri"/>
        </w:rPr>
        <w:t>lila</w:t>
      </w:r>
      <w:r w:rsidRPr="004920C6">
        <w:rPr>
          <w:rFonts w:cs="Calibri"/>
        </w:rPr>
        <w:t>,</w:t>
      </w:r>
      <w:r w:rsidR="00CB5F84" w:rsidRPr="004920C6">
        <w:rPr>
          <w:rFonts w:cs="Calibri"/>
        </w:rPr>
        <w:t xml:space="preserve"> není</w:t>
      </w:r>
      <w:r w:rsidRPr="004920C6">
        <w:rPr>
          <w:rFonts w:cs="Calibri"/>
        </w:rPr>
        <w:t xml:space="preserve"> významná.</w:t>
      </w:r>
    </w:p>
    <w:p w14:paraId="5B04C3EA" w14:textId="0D0C2222" w:rsidR="00914FA0" w:rsidRPr="004920C6" w:rsidRDefault="0071640A" w:rsidP="009C20EE">
      <w:pPr>
        <w:spacing w:before="120"/>
        <w:jc w:val="both"/>
        <w:rPr>
          <w:rFonts w:cs="Calibri"/>
        </w:rPr>
      </w:pPr>
      <w:r w:rsidRPr="004920C6">
        <w:rPr>
          <w:rFonts w:asciiTheme="minorHAnsi" w:hAnsiTheme="minorHAnsi" w:cs="Calibri"/>
          <w:b/>
        </w:rPr>
        <w:t>Ú</w:t>
      </w:r>
      <w:r w:rsidR="00983C54" w:rsidRPr="004920C6">
        <w:rPr>
          <w:rFonts w:asciiTheme="minorHAnsi" w:hAnsiTheme="minorHAnsi" w:cs="Calibri"/>
          <w:b/>
        </w:rPr>
        <w:t>četní závěrka</w:t>
      </w:r>
      <w:r w:rsidRPr="004920C6">
        <w:rPr>
          <w:rFonts w:asciiTheme="minorHAnsi" w:hAnsiTheme="minorHAnsi" w:cs="Calibri"/>
          <w:b/>
        </w:rPr>
        <w:t xml:space="preserve"> MK</w:t>
      </w:r>
      <w:r w:rsidR="00983C54" w:rsidRPr="004920C6">
        <w:rPr>
          <w:rFonts w:asciiTheme="minorHAnsi" w:hAnsiTheme="minorHAnsi" w:cs="Calibri"/>
          <w:b/>
        </w:rPr>
        <w:t xml:space="preserve"> sestavená k 31. pro</w:t>
      </w:r>
      <w:r w:rsidR="00DE6A8C" w:rsidRPr="004920C6">
        <w:rPr>
          <w:rFonts w:asciiTheme="minorHAnsi" w:hAnsiTheme="minorHAnsi" w:cs="Calibri"/>
          <w:b/>
        </w:rPr>
        <w:t>sinci</w:t>
      </w:r>
      <w:r w:rsidR="00983C54" w:rsidRPr="004920C6">
        <w:rPr>
          <w:rFonts w:asciiTheme="minorHAnsi" w:hAnsiTheme="minorHAnsi" w:cs="Calibri"/>
          <w:b/>
        </w:rPr>
        <w:t xml:space="preserve"> 202</w:t>
      </w:r>
      <w:r w:rsidRPr="004920C6">
        <w:rPr>
          <w:rFonts w:asciiTheme="minorHAnsi" w:hAnsiTheme="minorHAnsi" w:cs="Calibri"/>
          <w:b/>
        </w:rPr>
        <w:t>4</w:t>
      </w:r>
      <w:r w:rsidR="00983C54" w:rsidRPr="004920C6">
        <w:rPr>
          <w:rFonts w:asciiTheme="minorHAnsi" w:hAnsiTheme="minorHAnsi" w:cs="Calibri"/>
          <w:b/>
        </w:rPr>
        <w:t xml:space="preserve"> </w:t>
      </w:r>
      <w:r w:rsidR="001B4D88" w:rsidRPr="004920C6">
        <w:rPr>
          <w:rFonts w:asciiTheme="minorHAnsi" w:hAnsiTheme="minorHAnsi" w:cs="Calibri"/>
          <w:b/>
        </w:rPr>
        <w:t xml:space="preserve">podává </w:t>
      </w:r>
      <w:r w:rsidRPr="004920C6">
        <w:rPr>
          <w:rFonts w:asciiTheme="minorHAnsi" w:hAnsiTheme="minorHAnsi" w:cs="Calibri"/>
          <w:b/>
        </w:rPr>
        <w:t xml:space="preserve">dle NKÚ </w:t>
      </w:r>
      <w:r w:rsidR="00983C54" w:rsidRPr="004920C6">
        <w:rPr>
          <w:rFonts w:asciiTheme="minorHAnsi" w:hAnsiTheme="minorHAnsi" w:cs="Calibri"/>
          <w:b/>
        </w:rPr>
        <w:t>ve všech významných ohledech věrný a poctivý obraz předmětu účetnictví a finanční situace účetní jednotky dle účetních předpisů pro některé vybrané účetní jednotky.</w:t>
      </w:r>
      <w:r w:rsidR="00583B04" w:rsidRPr="004920C6">
        <w:rPr>
          <w:rFonts w:cs="Calibri"/>
        </w:rPr>
        <w:t xml:space="preserve"> </w:t>
      </w:r>
    </w:p>
    <w:p w14:paraId="12023C9E" w14:textId="2FA5E34F" w:rsidR="00E45413" w:rsidRPr="004920C6" w:rsidRDefault="00E45413" w:rsidP="0071640A">
      <w:pPr>
        <w:spacing w:before="120" w:after="240"/>
        <w:jc w:val="both"/>
        <w:rPr>
          <w:iCs/>
        </w:rPr>
      </w:pPr>
      <w:r w:rsidRPr="004920C6">
        <w:rPr>
          <w:iCs/>
        </w:rPr>
        <w:t xml:space="preserve">Spolehlivé informace účetní závěrky mají dle </w:t>
      </w:r>
      <w:r w:rsidR="001A2B2C" w:rsidRPr="004920C6">
        <w:rPr>
          <w:iCs/>
        </w:rPr>
        <w:t>ustanovení</w:t>
      </w:r>
      <w:r w:rsidRPr="004920C6">
        <w:rPr>
          <w:iCs/>
        </w:rPr>
        <w:t xml:space="preserve"> § 7 zákona č. 563/1991 Sb. umožnit jejím uživatelům činit ekonomická rozhodnutí. </w:t>
      </w:r>
      <w:r w:rsidR="00DB2241" w:rsidRPr="004920C6">
        <w:rPr>
          <w:iCs/>
        </w:rPr>
        <w:t xml:space="preserve">NKÚ </w:t>
      </w:r>
      <w:r w:rsidRPr="004920C6">
        <w:rPr>
          <w:iCs/>
        </w:rPr>
        <w:t>proved</w:t>
      </w:r>
      <w:r w:rsidR="00DB2241" w:rsidRPr="004920C6">
        <w:rPr>
          <w:iCs/>
        </w:rPr>
        <w:t>l</w:t>
      </w:r>
      <w:r w:rsidRPr="004920C6">
        <w:rPr>
          <w:iCs/>
        </w:rPr>
        <w:t xml:space="preserve"> </w:t>
      </w:r>
      <w:r w:rsidR="00DB2241" w:rsidRPr="004920C6">
        <w:rPr>
          <w:iCs/>
        </w:rPr>
        <w:t xml:space="preserve">v rámci kontroly </w:t>
      </w:r>
      <w:r w:rsidRPr="004920C6">
        <w:rPr>
          <w:iCs/>
        </w:rPr>
        <w:t>rozbor výsledku hospodaření</w:t>
      </w:r>
      <w:r w:rsidR="0071640A" w:rsidRPr="004920C6">
        <w:rPr>
          <w:iCs/>
        </w:rPr>
        <w:t xml:space="preserve"> MK</w:t>
      </w:r>
      <w:r w:rsidRPr="004920C6">
        <w:rPr>
          <w:iCs/>
        </w:rPr>
        <w:t xml:space="preserve"> z pohledu akruálního (účetního) a peněžního (plnění rozpočtu)</w:t>
      </w:r>
      <w:r w:rsidR="0093263E" w:rsidRPr="004920C6">
        <w:rPr>
          <w:iCs/>
        </w:rPr>
        <w:t xml:space="preserve"> a </w:t>
      </w:r>
      <w:r w:rsidRPr="004920C6">
        <w:rPr>
          <w:iCs/>
        </w:rPr>
        <w:t>pops</w:t>
      </w:r>
      <w:r w:rsidR="002961B1" w:rsidRPr="004920C6">
        <w:rPr>
          <w:iCs/>
        </w:rPr>
        <w:t>al</w:t>
      </w:r>
      <w:r w:rsidR="0071640A" w:rsidRPr="004920C6">
        <w:rPr>
          <w:iCs/>
        </w:rPr>
        <w:t xml:space="preserve"> </w:t>
      </w:r>
      <w:r w:rsidRPr="004920C6">
        <w:rPr>
          <w:iCs/>
        </w:rPr>
        <w:t>informac</w:t>
      </w:r>
      <w:r w:rsidR="0071640A" w:rsidRPr="004920C6">
        <w:rPr>
          <w:iCs/>
        </w:rPr>
        <w:t>e</w:t>
      </w:r>
      <w:r w:rsidRPr="004920C6">
        <w:rPr>
          <w:iCs/>
        </w:rPr>
        <w:t xml:space="preserve"> vykazovan</w:t>
      </w:r>
      <w:r w:rsidR="0071640A" w:rsidRPr="004920C6">
        <w:rPr>
          <w:iCs/>
        </w:rPr>
        <w:t>é</w:t>
      </w:r>
      <w:r w:rsidRPr="004920C6">
        <w:rPr>
          <w:iCs/>
        </w:rPr>
        <w:t xml:space="preserve"> na podrozvahových účtech</w:t>
      </w:r>
      <w:r w:rsidR="0093263E" w:rsidRPr="004920C6">
        <w:rPr>
          <w:iCs/>
        </w:rPr>
        <w:t xml:space="preserve"> (viz přílohy č. 1 a č. 2 tohoto kontrolního závěru)</w:t>
      </w:r>
      <w:r w:rsidRPr="004920C6">
        <w:rPr>
          <w:iCs/>
        </w:rPr>
        <w:t>.</w:t>
      </w:r>
    </w:p>
    <w:p w14:paraId="7ADC2BE6" w14:textId="63899EED" w:rsidR="00A75011" w:rsidRPr="004920C6" w:rsidRDefault="00535BDF" w:rsidP="007056F5">
      <w:pPr>
        <w:pStyle w:val="Styl2"/>
        <w:numPr>
          <w:ilvl w:val="0"/>
          <w:numId w:val="0"/>
        </w:numPr>
        <w:spacing w:before="240" w:after="120"/>
        <w:ind w:left="284" w:hanging="284"/>
        <w:jc w:val="both"/>
      </w:pPr>
      <w:r w:rsidRPr="004920C6">
        <w:t xml:space="preserve">2. </w:t>
      </w:r>
      <w:r w:rsidRPr="004920C6">
        <w:tab/>
      </w:r>
      <w:r w:rsidR="00A75011" w:rsidRPr="004920C6">
        <w:t>Údaje předkládané</w:t>
      </w:r>
      <w:r w:rsidR="00AE3868" w:rsidRPr="004920C6">
        <w:t xml:space="preserve"> Ministerstvem kultury</w:t>
      </w:r>
      <w:r w:rsidR="00F11CA7" w:rsidRPr="004920C6">
        <w:t xml:space="preserve"> pro hodnocení plnění </w:t>
      </w:r>
      <w:r w:rsidR="00F95077" w:rsidRPr="004920C6">
        <w:t xml:space="preserve">státního </w:t>
      </w:r>
      <w:r w:rsidR="00F11CA7" w:rsidRPr="004920C6">
        <w:t>rozpočtu</w:t>
      </w:r>
      <w:r w:rsidR="00A75011" w:rsidRPr="004920C6">
        <w:t xml:space="preserve"> za rok 202</w:t>
      </w:r>
      <w:r w:rsidR="00AE3868" w:rsidRPr="004920C6">
        <w:t>4</w:t>
      </w:r>
    </w:p>
    <w:p w14:paraId="28416B8A" w14:textId="5A1D2076" w:rsidR="00A111EF" w:rsidRPr="004920C6" w:rsidRDefault="00A111EF" w:rsidP="00CA7B8E">
      <w:pPr>
        <w:pStyle w:val="Styl2"/>
        <w:numPr>
          <w:ilvl w:val="0"/>
          <w:numId w:val="0"/>
        </w:numPr>
        <w:spacing w:before="120" w:after="120"/>
        <w:ind w:left="284" w:hanging="284"/>
      </w:pPr>
      <w:r w:rsidRPr="004920C6">
        <w:t>2.</w:t>
      </w:r>
      <w:r w:rsidR="00AE3868" w:rsidRPr="004920C6">
        <w:t>1</w:t>
      </w:r>
      <w:r w:rsidR="00CD0477" w:rsidRPr="004920C6">
        <w:t xml:space="preserve"> Spolehlivost údajů </w:t>
      </w:r>
      <w:r w:rsidR="00D2682D" w:rsidRPr="004920C6">
        <w:t xml:space="preserve">pro hodnocení plnění rozpočtu </w:t>
      </w:r>
      <w:r w:rsidR="00B34A9A" w:rsidRPr="004920C6">
        <w:t>za rok 202</w:t>
      </w:r>
      <w:r w:rsidR="00AE3868" w:rsidRPr="004920C6">
        <w:t>4</w:t>
      </w:r>
    </w:p>
    <w:p w14:paraId="70C754B0" w14:textId="5E922A67" w:rsidR="00034564" w:rsidRPr="004920C6" w:rsidRDefault="00034564" w:rsidP="009C20EE">
      <w:pPr>
        <w:spacing w:before="120"/>
        <w:jc w:val="both"/>
        <w:rPr>
          <w:b/>
          <w:bCs/>
        </w:rPr>
      </w:pPr>
      <w:r w:rsidRPr="004920C6">
        <w:t>Pro posouzení významnosti zjištěných nesprávností v údajích předkládaných pro hodnocení plnění</w:t>
      </w:r>
      <w:r w:rsidR="00F95077" w:rsidRPr="004920C6">
        <w:t xml:space="preserve"> </w:t>
      </w:r>
      <w:r w:rsidRPr="004920C6">
        <w:t xml:space="preserve">rozpočtu byla stanovena </w:t>
      </w:r>
      <w:r w:rsidR="009C3CD0" w:rsidRPr="004920C6">
        <w:t xml:space="preserve">hladina </w:t>
      </w:r>
      <w:r w:rsidRPr="004920C6">
        <w:t>významnost</w:t>
      </w:r>
      <w:r w:rsidR="009C3CD0" w:rsidRPr="004920C6">
        <w:t>i</w:t>
      </w:r>
      <w:r w:rsidRPr="004920C6">
        <w:t xml:space="preserve"> ve výši </w:t>
      </w:r>
      <w:r w:rsidR="00D9230D" w:rsidRPr="004920C6">
        <w:t>3</w:t>
      </w:r>
      <w:r w:rsidR="00CD0477" w:rsidRPr="004920C6">
        <w:t>20</w:t>
      </w:r>
      <w:r w:rsidR="005C5441" w:rsidRPr="004920C6">
        <w:t xml:space="preserve"> </w:t>
      </w:r>
      <w:r w:rsidRPr="004920C6">
        <w:t>mil. Kč</w:t>
      </w:r>
      <w:r w:rsidR="00E45ADC" w:rsidRPr="004920C6">
        <w:rPr>
          <w:rStyle w:val="Znakapoznpodarou"/>
        </w:rPr>
        <w:footnoteReference w:id="26"/>
      </w:r>
      <w:r w:rsidRPr="004920C6">
        <w:t>.</w:t>
      </w:r>
    </w:p>
    <w:p w14:paraId="2A08CFB0" w14:textId="29C23CD9" w:rsidR="00690CEB" w:rsidRPr="004920C6" w:rsidRDefault="00A14AEE" w:rsidP="009C20EE">
      <w:pPr>
        <w:spacing w:before="120"/>
        <w:jc w:val="both"/>
      </w:pPr>
      <w:r w:rsidRPr="004920C6">
        <w:rPr>
          <w:rFonts w:asciiTheme="minorHAnsi" w:hAnsiTheme="minorHAnsi" w:cstheme="minorHAnsi"/>
        </w:rPr>
        <w:t>NKÚ provedl ve výkazu pro hodnocení plnění rozpočtu</w:t>
      </w:r>
      <w:r w:rsidR="00D9230D" w:rsidRPr="004920C6">
        <w:rPr>
          <w:rFonts w:asciiTheme="minorHAnsi" w:hAnsiTheme="minorHAnsi" w:cstheme="minorHAnsi"/>
        </w:rPr>
        <w:t xml:space="preserve"> MK</w:t>
      </w:r>
      <w:r w:rsidRPr="004920C6">
        <w:rPr>
          <w:rFonts w:asciiTheme="minorHAnsi" w:hAnsiTheme="minorHAnsi" w:cstheme="minorHAnsi"/>
        </w:rPr>
        <w:t xml:space="preserve"> </w:t>
      </w:r>
      <w:r w:rsidR="008412ED" w:rsidRPr="004920C6">
        <w:rPr>
          <w:rFonts w:asciiTheme="minorHAnsi" w:hAnsiTheme="minorHAnsi" w:cstheme="minorHAnsi"/>
        </w:rPr>
        <w:t>za rok</w:t>
      </w:r>
      <w:r w:rsidR="00646CE6"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202</w:t>
      </w:r>
      <w:r w:rsidR="00D9230D" w:rsidRPr="004920C6">
        <w:rPr>
          <w:rFonts w:asciiTheme="minorHAnsi" w:hAnsiTheme="minorHAnsi" w:cstheme="minorHAnsi"/>
        </w:rPr>
        <w:t>4</w:t>
      </w:r>
      <w:r w:rsidRPr="004920C6">
        <w:rPr>
          <w:rFonts w:asciiTheme="minorHAnsi" w:hAnsiTheme="minorHAnsi" w:cstheme="minorHAnsi"/>
        </w:rPr>
        <w:t xml:space="preserve"> </w:t>
      </w:r>
      <w:r w:rsidR="008412ED" w:rsidRPr="004920C6">
        <w:rPr>
          <w:rFonts w:asciiTheme="minorHAnsi" w:hAnsiTheme="minorHAnsi" w:cstheme="minorHAnsi"/>
        </w:rPr>
        <w:t>kontrolu správnosti</w:t>
      </w:r>
      <w:r w:rsidR="00646CE6"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 xml:space="preserve">údajů o příjmech a výdajích ve sloupci </w:t>
      </w:r>
      <w:r w:rsidR="00CD0477" w:rsidRPr="004920C6">
        <w:rPr>
          <w:rFonts w:asciiTheme="minorHAnsi" w:hAnsiTheme="minorHAnsi" w:cstheme="minorHAnsi"/>
          <w:i/>
          <w:iCs/>
        </w:rPr>
        <w:t>S</w:t>
      </w:r>
      <w:r w:rsidRPr="004920C6">
        <w:rPr>
          <w:rFonts w:asciiTheme="minorHAnsi" w:hAnsiTheme="minorHAnsi" w:cstheme="minorHAnsi"/>
          <w:i/>
          <w:iCs/>
        </w:rPr>
        <w:t>kutečnost</w:t>
      </w:r>
      <w:r w:rsidR="00AC758D" w:rsidRPr="004920C6">
        <w:rPr>
          <w:rFonts w:asciiTheme="minorHAnsi" w:hAnsiTheme="minorHAnsi" w:cstheme="minorHAnsi"/>
        </w:rPr>
        <w:t xml:space="preserve">, </w:t>
      </w:r>
      <w:r w:rsidR="008412ED" w:rsidRPr="004920C6">
        <w:rPr>
          <w:rFonts w:asciiTheme="minorHAnsi" w:hAnsiTheme="minorHAnsi" w:cstheme="minorHAnsi"/>
        </w:rPr>
        <w:t xml:space="preserve">a to včetně </w:t>
      </w:r>
      <w:r w:rsidRPr="004920C6">
        <w:rPr>
          <w:rFonts w:asciiTheme="minorHAnsi" w:hAnsiTheme="minorHAnsi" w:cstheme="minorHAnsi"/>
        </w:rPr>
        <w:t>jejich druhového</w:t>
      </w:r>
      <w:r w:rsidR="001A391B" w:rsidRPr="004920C6">
        <w:rPr>
          <w:rFonts w:asciiTheme="minorHAnsi" w:hAnsiTheme="minorHAnsi" w:cstheme="minorHAnsi"/>
        </w:rPr>
        <w:t>,</w:t>
      </w:r>
      <w:r w:rsidRPr="004920C6">
        <w:rPr>
          <w:rFonts w:asciiTheme="minorHAnsi" w:hAnsiTheme="minorHAnsi" w:cstheme="minorHAnsi"/>
        </w:rPr>
        <w:t xml:space="preserve"> odvětvového </w:t>
      </w:r>
      <w:r w:rsidR="001A391B" w:rsidRPr="004920C6">
        <w:rPr>
          <w:rFonts w:asciiTheme="minorHAnsi" w:hAnsiTheme="minorHAnsi" w:cstheme="minorHAnsi"/>
        </w:rPr>
        <w:t>a prostorového třídění</w:t>
      </w:r>
      <w:r w:rsidRPr="004920C6">
        <w:rPr>
          <w:rFonts w:asciiTheme="minorHAnsi" w:hAnsiTheme="minorHAnsi" w:cstheme="minorHAnsi"/>
        </w:rPr>
        <w:t xml:space="preserve"> dle rozpočtové skladby.</w:t>
      </w:r>
      <w:r w:rsidR="007C668E" w:rsidRPr="004920C6">
        <w:rPr>
          <w:rFonts w:asciiTheme="minorHAnsi" w:hAnsiTheme="minorHAnsi" w:cstheme="minorHAnsi"/>
        </w:rPr>
        <w:t xml:space="preserve"> Kontrola nezjistila</w:t>
      </w:r>
      <w:r w:rsidR="00374846" w:rsidRPr="004920C6">
        <w:rPr>
          <w:rFonts w:asciiTheme="minorHAnsi" w:hAnsiTheme="minorHAnsi" w:cstheme="minorHAnsi"/>
        </w:rPr>
        <w:t xml:space="preserve"> </w:t>
      </w:r>
      <w:r w:rsidR="007C668E" w:rsidRPr="004920C6">
        <w:rPr>
          <w:rFonts w:asciiTheme="minorHAnsi" w:hAnsiTheme="minorHAnsi" w:cstheme="minorHAnsi"/>
        </w:rPr>
        <w:t>nedostatky, které by vyžadovaly provedení oprav ze strany MK.</w:t>
      </w:r>
    </w:p>
    <w:p w14:paraId="2F144E35" w14:textId="4C1194F1" w:rsidR="00943B97" w:rsidRPr="004920C6" w:rsidRDefault="00C143CE" w:rsidP="00AC758D">
      <w:pPr>
        <w:spacing w:before="120" w:after="240"/>
        <w:jc w:val="both"/>
        <w:rPr>
          <w:rFonts w:eastAsia="Calibri"/>
          <w:b/>
          <w:szCs w:val="22"/>
        </w:rPr>
      </w:pPr>
      <w:r w:rsidRPr="004920C6">
        <w:rPr>
          <w:rFonts w:eastAsiaTheme="minorHAnsi" w:cs="Calibri"/>
          <w:b/>
        </w:rPr>
        <w:t>Pod</w:t>
      </w:r>
      <w:r w:rsidR="00850AE5" w:rsidRPr="004920C6">
        <w:rPr>
          <w:rFonts w:eastAsiaTheme="minorHAnsi" w:cs="Calibri"/>
          <w:b/>
        </w:rPr>
        <w:t>le</w:t>
      </w:r>
      <w:r w:rsidR="00A14AEE" w:rsidRPr="004920C6">
        <w:rPr>
          <w:rFonts w:eastAsiaTheme="minorHAnsi" w:cs="Calibri"/>
          <w:b/>
        </w:rPr>
        <w:t xml:space="preserve"> NKÚ byl výkaz pro hodnocení plnění rozpočtu </w:t>
      </w:r>
      <w:r w:rsidR="0026524B" w:rsidRPr="004920C6">
        <w:rPr>
          <w:rFonts w:eastAsiaTheme="minorHAnsi" w:cs="Calibri"/>
          <w:b/>
        </w:rPr>
        <w:t>za rok</w:t>
      </w:r>
      <w:r w:rsidR="00CD0477" w:rsidRPr="004920C6">
        <w:rPr>
          <w:rFonts w:eastAsiaTheme="minorHAnsi" w:cs="Calibri"/>
          <w:b/>
        </w:rPr>
        <w:t xml:space="preserve"> 202</w:t>
      </w:r>
      <w:r w:rsidR="00D9230D" w:rsidRPr="004920C6">
        <w:rPr>
          <w:rFonts w:eastAsiaTheme="minorHAnsi" w:cs="Calibri"/>
          <w:b/>
        </w:rPr>
        <w:t>4</w:t>
      </w:r>
      <w:r w:rsidR="00CD0477" w:rsidRPr="004920C6">
        <w:rPr>
          <w:rFonts w:eastAsiaTheme="minorHAnsi" w:cs="Calibri"/>
          <w:b/>
        </w:rPr>
        <w:t xml:space="preserve"> </w:t>
      </w:r>
      <w:r w:rsidR="00A14AEE" w:rsidRPr="004920C6">
        <w:rPr>
          <w:rFonts w:eastAsiaTheme="minorHAnsi" w:cs="Calibri"/>
          <w:b/>
        </w:rPr>
        <w:t>ve všech významných ohledech sestaven v souladu s příslušnými právními předpisy</w:t>
      </w:r>
      <w:r w:rsidR="004B4D58" w:rsidRPr="004920C6">
        <w:rPr>
          <w:rFonts w:eastAsiaTheme="minorHAnsi" w:cs="Calibri"/>
          <w:b/>
        </w:rPr>
        <w:t xml:space="preserve">. </w:t>
      </w:r>
      <w:r w:rsidR="004B4D58" w:rsidRPr="004920C6">
        <w:rPr>
          <w:rFonts w:cs="Calibri"/>
          <w:bCs/>
          <w:lang w:eastAsia="cs-CZ"/>
        </w:rPr>
        <w:t>V</w:t>
      </w:r>
      <w:r w:rsidR="00A41F3C" w:rsidRPr="004920C6">
        <w:rPr>
          <w:rFonts w:cs="Calibri"/>
          <w:bCs/>
          <w:lang w:eastAsia="cs-CZ"/>
        </w:rPr>
        <w:t xml:space="preserve"> </w:t>
      </w:r>
      <w:r w:rsidR="00137F0C" w:rsidRPr="004920C6">
        <w:rPr>
          <w:rFonts w:cs="Calibri"/>
          <w:bCs/>
          <w:lang w:eastAsia="cs-CZ"/>
        </w:rPr>
        <w:t>jeho</w:t>
      </w:r>
      <w:r w:rsidR="00A41F3C" w:rsidRPr="004920C6">
        <w:rPr>
          <w:rFonts w:cs="Calibri"/>
          <w:bCs/>
          <w:lang w:eastAsia="cs-CZ"/>
        </w:rPr>
        <w:t xml:space="preserve"> </w:t>
      </w:r>
      <w:r w:rsidR="00E57955" w:rsidRPr="004920C6">
        <w:rPr>
          <w:rFonts w:cs="Calibri"/>
          <w:bCs/>
          <w:lang w:eastAsia="cs-CZ"/>
        </w:rPr>
        <w:t xml:space="preserve">údajích </w:t>
      </w:r>
      <w:r w:rsidR="00AF3B26" w:rsidRPr="004920C6">
        <w:rPr>
          <w:bCs/>
        </w:rPr>
        <w:t>nezjistil NKÚ</w:t>
      </w:r>
      <w:r w:rsidR="0028660A" w:rsidRPr="004920C6">
        <w:rPr>
          <w:bCs/>
        </w:rPr>
        <w:t xml:space="preserve"> žádnou </w:t>
      </w:r>
      <w:r w:rsidR="00E57955" w:rsidRPr="004920C6">
        <w:rPr>
          <w:bCs/>
        </w:rPr>
        <w:t>nesprávnost.</w:t>
      </w:r>
    </w:p>
    <w:p w14:paraId="390914BB" w14:textId="67000292" w:rsidR="00431706" w:rsidRPr="004920C6" w:rsidRDefault="00310275" w:rsidP="00CA7B8E">
      <w:pPr>
        <w:pStyle w:val="Styl2"/>
        <w:numPr>
          <w:ilvl w:val="0"/>
          <w:numId w:val="0"/>
        </w:numPr>
        <w:spacing w:before="240" w:after="120"/>
        <w:ind w:left="284" w:hanging="284"/>
      </w:pPr>
      <w:r w:rsidRPr="004920C6">
        <w:t xml:space="preserve">3. </w:t>
      </w:r>
      <w:r w:rsidR="00CA7B8E" w:rsidRPr="004920C6">
        <w:tab/>
      </w:r>
      <w:r w:rsidR="00A75011" w:rsidRPr="004920C6">
        <w:t>Závěrečný účet kapitoly 3</w:t>
      </w:r>
      <w:r w:rsidR="007C668E" w:rsidRPr="004920C6">
        <w:t>34</w:t>
      </w:r>
      <w:r w:rsidR="000B0478" w:rsidRPr="004920C6">
        <w:t xml:space="preserve"> – </w:t>
      </w:r>
      <w:r w:rsidR="007C668E" w:rsidRPr="004920C6">
        <w:rPr>
          <w:i/>
        </w:rPr>
        <w:t>Ministerstvo kultury</w:t>
      </w:r>
      <w:r w:rsidR="00A75011" w:rsidRPr="004920C6">
        <w:t xml:space="preserve"> za rok 202</w:t>
      </w:r>
      <w:r w:rsidR="007C668E" w:rsidRPr="004920C6">
        <w:t>4</w:t>
      </w:r>
    </w:p>
    <w:p w14:paraId="755F9D0B" w14:textId="59BF57A2" w:rsidR="00DE4370" w:rsidRPr="004920C6" w:rsidRDefault="00DE4370" w:rsidP="00CA7B8E">
      <w:pPr>
        <w:pStyle w:val="Styl2"/>
        <w:numPr>
          <w:ilvl w:val="0"/>
          <w:numId w:val="0"/>
        </w:numPr>
        <w:spacing w:before="120" w:after="120"/>
        <w:ind w:left="284" w:hanging="284"/>
      </w:pPr>
      <w:r w:rsidRPr="004920C6">
        <w:t>3.1 Opravy nedostatků v závěrečném účtu v průběhu kontroly</w:t>
      </w:r>
    </w:p>
    <w:p w14:paraId="2C6D1CBB" w14:textId="00B77E47" w:rsidR="00FB0C28" w:rsidRPr="004920C6" w:rsidRDefault="00995343" w:rsidP="00995343">
      <w:pPr>
        <w:spacing w:before="120"/>
        <w:jc w:val="both"/>
        <w:rPr>
          <w:rFonts w:asciiTheme="minorHAnsi" w:hAnsiTheme="minorHAnsi" w:cstheme="minorHAnsi"/>
          <w:spacing w:val="-2"/>
        </w:rPr>
      </w:pPr>
      <w:r w:rsidRPr="004920C6">
        <w:rPr>
          <w:rFonts w:cs="Calibri"/>
          <w:lang w:eastAsia="cs-CZ"/>
        </w:rPr>
        <w:t>Při kontrole ZÚ se NKÚ zaměřil na dodržení souladu s vyhláškou č. 419/2001 Sb.</w:t>
      </w:r>
      <w:r w:rsidR="00AD446B" w:rsidRPr="004920C6">
        <w:rPr>
          <w:rFonts w:cs="Calibri"/>
          <w:lang w:eastAsia="cs-CZ"/>
        </w:rPr>
        <w:t xml:space="preserve"> a </w:t>
      </w:r>
      <w:r w:rsidRPr="004920C6">
        <w:rPr>
          <w:rFonts w:cs="Calibri"/>
          <w:lang w:eastAsia="cs-CZ"/>
        </w:rPr>
        <w:t>na ověření správnosti a</w:t>
      </w:r>
      <w:r w:rsidR="00646CE6" w:rsidRPr="004920C6">
        <w:rPr>
          <w:rFonts w:cs="Calibri"/>
          <w:lang w:eastAsia="cs-CZ"/>
        </w:rPr>
        <w:t xml:space="preserve"> </w:t>
      </w:r>
      <w:r w:rsidRPr="004920C6">
        <w:rPr>
          <w:rFonts w:cs="Calibri"/>
          <w:lang w:eastAsia="cs-CZ"/>
        </w:rPr>
        <w:t>úplnosti údajů a</w:t>
      </w:r>
      <w:r w:rsidR="00646CE6" w:rsidRPr="004920C6">
        <w:rPr>
          <w:rFonts w:cs="Calibri"/>
          <w:lang w:eastAsia="cs-CZ"/>
        </w:rPr>
        <w:t xml:space="preserve"> </w:t>
      </w:r>
      <w:r w:rsidRPr="004920C6">
        <w:rPr>
          <w:rFonts w:cs="Calibri"/>
          <w:lang w:eastAsia="cs-CZ"/>
        </w:rPr>
        <w:t>číselných hodnot uvedených v</w:t>
      </w:r>
      <w:r w:rsidR="00646CE6" w:rsidRPr="004920C6">
        <w:rPr>
          <w:rFonts w:cs="Calibri"/>
          <w:lang w:eastAsia="cs-CZ"/>
        </w:rPr>
        <w:t xml:space="preserve"> </w:t>
      </w:r>
      <w:r w:rsidRPr="004920C6">
        <w:rPr>
          <w:rFonts w:cs="Calibri"/>
          <w:lang w:eastAsia="cs-CZ"/>
        </w:rPr>
        <w:t>průvodní zprávě, v číselných sestavách a v tabulkových přílohách.</w:t>
      </w:r>
    </w:p>
    <w:p w14:paraId="7B6BDD4F" w14:textId="28085989" w:rsidR="005D6234" w:rsidRPr="004920C6" w:rsidRDefault="001F03CE" w:rsidP="009C20EE">
      <w:pPr>
        <w:spacing w:before="120"/>
        <w:jc w:val="both"/>
        <w:rPr>
          <w:rFonts w:asciiTheme="minorHAnsi" w:hAnsiTheme="minorHAnsi" w:cstheme="minorHAnsi"/>
          <w:lang w:eastAsia="cs-CZ"/>
        </w:rPr>
      </w:pPr>
      <w:r w:rsidRPr="004920C6">
        <w:rPr>
          <w:rFonts w:asciiTheme="minorHAnsi" w:hAnsiTheme="minorHAnsi" w:cs="Calibri"/>
          <w:lang w:eastAsia="cs-CZ"/>
        </w:rPr>
        <w:lastRenderedPageBreak/>
        <w:t>Kontrolou</w:t>
      </w:r>
      <w:r w:rsidR="00ED0622" w:rsidRPr="004920C6">
        <w:rPr>
          <w:rFonts w:asciiTheme="minorHAnsi" w:hAnsiTheme="minorHAnsi" w:cs="Calibri"/>
          <w:lang w:eastAsia="cs-CZ"/>
        </w:rPr>
        <w:t xml:space="preserve"> souladu údajů v předložených</w:t>
      </w:r>
      <w:r w:rsidRPr="004920C6">
        <w:rPr>
          <w:rFonts w:asciiTheme="minorHAnsi" w:hAnsiTheme="minorHAnsi" w:cs="Calibri"/>
          <w:lang w:eastAsia="cs-CZ"/>
        </w:rPr>
        <w:t xml:space="preserve"> návr</w:t>
      </w:r>
      <w:r w:rsidR="00ED0622" w:rsidRPr="004920C6">
        <w:rPr>
          <w:rFonts w:asciiTheme="minorHAnsi" w:hAnsiTheme="minorHAnsi" w:cs="Calibri"/>
          <w:lang w:eastAsia="cs-CZ"/>
        </w:rPr>
        <w:t>zích</w:t>
      </w:r>
      <w:r w:rsidRPr="004920C6">
        <w:rPr>
          <w:rFonts w:asciiTheme="minorHAnsi" w:hAnsiTheme="minorHAnsi" w:cs="Calibri"/>
          <w:lang w:eastAsia="cs-CZ"/>
        </w:rPr>
        <w:t xml:space="preserve"> ZÚ zjistil </w:t>
      </w:r>
      <w:r w:rsidR="00AD446B" w:rsidRPr="004920C6">
        <w:rPr>
          <w:rFonts w:asciiTheme="minorHAnsi" w:hAnsiTheme="minorHAnsi" w:cs="Calibri"/>
          <w:lang w:eastAsia="cs-CZ"/>
        </w:rPr>
        <w:t>NKÚ</w:t>
      </w:r>
      <w:r w:rsidRPr="004920C6">
        <w:rPr>
          <w:rFonts w:asciiTheme="minorHAnsi" w:hAnsiTheme="minorHAnsi" w:cs="Calibri"/>
          <w:lang w:eastAsia="cs-CZ"/>
        </w:rPr>
        <w:t xml:space="preserve"> </w:t>
      </w:r>
      <w:r w:rsidR="00AD446B" w:rsidRPr="004920C6">
        <w:rPr>
          <w:rFonts w:asciiTheme="minorHAnsi" w:hAnsiTheme="minorHAnsi" w:cs="Calibri"/>
          <w:lang w:eastAsia="cs-CZ"/>
        </w:rPr>
        <w:t>nedostatky</w:t>
      </w:r>
      <w:r w:rsidR="00ED0622" w:rsidRPr="004920C6">
        <w:rPr>
          <w:rFonts w:asciiTheme="minorHAnsi" w:hAnsiTheme="minorHAnsi" w:cs="Calibri"/>
          <w:lang w:eastAsia="cs-CZ"/>
        </w:rPr>
        <w:t>, které ani v souhrnu neměly významný vliv na vypovídací schopnost ZÚ</w:t>
      </w:r>
      <w:r w:rsidRPr="004920C6">
        <w:rPr>
          <w:rFonts w:asciiTheme="minorHAnsi" w:hAnsiTheme="minorHAnsi" w:cs="Calibri"/>
          <w:lang w:eastAsia="cs-CZ"/>
        </w:rPr>
        <w:t>.</w:t>
      </w:r>
      <w:r w:rsidR="0069381B" w:rsidRPr="004920C6">
        <w:rPr>
          <w:rFonts w:asciiTheme="minorHAnsi" w:hAnsiTheme="minorHAnsi" w:cs="Calibri"/>
          <w:lang w:eastAsia="cs-CZ"/>
        </w:rPr>
        <w:t xml:space="preserve"> Spočívaly</w:t>
      </w:r>
      <w:r w:rsidR="000B0478" w:rsidRPr="004920C6">
        <w:rPr>
          <w:rFonts w:asciiTheme="minorHAnsi" w:hAnsiTheme="minorHAnsi" w:cs="Calibri"/>
          <w:lang w:eastAsia="cs-CZ"/>
        </w:rPr>
        <w:t xml:space="preserve"> v</w:t>
      </w:r>
      <w:r w:rsidR="0069381B" w:rsidRPr="004920C6">
        <w:rPr>
          <w:rFonts w:asciiTheme="minorHAnsi" w:hAnsiTheme="minorHAnsi" w:cs="Calibri"/>
          <w:lang w:eastAsia="cs-CZ"/>
        </w:rPr>
        <w:t> nesouladu některých údajů s</w:t>
      </w:r>
      <w:r w:rsidR="00B821F6">
        <w:rPr>
          <w:rFonts w:asciiTheme="minorHAnsi" w:hAnsiTheme="minorHAnsi" w:cs="Calibri"/>
          <w:lang w:eastAsia="cs-CZ"/>
        </w:rPr>
        <w:t xml:space="preserve"> </w:t>
      </w:r>
      <w:r w:rsidR="0069381B" w:rsidRPr="004920C6">
        <w:rPr>
          <w:rFonts w:asciiTheme="minorHAnsi" w:hAnsiTheme="minorHAnsi" w:cs="Calibri"/>
          <w:lang w:eastAsia="cs-CZ"/>
        </w:rPr>
        <w:t>údaji v</w:t>
      </w:r>
      <w:r w:rsidR="00B821F6">
        <w:rPr>
          <w:rFonts w:asciiTheme="minorHAnsi" w:hAnsiTheme="minorHAnsi" w:cs="Calibri"/>
          <w:lang w:eastAsia="cs-CZ"/>
        </w:rPr>
        <w:t xml:space="preserve"> </w:t>
      </w:r>
      <w:r w:rsidR="0069381B" w:rsidRPr="004920C6">
        <w:rPr>
          <w:rFonts w:asciiTheme="minorHAnsi" w:hAnsiTheme="minorHAnsi" w:cs="Calibri"/>
          <w:lang w:eastAsia="cs-CZ"/>
        </w:rPr>
        <w:t>dostupných podkladech, v</w:t>
      </w:r>
      <w:r w:rsidR="00B821F6">
        <w:rPr>
          <w:rFonts w:asciiTheme="minorHAnsi" w:hAnsiTheme="minorHAnsi" w:cs="Calibri"/>
          <w:lang w:eastAsia="cs-CZ"/>
        </w:rPr>
        <w:t xml:space="preserve"> </w:t>
      </w:r>
      <w:r w:rsidR="0069381B" w:rsidRPr="004920C6">
        <w:rPr>
          <w:rFonts w:asciiTheme="minorHAnsi" w:hAnsiTheme="minorHAnsi" w:cs="Calibri"/>
          <w:lang w:eastAsia="cs-CZ"/>
        </w:rPr>
        <w:t xml:space="preserve">matematické nesprávnosti výpočtů nebo v nesouladu slovních formulací s číselnými údaji. </w:t>
      </w:r>
      <w:r w:rsidR="00ED0622" w:rsidRPr="004920C6">
        <w:rPr>
          <w:rFonts w:asciiTheme="minorHAnsi" w:hAnsiTheme="minorHAnsi" w:cstheme="minorHAnsi"/>
          <w:lang w:eastAsia="cs-CZ"/>
        </w:rPr>
        <w:t xml:space="preserve">MK převážnou většinu z nich opravilo </w:t>
      </w:r>
      <w:r w:rsidR="005E174F" w:rsidRPr="004920C6">
        <w:rPr>
          <w:rFonts w:asciiTheme="minorHAnsi" w:hAnsiTheme="minorHAnsi" w:cstheme="minorHAnsi"/>
          <w:lang w:eastAsia="cs-CZ"/>
        </w:rPr>
        <w:t xml:space="preserve">ještě před sestavením závěrečného účtu </w:t>
      </w:r>
      <w:r w:rsidR="00ED0622" w:rsidRPr="004920C6">
        <w:rPr>
          <w:rFonts w:asciiTheme="minorHAnsi" w:hAnsiTheme="minorHAnsi" w:cstheme="minorHAnsi"/>
          <w:lang w:eastAsia="cs-CZ"/>
        </w:rPr>
        <w:t>a v ZÚ schváleném ministrem kultury a předloženém pro účely vypracování návrhu státního závěrečného účtu se již nevyskytovaly.</w:t>
      </w:r>
      <w:r w:rsidR="003B495D" w:rsidRPr="004920C6">
        <w:rPr>
          <w:rFonts w:asciiTheme="minorHAnsi" w:hAnsiTheme="minorHAnsi" w:cstheme="minorHAnsi"/>
          <w:lang w:eastAsia="cs-CZ"/>
        </w:rPr>
        <w:t xml:space="preserve"> Nesrovnalosti, které zůstaly neopraveny, se z hlediska počtu pohybovaly v řádu jednotek a byly </w:t>
      </w:r>
      <w:r w:rsidR="00211E49">
        <w:rPr>
          <w:rFonts w:asciiTheme="minorHAnsi" w:hAnsiTheme="minorHAnsi" w:cstheme="minorHAnsi"/>
          <w:lang w:eastAsia="cs-CZ"/>
        </w:rPr>
        <w:t>z hlediska obsahu</w:t>
      </w:r>
      <w:r w:rsidR="003B495D" w:rsidRPr="004920C6">
        <w:rPr>
          <w:rFonts w:asciiTheme="minorHAnsi" w:hAnsiTheme="minorHAnsi" w:cstheme="minorHAnsi"/>
          <w:lang w:eastAsia="cs-CZ"/>
        </w:rPr>
        <w:t xml:space="preserve"> i rozsahu ZÚ nevýznamné.</w:t>
      </w:r>
      <w:r w:rsidR="00ED0622" w:rsidRPr="004920C6">
        <w:rPr>
          <w:rFonts w:asciiTheme="minorHAnsi" w:hAnsiTheme="minorHAnsi" w:cstheme="minorHAnsi"/>
          <w:lang w:eastAsia="cs-CZ"/>
        </w:rPr>
        <w:t xml:space="preserve"> </w:t>
      </w:r>
      <w:bookmarkStart w:id="6" w:name="_Toc105083305"/>
    </w:p>
    <w:p w14:paraId="462531D6" w14:textId="6B82EB1C" w:rsidR="005E174F" w:rsidRPr="004920C6" w:rsidRDefault="005D6234" w:rsidP="005E174F">
      <w:pPr>
        <w:spacing w:before="120" w:after="240"/>
        <w:jc w:val="both"/>
        <w:rPr>
          <w:rFonts w:asciiTheme="minorHAnsi" w:hAnsiTheme="minorHAnsi" w:cstheme="minorHAnsi"/>
          <w:lang w:eastAsia="cs-CZ"/>
        </w:rPr>
      </w:pPr>
      <w:r w:rsidRPr="004920C6">
        <w:rPr>
          <w:rFonts w:asciiTheme="minorHAnsi" w:hAnsiTheme="minorHAnsi" w:cstheme="minorHAnsi"/>
          <w:lang w:eastAsia="cs-CZ"/>
        </w:rPr>
        <w:t>NKÚ dále zjistil několik nedostatků z hlediska dodržení souladu s vyhláškou č. 419/2001 Sb.; ani tyto nedostatky však nebyly významné. MK je ve většině případů rovněž opravilo tím, že</w:t>
      </w:r>
      <w:r w:rsidR="003B495D" w:rsidRPr="004920C6">
        <w:rPr>
          <w:rFonts w:asciiTheme="minorHAnsi" w:hAnsiTheme="minorHAnsi" w:cstheme="minorHAnsi"/>
          <w:lang w:eastAsia="cs-CZ"/>
        </w:rPr>
        <w:t xml:space="preserve"> </w:t>
      </w:r>
      <w:r w:rsidRPr="004920C6">
        <w:rPr>
          <w:rFonts w:asciiTheme="minorHAnsi" w:hAnsiTheme="minorHAnsi" w:cstheme="minorHAnsi"/>
          <w:lang w:eastAsia="cs-CZ"/>
        </w:rPr>
        <w:t xml:space="preserve">do průvodní zprávy </w:t>
      </w:r>
      <w:r w:rsidR="003B495D" w:rsidRPr="004920C6">
        <w:rPr>
          <w:rFonts w:asciiTheme="minorHAnsi" w:hAnsiTheme="minorHAnsi" w:cstheme="minorHAnsi"/>
          <w:lang w:eastAsia="cs-CZ"/>
        </w:rPr>
        <w:t xml:space="preserve">doplnilo </w:t>
      </w:r>
      <w:r w:rsidRPr="004920C6">
        <w:rPr>
          <w:rFonts w:asciiTheme="minorHAnsi" w:hAnsiTheme="minorHAnsi" w:cstheme="minorHAnsi"/>
          <w:lang w:eastAsia="cs-CZ"/>
        </w:rPr>
        <w:t>informace požadované výše uvedenou vyhláškou.</w:t>
      </w:r>
      <w:r w:rsidR="003B495D" w:rsidRPr="004920C6">
        <w:rPr>
          <w:rFonts w:asciiTheme="minorHAnsi" w:hAnsiTheme="minorHAnsi" w:cstheme="minorHAnsi"/>
          <w:lang w:eastAsia="cs-CZ"/>
        </w:rPr>
        <w:t xml:space="preserve"> </w:t>
      </w:r>
      <w:r w:rsidR="0069381B" w:rsidRPr="004920C6">
        <w:rPr>
          <w:rFonts w:asciiTheme="minorHAnsi" w:hAnsiTheme="minorHAnsi" w:cstheme="minorHAnsi"/>
          <w:lang w:eastAsia="cs-CZ"/>
        </w:rPr>
        <w:t>Jed</w:t>
      </w:r>
      <w:r w:rsidR="00EA7DFB" w:rsidRPr="004920C6">
        <w:rPr>
          <w:rFonts w:asciiTheme="minorHAnsi" w:hAnsiTheme="minorHAnsi" w:cstheme="minorHAnsi"/>
          <w:lang w:eastAsia="cs-CZ"/>
        </w:rPr>
        <w:t>iný</w:t>
      </w:r>
      <w:r w:rsidR="0069381B" w:rsidRPr="004920C6">
        <w:rPr>
          <w:rFonts w:asciiTheme="minorHAnsi" w:hAnsiTheme="minorHAnsi" w:cstheme="minorHAnsi"/>
          <w:lang w:eastAsia="cs-CZ"/>
        </w:rPr>
        <w:t xml:space="preserve"> n</w:t>
      </w:r>
      <w:r w:rsidR="003B495D" w:rsidRPr="004920C6">
        <w:rPr>
          <w:rFonts w:asciiTheme="minorHAnsi" w:hAnsiTheme="minorHAnsi" w:cstheme="minorHAnsi"/>
          <w:lang w:eastAsia="cs-CZ"/>
        </w:rPr>
        <w:t>eopravený nedostatek nem</w:t>
      </w:r>
      <w:r w:rsidR="000B0478" w:rsidRPr="004920C6">
        <w:rPr>
          <w:rFonts w:asciiTheme="minorHAnsi" w:hAnsiTheme="minorHAnsi" w:cstheme="minorHAnsi"/>
          <w:lang w:eastAsia="cs-CZ"/>
        </w:rPr>
        <w:t>ěl</w:t>
      </w:r>
      <w:r w:rsidR="003B495D" w:rsidRPr="004920C6">
        <w:rPr>
          <w:rFonts w:asciiTheme="minorHAnsi" w:hAnsiTheme="minorHAnsi" w:cstheme="minorHAnsi"/>
          <w:lang w:eastAsia="cs-CZ"/>
        </w:rPr>
        <w:t xml:space="preserve"> vliv na vypovídací schopnost ZÚ.</w:t>
      </w:r>
    </w:p>
    <w:p w14:paraId="066E2B7C" w14:textId="19DADAB6" w:rsidR="006E07E8" w:rsidRPr="004920C6" w:rsidRDefault="005E174F" w:rsidP="00CA7B8E">
      <w:pPr>
        <w:pStyle w:val="Styl2"/>
        <w:numPr>
          <w:ilvl w:val="0"/>
          <w:numId w:val="0"/>
        </w:numPr>
        <w:spacing w:before="120" w:after="120"/>
        <w:ind w:left="284" w:hanging="284"/>
      </w:pPr>
      <w:r w:rsidRPr="004920C6">
        <w:t>3.2 Vyhodnocení ZÚ</w:t>
      </w:r>
      <w:r w:rsidR="002E1A7E" w:rsidRPr="004920C6">
        <w:rPr>
          <w:bCs/>
          <w:lang w:eastAsia="cs-CZ"/>
        </w:rPr>
        <w:t xml:space="preserve"> </w:t>
      </w:r>
    </w:p>
    <w:p w14:paraId="4B86F888" w14:textId="5FA9881F" w:rsidR="004C26CF" w:rsidRPr="004920C6" w:rsidRDefault="00E57955" w:rsidP="005E174F">
      <w:pPr>
        <w:spacing w:before="120" w:after="240"/>
        <w:jc w:val="both"/>
        <w:rPr>
          <w:bCs/>
          <w:lang w:eastAsia="cs-CZ"/>
        </w:rPr>
      </w:pPr>
      <w:r w:rsidRPr="004920C6">
        <w:rPr>
          <w:b/>
          <w:bCs/>
        </w:rPr>
        <w:t xml:space="preserve">Dle </w:t>
      </w:r>
      <w:r w:rsidR="003F4BD0" w:rsidRPr="004920C6">
        <w:rPr>
          <w:b/>
          <w:bCs/>
        </w:rPr>
        <w:t>NKÚ</w:t>
      </w:r>
      <w:r w:rsidRPr="004920C6">
        <w:rPr>
          <w:b/>
          <w:bCs/>
        </w:rPr>
        <w:t xml:space="preserve"> j</w:t>
      </w:r>
      <w:r w:rsidR="003F4BD0" w:rsidRPr="004920C6">
        <w:rPr>
          <w:b/>
          <w:bCs/>
        </w:rPr>
        <w:t>e závěrečný úče</w:t>
      </w:r>
      <w:r w:rsidR="00147CF6" w:rsidRPr="004920C6">
        <w:rPr>
          <w:b/>
          <w:bCs/>
        </w:rPr>
        <w:t>t</w:t>
      </w:r>
      <w:r w:rsidR="003F4BD0" w:rsidRPr="004920C6">
        <w:rPr>
          <w:b/>
          <w:bCs/>
        </w:rPr>
        <w:t xml:space="preserve"> kapitoly státního rozpočtu 3</w:t>
      </w:r>
      <w:r w:rsidR="00B83905" w:rsidRPr="004920C6">
        <w:rPr>
          <w:b/>
          <w:bCs/>
        </w:rPr>
        <w:t>34</w:t>
      </w:r>
      <w:r w:rsidR="000B0478" w:rsidRPr="004920C6">
        <w:rPr>
          <w:b/>
          <w:bCs/>
        </w:rPr>
        <w:t xml:space="preserve"> – </w:t>
      </w:r>
      <w:r w:rsidR="00B83905" w:rsidRPr="004920C6">
        <w:rPr>
          <w:b/>
          <w:bCs/>
          <w:i/>
          <w:iCs/>
        </w:rPr>
        <w:t>Ministerstvo kultury</w:t>
      </w:r>
      <w:r w:rsidR="003F4BD0" w:rsidRPr="004920C6">
        <w:rPr>
          <w:b/>
          <w:bCs/>
        </w:rPr>
        <w:t xml:space="preserve"> za rok 202</w:t>
      </w:r>
      <w:r w:rsidR="00B83905" w:rsidRPr="004920C6">
        <w:rPr>
          <w:b/>
          <w:bCs/>
        </w:rPr>
        <w:t>4</w:t>
      </w:r>
      <w:r w:rsidR="003F4BD0" w:rsidRPr="004920C6">
        <w:rPr>
          <w:b/>
          <w:bCs/>
        </w:rPr>
        <w:t xml:space="preserve"> sestaven v</w:t>
      </w:r>
      <w:r w:rsidR="00646CE6" w:rsidRPr="004920C6">
        <w:rPr>
          <w:b/>
          <w:bCs/>
        </w:rPr>
        <w:t xml:space="preserve"> </w:t>
      </w:r>
      <w:r w:rsidRPr="004920C6">
        <w:rPr>
          <w:b/>
          <w:bCs/>
        </w:rPr>
        <w:t>rozsahu</w:t>
      </w:r>
      <w:r w:rsidR="009C20EE" w:rsidRPr="004920C6">
        <w:rPr>
          <w:b/>
          <w:bCs/>
        </w:rPr>
        <w:t xml:space="preserve"> </w:t>
      </w:r>
      <w:r w:rsidRPr="004920C6">
        <w:rPr>
          <w:b/>
          <w:bCs/>
        </w:rPr>
        <w:t xml:space="preserve">dle </w:t>
      </w:r>
      <w:r w:rsidR="003F4BD0" w:rsidRPr="004920C6">
        <w:rPr>
          <w:b/>
          <w:bCs/>
        </w:rPr>
        <w:t>vyhlášk</w:t>
      </w:r>
      <w:r w:rsidRPr="004920C6">
        <w:rPr>
          <w:b/>
          <w:bCs/>
        </w:rPr>
        <w:t>y</w:t>
      </w:r>
      <w:r w:rsidR="003F4BD0" w:rsidRPr="004920C6">
        <w:rPr>
          <w:b/>
          <w:bCs/>
        </w:rPr>
        <w:t xml:space="preserve"> č.</w:t>
      </w:r>
      <w:r w:rsidR="002A130C" w:rsidRPr="004920C6">
        <w:rPr>
          <w:b/>
          <w:bCs/>
        </w:rPr>
        <w:t> </w:t>
      </w:r>
      <w:r w:rsidR="003F4BD0" w:rsidRPr="004920C6">
        <w:rPr>
          <w:b/>
          <w:bCs/>
        </w:rPr>
        <w:t>419/2001</w:t>
      </w:r>
      <w:r w:rsidR="009C20EE" w:rsidRPr="004920C6">
        <w:rPr>
          <w:b/>
          <w:bCs/>
        </w:rPr>
        <w:t> </w:t>
      </w:r>
      <w:r w:rsidR="003F4BD0" w:rsidRPr="004920C6">
        <w:rPr>
          <w:b/>
          <w:bCs/>
        </w:rPr>
        <w:t xml:space="preserve">Sb. </w:t>
      </w:r>
      <w:r w:rsidRPr="004920C6">
        <w:rPr>
          <w:b/>
          <w:bCs/>
        </w:rPr>
        <w:t>a</w:t>
      </w:r>
      <w:r w:rsidR="003F4BD0" w:rsidRPr="004920C6">
        <w:rPr>
          <w:b/>
          <w:bCs/>
        </w:rPr>
        <w:t xml:space="preserve"> informace v</w:t>
      </w:r>
      <w:r w:rsidR="00646CE6" w:rsidRPr="004920C6">
        <w:rPr>
          <w:b/>
          <w:bCs/>
        </w:rPr>
        <w:t xml:space="preserve"> </w:t>
      </w:r>
      <w:r w:rsidR="003F4BD0" w:rsidRPr="004920C6">
        <w:rPr>
          <w:b/>
          <w:bCs/>
        </w:rPr>
        <w:t>něm uvedené</w:t>
      </w:r>
      <w:r w:rsidR="00C40C39" w:rsidRPr="004920C6">
        <w:rPr>
          <w:b/>
          <w:bCs/>
        </w:rPr>
        <w:t xml:space="preserve"> odpovídají údajům </w:t>
      </w:r>
      <w:r w:rsidR="003F4BD0" w:rsidRPr="004920C6">
        <w:rPr>
          <w:b/>
          <w:bCs/>
        </w:rPr>
        <w:t>v rozpočtovém systému, finanční</w:t>
      </w:r>
      <w:r w:rsidR="00C40C39" w:rsidRPr="004920C6">
        <w:rPr>
          <w:b/>
          <w:bCs/>
        </w:rPr>
        <w:t>m</w:t>
      </w:r>
      <w:r w:rsidR="003F4BD0" w:rsidRPr="004920C6">
        <w:rPr>
          <w:b/>
          <w:bCs/>
        </w:rPr>
        <w:t xml:space="preserve"> výkaz</w:t>
      </w:r>
      <w:r w:rsidR="00C40C39" w:rsidRPr="004920C6">
        <w:rPr>
          <w:b/>
          <w:bCs/>
        </w:rPr>
        <w:t>ům</w:t>
      </w:r>
      <w:r w:rsidR="003F4BD0" w:rsidRPr="004920C6">
        <w:rPr>
          <w:b/>
          <w:bCs/>
        </w:rPr>
        <w:t xml:space="preserve"> </w:t>
      </w:r>
      <w:r w:rsidR="00C40C39" w:rsidRPr="004920C6">
        <w:rPr>
          <w:b/>
          <w:bCs/>
        </w:rPr>
        <w:t>a údajům</w:t>
      </w:r>
      <w:r w:rsidR="00FC3B7E" w:rsidRPr="004920C6">
        <w:rPr>
          <w:b/>
          <w:bCs/>
        </w:rPr>
        <w:t> </w:t>
      </w:r>
      <w:r w:rsidR="00C40C39" w:rsidRPr="004920C6">
        <w:rPr>
          <w:b/>
          <w:bCs/>
        </w:rPr>
        <w:t>z</w:t>
      </w:r>
      <w:r w:rsidR="00646CE6" w:rsidRPr="004920C6">
        <w:rPr>
          <w:b/>
          <w:bCs/>
        </w:rPr>
        <w:t> </w:t>
      </w:r>
      <w:r w:rsidR="004B4E05" w:rsidRPr="004920C6">
        <w:rPr>
          <w:b/>
          <w:bCs/>
        </w:rPr>
        <w:t>dalších</w:t>
      </w:r>
      <w:r w:rsidR="003F4BD0" w:rsidRPr="004920C6">
        <w:rPr>
          <w:b/>
          <w:bCs/>
        </w:rPr>
        <w:t xml:space="preserve"> evidencí.</w:t>
      </w:r>
      <w:bookmarkEnd w:id="6"/>
    </w:p>
    <w:p w14:paraId="13F953FF" w14:textId="0F19F57A" w:rsidR="001C2037" w:rsidRPr="004920C6" w:rsidRDefault="00310275" w:rsidP="00CA7B8E">
      <w:pPr>
        <w:pStyle w:val="Styl2"/>
        <w:numPr>
          <w:ilvl w:val="0"/>
          <w:numId w:val="0"/>
        </w:numPr>
        <w:spacing w:before="240" w:after="120"/>
        <w:ind w:left="284" w:hanging="284"/>
      </w:pPr>
      <w:bookmarkStart w:id="7" w:name="_Hlk135982539"/>
      <w:bookmarkStart w:id="8" w:name="_Hlk134556443"/>
      <w:r w:rsidRPr="004920C6">
        <w:t xml:space="preserve">4. </w:t>
      </w:r>
      <w:r w:rsidR="00CA7B8E" w:rsidRPr="004920C6">
        <w:tab/>
      </w:r>
      <w:r w:rsidR="00F53F58" w:rsidRPr="004920C6">
        <w:t>Vnitřní kontrolní systém</w:t>
      </w:r>
      <w:r w:rsidR="00804DEF" w:rsidRPr="004920C6">
        <w:t xml:space="preserve"> MK</w:t>
      </w:r>
    </w:p>
    <w:p w14:paraId="5F182844" w14:textId="462791EC" w:rsidR="00063472" w:rsidRPr="004920C6" w:rsidRDefault="00B83AD1" w:rsidP="009C20EE">
      <w:pPr>
        <w:spacing w:before="120"/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</w:rPr>
        <w:t xml:space="preserve">NKÚ v </w:t>
      </w:r>
      <w:r w:rsidR="00F53F58" w:rsidRPr="004920C6">
        <w:rPr>
          <w:rFonts w:asciiTheme="minorHAnsi" w:hAnsiTheme="minorHAnsi" w:cstheme="minorHAnsi"/>
        </w:rPr>
        <w:t>průběhu kontroly zjistil</w:t>
      </w:r>
      <w:r w:rsidR="000B4873" w:rsidRPr="004920C6">
        <w:rPr>
          <w:rFonts w:asciiTheme="minorHAnsi" w:hAnsiTheme="minorHAnsi" w:cstheme="minorHAnsi"/>
        </w:rPr>
        <w:t xml:space="preserve"> v oblasti účetnictví systémové</w:t>
      </w:r>
      <w:r w:rsidR="00F85ED7" w:rsidRPr="004920C6">
        <w:rPr>
          <w:rFonts w:asciiTheme="minorHAnsi" w:hAnsiTheme="minorHAnsi" w:cstheme="minorHAnsi"/>
        </w:rPr>
        <w:t xml:space="preserve"> </w:t>
      </w:r>
      <w:r w:rsidR="00F53F58" w:rsidRPr="004920C6">
        <w:rPr>
          <w:rFonts w:asciiTheme="minorHAnsi" w:hAnsiTheme="minorHAnsi" w:cstheme="minorHAnsi"/>
        </w:rPr>
        <w:t xml:space="preserve">nedostatky </w:t>
      </w:r>
      <w:r w:rsidR="000B4873" w:rsidRPr="004920C6">
        <w:rPr>
          <w:rFonts w:asciiTheme="minorHAnsi" w:hAnsiTheme="minorHAnsi" w:cstheme="minorHAnsi"/>
        </w:rPr>
        <w:t>(z nich jeden významný)</w:t>
      </w:r>
      <w:r w:rsidR="0023690B" w:rsidRPr="004920C6">
        <w:rPr>
          <w:rFonts w:asciiTheme="minorHAnsi" w:hAnsiTheme="minorHAnsi" w:cstheme="minorHAnsi"/>
        </w:rPr>
        <w:t>, které VKS</w:t>
      </w:r>
      <w:r w:rsidR="002B375A" w:rsidRPr="004920C6">
        <w:rPr>
          <w:rFonts w:asciiTheme="minorHAnsi" w:hAnsiTheme="minorHAnsi" w:cstheme="minorHAnsi"/>
        </w:rPr>
        <w:t xml:space="preserve"> </w:t>
      </w:r>
      <w:r w:rsidR="0023690B" w:rsidRPr="004920C6">
        <w:rPr>
          <w:rFonts w:asciiTheme="minorHAnsi" w:hAnsiTheme="minorHAnsi" w:cstheme="minorHAnsi"/>
        </w:rPr>
        <w:t>neidentifikoval</w:t>
      </w:r>
      <w:r w:rsidR="00063472" w:rsidRPr="004920C6">
        <w:rPr>
          <w:rFonts w:asciiTheme="minorHAnsi" w:hAnsiTheme="minorHAnsi" w:cstheme="minorHAnsi"/>
        </w:rPr>
        <w:t xml:space="preserve">, avšak </w:t>
      </w:r>
      <w:r w:rsidR="000D03AD">
        <w:rPr>
          <w:rFonts w:asciiTheme="minorHAnsi" w:hAnsiTheme="minorHAnsi" w:cstheme="minorHAnsi"/>
        </w:rPr>
        <w:t xml:space="preserve">MK </w:t>
      </w:r>
      <w:r w:rsidR="00063472" w:rsidRPr="004920C6">
        <w:rPr>
          <w:rFonts w:asciiTheme="minorHAnsi" w:hAnsiTheme="minorHAnsi" w:cstheme="minorHAnsi"/>
        </w:rPr>
        <w:t>na základě kontroly</w:t>
      </w:r>
      <w:r w:rsidR="006D01E8" w:rsidRPr="004920C6">
        <w:rPr>
          <w:rFonts w:asciiTheme="minorHAnsi" w:hAnsiTheme="minorHAnsi" w:cstheme="minorHAnsi"/>
        </w:rPr>
        <w:t xml:space="preserve"> NKÚ </w:t>
      </w:r>
      <w:r w:rsidR="008A1A04" w:rsidRPr="004920C6">
        <w:rPr>
          <w:rFonts w:asciiTheme="minorHAnsi" w:hAnsiTheme="minorHAnsi" w:cstheme="minorHAnsi"/>
        </w:rPr>
        <w:t xml:space="preserve">na zjištěná pochybení dostatečně </w:t>
      </w:r>
      <w:r w:rsidR="00063472" w:rsidRPr="004920C6">
        <w:rPr>
          <w:rFonts w:asciiTheme="minorHAnsi" w:hAnsiTheme="minorHAnsi" w:cstheme="minorHAnsi"/>
        </w:rPr>
        <w:t>reagoval</w:t>
      </w:r>
      <w:r w:rsidR="000D03AD">
        <w:rPr>
          <w:rFonts w:asciiTheme="minorHAnsi" w:hAnsiTheme="minorHAnsi" w:cstheme="minorHAnsi"/>
        </w:rPr>
        <w:t>o ve svém VKS</w:t>
      </w:r>
      <w:r w:rsidRPr="004920C6">
        <w:rPr>
          <w:rFonts w:asciiTheme="minorHAnsi" w:hAnsiTheme="minorHAnsi" w:cstheme="minorHAnsi"/>
        </w:rPr>
        <w:t xml:space="preserve">. </w:t>
      </w:r>
      <w:r w:rsidR="00063472" w:rsidRPr="004920C6">
        <w:rPr>
          <w:rFonts w:asciiTheme="minorHAnsi" w:hAnsiTheme="minorHAnsi" w:cstheme="minorHAnsi"/>
        </w:rPr>
        <w:t>Účetní</w:t>
      </w:r>
      <w:r w:rsidR="008A1A04" w:rsidRPr="004920C6">
        <w:rPr>
          <w:rFonts w:asciiTheme="minorHAnsi" w:hAnsiTheme="minorHAnsi" w:cstheme="minorHAnsi"/>
        </w:rPr>
        <w:t xml:space="preserve"> nedostatky</w:t>
      </w:r>
      <w:r w:rsidR="0023690B" w:rsidRPr="004920C6">
        <w:rPr>
          <w:rFonts w:asciiTheme="minorHAnsi" w:hAnsiTheme="minorHAnsi" w:cstheme="minorHAnsi"/>
        </w:rPr>
        <w:t>, jejichž</w:t>
      </w:r>
      <w:r w:rsidR="00F53F58" w:rsidRPr="004920C6">
        <w:rPr>
          <w:rFonts w:asciiTheme="minorHAnsi" w:hAnsiTheme="minorHAnsi" w:cstheme="minorHAnsi"/>
        </w:rPr>
        <w:t xml:space="preserve"> </w:t>
      </w:r>
      <w:r w:rsidR="00FB75E3" w:rsidRPr="004920C6">
        <w:rPr>
          <w:rFonts w:asciiTheme="minorHAnsi" w:hAnsiTheme="minorHAnsi" w:cstheme="minorHAnsi"/>
        </w:rPr>
        <w:t>souhrnný dopad</w:t>
      </w:r>
      <w:r w:rsidR="00A14AEE" w:rsidRPr="004920C6">
        <w:rPr>
          <w:rFonts w:asciiTheme="minorHAnsi" w:hAnsiTheme="minorHAnsi" w:cstheme="minorHAnsi"/>
        </w:rPr>
        <w:t xml:space="preserve"> na </w:t>
      </w:r>
      <w:r w:rsidR="001416E0" w:rsidRPr="004920C6">
        <w:rPr>
          <w:rFonts w:asciiTheme="minorHAnsi" w:hAnsiTheme="minorHAnsi" w:cstheme="minorHAnsi"/>
        </w:rPr>
        <w:t xml:space="preserve">zůstatky položek </w:t>
      </w:r>
      <w:r w:rsidR="00A14AEE" w:rsidRPr="004920C6">
        <w:rPr>
          <w:rFonts w:asciiTheme="minorHAnsi" w:hAnsiTheme="minorHAnsi" w:cstheme="minorHAnsi"/>
        </w:rPr>
        <w:t>ÚZ</w:t>
      </w:r>
      <w:r w:rsidR="00F53F58" w:rsidRPr="004920C6">
        <w:rPr>
          <w:rFonts w:asciiTheme="minorHAnsi" w:hAnsiTheme="minorHAnsi" w:cstheme="minorHAnsi"/>
        </w:rPr>
        <w:t xml:space="preserve"> </w:t>
      </w:r>
      <w:r w:rsidR="0023690B" w:rsidRPr="004920C6">
        <w:rPr>
          <w:rFonts w:asciiTheme="minorHAnsi" w:hAnsiTheme="minorHAnsi" w:cstheme="minorHAnsi"/>
        </w:rPr>
        <w:t xml:space="preserve">byl </w:t>
      </w:r>
      <w:r w:rsidR="00A14AEE" w:rsidRPr="004920C6">
        <w:rPr>
          <w:rFonts w:asciiTheme="minorHAnsi" w:hAnsiTheme="minorHAnsi" w:cstheme="minorHAnsi"/>
        </w:rPr>
        <w:t xml:space="preserve">ve </w:t>
      </w:r>
      <w:r w:rsidR="00F53F58" w:rsidRPr="004920C6">
        <w:rPr>
          <w:rFonts w:asciiTheme="minorHAnsi" w:hAnsiTheme="minorHAnsi" w:cstheme="minorHAnsi"/>
        </w:rPr>
        <w:t>výši</w:t>
      </w:r>
      <w:r w:rsidR="000B4873" w:rsidRPr="004920C6">
        <w:rPr>
          <w:rFonts w:asciiTheme="minorHAnsi" w:hAnsiTheme="minorHAnsi" w:cstheme="minorHAnsi"/>
        </w:rPr>
        <w:t xml:space="preserve"> </w:t>
      </w:r>
      <w:r w:rsidR="000B4873" w:rsidRPr="004920C6">
        <w:rPr>
          <w:rFonts w:asciiTheme="minorHAnsi" w:eastAsiaTheme="minorHAnsi" w:hAnsiTheme="minorHAnsi" w:cstheme="minorHAnsi"/>
        </w:rPr>
        <w:t>6,6 mld. Kč</w:t>
      </w:r>
      <w:r w:rsidR="0023690B" w:rsidRPr="004920C6">
        <w:rPr>
          <w:rFonts w:asciiTheme="minorHAnsi" w:hAnsiTheme="minorHAnsi" w:cstheme="minorHAnsi"/>
        </w:rPr>
        <w:t>,</w:t>
      </w:r>
      <w:r w:rsidR="000B4873" w:rsidRPr="004920C6">
        <w:rPr>
          <w:rFonts w:asciiTheme="minorHAnsi" w:hAnsiTheme="minorHAnsi" w:cstheme="minorHAnsi"/>
        </w:rPr>
        <w:t xml:space="preserve"> MK</w:t>
      </w:r>
      <w:r w:rsidR="00F53F58" w:rsidRPr="004920C6">
        <w:rPr>
          <w:rFonts w:asciiTheme="minorHAnsi" w:hAnsiTheme="minorHAnsi" w:cstheme="minorHAnsi"/>
        </w:rPr>
        <w:t xml:space="preserve"> v</w:t>
      </w:r>
      <w:r w:rsidR="00646CE6" w:rsidRPr="004920C6">
        <w:rPr>
          <w:rFonts w:asciiTheme="minorHAnsi" w:hAnsiTheme="minorHAnsi" w:cstheme="minorHAnsi"/>
        </w:rPr>
        <w:t xml:space="preserve"> </w:t>
      </w:r>
      <w:r w:rsidR="00F53F58" w:rsidRPr="004920C6">
        <w:rPr>
          <w:rFonts w:asciiTheme="minorHAnsi" w:hAnsiTheme="minorHAnsi" w:cstheme="minorHAnsi"/>
        </w:rPr>
        <w:t>průběhu kontroly opravil</w:t>
      </w:r>
      <w:r w:rsidR="000B4873" w:rsidRPr="004920C6">
        <w:rPr>
          <w:rFonts w:asciiTheme="minorHAnsi" w:hAnsiTheme="minorHAnsi" w:cstheme="minorHAnsi"/>
        </w:rPr>
        <w:t>o</w:t>
      </w:r>
      <w:r w:rsidRPr="004920C6">
        <w:rPr>
          <w:rFonts w:asciiTheme="minorHAnsi" w:hAnsiTheme="minorHAnsi" w:cstheme="minorHAnsi"/>
        </w:rPr>
        <w:t xml:space="preserve"> </w:t>
      </w:r>
      <w:r w:rsidR="00F85ED7" w:rsidRPr="004920C6">
        <w:rPr>
          <w:rFonts w:asciiTheme="minorHAnsi" w:hAnsiTheme="minorHAnsi" w:cstheme="minorHAnsi"/>
        </w:rPr>
        <w:t>a přijal</w:t>
      </w:r>
      <w:r w:rsidR="000B4873" w:rsidRPr="004920C6">
        <w:rPr>
          <w:rFonts w:asciiTheme="minorHAnsi" w:hAnsiTheme="minorHAnsi" w:cstheme="minorHAnsi"/>
        </w:rPr>
        <w:t>o</w:t>
      </w:r>
      <w:r w:rsidR="00063472" w:rsidRPr="004920C6">
        <w:rPr>
          <w:rFonts w:asciiTheme="minorHAnsi" w:hAnsiTheme="minorHAnsi" w:cstheme="minorHAnsi"/>
        </w:rPr>
        <w:t xml:space="preserve"> </w:t>
      </w:r>
      <w:r w:rsidR="002B375A" w:rsidRPr="004920C6">
        <w:rPr>
          <w:rFonts w:cs="Calibri"/>
        </w:rPr>
        <w:t>opatření k</w:t>
      </w:r>
      <w:r w:rsidR="00646CE6" w:rsidRPr="004920C6">
        <w:rPr>
          <w:rFonts w:cs="Calibri"/>
        </w:rPr>
        <w:t xml:space="preserve"> </w:t>
      </w:r>
      <w:r w:rsidR="002B375A" w:rsidRPr="004920C6">
        <w:rPr>
          <w:rFonts w:cs="Calibri"/>
        </w:rPr>
        <w:t>nápravě systémových nedostatků</w:t>
      </w:r>
      <w:r w:rsidR="00CB0EEE" w:rsidRPr="004920C6">
        <w:rPr>
          <w:rFonts w:asciiTheme="minorHAnsi" w:hAnsiTheme="minorHAnsi" w:cstheme="minorHAnsi"/>
        </w:rPr>
        <w:t>.</w:t>
      </w:r>
      <w:r w:rsidR="002B375A" w:rsidRPr="004920C6">
        <w:rPr>
          <w:rFonts w:asciiTheme="minorHAnsi" w:hAnsiTheme="minorHAnsi" w:cstheme="minorHAnsi"/>
        </w:rPr>
        <w:t xml:space="preserve"> Nesprávnosti, které zůstaly </w:t>
      </w:r>
      <w:r w:rsidR="00003367" w:rsidRPr="004920C6">
        <w:rPr>
          <w:rFonts w:asciiTheme="minorHAnsi" w:hAnsiTheme="minorHAnsi" w:cstheme="minorHAnsi"/>
        </w:rPr>
        <w:t>v</w:t>
      </w:r>
      <w:r w:rsidR="00646CE6" w:rsidRPr="004920C6">
        <w:rPr>
          <w:rFonts w:asciiTheme="minorHAnsi" w:hAnsiTheme="minorHAnsi" w:cstheme="minorHAnsi"/>
        </w:rPr>
        <w:t xml:space="preserve"> </w:t>
      </w:r>
      <w:r w:rsidR="00003367" w:rsidRPr="004920C6">
        <w:rPr>
          <w:rFonts w:asciiTheme="minorHAnsi" w:hAnsiTheme="minorHAnsi" w:cstheme="minorHAnsi"/>
        </w:rPr>
        <w:t>kontrolovaném roce 202</w:t>
      </w:r>
      <w:r w:rsidR="000B4873" w:rsidRPr="004920C6">
        <w:rPr>
          <w:rFonts w:asciiTheme="minorHAnsi" w:hAnsiTheme="minorHAnsi" w:cstheme="minorHAnsi"/>
        </w:rPr>
        <w:t>4</w:t>
      </w:r>
      <w:r w:rsidR="00003367" w:rsidRPr="004920C6">
        <w:rPr>
          <w:rFonts w:asciiTheme="minorHAnsi" w:hAnsiTheme="minorHAnsi" w:cstheme="minorHAnsi"/>
        </w:rPr>
        <w:t xml:space="preserve"> </w:t>
      </w:r>
      <w:r w:rsidR="002B375A" w:rsidRPr="004920C6">
        <w:rPr>
          <w:rFonts w:asciiTheme="minorHAnsi" w:hAnsiTheme="minorHAnsi" w:cstheme="minorHAnsi"/>
        </w:rPr>
        <w:t>neopraveny, ne</w:t>
      </w:r>
      <w:r w:rsidR="00003367" w:rsidRPr="004920C6">
        <w:rPr>
          <w:rFonts w:asciiTheme="minorHAnsi" w:hAnsiTheme="minorHAnsi" w:cstheme="minorHAnsi"/>
        </w:rPr>
        <w:t>byly významné</w:t>
      </w:r>
      <w:r w:rsidR="00CA2C07" w:rsidRPr="004920C6">
        <w:rPr>
          <w:rFonts w:asciiTheme="minorHAnsi" w:hAnsiTheme="minorHAnsi" w:cstheme="minorHAnsi"/>
        </w:rPr>
        <w:t xml:space="preserve"> (viz část IV.1 tohoto kontrolního závěru)</w:t>
      </w:r>
      <w:r w:rsidR="002B375A" w:rsidRPr="004920C6">
        <w:rPr>
          <w:rFonts w:asciiTheme="minorHAnsi" w:hAnsiTheme="minorHAnsi" w:cstheme="minorHAnsi"/>
        </w:rPr>
        <w:t>.</w:t>
      </w:r>
    </w:p>
    <w:p w14:paraId="74AD5A96" w14:textId="77EDC9BF" w:rsidR="000B4873" w:rsidRPr="004920C6" w:rsidRDefault="00003367" w:rsidP="00063472">
      <w:pPr>
        <w:spacing w:before="120"/>
        <w:jc w:val="both"/>
      </w:pPr>
      <w:r w:rsidRPr="004920C6">
        <w:rPr>
          <w:rFonts w:asciiTheme="minorHAnsi" w:hAnsiTheme="minorHAnsi" w:cstheme="minorHAnsi"/>
        </w:rPr>
        <w:t>N</w:t>
      </w:r>
      <w:r w:rsidR="00063472" w:rsidRPr="004920C6">
        <w:rPr>
          <w:rFonts w:asciiTheme="minorHAnsi" w:hAnsiTheme="minorHAnsi" w:cstheme="minorHAnsi"/>
        </w:rPr>
        <w:t xml:space="preserve">edostatky </w:t>
      </w:r>
      <w:r w:rsidRPr="004920C6">
        <w:rPr>
          <w:rFonts w:asciiTheme="minorHAnsi" w:hAnsiTheme="minorHAnsi" w:cstheme="minorHAnsi"/>
        </w:rPr>
        <w:t xml:space="preserve">identifikované </w:t>
      </w:r>
      <w:r w:rsidR="00063472" w:rsidRPr="004920C6">
        <w:rPr>
          <w:rFonts w:asciiTheme="minorHAnsi" w:hAnsiTheme="minorHAnsi" w:cstheme="minorHAnsi"/>
        </w:rPr>
        <w:t>v oblasti závěrečného účtu</w:t>
      </w:r>
      <w:r w:rsidR="007B79E6" w:rsidRPr="004920C6">
        <w:rPr>
          <w:rFonts w:asciiTheme="minorHAnsi" w:hAnsiTheme="minorHAnsi" w:cstheme="minorHAnsi"/>
        </w:rPr>
        <w:t xml:space="preserve"> nebyly významné a </w:t>
      </w:r>
      <w:r w:rsidR="007B79E6" w:rsidRPr="004920C6">
        <w:rPr>
          <w:rFonts w:cs="Calibri"/>
        </w:rPr>
        <w:t xml:space="preserve">spočívaly zejména v číselných nesrovnalostech uvedených údajů. </w:t>
      </w:r>
      <w:r w:rsidR="007B79E6" w:rsidRPr="004920C6">
        <w:rPr>
          <w:rFonts w:asciiTheme="minorHAnsi" w:hAnsiTheme="minorHAnsi" w:cstheme="minorHAnsi"/>
          <w:lang w:eastAsia="cs-CZ"/>
        </w:rPr>
        <w:t xml:space="preserve">MK převážnou většinu z nich v průběhu kontroly opravilo </w:t>
      </w:r>
      <w:r w:rsidR="00063472" w:rsidRPr="004920C6">
        <w:t>(viz část IV.3 tohoto kontrolního závěru).</w:t>
      </w:r>
    </w:p>
    <w:p w14:paraId="3979105F" w14:textId="0CFDA27D" w:rsidR="000B4873" w:rsidRPr="004920C6" w:rsidRDefault="000B4873" w:rsidP="000B4873">
      <w:pPr>
        <w:spacing w:before="120"/>
        <w:jc w:val="both"/>
        <w:rPr>
          <w:rFonts w:cs="Calibri"/>
        </w:rPr>
      </w:pPr>
      <w:r w:rsidRPr="004920C6">
        <w:rPr>
          <w:rFonts w:cs="Calibri"/>
        </w:rPr>
        <w:t>V oblasti plnění rozpočtu nezjistil NKÚ</w:t>
      </w:r>
      <w:r w:rsidR="0028660A" w:rsidRPr="004920C6">
        <w:rPr>
          <w:rFonts w:cs="Calibri"/>
        </w:rPr>
        <w:t xml:space="preserve"> </w:t>
      </w:r>
      <w:r w:rsidRPr="004920C6">
        <w:rPr>
          <w:rFonts w:cs="Calibri"/>
        </w:rPr>
        <w:t xml:space="preserve">nedostatky </w:t>
      </w:r>
      <w:r w:rsidRPr="004920C6">
        <w:rPr>
          <w:rFonts w:asciiTheme="minorHAnsi" w:hAnsiTheme="minorHAnsi" w:cstheme="minorHAnsi"/>
        </w:rPr>
        <w:t>(viz část IV.2 tohoto kontrolního závěru)</w:t>
      </w:r>
      <w:r w:rsidRPr="004920C6">
        <w:rPr>
          <w:rFonts w:cs="Calibri"/>
        </w:rPr>
        <w:t>.</w:t>
      </w:r>
    </w:p>
    <w:p w14:paraId="7FB311A4" w14:textId="2EB49172" w:rsidR="002F5F5E" w:rsidRPr="004920C6" w:rsidRDefault="007B79E6" w:rsidP="00CA7B8E">
      <w:pPr>
        <w:spacing w:after="240"/>
        <w:jc w:val="both"/>
        <w:rPr>
          <w:rFonts w:cs="Calibri"/>
          <w:b/>
          <w:bCs/>
        </w:rPr>
      </w:pPr>
      <w:r w:rsidRPr="004920C6">
        <w:rPr>
          <w:rFonts w:cs="Calibri"/>
          <w:b/>
          <w:bCs/>
        </w:rPr>
        <w:t>Dle NKÚ lze VKS po opatřeních přijatých v průběhu kontroly považovat v prověřovaných oblastech za účinný.</w:t>
      </w:r>
      <w:r w:rsidR="002F5F5E" w:rsidRPr="004920C6">
        <w:rPr>
          <w:rFonts w:cs="Calibri"/>
          <w:b/>
          <w:bCs/>
        </w:rPr>
        <w:t xml:space="preserve"> </w:t>
      </w:r>
      <w:r w:rsidRPr="004920C6">
        <w:rPr>
          <w:rFonts w:cs="Calibri"/>
        </w:rPr>
        <w:t>Pokud by MK nápravu</w:t>
      </w:r>
      <w:r w:rsidR="002F5F5E" w:rsidRPr="004920C6">
        <w:rPr>
          <w:rFonts w:cs="Calibri"/>
        </w:rPr>
        <w:t xml:space="preserve"> zjištěných</w:t>
      </w:r>
      <w:r w:rsidRPr="004920C6">
        <w:rPr>
          <w:rFonts w:cs="Calibri"/>
        </w:rPr>
        <w:t xml:space="preserve"> nedostatků v oblasti účetnictví neprovedlo tak, aby byla realizována s účinností již pro rok 2024, vyhodnotil by NKÚ celý VKS jako účinný s výhradou oblasti podmíněných závazků z transferů u národních dotací.</w:t>
      </w:r>
      <w:bookmarkEnd w:id="7"/>
      <w:bookmarkEnd w:id="8"/>
    </w:p>
    <w:p w14:paraId="1211803C" w14:textId="72CAFD74" w:rsidR="00CA7B8E" w:rsidRPr="004920C6" w:rsidRDefault="00CA7B8E" w:rsidP="00CA7B8E">
      <w:pPr>
        <w:pStyle w:val="Styl2"/>
        <w:numPr>
          <w:ilvl w:val="0"/>
          <w:numId w:val="0"/>
        </w:numPr>
        <w:spacing w:before="240" w:after="120"/>
        <w:ind w:left="284" w:hanging="284"/>
        <w:jc w:val="both"/>
      </w:pPr>
      <w:r w:rsidRPr="004920C6">
        <w:t xml:space="preserve">5. </w:t>
      </w:r>
      <w:r w:rsidRPr="004920C6">
        <w:tab/>
        <w:t>Vyhodnocení opatření přijatých k odstranění nedostatků zjištěných kontrolní akc</w:t>
      </w:r>
      <w:r w:rsidR="00C01A6F">
        <w:t>í</w:t>
      </w:r>
      <w:r w:rsidRPr="004920C6">
        <w:t xml:space="preserve"> NKÚ č.</w:t>
      </w:r>
      <w:r w:rsidR="00C01A6F">
        <w:t> </w:t>
      </w:r>
      <w:r w:rsidRPr="004920C6">
        <w:t>19/03</w:t>
      </w:r>
    </w:p>
    <w:p w14:paraId="3B5F4925" w14:textId="77777777" w:rsidR="00EA60E3" w:rsidRPr="005260DD" w:rsidRDefault="00CA7B8E" w:rsidP="00EA60E3">
      <w:pPr>
        <w:pStyle w:val="Normlnodsazen"/>
        <w:spacing w:after="120" w:line="240" w:lineRule="auto"/>
        <w:ind w:firstLine="0"/>
        <w:rPr>
          <w:rFonts w:asciiTheme="minorHAnsi" w:hAnsiTheme="minorHAnsi" w:cstheme="minorHAnsi"/>
          <w:sz w:val="24"/>
        </w:rPr>
      </w:pPr>
      <w:r w:rsidRPr="005260DD">
        <w:rPr>
          <w:rFonts w:asciiTheme="minorHAnsi" w:hAnsiTheme="minorHAnsi" w:cstheme="minorHAnsi"/>
          <w:sz w:val="24"/>
        </w:rPr>
        <w:t>NKÚ v průběhu kontroly hodnotil také</w:t>
      </w:r>
      <w:r w:rsidR="00EA60E3" w:rsidRPr="005260DD">
        <w:rPr>
          <w:rFonts w:asciiTheme="minorHAnsi" w:hAnsiTheme="minorHAnsi" w:cstheme="minorHAnsi"/>
          <w:sz w:val="24"/>
        </w:rPr>
        <w:t xml:space="preserve"> </w:t>
      </w:r>
      <w:r w:rsidR="007D7F5D" w:rsidRPr="00C01A6F">
        <w:rPr>
          <w:rFonts w:asciiTheme="minorHAnsi" w:hAnsiTheme="minorHAnsi" w:cstheme="minorHAnsi"/>
          <w:sz w:val="24"/>
        </w:rPr>
        <w:t>opatření přijat</w:t>
      </w:r>
      <w:r w:rsidR="00EA60E3" w:rsidRPr="005260DD">
        <w:rPr>
          <w:rFonts w:asciiTheme="minorHAnsi" w:hAnsiTheme="minorHAnsi" w:cstheme="minorHAnsi"/>
          <w:sz w:val="24"/>
        </w:rPr>
        <w:t>á</w:t>
      </w:r>
      <w:r w:rsidR="007D7F5D" w:rsidRPr="00C01A6F">
        <w:rPr>
          <w:rFonts w:asciiTheme="minorHAnsi" w:hAnsiTheme="minorHAnsi" w:cstheme="minorHAnsi"/>
          <w:sz w:val="24"/>
        </w:rPr>
        <w:t xml:space="preserve"> k odstranění nedostatků zjištěných v rámci kontrolní akce </w:t>
      </w:r>
      <w:r w:rsidR="00EA60E3" w:rsidRPr="005260DD">
        <w:rPr>
          <w:rFonts w:asciiTheme="minorHAnsi" w:hAnsiTheme="minorHAnsi" w:cstheme="minorHAnsi"/>
          <w:sz w:val="24"/>
        </w:rPr>
        <w:t xml:space="preserve">NKÚ </w:t>
      </w:r>
      <w:r w:rsidR="007D7F5D" w:rsidRPr="00C01A6F">
        <w:rPr>
          <w:rFonts w:asciiTheme="minorHAnsi" w:hAnsiTheme="minorHAnsi" w:cstheme="minorHAnsi"/>
          <w:sz w:val="24"/>
        </w:rPr>
        <w:t xml:space="preserve">č. 19/03 – </w:t>
      </w:r>
      <w:r w:rsidR="007D7F5D" w:rsidRPr="00C01A6F">
        <w:rPr>
          <w:rFonts w:asciiTheme="minorHAnsi" w:hAnsiTheme="minorHAnsi" w:cstheme="minorHAnsi"/>
          <w:bCs/>
          <w:i/>
          <w:iCs/>
          <w:sz w:val="24"/>
        </w:rPr>
        <w:t>Závěrečný účet kapitoly státního rozpočtu Ministerstvo kultury za rok 2018, účetní závěrka Ministerstva kultury za rok 2018 a údaje předkládané Ministerstvem kultury pro hodnocení plnění státního rozpočtu za rok 2018</w:t>
      </w:r>
      <w:r w:rsidR="007D7F5D" w:rsidRPr="00C01A6F">
        <w:rPr>
          <w:rFonts w:asciiTheme="minorHAnsi" w:hAnsiTheme="minorHAnsi" w:cstheme="minorHAnsi"/>
          <w:sz w:val="24"/>
        </w:rPr>
        <w:t>.</w:t>
      </w:r>
    </w:p>
    <w:p w14:paraId="2C2BC935" w14:textId="13863450" w:rsidR="007D7F5D" w:rsidRPr="004920C6" w:rsidRDefault="00EA60E3" w:rsidP="00EA60E3">
      <w:pPr>
        <w:pStyle w:val="Normlnodsazen"/>
        <w:spacing w:after="120" w:line="240" w:lineRule="auto"/>
        <w:ind w:firstLine="0"/>
        <w:rPr>
          <w:rFonts w:asciiTheme="minorHAnsi" w:hAnsiTheme="minorHAnsi" w:cstheme="minorHAnsi"/>
          <w:sz w:val="24"/>
        </w:rPr>
      </w:pPr>
      <w:r w:rsidRPr="004920C6">
        <w:rPr>
          <w:rFonts w:asciiTheme="minorHAnsi" w:hAnsiTheme="minorHAnsi" w:cstheme="minorHAnsi"/>
          <w:sz w:val="24"/>
        </w:rPr>
        <w:t xml:space="preserve">MK </w:t>
      </w:r>
      <w:r w:rsidR="00211E49">
        <w:rPr>
          <w:rFonts w:asciiTheme="minorHAnsi" w:hAnsiTheme="minorHAnsi" w:cstheme="minorHAnsi"/>
          <w:sz w:val="24"/>
        </w:rPr>
        <w:t xml:space="preserve">přijalo </w:t>
      </w:r>
      <w:r w:rsidR="00484594">
        <w:rPr>
          <w:rFonts w:asciiTheme="minorHAnsi" w:hAnsiTheme="minorHAnsi" w:cstheme="minorHAnsi"/>
          <w:sz w:val="24"/>
        </w:rPr>
        <w:t xml:space="preserve">nápravná </w:t>
      </w:r>
      <w:r w:rsidR="00211E49">
        <w:rPr>
          <w:rFonts w:asciiTheme="minorHAnsi" w:hAnsiTheme="minorHAnsi" w:cstheme="minorHAnsi"/>
          <w:sz w:val="24"/>
        </w:rPr>
        <w:t>opatření ke všem zjištěným nedostatkům</w:t>
      </w:r>
      <w:r w:rsidRPr="004920C6">
        <w:rPr>
          <w:rFonts w:asciiTheme="minorHAnsi" w:hAnsiTheme="minorHAnsi" w:cstheme="minorHAnsi"/>
          <w:sz w:val="24"/>
        </w:rPr>
        <w:t xml:space="preserve"> a zpracovalo </w:t>
      </w:r>
      <w:r w:rsidRPr="004920C6">
        <w:rPr>
          <w:rFonts w:asciiTheme="minorHAnsi" w:hAnsiTheme="minorHAnsi" w:cstheme="minorHAnsi"/>
          <w:i/>
          <w:sz w:val="24"/>
        </w:rPr>
        <w:t>Stanovisko MK a</w:t>
      </w:r>
      <w:r w:rsidR="00484594">
        <w:rPr>
          <w:rFonts w:asciiTheme="minorHAnsi" w:hAnsiTheme="minorHAnsi" w:cstheme="minorHAnsi"/>
          <w:i/>
          <w:sz w:val="24"/>
        </w:rPr>
        <w:t> </w:t>
      </w:r>
      <w:r w:rsidRPr="004920C6">
        <w:rPr>
          <w:rFonts w:asciiTheme="minorHAnsi" w:hAnsiTheme="minorHAnsi" w:cstheme="minorHAnsi"/>
          <w:i/>
          <w:sz w:val="24"/>
        </w:rPr>
        <w:t>opatření ke KZ NKÚ č.</w:t>
      </w:r>
      <w:r w:rsidR="00484594">
        <w:rPr>
          <w:rFonts w:asciiTheme="minorHAnsi" w:hAnsiTheme="minorHAnsi" w:cstheme="minorHAnsi"/>
          <w:i/>
          <w:sz w:val="24"/>
        </w:rPr>
        <w:t xml:space="preserve"> </w:t>
      </w:r>
      <w:r w:rsidRPr="004920C6">
        <w:rPr>
          <w:rFonts w:asciiTheme="minorHAnsi" w:hAnsiTheme="minorHAnsi" w:cstheme="minorHAnsi"/>
          <w:i/>
          <w:sz w:val="24"/>
        </w:rPr>
        <w:t>19/03</w:t>
      </w:r>
      <w:r w:rsidRPr="004920C6">
        <w:rPr>
          <w:rFonts w:asciiTheme="minorHAnsi" w:hAnsiTheme="minorHAnsi" w:cstheme="minorHAnsi"/>
          <w:sz w:val="24"/>
        </w:rPr>
        <w:t xml:space="preserve"> (dále</w:t>
      </w:r>
      <w:r w:rsidR="00A61F2A" w:rsidRPr="004920C6">
        <w:rPr>
          <w:rFonts w:asciiTheme="minorHAnsi" w:hAnsiTheme="minorHAnsi" w:cstheme="minorHAnsi"/>
          <w:sz w:val="24"/>
        </w:rPr>
        <w:t xml:space="preserve"> jen</w:t>
      </w:r>
      <w:r w:rsidRPr="004920C6">
        <w:rPr>
          <w:rFonts w:asciiTheme="minorHAnsi" w:hAnsiTheme="minorHAnsi" w:cstheme="minorHAnsi"/>
          <w:sz w:val="24"/>
        </w:rPr>
        <w:t xml:space="preserve"> „Stanovisko MK“)</w:t>
      </w:r>
      <w:r w:rsidR="00266685" w:rsidRPr="004920C6">
        <w:rPr>
          <w:rFonts w:asciiTheme="minorHAnsi" w:hAnsiTheme="minorHAnsi" w:cstheme="minorHAnsi"/>
          <w:sz w:val="24"/>
        </w:rPr>
        <w:t xml:space="preserve">. </w:t>
      </w:r>
      <w:r w:rsidRPr="004920C6">
        <w:rPr>
          <w:rFonts w:asciiTheme="minorHAnsi" w:hAnsiTheme="minorHAnsi" w:cstheme="minorHAnsi"/>
          <w:sz w:val="24"/>
        </w:rPr>
        <w:t>Usnesením vlády ČR ze dne 9.</w:t>
      </w:r>
      <w:r w:rsidR="00484594">
        <w:rPr>
          <w:rFonts w:asciiTheme="minorHAnsi" w:hAnsiTheme="minorHAnsi" w:cstheme="minorHAnsi"/>
          <w:sz w:val="24"/>
        </w:rPr>
        <w:t> </w:t>
      </w:r>
      <w:r w:rsidRPr="004920C6">
        <w:rPr>
          <w:rFonts w:asciiTheme="minorHAnsi" w:hAnsiTheme="minorHAnsi" w:cstheme="minorHAnsi"/>
          <w:sz w:val="24"/>
        </w:rPr>
        <w:t>března 2020 č. 182 vláda vzala kontrolní závěr z kontrolní akce NKÚ č. 19/03 i Stanovisko MK na vědomí a uložila ministru kultury zajistit realizaci opatření obsažených ve Stanovisku MK a informovat vládu do 31. ledna 2021 o jejich plnění.</w:t>
      </w:r>
      <w:r w:rsidR="00266685" w:rsidRPr="004920C6">
        <w:rPr>
          <w:rFonts w:asciiTheme="minorHAnsi" w:hAnsiTheme="minorHAnsi" w:cstheme="minorHAnsi"/>
          <w:sz w:val="24"/>
        </w:rPr>
        <w:t xml:space="preserve"> </w:t>
      </w:r>
      <w:r w:rsidRPr="004920C6">
        <w:rPr>
          <w:rFonts w:asciiTheme="minorHAnsi" w:hAnsiTheme="minorHAnsi" w:cstheme="minorHAnsi"/>
          <w:sz w:val="24"/>
        </w:rPr>
        <w:t xml:space="preserve">V návaznosti na to MK předložilo </w:t>
      </w:r>
      <w:r w:rsidRPr="004920C6">
        <w:rPr>
          <w:rFonts w:asciiTheme="minorHAnsi" w:hAnsiTheme="minorHAnsi" w:cstheme="minorHAnsi"/>
          <w:i/>
          <w:iCs/>
          <w:sz w:val="24"/>
        </w:rPr>
        <w:lastRenderedPageBreak/>
        <w:t>Informaci Ministerstva kultury o stavu plnění opatření přijatých k odstranění nedostatků uvedených v Kontrolním závěru Nejvyššího kontrolního úřadu z kontrolní akce č. 19/03 „Závěrečný účet kapitoly státního rozpočtu Ministerstvo kultury za rok 2018, účetní závěrka Ministerstva kultury za rok 2018 a</w:t>
      </w:r>
      <w:r w:rsidR="00B672C5">
        <w:rPr>
          <w:rFonts w:asciiTheme="minorHAnsi" w:hAnsiTheme="minorHAnsi" w:cstheme="minorHAnsi"/>
          <w:i/>
          <w:iCs/>
          <w:sz w:val="24"/>
        </w:rPr>
        <w:t> </w:t>
      </w:r>
      <w:r w:rsidRPr="004920C6">
        <w:rPr>
          <w:rFonts w:asciiTheme="minorHAnsi" w:hAnsiTheme="minorHAnsi" w:cstheme="minorHAnsi"/>
          <w:i/>
          <w:iCs/>
          <w:sz w:val="24"/>
        </w:rPr>
        <w:t>údaje předkládané Ministerstvem kultury pro hodnocení plnění státního rozpočtu za rok 2018“</w:t>
      </w:r>
      <w:r w:rsidR="00266685" w:rsidRPr="004920C6">
        <w:rPr>
          <w:rFonts w:asciiTheme="minorHAnsi" w:hAnsiTheme="minorHAnsi" w:cstheme="minorHAnsi"/>
          <w:sz w:val="24"/>
        </w:rPr>
        <w:t xml:space="preserve"> </w:t>
      </w:r>
      <w:r w:rsidRPr="004920C6">
        <w:rPr>
          <w:rFonts w:asciiTheme="minorHAnsi" w:hAnsiTheme="minorHAnsi" w:cstheme="minorHAnsi"/>
          <w:sz w:val="24"/>
        </w:rPr>
        <w:t>(dále</w:t>
      </w:r>
      <w:r w:rsidR="00A61F2A" w:rsidRPr="004920C6">
        <w:rPr>
          <w:rFonts w:asciiTheme="minorHAnsi" w:hAnsiTheme="minorHAnsi" w:cstheme="minorHAnsi"/>
          <w:sz w:val="24"/>
        </w:rPr>
        <w:t xml:space="preserve"> jen</w:t>
      </w:r>
      <w:r w:rsidRPr="004920C6">
        <w:rPr>
          <w:rFonts w:asciiTheme="minorHAnsi" w:hAnsiTheme="minorHAnsi" w:cstheme="minorHAnsi"/>
          <w:sz w:val="24"/>
        </w:rPr>
        <w:t xml:space="preserve"> „Informace MK“), která byla projednána vládou ČR dne 8. 3. 2021 (bez usnesení).</w:t>
      </w:r>
    </w:p>
    <w:p w14:paraId="62FF4B99" w14:textId="74F45119" w:rsidR="00266685" w:rsidRPr="004920C6" w:rsidRDefault="00266685" w:rsidP="00266685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  <w:b/>
          <w:bCs/>
        </w:rPr>
        <w:t>Ve vztahu ke kontrolovanému roku 2024 MK realizovalo opatření k nápravě všech 18</w:t>
      </w:r>
      <w:r w:rsidR="00B672C5">
        <w:rPr>
          <w:rFonts w:asciiTheme="minorHAnsi" w:hAnsiTheme="minorHAnsi" w:cstheme="minorHAnsi"/>
          <w:b/>
          <w:bCs/>
        </w:rPr>
        <w:t> </w:t>
      </w:r>
      <w:r w:rsidRPr="004920C6">
        <w:rPr>
          <w:rFonts w:asciiTheme="minorHAnsi" w:hAnsiTheme="minorHAnsi" w:cstheme="minorHAnsi"/>
          <w:b/>
          <w:bCs/>
        </w:rPr>
        <w:t>nedostatků uvedených v kontrolním závěru z kontrolní akce NKÚ č. 19/03,</w:t>
      </w:r>
      <w:r w:rsidR="00E54C64" w:rsidRPr="004920C6">
        <w:rPr>
          <w:rFonts w:asciiTheme="minorHAnsi" w:hAnsiTheme="minorHAnsi" w:cstheme="minorHAnsi"/>
          <w:b/>
          <w:bCs/>
        </w:rPr>
        <w:t xml:space="preserve"> v případě</w:t>
      </w:r>
      <w:r w:rsidRPr="004920C6">
        <w:rPr>
          <w:rFonts w:asciiTheme="minorHAnsi" w:hAnsiTheme="minorHAnsi" w:cstheme="minorHAnsi"/>
          <w:b/>
          <w:bCs/>
        </w:rPr>
        <w:t xml:space="preserve"> tří z nich však až na základě pro</w:t>
      </w:r>
      <w:r w:rsidR="00B0735E" w:rsidRPr="004920C6">
        <w:rPr>
          <w:rFonts w:asciiTheme="minorHAnsi" w:hAnsiTheme="minorHAnsi" w:cstheme="minorHAnsi"/>
          <w:b/>
          <w:bCs/>
        </w:rPr>
        <w:t>bíhající</w:t>
      </w:r>
      <w:r w:rsidRPr="004920C6">
        <w:rPr>
          <w:rFonts w:asciiTheme="minorHAnsi" w:hAnsiTheme="minorHAnsi" w:cstheme="minorHAnsi"/>
          <w:b/>
          <w:bCs/>
        </w:rPr>
        <w:t xml:space="preserve"> kontroly</w:t>
      </w:r>
      <w:r w:rsidR="006E7F47">
        <w:rPr>
          <w:rFonts w:asciiTheme="minorHAnsi" w:hAnsiTheme="minorHAnsi" w:cstheme="minorHAnsi"/>
          <w:b/>
          <w:bCs/>
        </w:rPr>
        <w:t xml:space="preserve"> NKÚ č. 24/20</w:t>
      </w:r>
      <w:r w:rsidRPr="004920C6">
        <w:rPr>
          <w:rFonts w:asciiTheme="minorHAnsi" w:hAnsiTheme="minorHAnsi" w:cstheme="minorHAnsi"/>
          <w:b/>
          <w:bCs/>
        </w:rPr>
        <w:t>.</w:t>
      </w:r>
      <w:bookmarkStart w:id="9" w:name="_Hlk77777214"/>
      <w:r w:rsidRPr="004920C6">
        <w:rPr>
          <w:rFonts w:asciiTheme="minorHAnsi" w:hAnsiTheme="minorHAnsi" w:cstheme="minorHAnsi"/>
          <w:b/>
          <w:bCs/>
        </w:rPr>
        <w:t xml:space="preserve"> MK tak výsledně realizovalo opatření k nápravě nedostatků </w:t>
      </w:r>
      <w:r w:rsidR="000D03AD">
        <w:rPr>
          <w:rFonts w:asciiTheme="minorHAnsi" w:hAnsiTheme="minorHAnsi" w:cstheme="minorHAnsi"/>
          <w:b/>
          <w:bCs/>
        </w:rPr>
        <w:t>v celém rozsahu</w:t>
      </w:r>
      <w:r w:rsidRPr="004920C6">
        <w:rPr>
          <w:rFonts w:asciiTheme="minorHAnsi" w:hAnsiTheme="minorHAnsi" w:cstheme="minorHAnsi"/>
          <w:b/>
          <w:bCs/>
        </w:rPr>
        <w:t>.</w:t>
      </w:r>
      <w:bookmarkEnd w:id="9"/>
      <w:r w:rsidRPr="004920C6">
        <w:rPr>
          <w:rFonts w:asciiTheme="minorHAnsi" w:hAnsiTheme="minorHAnsi" w:cstheme="minorHAnsi"/>
        </w:rPr>
        <w:t xml:space="preserve"> </w:t>
      </w:r>
    </w:p>
    <w:p w14:paraId="2B88DA5D" w14:textId="0FBA1071" w:rsidR="00D30FE1" w:rsidRPr="004920C6" w:rsidRDefault="00266685" w:rsidP="00266685">
      <w:pPr>
        <w:autoSpaceDE w:val="0"/>
        <w:autoSpaceDN w:val="0"/>
        <w:jc w:val="both"/>
        <w:rPr>
          <w:rFonts w:asciiTheme="minorHAnsi" w:hAnsiTheme="minorHAnsi" w:cstheme="minorHAnsi"/>
        </w:rPr>
      </w:pPr>
      <w:bookmarkStart w:id="10" w:name="_Hlk77777362"/>
      <w:r w:rsidRPr="004920C6">
        <w:rPr>
          <w:rFonts w:asciiTheme="minorHAnsi" w:hAnsiTheme="minorHAnsi" w:cstheme="minorHAnsi"/>
        </w:rPr>
        <w:t xml:space="preserve">Pokud by MK účinně realizovalo veškerá </w:t>
      </w:r>
      <w:r w:rsidR="00484594">
        <w:rPr>
          <w:rFonts w:asciiTheme="minorHAnsi" w:hAnsiTheme="minorHAnsi" w:cstheme="minorHAnsi"/>
        </w:rPr>
        <w:t xml:space="preserve">nápravná </w:t>
      </w:r>
      <w:r w:rsidRPr="004920C6">
        <w:rPr>
          <w:rFonts w:asciiTheme="minorHAnsi" w:hAnsiTheme="minorHAnsi" w:cstheme="minorHAnsi"/>
        </w:rPr>
        <w:t>opatření, která uv</w:t>
      </w:r>
      <w:r w:rsidR="00484594">
        <w:rPr>
          <w:rFonts w:asciiTheme="minorHAnsi" w:hAnsiTheme="minorHAnsi" w:cstheme="minorHAnsi"/>
        </w:rPr>
        <w:t>edlo</w:t>
      </w:r>
      <w:r w:rsidRPr="004920C6">
        <w:rPr>
          <w:rFonts w:asciiTheme="minorHAnsi" w:hAnsiTheme="minorHAnsi" w:cstheme="minorHAnsi"/>
        </w:rPr>
        <w:t xml:space="preserve"> ve Stanovisku MK a</w:t>
      </w:r>
      <w:r w:rsidR="00484594">
        <w:rPr>
          <w:rFonts w:asciiTheme="minorHAnsi" w:hAnsiTheme="minorHAnsi" w:cstheme="minorHAnsi"/>
        </w:rPr>
        <w:t> </w:t>
      </w:r>
      <w:r w:rsidRPr="004920C6">
        <w:rPr>
          <w:rFonts w:asciiTheme="minorHAnsi" w:hAnsiTheme="minorHAnsi" w:cstheme="minorHAnsi"/>
        </w:rPr>
        <w:t>v Informaci MK a o kterých informovalo vládu v roce 2021, mohlo předejít opravám</w:t>
      </w:r>
      <w:r w:rsidR="00523211">
        <w:rPr>
          <w:rFonts w:asciiTheme="minorHAnsi" w:hAnsiTheme="minorHAnsi" w:cstheme="minorHAnsi"/>
        </w:rPr>
        <w:t xml:space="preserve"> účetních operací ve výši 6,4 mld. Kč</w:t>
      </w:r>
      <w:r w:rsidRPr="004920C6">
        <w:rPr>
          <w:rFonts w:asciiTheme="minorHAnsi" w:hAnsiTheme="minorHAnsi" w:cstheme="minorHAnsi"/>
        </w:rPr>
        <w:t>, o</w:t>
      </w:r>
      <w:r w:rsidR="00E54C64" w:rsidRPr="004920C6">
        <w:rPr>
          <w:rFonts w:asciiTheme="minorHAnsi" w:hAnsiTheme="minorHAnsi" w:cstheme="minorHAnsi"/>
        </w:rPr>
        <w:t xml:space="preserve"> nichž</w:t>
      </w:r>
      <w:r w:rsidRPr="004920C6">
        <w:rPr>
          <w:rFonts w:asciiTheme="minorHAnsi" w:hAnsiTheme="minorHAnsi" w:cstheme="minorHAnsi"/>
        </w:rPr>
        <w:t xml:space="preserve"> účtovalo v roce 2024.</w:t>
      </w:r>
      <w:bookmarkEnd w:id="10"/>
    </w:p>
    <w:p w14:paraId="5C20E764" w14:textId="46AE6DC0" w:rsidR="00012473" w:rsidRPr="004920C6" w:rsidRDefault="00266685" w:rsidP="00D30FE1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</w:rPr>
        <w:br w:type="page"/>
      </w:r>
    </w:p>
    <w:p w14:paraId="7559DAF1" w14:textId="77777777" w:rsidR="00112642" w:rsidRPr="004920C6" w:rsidRDefault="00045C6E" w:rsidP="00281392">
      <w:pPr>
        <w:pStyle w:val="Nadpis1"/>
        <w:keepNext/>
        <w:spacing w:before="600" w:after="120" w:line="240" w:lineRule="auto"/>
        <w:jc w:val="left"/>
        <w:rPr>
          <w:sz w:val="24"/>
        </w:rPr>
      </w:pPr>
      <w:r w:rsidRPr="004920C6">
        <w:rPr>
          <w:sz w:val="24"/>
        </w:rPr>
        <w:lastRenderedPageBreak/>
        <w:t>S</w:t>
      </w:r>
      <w:r w:rsidR="00A640AE" w:rsidRPr="004920C6">
        <w:rPr>
          <w:sz w:val="24"/>
        </w:rPr>
        <w:t>eznam zkratek</w:t>
      </w:r>
    </w:p>
    <w:p w14:paraId="133133CF" w14:textId="77777777" w:rsidR="0091440A" w:rsidRPr="004920C6" w:rsidRDefault="00155F56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</w:rPr>
        <w:t>ČR</w:t>
      </w:r>
      <w:r w:rsidRPr="004920C6">
        <w:rPr>
          <w:rFonts w:asciiTheme="minorHAnsi" w:eastAsiaTheme="minorHAnsi" w:hAnsiTheme="minorHAnsi" w:cstheme="minorHAnsi"/>
        </w:rPr>
        <w:tab/>
        <w:t>Česká republika</w:t>
      </w:r>
    </w:p>
    <w:p w14:paraId="619D412C" w14:textId="02384AAA" w:rsidR="00CB3C84" w:rsidRDefault="003D1832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eastAsiaTheme="minorHAnsi" w:hAnsiTheme="minorHAnsi" w:cstheme="minorHAnsi"/>
        </w:rPr>
        <w:t>ČÚS</w:t>
      </w:r>
      <w:r w:rsidRPr="004920C6">
        <w:rPr>
          <w:rFonts w:asciiTheme="minorHAnsi" w:eastAsiaTheme="minorHAnsi" w:hAnsiTheme="minorHAnsi" w:cstheme="minorHAnsi"/>
        </w:rPr>
        <w:tab/>
      </w:r>
      <w:r w:rsidR="00E30988" w:rsidRPr="004920C6">
        <w:rPr>
          <w:rFonts w:asciiTheme="minorHAnsi" w:hAnsiTheme="minorHAnsi" w:cstheme="minorHAnsi"/>
          <w:bCs/>
        </w:rPr>
        <w:t>český</w:t>
      </w:r>
      <w:r w:rsidR="00484594">
        <w:rPr>
          <w:rFonts w:asciiTheme="minorHAnsi" w:hAnsiTheme="minorHAnsi" w:cstheme="minorHAnsi"/>
          <w:bCs/>
        </w:rPr>
        <w:t xml:space="preserve"> </w:t>
      </w:r>
      <w:r w:rsidR="00E30988" w:rsidRPr="004920C6">
        <w:rPr>
          <w:rFonts w:asciiTheme="minorHAnsi" w:hAnsiTheme="minorHAnsi" w:cstheme="minorHAnsi"/>
          <w:bCs/>
        </w:rPr>
        <w:t>účetní standard</w:t>
      </w:r>
      <w:r w:rsidR="00484594">
        <w:rPr>
          <w:rFonts w:asciiTheme="minorHAnsi" w:hAnsiTheme="minorHAnsi" w:cstheme="minorHAnsi"/>
          <w:bCs/>
        </w:rPr>
        <w:t xml:space="preserve"> (</w:t>
      </w:r>
      <w:r w:rsidR="00484594" w:rsidRPr="004920C6">
        <w:rPr>
          <w:rFonts w:asciiTheme="minorHAnsi" w:hAnsiTheme="minorHAnsi" w:cstheme="minorHAnsi"/>
          <w:bCs/>
        </w:rPr>
        <w:t xml:space="preserve">české </w:t>
      </w:r>
      <w:r w:rsidR="00484594" w:rsidRPr="00484594">
        <w:rPr>
          <w:rFonts w:asciiTheme="minorHAnsi" w:hAnsiTheme="minorHAnsi" w:cstheme="minorHAnsi"/>
          <w:bCs/>
        </w:rPr>
        <w:t xml:space="preserve">účetní </w:t>
      </w:r>
      <w:r w:rsidR="00E30988" w:rsidRPr="004920C6">
        <w:rPr>
          <w:rFonts w:asciiTheme="minorHAnsi" w:hAnsiTheme="minorHAnsi" w:cstheme="minorHAnsi"/>
          <w:bCs/>
        </w:rPr>
        <w:t>standardy</w:t>
      </w:r>
      <w:r w:rsidR="00484594">
        <w:rPr>
          <w:rFonts w:asciiTheme="minorHAnsi" w:hAnsiTheme="minorHAnsi" w:cstheme="minorHAnsi"/>
          <w:bCs/>
        </w:rPr>
        <w:t>)</w:t>
      </w:r>
      <w:r w:rsidR="00E30988" w:rsidRPr="004920C6">
        <w:rPr>
          <w:rFonts w:asciiTheme="minorHAnsi" w:hAnsiTheme="minorHAnsi" w:cstheme="minorHAnsi"/>
          <w:bCs/>
        </w:rPr>
        <w:t xml:space="preserve"> pro některé vybrané účetní jednotky, které vedou účetnictví podle vyhlášky č. 410/2009 Sb.</w:t>
      </w:r>
    </w:p>
    <w:p w14:paraId="1FEAE0E2" w14:textId="21BBC498" w:rsidR="00484594" w:rsidRPr="004920C6" w:rsidRDefault="00484594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DPH</w:t>
      </w:r>
      <w:r>
        <w:rPr>
          <w:rFonts w:asciiTheme="minorHAnsi" w:eastAsiaTheme="minorHAnsi" w:hAnsiTheme="minorHAnsi" w:cstheme="minorHAnsi"/>
        </w:rPr>
        <w:tab/>
        <w:t>daň z přidané hodnoty</w:t>
      </w:r>
    </w:p>
    <w:p w14:paraId="718BE608" w14:textId="0946AF40" w:rsidR="00DE3680" w:rsidRPr="004920C6" w:rsidRDefault="00DE3680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</w:rPr>
        <w:t>EHP</w:t>
      </w:r>
      <w:r w:rsidRPr="004920C6">
        <w:rPr>
          <w:rFonts w:asciiTheme="minorHAnsi" w:eastAsiaTheme="minorHAnsi" w:hAnsiTheme="minorHAnsi" w:cstheme="minorHAnsi"/>
        </w:rPr>
        <w:tab/>
      </w:r>
      <w:r w:rsidR="005B227D" w:rsidRPr="004920C6">
        <w:rPr>
          <w:rFonts w:asciiTheme="minorHAnsi" w:eastAsiaTheme="minorHAnsi" w:hAnsiTheme="minorHAnsi" w:cstheme="minorHAnsi"/>
        </w:rPr>
        <w:t>Evropský hospodářský prostor</w:t>
      </w:r>
    </w:p>
    <w:p w14:paraId="13462E5F" w14:textId="77777777" w:rsidR="008412ED" w:rsidRPr="004920C6" w:rsidRDefault="005B227D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</w:rPr>
        <w:t>EU</w:t>
      </w:r>
      <w:r w:rsidRPr="004920C6">
        <w:rPr>
          <w:rFonts w:asciiTheme="minorHAnsi" w:eastAsiaTheme="minorHAnsi" w:hAnsiTheme="minorHAnsi" w:cstheme="minorHAnsi"/>
        </w:rPr>
        <w:tab/>
        <w:t>Evropská unie</w:t>
      </w:r>
    </w:p>
    <w:p w14:paraId="5D2BE48E" w14:textId="3FFE482F" w:rsidR="00A61F2A" w:rsidRDefault="00A61F2A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hAnsiTheme="minorHAnsi" w:cstheme="minorHAnsi"/>
          <w:i/>
          <w:iCs/>
        </w:rPr>
      </w:pPr>
      <w:r w:rsidRPr="004920C6">
        <w:rPr>
          <w:rFonts w:asciiTheme="minorHAnsi" w:eastAsiaTheme="minorHAnsi" w:hAnsiTheme="minorHAnsi" w:cstheme="minorHAnsi"/>
        </w:rPr>
        <w:t>Informace MK</w:t>
      </w:r>
      <w:r w:rsidRPr="004920C6">
        <w:rPr>
          <w:rFonts w:asciiTheme="minorHAnsi" w:eastAsiaTheme="minorHAnsi" w:hAnsiTheme="minorHAnsi" w:cstheme="minorHAnsi"/>
        </w:rPr>
        <w:tab/>
      </w:r>
      <w:r w:rsidRPr="004920C6">
        <w:rPr>
          <w:rFonts w:asciiTheme="minorHAnsi" w:hAnsiTheme="minorHAnsi" w:cstheme="minorHAnsi"/>
          <w:i/>
          <w:iCs/>
        </w:rPr>
        <w:t>Informace Ministerstva kultury o stavu plnění opatření přijatých k odstranění nedostatků uvedených v Kontrolním závěru Nejvyššího kontrolního úřadu z kontrolní akce č. 19/03 „Závěrečný účet kapitoly státního rozpočtu Ministerstvo kultury za rok 2018, účetní závěrka Ministerstva kultury za rok 2018 a údaje předkládané Ministerstvem kultury pro hodnocení plnění státního rozpočtu za rok 2018</w:t>
      </w:r>
      <w:r w:rsidRPr="00F04CD2">
        <w:rPr>
          <w:rFonts w:asciiTheme="minorHAnsi" w:hAnsiTheme="minorHAnsi" w:cstheme="minorHAnsi"/>
          <w:i/>
          <w:iCs/>
        </w:rPr>
        <w:t>“</w:t>
      </w:r>
    </w:p>
    <w:p w14:paraId="197DC3F4" w14:textId="6D573967" w:rsidR="00484594" w:rsidRPr="00484594" w:rsidRDefault="00484594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</w:rPr>
        <w:t>KZ</w:t>
      </w:r>
      <w:r>
        <w:rPr>
          <w:rFonts w:asciiTheme="minorHAnsi" w:hAnsiTheme="minorHAnsi" w:cstheme="minorHAnsi"/>
        </w:rPr>
        <w:tab/>
        <w:t>kontrolní závěr</w:t>
      </w:r>
    </w:p>
    <w:p w14:paraId="7E426402" w14:textId="65433A5F" w:rsidR="000F1166" w:rsidRPr="004920C6" w:rsidRDefault="000F1166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</w:rPr>
        <w:t>MK</w:t>
      </w:r>
      <w:r w:rsidRPr="004920C6">
        <w:rPr>
          <w:rFonts w:asciiTheme="minorHAnsi" w:eastAsiaTheme="minorHAnsi" w:hAnsiTheme="minorHAnsi" w:cstheme="minorHAnsi"/>
        </w:rPr>
        <w:tab/>
        <w:t>Ministerstvo kultury</w:t>
      </w:r>
    </w:p>
    <w:p w14:paraId="066DB31B" w14:textId="77777777" w:rsidR="00933F4A" w:rsidRPr="004920C6" w:rsidRDefault="00933F4A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</w:rPr>
        <w:t>MP FT</w:t>
      </w:r>
      <w:r w:rsidRPr="004920C6">
        <w:rPr>
          <w:rFonts w:asciiTheme="minorHAnsi" w:eastAsiaTheme="minorHAnsi" w:hAnsiTheme="minorHAnsi" w:cstheme="minorHAnsi"/>
        </w:rPr>
        <w:tab/>
      </w:r>
      <w:r w:rsidRPr="005260DD">
        <w:rPr>
          <w:rFonts w:asciiTheme="minorHAnsi" w:hAnsiTheme="minorHAnsi" w:cstheme="minorHAnsi"/>
          <w:bCs/>
          <w:i/>
          <w:iCs/>
        </w:rPr>
        <w:t>Metodický pokyn finančních toků pro Národní plán obnovy na období 2021</w:t>
      </w:r>
      <w:r w:rsidR="0030121E" w:rsidRPr="005260DD">
        <w:rPr>
          <w:rFonts w:asciiTheme="minorHAnsi" w:hAnsiTheme="minorHAnsi" w:cstheme="minorHAnsi"/>
          <w:bCs/>
          <w:i/>
          <w:iCs/>
        </w:rPr>
        <w:t>–</w:t>
      </w:r>
      <w:r w:rsidRPr="005260DD">
        <w:rPr>
          <w:rFonts w:asciiTheme="minorHAnsi" w:hAnsiTheme="minorHAnsi" w:cstheme="minorHAnsi"/>
          <w:bCs/>
          <w:i/>
          <w:iCs/>
        </w:rPr>
        <w:t>2026</w:t>
      </w:r>
    </w:p>
    <w:p w14:paraId="397CB5F3" w14:textId="77777777" w:rsidR="00933F4A" w:rsidRPr="004920C6" w:rsidRDefault="005B227D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hAnsiTheme="minorHAnsi" w:cstheme="minorHAnsi"/>
          <w:spacing w:val="2"/>
          <w:shd w:val="clear" w:color="auto" w:fill="FFFFFF"/>
        </w:rPr>
      </w:pPr>
      <w:r w:rsidRPr="004920C6">
        <w:rPr>
          <w:rFonts w:asciiTheme="minorHAnsi" w:eastAsiaTheme="minorHAnsi" w:hAnsiTheme="minorHAnsi" w:cstheme="minorHAnsi"/>
        </w:rPr>
        <w:t>MPO-DU</w:t>
      </w:r>
      <w:r w:rsidRPr="004920C6">
        <w:rPr>
          <w:rFonts w:asciiTheme="minorHAnsi" w:eastAsiaTheme="minorHAnsi" w:hAnsiTheme="minorHAnsi" w:cstheme="minorHAnsi"/>
        </w:rPr>
        <w:tab/>
      </w:r>
      <w:r w:rsidR="00C43FE9" w:rsidRPr="004920C6">
        <w:rPr>
          <w:rFonts w:asciiTheme="minorHAnsi" w:eastAsiaTheme="minorHAnsi" w:hAnsiTheme="minorHAnsi" w:cstheme="minorHAnsi"/>
        </w:rPr>
        <w:t xml:space="preserve">Ministerstvo průmyslu a obchodu – </w:t>
      </w:r>
      <w:proofErr w:type="spellStart"/>
      <w:r w:rsidR="00C43FE9" w:rsidRPr="004920C6">
        <w:rPr>
          <w:rFonts w:asciiTheme="minorHAnsi" w:eastAsiaTheme="minorHAnsi" w:hAnsiTheme="minorHAnsi" w:cstheme="minorHAnsi"/>
        </w:rPr>
        <w:t>Delivery</w:t>
      </w:r>
      <w:proofErr w:type="spellEnd"/>
      <w:r w:rsidR="00C43FE9" w:rsidRPr="004920C6">
        <w:rPr>
          <w:rFonts w:asciiTheme="minorHAnsi" w:eastAsiaTheme="minorHAnsi" w:hAnsiTheme="minorHAnsi" w:cstheme="minorHAnsi"/>
        </w:rPr>
        <w:t xml:space="preserve"> </w:t>
      </w:r>
      <w:r w:rsidR="00AC758D" w:rsidRPr="004920C6">
        <w:rPr>
          <w:rFonts w:asciiTheme="minorHAnsi" w:eastAsiaTheme="minorHAnsi" w:hAnsiTheme="minorHAnsi" w:cstheme="minorHAnsi"/>
        </w:rPr>
        <w:t>u</w:t>
      </w:r>
      <w:r w:rsidR="00C43FE9" w:rsidRPr="004920C6">
        <w:rPr>
          <w:rFonts w:asciiTheme="minorHAnsi" w:eastAsiaTheme="minorHAnsi" w:hAnsiTheme="minorHAnsi" w:cstheme="minorHAnsi"/>
        </w:rPr>
        <w:t xml:space="preserve">nit jako </w:t>
      </w:r>
      <w:r w:rsidRPr="004920C6">
        <w:rPr>
          <w:rFonts w:asciiTheme="minorHAnsi" w:hAnsiTheme="minorHAnsi" w:cstheme="minorHAnsi"/>
          <w:spacing w:val="2"/>
          <w:shd w:val="clear" w:color="auto" w:fill="FFFFFF"/>
        </w:rPr>
        <w:t xml:space="preserve">odpovědný koordinační a platební orgán prostředků </w:t>
      </w:r>
      <w:r w:rsidRPr="005260DD">
        <w:rPr>
          <w:rFonts w:asciiTheme="minorHAnsi" w:hAnsiTheme="minorHAnsi" w:cstheme="minorHAnsi"/>
          <w:i/>
          <w:iCs/>
          <w:spacing w:val="2"/>
          <w:shd w:val="clear" w:color="auto" w:fill="FFFFFF"/>
        </w:rPr>
        <w:t>Nástroje pro oživení a</w:t>
      </w:r>
      <w:r w:rsidR="0030121E" w:rsidRPr="005260DD">
        <w:rPr>
          <w:rFonts w:asciiTheme="minorHAnsi" w:hAnsiTheme="minorHAnsi" w:cstheme="minorHAnsi"/>
          <w:i/>
          <w:iCs/>
          <w:spacing w:val="2"/>
          <w:shd w:val="clear" w:color="auto" w:fill="FFFFFF"/>
        </w:rPr>
        <w:t> </w:t>
      </w:r>
      <w:r w:rsidRPr="005260DD">
        <w:rPr>
          <w:rFonts w:asciiTheme="minorHAnsi" w:hAnsiTheme="minorHAnsi" w:cstheme="minorHAnsi"/>
          <w:i/>
          <w:iCs/>
          <w:spacing w:val="2"/>
          <w:shd w:val="clear" w:color="auto" w:fill="FFFFFF"/>
        </w:rPr>
        <w:t>odolnost</w:t>
      </w:r>
    </w:p>
    <w:p w14:paraId="0CB0F507" w14:textId="77777777" w:rsidR="00155F56" w:rsidRPr="004920C6" w:rsidRDefault="00155F56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</w:rPr>
        <w:t>NKÚ</w:t>
      </w:r>
      <w:r w:rsidRPr="004920C6">
        <w:rPr>
          <w:rFonts w:asciiTheme="minorHAnsi" w:eastAsiaTheme="minorHAnsi" w:hAnsiTheme="minorHAnsi" w:cstheme="minorHAnsi"/>
        </w:rPr>
        <w:tab/>
        <w:t>Nejvyšší kontrolní úřad</w:t>
      </w:r>
    </w:p>
    <w:p w14:paraId="7BB4D6D2" w14:textId="77777777" w:rsidR="006C2304" w:rsidRPr="004920C6" w:rsidRDefault="006C2304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</w:rPr>
        <w:t>NPO</w:t>
      </w:r>
      <w:r w:rsidRPr="004920C6">
        <w:rPr>
          <w:rFonts w:asciiTheme="minorHAnsi" w:eastAsiaTheme="minorHAnsi" w:hAnsiTheme="minorHAnsi" w:cstheme="minorHAnsi"/>
        </w:rPr>
        <w:tab/>
      </w:r>
      <w:r w:rsidRPr="005260DD">
        <w:rPr>
          <w:rFonts w:asciiTheme="minorHAnsi" w:eastAsiaTheme="minorHAnsi" w:hAnsiTheme="minorHAnsi" w:cstheme="minorHAnsi"/>
          <w:i/>
          <w:iCs/>
        </w:rPr>
        <w:t>Národní plán obnovy</w:t>
      </w:r>
    </w:p>
    <w:p w14:paraId="63A2373B" w14:textId="545C8993" w:rsidR="00155F56" w:rsidRPr="004920C6" w:rsidRDefault="00155F56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</w:rPr>
        <w:t>OSS</w:t>
      </w:r>
      <w:r w:rsidRPr="004920C6">
        <w:rPr>
          <w:rFonts w:asciiTheme="minorHAnsi" w:eastAsiaTheme="minorHAnsi" w:hAnsiTheme="minorHAnsi" w:cstheme="minorHAnsi"/>
        </w:rPr>
        <w:tab/>
        <w:t>organizační složka</w:t>
      </w:r>
      <w:r w:rsidR="001007E9" w:rsidRPr="004920C6">
        <w:rPr>
          <w:rFonts w:asciiTheme="minorHAnsi" w:eastAsiaTheme="minorHAnsi" w:hAnsiTheme="minorHAnsi" w:cstheme="minorHAnsi"/>
        </w:rPr>
        <w:t>/</w:t>
      </w:r>
      <w:r w:rsidR="00E30988" w:rsidRPr="004920C6">
        <w:rPr>
          <w:rFonts w:asciiTheme="minorHAnsi" w:eastAsiaTheme="minorHAnsi" w:hAnsiTheme="minorHAnsi" w:cstheme="minorHAnsi"/>
        </w:rPr>
        <w:t>složk</w:t>
      </w:r>
      <w:r w:rsidR="001007E9" w:rsidRPr="004920C6">
        <w:rPr>
          <w:rFonts w:asciiTheme="minorHAnsi" w:eastAsiaTheme="minorHAnsi" w:hAnsiTheme="minorHAnsi" w:cstheme="minorHAnsi"/>
        </w:rPr>
        <w:t>y</w:t>
      </w:r>
      <w:r w:rsidRPr="004920C6">
        <w:rPr>
          <w:rFonts w:asciiTheme="minorHAnsi" w:eastAsiaTheme="minorHAnsi" w:hAnsiTheme="minorHAnsi" w:cstheme="minorHAnsi"/>
        </w:rPr>
        <w:t xml:space="preserve"> státu</w:t>
      </w:r>
    </w:p>
    <w:p w14:paraId="369BE4CE" w14:textId="2ECDFF86" w:rsidR="00677517" w:rsidRPr="004920C6" w:rsidRDefault="00677517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</w:rPr>
        <w:t>PO</w:t>
      </w:r>
      <w:r w:rsidRPr="004920C6">
        <w:rPr>
          <w:rFonts w:asciiTheme="minorHAnsi" w:eastAsiaTheme="minorHAnsi" w:hAnsiTheme="minorHAnsi" w:cstheme="minorHAnsi"/>
        </w:rPr>
        <w:tab/>
        <w:t>příspěvková/</w:t>
      </w:r>
      <w:r w:rsidR="00E30988" w:rsidRPr="004920C6">
        <w:rPr>
          <w:rFonts w:asciiTheme="minorHAnsi" w:eastAsiaTheme="minorHAnsi" w:hAnsiTheme="minorHAnsi" w:cstheme="minorHAnsi"/>
        </w:rPr>
        <w:t>příspěvkov</w:t>
      </w:r>
      <w:r w:rsidRPr="004920C6">
        <w:rPr>
          <w:rFonts w:asciiTheme="minorHAnsi" w:eastAsiaTheme="minorHAnsi" w:hAnsiTheme="minorHAnsi" w:cstheme="minorHAnsi"/>
        </w:rPr>
        <w:t>é organizace</w:t>
      </w:r>
    </w:p>
    <w:p w14:paraId="612DB437" w14:textId="77777777" w:rsidR="005B227D" w:rsidRPr="004920C6" w:rsidRDefault="005B227D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hAnsiTheme="minorHAnsi" w:cstheme="minorHAnsi"/>
          <w:shd w:val="clear" w:color="auto" w:fill="FFFFFF"/>
        </w:rPr>
      </w:pPr>
      <w:r w:rsidRPr="004920C6">
        <w:rPr>
          <w:rFonts w:asciiTheme="minorHAnsi" w:eastAsiaTheme="minorHAnsi" w:hAnsiTheme="minorHAnsi" w:cstheme="minorHAnsi"/>
        </w:rPr>
        <w:t>RRF</w:t>
      </w:r>
      <w:r w:rsidRPr="004920C6">
        <w:rPr>
          <w:rFonts w:asciiTheme="minorHAnsi" w:eastAsiaTheme="minorHAnsi" w:hAnsiTheme="minorHAnsi" w:cstheme="minorHAnsi"/>
        </w:rPr>
        <w:tab/>
      </w:r>
      <w:r w:rsidR="00C43FE9" w:rsidRPr="005260DD">
        <w:rPr>
          <w:rFonts w:asciiTheme="minorHAnsi" w:eastAsiaTheme="minorHAnsi" w:hAnsiTheme="minorHAnsi" w:cstheme="minorHAnsi"/>
          <w:i/>
          <w:iCs/>
          <w:lang w:val="en-GB"/>
        </w:rPr>
        <w:t>Recovery and Resilience Facility</w:t>
      </w:r>
      <w:r w:rsidR="002A36C5" w:rsidRPr="004920C6">
        <w:rPr>
          <w:rFonts w:asciiTheme="minorHAnsi" w:eastAsiaTheme="minorHAnsi" w:hAnsiTheme="minorHAnsi" w:cstheme="minorHAnsi"/>
          <w:lang w:val="en-GB"/>
        </w:rPr>
        <w:t>,</w:t>
      </w:r>
      <w:r w:rsidR="00C43FE9" w:rsidRPr="004920C6">
        <w:rPr>
          <w:rFonts w:asciiTheme="minorHAnsi" w:eastAsiaTheme="minorHAnsi" w:hAnsiTheme="minorHAnsi" w:cstheme="minorHAnsi"/>
        </w:rPr>
        <w:t xml:space="preserve"> tzn. </w:t>
      </w:r>
      <w:r w:rsidRPr="005260DD">
        <w:rPr>
          <w:rFonts w:asciiTheme="minorHAnsi" w:hAnsiTheme="minorHAnsi" w:cstheme="minorHAnsi"/>
          <w:i/>
          <w:iCs/>
          <w:shd w:val="clear" w:color="auto" w:fill="FFFFFF"/>
        </w:rPr>
        <w:t>Nástroj pro oživení a odolnost</w:t>
      </w:r>
    </w:p>
    <w:p w14:paraId="55AF7CE9" w14:textId="76D66A7A" w:rsidR="00A61F2A" w:rsidRPr="004920C6" w:rsidRDefault="00A61F2A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  <w:iCs/>
        </w:rPr>
      </w:pPr>
      <w:r w:rsidRPr="004920C6">
        <w:rPr>
          <w:rFonts w:asciiTheme="minorHAnsi" w:eastAsiaTheme="minorHAnsi" w:hAnsiTheme="minorHAnsi" w:cstheme="minorHAnsi"/>
        </w:rPr>
        <w:t>Stanovisko MK</w:t>
      </w:r>
      <w:r w:rsidRPr="004920C6">
        <w:rPr>
          <w:rFonts w:asciiTheme="minorHAnsi" w:eastAsiaTheme="minorHAnsi" w:hAnsiTheme="minorHAnsi" w:cstheme="minorHAnsi"/>
        </w:rPr>
        <w:tab/>
      </w:r>
      <w:r w:rsidRPr="004920C6">
        <w:rPr>
          <w:rFonts w:asciiTheme="minorHAnsi" w:hAnsiTheme="minorHAnsi" w:cstheme="minorHAnsi"/>
          <w:i/>
        </w:rPr>
        <w:t>Stanovisko MK a opatření ke KZ NKÚ č. 19/03</w:t>
      </w:r>
    </w:p>
    <w:p w14:paraId="51474AF6" w14:textId="69A7B110" w:rsidR="00155F56" w:rsidRPr="004920C6" w:rsidRDefault="00155F56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</w:rPr>
        <w:t>ÚZ</w:t>
      </w:r>
      <w:r w:rsidRPr="004920C6">
        <w:rPr>
          <w:rFonts w:asciiTheme="minorHAnsi" w:eastAsiaTheme="minorHAnsi" w:hAnsiTheme="minorHAnsi" w:cstheme="minorHAnsi"/>
        </w:rPr>
        <w:tab/>
        <w:t>účetní závěrka</w:t>
      </w:r>
      <w:r w:rsidR="00A24094" w:rsidRPr="004920C6">
        <w:rPr>
          <w:rFonts w:asciiTheme="minorHAnsi" w:eastAsiaTheme="minorHAnsi" w:hAnsiTheme="minorHAnsi" w:cstheme="minorHAnsi"/>
        </w:rPr>
        <w:t xml:space="preserve"> MK</w:t>
      </w:r>
      <w:r w:rsidRPr="004920C6">
        <w:rPr>
          <w:rFonts w:asciiTheme="minorHAnsi" w:eastAsiaTheme="minorHAnsi" w:hAnsiTheme="minorHAnsi" w:cstheme="minorHAnsi"/>
        </w:rPr>
        <w:t xml:space="preserve"> k 31.</w:t>
      </w:r>
      <w:r w:rsidR="009F66D1" w:rsidRPr="004920C6">
        <w:rPr>
          <w:rFonts w:asciiTheme="minorHAnsi" w:eastAsiaTheme="minorHAnsi" w:hAnsiTheme="minorHAnsi" w:cstheme="minorHAnsi"/>
        </w:rPr>
        <w:t> </w:t>
      </w:r>
      <w:r w:rsidRPr="004920C6">
        <w:rPr>
          <w:rFonts w:asciiTheme="minorHAnsi" w:eastAsiaTheme="minorHAnsi" w:hAnsiTheme="minorHAnsi" w:cstheme="minorHAnsi"/>
        </w:rPr>
        <w:t>prosinci 20</w:t>
      </w:r>
      <w:r w:rsidR="00842B22" w:rsidRPr="004920C6">
        <w:rPr>
          <w:rFonts w:asciiTheme="minorHAnsi" w:eastAsiaTheme="minorHAnsi" w:hAnsiTheme="minorHAnsi" w:cstheme="minorHAnsi"/>
        </w:rPr>
        <w:t>2</w:t>
      </w:r>
      <w:r w:rsidR="00A24094" w:rsidRPr="004920C6">
        <w:rPr>
          <w:rFonts w:asciiTheme="minorHAnsi" w:eastAsiaTheme="minorHAnsi" w:hAnsiTheme="minorHAnsi" w:cstheme="minorHAnsi"/>
        </w:rPr>
        <w:t>4</w:t>
      </w:r>
    </w:p>
    <w:p w14:paraId="37138DE5" w14:textId="7A6988C4" w:rsidR="00A045AE" w:rsidRPr="004920C6" w:rsidRDefault="00A045AE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</w:rPr>
        <w:t>VKS</w:t>
      </w:r>
      <w:r w:rsidRPr="004920C6">
        <w:rPr>
          <w:rFonts w:asciiTheme="minorHAnsi" w:eastAsiaTheme="minorHAnsi" w:hAnsiTheme="minorHAnsi" w:cstheme="minorHAnsi"/>
        </w:rPr>
        <w:tab/>
        <w:t>vnitřní kont</w:t>
      </w:r>
      <w:r w:rsidR="0096120D" w:rsidRPr="004920C6">
        <w:rPr>
          <w:rFonts w:asciiTheme="minorHAnsi" w:eastAsiaTheme="minorHAnsi" w:hAnsiTheme="minorHAnsi" w:cstheme="minorHAnsi"/>
        </w:rPr>
        <w:t>rolní systém</w:t>
      </w:r>
      <w:r w:rsidR="00A24094" w:rsidRPr="004920C6">
        <w:rPr>
          <w:rFonts w:asciiTheme="minorHAnsi" w:eastAsiaTheme="minorHAnsi" w:hAnsiTheme="minorHAnsi" w:cstheme="minorHAnsi"/>
        </w:rPr>
        <w:t xml:space="preserve"> MK</w:t>
      </w:r>
      <w:r w:rsidR="0096120D" w:rsidRPr="004920C6">
        <w:rPr>
          <w:rFonts w:asciiTheme="minorHAnsi" w:eastAsiaTheme="minorHAnsi" w:hAnsiTheme="minorHAnsi" w:cstheme="minorHAnsi"/>
        </w:rPr>
        <w:t xml:space="preserve"> </w:t>
      </w:r>
    </w:p>
    <w:p w14:paraId="04374B75" w14:textId="5F3F0F81" w:rsidR="00B53D75" w:rsidRPr="004920C6" w:rsidRDefault="00155F56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</w:rPr>
        <w:t>výkaz FIN 1-12 OSS</w:t>
      </w:r>
      <w:r w:rsidRPr="004920C6">
        <w:rPr>
          <w:rFonts w:asciiTheme="minorHAnsi" w:eastAsiaTheme="minorHAnsi" w:hAnsiTheme="minorHAnsi" w:cstheme="minorHAnsi"/>
        </w:rPr>
        <w:tab/>
      </w:r>
      <w:r w:rsidR="00FE79A2" w:rsidRPr="004920C6">
        <w:rPr>
          <w:rFonts w:eastAsiaTheme="minorHAnsi" w:cs="Calibri"/>
          <w:bCs/>
        </w:rPr>
        <w:t>výkaz pro hodnocení plnění rozpočtu</w:t>
      </w:r>
      <w:r w:rsidR="00A24094" w:rsidRPr="004920C6">
        <w:rPr>
          <w:rFonts w:eastAsiaTheme="minorHAnsi" w:cs="Calibri"/>
          <w:bCs/>
        </w:rPr>
        <w:t xml:space="preserve"> MK</w:t>
      </w:r>
      <w:r w:rsidR="00FE79A2" w:rsidRPr="004920C6">
        <w:rPr>
          <w:rFonts w:eastAsiaTheme="minorHAnsi" w:cs="Calibri"/>
          <w:bCs/>
        </w:rPr>
        <w:t xml:space="preserve"> </w:t>
      </w:r>
      <w:r w:rsidR="00C43FE9" w:rsidRPr="004920C6">
        <w:rPr>
          <w:rFonts w:eastAsiaTheme="minorHAnsi" w:cs="Calibri"/>
          <w:bCs/>
        </w:rPr>
        <w:t xml:space="preserve">za </w:t>
      </w:r>
      <w:r w:rsidR="008412ED" w:rsidRPr="004920C6">
        <w:rPr>
          <w:rFonts w:eastAsiaTheme="minorHAnsi" w:cs="Calibri"/>
          <w:bCs/>
        </w:rPr>
        <w:t>rok</w:t>
      </w:r>
      <w:r w:rsidR="00FE79A2" w:rsidRPr="004920C6">
        <w:rPr>
          <w:rFonts w:eastAsiaTheme="minorHAnsi" w:cs="Calibri"/>
          <w:bCs/>
        </w:rPr>
        <w:t xml:space="preserve"> 202</w:t>
      </w:r>
      <w:r w:rsidR="00A24094" w:rsidRPr="004920C6">
        <w:rPr>
          <w:rFonts w:eastAsiaTheme="minorHAnsi" w:cs="Calibri"/>
          <w:bCs/>
        </w:rPr>
        <w:t>4</w:t>
      </w:r>
    </w:p>
    <w:p w14:paraId="585682FF" w14:textId="19449C4F" w:rsidR="005F3E85" w:rsidRPr="004920C6" w:rsidRDefault="005F3E85" w:rsidP="00F04CD2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4920C6">
        <w:rPr>
          <w:rFonts w:asciiTheme="minorHAnsi" w:eastAsiaTheme="minorHAnsi" w:hAnsiTheme="minorHAnsi" w:cstheme="minorHAnsi"/>
        </w:rPr>
        <w:t>ZÚ</w:t>
      </w:r>
      <w:r w:rsidRPr="004920C6">
        <w:rPr>
          <w:rFonts w:asciiTheme="minorHAnsi" w:eastAsiaTheme="minorHAnsi" w:hAnsiTheme="minorHAnsi" w:cstheme="minorHAnsi"/>
        </w:rPr>
        <w:tab/>
      </w:r>
      <w:r w:rsidR="00576AF6" w:rsidRPr="004920C6">
        <w:rPr>
          <w:rFonts w:eastAsiaTheme="minorHAnsi" w:cs="Calibri"/>
          <w:bCs/>
        </w:rPr>
        <w:t>závěrečný účet kapitoly státního rozpočtu 3</w:t>
      </w:r>
      <w:r w:rsidR="000F1166" w:rsidRPr="004920C6">
        <w:rPr>
          <w:rFonts w:eastAsiaTheme="minorHAnsi" w:cs="Calibri"/>
          <w:bCs/>
        </w:rPr>
        <w:t>34</w:t>
      </w:r>
      <w:r w:rsidR="00576AF6" w:rsidRPr="004920C6">
        <w:rPr>
          <w:rFonts w:eastAsiaTheme="minorHAnsi" w:cs="Calibri"/>
          <w:bCs/>
        </w:rPr>
        <w:t xml:space="preserve"> – </w:t>
      </w:r>
      <w:r w:rsidR="000F1166" w:rsidRPr="004920C6">
        <w:rPr>
          <w:rFonts w:eastAsiaTheme="minorHAnsi" w:cs="Calibri"/>
          <w:bCs/>
          <w:i/>
          <w:iCs/>
        </w:rPr>
        <w:t>Ministerstvo kultury</w:t>
      </w:r>
      <w:r w:rsidR="00576AF6" w:rsidRPr="004920C6">
        <w:rPr>
          <w:rFonts w:eastAsiaTheme="minorHAnsi" w:cs="Calibri"/>
          <w:bCs/>
        </w:rPr>
        <w:t xml:space="preserve"> za rok 202</w:t>
      </w:r>
      <w:r w:rsidR="000F1166" w:rsidRPr="004920C6">
        <w:rPr>
          <w:rFonts w:eastAsiaTheme="minorHAnsi" w:cs="Calibri"/>
          <w:bCs/>
        </w:rPr>
        <w:t>4</w:t>
      </w:r>
    </w:p>
    <w:p w14:paraId="09EC5305" w14:textId="77777777" w:rsidR="00281392" w:rsidRPr="004920C6" w:rsidRDefault="00281392" w:rsidP="00281392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</w:p>
    <w:p w14:paraId="4A39AD40" w14:textId="77777777" w:rsidR="000D791D" w:rsidRPr="004920C6" w:rsidRDefault="000D791D" w:rsidP="00124170">
      <w:pPr>
        <w:tabs>
          <w:tab w:val="left" w:pos="2552"/>
        </w:tabs>
        <w:ind w:left="3540" w:hanging="3540"/>
        <w:rPr>
          <w:rFonts w:asciiTheme="minorHAnsi" w:eastAsiaTheme="minorHAnsi" w:hAnsiTheme="minorHAnsi" w:cstheme="minorHAnsi"/>
        </w:rPr>
      </w:pPr>
    </w:p>
    <w:p w14:paraId="21B84033" w14:textId="77777777" w:rsidR="00DC4A58" w:rsidRPr="004920C6" w:rsidRDefault="00DC4A58" w:rsidP="00F86B28">
      <w:pPr>
        <w:spacing w:after="160" w:line="259" w:lineRule="auto"/>
        <w:rPr>
          <w:rFonts w:cstheme="minorHAnsi"/>
          <w:b/>
          <w:bCs/>
        </w:rPr>
        <w:sectPr w:rsidR="00DC4A58" w:rsidRPr="004920C6" w:rsidSect="0091645E"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3483B719" w14:textId="77777777" w:rsidR="00281392" w:rsidRPr="004920C6" w:rsidRDefault="00281392" w:rsidP="00B01AB8">
      <w:pPr>
        <w:pStyle w:val="Zhlav"/>
        <w:jc w:val="right"/>
        <w:rPr>
          <w:b/>
        </w:rPr>
      </w:pPr>
      <w:bookmarkStart w:id="11" w:name="_Hlk135727274"/>
      <w:bookmarkStart w:id="12" w:name="_Hlk132983729"/>
      <w:r w:rsidRPr="004920C6">
        <w:rPr>
          <w:b/>
        </w:rPr>
        <w:lastRenderedPageBreak/>
        <w:t>Příloha č. 1</w:t>
      </w:r>
    </w:p>
    <w:p w14:paraId="3C141A5E" w14:textId="6EAFE9E5" w:rsidR="00423B1E" w:rsidRPr="004920C6" w:rsidRDefault="00BB6830" w:rsidP="00281392">
      <w:pPr>
        <w:pStyle w:val="Styl4"/>
        <w:spacing w:after="120"/>
      </w:pPr>
      <w:r w:rsidRPr="004920C6">
        <w:t>R</w:t>
      </w:r>
      <w:r w:rsidR="00AC218C" w:rsidRPr="004920C6">
        <w:t>ozdíl mezi saldem peněžních toků a výsledkem hospodaření</w:t>
      </w:r>
      <w:bookmarkEnd w:id="11"/>
      <w:r w:rsidR="00115BB8" w:rsidRPr="004920C6">
        <w:t xml:space="preserve"> MK</w:t>
      </w:r>
      <w:r w:rsidR="00AC218C" w:rsidRPr="004920C6">
        <w:t xml:space="preserve"> </w:t>
      </w:r>
      <w:bookmarkEnd w:id="12"/>
    </w:p>
    <w:p w14:paraId="03ECAEE5" w14:textId="1948B63D" w:rsidR="00115BB8" w:rsidRPr="004920C6" w:rsidRDefault="00115BB8" w:rsidP="00115BB8">
      <w:pPr>
        <w:jc w:val="both"/>
        <w:rPr>
          <w:rFonts w:asciiTheme="minorHAnsi" w:hAnsiTheme="minorHAnsi" w:cstheme="minorHAnsi"/>
          <w:color w:val="292929"/>
          <w:shd w:val="clear" w:color="auto" w:fill="FFFFFF"/>
        </w:rPr>
      </w:pPr>
      <w:r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Mezi charakteristické činnosti </w:t>
      </w:r>
      <w:r w:rsidR="00D606E5"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v působnosti 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>MK</w:t>
      </w:r>
      <w:r w:rsidR="00D606E5"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patří </w:t>
      </w:r>
      <w:r w:rsidRPr="004920C6">
        <w:rPr>
          <w:rFonts w:asciiTheme="minorHAnsi" w:hAnsiTheme="minorHAnsi" w:cstheme="minorHAnsi"/>
          <w:color w:val="292929"/>
          <w:u w:val="single"/>
          <w:shd w:val="clear" w:color="auto" w:fill="FFFFFF"/>
        </w:rPr>
        <w:t>poskytování transferů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, v roce 2024 i se zapojením významného zahraničního zdroje financování v rámci </w:t>
      </w:r>
      <w:r w:rsidRPr="005260DD">
        <w:rPr>
          <w:rFonts w:asciiTheme="minorHAnsi" w:hAnsiTheme="minorHAnsi" w:cstheme="minorHAnsi"/>
          <w:i/>
          <w:iCs/>
          <w:color w:val="292929"/>
          <w:shd w:val="clear" w:color="auto" w:fill="FFFFFF"/>
        </w:rPr>
        <w:t>Národního plánu obnovy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(</w:t>
      </w:r>
      <w:r w:rsidR="00C265D3" w:rsidRPr="004920C6">
        <w:rPr>
          <w:rFonts w:asciiTheme="minorHAnsi" w:hAnsiTheme="minorHAnsi" w:cstheme="minorHAnsi"/>
          <w:shd w:val="clear" w:color="auto" w:fill="FFFFFF"/>
        </w:rPr>
        <w:t>dále také „NPO“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). </w:t>
      </w:r>
      <w:r w:rsidRPr="004920C6">
        <w:rPr>
          <w:rFonts w:asciiTheme="minorHAnsi" w:hAnsiTheme="minorHAnsi" w:cstheme="minorHAnsi"/>
          <w:shd w:val="clear" w:color="auto" w:fill="FFFFFF"/>
        </w:rPr>
        <w:t>Tyto skutečnosti měly zásadní vliv na vykázané účetní i</w:t>
      </w:r>
      <w:r w:rsidR="00835003">
        <w:rPr>
          <w:rFonts w:asciiTheme="minorHAnsi" w:hAnsiTheme="minorHAnsi" w:cstheme="minorHAnsi"/>
          <w:shd w:val="clear" w:color="auto" w:fill="FFFFFF"/>
        </w:rPr>
        <w:t xml:space="preserve"> </w:t>
      </w:r>
      <w:r w:rsidRPr="004920C6">
        <w:rPr>
          <w:rFonts w:asciiTheme="minorHAnsi" w:hAnsiTheme="minorHAnsi" w:cstheme="minorHAnsi"/>
          <w:shd w:val="clear" w:color="auto" w:fill="FFFFFF"/>
        </w:rPr>
        <w:t>rozpočtové informace za rok 2024, v nichž se promítly zejména následujícím způsobem</w:t>
      </w:r>
      <w:r w:rsidR="000756B8" w:rsidRPr="004920C6">
        <w:rPr>
          <w:rStyle w:val="Znakapoznpodarou"/>
          <w:rFonts w:asciiTheme="minorHAnsi" w:hAnsiTheme="minorHAnsi" w:cstheme="minorHAnsi"/>
          <w:shd w:val="clear" w:color="auto" w:fill="FFFFFF"/>
        </w:rPr>
        <w:footnoteReference w:id="27"/>
      </w:r>
      <w:r w:rsidRPr="004920C6">
        <w:rPr>
          <w:rFonts w:asciiTheme="minorHAnsi" w:hAnsiTheme="minorHAnsi" w:cstheme="minorHAnsi"/>
          <w:shd w:val="clear" w:color="auto" w:fill="FFFFFF"/>
        </w:rPr>
        <w:t>:</w:t>
      </w:r>
    </w:p>
    <w:p w14:paraId="29FE4383" w14:textId="3D11EDC3" w:rsidR="00115BB8" w:rsidRPr="005260DD" w:rsidRDefault="00EE59EC" w:rsidP="005260DD">
      <w:pPr>
        <w:pStyle w:val="Odstavecseseznamem"/>
        <w:numPr>
          <w:ilvl w:val="0"/>
          <w:numId w:val="37"/>
        </w:numPr>
        <w:spacing w:before="240"/>
        <w:ind w:left="284" w:hanging="284"/>
        <w:contextualSpacing w:val="0"/>
        <w:jc w:val="both"/>
        <w:rPr>
          <w:rFonts w:asciiTheme="minorHAnsi" w:hAnsiTheme="minorHAnsi" w:cstheme="minorHAnsi"/>
          <w:b/>
          <w:bCs/>
          <w:color w:val="292929"/>
          <w:shd w:val="clear" w:color="auto" w:fill="FFFFFF"/>
        </w:rPr>
      </w:pPr>
      <w:r w:rsidRPr="005260DD">
        <w:rPr>
          <w:rFonts w:asciiTheme="minorHAnsi" w:hAnsiTheme="minorHAnsi" w:cstheme="minorHAnsi"/>
          <w:b/>
          <w:bCs/>
          <w:color w:val="292929"/>
          <w:shd w:val="clear" w:color="auto" w:fill="FFFFFF"/>
        </w:rPr>
        <w:t>o</w:t>
      </w:r>
      <w:r w:rsidR="00115BB8" w:rsidRPr="005260DD">
        <w:rPr>
          <w:rFonts w:asciiTheme="minorHAnsi" w:hAnsiTheme="minorHAnsi" w:cstheme="minorHAnsi"/>
          <w:b/>
          <w:bCs/>
          <w:color w:val="292929"/>
          <w:shd w:val="clear" w:color="auto" w:fill="FFFFFF"/>
        </w:rPr>
        <w:t>blast účetních údajů (rozvaha, výkaz zisku a ztráty a příloha)</w:t>
      </w:r>
    </w:p>
    <w:p w14:paraId="1A70B489" w14:textId="7120D911" w:rsidR="00115BB8" w:rsidRPr="004920C6" w:rsidRDefault="00115BB8" w:rsidP="00115BB8">
      <w:pPr>
        <w:pStyle w:val="Odstavecseseznamem"/>
        <w:numPr>
          <w:ilvl w:val="0"/>
          <w:numId w:val="9"/>
        </w:numPr>
        <w:ind w:left="765" w:hanging="357"/>
        <w:contextualSpacing w:val="0"/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  <w:b/>
          <w:bCs/>
        </w:rPr>
        <w:t>prostřednictvím krátkodobých a dlouhodobých pohledávek</w:t>
      </w:r>
      <w:r w:rsidRPr="004920C6">
        <w:rPr>
          <w:rFonts w:asciiTheme="minorHAnsi" w:hAnsiTheme="minorHAnsi" w:cstheme="minorHAnsi"/>
        </w:rPr>
        <w:t xml:space="preserve"> vykázaných na</w:t>
      </w:r>
      <w:r w:rsidR="00055879" w:rsidRPr="004920C6">
        <w:rPr>
          <w:rFonts w:asciiTheme="minorHAnsi" w:hAnsiTheme="minorHAnsi" w:cstheme="minorHAnsi"/>
        </w:rPr>
        <w:t xml:space="preserve"> účtech</w:t>
      </w:r>
      <w:r w:rsidRPr="004920C6">
        <w:rPr>
          <w:rFonts w:asciiTheme="minorHAnsi" w:hAnsiTheme="minorHAnsi" w:cstheme="minorHAnsi"/>
        </w:rPr>
        <w:t xml:space="preserve"> 373 – </w:t>
      </w:r>
      <w:r w:rsidRPr="004920C6">
        <w:rPr>
          <w:rFonts w:asciiTheme="minorHAnsi" w:hAnsiTheme="minorHAnsi" w:cstheme="minorHAnsi"/>
          <w:i/>
          <w:iCs/>
        </w:rPr>
        <w:t>Krátkodobé poskytnuté zálohy na transfery</w:t>
      </w:r>
      <w:r w:rsidRPr="004920C6">
        <w:rPr>
          <w:rFonts w:asciiTheme="minorHAnsi" w:hAnsiTheme="minorHAnsi" w:cstheme="minorHAnsi"/>
        </w:rPr>
        <w:t xml:space="preserve"> ve výši 2,</w:t>
      </w:r>
      <w:r w:rsidR="00F52D61">
        <w:rPr>
          <w:rFonts w:asciiTheme="minorHAnsi" w:hAnsiTheme="minorHAnsi" w:cstheme="minorHAnsi"/>
        </w:rPr>
        <w:t>4</w:t>
      </w:r>
      <w:r w:rsidRPr="004920C6">
        <w:rPr>
          <w:rFonts w:asciiTheme="minorHAnsi" w:hAnsiTheme="minorHAnsi" w:cstheme="minorHAnsi"/>
        </w:rPr>
        <w:t xml:space="preserve"> mld. Kč a</w:t>
      </w:r>
      <w:r w:rsidR="00055879"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 xml:space="preserve">471 – </w:t>
      </w:r>
      <w:r w:rsidRPr="004920C6">
        <w:rPr>
          <w:rFonts w:asciiTheme="minorHAnsi" w:hAnsiTheme="minorHAnsi" w:cstheme="minorHAnsi"/>
          <w:i/>
          <w:iCs/>
        </w:rPr>
        <w:t>Dlouhodobé poskytnuté zálohy na transfery</w:t>
      </w:r>
      <w:r w:rsidRPr="004920C6">
        <w:rPr>
          <w:rFonts w:asciiTheme="minorHAnsi" w:hAnsiTheme="minorHAnsi" w:cstheme="minorHAnsi"/>
        </w:rPr>
        <w:t xml:space="preserve"> ve výši 562,</w:t>
      </w:r>
      <w:r w:rsidR="006A26B7" w:rsidRPr="004920C6">
        <w:rPr>
          <w:rFonts w:asciiTheme="minorHAnsi" w:hAnsiTheme="minorHAnsi" w:cstheme="minorHAnsi"/>
        </w:rPr>
        <w:t>2</w:t>
      </w:r>
      <w:r w:rsidRPr="004920C6">
        <w:rPr>
          <w:rFonts w:asciiTheme="minorHAnsi" w:hAnsiTheme="minorHAnsi" w:cstheme="minorHAnsi"/>
        </w:rPr>
        <w:t xml:space="preserve"> mil. Kč z titulu vyplacených záloh na transfery;</w:t>
      </w:r>
    </w:p>
    <w:p w14:paraId="70CAAB3B" w14:textId="3B63B42A" w:rsidR="00115BB8" w:rsidRPr="004920C6" w:rsidRDefault="00115BB8" w:rsidP="00115BB8">
      <w:pPr>
        <w:pStyle w:val="Odstavecseseznamem"/>
        <w:numPr>
          <w:ilvl w:val="0"/>
          <w:numId w:val="9"/>
        </w:numPr>
        <w:ind w:left="765" w:hanging="357"/>
        <w:contextualSpacing w:val="0"/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  <w:b/>
          <w:bCs/>
        </w:rPr>
        <w:t xml:space="preserve">prostřednictvím krátkodobých závazků </w:t>
      </w:r>
      <w:r w:rsidRPr="004920C6">
        <w:rPr>
          <w:rFonts w:asciiTheme="minorHAnsi" w:hAnsiTheme="minorHAnsi" w:cstheme="minorHAnsi"/>
        </w:rPr>
        <w:t>vykázaných na</w:t>
      </w:r>
      <w:r w:rsidR="00390133" w:rsidRPr="004920C6">
        <w:rPr>
          <w:rFonts w:asciiTheme="minorHAnsi" w:hAnsiTheme="minorHAnsi" w:cstheme="minorHAnsi"/>
        </w:rPr>
        <w:t xml:space="preserve"> účtu</w:t>
      </w:r>
      <w:r w:rsidRPr="004920C6">
        <w:rPr>
          <w:rFonts w:asciiTheme="minorHAnsi" w:hAnsiTheme="minorHAnsi" w:cstheme="minorHAnsi"/>
        </w:rPr>
        <w:t xml:space="preserve"> 389 – </w:t>
      </w:r>
      <w:r w:rsidRPr="004920C6">
        <w:rPr>
          <w:rFonts w:asciiTheme="minorHAnsi" w:hAnsiTheme="minorHAnsi" w:cstheme="minorHAnsi"/>
          <w:i/>
          <w:iCs/>
        </w:rPr>
        <w:t>Dohadné účty pasivní</w:t>
      </w:r>
      <w:r w:rsidRPr="004920C6">
        <w:rPr>
          <w:rFonts w:asciiTheme="minorHAnsi" w:hAnsiTheme="minorHAnsi" w:cstheme="minorHAnsi"/>
        </w:rPr>
        <w:t xml:space="preserve"> ve výši 3,0 mld. Kč z titulu odhadů čerpání poskytnutých transferů k 31.</w:t>
      </w:r>
      <w:r w:rsidR="00390133" w:rsidRPr="004920C6">
        <w:rPr>
          <w:rFonts w:asciiTheme="minorHAnsi" w:hAnsiTheme="minorHAnsi" w:cstheme="minorHAnsi"/>
        </w:rPr>
        <w:t> </w:t>
      </w:r>
      <w:r w:rsidR="00D606E5" w:rsidRPr="004920C6">
        <w:rPr>
          <w:rFonts w:asciiTheme="minorHAnsi" w:hAnsiTheme="minorHAnsi" w:cstheme="minorHAnsi"/>
        </w:rPr>
        <w:t>prosinci</w:t>
      </w:r>
      <w:r w:rsidRPr="004920C6">
        <w:rPr>
          <w:rFonts w:asciiTheme="minorHAnsi" w:hAnsiTheme="minorHAnsi" w:cstheme="minorHAnsi"/>
        </w:rPr>
        <w:t xml:space="preserve"> 2024;</w:t>
      </w:r>
    </w:p>
    <w:p w14:paraId="2A17F0DE" w14:textId="4EADB588" w:rsidR="00115BB8" w:rsidRPr="004920C6" w:rsidRDefault="00115BB8" w:rsidP="00115BB8">
      <w:pPr>
        <w:pStyle w:val="Odstavecseseznamem"/>
        <w:numPr>
          <w:ilvl w:val="0"/>
          <w:numId w:val="9"/>
        </w:numPr>
        <w:ind w:left="765" w:hanging="357"/>
        <w:contextualSpacing w:val="0"/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  <w:b/>
          <w:bCs/>
        </w:rPr>
        <w:t xml:space="preserve">prostřednictvím nákladů na transfery </w:t>
      </w:r>
      <w:r w:rsidRPr="004920C6">
        <w:rPr>
          <w:rFonts w:asciiTheme="minorHAnsi" w:hAnsiTheme="minorHAnsi" w:cstheme="minorHAnsi"/>
        </w:rPr>
        <w:t>vykázaných na</w:t>
      </w:r>
      <w:r w:rsidR="00390133" w:rsidRPr="004920C6">
        <w:rPr>
          <w:rFonts w:asciiTheme="minorHAnsi" w:hAnsiTheme="minorHAnsi" w:cstheme="minorHAnsi"/>
        </w:rPr>
        <w:t xml:space="preserve"> účtech</w:t>
      </w:r>
      <w:r w:rsidRPr="004920C6">
        <w:rPr>
          <w:rFonts w:asciiTheme="minorHAnsi" w:hAnsiTheme="minorHAnsi" w:cstheme="minorHAnsi"/>
        </w:rPr>
        <w:t xml:space="preserve"> 571 – </w:t>
      </w:r>
      <w:r w:rsidRPr="004920C6">
        <w:rPr>
          <w:rFonts w:asciiTheme="minorHAnsi" w:hAnsiTheme="minorHAnsi" w:cstheme="minorHAnsi"/>
          <w:i/>
          <w:iCs/>
        </w:rPr>
        <w:t>Náklady vybraných ústředních vládních institucí na transfery</w:t>
      </w:r>
      <w:r w:rsidRPr="004920C6">
        <w:rPr>
          <w:rFonts w:asciiTheme="minorHAnsi" w:hAnsiTheme="minorHAnsi" w:cstheme="minorHAnsi"/>
        </w:rPr>
        <w:t xml:space="preserve"> ve výši 11,</w:t>
      </w:r>
      <w:r w:rsidR="006A26B7" w:rsidRPr="004920C6">
        <w:rPr>
          <w:rFonts w:asciiTheme="minorHAnsi" w:hAnsiTheme="minorHAnsi" w:cstheme="minorHAnsi"/>
        </w:rPr>
        <w:t>5</w:t>
      </w:r>
      <w:r w:rsidRPr="004920C6">
        <w:rPr>
          <w:rFonts w:asciiTheme="minorHAnsi" w:hAnsiTheme="minorHAnsi" w:cstheme="minorHAnsi"/>
        </w:rPr>
        <w:t xml:space="preserve"> mld. Kč v případě transferů poskytnutých z národních zdrojů a</w:t>
      </w:r>
      <w:r w:rsidR="00390133"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575 – </w:t>
      </w:r>
      <w:r w:rsidRPr="004920C6">
        <w:rPr>
          <w:rFonts w:asciiTheme="minorHAnsi" w:hAnsiTheme="minorHAnsi" w:cstheme="minorHAnsi"/>
          <w:i/>
          <w:iCs/>
        </w:rPr>
        <w:t>Náklady vybraných ústředních vládních institucí na předfinancování transferů</w:t>
      </w:r>
      <w:r w:rsidRPr="004920C6">
        <w:rPr>
          <w:rFonts w:asciiTheme="minorHAnsi" w:hAnsiTheme="minorHAnsi" w:cstheme="minorHAnsi"/>
        </w:rPr>
        <w:t xml:space="preserve"> ve výši 750,</w:t>
      </w:r>
      <w:r w:rsidR="006A26B7" w:rsidRPr="004920C6">
        <w:rPr>
          <w:rFonts w:asciiTheme="minorHAnsi" w:hAnsiTheme="minorHAnsi" w:cstheme="minorHAnsi"/>
        </w:rPr>
        <w:t>4</w:t>
      </w:r>
      <w:r w:rsidRPr="004920C6">
        <w:rPr>
          <w:rFonts w:asciiTheme="minorHAnsi" w:hAnsiTheme="minorHAnsi" w:cstheme="minorHAnsi"/>
        </w:rPr>
        <w:t xml:space="preserve"> mil. Kč u transferů spolufinancovaných ze zahraničních zdrojů;</w:t>
      </w:r>
    </w:p>
    <w:p w14:paraId="738046FE" w14:textId="7DCC4A4B" w:rsidR="00115BB8" w:rsidRPr="004920C6" w:rsidRDefault="00115BB8" w:rsidP="00115BB8">
      <w:pPr>
        <w:pStyle w:val="Odstavecseseznamem"/>
        <w:numPr>
          <w:ilvl w:val="0"/>
          <w:numId w:val="9"/>
        </w:numPr>
        <w:ind w:left="765" w:hanging="357"/>
        <w:contextualSpacing w:val="0"/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  <w:b/>
          <w:bCs/>
        </w:rPr>
        <w:t>prostřednictvím výnosů z transferů</w:t>
      </w:r>
      <w:r w:rsidRPr="004920C6">
        <w:rPr>
          <w:rFonts w:asciiTheme="minorHAnsi" w:hAnsiTheme="minorHAnsi" w:cstheme="minorHAnsi"/>
        </w:rPr>
        <w:t xml:space="preserve"> vykázaných na</w:t>
      </w:r>
      <w:r w:rsidR="00390133" w:rsidRPr="004920C6">
        <w:rPr>
          <w:rFonts w:asciiTheme="minorHAnsi" w:hAnsiTheme="minorHAnsi" w:cstheme="minorHAnsi"/>
        </w:rPr>
        <w:t xml:space="preserve"> účtu</w:t>
      </w:r>
      <w:r w:rsidRPr="004920C6">
        <w:rPr>
          <w:rFonts w:asciiTheme="minorHAnsi" w:hAnsiTheme="minorHAnsi" w:cstheme="minorHAnsi"/>
        </w:rPr>
        <w:t xml:space="preserve"> 675 – </w:t>
      </w:r>
      <w:r w:rsidRPr="004920C6">
        <w:rPr>
          <w:rFonts w:asciiTheme="minorHAnsi" w:hAnsiTheme="minorHAnsi" w:cstheme="minorHAnsi"/>
          <w:i/>
          <w:iCs/>
        </w:rPr>
        <w:t>Výnosy vybraných ústředních vládních institucí z předfinancování transferů</w:t>
      </w:r>
      <w:r w:rsidRPr="004920C6">
        <w:rPr>
          <w:rFonts w:asciiTheme="minorHAnsi" w:hAnsiTheme="minorHAnsi" w:cstheme="minorHAnsi"/>
        </w:rPr>
        <w:t xml:space="preserve"> ve výši 1,3 mld. Kč zejména z</w:t>
      </w:r>
      <w:r w:rsidR="001375B4" w:rsidRPr="004920C6">
        <w:rPr>
          <w:rFonts w:asciiTheme="minorHAnsi" w:hAnsiTheme="minorHAnsi" w:cstheme="minorHAnsi"/>
        </w:rPr>
        <w:t> </w:t>
      </w:r>
      <w:r w:rsidRPr="004920C6">
        <w:rPr>
          <w:rFonts w:asciiTheme="minorHAnsi" w:hAnsiTheme="minorHAnsi" w:cstheme="minorHAnsi"/>
        </w:rPr>
        <w:t>titulu realizovaných i schválených refundací předfinancovaných dotací;</w:t>
      </w:r>
    </w:p>
    <w:p w14:paraId="1B307004" w14:textId="73DB1ABE" w:rsidR="00115BB8" w:rsidRPr="004920C6" w:rsidRDefault="00115BB8" w:rsidP="00115BB8">
      <w:pPr>
        <w:pStyle w:val="Odstavecseseznamem"/>
        <w:numPr>
          <w:ilvl w:val="0"/>
          <w:numId w:val="9"/>
        </w:numPr>
        <w:spacing w:after="240"/>
        <w:ind w:left="765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4920C6">
        <w:rPr>
          <w:rFonts w:asciiTheme="minorHAnsi" w:hAnsiTheme="minorHAnsi" w:cstheme="minorHAnsi"/>
          <w:b/>
          <w:bCs/>
        </w:rPr>
        <w:t xml:space="preserve">prostřednictvím krátkodobých a dlouhodobých podmíněných závazků z transferů </w:t>
      </w:r>
      <w:r w:rsidRPr="004920C6">
        <w:rPr>
          <w:rFonts w:asciiTheme="minorHAnsi" w:hAnsiTheme="minorHAnsi" w:cstheme="minorHAnsi"/>
        </w:rPr>
        <w:t>vykázaných na</w:t>
      </w:r>
      <w:r w:rsidR="00390133" w:rsidRPr="004920C6">
        <w:rPr>
          <w:rFonts w:asciiTheme="minorHAnsi" w:hAnsiTheme="minorHAnsi" w:cstheme="minorHAnsi"/>
        </w:rPr>
        <w:t xml:space="preserve"> podrozvahových účtech</w:t>
      </w:r>
      <w:r w:rsidRPr="004920C6">
        <w:rPr>
          <w:rFonts w:asciiTheme="minorHAnsi" w:hAnsiTheme="minorHAnsi" w:cstheme="minorHAnsi"/>
        </w:rPr>
        <w:t xml:space="preserve"> 916 – </w:t>
      </w:r>
      <w:r w:rsidRPr="004920C6">
        <w:rPr>
          <w:rFonts w:asciiTheme="minorHAnsi" w:hAnsiTheme="minorHAnsi" w:cstheme="minorHAnsi"/>
          <w:i/>
          <w:iCs/>
        </w:rPr>
        <w:t>Ostatní krátkodobé podmíněné závazky z transferů</w:t>
      </w:r>
      <w:r w:rsidRPr="004920C6">
        <w:rPr>
          <w:rFonts w:asciiTheme="minorHAnsi" w:hAnsiTheme="minorHAnsi" w:cstheme="minorHAnsi"/>
        </w:rPr>
        <w:t xml:space="preserve"> ve výši 6,4 mld. Kč a</w:t>
      </w:r>
      <w:r w:rsidR="00390133"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 xml:space="preserve">956 – </w:t>
      </w:r>
      <w:r w:rsidRPr="004920C6">
        <w:rPr>
          <w:rFonts w:asciiTheme="minorHAnsi" w:hAnsiTheme="minorHAnsi" w:cstheme="minorHAnsi"/>
          <w:i/>
          <w:iCs/>
        </w:rPr>
        <w:t>Ostatní dlouhodobé podmíněné závazky z transferů</w:t>
      </w:r>
      <w:r w:rsidRPr="004920C6">
        <w:rPr>
          <w:rFonts w:asciiTheme="minorHAnsi" w:hAnsiTheme="minorHAnsi" w:cstheme="minorHAnsi"/>
        </w:rPr>
        <w:t xml:space="preserve"> ve výši 2,5 mld. Kč z titulu vydaných rozhodnutí o poskytnutí dotace</w:t>
      </w:r>
      <w:r w:rsidR="00EE59EC">
        <w:rPr>
          <w:rFonts w:asciiTheme="minorHAnsi" w:hAnsiTheme="minorHAnsi" w:cstheme="minorHAnsi"/>
        </w:rPr>
        <w:t>;</w:t>
      </w:r>
      <w:r w:rsidRPr="004920C6">
        <w:rPr>
          <w:rFonts w:asciiTheme="minorHAnsi" w:hAnsiTheme="minorHAnsi" w:cstheme="minorHAnsi"/>
        </w:rPr>
        <w:t xml:space="preserve"> </w:t>
      </w:r>
    </w:p>
    <w:p w14:paraId="2C46191A" w14:textId="379DE11C" w:rsidR="00115BB8" w:rsidRPr="005260DD" w:rsidRDefault="00EE59EC" w:rsidP="005260DD">
      <w:pPr>
        <w:pStyle w:val="Odstavecseseznamem"/>
        <w:numPr>
          <w:ilvl w:val="0"/>
          <w:numId w:val="37"/>
        </w:numPr>
        <w:spacing w:before="240"/>
        <w:ind w:left="284" w:hanging="284"/>
        <w:contextualSpacing w:val="0"/>
        <w:jc w:val="both"/>
        <w:rPr>
          <w:rFonts w:asciiTheme="minorHAnsi" w:hAnsiTheme="minorHAnsi" w:cstheme="minorHAnsi"/>
          <w:b/>
          <w:bCs/>
          <w:color w:val="292929"/>
          <w:shd w:val="clear" w:color="auto" w:fill="FFFFFF"/>
        </w:rPr>
      </w:pPr>
      <w:r w:rsidRPr="005260DD">
        <w:rPr>
          <w:rFonts w:asciiTheme="minorHAnsi" w:hAnsiTheme="minorHAnsi" w:cstheme="minorHAnsi"/>
          <w:b/>
          <w:bCs/>
          <w:color w:val="292929"/>
          <w:shd w:val="clear" w:color="auto" w:fill="FFFFFF"/>
        </w:rPr>
        <w:t>o</w:t>
      </w:r>
      <w:r w:rsidR="00115BB8" w:rsidRPr="005260DD">
        <w:rPr>
          <w:rFonts w:asciiTheme="minorHAnsi" w:hAnsiTheme="minorHAnsi" w:cstheme="minorHAnsi"/>
          <w:b/>
          <w:bCs/>
          <w:color w:val="292929"/>
          <w:shd w:val="clear" w:color="auto" w:fill="FFFFFF"/>
        </w:rPr>
        <w:t>blast rozpočtových údajů (výkaz pro hodnocení plnění rozpočtu)</w:t>
      </w:r>
    </w:p>
    <w:p w14:paraId="183DD782" w14:textId="3ED1D334" w:rsidR="00115BB8" w:rsidRPr="004920C6" w:rsidRDefault="00115BB8" w:rsidP="00115BB8">
      <w:pPr>
        <w:pStyle w:val="Odstavecseseznamem"/>
        <w:numPr>
          <w:ilvl w:val="0"/>
          <w:numId w:val="10"/>
        </w:numPr>
        <w:ind w:left="714" w:hanging="357"/>
        <w:contextualSpacing w:val="0"/>
        <w:jc w:val="both"/>
        <w:rPr>
          <w:rFonts w:asciiTheme="minorHAnsi" w:hAnsiTheme="minorHAnsi" w:cstheme="minorHAnsi"/>
          <w:color w:val="292929"/>
          <w:shd w:val="clear" w:color="auto" w:fill="FFFFFF"/>
        </w:rPr>
      </w:pPr>
      <w:r w:rsidRPr="004920C6">
        <w:rPr>
          <w:rFonts w:asciiTheme="minorHAnsi" w:hAnsiTheme="minorHAnsi" w:cstheme="minorHAnsi"/>
          <w:b/>
          <w:bCs/>
          <w:color w:val="292929"/>
          <w:shd w:val="clear" w:color="auto" w:fill="FFFFFF"/>
        </w:rPr>
        <w:t>v</w:t>
      </w:r>
      <w:r w:rsidR="00B821F6">
        <w:rPr>
          <w:rFonts w:asciiTheme="minorHAnsi" w:hAnsiTheme="minorHAnsi" w:cstheme="minorHAnsi"/>
          <w:b/>
          <w:bCs/>
          <w:color w:val="292929"/>
          <w:shd w:val="clear" w:color="auto" w:fill="FFFFFF"/>
        </w:rPr>
        <w:t xml:space="preserve"> </w:t>
      </w:r>
      <w:r w:rsidRPr="004920C6">
        <w:rPr>
          <w:rFonts w:asciiTheme="minorHAnsi" w:hAnsiTheme="minorHAnsi" w:cstheme="minorHAnsi"/>
          <w:b/>
          <w:bCs/>
          <w:color w:val="292929"/>
          <w:shd w:val="clear" w:color="auto" w:fill="FFFFFF"/>
        </w:rPr>
        <w:t xml:space="preserve">rámci příjmů prostřednictvím neinvestičních a investičních přijatých transferů 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>zatříděných na</w:t>
      </w:r>
      <w:r w:rsidR="00390133"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rozpočtových položkách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</w:t>
      </w:r>
      <w:r w:rsidRPr="004920C6">
        <w:rPr>
          <w:rFonts w:asciiTheme="minorHAnsi" w:hAnsiTheme="minorHAnsi" w:cstheme="minorHAnsi"/>
          <w:lang w:eastAsia="cs-CZ"/>
        </w:rPr>
        <w:t xml:space="preserve">4153 – </w:t>
      </w:r>
      <w:r w:rsidRPr="004920C6">
        <w:rPr>
          <w:rFonts w:asciiTheme="minorHAnsi" w:hAnsiTheme="minorHAnsi" w:cstheme="minorHAnsi"/>
          <w:i/>
          <w:iCs/>
          <w:lang w:eastAsia="cs-CZ"/>
        </w:rPr>
        <w:t>Neinvestiční transfery přijaté od Evropské unie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ve výši 754,1 mil. Kč a</w:t>
      </w:r>
      <w:r w:rsidR="00390133"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</w:t>
      </w:r>
      <w:r w:rsidRPr="004920C6">
        <w:rPr>
          <w:rFonts w:asciiTheme="minorHAnsi" w:hAnsiTheme="minorHAnsi" w:cstheme="minorHAnsi"/>
          <w:lang w:eastAsia="cs-CZ"/>
        </w:rPr>
        <w:t xml:space="preserve">4233 – </w:t>
      </w:r>
      <w:r w:rsidRPr="004920C6">
        <w:rPr>
          <w:rFonts w:asciiTheme="minorHAnsi" w:hAnsiTheme="minorHAnsi" w:cstheme="minorHAnsi"/>
          <w:i/>
          <w:iCs/>
          <w:lang w:eastAsia="cs-CZ"/>
        </w:rPr>
        <w:t>Investiční transfery přijaté od Evropské unie</w:t>
      </w:r>
      <w:r w:rsidRPr="004920C6">
        <w:rPr>
          <w:rFonts w:asciiTheme="minorHAnsi" w:hAnsiTheme="minorHAnsi" w:cstheme="minorHAnsi"/>
          <w:lang w:eastAsia="cs-CZ"/>
        </w:rPr>
        <w:t xml:space="preserve"> ve výši 30</w:t>
      </w:r>
      <w:r w:rsidR="001375B4" w:rsidRPr="004920C6">
        <w:rPr>
          <w:rFonts w:asciiTheme="minorHAnsi" w:hAnsiTheme="minorHAnsi" w:cstheme="minorHAnsi"/>
          <w:lang w:eastAsia="cs-CZ"/>
        </w:rPr>
        <w:t>6</w:t>
      </w:r>
      <w:r w:rsidRPr="004920C6">
        <w:rPr>
          <w:rFonts w:asciiTheme="minorHAnsi" w:hAnsiTheme="minorHAnsi" w:cstheme="minorHAnsi"/>
          <w:lang w:eastAsia="cs-CZ"/>
        </w:rPr>
        <w:t>,</w:t>
      </w:r>
      <w:r w:rsidR="001375B4" w:rsidRPr="004920C6">
        <w:rPr>
          <w:rFonts w:asciiTheme="minorHAnsi" w:hAnsiTheme="minorHAnsi" w:cstheme="minorHAnsi"/>
          <w:lang w:eastAsia="cs-CZ"/>
        </w:rPr>
        <w:t>0</w:t>
      </w:r>
      <w:r w:rsidRPr="004920C6">
        <w:rPr>
          <w:rFonts w:asciiTheme="minorHAnsi" w:hAnsiTheme="minorHAnsi" w:cstheme="minorHAnsi"/>
          <w:lang w:eastAsia="cs-CZ"/>
        </w:rPr>
        <w:t xml:space="preserve"> mil. Kč; </w:t>
      </w:r>
    </w:p>
    <w:p w14:paraId="178160A2" w14:textId="38BF359B" w:rsidR="00115BB8" w:rsidRPr="004920C6" w:rsidRDefault="00115BB8" w:rsidP="00115BB8">
      <w:pPr>
        <w:pStyle w:val="Odstavecseseznamem"/>
        <w:numPr>
          <w:ilvl w:val="0"/>
          <w:numId w:val="10"/>
        </w:numPr>
        <w:spacing w:after="240"/>
        <w:ind w:left="714" w:hanging="357"/>
        <w:contextualSpacing w:val="0"/>
        <w:jc w:val="both"/>
        <w:rPr>
          <w:rFonts w:asciiTheme="minorHAnsi" w:hAnsiTheme="minorHAnsi" w:cstheme="minorHAnsi"/>
          <w:color w:val="292929"/>
          <w:shd w:val="clear" w:color="auto" w:fill="FFFFFF"/>
        </w:rPr>
      </w:pPr>
      <w:r w:rsidRPr="004920C6">
        <w:rPr>
          <w:rFonts w:asciiTheme="minorHAnsi" w:hAnsiTheme="minorHAnsi" w:cstheme="minorHAnsi"/>
          <w:b/>
          <w:bCs/>
          <w:color w:val="292929"/>
          <w:shd w:val="clear" w:color="auto" w:fill="FFFFFF"/>
        </w:rPr>
        <w:t xml:space="preserve">v rámci výdajů prostřednictvím neinvestičních a investičních transferů 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>zatříděných na</w:t>
      </w:r>
      <w:r w:rsidR="00390133"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rozpočtových položkách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5331 – </w:t>
      </w:r>
      <w:r w:rsidRPr="004920C6">
        <w:rPr>
          <w:rFonts w:asciiTheme="minorHAnsi" w:hAnsiTheme="minorHAnsi" w:cstheme="minorHAnsi"/>
          <w:i/>
          <w:iCs/>
          <w:color w:val="292929"/>
          <w:shd w:val="clear" w:color="auto" w:fill="FFFFFF"/>
        </w:rPr>
        <w:t>Neinvestiční příspěvky zřízeným příspěvkovým organizacím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ve výši 6,0 mld. Kč,</w:t>
      </w:r>
      <w:r w:rsidR="00390133"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5312 – </w:t>
      </w:r>
      <w:r w:rsidRPr="004920C6">
        <w:rPr>
          <w:rFonts w:asciiTheme="minorHAnsi" w:hAnsiTheme="minorHAnsi" w:cstheme="minorHAnsi"/>
          <w:i/>
          <w:iCs/>
          <w:color w:val="292929"/>
          <w:shd w:val="clear" w:color="auto" w:fill="FFFFFF"/>
        </w:rPr>
        <w:t>Neinvestiční transfery státním fondům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ve výši 1,2 mld. Kč, 5223 – </w:t>
      </w:r>
      <w:r w:rsidRPr="004920C6">
        <w:rPr>
          <w:rFonts w:asciiTheme="minorHAnsi" w:hAnsiTheme="minorHAnsi" w:cstheme="minorHAnsi"/>
          <w:i/>
          <w:iCs/>
          <w:color w:val="292929"/>
          <w:shd w:val="clear" w:color="auto" w:fill="FFFFFF"/>
        </w:rPr>
        <w:t>Neinvestiční transfery církvím a náboženským společnostem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ve výši 1,0 mld. Kč a 6351 – </w:t>
      </w:r>
      <w:r w:rsidRPr="004920C6">
        <w:rPr>
          <w:rFonts w:asciiTheme="minorHAnsi" w:hAnsiTheme="minorHAnsi" w:cstheme="minorHAnsi"/>
          <w:i/>
          <w:iCs/>
          <w:color w:val="292929"/>
          <w:shd w:val="clear" w:color="auto" w:fill="FFFFFF"/>
        </w:rPr>
        <w:t>Investiční transfery zřízeným příspěvkovým organizacím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ve výši </w:t>
      </w:r>
      <w:r w:rsidR="00F52D61">
        <w:rPr>
          <w:rFonts w:asciiTheme="minorHAnsi" w:hAnsiTheme="minorHAnsi" w:cstheme="minorHAnsi"/>
          <w:color w:val="292929"/>
          <w:shd w:val="clear" w:color="auto" w:fill="FFFFFF"/>
        </w:rPr>
        <w:t>1 074,9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mil. Kč.</w:t>
      </w:r>
    </w:p>
    <w:p w14:paraId="5964E87D" w14:textId="57AD5349" w:rsidR="00115BB8" w:rsidRPr="004920C6" w:rsidRDefault="00115BB8" w:rsidP="00115BB8">
      <w:pPr>
        <w:jc w:val="both"/>
        <w:rPr>
          <w:rFonts w:asciiTheme="minorHAnsi" w:hAnsiTheme="minorHAnsi" w:cstheme="minorHAnsi"/>
          <w:color w:val="292929"/>
          <w:shd w:val="clear" w:color="auto" w:fill="FFFFFF"/>
        </w:rPr>
      </w:pPr>
      <w:r w:rsidRPr="004920C6">
        <w:rPr>
          <w:rFonts w:asciiTheme="minorHAnsi" w:hAnsiTheme="minorHAnsi" w:cstheme="minorHAnsi"/>
          <w:color w:val="292929"/>
          <w:shd w:val="clear" w:color="auto" w:fill="FFFFFF"/>
        </w:rPr>
        <w:lastRenderedPageBreak/>
        <w:t xml:space="preserve">Další významnou činností, kterou </w:t>
      </w:r>
      <w:r w:rsidRPr="004920C6">
        <w:rPr>
          <w:rFonts w:asciiTheme="minorHAnsi" w:hAnsiTheme="minorHAnsi" w:cstheme="minorHAnsi"/>
        </w:rPr>
        <w:t xml:space="preserve">MK od roku 2013 zajišťuje </w:t>
      </w:r>
      <w:r w:rsidRPr="004920C6">
        <w:rPr>
          <w:rFonts w:asciiTheme="minorHAnsi" w:hAnsiTheme="minorHAnsi" w:cstheme="minorHAnsi"/>
          <w:iCs/>
        </w:rPr>
        <w:t>podle zákona č. 428/2012 Sb.</w:t>
      </w:r>
      <w:r w:rsidRPr="004920C6">
        <w:rPr>
          <w:rStyle w:val="Znakapoznpodarou"/>
          <w:rFonts w:asciiTheme="minorHAnsi" w:hAnsiTheme="minorHAnsi" w:cstheme="minorHAnsi"/>
        </w:rPr>
        <w:footnoteReference w:id="28"/>
      </w:r>
      <w:r w:rsidRPr="004920C6">
        <w:rPr>
          <w:rFonts w:asciiTheme="minorHAnsi" w:hAnsiTheme="minorHAnsi" w:cstheme="minorHAnsi"/>
          <w:iCs/>
        </w:rPr>
        <w:t xml:space="preserve">, je </w:t>
      </w:r>
      <w:r w:rsidRPr="004920C6">
        <w:rPr>
          <w:rFonts w:asciiTheme="minorHAnsi" w:hAnsiTheme="minorHAnsi" w:cstheme="minorHAnsi"/>
          <w:iCs/>
          <w:u w:val="single"/>
        </w:rPr>
        <w:t>vyplácení finančních náhrad církvím a náboženským společnostem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>, což se ve vykázaných účetních i rozpočtových informacích</w:t>
      </w:r>
      <w:r w:rsidR="001375B4"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za rok 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>2024 promítlo násled</w:t>
      </w:r>
      <w:r w:rsidR="00D606E5" w:rsidRPr="004920C6">
        <w:rPr>
          <w:rFonts w:asciiTheme="minorHAnsi" w:hAnsiTheme="minorHAnsi" w:cstheme="minorHAnsi"/>
          <w:color w:val="292929"/>
          <w:shd w:val="clear" w:color="auto" w:fill="FFFFFF"/>
        </w:rPr>
        <w:t>ovně</w:t>
      </w:r>
      <w:r w:rsidR="00672432" w:rsidRPr="004920C6">
        <w:rPr>
          <w:rStyle w:val="Znakapoznpodarou"/>
          <w:rFonts w:asciiTheme="minorHAnsi" w:hAnsiTheme="minorHAnsi" w:cstheme="minorHAnsi"/>
          <w:iCs/>
        </w:rPr>
        <w:footnoteReference w:id="29"/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>:</w:t>
      </w:r>
    </w:p>
    <w:p w14:paraId="0F37E1C0" w14:textId="307E16AE" w:rsidR="00115BB8" w:rsidRPr="005260DD" w:rsidRDefault="00EE59EC" w:rsidP="005260DD">
      <w:pPr>
        <w:pStyle w:val="Odstavecseseznamem"/>
        <w:numPr>
          <w:ilvl w:val="0"/>
          <w:numId w:val="37"/>
        </w:numPr>
        <w:ind w:left="284" w:hanging="284"/>
        <w:contextualSpacing w:val="0"/>
        <w:jc w:val="both"/>
        <w:rPr>
          <w:rFonts w:asciiTheme="minorHAnsi" w:hAnsiTheme="minorHAnsi" w:cstheme="minorHAnsi"/>
          <w:b/>
          <w:bCs/>
          <w:color w:val="292929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92929"/>
          <w:shd w:val="clear" w:color="auto" w:fill="FFFFFF"/>
        </w:rPr>
        <w:t>o</w:t>
      </w:r>
      <w:r w:rsidR="00115BB8" w:rsidRPr="005260DD">
        <w:rPr>
          <w:rFonts w:asciiTheme="minorHAnsi" w:hAnsiTheme="minorHAnsi" w:cstheme="minorHAnsi"/>
          <w:b/>
          <w:bCs/>
          <w:color w:val="292929"/>
          <w:shd w:val="clear" w:color="auto" w:fill="FFFFFF"/>
        </w:rPr>
        <w:t>blast účetních údajů (rozvaha, výkaz zisku a ztráty a příloha)</w:t>
      </w:r>
    </w:p>
    <w:p w14:paraId="6DDC2A29" w14:textId="5137B20A" w:rsidR="00115BB8" w:rsidRPr="004920C6" w:rsidRDefault="00115BB8" w:rsidP="00115BB8">
      <w:pPr>
        <w:pStyle w:val="Odstavecseseznamem"/>
        <w:numPr>
          <w:ilvl w:val="0"/>
          <w:numId w:val="9"/>
        </w:numPr>
        <w:ind w:left="765" w:hanging="357"/>
        <w:contextualSpacing w:val="0"/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  <w:b/>
          <w:bCs/>
        </w:rPr>
        <w:t xml:space="preserve">prostřednictvím dlouhodobých závazků </w:t>
      </w:r>
      <w:r w:rsidRPr="004920C6">
        <w:rPr>
          <w:rFonts w:asciiTheme="minorHAnsi" w:hAnsiTheme="minorHAnsi" w:cstheme="minorHAnsi"/>
        </w:rPr>
        <w:t>vykázaných na</w:t>
      </w:r>
      <w:r w:rsidR="00390133" w:rsidRPr="004920C6">
        <w:rPr>
          <w:rFonts w:asciiTheme="minorHAnsi" w:hAnsiTheme="minorHAnsi" w:cstheme="minorHAnsi"/>
        </w:rPr>
        <w:t xml:space="preserve"> účtu</w:t>
      </w:r>
      <w:r w:rsidR="00EE59EC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459</w:t>
      </w:r>
      <w:r w:rsidR="00EE59EC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–</w:t>
      </w:r>
      <w:r w:rsidR="00EE59EC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  <w:i/>
          <w:iCs/>
        </w:rPr>
        <w:t>Ostatní dlouhodobé závazky</w:t>
      </w:r>
      <w:r w:rsidRPr="004920C6">
        <w:rPr>
          <w:rFonts w:asciiTheme="minorHAnsi" w:hAnsiTheme="minorHAnsi" w:cstheme="minorHAnsi"/>
        </w:rPr>
        <w:t xml:space="preserve"> ve výši 49,</w:t>
      </w:r>
      <w:r w:rsidR="001375B4" w:rsidRPr="004920C6">
        <w:rPr>
          <w:rFonts w:asciiTheme="minorHAnsi" w:hAnsiTheme="minorHAnsi" w:cstheme="minorHAnsi"/>
        </w:rPr>
        <w:t>7</w:t>
      </w:r>
      <w:r w:rsidRPr="004920C6">
        <w:rPr>
          <w:rFonts w:asciiTheme="minorHAnsi" w:hAnsiTheme="minorHAnsi" w:cstheme="minorHAnsi"/>
        </w:rPr>
        <w:t xml:space="preserve"> mld. Kč;</w:t>
      </w:r>
    </w:p>
    <w:p w14:paraId="324A5591" w14:textId="0C430663" w:rsidR="00115BB8" w:rsidRPr="004920C6" w:rsidRDefault="00115BB8" w:rsidP="00115BB8">
      <w:pPr>
        <w:pStyle w:val="Odstavecseseznamem"/>
        <w:numPr>
          <w:ilvl w:val="0"/>
          <w:numId w:val="9"/>
        </w:numPr>
        <w:spacing w:after="240"/>
        <w:ind w:left="765" w:hanging="357"/>
        <w:contextualSpacing w:val="0"/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  <w:b/>
          <w:bCs/>
        </w:rPr>
        <w:t xml:space="preserve">prostřednictvím nákladů z činnosti </w:t>
      </w:r>
      <w:r w:rsidRPr="004920C6">
        <w:rPr>
          <w:rFonts w:asciiTheme="minorHAnsi" w:hAnsiTheme="minorHAnsi" w:cstheme="minorHAnsi"/>
        </w:rPr>
        <w:t>vykázaných na</w:t>
      </w:r>
      <w:r w:rsidR="00390133" w:rsidRPr="004920C6">
        <w:rPr>
          <w:rFonts w:asciiTheme="minorHAnsi" w:hAnsiTheme="minorHAnsi" w:cstheme="minorHAnsi"/>
        </w:rPr>
        <w:t xml:space="preserve"> účtu</w:t>
      </w:r>
      <w:r w:rsidR="00EE59EC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549</w:t>
      </w:r>
      <w:r w:rsidR="00EE59EC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–</w:t>
      </w:r>
      <w:r w:rsidR="00EE59EC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  <w:i/>
          <w:iCs/>
        </w:rPr>
        <w:t>Ostatní náklady z činnosti</w:t>
      </w:r>
      <w:r w:rsidRPr="004920C6">
        <w:rPr>
          <w:rFonts w:asciiTheme="minorHAnsi" w:hAnsiTheme="minorHAnsi" w:cstheme="minorHAnsi"/>
        </w:rPr>
        <w:t xml:space="preserve"> ve výši 6,</w:t>
      </w:r>
      <w:r w:rsidR="001375B4" w:rsidRPr="004920C6">
        <w:rPr>
          <w:rFonts w:asciiTheme="minorHAnsi" w:hAnsiTheme="minorHAnsi" w:cstheme="minorHAnsi"/>
        </w:rPr>
        <w:t>9</w:t>
      </w:r>
      <w:r w:rsidRPr="004920C6">
        <w:rPr>
          <w:rFonts w:asciiTheme="minorHAnsi" w:hAnsiTheme="minorHAnsi" w:cstheme="minorHAnsi"/>
        </w:rPr>
        <w:t xml:space="preserve"> mld. Kč</w:t>
      </w:r>
      <w:r w:rsidR="00EE59EC">
        <w:rPr>
          <w:rFonts w:asciiTheme="minorHAnsi" w:hAnsiTheme="minorHAnsi" w:cstheme="minorHAnsi"/>
        </w:rPr>
        <w:t>;</w:t>
      </w:r>
    </w:p>
    <w:p w14:paraId="68C15A17" w14:textId="0258B712" w:rsidR="00115BB8" w:rsidRPr="005260DD" w:rsidRDefault="00EE59EC" w:rsidP="005260DD">
      <w:pPr>
        <w:pStyle w:val="Odstavecseseznamem"/>
        <w:numPr>
          <w:ilvl w:val="0"/>
          <w:numId w:val="37"/>
        </w:numPr>
        <w:ind w:left="284" w:hanging="284"/>
        <w:contextualSpacing w:val="0"/>
        <w:jc w:val="both"/>
        <w:rPr>
          <w:rFonts w:asciiTheme="minorHAnsi" w:hAnsiTheme="minorHAnsi" w:cstheme="minorHAnsi"/>
          <w:b/>
          <w:bCs/>
          <w:color w:val="292929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92929"/>
          <w:shd w:val="clear" w:color="auto" w:fill="FFFFFF"/>
        </w:rPr>
        <w:t>o</w:t>
      </w:r>
      <w:r w:rsidR="00115BB8" w:rsidRPr="005260DD">
        <w:rPr>
          <w:rFonts w:asciiTheme="minorHAnsi" w:hAnsiTheme="minorHAnsi" w:cstheme="minorHAnsi"/>
          <w:b/>
          <w:bCs/>
          <w:color w:val="292929"/>
          <w:shd w:val="clear" w:color="auto" w:fill="FFFFFF"/>
        </w:rPr>
        <w:t>blast rozpočtových údajů (výkaz pro hodnocení plnění rozpočtu)</w:t>
      </w:r>
    </w:p>
    <w:p w14:paraId="5CAA09F5" w14:textId="2073DC5F" w:rsidR="00115BB8" w:rsidRPr="004920C6" w:rsidRDefault="00115BB8" w:rsidP="001375B4">
      <w:pPr>
        <w:pStyle w:val="Odstavecseseznamem"/>
        <w:numPr>
          <w:ilvl w:val="0"/>
          <w:numId w:val="10"/>
        </w:numPr>
        <w:spacing w:after="240"/>
        <w:ind w:left="714" w:hanging="357"/>
        <w:contextualSpacing w:val="0"/>
        <w:jc w:val="both"/>
        <w:rPr>
          <w:rFonts w:asciiTheme="minorHAnsi" w:hAnsiTheme="minorHAnsi" w:cstheme="minorHAnsi"/>
          <w:color w:val="292929"/>
          <w:shd w:val="clear" w:color="auto" w:fill="FFFFFF"/>
        </w:rPr>
      </w:pPr>
      <w:r w:rsidRPr="004920C6">
        <w:rPr>
          <w:rFonts w:asciiTheme="minorHAnsi" w:hAnsiTheme="minorHAnsi" w:cstheme="minorHAnsi"/>
          <w:b/>
          <w:bCs/>
          <w:color w:val="292929"/>
          <w:shd w:val="clear" w:color="auto" w:fill="FFFFFF"/>
        </w:rPr>
        <w:t>v</w:t>
      </w:r>
      <w:r w:rsidR="00EE59EC">
        <w:rPr>
          <w:rFonts w:asciiTheme="minorHAnsi" w:hAnsiTheme="minorHAnsi" w:cstheme="minorHAnsi"/>
          <w:b/>
          <w:bCs/>
          <w:color w:val="292929"/>
          <w:shd w:val="clear" w:color="auto" w:fill="FFFFFF"/>
        </w:rPr>
        <w:t xml:space="preserve"> </w:t>
      </w:r>
      <w:r w:rsidRPr="004920C6">
        <w:rPr>
          <w:rFonts w:asciiTheme="minorHAnsi" w:hAnsiTheme="minorHAnsi" w:cstheme="minorHAnsi"/>
          <w:b/>
          <w:bCs/>
          <w:color w:val="292929"/>
          <w:shd w:val="clear" w:color="auto" w:fill="FFFFFF"/>
        </w:rPr>
        <w:t xml:space="preserve">rámci výdajů prostřednictvím náhrad 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>zatříděných na</w:t>
      </w:r>
      <w:r w:rsidR="00390133"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rozpočtové položce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</w:t>
      </w:r>
      <w:r w:rsidR="00EE59EC">
        <w:rPr>
          <w:rFonts w:asciiTheme="minorHAnsi" w:hAnsiTheme="minorHAnsi" w:cstheme="minorHAnsi"/>
          <w:color w:val="292929"/>
          <w:shd w:val="clear" w:color="auto" w:fill="FFFFFF"/>
        </w:rPr>
        <w:br/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5198 – </w:t>
      </w:r>
      <w:r w:rsidRPr="004920C6">
        <w:rPr>
          <w:rFonts w:asciiTheme="minorHAnsi" w:hAnsiTheme="minorHAnsi" w:cstheme="minorHAnsi"/>
          <w:i/>
          <w:iCs/>
          <w:color w:val="292929"/>
          <w:shd w:val="clear" w:color="auto" w:fill="FFFFFF"/>
        </w:rPr>
        <w:t>Finanční náhrady v rámci majetkového vyrovnání s církvemi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ve výši 2,</w:t>
      </w:r>
      <w:r w:rsidR="001375B4" w:rsidRPr="004920C6">
        <w:rPr>
          <w:rFonts w:asciiTheme="minorHAnsi" w:hAnsiTheme="minorHAnsi" w:cstheme="minorHAnsi"/>
          <w:color w:val="292929"/>
          <w:shd w:val="clear" w:color="auto" w:fill="FFFFFF"/>
        </w:rPr>
        <w:t>8</w:t>
      </w:r>
      <w:r w:rsidRPr="004920C6">
        <w:rPr>
          <w:rFonts w:asciiTheme="minorHAnsi" w:hAnsiTheme="minorHAnsi" w:cstheme="minorHAnsi"/>
          <w:color w:val="292929"/>
          <w:shd w:val="clear" w:color="auto" w:fill="FFFFFF"/>
        </w:rPr>
        <w:t xml:space="preserve"> mld. Kč</w:t>
      </w:r>
      <w:r w:rsidR="00EE59EC">
        <w:rPr>
          <w:rFonts w:asciiTheme="minorHAnsi" w:hAnsiTheme="minorHAnsi" w:cstheme="minorHAnsi"/>
          <w:color w:val="292929"/>
          <w:shd w:val="clear" w:color="auto" w:fill="FFFFFF"/>
        </w:rPr>
        <w:t>.</w:t>
      </w:r>
    </w:p>
    <w:p w14:paraId="2BF368A5" w14:textId="37D48543" w:rsidR="00123291" w:rsidRPr="004920C6" w:rsidRDefault="00123291" w:rsidP="00123291">
      <w:pPr>
        <w:spacing w:after="0" w:line="259" w:lineRule="auto"/>
        <w:jc w:val="both"/>
      </w:pPr>
      <w:r w:rsidRPr="004920C6">
        <w:t xml:space="preserve">Hospodaření MK je možné hodnotit na základě dvou různých, vzájemně se doplňujících informačních základen: </w:t>
      </w:r>
    </w:p>
    <w:p w14:paraId="34025D5B" w14:textId="55060243" w:rsidR="00123291" w:rsidRPr="004920C6" w:rsidRDefault="00F87DBD" w:rsidP="00123291">
      <w:pPr>
        <w:pStyle w:val="Odstavecseseznamem"/>
        <w:widowControl w:val="0"/>
        <w:numPr>
          <w:ilvl w:val="0"/>
          <w:numId w:val="11"/>
        </w:numPr>
        <w:spacing w:after="0"/>
        <w:ind w:left="714" w:hanging="357"/>
        <w:jc w:val="both"/>
      </w:pPr>
      <w:r w:rsidRPr="004920C6">
        <w:t>na peněžní bázi</w:t>
      </w:r>
      <w:r w:rsidRPr="004920C6">
        <w:rPr>
          <w:rStyle w:val="Znakapoznpodarou"/>
          <w:rFonts w:eastAsiaTheme="majorEastAsia" w:cs="Calibri"/>
        </w:rPr>
        <w:footnoteReference w:id="30"/>
      </w:r>
      <w:r w:rsidRPr="004920C6">
        <w:t xml:space="preserve">, využívající údaje o </w:t>
      </w:r>
      <w:r w:rsidR="00123291" w:rsidRPr="004920C6">
        <w:t>plnění rozpočtu</w:t>
      </w:r>
      <w:r w:rsidR="00EE59EC">
        <w:t>,</w:t>
      </w:r>
      <w:r w:rsidRPr="004920C6">
        <w:t xml:space="preserve"> </w:t>
      </w:r>
      <w:r w:rsidR="00123291" w:rsidRPr="004920C6">
        <w:t xml:space="preserve">nebo </w:t>
      </w:r>
    </w:p>
    <w:p w14:paraId="59C4369C" w14:textId="042ECB59" w:rsidR="00123291" w:rsidRPr="004920C6" w:rsidRDefault="00F87DBD" w:rsidP="00123291">
      <w:pPr>
        <w:pStyle w:val="Odstavecseseznamem"/>
        <w:numPr>
          <w:ilvl w:val="0"/>
          <w:numId w:val="11"/>
        </w:numPr>
        <w:ind w:left="714" w:hanging="357"/>
        <w:contextualSpacing w:val="0"/>
        <w:jc w:val="both"/>
      </w:pPr>
      <w:r w:rsidRPr="004920C6">
        <w:t>na akruální bázi</w:t>
      </w:r>
      <w:r w:rsidRPr="004920C6">
        <w:rPr>
          <w:rStyle w:val="Znakapoznpodarou"/>
          <w:rFonts w:eastAsiaTheme="majorEastAsia" w:cs="Calibri"/>
        </w:rPr>
        <w:footnoteReference w:id="31"/>
      </w:r>
      <w:r w:rsidRPr="004920C6">
        <w:t xml:space="preserve">, využívající </w:t>
      </w:r>
      <w:r w:rsidR="00123291" w:rsidRPr="004920C6">
        <w:t>údaje z účetnictví.</w:t>
      </w:r>
    </w:p>
    <w:p w14:paraId="576FF49C" w14:textId="1DC7EB65" w:rsidR="00123291" w:rsidRPr="004920C6" w:rsidRDefault="00123291" w:rsidP="00123291">
      <w:pPr>
        <w:jc w:val="both"/>
        <w:rPr>
          <w:rFonts w:eastAsia="Calibri" w:cs="Calibri"/>
        </w:rPr>
      </w:pPr>
      <w:r w:rsidRPr="004920C6">
        <w:rPr>
          <w:rFonts w:eastAsia="Calibri" w:cs="Calibri"/>
        </w:rPr>
        <w:t>Porovnáním výsledku rozpočtového hospodaření MK za rok 2024 hodnoceného na bázi peněžních toků dle finančního výkazu (deficit ve výši 14 750</w:t>
      </w:r>
      <w:r w:rsidR="00EA6F0F" w:rsidRPr="004920C6">
        <w:rPr>
          <w:rFonts w:eastAsia="Calibri" w:cs="Calibri"/>
        </w:rPr>
        <w:t> </w:t>
      </w:r>
      <w:r w:rsidRPr="004920C6">
        <w:rPr>
          <w:rFonts w:eastAsia="Calibri" w:cs="Calibri"/>
        </w:rPr>
        <w:t>539</w:t>
      </w:r>
      <w:r w:rsidR="00EA6F0F" w:rsidRPr="004920C6">
        <w:rPr>
          <w:rFonts w:eastAsia="Calibri" w:cs="Calibri"/>
        </w:rPr>
        <w:t xml:space="preserve">,0 tis. </w:t>
      </w:r>
      <w:r w:rsidRPr="004920C6">
        <w:rPr>
          <w:rFonts w:eastAsia="Calibri" w:cs="Calibri"/>
        </w:rPr>
        <w:t>Kč) a výsledku na akruální bázi, tj. výsledku hospodaření běžného účetního období dle výkazu zisku a ztráty (ztráta ve výši</w:t>
      </w:r>
      <w:r w:rsidR="00EA6F0F" w:rsidRPr="004920C6">
        <w:rPr>
          <w:rFonts w:eastAsia="Calibri" w:cs="Calibri"/>
        </w:rPr>
        <w:t xml:space="preserve"> 18 105 918,5 tis.</w:t>
      </w:r>
      <w:r w:rsidRPr="004920C6">
        <w:rPr>
          <w:rFonts w:eastAsia="Calibri" w:cs="Calibri"/>
        </w:rPr>
        <w:t xml:space="preserve"> Kč), byl zjištěn rozdíl ve výši</w:t>
      </w:r>
      <w:r w:rsidR="00EA6F0F" w:rsidRPr="004920C6">
        <w:rPr>
          <w:rFonts w:eastAsia="Calibri" w:cs="Calibri"/>
        </w:rPr>
        <w:t xml:space="preserve"> 3 355 379,4 tis.</w:t>
      </w:r>
      <w:r w:rsidRPr="004920C6">
        <w:rPr>
          <w:rFonts w:eastAsia="Calibri" w:cs="Calibri"/>
        </w:rPr>
        <w:t xml:space="preserve"> Kč.</w:t>
      </w:r>
      <w:r w:rsidR="00F87DBD" w:rsidRPr="004920C6">
        <w:rPr>
          <w:rFonts w:eastAsia="Calibri" w:cs="Calibri"/>
        </w:rPr>
        <w:t xml:space="preserve"> Zásadní vliv na tento rozdíl měly finanční náhrady církvím a náboženským společnostem, jak vyplývá z níže uvedené tabulky.</w:t>
      </w:r>
    </w:p>
    <w:p w14:paraId="5A74FCF7" w14:textId="77777777" w:rsidR="00115BB8" w:rsidRPr="004920C6" w:rsidRDefault="00115BB8" w:rsidP="00115BB8">
      <w:pPr>
        <w:jc w:val="both"/>
        <w:rPr>
          <w:rFonts w:eastAsia="Calibri" w:cs="Calibri"/>
        </w:rPr>
      </w:pPr>
      <w:r w:rsidRPr="004920C6">
        <w:rPr>
          <w:rFonts w:eastAsia="Calibri" w:cs="Calibri"/>
        </w:rPr>
        <w:t>Hlavní důvody rozdílu mezi saldem příjmů a výdajů a výsledkem hospodaření jsou shrnuty v následující tabulce.</w:t>
      </w:r>
    </w:p>
    <w:p w14:paraId="48B0A2EE" w14:textId="77777777" w:rsidR="00EE59EC" w:rsidRDefault="00EE59EC">
      <w:pPr>
        <w:spacing w:after="160" w:line="259" w:lineRule="auto"/>
        <w:rPr>
          <w:rFonts w:eastAsia="Calibri" w:cs="Calibri"/>
          <w:b/>
          <w:bCs/>
          <w:szCs w:val="22"/>
        </w:rPr>
      </w:pPr>
      <w:r>
        <w:rPr>
          <w:rFonts w:eastAsia="Calibri" w:cs="Calibri"/>
          <w:b/>
          <w:bCs/>
          <w:szCs w:val="22"/>
        </w:rPr>
        <w:br w:type="page"/>
      </w:r>
    </w:p>
    <w:p w14:paraId="5475B993" w14:textId="75BC0249" w:rsidR="000B312D" w:rsidRPr="004920C6" w:rsidRDefault="000B312D" w:rsidP="000B312D">
      <w:pPr>
        <w:tabs>
          <w:tab w:val="right" w:pos="9070"/>
        </w:tabs>
        <w:spacing w:after="40"/>
        <w:ind w:left="1361" w:hanging="1361"/>
        <w:jc w:val="both"/>
        <w:rPr>
          <w:rFonts w:eastAsia="Calibri" w:cs="Calibri"/>
          <w:b/>
          <w:bCs/>
          <w:szCs w:val="22"/>
        </w:rPr>
      </w:pPr>
      <w:r w:rsidRPr="004920C6">
        <w:rPr>
          <w:rFonts w:eastAsia="Calibri" w:cs="Calibri"/>
          <w:b/>
          <w:bCs/>
          <w:szCs w:val="22"/>
        </w:rPr>
        <w:lastRenderedPageBreak/>
        <w:t xml:space="preserve">Tabulka č. 1: </w:t>
      </w:r>
      <w:r w:rsidRPr="004920C6">
        <w:rPr>
          <w:rFonts w:eastAsia="Calibri" w:cs="Calibri"/>
          <w:b/>
          <w:bCs/>
          <w:szCs w:val="22"/>
        </w:rPr>
        <w:tab/>
        <w:t xml:space="preserve">Významné účetní operace způsobující rozdíl mezi saldem peněžních toků a výsledkem hospodaření MK k 31. prosinci 2024 </w:t>
      </w:r>
      <w:r w:rsidRPr="004920C6">
        <w:rPr>
          <w:rFonts w:eastAsia="Calibri" w:cs="Calibri"/>
          <w:b/>
          <w:bCs/>
          <w:szCs w:val="22"/>
        </w:rPr>
        <w:tab/>
        <w:t>(v tis. Kč)</w:t>
      </w:r>
    </w:p>
    <w:tbl>
      <w:tblPr>
        <w:tblW w:w="909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15"/>
        <w:gridCol w:w="1352"/>
        <w:gridCol w:w="1418"/>
        <w:gridCol w:w="1405"/>
      </w:tblGrid>
      <w:tr w:rsidR="00115BB8" w:rsidRPr="004920C6" w14:paraId="5F8E81E6" w14:textId="77777777" w:rsidTr="00613725">
        <w:trPr>
          <w:trHeight w:val="305"/>
          <w:tblHeader/>
        </w:trPr>
        <w:tc>
          <w:tcPr>
            <w:tcW w:w="9090" w:type="dxa"/>
            <w:gridSpan w:val="4"/>
            <w:shd w:val="clear" w:color="auto" w:fill="E6E6E6"/>
            <w:vAlign w:val="center"/>
          </w:tcPr>
          <w:p w14:paraId="4C471F74" w14:textId="5456E226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Účetní operace způsobující rozdíl mezi příjmy a výnosy</w:t>
            </w:r>
            <w:r w:rsidR="009B3C77" w:rsidRPr="004920C6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ootnoteReference w:id="32"/>
            </w:r>
          </w:p>
        </w:tc>
      </w:tr>
      <w:tr w:rsidR="00115BB8" w:rsidRPr="004920C6" w14:paraId="0AB61445" w14:textId="77777777" w:rsidTr="00613725">
        <w:trPr>
          <w:trHeight w:val="305"/>
          <w:tblHeader/>
        </w:trPr>
        <w:tc>
          <w:tcPr>
            <w:tcW w:w="4915" w:type="dxa"/>
            <w:shd w:val="clear" w:color="auto" w:fill="E6E6E6"/>
            <w:vAlign w:val="center"/>
          </w:tcPr>
          <w:p w14:paraId="791A4FCF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Účetní operace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0174B0B0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Vliv na příjmy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74AB0668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Vliv na výnosy</w:t>
            </w:r>
          </w:p>
        </w:tc>
        <w:tc>
          <w:tcPr>
            <w:tcW w:w="1405" w:type="dxa"/>
            <w:shd w:val="clear" w:color="auto" w:fill="E6E6E6"/>
            <w:vAlign w:val="center"/>
          </w:tcPr>
          <w:p w14:paraId="6021C602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Rozdíl</w:t>
            </w:r>
          </w:p>
        </w:tc>
      </w:tr>
      <w:tr w:rsidR="00115BB8" w:rsidRPr="004920C6" w14:paraId="28FC6FB2" w14:textId="77777777" w:rsidTr="00FF3569">
        <w:trPr>
          <w:trHeight w:val="305"/>
        </w:trPr>
        <w:tc>
          <w:tcPr>
            <w:tcW w:w="4915" w:type="dxa"/>
            <w:vAlign w:val="center"/>
          </w:tcPr>
          <w:p w14:paraId="063450DE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Vratky dotací z finančního vypořádání</w:t>
            </w:r>
          </w:p>
        </w:tc>
        <w:tc>
          <w:tcPr>
            <w:tcW w:w="1352" w:type="dxa"/>
            <w:vAlign w:val="center"/>
          </w:tcPr>
          <w:p w14:paraId="200F1829" w14:textId="046F915E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9 064,</w:t>
            </w:r>
            <w:r w:rsidR="009B3C77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418" w:type="dxa"/>
            <w:vAlign w:val="center"/>
          </w:tcPr>
          <w:p w14:paraId="7E1EA99E" w14:textId="47287A98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1405" w:type="dxa"/>
            <w:vAlign w:val="center"/>
          </w:tcPr>
          <w:p w14:paraId="795E1299" w14:textId="4B51279F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9 064,</w:t>
            </w:r>
            <w:r w:rsidR="009B3C77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115BB8" w:rsidRPr="004920C6" w14:paraId="02B5E758" w14:textId="77777777" w:rsidTr="00FF3569">
        <w:trPr>
          <w:trHeight w:val="504"/>
        </w:trPr>
        <w:tc>
          <w:tcPr>
            <w:tcW w:w="4915" w:type="dxa"/>
            <w:vAlign w:val="center"/>
          </w:tcPr>
          <w:p w14:paraId="7755B9BB" w14:textId="446413C5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 xml:space="preserve">Přijatá refundace prostředků v rámci </w:t>
            </w:r>
            <w:r w:rsidRPr="005260D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  <w:lang w:eastAsia="cs-CZ"/>
              </w:rPr>
              <w:t>Národního plánu obnovy</w:t>
            </w: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 xml:space="preserve"> a</w:t>
            </w:r>
            <w:r w:rsidR="00C85974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 xml:space="preserve">oprava výnosů z titulu refundace (investiční část) </w:t>
            </w:r>
          </w:p>
        </w:tc>
        <w:tc>
          <w:tcPr>
            <w:tcW w:w="1352" w:type="dxa"/>
            <w:vAlign w:val="center"/>
          </w:tcPr>
          <w:p w14:paraId="2EC3325F" w14:textId="222D06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4 134,</w:t>
            </w:r>
            <w:r w:rsidR="009B3C77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418" w:type="dxa"/>
            <w:vAlign w:val="center"/>
          </w:tcPr>
          <w:p w14:paraId="11702EAC" w14:textId="4E5749ED" w:rsidR="00115BB8" w:rsidRPr="004920C6" w:rsidRDefault="00D92EF1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="00115BB8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4 565,</w:t>
            </w:r>
            <w:r w:rsidR="009B3C77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05" w:type="dxa"/>
            <w:vAlign w:val="center"/>
          </w:tcPr>
          <w:p w14:paraId="17BB2CE4" w14:textId="779699A1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8 699,4</w:t>
            </w:r>
          </w:p>
        </w:tc>
      </w:tr>
      <w:tr w:rsidR="00115BB8" w:rsidRPr="004920C6" w14:paraId="0EFECD60" w14:textId="77777777" w:rsidTr="00FF3569">
        <w:trPr>
          <w:trHeight w:val="305"/>
        </w:trPr>
        <w:tc>
          <w:tcPr>
            <w:tcW w:w="4915" w:type="dxa"/>
            <w:vAlign w:val="center"/>
          </w:tcPr>
          <w:p w14:paraId="1778DD82" w14:textId="05BBEF61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Oprava předpisu refundace z prostředků EU</w:t>
            </w:r>
          </w:p>
        </w:tc>
        <w:tc>
          <w:tcPr>
            <w:tcW w:w="1352" w:type="dxa"/>
            <w:vAlign w:val="center"/>
          </w:tcPr>
          <w:p w14:paraId="12D68319" w14:textId="6790B9E2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1418" w:type="dxa"/>
            <w:vAlign w:val="center"/>
          </w:tcPr>
          <w:p w14:paraId="4A700968" w14:textId="363811CE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5 544,0</w:t>
            </w:r>
          </w:p>
        </w:tc>
        <w:tc>
          <w:tcPr>
            <w:tcW w:w="1405" w:type="dxa"/>
            <w:vAlign w:val="center"/>
          </w:tcPr>
          <w:p w14:paraId="4725C4E1" w14:textId="15DB0D65" w:rsidR="00115BB8" w:rsidRPr="004920C6" w:rsidRDefault="00D92EF1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="00115BB8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5 544,0</w:t>
            </w:r>
          </w:p>
        </w:tc>
      </w:tr>
      <w:tr w:rsidR="00115BB8" w:rsidRPr="004920C6" w14:paraId="2074BD4B" w14:textId="77777777" w:rsidTr="00FF3569">
        <w:trPr>
          <w:trHeight w:val="305"/>
        </w:trPr>
        <w:tc>
          <w:tcPr>
            <w:tcW w:w="4915" w:type="dxa"/>
            <w:vAlign w:val="center"/>
          </w:tcPr>
          <w:p w14:paraId="601982FC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Příjem prostředků z žádosti o platbu a předpis refundace z prostředků EHP a Norska</w:t>
            </w:r>
          </w:p>
        </w:tc>
        <w:tc>
          <w:tcPr>
            <w:tcW w:w="1352" w:type="dxa"/>
            <w:vAlign w:val="center"/>
          </w:tcPr>
          <w:p w14:paraId="4DC2F6B5" w14:textId="500F9FFF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580,</w:t>
            </w:r>
            <w:r w:rsidR="009B3C77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418" w:type="dxa"/>
            <w:vAlign w:val="center"/>
          </w:tcPr>
          <w:p w14:paraId="4B7F4C94" w14:textId="0279E21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252,6</w:t>
            </w:r>
          </w:p>
        </w:tc>
        <w:tc>
          <w:tcPr>
            <w:tcW w:w="1405" w:type="dxa"/>
            <w:vAlign w:val="center"/>
          </w:tcPr>
          <w:p w14:paraId="6DA9A6E6" w14:textId="1874DB8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327,</w:t>
            </w:r>
            <w:r w:rsidR="009B3C77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115BB8" w:rsidRPr="004920C6" w14:paraId="6EABA7EA" w14:textId="77777777" w:rsidTr="00FF3569">
        <w:trPr>
          <w:trHeight w:val="305"/>
        </w:trPr>
        <w:tc>
          <w:tcPr>
            <w:tcW w:w="4915" w:type="dxa"/>
            <w:vAlign w:val="center"/>
          </w:tcPr>
          <w:p w14:paraId="398EA3EA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Ostatní</w:t>
            </w:r>
          </w:p>
        </w:tc>
        <w:tc>
          <w:tcPr>
            <w:tcW w:w="1352" w:type="dxa"/>
            <w:vAlign w:val="center"/>
          </w:tcPr>
          <w:p w14:paraId="30330E4B" w14:textId="5616908D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174,9</w:t>
            </w:r>
          </w:p>
        </w:tc>
        <w:tc>
          <w:tcPr>
            <w:tcW w:w="1418" w:type="dxa"/>
            <w:vAlign w:val="center"/>
          </w:tcPr>
          <w:p w14:paraId="31B81542" w14:textId="3AB44824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109,6</w:t>
            </w:r>
          </w:p>
        </w:tc>
        <w:tc>
          <w:tcPr>
            <w:tcW w:w="1405" w:type="dxa"/>
            <w:vAlign w:val="center"/>
          </w:tcPr>
          <w:p w14:paraId="7E145FC9" w14:textId="31405B8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65,3</w:t>
            </w:r>
          </w:p>
        </w:tc>
      </w:tr>
      <w:tr w:rsidR="00115BB8" w:rsidRPr="004920C6" w14:paraId="603007E2" w14:textId="77777777" w:rsidTr="00FF3569">
        <w:trPr>
          <w:trHeight w:val="305"/>
        </w:trPr>
        <w:tc>
          <w:tcPr>
            <w:tcW w:w="7685" w:type="dxa"/>
            <w:gridSpan w:val="3"/>
            <w:shd w:val="clear" w:color="auto" w:fill="DCA8B3"/>
            <w:vAlign w:val="center"/>
          </w:tcPr>
          <w:p w14:paraId="4A55ACA0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Rozdíl mezi příjmy a výnosy za významné operace celkem</w:t>
            </w:r>
          </w:p>
        </w:tc>
        <w:tc>
          <w:tcPr>
            <w:tcW w:w="1405" w:type="dxa"/>
            <w:shd w:val="clear" w:color="auto" w:fill="DCA8B3"/>
            <w:vAlign w:val="center"/>
          </w:tcPr>
          <w:p w14:paraId="53CC5043" w14:textId="7F38375E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12 612,</w:t>
            </w:r>
            <w:r w:rsidR="009B3C77"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115BB8" w:rsidRPr="004920C6" w14:paraId="216A043D" w14:textId="77777777" w:rsidTr="00055879">
        <w:trPr>
          <w:trHeight w:val="305"/>
        </w:trPr>
        <w:tc>
          <w:tcPr>
            <w:tcW w:w="9090" w:type="dxa"/>
            <w:gridSpan w:val="4"/>
            <w:shd w:val="clear" w:color="auto" w:fill="E6E6E6"/>
            <w:vAlign w:val="center"/>
          </w:tcPr>
          <w:p w14:paraId="2DAB585F" w14:textId="7BC85A51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Účetní operace způsobující rozdíl mezi výdaji a náklady</w:t>
            </w:r>
            <w:r w:rsidR="009B3C77" w:rsidRPr="004920C6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ootnoteReference w:id="33"/>
            </w:r>
          </w:p>
        </w:tc>
      </w:tr>
      <w:tr w:rsidR="00115BB8" w:rsidRPr="004920C6" w14:paraId="78E0E1BC" w14:textId="77777777" w:rsidTr="00055879">
        <w:trPr>
          <w:trHeight w:val="305"/>
        </w:trPr>
        <w:tc>
          <w:tcPr>
            <w:tcW w:w="4915" w:type="dxa"/>
            <w:shd w:val="clear" w:color="auto" w:fill="E6E6E6"/>
            <w:vAlign w:val="center"/>
          </w:tcPr>
          <w:p w14:paraId="7B3155D3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Účetní operace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2EB66C4D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Vliv na výdaje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27658823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Vliv na náklady</w:t>
            </w:r>
          </w:p>
        </w:tc>
        <w:tc>
          <w:tcPr>
            <w:tcW w:w="1405" w:type="dxa"/>
            <w:shd w:val="clear" w:color="auto" w:fill="E6E6E6"/>
            <w:vAlign w:val="center"/>
          </w:tcPr>
          <w:p w14:paraId="7D246919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Rozdíl</w:t>
            </w:r>
          </w:p>
        </w:tc>
      </w:tr>
      <w:tr w:rsidR="00115BB8" w:rsidRPr="004920C6" w14:paraId="0C2B2D6B" w14:textId="77777777" w:rsidTr="00FF3569">
        <w:trPr>
          <w:trHeight w:val="305"/>
        </w:trPr>
        <w:tc>
          <w:tcPr>
            <w:tcW w:w="4915" w:type="dxa"/>
            <w:vAlign w:val="center"/>
          </w:tcPr>
          <w:p w14:paraId="6640DAA9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Navýšení církevních náhrad o inflaci</w:t>
            </w:r>
          </w:p>
        </w:tc>
        <w:tc>
          <w:tcPr>
            <w:tcW w:w="1352" w:type="dxa"/>
            <w:vAlign w:val="center"/>
          </w:tcPr>
          <w:p w14:paraId="61117EDA" w14:textId="2AB10178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1418" w:type="dxa"/>
            <w:vAlign w:val="center"/>
          </w:tcPr>
          <w:p w14:paraId="773C5BE4" w14:textId="3972E143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6 880 229,</w:t>
            </w:r>
            <w:r w:rsidR="009B3C77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405" w:type="dxa"/>
            <w:vAlign w:val="center"/>
          </w:tcPr>
          <w:p w14:paraId="619E2CD7" w14:textId="0F9D952A" w:rsidR="00115BB8" w:rsidRPr="004920C6" w:rsidRDefault="00D92EF1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="00115BB8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6 880 229,</w:t>
            </w:r>
            <w:r w:rsidR="009B3C77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115BB8" w:rsidRPr="004920C6" w14:paraId="61FDC4A3" w14:textId="77777777" w:rsidTr="00FF3569">
        <w:trPr>
          <w:trHeight w:val="305"/>
        </w:trPr>
        <w:tc>
          <w:tcPr>
            <w:tcW w:w="4915" w:type="dxa"/>
            <w:vAlign w:val="center"/>
          </w:tcPr>
          <w:p w14:paraId="6F7A1844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Vyplacené náhrady církvím</w:t>
            </w:r>
          </w:p>
        </w:tc>
        <w:tc>
          <w:tcPr>
            <w:tcW w:w="1352" w:type="dxa"/>
            <w:vAlign w:val="center"/>
          </w:tcPr>
          <w:p w14:paraId="3A01E3F6" w14:textId="23FD119E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2 760 245,</w:t>
            </w:r>
            <w:r w:rsidR="009B3C77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418" w:type="dxa"/>
            <w:vAlign w:val="center"/>
          </w:tcPr>
          <w:p w14:paraId="75932690" w14:textId="3E998DF3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1405" w:type="dxa"/>
            <w:vAlign w:val="center"/>
          </w:tcPr>
          <w:p w14:paraId="293B461E" w14:textId="78F0512D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2 760 245,</w:t>
            </w:r>
            <w:r w:rsidR="009B3C77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115BB8" w:rsidRPr="004920C6" w14:paraId="19866C9A" w14:textId="77777777" w:rsidTr="00FF3569">
        <w:trPr>
          <w:trHeight w:val="305"/>
        </w:trPr>
        <w:tc>
          <w:tcPr>
            <w:tcW w:w="4915" w:type="dxa"/>
            <w:vAlign w:val="center"/>
          </w:tcPr>
          <w:p w14:paraId="5F6D95F4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Investiční dotace pro PO</w:t>
            </w:r>
          </w:p>
        </w:tc>
        <w:tc>
          <w:tcPr>
            <w:tcW w:w="1352" w:type="dxa"/>
            <w:vAlign w:val="center"/>
          </w:tcPr>
          <w:p w14:paraId="0A1E8B55" w14:textId="366719F2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836 683,4</w:t>
            </w:r>
          </w:p>
        </w:tc>
        <w:tc>
          <w:tcPr>
            <w:tcW w:w="1418" w:type="dxa"/>
            <w:vAlign w:val="center"/>
          </w:tcPr>
          <w:p w14:paraId="50D3FF9D" w14:textId="2C5B275E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1405" w:type="dxa"/>
            <w:vAlign w:val="center"/>
          </w:tcPr>
          <w:p w14:paraId="70020BAA" w14:textId="4001FB71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836 683,4</w:t>
            </w:r>
          </w:p>
        </w:tc>
      </w:tr>
      <w:tr w:rsidR="00115BB8" w:rsidRPr="004920C6" w14:paraId="503B27EC" w14:textId="77777777" w:rsidTr="00FF3569">
        <w:trPr>
          <w:trHeight w:val="305"/>
        </w:trPr>
        <w:tc>
          <w:tcPr>
            <w:tcW w:w="4915" w:type="dxa"/>
            <w:vAlign w:val="center"/>
          </w:tcPr>
          <w:p w14:paraId="5500FC87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Tvorba rezerv</w:t>
            </w:r>
          </w:p>
        </w:tc>
        <w:tc>
          <w:tcPr>
            <w:tcW w:w="1352" w:type="dxa"/>
            <w:vAlign w:val="center"/>
          </w:tcPr>
          <w:p w14:paraId="21E4A3CE" w14:textId="27180408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1418" w:type="dxa"/>
            <w:vAlign w:val="center"/>
          </w:tcPr>
          <w:p w14:paraId="5B6CEABA" w14:textId="5F5F628C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83 332,2</w:t>
            </w:r>
          </w:p>
        </w:tc>
        <w:tc>
          <w:tcPr>
            <w:tcW w:w="1405" w:type="dxa"/>
            <w:vAlign w:val="center"/>
          </w:tcPr>
          <w:p w14:paraId="7C75DA0D" w14:textId="2B702BF3" w:rsidR="00115BB8" w:rsidRPr="004920C6" w:rsidRDefault="00D92EF1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="00115BB8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83 332,2</w:t>
            </w:r>
          </w:p>
        </w:tc>
      </w:tr>
      <w:tr w:rsidR="00115BB8" w:rsidRPr="004920C6" w14:paraId="2FEC7C0B" w14:textId="77777777" w:rsidTr="00FF3569">
        <w:trPr>
          <w:trHeight w:val="305"/>
        </w:trPr>
        <w:tc>
          <w:tcPr>
            <w:tcW w:w="4915" w:type="dxa"/>
            <w:vAlign w:val="center"/>
          </w:tcPr>
          <w:p w14:paraId="087764AD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Vratky dotací z finančního vypořádání (převod z účtu cizích prostředků)</w:t>
            </w:r>
          </w:p>
        </w:tc>
        <w:tc>
          <w:tcPr>
            <w:tcW w:w="1352" w:type="dxa"/>
            <w:vAlign w:val="center"/>
          </w:tcPr>
          <w:p w14:paraId="675DEF73" w14:textId="6A85F3E6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30 788,1</w:t>
            </w:r>
          </w:p>
        </w:tc>
        <w:tc>
          <w:tcPr>
            <w:tcW w:w="1418" w:type="dxa"/>
            <w:vAlign w:val="center"/>
          </w:tcPr>
          <w:p w14:paraId="19B80E3C" w14:textId="2FEAB59E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1405" w:type="dxa"/>
            <w:vAlign w:val="center"/>
          </w:tcPr>
          <w:p w14:paraId="4506C626" w14:textId="5A4639ED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30 788,1</w:t>
            </w:r>
          </w:p>
        </w:tc>
      </w:tr>
      <w:tr w:rsidR="00115BB8" w:rsidRPr="004920C6" w14:paraId="048C1BD8" w14:textId="77777777" w:rsidTr="00FF3569">
        <w:trPr>
          <w:trHeight w:val="305"/>
        </w:trPr>
        <w:tc>
          <w:tcPr>
            <w:tcW w:w="4915" w:type="dxa"/>
            <w:vAlign w:val="center"/>
          </w:tcPr>
          <w:p w14:paraId="1E5F7C7A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Odpisy dlouhodobého majetku</w:t>
            </w:r>
          </w:p>
        </w:tc>
        <w:tc>
          <w:tcPr>
            <w:tcW w:w="1352" w:type="dxa"/>
            <w:vAlign w:val="center"/>
          </w:tcPr>
          <w:p w14:paraId="50371CED" w14:textId="53291688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1418" w:type="dxa"/>
            <w:vAlign w:val="center"/>
          </w:tcPr>
          <w:p w14:paraId="6D5D8A4F" w14:textId="06E52406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28 891,</w:t>
            </w:r>
            <w:r w:rsidR="009B3C77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405" w:type="dxa"/>
            <w:vAlign w:val="center"/>
          </w:tcPr>
          <w:p w14:paraId="388FED37" w14:textId="0952CBE4" w:rsidR="00115BB8" w:rsidRPr="004920C6" w:rsidRDefault="00D92EF1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="00115BB8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28 891,</w:t>
            </w:r>
            <w:r w:rsidR="009B3C77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115BB8" w:rsidRPr="004920C6" w14:paraId="57E231B0" w14:textId="77777777" w:rsidTr="00FF3569">
        <w:trPr>
          <w:trHeight w:val="305"/>
        </w:trPr>
        <w:tc>
          <w:tcPr>
            <w:tcW w:w="4915" w:type="dxa"/>
            <w:vAlign w:val="center"/>
          </w:tcPr>
          <w:p w14:paraId="0E14DE2D" w14:textId="78D6B3E8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Odvod M</w:t>
            </w:r>
            <w:r w:rsidR="001D2D69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 xml:space="preserve">inisterstvu </w:t>
            </w:r>
            <w:r w:rsidR="003E4488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financí – vypořádání</w:t>
            </w: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 xml:space="preserve"> se státním rozpočtem</w:t>
            </w:r>
          </w:p>
        </w:tc>
        <w:tc>
          <w:tcPr>
            <w:tcW w:w="1352" w:type="dxa"/>
            <w:vAlign w:val="center"/>
          </w:tcPr>
          <w:p w14:paraId="519C1A5F" w14:textId="5417376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20 822,5</w:t>
            </w:r>
          </w:p>
        </w:tc>
        <w:tc>
          <w:tcPr>
            <w:tcW w:w="1418" w:type="dxa"/>
            <w:vAlign w:val="center"/>
          </w:tcPr>
          <w:p w14:paraId="6CAC86ED" w14:textId="19B543A9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1405" w:type="dxa"/>
            <w:vAlign w:val="center"/>
          </w:tcPr>
          <w:p w14:paraId="31C118D3" w14:textId="59F16AAF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20 822,5</w:t>
            </w:r>
          </w:p>
        </w:tc>
      </w:tr>
      <w:tr w:rsidR="00115BB8" w:rsidRPr="004920C6" w14:paraId="4F679028" w14:textId="77777777" w:rsidTr="00FF3569">
        <w:trPr>
          <w:trHeight w:val="305"/>
        </w:trPr>
        <w:tc>
          <w:tcPr>
            <w:tcW w:w="4915" w:type="dxa"/>
            <w:vAlign w:val="center"/>
          </w:tcPr>
          <w:p w14:paraId="1B992161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Odvod za nezaměstnávání osob se změněnou pracovní schopností</w:t>
            </w:r>
          </w:p>
        </w:tc>
        <w:tc>
          <w:tcPr>
            <w:tcW w:w="1352" w:type="dxa"/>
            <w:vAlign w:val="center"/>
          </w:tcPr>
          <w:p w14:paraId="5CA2440D" w14:textId="1D968F92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1418" w:type="dxa"/>
            <w:vAlign w:val="center"/>
          </w:tcPr>
          <w:p w14:paraId="5819A14E" w14:textId="4864AFA9" w:rsidR="00115BB8" w:rsidRPr="004920C6" w:rsidRDefault="00D92EF1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="00115BB8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740,</w:t>
            </w:r>
            <w:r w:rsidR="009B3C77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405" w:type="dxa"/>
            <w:vAlign w:val="center"/>
          </w:tcPr>
          <w:p w14:paraId="6A4E0D77" w14:textId="00AD338E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740,</w:t>
            </w:r>
            <w:r w:rsidR="009B3C77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115BB8" w:rsidRPr="004920C6" w14:paraId="6C79387C" w14:textId="77777777" w:rsidTr="00FF3569">
        <w:trPr>
          <w:trHeight w:val="305"/>
        </w:trPr>
        <w:tc>
          <w:tcPr>
            <w:tcW w:w="4915" w:type="dxa"/>
            <w:vAlign w:val="center"/>
          </w:tcPr>
          <w:p w14:paraId="53122705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Ostatní</w:t>
            </w:r>
          </w:p>
        </w:tc>
        <w:tc>
          <w:tcPr>
            <w:tcW w:w="1352" w:type="dxa"/>
            <w:vAlign w:val="center"/>
          </w:tcPr>
          <w:p w14:paraId="7A6FD882" w14:textId="0F9F751A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1418" w:type="dxa"/>
            <w:vAlign w:val="center"/>
          </w:tcPr>
          <w:p w14:paraId="2FD1F06F" w14:textId="59B3CB52" w:rsidR="00115BB8" w:rsidRPr="004920C6" w:rsidRDefault="00D92EF1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="00115BB8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389,</w:t>
            </w:r>
            <w:r w:rsidR="009B3C77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05" w:type="dxa"/>
            <w:vAlign w:val="center"/>
          </w:tcPr>
          <w:p w14:paraId="240199E2" w14:textId="2C7AEC26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389,</w:t>
            </w:r>
            <w:r w:rsidR="009B3C77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115BB8" w:rsidRPr="004920C6" w14:paraId="2AEF5F20" w14:textId="77777777" w:rsidTr="00FF3569">
        <w:trPr>
          <w:trHeight w:val="305"/>
        </w:trPr>
        <w:tc>
          <w:tcPr>
            <w:tcW w:w="4915" w:type="dxa"/>
            <w:vAlign w:val="center"/>
          </w:tcPr>
          <w:p w14:paraId="0178CE88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Opravné položky k pohledávkám</w:t>
            </w:r>
          </w:p>
        </w:tc>
        <w:tc>
          <w:tcPr>
            <w:tcW w:w="1352" w:type="dxa"/>
            <w:vAlign w:val="center"/>
          </w:tcPr>
          <w:p w14:paraId="1297F706" w14:textId="02C22A93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1418" w:type="dxa"/>
            <w:vAlign w:val="center"/>
          </w:tcPr>
          <w:p w14:paraId="6AEC5CD2" w14:textId="618BFC54" w:rsidR="00115BB8" w:rsidRPr="004920C6" w:rsidRDefault="00D92EF1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−</w:t>
            </w:r>
            <w:r w:rsidR="00115BB8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17,</w:t>
            </w:r>
            <w:r w:rsidR="009B3C77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405" w:type="dxa"/>
            <w:vAlign w:val="center"/>
          </w:tcPr>
          <w:p w14:paraId="08B1E01D" w14:textId="57155370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17,</w:t>
            </w:r>
            <w:r w:rsidR="009B3C77" w:rsidRPr="004920C6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115BB8" w:rsidRPr="004920C6" w14:paraId="2C6FCCC9" w14:textId="77777777" w:rsidTr="00FF3569">
        <w:trPr>
          <w:trHeight w:val="305"/>
        </w:trPr>
        <w:tc>
          <w:tcPr>
            <w:tcW w:w="7685" w:type="dxa"/>
            <w:gridSpan w:val="3"/>
            <w:shd w:val="clear" w:color="auto" w:fill="DCA8B3"/>
            <w:vAlign w:val="center"/>
          </w:tcPr>
          <w:p w14:paraId="3C211702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Rozdíl mezi výdaji a náklady za významné operace celkem</w:t>
            </w:r>
          </w:p>
        </w:tc>
        <w:tc>
          <w:tcPr>
            <w:tcW w:w="1405" w:type="dxa"/>
            <w:shd w:val="clear" w:color="auto" w:fill="DCA8B3"/>
            <w:vAlign w:val="center"/>
          </w:tcPr>
          <w:p w14:paraId="5C7C6D09" w14:textId="525BFFCD" w:rsidR="00115BB8" w:rsidRPr="004920C6" w:rsidRDefault="000B312D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(</w:t>
            </w:r>
            <w:r w:rsidR="00D92EF1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−</w:t>
            </w:r>
            <w:r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  <w:r w:rsidR="00115BB8"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3 342 766,</w:t>
            </w:r>
            <w:r w:rsidR="009B3C77"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115BB8" w:rsidRPr="004920C6" w14:paraId="3494E9F9" w14:textId="77777777" w:rsidTr="00FF3569">
        <w:trPr>
          <w:trHeight w:val="305"/>
        </w:trPr>
        <w:tc>
          <w:tcPr>
            <w:tcW w:w="7685" w:type="dxa"/>
            <w:gridSpan w:val="3"/>
            <w:shd w:val="clear" w:color="auto" w:fill="DCA8B3"/>
            <w:vAlign w:val="center"/>
          </w:tcPr>
          <w:p w14:paraId="580FFEAE" w14:textId="77777777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Rozdíl mezi saldem peněžních toků a výsledkem hospodaření MK za významné operace celkem</w:t>
            </w:r>
          </w:p>
        </w:tc>
        <w:tc>
          <w:tcPr>
            <w:tcW w:w="1405" w:type="dxa"/>
            <w:shd w:val="clear" w:color="auto" w:fill="DCA8B3"/>
            <w:vAlign w:val="center"/>
          </w:tcPr>
          <w:p w14:paraId="78AA33DF" w14:textId="42C0C895" w:rsidR="00115BB8" w:rsidRPr="004920C6" w:rsidRDefault="00115BB8" w:rsidP="00115B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3 355 379,4</w:t>
            </w:r>
          </w:p>
        </w:tc>
      </w:tr>
    </w:tbl>
    <w:p w14:paraId="68D80322" w14:textId="4A069F27" w:rsidR="009B3C77" w:rsidRPr="004920C6" w:rsidRDefault="009B3C77" w:rsidP="009B3C77">
      <w:pPr>
        <w:widowControl w:val="0"/>
        <w:spacing w:after="0"/>
        <w:jc w:val="both"/>
        <w:rPr>
          <w:rFonts w:cs="Arial"/>
          <w:bCs/>
          <w:sz w:val="20"/>
          <w:szCs w:val="20"/>
        </w:rPr>
      </w:pPr>
      <w:r w:rsidRPr="004920C6">
        <w:rPr>
          <w:rFonts w:cs="Arial"/>
          <w:b/>
          <w:sz w:val="20"/>
          <w:szCs w:val="20"/>
        </w:rPr>
        <w:t>Zdroj: </w:t>
      </w:r>
      <w:r w:rsidRPr="004920C6">
        <w:rPr>
          <w:rFonts w:cs="Arial"/>
          <w:bCs/>
          <w:sz w:val="20"/>
          <w:szCs w:val="20"/>
        </w:rPr>
        <w:t>účetní deník MK; vypracoval NKÚ.</w:t>
      </w:r>
    </w:p>
    <w:p w14:paraId="37C9A276" w14:textId="1B77E685" w:rsidR="00875ABD" w:rsidRPr="004920C6" w:rsidRDefault="00D32CEF" w:rsidP="000B312D">
      <w:pPr>
        <w:widowControl w:val="0"/>
        <w:spacing w:before="240" w:after="0"/>
        <w:jc w:val="both"/>
        <w:rPr>
          <w:rFonts w:cs="Arial"/>
          <w:bCs/>
        </w:rPr>
      </w:pPr>
      <w:r w:rsidRPr="004920C6">
        <w:rPr>
          <w:rFonts w:cs="Arial"/>
          <w:bCs/>
        </w:rPr>
        <w:t>K</w:t>
      </w:r>
      <w:r w:rsidR="00875ABD" w:rsidRPr="004920C6">
        <w:rPr>
          <w:rFonts w:cs="Arial"/>
          <w:bCs/>
        </w:rPr>
        <w:t>ontrolou bylo ověřeno, že údaje o plnění rozpočtu a peněžních tocích se promítly správně v</w:t>
      </w:r>
      <w:r w:rsidR="000B312D" w:rsidRPr="004920C6">
        <w:rPr>
          <w:rFonts w:cs="Arial"/>
          <w:bCs/>
        </w:rPr>
        <w:t> </w:t>
      </w:r>
      <w:r w:rsidR="00875ABD" w:rsidRPr="004920C6">
        <w:rPr>
          <w:rFonts w:cs="Arial"/>
          <w:bCs/>
        </w:rPr>
        <w:t>účetnictví</w:t>
      </w:r>
      <w:r w:rsidR="000B312D" w:rsidRPr="004920C6">
        <w:rPr>
          <w:rFonts w:cs="Arial"/>
          <w:bCs/>
        </w:rPr>
        <w:t xml:space="preserve"> MK</w:t>
      </w:r>
      <w:r w:rsidR="00875ABD" w:rsidRPr="004920C6">
        <w:rPr>
          <w:rFonts w:cs="Arial"/>
          <w:bCs/>
        </w:rPr>
        <w:t xml:space="preserve"> a rozdíly mezi</w:t>
      </w:r>
      <w:r w:rsidR="00215A87" w:rsidRPr="004920C6">
        <w:rPr>
          <w:rFonts w:cs="Arial"/>
          <w:bCs/>
        </w:rPr>
        <w:t xml:space="preserve"> příjmy a výnosy a výdaji a náklady </w:t>
      </w:r>
      <w:r w:rsidR="00875ABD" w:rsidRPr="004920C6">
        <w:rPr>
          <w:rFonts w:cs="Arial"/>
          <w:bCs/>
        </w:rPr>
        <w:t>byly vysvětlitelné.</w:t>
      </w:r>
    </w:p>
    <w:p w14:paraId="4D6A4F39" w14:textId="77777777" w:rsidR="00BB1E9D" w:rsidRPr="004920C6" w:rsidRDefault="00BB1E9D">
      <w:pPr>
        <w:spacing w:after="160" w:line="259" w:lineRule="auto"/>
        <w:rPr>
          <w:rFonts w:cs="Arial"/>
          <w:bCs/>
        </w:rPr>
      </w:pPr>
      <w:r w:rsidRPr="004920C6">
        <w:rPr>
          <w:rFonts w:cs="Arial"/>
          <w:bCs/>
        </w:rPr>
        <w:br w:type="page"/>
      </w:r>
    </w:p>
    <w:p w14:paraId="026E2D0E" w14:textId="77777777" w:rsidR="00CB2DAF" w:rsidRPr="004920C6" w:rsidRDefault="00CB2DAF" w:rsidP="001910D6">
      <w:pPr>
        <w:pStyle w:val="Zhlav"/>
        <w:jc w:val="right"/>
        <w:rPr>
          <w:b/>
        </w:rPr>
      </w:pPr>
      <w:bookmarkStart w:id="13" w:name="_Hlk135727300"/>
      <w:bookmarkStart w:id="14" w:name="_Hlk77770840"/>
      <w:r w:rsidRPr="004920C6">
        <w:rPr>
          <w:b/>
        </w:rPr>
        <w:lastRenderedPageBreak/>
        <w:t>Příloha č. 2</w:t>
      </w:r>
    </w:p>
    <w:p w14:paraId="52356CD8" w14:textId="27B31274" w:rsidR="00586CDC" w:rsidRPr="004920C6" w:rsidRDefault="00586CDC" w:rsidP="00310275">
      <w:pPr>
        <w:pStyle w:val="Styl2"/>
        <w:numPr>
          <w:ilvl w:val="0"/>
          <w:numId w:val="0"/>
        </w:numPr>
        <w:spacing w:before="240" w:after="120"/>
      </w:pPr>
      <w:bookmarkStart w:id="15" w:name="_Toc130977935"/>
      <w:bookmarkEnd w:id="13"/>
      <w:r w:rsidRPr="004920C6">
        <w:t>Informace vykazované na podrozvahových účtech</w:t>
      </w:r>
      <w:bookmarkEnd w:id="15"/>
      <w:r w:rsidRPr="004920C6">
        <w:t xml:space="preserve"> </w:t>
      </w:r>
    </w:p>
    <w:p w14:paraId="669D6FCF" w14:textId="77777777" w:rsidR="00543283" w:rsidRPr="004920C6" w:rsidRDefault="00586CDC" w:rsidP="00CB2DAF">
      <w:pPr>
        <w:spacing w:before="120"/>
        <w:jc w:val="both"/>
        <w:rPr>
          <w:rFonts w:cs="Calibri"/>
        </w:rPr>
      </w:pPr>
      <w:r w:rsidRPr="004920C6">
        <w:rPr>
          <w:rFonts w:cs="Calibri"/>
        </w:rPr>
        <w:t>Na podrozvahových účtech se účtuje o skutečnostech, o nichž se neúčtuje na rozvahových účtech. Jedná se o tzv. podmíněné pohledávky, podmíněné závazky a další podrozvahová aktiva a pasiva, která souvis</w:t>
      </w:r>
      <w:r w:rsidR="002B5D39" w:rsidRPr="004920C6">
        <w:rPr>
          <w:rFonts w:cs="Calibri"/>
        </w:rPr>
        <w:t>ej</w:t>
      </w:r>
      <w:r w:rsidRPr="004920C6">
        <w:rPr>
          <w:rFonts w:cs="Calibri"/>
        </w:rPr>
        <w:t>í s budoucím přírůstkem nebo úbytkem majetku nebo jiného aktiva, závazku nebo jiného pasiva, ke kterému může dojít na základě stanovené podmínky</w:t>
      </w:r>
      <w:r w:rsidR="00D560F5" w:rsidRPr="004920C6">
        <w:rPr>
          <w:rFonts w:cs="Calibri"/>
        </w:rPr>
        <w:t>/</w:t>
      </w:r>
      <w:r w:rsidRPr="004920C6">
        <w:rPr>
          <w:rFonts w:cs="Calibri"/>
        </w:rPr>
        <w:t>podmínek.</w:t>
      </w:r>
    </w:p>
    <w:p w14:paraId="47F4728F" w14:textId="12DF95BB" w:rsidR="005973D9" w:rsidRPr="004920C6" w:rsidRDefault="006B51FA" w:rsidP="00CB2DAF">
      <w:pPr>
        <w:spacing w:before="120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bCs/>
        </w:rPr>
        <w:t>Postupné zavádění podrozvahových účtů probíhalo u MK zejména od roku 2023, přičemž oproti minulé kontrolní akci NKÚ č. 19/03 lze spatřovat značný posun ve vykazování podrozvahových skutečností u MK</w:t>
      </w:r>
      <w:r w:rsidR="00F129FF" w:rsidRPr="004920C6">
        <w:rPr>
          <w:rStyle w:val="Znakapoznpodarou"/>
          <w:rFonts w:asciiTheme="minorHAnsi" w:hAnsiTheme="minorHAnsi" w:cstheme="minorHAnsi"/>
          <w:bCs/>
        </w:rPr>
        <w:footnoteReference w:id="34"/>
      </w:r>
      <w:r w:rsidRPr="004920C6">
        <w:rPr>
          <w:rFonts w:asciiTheme="minorHAnsi" w:hAnsiTheme="minorHAnsi" w:cstheme="minorHAnsi"/>
          <w:bCs/>
        </w:rPr>
        <w:t>.</w:t>
      </w:r>
      <w:r w:rsidR="00E12391" w:rsidRPr="004920C6">
        <w:rPr>
          <w:rFonts w:asciiTheme="minorHAnsi" w:hAnsiTheme="minorHAnsi" w:cstheme="minorHAnsi"/>
          <w:bCs/>
        </w:rPr>
        <w:t xml:space="preserve"> </w:t>
      </w:r>
    </w:p>
    <w:p w14:paraId="2BD51837" w14:textId="74BF2199" w:rsidR="006B51FA" w:rsidRPr="004920C6" w:rsidRDefault="006B51FA" w:rsidP="00CB2DAF">
      <w:pPr>
        <w:spacing w:before="120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bCs/>
        </w:rPr>
        <w:t>Kontrola NKÚ zjistila v oblasti podrozvahových účtů některé systémové nedostatky, z nichž zejména jeden by vedl ke</w:t>
      </w:r>
      <w:r w:rsidR="00D92EF1">
        <w:rPr>
          <w:rFonts w:asciiTheme="minorHAnsi" w:hAnsiTheme="minorHAnsi" w:cstheme="minorHAnsi"/>
          <w:bCs/>
        </w:rPr>
        <w:t xml:space="preserve"> </w:t>
      </w:r>
      <w:r w:rsidRPr="004920C6">
        <w:rPr>
          <w:rFonts w:asciiTheme="minorHAnsi" w:hAnsiTheme="minorHAnsi" w:cstheme="minorHAnsi"/>
          <w:bCs/>
        </w:rPr>
        <w:t>zkreslení vypovídací schopnosti přílohy ÚZ, pokud by nebyl opraven. Tento nedostatek spočíval v</w:t>
      </w:r>
      <w:r w:rsidR="00D92EF1">
        <w:rPr>
          <w:rFonts w:asciiTheme="minorHAnsi" w:hAnsiTheme="minorHAnsi" w:cstheme="minorHAnsi"/>
          <w:bCs/>
        </w:rPr>
        <w:t xml:space="preserve"> </w:t>
      </w:r>
      <w:r w:rsidRPr="004920C6">
        <w:rPr>
          <w:rFonts w:asciiTheme="minorHAnsi" w:hAnsiTheme="minorHAnsi" w:cstheme="minorHAnsi"/>
          <w:bCs/>
        </w:rPr>
        <w:t>dlouhodobém nevykazování podmíněných závazků z</w:t>
      </w:r>
      <w:r w:rsidR="00D92EF1">
        <w:rPr>
          <w:rFonts w:asciiTheme="minorHAnsi" w:hAnsiTheme="minorHAnsi" w:cstheme="minorHAnsi"/>
          <w:bCs/>
        </w:rPr>
        <w:t xml:space="preserve"> </w:t>
      </w:r>
      <w:r w:rsidRPr="004920C6">
        <w:rPr>
          <w:rFonts w:asciiTheme="minorHAnsi" w:hAnsiTheme="minorHAnsi" w:cstheme="minorHAnsi"/>
          <w:bCs/>
        </w:rPr>
        <w:t>titulu vydaných rozhodnutí o</w:t>
      </w:r>
      <w:r w:rsidR="00D92EF1">
        <w:rPr>
          <w:rFonts w:asciiTheme="minorHAnsi" w:hAnsiTheme="minorHAnsi" w:cstheme="minorHAnsi"/>
          <w:bCs/>
        </w:rPr>
        <w:t xml:space="preserve"> </w:t>
      </w:r>
      <w:r w:rsidRPr="004920C6">
        <w:rPr>
          <w:rFonts w:asciiTheme="minorHAnsi" w:hAnsiTheme="minorHAnsi" w:cstheme="minorHAnsi"/>
          <w:bCs/>
        </w:rPr>
        <w:t>poskytnutí podpory u</w:t>
      </w:r>
      <w:r w:rsidR="00D92EF1">
        <w:rPr>
          <w:rFonts w:asciiTheme="minorHAnsi" w:hAnsiTheme="minorHAnsi" w:cstheme="minorHAnsi"/>
          <w:bCs/>
        </w:rPr>
        <w:t xml:space="preserve"> </w:t>
      </w:r>
      <w:r w:rsidRPr="004920C6">
        <w:rPr>
          <w:rFonts w:asciiTheme="minorHAnsi" w:hAnsiTheme="minorHAnsi" w:cstheme="minorHAnsi"/>
          <w:bCs/>
        </w:rPr>
        <w:t>národních dotací; k</w:t>
      </w:r>
      <w:r w:rsidR="00D92EF1">
        <w:rPr>
          <w:rFonts w:asciiTheme="minorHAnsi" w:hAnsiTheme="minorHAnsi" w:cstheme="minorHAnsi"/>
          <w:bCs/>
        </w:rPr>
        <w:t xml:space="preserve"> </w:t>
      </w:r>
      <w:r w:rsidRPr="004920C6">
        <w:rPr>
          <w:rFonts w:asciiTheme="minorHAnsi" w:hAnsiTheme="minorHAnsi" w:cstheme="minorHAnsi"/>
          <w:bCs/>
        </w:rPr>
        <w:t>31. prosinci 2024 ve významné výši. MK provedlo v účetním období roku 2024 opravu a k 31. prosinci 2024 příslušné podmíněné závazky vykázalo.</w:t>
      </w:r>
    </w:p>
    <w:p w14:paraId="0F66D2D1" w14:textId="6378DE1F" w:rsidR="00380A10" w:rsidRPr="004920C6" w:rsidRDefault="00380A10" w:rsidP="00380A10">
      <w:pPr>
        <w:pStyle w:val="Normln0"/>
        <w:spacing w:after="120"/>
        <w:jc w:val="both"/>
        <w:rPr>
          <w:rFonts w:asciiTheme="minorHAnsi" w:hAnsiTheme="minorHAnsi" w:cstheme="minorHAnsi"/>
          <w:szCs w:val="24"/>
        </w:rPr>
      </w:pPr>
      <w:r w:rsidRPr="004920C6">
        <w:rPr>
          <w:rFonts w:asciiTheme="minorHAnsi" w:hAnsiTheme="minorHAnsi" w:cstheme="minorHAnsi"/>
          <w:szCs w:val="24"/>
        </w:rPr>
        <w:t>MK mělo v</w:t>
      </w:r>
      <w:r w:rsidR="00B821F6">
        <w:rPr>
          <w:rFonts w:asciiTheme="minorHAnsi" w:hAnsiTheme="minorHAnsi" w:cstheme="minorHAnsi"/>
          <w:szCs w:val="24"/>
        </w:rPr>
        <w:t xml:space="preserve"> </w:t>
      </w:r>
      <w:r w:rsidRPr="004920C6">
        <w:rPr>
          <w:rFonts w:asciiTheme="minorHAnsi" w:hAnsiTheme="minorHAnsi" w:cstheme="minorHAnsi"/>
          <w:szCs w:val="24"/>
        </w:rPr>
        <w:t>roce 2024 oblast podrozvahových účtů (resp. některá specifika oceňování podmíněných aktiv a podmíněných pasiv) upravenu ve vnitřních předpisech způsobem uvedeným v následující tabulce.</w:t>
      </w:r>
    </w:p>
    <w:p w14:paraId="76B242F6" w14:textId="1A783AB3" w:rsidR="00380A10" w:rsidRPr="004920C6" w:rsidRDefault="00380A10" w:rsidP="00380A10">
      <w:pPr>
        <w:spacing w:after="60"/>
        <w:jc w:val="both"/>
        <w:rPr>
          <w:rFonts w:cs="Calibri"/>
          <w:b/>
          <w:bCs/>
          <w:szCs w:val="22"/>
          <w:lang w:eastAsia="cs-CZ"/>
        </w:rPr>
      </w:pPr>
      <w:r w:rsidRPr="004920C6">
        <w:rPr>
          <w:rFonts w:cs="Calibri"/>
          <w:b/>
          <w:bCs/>
          <w:lang w:eastAsia="cs-CZ"/>
        </w:rPr>
        <w:t xml:space="preserve">Tabulka č. </w:t>
      </w:r>
      <w:r w:rsidR="003F551A">
        <w:rPr>
          <w:rFonts w:cs="Calibri"/>
          <w:b/>
          <w:bCs/>
          <w:lang w:eastAsia="cs-CZ"/>
        </w:rPr>
        <w:t>1</w:t>
      </w:r>
      <w:r w:rsidRPr="004920C6">
        <w:rPr>
          <w:rFonts w:cs="Calibri"/>
          <w:b/>
          <w:bCs/>
          <w:lang w:eastAsia="cs-CZ"/>
        </w:rPr>
        <w:t>: Oblast podrozvahových účtů ve vnitřních předpisech MK pro rok 2024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3"/>
        <w:gridCol w:w="2931"/>
        <w:gridCol w:w="3118"/>
      </w:tblGrid>
      <w:tr w:rsidR="00380A10" w:rsidRPr="004920C6" w14:paraId="41EDEBAF" w14:textId="77777777" w:rsidTr="00055879">
        <w:trPr>
          <w:trHeight w:val="450"/>
          <w:tblHeader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2FBFC98F" w14:textId="77777777" w:rsidR="00380A10" w:rsidRPr="004920C6" w:rsidRDefault="00380A10" w:rsidP="00380A1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Oblast podrozvahové evidence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6BA445E4" w14:textId="77777777" w:rsidR="00380A10" w:rsidRPr="004920C6" w:rsidRDefault="00380A10" w:rsidP="00380A1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Významnost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181A3EF5" w14:textId="77777777" w:rsidR="00380A10" w:rsidRPr="004920C6" w:rsidRDefault="00380A10" w:rsidP="00380A1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Oceňování</w:t>
            </w:r>
          </w:p>
        </w:tc>
      </w:tr>
      <w:tr w:rsidR="00380A10" w:rsidRPr="004920C6" w14:paraId="384730DD" w14:textId="77777777" w:rsidTr="00380A10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778A1" w14:textId="77777777" w:rsidR="00380A10" w:rsidRPr="004920C6" w:rsidRDefault="00380A10" w:rsidP="00380A10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Podrozvahový majetek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BB373" w14:textId="2EEE28B3" w:rsidR="00380A10" w:rsidRPr="004920C6" w:rsidRDefault="00D92EF1" w:rsidP="00380A1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N</w:t>
            </w:r>
            <w:r w:rsidR="00380A10" w:rsidRPr="004920C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ebyla stanovena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F907" w14:textId="019C21EA" w:rsidR="00380A10" w:rsidRPr="004920C6" w:rsidRDefault="00D92EF1" w:rsidP="00380A1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D</w:t>
            </w:r>
            <w:r w:rsidR="00380A10" w:rsidRPr="004920C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o 3 tis. Kč</w:t>
            </w:r>
          </w:p>
          <w:p w14:paraId="5C014880" w14:textId="77777777" w:rsidR="00380A10" w:rsidRPr="004920C6" w:rsidRDefault="00380A10" w:rsidP="00380A1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(doba použitelnosti delší než 1 rok)</w:t>
            </w:r>
          </w:p>
        </w:tc>
      </w:tr>
      <w:tr w:rsidR="00380A10" w:rsidRPr="004920C6" w14:paraId="50D1B1D2" w14:textId="77777777" w:rsidTr="00380A10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6A60" w14:textId="5DCDBB0A" w:rsidR="00380A10" w:rsidRPr="004920C6" w:rsidRDefault="00380A10" w:rsidP="00380A10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Krátkodobé podmíněné pohledávky a závazky </w:t>
            </w:r>
            <w:r w:rsidRPr="004920C6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(takové, u</w:t>
            </w:r>
            <w:r w:rsidR="00D92EF1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4920C6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nichž </w:t>
            </w:r>
            <w:r w:rsidRPr="004920C6">
              <w:rPr>
                <w:rFonts w:asciiTheme="minorHAnsi" w:hAnsiTheme="minorHAnsi" w:cstheme="minorHAnsi"/>
                <w:bCs/>
                <w:sz w:val="20"/>
                <w:szCs w:val="20"/>
              </w:rPr>
              <w:t>splnění všech podmínek pro provedení účetního zápisu v hlavní knize nastane v období do jednoho roku včetně)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FA16A" w14:textId="77777777" w:rsidR="00380A10" w:rsidRPr="004920C6" w:rsidRDefault="00380A10" w:rsidP="00380A1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 mil. Kč (vč. DPH)</w:t>
            </w:r>
          </w:p>
          <w:p w14:paraId="102056B9" w14:textId="77777777" w:rsidR="00380A10" w:rsidRPr="004920C6" w:rsidRDefault="00380A10" w:rsidP="00380A1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na každou uzavřenou smlouvu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BAA4F" w14:textId="388D4ED8" w:rsidR="00380A10" w:rsidRPr="004920C6" w:rsidRDefault="00D92EF1" w:rsidP="00380A1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</w:t>
            </w:r>
            <w:r w:rsidR="00380A10" w:rsidRPr="004920C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e výši za 1 rok</w:t>
            </w:r>
          </w:p>
          <w:p w14:paraId="2BB16DE5" w14:textId="77777777" w:rsidR="00380A10" w:rsidRPr="004920C6" w:rsidRDefault="00380A10" w:rsidP="00380A1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(čtvrtletní aktualizace)</w:t>
            </w:r>
          </w:p>
        </w:tc>
      </w:tr>
      <w:tr w:rsidR="00380A10" w:rsidRPr="004920C6" w14:paraId="630B4791" w14:textId="77777777" w:rsidTr="00380A10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B802" w14:textId="77777777" w:rsidR="00380A10" w:rsidRPr="004920C6" w:rsidRDefault="00380A10" w:rsidP="00380A10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Dlouhodobé podmíněné pohledávky a závazky </w:t>
            </w:r>
            <w:r w:rsidRPr="004920C6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(ostatní)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DBB9" w14:textId="77777777" w:rsidR="00380A10" w:rsidRPr="004920C6" w:rsidRDefault="00380A10" w:rsidP="00380A1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 mil. Kč (vč. DPH)</w:t>
            </w:r>
          </w:p>
          <w:p w14:paraId="1C942E7D" w14:textId="77777777" w:rsidR="00380A10" w:rsidRPr="004920C6" w:rsidRDefault="00380A10" w:rsidP="00380A1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za 3 účetní období na každou uzavřenou smlouvu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8228F" w14:textId="20167C1A" w:rsidR="00380A10" w:rsidRPr="004920C6" w:rsidRDefault="00D92EF1" w:rsidP="00380A1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U</w:t>
            </w:r>
            <w:r w:rsidR="00380A10" w:rsidRPr="004920C6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smluv na dobu neurčitou a smluv na dobu určitou přesahující 3 roky</w:t>
            </w:r>
            <w:r w:rsidR="00380A10" w:rsidRPr="004920C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ve výši pro 3 následující účetní období nebo dle vyčíslení závazku ve smlouvě</w:t>
            </w:r>
          </w:p>
          <w:p w14:paraId="47E2CE25" w14:textId="77777777" w:rsidR="00380A10" w:rsidRPr="004920C6" w:rsidRDefault="00380A10" w:rsidP="00380A1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(aktualizace k rozvahovému dni)</w:t>
            </w:r>
          </w:p>
        </w:tc>
      </w:tr>
    </w:tbl>
    <w:p w14:paraId="7C72A610" w14:textId="122FB3FE" w:rsidR="00380A10" w:rsidRPr="004920C6" w:rsidRDefault="00380A10" w:rsidP="00380A10">
      <w:pPr>
        <w:keepNext/>
        <w:spacing w:after="240"/>
        <w:rPr>
          <w:rFonts w:cs="Arial"/>
          <w:bCs/>
          <w:sz w:val="20"/>
          <w:szCs w:val="20"/>
        </w:rPr>
      </w:pPr>
      <w:r w:rsidRPr="004920C6">
        <w:rPr>
          <w:rFonts w:cs="Arial"/>
          <w:b/>
          <w:sz w:val="20"/>
          <w:szCs w:val="20"/>
        </w:rPr>
        <w:t>Zdroj:</w:t>
      </w:r>
      <w:r w:rsidRPr="004920C6">
        <w:rPr>
          <w:rFonts w:cs="Arial"/>
          <w:bCs/>
          <w:sz w:val="20"/>
          <w:szCs w:val="20"/>
        </w:rPr>
        <w:t xml:space="preserve"> vnitřní předpisy MK, ÚZ; vypracoval NKÚ.</w:t>
      </w:r>
    </w:p>
    <w:p w14:paraId="1763F5B8" w14:textId="74DDA229" w:rsidR="0041658D" w:rsidRPr="004920C6" w:rsidRDefault="0041658D" w:rsidP="0041658D">
      <w:pPr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bCs/>
        </w:rPr>
        <w:t>MK na podrozvahových účtech k 31. prosinci 2024 vykázalo:</w:t>
      </w:r>
    </w:p>
    <w:p w14:paraId="70D65E8B" w14:textId="3D00AD9F" w:rsidR="0041658D" w:rsidRPr="004920C6" w:rsidRDefault="0041658D" w:rsidP="0041658D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bCs/>
        </w:rPr>
        <w:t>jiný drobný dlouhodobý nehmotný majetek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Pr="004920C6">
        <w:rPr>
          <w:rFonts w:asciiTheme="minorHAnsi" w:hAnsiTheme="minorHAnsi" w:cstheme="minorHAnsi"/>
          <w:bCs/>
        </w:rPr>
        <w:t xml:space="preserve"> 901),</w:t>
      </w:r>
    </w:p>
    <w:p w14:paraId="6AF5FE5E" w14:textId="4C277988" w:rsidR="0041658D" w:rsidRPr="004920C6" w:rsidRDefault="0041658D" w:rsidP="0041658D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bCs/>
        </w:rPr>
        <w:t>jiný drobný dlouhodobý hmotný majetek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Pr="004920C6">
        <w:rPr>
          <w:rFonts w:asciiTheme="minorHAnsi" w:hAnsiTheme="minorHAnsi" w:cstheme="minorHAnsi"/>
          <w:bCs/>
        </w:rPr>
        <w:t xml:space="preserve"> 902),</w:t>
      </w:r>
    </w:p>
    <w:p w14:paraId="7A2C505C" w14:textId="09975F5A" w:rsidR="0041658D" w:rsidRPr="004920C6" w:rsidRDefault="0041658D" w:rsidP="0041658D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bCs/>
        </w:rPr>
        <w:t>vyřazené pohledávky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Pr="004920C6">
        <w:rPr>
          <w:rFonts w:asciiTheme="minorHAnsi" w:hAnsiTheme="minorHAnsi" w:cstheme="minorHAnsi"/>
          <w:bCs/>
        </w:rPr>
        <w:t xml:space="preserve"> 905),</w:t>
      </w:r>
    </w:p>
    <w:p w14:paraId="1113CF23" w14:textId="2433965C" w:rsidR="0041658D" w:rsidRPr="004920C6" w:rsidRDefault="0041658D" w:rsidP="0041658D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color w:val="000000"/>
        </w:rPr>
        <w:t>krátkodobé podmíněné závazky ze zahraničních transferů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Pr="004920C6">
        <w:rPr>
          <w:rFonts w:asciiTheme="minorHAnsi" w:hAnsiTheme="minorHAnsi" w:cstheme="minorHAnsi"/>
          <w:color w:val="000000"/>
        </w:rPr>
        <w:t xml:space="preserve"> 914),</w:t>
      </w:r>
    </w:p>
    <w:p w14:paraId="3FFE32FA" w14:textId="122628F0" w:rsidR="0041658D" w:rsidRPr="004920C6" w:rsidRDefault="0041658D" w:rsidP="0041658D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bCs/>
        </w:rPr>
        <w:lastRenderedPageBreak/>
        <w:t>ostatní krátkodobé podmíněné závazky z transferů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Pr="004920C6">
        <w:rPr>
          <w:rFonts w:asciiTheme="minorHAnsi" w:hAnsiTheme="minorHAnsi" w:cstheme="minorHAnsi"/>
          <w:bCs/>
        </w:rPr>
        <w:t xml:space="preserve"> 916),</w:t>
      </w:r>
    </w:p>
    <w:p w14:paraId="15F682AE" w14:textId="4EC79FAD" w:rsidR="0041658D" w:rsidRPr="004920C6" w:rsidRDefault="0041658D" w:rsidP="0041658D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color w:val="000000"/>
        </w:rPr>
        <w:t>krátkodobé podmíněné pohledávky z jiných smluv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Pr="004920C6">
        <w:rPr>
          <w:rFonts w:asciiTheme="minorHAnsi" w:hAnsiTheme="minorHAnsi" w:cstheme="minorHAnsi"/>
          <w:color w:val="000000"/>
        </w:rPr>
        <w:t xml:space="preserve"> 933),</w:t>
      </w:r>
    </w:p>
    <w:p w14:paraId="2D00093B" w14:textId="57A6F9CB" w:rsidR="0041658D" w:rsidRPr="004920C6" w:rsidRDefault="0041658D" w:rsidP="0041658D">
      <w:pPr>
        <w:pStyle w:val="Odstavecseseznamem"/>
        <w:numPr>
          <w:ilvl w:val="0"/>
          <w:numId w:val="13"/>
        </w:numPr>
        <w:spacing w:after="360"/>
        <w:jc w:val="both"/>
        <w:rPr>
          <w:rFonts w:cs="Calibri"/>
          <w:bCs/>
        </w:rPr>
      </w:pPr>
      <w:r w:rsidRPr="004920C6">
        <w:rPr>
          <w:rFonts w:cs="Calibri"/>
          <w:color w:val="000000"/>
        </w:rPr>
        <w:t>dlouhodobé podmíněné pohledávky z jiných smluv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Pr="004920C6">
        <w:rPr>
          <w:rFonts w:cs="Calibri"/>
          <w:color w:val="000000"/>
        </w:rPr>
        <w:t xml:space="preserve"> 934),</w:t>
      </w:r>
    </w:p>
    <w:p w14:paraId="756EE2DD" w14:textId="749EA827" w:rsidR="0041658D" w:rsidRPr="004920C6" w:rsidRDefault="0041658D" w:rsidP="0041658D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color w:val="000000"/>
        </w:rPr>
        <w:t>dlouhodobé podmíněné pohledávky ze soudních sporů, správních řízení a jiných řízení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Pr="004920C6">
        <w:rPr>
          <w:rFonts w:asciiTheme="minorHAnsi" w:hAnsiTheme="minorHAnsi" w:cstheme="minorHAnsi"/>
          <w:color w:val="000000"/>
        </w:rPr>
        <w:t xml:space="preserve"> 948),</w:t>
      </w:r>
    </w:p>
    <w:p w14:paraId="3A022E99" w14:textId="4160D727" w:rsidR="0041658D" w:rsidRPr="004920C6" w:rsidRDefault="0041658D" w:rsidP="0041658D">
      <w:pPr>
        <w:pStyle w:val="Odstavecseseznamem"/>
        <w:numPr>
          <w:ilvl w:val="0"/>
          <w:numId w:val="13"/>
        </w:numPr>
        <w:spacing w:after="360"/>
        <w:jc w:val="both"/>
        <w:rPr>
          <w:rFonts w:cs="Calibri"/>
          <w:bCs/>
        </w:rPr>
      </w:pPr>
      <w:r w:rsidRPr="004920C6">
        <w:rPr>
          <w:rFonts w:cs="Calibri"/>
          <w:color w:val="000000"/>
        </w:rPr>
        <w:t>dlouhodobé podmíněné pohledávky z předfinancování transferů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Pr="004920C6">
        <w:rPr>
          <w:rFonts w:cs="Calibri"/>
          <w:color w:val="000000"/>
        </w:rPr>
        <w:t xml:space="preserve"> 951),</w:t>
      </w:r>
    </w:p>
    <w:p w14:paraId="00C2763B" w14:textId="1E9DDA1A" w:rsidR="0041658D" w:rsidRPr="004920C6" w:rsidRDefault="0041658D" w:rsidP="0041658D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bCs/>
        </w:rPr>
        <w:t>dlouhodobé podmíněné pohledávky ze zahraničních transferů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Pr="004920C6">
        <w:rPr>
          <w:rFonts w:asciiTheme="minorHAnsi" w:hAnsiTheme="minorHAnsi" w:cstheme="minorHAnsi"/>
          <w:bCs/>
        </w:rPr>
        <w:t xml:space="preserve"> 953),</w:t>
      </w:r>
    </w:p>
    <w:p w14:paraId="3F3E7652" w14:textId="348CBDFF" w:rsidR="0041658D" w:rsidRPr="004920C6" w:rsidRDefault="0041658D" w:rsidP="0041658D">
      <w:pPr>
        <w:pStyle w:val="Odstavecseseznamem"/>
        <w:numPr>
          <w:ilvl w:val="0"/>
          <w:numId w:val="13"/>
        </w:numPr>
        <w:spacing w:after="360"/>
        <w:jc w:val="both"/>
        <w:rPr>
          <w:rFonts w:cs="Calibri"/>
          <w:bCs/>
        </w:rPr>
      </w:pPr>
      <w:r w:rsidRPr="004920C6">
        <w:rPr>
          <w:rFonts w:cs="Calibri"/>
          <w:color w:val="000000"/>
        </w:rPr>
        <w:t>dlouhodobé podmíněné závazky ze zahraničních transferů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Pr="004920C6">
        <w:rPr>
          <w:rFonts w:cs="Calibri"/>
          <w:color w:val="000000"/>
        </w:rPr>
        <w:t xml:space="preserve"> 954),</w:t>
      </w:r>
    </w:p>
    <w:p w14:paraId="5A4E0D2B" w14:textId="79C64A47" w:rsidR="0041658D" w:rsidRPr="004920C6" w:rsidRDefault="0041658D" w:rsidP="0041658D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bCs/>
        </w:rPr>
        <w:t>ostatní dlouhodobé podmíněné závazky z transferů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Pr="004920C6">
        <w:rPr>
          <w:rFonts w:asciiTheme="minorHAnsi" w:hAnsiTheme="minorHAnsi" w:cstheme="minorHAnsi"/>
          <w:bCs/>
        </w:rPr>
        <w:t xml:space="preserve"> 956),</w:t>
      </w:r>
    </w:p>
    <w:p w14:paraId="7F5C06B4" w14:textId="7A17127E" w:rsidR="0041658D" w:rsidRPr="004920C6" w:rsidRDefault="0041658D" w:rsidP="0041658D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color w:val="000000"/>
        </w:rPr>
        <w:t>dlouhodobé podmíněné závazky z důvodu užívání cizího majetku na základě smlouvy o výpůjčce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Pr="004920C6">
        <w:rPr>
          <w:rFonts w:asciiTheme="minorHAnsi" w:hAnsiTheme="minorHAnsi" w:cstheme="minorHAnsi"/>
          <w:color w:val="000000"/>
        </w:rPr>
        <w:t xml:space="preserve"> 966),</w:t>
      </w:r>
    </w:p>
    <w:p w14:paraId="087A30AA" w14:textId="1F493E19" w:rsidR="0041658D" w:rsidRPr="004920C6" w:rsidRDefault="0041658D" w:rsidP="0041658D">
      <w:pPr>
        <w:pStyle w:val="Odstavecseseznamem"/>
        <w:numPr>
          <w:ilvl w:val="0"/>
          <w:numId w:val="13"/>
        </w:numPr>
        <w:spacing w:after="360"/>
        <w:jc w:val="both"/>
        <w:rPr>
          <w:rFonts w:cs="Calibri"/>
          <w:bCs/>
        </w:rPr>
      </w:pPr>
      <w:r w:rsidRPr="004920C6">
        <w:rPr>
          <w:rFonts w:cs="Calibri"/>
          <w:color w:val="000000"/>
        </w:rPr>
        <w:t>krátkodobé podmíněné závazky z důvodu užívání cizího majetku nebo jeho převzetí z jiných důvodů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Pr="004920C6">
        <w:rPr>
          <w:rFonts w:cs="Calibri"/>
          <w:color w:val="000000"/>
        </w:rPr>
        <w:t xml:space="preserve"> 967),</w:t>
      </w:r>
    </w:p>
    <w:p w14:paraId="52A9943E" w14:textId="6E580E38" w:rsidR="0041658D" w:rsidRPr="004920C6" w:rsidRDefault="0041658D" w:rsidP="0041658D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color w:val="000000"/>
        </w:rPr>
        <w:t>krátkodobé podmíněné závazky ze smluv o pořízení dlouhodobého majetku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Pr="004920C6">
        <w:rPr>
          <w:rFonts w:asciiTheme="minorHAnsi" w:hAnsiTheme="minorHAnsi" w:cstheme="minorHAnsi"/>
          <w:color w:val="000000"/>
        </w:rPr>
        <w:t xml:space="preserve"> 971),</w:t>
      </w:r>
    </w:p>
    <w:p w14:paraId="4EA8E7FD" w14:textId="338BFF85" w:rsidR="0041658D" w:rsidRPr="004920C6" w:rsidRDefault="0041658D" w:rsidP="0041658D">
      <w:pPr>
        <w:pStyle w:val="Odstavecseseznamem"/>
        <w:numPr>
          <w:ilvl w:val="0"/>
          <w:numId w:val="13"/>
        </w:numPr>
        <w:spacing w:after="360"/>
        <w:jc w:val="both"/>
        <w:rPr>
          <w:rFonts w:cs="Calibri"/>
          <w:bCs/>
        </w:rPr>
      </w:pPr>
      <w:r w:rsidRPr="004920C6">
        <w:rPr>
          <w:rFonts w:cs="Calibri"/>
          <w:color w:val="000000"/>
        </w:rPr>
        <w:t>dlouhodobé podmíněné závazky ze smluv o pořízení dlouhodobého majetku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Pr="004920C6">
        <w:rPr>
          <w:rFonts w:cs="Calibri"/>
          <w:color w:val="000000"/>
        </w:rPr>
        <w:t xml:space="preserve"> 972),</w:t>
      </w:r>
    </w:p>
    <w:p w14:paraId="40D8AA1B" w14:textId="68B1BC3B" w:rsidR="0041658D" w:rsidRPr="004920C6" w:rsidRDefault="0041658D" w:rsidP="0041658D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bCs/>
        </w:rPr>
        <w:t>krátkodobé podmíněné závazky z jiných smluv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Pr="004920C6">
        <w:rPr>
          <w:rFonts w:asciiTheme="minorHAnsi" w:hAnsiTheme="minorHAnsi" w:cstheme="minorHAnsi"/>
          <w:bCs/>
        </w:rPr>
        <w:t xml:space="preserve"> 973),</w:t>
      </w:r>
    </w:p>
    <w:p w14:paraId="53029570" w14:textId="6FAC4931" w:rsidR="0041658D" w:rsidRPr="004920C6" w:rsidRDefault="0041658D" w:rsidP="0041658D">
      <w:pPr>
        <w:pStyle w:val="Odstavecseseznamem"/>
        <w:numPr>
          <w:ilvl w:val="0"/>
          <w:numId w:val="13"/>
        </w:numPr>
        <w:spacing w:after="0"/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bCs/>
        </w:rPr>
        <w:t>dlouhodobé podmíněné závazky z jiných smluv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Pr="004920C6">
        <w:rPr>
          <w:rFonts w:asciiTheme="minorHAnsi" w:hAnsiTheme="minorHAnsi" w:cstheme="minorHAnsi"/>
          <w:bCs/>
        </w:rPr>
        <w:t xml:space="preserve"> 974),</w:t>
      </w:r>
    </w:p>
    <w:p w14:paraId="252BDC68" w14:textId="630CB915" w:rsidR="0041658D" w:rsidRPr="004920C6" w:rsidRDefault="0041658D" w:rsidP="0041658D">
      <w:pPr>
        <w:pStyle w:val="Odstavecseseznamem"/>
        <w:numPr>
          <w:ilvl w:val="0"/>
          <w:numId w:val="13"/>
        </w:numPr>
        <w:spacing w:after="0"/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color w:val="000000"/>
        </w:rPr>
        <w:t>dlouhodobé podmíněné závazky ze soudních sporů, správních řízení a jiných řízení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="001D2D69" w:rsidRPr="004920C6">
        <w:rPr>
          <w:rFonts w:asciiTheme="minorHAnsi" w:hAnsiTheme="minorHAnsi" w:cstheme="minorHAnsi"/>
          <w:color w:val="000000"/>
        </w:rPr>
        <w:t xml:space="preserve"> </w:t>
      </w:r>
      <w:r w:rsidRPr="004920C6">
        <w:rPr>
          <w:rFonts w:asciiTheme="minorHAnsi" w:hAnsiTheme="minorHAnsi" w:cstheme="minorHAnsi"/>
          <w:color w:val="000000"/>
        </w:rPr>
        <w:t>986) a</w:t>
      </w:r>
    </w:p>
    <w:p w14:paraId="1EB338C8" w14:textId="28BEB757" w:rsidR="0041658D" w:rsidRPr="004920C6" w:rsidRDefault="0041658D" w:rsidP="003E3C1F">
      <w:pPr>
        <w:pStyle w:val="Odstavecseseznamem"/>
        <w:numPr>
          <w:ilvl w:val="0"/>
          <w:numId w:val="13"/>
        </w:numPr>
        <w:spacing w:after="240"/>
        <w:ind w:left="714" w:hanging="357"/>
        <w:contextualSpacing w:val="0"/>
        <w:jc w:val="both"/>
        <w:rPr>
          <w:rFonts w:cs="Calibri"/>
          <w:bCs/>
        </w:rPr>
      </w:pPr>
      <w:r w:rsidRPr="004920C6">
        <w:rPr>
          <w:rFonts w:cs="Calibri"/>
          <w:color w:val="000000"/>
        </w:rPr>
        <w:t>ostatní dlouhodobá podmíněná pasiva (</w:t>
      </w:r>
      <w:r w:rsidR="001D2D69" w:rsidRPr="004920C6">
        <w:rPr>
          <w:rFonts w:asciiTheme="minorHAnsi" w:hAnsiTheme="minorHAnsi" w:cstheme="minorHAnsi"/>
          <w:bCs/>
        </w:rPr>
        <w:t>podrozvahový účet</w:t>
      </w:r>
      <w:r w:rsidRPr="004920C6">
        <w:rPr>
          <w:rFonts w:cs="Calibri"/>
          <w:color w:val="000000"/>
        </w:rPr>
        <w:t xml:space="preserve"> 994).</w:t>
      </w:r>
    </w:p>
    <w:p w14:paraId="42058360" w14:textId="5BBFF5B3" w:rsidR="0041658D" w:rsidRPr="004920C6" w:rsidRDefault="0041658D" w:rsidP="0041658D">
      <w:pPr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</w:rPr>
        <w:t>Z analýzy údajů účetního deníku MK za rok 2024 vyplývá, že podíl účetních zápisů na</w:t>
      </w:r>
      <w:r w:rsidR="00835003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podrozvahových účtech představoval 2,</w:t>
      </w:r>
      <w:r w:rsidR="003E3C1F" w:rsidRPr="004920C6">
        <w:rPr>
          <w:rFonts w:asciiTheme="minorHAnsi" w:hAnsiTheme="minorHAnsi" w:cstheme="minorHAnsi"/>
        </w:rPr>
        <w:t>8</w:t>
      </w:r>
      <w:r w:rsidRPr="004920C6">
        <w:rPr>
          <w:rFonts w:asciiTheme="minorHAnsi" w:hAnsiTheme="minorHAnsi" w:cstheme="minorHAnsi"/>
        </w:rPr>
        <w:t xml:space="preserve"> %</w:t>
      </w:r>
      <w:r w:rsidRPr="004920C6">
        <w:rPr>
          <w:rStyle w:val="Znakapoznpodarou"/>
          <w:rFonts w:eastAsiaTheme="majorEastAsia" w:cs="Calibri"/>
        </w:rPr>
        <w:footnoteReference w:id="35"/>
      </w:r>
      <w:r w:rsidRPr="004920C6">
        <w:rPr>
          <w:rFonts w:asciiTheme="minorHAnsi" w:hAnsiTheme="minorHAnsi" w:cstheme="minorHAnsi"/>
        </w:rPr>
        <w:t xml:space="preserve"> všech účetních zápisů v účetním deníku.</w:t>
      </w:r>
    </w:p>
    <w:p w14:paraId="10A96BC9" w14:textId="6B66F069" w:rsidR="00E12391" w:rsidRPr="004920C6" w:rsidRDefault="00E12391" w:rsidP="00E12391">
      <w:pPr>
        <w:spacing w:before="120"/>
        <w:jc w:val="both"/>
        <w:rPr>
          <w:rFonts w:asciiTheme="minorHAnsi" w:hAnsiTheme="minorHAnsi" w:cstheme="minorHAnsi"/>
        </w:rPr>
      </w:pPr>
      <w:r w:rsidRPr="004920C6">
        <w:rPr>
          <w:rFonts w:cs="Calibri"/>
          <w:lang w:eastAsia="cs-CZ"/>
        </w:rPr>
        <w:t>Srovnání celkové výše zůstatků podrozvahových účtů s údaji o rozvahových aktivech a cizích zdrojích za roky 2022 až 2024</w:t>
      </w:r>
      <w:r w:rsidRPr="004920C6">
        <w:rPr>
          <w:rFonts w:asciiTheme="minorHAnsi" w:hAnsiTheme="minorHAnsi" w:cstheme="minorHAnsi"/>
        </w:rPr>
        <w:t xml:space="preserve"> dokumentuje následující tabulka. Podrozvahová aktiva k</w:t>
      </w:r>
      <w:r w:rsidR="00992090" w:rsidRPr="004920C6">
        <w:rPr>
          <w:rFonts w:asciiTheme="minorHAnsi" w:hAnsiTheme="minorHAnsi" w:cstheme="minorHAnsi"/>
        </w:rPr>
        <w:t> </w:t>
      </w:r>
      <w:r w:rsidRPr="004920C6">
        <w:rPr>
          <w:rFonts w:asciiTheme="minorHAnsi" w:hAnsiTheme="minorHAnsi" w:cstheme="minorHAnsi"/>
        </w:rPr>
        <w:t>31.</w:t>
      </w:r>
      <w:r w:rsidR="00992090" w:rsidRPr="004920C6">
        <w:rPr>
          <w:rFonts w:asciiTheme="minorHAnsi" w:hAnsiTheme="minorHAnsi" w:cstheme="minorHAnsi"/>
        </w:rPr>
        <w:t> prosinci</w:t>
      </w:r>
      <w:r w:rsidRPr="004920C6">
        <w:rPr>
          <w:rFonts w:asciiTheme="minorHAnsi" w:hAnsiTheme="minorHAnsi" w:cstheme="minorHAnsi"/>
        </w:rPr>
        <w:t> 2024 tvořila 3,</w:t>
      </w:r>
      <w:r w:rsidR="003E3C1F" w:rsidRPr="004920C6">
        <w:rPr>
          <w:rFonts w:asciiTheme="minorHAnsi" w:hAnsiTheme="minorHAnsi" w:cstheme="minorHAnsi"/>
        </w:rPr>
        <w:t>6</w:t>
      </w:r>
      <w:r w:rsidRPr="004920C6">
        <w:rPr>
          <w:rFonts w:asciiTheme="minorHAnsi" w:hAnsiTheme="minorHAnsi" w:cstheme="minorHAnsi"/>
        </w:rPr>
        <w:t> % hodnoty celkových aktiv MK</w:t>
      </w:r>
      <w:r w:rsidR="00142621" w:rsidRPr="004920C6">
        <w:rPr>
          <w:rFonts w:asciiTheme="minorHAnsi" w:hAnsiTheme="minorHAnsi" w:cstheme="minorHAnsi"/>
        </w:rPr>
        <w:t xml:space="preserve"> a </w:t>
      </w:r>
      <w:r w:rsidRPr="004920C6">
        <w:rPr>
          <w:rFonts w:asciiTheme="minorHAnsi" w:hAnsiTheme="minorHAnsi" w:cstheme="minorHAnsi"/>
        </w:rPr>
        <w:t>od roku 2022 klesla o zhruba 1,7 mld. Kč. Podrozvahová pasiva</w:t>
      </w:r>
      <w:r w:rsidR="003E3C1F"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byla ve výši 17,6 % hodnoty cizích zdrojů</w:t>
      </w:r>
      <w:r w:rsidR="00142621" w:rsidRPr="004920C6">
        <w:rPr>
          <w:rFonts w:asciiTheme="minorHAnsi" w:hAnsiTheme="minorHAnsi" w:cstheme="minorHAnsi"/>
        </w:rPr>
        <w:t xml:space="preserve">, přičemž </w:t>
      </w:r>
      <w:r w:rsidRPr="004920C6">
        <w:rPr>
          <w:rFonts w:asciiTheme="minorHAnsi" w:hAnsiTheme="minorHAnsi" w:cstheme="minorHAnsi"/>
        </w:rPr>
        <w:t>u nich je naopak zřejmý rostoucí trend o cca 8,9 mld. Kč od roku 2022, s</w:t>
      </w:r>
      <w:r w:rsidR="00992090" w:rsidRPr="004920C6">
        <w:rPr>
          <w:rFonts w:asciiTheme="minorHAnsi" w:hAnsiTheme="minorHAnsi" w:cstheme="minorHAnsi"/>
        </w:rPr>
        <w:t> </w:t>
      </w:r>
      <w:r w:rsidRPr="004920C6">
        <w:rPr>
          <w:rFonts w:asciiTheme="minorHAnsi" w:hAnsiTheme="minorHAnsi" w:cstheme="minorHAnsi"/>
        </w:rPr>
        <w:t>výraznou</w:t>
      </w:r>
      <w:r w:rsidR="00992090" w:rsidRPr="004920C6">
        <w:rPr>
          <w:rFonts w:asciiTheme="minorHAnsi" w:hAnsiTheme="minorHAnsi" w:cstheme="minorHAnsi"/>
        </w:rPr>
        <w:t xml:space="preserve">, </w:t>
      </w:r>
      <w:r w:rsidRPr="004920C6">
        <w:rPr>
          <w:rFonts w:asciiTheme="minorHAnsi" w:hAnsiTheme="minorHAnsi" w:cstheme="minorHAnsi"/>
        </w:rPr>
        <w:t>avšak vysvětlitelnou změnou v</w:t>
      </w:r>
      <w:r w:rsidR="00835003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roce 2024.</w:t>
      </w:r>
      <w:r w:rsidR="00992090" w:rsidRPr="004920C6">
        <w:rPr>
          <w:rFonts w:asciiTheme="minorHAnsi" w:hAnsiTheme="minorHAnsi" w:cstheme="minorHAnsi"/>
        </w:rPr>
        <w:t xml:space="preserve"> Jednalo se o nově vykázané </w:t>
      </w:r>
      <w:r w:rsidR="00992090" w:rsidRPr="004920C6">
        <w:rPr>
          <w:rFonts w:asciiTheme="minorHAnsi" w:hAnsiTheme="minorHAnsi" w:cstheme="minorHAnsi"/>
          <w:bCs/>
        </w:rPr>
        <w:t>podmíněné závazky z titulu vydaných rozhodnutí o poskytnutí podpory u národních dotací.</w:t>
      </w:r>
    </w:p>
    <w:p w14:paraId="786D5F68" w14:textId="77777777" w:rsidR="00D92EF1" w:rsidRDefault="00D92EF1">
      <w:pPr>
        <w:spacing w:after="160" w:line="259" w:lineRule="auto"/>
        <w:rPr>
          <w:rFonts w:cs="Calibri"/>
          <w:b/>
          <w:bCs/>
          <w:lang w:eastAsia="cs-CZ"/>
        </w:rPr>
      </w:pPr>
      <w:r>
        <w:rPr>
          <w:rFonts w:cs="Calibri"/>
          <w:b/>
          <w:bCs/>
          <w:lang w:eastAsia="cs-CZ"/>
        </w:rPr>
        <w:br w:type="page"/>
      </w:r>
    </w:p>
    <w:p w14:paraId="6F895F01" w14:textId="56C25616" w:rsidR="00992090" w:rsidRPr="004920C6" w:rsidRDefault="00992090" w:rsidP="003E3C1F">
      <w:pPr>
        <w:tabs>
          <w:tab w:val="right" w:pos="9070"/>
        </w:tabs>
        <w:spacing w:after="60"/>
        <w:ind w:left="1304" w:hanging="1304"/>
        <w:jc w:val="both"/>
        <w:rPr>
          <w:rFonts w:cs="Calibri"/>
          <w:b/>
          <w:bCs/>
          <w:lang w:eastAsia="cs-CZ"/>
        </w:rPr>
      </w:pPr>
      <w:r w:rsidRPr="004920C6">
        <w:rPr>
          <w:rFonts w:cs="Calibri"/>
          <w:b/>
          <w:bCs/>
          <w:lang w:eastAsia="cs-CZ"/>
        </w:rPr>
        <w:lastRenderedPageBreak/>
        <w:t xml:space="preserve">Tabulka č. </w:t>
      </w:r>
      <w:r w:rsidR="003F551A">
        <w:rPr>
          <w:rFonts w:cs="Calibri"/>
          <w:b/>
          <w:bCs/>
          <w:lang w:eastAsia="cs-CZ"/>
        </w:rPr>
        <w:t>2</w:t>
      </w:r>
      <w:r w:rsidRPr="004920C6">
        <w:rPr>
          <w:rFonts w:cs="Calibri"/>
          <w:b/>
          <w:bCs/>
          <w:lang w:eastAsia="cs-CZ"/>
        </w:rPr>
        <w:t xml:space="preserve">: </w:t>
      </w:r>
      <w:r w:rsidRPr="004920C6">
        <w:rPr>
          <w:rFonts w:cs="Calibri"/>
          <w:b/>
          <w:bCs/>
          <w:lang w:eastAsia="cs-CZ"/>
        </w:rPr>
        <w:tab/>
        <w:t xml:space="preserve">Srovnání celkové výše zůstatků podrozvahových účtů s údaji o rozvahových aktivech a cizích zdrojích za roky 2022 až 2024 </w:t>
      </w:r>
      <w:r w:rsidRPr="004920C6">
        <w:rPr>
          <w:rFonts w:cs="Calibri"/>
          <w:b/>
          <w:bCs/>
          <w:lang w:eastAsia="cs-CZ"/>
        </w:rPr>
        <w:tab/>
        <w:t>(v mil. Kč)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090"/>
        <w:gridCol w:w="1571"/>
        <w:gridCol w:w="1693"/>
        <w:gridCol w:w="1718"/>
      </w:tblGrid>
      <w:tr w:rsidR="00E12391" w:rsidRPr="004920C6" w14:paraId="706DF198" w14:textId="77777777" w:rsidTr="00613725">
        <w:trPr>
          <w:trHeight w:val="325"/>
          <w:tblHeader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52069082" w14:textId="77777777" w:rsidR="00E12391" w:rsidRPr="004920C6" w:rsidRDefault="00E12391" w:rsidP="00E1239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Veličina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60E2A6CA" w14:textId="77777777" w:rsidR="00E12391" w:rsidRPr="004920C6" w:rsidRDefault="00E12391" w:rsidP="00E1239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2256BDF" w14:textId="77777777" w:rsidR="00E12391" w:rsidRPr="004920C6" w:rsidRDefault="00E12391" w:rsidP="00E123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20A837B5" w14:textId="77777777" w:rsidR="00E12391" w:rsidRPr="004920C6" w:rsidRDefault="00E12391" w:rsidP="00E123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2022</w:t>
            </w:r>
          </w:p>
        </w:tc>
      </w:tr>
      <w:tr w:rsidR="00E12391" w:rsidRPr="004920C6" w14:paraId="40B531DF" w14:textId="77777777" w:rsidTr="00992090">
        <w:trPr>
          <w:trHeight w:val="24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4210" w14:textId="77777777" w:rsidR="00E12391" w:rsidRPr="004920C6" w:rsidRDefault="00E12391" w:rsidP="00E12391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Suma zůstatků podrozvahových účtů (podrozvahová aktiva a pasiva)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544BF" w14:textId="5F989A42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9</w:t>
            </w:r>
            <w:r w:rsidR="00992090"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 </w:t>
            </w:r>
            <w:r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399</w:t>
            </w:r>
            <w:r w:rsidR="00992090"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,1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FA34" w14:textId="3584C352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1</w:t>
            </w:r>
            <w:r w:rsidR="00992090" w:rsidRPr="004920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 </w:t>
            </w:r>
            <w:r w:rsidRPr="004920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944</w:t>
            </w:r>
            <w:r w:rsidR="00992090" w:rsidRPr="004920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D53D1" w14:textId="148D8029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2</w:t>
            </w:r>
            <w:r w:rsidR="00992090" w:rsidRPr="004920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 </w:t>
            </w:r>
            <w:r w:rsidRPr="004920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198</w:t>
            </w:r>
            <w:r w:rsidR="00992090" w:rsidRPr="004920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,</w:t>
            </w:r>
            <w:r w:rsidRPr="004920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5</w:t>
            </w:r>
          </w:p>
        </w:tc>
      </w:tr>
      <w:tr w:rsidR="00E12391" w:rsidRPr="004920C6" w14:paraId="7BC9A6C3" w14:textId="77777777" w:rsidTr="00992090">
        <w:trPr>
          <w:trHeight w:val="24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13A7" w14:textId="3B5DDB34" w:rsidR="00E12391" w:rsidRPr="004920C6" w:rsidRDefault="00E12391" w:rsidP="00E1239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z toho:</w:t>
            </w:r>
          </w:p>
        </w:tc>
      </w:tr>
      <w:tr w:rsidR="00E12391" w:rsidRPr="004920C6" w14:paraId="236F90CA" w14:textId="77777777" w:rsidTr="00992090">
        <w:trPr>
          <w:trHeight w:val="24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706C" w14:textId="77777777" w:rsidR="00E12391" w:rsidRPr="004920C6" w:rsidRDefault="00E12391" w:rsidP="00E12391">
            <w:pPr>
              <w:spacing w:after="0"/>
              <w:ind w:left="72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podrozvahová aktiva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80BB" w14:textId="4892DAC9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127</w:t>
            </w:r>
            <w:r w:rsidR="00992090"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,</w:t>
            </w:r>
            <w:r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F40D4" w14:textId="5B594797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322</w:t>
            </w:r>
            <w:r w:rsidR="003E3C1F"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6ED04" w14:textId="51851A84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="003E3C1F"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841</w:t>
            </w:r>
            <w:r w:rsidR="003E3C1F"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,8</w:t>
            </w:r>
          </w:p>
        </w:tc>
      </w:tr>
      <w:tr w:rsidR="00E12391" w:rsidRPr="004920C6" w14:paraId="749998D2" w14:textId="77777777" w:rsidTr="00992090">
        <w:trPr>
          <w:trHeight w:val="24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6329" w14:textId="77777777" w:rsidR="00E12391" w:rsidRPr="004920C6" w:rsidRDefault="00E12391" w:rsidP="00E12391">
            <w:pPr>
              <w:spacing w:after="0"/>
              <w:ind w:left="7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podrozvahová pasiva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E432" w14:textId="117B7A26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9</w:t>
            </w:r>
            <w:r w:rsidR="00992090"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271</w:t>
            </w:r>
            <w:r w:rsidR="00992090"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,7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95D3C" w14:textId="16C32EA2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="003E3C1F"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621</w:t>
            </w:r>
            <w:r w:rsidR="003E3C1F"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A7F12" w14:textId="3D80BC3D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356</w:t>
            </w:r>
            <w:r w:rsidR="003E3C1F"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,8</w:t>
            </w:r>
          </w:p>
        </w:tc>
      </w:tr>
      <w:tr w:rsidR="00E12391" w:rsidRPr="004920C6" w14:paraId="646C332B" w14:textId="77777777" w:rsidTr="00992090">
        <w:trPr>
          <w:trHeight w:val="24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B4D6" w14:textId="77777777" w:rsidR="00E12391" w:rsidRPr="004920C6" w:rsidRDefault="00E12391" w:rsidP="00E12391">
            <w:pPr>
              <w:spacing w:after="0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Suma zůstatků na rozvahových účtech – aktiva a cizí zdroje celkem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5C04" w14:textId="03F5F851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56</w:t>
            </w:r>
            <w:r w:rsidR="00992090"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 </w:t>
            </w:r>
            <w:r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397</w:t>
            </w:r>
            <w:r w:rsidR="00992090"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,3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D0355" w14:textId="0B2A758D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51</w:t>
            </w:r>
            <w:r w:rsidR="003E3C1F"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 </w:t>
            </w:r>
            <w:r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896</w:t>
            </w:r>
            <w:r w:rsidR="003E3C1F"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B3B5" w14:textId="2EA66538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51</w:t>
            </w:r>
            <w:r w:rsidR="003E3C1F"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 </w:t>
            </w:r>
            <w:r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50</w:t>
            </w:r>
            <w:r w:rsidR="003E3C1F"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6,0</w:t>
            </w:r>
          </w:p>
        </w:tc>
      </w:tr>
      <w:tr w:rsidR="00E12391" w:rsidRPr="004920C6" w14:paraId="18283029" w14:textId="77777777" w:rsidTr="00992090">
        <w:trPr>
          <w:trHeight w:val="24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E1BF" w14:textId="1AAF1BC1" w:rsidR="00E12391" w:rsidRPr="004920C6" w:rsidRDefault="00E12391" w:rsidP="00E12391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z toho:</w:t>
            </w:r>
          </w:p>
        </w:tc>
      </w:tr>
      <w:tr w:rsidR="00E12391" w:rsidRPr="004920C6" w14:paraId="6F799547" w14:textId="77777777" w:rsidTr="00992090">
        <w:trPr>
          <w:trHeight w:val="24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4B37" w14:textId="77777777" w:rsidR="00E12391" w:rsidRPr="004920C6" w:rsidRDefault="00E12391" w:rsidP="00E12391">
            <w:pPr>
              <w:spacing w:after="0"/>
              <w:ind w:left="72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aktiva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E7145" w14:textId="43A286E8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</w:t>
            </w:r>
            <w:r w:rsidR="00992090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589</w:t>
            </w:r>
            <w:r w:rsidR="00992090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C3A50" w14:textId="5C1BC327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</w:t>
            </w:r>
            <w:r w:rsidR="003E3C1F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441</w:t>
            </w:r>
            <w:r w:rsidR="003E3C1F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5C529" w14:textId="66889902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</w:t>
            </w:r>
            <w:r w:rsidR="003E3C1F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912</w:t>
            </w:r>
            <w:r w:rsidR="003E3C1F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,3</w:t>
            </w:r>
          </w:p>
        </w:tc>
      </w:tr>
      <w:tr w:rsidR="00E12391" w:rsidRPr="004920C6" w14:paraId="31CB6D21" w14:textId="77777777" w:rsidTr="00992090">
        <w:trPr>
          <w:trHeight w:val="24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A767" w14:textId="77777777" w:rsidR="00E12391" w:rsidRPr="004920C6" w:rsidRDefault="00E12391" w:rsidP="00E12391">
            <w:pPr>
              <w:spacing w:after="0"/>
              <w:ind w:left="72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cizí zdroje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2CF64" w14:textId="3529FD8B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52</w:t>
            </w:r>
            <w:r w:rsidR="00992090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807</w:t>
            </w:r>
            <w:r w:rsidR="00992090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B1947" w14:textId="5171DC73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48</w:t>
            </w:r>
            <w:r w:rsidR="003E3C1F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455</w:t>
            </w:r>
            <w:r w:rsidR="003E3C1F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58C7C" w14:textId="12CBFF29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48</w:t>
            </w:r>
            <w:r w:rsidR="003E3C1F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593</w:t>
            </w:r>
            <w:r w:rsidR="003E3C1F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,7</w:t>
            </w:r>
          </w:p>
        </w:tc>
      </w:tr>
      <w:tr w:rsidR="00E12391" w:rsidRPr="004920C6" w14:paraId="09666D67" w14:textId="77777777" w:rsidTr="00992090">
        <w:trPr>
          <w:trHeight w:val="24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5D08" w14:textId="77777777" w:rsidR="00E12391" w:rsidRPr="004920C6" w:rsidRDefault="00E12391" w:rsidP="00E12391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Podíl sumy zůstatků podrozvahových účtů na aktivech a cizích zdrojích celkem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F824" w14:textId="2A5BCC39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16,</w:t>
            </w:r>
            <w:r w:rsidR="003E3C1F" w:rsidRPr="004920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  <w:r w:rsidRPr="004920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B36B2" w14:textId="6E6B8EB1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3,</w:t>
            </w:r>
            <w:r w:rsidR="003E3C1F" w:rsidRPr="004920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  <w:r w:rsidRPr="004920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E3EA6" w14:textId="4531F562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4,</w:t>
            </w:r>
            <w:r w:rsidR="003E3C1F" w:rsidRPr="004920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  <w:r w:rsidRPr="004920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</w:tr>
      <w:tr w:rsidR="00E12391" w:rsidRPr="004920C6" w14:paraId="7E3015FC" w14:textId="77777777" w:rsidTr="00992090">
        <w:trPr>
          <w:trHeight w:val="24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CF13" w14:textId="77777777" w:rsidR="00E12391" w:rsidRPr="004920C6" w:rsidRDefault="00E12391" w:rsidP="00E12391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Podíl zůstatků podrozvahových aktiv na aktivech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7F0C1" w14:textId="1B2A0C02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3,</w:t>
            </w:r>
            <w:r w:rsidR="003E3C1F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6</w:t>
            </w: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C08AF" w14:textId="4D4F15B0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9,</w:t>
            </w:r>
            <w:r w:rsidR="003E3C1F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4</w:t>
            </w: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6030F" w14:textId="6DFFE3C4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63,2 %</w:t>
            </w:r>
          </w:p>
        </w:tc>
      </w:tr>
      <w:tr w:rsidR="00E12391" w:rsidRPr="004920C6" w14:paraId="6ED1958D" w14:textId="77777777" w:rsidTr="00992090">
        <w:trPr>
          <w:trHeight w:val="24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65F3" w14:textId="77777777" w:rsidR="00E12391" w:rsidRPr="004920C6" w:rsidRDefault="00E12391" w:rsidP="00E12391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Podíl zůstatků podrozvahových pasiv na cizích zdrojích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E96D" w14:textId="0CD1C673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17,6 %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E5BF" w14:textId="3B8DC439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3,</w:t>
            </w:r>
            <w:r w:rsidR="003E3C1F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4</w:t>
            </w: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8A07B" w14:textId="48ADA06A" w:rsidR="00E12391" w:rsidRPr="004920C6" w:rsidRDefault="00E12391" w:rsidP="00E1239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0,7 %</w:t>
            </w:r>
          </w:p>
        </w:tc>
      </w:tr>
    </w:tbl>
    <w:p w14:paraId="66E23BA3" w14:textId="01ED7174" w:rsidR="00110A9C" w:rsidRPr="004920C6" w:rsidRDefault="00110A9C" w:rsidP="003E3C1F">
      <w:pPr>
        <w:keepNext/>
        <w:spacing w:after="240"/>
        <w:jc w:val="both"/>
        <w:rPr>
          <w:rFonts w:cs="Arial"/>
          <w:bCs/>
          <w:sz w:val="20"/>
          <w:szCs w:val="20"/>
        </w:rPr>
      </w:pPr>
      <w:r w:rsidRPr="004920C6">
        <w:rPr>
          <w:rFonts w:cs="Arial"/>
          <w:b/>
          <w:sz w:val="20"/>
          <w:szCs w:val="20"/>
        </w:rPr>
        <w:t>Zdroj: </w:t>
      </w:r>
      <w:r w:rsidRPr="004920C6">
        <w:rPr>
          <w:rFonts w:cs="Arial"/>
          <w:bCs/>
          <w:sz w:val="20"/>
          <w:szCs w:val="20"/>
        </w:rPr>
        <w:t>účetní závěrky</w:t>
      </w:r>
      <w:r w:rsidR="003E3C1F" w:rsidRPr="004920C6">
        <w:rPr>
          <w:rFonts w:cs="Arial"/>
          <w:bCs/>
          <w:sz w:val="20"/>
          <w:szCs w:val="20"/>
        </w:rPr>
        <w:t xml:space="preserve"> MK</w:t>
      </w:r>
      <w:r w:rsidRPr="004920C6">
        <w:rPr>
          <w:rFonts w:cs="Arial"/>
          <w:bCs/>
          <w:sz w:val="20"/>
          <w:szCs w:val="20"/>
        </w:rPr>
        <w:t xml:space="preserve"> za roky 202</w:t>
      </w:r>
      <w:r w:rsidR="003E3C1F" w:rsidRPr="004920C6">
        <w:rPr>
          <w:rFonts w:cs="Arial"/>
          <w:bCs/>
          <w:sz w:val="20"/>
          <w:szCs w:val="20"/>
        </w:rPr>
        <w:t>2</w:t>
      </w:r>
      <w:r w:rsidRPr="004920C6">
        <w:rPr>
          <w:rFonts w:cs="Arial"/>
          <w:bCs/>
          <w:sz w:val="20"/>
          <w:szCs w:val="20"/>
        </w:rPr>
        <w:t xml:space="preserve"> až 202</w:t>
      </w:r>
      <w:r w:rsidR="003E3C1F" w:rsidRPr="004920C6">
        <w:rPr>
          <w:rFonts w:cs="Arial"/>
          <w:bCs/>
          <w:sz w:val="20"/>
          <w:szCs w:val="20"/>
        </w:rPr>
        <w:t>4</w:t>
      </w:r>
      <w:r w:rsidRPr="004920C6">
        <w:rPr>
          <w:rFonts w:cs="Arial"/>
          <w:bCs/>
          <w:sz w:val="20"/>
          <w:szCs w:val="20"/>
        </w:rPr>
        <w:t>; vypracoval NKÚ.</w:t>
      </w:r>
    </w:p>
    <w:p w14:paraId="0A3F69D6" w14:textId="0A15DCB1" w:rsidR="008E4679" w:rsidRPr="004920C6" w:rsidRDefault="00142621" w:rsidP="00142621">
      <w:pPr>
        <w:spacing w:before="120"/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</w:rPr>
        <w:t xml:space="preserve">Podmíněná aktiva a podmíněná pasiva MK lze rozdělit do kategorií uvedených v následující tabulce. Většina podmíněných pohledávek a podmíněných závazků, které MK v roce 2024 vykázalo, </w:t>
      </w:r>
      <w:r w:rsidR="00D92EF1">
        <w:rPr>
          <w:rFonts w:asciiTheme="minorHAnsi" w:hAnsiTheme="minorHAnsi" w:cstheme="minorHAnsi"/>
        </w:rPr>
        <w:t>spadala do kategorie</w:t>
      </w:r>
      <w:r w:rsidRPr="004920C6">
        <w:rPr>
          <w:rFonts w:asciiTheme="minorHAnsi" w:hAnsiTheme="minorHAnsi" w:cstheme="minorHAnsi"/>
        </w:rPr>
        <w:t xml:space="preserve"> jistých a očekávaných</w:t>
      </w:r>
      <w:r w:rsidR="00D92EF1">
        <w:rPr>
          <w:rFonts w:asciiTheme="minorHAnsi" w:hAnsiTheme="minorHAnsi" w:cstheme="minorHAnsi"/>
        </w:rPr>
        <w:t xml:space="preserve"> aktiv/pasiv</w:t>
      </w:r>
      <w:r w:rsidRPr="004920C6">
        <w:rPr>
          <w:rFonts w:asciiTheme="minorHAnsi" w:hAnsiTheme="minorHAnsi" w:cstheme="minorHAnsi"/>
        </w:rPr>
        <w:t>. Jednalo se zejména o</w:t>
      </w:r>
      <w:r w:rsidR="00D92EF1">
        <w:rPr>
          <w:rFonts w:asciiTheme="minorHAnsi" w:hAnsiTheme="minorHAnsi" w:cstheme="minorHAnsi"/>
        </w:rPr>
        <w:t> </w:t>
      </w:r>
      <w:r w:rsidRPr="004920C6">
        <w:rPr>
          <w:rFonts w:asciiTheme="minorHAnsi" w:hAnsiTheme="minorHAnsi" w:cstheme="minorHAnsi"/>
        </w:rPr>
        <w:t>podmíněné závazky z titulu poskytovaných dotací.</w:t>
      </w:r>
    </w:p>
    <w:p w14:paraId="280DF7C8" w14:textId="2B6E724F" w:rsidR="00142621" w:rsidRPr="004920C6" w:rsidRDefault="008E4679" w:rsidP="008E4679">
      <w:pPr>
        <w:tabs>
          <w:tab w:val="right" w:pos="9070"/>
        </w:tabs>
        <w:spacing w:after="60"/>
        <w:jc w:val="both"/>
        <w:rPr>
          <w:rFonts w:cs="Calibri"/>
          <w:b/>
          <w:bCs/>
          <w:lang w:eastAsia="cs-CZ"/>
        </w:rPr>
      </w:pPr>
      <w:r w:rsidRPr="004920C6">
        <w:rPr>
          <w:rFonts w:cs="Calibri"/>
          <w:b/>
          <w:bCs/>
          <w:lang w:eastAsia="cs-CZ"/>
        </w:rPr>
        <w:t xml:space="preserve">Tabulka č. </w:t>
      </w:r>
      <w:r w:rsidR="003F551A">
        <w:rPr>
          <w:rFonts w:cs="Calibri"/>
          <w:b/>
          <w:bCs/>
          <w:lang w:eastAsia="cs-CZ"/>
        </w:rPr>
        <w:t>3</w:t>
      </w:r>
      <w:r w:rsidRPr="004920C6">
        <w:rPr>
          <w:rFonts w:cs="Calibri"/>
          <w:b/>
          <w:bCs/>
          <w:lang w:eastAsia="cs-CZ"/>
        </w:rPr>
        <w:t xml:space="preserve">: Kategorizace podmíněných aktiv a podmíněných pasiv </w:t>
      </w:r>
      <w:r w:rsidRPr="004920C6">
        <w:rPr>
          <w:rFonts w:cs="Calibri"/>
          <w:b/>
          <w:bCs/>
          <w:lang w:eastAsia="cs-CZ"/>
        </w:rPr>
        <w:tab/>
        <w:t>(v mil. Kč)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142621" w:rsidRPr="004920C6" w14:paraId="185CDE31" w14:textId="77777777" w:rsidTr="00055879">
        <w:trPr>
          <w:trHeight w:val="420"/>
          <w:tblHeader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3AE777D7" w14:textId="7B009149" w:rsidR="00142621" w:rsidRPr="004920C6" w:rsidRDefault="00142621" w:rsidP="0014262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Kategorie/oblast (PÚ)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5CED582F" w14:textId="2218F51A" w:rsidR="00142621" w:rsidRPr="004920C6" w:rsidRDefault="00142621" w:rsidP="0014262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Hodnota vykázaná k 31.</w:t>
            </w:r>
            <w:r w:rsidR="008E4679" w:rsidRPr="004920C6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 xml:space="preserve"> prosinci </w:t>
            </w:r>
            <w:r w:rsidRPr="004920C6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2024</w:t>
            </w:r>
          </w:p>
        </w:tc>
      </w:tr>
      <w:tr w:rsidR="00142621" w:rsidRPr="004920C6" w14:paraId="2183AF9F" w14:textId="77777777" w:rsidTr="00142621">
        <w:trPr>
          <w:trHeight w:val="22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  <w:hideMark/>
          </w:tcPr>
          <w:p w14:paraId="3DC4AC7B" w14:textId="2B2DD43C" w:rsidR="00142621" w:rsidRPr="004920C6" w:rsidRDefault="00142621" w:rsidP="0014262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I. v podstatě jist</w:t>
            </w:r>
            <w:r w:rsidR="00D92EF1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á</w:t>
            </w:r>
            <w:r w:rsidRPr="004920C6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 xml:space="preserve"> a očekávan</w:t>
            </w:r>
            <w:r w:rsidR="00E0403C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 xml:space="preserve">á </w:t>
            </w:r>
            <w:r w:rsidR="00D92EF1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aktiva/pasiva</w:t>
            </w:r>
            <w:r w:rsidRPr="004920C6">
              <w:rPr>
                <w:rStyle w:val="Znakapoznpodarou"/>
                <w:rFonts w:cs="Calibri"/>
                <w:b/>
                <w:sz w:val="18"/>
                <w:szCs w:val="18"/>
              </w:rPr>
              <w:footnoteReference w:id="36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</w:tcPr>
          <w:p w14:paraId="3D19CABE" w14:textId="72F7266B" w:rsidR="00142621" w:rsidRPr="004920C6" w:rsidRDefault="00142621" w:rsidP="00142621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9</w:t>
            </w:r>
            <w:r w:rsidR="008E4679"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 </w:t>
            </w:r>
            <w:r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316</w:t>
            </w:r>
            <w:r w:rsidR="008E4679" w:rsidRPr="004920C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,4</w:t>
            </w:r>
          </w:p>
        </w:tc>
      </w:tr>
      <w:tr w:rsidR="00142621" w:rsidRPr="004920C6" w14:paraId="6A557DB8" w14:textId="77777777" w:rsidTr="00142621">
        <w:trPr>
          <w:trHeight w:val="22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51D02" w14:textId="6F4DA957" w:rsidR="00142621" w:rsidRPr="004920C6" w:rsidRDefault="00142621" w:rsidP="0014262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ostatní podmíněné závazky z transferů (</w:t>
            </w:r>
            <w:r w:rsidR="001D2D69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PÚ</w:t>
            </w: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916 a 956)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C30B" w14:textId="06ACAB8B" w:rsidR="00142621" w:rsidRPr="004920C6" w:rsidRDefault="00142621" w:rsidP="00142621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8</w:t>
            </w:r>
            <w:r w:rsidR="008E4679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950</w:t>
            </w:r>
            <w:r w:rsidR="008E4679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,8</w:t>
            </w:r>
          </w:p>
        </w:tc>
      </w:tr>
      <w:tr w:rsidR="00142621" w:rsidRPr="004920C6" w14:paraId="3C548AF3" w14:textId="77777777" w:rsidTr="00142621">
        <w:trPr>
          <w:trHeight w:val="22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4FE71" w14:textId="0C257BAF" w:rsidR="00142621" w:rsidRPr="004920C6" w:rsidRDefault="00142621" w:rsidP="00142621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podmíněné závazky z jiných smluv (</w:t>
            </w:r>
            <w:r w:rsidR="001D2D69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PÚ</w:t>
            </w: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973 a</w:t>
            </w:r>
            <w:r w:rsidR="001D2D69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974)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225E4" w14:textId="7018CAE0" w:rsidR="00142621" w:rsidRPr="004920C6" w:rsidRDefault="00142621" w:rsidP="0014262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15</w:t>
            </w:r>
            <w:r w:rsidR="008E4679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3,0</w:t>
            </w:r>
          </w:p>
        </w:tc>
      </w:tr>
      <w:tr w:rsidR="00142621" w:rsidRPr="004920C6" w14:paraId="285B1987" w14:textId="77777777" w:rsidTr="00142621">
        <w:trPr>
          <w:trHeight w:val="22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4E11" w14:textId="347BA9C5" w:rsidR="00142621" w:rsidRPr="004920C6" w:rsidRDefault="00142621" w:rsidP="00142621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podmíněné pohledávky z předfinancování transferů (</w:t>
            </w:r>
            <w:r w:rsidR="009623FD"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PÚ</w:t>
            </w:r>
            <w:r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 xml:space="preserve"> 951)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A816" w14:textId="1C281615" w:rsidR="00142621" w:rsidRPr="004920C6" w:rsidRDefault="00142621" w:rsidP="0014262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10</w:t>
            </w:r>
            <w:r w:rsidR="008E4679"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9,0</w:t>
            </w:r>
          </w:p>
        </w:tc>
      </w:tr>
      <w:tr w:rsidR="00142621" w:rsidRPr="004920C6" w14:paraId="2089A1D0" w14:textId="77777777" w:rsidTr="00142621">
        <w:trPr>
          <w:trHeight w:val="22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1919" w14:textId="08ABE138" w:rsidR="00142621" w:rsidRPr="004920C6" w:rsidRDefault="00142621" w:rsidP="00142621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podmíněné závazky ze zahraničních transferů (</w:t>
            </w:r>
            <w:r w:rsidR="009623FD"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PÚ</w:t>
            </w:r>
            <w:r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 xml:space="preserve"> 914 a 954)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2B1BD" w14:textId="5002B4FE" w:rsidR="00142621" w:rsidRPr="004920C6" w:rsidRDefault="00142621" w:rsidP="00142621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71</w:t>
            </w:r>
            <w:r w:rsidR="008E4679" w:rsidRPr="004920C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,7</w:t>
            </w:r>
          </w:p>
        </w:tc>
      </w:tr>
      <w:tr w:rsidR="00142621" w:rsidRPr="004920C6" w14:paraId="60EF9214" w14:textId="77777777" w:rsidTr="00142621">
        <w:trPr>
          <w:trHeight w:val="236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6FAB" w14:textId="77777777" w:rsidR="00142621" w:rsidRPr="004920C6" w:rsidRDefault="00142621" w:rsidP="0014262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ostatní dlouhodobá podmíněná pasiva (PÚ 994)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DB6C" w14:textId="36E1E67B" w:rsidR="00142621" w:rsidRPr="004920C6" w:rsidRDefault="00142621" w:rsidP="0014262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18</w:t>
            </w:r>
            <w:r w:rsidR="008E4679"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,1</w:t>
            </w:r>
          </w:p>
        </w:tc>
      </w:tr>
      <w:tr w:rsidR="00142621" w:rsidRPr="004920C6" w14:paraId="1D79FBC1" w14:textId="77777777" w:rsidTr="00142621">
        <w:trPr>
          <w:trHeight w:val="236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ECEB" w14:textId="77777777" w:rsidR="00142621" w:rsidRPr="004920C6" w:rsidRDefault="00142621" w:rsidP="0014262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podmíněné pohledávky ze zahraničních transferů (PÚ 953)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E38A" w14:textId="1D948E8F" w:rsidR="00142621" w:rsidRPr="004920C6" w:rsidRDefault="00142621" w:rsidP="0014262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</w:t>
            </w:r>
            <w:r w:rsidR="008E4679"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,6</w:t>
            </w:r>
          </w:p>
        </w:tc>
      </w:tr>
      <w:tr w:rsidR="00142621" w:rsidRPr="004920C6" w14:paraId="7E2B45E4" w14:textId="77777777" w:rsidTr="00142621">
        <w:trPr>
          <w:trHeight w:val="236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CDB0" w14:textId="56708838" w:rsidR="00142621" w:rsidRPr="004920C6" w:rsidRDefault="00142621" w:rsidP="0014262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podmíněné závazky ze smluv o pořízení dlouhodobého majetku (PÚ 971 a 972)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CA15" w14:textId="2B9C58C4" w:rsidR="00142621" w:rsidRPr="004920C6" w:rsidRDefault="00142621" w:rsidP="0014262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4</w:t>
            </w:r>
            <w:r w:rsidR="008E4679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,9</w:t>
            </w:r>
          </w:p>
        </w:tc>
      </w:tr>
      <w:tr w:rsidR="00142621" w:rsidRPr="004920C6" w14:paraId="69665811" w14:textId="77777777" w:rsidTr="00142621">
        <w:trPr>
          <w:trHeight w:val="236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39DB" w14:textId="172C6816" w:rsidR="00142621" w:rsidRPr="004920C6" w:rsidRDefault="00142621" w:rsidP="00142621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podmíněné pohledávky z jiných smluv (PÚ 933 a 934)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747A" w14:textId="43B2C9C7" w:rsidR="00142621" w:rsidRPr="004920C6" w:rsidRDefault="00142621" w:rsidP="0014262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</w:t>
            </w:r>
            <w:r w:rsidR="008E4679" w:rsidRPr="00492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,4</w:t>
            </w:r>
          </w:p>
        </w:tc>
      </w:tr>
      <w:tr w:rsidR="00142621" w:rsidRPr="004920C6" w14:paraId="7C9356A4" w14:textId="77777777" w:rsidTr="00142621">
        <w:trPr>
          <w:trHeight w:val="22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  <w:hideMark/>
          </w:tcPr>
          <w:p w14:paraId="164D65CF" w14:textId="1833B919" w:rsidR="00142621" w:rsidRPr="004920C6" w:rsidRDefault="00142621" w:rsidP="0014262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 xml:space="preserve">II. </w:t>
            </w:r>
            <w:r w:rsidR="00D92EF1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 xml:space="preserve">aktiva/pasiva </w:t>
            </w:r>
            <w:r w:rsidRPr="004920C6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podmíněn</w:t>
            </w:r>
            <w:r w:rsidR="00D92EF1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á</w:t>
            </w:r>
            <w:r w:rsidRPr="004920C6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 xml:space="preserve"> specifickým rizikem, jež není plně pod kontrolou účetní jednotky</w:t>
            </w:r>
            <w:r w:rsidRPr="004920C6">
              <w:rPr>
                <w:rStyle w:val="Znakapoznpodarou"/>
                <w:rFonts w:cs="Calibri"/>
                <w:b/>
                <w:sz w:val="18"/>
                <w:szCs w:val="18"/>
              </w:rPr>
              <w:footnoteReference w:id="3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</w:tcPr>
          <w:p w14:paraId="324783AD" w14:textId="38F21241" w:rsidR="00142621" w:rsidRPr="004920C6" w:rsidRDefault="00142621" w:rsidP="00142621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5</w:t>
            </w:r>
            <w:r w:rsidR="00A464E9" w:rsidRPr="004920C6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,2</w:t>
            </w:r>
          </w:p>
        </w:tc>
      </w:tr>
      <w:tr w:rsidR="00142621" w:rsidRPr="004920C6" w14:paraId="284A1CFB" w14:textId="77777777" w:rsidTr="00142621">
        <w:trPr>
          <w:trHeight w:val="236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FC6C4" w14:textId="77777777" w:rsidR="00142621" w:rsidRPr="004920C6" w:rsidRDefault="00142621" w:rsidP="0014262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podmíněné pohledávky ze soudních sporů, správních řízení a jiných řízení (PÚ 948)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2A57" w14:textId="172E3163" w:rsidR="00142621" w:rsidRPr="004920C6" w:rsidRDefault="00A464E9" w:rsidP="0014262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5,0</w:t>
            </w:r>
          </w:p>
        </w:tc>
      </w:tr>
      <w:tr w:rsidR="00142621" w:rsidRPr="004920C6" w14:paraId="4D279FEA" w14:textId="77777777" w:rsidTr="00142621">
        <w:trPr>
          <w:trHeight w:val="236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86B3" w14:textId="77777777" w:rsidR="00142621" w:rsidRPr="004920C6" w:rsidRDefault="00142621" w:rsidP="0014262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podmíněné závazky ze soudních sporů, správních řízení a jiných řízení (PÚ 986)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A5FBD" w14:textId="7DD18A3C" w:rsidR="00142621" w:rsidRPr="004920C6" w:rsidRDefault="00A464E9" w:rsidP="0014262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0,2</w:t>
            </w:r>
          </w:p>
        </w:tc>
      </w:tr>
      <w:tr w:rsidR="00142621" w:rsidRPr="004920C6" w14:paraId="518E7EED" w14:textId="77777777" w:rsidTr="00142621">
        <w:trPr>
          <w:trHeight w:val="236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  <w:hideMark/>
          </w:tcPr>
          <w:p w14:paraId="042EAE13" w14:textId="1883A743" w:rsidR="00142621" w:rsidRPr="004920C6" w:rsidRDefault="00142621" w:rsidP="0014262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 xml:space="preserve">III. </w:t>
            </w:r>
            <w:r w:rsidR="00E0403C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 xml:space="preserve">aktiva/pasiva </w:t>
            </w:r>
            <w:r w:rsidRPr="004920C6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nejist</w:t>
            </w:r>
            <w:r w:rsidR="00E0403C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á</w:t>
            </w:r>
            <w:r w:rsidRPr="004920C6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, neočekávan</w:t>
            </w:r>
            <w:r w:rsidR="00E0403C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á</w:t>
            </w:r>
            <w:r w:rsidRPr="004920C6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 xml:space="preserve"> k plnění</w:t>
            </w:r>
            <w:r w:rsidRPr="004920C6">
              <w:rPr>
                <w:rStyle w:val="Znakapoznpodarou"/>
                <w:rFonts w:cs="Calibri"/>
                <w:b/>
                <w:sz w:val="18"/>
                <w:szCs w:val="18"/>
              </w:rPr>
              <w:footnoteReference w:id="3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</w:tcPr>
          <w:p w14:paraId="0DD8CF1F" w14:textId="15EC3CE2" w:rsidR="00142621" w:rsidRPr="004920C6" w:rsidRDefault="00142621" w:rsidP="00142621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73</w:t>
            </w:r>
            <w:r w:rsidR="00A464E9" w:rsidRPr="004920C6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,0</w:t>
            </w:r>
          </w:p>
        </w:tc>
      </w:tr>
      <w:tr w:rsidR="00142621" w:rsidRPr="004920C6" w14:paraId="1FEF0B9F" w14:textId="77777777" w:rsidTr="00142621">
        <w:trPr>
          <w:trHeight w:val="272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1972" w14:textId="77777777" w:rsidR="00142621" w:rsidRPr="004920C6" w:rsidRDefault="00142621" w:rsidP="00142621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podmíněné závazky z důvodu užívání cizího majetku na základě smlouvy o výpůjčce (PÚ 966)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11F7" w14:textId="4AF96F2F" w:rsidR="00142621" w:rsidRPr="004920C6" w:rsidRDefault="00142621" w:rsidP="0014262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72</w:t>
            </w:r>
            <w:r w:rsidR="00A464E9"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,8</w:t>
            </w:r>
          </w:p>
        </w:tc>
      </w:tr>
      <w:tr w:rsidR="00142621" w:rsidRPr="004920C6" w14:paraId="729CE34A" w14:textId="77777777" w:rsidTr="00142621">
        <w:trPr>
          <w:trHeight w:val="272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92E7" w14:textId="77777777" w:rsidR="00142621" w:rsidRPr="004920C6" w:rsidRDefault="00142621" w:rsidP="00142621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podmíněné závazky z důvodu užívání cizího majetku nebo jeho převzetí z jiných důvodů (PÚ 967)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6DFA" w14:textId="514DCEE6" w:rsidR="00142621" w:rsidRPr="004920C6" w:rsidRDefault="00A464E9" w:rsidP="00142621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0,2</w:t>
            </w:r>
          </w:p>
        </w:tc>
      </w:tr>
    </w:tbl>
    <w:p w14:paraId="635C0979" w14:textId="38D3F1E5" w:rsidR="007332A3" w:rsidRPr="004920C6" w:rsidRDefault="007332A3" w:rsidP="001910D6">
      <w:pPr>
        <w:keepNext/>
        <w:spacing w:after="0"/>
        <w:ind w:left="567" w:hanging="567"/>
        <w:jc w:val="both"/>
        <w:rPr>
          <w:rFonts w:cs="Arial"/>
          <w:bCs/>
          <w:sz w:val="20"/>
          <w:szCs w:val="20"/>
        </w:rPr>
      </w:pPr>
      <w:r w:rsidRPr="004920C6">
        <w:rPr>
          <w:rFonts w:cs="Arial"/>
          <w:b/>
          <w:sz w:val="20"/>
          <w:szCs w:val="20"/>
        </w:rPr>
        <w:t>Zdroj:</w:t>
      </w:r>
      <w:r w:rsidR="00777D4D" w:rsidRPr="004920C6">
        <w:rPr>
          <w:rFonts w:cs="Arial"/>
          <w:b/>
          <w:sz w:val="20"/>
          <w:szCs w:val="20"/>
        </w:rPr>
        <w:t xml:space="preserve"> </w:t>
      </w:r>
      <w:r w:rsidR="00777D4D" w:rsidRPr="004920C6">
        <w:rPr>
          <w:rFonts w:cs="Arial"/>
          <w:b/>
          <w:sz w:val="20"/>
          <w:szCs w:val="20"/>
        </w:rPr>
        <w:tab/>
      </w:r>
      <w:r w:rsidRPr="004920C6">
        <w:rPr>
          <w:rFonts w:cs="Arial"/>
          <w:bCs/>
          <w:sz w:val="20"/>
          <w:szCs w:val="20"/>
        </w:rPr>
        <w:t>ÚZ; vypracoval NKÚ.</w:t>
      </w:r>
    </w:p>
    <w:p w14:paraId="1F248DC7" w14:textId="0DB47050" w:rsidR="00380A10" w:rsidRPr="004920C6" w:rsidRDefault="009623FD" w:rsidP="009623FD">
      <w:pPr>
        <w:spacing w:after="160" w:line="259" w:lineRule="auto"/>
        <w:ind w:left="567" w:hanging="567"/>
        <w:rPr>
          <w:rFonts w:cs="Arial"/>
          <w:bCs/>
          <w:sz w:val="20"/>
          <w:szCs w:val="20"/>
        </w:rPr>
      </w:pPr>
      <w:r w:rsidRPr="004920C6">
        <w:rPr>
          <w:rFonts w:asciiTheme="minorHAnsi" w:eastAsiaTheme="minorHAnsi" w:hAnsiTheme="minorHAnsi" w:cs="Calibri"/>
          <w:b/>
          <w:sz w:val="20"/>
          <w:szCs w:val="20"/>
        </w:rPr>
        <w:t xml:space="preserve">Pozn.: </w:t>
      </w:r>
      <w:r w:rsidRPr="004920C6">
        <w:rPr>
          <w:rFonts w:asciiTheme="minorHAnsi" w:eastAsiaTheme="minorHAnsi" w:hAnsiTheme="minorHAnsi" w:cs="Calibri"/>
          <w:b/>
          <w:sz w:val="20"/>
          <w:szCs w:val="20"/>
        </w:rPr>
        <w:tab/>
      </w:r>
      <w:r w:rsidRPr="004920C6">
        <w:rPr>
          <w:rFonts w:asciiTheme="minorHAnsi" w:eastAsiaTheme="minorHAnsi" w:hAnsiTheme="minorHAnsi" w:cs="Calibri"/>
          <w:bCs/>
          <w:sz w:val="20"/>
          <w:szCs w:val="20"/>
        </w:rPr>
        <w:t>PÚ – podrozvahový</w:t>
      </w:r>
      <w:r w:rsidR="00D92EF1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="00D92EF1" w:rsidRPr="004920C6">
        <w:rPr>
          <w:rFonts w:asciiTheme="minorHAnsi" w:eastAsiaTheme="minorHAnsi" w:hAnsiTheme="minorHAnsi" w:cs="Calibri"/>
          <w:bCs/>
          <w:sz w:val="20"/>
          <w:szCs w:val="20"/>
        </w:rPr>
        <w:t>účet</w:t>
      </w:r>
      <w:r w:rsidR="00D92EF1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Pr="004920C6">
        <w:rPr>
          <w:rFonts w:asciiTheme="minorHAnsi" w:eastAsiaTheme="minorHAnsi" w:hAnsiTheme="minorHAnsi" w:cs="Calibri"/>
          <w:bCs/>
          <w:sz w:val="20"/>
          <w:szCs w:val="20"/>
        </w:rPr>
        <w:t>/</w:t>
      </w:r>
      <w:r w:rsidR="00D92EF1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Pr="004920C6">
        <w:rPr>
          <w:rFonts w:asciiTheme="minorHAnsi" w:eastAsiaTheme="minorHAnsi" w:hAnsiTheme="minorHAnsi" w:cs="Calibri"/>
          <w:bCs/>
          <w:sz w:val="20"/>
          <w:szCs w:val="20"/>
        </w:rPr>
        <w:t xml:space="preserve">podrozvahové účty. </w:t>
      </w:r>
      <w:r w:rsidR="00380A10" w:rsidRPr="004920C6">
        <w:rPr>
          <w:rFonts w:cs="Arial"/>
          <w:bCs/>
          <w:sz w:val="20"/>
          <w:szCs w:val="20"/>
        </w:rPr>
        <w:br w:type="page"/>
      </w:r>
    </w:p>
    <w:p w14:paraId="3DD589EB" w14:textId="77777777" w:rsidR="00FE04E6" w:rsidRPr="004920C6" w:rsidRDefault="00FE04E6" w:rsidP="00B40587">
      <w:pPr>
        <w:pStyle w:val="Zhlav"/>
        <w:spacing w:before="240" w:after="120"/>
        <w:jc w:val="right"/>
        <w:rPr>
          <w:b/>
        </w:rPr>
      </w:pPr>
      <w:r w:rsidRPr="004920C6">
        <w:rPr>
          <w:b/>
        </w:rPr>
        <w:lastRenderedPageBreak/>
        <w:t>Příloha č. 3</w:t>
      </w:r>
    </w:p>
    <w:p w14:paraId="4418C32E" w14:textId="243686D4" w:rsidR="00FE04E6" w:rsidRPr="004920C6" w:rsidRDefault="00FE04E6" w:rsidP="00FE04E6">
      <w:pPr>
        <w:pStyle w:val="Styl4"/>
        <w:spacing w:after="120"/>
      </w:pPr>
      <w:r w:rsidRPr="00C649C3">
        <w:rPr>
          <w:i/>
          <w:iCs/>
        </w:rPr>
        <w:t>Národní plán obnovy</w:t>
      </w:r>
      <w:r w:rsidRPr="004920C6">
        <w:t xml:space="preserve"> v</w:t>
      </w:r>
      <w:r w:rsidR="006E481F" w:rsidRPr="004920C6">
        <w:t> </w:t>
      </w:r>
      <w:r w:rsidRPr="004920C6">
        <w:t>podmínkách</w:t>
      </w:r>
      <w:r w:rsidR="006E481F" w:rsidRPr="004920C6">
        <w:t xml:space="preserve"> MK</w:t>
      </w:r>
      <w:r w:rsidRPr="004920C6">
        <w:t xml:space="preserve"> </w:t>
      </w:r>
    </w:p>
    <w:p w14:paraId="05048824" w14:textId="03273EC6" w:rsidR="00576F62" w:rsidRPr="004920C6" w:rsidRDefault="00FE04E6" w:rsidP="00DC6D8B">
      <w:pPr>
        <w:spacing w:after="160"/>
        <w:jc w:val="both"/>
        <w:rPr>
          <w:rFonts w:asciiTheme="minorHAnsi" w:hAnsiTheme="minorHAnsi" w:cstheme="minorHAnsi"/>
          <w:shd w:val="clear" w:color="auto" w:fill="FFFFFF"/>
        </w:rPr>
      </w:pPr>
      <w:r w:rsidRPr="004920C6">
        <w:rPr>
          <w:rFonts w:asciiTheme="minorHAnsi" w:hAnsiTheme="minorHAnsi" w:cstheme="minorHAnsi"/>
          <w:shd w:val="clear" w:color="auto" w:fill="FFFFFF"/>
        </w:rPr>
        <w:t>NPO představuje plán</w:t>
      </w:r>
      <w:r w:rsidR="00145EBC" w:rsidRPr="004920C6">
        <w:rPr>
          <w:rFonts w:asciiTheme="minorHAnsi" w:hAnsiTheme="minorHAnsi" w:cstheme="minorHAnsi"/>
          <w:shd w:val="clear" w:color="auto" w:fill="FFFFFF"/>
        </w:rPr>
        <w:t xml:space="preserve"> reforem a investic</w:t>
      </w:r>
      <w:r w:rsidRPr="004920C6">
        <w:rPr>
          <w:rFonts w:asciiTheme="minorHAnsi" w:hAnsiTheme="minorHAnsi" w:cstheme="minorHAnsi"/>
          <w:shd w:val="clear" w:color="auto" w:fill="FFFFFF"/>
        </w:rPr>
        <w:t>, jehož prostřednictvím má Č</w:t>
      </w:r>
      <w:r w:rsidR="00145EBC" w:rsidRPr="004920C6">
        <w:rPr>
          <w:rFonts w:asciiTheme="minorHAnsi" w:hAnsiTheme="minorHAnsi" w:cstheme="minorHAnsi"/>
          <w:shd w:val="clear" w:color="auto" w:fill="FFFFFF"/>
        </w:rPr>
        <w:t>eská republika</w:t>
      </w:r>
      <w:r w:rsidRPr="004920C6">
        <w:rPr>
          <w:rFonts w:asciiTheme="minorHAnsi" w:hAnsiTheme="minorHAnsi" w:cstheme="minorHAnsi"/>
          <w:shd w:val="clear" w:color="auto" w:fill="FFFFFF"/>
        </w:rPr>
        <w:t xml:space="preserve"> možnost čerpat prostředky</w:t>
      </w:r>
      <w:r w:rsidR="00145EBC" w:rsidRPr="004920C6">
        <w:rPr>
          <w:rFonts w:asciiTheme="minorHAnsi" w:hAnsiTheme="minorHAnsi" w:cstheme="minorHAnsi"/>
          <w:shd w:val="clear" w:color="auto" w:fill="FFFFFF"/>
        </w:rPr>
        <w:t xml:space="preserve"> z rozpočtu</w:t>
      </w:r>
      <w:r w:rsidRPr="004920C6">
        <w:rPr>
          <w:rFonts w:asciiTheme="minorHAnsi" w:hAnsiTheme="minorHAnsi" w:cstheme="minorHAnsi"/>
          <w:shd w:val="clear" w:color="auto" w:fill="FFFFFF"/>
        </w:rPr>
        <w:t xml:space="preserve"> EU</w:t>
      </w:r>
      <w:r w:rsidR="00145EBC" w:rsidRPr="004920C6">
        <w:rPr>
          <w:rFonts w:asciiTheme="minorHAnsi" w:hAnsiTheme="minorHAnsi" w:cstheme="minorHAnsi"/>
          <w:shd w:val="clear" w:color="auto" w:fill="FFFFFF"/>
        </w:rPr>
        <w:t>, konkrétně</w:t>
      </w:r>
      <w:r w:rsidRPr="004920C6">
        <w:rPr>
          <w:rFonts w:asciiTheme="minorHAnsi" w:hAnsiTheme="minorHAnsi" w:cstheme="minorHAnsi"/>
          <w:shd w:val="clear" w:color="auto" w:fill="FFFFFF"/>
        </w:rPr>
        <w:t xml:space="preserve"> z </w:t>
      </w:r>
      <w:r w:rsidRPr="00C649C3">
        <w:rPr>
          <w:rFonts w:asciiTheme="minorHAnsi" w:hAnsiTheme="minorHAnsi" w:cstheme="minorHAnsi"/>
          <w:i/>
          <w:iCs/>
          <w:shd w:val="clear" w:color="auto" w:fill="FFFFFF"/>
        </w:rPr>
        <w:t>Nástroje pro oživení a odolnost</w:t>
      </w:r>
      <w:r w:rsidRPr="004920C6">
        <w:rPr>
          <w:rFonts w:asciiTheme="minorHAnsi" w:hAnsiTheme="minorHAnsi" w:cstheme="minorHAnsi"/>
          <w:shd w:val="clear" w:color="auto" w:fill="FFFFFF"/>
        </w:rPr>
        <w:t xml:space="preserve"> (</w:t>
      </w:r>
      <w:proofErr w:type="spellStart"/>
      <w:r w:rsidR="00B9034C" w:rsidRPr="00C649C3">
        <w:rPr>
          <w:rFonts w:asciiTheme="minorHAnsi" w:eastAsiaTheme="minorHAnsi" w:hAnsiTheme="minorHAnsi" w:cstheme="minorHAnsi"/>
          <w:i/>
          <w:iCs/>
        </w:rPr>
        <w:t>Recovery</w:t>
      </w:r>
      <w:proofErr w:type="spellEnd"/>
      <w:r w:rsidR="00B9034C" w:rsidRPr="00C649C3">
        <w:rPr>
          <w:rFonts w:asciiTheme="minorHAnsi" w:eastAsiaTheme="minorHAnsi" w:hAnsiTheme="minorHAnsi" w:cstheme="minorHAnsi"/>
          <w:i/>
          <w:iCs/>
        </w:rPr>
        <w:t xml:space="preserve"> and </w:t>
      </w:r>
      <w:proofErr w:type="spellStart"/>
      <w:r w:rsidR="00B9034C" w:rsidRPr="004C4DC4">
        <w:rPr>
          <w:rFonts w:asciiTheme="minorHAnsi" w:eastAsiaTheme="minorHAnsi" w:hAnsiTheme="minorHAnsi" w:cstheme="minorHAnsi"/>
          <w:i/>
          <w:iCs/>
        </w:rPr>
        <w:t>Resilience</w:t>
      </w:r>
      <w:proofErr w:type="spellEnd"/>
      <w:r w:rsidR="00B9034C" w:rsidRPr="004C4DC4">
        <w:rPr>
          <w:rFonts w:asciiTheme="minorHAnsi" w:eastAsiaTheme="minorHAnsi" w:hAnsiTheme="minorHAnsi" w:cstheme="minorHAnsi"/>
          <w:i/>
          <w:iCs/>
        </w:rPr>
        <w:t xml:space="preserve"> </w:t>
      </w:r>
      <w:r w:rsidR="00B9034C" w:rsidRPr="00C649C3">
        <w:rPr>
          <w:rFonts w:asciiTheme="minorHAnsi" w:eastAsiaTheme="minorHAnsi" w:hAnsiTheme="minorHAnsi" w:cstheme="minorHAnsi"/>
          <w:i/>
          <w:iCs/>
        </w:rPr>
        <w:t>Facility</w:t>
      </w:r>
      <w:r w:rsidR="00145EBC" w:rsidRPr="004920C6">
        <w:rPr>
          <w:rFonts w:asciiTheme="minorHAnsi" w:eastAsiaTheme="minorHAnsi" w:hAnsiTheme="minorHAnsi" w:cstheme="minorHAnsi"/>
        </w:rPr>
        <w:t>,</w:t>
      </w:r>
      <w:r w:rsidR="00B9034C" w:rsidRPr="004920C6">
        <w:rPr>
          <w:rFonts w:asciiTheme="minorHAnsi" w:eastAsia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  <w:shd w:val="clear" w:color="auto" w:fill="FFFFFF"/>
        </w:rPr>
        <w:t xml:space="preserve">dále také „RRF“). </w:t>
      </w:r>
      <w:r w:rsidR="00DC50CD" w:rsidRPr="004920C6">
        <w:rPr>
          <w:rFonts w:asciiTheme="minorHAnsi" w:hAnsiTheme="minorHAnsi" w:cstheme="minorHAnsi"/>
          <w:shd w:val="clear" w:color="auto" w:fill="FFFFFF"/>
        </w:rPr>
        <w:t xml:space="preserve">Tento nástroj byl zřízen na základě </w:t>
      </w:r>
      <w:r w:rsidR="00B40587" w:rsidRPr="004920C6">
        <w:rPr>
          <w:rFonts w:asciiTheme="minorHAnsi" w:hAnsiTheme="minorHAnsi" w:cstheme="minorHAnsi"/>
          <w:shd w:val="clear" w:color="auto" w:fill="FFFFFF"/>
        </w:rPr>
        <w:t>č</w:t>
      </w:r>
      <w:r w:rsidR="00DC50CD" w:rsidRPr="004920C6">
        <w:rPr>
          <w:rFonts w:asciiTheme="minorHAnsi" w:hAnsiTheme="minorHAnsi" w:cstheme="minorHAnsi"/>
          <w:shd w:val="clear" w:color="auto" w:fill="FFFFFF"/>
        </w:rPr>
        <w:t xml:space="preserve">l. 19 </w:t>
      </w:r>
      <w:r w:rsidR="00B40587" w:rsidRPr="004920C6">
        <w:rPr>
          <w:rFonts w:asciiTheme="minorHAnsi" w:hAnsiTheme="minorHAnsi" w:cstheme="minorHAnsi"/>
          <w:shd w:val="clear" w:color="auto" w:fill="FFFFFF"/>
        </w:rPr>
        <w:t>n</w:t>
      </w:r>
      <w:r w:rsidR="00DC50CD" w:rsidRPr="004920C6">
        <w:rPr>
          <w:rFonts w:asciiTheme="minorHAnsi" w:hAnsiTheme="minorHAnsi" w:cstheme="minorHAnsi"/>
          <w:shd w:val="clear" w:color="auto" w:fill="FFFFFF"/>
        </w:rPr>
        <w:t>ařízení Evropského parlamentu a Rady (EU) 2021/241 ze dne 12. února 2021, kterým se zřizuje Nástroj pro oživení a odolnost.</w:t>
      </w:r>
    </w:p>
    <w:p w14:paraId="19E78B0C" w14:textId="22744800" w:rsidR="00DC50CD" w:rsidRPr="004920C6" w:rsidRDefault="00270994" w:rsidP="00DC6D8B">
      <w:pPr>
        <w:spacing w:after="160"/>
        <w:jc w:val="both"/>
        <w:rPr>
          <w:rFonts w:asciiTheme="minorHAnsi" w:hAnsiTheme="minorHAnsi" w:cstheme="minorHAnsi"/>
          <w:spacing w:val="2"/>
          <w:shd w:val="clear" w:color="auto" w:fill="FFFFFF"/>
        </w:rPr>
      </w:pPr>
      <w:r w:rsidRPr="004920C6">
        <w:rPr>
          <w:rFonts w:asciiTheme="minorHAnsi" w:hAnsiTheme="minorHAnsi" w:cstheme="minorHAnsi"/>
          <w:spacing w:val="2"/>
          <w:shd w:val="clear" w:color="auto" w:fill="FFFFFF"/>
        </w:rPr>
        <w:t>Peněžní prostředky</w:t>
      </w:r>
      <w:r w:rsidR="000D1688" w:rsidRPr="004920C6">
        <w:rPr>
          <w:rFonts w:asciiTheme="minorHAnsi" w:hAnsiTheme="minorHAnsi" w:cstheme="minorHAnsi"/>
          <w:spacing w:val="2"/>
          <w:shd w:val="clear" w:color="auto" w:fill="FFFFFF"/>
        </w:rPr>
        <w:t xml:space="preserve"> z RRF</w:t>
      </w:r>
      <w:r w:rsidRPr="004920C6">
        <w:rPr>
          <w:rFonts w:asciiTheme="minorHAnsi" w:hAnsiTheme="minorHAnsi" w:cstheme="minorHAnsi"/>
          <w:spacing w:val="2"/>
          <w:shd w:val="clear" w:color="auto" w:fill="FFFFFF"/>
        </w:rPr>
        <w:t xml:space="preserve"> jsou </w:t>
      </w:r>
      <w:r w:rsidR="00DC50CD" w:rsidRPr="004920C6">
        <w:rPr>
          <w:rFonts w:asciiTheme="minorHAnsi" w:hAnsiTheme="minorHAnsi" w:cstheme="minorHAnsi"/>
          <w:spacing w:val="2"/>
          <w:shd w:val="clear" w:color="auto" w:fill="FFFFFF"/>
        </w:rPr>
        <w:t xml:space="preserve">v ČR </w:t>
      </w:r>
      <w:r w:rsidRPr="004920C6">
        <w:rPr>
          <w:rFonts w:asciiTheme="minorHAnsi" w:hAnsiTheme="minorHAnsi" w:cstheme="minorHAnsi"/>
          <w:spacing w:val="2"/>
          <w:shd w:val="clear" w:color="auto" w:fill="FFFFFF"/>
        </w:rPr>
        <w:t xml:space="preserve">soustředěny na účtu cizích prostředků </w:t>
      </w:r>
      <w:r w:rsidR="008934AE" w:rsidRPr="004920C6">
        <w:rPr>
          <w:rFonts w:asciiTheme="minorHAnsi" w:hAnsiTheme="minorHAnsi" w:cstheme="minorHAnsi"/>
          <w:spacing w:val="2"/>
          <w:shd w:val="clear" w:color="auto" w:fill="FFFFFF"/>
        </w:rPr>
        <w:t xml:space="preserve">u </w:t>
      </w:r>
      <w:r w:rsidRPr="004920C6">
        <w:rPr>
          <w:rFonts w:asciiTheme="minorHAnsi" w:hAnsiTheme="minorHAnsi" w:cstheme="minorHAnsi"/>
          <w:spacing w:val="2"/>
          <w:shd w:val="clear" w:color="auto" w:fill="FFFFFF"/>
        </w:rPr>
        <w:t>odpovědného koordinačního a platebního orgánu</w:t>
      </w:r>
      <w:r w:rsidR="008934AE" w:rsidRPr="004920C6">
        <w:rPr>
          <w:rFonts w:asciiTheme="minorHAnsi" w:hAnsiTheme="minorHAnsi" w:cstheme="minorHAnsi"/>
          <w:spacing w:val="2"/>
          <w:shd w:val="clear" w:color="auto" w:fill="FFFFFF"/>
        </w:rPr>
        <w:t xml:space="preserve">, kterým je útvar </w:t>
      </w:r>
      <w:r w:rsidR="00B40587" w:rsidRPr="004920C6">
        <w:rPr>
          <w:rFonts w:asciiTheme="minorHAnsi" w:hAnsiTheme="minorHAnsi" w:cstheme="minorHAnsi"/>
          <w:spacing w:val="2"/>
          <w:shd w:val="clear" w:color="auto" w:fill="FFFFFF"/>
        </w:rPr>
        <w:t>„</w:t>
      </w:r>
      <w:proofErr w:type="spellStart"/>
      <w:r w:rsidR="008934AE" w:rsidRPr="004920C6">
        <w:rPr>
          <w:rFonts w:asciiTheme="minorHAnsi" w:hAnsiTheme="minorHAnsi" w:cstheme="minorHAnsi"/>
          <w:spacing w:val="2"/>
          <w:shd w:val="clear" w:color="auto" w:fill="FFFFFF"/>
        </w:rPr>
        <w:t>Delivery</w:t>
      </w:r>
      <w:proofErr w:type="spellEnd"/>
      <w:r w:rsidR="008934AE" w:rsidRPr="004920C6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r w:rsidR="00145EBC" w:rsidRPr="004920C6">
        <w:rPr>
          <w:rFonts w:asciiTheme="minorHAnsi" w:hAnsiTheme="minorHAnsi" w:cstheme="minorHAnsi"/>
          <w:spacing w:val="2"/>
          <w:shd w:val="clear" w:color="auto" w:fill="FFFFFF"/>
        </w:rPr>
        <w:t>u</w:t>
      </w:r>
      <w:r w:rsidR="008934AE" w:rsidRPr="004920C6">
        <w:rPr>
          <w:rFonts w:asciiTheme="minorHAnsi" w:hAnsiTheme="minorHAnsi" w:cstheme="minorHAnsi"/>
          <w:spacing w:val="2"/>
          <w:shd w:val="clear" w:color="auto" w:fill="FFFFFF"/>
        </w:rPr>
        <w:t>nit</w:t>
      </w:r>
      <w:r w:rsidR="00B40587" w:rsidRPr="004920C6">
        <w:rPr>
          <w:rFonts w:asciiTheme="minorHAnsi" w:hAnsiTheme="minorHAnsi" w:cstheme="minorHAnsi"/>
          <w:spacing w:val="2"/>
          <w:shd w:val="clear" w:color="auto" w:fill="FFFFFF"/>
        </w:rPr>
        <w:t xml:space="preserve">“ </w:t>
      </w:r>
      <w:r w:rsidR="008934AE" w:rsidRPr="004920C6">
        <w:rPr>
          <w:rFonts w:asciiTheme="minorHAnsi" w:hAnsiTheme="minorHAnsi" w:cstheme="minorHAnsi"/>
          <w:spacing w:val="2"/>
          <w:shd w:val="clear" w:color="auto" w:fill="FFFFFF"/>
        </w:rPr>
        <w:t>Ministerstva průmyslu a</w:t>
      </w:r>
      <w:r w:rsidR="0030121E" w:rsidRPr="004920C6">
        <w:rPr>
          <w:rFonts w:asciiTheme="minorHAnsi" w:hAnsiTheme="minorHAnsi" w:cstheme="minorHAnsi"/>
          <w:spacing w:val="2"/>
          <w:shd w:val="clear" w:color="auto" w:fill="FFFFFF"/>
        </w:rPr>
        <w:t> </w:t>
      </w:r>
      <w:r w:rsidR="008934AE" w:rsidRPr="004920C6">
        <w:rPr>
          <w:rFonts w:asciiTheme="minorHAnsi" w:hAnsiTheme="minorHAnsi" w:cstheme="minorHAnsi"/>
          <w:spacing w:val="2"/>
          <w:shd w:val="clear" w:color="auto" w:fill="FFFFFF"/>
        </w:rPr>
        <w:t>obchodu</w:t>
      </w:r>
      <w:r w:rsidRPr="004920C6">
        <w:rPr>
          <w:rFonts w:asciiTheme="minorHAnsi" w:hAnsiTheme="minorHAnsi" w:cstheme="minorHAnsi"/>
          <w:spacing w:val="2"/>
          <w:shd w:val="clear" w:color="auto" w:fill="FFFFFF"/>
        </w:rPr>
        <w:t xml:space="preserve"> (dále jen „MPO-DU“)</w:t>
      </w:r>
      <w:r w:rsidR="008934AE" w:rsidRPr="004920C6">
        <w:rPr>
          <w:rFonts w:asciiTheme="minorHAnsi" w:hAnsiTheme="minorHAnsi" w:cstheme="minorHAnsi"/>
          <w:spacing w:val="2"/>
          <w:shd w:val="clear" w:color="auto" w:fill="FFFFFF"/>
        </w:rPr>
        <w:t xml:space="preserve">. </w:t>
      </w:r>
      <w:r w:rsidR="00056741" w:rsidRPr="004920C6">
        <w:rPr>
          <w:rFonts w:asciiTheme="minorHAnsi" w:hAnsiTheme="minorHAnsi" w:cstheme="minorHAnsi"/>
          <w:spacing w:val="2"/>
          <w:shd w:val="clear" w:color="auto" w:fill="FFFFFF"/>
        </w:rPr>
        <w:t>Tento b</w:t>
      </w:r>
      <w:r w:rsidR="00145EBC" w:rsidRPr="004920C6">
        <w:rPr>
          <w:rFonts w:asciiTheme="minorHAnsi" w:hAnsiTheme="minorHAnsi" w:cstheme="minorHAnsi"/>
          <w:spacing w:val="2"/>
          <w:shd w:val="clear" w:color="auto" w:fill="FFFFFF"/>
        </w:rPr>
        <w:t>ankovní ú</w:t>
      </w:r>
      <w:r w:rsidR="008934AE" w:rsidRPr="004920C6">
        <w:rPr>
          <w:rFonts w:asciiTheme="minorHAnsi" w:hAnsiTheme="minorHAnsi" w:cstheme="minorHAnsi"/>
          <w:spacing w:val="2"/>
          <w:shd w:val="clear" w:color="auto" w:fill="FFFFFF"/>
        </w:rPr>
        <w:t>čet</w:t>
      </w:r>
      <w:r w:rsidR="004E2749" w:rsidRPr="004920C6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r w:rsidRPr="004920C6">
        <w:rPr>
          <w:rFonts w:asciiTheme="minorHAnsi" w:hAnsiTheme="minorHAnsi" w:cstheme="minorHAnsi"/>
          <w:spacing w:val="2"/>
          <w:shd w:val="clear" w:color="auto" w:fill="FFFFFF"/>
        </w:rPr>
        <w:t>je veden v</w:t>
      </w:r>
      <w:r w:rsidR="00056741" w:rsidRPr="004920C6">
        <w:rPr>
          <w:rFonts w:asciiTheme="minorHAnsi" w:hAnsiTheme="minorHAnsi" w:cstheme="minorHAnsi"/>
          <w:spacing w:val="2"/>
          <w:shd w:val="clear" w:color="auto" w:fill="FFFFFF"/>
        </w:rPr>
        <w:t xml:space="preserve"> českých </w:t>
      </w:r>
      <w:r w:rsidRPr="004920C6">
        <w:rPr>
          <w:rFonts w:asciiTheme="minorHAnsi" w:hAnsiTheme="minorHAnsi" w:cstheme="minorHAnsi"/>
          <w:spacing w:val="2"/>
          <w:shd w:val="clear" w:color="auto" w:fill="FFFFFF"/>
        </w:rPr>
        <w:t xml:space="preserve">korunách </w:t>
      </w:r>
      <w:r w:rsidR="008934AE" w:rsidRPr="004920C6">
        <w:rPr>
          <w:rFonts w:asciiTheme="minorHAnsi" w:hAnsiTheme="minorHAnsi" w:cstheme="minorHAnsi"/>
          <w:spacing w:val="2"/>
          <w:shd w:val="clear" w:color="auto" w:fill="FFFFFF"/>
        </w:rPr>
        <w:t>a j</w:t>
      </w:r>
      <w:r w:rsidRPr="004920C6">
        <w:rPr>
          <w:rFonts w:asciiTheme="minorHAnsi" w:hAnsiTheme="minorHAnsi" w:cstheme="minorHAnsi"/>
          <w:spacing w:val="2"/>
          <w:shd w:val="clear" w:color="auto" w:fill="FFFFFF"/>
        </w:rPr>
        <w:t xml:space="preserve">eho příjmy tvoří převody </w:t>
      </w:r>
      <w:r w:rsidR="008934AE" w:rsidRPr="004920C6">
        <w:rPr>
          <w:rFonts w:asciiTheme="minorHAnsi" w:hAnsiTheme="minorHAnsi" w:cstheme="minorHAnsi"/>
          <w:spacing w:val="2"/>
          <w:shd w:val="clear" w:color="auto" w:fill="FFFFFF"/>
        </w:rPr>
        <w:t>peněžních prostředků</w:t>
      </w:r>
      <w:r w:rsidRPr="004920C6">
        <w:rPr>
          <w:rFonts w:asciiTheme="minorHAnsi" w:hAnsiTheme="minorHAnsi" w:cstheme="minorHAnsi"/>
          <w:spacing w:val="2"/>
          <w:shd w:val="clear" w:color="auto" w:fill="FFFFFF"/>
        </w:rPr>
        <w:t xml:space="preserve"> z Evropské komise. </w:t>
      </w:r>
    </w:p>
    <w:p w14:paraId="58617F94" w14:textId="32187E3D" w:rsidR="00AB0A16" w:rsidRPr="004920C6" w:rsidRDefault="00AB0A16" w:rsidP="00DC6D8B">
      <w:pPr>
        <w:spacing w:after="160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spacing w:val="2"/>
          <w:shd w:val="clear" w:color="auto" w:fill="FFFFFF"/>
        </w:rPr>
        <w:t xml:space="preserve">Pro implementaci NPO vydalo MPO-DU řadu metodických pokynů. </w:t>
      </w:r>
      <w:r w:rsidRPr="004920C6">
        <w:rPr>
          <w:rFonts w:asciiTheme="minorHAnsi" w:hAnsiTheme="minorHAnsi" w:cstheme="minorHAnsi"/>
          <w:bCs/>
        </w:rPr>
        <w:t xml:space="preserve">Základní rámec finančního řízení peněžních prostředků z RRF tvoří </w:t>
      </w:r>
      <w:r w:rsidRPr="004920C6">
        <w:rPr>
          <w:rFonts w:asciiTheme="minorHAnsi" w:hAnsiTheme="minorHAnsi" w:cstheme="minorHAnsi"/>
          <w:bCs/>
          <w:i/>
          <w:iCs/>
        </w:rPr>
        <w:t>Metodický pokyn finančních toků pro Národní plán obnovy na období 2021</w:t>
      </w:r>
      <w:r w:rsidR="00904119">
        <w:rPr>
          <w:rFonts w:asciiTheme="minorHAnsi" w:hAnsiTheme="minorHAnsi" w:cstheme="minorHAnsi"/>
          <w:bCs/>
          <w:i/>
          <w:iCs/>
        </w:rPr>
        <w:t>–</w:t>
      </w:r>
      <w:r w:rsidRPr="004920C6">
        <w:rPr>
          <w:rFonts w:asciiTheme="minorHAnsi" w:hAnsiTheme="minorHAnsi" w:cstheme="minorHAnsi"/>
          <w:bCs/>
          <w:i/>
          <w:iCs/>
        </w:rPr>
        <w:t>2026</w:t>
      </w:r>
      <w:r w:rsidRPr="00C649C3">
        <w:rPr>
          <w:rStyle w:val="Znakapoznpodarou"/>
          <w:rFonts w:asciiTheme="minorHAnsi" w:hAnsiTheme="minorHAnsi" w:cstheme="minorHAnsi"/>
          <w:bCs/>
        </w:rPr>
        <w:footnoteReference w:id="39"/>
      </w:r>
      <w:r w:rsidRPr="004920C6">
        <w:rPr>
          <w:rFonts w:asciiTheme="minorHAnsi" w:hAnsiTheme="minorHAnsi" w:cstheme="minorHAnsi"/>
          <w:bCs/>
        </w:rPr>
        <w:t xml:space="preserve"> (dále také „MP FT“), který obsahuje závazné postupy pro všechny subjekty zapojené do implementace NPO. </w:t>
      </w:r>
    </w:p>
    <w:p w14:paraId="7FAE3F30" w14:textId="70AFAD85" w:rsidR="00AB0A16" w:rsidRPr="004920C6" w:rsidRDefault="000D1688" w:rsidP="00AB0A16">
      <w:pPr>
        <w:spacing w:after="60"/>
        <w:jc w:val="both"/>
        <w:rPr>
          <w:rFonts w:asciiTheme="minorHAnsi" w:hAnsiTheme="minorHAnsi" w:cstheme="minorHAnsi"/>
          <w:lang w:eastAsia="cs-CZ"/>
        </w:rPr>
      </w:pPr>
      <w:r w:rsidRPr="004920C6">
        <w:rPr>
          <w:rFonts w:asciiTheme="minorHAnsi" w:hAnsiTheme="minorHAnsi" w:cstheme="minorHAnsi"/>
          <w:spacing w:val="2"/>
          <w:shd w:val="clear" w:color="auto" w:fill="FFFFFF"/>
        </w:rPr>
        <w:t>NPO je rozdělen do tematických pilířů, které se dále člení na komponenty zahrnující konkrétní reformy a investice.</w:t>
      </w:r>
      <w:r w:rsidR="00AB0A16" w:rsidRPr="004920C6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r w:rsidR="00AB0A16" w:rsidRPr="004920C6">
        <w:rPr>
          <w:rFonts w:asciiTheme="minorHAnsi" w:hAnsiTheme="minorHAnsi" w:cstheme="minorHAnsi"/>
          <w:lang w:eastAsia="cs-CZ"/>
        </w:rPr>
        <w:t>Podle MP FT je MK v pozici OSS, která prostředky rozpočtuje, vydává a přijímá (přímo z účtu cizích prostředků MPO-DU) v roli:</w:t>
      </w:r>
    </w:p>
    <w:p w14:paraId="5ABB17DC" w14:textId="60648528" w:rsidR="00AB0A16" w:rsidRPr="004920C6" w:rsidRDefault="00AB0A16" w:rsidP="00AB0A16">
      <w:pPr>
        <w:pStyle w:val="Odstavecseseznamem"/>
        <w:numPr>
          <w:ilvl w:val="0"/>
          <w:numId w:val="23"/>
        </w:numPr>
        <w:spacing w:after="60"/>
        <w:ind w:left="714" w:hanging="357"/>
        <w:contextualSpacing w:val="0"/>
        <w:jc w:val="both"/>
        <w:rPr>
          <w:rFonts w:cs="Calibri"/>
        </w:rPr>
      </w:pPr>
      <w:r w:rsidRPr="004920C6">
        <w:rPr>
          <w:rFonts w:cs="Calibri"/>
        </w:rPr>
        <w:t xml:space="preserve">vlastníka komponenty 4.5 </w:t>
      </w:r>
      <w:r w:rsidRPr="004920C6">
        <w:rPr>
          <w:rFonts w:cs="Calibri"/>
          <w:i/>
          <w:iCs/>
        </w:rPr>
        <w:t>Rozvoj kulturního a kreativního odvětví</w:t>
      </w:r>
      <w:r w:rsidRPr="004920C6">
        <w:rPr>
          <w:rFonts w:cs="Calibri"/>
        </w:rPr>
        <w:t>, v níž je i konečným příjemcem nebo příjemcem</w:t>
      </w:r>
      <w:r w:rsidR="00677517" w:rsidRPr="004920C6">
        <w:rPr>
          <w:rFonts w:cs="Calibri"/>
        </w:rPr>
        <w:t> </w:t>
      </w:r>
      <w:r w:rsidRPr="004920C6">
        <w:rPr>
          <w:rFonts w:cs="Calibri"/>
        </w:rPr>
        <w:t>–</w:t>
      </w:r>
      <w:r w:rsidR="00677517" w:rsidRPr="004920C6">
        <w:rPr>
          <w:rFonts w:cs="Calibri"/>
        </w:rPr>
        <w:t> </w:t>
      </w:r>
      <w:r w:rsidRPr="004920C6">
        <w:rPr>
          <w:rFonts w:cs="Calibri"/>
        </w:rPr>
        <w:t xml:space="preserve">zřizovatelem státní PO; </w:t>
      </w:r>
    </w:p>
    <w:p w14:paraId="568F43D6" w14:textId="31B0F472" w:rsidR="00AB0A16" w:rsidRPr="004920C6" w:rsidRDefault="00AB0A16" w:rsidP="00AB0A16">
      <w:pPr>
        <w:pStyle w:val="Odstavecseseznamem"/>
        <w:numPr>
          <w:ilvl w:val="0"/>
          <w:numId w:val="23"/>
        </w:numPr>
        <w:spacing w:after="60"/>
        <w:ind w:left="714" w:hanging="357"/>
        <w:contextualSpacing w:val="0"/>
        <w:jc w:val="both"/>
        <w:rPr>
          <w:rFonts w:cs="Calibri"/>
        </w:rPr>
      </w:pPr>
      <w:r w:rsidRPr="004920C6">
        <w:rPr>
          <w:rFonts w:cs="Calibri"/>
        </w:rPr>
        <w:t>konečného příjemce nebo příjemce</w:t>
      </w:r>
      <w:r w:rsidR="00677517" w:rsidRPr="004920C6">
        <w:rPr>
          <w:rFonts w:cs="Calibri"/>
        </w:rPr>
        <w:t> </w:t>
      </w:r>
      <w:r w:rsidRPr="004920C6">
        <w:rPr>
          <w:rFonts w:cs="Calibri"/>
        </w:rPr>
        <w:t>–</w:t>
      </w:r>
      <w:r w:rsidR="00677517" w:rsidRPr="004920C6">
        <w:rPr>
          <w:rFonts w:cs="Calibri"/>
        </w:rPr>
        <w:t> </w:t>
      </w:r>
      <w:r w:rsidRPr="004920C6">
        <w:rPr>
          <w:rFonts w:cs="Calibri"/>
        </w:rPr>
        <w:t xml:space="preserve">zřizovatele státní PO v komponentě 1.2 </w:t>
      </w:r>
      <w:r w:rsidRPr="004920C6">
        <w:rPr>
          <w:rFonts w:cs="Calibri"/>
          <w:i/>
          <w:iCs/>
        </w:rPr>
        <w:t>Digitální systémy veřejné správy</w:t>
      </w:r>
      <w:r w:rsidRPr="004920C6">
        <w:rPr>
          <w:rFonts w:cs="Calibri"/>
        </w:rPr>
        <w:t>;</w:t>
      </w:r>
    </w:p>
    <w:p w14:paraId="512A5EAE" w14:textId="1069AC80" w:rsidR="00AB0A16" w:rsidRPr="004920C6" w:rsidRDefault="00AB0A16" w:rsidP="0057542A">
      <w:pPr>
        <w:pStyle w:val="Odstavecseseznamem"/>
        <w:numPr>
          <w:ilvl w:val="0"/>
          <w:numId w:val="23"/>
        </w:numPr>
        <w:spacing w:after="240"/>
        <w:ind w:left="714" w:hanging="357"/>
        <w:contextualSpacing w:val="0"/>
        <w:jc w:val="both"/>
        <w:rPr>
          <w:rFonts w:cs="Calibri"/>
        </w:rPr>
      </w:pPr>
      <w:r w:rsidRPr="004920C6">
        <w:rPr>
          <w:rFonts w:cs="Calibri"/>
        </w:rPr>
        <w:t xml:space="preserve">konečného příjemce v komponentě 4.1 </w:t>
      </w:r>
      <w:r w:rsidRPr="004920C6">
        <w:rPr>
          <w:rFonts w:cs="Calibri"/>
          <w:i/>
          <w:iCs/>
        </w:rPr>
        <w:t>Systémová podpora veřejných investic</w:t>
      </w:r>
      <w:r w:rsidRPr="004920C6">
        <w:rPr>
          <w:rFonts w:cs="Calibri"/>
        </w:rPr>
        <w:t>.</w:t>
      </w:r>
    </w:p>
    <w:p w14:paraId="36D58B49" w14:textId="752FD8AD" w:rsidR="00677517" w:rsidRPr="004920C6" w:rsidRDefault="00677517" w:rsidP="00677517">
      <w:pPr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lang w:eastAsia="cs-CZ"/>
        </w:rPr>
        <w:t xml:space="preserve">Nejvýznamnější podíl </w:t>
      </w:r>
      <w:r w:rsidR="0057542A" w:rsidRPr="004920C6">
        <w:rPr>
          <w:rFonts w:asciiTheme="minorHAnsi" w:hAnsiTheme="minorHAnsi" w:cstheme="minorHAnsi"/>
          <w:lang w:eastAsia="cs-CZ"/>
        </w:rPr>
        <w:t>z</w:t>
      </w:r>
      <w:r w:rsidR="009A103B">
        <w:rPr>
          <w:rFonts w:asciiTheme="minorHAnsi" w:hAnsiTheme="minorHAnsi" w:cstheme="minorHAnsi"/>
          <w:lang w:eastAsia="cs-CZ"/>
        </w:rPr>
        <w:t xml:space="preserve"> </w:t>
      </w:r>
      <w:r w:rsidR="0057542A" w:rsidRPr="004920C6">
        <w:rPr>
          <w:rFonts w:asciiTheme="minorHAnsi" w:hAnsiTheme="minorHAnsi" w:cstheme="minorHAnsi"/>
          <w:lang w:eastAsia="cs-CZ"/>
        </w:rPr>
        <w:t>hlediska objemu přijatých prostředků v</w:t>
      </w:r>
      <w:r w:rsidR="009A103B">
        <w:rPr>
          <w:rFonts w:asciiTheme="minorHAnsi" w:hAnsiTheme="minorHAnsi" w:cstheme="minorHAnsi"/>
          <w:lang w:eastAsia="cs-CZ"/>
        </w:rPr>
        <w:t xml:space="preserve"> </w:t>
      </w:r>
      <w:r w:rsidR="0057542A" w:rsidRPr="004920C6">
        <w:rPr>
          <w:rFonts w:asciiTheme="minorHAnsi" w:hAnsiTheme="minorHAnsi" w:cstheme="minorHAnsi"/>
          <w:lang w:eastAsia="cs-CZ"/>
        </w:rPr>
        <w:t xml:space="preserve">roce 2024 </w:t>
      </w:r>
      <w:r w:rsidRPr="004920C6">
        <w:rPr>
          <w:rFonts w:asciiTheme="minorHAnsi" w:hAnsiTheme="minorHAnsi" w:cstheme="minorHAnsi"/>
          <w:lang w:eastAsia="cs-CZ"/>
        </w:rPr>
        <w:t xml:space="preserve">zaujímala komponenta 4.5, jejímž vlastníkem je MK. </w:t>
      </w:r>
      <w:r w:rsidRPr="004920C6">
        <w:rPr>
          <w:rFonts w:asciiTheme="minorHAnsi" w:hAnsiTheme="minorHAnsi" w:cstheme="minorHAnsi"/>
        </w:rPr>
        <w:t>Tato komponenta „</w:t>
      </w:r>
      <w:r w:rsidRPr="004920C6">
        <w:rPr>
          <w:rFonts w:asciiTheme="minorHAnsi" w:hAnsiTheme="minorHAnsi" w:cstheme="minorHAnsi"/>
          <w:i/>
          <w:iCs/>
        </w:rPr>
        <w:t>přispívá k</w:t>
      </w:r>
      <w:r w:rsidR="009A103B">
        <w:rPr>
          <w:rFonts w:asciiTheme="minorHAnsi" w:hAnsiTheme="minorHAnsi" w:cstheme="minorHAnsi"/>
          <w:i/>
          <w:iCs/>
        </w:rPr>
        <w:t xml:space="preserve"> </w:t>
      </w:r>
      <w:r w:rsidRPr="004920C6">
        <w:rPr>
          <w:rFonts w:asciiTheme="minorHAnsi" w:hAnsiTheme="minorHAnsi" w:cstheme="minorHAnsi"/>
          <w:i/>
          <w:iCs/>
        </w:rPr>
        <w:t xml:space="preserve">řešení potřeby podpořit obnovu kulturního a kreativního sektoru, které byly těžce zasaženy pandemií </w:t>
      </w:r>
      <w:r w:rsidR="009A103B">
        <w:rPr>
          <w:rFonts w:asciiTheme="minorHAnsi" w:hAnsiTheme="minorHAnsi" w:cstheme="minorHAnsi"/>
          <w:i/>
          <w:iCs/>
        </w:rPr>
        <w:br/>
      </w:r>
      <w:r w:rsidRPr="004920C6">
        <w:rPr>
          <w:rFonts w:asciiTheme="minorHAnsi" w:hAnsiTheme="minorHAnsi" w:cstheme="minorHAnsi"/>
          <w:i/>
          <w:iCs/>
        </w:rPr>
        <w:t>COVID-19, a učinit z</w:t>
      </w:r>
      <w:r w:rsidR="009A103B">
        <w:rPr>
          <w:rFonts w:asciiTheme="minorHAnsi" w:hAnsiTheme="minorHAnsi" w:cstheme="minorHAnsi"/>
          <w:i/>
          <w:iCs/>
        </w:rPr>
        <w:t xml:space="preserve"> </w:t>
      </w:r>
      <w:r w:rsidRPr="004920C6">
        <w:rPr>
          <w:rFonts w:asciiTheme="minorHAnsi" w:hAnsiTheme="minorHAnsi" w:cstheme="minorHAnsi"/>
          <w:i/>
          <w:iCs/>
        </w:rPr>
        <w:t>něj pevnou součást celkové hospodářské a sociální obnovy České republiky</w:t>
      </w:r>
      <w:r w:rsidRPr="004920C6">
        <w:rPr>
          <w:rFonts w:asciiTheme="minorHAnsi" w:hAnsiTheme="minorHAnsi" w:cstheme="minorHAnsi"/>
        </w:rPr>
        <w:t xml:space="preserve">“. </w:t>
      </w:r>
      <w:r w:rsidRPr="004920C6">
        <w:rPr>
          <w:rFonts w:asciiTheme="minorHAnsi" w:hAnsiTheme="minorHAnsi" w:cstheme="minorHAnsi"/>
          <w:bCs/>
        </w:rPr>
        <w:t>Odhad celkových alokovaných prostředků komponenty v</w:t>
      </w:r>
      <w:r w:rsidR="009A103B">
        <w:rPr>
          <w:rFonts w:asciiTheme="minorHAnsi" w:hAnsiTheme="minorHAnsi" w:cstheme="minorHAnsi"/>
          <w:bCs/>
        </w:rPr>
        <w:t xml:space="preserve"> </w:t>
      </w:r>
      <w:r w:rsidRPr="004920C6">
        <w:rPr>
          <w:rFonts w:asciiTheme="minorHAnsi" w:hAnsiTheme="minorHAnsi" w:cstheme="minorHAnsi"/>
          <w:bCs/>
        </w:rPr>
        <w:t>NPO činí 7,</w:t>
      </w:r>
      <w:r w:rsidR="0057542A" w:rsidRPr="004920C6">
        <w:rPr>
          <w:rFonts w:asciiTheme="minorHAnsi" w:hAnsiTheme="minorHAnsi" w:cstheme="minorHAnsi"/>
          <w:bCs/>
        </w:rPr>
        <w:t>4</w:t>
      </w:r>
      <w:r w:rsidRPr="004920C6">
        <w:rPr>
          <w:rFonts w:asciiTheme="minorHAnsi" w:hAnsiTheme="minorHAnsi" w:cstheme="minorHAnsi"/>
          <w:bCs/>
        </w:rPr>
        <w:t xml:space="preserve"> mld. Kč</w:t>
      </w:r>
      <w:r w:rsidR="0057542A" w:rsidRPr="004920C6">
        <w:rPr>
          <w:rFonts w:asciiTheme="minorHAnsi" w:hAnsiTheme="minorHAnsi" w:cstheme="minorHAnsi"/>
          <w:bCs/>
        </w:rPr>
        <w:t xml:space="preserve"> (</w:t>
      </w:r>
      <w:r w:rsidRPr="004920C6">
        <w:rPr>
          <w:rFonts w:asciiTheme="minorHAnsi" w:hAnsiTheme="minorHAnsi" w:cstheme="minorHAnsi"/>
          <w:bCs/>
        </w:rPr>
        <w:t>z toho 1,9 mld. Kč</w:t>
      </w:r>
      <w:r w:rsidR="0057542A" w:rsidRPr="004920C6">
        <w:rPr>
          <w:rFonts w:asciiTheme="minorHAnsi" w:hAnsiTheme="minorHAnsi" w:cstheme="minorHAnsi"/>
          <w:bCs/>
        </w:rPr>
        <w:t xml:space="preserve"> </w:t>
      </w:r>
      <w:r w:rsidRPr="004920C6">
        <w:rPr>
          <w:rFonts w:asciiTheme="minorHAnsi" w:hAnsiTheme="minorHAnsi" w:cstheme="minorHAnsi"/>
          <w:bCs/>
        </w:rPr>
        <w:t>z národních zdrojů a 5,</w:t>
      </w:r>
      <w:r w:rsidR="0057542A" w:rsidRPr="004920C6">
        <w:rPr>
          <w:rFonts w:asciiTheme="minorHAnsi" w:hAnsiTheme="minorHAnsi" w:cstheme="minorHAnsi"/>
          <w:bCs/>
        </w:rPr>
        <w:t>5</w:t>
      </w:r>
      <w:r w:rsidRPr="004920C6">
        <w:rPr>
          <w:rFonts w:asciiTheme="minorHAnsi" w:hAnsiTheme="minorHAnsi" w:cstheme="minorHAnsi"/>
          <w:bCs/>
        </w:rPr>
        <w:t xml:space="preserve"> mld. Kč z</w:t>
      </w:r>
      <w:r w:rsidR="0057542A" w:rsidRPr="004920C6">
        <w:rPr>
          <w:rFonts w:asciiTheme="minorHAnsi" w:hAnsiTheme="minorHAnsi" w:cstheme="minorHAnsi"/>
          <w:bCs/>
        </w:rPr>
        <w:t> </w:t>
      </w:r>
      <w:r w:rsidRPr="004920C6">
        <w:rPr>
          <w:rFonts w:asciiTheme="minorHAnsi" w:hAnsiTheme="minorHAnsi" w:cstheme="minorHAnsi"/>
          <w:bCs/>
        </w:rPr>
        <w:t>RRF</w:t>
      </w:r>
      <w:r w:rsidR="0057542A" w:rsidRPr="004920C6">
        <w:rPr>
          <w:rFonts w:asciiTheme="minorHAnsi" w:hAnsiTheme="minorHAnsi" w:cstheme="minorHAnsi"/>
          <w:bCs/>
        </w:rPr>
        <w:t>)</w:t>
      </w:r>
      <w:r w:rsidRPr="004920C6">
        <w:rPr>
          <w:rFonts w:asciiTheme="minorHAnsi" w:hAnsiTheme="minorHAnsi" w:cstheme="minorHAnsi"/>
          <w:bCs/>
        </w:rPr>
        <w:t>.</w:t>
      </w:r>
      <w:r w:rsidR="0057542A" w:rsidRPr="004920C6">
        <w:rPr>
          <w:rFonts w:asciiTheme="minorHAnsi" w:hAnsiTheme="minorHAnsi" w:cstheme="minorHAnsi"/>
          <w:bCs/>
        </w:rPr>
        <w:t xml:space="preserve"> </w:t>
      </w:r>
      <w:r w:rsidRPr="004920C6">
        <w:rPr>
          <w:rFonts w:asciiTheme="minorHAnsi" w:hAnsiTheme="minorHAnsi" w:cstheme="minorHAnsi"/>
        </w:rPr>
        <w:t>Zásady koordinace a implementace NPO v rámci komponenty 4.5</w:t>
      </w:r>
      <w:r w:rsidR="00904119">
        <w:rPr>
          <w:rFonts w:asciiTheme="minorHAnsi" w:hAnsiTheme="minorHAnsi" w:cstheme="minorHAnsi"/>
        </w:rPr>
        <w:t> </w:t>
      </w:r>
      <w:r w:rsidR="0057542A" w:rsidRPr="004920C6">
        <w:rPr>
          <w:rFonts w:asciiTheme="minorHAnsi" w:hAnsiTheme="minorHAnsi" w:cstheme="minorHAnsi"/>
        </w:rPr>
        <w:t>upravilo</w:t>
      </w:r>
      <w:r w:rsidRPr="004920C6">
        <w:rPr>
          <w:rFonts w:asciiTheme="minorHAnsi" w:hAnsiTheme="minorHAnsi" w:cstheme="minorHAnsi"/>
        </w:rPr>
        <w:t xml:space="preserve"> MK</w:t>
      </w:r>
      <w:r w:rsidR="0057542A"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  <w:bCs/>
        </w:rPr>
        <w:t>vnitřními předpisy</w:t>
      </w:r>
      <w:r w:rsidR="0057542A" w:rsidRPr="004920C6">
        <w:rPr>
          <w:rFonts w:asciiTheme="minorHAnsi" w:hAnsiTheme="minorHAnsi" w:cstheme="minorHAnsi"/>
          <w:bCs/>
        </w:rPr>
        <w:t>.</w:t>
      </w:r>
    </w:p>
    <w:p w14:paraId="27035FD6" w14:textId="77777777" w:rsidR="00BE1532" w:rsidRPr="004920C6" w:rsidRDefault="00BE1532" w:rsidP="00BE1532">
      <w:pPr>
        <w:spacing w:after="60"/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</w:rPr>
        <w:t>MK v roce 2024 přijalo na příjmový účet prostředky z RRF ve dvou příchozích platbách:</w:t>
      </w:r>
    </w:p>
    <w:p w14:paraId="4780545B" w14:textId="5F109A92" w:rsidR="00BE1532" w:rsidRPr="004920C6" w:rsidRDefault="00BE1532" w:rsidP="00BE1532">
      <w:pPr>
        <w:pStyle w:val="Odstavecseseznamem"/>
        <w:numPr>
          <w:ilvl w:val="0"/>
          <w:numId w:val="24"/>
        </w:numPr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</w:rPr>
        <w:t xml:space="preserve">na základě </w:t>
      </w:r>
      <w:r w:rsidR="002A3844" w:rsidRPr="004920C6">
        <w:rPr>
          <w:rFonts w:asciiTheme="minorHAnsi" w:hAnsiTheme="minorHAnsi" w:cstheme="minorHAnsi"/>
        </w:rPr>
        <w:t>u</w:t>
      </w:r>
      <w:r w:rsidRPr="004920C6">
        <w:rPr>
          <w:rFonts w:asciiTheme="minorHAnsi" w:hAnsiTheme="minorHAnsi" w:cstheme="minorHAnsi"/>
        </w:rPr>
        <w:t>snesení vlády Č</w:t>
      </w:r>
      <w:r w:rsidR="002A3844" w:rsidRPr="004920C6">
        <w:rPr>
          <w:rFonts w:asciiTheme="minorHAnsi" w:hAnsiTheme="minorHAnsi" w:cstheme="minorHAnsi"/>
        </w:rPr>
        <w:t>R</w:t>
      </w:r>
      <w:r w:rsidRPr="004920C6">
        <w:rPr>
          <w:rFonts w:asciiTheme="minorHAnsi" w:hAnsiTheme="minorHAnsi" w:cstheme="minorHAnsi"/>
        </w:rPr>
        <w:t xml:space="preserve"> ze dne 12. června 2024 č. 401, v dílčích částkách odpovídajících příloze tohoto usnesení. Přijaté částky byly refundací peněžních prostředků vydaných (předfinancovaných) Ministerstvem kultury v</w:t>
      </w:r>
      <w:r w:rsidR="00B7095D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období od 16.</w:t>
      </w:r>
      <w:r w:rsidR="002A3844" w:rsidRPr="004920C6">
        <w:rPr>
          <w:rFonts w:asciiTheme="minorHAnsi" w:hAnsiTheme="minorHAnsi" w:cstheme="minorHAnsi"/>
        </w:rPr>
        <w:t> </w:t>
      </w:r>
      <w:r w:rsidRPr="004920C6">
        <w:rPr>
          <w:rFonts w:asciiTheme="minorHAnsi" w:hAnsiTheme="minorHAnsi" w:cstheme="minorHAnsi"/>
        </w:rPr>
        <w:t xml:space="preserve">dubna 2023 do 30. listopadu 2023 v souvislosti s realizací projektů </w:t>
      </w:r>
      <w:r w:rsidR="009A7FEA" w:rsidRPr="004920C6">
        <w:rPr>
          <w:rFonts w:asciiTheme="minorHAnsi" w:hAnsiTheme="minorHAnsi" w:cstheme="minorHAnsi"/>
        </w:rPr>
        <w:t xml:space="preserve">především </w:t>
      </w:r>
      <w:r w:rsidRPr="004920C6">
        <w:rPr>
          <w:rFonts w:asciiTheme="minorHAnsi" w:hAnsiTheme="minorHAnsi" w:cstheme="minorHAnsi"/>
        </w:rPr>
        <w:t>v</w:t>
      </w:r>
      <w:r w:rsidR="009A7FEA" w:rsidRPr="004920C6">
        <w:rPr>
          <w:rFonts w:asciiTheme="minorHAnsi" w:hAnsiTheme="minorHAnsi" w:cstheme="minorHAnsi"/>
        </w:rPr>
        <w:t> </w:t>
      </w:r>
      <w:r w:rsidRPr="004920C6">
        <w:rPr>
          <w:rFonts w:asciiTheme="minorHAnsi" w:hAnsiTheme="minorHAnsi" w:cstheme="minorHAnsi"/>
        </w:rPr>
        <w:t>rámci</w:t>
      </w:r>
      <w:r w:rsidR="009A7FEA"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komponent</w:t>
      </w:r>
      <w:r w:rsidR="009A7FEA" w:rsidRPr="004920C6">
        <w:rPr>
          <w:rFonts w:asciiTheme="minorHAnsi" w:hAnsiTheme="minorHAnsi" w:cstheme="minorHAnsi"/>
        </w:rPr>
        <w:t>y</w:t>
      </w:r>
      <w:r w:rsidRPr="004920C6">
        <w:rPr>
          <w:rFonts w:asciiTheme="minorHAnsi" w:hAnsiTheme="minorHAnsi" w:cstheme="minorHAnsi"/>
        </w:rPr>
        <w:t xml:space="preserve"> </w:t>
      </w:r>
      <w:r w:rsidR="009A7FEA" w:rsidRPr="004920C6">
        <w:rPr>
          <w:rFonts w:asciiTheme="minorHAnsi" w:hAnsiTheme="minorHAnsi" w:cstheme="minorHAnsi"/>
        </w:rPr>
        <w:t>4.5 a dále pak v komponentách 4.1 a 1.2</w:t>
      </w:r>
      <w:r w:rsidRPr="004920C6">
        <w:rPr>
          <w:rFonts w:asciiTheme="minorHAnsi" w:hAnsiTheme="minorHAnsi" w:cstheme="minorHAnsi"/>
        </w:rPr>
        <w:t xml:space="preserve">. Celková výše první příchozí platby činila </w:t>
      </w:r>
      <w:r w:rsidRPr="004920C6">
        <w:rPr>
          <w:rFonts w:asciiTheme="minorHAnsi" w:hAnsiTheme="minorHAnsi" w:cstheme="minorHAnsi"/>
          <w:color w:val="000000"/>
          <w:lang w:eastAsia="cs-CZ"/>
        </w:rPr>
        <w:t>309</w:t>
      </w:r>
      <w:r w:rsidR="009A7FEA" w:rsidRPr="004920C6">
        <w:rPr>
          <w:rFonts w:asciiTheme="minorHAnsi" w:hAnsiTheme="minorHAnsi" w:cstheme="minorHAnsi"/>
          <w:color w:val="000000"/>
          <w:lang w:eastAsia="cs-CZ"/>
        </w:rPr>
        <w:t>,5 mil. Kč</w:t>
      </w:r>
      <w:r w:rsidR="00904119">
        <w:rPr>
          <w:rFonts w:asciiTheme="minorHAnsi" w:hAnsiTheme="minorHAnsi" w:cstheme="minorHAnsi"/>
          <w:color w:val="000000"/>
          <w:lang w:eastAsia="cs-CZ"/>
        </w:rPr>
        <w:t>;</w:t>
      </w:r>
    </w:p>
    <w:p w14:paraId="1E9563B2" w14:textId="26EA9EB1" w:rsidR="00BE1532" w:rsidRPr="004920C6" w:rsidRDefault="00BE1532" w:rsidP="00440EF8">
      <w:pPr>
        <w:pStyle w:val="Odstavecseseznamem"/>
        <w:numPr>
          <w:ilvl w:val="0"/>
          <w:numId w:val="24"/>
        </w:numPr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</w:rPr>
        <w:t xml:space="preserve">na základě </w:t>
      </w:r>
      <w:r w:rsidR="002A3844" w:rsidRPr="004920C6">
        <w:rPr>
          <w:rFonts w:asciiTheme="minorHAnsi" w:hAnsiTheme="minorHAnsi" w:cstheme="minorHAnsi"/>
        </w:rPr>
        <w:t>u</w:t>
      </w:r>
      <w:r w:rsidRPr="004920C6">
        <w:rPr>
          <w:rFonts w:asciiTheme="minorHAnsi" w:hAnsiTheme="minorHAnsi" w:cstheme="minorHAnsi"/>
        </w:rPr>
        <w:t>snesení vlády Č</w:t>
      </w:r>
      <w:r w:rsidR="002A3844" w:rsidRPr="004920C6">
        <w:rPr>
          <w:rFonts w:asciiTheme="minorHAnsi" w:hAnsiTheme="minorHAnsi" w:cstheme="minorHAnsi"/>
        </w:rPr>
        <w:t>R</w:t>
      </w:r>
      <w:r w:rsidRPr="004920C6">
        <w:rPr>
          <w:rFonts w:asciiTheme="minorHAnsi" w:hAnsiTheme="minorHAnsi" w:cstheme="minorHAnsi"/>
        </w:rPr>
        <w:t xml:space="preserve"> ze dne 18. prosince 2024 č. 989, v dílčích částkách odpovídajících příloze tohoto usnesení. Přijaté částky</w:t>
      </w:r>
      <w:r w:rsidR="009A7FEA" w:rsidRPr="004920C6">
        <w:rPr>
          <w:rFonts w:asciiTheme="minorHAnsi" w:hAnsiTheme="minorHAnsi" w:cstheme="minorHAnsi"/>
        </w:rPr>
        <w:t xml:space="preserve"> byly</w:t>
      </w:r>
      <w:r w:rsidRPr="004920C6">
        <w:rPr>
          <w:rFonts w:asciiTheme="minorHAnsi" w:hAnsiTheme="minorHAnsi" w:cstheme="minorHAnsi"/>
        </w:rPr>
        <w:t xml:space="preserve"> refundací peněžních prostředků vydaných (předfinancovaných) Ministerstvem kultury v</w:t>
      </w:r>
      <w:r w:rsidR="00904119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 xml:space="preserve">období od </w:t>
      </w:r>
      <w:r w:rsidRPr="004920C6">
        <w:rPr>
          <w:rFonts w:asciiTheme="minorHAnsi" w:hAnsiTheme="minorHAnsi" w:cstheme="minorHAnsi"/>
        </w:rPr>
        <w:lastRenderedPageBreak/>
        <w:t>1.</w:t>
      </w:r>
      <w:r w:rsidR="002A3844" w:rsidRPr="004920C6">
        <w:rPr>
          <w:rFonts w:asciiTheme="minorHAnsi" w:hAnsiTheme="minorHAnsi" w:cstheme="minorHAnsi"/>
        </w:rPr>
        <w:t> </w:t>
      </w:r>
      <w:r w:rsidR="009A7FEA" w:rsidRPr="004920C6">
        <w:rPr>
          <w:rFonts w:asciiTheme="minorHAnsi" w:hAnsiTheme="minorHAnsi" w:cstheme="minorHAnsi"/>
        </w:rPr>
        <w:t>prosince</w:t>
      </w:r>
      <w:r w:rsidRPr="004920C6">
        <w:rPr>
          <w:rFonts w:asciiTheme="minorHAnsi" w:hAnsiTheme="minorHAnsi" w:cstheme="minorHAnsi"/>
        </w:rPr>
        <w:t xml:space="preserve"> 2023 do 30.</w:t>
      </w:r>
      <w:r w:rsidR="009A7FEA" w:rsidRPr="004920C6">
        <w:rPr>
          <w:rFonts w:asciiTheme="minorHAnsi" w:hAnsiTheme="minorHAnsi" w:cstheme="minorHAnsi"/>
        </w:rPr>
        <w:t xml:space="preserve"> listopadu</w:t>
      </w:r>
      <w:r w:rsidRPr="004920C6">
        <w:rPr>
          <w:rFonts w:asciiTheme="minorHAnsi" w:hAnsiTheme="minorHAnsi" w:cstheme="minorHAnsi"/>
        </w:rPr>
        <w:t xml:space="preserve"> 2024 v souvislosti s realizací projektů </w:t>
      </w:r>
      <w:r w:rsidR="005D5F26" w:rsidRPr="004920C6">
        <w:rPr>
          <w:rFonts w:asciiTheme="minorHAnsi" w:hAnsiTheme="minorHAnsi" w:cstheme="minorHAnsi"/>
        </w:rPr>
        <w:t xml:space="preserve">opět zejména </w:t>
      </w:r>
      <w:r w:rsidRPr="004920C6">
        <w:rPr>
          <w:rFonts w:asciiTheme="minorHAnsi" w:hAnsiTheme="minorHAnsi" w:cstheme="minorHAnsi"/>
        </w:rPr>
        <w:t>v</w:t>
      </w:r>
      <w:r w:rsidR="005D5F26" w:rsidRPr="004920C6">
        <w:rPr>
          <w:rFonts w:asciiTheme="minorHAnsi" w:hAnsiTheme="minorHAnsi" w:cstheme="minorHAnsi"/>
        </w:rPr>
        <w:t> </w:t>
      </w:r>
      <w:r w:rsidRPr="004920C6">
        <w:rPr>
          <w:rFonts w:asciiTheme="minorHAnsi" w:hAnsiTheme="minorHAnsi" w:cstheme="minorHAnsi"/>
        </w:rPr>
        <w:t>rámci</w:t>
      </w:r>
      <w:r w:rsidR="005D5F26" w:rsidRPr="004920C6">
        <w:rPr>
          <w:rFonts w:asciiTheme="minorHAnsi" w:hAnsiTheme="minorHAnsi" w:cstheme="minorHAnsi"/>
        </w:rPr>
        <w:t xml:space="preserve"> </w:t>
      </w:r>
      <w:r w:rsidRPr="004920C6">
        <w:rPr>
          <w:rFonts w:asciiTheme="minorHAnsi" w:hAnsiTheme="minorHAnsi" w:cstheme="minorHAnsi"/>
        </w:rPr>
        <w:t>komponent</w:t>
      </w:r>
      <w:r w:rsidR="005D5F26" w:rsidRPr="004920C6">
        <w:rPr>
          <w:rFonts w:asciiTheme="minorHAnsi" w:hAnsiTheme="minorHAnsi" w:cstheme="minorHAnsi"/>
        </w:rPr>
        <w:t>y 4.5 a dále pak v komponentách 1.2 a 4.1</w:t>
      </w:r>
      <w:r w:rsidRPr="004920C6">
        <w:rPr>
          <w:rFonts w:asciiTheme="minorHAnsi" w:hAnsiTheme="minorHAnsi" w:cstheme="minorHAnsi"/>
        </w:rPr>
        <w:t>. Celková výše druhé příchozí platby činila 750</w:t>
      </w:r>
      <w:r w:rsidR="005D5F26" w:rsidRPr="004920C6">
        <w:rPr>
          <w:rFonts w:asciiTheme="minorHAnsi" w:hAnsiTheme="minorHAnsi" w:cstheme="minorHAnsi"/>
        </w:rPr>
        <w:t xml:space="preserve">,6 mil. </w:t>
      </w:r>
      <w:r w:rsidRPr="004920C6">
        <w:rPr>
          <w:rFonts w:asciiTheme="minorHAnsi" w:hAnsiTheme="minorHAnsi" w:cstheme="minorHAnsi"/>
          <w:color w:val="000000"/>
          <w:lang w:eastAsia="cs-CZ"/>
        </w:rPr>
        <w:t>Kč.</w:t>
      </w:r>
    </w:p>
    <w:p w14:paraId="0BAC3586" w14:textId="63FF7CB8" w:rsidR="00440EF8" w:rsidRPr="004920C6" w:rsidRDefault="00440EF8" w:rsidP="00440EF8">
      <w:pPr>
        <w:jc w:val="both"/>
        <w:rPr>
          <w:rFonts w:asciiTheme="minorHAnsi" w:hAnsiTheme="minorHAnsi" w:cstheme="minorHAnsi"/>
          <w:bCs/>
          <w:color w:val="000000"/>
          <w:lang w:eastAsia="cs-CZ"/>
        </w:rPr>
      </w:pPr>
      <w:r w:rsidRPr="004920C6">
        <w:rPr>
          <w:rFonts w:asciiTheme="minorHAnsi" w:hAnsiTheme="minorHAnsi" w:cstheme="minorHAnsi"/>
          <w:bCs/>
        </w:rPr>
        <w:t>MK zatřídilo přijaté prostředky na</w:t>
      </w:r>
      <w:r w:rsidR="002A3844" w:rsidRPr="004920C6">
        <w:rPr>
          <w:rFonts w:asciiTheme="minorHAnsi" w:hAnsiTheme="minorHAnsi" w:cstheme="minorHAnsi"/>
          <w:bCs/>
        </w:rPr>
        <w:t xml:space="preserve"> rozpočtové položky</w:t>
      </w:r>
      <w:r w:rsidRPr="004920C6">
        <w:rPr>
          <w:rFonts w:asciiTheme="minorHAnsi" w:hAnsiTheme="minorHAnsi" w:cstheme="minorHAnsi"/>
          <w:bCs/>
        </w:rPr>
        <w:t xml:space="preserve"> 4153 – </w:t>
      </w:r>
      <w:r w:rsidRPr="004920C6">
        <w:rPr>
          <w:rFonts w:asciiTheme="minorHAnsi" w:hAnsiTheme="minorHAnsi" w:cstheme="minorHAnsi"/>
          <w:bCs/>
          <w:i/>
          <w:iCs/>
          <w:color w:val="000000"/>
          <w:lang w:eastAsia="cs-CZ"/>
        </w:rPr>
        <w:t xml:space="preserve">Neinvestiční transfery přijaté od Evropské unie </w:t>
      </w:r>
      <w:r w:rsidRPr="004920C6">
        <w:rPr>
          <w:rFonts w:asciiTheme="minorHAnsi" w:hAnsiTheme="minorHAnsi" w:cstheme="minorHAnsi"/>
          <w:bCs/>
          <w:color w:val="000000"/>
          <w:lang w:eastAsia="cs-CZ"/>
        </w:rPr>
        <w:t>(většina) a</w:t>
      </w:r>
      <w:r w:rsidR="002A3844" w:rsidRPr="004920C6">
        <w:rPr>
          <w:rFonts w:asciiTheme="minorHAnsi" w:hAnsiTheme="minorHAnsi" w:cstheme="minorHAnsi"/>
          <w:bCs/>
          <w:color w:val="000000"/>
          <w:lang w:eastAsia="cs-CZ"/>
        </w:rPr>
        <w:t xml:space="preserve"> </w:t>
      </w:r>
      <w:r w:rsidRPr="004920C6">
        <w:rPr>
          <w:rFonts w:asciiTheme="minorHAnsi" w:hAnsiTheme="minorHAnsi" w:cstheme="minorHAnsi"/>
          <w:bCs/>
          <w:color w:val="000000"/>
          <w:lang w:eastAsia="cs-CZ"/>
        </w:rPr>
        <w:t xml:space="preserve">4233 – </w:t>
      </w:r>
      <w:r w:rsidRPr="004920C6">
        <w:rPr>
          <w:rFonts w:asciiTheme="minorHAnsi" w:hAnsiTheme="minorHAnsi" w:cstheme="minorHAnsi"/>
          <w:bCs/>
          <w:i/>
          <w:iCs/>
          <w:color w:val="000000"/>
          <w:lang w:eastAsia="cs-CZ"/>
        </w:rPr>
        <w:t>Investiční transfery přijaté od Evropské unie</w:t>
      </w:r>
      <w:r w:rsidRPr="004920C6">
        <w:rPr>
          <w:rFonts w:asciiTheme="minorHAnsi" w:hAnsiTheme="minorHAnsi" w:cstheme="minorHAnsi"/>
          <w:bCs/>
          <w:color w:val="000000"/>
          <w:lang w:eastAsia="cs-CZ"/>
        </w:rPr>
        <w:t>.</w:t>
      </w:r>
    </w:p>
    <w:p w14:paraId="1A734705" w14:textId="1919C088" w:rsidR="00440EF8" w:rsidRPr="004920C6" w:rsidRDefault="00440EF8" w:rsidP="00440EF8">
      <w:pPr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</w:rPr>
        <w:t xml:space="preserve">Objem výdajů MK v rámci NPO činil v roce 2024 celkem </w:t>
      </w:r>
      <w:r w:rsidRPr="004920C6">
        <w:rPr>
          <w:rFonts w:asciiTheme="minorHAnsi" w:hAnsiTheme="minorHAnsi" w:cstheme="minorHAnsi"/>
          <w:color w:val="000000"/>
          <w:lang w:eastAsia="cs-CZ"/>
        </w:rPr>
        <w:t xml:space="preserve">770,9 mil. Kč, z čehož největší podíl měla komponenta 4.5. </w:t>
      </w:r>
      <w:r w:rsidRPr="004920C6">
        <w:rPr>
          <w:rFonts w:asciiTheme="minorHAnsi" w:hAnsiTheme="minorHAnsi" w:cstheme="minorHAnsi"/>
        </w:rPr>
        <w:t>Ve většině případů se jednalo o dotace s finančním vypořádáním, tj. poskytnuté formou záloh. Poskytnuté dotace v rámci NPO byly předfinancovány ze státního rozpočtu a následně refundovány z prostředků RRF.</w:t>
      </w:r>
    </w:p>
    <w:p w14:paraId="3961DEDB" w14:textId="60F7048C" w:rsidR="00440EF8" w:rsidRPr="004920C6" w:rsidRDefault="00BE1532" w:rsidP="00DC6D8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4920C6">
        <w:rPr>
          <w:rFonts w:asciiTheme="minorHAnsi" w:hAnsiTheme="minorHAnsi" w:cstheme="minorHAnsi"/>
          <w:bCs/>
        </w:rPr>
        <w:t>Hlavními dokumenty NPO z hlediska skutečností relevantních pro účetní zobrazení jsou příslušná usnesení vlády a MP FT. Obecně platné metodiky vydané pro implementaci NPO neupravují oblast účetnictví a výkaznictví NPO.</w:t>
      </w:r>
      <w:r w:rsidR="00CA2A86" w:rsidRPr="004920C6">
        <w:rPr>
          <w:rFonts w:asciiTheme="minorHAnsi" w:hAnsiTheme="minorHAnsi" w:cstheme="minorHAnsi"/>
          <w:bCs/>
        </w:rPr>
        <w:t xml:space="preserve"> </w:t>
      </w:r>
      <w:r w:rsidR="0003418B" w:rsidRPr="004920C6">
        <w:rPr>
          <w:rFonts w:asciiTheme="minorHAnsi" w:hAnsiTheme="minorHAnsi" w:cstheme="minorHAnsi"/>
          <w:bCs/>
        </w:rPr>
        <w:t xml:space="preserve">Pro dosažení souladu při používání účetních metod účetními jednotkami a pro zajištění vyšší míry srovnatelnosti účetních závěrek </w:t>
      </w:r>
      <w:r w:rsidR="009811C4" w:rsidRPr="004920C6">
        <w:rPr>
          <w:rFonts w:asciiTheme="minorHAnsi" w:hAnsiTheme="minorHAnsi" w:cstheme="minorHAnsi"/>
          <w:bCs/>
        </w:rPr>
        <w:t>byly</w:t>
      </w:r>
      <w:r w:rsidR="0003418B" w:rsidRPr="004920C6">
        <w:rPr>
          <w:rFonts w:asciiTheme="minorHAnsi" w:hAnsiTheme="minorHAnsi" w:cstheme="minorHAnsi"/>
          <w:bCs/>
        </w:rPr>
        <w:t xml:space="preserve"> vydány </w:t>
      </w:r>
      <w:r w:rsidR="009811C4" w:rsidRPr="004920C6">
        <w:rPr>
          <w:rFonts w:asciiTheme="minorHAnsi" w:hAnsiTheme="minorHAnsi" w:cstheme="minorHAnsi"/>
          <w:bCs/>
        </w:rPr>
        <w:t>č</w:t>
      </w:r>
      <w:r w:rsidR="0003418B" w:rsidRPr="004920C6">
        <w:rPr>
          <w:rFonts w:asciiTheme="minorHAnsi" w:hAnsiTheme="minorHAnsi" w:cstheme="minorHAnsi"/>
          <w:bCs/>
        </w:rPr>
        <w:t>eské účetní standardy pro některé vybrané účetní jednotky, které vedou účetnictví podle vyhlášky č.</w:t>
      </w:r>
      <w:r w:rsidR="00B02825" w:rsidRPr="004920C6">
        <w:rPr>
          <w:rFonts w:asciiTheme="minorHAnsi" w:hAnsiTheme="minorHAnsi" w:cstheme="minorHAnsi"/>
          <w:bCs/>
        </w:rPr>
        <w:t xml:space="preserve"> </w:t>
      </w:r>
      <w:r w:rsidR="0003418B" w:rsidRPr="004920C6">
        <w:rPr>
          <w:rFonts w:asciiTheme="minorHAnsi" w:hAnsiTheme="minorHAnsi" w:cstheme="minorHAnsi"/>
          <w:bCs/>
        </w:rPr>
        <w:t>410/2009 Sb.</w:t>
      </w:r>
      <w:r w:rsidR="00B02825" w:rsidRPr="004920C6">
        <w:rPr>
          <w:rFonts w:asciiTheme="minorHAnsi" w:hAnsiTheme="minorHAnsi" w:cstheme="minorHAnsi"/>
          <w:bCs/>
        </w:rPr>
        <w:t>;</w:t>
      </w:r>
      <w:r w:rsidR="0003418B" w:rsidRPr="004920C6">
        <w:rPr>
          <w:rFonts w:asciiTheme="minorHAnsi" w:hAnsiTheme="minorHAnsi" w:cstheme="minorHAnsi"/>
          <w:bCs/>
        </w:rPr>
        <w:t xml:space="preserve"> </w:t>
      </w:r>
      <w:r w:rsidR="00B02825" w:rsidRPr="004920C6">
        <w:rPr>
          <w:rFonts w:asciiTheme="minorHAnsi" w:hAnsiTheme="minorHAnsi" w:cstheme="minorHAnsi"/>
          <w:bCs/>
        </w:rPr>
        <w:t>závaznost</w:t>
      </w:r>
      <w:r w:rsidR="00B40ACD" w:rsidRPr="004920C6">
        <w:rPr>
          <w:rFonts w:asciiTheme="minorHAnsi" w:hAnsiTheme="minorHAnsi" w:cstheme="minorHAnsi"/>
          <w:bCs/>
        </w:rPr>
        <w:t xml:space="preserve"> </w:t>
      </w:r>
      <w:r w:rsidR="00B02825" w:rsidRPr="004920C6">
        <w:rPr>
          <w:rFonts w:asciiTheme="minorHAnsi" w:hAnsiTheme="minorHAnsi" w:cstheme="minorHAnsi"/>
          <w:bCs/>
        </w:rPr>
        <w:t xml:space="preserve">těchto standardů </w:t>
      </w:r>
      <w:r w:rsidR="0003418B" w:rsidRPr="004920C6">
        <w:rPr>
          <w:rFonts w:asciiTheme="minorHAnsi" w:hAnsiTheme="minorHAnsi" w:cstheme="minorHAnsi"/>
          <w:bCs/>
        </w:rPr>
        <w:t>je pro vybrané účetní jednotky stanovena v</w:t>
      </w:r>
      <w:r w:rsidR="00B00531" w:rsidRPr="004920C6">
        <w:rPr>
          <w:rFonts w:asciiTheme="minorHAnsi" w:hAnsiTheme="minorHAnsi" w:cstheme="minorHAnsi"/>
          <w:bCs/>
        </w:rPr>
        <w:t xml:space="preserve"> </w:t>
      </w:r>
      <w:r w:rsidR="0003418B" w:rsidRPr="004920C6">
        <w:rPr>
          <w:rFonts w:asciiTheme="minorHAnsi" w:hAnsiTheme="minorHAnsi" w:cstheme="minorHAnsi"/>
          <w:bCs/>
        </w:rPr>
        <w:t>§ 36 zákona</w:t>
      </w:r>
      <w:r w:rsidR="00617973" w:rsidRPr="004920C6">
        <w:rPr>
          <w:rFonts w:asciiTheme="minorHAnsi" w:hAnsiTheme="minorHAnsi" w:cstheme="minorHAnsi"/>
          <w:bCs/>
        </w:rPr>
        <w:t xml:space="preserve"> č. 563/1991 Sb</w:t>
      </w:r>
      <w:r w:rsidR="0003418B" w:rsidRPr="004920C6">
        <w:rPr>
          <w:rFonts w:asciiTheme="minorHAnsi" w:hAnsiTheme="minorHAnsi" w:cstheme="minorHAnsi"/>
          <w:bCs/>
        </w:rPr>
        <w:t>.</w:t>
      </w:r>
      <w:r w:rsidR="00270994" w:rsidRPr="004920C6">
        <w:rPr>
          <w:rFonts w:asciiTheme="minorHAnsi" w:hAnsiTheme="minorHAnsi" w:cstheme="minorHAnsi"/>
          <w:bCs/>
        </w:rPr>
        <w:t xml:space="preserve"> </w:t>
      </w:r>
      <w:r w:rsidR="0003418B" w:rsidRPr="004920C6">
        <w:rPr>
          <w:rFonts w:asciiTheme="minorHAnsi" w:hAnsiTheme="minorHAnsi" w:cstheme="minorHAnsi"/>
          <w:bCs/>
        </w:rPr>
        <w:t xml:space="preserve">Finanční toky v rámci NPO lze věcně podřadit pod ČÚS č. 703 – </w:t>
      </w:r>
      <w:r w:rsidR="0003418B" w:rsidRPr="004920C6">
        <w:rPr>
          <w:rFonts w:asciiTheme="minorHAnsi" w:hAnsiTheme="minorHAnsi" w:cstheme="minorHAnsi"/>
          <w:bCs/>
          <w:i/>
          <w:iCs/>
        </w:rPr>
        <w:t>Transfery</w:t>
      </w:r>
      <w:r w:rsidR="0003418B" w:rsidRPr="004920C6">
        <w:rPr>
          <w:rFonts w:asciiTheme="minorHAnsi" w:hAnsiTheme="minorHAnsi" w:cstheme="minorHAnsi"/>
          <w:bCs/>
        </w:rPr>
        <w:t>, přičemž výše uvedené hlavní dokumenty NPO nezakládají důvod pro odchýlení se od účetních postupů stanovených v tomto ČÚS.</w:t>
      </w:r>
    </w:p>
    <w:p w14:paraId="0A8DBBA7" w14:textId="55FFC54D" w:rsidR="004A1C0C" w:rsidRPr="004920C6" w:rsidRDefault="004A1C0C" w:rsidP="004A1C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</w:rPr>
      </w:pPr>
      <w:r w:rsidRPr="004920C6">
        <w:rPr>
          <w:bCs/>
          <w:iCs/>
        </w:rPr>
        <w:t xml:space="preserve">Následující tabulka shrnuje </w:t>
      </w:r>
      <w:r w:rsidR="00BB34ED" w:rsidRPr="004920C6">
        <w:rPr>
          <w:bCs/>
          <w:iCs/>
        </w:rPr>
        <w:t xml:space="preserve">zavedené postupy </w:t>
      </w:r>
      <w:r w:rsidRPr="004920C6">
        <w:rPr>
          <w:rFonts w:asciiTheme="minorHAnsi" w:hAnsiTheme="minorHAnsi" w:cstheme="minorHAnsi"/>
          <w:bCs/>
          <w:iCs/>
        </w:rPr>
        <w:t>účtování MK o skutečnostech NPO v roce 2024, které bylo v souladu s právními předpisy pro vedení účetnictví a ČÚS.</w:t>
      </w:r>
    </w:p>
    <w:p w14:paraId="7A64997B" w14:textId="4723FDC4" w:rsidR="004A1C0C" w:rsidRPr="004920C6" w:rsidRDefault="004A1C0C" w:rsidP="004A1C0C">
      <w:pPr>
        <w:pStyle w:val="Titulek"/>
        <w:spacing w:before="0" w:after="60"/>
      </w:pPr>
      <w:r w:rsidRPr="004920C6">
        <w:t xml:space="preserve">Tabulka č. </w:t>
      </w:r>
      <w:r w:rsidR="003F551A">
        <w:t>1</w:t>
      </w:r>
      <w:r w:rsidRPr="004920C6">
        <w:t>: Účtování o skutečnostech NPO v účetním období roku 2024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402"/>
        <w:gridCol w:w="1416"/>
        <w:gridCol w:w="1277"/>
        <w:gridCol w:w="1275"/>
        <w:gridCol w:w="1276"/>
      </w:tblGrid>
      <w:tr w:rsidR="004A1C0C" w:rsidRPr="004920C6" w14:paraId="40A6ED10" w14:textId="77777777" w:rsidTr="00055879">
        <w:trPr>
          <w:trHeight w:val="283"/>
          <w:tblHeader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60FD26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Účetní případ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3DC38DA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Postup aplikovaný MK v účetním období roku 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527DD6D1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Postup podle právních předpisů pro vedení účetnictví a ČÚS</w:t>
            </w:r>
          </w:p>
        </w:tc>
      </w:tr>
      <w:tr w:rsidR="004A1C0C" w:rsidRPr="004920C6" w14:paraId="6477030D" w14:textId="77777777" w:rsidTr="00055879">
        <w:trPr>
          <w:trHeight w:val="290"/>
          <w:tblHeader/>
        </w:trPr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E1502F" w14:textId="77777777" w:rsidR="004A1C0C" w:rsidRPr="004920C6" w:rsidRDefault="004A1C0C" w:rsidP="004A1C0C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04CDFEF5" w14:textId="3A00EFDC" w:rsidR="004A1C0C" w:rsidRPr="004920C6" w:rsidRDefault="004A1C0C" w:rsidP="004A1C0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Účet na straně Má dáti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6DBAB559" w14:textId="4C142F2C" w:rsidR="004A1C0C" w:rsidRPr="004920C6" w:rsidRDefault="004A1C0C" w:rsidP="004A1C0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Účet na straně Dal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  <w:hideMark/>
          </w:tcPr>
          <w:p w14:paraId="2ECC07F3" w14:textId="331312DA" w:rsidR="004A1C0C" w:rsidRPr="004920C6" w:rsidRDefault="004A1C0C" w:rsidP="004A1C0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Účet na straně Má dáti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  <w:hideMark/>
          </w:tcPr>
          <w:p w14:paraId="6459CF6A" w14:textId="2072A044" w:rsidR="004A1C0C" w:rsidRPr="004920C6" w:rsidRDefault="004A1C0C" w:rsidP="004A1C0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Účet na straně Dal</w:t>
            </w:r>
          </w:p>
        </w:tc>
      </w:tr>
      <w:tr w:rsidR="004A1C0C" w:rsidRPr="004920C6" w14:paraId="5628ED7B" w14:textId="77777777" w:rsidTr="004A1C0C">
        <w:trPr>
          <w:trHeight w:val="4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F8FE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F800" w14:textId="77777777" w:rsidR="004A1C0C" w:rsidRPr="004920C6" w:rsidRDefault="004A1C0C" w:rsidP="004A1C0C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Vydání/aktualizace rozhodnutí o poskytnutí dotace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D5AB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999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7C767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916/956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A2CB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208F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916/956</w:t>
            </w:r>
          </w:p>
        </w:tc>
      </w:tr>
      <w:tr w:rsidR="004A1C0C" w:rsidRPr="004920C6" w14:paraId="191AB4A7" w14:textId="77777777" w:rsidTr="004A1C0C">
        <w:trPr>
          <w:trHeight w:val="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B7839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1C2A" w14:textId="77777777" w:rsidR="004A1C0C" w:rsidRPr="004920C6" w:rsidRDefault="004A1C0C" w:rsidP="004A1C0C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Poskytnutí zálohy příjemci (podíl státního rozpočtu a předfinancování)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6207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373/471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A087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29CA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373/471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26EA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223</w:t>
            </w:r>
          </w:p>
        </w:tc>
      </w:tr>
      <w:tr w:rsidR="004A1C0C" w:rsidRPr="004920C6" w14:paraId="6DB0F2CF" w14:textId="77777777" w:rsidTr="004A1C0C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35BF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BA60" w14:textId="77777777" w:rsidR="004A1C0C" w:rsidRPr="004920C6" w:rsidRDefault="004A1C0C" w:rsidP="004A1C0C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Odúčtování/aktualizace podmíněného závazku z titulu rozhodnutí o poskytnutí dotace ve výši vyplacené zálohy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5D47D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916/956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6A32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CF25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916/956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73CA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999</w:t>
            </w:r>
          </w:p>
        </w:tc>
      </w:tr>
      <w:tr w:rsidR="004A1C0C" w:rsidRPr="004920C6" w14:paraId="0114A7FB" w14:textId="77777777" w:rsidTr="004A1C0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D4A7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E269" w14:textId="77777777" w:rsidR="004A1C0C" w:rsidRPr="004920C6" w:rsidRDefault="004A1C0C" w:rsidP="004A1C0C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Zaúčtování podmíněné pohledávky z titulu předfinancování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3A485" w14:textId="77777777" w:rsidR="004A1C0C" w:rsidRPr="004920C6" w:rsidRDefault="004A1C0C" w:rsidP="00904119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951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B5C01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7C76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911/951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9C7F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999</w:t>
            </w:r>
          </w:p>
        </w:tc>
      </w:tr>
      <w:tr w:rsidR="004A1C0C" w:rsidRPr="004920C6" w14:paraId="3470157F" w14:textId="77777777" w:rsidTr="004A1C0C">
        <w:trPr>
          <w:trHeight w:val="2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CF4C5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DFF8" w14:textId="77777777" w:rsidR="004A1C0C" w:rsidRPr="004920C6" w:rsidRDefault="004A1C0C" w:rsidP="004A1C0C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Předpis nároku na refundaci předfinancovaných prostředků z NPO na základě usnesení vlády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AE71F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999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9764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951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DAFA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8835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911/951</w:t>
            </w:r>
          </w:p>
        </w:tc>
      </w:tr>
      <w:tr w:rsidR="004A1C0C" w:rsidRPr="004920C6" w14:paraId="59B8F5E6" w14:textId="77777777" w:rsidTr="00C42E39">
        <w:trPr>
          <w:trHeight w:val="2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8479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FFE8" w14:textId="77777777" w:rsidR="004A1C0C" w:rsidRPr="004920C6" w:rsidRDefault="004A1C0C" w:rsidP="004A1C0C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3AFA" w14:textId="7CBDAA80" w:rsidR="004A1C0C" w:rsidRPr="004920C6" w:rsidRDefault="004A1C0C" w:rsidP="009A103B">
            <w:pPr>
              <w:spacing w:after="0"/>
              <w:ind w:right="380"/>
              <w:jc w:val="right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346</w:t>
            </w:r>
            <w:r w:rsidR="00F46A93" w:rsidRPr="004920C6">
              <w:rPr>
                <w:rStyle w:val="Znakapoznpodarou"/>
                <w:rFonts w:cs="Calibri"/>
                <w:sz w:val="18"/>
                <w:szCs w:val="18"/>
              </w:rPr>
              <w:footnoteReference w:id="40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5E8B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675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A62D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0894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675</w:t>
            </w:r>
          </w:p>
        </w:tc>
      </w:tr>
      <w:tr w:rsidR="004A1C0C" w:rsidRPr="004920C6" w14:paraId="09B167AA" w14:textId="77777777" w:rsidTr="004A1C0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541E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DB63" w14:textId="77777777" w:rsidR="004A1C0C" w:rsidRPr="004920C6" w:rsidRDefault="004A1C0C" w:rsidP="004A1C0C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Příjem prostředků RRF od MPO-DU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52A8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222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F43D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8FA5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6B5C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344</w:t>
            </w:r>
          </w:p>
        </w:tc>
      </w:tr>
      <w:tr w:rsidR="004A1C0C" w:rsidRPr="004920C6" w14:paraId="3FBA4CCF" w14:textId="77777777" w:rsidTr="004A1C0C">
        <w:trPr>
          <w:trHeight w:val="4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A3EB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734C" w14:textId="77777777" w:rsidR="004A1C0C" w:rsidRPr="004920C6" w:rsidRDefault="004A1C0C" w:rsidP="004A1C0C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Zaúčtování dohadné položky k nákladům nejpozději k rozvahovému dni – podíl státního rozpočtu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E714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571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B424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CD07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5A70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389</w:t>
            </w:r>
          </w:p>
        </w:tc>
      </w:tr>
      <w:tr w:rsidR="004A1C0C" w:rsidRPr="004920C6" w14:paraId="43831245" w14:textId="77777777" w:rsidTr="004A1C0C">
        <w:trPr>
          <w:trHeight w:val="4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7E08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FB22" w14:textId="77777777" w:rsidR="004A1C0C" w:rsidRPr="004920C6" w:rsidRDefault="004A1C0C" w:rsidP="004A1C0C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Zaúčtování dohadné položky k nákladům nejpozději k rozvahovému dni – podíl předfinancování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155A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575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FAE7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6E9F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A998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389</w:t>
            </w:r>
          </w:p>
        </w:tc>
      </w:tr>
      <w:tr w:rsidR="004A1C0C" w:rsidRPr="004920C6" w14:paraId="0C09681B" w14:textId="77777777" w:rsidTr="004A1C0C">
        <w:trPr>
          <w:trHeight w:val="4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CA0B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CDD5" w14:textId="77777777" w:rsidR="004A1C0C" w:rsidRPr="004920C6" w:rsidRDefault="004A1C0C" w:rsidP="004A1C0C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Zaúčtování závazku ve výši skutečného čerpání dotace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22F1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389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6B17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345/347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A2EA5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389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C28E3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345/347</w:t>
            </w:r>
          </w:p>
        </w:tc>
      </w:tr>
      <w:tr w:rsidR="004A1C0C" w:rsidRPr="004920C6" w14:paraId="6BBFD9F5" w14:textId="77777777" w:rsidTr="004A1C0C">
        <w:trPr>
          <w:trHeight w:val="4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8CE7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637D" w14:textId="77777777" w:rsidR="004A1C0C" w:rsidRPr="004920C6" w:rsidRDefault="004A1C0C" w:rsidP="004A1C0C">
            <w:pPr>
              <w:spacing w:after="0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Zúčtování poskytnuté zálohy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AFFE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345/347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673C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373/471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38F9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345/347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6992" w14:textId="77777777" w:rsidR="004A1C0C" w:rsidRPr="004920C6" w:rsidRDefault="004A1C0C" w:rsidP="004A1C0C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4920C6">
              <w:rPr>
                <w:rFonts w:cs="Calibri"/>
                <w:color w:val="000000"/>
                <w:sz w:val="18"/>
                <w:szCs w:val="18"/>
                <w:lang w:eastAsia="cs-CZ"/>
              </w:rPr>
              <w:t>373/471</w:t>
            </w:r>
          </w:p>
        </w:tc>
      </w:tr>
    </w:tbl>
    <w:p w14:paraId="242560D3" w14:textId="7FAB6D8E" w:rsidR="004A1C0C" w:rsidRPr="004920C6" w:rsidRDefault="004A1C0C" w:rsidP="009623FD">
      <w:pPr>
        <w:keepNext/>
        <w:spacing w:after="0"/>
        <w:ind w:left="567" w:hanging="567"/>
        <w:jc w:val="both"/>
        <w:rPr>
          <w:rFonts w:cs="Arial"/>
          <w:bCs/>
          <w:sz w:val="20"/>
          <w:szCs w:val="20"/>
        </w:rPr>
      </w:pPr>
      <w:r w:rsidRPr="004920C6">
        <w:rPr>
          <w:rFonts w:cs="Arial"/>
          <w:b/>
          <w:sz w:val="20"/>
          <w:szCs w:val="20"/>
        </w:rPr>
        <w:t xml:space="preserve">Zdroj: </w:t>
      </w:r>
      <w:r w:rsidR="009623FD" w:rsidRPr="004920C6">
        <w:rPr>
          <w:rFonts w:cs="Arial"/>
          <w:b/>
          <w:sz w:val="20"/>
          <w:szCs w:val="20"/>
        </w:rPr>
        <w:tab/>
      </w:r>
      <w:r w:rsidRPr="004920C6">
        <w:rPr>
          <w:rFonts w:asciiTheme="minorHAnsi" w:hAnsiTheme="minorHAnsi" w:cstheme="minorHAnsi"/>
          <w:sz w:val="20"/>
          <w:szCs w:val="20"/>
        </w:rPr>
        <w:t>účetní deník MK, účetní doklady</w:t>
      </w:r>
      <w:r w:rsidRPr="004920C6">
        <w:rPr>
          <w:rFonts w:cs="Arial"/>
          <w:bCs/>
          <w:sz w:val="20"/>
          <w:szCs w:val="20"/>
        </w:rPr>
        <w:t>; vypracoval NKÚ.</w:t>
      </w:r>
    </w:p>
    <w:p w14:paraId="7DE8C43E" w14:textId="7B90EA14" w:rsidR="004A1C0C" w:rsidRPr="004A1C0C" w:rsidRDefault="004A1C0C" w:rsidP="009623FD">
      <w:pPr>
        <w:keepNext/>
        <w:spacing w:after="0"/>
        <w:ind w:left="567" w:hanging="567"/>
        <w:jc w:val="both"/>
        <w:rPr>
          <w:rFonts w:cs="Arial"/>
          <w:b/>
          <w:sz w:val="20"/>
          <w:szCs w:val="20"/>
        </w:rPr>
      </w:pPr>
      <w:r w:rsidRPr="004920C6">
        <w:rPr>
          <w:rFonts w:cs="Arial"/>
          <w:b/>
          <w:sz w:val="20"/>
          <w:szCs w:val="20"/>
        </w:rPr>
        <w:t>Pozn</w:t>
      </w:r>
      <w:r w:rsidR="009623FD" w:rsidRPr="004920C6">
        <w:rPr>
          <w:rFonts w:cs="Arial"/>
          <w:b/>
          <w:sz w:val="20"/>
          <w:szCs w:val="20"/>
        </w:rPr>
        <w:t>.</w:t>
      </w:r>
      <w:r w:rsidRPr="004920C6">
        <w:rPr>
          <w:rFonts w:cs="Arial"/>
          <w:b/>
          <w:sz w:val="20"/>
          <w:szCs w:val="20"/>
        </w:rPr>
        <w:t xml:space="preserve">: </w:t>
      </w:r>
      <w:r w:rsidR="009623FD" w:rsidRPr="004920C6">
        <w:rPr>
          <w:rFonts w:cs="Arial"/>
          <w:b/>
          <w:sz w:val="20"/>
          <w:szCs w:val="20"/>
        </w:rPr>
        <w:tab/>
      </w:r>
      <w:r w:rsidRPr="004920C6">
        <w:rPr>
          <w:rFonts w:cs="Arial"/>
          <w:bCs/>
          <w:sz w:val="20"/>
          <w:szCs w:val="20"/>
        </w:rPr>
        <w:t>Účetní případy uvedené v tabulce se netýkají jednoho projektu (v rámci jednoho projektu by se v daném účetním období neudály všechny výše uvedené účetní případy). V tabulce je abstrahováno od situace, kdy MK bylo v roli konečného příjemce (tzn. z prostředků RRF financovalo vlastní projekty) nebo kdy se jednalo o dotaci ex post (nevýznamné množství případů).</w:t>
      </w:r>
      <w:r w:rsidRPr="004A1C0C">
        <w:rPr>
          <w:rFonts w:cs="Arial"/>
          <w:b/>
          <w:sz w:val="20"/>
          <w:szCs w:val="20"/>
        </w:rPr>
        <w:t xml:space="preserve"> </w:t>
      </w:r>
      <w:bookmarkEnd w:id="14"/>
    </w:p>
    <w:sectPr w:rsidR="004A1C0C" w:rsidRPr="004A1C0C" w:rsidSect="00BE2CC5">
      <w:headerReference w:type="default" r:id="rId37"/>
      <w:footerReference w:type="even" r:id="rId38"/>
      <w:footerReference w:type="default" r:id="rId39"/>
      <w:footerReference w:type="first" r:id="rId4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ACCB" w14:textId="77777777" w:rsidR="00D1550C" w:rsidRDefault="00D1550C">
      <w:pPr>
        <w:spacing w:after="0"/>
      </w:pPr>
      <w:r>
        <w:separator/>
      </w:r>
    </w:p>
  </w:endnote>
  <w:endnote w:type="continuationSeparator" w:id="0">
    <w:p w14:paraId="6EF4E6A2" w14:textId="77777777" w:rsidR="00D1550C" w:rsidRDefault="00D1550C">
      <w:pPr>
        <w:spacing w:after="0"/>
      </w:pPr>
      <w:r>
        <w:continuationSeparator/>
      </w:r>
    </w:p>
  </w:endnote>
  <w:endnote w:type="continuationNotice" w:id="1">
    <w:p w14:paraId="023DD9AC" w14:textId="77777777" w:rsidR="00D1550C" w:rsidRDefault="00D1550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A819" w14:textId="7F721969" w:rsidR="0095242D" w:rsidRDefault="00027C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45C582" wp14:editId="08CCF7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2113777745" name="Textové pole 11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925E6" w14:textId="339FC431" w:rsidR="00027C25" w:rsidRPr="00027C25" w:rsidRDefault="00027C25" w:rsidP="00027C25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027C25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5C582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CLEAR" style="position:absolute;margin-left:0;margin-top:0;width:71.1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" filled="f" stroked="f">
              <v:textbox style="mso-fit-shape-to-text:t" inset="20pt,0,0,15pt">
                <w:txbxContent>
                  <w:p w14:paraId="462925E6" w14:textId="339FC431" w:rsidR="00027C25" w:rsidRPr="00027C25" w:rsidRDefault="00027C25" w:rsidP="00027C25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027C25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C42B" w14:textId="4DA8194B" w:rsidR="00E934D2" w:rsidRDefault="00027C25" w:rsidP="00BF14F7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DF3AC5" wp14:editId="042C23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1310797616" name="Textové pole 12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D7AB7" w14:textId="6D89AFC5" w:rsidR="00027C25" w:rsidRPr="00027C25" w:rsidRDefault="00027C25" w:rsidP="00027C25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027C25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F3AC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CLEAR" style="position:absolute;left:0;text-align:left;margin-left:0;margin-top:0;width:71.1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" filled="f" stroked="f">
              <v:textbox style="mso-fit-shape-to-text:t" inset="20pt,0,0,15pt">
                <w:txbxContent>
                  <w:p w14:paraId="6CED7AB7" w14:textId="6D89AFC5" w:rsidR="00027C25" w:rsidRPr="00027C25" w:rsidRDefault="00027C25" w:rsidP="00027C25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027C25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488242651"/>
        <w:docPartObj>
          <w:docPartGallery w:val="Page Numbers (Bottom of Page)"/>
          <w:docPartUnique/>
        </w:docPartObj>
      </w:sdtPr>
      <w:sdtEndPr/>
      <w:sdtContent>
        <w:r w:rsidR="00E934D2">
          <w:fldChar w:fldCharType="begin"/>
        </w:r>
        <w:r w:rsidR="00E934D2">
          <w:instrText>PAGE   \* MERGEFORMAT</w:instrText>
        </w:r>
        <w:r w:rsidR="00E934D2">
          <w:fldChar w:fldCharType="separate"/>
        </w:r>
        <w:r w:rsidR="00E934D2">
          <w:rPr>
            <w:noProof/>
          </w:rPr>
          <w:t>2</w:t>
        </w:r>
        <w:r w:rsidR="00E934D2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6CD72" w14:textId="3139D3C2" w:rsidR="0095242D" w:rsidRDefault="00027C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7D7BCB" wp14:editId="2BDFFC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294768003" name="Textové pole 10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122CE" w14:textId="79E10496" w:rsidR="00027C25" w:rsidRPr="00027C25" w:rsidRDefault="00027C25" w:rsidP="00027C25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027C25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D7BCB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alt="TLP:CLEAR" style="position:absolute;margin-left:0;margin-top:0;width:71.1pt;height:29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" filled="f" stroked="f">
              <v:textbox style="mso-fit-shape-to-text:t" inset="20pt,0,0,15pt">
                <w:txbxContent>
                  <w:p w14:paraId="4C4122CE" w14:textId="79E10496" w:rsidR="00027C25" w:rsidRPr="00027C25" w:rsidRDefault="00027C25" w:rsidP="00027C25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027C25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787C" w14:textId="0E1486A8" w:rsidR="0095242D" w:rsidRDefault="00027C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47E9267" wp14:editId="0042A2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477032879" name="Textové pole 14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3ED42" w14:textId="44A1DEAF" w:rsidR="00027C25" w:rsidRPr="00027C25" w:rsidRDefault="00027C25" w:rsidP="00027C25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027C25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E926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CLEAR" style="position:absolute;margin-left:0;margin-top:0;width:71.1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" filled="f" stroked="f">
              <v:textbox style="mso-fit-shape-to-text:t" inset="20pt,0,0,15pt">
                <w:txbxContent>
                  <w:p w14:paraId="4FB3ED42" w14:textId="44A1DEAF" w:rsidR="00027C25" w:rsidRPr="00027C25" w:rsidRDefault="00027C25" w:rsidP="00027C25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027C25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FAAE" w14:textId="20D676A4" w:rsidR="0095242D" w:rsidRDefault="00027C25" w:rsidP="00027C2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E923D03" wp14:editId="2E016EE8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510712987" name="Textové pole 15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47560" w14:textId="28A7AC2F" w:rsidR="00027C25" w:rsidRPr="00027C25" w:rsidRDefault="00027C25" w:rsidP="00027C25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027C25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3D03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0" type="#_x0000_t202" alt="TLP:CLEAR" style="position:absolute;left:0;text-align:left;margin-left:0;margin-top:0;width:71.1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" filled="f" stroked="f">
              <v:textbox style="mso-fit-shape-to-text:t" inset="20pt,0,0,15pt">
                <w:txbxContent>
                  <w:p w14:paraId="23D47560" w14:textId="28A7AC2F" w:rsidR="00027C25" w:rsidRPr="00027C25" w:rsidRDefault="00027C25" w:rsidP="00027C25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027C25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8762794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279B" w14:textId="1E86259C" w:rsidR="0095242D" w:rsidRDefault="00027C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D9842" wp14:editId="5835E5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1682214489" name="Textové pole 13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C9FD4" w14:textId="3E5C690C" w:rsidR="00027C25" w:rsidRPr="00027C25" w:rsidRDefault="00027C25" w:rsidP="00027C25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027C25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D9842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1" type="#_x0000_t202" alt="TLP:CLEAR" style="position:absolute;margin-left:0;margin-top:0;width:71.1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" filled="f" stroked="f">
              <v:textbox style="mso-fit-shape-to-text:t" inset="20pt,0,0,15pt">
                <w:txbxContent>
                  <w:p w14:paraId="4B0C9FD4" w14:textId="3E5C690C" w:rsidR="00027C25" w:rsidRPr="00027C25" w:rsidRDefault="00027C25" w:rsidP="00027C25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027C25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6914" w14:textId="77777777" w:rsidR="00D1550C" w:rsidRDefault="00D1550C" w:rsidP="002B7978">
      <w:pPr>
        <w:spacing w:after="0"/>
      </w:pPr>
      <w:r>
        <w:separator/>
      </w:r>
    </w:p>
  </w:footnote>
  <w:footnote w:type="continuationSeparator" w:id="0">
    <w:p w14:paraId="5B318845" w14:textId="77777777" w:rsidR="00D1550C" w:rsidRDefault="00D1550C" w:rsidP="002B7978">
      <w:pPr>
        <w:spacing w:after="0"/>
      </w:pPr>
      <w:r>
        <w:continuationSeparator/>
      </w:r>
    </w:p>
  </w:footnote>
  <w:footnote w:type="continuationNotice" w:id="1">
    <w:p w14:paraId="0749EAFB" w14:textId="77777777" w:rsidR="00D1550C" w:rsidRDefault="00D1550C">
      <w:pPr>
        <w:spacing w:after="0"/>
      </w:pPr>
    </w:p>
  </w:footnote>
  <w:footnote w:id="2">
    <w:p w14:paraId="60052B92" w14:textId="77777777" w:rsidR="00B3615F" w:rsidRPr="00BE2A30" w:rsidRDefault="00B3615F" w:rsidP="00B3615F">
      <w:pPr>
        <w:pStyle w:val="Textpoznpodarou"/>
        <w:ind w:left="284" w:hanging="284"/>
        <w:rPr>
          <w:rFonts w:asciiTheme="minorHAnsi" w:hAnsiTheme="minorHAnsi" w:cstheme="minorHAnsi"/>
          <w:iCs/>
        </w:rPr>
      </w:pPr>
      <w:r w:rsidRPr="00BE2A30">
        <w:rPr>
          <w:rStyle w:val="Znakapoznpodarou"/>
          <w:rFonts w:asciiTheme="minorHAnsi" w:hAnsiTheme="minorHAnsi" w:cstheme="minorHAnsi"/>
        </w:rPr>
        <w:footnoteRef/>
      </w:r>
      <w:r w:rsidRPr="00BE2A30">
        <w:rPr>
          <w:rStyle w:val="Znakapoznpodarou"/>
          <w:rFonts w:asciiTheme="minorHAnsi" w:hAnsiTheme="minorHAnsi" w:cstheme="minorHAnsi"/>
        </w:rPr>
        <w:t xml:space="preserve"> </w:t>
      </w:r>
      <w:r w:rsidRPr="00BE2A30">
        <w:rPr>
          <w:rFonts w:asciiTheme="minorHAnsi" w:hAnsiTheme="minorHAnsi" w:cstheme="minorHAnsi"/>
        </w:rPr>
        <w:tab/>
      </w:r>
      <w:r w:rsidRPr="00BE2A30">
        <w:rPr>
          <w:rStyle w:val="Znakapoznpodarou"/>
          <w:rFonts w:asciiTheme="minorHAnsi" w:hAnsiTheme="minorHAnsi" w:cstheme="minorHAnsi"/>
          <w:iCs/>
          <w:vertAlign w:val="baseline"/>
        </w:rPr>
        <w:t>Portál MONITOR [online]. Ú</w:t>
      </w:r>
      <w:r w:rsidRPr="00BE2A30">
        <w:rPr>
          <w:rFonts w:asciiTheme="minorHAnsi" w:hAnsiTheme="minorHAnsi" w:cstheme="minorHAnsi"/>
          <w:iCs/>
        </w:rPr>
        <w:t>daje výkazů účetní</w:t>
      </w:r>
      <w:r w:rsidRPr="00BE2A30">
        <w:rPr>
          <w:rStyle w:val="Znakapoznpodarou"/>
          <w:rFonts w:asciiTheme="minorHAnsi" w:hAnsiTheme="minorHAnsi" w:cstheme="minorHAnsi"/>
          <w:iCs/>
          <w:vertAlign w:val="baseline"/>
        </w:rPr>
        <w:t xml:space="preserve"> závěrk</w:t>
      </w:r>
      <w:r w:rsidRPr="00BE2A30">
        <w:rPr>
          <w:rFonts w:asciiTheme="minorHAnsi" w:hAnsiTheme="minorHAnsi" w:cstheme="minorHAnsi"/>
          <w:iCs/>
        </w:rPr>
        <w:t>y</w:t>
      </w:r>
      <w:r w:rsidRPr="00BE2A30">
        <w:rPr>
          <w:rStyle w:val="Znakapoznpodarou"/>
          <w:rFonts w:asciiTheme="minorHAnsi" w:hAnsiTheme="minorHAnsi" w:cstheme="minorHAnsi"/>
          <w:iCs/>
          <w:vertAlign w:val="baseline"/>
        </w:rPr>
        <w:t xml:space="preserve"> [cit. </w:t>
      </w:r>
      <w:r w:rsidRPr="00BE2A30">
        <w:rPr>
          <w:rFonts w:asciiTheme="minorHAnsi" w:hAnsiTheme="minorHAnsi" w:cstheme="minorHAnsi"/>
          <w:iCs/>
        </w:rPr>
        <w:t>21</w:t>
      </w:r>
      <w:r w:rsidRPr="00BE2A30">
        <w:rPr>
          <w:rStyle w:val="Znakapoznpodarou"/>
          <w:rFonts w:asciiTheme="minorHAnsi" w:hAnsiTheme="minorHAnsi" w:cstheme="minorHAnsi"/>
          <w:iCs/>
          <w:vertAlign w:val="baseline"/>
        </w:rPr>
        <w:t>.</w:t>
      </w:r>
      <w:r w:rsidRPr="00BE2A30">
        <w:rPr>
          <w:rFonts w:asciiTheme="minorHAnsi" w:hAnsiTheme="minorHAnsi" w:cstheme="minorHAnsi"/>
          <w:iCs/>
        </w:rPr>
        <w:t> </w:t>
      </w:r>
      <w:r w:rsidRPr="00BE2A30">
        <w:rPr>
          <w:rStyle w:val="Znakapoznpodarou"/>
          <w:rFonts w:asciiTheme="minorHAnsi" w:hAnsiTheme="minorHAnsi" w:cstheme="minorHAnsi"/>
          <w:iCs/>
          <w:vertAlign w:val="baseline"/>
        </w:rPr>
        <w:t>5.</w:t>
      </w:r>
      <w:r w:rsidRPr="00BE2A30">
        <w:rPr>
          <w:rFonts w:asciiTheme="minorHAnsi" w:hAnsiTheme="minorHAnsi" w:cstheme="minorHAnsi"/>
          <w:iCs/>
        </w:rPr>
        <w:t> </w:t>
      </w:r>
      <w:r w:rsidRPr="00BE2A30">
        <w:rPr>
          <w:rStyle w:val="Znakapoznpodarou"/>
          <w:rFonts w:asciiTheme="minorHAnsi" w:hAnsiTheme="minorHAnsi" w:cstheme="minorHAnsi"/>
          <w:iCs/>
          <w:vertAlign w:val="baseline"/>
        </w:rPr>
        <w:t>2025]. Dostupné z:</w:t>
      </w:r>
    </w:p>
    <w:p w14:paraId="41656844" w14:textId="77777777" w:rsidR="00B3615F" w:rsidRPr="00BE2A30" w:rsidRDefault="00B3615F" w:rsidP="00B3615F">
      <w:pPr>
        <w:pStyle w:val="Textpoznpodarou"/>
        <w:ind w:left="284"/>
        <w:rPr>
          <w:rStyle w:val="Znakapoznpodarou"/>
          <w:rFonts w:asciiTheme="minorHAnsi" w:hAnsiTheme="minorHAnsi" w:cstheme="minorHAnsi"/>
          <w:vertAlign w:val="baseline"/>
        </w:rPr>
      </w:pPr>
      <w:hyperlink r:id="rId1" w:history="1">
        <w:r w:rsidRPr="00C85974">
          <w:rPr>
            <w:rStyle w:val="Hypertextovodkaz"/>
            <w:rFonts w:asciiTheme="minorHAnsi" w:hAnsiTheme="minorHAnsi" w:cstheme="minorHAnsi"/>
            <w:sz w:val="18"/>
            <w:szCs w:val="18"/>
          </w:rPr>
          <w:t>https://monitor.statnipokladna.gov.cz/ucetni-jednotka/00023671/ucetni-zaverka/rozvaha?rad=t&amp;obdobi=2412</w:t>
        </w:r>
      </w:hyperlink>
      <w:r w:rsidRPr="00BE2A30">
        <w:rPr>
          <w:rFonts w:asciiTheme="minorHAnsi" w:hAnsiTheme="minorHAnsi" w:cstheme="minorHAnsi"/>
        </w:rPr>
        <w:t>.</w:t>
      </w:r>
    </w:p>
  </w:footnote>
  <w:footnote w:id="3">
    <w:p w14:paraId="247E8EF4" w14:textId="691CD060" w:rsidR="00B74F4C" w:rsidRPr="00BE2A30" w:rsidRDefault="00B74F4C" w:rsidP="00B74F4C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E2A30">
        <w:rPr>
          <w:rStyle w:val="Znakapoznpodarou"/>
          <w:rFonts w:asciiTheme="minorHAnsi" w:hAnsiTheme="minorHAnsi" w:cstheme="minorHAnsi"/>
        </w:rPr>
        <w:footnoteRef/>
      </w:r>
      <w:r w:rsidRPr="00BE2A30">
        <w:rPr>
          <w:rFonts w:asciiTheme="minorHAnsi" w:hAnsiTheme="minorHAnsi" w:cstheme="minorHAnsi"/>
        </w:rPr>
        <w:t xml:space="preserve"> </w:t>
      </w:r>
      <w:r w:rsidRPr="00BE2A30">
        <w:rPr>
          <w:rFonts w:asciiTheme="minorHAnsi" w:hAnsiTheme="minorHAnsi" w:cstheme="minorHAnsi"/>
        </w:rPr>
        <w:tab/>
        <w:t>Vybranými účetními jednotkami jsou podle ustanovení § 1 odst. 3 zákona č. 563/1991 Sb., o účetnictví, organizační složky státu, státní fondy podle rozpočtových pravidel, územní samosprávné celky, dobrovolné svazky obcí, příspěvkové organizace a zdravotní pojišťovny.</w:t>
      </w:r>
    </w:p>
  </w:footnote>
  <w:footnote w:id="4">
    <w:p w14:paraId="279B74CA" w14:textId="77777777" w:rsidR="00B3615F" w:rsidRPr="00BE2A30" w:rsidRDefault="00B3615F" w:rsidP="00B3615F">
      <w:pPr>
        <w:pStyle w:val="Textpoznpodarou"/>
        <w:ind w:left="284" w:hanging="284"/>
        <w:rPr>
          <w:rFonts w:asciiTheme="minorHAnsi" w:hAnsiTheme="minorHAnsi" w:cstheme="minorHAnsi"/>
          <w:iCs/>
        </w:rPr>
      </w:pPr>
      <w:r w:rsidRPr="00BE2A30">
        <w:rPr>
          <w:rStyle w:val="Znakapoznpodarou"/>
          <w:rFonts w:asciiTheme="minorHAnsi" w:hAnsiTheme="minorHAnsi" w:cstheme="minorHAnsi"/>
        </w:rPr>
        <w:footnoteRef/>
      </w:r>
      <w:r w:rsidRPr="00BE2A30">
        <w:rPr>
          <w:rStyle w:val="Znakapoznpodarou"/>
          <w:rFonts w:asciiTheme="minorHAnsi" w:hAnsiTheme="minorHAnsi" w:cstheme="minorHAnsi"/>
        </w:rPr>
        <w:t xml:space="preserve"> </w:t>
      </w:r>
      <w:r w:rsidRPr="00BE2A30">
        <w:rPr>
          <w:rFonts w:asciiTheme="minorHAnsi" w:hAnsiTheme="minorHAnsi" w:cstheme="minorHAnsi"/>
        </w:rPr>
        <w:tab/>
      </w:r>
      <w:r w:rsidRPr="00BE2A30">
        <w:rPr>
          <w:rStyle w:val="Znakapoznpodarou"/>
          <w:rFonts w:asciiTheme="minorHAnsi" w:hAnsiTheme="minorHAnsi" w:cstheme="minorHAnsi"/>
          <w:iCs/>
          <w:vertAlign w:val="baseline"/>
        </w:rPr>
        <w:t xml:space="preserve">Portál MONITOR [online]. Výkaz pro hodnocení plnění rozpočtu [cit. </w:t>
      </w:r>
      <w:r w:rsidRPr="00BE2A30">
        <w:rPr>
          <w:rFonts w:asciiTheme="minorHAnsi" w:hAnsiTheme="minorHAnsi" w:cstheme="minorHAnsi"/>
          <w:iCs/>
        </w:rPr>
        <w:t>21</w:t>
      </w:r>
      <w:r w:rsidRPr="00BE2A30">
        <w:rPr>
          <w:rStyle w:val="Znakapoznpodarou"/>
          <w:rFonts w:asciiTheme="minorHAnsi" w:hAnsiTheme="minorHAnsi" w:cstheme="minorHAnsi"/>
          <w:iCs/>
          <w:vertAlign w:val="baseline"/>
        </w:rPr>
        <w:t>.</w:t>
      </w:r>
      <w:r w:rsidRPr="00BE2A30">
        <w:rPr>
          <w:rFonts w:asciiTheme="minorHAnsi" w:hAnsiTheme="minorHAnsi" w:cstheme="minorHAnsi"/>
          <w:iCs/>
        </w:rPr>
        <w:t> </w:t>
      </w:r>
      <w:r w:rsidRPr="00BE2A30">
        <w:rPr>
          <w:rStyle w:val="Znakapoznpodarou"/>
          <w:rFonts w:asciiTheme="minorHAnsi" w:hAnsiTheme="minorHAnsi" w:cstheme="minorHAnsi"/>
          <w:iCs/>
          <w:vertAlign w:val="baseline"/>
        </w:rPr>
        <w:t>5.</w:t>
      </w:r>
      <w:r w:rsidRPr="00BE2A30">
        <w:rPr>
          <w:rFonts w:asciiTheme="minorHAnsi" w:hAnsiTheme="minorHAnsi" w:cstheme="minorHAnsi"/>
          <w:iCs/>
        </w:rPr>
        <w:t> </w:t>
      </w:r>
      <w:r w:rsidRPr="00BE2A30">
        <w:rPr>
          <w:rStyle w:val="Znakapoznpodarou"/>
          <w:rFonts w:asciiTheme="minorHAnsi" w:hAnsiTheme="minorHAnsi" w:cstheme="minorHAnsi"/>
          <w:iCs/>
          <w:vertAlign w:val="baseline"/>
        </w:rPr>
        <w:t>2025]. Dostupné z:</w:t>
      </w:r>
    </w:p>
    <w:p w14:paraId="11DC3F8E" w14:textId="77777777" w:rsidR="00B3615F" w:rsidRPr="00BE2A30" w:rsidRDefault="00B3615F" w:rsidP="00B3615F">
      <w:pPr>
        <w:pStyle w:val="Textpoznpodarou"/>
        <w:ind w:left="284"/>
        <w:rPr>
          <w:rStyle w:val="Znakapoznpodarou"/>
          <w:rFonts w:asciiTheme="minorHAnsi" w:hAnsiTheme="minorHAnsi" w:cstheme="minorHAnsi"/>
          <w:vertAlign w:val="baseline"/>
        </w:rPr>
      </w:pPr>
      <w:hyperlink r:id="rId2" w:history="1">
        <w:r w:rsidRPr="00C85974">
          <w:rPr>
            <w:rStyle w:val="Hypertextovodkaz"/>
            <w:rFonts w:asciiTheme="minorHAnsi" w:hAnsiTheme="minorHAnsi" w:cstheme="minorHAnsi"/>
            <w:sz w:val="18"/>
            <w:szCs w:val="18"/>
          </w:rPr>
          <w:t>https://monitor.statnipokladna.gov.cz/ucetni-jednotka/00023671/rozpocet/vydaje-druhovy?rad=t&amp;obdobi=2412</w:t>
        </w:r>
      </w:hyperlink>
      <w:r w:rsidRPr="00BE2A30">
        <w:rPr>
          <w:rFonts w:asciiTheme="minorHAnsi" w:hAnsiTheme="minorHAnsi" w:cstheme="minorHAnsi"/>
        </w:rPr>
        <w:t>.</w:t>
      </w:r>
    </w:p>
  </w:footnote>
  <w:footnote w:id="5">
    <w:p w14:paraId="416A93A3" w14:textId="77777777" w:rsidR="003D5233" w:rsidRDefault="003D5233" w:rsidP="003D5233">
      <w:pPr>
        <w:pStyle w:val="Textpoznpodarou"/>
        <w:ind w:left="284" w:hanging="284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Vyhláška č. 419/2001 Sb., o předkládání údajů pro vypracování návrhu státního závěrečného účtu.</w:t>
      </w:r>
    </w:p>
  </w:footnote>
  <w:footnote w:id="6">
    <w:p w14:paraId="419A2DA7" w14:textId="77777777" w:rsidR="008A23B4" w:rsidRDefault="008A23B4" w:rsidP="008A23B4">
      <w:pPr>
        <w:pStyle w:val="Textpoznpodarou"/>
        <w:ind w:left="284" w:hanging="284"/>
        <w:jc w:val="both"/>
        <w:rPr>
          <w:rFonts w:ascii="Calibri" w:hAnsi="Calibri" w:cs="Calibri"/>
        </w:rPr>
      </w:pPr>
      <w:r>
        <w:rPr>
          <w:rStyle w:val="Znakapoznpodarou"/>
          <w:rFonts w:ascii="Calibri" w:eastAsiaTheme="majorEastAsia" w:hAnsi="Calibri" w:cs="Calibri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Kontrolní akce č. 19/03 – </w:t>
      </w:r>
      <w:r>
        <w:rPr>
          <w:rFonts w:ascii="Calibri" w:hAnsi="Calibri" w:cs="Calibri"/>
          <w:i/>
        </w:rPr>
        <w:t>Závěrečný účet kapitoly státního rozpočtu Ministerstvo kultury za rok 2018, účetní závěrka Ministerstva kultury za rok 2018 a údaje předkládané Ministerstvem kultury pro hodnocení plnění státního rozpočtu za rok 2018</w:t>
      </w:r>
      <w:r>
        <w:rPr>
          <w:rFonts w:ascii="Calibri" w:hAnsi="Calibri" w:cs="Calibri"/>
        </w:rPr>
        <w:t xml:space="preserve">; kontrolní závěr byl zveřejněn v částce 6/2019 </w:t>
      </w:r>
      <w:r>
        <w:rPr>
          <w:rFonts w:ascii="Calibri" w:hAnsi="Calibri" w:cs="Calibri"/>
          <w:i/>
        </w:rPr>
        <w:t>Věstníku NKÚ</w:t>
      </w:r>
      <w:r>
        <w:rPr>
          <w:rFonts w:ascii="Calibri" w:hAnsi="Calibri" w:cs="Calibri"/>
        </w:rPr>
        <w:t>.</w:t>
      </w:r>
    </w:p>
  </w:footnote>
  <w:footnote w:id="7">
    <w:p w14:paraId="33E0FBD4" w14:textId="7B00E74D" w:rsidR="00601F1B" w:rsidRDefault="00601F1B" w:rsidP="00601F1B">
      <w:pPr>
        <w:pStyle w:val="Textpoznpodarou"/>
        <w:ind w:left="284" w:hanging="284"/>
        <w:jc w:val="both"/>
        <w:rPr>
          <w:rFonts w:asciiTheme="minorHAnsi" w:hAnsiTheme="minorHAnsi" w:cstheme="minorHAnsi"/>
          <w:i/>
        </w:rPr>
      </w:pPr>
      <w:r>
        <w:rPr>
          <w:rStyle w:val="Znakapoznpodarou"/>
          <w:rFonts w:asciiTheme="minorHAnsi" w:eastAsiaTheme="majorEastAsia" w:hAnsiTheme="minorHAnsi" w:cstheme="minorHAnsi"/>
        </w:rPr>
        <w:footnoteRef/>
      </w:r>
      <w:r>
        <w:t xml:space="preserve"> </w:t>
      </w:r>
      <w:r>
        <w:tab/>
      </w:r>
      <w:r>
        <w:rPr>
          <w:rFonts w:asciiTheme="minorHAnsi" w:hAnsiTheme="minorHAnsi" w:cstheme="minorHAnsi"/>
        </w:rPr>
        <w:t>Usnesení vlády Č</w:t>
      </w:r>
      <w:r w:rsidR="0087457B">
        <w:rPr>
          <w:rFonts w:asciiTheme="minorHAnsi" w:hAnsiTheme="minorHAnsi" w:cstheme="minorHAnsi"/>
        </w:rPr>
        <w:t xml:space="preserve">eské republiky </w:t>
      </w:r>
      <w:r>
        <w:rPr>
          <w:rFonts w:asciiTheme="minorHAnsi" w:hAnsiTheme="minorHAnsi" w:cstheme="minorHAnsi"/>
        </w:rPr>
        <w:t>ze dne 9. března 2020 č. 182</w:t>
      </w:r>
      <w:r w:rsidR="0087457B">
        <w:rPr>
          <w:rFonts w:asciiTheme="minorHAnsi" w:hAnsiTheme="minorHAnsi" w:cstheme="minorHAnsi"/>
        </w:rPr>
        <w:t xml:space="preserve">, </w:t>
      </w:r>
      <w:r w:rsidR="0087457B" w:rsidRPr="00CD0C06">
        <w:rPr>
          <w:rFonts w:asciiTheme="minorHAnsi" w:hAnsiTheme="minorHAnsi" w:cstheme="minorHAnsi"/>
          <w:i/>
          <w:iCs/>
        </w:rPr>
        <w:t>ke Kontrolnímu závěru Nejvyššího kontrolního úřadu č. 19/03</w:t>
      </w:r>
      <w:r w:rsidR="0087457B">
        <w:rPr>
          <w:rFonts w:asciiTheme="minorHAnsi" w:hAnsiTheme="minorHAnsi" w:cstheme="minorHAnsi"/>
        </w:rPr>
        <w:t xml:space="preserve"> </w:t>
      </w:r>
      <w:r w:rsidR="0087457B" w:rsidRPr="0087457B">
        <w:rPr>
          <w:rFonts w:asciiTheme="minorHAnsi" w:hAnsiTheme="minorHAnsi" w:cstheme="minorHAnsi"/>
          <w:i/>
          <w:iCs/>
        </w:rPr>
        <w:t>Závěrečný účet kapitoly státního rozpočtu Ministerstvo kultury za rok 2018, účetní závěrka Ministerstva kultury za rok 2018 a údaje předkládané Ministerstvem kultury pro hodnocení plnění státního rozpočtu za rok 2018</w:t>
      </w:r>
      <w:r>
        <w:rPr>
          <w:rFonts w:asciiTheme="minorHAnsi" w:hAnsiTheme="minorHAnsi" w:cstheme="minorHAnsi"/>
          <w:i/>
        </w:rPr>
        <w:t>.</w:t>
      </w:r>
    </w:p>
  </w:footnote>
  <w:footnote w:id="8">
    <w:p w14:paraId="66A2B30D" w14:textId="17A6B31A" w:rsidR="0089578D" w:rsidRPr="0094214A" w:rsidRDefault="0089578D" w:rsidP="0089578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4214A">
        <w:rPr>
          <w:rStyle w:val="Znakapoznpodarou"/>
          <w:rFonts w:asciiTheme="minorHAnsi" w:hAnsiTheme="minorHAnsi" w:cstheme="minorHAnsi"/>
        </w:rPr>
        <w:footnoteRef/>
      </w:r>
      <w:r w:rsidRPr="0094214A">
        <w:rPr>
          <w:rFonts w:asciiTheme="minorHAnsi" w:hAnsiTheme="minorHAnsi" w:cstheme="minorHAnsi"/>
        </w:rPr>
        <w:t xml:space="preserve"> </w:t>
      </w:r>
      <w:r w:rsidRPr="0094214A">
        <w:rPr>
          <w:rFonts w:asciiTheme="minorHAnsi" w:hAnsiTheme="minorHAnsi" w:cstheme="minorHAnsi"/>
        </w:rPr>
        <w:tab/>
        <w:t xml:space="preserve">Zákon </w:t>
      </w:r>
      <w:r w:rsidR="000D03AD">
        <w:rPr>
          <w:rFonts w:asciiTheme="minorHAnsi" w:hAnsiTheme="minorHAnsi" w:cstheme="minorHAnsi"/>
        </w:rPr>
        <w:t xml:space="preserve">České národní rady </w:t>
      </w:r>
      <w:r w:rsidRPr="0094214A">
        <w:rPr>
          <w:rFonts w:asciiTheme="minorHAnsi" w:hAnsiTheme="minorHAnsi" w:cstheme="minorHAnsi"/>
        </w:rPr>
        <w:t xml:space="preserve">č. 2/1969 Sb., </w:t>
      </w:r>
      <w:r w:rsidRPr="0094214A">
        <w:rPr>
          <w:rFonts w:asciiTheme="minorHAnsi" w:hAnsiTheme="minorHAnsi" w:cstheme="minorHAnsi"/>
          <w:shd w:val="clear" w:color="auto" w:fill="FFFFFF"/>
        </w:rPr>
        <w:t>o zřízení ministerstev a jiných ústředních orgánů státní správy České republiky.</w:t>
      </w:r>
      <w:r w:rsidRPr="0094214A">
        <w:rPr>
          <w:rFonts w:asciiTheme="minorHAnsi" w:hAnsiTheme="minorHAnsi" w:cstheme="minorHAnsi"/>
        </w:rPr>
        <w:t xml:space="preserve"> </w:t>
      </w:r>
    </w:p>
  </w:footnote>
  <w:footnote w:id="9">
    <w:p w14:paraId="4DAAE434" w14:textId="77777777" w:rsidR="007F7F73" w:rsidRPr="004A3796" w:rsidRDefault="007F7F73" w:rsidP="007F7F73">
      <w:pPr>
        <w:pStyle w:val="Textpoznpodarou"/>
        <w:ind w:left="284" w:hanging="284"/>
        <w:rPr>
          <w:rFonts w:asciiTheme="minorHAnsi" w:hAnsiTheme="minorHAnsi" w:cstheme="minorHAnsi"/>
        </w:rPr>
      </w:pPr>
      <w:r w:rsidRPr="004A3796">
        <w:rPr>
          <w:rStyle w:val="Znakapoznpodarou"/>
          <w:rFonts w:asciiTheme="minorHAnsi" w:hAnsiTheme="minorHAnsi" w:cstheme="minorHAnsi"/>
        </w:rPr>
        <w:footnoteRef/>
      </w:r>
      <w:r w:rsidRPr="004A379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A3796">
        <w:rPr>
          <w:rFonts w:asciiTheme="minorHAnsi" w:hAnsiTheme="minorHAnsi" w:cstheme="minorHAnsi"/>
        </w:rPr>
        <w:t xml:space="preserve">Zákon č. 219/2000 Sb., o majetku České republiky a jejím vystupování v právních vztazích. </w:t>
      </w:r>
    </w:p>
  </w:footnote>
  <w:footnote w:id="10">
    <w:p w14:paraId="209C702C" w14:textId="77777777" w:rsidR="00314A7D" w:rsidRPr="00051D63" w:rsidRDefault="00314A7D" w:rsidP="00314A7D">
      <w:pPr>
        <w:pStyle w:val="Textpoznpodarou"/>
        <w:ind w:left="284" w:hanging="284"/>
        <w:rPr>
          <w:rFonts w:asciiTheme="minorHAnsi" w:hAnsiTheme="minorHAnsi" w:cstheme="minorHAnsi"/>
        </w:rPr>
      </w:pPr>
      <w:r w:rsidRPr="00051D63">
        <w:rPr>
          <w:rStyle w:val="Znakapoznpodarou"/>
          <w:rFonts w:asciiTheme="minorHAnsi" w:hAnsiTheme="minorHAnsi" w:cstheme="minorHAnsi"/>
        </w:rPr>
        <w:footnoteRef/>
      </w:r>
      <w:r w:rsidRPr="00051D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051D63">
        <w:rPr>
          <w:rFonts w:asciiTheme="minorHAnsi" w:hAnsiTheme="minorHAnsi" w:cstheme="minorHAnsi"/>
        </w:rPr>
        <w:t>Zákon č. 563/1991 Sb., o účetnictví.</w:t>
      </w:r>
    </w:p>
  </w:footnote>
  <w:footnote w:id="11">
    <w:p w14:paraId="30016D58" w14:textId="77777777" w:rsidR="007F7F73" w:rsidRPr="000F16A3" w:rsidRDefault="007F7F73" w:rsidP="007F7F7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0F16A3">
        <w:rPr>
          <w:rStyle w:val="Znakapoznpodarou"/>
          <w:rFonts w:asciiTheme="minorHAnsi" w:hAnsiTheme="minorHAnsi" w:cstheme="minorHAnsi"/>
        </w:rPr>
        <w:footnoteRef/>
      </w:r>
      <w:r w:rsidRPr="000F16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Zákon č. 218/2000 Sb., </w:t>
      </w:r>
      <w:r w:rsidRPr="000F16A3">
        <w:rPr>
          <w:rFonts w:asciiTheme="minorHAnsi" w:hAnsiTheme="minorHAnsi" w:cstheme="minorHAnsi"/>
        </w:rPr>
        <w:t>o rozpočtových pravidlech a o změně některých souvisejících zákonů (rozpočtová pravidla)</w:t>
      </w:r>
      <w:r>
        <w:rPr>
          <w:rFonts w:asciiTheme="minorHAnsi" w:hAnsiTheme="minorHAnsi" w:cstheme="minorHAnsi"/>
        </w:rPr>
        <w:t>.</w:t>
      </w:r>
    </w:p>
  </w:footnote>
  <w:footnote w:id="12">
    <w:p w14:paraId="4DE76326" w14:textId="77777777" w:rsidR="00314A7D" w:rsidRDefault="00314A7D" w:rsidP="00314A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Vyhláška č. 412/2021 Sb., o rozpočtové skladbě.</w:t>
      </w:r>
    </w:p>
  </w:footnote>
  <w:footnote w:id="13">
    <w:p w14:paraId="7BDB90CB" w14:textId="6CDA54B0" w:rsidR="00E934D2" w:rsidRPr="0068126F" w:rsidRDefault="00E934D2" w:rsidP="00B0770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8126F">
        <w:rPr>
          <w:rStyle w:val="Znakapoznpodarou"/>
          <w:rFonts w:asciiTheme="minorHAnsi" w:hAnsiTheme="minorHAnsi" w:cstheme="minorHAnsi"/>
        </w:rPr>
        <w:footnoteRef/>
      </w:r>
      <w:r w:rsidRPr="0068126F">
        <w:rPr>
          <w:rFonts w:asciiTheme="minorHAnsi" w:hAnsiTheme="minorHAnsi" w:cstheme="minorHAnsi"/>
        </w:rPr>
        <w:t xml:space="preserve"> </w:t>
      </w:r>
      <w:r w:rsidRPr="0068126F">
        <w:rPr>
          <w:rFonts w:asciiTheme="minorHAnsi" w:hAnsiTheme="minorHAnsi" w:cstheme="minorHAnsi"/>
        </w:rPr>
        <w:tab/>
        <w:t xml:space="preserve">Dle ustanovení § 3 písm. o) </w:t>
      </w:r>
      <w:r>
        <w:rPr>
          <w:rFonts w:asciiTheme="minorHAnsi" w:hAnsiTheme="minorHAnsi" w:cstheme="minorHAnsi"/>
        </w:rPr>
        <w:t>z</w:t>
      </w:r>
      <w:r w:rsidRPr="0079496F">
        <w:rPr>
          <w:rFonts w:asciiTheme="minorHAnsi" w:hAnsiTheme="minorHAnsi" w:cstheme="minorHAnsi"/>
        </w:rPr>
        <w:t>ákon</w:t>
      </w:r>
      <w:r>
        <w:rPr>
          <w:rFonts w:asciiTheme="minorHAnsi" w:hAnsiTheme="minorHAnsi" w:cstheme="minorHAnsi"/>
        </w:rPr>
        <w:t>a</w:t>
      </w:r>
      <w:r w:rsidRPr="0079496F">
        <w:rPr>
          <w:rFonts w:asciiTheme="minorHAnsi" w:hAnsiTheme="minorHAnsi" w:cstheme="minorHAnsi"/>
        </w:rPr>
        <w:t xml:space="preserve"> č. 218/2000 Sb.</w:t>
      </w:r>
      <w:r w:rsidRPr="0068126F">
        <w:rPr>
          <w:rFonts w:asciiTheme="minorHAnsi" w:hAnsiTheme="minorHAnsi" w:cstheme="minorHAnsi"/>
        </w:rPr>
        <w:t xml:space="preserve"> je rozpočtový systém informačním systémem veřejné správy, v němž se mj. soustřeďují údaje pro hodnocení plnění státního rozpočtu.</w:t>
      </w:r>
    </w:p>
  </w:footnote>
  <w:footnote w:id="14">
    <w:p w14:paraId="314EB8F4" w14:textId="77777777" w:rsidR="00E934D2" w:rsidRPr="00B0770B" w:rsidRDefault="00E934D2" w:rsidP="006662D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0770B">
        <w:rPr>
          <w:rStyle w:val="Znakapoznpodarou"/>
          <w:rFonts w:ascii="Calibri" w:hAnsi="Calibri" w:cs="Calibri"/>
        </w:rPr>
        <w:footnoteRef/>
      </w:r>
      <w:r w:rsidRPr="00B0770B">
        <w:rPr>
          <w:rFonts w:ascii="Calibri" w:hAnsi="Calibri" w:cs="Calibri"/>
        </w:rPr>
        <w:t xml:space="preserve"> </w:t>
      </w:r>
      <w:r w:rsidRPr="00B0770B">
        <w:rPr>
          <w:rFonts w:ascii="Calibri" w:hAnsi="Calibri" w:cs="Calibri"/>
        </w:rPr>
        <w:tab/>
        <w:t>Dle ustanovení § 20 odst. 4 zákona č. 218/2000 Sb. jsou OSS povinny předkládat údaje potřebné pro průběžné hodnocení plnění státního rozpočtu. Způsob a termíny předkládání údajů a jejich rozsah stanovuje vyhláška č. 5/2014 Sb., o způsobu, termínech a rozsahu údajů předkládaných pro hodnocení plnění státního rozpočtu, rozpočtů státních fondů, rozpočtů územních samosprávných celků a rozpočtů dobrovolných svazků obcí. Dle ustanovení § 5 odst. 1 a dle přílohy č. 1 této vyhlášky zpracovávají OSS údaje pro hodnocení plnění státního rozpočtu přímo v rozpočtovém systému, ve kterém je z nich následně sestavován výkaz FIN 1-12 OSS.</w:t>
      </w:r>
    </w:p>
  </w:footnote>
  <w:footnote w:id="15">
    <w:p w14:paraId="341A3033" w14:textId="5E52B6C3" w:rsidR="00E934D2" w:rsidRPr="00B0770B" w:rsidRDefault="00E934D2" w:rsidP="00916785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0770B">
        <w:rPr>
          <w:rStyle w:val="Znakapoznpodarou"/>
          <w:rFonts w:ascii="Calibri" w:hAnsi="Calibri" w:cs="Calibri"/>
        </w:rPr>
        <w:footnoteRef/>
      </w:r>
      <w:r w:rsidRPr="00B0770B">
        <w:rPr>
          <w:rFonts w:ascii="Calibri" w:hAnsi="Calibri" w:cs="Calibri"/>
        </w:rPr>
        <w:t xml:space="preserve"> </w:t>
      </w:r>
      <w:r w:rsidRPr="00B0770B">
        <w:rPr>
          <w:rFonts w:ascii="Calibri" w:hAnsi="Calibri" w:cs="Calibri"/>
        </w:rPr>
        <w:tab/>
      </w:r>
      <w:r w:rsidR="004A75A2">
        <w:rPr>
          <w:rFonts w:ascii="Calibri" w:hAnsi="Calibri" w:cs="Calibri"/>
        </w:rPr>
        <w:t>MK</w:t>
      </w:r>
      <w:r w:rsidRPr="00B0770B">
        <w:rPr>
          <w:rFonts w:ascii="Calibri" w:hAnsi="Calibri" w:cs="Calibri"/>
        </w:rPr>
        <w:t xml:space="preserve"> je jakožto OSS povin</w:t>
      </w:r>
      <w:r>
        <w:rPr>
          <w:rFonts w:ascii="Calibri" w:hAnsi="Calibri" w:cs="Calibri"/>
        </w:rPr>
        <w:t>n</w:t>
      </w:r>
      <w:r w:rsidR="004A75A2">
        <w:rPr>
          <w:rFonts w:ascii="Calibri" w:hAnsi="Calibri" w:cs="Calibri"/>
        </w:rPr>
        <w:t>o</w:t>
      </w:r>
      <w:r w:rsidRPr="00B0770B">
        <w:rPr>
          <w:rFonts w:ascii="Calibri" w:hAnsi="Calibri" w:cs="Calibri"/>
        </w:rPr>
        <w:t xml:space="preserve"> v souladu se zákonem č. 563/1991 Sb. účtovat o stavu a pohybu majetku a jiných aktiv, závazků a jiných pasiv, o nákladech a výnosech a o výsledku hospodaření. Informace, které předkládá v účetní závěrce, musí být spolehlivé, srovnatelné, srozumitelné a posuzují se z hlediska významnosti.</w:t>
      </w:r>
    </w:p>
  </w:footnote>
  <w:footnote w:id="16">
    <w:p w14:paraId="6BB7D9E9" w14:textId="0EEFD5FB" w:rsidR="00E934D2" w:rsidRPr="001910D6" w:rsidRDefault="00E934D2" w:rsidP="000F4FBC">
      <w:pPr>
        <w:spacing w:after="0"/>
        <w:ind w:left="284" w:hanging="284"/>
        <w:jc w:val="both"/>
        <w:rPr>
          <w:rStyle w:val="Znakapoznpodarou"/>
          <w:rFonts w:cs="Calibri"/>
          <w:sz w:val="20"/>
          <w:szCs w:val="20"/>
          <w:vertAlign w:val="baseline"/>
        </w:rPr>
      </w:pPr>
      <w:r w:rsidRPr="00B0770B">
        <w:rPr>
          <w:rStyle w:val="Znakapoznpodarou"/>
          <w:rFonts w:cs="Calibri"/>
          <w:sz w:val="20"/>
          <w:szCs w:val="20"/>
        </w:rPr>
        <w:footnoteRef/>
      </w:r>
      <w:r w:rsidRPr="00B0770B">
        <w:rPr>
          <w:rStyle w:val="Znakapoznpodarou"/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</w:r>
      <w:r w:rsidRPr="00B0770B">
        <w:rPr>
          <w:rStyle w:val="Znakapoznpodarou"/>
          <w:rFonts w:cs="Calibri"/>
          <w:sz w:val="20"/>
          <w:szCs w:val="20"/>
          <w:vertAlign w:val="baseline"/>
        </w:rPr>
        <w:t>Vyhláška č. 410/2009 Sb., kterou se provádějí některá ustanovení zákona č. 563/1991 Sb., o účetnictví, ve</w:t>
      </w:r>
      <w:r>
        <w:rPr>
          <w:rFonts w:cs="Calibri"/>
          <w:sz w:val="20"/>
          <w:szCs w:val="20"/>
        </w:rPr>
        <w:t xml:space="preserve"> </w:t>
      </w:r>
      <w:r w:rsidRPr="00B0770B">
        <w:rPr>
          <w:rStyle w:val="Znakapoznpodarou"/>
          <w:rFonts w:cs="Calibri"/>
          <w:sz w:val="20"/>
          <w:szCs w:val="20"/>
          <w:vertAlign w:val="baseline"/>
        </w:rPr>
        <w:t>znění</w:t>
      </w:r>
      <w:r>
        <w:rPr>
          <w:rFonts w:cs="Calibri"/>
          <w:sz w:val="20"/>
          <w:szCs w:val="20"/>
        </w:rPr>
        <w:t xml:space="preserve"> </w:t>
      </w:r>
      <w:r w:rsidRPr="00B0770B">
        <w:rPr>
          <w:rStyle w:val="Znakapoznpodarou"/>
          <w:rFonts w:cs="Calibri"/>
          <w:sz w:val="20"/>
          <w:szCs w:val="20"/>
          <w:vertAlign w:val="baseline"/>
        </w:rPr>
        <w:t>pozdějších předpisů, pro některé vybrané účetní jednotky</w:t>
      </w:r>
      <w:r w:rsidRPr="00B0770B">
        <w:rPr>
          <w:rFonts w:cs="Calibri"/>
          <w:sz w:val="20"/>
          <w:szCs w:val="20"/>
        </w:rPr>
        <w:t>.</w:t>
      </w:r>
    </w:p>
  </w:footnote>
  <w:footnote w:id="17">
    <w:p w14:paraId="49452E9A" w14:textId="77777777" w:rsidR="00E934D2" w:rsidRPr="00B0770B" w:rsidRDefault="00E934D2" w:rsidP="00BA2B3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0770B">
        <w:rPr>
          <w:rStyle w:val="Znakapoznpodarou"/>
          <w:rFonts w:ascii="Calibri" w:hAnsi="Calibri" w:cs="Calibri"/>
        </w:rPr>
        <w:footnoteRef/>
      </w:r>
      <w:r w:rsidRPr="00B0770B">
        <w:rPr>
          <w:rFonts w:ascii="Calibri" w:hAnsi="Calibri" w:cs="Calibri"/>
        </w:rPr>
        <w:t xml:space="preserve"> </w:t>
      </w:r>
      <w:r w:rsidRPr="00B0770B">
        <w:rPr>
          <w:rFonts w:ascii="Calibri" w:hAnsi="Calibri" w:cs="Calibri"/>
        </w:rPr>
        <w:tab/>
        <w:t>Zákon č. 340/2015 Sb., o zvláštních podmínkách účinnosti některých smluv, uveřejňování těchto smluv a o registru smluv (zákon o registru smluv).</w:t>
      </w:r>
    </w:p>
  </w:footnote>
  <w:footnote w:id="18">
    <w:p w14:paraId="7E19ABF3" w14:textId="77777777" w:rsidR="00E934D2" w:rsidRPr="0091645E" w:rsidRDefault="00E934D2" w:rsidP="00B0770B">
      <w:pPr>
        <w:pStyle w:val="Textpoznpodarou"/>
        <w:ind w:left="284" w:hanging="284"/>
        <w:jc w:val="both"/>
        <w:rPr>
          <w:rStyle w:val="Znakapoznpodarou"/>
          <w:rFonts w:asciiTheme="minorHAnsi" w:hAnsiTheme="minorHAnsi" w:cstheme="minorHAnsi"/>
          <w:vertAlign w:val="baseline"/>
        </w:rPr>
      </w:pPr>
      <w:r w:rsidRPr="00F327E8">
        <w:rPr>
          <w:rStyle w:val="Znakapoznpodarou"/>
          <w:rFonts w:asciiTheme="minorHAnsi" w:hAnsiTheme="minorHAnsi" w:cstheme="minorHAnsi"/>
        </w:rPr>
        <w:footnoteRef/>
      </w:r>
      <w:r w:rsidRPr="00F327E8">
        <w:rPr>
          <w:rStyle w:val="Znakapoznpodarou"/>
        </w:rPr>
        <w:t xml:space="preserve"> </w:t>
      </w:r>
      <w:r>
        <w:tab/>
      </w:r>
      <w:r w:rsidRPr="00F327E8">
        <w:rPr>
          <w:rStyle w:val="Znakapoznpodarou"/>
          <w:rFonts w:asciiTheme="minorHAnsi" w:hAnsiTheme="minorHAnsi" w:cstheme="minorHAnsi"/>
          <w:vertAlign w:val="baseline"/>
        </w:rPr>
        <w:t>Zákon č. 320/2001 Sb., o finanční kontrole ve veřejné správě a o změně některých zákonů (zákon o finanční kontrole).</w:t>
      </w:r>
    </w:p>
  </w:footnote>
  <w:footnote w:id="19">
    <w:p w14:paraId="39E67998" w14:textId="4A0340DF" w:rsidR="00E934D2" w:rsidRPr="00B87A71" w:rsidRDefault="00E934D2" w:rsidP="00B0770B">
      <w:pPr>
        <w:pStyle w:val="Textpoznpodarou"/>
        <w:ind w:left="284" w:hanging="284"/>
        <w:jc w:val="both"/>
        <w:rPr>
          <w:rFonts w:asciiTheme="minorHAnsi" w:hAnsiTheme="minorHAnsi" w:cstheme="minorHAnsi"/>
          <w:highlight w:val="yellow"/>
        </w:rPr>
      </w:pPr>
      <w:r w:rsidRPr="00B87A71">
        <w:rPr>
          <w:rStyle w:val="Znakapoznpodarou"/>
          <w:rFonts w:asciiTheme="minorHAnsi" w:hAnsiTheme="minorHAnsi" w:cstheme="minorHAnsi"/>
        </w:rPr>
        <w:footnoteRef/>
      </w:r>
      <w:r w:rsidRPr="00B87A71">
        <w:rPr>
          <w:rFonts w:asciiTheme="minorHAnsi" w:hAnsiTheme="minorHAnsi" w:cstheme="minorHAnsi"/>
        </w:rPr>
        <w:t xml:space="preserve"> </w:t>
      </w:r>
      <w:r w:rsidRPr="00B87A71">
        <w:rPr>
          <w:rFonts w:asciiTheme="minorHAnsi" w:hAnsiTheme="minorHAnsi" w:cstheme="minorHAnsi"/>
        </w:rPr>
        <w:tab/>
        <w:t xml:space="preserve">Vyhláška č. 416/2004 Sb., kterou se provádí zákon č. 320/2001 Sb., o finanční kontrole ve veřejné správě </w:t>
      </w:r>
      <w:r w:rsidR="00A90FA2">
        <w:rPr>
          <w:rFonts w:asciiTheme="minorHAnsi" w:hAnsiTheme="minorHAnsi" w:cstheme="minorHAnsi"/>
        </w:rPr>
        <w:br/>
      </w:r>
      <w:r w:rsidRPr="00B87A71">
        <w:rPr>
          <w:rFonts w:asciiTheme="minorHAnsi" w:hAnsiTheme="minorHAnsi" w:cstheme="minorHAnsi"/>
        </w:rPr>
        <w:t>a</w:t>
      </w:r>
      <w:r w:rsidR="00A90FA2">
        <w:rPr>
          <w:rFonts w:asciiTheme="minorHAnsi" w:hAnsiTheme="minorHAnsi" w:cstheme="minorHAnsi"/>
        </w:rPr>
        <w:t xml:space="preserve"> </w:t>
      </w:r>
      <w:r w:rsidRPr="00B87A71">
        <w:rPr>
          <w:rFonts w:asciiTheme="minorHAnsi" w:hAnsiTheme="minorHAnsi" w:cstheme="minorHAnsi"/>
        </w:rPr>
        <w:t>o</w:t>
      </w:r>
      <w:r w:rsidR="00A90FA2">
        <w:rPr>
          <w:rFonts w:asciiTheme="minorHAnsi" w:hAnsiTheme="minorHAnsi" w:cstheme="minorHAnsi"/>
        </w:rPr>
        <w:t xml:space="preserve"> </w:t>
      </w:r>
      <w:r w:rsidRPr="00B87A71">
        <w:rPr>
          <w:rFonts w:asciiTheme="minorHAnsi" w:hAnsiTheme="minorHAnsi" w:cstheme="minorHAnsi"/>
        </w:rPr>
        <w:t>změně některých zákonů (zákon o finanční kontrole), ve znění zákona č. 309/2002 Sb., zákona č. 320/2002 Sb. a zákona č. 123/2003 Sb.</w:t>
      </w:r>
    </w:p>
  </w:footnote>
  <w:footnote w:id="20">
    <w:p w14:paraId="30881666" w14:textId="48045DD7" w:rsidR="007F15A6" w:rsidRPr="0028660A" w:rsidRDefault="007F15A6" w:rsidP="0028660A">
      <w:pPr>
        <w:pStyle w:val="Textpoznpodarou"/>
        <w:ind w:left="284" w:hanging="284"/>
        <w:rPr>
          <w:rFonts w:asciiTheme="minorHAnsi" w:hAnsiTheme="minorHAnsi" w:cstheme="minorHAnsi"/>
        </w:rPr>
      </w:pPr>
      <w:r w:rsidRPr="0028660A">
        <w:rPr>
          <w:rStyle w:val="Znakapoznpodarou"/>
          <w:rFonts w:asciiTheme="minorHAnsi" w:hAnsiTheme="minorHAnsi" w:cstheme="minorHAnsi"/>
        </w:rPr>
        <w:footnoteRef/>
      </w:r>
      <w:r w:rsidRPr="0028660A">
        <w:rPr>
          <w:rFonts w:asciiTheme="minorHAnsi" w:hAnsiTheme="minorHAnsi" w:cstheme="minorHAnsi"/>
        </w:rPr>
        <w:t xml:space="preserve"> </w:t>
      </w:r>
      <w:r w:rsidR="0028660A" w:rsidRPr="0028660A">
        <w:rPr>
          <w:rFonts w:asciiTheme="minorHAnsi" w:hAnsiTheme="minorHAnsi" w:cstheme="minorHAnsi"/>
        </w:rPr>
        <w:tab/>
        <w:t xml:space="preserve">MK sestavilo účetní závěrku k 31. </w:t>
      </w:r>
      <w:r w:rsidR="00044CCB">
        <w:rPr>
          <w:rFonts w:asciiTheme="minorHAnsi" w:hAnsiTheme="minorHAnsi" w:cstheme="minorHAnsi"/>
        </w:rPr>
        <w:t>prosinci</w:t>
      </w:r>
      <w:r w:rsidR="0028660A" w:rsidRPr="0028660A">
        <w:rPr>
          <w:rFonts w:asciiTheme="minorHAnsi" w:hAnsiTheme="minorHAnsi" w:cstheme="minorHAnsi"/>
        </w:rPr>
        <w:t xml:space="preserve"> 2024 </w:t>
      </w:r>
      <w:r w:rsidRPr="0028660A">
        <w:rPr>
          <w:rFonts w:asciiTheme="minorHAnsi" w:hAnsiTheme="minorHAnsi" w:cstheme="minorHAnsi"/>
          <w:spacing w:val="-2"/>
        </w:rPr>
        <w:t>dne 4. března 2025</w:t>
      </w:r>
      <w:r w:rsidR="0028660A" w:rsidRPr="0028660A">
        <w:rPr>
          <w:rFonts w:asciiTheme="minorHAnsi" w:hAnsiTheme="minorHAnsi" w:cstheme="minorHAnsi"/>
          <w:spacing w:val="-2"/>
        </w:rPr>
        <w:t>.</w:t>
      </w:r>
    </w:p>
  </w:footnote>
  <w:footnote w:id="21">
    <w:p w14:paraId="383F4788" w14:textId="4D3EBFC5" w:rsidR="00065AE2" w:rsidRPr="0091645E" w:rsidRDefault="00065AE2" w:rsidP="00065AE2">
      <w:pPr>
        <w:pStyle w:val="Textpoznpodarou"/>
        <w:ind w:left="284" w:hanging="284"/>
        <w:jc w:val="both"/>
        <w:rPr>
          <w:rStyle w:val="Znakapoznpodarou"/>
          <w:rFonts w:asciiTheme="minorHAnsi" w:hAnsiTheme="minorHAnsi" w:cstheme="minorHAnsi"/>
          <w:vertAlign w:val="baseline"/>
        </w:rPr>
      </w:pPr>
      <w:r w:rsidRPr="0091645E">
        <w:rPr>
          <w:rStyle w:val="Znakapoznpodarou"/>
          <w:rFonts w:asciiTheme="minorHAnsi" w:hAnsiTheme="minorHAnsi" w:cstheme="minorHAnsi"/>
        </w:rPr>
        <w:footnoteRef/>
      </w:r>
      <w:r w:rsidRPr="0091645E">
        <w:rPr>
          <w:rStyle w:val="Znakapoznpodarou"/>
          <w:rFonts w:asciiTheme="minorHAnsi" w:hAnsiTheme="minorHAnsi" w:cstheme="minorHAnsi"/>
        </w:rPr>
        <w:t xml:space="preserve"> </w:t>
      </w:r>
      <w:r w:rsidRPr="0091645E">
        <w:rPr>
          <w:rFonts w:asciiTheme="minorHAnsi" w:hAnsiTheme="minorHAnsi" w:cstheme="minorHAnsi"/>
        </w:rPr>
        <w:tab/>
      </w:r>
      <w:r w:rsidR="00211E49" w:rsidRPr="0091645E">
        <w:rPr>
          <w:rFonts w:asciiTheme="minorHAnsi" w:hAnsiTheme="minorHAnsi" w:cstheme="minorHAnsi"/>
        </w:rPr>
        <w:t>Viz</w:t>
      </w:r>
      <w:r w:rsidRPr="0091645E">
        <w:rPr>
          <w:rFonts w:asciiTheme="minorHAnsi" w:hAnsiTheme="minorHAnsi" w:cstheme="minorHAnsi"/>
        </w:rPr>
        <w:t> ustanovení § 43 odst. 5 písm. b) vyhlášky č. 410/2009 Sb.</w:t>
      </w:r>
    </w:p>
  </w:footnote>
  <w:footnote w:id="22">
    <w:p w14:paraId="72BB84F3" w14:textId="7DBB5F2E" w:rsidR="00065AE2" w:rsidRPr="0091645E" w:rsidRDefault="00065AE2" w:rsidP="00065AE2">
      <w:pPr>
        <w:pStyle w:val="Textpoznpodarou"/>
        <w:ind w:left="284" w:hanging="284"/>
        <w:jc w:val="both"/>
        <w:rPr>
          <w:rStyle w:val="Znakapoznpodarou"/>
          <w:rFonts w:asciiTheme="minorHAnsi" w:hAnsiTheme="minorHAnsi" w:cstheme="minorHAnsi"/>
          <w:vertAlign w:val="baseline"/>
        </w:rPr>
      </w:pPr>
      <w:r w:rsidRPr="0091645E">
        <w:rPr>
          <w:rStyle w:val="Znakapoznpodarou"/>
          <w:rFonts w:asciiTheme="minorHAnsi" w:hAnsiTheme="minorHAnsi" w:cstheme="minorHAnsi"/>
        </w:rPr>
        <w:footnoteRef/>
      </w:r>
      <w:r w:rsidRPr="0091645E">
        <w:rPr>
          <w:rStyle w:val="Znakapoznpodarou"/>
          <w:rFonts w:asciiTheme="minorHAnsi" w:hAnsiTheme="minorHAnsi" w:cstheme="minorHAnsi"/>
        </w:rPr>
        <w:t xml:space="preserve"> </w:t>
      </w:r>
      <w:r w:rsidRPr="0091645E">
        <w:rPr>
          <w:rFonts w:asciiTheme="minorHAnsi" w:hAnsiTheme="minorHAnsi" w:cstheme="minorHAnsi"/>
        </w:rPr>
        <w:tab/>
      </w:r>
      <w:r w:rsidR="00211E49" w:rsidRPr="0091645E">
        <w:rPr>
          <w:rFonts w:asciiTheme="minorHAnsi" w:hAnsiTheme="minorHAnsi" w:cstheme="minorHAnsi"/>
        </w:rPr>
        <w:t>Viz</w:t>
      </w:r>
      <w:r w:rsidRPr="0091645E">
        <w:rPr>
          <w:rFonts w:asciiTheme="minorHAnsi" w:hAnsiTheme="minorHAnsi" w:cstheme="minorHAnsi"/>
        </w:rPr>
        <w:t> ustanovení § 43 odst. 4 písm. c) vyhlášky č. 410/2009 Sb.</w:t>
      </w:r>
    </w:p>
  </w:footnote>
  <w:footnote w:id="23">
    <w:p w14:paraId="47439990" w14:textId="530EAB32" w:rsidR="0050449D" w:rsidRPr="0091645E" w:rsidRDefault="0050449D" w:rsidP="0050449D">
      <w:pPr>
        <w:pStyle w:val="Textpoznpodarou"/>
        <w:ind w:left="284" w:hanging="284"/>
        <w:rPr>
          <w:rFonts w:asciiTheme="minorHAnsi" w:hAnsiTheme="minorHAnsi" w:cstheme="minorHAnsi"/>
        </w:rPr>
      </w:pPr>
      <w:r w:rsidRPr="0091645E">
        <w:rPr>
          <w:rStyle w:val="Znakapoznpodarou"/>
          <w:rFonts w:asciiTheme="minorHAnsi" w:hAnsiTheme="minorHAnsi" w:cstheme="minorHAnsi"/>
        </w:rPr>
        <w:footnoteRef/>
      </w:r>
      <w:r w:rsidRPr="0091645E">
        <w:rPr>
          <w:rFonts w:asciiTheme="minorHAnsi" w:hAnsiTheme="minorHAnsi" w:cstheme="minorHAnsi"/>
        </w:rPr>
        <w:t xml:space="preserve"> </w:t>
      </w:r>
      <w:r w:rsidRPr="0091645E">
        <w:rPr>
          <w:rFonts w:asciiTheme="minorHAnsi" w:hAnsiTheme="minorHAnsi" w:cstheme="minorHAnsi"/>
        </w:rPr>
        <w:tab/>
      </w:r>
      <w:r w:rsidR="00211E49" w:rsidRPr="0091645E">
        <w:rPr>
          <w:rFonts w:asciiTheme="minorHAnsi" w:hAnsiTheme="minorHAnsi" w:cstheme="minorHAnsi"/>
        </w:rPr>
        <w:t>Viz</w:t>
      </w:r>
      <w:r w:rsidRPr="0091645E">
        <w:rPr>
          <w:rFonts w:asciiTheme="minorHAnsi" w:hAnsiTheme="minorHAnsi" w:cstheme="minorHAnsi"/>
        </w:rPr>
        <w:t> ustanovení § 43 odst. 6 písm. b) vyhlášky č. 410/2009 Sb.</w:t>
      </w:r>
    </w:p>
  </w:footnote>
  <w:footnote w:id="24">
    <w:p w14:paraId="034AFF15" w14:textId="77777777" w:rsidR="00E934D2" w:rsidRPr="0091645E" w:rsidRDefault="00E934D2" w:rsidP="007028BF">
      <w:pPr>
        <w:spacing w:after="0"/>
        <w:ind w:left="284" w:hanging="284"/>
        <w:jc w:val="both"/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</w:pPr>
      <w:r w:rsidRPr="0091645E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91645E">
        <w:rPr>
          <w:rStyle w:val="Znakapoznpodarou"/>
          <w:rFonts w:asciiTheme="minorHAnsi" w:hAnsiTheme="minorHAnsi" w:cstheme="minorHAnsi"/>
          <w:sz w:val="20"/>
          <w:szCs w:val="20"/>
        </w:rPr>
        <w:t xml:space="preserve"> </w:t>
      </w:r>
      <w:r w:rsidRPr="0091645E">
        <w:rPr>
          <w:rFonts w:asciiTheme="minorHAnsi" w:hAnsiTheme="minorHAnsi" w:cstheme="minorHAnsi"/>
          <w:sz w:val="20"/>
          <w:szCs w:val="20"/>
        </w:rPr>
        <w:tab/>
      </w:r>
      <w:r w:rsidRPr="0091645E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Významnost (</w:t>
      </w:r>
      <w:proofErr w:type="spellStart"/>
      <w:r w:rsidRPr="0091645E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materialita</w:t>
      </w:r>
      <w:proofErr w:type="spellEnd"/>
      <w:r w:rsidRPr="0091645E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) reprezentuje u ÚZ hodnotu nesprávností, jejíž překročení by již mohlo ovlivnit přiměřeně znalého uživatele. Při stanovení významnosti postupuje NKÚ v souladu s </w:t>
      </w:r>
      <w:r w:rsidRPr="0091645E">
        <w:rPr>
          <w:rStyle w:val="Znakapoznpodarou"/>
          <w:rFonts w:asciiTheme="minorHAnsi" w:hAnsiTheme="minorHAnsi" w:cstheme="minorHAnsi"/>
          <w:i/>
          <w:sz w:val="20"/>
          <w:szCs w:val="20"/>
          <w:vertAlign w:val="baseline"/>
        </w:rPr>
        <w:t>Kontrolními standardy NKÚ</w:t>
      </w:r>
      <w:r w:rsidRPr="0091645E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a zohledňuje příklady dobré praxe vyplývající z mezinárodních standardů nejvyšších kontrolních institucí (ISSAI) pro finanční audit.</w:t>
      </w:r>
    </w:p>
  </w:footnote>
  <w:footnote w:id="25">
    <w:p w14:paraId="6F28876B" w14:textId="2C47411B" w:rsidR="00E934D2" w:rsidRPr="0091645E" w:rsidRDefault="00E934D2" w:rsidP="007028BF">
      <w:pPr>
        <w:spacing w:after="0"/>
        <w:ind w:left="284" w:hanging="284"/>
        <w:jc w:val="both"/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</w:pPr>
      <w:r w:rsidRPr="0091645E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91645E">
        <w:rPr>
          <w:rStyle w:val="Znakapoznpodarou"/>
          <w:rFonts w:asciiTheme="minorHAnsi" w:hAnsiTheme="minorHAnsi" w:cstheme="minorHAnsi"/>
          <w:sz w:val="20"/>
          <w:szCs w:val="20"/>
        </w:rPr>
        <w:t xml:space="preserve"> </w:t>
      </w:r>
      <w:r w:rsidRPr="0091645E">
        <w:rPr>
          <w:rFonts w:asciiTheme="minorHAnsi" w:hAnsiTheme="minorHAnsi" w:cstheme="minorHAnsi"/>
          <w:sz w:val="20"/>
          <w:szCs w:val="20"/>
        </w:rPr>
        <w:tab/>
      </w:r>
      <w:r w:rsidRPr="0091645E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Pro posouzení významnosti zjištěných nesprávností v údajích ÚZ stanov</w:t>
      </w:r>
      <w:r w:rsidRPr="0091645E">
        <w:rPr>
          <w:rFonts w:asciiTheme="minorHAnsi" w:hAnsiTheme="minorHAnsi" w:cstheme="minorHAnsi"/>
          <w:sz w:val="20"/>
          <w:szCs w:val="20"/>
        </w:rPr>
        <w:t>il NKÚ</w:t>
      </w:r>
      <w:r w:rsidRPr="0091645E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hladin</w:t>
      </w:r>
      <w:r w:rsidRPr="0091645E">
        <w:rPr>
          <w:rFonts w:asciiTheme="minorHAnsi" w:hAnsiTheme="minorHAnsi" w:cstheme="minorHAnsi"/>
          <w:sz w:val="20"/>
          <w:szCs w:val="20"/>
        </w:rPr>
        <w:t>u</w:t>
      </w:r>
      <w:r w:rsidRPr="0091645E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významnosti ve výši </w:t>
      </w:r>
      <w:r w:rsidRPr="0091645E">
        <w:rPr>
          <w:rFonts w:asciiTheme="minorHAnsi" w:hAnsiTheme="minorHAnsi" w:cstheme="minorHAnsi"/>
          <w:sz w:val="20"/>
          <w:szCs w:val="20"/>
        </w:rPr>
        <w:t xml:space="preserve">cca </w:t>
      </w:r>
      <w:r w:rsidRPr="0091645E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2 % z</w:t>
      </w:r>
      <w:r w:rsidR="00BF3D02" w:rsidRPr="0091645E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 </w:t>
      </w:r>
      <w:r w:rsidRPr="0091645E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celkových</w:t>
      </w:r>
      <w:r w:rsidR="00BF3D02" w:rsidRPr="0091645E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Pr="0091645E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nákladů</w:t>
      </w:r>
      <w:r w:rsidR="00BF3D02" w:rsidRPr="0091645E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vykázaných </w:t>
      </w:r>
      <w:r w:rsidRPr="0091645E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k 31. </w:t>
      </w:r>
      <w:r w:rsidRPr="0091645E">
        <w:rPr>
          <w:rFonts w:asciiTheme="minorHAnsi" w:hAnsiTheme="minorHAnsi" w:cstheme="minorHAnsi"/>
          <w:sz w:val="20"/>
          <w:szCs w:val="20"/>
        </w:rPr>
        <w:t>prosinci</w:t>
      </w:r>
      <w:r w:rsidRPr="0091645E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202</w:t>
      </w:r>
      <w:r w:rsidR="00BF3D02" w:rsidRPr="0091645E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4</w:t>
      </w:r>
      <w:r w:rsidRPr="0091645E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ve výši</w:t>
      </w:r>
      <w:r w:rsidR="00BF3D02" w:rsidRPr="0091645E">
        <w:rPr>
          <w:rFonts w:asciiTheme="minorHAnsi" w:hAnsiTheme="minorHAnsi" w:cstheme="minorHAnsi"/>
          <w:sz w:val="20"/>
          <w:szCs w:val="20"/>
        </w:rPr>
        <w:t xml:space="preserve"> 19 573</w:t>
      </w:r>
      <w:r w:rsidRPr="0091645E">
        <w:rPr>
          <w:rFonts w:asciiTheme="minorHAnsi" w:hAnsiTheme="minorHAnsi" w:cstheme="minorHAnsi"/>
          <w:sz w:val="20"/>
          <w:szCs w:val="20"/>
        </w:rPr>
        <w:t>,0 mil. Kč</w:t>
      </w:r>
      <w:r w:rsidRPr="0091645E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.</w:t>
      </w:r>
    </w:p>
  </w:footnote>
  <w:footnote w:id="26">
    <w:p w14:paraId="00DFF5F5" w14:textId="235E0C2B" w:rsidR="00E934D2" w:rsidRPr="001910D6" w:rsidRDefault="00E934D2" w:rsidP="00995343">
      <w:pPr>
        <w:spacing w:after="0"/>
        <w:ind w:left="284" w:hanging="284"/>
        <w:jc w:val="both"/>
        <w:rPr>
          <w:sz w:val="20"/>
          <w:szCs w:val="20"/>
        </w:rPr>
      </w:pPr>
      <w:r w:rsidRPr="007028BF">
        <w:rPr>
          <w:rStyle w:val="Znakapoznpodarou"/>
          <w:sz w:val="20"/>
          <w:szCs w:val="20"/>
        </w:rPr>
        <w:footnoteRef/>
      </w:r>
      <w:r w:rsidRPr="007028B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028BF">
        <w:rPr>
          <w:rFonts w:asciiTheme="minorHAnsi" w:hAnsiTheme="minorHAnsi" w:cstheme="minorHAnsi"/>
          <w:sz w:val="20"/>
          <w:szCs w:val="20"/>
          <w:lang w:eastAsia="cs-CZ"/>
        </w:rPr>
        <w:t>Pro posouzení významnosti zjištěných nesprávností v údajích předkládaných pro hodnocení plnění rozpočtu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stanov</w:t>
      </w:r>
      <w:r>
        <w:rPr>
          <w:rFonts w:asciiTheme="minorHAnsi" w:hAnsiTheme="minorHAnsi" w:cstheme="minorHAnsi"/>
          <w:sz w:val="20"/>
          <w:szCs w:val="20"/>
          <w:lang w:eastAsia="cs-CZ"/>
        </w:rPr>
        <w:t>il NKÚ hladinu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významnost</w:t>
      </w:r>
      <w:r>
        <w:rPr>
          <w:rFonts w:asciiTheme="minorHAnsi" w:hAnsiTheme="minorHAnsi" w:cstheme="minorHAnsi"/>
          <w:sz w:val="20"/>
          <w:szCs w:val="20"/>
          <w:lang w:eastAsia="cs-CZ"/>
        </w:rPr>
        <w:t>i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ve výši 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cca 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2 % z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 celkových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výdajů, které byly </w:t>
      </w:r>
      <w:r>
        <w:rPr>
          <w:rFonts w:asciiTheme="minorHAnsi" w:hAnsiTheme="minorHAnsi" w:cstheme="minorHAnsi"/>
          <w:sz w:val="20"/>
          <w:szCs w:val="20"/>
          <w:lang w:eastAsia="cs-CZ"/>
        </w:rPr>
        <w:t>k 31. prosinci 202</w:t>
      </w:r>
      <w:r w:rsidR="00D9230D">
        <w:rPr>
          <w:rFonts w:asciiTheme="minorHAnsi" w:hAnsiTheme="minorHAnsi" w:cstheme="minorHAnsi"/>
          <w:sz w:val="20"/>
          <w:szCs w:val="20"/>
          <w:lang w:eastAsia="cs-CZ"/>
        </w:rPr>
        <w:t>4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vykázány ve</w:t>
      </w:r>
      <w:r>
        <w:rPr>
          <w:rFonts w:asciiTheme="minorHAnsi" w:hAnsiTheme="minorHAnsi" w:cstheme="minorHAnsi"/>
          <w:sz w:val="20"/>
          <w:szCs w:val="20"/>
          <w:lang w:eastAsia="cs-CZ"/>
        </w:rPr>
        <w:t> 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výši</w:t>
      </w:r>
      <w:r w:rsidR="00D9230D">
        <w:rPr>
          <w:rFonts w:asciiTheme="minorHAnsi" w:hAnsiTheme="minorHAnsi" w:cstheme="minorHAnsi"/>
          <w:sz w:val="20"/>
          <w:szCs w:val="20"/>
          <w:lang w:eastAsia="cs-CZ"/>
        </w:rPr>
        <w:t xml:space="preserve"> 16 230,2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DC6984">
        <w:rPr>
          <w:rFonts w:asciiTheme="minorHAnsi" w:hAnsiTheme="minorHAnsi" w:cstheme="minorHAnsi"/>
          <w:bCs/>
          <w:color w:val="000000"/>
          <w:sz w:val="20"/>
          <w:szCs w:val="20"/>
        </w:rPr>
        <w:t>mil. Kč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.</w:t>
      </w:r>
    </w:p>
  </w:footnote>
  <w:footnote w:id="27">
    <w:p w14:paraId="7FF85EBB" w14:textId="2701B075" w:rsidR="000756B8" w:rsidRPr="000756B8" w:rsidRDefault="000756B8" w:rsidP="000756B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0756B8">
        <w:rPr>
          <w:rStyle w:val="Znakapoznpodarou"/>
          <w:rFonts w:asciiTheme="minorHAnsi" w:hAnsiTheme="minorHAnsi" w:cstheme="minorHAnsi"/>
        </w:rPr>
        <w:footnoteRef/>
      </w:r>
      <w:r w:rsidRPr="000756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0756B8">
        <w:rPr>
          <w:rFonts w:asciiTheme="minorHAnsi" w:hAnsiTheme="minorHAnsi" w:cstheme="minorHAnsi"/>
          <w:color w:val="000000"/>
        </w:rPr>
        <w:t xml:space="preserve">V souvislosti se zákonem č. </w:t>
      </w:r>
      <w:r w:rsidRPr="000756B8">
        <w:rPr>
          <w:rFonts w:asciiTheme="minorHAnsi" w:hAnsiTheme="minorHAnsi" w:cstheme="minorHAnsi"/>
        </w:rPr>
        <w:t>294/2024 Sb</w:t>
      </w:r>
      <w:r>
        <w:rPr>
          <w:rFonts w:asciiTheme="minorHAnsi" w:hAnsiTheme="minorHAnsi" w:cstheme="minorHAnsi"/>
        </w:rPr>
        <w:t xml:space="preserve">., </w:t>
      </w:r>
      <w:r w:rsidRPr="00671B53">
        <w:rPr>
          <w:rFonts w:asciiTheme="minorHAnsi" w:hAnsiTheme="minorHAnsi" w:cstheme="minorHAnsi"/>
        </w:rPr>
        <w:t>kterým se mění zákon č. 433/2023 Sb., o státním rozpočtu České republiky na rok 2024</w:t>
      </w:r>
      <w:r>
        <w:rPr>
          <w:rFonts w:asciiTheme="minorHAnsi" w:hAnsiTheme="minorHAnsi" w:cstheme="minorHAnsi"/>
        </w:rPr>
        <w:t xml:space="preserve">, </w:t>
      </w:r>
      <w:r w:rsidRPr="000756B8">
        <w:rPr>
          <w:rFonts w:asciiTheme="minorHAnsi" w:hAnsiTheme="minorHAnsi" w:cstheme="minorHAnsi"/>
        </w:rPr>
        <w:t>nedošlo v</w:t>
      </w:r>
      <w:r w:rsidR="00EE59EC">
        <w:rPr>
          <w:rFonts w:asciiTheme="minorHAnsi" w:hAnsiTheme="minorHAnsi" w:cstheme="minorHAnsi"/>
        </w:rPr>
        <w:t xml:space="preserve"> </w:t>
      </w:r>
      <w:r w:rsidRPr="000756B8">
        <w:rPr>
          <w:rFonts w:asciiTheme="minorHAnsi" w:hAnsiTheme="minorHAnsi" w:cstheme="minorHAnsi"/>
        </w:rPr>
        <w:t>roce 2024 k</w:t>
      </w:r>
      <w:r w:rsidR="00EE59EC">
        <w:rPr>
          <w:rFonts w:asciiTheme="minorHAnsi" w:hAnsiTheme="minorHAnsi" w:cstheme="minorHAnsi"/>
        </w:rPr>
        <w:t xml:space="preserve"> </w:t>
      </w:r>
      <w:r w:rsidRPr="000756B8">
        <w:rPr>
          <w:rFonts w:asciiTheme="minorHAnsi" w:hAnsiTheme="minorHAnsi" w:cstheme="minorHAnsi"/>
        </w:rPr>
        <w:t xml:space="preserve">navýšení rozpočtu kapitoly </w:t>
      </w:r>
      <w:r w:rsidRPr="005260DD">
        <w:rPr>
          <w:rFonts w:asciiTheme="minorHAnsi" w:hAnsiTheme="minorHAnsi" w:cstheme="minorHAnsi"/>
          <w:i/>
          <w:iCs/>
        </w:rPr>
        <w:t>Ministerstvo kultury</w:t>
      </w:r>
      <w:r w:rsidRPr="000756B8">
        <w:rPr>
          <w:rFonts w:asciiTheme="minorHAnsi" w:hAnsiTheme="minorHAnsi" w:cstheme="minorHAnsi"/>
        </w:rPr>
        <w:t xml:space="preserve"> na sanaci povodňových škod, a tudíž ani k čerpání prostředků či transferovým tokům ze strany MK.</w:t>
      </w:r>
    </w:p>
  </w:footnote>
  <w:footnote w:id="28">
    <w:p w14:paraId="2FF1F44A" w14:textId="77777777" w:rsidR="00115BB8" w:rsidRPr="005273E7" w:rsidRDefault="00115BB8" w:rsidP="00115BB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273E7">
        <w:rPr>
          <w:rStyle w:val="Znakapoznpodarou"/>
          <w:rFonts w:asciiTheme="minorHAnsi" w:hAnsiTheme="minorHAnsi" w:cstheme="minorHAnsi"/>
        </w:rPr>
        <w:footnoteRef/>
      </w:r>
      <w:r w:rsidRPr="00527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Zákon č. 428/2012 Sb., </w:t>
      </w:r>
      <w:r w:rsidRPr="005273E7">
        <w:rPr>
          <w:rFonts w:asciiTheme="minorHAnsi" w:hAnsiTheme="minorHAnsi" w:cstheme="minorHAnsi"/>
        </w:rPr>
        <w:t>o majetkovém vyrovnání s církvemi a náboženskými společnostmi a o změně některých zákonů (zákon o majetkovém vyrovnání s církvemi a náboženskými společnostmi)</w:t>
      </w:r>
      <w:r>
        <w:rPr>
          <w:rFonts w:asciiTheme="minorHAnsi" w:hAnsiTheme="minorHAnsi" w:cstheme="minorHAnsi"/>
        </w:rPr>
        <w:t>.</w:t>
      </w:r>
    </w:p>
  </w:footnote>
  <w:footnote w:id="29">
    <w:p w14:paraId="2F6105BE" w14:textId="77777777" w:rsidR="00672432" w:rsidRPr="006F336E" w:rsidRDefault="00672432" w:rsidP="00672432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F336E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F336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  <w:t>F</w:t>
      </w:r>
      <w:r w:rsidRPr="006F336E">
        <w:rPr>
          <w:rFonts w:asciiTheme="minorHAnsi" w:hAnsiTheme="minorHAnsi" w:cstheme="minorHAnsi"/>
          <w:sz w:val="20"/>
          <w:szCs w:val="20"/>
        </w:rPr>
        <w:t xml:space="preserve">inanční náhrady církvím </w:t>
      </w:r>
      <w:r>
        <w:rPr>
          <w:rFonts w:asciiTheme="minorHAnsi" w:hAnsiTheme="minorHAnsi" w:cstheme="minorHAnsi"/>
          <w:sz w:val="20"/>
          <w:szCs w:val="20"/>
        </w:rPr>
        <w:t xml:space="preserve">a náboženským společnostem </w:t>
      </w:r>
      <w:r w:rsidRPr="006F336E">
        <w:rPr>
          <w:rFonts w:asciiTheme="minorHAnsi" w:hAnsiTheme="minorHAnsi" w:cstheme="minorHAnsi"/>
          <w:sz w:val="20"/>
          <w:szCs w:val="20"/>
        </w:rPr>
        <w:t xml:space="preserve">jsou závazkem státu (smlouvy </w:t>
      </w:r>
      <w:r>
        <w:rPr>
          <w:rFonts w:asciiTheme="minorHAnsi" w:hAnsiTheme="minorHAnsi" w:cstheme="minorHAnsi"/>
          <w:sz w:val="20"/>
          <w:szCs w:val="20"/>
        </w:rPr>
        <w:t xml:space="preserve">o vypořádání s církvemi a náboženskými společnostmi </w:t>
      </w:r>
      <w:r w:rsidRPr="006F336E">
        <w:rPr>
          <w:rFonts w:asciiTheme="minorHAnsi" w:hAnsiTheme="minorHAnsi" w:cstheme="minorHAnsi"/>
          <w:sz w:val="20"/>
          <w:szCs w:val="20"/>
        </w:rPr>
        <w:t>uzavřela</w:t>
      </w:r>
      <w:r>
        <w:rPr>
          <w:rFonts w:asciiTheme="minorHAnsi" w:hAnsiTheme="minorHAnsi" w:cstheme="minorHAnsi"/>
          <w:sz w:val="20"/>
          <w:szCs w:val="20"/>
        </w:rPr>
        <w:t xml:space="preserve"> ČR </w:t>
      </w:r>
      <w:r w:rsidRPr="006F336E">
        <w:rPr>
          <w:rFonts w:asciiTheme="minorHAnsi" w:hAnsiTheme="minorHAnsi" w:cstheme="minorHAnsi"/>
          <w:sz w:val="20"/>
          <w:szCs w:val="20"/>
        </w:rPr>
        <w:t>jednající vládou zastoupenou předsedou vlády),</w:t>
      </w:r>
      <w:r>
        <w:rPr>
          <w:rFonts w:asciiTheme="minorHAnsi" w:hAnsiTheme="minorHAnsi" w:cstheme="minorHAnsi"/>
          <w:sz w:val="20"/>
          <w:szCs w:val="20"/>
        </w:rPr>
        <w:t xml:space="preserve"> přičemž</w:t>
      </w:r>
      <w:r w:rsidRPr="006F336E">
        <w:rPr>
          <w:rFonts w:asciiTheme="minorHAnsi" w:hAnsiTheme="minorHAnsi" w:cstheme="minorHAnsi"/>
          <w:sz w:val="20"/>
          <w:szCs w:val="20"/>
        </w:rPr>
        <w:t xml:space="preserve"> příslušn</w:t>
      </w:r>
      <w:r>
        <w:rPr>
          <w:rFonts w:asciiTheme="minorHAnsi" w:hAnsiTheme="minorHAnsi" w:cstheme="minorHAnsi"/>
          <w:sz w:val="20"/>
          <w:szCs w:val="20"/>
        </w:rPr>
        <w:t>é</w:t>
      </w:r>
      <w:r w:rsidRPr="006F336E">
        <w:rPr>
          <w:rFonts w:asciiTheme="minorHAnsi" w:hAnsiTheme="minorHAnsi" w:cstheme="minorHAnsi"/>
          <w:sz w:val="20"/>
          <w:szCs w:val="20"/>
        </w:rPr>
        <w:t xml:space="preserve"> závaz</w:t>
      </w:r>
      <w:r>
        <w:rPr>
          <w:rFonts w:asciiTheme="minorHAnsi" w:hAnsiTheme="minorHAnsi" w:cstheme="minorHAnsi"/>
          <w:sz w:val="20"/>
          <w:szCs w:val="20"/>
        </w:rPr>
        <w:t>ky a související náklady</w:t>
      </w:r>
      <w:r w:rsidRPr="006F336E">
        <w:rPr>
          <w:rFonts w:asciiTheme="minorHAnsi" w:hAnsiTheme="minorHAnsi" w:cstheme="minorHAnsi"/>
          <w:sz w:val="20"/>
          <w:szCs w:val="20"/>
        </w:rPr>
        <w:t xml:space="preserve"> vyk</w:t>
      </w:r>
      <w:r>
        <w:rPr>
          <w:rFonts w:asciiTheme="minorHAnsi" w:hAnsiTheme="minorHAnsi" w:cstheme="minorHAnsi"/>
          <w:sz w:val="20"/>
          <w:szCs w:val="20"/>
        </w:rPr>
        <w:t xml:space="preserve">azuje </w:t>
      </w:r>
      <w:r w:rsidRPr="006F336E">
        <w:rPr>
          <w:rFonts w:asciiTheme="minorHAnsi" w:hAnsiTheme="minorHAnsi" w:cstheme="minorHAnsi"/>
          <w:sz w:val="20"/>
          <w:szCs w:val="20"/>
        </w:rPr>
        <w:t>MK,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F336E">
        <w:rPr>
          <w:rFonts w:asciiTheme="minorHAnsi" w:hAnsiTheme="minorHAnsi" w:cstheme="minorHAnsi"/>
          <w:sz w:val="20"/>
          <w:szCs w:val="20"/>
        </w:rPr>
        <w:t>které</w:t>
      </w:r>
      <w:r>
        <w:rPr>
          <w:rFonts w:asciiTheme="minorHAnsi" w:hAnsiTheme="minorHAnsi" w:cstheme="minorHAnsi"/>
          <w:sz w:val="20"/>
          <w:szCs w:val="20"/>
        </w:rPr>
        <w:t>mu</w:t>
      </w:r>
      <w:r w:rsidRPr="006F336E">
        <w:rPr>
          <w:rFonts w:asciiTheme="minorHAnsi" w:hAnsiTheme="minorHAnsi" w:cstheme="minorHAnsi"/>
          <w:sz w:val="20"/>
          <w:szCs w:val="20"/>
        </w:rPr>
        <w:t xml:space="preserve"> uvedená oblast</w:t>
      </w:r>
      <w:r>
        <w:rPr>
          <w:rFonts w:asciiTheme="minorHAnsi" w:hAnsiTheme="minorHAnsi" w:cstheme="minorHAnsi"/>
          <w:sz w:val="20"/>
          <w:szCs w:val="20"/>
        </w:rPr>
        <w:t xml:space="preserve"> kompetenčně náleží.</w:t>
      </w:r>
    </w:p>
  </w:footnote>
  <w:footnote w:id="30">
    <w:p w14:paraId="45C71F51" w14:textId="77777777" w:rsidR="00F87DBD" w:rsidRPr="00002737" w:rsidRDefault="00F87DBD" w:rsidP="00F87DBD">
      <w:pPr>
        <w:spacing w:after="0"/>
        <w:ind w:left="284" w:hanging="284"/>
        <w:jc w:val="both"/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</w:pPr>
      <w:r w:rsidRPr="00002737">
        <w:rPr>
          <w:rStyle w:val="Znakapoznpodarou"/>
          <w:rFonts w:asciiTheme="minorHAnsi" w:eastAsiaTheme="majorEastAsia" w:hAnsiTheme="minorHAnsi" w:cstheme="minorHAnsi"/>
          <w:sz w:val="20"/>
          <w:szCs w:val="20"/>
        </w:rPr>
        <w:footnoteRef/>
      </w:r>
      <w:r w:rsidRPr="00002737">
        <w:rPr>
          <w:rStyle w:val="Znakapoznpodarou"/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002737">
        <w:rPr>
          <w:rFonts w:asciiTheme="minorHAnsi" w:hAnsiTheme="minorHAnsi" w:cstheme="minorHAnsi"/>
          <w:sz w:val="20"/>
          <w:szCs w:val="20"/>
        </w:rPr>
        <w:tab/>
      </w:r>
      <w:r w:rsidRPr="00002737"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>Peněžní báze zachycuje příjmy a výdaje peněžních prostředků.</w:t>
      </w:r>
    </w:p>
  </w:footnote>
  <w:footnote w:id="31">
    <w:p w14:paraId="61251BF4" w14:textId="77777777" w:rsidR="00F87DBD" w:rsidRPr="00002737" w:rsidRDefault="00F87DBD" w:rsidP="00F87DBD">
      <w:pPr>
        <w:spacing w:after="0"/>
        <w:ind w:left="284" w:hanging="284"/>
        <w:jc w:val="both"/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</w:pPr>
      <w:r w:rsidRPr="00002737">
        <w:rPr>
          <w:rStyle w:val="Znakapoznpodarou"/>
          <w:rFonts w:asciiTheme="minorHAnsi" w:eastAsiaTheme="majorEastAsia" w:hAnsiTheme="minorHAnsi" w:cstheme="minorHAnsi"/>
          <w:sz w:val="20"/>
          <w:szCs w:val="20"/>
        </w:rPr>
        <w:footnoteRef/>
      </w:r>
      <w:r w:rsidRPr="00002737">
        <w:rPr>
          <w:rStyle w:val="Znakapoznpodarou"/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002737">
        <w:rPr>
          <w:rFonts w:asciiTheme="minorHAnsi" w:hAnsiTheme="minorHAnsi" w:cstheme="minorHAnsi"/>
          <w:sz w:val="20"/>
          <w:szCs w:val="20"/>
        </w:rPr>
        <w:tab/>
      </w:r>
      <w:r w:rsidRPr="00002737"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 xml:space="preserve">Akruální báze (nebo také princip, koncept) je jedna ze základních účetních zásad a spočívá v tom, že náklady a výnosy se účtují do období, se kterým věcně a časově souvisejí, aniž by bylo bráno v úvahu, kdy došlo k reálnému pohybu peněz, a zároveň se účtuje o nárocích (pohledávkách) </w:t>
      </w:r>
      <w:r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 xml:space="preserve">a </w:t>
      </w:r>
      <w:r w:rsidRPr="00002737"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>závazcích.</w:t>
      </w:r>
    </w:p>
  </w:footnote>
  <w:footnote w:id="32">
    <w:p w14:paraId="242EAF76" w14:textId="3C654DA6" w:rsidR="009B3C77" w:rsidRPr="003E10CE" w:rsidRDefault="009B3C77" w:rsidP="009B3C7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E10CE">
        <w:rPr>
          <w:rStyle w:val="Znakapoznpodarou"/>
          <w:rFonts w:asciiTheme="minorHAnsi" w:hAnsiTheme="minorHAnsi" w:cstheme="minorHAnsi"/>
        </w:rPr>
        <w:footnoteRef/>
      </w:r>
      <w:r w:rsidRPr="003E10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3E10CE">
        <w:rPr>
          <w:rFonts w:asciiTheme="minorHAnsi" w:hAnsiTheme="minorHAnsi" w:cstheme="minorHAnsi"/>
        </w:rPr>
        <w:t>Příjmy přijaté</w:t>
      </w:r>
      <w:r w:rsidR="000B312D">
        <w:rPr>
          <w:rFonts w:asciiTheme="minorHAnsi" w:hAnsiTheme="minorHAnsi" w:cstheme="minorHAnsi"/>
        </w:rPr>
        <w:t xml:space="preserve"> MK</w:t>
      </w:r>
      <w:r w:rsidRPr="003E10CE">
        <w:rPr>
          <w:rFonts w:asciiTheme="minorHAnsi" w:hAnsiTheme="minorHAnsi" w:cstheme="minorHAnsi"/>
        </w:rPr>
        <w:t xml:space="preserve"> v roce 202</w:t>
      </w:r>
      <w:r w:rsidR="000B312D">
        <w:rPr>
          <w:rFonts w:asciiTheme="minorHAnsi" w:hAnsiTheme="minorHAnsi" w:cstheme="minorHAnsi"/>
        </w:rPr>
        <w:t>4</w:t>
      </w:r>
      <w:r w:rsidRPr="003E10CE">
        <w:rPr>
          <w:rFonts w:asciiTheme="minorHAnsi" w:hAnsiTheme="minorHAnsi" w:cstheme="minorHAnsi"/>
        </w:rPr>
        <w:t>, z nichž některé souvisejí s výnosy, které věcně patřily do roku 202</w:t>
      </w:r>
      <w:r w:rsidR="000B312D">
        <w:rPr>
          <w:rFonts w:asciiTheme="minorHAnsi" w:hAnsiTheme="minorHAnsi" w:cstheme="minorHAnsi"/>
        </w:rPr>
        <w:t>3</w:t>
      </w:r>
      <w:r w:rsidRPr="003E10CE">
        <w:rPr>
          <w:rFonts w:asciiTheme="minorHAnsi" w:hAnsiTheme="minorHAnsi" w:cstheme="minorHAnsi"/>
        </w:rPr>
        <w:t xml:space="preserve"> a byly v tomto období také zaúčtovány. Výnosy roku 202</w:t>
      </w:r>
      <w:r w:rsidR="000B312D">
        <w:rPr>
          <w:rFonts w:asciiTheme="minorHAnsi" w:hAnsiTheme="minorHAnsi" w:cstheme="minorHAnsi"/>
        </w:rPr>
        <w:t>4</w:t>
      </w:r>
      <w:r w:rsidRPr="003E10CE">
        <w:rPr>
          <w:rFonts w:asciiTheme="minorHAnsi" w:hAnsiTheme="minorHAnsi" w:cstheme="minorHAnsi"/>
        </w:rPr>
        <w:t>, z nichž jen část byla současně i příjmem roku 202</w:t>
      </w:r>
      <w:r w:rsidR="000B312D">
        <w:rPr>
          <w:rFonts w:asciiTheme="minorHAnsi" w:hAnsiTheme="minorHAnsi" w:cstheme="minorHAnsi"/>
        </w:rPr>
        <w:t>4</w:t>
      </w:r>
      <w:r w:rsidRPr="003E10CE">
        <w:rPr>
          <w:rFonts w:asciiTheme="minorHAnsi" w:hAnsiTheme="minorHAnsi" w:cstheme="minorHAnsi"/>
        </w:rPr>
        <w:t>.</w:t>
      </w:r>
    </w:p>
  </w:footnote>
  <w:footnote w:id="33">
    <w:p w14:paraId="503DCE22" w14:textId="41217373" w:rsidR="009B3C77" w:rsidRPr="003E10CE" w:rsidRDefault="009B3C77" w:rsidP="009B3C7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E10CE">
        <w:rPr>
          <w:rStyle w:val="Znakapoznpodarou"/>
          <w:rFonts w:asciiTheme="minorHAnsi" w:hAnsiTheme="minorHAnsi" w:cstheme="minorHAnsi"/>
        </w:rPr>
        <w:footnoteRef/>
      </w:r>
      <w:r w:rsidRPr="003E10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3E10CE">
        <w:rPr>
          <w:rFonts w:asciiTheme="minorHAnsi" w:hAnsiTheme="minorHAnsi" w:cstheme="minorHAnsi"/>
        </w:rPr>
        <w:t>Náklady, které věcně patří do roku 202</w:t>
      </w:r>
      <w:r w:rsidR="000B312D">
        <w:rPr>
          <w:rFonts w:asciiTheme="minorHAnsi" w:hAnsiTheme="minorHAnsi" w:cstheme="minorHAnsi"/>
        </w:rPr>
        <w:t>4</w:t>
      </w:r>
      <w:r w:rsidRPr="003E10CE">
        <w:rPr>
          <w:rFonts w:asciiTheme="minorHAnsi" w:hAnsiTheme="minorHAnsi" w:cstheme="minorHAnsi"/>
        </w:rPr>
        <w:t xml:space="preserve"> a některé souvisejí s výdaji, které byly realizovány v roce 202</w:t>
      </w:r>
      <w:r w:rsidR="000B312D">
        <w:rPr>
          <w:rFonts w:asciiTheme="minorHAnsi" w:hAnsiTheme="minorHAnsi" w:cstheme="minorHAnsi"/>
        </w:rPr>
        <w:t>3</w:t>
      </w:r>
      <w:r w:rsidRPr="003E10CE">
        <w:rPr>
          <w:rFonts w:asciiTheme="minorHAnsi" w:hAnsiTheme="minorHAnsi" w:cstheme="minorHAnsi"/>
        </w:rPr>
        <w:t>. Některé náklady negenerují peněžní toky (</w:t>
      </w:r>
      <w:r w:rsidR="00DF6CD5">
        <w:rPr>
          <w:rFonts w:asciiTheme="minorHAnsi" w:hAnsiTheme="minorHAnsi" w:cstheme="minorHAnsi"/>
        </w:rPr>
        <w:t>zejména odpisy dlouhodobého majetku a tvorba rezerv</w:t>
      </w:r>
      <w:r w:rsidRPr="003E10CE">
        <w:rPr>
          <w:rFonts w:asciiTheme="minorHAnsi" w:hAnsiTheme="minorHAnsi" w:cstheme="minorHAnsi"/>
        </w:rPr>
        <w:t>), ale vypovídají o snížení hodnoty majetku.</w:t>
      </w:r>
      <w:r>
        <w:rPr>
          <w:rFonts w:asciiTheme="minorHAnsi" w:hAnsiTheme="minorHAnsi" w:cstheme="minorHAnsi"/>
        </w:rPr>
        <w:t xml:space="preserve"> </w:t>
      </w:r>
    </w:p>
  </w:footnote>
  <w:footnote w:id="34">
    <w:p w14:paraId="32288B8C" w14:textId="048CC7B5" w:rsidR="00F129FF" w:rsidRPr="00F129FF" w:rsidRDefault="00F129FF" w:rsidP="00F129FF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129FF">
        <w:rPr>
          <w:rStyle w:val="Znakapoznpodarou"/>
          <w:rFonts w:asciiTheme="minorHAnsi" w:hAnsiTheme="minorHAnsi" w:cstheme="minorHAnsi"/>
        </w:rPr>
        <w:footnoteRef/>
      </w:r>
      <w:r w:rsidRPr="00F129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F129FF">
        <w:rPr>
          <w:rFonts w:asciiTheme="minorHAnsi" w:hAnsiTheme="minorHAnsi" w:cstheme="minorHAnsi"/>
          <w:bCs/>
        </w:rPr>
        <w:t xml:space="preserve">Z porovnání sledovaných účetních období je zřejmé, že MK </w:t>
      </w:r>
      <w:r w:rsidRPr="00F129FF">
        <w:rPr>
          <w:rFonts w:asciiTheme="minorHAnsi" w:hAnsiTheme="minorHAnsi" w:cstheme="minorHAnsi"/>
        </w:rPr>
        <w:t>v roce 2022 vykázalo nenulové zůstatky na celkem 9 podrozvahových účtech, v</w:t>
      </w:r>
      <w:r w:rsidR="00835003">
        <w:rPr>
          <w:rFonts w:asciiTheme="minorHAnsi" w:hAnsiTheme="minorHAnsi" w:cstheme="minorHAnsi"/>
        </w:rPr>
        <w:t xml:space="preserve"> </w:t>
      </w:r>
      <w:r w:rsidRPr="00F129FF">
        <w:rPr>
          <w:rFonts w:asciiTheme="minorHAnsi" w:hAnsiTheme="minorHAnsi" w:cstheme="minorHAnsi"/>
        </w:rPr>
        <w:t>roce 2023 na 11 podrozvahových účtech a v</w:t>
      </w:r>
      <w:r w:rsidR="00D92EF1">
        <w:rPr>
          <w:rFonts w:asciiTheme="minorHAnsi" w:hAnsiTheme="minorHAnsi" w:cstheme="minorHAnsi"/>
        </w:rPr>
        <w:t xml:space="preserve"> </w:t>
      </w:r>
      <w:r w:rsidRPr="00F129FF">
        <w:rPr>
          <w:rFonts w:asciiTheme="minorHAnsi" w:hAnsiTheme="minorHAnsi" w:cstheme="minorHAnsi"/>
        </w:rPr>
        <w:t>roce 2024 se počet navýšil na 20</w:t>
      </w:r>
      <w:r w:rsidR="00D92EF1">
        <w:rPr>
          <w:rFonts w:asciiTheme="minorHAnsi" w:hAnsiTheme="minorHAnsi" w:cstheme="minorHAnsi"/>
        </w:rPr>
        <w:t> </w:t>
      </w:r>
      <w:r w:rsidRPr="00F129FF">
        <w:rPr>
          <w:rFonts w:asciiTheme="minorHAnsi" w:hAnsiTheme="minorHAnsi" w:cstheme="minorHAnsi"/>
        </w:rPr>
        <w:t>podrozvahových účtů s vykázanou nenulovou hodnotou zůstatku</w:t>
      </w:r>
      <w:r w:rsidRPr="00F129FF">
        <w:rPr>
          <w:rFonts w:asciiTheme="minorHAnsi" w:hAnsiTheme="minorHAnsi" w:cstheme="minorHAnsi"/>
          <w:bCs/>
        </w:rPr>
        <w:t>.</w:t>
      </w:r>
    </w:p>
  </w:footnote>
  <w:footnote w:id="35">
    <w:p w14:paraId="1062E671" w14:textId="3C2DD55B" w:rsidR="0041658D" w:rsidRPr="0041658D" w:rsidRDefault="0041658D" w:rsidP="0041658D">
      <w:pPr>
        <w:spacing w:after="0"/>
        <w:ind w:left="284" w:hanging="284"/>
        <w:jc w:val="both"/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</w:pPr>
      <w:r w:rsidRPr="0041658D">
        <w:rPr>
          <w:rStyle w:val="Znakapoznpodarou"/>
          <w:rFonts w:asciiTheme="minorHAnsi" w:eastAsiaTheme="majorEastAsia" w:hAnsiTheme="minorHAnsi" w:cstheme="minorHAnsi"/>
          <w:sz w:val="20"/>
          <w:szCs w:val="20"/>
        </w:rPr>
        <w:footnoteRef/>
      </w:r>
      <w:r w:rsidRPr="0041658D">
        <w:rPr>
          <w:rStyle w:val="Znakapoznpodarou"/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41658D">
        <w:rPr>
          <w:rFonts w:asciiTheme="minorHAnsi" w:hAnsiTheme="minorHAnsi" w:cstheme="minorHAnsi"/>
          <w:sz w:val="20"/>
          <w:szCs w:val="20"/>
        </w:rPr>
        <w:tab/>
      </w:r>
      <w:r w:rsidRPr="0041658D"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 xml:space="preserve">Z celkového počtu </w:t>
      </w:r>
      <w:r w:rsidRPr="0041658D">
        <w:rPr>
          <w:rFonts w:asciiTheme="minorHAnsi" w:hAnsiTheme="minorHAnsi" w:cstheme="minorHAnsi"/>
          <w:sz w:val="20"/>
          <w:szCs w:val="20"/>
          <w:lang w:eastAsia="cs-CZ"/>
        </w:rPr>
        <w:t>60 981</w:t>
      </w:r>
      <w:r w:rsidRPr="0041658D"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 xml:space="preserve"> řádků v účetním deníku se podrozvahových účtů týkalo </w:t>
      </w:r>
      <w:r w:rsidRPr="0041658D">
        <w:rPr>
          <w:rFonts w:asciiTheme="minorHAnsi" w:hAnsiTheme="minorHAnsi" w:cstheme="minorHAnsi"/>
          <w:sz w:val="20"/>
          <w:szCs w:val="20"/>
          <w:lang w:eastAsia="cs-CZ"/>
        </w:rPr>
        <w:t xml:space="preserve">1 702 </w:t>
      </w:r>
      <w:r w:rsidRPr="0041658D"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 xml:space="preserve">řádků, přičemž na počet záznamů měla vliv skutečnost, </w:t>
      </w:r>
      <w:r w:rsidRPr="0041658D">
        <w:rPr>
          <w:rFonts w:asciiTheme="minorHAnsi" w:hAnsiTheme="minorHAnsi" w:cstheme="minorHAnsi"/>
          <w:sz w:val="20"/>
          <w:szCs w:val="20"/>
        </w:rPr>
        <w:t>že v některých případech MK o podrozvahových skutečnostech neúčtovalo průběžně, ale souhrnně za dané období (např. čtvrtletně)</w:t>
      </w:r>
      <w:r w:rsidRPr="0041658D"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>.</w:t>
      </w:r>
    </w:p>
  </w:footnote>
  <w:footnote w:id="36">
    <w:p w14:paraId="303F9EEF" w14:textId="77777777" w:rsidR="00142621" w:rsidRPr="005E75B0" w:rsidRDefault="00142621" w:rsidP="00142621">
      <w:pPr>
        <w:pStyle w:val="Textpoznpodarou"/>
        <w:ind w:left="284" w:hanging="284"/>
        <w:jc w:val="both"/>
        <w:rPr>
          <w:rFonts w:asciiTheme="minorHAnsi" w:hAnsiTheme="minorHAnsi" w:cstheme="minorHAnsi"/>
          <w:highlight w:val="yellow"/>
        </w:rPr>
      </w:pPr>
      <w:r w:rsidRPr="005E75B0">
        <w:rPr>
          <w:rStyle w:val="Znakapoznpodarou"/>
          <w:rFonts w:asciiTheme="minorHAnsi" w:hAnsiTheme="minorHAnsi" w:cstheme="minorHAnsi"/>
        </w:rPr>
        <w:footnoteRef/>
      </w:r>
      <w:r w:rsidRPr="005E75B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5E75B0">
        <w:rPr>
          <w:rFonts w:asciiTheme="minorHAnsi" w:hAnsiTheme="minorHAnsi" w:cstheme="minorHAnsi"/>
        </w:rPr>
        <w:t>Zejména z</w:t>
      </w:r>
      <w:r>
        <w:rPr>
          <w:rFonts w:asciiTheme="minorHAnsi" w:hAnsiTheme="minorHAnsi" w:cstheme="minorHAnsi"/>
        </w:rPr>
        <w:t> </w:t>
      </w:r>
      <w:r w:rsidRPr="005E75B0">
        <w:rPr>
          <w:rFonts w:asciiTheme="minorHAnsi" w:hAnsiTheme="minorHAnsi" w:cstheme="minorHAnsi"/>
        </w:rPr>
        <w:t>transferů</w:t>
      </w:r>
      <w:r>
        <w:rPr>
          <w:rFonts w:asciiTheme="minorHAnsi" w:hAnsiTheme="minorHAnsi" w:cstheme="minorHAnsi"/>
        </w:rPr>
        <w:t>, z uzavřených smluv a z předfinancování transferů</w:t>
      </w:r>
      <w:r w:rsidRPr="005E75B0">
        <w:rPr>
          <w:rFonts w:asciiTheme="minorHAnsi" w:hAnsiTheme="minorHAnsi" w:cstheme="minorHAnsi"/>
        </w:rPr>
        <w:t>.</w:t>
      </w:r>
    </w:p>
  </w:footnote>
  <w:footnote w:id="37">
    <w:p w14:paraId="13C1128A" w14:textId="77777777" w:rsidR="00142621" w:rsidRPr="005E75B0" w:rsidRDefault="00142621" w:rsidP="00142621">
      <w:pPr>
        <w:pStyle w:val="Textpoznpodarou"/>
        <w:ind w:left="284" w:hanging="284"/>
        <w:jc w:val="both"/>
        <w:rPr>
          <w:rFonts w:asciiTheme="minorHAnsi" w:hAnsiTheme="minorHAnsi" w:cstheme="minorHAnsi"/>
          <w:highlight w:val="yellow"/>
        </w:rPr>
      </w:pPr>
      <w:r w:rsidRPr="005E75B0">
        <w:rPr>
          <w:rStyle w:val="Znakapoznpodarou"/>
          <w:rFonts w:asciiTheme="minorHAnsi" w:hAnsiTheme="minorHAnsi" w:cstheme="minorHAnsi"/>
        </w:rPr>
        <w:footnoteRef/>
      </w:r>
      <w:r w:rsidRPr="005E75B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5E75B0">
        <w:rPr>
          <w:rFonts w:asciiTheme="minorHAnsi" w:hAnsiTheme="minorHAnsi" w:cstheme="minorHAnsi"/>
        </w:rPr>
        <w:t>Mohou nastat, výsledek ale není pod kontrolou účetní jednotky, např. soudní spory, přijatá zajištění</w:t>
      </w:r>
      <w:r>
        <w:rPr>
          <w:rFonts w:asciiTheme="minorHAnsi" w:hAnsiTheme="minorHAnsi" w:cstheme="minorHAnsi"/>
        </w:rPr>
        <w:t xml:space="preserve"> </w:t>
      </w:r>
      <w:r w:rsidRPr="005E75B0">
        <w:rPr>
          <w:rFonts w:asciiTheme="minorHAnsi" w:hAnsiTheme="minorHAnsi" w:cstheme="minorHAnsi"/>
        </w:rPr>
        <w:t xml:space="preserve">apod. </w:t>
      </w:r>
    </w:p>
  </w:footnote>
  <w:footnote w:id="38">
    <w:p w14:paraId="70F0F832" w14:textId="77777777" w:rsidR="00142621" w:rsidRPr="005E75B0" w:rsidRDefault="00142621" w:rsidP="00142621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E75B0">
        <w:rPr>
          <w:rStyle w:val="Znakapoznpodarou"/>
          <w:rFonts w:asciiTheme="minorHAnsi" w:hAnsiTheme="minorHAnsi" w:cstheme="minorHAnsi"/>
        </w:rPr>
        <w:footnoteRef/>
      </w:r>
      <w:r w:rsidRPr="005E75B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5E75B0">
        <w:rPr>
          <w:rFonts w:asciiTheme="minorHAnsi" w:hAnsiTheme="minorHAnsi" w:cstheme="minorHAnsi"/>
        </w:rPr>
        <w:t>Jsou hypotetické, jejich vznik, a tedy ani plnění nejsou předpokládány, např. potenciální náhrada za případné zničení vypůjčeného majetku.</w:t>
      </w:r>
    </w:p>
  </w:footnote>
  <w:footnote w:id="39">
    <w:p w14:paraId="7D06ED22" w14:textId="62B13068" w:rsidR="00AB0A16" w:rsidRPr="00ED08FF" w:rsidRDefault="00AB0A16" w:rsidP="00AB0A16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ED08FF">
        <w:rPr>
          <w:rStyle w:val="Znakapoznpodarou"/>
          <w:rFonts w:ascii="Calibri" w:hAnsi="Calibri" w:cs="Calibri"/>
        </w:rPr>
        <w:footnoteRef/>
      </w:r>
      <w:r w:rsidRPr="00ED08FF">
        <w:rPr>
          <w:rFonts w:ascii="Calibri" w:hAnsi="Calibri" w:cs="Calibri"/>
        </w:rPr>
        <w:t xml:space="preserve"> </w:t>
      </w:r>
      <w:r w:rsidRPr="00ED08FF">
        <w:rPr>
          <w:rFonts w:ascii="Calibri" w:hAnsi="Calibri" w:cs="Calibri"/>
        </w:rPr>
        <w:tab/>
      </w:r>
      <w:r w:rsidRPr="00ED08FF">
        <w:rPr>
          <w:rFonts w:ascii="Calibri" w:hAnsi="Calibri" w:cs="Calibri"/>
          <w:bCs/>
        </w:rPr>
        <w:t>V roce 2024 byly účinné celkem 3 verze – verze 3.0 s účinností od 28. listopadu 2023, verze 4.0 s účinností od 26. března 2024 a verze 5.0 s účinností od 30. října 2024.</w:t>
      </w:r>
    </w:p>
  </w:footnote>
  <w:footnote w:id="40">
    <w:p w14:paraId="1342E278" w14:textId="140AECB1" w:rsidR="00F46A93" w:rsidRPr="00F46A93" w:rsidRDefault="00F46A93" w:rsidP="00F46A93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A76E54">
        <w:rPr>
          <w:rStyle w:val="Znakapoznpodarou"/>
          <w:rFonts w:ascii="Calibri" w:hAnsi="Calibri" w:cs="Calibri"/>
        </w:rPr>
        <w:footnoteRef/>
      </w:r>
      <w:r w:rsidRPr="00A76E5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F46A93">
        <w:rPr>
          <w:rFonts w:ascii="Calibri" w:hAnsi="Calibri" w:cs="Calibri"/>
        </w:rPr>
        <w:t>MK zdůvodnilo použití účtu 346</w:t>
      </w:r>
      <w:r w:rsidR="00613725">
        <w:rPr>
          <w:rFonts w:ascii="Calibri" w:hAnsi="Calibri" w:cs="Calibri"/>
        </w:rPr>
        <w:t> </w:t>
      </w:r>
      <w:r>
        <w:rPr>
          <w:rFonts w:ascii="Calibri" w:hAnsi="Calibri" w:cs="Calibri"/>
        </w:rPr>
        <w:t>–</w:t>
      </w:r>
      <w:r w:rsidR="00613725">
        <w:rPr>
          <w:rFonts w:ascii="Calibri" w:hAnsi="Calibri" w:cs="Calibri"/>
        </w:rPr>
        <w:t> </w:t>
      </w:r>
      <w:r w:rsidRPr="00F46A93">
        <w:rPr>
          <w:rFonts w:ascii="Calibri" w:hAnsi="Calibri" w:cs="Calibri"/>
          <w:i/>
          <w:iCs/>
        </w:rPr>
        <w:t>Pohledávky za vybranými ústředními vládními institucemi</w:t>
      </w:r>
      <w:r w:rsidR="00DD0BB6">
        <w:rPr>
          <w:rFonts w:ascii="Calibri" w:hAnsi="Calibri" w:cs="Calibri"/>
        </w:rPr>
        <w:t xml:space="preserve"> tím, že </w:t>
      </w:r>
      <w:r w:rsidRPr="00F46A93">
        <w:rPr>
          <w:rFonts w:ascii="Calibri" w:hAnsi="Calibri" w:cs="Calibri"/>
        </w:rPr>
        <w:t>pohledávka</w:t>
      </w:r>
      <w:r>
        <w:rPr>
          <w:rFonts w:ascii="Calibri" w:hAnsi="Calibri" w:cs="Calibri"/>
        </w:rPr>
        <w:t xml:space="preserve"> vznikla</w:t>
      </w:r>
      <w:r w:rsidRPr="00F46A93">
        <w:rPr>
          <w:rFonts w:ascii="Calibri" w:hAnsi="Calibri" w:cs="Calibri"/>
        </w:rPr>
        <w:t xml:space="preserve"> na základě usnesení vlády ČR</w:t>
      </w:r>
      <w:r w:rsidR="001E11C5">
        <w:rPr>
          <w:rFonts w:ascii="Calibri" w:hAnsi="Calibri" w:cs="Calibri"/>
        </w:rPr>
        <w:t xml:space="preserve">, </w:t>
      </w:r>
      <w:r w:rsidRPr="00F46A93">
        <w:rPr>
          <w:rFonts w:ascii="Calibri" w:hAnsi="Calibri" w:cs="Calibri"/>
        </w:rPr>
        <w:t>prostředky byly přijaty na účty státního rozpočtu</w:t>
      </w:r>
      <w:r w:rsidR="001E11C5">
        <w:rPr>
          <w:rFonts w:ascii="Calibri" w:hAnsi="Calibri" w:cs="Calibri"/>
        </w:rPr>
        <w:t xml:space="preserve">, </w:t>
      </w:r>
      <w:r w:rsidRPr="00F46A93">
        <w:rPr>
          <w:rFonts w:ascii="Calibri" w:hAnsi="Calibri" w:cs="Calibri"/>
        </w:rPr>
        <w:t xml:space="preserve">a </w:t>
      </w:r>
      <w:r w:rsidR="001E11C5">
        <w:rPr>
          <w:rFonts w:ascii="Calibri" w:hAnsi="Calibri" w:cs="Calibri"/>
        </w:rPr>
        <w:t>dle MK se tudíž jednalo o</w:t>
      </w:r>
      <w:r w:rsidRPr="00F46A93">
        <w:rPr>
          <w:rFonts w:asciiTheme="minorHAnsi" w:hAnsiTheme="minorHAnsi" w:cstheme="minorHAnsi"/>
          <w:bCs/>
          <w:color w:val="000000"/>
        </w:rPr>
        <w:t xml:space="preserve"> pohledávk</w:t>
      </w:r>
      <w:r w:rsidR="001E11C5">
        <w:rPr>
          <w:rFonts w:asciiTheme="minorHAnsi" w:hAnsiTheme="minorHAnsi" w:cstheme="minorHAnsi"/>
          <w:bCs/>
          <w:color w:val="000000"/>
        </w:rPr>
        <w:t>u</w:t>
      </w:r>
      <w:r w:rsidRPr="00F46A93">
        <w:rPr>
          <w:rFonts w:asciiTheme="minorHAnsi" w:hAnsiTheme="minorHAnsi" w:cstheme="minorHAnsi"/>
          <w:bCs/>
          <w:color w:val="000000"/>
        </w:rPr>
        <w:t xml:space="preserve"> za MPO-DU, nikoliv za E</w:t>
      </w:r>
      <w:r w:rsidR="001E11C5">
        <w:rPr>
          <w:rFonts w:asciiTheme="minorHAnsi" w:hAnsiTheme="minorHAnsi" w:cstheme="minorHAnsi"/>
          <w:bCs/>
          <w:color w:val="000000"/>
        </w:rPr>
        <w:t>vropskou komisí</w:t>
      </w:r>
      <w:r w:rsidRPr="00F46A93">
        <w:rPr>
          <w:rFonts w:asciiTheme="minorHAnsi" w:hAnsiTheme="minorHAnsi" w:cstheme="minorHAnsi"/>
          <w:bCs/>
          <w:color w:val="000000"/>
        </w:rPr>
        <w:t>. NKÚ v průběhu kontroly</w:t>
      </w:r>
      <w:r w:rsidR="001E11C5">
        <w:rPr>
          <w:rFonts w:asciiTheme="minorHAnsi" w:hAnsiTheme="minorHAnsi" w:cstheme="minorHAnsi"/>
          <w:bCs/>
          <w:color w:val="000000"/>
        </w:rPr>
        <w:t xml:space="preserve"> doporučil </w:t>
      </w:r>
      <w:r w:rsidRPr="00F46A93">
        <w:rPr>
          <w:rFonts w:asciiTheme="minorHAnsi" w:hAnsiTheme="minorHAnsi" w:cstheme="minorHAnsi"/>
          <w:bCs/>
          <w:color w:val="000000"/>
        </w:rPr>
        <w:t>účtování prostřednictvím</w:t>
      </w:r>
      <w:r w:rsidR="001E11C5">
        <w:rPr>
          <w:rFonts w:asciiTheme="minorHAnsi" w:hAnsiTheme="minorHAnsi" w:cstheme="minorHAnsi"/>
          <w:bCs/>
          <w:color w:val="000000"/>
        </w:rPr>
        <w:t xml:space="preserve"> účtu</w:t>
      </w:r>
      <w:r w:rsidRPr="00F46A93">
        <w:rPr>
          <w:rFonts w:asciiTheme="minorHAnsi" w:hAnsiTheme="minorHAnsi" w:cstheme="minorHAnsi"/>
          <w:bCs/>
          <w:color w:val="000000"/>
        </w:rPr>
        <w:t xml:space="preserve"> 344 – </w:t>
      </w:r>
      <w:r w:rsidRPr="00F46A93">
        <w:rPr>
          <w:rFonts w:asciiTheme="minorHAnsi" w:hAnsiTheme="minorHAnsi" w:cstheme="minorHAnsi"/>
          <w:bCs/>
          <w:i/>
          <w:iCs/>
          <w:color w:val="000000"/>
        </w:rPr>
        <w:t>Pohledávky za osobami mimo vybrané vládní instituce</w:t>
      </w:r>
      <w:r w:rsidRPr="00F46A93">
        <w:rPr>
          <w:rFonts w:asciiTheme="minorHAnsi" w:hAnsiTheme="minorHAnsi" w:cstheme="minorHAnsi"/>
          <w:bCs/>
          <w:color w:val="000000"/>
        </w:rPr>
        <w:t>, neboť MPO-DU v tomto případě funguje jako zprostředkovatel prostředků od E</w:t>
      </w:r>
      <w:r w:rsidR="001E11C5">
        <w:rPr>
          <w:rFonts w:asciiTheme="minorHAnsi" w:hAnsiTheme="minorHAnsi" w:cstheme="minorHAnsi"/>
          <w:bCs/>
          <w:color w:val="000000"/>
        </w:rPr>
        <w:t>vropské komise</w:t>
      </w:r>
      <w:r w:rsidRPr="00F46A93">
        <w:rPr>
          <w:rFonts w:asciiTheme="minorHAnsi" w:hAnsiTheme="minorHAnsi" w:cstheme="minorHAnsi"/>
          <w:bCs/>
          <w:color w:val="000000"/>
        </w:rPr>
        <w:t>, která</w:t>
      </w:r>
      <w:r w:rsidR="008D4B94">
        <w:rPr>
          <w:rFonts w:asciiTheme="minorHAnsi" w:hAnsiTheme="minorHAnsi" w:cstheme="minorHAnsi"/>
          <w:bCs/>
          <w:color w:val="000000"/>
        </w:rPr>
        <w:t xml:space="preserve"> není</w:t>
      </w:r>
      <w:r w:rsidRPr="00F46A93">
        <w:rPr>
          <w:rFonts w:asciiTheme="minorHAnsi" w:hAnsiTheme="minorHAnsi" w:cstheme="minorHAnsi"/>
          <w:bCs/>
          <w:color w:val="000000"/>
        </w:rPr>
        <w:t xml:space="preserve"> vybran</w:t>
      </w:r>
      <w:r w:rsidR="008D4B94">
        <w:rPr>
          <w:rFonts w:asciiTheme="minorHAnsi" w:hAnsiTheme="minorHAnsi" w:cstheme="minorHAnsi"/>
          <w:bCs/>
          <w:color w:val="000000"/>
        </w:rPr>
        <w:t>ou</w:t>
      </w:r>
      <w:r w:rsidRPr="00F46A93">
        <w:rPr>
          <w:rFonts w:asciiTheme="minorHAnsi" w:hAnsiTheme="minorHAnsi" w:cstheme="minorHAnsi"/>
          <w:bCs/>
          <w:color w:val="000000"/>
        </w:rPr>
        <w:t xml:space="preserve"> vládní instituc</w:t>
      </w:r>
      <w:r w:rsidR="008D4B94">
        <w:rPr>
          <w:rFonts w:asciiTheme="minorHAnsi" w:hAnsiTheme="minorHAnsi" w:cstheme="minorHAnsi"/>
          <w:bCs/>
          <w:color w:val="000000"/>
        </w:rPr>
        <w:t>í</w:t>
      </w:r>
      <w:r w:rsidRPr="00F46A93">
        <w:rPr>
          <w:rFonts w:asciiTheme="minorHAnsi" w:hAnsiTheme="minorHAnsi" w:cstheme="minorHAnsi"/>
          <w:bCs/>
          <w:color w:val="000000"/>
        </w:rPr>
        <w:t>. Uvedená skutečnost nem</w:t>
      </w:r>
      <w:r w:rsidR="001E11C5">
        <w:rPr>
          <w:rFonts w:asciiTheme="minorHAnsi" w:hAnsiTheme="minorHAnsi" w:cstheme="minorHAnsi"/>
          <w:bCs/>
          <w:color w:val="000000"/>
        </w:rPr>
        <w:t>ěla</w:t>
      </w:r>
      <w:r w:rsidRPr="00F46A93">
        <w:rPr>
          <w:rFonts w:asciiTheme="minorHAnsi" w:hAnsiTheme="minorHAnsi" w:cstheme="minorHAnsi"/>
          <w:bCs/>
          <w:color w:val="000000"/>
        </w:rPr>
        <w:t xml:space="preserve"> vliv na ÚZ, neboť k 31.</w:t>
      </w:r>
      <w:r w:rsidR="001E11C5">
        <w:rPr>
          <w:rFonts w:asciiTheme="minorHAnsi" w:hAnsiTheme="minorHAnsi" w:cstheme="minorHAnsi"/>
          <w:bCs/>
          <w:color w:val="000000"/>
        </w:rPr>
        <w:t xml:space="preserve"> prosinci </w:t>
      </w:r>
      <w:r w:rsidRPr="00F46A93">
        <w:rPr>
          <w:rFonts w:asciiTheme="minorHAnsi" w:hAnsiTheme="minorHAnsi" w:cstheme="minorHAnsi"/>
          <w:bCs/>
          <w:color w:val="000000"/>
        </w:rPr>
        <w:t>2024 byly</w:t>
      </w:r>
      <w:r w:rsidR="001E11C5">
        <w:rPr>
          <w:rFonts w:asciiTheme="minorHAnsi" w:hAnsiTheme="minorHAnsi" w:cstheme="minorHAnsi"/>
          <w:bCs/>
          <w:color w:val="000000"/>
        </w:rPr>
        <w:t xml:space="preserve"> </w:t>
      </w:r>
      <w:r w:rsidRPr="00F46A93">
        <w:rPr>
          <w:rFonts w:asciiTheme="minorHAnsi" w:hAnsiTheme="minorHAnsi" w:cstheme="minorHAnsi"/>
          <w:bCs/>
          <w:color w:val="000000"/>
        </w:rPr>
        <w:t>předmětné pohledávky na</w:t>
      </w:r>
      <w:r w:rsidR="001E11C5">
        <w:rPr>
          <w:rFonts w:asciiTheme="minorHAnsi" w:hAnsiTheme="minorHAnsi" w:cstheme="minorHAnsi"/>
          <w:bCs/>
          <w:color w:val="000000"/>
        </w:rPr>
        <w:t xml:space="preserve"> účtu </w:t>
      </w:r>
      <w:r w:rsidRPr="00F46A93">
        <w:rPr>
          <w:rFonts w:asciiTheme="minorHAnsi" w:hAnsiTheme="minorHAnsi" w:cstheme="minorHAnsi"/>
          <w:bCs/>
          <w:color w:val="000000"/>
        </w:rPr>
        <w:t>346</w:t>
      </w:r>
      <w:r w:rsidR="001E11C5">
        <w:rPr>
          <w:rFonts w:asciiTheme="minorHAnsi" w:hAnsiTheme="minorHAnsi" w:cstheme="minorHAnsi"/>
          <w:bCs/>
          <w:color w:val="000000"/>
        </w:rPr>
        <w:t xml:space="preserve"> </w:t>
      </w:r>
      <w:r w:rsidRPr="00F46A93">
        <w:rPr>
          <w:rFonts w:asciiTheme="minorHAnsi" w:hAnsiTheme="minorHAnsi" w:cstheme="minorHAnsi"/>
          <w:bCs/>
          <w:color w:val="000000"/>
        </w:rPr>
        <w:t>zúčtovány. Doplňující informaci k</w:t>
      </w:r>
      <w:r w:rsidR="001E11C5">
        <w:rPr>
          <w:rFonts w:asciiTheme="minorHAnsi" w:hAnsiTheme="minorHAnsi" w:cstheme="minorHAnsi"/>
          <w:bCs/>
          <w:color w:val="000000"/>
        </w:rPr>
        <w:t xml:space="preserve"> účtu</w:t>
      </w:r>
      <w:r w:rsidRPr="00F46A93">
        <w:rPr>
          <w:rFonts w:asciiTheme="minorHAnsi" w:hAnsiTheme="minorHAnsi" w:cstheme="minorHAnsi"/>
          <w:bCs/>
          <w:color w:val="000000"/>
        </w:rPr>
        <w:t xml:space="preserve"> 346 uvedlo MK v </w:t>
      </w:r>
      <w:r w:rsidR="00904119">
        <w:rPr>
          <w:rFonts w:asciiTheme="minorHAnsi" w:hAnsiTheme="minorHAnsi" w:cstheme="minorHAnsi"/>
          <w:bCs/>
          <w:color w:val="000000"/>
        </w:rPr>
        <w:t>p</w:t>
      </w:r>
      <w:r w:rsidRPr="00F46A93">
        <w:rPr>
          <w:rFonts w:asciiTheme="minorHAnsi" w:hAnsiTheme="minorHAnsi" w:cstheme="minorHAnsi"/>
          <w:bCs/>
          <w:color w:val="000000"/>
        </w:rPr>
        <w:t>říloze ÚZ (v části E.1., k položce B.II.17.).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144D" w14:textId="77777777" w:rsidR="00E934D2" w:rsidRPr="00BF14F7" w:rsidRDefault="00E934D2" w:rsidP="00124170">
    <w:pPr>
      <w:pStyle w:val="Zhlav"/>
      <w:tabs>
        <w:tab w:val="clear" w:pos="9072"/>
        <w:tab w:val="right" w:pos="9070"/>
      </w:tabs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64BB" w14:textId="6F9C682B" w:rsidR="00E934D2" w:rsidRDefault="00E934D2" w:rsidP="00C23879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228D" w14:textId="77777777" w:rsidR="00E934D2" w:rsidRPr="00CB2DAF" w:rsidRDefault="00E934D2" w:rsidP="00CB2DAF">
    <w:pPr>
      <w:pStyle w:val="Zhlav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F45"/>
    <w:multiLevelType w:val="hybridMultilevel"/>
    <w:tmpl w:val="8FD0AA54"/>
    <w:lvl w:ilvl="0" w:tplc="B5389B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3745"/>
    <w:multiLevelType w:val="hybridMultilevel"/>
    <w:tmpl w:val="6DA6FFF8"/>
    <w:lvl w:ilvl="0" w:tplc="66DA21B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A366007"/>
    <w:multiLevelType w:val="hybridMultilevel"/>
    <w:tmpl w:val="5F4ECAA8"/>
    <w:lvl w:ilvl="0" w:tplc="24E25BD8">
      <w:start w:val="3"/>
      <w:numFmt w:val="bullet"/>
      <w:pStyle w:val="odrka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281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4F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A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EF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69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F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C4F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828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4803"/>
    <w:multiLevelType w:val="hybridMultilevel"/>
    <w:tmpl w:val="C0FAA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82E19"/>
    <w:multiLevelType w:val="hybridMultilevel"/>
    <w:tmpl w:val="7A70B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331A6"/>
    <w:multiLevelType w:val="hybridMultilevel"/>
    <w:tmpl w:val="F26A6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779B2"/>
    <w:multiLevelType w:val="hybridMultilevel"/>
    <w:tmpl w:val="EDC8DA44"/>
    <w:lvl w:ilvl="0" w:tplc="B5389B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31643"/>
    <w:multiLevelType w:val="hybridMultilevel"/>
    <w:tmpl w:val="E6B06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A0CDF"/>
    <w:multiLevelType w:val="hybridMultilevel"/>
    <w:tmpl w:val="CEA2AD5A"/>
    <w:lvl w:ilvl="0" w:tplc="E40AFA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A6F2F"/>
    <w:multiLevelType w:val="hybridMultilevel"/>
    <w:tmpl w:val="4ECE846A"/>
    <w:lvl w:ilvl="0" w:tplc="CE2CED6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5E02F03C">
      <w:start w:val="1"/>
      <w:numFmt w:val="lowerLetter"/>
      <w:lvlText w:val="%2."/>
      <w:lvlJc w:val="left"/>
      <w:pPr>
        <w:ind w:left="1440" w:hanging="360"/>
      </w:pPr>
    </w:lvl>
    <w:lvl w:ilvl="2" w:tplc="ADE6C7EE" w:tentative="1">
      <w:start w:val="1"/>
      <w:numFmt w:val="lowerRoman"/>
      <w:lvlText w:val="%3."/>
      <w:lvlJc w:val="right"/>
      <w:pPr>
        <w:ind w:left="2160" w:hanging="180"/>
      </w:pPr>
    </w:lvl>
    <w:lvl w:ilvl="3" w:tplc="A98E3622" w:tentative="1">
      <w:start w:val="1"/>
      <w:numFmt w:val="decimal"/>
      <w:lvlText w:val="%4."/>
      <w:lvlJc w:val="left"/>
      <w:pPr>
        <w:ind w:left="2880" w:hanging="360"/>
      </w:pPr>
    </w:lvl>
    <w:lvl w:ilvl="4" w:tplc="FE6AD990" w:tentative="1">
      <w:start w:val="1"/>
      <w:numFmt w:val="lowerLetter"/>
      <w:lvlText w:val="%5."/>
      <w:lvlJc w:val="left"/>
      <w:pPr>
        <w:ind w:left="3600" w:hanging="360"/>
      </w:pPr>
    </w:lvl>
    <w:lvl w:ilvl="5" w:tplc="F84C1D10" w:tentative="1">
      <w:start w:val="1"/>
      <w:numFmt w:val="lowerRoman"/>
      <w:lvlText w:val="%6."/>
      <w:lvlJc w:val="right"/>
      <w:pPr>
        <w:ind w:left="4320" w:hanging="180"/>
      </w:pPr>
    </w:lvl>
    <w:lvl w:ilvl="6" w:tplc="4F10AFD4" w:tentative="1">
      <w:start w:val="1"/>
      <w:numFmt w:val="decimal"/>
      <w:lvlText w:val="%7."/>
      <w:lvlJc w:val="left"/>
      <w:pPr>
        <w:ind w:left="5040" w:hanging="360"/>
      </w:pPr>
    </w:lvl>
    <w:lvl w:ilvl="7" w:tplc="C2E42DB0" w:tentative="1">
      <w:start w:val="1"/>
      <w:numFmt w:val="lowerLetter"/>
      <w:lvlText w:val="%8."/>
      <w:lvlJc w:val="left"/>
      <w:pPr>
        <w:ind w:left="5760" w:hanging="360"/>
      </w:pPr>
    </w:lvl>
    <w:lvl w:ilvl="8" w:tplc="0DF02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D0E06"/>
    <w:multiLevelType w:val="hybridMultilevel"/>
    <w:tmpl w:val="8BACD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C2738"/>
    <w:multiLevelType w:val="hybridMultilevel"/>
    <w:tmpl w:val="8FBC8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C3297"/>
    <w:multiLevelType w:val="hybridMultilevel"/>
    <w:tmpl w:val="1CE25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026C2"/>
    <w:multiLevelType w:val="hybridMultilevel"/>
    <w:tmpl w:val="E890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85766"/>
    <w:multiLevelType w:val="hybridMultilevel"/>
    <w:tmpl w:val="62780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77963"/>
    <w:multiLevelType w:val="hybridMultilevel"/>
    <w:tmpl w:val="A5DEE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63BA1"/>
    <w:multiLevelType w:val="hybridMultilevel"/>
    <w:tmpl w:val="483A2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E6E16"/>
    <w:multiLevelType w:val="hybridMultilevel"/>
    <w:tmpl w:val="204A2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A0B9B"/>
    <w:multiLevelType w:val="multilevel"/>
    <w:tmpl w:val="B4F6C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132DF4"/>
    <w:multiLevelType w:val="hybridMultilevel"/>
    <w:tmpl w:val="28709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B0976"/>
    <w:multiLevelType w:val="hybridMultilevel"/>
    <w:tmpl w:val="308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F5BF3"/>
    <w:multiLevelType w:val="hybridMultilevel"/>
    <w:tmpl w:val="3146A4B2"/>
    <w:lvl w:ilvl="0" w:tplc="A4943CE2">
      <w:start w:val="2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78E00E34"/>
    <w:multiLevelType w:val="hybridMultilevel"/>
    <w:tmpl w:val="2D36D9BE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10E59"/>
    <w:multiLevelType w:val="multilevel"/>
    <w:tmpl w:val="C202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AE4030"/>
    <w:multiLevelType w:val="multilevel"/>
    <w:tmpl w:val="F650DCE4"/>
    <w:lvl w:ilvl="0">
      <w:start w:val="1"/>
      <w:numFmt w:val="upperRoman"/>
      <w:pStyle w:val="Styl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Styl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ordinal"/>
      <w:lvlText w:val="%3%2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134908475">
    <w:abstractNumId w:val="9"/>
  </w:num>
  <w:num w:numId="2" w16cid:durableId="1515924602">
    <w:abstractNumId w:val="18"/>
  </w:num>
  <w:num w:numId="3" w16cid:durableId="881668856">
    <w:abstractNumId w:val="2"/>
  </w:num>
  <w:num w:numId="4" w16cid:durableId="105775850">
    <w:abstractNumId w:val="24"/>
  </w:num>
  <w:num w:numId="5" w16cid:durableId="87435235">
    <w:abstractNumId w:val="16"/>
  </w:num>
  <w:num w:numId="6" w16cid:durableId="310183066">
    <w:abstractNumId w:val="19"/>
  </w:num>
  <w:num w:numId="7" w16cid:durableId="728845415">
    <w:abstractNumId w:val="12"/>
  </w:num>
  <w:num w:numId="8" w16cid:durableId="964773685">
    <w:abstractNumId w:val="22"/>
  </w:num>
  <w:num w:numId="9" w16cid:durableId="1256863783">
    <w:abstractNumId w:val="1"/>
  </w:num>
  <w:num w:numId="10" w16cid:durableId="2039045082">
    <w:abstractNumId w:val="17"/>
  </w:num>
  <w:num w:numId="11" w16cid:durableId="592511076">
    <w:abstractNumId w:val="7"/>
  </w:num>
  <w:num w:numId="12" w16cid:durableId="341974649">
    <w:abstractNumId w:val="20"/>
  </w:num>
  <w:num w:numId="13" w16cid:durableId="1196508100">
    <w:abstractNumId w:val="14"/>
  </w:num>
  <w:num w:numId="14" w16cid:durableId="1775174673">
    <w:abstractNumId w:val="8"/>
  </w:num>
  <w:num w:numId="15" w16cid:durableId="391078043">
    <w:abstractNumId w:val="6"/>
  </w:num>
  <w:num w:numId="16" w16cid:durableId="12549755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51654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4599160">
    <w:abstractNumId w:val="24"/>
  </w:num>
  <w:num w:numId="19" w16cid:durableId="1885825454">
    <w:abstractNumId w:val="23"/>
  </w:num>
  <w:num w:numId="20" w16cid:durableId="618075697">
    <w:abstractNumId w:val="10"/>
  </w:num>
  <w:num w:numId="21" w16cid:durableId="510338787">
    <w:abstractNumId w:val="3"/>
  </w:num>
  <w:num w:numId="22" w16cid:durableId="853688948">
    <w:abstractNumId w:val="5"/>
  </w:num>
  <w:num w:numId="23" w16cid:durableId="1231965867">
    <w:abstractNumId w:val="11"/>
  </w:num>
  <w:num w:numId="24" w16cid:durableId="1803770844">
    <w:abstractNumId w:val="15"/>
  </w:num>
  <w:num w:numId="25" w16cid:durableId="2045209817">
    <w:abstractNumId w:val="4"/>
  </w:num>
  <w:num w:numId="26" w16cid:durableId="2141796724">
    <w:abstractNumId w:val="21"/>
  </w:num>
  <w:num w:numId="27" w16cid:durableId="1966307095">
    <w:abstractNumId w:val="13"/>
  </w:num>
  <w:num w:numId="28" w16cid:durableId="1950816731">
    <w:abstractNumId w:val="24"/>
  </w:num>
  <w:num w:numId="29" w16cid:durableId="1607276394">
    <w:abstractNumId w:val="24"/>
  </w:num>
  <w:num w:numId="30" w16cid:durableId="1334991644">
    <w:abstractNumId w:val="24"/>
  </w:num>
  <w:num w:numId="31" w16cid:durableId="195895567">
    <w:abstractNumId w:val="24"/>
  </w:num>
  <w:num w:numId="32" w16cid:durableId="677779071">
    <w:abstractNumId w:val="24"/>
  </w:num>
  <w:num w:numId="33" w16cid:durableId="1544319300">
    <w:abstractNumId w:val="24"/>
  </w:num>
  <w:num w:numId="34" w16cid:durableId="428700931">
    <w:abstractNumId w:val="24"/>
  </w:num>
  <w:num w:numId="35" w16cid:durableId="896821555">
    <w:abstractNumId w:val="24"/>
  </w:num>
  <w:num w:numId="36" w16cid:durableId="475070555">
    <w:abstractNumId w:val="24"/>
  </w:num>
  <w:num w:numId="37" w16cid:durableId="153958948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62"/>
    <w:rsid w:val="0000000E"/>
    <w:rsid w:val="00000293"/>
    <w:rsid w:val="000002D7"/>
    <w:rsid w:val="0000057A"/>
    <w:rsid w:val="00000B6D"/>
    <w:rsid w:val="00000F8C"/>
    <w:rsid w:val="000010CB"/>
    <w:rsid w:val="000015DC"/>
    <w:rsid w:val="00001659"/>
    <w:rsid w:val="00001D77"/>
    <w:rsid w:val="00002562"/>
    <w:rsid w:val="00002737"/>
    <w:rsid w:val="0000276E"/>
    <w:rsid w:val="00002B29"/>
    <w:rsid w:val="00002B9A"/>
    <w:rsid w:val="00002F92"/>
    <w:rsid w:val="0000300F"/>
    <w:rsid w:val="000030C9"/>
    <w:rsid w:val="00003367"/>
    <w:rsid w:val="00003812"/>
    <w:rsid w:val="00003878"/>
    <w:rsid w:val="000039E4"/>
    <w:rsid w:val="00003EC4"/>
    <w:rsid w:val="00003F86"/>
    <w:rsid w:val="000042FB"/>
    <w:rsid w:val="00004461"/>
    <w:rsid w:val="000049A1"/>
    <w:rsid w:val="00004DA7"/>
    <w:rsid w:val="00004EF9"/>
    <w:rsid w:val="000050EC"/>
    <w:rsid w:val="00005413"/>
    <w:rsid w:val="000062B7"/>
    <w:rsid w:val="0000654C"/>
    <w:rsid w:val="00006589"/>
    <w:rsid w:val="00006AE8"/>
    <w:rsid w:val="00006F9D"/>
    <w:rsid w:val="00007A06"/>
    <w:rsid w:val="000102DC"/>
    <w:rsid w:val="000102EF"/>
    <w:rsid w:val="0001038F"/>
    <w:rsid w:val="00010565"/>
    <w:rsid w:val="00010948"/>
    <w:rsid w:val="00010B7B"/>
    <w:rsid w:val="00010BF4"/>
    <w:rsid w:val="000116D6"/>
    <w:rsid w:val="000116ED"/>
    <w:rsid w:val="000118B2"/>
    <w:rsid w:val="000118FB"/>
    <w:rsid w:val="00012047"/>
    <w:rsid w:val="00012090"/>
    <w:rsid w:val="000121C2"/>
    <w:rsid w:val="00012334"/>
    <w:rsid w:val="00012409"/>
    <w:rsid w:val="00012473"/>
    <w:rsid w:val="0001308F"/>
    <w:rsid w:val="000136D6"/>
    <w:rsid w:val="00013900"/>
    <w:rsid w:val="00013CE4"/>
    <w:rsid w:val="00013D01"/>
    <w:rsid w:val="00013F4A"/>
    <w:rsid w:val="00014250"/>
    <w:rsid w:val="00014278"/>
    <w:rsid w:val="000148CF"/>
    <w:rsid w:val="00014D77"/>
    <w:rsid w:val="000150C6"/>
    <w:rsid w:val="0001554C"/>
    <w:rsid w:val="00015BEA"/>
    <w:rsid w:val="00015EAA"/>
    <w:rsid w:val="00015F85"/>
    <w:rsid w:val="0001655D"/>
    <w:rsid w:val="0001752B"/>
    <w:rsid w:val="000178C8"/>
    <w:rsid w:val="00017999"/>
    <w:rsid w:val="00017CCE"/>
    <w:rsid w:val="00017D5E"/>
    <w:rsid w:val="00017EA4"/>
    <w:rsid w:val="000205FD"/>
    <w:rsid w:val="000206ED"/>
    <w:rsid w:val="000209B1"/>
    <w:rsid w:val="0002107A"/>
    <w:rsid w:val="00021226"/>
    <w:rsid w:val="00021C4D"/>
    <w:rsid w:val="00022153"/>
    <w:rsid w:val="000221DC"/>
    <w:rsid w:val="000233DE"/>
    <w:rsid w:val="0002359A"/>
    <w:rsid w:val="00024CEB"/>
    <w:rsid w:val="000254A6"/>
    <w:rsid w:val="00025582"/>
    <w:rsid w:val="00025665"/>
    <w:rsid w:val="000263DE"/>
    <w:rsid w:val="0002674F"/>
    <w:rsid w:val="00026B84"/>
    <w:rsid w:val="00026FB4"/>
    <w:rsid w:val="00027067"/>
    <w:rsid w:val="0002708F"/>
    <w:rsid w:val="000274A8"/>
    <w:rsid w:val="00027C18"/>
    <w:rsid w:val="00027C25"/>
    <w:rsid w:val="000305CE"/>
    <w:rsid w:val="00030656"/>
    <w:rsid w:val="00030F7B"/>
    <w:rsid w:val="00031611"/>
    <w:rsid w:val="00031DBA"/>
    <w:rsid w:val="00031FF6"/>
    <w:rsid w:val="000325A3"/>
    <w:rsid w:val="0003281D"/>
    <w:rsid w:val="00032E48"/>
    <w:rsid w:val="00033006"/>
    <w:rsid w:val="000334ED"/>
    <w:rsid w:val="000339E8"/>
    <w:rsid w:val="0003418B"/>
    <w:rsid w:val="000342EB"/>
    <w:rsid w:val="00034564"/>
    <w:rsid w:val="00034649"/>
    <w:rsid w:val="00034672"/>
    <w:rsid w:val="0003469E"/>
    <w:rsid w:val="000347A9"/>
    <w:rsid w:val="0003552A"/>
    <w:rsid w:val="00035A43"/>
    <w:rsid w:val="00035C23"/>
    <w:rsid w:val="000365ED"/>
    <w:rsid w:val="00036961"/>
    <w:rsid w:val="00036B07"/>
    <w:rsid w:val="000370CC"/>
    <w:rsid w:val="000370E9"/>
    <w:rsid w:val="000377B3"/>
    <w:rsid w:val="00037E92"/>
    <w:rsid w:val="000404C7"/>
    <w:rsid w:val="0004116C"/>
    <w:rsid w:val="00041308"/>
    <w:rsid w:val="000413A0"/>
    <w:rsid w:val="00041820"/>
    <w:rsid w:val="00041B06"/>
    <w:rsid w:val="00042662"/>
    <w:rsid w:val="000428C2"/>
    <w:rsid w:val="00042F32"/>
    <w:rsid w:val="00042F6E"/>
    <w:rsid w:val="0004311E"/>
    <w:rsid w:val="0004377C"/>
    <w:rsid w:val="00043C6D"/>
    <w:rsid w:val="00043ED9"/>
    <w:rsid w:val="00044446"/>
    <w:rsid w:val="00044496"/>
    <w:rsid w:val="000447A6"/>
    <w:rsid w:val="00044B71"/>
    <w:rsid w:val="00044CCB"/>
    <w:rsid w:val="00044F4C"/>
    <w:rsid w:val="0004536D"/>
    <w:rsid w:val="000453AD"/>
    <w:rsid w:val="0004554B"/>
    <w:rsid w:val="0004560E"/>
    <w:rsid w:val="0004593F"/>
    <w:rsid w:val="00045C6E"/>
    <w:rsid w:val="00045D1D"/>
    <w:rsid w:val="00045D4B"/>
    <w:rsid w:val="0004614B"/>
    <w:rsid w:val="00046890"/>
    <w:rsid w:val="000473BB"/>
    <w:rsid w:val="00047B94"/>
    <w:rsid w:val="00050275"/>
    <w:rsid w:val="000502F8"/>
    <w:rsid w:val="00050674"/>
    <w:rsid w:val="00050BF8"/>
    <w:rsid w:val="00050E07"/>
    <w:rsid w:val="00051A3C"/>
    <w:rsid w:val="00051D1C"/>
    <w:rsid w:val="000521DE"/>
    <w:rsid w:val="000521FD"/>
    <w:rsid w:val="0005245C"/>
    <w:rsid w:val="00052B02"/>
    <w:rsid w:val="00052C46"/>
    <w:rsid w:val="00052EE3"/>
    <w:rsid w:val="0005321F"/>
    <w:rsid w:val="0005356E"/>
    <w:rsid w:val="000535D9"/>
    <w:rsid w:val="000542D1"/>
    <w:rsid w:val="00054662"/>
    <w:rsid w:val="000547CF"/>
    <w:rsid w:val="000548CE"/>
    <w:rsid w:val="00054A5F"/>
    <w:rsid w:val="00054D70"/>
    <w:rsid w:val="00054DA8"/>
    <w:rsid w:val="00055401"/>
    <w:rsid w:val="00055581"/>
    <w:rsid w:val="00055879"/>
    <w:rsid w:val="000562E0"/>
    <w:rsid w:val="0005659D"/>
    <w:rsid w:val="00056741"/>
    <w:rsid w:val="00056E1C"/>
    <w:rsid w:val="00056E58"/>
    <w:rsid w:val="00056F1A"/>
    <w:rsid w:val="000570C7"/>
    <w:rsid w:val="00057428"/>
    <w:rsid w:val="00057CB7"/>
    <w:rsid w:val="00060485"/>
    <w:rsid w:val="0006081D"/>
    <w:rsid w:val="00060CDE"/>
    <w:rsid w:val="000615D0"/>
    <w:rsid w:val="00061E0F"/>
    <w:rsid w:val="00062738"/>
    <w:rsid w:val="00063109"/>
    <w:rsid w:val="00063472"/>
    <w:rsid w:val="00063528"/>
    <w:rsid w:val="00063906"/>
    <w:rsid w:val="00063C45"/>
    <w:rsid w:val="00064093"/>
    <w:rsid w:val="000641B2"/>
    <w:rsid w:val="000642F0"/>
    <w:rsid w:val="0006539C"/>
    <w:rsid w:val="00065536"/>
    <w:rsid w:val="00065568"/>
    <w:rsid w:val="00065AE2"/>
    <w:rsid w:val="000663B6"/>
    <w:rsid w:val="00066AC4"/>
    <w:rsid w:val="00066AD0"/>
    <w:rsid w:val="00066F74"/>
    <w:rsid w:val="00067305"/>
    <w:rsid w:val="00067307"/>
    <w:rsid w:val="000679D3"/>
    <w:rsid w:val="0007038C"/>
    <w:rsid w:val="00071B5F"/>
    <w:rsid w:val="00071E3F"/>
    <w:rsid w:val="000721D8"/>
    <w:rsid w:val="0007244A"/>
    <w:rsid w:val="000728F2"/>
    <w:rsid w:val="00072E4C"/>
    <w:rsid w:val="00073218"/>
    <w:rsid w:val="000737E5"/>
    <w:rsid w:val="00073F3C"/>
    <w:rsid w:val="0007439D"/>
    <w:rsid w:val="000744FC"/>
    <w:rsid w:val="00074829"/>
    <w:rsid w:val="0007561C"/>
    <w:rsid w:val="000756B8"/>
    <w:rsid w:val="00075A94"/>
    <w:rsid w:val="00075BC6"/>
    <w:rsid w:val="00075CF8"/>
    <w:rsid w:val="00076191"/>
    <w:rsid w:val="00076557"/>
    <w:rsid w:val="00076EA6"/>
    <w:rsid w:val="00076F89"/>
    <w:rsid w:val="0007700C"/>
    <w:rsid w:val="000773AB"/>
    <w:rsid w:val="00077ACA"/>
    <w:rsid w:val="00080728"/>
    <w:rsid w:val="00080832"/>
    <w:rsid w:val="00080853"/>
    <w:rsid w:val="00080C2B"/>
    <w:rsid w:val="00080C55"/>
    <w:rsid w:val="0008172A"/>
    <w:rsid w:val="00081853"/>
    <w:rsid w:val="00081916"/>
    <w:rsid w:val="000819E2"/>
    <w:rsid w:val="00081F46"/>
    <w:rsid w:val="00082128"/>
    <w:rsid w:val="000822BF"/>
    <w:rsid w:val="00082C74"/>
    <w:rsid w:val="00082D91"/>
    <w:rsid w:val="0008321B"/>
    <w:rsid w:val="000834FD"/>
    <w:rsid w:val="0008352C"/>
    <w:rsid w:val="00083751"/>
    <w:rsid w:val="00084104"/>
    <w:rsid w:val="0008453D"/>
    <w:rsid w:val="000849C8"/>
    <w:rsid w:val="00084B03"/>
    <w:rsid w:val="00084BDF"/>
    <w:rsid w:val="00084EA8"/>
    <w:rsid w:val="000851F9"/>
    <w:rsid w:val="000853D2"/>
    <w:rsid w:val="00085476"/>
    <w:rsid w:val="000855CD"/>
    <w:rsid w:val="00085C0A"/>
    <w:rsid w:val="00085D01"/>
    <w:rsid w:val="00085F24"/>
    <w:rsid w:val="00086273"/>
    <w:rsid w:val="00086337"/>
    <w:rsid w:val="00086431"/>
    <w:rsid w:val="000867C9"/>
    <w:rsid w:val="000868E0"/>
    <w:rsid w:val="000872BF"/>
    <w:rsid w:val="000876CF"/>
    <w:rsid w:val="00090AB0"/>
    <w:rsid w:val="00090DB9"/>
    <w:rsid w:val="00090F01"/>
    <w:rsid w:val="00090FA5"/>
    <w:rsid w:val="000911EF"/>
    <w:rsid w:val="00091342"/>
    <w:rsid w:val="00091AD5"/>
    <w:rsid w:val="0009214F"/>
    <w:rsid w:val="0009232A"/>
    <w:rsid w:val="0009258D"/>
    <w:rsid w:val="00092654"/>
    <w:rsid w:val="00092816"/>
    <w:rsid w:val="00093120"/>
    <w:rsid w:val="000936F4"/>
    <w:rsid w:val="00093B70"/>
    <w:rsid w:val="0009453E"/>
    <w:rsid w:val="00094908"/>
    <w:rsid w:val="00094DB4"/>
    <w:rsid w:val="00095418"/>
    <w:rsid w:val="000957EE"/>
    <w:rsid w:val="0009634E"/>
    <w:rsid w:val="0009689F"/>
    <w:rsid w:val="00096FA3"/>
    <w:rsid w:val="0009702E"/>
    <w:rsid w:val="000973C5"/>
    <w:rsid w:val="000975DE"/>
    <w:rsid w:val="00097E88"/>
    <w:rsid w:val="000A0E8B"/>
    <w:rsid w:val="000A13E8"/>
    <w:rsid w:val="000A1657"/>
    <w:rsid w:val="000A1CF0"/>
    <w:rsid w:val="000A1E9B"/>
    <w:rsid w:val="000A2941"/>
    <w:rsid w:val="000A2C62"/>
    <w:rsid w:val="000A36E9"/>
    <w:rsid w:val="000A3E7E"/>
    <w:rsid w:val="000A3F7E"/>
    <w:rsid w:val="000A4006"/>
    <w:rsid w:val="000A4749"/>
    <w:rsid w:val="000A49D5"/>
    <w:rsid w:val="000A4C07"/>
    <w:rsid w:val="000A5267"/>
    <w:rsid w:val="000A56F7"/>
    <w:rsid w:val="000A5714"/>
    <w:rsid w:val="000A5A79"/>
    <w:rsid w:val="000A5AD1"/>
    <w:rsid w:val="000A5BDF"/>
    <w:rsid w:val="000A5C4F"/>
    <w:rsid w:val="000A5CEF"/>
    <w:rsid w:val="000A5D44"/>
    <w:rsid w:val="000A5ECA"/>
    <w:rsid w:val="000A5F4A"/>
    <w:rsid w:val="000A61B3"/>
    <w:rsid w:val="000A7032"/>
    <w:rsid w:val="000A7370"/>
    <w:rsid w:val="000A75DF"/>
    <w:rsid w:val="000A78B3"/>
    <w:rsid w:val="000B0387"/>
    <w:rsid w:val="000B0478"/>
    <w:rsid w:val="000B08C1"/>
    <w:rsid w:val="000B0B7B"/>
    <w:rsid w:val="000B0C14"/>
    <w:rsid w:val="000B0DBC"/>
    <w:rsid w:val="000B13AC"/>
    <w:rsid w:val="000B169C"/>
    <w:rsid w:val="000B1794"/>
    <w:rsid w:val="000B2041"/>
    <w:rsid w:val="000B2255"/>
    <w:rsid w:val="000B2425"/>
    <w:rsid w:val="000B25A8"/>
    <w:rsid w:val="000B267A"/>
    <w:rsid w:val="000B312D"/>
    <w:rsid w:val="000B3825"/>
    <w:rsid w:val="000B3B5F"/>
    <w:rsid w:val="000B3BAF"/>
    <w:rsid w:val="000B4873"/>
    <w:rsid w:val="000B4ABD"/>
    <w:rsid w:val="000B4B25"/>
    <w:rsid w:val="000B4B91"/>
    <w:rsid w:val="000B5785"/>
    <w:rsid w:val="000B57EF"/>
    <w:rsid w:val="000B59DC"/>
    <w:rsid w:val="000B5C6E"/>
    <w:rsid w:val="000B6027"/>
    <w:rsid w:val="000B6281"/>
    <w:rsid w:val="000B63A1"/>
    <w:rsid w:val="000B6570"/>
    <w:rsid w:val="000B69D9"/>
    <w:rsid w:val="000B7195"/>
    <w:rsid w:val="000B78EB"/>
    <w:rsid w:val="000B7B70"/>
    <w:rsid w:val="000B7B7B"/>
    <w:rsid w:val="000B7E39"/>
    <w:rsid w:val="000B7ED0"/>
    <w:rsid w:val="000C04E6"/>
    <w:rsid w:val="000C06CC"/>
    <w:rsid w:val="000C1D99"/>
    <w:rsid w:val="000C1DDA"/>
    <w:rsid w:val="000C2191"/>
    <w:rsid w:val="000C21A6"/>
    <w:rsid w:val="000C2C88"/>
    <w:rsid w:val="000C3CE9"/>
    <w:rsid w:val="000C3F19"/>
    <w:rsid w:val="000C465B"/>
    <w:rsid w:val="000C48B1"/>
    <w:rsid w:val="000C499E"/>
    <w:rsid w:val="000C4CB0"/>
    <w:rsid w:val="000C570B"/>
    <w:rsid w:val="000C591E"/>
    <w:rsid w:val="000C5F50"/>
    <w:rsid w:val="000C60A3"/>
    <w:rsid w:val="000C629B"/>
    <w:rsid w:val="000C656B"/>
    <w:rsid w:val="000C69E5"/>
    <w:rsid w:val="000C6C3C"/>
    <w:rsid w:val="000C6DC8"/>
    <w:rsid w:val="000C7BCB"/>
    <w:rsid w:val="000C7DE9"/>
    <w:rsid w:val="000C7E19"/>
    <w:rsid w:val="000D03AD"/>
    <w:rsid w:val="000D0BD2"/>
    <w:rsid w:val="000D0E97"/>
    <w:rsid w:val="000D1688"/>
    <w:rsid w:val="000D1BFE"/>
    <w:rsid w:val="000D1EC1"/>
    <w:rsid w:val="000D22A5"/>
    <w:rsid w:val="000D2D2B"/>
    <w:rsid w:val="000D2E49"/>
    <w:rsid w:val="000D2F73"/>
    <w:rsid w:val="000D3481"/>
    <w:rsid w:val="000D35A3"/>
    <w:rsid w:val="000D387A"/>
    <w:rsid w:val="000D3C04"/>
    <w:rsid w:val="000D628D"/>
    <w:rsid w:val="000D6F93"/>
    <w:rsid w:val="000D70F7"/>
    <w:rsid w:val="000D72DE"/>
    <w:rsid w:val="000D791D"/>
    <w:rsid w:val="000D7A6A"/>
    <w:rsid w:val="000D7A9E"/>
    <w:rsid w:val="000D7AD0"/>
    <w:rsid w:val="000D7EB0"/>
    <w:rsid w:val="000E044D"/>
    <w:rsid w:val="000E04F4"/>
    <w:rsid w:val="000E0723"/>
    <w:rsid w:val="000E082C"/>
    <w:rsid w:val="000E0A92"/>
    <w:rsid w:val="000E0B18"/>
    <w:rsid w:val="000E12F1"/>
    <w:rsid w:val="000E1EC2"/>
    <w:rsid w:val="000E220A"/>
    <w:rsid w:val="000E25B5"/>
    <w:rsid w:val="000E2690"/>
    <w:rsid w:val="000E2836"/>
    <w:rsid w:val="000E295D"/>
    <w:rsid w:val="000E31D2"/>
    <w:rsid w:val="000E33D6"/>
    <w:rsid w:val="000E3621"/>
    <w:rsid w:val="000E38D3"/>
    <w:rsid w:val="000E49EF"/>
    <w:rsid w:val="000E4E62"/>
    <w:rsid w:val="000E4ED7"/>
    <w:rsid w:val="000E4F78"/>
    <w:rsid w:val="000E5E80"/>
    <w:rsid w:val="000E67C5"/>
    <w:rsid w:val="000E6A8C"/>
    <w:rsid w:val="000E7644"/>
    <w:rsid w:val="000E7694"/>
    <w:rsid w:val="000E7D3E"/>
    <w:rsid w:val="000F02E3"/>
    <w:rsid w:val="000F09F5"/>
    <w:rsid w:val="000F1166"/>
    <w:rsid w:val="000F1ACE"/>
    <w:rsid w:val="000F209F"/>
    <w:rsid w:val="000F2220"/>
    <w:rsid w:val="000F25E0"/>
    <w:rsid w:val="000F2B19"/>
    <w:rsid w:val="000F348D"/>
    <w:rsid w:val="000F3D0A"/>
    <w:rsid w:val="000F3D33"/>
    <w:rsid w:val="000F3E30"/>
    <w:rsid w:val="000F41FF"/>
    <w:rsid w:val="000F42EF"/>
    <w:rsid w:val="000F449D"/>
    <w:rsid w:val="000F49CB"/>
    <w:rsid w:val="000F4FBC"/>
    <w:rsid w:val="000F55E2"/>
    <w:rsid w:val="000F5927"/>
    <w:rsid w:val="000F5C65"/>
    <w:rsid w:val="000F635B"/>
    <w:rsid w:val="000F707F"/>
    <w:rsid w:val="000F748C"/>
    <w:rsid w:val="000F7A2B"/>
    <w:rsid w:val="000F7AA7"/>
    <w:rsid w:val="000F7D42"/>
    <w:rsid w:val="00100233"/>
    <w:rsid w:val="001007E9"/>
    <w:rsid w:val="00100FAA"/>
    <w:rsid w:val="00101036"/>
    <w:rsid w:val="0010125A"/>
    <w:rsid w:val="00101CB1"/>
    <w:rsid w:val="00101CEF"/>
    <w:rsid w:val="0010292B"/>
    <w:rsid w:val="00103B0E"/>
    <w:rsid w:val="00103B3E"/>
    <w:rsid w:val="00103E92"/>
    <w:rsid w:val="00103F93"/>
    <w:rsid w:val="001055C3"/>
    <w:rsid w:val="00105C43"/>
    <w:rsid w:val="00106409"/>
    <w:rsid w:val="00106704"/>
    <w:rsid w:val="001076FC"/>
    <w:rsid w:val="00107771"/>
    <w:rsid w:val="001077EB"/>
    <w:rsid w:val="00107D39"/>
    <w:rsid w:val="001106BD"/>
    <w:rsid w:val="00110A9C"/>
    <w:rsid w:val="001118F1"/>
    <w:rsid w:val="00111FB1"/>
    <w:rsid w:val="00112642"/>
    <w:rsid w:val="00112DFF"/>
    <w:rsid w:val="001130AB"/>
    <w:rsid w:val="001137F7"/>
    <w:rsid w:val="00113B06"/>
    <w:rsid w:val="00113F2D"/>
    <w:rsid w:val="00114033"/>
    <w:rsid w:val="001141E0"/>
    <w:rsid w:val="00114527"/>
    <w:rsid w:val="00114660"/>
    <w:rsid w:val="00114968"/>
    <w:rsid w:val="00115015"/>
    <w:rsid w:val="001158C5"/>
    <w:rsid w:val="00115AEA"/>
    <w:rsid w:val="00115BB8"/>
    <w:rsid w:val="00116A85"/>
    <w:rsid w:val="00116C3A"/>
    <w:rsid w:val="00116DD9"/>
    <w:rsid w:val="00117093"/>
    <w:rsid w:val="001171EE"/>
    <w:rsid w:val="0011741A"/>
    <w:rsid w:val="001175F7"/>
    <w:rsid w:val="00120064"/>
    <w:rsid w:val="001202CB"/>
    <w:rsid w:val="00120D87"/>
    <w:rsid w:val="00121D77"/>
    <w:rsid w:val="00121D7E"/>
    <w:rsid w:val="0012286C"/>
    <w:rsid w:val="00122BD1"/>
    <w:rsid w:val="00122E3A"/>
    <w:rsid w:val="00122E42"/>
    <w:rsid w:val="001231C4"/>
    <w:rsid w:val="00123291"/>
    <w:rsid w:val="00124170"/>
    <w:rsid w:val="00124183"/>
    <w:rsid w:val="001248DC"/>
    <w:rsid w:val="00124C3F"/>
    <w:rsid w:val="00124CA1"/>
    <w:rsid w:val="00124FA7"/>
    <w:rsid w:val="0012538B"/>
    <w:rsid w:val="001254C1"/>
    <w:rsid w:val="001256DB"/>
    <w:rsid w:val="0012623F"/>
    <w:rsid w:val="00126542"/>
    <w:rsid w:val="00126597"/>
    <w:rsid w:val="0012677A"/>
    <w:rsid w:val="001268C7"/>
    <w:rsid w:val="001276E3"/>
    <w:rsid w:val="00127ED5"/>
    <w:rsid w:val="0013049C"/>
    <w:rsid w:val="0013075B"/>
    <w:rsid w:val="00130CCE"/>
    <w:rsid w:val="001316F9"/>
    <w:rsid w:val="001317BD"/>
    <w:rsid w:val="001318BD"/>
    <w:rsid w:val="0013203D"/>
    <w:rsid w:val="00132357"/>
    <w:rsid w:val="00132721"/>
    <w:rsid w:val="001327CC"/>
    <w:rsid w:val="00133A17"/>
    <w:rsid w:val="00133CBE"/>
    <w:rsid w:val="001343CE"/>
    <w:rsid w:val="001344EE"/>
    <w:rsid w:val="00134B8F"/>
    <w:rsid w:val="00135042"/>
    <w:rsid w:val="00135658"/>
    <w:rsid w:val="00135727"/>
    <w:rsid w:val="00135C1E"/>
    <w:rsid w:val="00136983"/>
    <w:rsid w:val="00136A02"/>
    <w:rsid w:val="001375B4"/>
    <w:rsid w:val="00137C89"/>
    <w:rsid w:val="00137F0C"/>
    <w:rsid w:val="00141652"/>
    <w:rsid w:val="001416E0"/>
    <w:rsid w:val="00141ABF"/>
    <w:rsid w:val="00141F5F"/>
    <w:rsid w:val="00142621"/>
    <w:rsid w:val="001426BF"/>
    <w:rsid w:val="001426DD"/>
    <w:rsid w:val="00142C3B"/>
    <w:rsid w:val="001433FE"/>
    <w:rsid w:val="00143DEE"/>
    <w:rsid w:val="001441BA"/>
    <w:rsid w:val="00144E09"/>
    <w:rsid w:val="00144E9E"/>
    <w:rsid w:val="00145A5B"/>
    <w:rsid w:val="00145A5E"/>
    <w:rsid w:val="00145EBC"/>
    <w:rsid w:val="001468C2"/>
    <w:rsid w:val="00146B0E"/>
    <w:rsid w:val="00146F9A"/>
    <w:rsid w:val="00147136"/>
    <w:rsid w:val="00147308"/>
    <w:rsid w:val="00147320"/>
    <w:rsid w:val="00147575"/>
    <w:rsid w:val="00147CF6"/>
    <w:rsid w:val="0015019D"/>
    <w:rsid w:val="00150253"/>
    <w:rsid w:val="0015058F"/>
    <w:rsid w:val="00150A18"/>
    <w:rsid w:val="001519E4"/>
    <w:rsid w:val="00151EEA"/>
    <w:rsid w:val="00151EFB"/>
    <w:rsid w:val="00151FE7"/>
    <w:rsid w:val="0015279D"/>
    <w:rsid w:val="00152A8D"/>
    <w:rsid w:val="00152AD3"/>
    <w:rsid w:val="00153444"/>
    <w:rsid w:val="00153E9A"/>
    <w:rsid w:val="00153EAA"/>
    <w:rsid w:val="00153FEB"/>
    <w:rsid w:val="00154191"/>
    <w:rsid w:val="00154952"/>
    <w:rsid w:val="00154ED5"/>
    <w:rsid w:val="00155040"/>
    <w:rsid w:val="001556C6"/>
    <w:rsid w:val="0015589D"/>
    <w:rsid w:val="00155A2A"/>
    <w:rsid w:val="00155F56"/>
    <w:rsid w:val="001562A9"/>
    <w:rsid w:val="00156820"/>
    <w:rsid w:val="001569F8"/>
    <w:rsid w:val="00156A41"/>
    <w:rsid w:val="00157675"/>
    <w:rsid w:val="001579AE"/>
    <w:rsid w:val="00157F5E"/>
    <w:rsid w:val="001601CC"/>
    <w:rsid w:val="001604D9"/>
    <w:rsid w:val="00160BA3"/>
    <w:rsid w:val="00160F7E"/>
    <w:rsid w:val="00161C6F"/>
    <w:rsid w:val="00161F5E"/>
    <w:rsid w:val="0016246A"/>
    <w:rsid w:val="00162778"/>
    <w:rsid w:val="001629E7"/>
    <w:rsid w:val="00163704"/>
    <w:rsid w:val="00163B83"/>
    <w:rsid w:val="00163BCB"/>
    <w:rsid w:val="00163CD9"/>
    <w:rsid w:val="001645E7"/>
    <w:rsid w:val="00164B81"/>
    <w:rsid w:val="00164D18"/>
    <w:rsid w:val="0016566E"/>
    <w:rsid w:val="001658FB"/>
    <w:rsid w:val="00166481"/>
    <w:rsid w:val="00166D79"/>
    <w:rsid w:val="0016709F"/>
    <w:rsid w:val="00167536"/>
    <w:rsid w:val="0016764F"/>
    <w:rsid w:val="00167779"/>
    <w:rsid w:val="00171017"/>
    <w:rsid w:val="00171682"/>
    <w:rsid w:val="00172348"/>
    <w:rsid w:val="0017371F"/>
    <w:rsid w:val="00173AAA"/>
    <w:rsid w:val="001746CB"/>
    <w:rsid w:val="00174CDB"/>
    <w:rsid w:val="00174F1F"/>
    <w:rsid w:val="001755B0"/>
    <w:rsid w:val="00175789"/>
    <w:rsid w:val="00175C4F"/>
    <w:rsid w:val="00175DD4"/>
    <w:rsid w:val="00175EAB"/>
    <w:rsid w:val="00175F87"/>
    <w:rsid w:val="00176A5F"/>
    <w:rsid w:val="00176D6E"/>
    <w:rsid w:val="00176EDB"/>
    <w:rsid w:val="0017780A"/>
    <w:rsid w:val="00177BB7"/>
    <w:rsid w:val="0018030A"/>
    <w:rsid w:val="00180384"/>
    <w:rsid w:val="00180B90"/>
    <w:rsid w:val="00180BF7"/>
    <w:rsid w:val="00180F04"/>
    <w:rsid w:val="00181225"/>
    <w:rsid w:val="00181402"/>
    <w:rsid w:val="00181725"/>
    <w:rsid w:val="00181B91"/>
    <w:rsid w:val="0018212D"/>
    <w:rsid w:val="0018243E"/>
    <w:rsid w:val="00182811"/>
    <w:rsid w:val="00182A77"/>
    <w:rsid w:val="00182DA3"/>
    <w:rsid w:val="00182ED1"/>
    <w:rsid w:val="00183A42"/>
    <w:rsid w:val="00183D64"/>
    <w:rsid w:val="00183E45"/>
    <w:rsid w:val="001842ED"/>
    <w:rsid w:val="00184895"/>
    <w:rsid w:val="001848D6"/>
    <w:rsid w:val="00184BF9"/>
    <w:rsid w:val="00184C87"/>
    <w:rsid w:val="0018590A"/>
    <w:rsid w:val="001866A7"/>
    <w:rsid w:val="00186742"/>
    <w:rsid w:val="00186EEC"/>
    <w:rsid w:val="00186F3C"/>
    <w:rsid w:val="00187814"/>
    <w:rsid w:val="00187AEF"/>
    <w:rsid w:val="00187C99"/>
    <w:rsid w:val="00190F2D"/>
    <w:rsid w:val="001910D6"/>
    <w:rsid w:val="001916B9"/>
    <w:rsid w:val="001918BB"/>
    <w:rsid w:val="0019218B"/>
    <w:rsid w:val="001922C8"/>
    <w:rsid w:val="0019297D"/>
    <w:rsid w:val="00192BAA"/>
    <w:rsid w:val="001937B5"/>
    <w:rsid w:val="001937CB"/>
    <w:rsid w:val="00193A3D"/>
    <w:rsid w:val="00193AE4"/>
    <w:rsid w:val="0019444D"/>
    <w:rsid w:val="001945C3"/>
    <w:rsid w:val="00194BE1"/>
    <w:rsid w:val="00194BE8"/>
    <w:rsid w:val="00194E00"/>
    <w:rsid w:val="0019650F"/>
    <w:rsid w:val="0019652C"/>
    <w:rsid w:val="001967A4"/>
    <w:rsid w:val="00196D13"/>
    <w:rsid w:val="00197FB2"/>
    <w:rsid w:val="001A0567"/>
    <w:rsid w:val="001A07D1"/>
    <w:rsid w:val="001A1027"/>
    <w:rsid w:val="001A1065"/>
    <w:rsid w:val="001A164B"/>
    <w:rsid w:val="001A1C93"/>
    <w:rsid w:val="001A21A3"/>
    <w:rsid w:val="001A2699"/>
    <w:rsid w:val="001A2929"/>
    <w:rsid w:val="001A2B2C"/>
    <w:rsid w:val="001A2F07"/>
    <w:rsid w:val="001A391B"/>
    <w:rsid w:val="001A3920"/>
    <w:rsid w:val="001A3A51"/>
    <w:rsid w:val="001A3FA0"/>
    <w:rsid w:val="001A447E"/>
    <w:rsid w:val="001A4824"/>
    <w:rsid w:val="001A482C"/>
    <w:rsid w:val="001A4AB7"/>
    <w:rsid w:val="001A4B3A"/>
    <w:rsid w:val="001A5200"/>
    <w:rsid w:val="001A58EA"/>
    <w:rsid w:val="001A5FB6"/>
    <w:rsid w:val="001A601C"/>
    <w:rsid w:val="001A6174"/>
    <w:rsid w:val="001A62F0"/>
    <w:rsid w:val="001A6A35"/>
    <w:rsid w:val="001A6D72"/>
    <w:rsid w:val="001A7309"/>
    <w:rsid w:val="001A730F"/>
    <w:rsid w:val="001A77C1"/>
    <w:rsid w:val="001A79A3"/>
    <w:rsid w:val="001B0329"/>
    <w:rsid w:val="001B06A1"/>
    <w:rsid w:val="001B0B78"/>
    <w:rsid w:val="001B0BE7"/>
    <w:rsid w:val="001B0D53"/>
    <w:rsid w:val="001B1165"/>
    <w:rsid w:val="001B189F"/>
    <w:rsid w:val="001B19A8"/>
    <w:rsid w:val="001B1CD4"/>
    <w:rsid w:val="001B2E9E"/>
    <w:rsid w:val="001B35DD"/>
    <w:rsid w:val="001B35E0"/>
    <w:rsid w:val="001B3A7D"/>
    <w:rsid w:val="001B4272"/>
    <w:rsid w:val="001B461B"/>
    <w:rsid w:val="001B48A7"/>
    <w:rsid w:val="001B4D88"/>
    <w:rsid w:val="001B5272"/>
    <w:rsid w:val="001B571E"/>
    <w:rsid w:val="001B5B1F"/>
    <w:rsid w:val="001B5FEE"/>
    <w:rsid w:val="001B654E"/>
    <w:rsid w:val="001B656F"/>
    <w:rsid w:val="001B65AD"/>
    <w:rsid w:val="001B67E6"/>
    <w:rsid w:val="001B711C"/>
    <w:rsid w:val="001B76BE"/>
    <w:rsid w:val="001B7A5B"/>
    <w:rsid w:val="001B7E65"/>
    <w:rsid w:val="001C0001"/>
    <w:rsid w:val="001C0832"/>
    <w:rsid w:val="001C088A"/>
    <w:rsid w:val="001C0B74"/>
    <w:rsid w:val="001C1977"/>
    <w:rsid w:val="001C19B4"/>
    <w:rsid w:val="001C1C2E"/>
    <w:rsid w:val="001C2037"/>
    <w:rsid w:val="001C2B16"/>
    <w:rsid w:val="001C2F89"/>
    <w:rsid w:val="001C3121"/>
    <w:rsid w:val="001C3B96"/>
    <w:rsid w:val="001C3BBD"/>
    <w:rsid w:val="001C3BC2"/>
    <w:rsid w:val="001C3E7F"/>
    <w:rsid w:val="001C456E"/>
    <w:rsid w:val="001C48EB"/>
    <w:rsid w:val="001C492F"/>
    <w:rsid w:val="001C4A63"/>
    <w:rsid w:val="001C4B29"/>
    <w:rsid w:val="001C4BBF"/>
    <w:rsid w:val="001C555C"/>
    <w:rsid w:val="001C5AA7"/>
    <w:rsid w:val="001C649A"/>
    <w:rsid w:val="001C6713"/>
    <w:rsid w:val="001C6A0E"/>
    <w:rsid w:val="001C6D84"/>
    <w:rsid w:val="001C718B"/>
    <w:rsid w:val="001C7DCC"/>
    <w:rsid w:val="001C7E3B"/>
    <w:rsid w:val="001C7EAA"/>
    <w:rsid w:val="001D0A2A"/>
    <w:rsid w:val="001D0B2E"/>
    <w:rsid w:val="001D0C3D"/>
    <w:rsid w:val="001D0DEA"/>
    <w:rsid w:val="001D10FA"/>
    <w:rsid w:val="001D163A"/>
    <w:rsid w:val="001D1680"/>
    <w:rsid w:val="001D1E4D"/>
    <w:rsid w:val="001D24A7"/>
    <w:rsid w:val="001D24FB"/>
    <w:rsid w:val="001D2A6F"/>
    <w:rsid w:val="001D2D69"/>
    <w:rsid w:val="001D2F47"/>
    <w:rsid w:val="001D2FF8"/>
    <w:rsid w:val="001D3546"/>
    <w:rsid w:val="001D3757"/>
    <w:rsid w:val="001D383E"/>
    <w:rsid w:val="001D3AF5"/>
    <w:rsid w:val="001D3FCE"/>
    <w:rsid w:val="001D4050"/>
    <w:rsid w:val="001D4AAF"/>
    <w:rsid w:val="001D4C2D"/>
    <w:rsid w:val="001D4EE2"/>
    <w:rsid w:val="001D5309"/>
    <w:rsid w:val="001D57E4"/>
    <w:rsid w:val="001D73A8"/>
    <w:rsid w:val="001D794A"/>
    <w:rsid w:val="001D7D0D"/>
    <w:rsid w:val="001D7EAE"/>
    <w:rsid w:val="001E0315"/>
    <w:rsid w:val="001E0A25"/>
    <w:rsid w:val="001E0C8B"/>
    <w:rsid w:val="001E0CB2"/>
    <w:rsid w:val="001E11C5"/>
    <w:rsid w:val="001E1607"/>
    <w:rsid w:val="001E1956"/>
    <w:rsid w:val="001E1D5A"/>
    <w:rsid w:val="001E2EE0"/>
    <w:rsid w:val="001E2F46"/>
    <w:rsid w:val="001E389E"/>
    <w:rsid w:val="001E3F1E"/>
    <w:rsid w:val="001E416B"/>
    <w:rsid w:val="001E43F6"/>
    <w:rsid w:val="001E453B"/>
    <w:rsid w:val="001E45D2"/>
    <w:rsid w:val="001E4748"/>
    <w:rsid w:val="001E4832"/>
    <w:rsid w:val="001E4BE3"/>
    <w:rsid w:val="001E529A"/>
    <w:rsid w:val="001E5452"/>
    <w:rsid w:val="001E58E4"/>
    <w:rsid w:val="001E5A98"/>
    <w:rsid w:val="001E5C3B"/>
    <w:rsid w:val="001E5E41"/>
    <w:rsid w:val="001E5F01"/>
    <w:rsid w:val="001E63C1"/>
    <w:rsid w:val="001E641B"/>
    <w:rsid w:val="001E668D"/>
    <w:rsid w:val="001E68B2"/>
    <w:rsid w:val="001E68F5"/>
    <w:rsid w:val="001E6D4C"/>
    <w:rsid w:val="001E6D9E"/>
    <w:rsid w:val="001E76D5"/>
    <w:rsid w:val="001E79D0"/>
    <w:rsid w:val="001E7AE0"/>
    <w:rsid w:val="001E7BEB"/>
    <w:rsid w:val="001E7D4B"/>
    <w:rsid w:val="001E7FFC"/>
    <w:rsid w:val="001F0066"/>
    <w:rsid w:val="001F03CE"/>
    <w:rsid w:val="001F0BB9"/>
    <w:rsid w:val="001F0BC1"/>
    <w:rsid w:val="001F1A92"/>
    <w:rsid w:val="001F1F57"/>
    <w:rsid w:val="001F217D"/>
    <w:rsid w:val="001F24A6"/>
    <w:rsid w:val="001F264B"/>
    <w:rsid w:val="001F2AF2"/>
    <w:rsid w:val="001F2D02"/>
    <w:rsid w:val="001F3453"/>
    <w:rsid w:val="001F396F"/>
    <w:rsid w:val="001F3DD9"/>
    <w:rsid w:val="001F41D0"/>
    <w:rsid w:val="001F4BFD"/>
    <w:rsid w:val="001F4F92"/>
    <w:rsid w:val="001F559B"/>
    <w:rsid w:val="001F5A2A"/>
    <w:rsid w:val="001F5B4F"/>
    <w:rsid w:val="001F6076"/>
    <w:rsid w:val="001F6159"/>
    <w:rsid w:val="001F62E2"/>
    <w:rsid w:val="001F6607"/>
    <w:rsid w:val="001F68CD"/>
    <w:rsid w:val="001F6995"/>
    <w:rsid w:val="001F711E"/>
    <w:rsid w:val="001F740C"/>
    <w:rsid w:val="001F78DB"/>
    <w:rsid w:val="001F7AB7"/>
    <w:rsid w:val="0020003C"/>
    <w:rsid w:val="0020035A"/>
    <w:rsid w:val="002007B3"/>
    <w:rsid w:val="002008C3"/>
    <w:rsid w:val="002010CA"/>
    <w:rsid w:val="00201480"/>
    <w:rsid w:val="002014C2"/>
    <w:rsid w:val="00201C4F"/>
    <w:rsid w:val="00201CD3"/>
    <w:rsid w:val="00201EAF"/>
    <w:rsid w:val="00202AEC"/>
    <w:rsid w:val="00202D4D"/>
    <w:rsid w:val="00202E1D"/>
    <w:rsid w:val="00202F91"/>
    <w:rsid w:val="00203788"/>
    <w:rsid w:val="002038B2"/>
    <w:rsid w:val="00203DF0"/>
    <w:rsid w:val="00203F77"/>
    <w:rsid w:val="00204070"/>
    <w:rsid w:val="0020473E"/>
    <w:rsid w:val="0020520F"/>
    <w:rsid w:val="002053F1"/>
    <w:rsid w:val="002055DA"/>
    <w:rsid w:val="002059FD"/>
    <w:rsid w:val="00205C1D"/>
    <w:rsid w:val="00205DE4"/>
    <w:rsid w:val="0020630C"/>
    <w:rsid w:val="002065FA"/>
    <w:rsid w:val="00206C3F"/>
    <w:rsid w:val="00206F66"/>
    <w:rsid w:val="0020705B"/>
    <w:rsid w:val="002072B8"/>
    <w:rsid w:val="002073BC"/>
    <w:rsid w:val="0020792B"/>
    <w:rsid w:val="0020792D"/>
    <w:rsid w:val="00207A52"/>
    <w:rsid w:val="00207AE7"/>
    <w:rsid w:val="00207EEB"/>
    <w:rsid w:val="0021020D"/>
    <w:rsid w:val="0021095E"/>
    <w:rsid w:val="00210B3D"/>
    <w:rsid w:val="00210EA9"/>
    <w:rsid w:val="00211287"/>
    <w:rsid w:val="002112A1"/>
    <w:rsid w:val="00211708"/>
    <w:rsid w:val="00211909"/>
    <w:rsid w:val="00211A82"/>
    <w:rsid w:val="00211E0B"/>
    <w:rsid w:val="00211E49"/>
    <w:rsid w:val="00212478"/>
    <w:rsid w:val="0021388F"/>
    <w:rsid w:val="002141AD"/>
    <w:rsid w:val="0021422E"/>
    <w:rsid w:val="002142FC"/>
    <w:rsid w:val="00214446"/>
    <w:rsid w:val="002145B6"/>
    <w:rsid w:val="00215612"/>
    <w:rsid w:val="00215974"/>
    <w:rsid w:val="00215A87"/>
    <w:rsid w:val="00216061"/>
    <w:rsid w:val="00216E00"/>
    <w:rsid w:val="002174F4"/>
    <w:rsid w:val="002202D3"/>
    <w:rsid w:val="0022055C"/>
    <w:rsid w:val="00220657"/>
    <w:rsid w:val="002208E5"/>
    <w:rsid w:val="00220FB8"/>
    <w:rsid w:val="0022156F"/>
    <w:rsid w:val="00221698"/>
    <w:rsid w:val="002217C9"/>
    <w:rsid w:val="002218B8"/>
    <w:rsid w:val="00221B06"/>
    <w:rsid w:val="00221E5F"/>
    <w:rsid w:val="00221ED8"/>
    <w:rsid w:val="002221B4"/>
    <w:rsid w:val="002231D5"/>
    <w:rsid w:val="002239F2"/>
    <w:rsid w:val="00223C06"/>
    <w:rsid w:val="00223E25"/>
    <w:rsid w:val="00223F0D"/>
    <w:rsid w:val="00224178"/>
    <w:rsid w:val="00224342"/>
    <w:rsid w:val="00224417"/>
    <w:rsid w:val="0022512B"/>
    <w:rsid w:val="002251D6"/>
    <w:rsid w:val="002255A2"/>
    <w:rsid w:val="002256BA"/>
    <w:rsid w:val="00225771"/>
    <w:rsid w:val="002257CC"/>
    <w:rsid w:val="00225E1A"/>
    <w:rsid w:val="002263EC"/>
    <w:rsid w:val="00226BA6"/>
    <w:rsid w:val="00227273"/>
    <w:rsid w:val="002272FC"/>
    <w:rsid w:val="00227540"/>
    <w:rsid w:val="00227A36"/>
    <w:rsid w:val="00230275"/>
    <w:rsid w:val="00230568"/>
    <w:rsid w:val="00230AA0"/>
    <w:rsid w:val="00230C75"/>
    <w:rsid w:val="00230DA7"/>
    <w:rsid w:val="002310EC"/>
    <w:rsid w:val="00231A23"/>
    <w:rsid w:val="00231E37"/>
    <w:rsid w:val="00232029"/>
    <w:rsid w:val="00232234"/>
    <w:rsid w:val="002322B2"/>
    <w:rsid w:val="002324AA"/>
    <w:rsid w:val="0023286D"/>
    <w:rsid w:val="00232A76"/>
    <w:rsid w:val="00232D4C"/>
    <w:rsid w:val="00232F32"/>
    <w:rsid w:val="00233035"/>
    <w:rsid w:val="00233606"/>
    <w:rsid w:val="00233B65"/>
    <w:rsid w:val="00233F17"/>
    <w:rsid w:val="00234399"/>
    <w:rsid w:val="00235180"/>
    <w:rsid w:val="002352D7"/>
    <w:rsid w:val="00235911"/>
    <w:rsid w:val="0023597E"/>
    <w:rsid w:val="0023599C"/>
    <w:rsid w:val="00235AAB"/>
    <w:rsid w:val="00235BAE"/>
    <w:rsid w:val="00236288"/>
    <w:rsid w:val="00236493"/>
    <w:rsid w:val="00236760"/>
    <w:rsid w:val="0023690B"/>
    <w:rsid w:val="00236DA8"/>
    <w:rsid w:val="00237D37"/>
    <w:rsid w:val="00240237"/>
    <w:rsid w:val="0024087F"/>
    <w:rsid w:val="0024097D"/>
    <w:rsid w:val="00241495"/>
    <w:rsid w:val="0024152D"/>
    <w:rsid w:val="00241B52"/>
    <w:rsid w:val="00241BCB"/>
    <w:rsid w:val="00241C95"/>
    <w:rsid w:val="0024277A"/>
    <w:rsid w:val="0024291D"/>
    <w:rsid w:val="00243613"/>
    <w:rsid w:val="0024378E"/>
    <w:rsid w:val="00243906"/>
    <w:rsid w:val="00243A2D"/>
    <w:rsid w:val="00243D16"/>
    <w:rsid w:val="00244B9B"/>
    <w:rsid w:val="00245288"/>
    <w:rsid w:val="002454E6"/>
    <w:rsid w:val="00245850"/>
    <w:rsid w:val="002468A1"/>
    <w:rsid w:val="00246FCB"/>
    <w:rsid w:val="00247040"/>
    <w:rsid w:val="00247441"/>
    <w:rsid w:val="0024767F"/>
    <w:rsid w:val="002477D6"/>
    <w:rsid w:val="00247804"/>
    <w:rsid w:val="00247A0D"/>
    <w:rsid w:val="00247A8C"/>
    <w:rsid w:val="00247AFD"/>
    <w:rsid w:val="00247DCA"/>
    <w:rsid w:val="00247EF9"/>
    <w:rsid w:val="00247F88"/>
    <w:rsid w:val="002500C2"/>
    <w:rsid w:val="0025010E"/>
    <w:rsid w:val="00250115"/>
    <w:rsid w:val="00250385"/>
    <w:rsid w:val="002513FC"/>
    <w:rsid w:val="0025166D"/>
    <w:rsid w:val="002516C5"/>
    <w:rsid w:val="00252262"/>
    <w:rsid w:val="00252999"/>
    <w:rsid w:val="00252CA2"/>
    <w:rsid w:val="00252E43"/>
    <w:rsid w:val="00253B9C"/>
    <w:rsid w:val="00253D78"/>
    <w:rsid w:val="0025480F"/>
    <w:rsid w:val="00254A73"/>
    <w:rsid w:val="002551B9"/>
    <w:rsid w:val="002553C7"/>
    <w:rsid w:val="00255EB2"/>
    <w:rsid w:val="002560D8"/>
    <w:rsid w:val="002565D8"/>
    <w:rsid w:val="00256992"/>
    <w:rsid w:val="00257347"/>
    <w:rsid w:val="002576B1"/>
    <w:rsid w:val="00260562"/>
    <w:rsid w:val="00260714"/>
    <w:rsid w:val="00261144"/>
    <w:rsid w:val="002617CD"/>
    <w:rsid w:val="00261A10"/>
    <w:rsid w:val="00261C03"/>
    <w:rsid w:val="00261E6F"/>
    <w:rsid w:val="00261EB6"/>
    <w:rsid w:val="00261F08"/>
    <w:rsid w:val="00263233"/>
    <w:rsid w:val="002633BE"/>
    <w:rsid w:val="00263AF9"/>
    <w:rsid w:val="00263E20"/>
    <w:rsid w:val="00263FC0"/>
    <w:rsid w:val="002640B7"/>
    <w:rsid w:val="00264B64"/>
    <w:rsid w:val="0026524B"/>
    <w:rsid w:val="002653B6"/>
    <w:rsid w:val="0026553D"/>
    <w:rsid w:val="00266685"/>
    <w:rsid w:val="0026684F"/>
    <w:rsid w:val="002668D3"/>
    <w:rsid w:val="0026773F"/>
    <w:rsid w:val="00267A31"/>
    <w:rsid w:val="00267DF1"/>
    <w:rsid w:val="0027012B"/>
    <w:rsid w:val="002701E8"/>
    <w:rsid w:val="00270555"/>
    <w:rsid w:val="002705EA"/>
    <w:rsid w:val="002706A7"/>
    <w:rsid w:val="00270994"/>
    <w:rsid w:val="00270CEC"/>
    <w:rsid w:val="00270EFB"/>
    <w:rsid w:val="0027157E"/>
    <w:rsid w:val="00271621"/>
    <w:rsid w:val="0027260F"/>
    <w:rsid w:val="00273C0E"/>
    <w:rsid w:val="002748AE"/>
    <w:rsid w:val="00274F84"/>
    <w:rsid w:val="00275193"/>
    <w:rsid w:val="00276907"/>
    <w:rsid w:val="00276D39"/>
    <w:rsid w:val="00276D86"/>
    <w:rsid w:val="00276FF1"/>
    <w:rsid w:val="002771EA"/>
    <w:rsid w:val="00277EF8"/>
    <w:rsid w:val="0028022D"/>
    <w:rsid w:val="002806CD"/>
    <w:rsid w:val="00280738"/>
    <w:rsid w:val="002807DA"/>
    <w:rsid w:val="00280913"/>
    <w:rsid w:val="002809B1"/>
    <w:rsid w:val="00280CE6"/>
    <w:rsid w:val="00280F99"/>
    <w:rsid w:val="002811B0"/>
    <w:rsid w:val="00281339"/>
    <w:rsid w:val="00281392"/>
    <w:rsid w:val="00281B56"/>
    <w:rsid w:val="00281BAF"/>
    <w:rsid w:val="0028239D"/>
    <w:rsid w:val="00282745"/>
    <w:rsid w:val="00282A5D"/>
    <w:rsid w:val="00282CC9"/>
    <w:rsid w:val="00282DD5"/>
    <w:rsid w:val="00282F47"/>
    <w:rsid w:val="00282F61"/>
    <w:rsid w:val="002831E1"/>
    <w:rsid w:val="0028335E"/>
    <w:rsid w:val="00283E98"/>
    <w:rsid w:val="00283F9D"/>
    <w:rsid w:val="00283FE5"/>
    <w:rsid w:val="0028452B"/>
    <w:rsid w:val="00284952"/>
    <w:rsid w:val="00284AEA"/>
    <w:rsid w:val="0028508F"/>
    <w:rsid w:val="002856DF"/>
    <w:rsid w:val="00285731"/>
    <w:rsid w:val="00285B82"/>
    <w:rsid w:val="00285C02"/>
    <w:rsid w:val="00286527"/>
    <w:rsid w:val="0028660A"/>
    <w:rsid w:val="00286921"/>
    <w:rsid w:val="00286962"/>
    <w:rsid w:val="00286992"/>
    <w:rsid w:val="00286A25"/>
    <w:rsid w:val="00286B8D"/>
    <w:rsid w:val="00286E63"/>
    <w:rsid w:val="00287651"/>
    <w:rsid w:val="002879B2"/>
    <w:rsid w:val="00287DDE"/>
    <w:rsid w:val="00290260"/>
    <w:rsid w:val="002902ED"/>
    <w:rsid w:val="002902F1"/>
    <w:rsid w:val="0029075C"/>
    <w:rsid w:val="00290CBF"/>
    <w:rsid w:val="00291417"/>
    <w:rsid w:val="002914B3"/>
    <w:rsid w:val="002922C5"/>
    <w:rsid w:val="00292355"/>
    <w:rsid w:val="0029287A"/>
    <w:rsid w:val="0029328F"/>
    <w:rsid w:val="0029370C"/>
    <w:rsid w:val="002940F9"/>
    <w:rsid w:val="0029431C"/>
    <w:rsid w:val="00294BD3"/>
    <w:rsid w:val="00294E64"/>
    <w:rsid w:val="0029520A"/>
    <w:rsid w:val="00295A93"/>
    <w:rsid w:val="00295B5D"/>
    <w:rsid w:val="00295EFC"/>
    <w:rsid w:val="002961B1"/>
    <w:rsid w:val="0029650F"/>
    <w:rsid w:val="00296885"/>
    <w:rsid w:val="00296AA5"/>
    <w:rsid w:val="002975F1"/>
    <w:rsid w:val="00297661"/>
    <w:rsid w:val="0029772B"/>
    <w:rsid w:val="00297A1A"/>
    <w:rsid w:val="00297BF1"/>
    <w:rsid w:val="00297D3D"/>
    <w:rsid w:val="002A0082"/>
    <w:rsid w:val="002A0552"/>
    <w:rsid w:val="002A091A"/>
    <w:rsid w:val="002A117C"/>
    <w:rsid w:val="002A130C"/>
    <w:rsid w:val="002A15B1"/>
    <w:rsid w:val="002A1679"/>
    <w:rsid w:val="002A17EA"/>
    <w:rsid w:val="002A18C3"/>
    <w:rsid w:val="002A1F17"/>
    <w:rsid w:val="002A20E9"/>
    <w:rsid w:val="002A2279"/>
    <w:rsid w:val="002A28B1"/>
    <w:rsid w:val="002A2937"/>
    <w:rsid w:val="002A2D90"/>
    <w:rsid w:val="002A36C5"/>
    <w:rsid w:val="002A3844"/>
    <w:rsid w:val="002A39A3"/>
    <w:rsid w:val="002A3A62"/>
    <w:rsid w:val="002A3B98"/>
    <w:rsid w:val="002A4667"/>
    <w:rsid w:val="002A46D6"/>
    <w:rsid w:val="002A4B22"/>
    <w:rsid w:val="002A4CFB"/>
    <w:rsid w:val="002A5276"/>
    <w:rsid w:val="002A6063"/>
    <w:rsid w:val="002A60BD"/>
    <w:rsid w:val="002A6437"/>
    <w:rsid w:val="002A6752"/>
    <w:rsid w:val="002A6C4B"/>
    <w:rsid w:val="002A7059"/>
    <w:rsid w:val="002A706D"/>
    <w:rsid w:val="002A77B5"/>
    <w:rsid w:val="002A7B0C"/>
    <w:rsid w:val="002A7E01"/>
    <w:rsid w:val="002B0534"/>
    <w:rsid w:val="002B0775"/>
    <w:rsid w:val="002B0C1D"/>
    <w:rsid w:val="002B1337"/>
    <w:rsid w:val="002B17C2"/>
    <w:rsid w:val="002B18C8"/>
    <w:rsid w:val="002B1902"/>
    <w:rsid w:val="002B1CC8"/>
    <w:rsid w:val="002B25DC"/>
    <w:rsid w:val="002B2D52"/>
    <w:rsid w:val="002B33D1"/>
    <w:rsid w:val="002B33E9"/>
    <w:rsid w:val="002B375A"/>
    <w:rsid w:val="002B3A53"/>
    <w:rsid w:val="002B3EF5"/>
    <w:rsid w:val="002B3F57"/>
    <w:rsid w:val="002B4541"/>
    <w:rsid w:val="002B48A1"/>
    <w:rsid w:val="002B4ACE"/>
    <w:rsid w:val="002B4BE1"/>
    <w:rsid w:val="002B4FE0"/>
    <w:rsid w:val="002B5103"/>
    <w:rsid w:val="002B520E"/>
    <w:rsid w:val="002B593E"/>
    <w:rsid w:val="002B59BC"/>
    <w:rsid w:val="002B5BBD"/>
    <w:rsid w:val="002B5BE9"/>
    <w:rsid w:val="002B5D39"/>
    <w:rsid w:val="002B5E89"/>
    <w:rsid w:val="002B6311"/>
    <w:rsid w:val="002B6C82"/>
    <w:rsid w:val="002B6C93"/>
    <w:rsid w:val="002B70D5"/>
    <w:rsid w:val="002B7284"/>
    <w:rsid w:val="002B738A"/>
    <w:rsid w:val="002B7784"/>
    <w:rsid w:val="002B7978"/>
    <w:rsid w:val="002B79CD"/>
    <w:rsid w:val="002B7E11"/>
    <w:rsid w:val="002B7F11"/>
    <w:rsid w:val="002C0371"/>
    <w:rsid w:val="002C06ED"/>
    <w:rsid w:val="002C0C07"/>
    <w:rsid w:val="002C113A"/>
    <w:rsid w:val="002C1255"/>
    <w:rsid w:val="002C1566"/>
    <w:rsid w:val="002C1BA0"/>
    <w:rsid w:val="002C1F2D"/>
    <w:rsid w:val="002C1FF8"/>
    <w:rsid w:val="002C2062"/>
    <w:rsid w:val="002C3AA9"/>
    <w:rsid w:val="002C3C7D"/>
    <w:rsid w:val="002C4053"/>
    <w:rsid w:val="002C44A2"/>
    <w:rsid w:val="002C44C1"/>
    <w:rsid w:val="002C4512"/>
    <w:rsid w:val="002C45B7"/>
    <w:rsid w:val="002C4FDC"/>
    <w:rsid w:val="002C520F"/>
    <w:rsid w:val="002C55C8"/>
    <w:rsid w:val="002C561D"/>
    <w:rsid w:val="002C58BB"/>
    <w:rsid w:val="002C5952"/>
    <w:rsid w:val="002C5963"/>
    <w:rsid w:val="002C5BF8"/>
    <w:rsid w:val="002C5DFF"/>
    <w:rsid w:val="002C5FD1"/>
    <w:rsid w:val="002C610A"/>
    <w:rsid w:val="002C616D"/>
    <w:rsid w:val="002C6339"/>
    <w:rsid w:val="002C6539"/>
    <w:rsid w:val="002C66A8"/>
    <w:rsid w:val="002C6A7C"/>
    <w:rsid w:val="002C6DBA"/>
    <w:rsid w:val="002C6F17"/>
    <w:rsid w:val="002C7334"/>
    <w:rsid w:val="002C7709"/>
    <w:rsid w:val="002C7776"/>
    <w:rsid w:val="002C7822"/>
    <w:rsid w:val="002C78CF"/>
    <w:rsid w:val="002D0700"/>
    <w:rsid w:val="002D0B15"/>
    <w:rsid w:val="002D0C97"/>
    <w:rsid w:val="002D0F71"/>
    <w:rsid w:val="002D139F"/>
    <w:rsid w:val="002D24CD"/>
    <w:rsid w:val="002D2A4C"/>
    <w:rsid w:val="002D2E09"/>
    <w:rsid w:val="002D30C7"/>
    <w:rsid w:val="002D3495"/>
    <w:rsid w:val="002D42BE"/>
    <w:rsid w:val="002D454E"/>
    <w:rsid w:val="002D48CE"/>
    <w:rsid w:val="002D5086"/>
    <w:rsid w:val="002D512A"/>
    <w:rsid w:val="002D6C5A"/>
    <w:rsid w:val="002D707E"/>
    <w:rsid w:val="002D7DF3"/>
    <w:rsid w:val="002E050E"/>
    <w:rsid w:val="002E0571"/>
    <w:rsid w:val="002E090C"/>
    <w:rsid w:val="002E0D16"/>
    <w:rsid w:val="002E0E60"/>
    <w:rsid w:val="002E0FF5"/>
    <w:rsid w:val="002E1023"/>
    <w:rsid w:val="002E16B9"/>
    <w:rsid w:val="002E1A7E"/>
    <w:rsid w:val="002E1B90"/>
    <w:rsid w:val="002E1E39"/>
    <w:rsid w:val="002E291B"/>
    <w:rsid w:val="002E2B4E"/>
    <w:rsid w:val="002E2CFA"/>
    <w:rsid w:val="002E324C"/>
    <w:rsid w:val="002E38EF"/>
    <w:rsid w:val="002E391D"/>
    <w:rsid w:val="002E391F"/>
    <w:rsid w:val="002E41BB"/>
    <w:rsid w:val="002E46CB"/>
    <w:rsid w:val="002E4A55"/>
    <w:rsid w:val="002E4D13"/>
    <w:rsid w:val="002E4D79"/>
    <w:rsid w:val="002E51FE"/>
    <w:rsid w:val="002E54F7"/>
    <w:rsid w:val="002E55E4"/>
    <w:rsid w:val="002E5A4A"/>
    <w:rsid w:val="002E5FCA"/>
    <w:rsid w:val="002E6687"/>
    <w:rsid w:val="002E71F6"/>
    <w:rsid w:val="002E74EE"/>
    <w:rsid w:val="002E75BF"/>
    <w:rsid w:val="002E78A7"/>
    <w:rsid w:val="002E7E66"/>
    <w:rsid w:val="002F02D9"/>
    <w:rsid w:val="002F03D1"/>
    <w:rsid w:val="002F05A9"/>
    <w:rsid w:val="002F07BB"/>
    <w:rsid w:val="002F13D4"/>
    <w:rsid w:val="002F1768"/>
    <w:rsid w:val="002F196C"/>
    <w:rsid w:val="002F19A3"/>
    <w:rsid w:val="002F222D"/>
    <w:rsid w:val="002F271F"/>
    <w:rsid w:val="002F2E23"/>
    <w:rsid w:val="002F375E"/>
    <w:rsid w:val="002F38D0"/>
    <w:rsid w:val="002F5762"/>
    <w:rsid w:val="002F584E"/>
    <w:rsid w:val="002F5F5E"/>
    <w:rsid w:val="002F62E6"/>
    <w:rsid w:val="002F660E"/>
    <w:rsid w:val="002F6F90"/>
    <w:rsid w:val="002F71C4"/>
    <w:rsid w:val="002F7BA5"/>
    <w:rsid w:val="003008F2"/>
    <w:rsid w:val="00300DE8"/>
    <w:rsid w:val="0030121E"/>
    <w:rsid w:val="00301691"/>
    <w:rsid w:val="003026D8"/>
    <w:rsid w:val="00302EA8"/>
    <w:rsid w:val="003033EF"/>
    <w:rsid w:val="003036BB"/>
    <w:rsid w:val="00303714"/>
    <w:rsid w:val="0030386D"/>
    <w:rsid w:val="00303AD6"/>
    <w:rsid w:val="00303BD9"/>
    <w:rsid w:val="00303DFA"/>
    <w:rsid w:val="0030463F"/>
    <w:rsid w:val="00304A16"/>
    <w:rsid w:val="003051D0"/>
    <w:rsid w:val="003054DE"/>
    <w:rsid w:val="00305A14"/>
    <w:rsid w:val="00305D8F"/>
    <w:rsid w:val="003060FB"/>
    <w:rsid w:val="003061F0"/>
    <w:rsid w:val="003065EB"/>
    <w:rsid w:val="003065F1"/>
    <w:rsid w:val="0030680B"/>
    <w:rsid w:val="00306A28"/>
    <w:rsid w:val="00306CED"/>
    <w:rsid w:val="00306DB7"/>
    <w:rsid w:val="00307089"/>
    <w:rsid w:val="003074CF"/>
    <w:rsid w:val="003075BF"/>
    <w:rsid w:val="00307A16"/>
    <w:rsid w:val="00310273"/>
    <w:rsid w:val="00310275"/>
    <w:rsid w:val="003125AE"/>
    <w:rsid w:val="003135C0"/>
    <w:rsid w:val="00313968"/>
    <w:rsid w:val="0031446D"/>
    <w:rsid w:val="00314558"/>
    <w:rsid w:val="0031459F"/>
    <w:rsid w:val="00314A7D"/>
    <w:rsid w:val="0031550E"/>
    <w:rsid w:val="0031551F"/>
    <w:rsid w:val="00315B0B"/>
    <w:rsid w:val="00315D26"/>
    <w:rsid w:val="00315F85"/>
    <w:rsid w:val="00315FB7"/>
    <w:rsid w:val="0031628A"/>
    <w:rsid w:val="003165D4"/>
    <w:rsid w:val="00316BCB"/>
    <w:rsid w:val="00316FBB"/>
    <w:rsid w:val="00317CD3"/>
    <w:rsid w:val="003211FC"/>
    <w:rsid w:val="00321595"/>
    <w:rsid w:val="003216DC"/>
    <w:rsid w:val="00321D92"/>
    <w:rsid w:val="00323475"/>
    <w:rsid w:val="00323ED7"/>
    <w:rsid w:val="00324328"/>
    <w:rsid w:val="00324C36"/>
    <w:rsid w:val="00325142"/>
    <w:rsid w:val="003252EC"/>
    <w:rsid w:val="00325610"/>
    <w:rsid w:val="00325D2E"/>
    <w:rsid w:val="0032611A"/>
    <w:rsid w:val="00326274"/>
    <w:rsid w:val="00326719"/>
    <w:rsid w:val="00326D70"/>
    <w:rsid w:val="00326FC7"/>
    <w:rsid w:val="003271E7"/>
    <w:rsid w:val="003271F3"/>
    <w:rsid w:val="00327265"/>
    <w:rsid w:val="003275F1"/>
    <w:rsid w:val="0032762F"/>
    <w:rsid w:val="00327706"/>
    <w:rsid w:val="00330263"/>
    <w:rsid w:val="003309DF"/>
    <w:rsid w:val="003311E2"/>
    <w:rsid w:val="003319DD"/>
    <w:rsid w:val="003319F8"/>
    <w:rsid w:val="0033247B"/>
    <w:rsid w:val="00333E78"/>
    <w:rsid w:val="00333F86"/>
    <w:rsid w:val="00334041"/>
    <w:rsid w:val="00334289"/>
    <w:rsid w:val="0033466E"/>
    <w:rsid w:val="00334982"/>
    <w:rsid w:val="00334C15"/>
    <w:rsid w:val="00334D28"/>
    <w:rsid w:val="0033503E"/>
    <w:rsid w:val="00335214"/>
    <w:rsid w:val="003356AC"/>
    <w:rsid w:val="00335A64"/>
    <w:rsid w:val="003366B9"/>
    <w:rsid w:val="003367E9"/>
    <w:rsid w:val="00336C97"/>
    <w:rsid w:val="00336FCE"/>
    <w:rsid w:val="0033740F"/>
    <w:rsid w:val="00337885"/>
    <w:rsid w:val="00337CCB"/>
    <w:rsid w:val="0034002E"/>
    <w:rsid w:val="003403DF"/>
    <w:rsid w:val="003408F0"/>
    <w:rsid w:val="00340EB1"/>
    <w:rsid w:val="003411FB"/>
    <w:rsid w:val="0034133D"/>
    <w:rsid w:val="003418FD"/>
    <w:rsid w:val="0034190C"/>
    <w:rsid w:val="003419A6"/>
    <w:rsid w:val="00341D71"/>
    <w:rsid w:val="00341F93"/>
    <w:rsid w:val="003422CC"/>
    <w:rsid w:val="00342586"/>
    <w:rsid w:val="003426E4"/>
    <w:rsid w:val="003432D5"/>
    <w:rsid w:val="00343AB1"/>
    <w:rsid w:val="00343EC8"/>
    <w:rsid w:val="003444C4"/>
    <w:rsid w:val="00344662"/>
    <w:rsid w:val="00344C6D"/>
    <w:rsid w:val="0034549B"/>
    <w:rsid w:val="00346ADF"/>
    <w:rsid w:val="00346E29"/>
    <w:rsid w:val="00347144"/>
    <w:rsid w:val="00347457"/>
    <w:rsid w:val="00347A93"/>
    <w:rsid w:val="00347EDF"/>
    <w:rsid w:val="003502B3"/>
    <w:rsid w:val="00350785"/>
    <w:rsid w:val="00350CE5"/>
    <w:rsid w:val="00351643"/>
    <w:rsid w:val="0035229C"/>
    <w:rsid w:val="00352670"/>
    <w:rsid w:val="003539A6"/>
    <w:rsid w:val="0035424C"/>
    <w:rsid w:val="00354510"/>
    <w:rsid w:val="003546DF"/>
    <w:rsid w:val="00354B16"/>
    <w:rsid w:val="0035533B"/>
    <w:rsid w:val="00355950"/>
    <w:rsid w:val="003559E9"/>
    <w:rsid w:val="00355AB0"/>
    <w:rsid w:val="00355AE6"/>
    <w:rsid w:val="003561BD"/>
    <w:rsid w:val="003562B6"/>
    <w:rsid w:val="0035677C"/>
    <w:rsid w:val="00356B7D"/>
    <w:rsid w:val="00356C66"/>
    <w:rsid w:val="003570EC"/>
    <w:rsid w:val="00357503"/>
    <w:rsid w:val="00357F64"/>
    <w:rsid w:val="00360D8E"/>
    <w:rsid w:val="0036124F"/>
    <w:rsid w:val="00361537"/>
    <w:rsid w:val="003615F5"/>
    <w:rsid w:val="00361C7A"/>
    <w:rsid w:val="00361F4B"/>
    <w:rsid w:val="00362548"/>
    <w:rsid w:val="00362930"/>
    <w:rsid w:val="003634E8"/>
    <w:rsid w:val="003637BB"/>
    <w:rsid w:val="00363867"/>
    <w:rsid w:val="003640D1"/>
    <w:rsid w:val="00364606"/>
    <w:rsid w:val="00364649"/>
    <w:rsid w:val="00364878"/>
    <w:rsid w:val="00364A5C"/>
    <w:rsid w:val="0036510E"/>
    <w:rsid w:val="00365115"/>
    <w:rsid w:val="003652CE"/>
    <w:rsid w:val="00365903"/>
    <w:rsid w:val="00366026"/>
    <w:rsid w:val="0036604E"/>
    <w:rsid w:val="00366204"/>
    <w:rsid w:val="00366365"/>
    <w:rsid w:val="00366478"/>
    <w:rsid w:val="003664A1"/>
    <w:rsid w:val="00366983"/>
    <w:rsid w:val="00366B32"/>
    <w:rsid w:val="00366BC2"/>
    <w:rsid w:val="00366F60"/>
    <w:rsid w:val="0036729E"/>
    <w:rsid w:val="003673A1"/>
    <w:rsid w:val="00367CD1"/>
    <w:rsid w:val="00367E2A"/>
    <w:rsid w:val="00367FAD"/>
    <w:rsid w:val="003701EE"/>
    <w:rsid w:val="00370481"/>
    <w:rsid w:val="00370637"/>
    <w:rsid w:val="00370C46"/>
    <w:rsid w:val="00370E6F"/>
    <w:rsid w:val="00370FBB"/>
    <w:rsid w:val="00371092"/>
    <w:rsid w:val="0037115E"/>
    <w:rsid w:val="003715A0"/>
    <w:rsid w:val="00371BF4"/>
    <w:rsid w:val="00371D47"/>
    <w:rsid w:val="00371E79"/>
    <w:rsid w:val="00372237"/>
    <w:rsid w:val="0037290B"/>
    <w:rsid w:val="00372E24"/>
    <w:rsid w:val="00373044"/>
    <w:rsid w:val="00373721"/>
    <w:rsid w:val="003738A8"/>
    <w:rsid w:val="00373F7B"/>
    <w:rsid w:val="0037405E"/>
    <w:rsid w:val="00374646"/>
    <w:rsid w:val="00374846"/>
    <w:rsid w:val="00374997"/>
    <w:rsid w:val="00375032"/>
    <w:rsid w:val="003759B6"/>
    <w:rsid w:val="00376FAE"/>
    <w:rsid w:val="0037709C"/>
    <w:rsid w:val="00377130"/>
    <w:rsid w:val="0037750C"/>
    <w:rsid w:val="00377C5F"/>
    <w:rsid w:val="00380502"/>
    <w:rsid w:val="0038058B"/>
    <w:rsid w:val="00380685"/>
    <w:rsid w:val="003808DA"/>
    <w:rsid w:val="00380A10"/>
    <w:rsid w:val="00380FFF"/>
    <w:rsid w:val="0038145B"/>
    <w:rsid w:val="00381D52"/>
    <w:rsid w:val="00381DAD"/>
    <w:rsid w:val="00382197"/>
    <w:rsid w:val="003823BD"/>
    <w:rsid w:val="00382446"/>
    <w:rsid w:val="00382976"/>
    <w:rsid w:val="00382BBC"/>
    <w:rsid w:val="00382FBD"/>
    <w:rsid w:val="0038314C"/>
    <w:rsid w:val="00383540"/>
    <w:rsid w:val="0038395C"/>
    <w:rsid w:val="00383F1A"/>
    <w:rsid w:val="003841A5"/>
    <w:rsid w:val="0038423C"/>
    <w:rsid w:val="0038445D"/>
    <w:rsid w:val="00385396"/>
    <w:rsid w:val="00385C17"/>
    <w:rsid w:val="003861AF"/>
    <w:rsid w:val="003862F0"/>
    <w:rsid w:val="003866E0"/>
    <w:rsid w:val="00387118"/>
    <w:rsid w:val="00387263"/>
    <w:rsid w:val="00387290"/>
    <w:rsid w:val="003873A4"/>
    <w:rsid w:val="00387654"/>
    <w:rsid w:val="003879E9"/>
    <w:rsid w:val="00387A0E"/>
    <w:rsid w:val="00387D65"/>
    <w:rsid w:val="00390044"/>
    <w:rsid w:val="00390133"/>
    <w:rsid w:val="0039056F"/>
    <w:rsid w:val="0039075E"/>
    <w:rsid w:val="0039087D"/>
    <w:rsid w:val="00391B34"/>
    <w:rsid w:val="00391C54"/>
    <w:rsid w:val="00391DEF"/>
    <w:rsid w:val="003921D0"/>
    <w:rsid w:val="00392303"/>
    <w:rsid w:val="00392434"/>
    <w:rsid w:val="003929D8"/>
    <w:rsid w:val="00393398"/>
    <w:rsid w:val="003933AB"/>
    <w:rsid w:val="00393A72"/>
    <w:rsid w:val="003948F4"/>
    <w:rsid w:val="00395031"/>
    <w:rsid w:val="003952CC"/>
    <w:rsid w:val="00395544"/>
    <w:rsid w:val="003957E2"/>
    <w:rsid w:val="00395ED1"/>
    <w:rsid w:val="0039625C"/>
    <w:rsid w:val="003964D2"/>
    <w:rsid w:val="00396FF7"/>
    <w:rsid w:val="00397517"/>
    <w:rsid w:val="00397AD4"/>
    <w:rsid w:val="00397C78"/>
    <w:rsid w:val="003A00C2"/>
    <w:rsid w:val="003A0216"/>
    <w:rsid w:val="003A04B9"/>
    <w:rsid w:val="003A0501"/>
    <w:rsid w:val="003A0800"/>
    <w:rsid w:val="003A0D23"/>
    <w:rsid w:val="003A1E97"/>
    <w:rsid w:val="003A21C5"/>
    <w:rsid w:val="003A237C"/>
    <w:rsid w:val="003A2BAB"/>
    <w:rsid w:val="003A2D00"/>
    <w:rsid w:val="003A2FA5"/>
    <w:rsid w:val="003A3AFF"/>
    <w:rsid w:val="003A4395"/>
    <w:rsid w:val="003A4602"/>
    <w:rsid w:val="003A4862"/>
    <w:rsid w:val="003A4ABC"/>
    <w:rsid w:val="003A4B77"/>
    <w:rsid w:val="003A52C9"/>
    <w:rsid w:val="003A5587"/>
    <w:rsid w:val="003A5F72"/>
    <w:rsid w:val="003A61A5"/>
    <w:rsid w:val="003A6213"/>
    <w:rsid w:val="003A6939"/>
    <w:rsid w:val="003A6C7D"/>
    <w:rsid w:val="003A6E50"/>
    <w:rsid w:val="003A72B7"/>
    <w:rsid w:val="003A73FE"/>
    <w:rsid w:val="003A78E6"/>
    <w:rsid w:val="003B01A5"/>
    <w:rsid w:val="003B09A2"/>
    <w:rsid w:val="003B0AC7"/>
    <w:rsid w:val="003B0AF7"/>
    <w:rsid w:val="003B0C90"/>
    <w:rsid w:val="003B0CE3"/>
    <w:rsid w:val="003B0E12"/>
    <w:rsid w:val="003B0F9A"/>
    <w:rsid w:val="003B1447"/>
    <w:rsid w:val="003B21F7"/>
    <w:rsid w:val="003B23D8"/>
    <w:rsid w:val="003B2AF1"/>
    <w:rsid w:val="003B2F3E"/>
    <w:rsid w:val="003B32FC"/>
    <w:rsid w:val="003B3341"/>
    <w:rsid w:val="003B36C3"/>
    <w:rsid w:val="003B392E"/>
    <w:rsid w:val="003B3B2E"/>
    <w:rsid w:val="003B42BC"/>
    <w:rsid w:val="003B495D"/>
    <w:rsid w:val="003B4B4F"/>
    <w:rsid w:val="003B4E0F"/>
    <w:rsid w:val="003B54C8"/>
    <w:rsid w:val="003B5B51"/>
    <w:rsid w:val="003B5E7F"/>
    <w:rsid w:val="003B6303"/>
    <w:rsid w:val="003B668F"/>
    <w:rsid w:val="003B6769"/>
    <w:rsid w:val="003B699F"/>
    <w:rsid w:val="003B6CDF"/>
    <w:rsid w:val="003B6FD5"/>
    <w:rsid w:val="003B702B"/>
    <w:rsid w:val="003B783C"/>
    <w:rsid w:val="003B7BC4"/>
    <w:rsid w:val="003C023B"/>
    <w:rsid w:val="003C0A57"/>
    <w:rsid w:val="003C1171"/>
    <w:rsid w:val="003C1E0F"/>
    <w:rsid w:val="003C1FEE"/>
    <w:rsid w:val="003C21D3"/>
    <w:rsid w:val="003C28DC"/>
    <w:rsid w:val="003C2AF9"/>
    <w:rsid w:val="003C30C4"/>
    <w:rsid w:val="003C3550"/>
    <w:rsid w:val="003C3C48"/>
    <w:rsid w:val="003C3F82"/>
    <w:rsid w:val="003C3FA7"/>
    <w:rsid w:val="003C4974"/>
    <w:rsid w:val="003C543B"/>
    <w:rsid w:val="003C572F"/>
    <w:rsid w:val="003C5AF5"/>
    <w:rsid w:val="003C6B59"/>
    <w:rsid w:val="003C6C3A"/>
    <w:rsid w:val="003C6E4B"/>
    <w:rsid w:val="003C72BE"/>
    <w:rsid w:val="003C7D04"/>
    <w:rsid w:val="003C7DC0"/>
    <w:rsid w:val="003C7EA9"/>
    <w:rsid w:val="003D0007"/>
    <w:rsid w:val="003D0A7A"/>
    <w:rsid w:val="003D0BF4"/>
    <w:rsid w:val="003D10A5"/>
    <w:rsid w:val="003D138C"/>
    <w:rsid w:val="003D167A"/>
    <w:rsid w:val="003D1832"/>
    <w:rsid w:val="003D2077"/>
    <w:rsid w:val="003D2240"/>
    <w:rsid w:val="003D22BE"/>
    <w:rsid w:val="003D2549"/>
    <w:rsid w:val="003D2874"/>
    <w:rsid w:val="003D2AEE"/>
    <w:rsid w:val="003D2C17"/>
    <w:rsid w:val="003D3350"/>
    <w:rsid w:val="003D3386"/>
    <w:rsid w:val="003D4130"/>
    <w:rsid w:val="003D4270"/>
    <w:rsid w:val="003D43EB"/>
    <w:rsid w:val="003D49A3"/>
    <w:rsid w:val="003D4CF9"/>
    <w:rsid w:val="003D4D23"/>
    <w:rsid w:val="003D5176"/>
    <w:rsid w:val="003D5233"/>
    <w:rsid w:val="003D567A"/>
    <w:rsid w:val="003D5825"/>
    <w:rsid w:val="003D5D9E"/>
    <w:rsid w:val="003D614A"/>
    <w:rsid w:val="003D6DE1"/>
    <w:rsid w:val="003D730E"/>
    <w:rsid w:val="003D7BCD"/>
    <w:rsid w:val="003D7F0F"/>
    <w:rsid w:val="003E0084"/>
    <w:rsid w:val="003E0262"/>
    <w:rsid w:val="003E0CEF"/>
    <w:rsid w:val="003E0E52"/>
    <w:rsid w:val="003E10CE"/>
    <w:rsid w:val="003E12C8"/>
    <w:rsid w:val="003E1666"/>
    <w:rsid w:val="003E177A"/>
    <w:rsid w:val="003E1793"/>
    <w:rsid w:val="003E1B2F"/>
    <w:rsid w:val="003E1BF3"/>
    <w:rsid w:val="003E1DB6"/>
    <w:rsid w:val="003E1E3D"/>
    <w:rsid w:val="003E2252"/>
    <w:rsid w:val="003E2779"/>
    <w:rsid w:val="003E2981"/>
    <w:rsid w:val="003E298D"/>
    <w:rsid w:val="003E39EB"/>
    <w:rsid w:val="003E3C1F"/>
    <w:rsid w:val="003E3D74"/>
    <w:rsid w:val="003E4488"/>
    <w:rsid w:val="003E466F"/>
    <w:rsid w:val="003E4AEB"/>
    <w:rsid w:val="003E4D46"/>
    <w:rsid w:val="003E5981"/>
    <w:rsid w:val="003E5E47"/>
    <w:rsid w:val="003E5F30"/>
    <w:rsid w:val="003E5F6F"/>
    <w:rsid w:val="003E5FE8"/>
    <w:rsid w:val="003E60DB"/>
    <w:rsid w:val="003E71FF"/>
    <w:rsid w:val="003E75D3"/>
    <w:rsid w:val="003E7636"/>
    <w:rsid w:val="003E7A96"/>
    <w:rsid w:val="003F0136"/>
    <w:rsid w:val="003F0198"/>
    <w:rsid w:val="003F0379"/>
    <w:rsid w:val="003F06AC"/>
    <w:rsid w:val="003F06EF"/>
    <w:rsid w:val="003F0EB8"/>
    <w:rsid w:val="003F0EE8"/>
    <w:rsid w:val="003F12C5"/>
    <w:rsid w:val="003F1BB0"/>
    <w:rsid w:val="003F1D52"/>
    <w:rsid w:val="003F247B"/>
    <w:rsid w:val="003F26F7"/>
    <w:rsid w:val="003F31C8"/>
    <w:rsid w:val="003F327E"/>
    <w:rsid w:val="003F36CA"/>
    <w:rsid w:val="003F3D5F"/>
    <w:rsid w:val="003F40F6"/>
    <w:rsid w:val="003F4A06"/>
    <w:rsid w:val="003F4B91"/>
    <w:rsid w:val="003F4BD0"/>
    <w:rsid w:val="003F4DEB"/>
    <w:rsid w:val="003F4E76"/>
    <w:rsid w:val="003F551A"/>
    <w:rsid w:val="003F5954"/>
    <w:rsid w:val="003F5B61"/>
    <w:rsid w:val="003F65AE"/>
    <w:rsid w:val="003F66C4"/>
    <w:rsid w:val="003F6D54"/>
    <w:rsid w:val="003F709A"/>
    <w:rsid w:val="003F731A"/>
    <w:rsid w:val="003F77EA"/>
    <w:rsid w:val="003F7927"/>
    <w:rsid w:val="003F7C2C"/>
    <w:rsid w:val="00400943"/>
    <w:rsid w:val="00400AE9"/>
    <w:rsid w:val="00400BA0"/>
    <w:rsid w:val="00400E58"/>
    <w:rsid w:val="00400F8E"/>
    <w:rsid w:val="00401044"/>
    <w:rsid w:val="00401592"/>
    <w:rsid w:val="004018F0"/>
    <w:rsid w:val="00401CFF"/>
    <w:rsid w:val="00401DFC"/>
    <w:rsid w:val="00402643"/>
    <w:rsid w:val="004029AD"/>
    <w:rsid w:val="00402B73"/>
    <w:rsid w:val="00402F5B"/>
    <w:rsid w:val="00403262"/>
    <w:rsid w:val="004035F3"/>
    <w:rsid w:val="00403FB0"/>
    <w:rsid w:val="00404927"/>
    <w:rsid w:val="00404F4F"/>
    <w:rsid w:val="00404F7D"/>
    <w:rsid w:val="00405668"/>
    <w:rsid w:val="0040581E"/>
    <w:rsid w:val="00405CF9"/>
    <w:rsid w:val="00405F08"/>
    <w:rsid w:val="00406CE8"/>
    <w:rsid w:val="00406FE3"/>
    <w:rsid w:val="004071E1"/>
    <w:rsid w:val="00407D50"/>
    <w:rsid w:val="00410562"/>
    <w:rsid w:val="00410963"/>
    <w:rsid w:val="00410F0E"/>
    <w:rsid w:val="00410F93"/>
    <w:rsid w:val="00411296"/>
    <w:rsid w:val="00411527"/>
    <w:rsid w:val="00411630"/>
    <w:rsid w:val="004117CE"/>
    <w:rsid w:val="004123A2"/>
    <w:rsid w:val="004132BA"/>
    <w:rsid w:val="004136E6"/>
    <w:rsid w:val="0041378F"/>
    <w:rsid w:val="004139C8"/>
    <w:rsid w:val="00413AA2"/>
    <w:rsid w:val="00414014"/>
    <w:rsid w:val="004142BC"/>
    <w:rsid w:val="004145B5"/>
    <w:rsid w:val="00414922"/>
    <w:rsid w:val="00415138"/>
    <w:rsid w:val="00415F77"/>
    <w:rsid w:val="00416341"/>
    <w:rsid w:val="004163D3"/>
    <w:rsid w:val="0041658D"/>
    <w:rsid w:val="00416B49"/>
    <w:rsid w:val="004173DA"/>
    <w:rsid w:val="00417569"/>
    <w:rsid w:val="00417F82"/>
    <w:rsid w:val="00420B57"/>
    <w:rsid w:val="00420E03"/>
    <w:rsid w:val="004214C1"/>
    <w:rsid w:val="00421551"/>
    <w:rsid w:val="004218DF"/>
    <w:rsid w:val="0042198F"/>
    <w:rsid w:val="004219C5"/>
    <w:rsid w:val="004219D0"/>
    <w:rsid w:val="00421C51"/>
    <w:rsid w:val="00421CCE"/>
    <w:rsid w:val="004228A6"/>
    <w:rsid w:val="00422CFF"/>
    <w:rsid w:val="0042309E"/>
    <w:rsid w:val="004232AD"/>
    <w:rsid w:val="004236A2"/>
    <w:rsid w:val="00423B1E"/>
    <w:rsid w:val="00423EA0"/>
    <w:rsid w:val="00423F09"/>
    <w:rsid w:val="004240B5"/>
    <w:rsid w:val="004241CD"/>
    <w:rsid w:val="004245EB"/>
    <w:rsid w:val="0042481C"/>
    <w:rsid w:val="004249DB"/>
    <w:rsid w:val="00424BE4"/>
    <w:rsid w:val="00424DBC"/>
    <w:rsid w:val="00424DE4"/>
    <w:rsid w:val="0042576A"/>
    <w:rsid w:val="00425901"/>
    <w:rsid w:val="00425BA9"/>
    <w:rsid w:val="0042642B"/>
    <w:rsid w:val="00426B40"/>
    <w:rsid w:val="00426C29"/>
    <w:rsid w:val="00426C9B"/>
    <w:rsid w:val="004270B8"/>
    <w:rsid w:val="00427658"/>
    <w:rsid w:val="00427714"/>
    <w:rsid w:val="00427860"/>
    <w:rsid w:val="00427A35"/>
    <w:rsid w:val="00427D98"/>
    <w:rsid w:val="0043045F"/>
    <w:rsid w:val="00430D48"/>
    <w:rsid w:val="0043145D"/>
    <w:rsid w:val="00431706"/>
    <w:rsid w:val="0043187C"/>
    <w:rsid w:val="00431D15"/>
    <w:rsid w:val="00431F30"/>
    <w:rsid w:val="00432127"/>
    <w:rsid w:val="00432600"/>
    <w:rsid w:val="00432615"/>
    <w:rsid w:val="00432855"/>
    <w:rsid w:val="0043303A"/>
    <w:rsid w:val="0043305F"/>
    <w:rsid w:val="00433FFC"/>
    <w:rsid w:val="004340BC"/>
    <w:rsid w:val="004340F7"/>
    <w:rsid w:val="004343FB"/>
    <w:rsid w:val="00434AE7"/>
    <w:rsid w:val="00434F47"/>
    <w:rsid w:val="00435721"/>
    <w:rsid w:val="00435BA9"/>
    <w:rsid w:val="00435DF4"/>
    <w:rsid w:val="004360FE"/>
    <w:rsid w:val="004369BF"/>
    <w:rsid w:val="00436C5C"/>
    <w:rsid w:val="00436F99"/>
    <w:rsid w:val="00436FAE"/>
    <w:rsid w:val="004378C7"/>
    <w:rsid w:val="00437C41"/>
    <w:rsid w:val="004409DB"/>
    <w:rsid w:val="00440D25"/>
    <w:rsid w:val="00440EF8"/>
    <w:rsid w:val="00441288"/>
    <w:rsid w:val="004412F2"/>
    <w:rsid w:val="00441627"/>
    <w:rsid w:val="00441800"/>
    <w:rsid w:val="00441CD7"/>
    <w:rsid w:val="0044274D"/>
    <w:rsid w:val="004429E4"/>
    <w:rsid w:val="00443BAF"/>
    <w:rsid w:val="00444B2B"/>
    <w:rsid w:val="00445147"/>
    <w:rsid w:val="00445738"/>
    <w:rsid w:val="00445900"/>
    <w:rsid w:val="00445CBB"/>
    <w:rsid w:val="00445E50"/>
    <w:rsid w:val="004469C7"/>
    <w:rsid w:val="00446B25"/>
    <w:rsid w:val="00446B75"/>
    <w:rsid w:val="00447180"/>
    <w:rsid w:val="0044736D"/>
    <w:rsid w:val="0044743E"/>
    <w:rsid w:val="00447664"/>
    <w:rsid w:val="00447728"/>
    <w:rsid w:val="00447F38"/>
    <w:rsid w:val="00450781"/>
    <w:rsid w:val="00450883"/>
    <w:rsid w:val="004508AB"/>
    <w:rsid w:val="0045093D"/>
    <w:rsid w:val="00450C19"/>
    <w:rsid w:val="00450C45"/>
    <w:rsid w:val="004512E1"/>
    <w:rsid w:val="00451A15"/>
    <w:rsid w:val="00451FF5"/>
    <w:rsid w:val="00452ACB"/>
    <w:rsid w:val="00452CBF"/>
    <w:rsid w:val="00453B6A"/>
    <w:rsid w:val="004546DC"/>
    <w:rsid w:val="0045474F"/>
    <w:rsid w:val="00454860"/>
    <w:rsid w:val="00454A54"/>
    <w:rsid w:val="004550FC"/>
    <w:rsid w:val="0045581D"/>
    <w:rsid w:val="00456329"/>
    <w:rsid w:val="004566B8"/>
    <w:rsid w:val="00456AEA"/>
    <w:rsid w:val="00456FCA"/>
    <w:rsid w:val="00457435"/>
    <w:rsid w:val="00457B47"/>
    <w:rsid w:val="00457D3E"/>
    <w:rsid w:val="00460377"/>
    <w:rsid w:val="00460E30"/>
    <w:rsid w:val="0046154A"/>
    <w:rsid w:val="00461A34"/>
    <w:rsid w:val="00461F8E"/>
    <w:rsid w:val="00462094"/>
    <w:rsid w:val="00462BF9"/>
    <w:rsid w:val="00462E1E"/>
    <w:rsid w:val="00463376"/>
    <w:rsid w:val="004638F2"/>
    <w:rsid w:val="00464118"/>
    <w:rsid w:val="004641C2"/>
    <w:rsid w:val="00464329"/>
    <w:rsid w:val="00464393"/>
    <w:rsid w:val="004649BF"/>
    <w:rsid w:val="00465B7F"/>
    <w:rsid w:val="00465DAF"/>
    <w:rsid w:val="004668F8"/>
    <w:rsid w:val="00466905"/>
    <w:rsid w:val="00466BA1"/>
    <w:rsid w:val="00466F8F"/>
    <w:rsid w:val="004670CA"/>
    <w:rsid w:val="0046732E"/>
    <w:rsid w:val="00467C0B"/>
    <w:rsid w:val="004702F1"/>
    <w:rsid w:val="004707B3"/>
    <w:rsid w:val="00470BE0"/>
    <w:rsid w:val="00470CEF"/>
    <w:rsid w:val="00471A12"/>
    <w:rsid w:val="00471CBB"/>
    <w:rsid w:val="004726A3"/>
    <w:rsid w:val="004728E1"/>
    <w:rsid w:val="00473588"/>
    <w:rsid w:val="0047376D"/>
    <w:rsid w:val="00473E76"/>
    <w:rsid w:val="004743AC"/>
    <w:rsid w:val="004749DB"/>
    <w:rsid w:val="00474B53"/>
    <w:rsid w:val="00474B60"/>
    <w:rsid w:val="004751E7"/>
    <w:rsid w:val="004751E9"/>
    <w:rsid w:val="004753F9"/>
    <w:rsid w:val="00475E32"/>
    <w:rsid w:val="00476545"/>
    <w:rsid w:val="0047654A"/>
    <w:rsid w:val="0047696E"/>
    <w:rsid w:val="00476B20"/>
    <w:rsid w:val="00476FCF"/>
    <w:rsid w:val="004776B3"/>
    <w:rsid w:val="00477F42"/>
    <w:rsid w:val="00480446"/>
    <w:rsid w:val="00480AAF"/>
    <w:rsid w:val="00480BF6"/>
    <w:rsid w:val="00481008"/>
    <w:rsid w:val="0048142A"/>
    <w:rsid w:val="004814C4"/>
    <w:rsid w:val="00481547"/>
    <w:rsid w:val="00481B6E"/>
    <w:rsid w:val="00481E9E"/>
    <w:rsid w:val="00481EF1"/>
    <w:rsid w:val="0048246E"/>
    <w:rsid w:val="0048247D"/>
    <w:rsid w:val="004825FB"/>
    <w:rsid w:val="00482A55"/>
    <w:rsid w:val="00483085"/>
    <w:rsid w:val="004830A7"/>
    <w:rsid w:val="00483F2C"/>
    <w:rsid w:val="00484279"/>
    <w:rsid w:val="00484594"/>
    <w:rsid w:val="004845A2"/>
    <w:rsid w:val="00484687"/>
    <w:rsid w:val="00484BDB"/>
    <w:rsid w:val="004850D2"/>
    <w:rsid w:val="00485701"/>
    <w:rsid w:val="0048580B"/>
    <w:rsid w:val="00485E1A"/>
    <w:rsid w:val="00485FED"/>
    <w:rsid w:val="004876AD"/>
    <w:rsid w:val="00487CE4"/>
    <w:rsid w:val="004907BB"/>
    <w:rsid w:val="004907D9"/>
    <w:rsid w:val="00491140"/>
    <w:rsid w:val="00491B61"/>
    <w:rsid w:val="00491E98"/>
    <w:rsid w:val="004920C6"/>
    <w:rsid w:val="00492821"/>
    <w:rsid w:val="0049296C"/>
    <w:rsid w:val="004931F3"/>
    <w:rsid w:val="00493351"/>
    <w:rsid w:val="00493895"/>
    <w:rsid w:val="00493991"/>
    <w:rsid w:val="00493A7D"/>
    <w:rsid w:val="00493FDA"/>
    <w:rsid w:val="004946A3"/>
    <w:rsid w:val="004947A7"/>
    <w:rsid w:val="00494B0F"/>
    <w:rsid w:val="00494B9F"/>
    <w:rsid w:val="00494D7D"/>
    <w:rsid w:val="00495715"/>
    <w:rsid w:val="004957E9"/>
    <w:rsid w:val="00495AA8"/>
    <w:rsid w:val="00495EFA"/>
    <w:rsid w:val="00495EFD"/>
    <w:rsid w:val="004966AD"/>
    <w:rsid w:val="004967CB"/>
    <w:rsid w:val="00496CBE"/>
    <w:rsid w:val="00497521"/>
    <w:rsid w:val="00497D9A"/>
    <w:rsid w:val="00497DD3"/>
    <w:rsid w:val="00497E3E"/>
    <w:rsid w:val="00497F32"/>
    <w:rsid w:val="004A017B"/>
    <w:rsid w:val="004A052B"/>
    <w:rsid w:val="004A0534"/>
    <w:rsid w:val="004A0949"/>
    <w:rsid w:val="004A0ADF"/>
    <w:rsid w:val="004A0E04"/>
    <w:rsid w:val="004A1717"/>
    <w:rsid w:val="004A17E9"/>
    <w:rsid w:val="004A1C0C"/>
    <w:rsid w:val="004A2AAA"/>
    <w:rsid w:val="004A2DEB"/>
    <w:rsid w:val="004A2E8F"/>
    <w:rsid w:val="004A30BA"/>
    <w:rsid w:val="004A31AC"/>
    <w:rsid w:val="004A3606"/>
    <w:rsid w:val="004A3BB1"/>
    <w:rsid w:val="004A43A8"/>
    <w:rsid w:val="004A482D"/>
    <w:rsid w:val="004A4A9D"/>
    <w:rsid w:val="004A4AEB"/>
    <w:rsid w:val="004A4FC0"/>
    <w:rsid w:val="004A4FD6"/>
    <w:rsid w:val="004A5064"/>
    <w:rsid w:val="004A52DD"/>
    <w:rsid w:val="004A5664"/>
    <w:rsid w:val="004A5A3E"/>
    <w:rsid w:val="004A60A3"/>
    <w:rsid w:val="004A6812"/>
    <w:rsid w:val="004A68C0"/>
    <w:rsid w:val="004A6ED0"/>
    <w:rsid w:val="004A7344"/>
    <w:rsid w:val="004A75A2"/>
    <w:rsid w:val="004A76CD"/>
    <w:rsid w:val="004B022C"/>
    <w:rsid w:val="004B04D2"/>
    <w:rsid w:val="004B0569"/>
    <w:rsid w:val="004B068B"/>
    <w:rsid w:val="004B16DD"/>
    <w:rsid w:val="004B172D"/>
    <w:rsid w:val="004B1E4C"/>
    <w:rsid w:val="004B23BC"/>
    <w:rsid w:val="004B2913"/>
    <w:rsid w:val="004B3919"/>
    <w:rsid w:val="004B3999"/>
    <w:rsid w:val="004B3D8E"/>
    <w:rsid w:val="004B4069"/>
    <w:rsid w:val="004B44E1"/>
    <w:rsid w:val="004B45EC"/>
    <w:rsid w:val="004B4AF0"/>
    <w:rsid w:val="004B4D58"/>
    <w:rsid w:val="004B4E05"/>
    <w:rsid w:val="004B583B"/>
    <w:rsid w:val="004B588D"/>
    <w:rsid w:val="004B5F4D"/>
    <w:rsid w:val="004B62F9"/>
    <w:rsid w:val="004B645D"/>
    <w:rsid w:val="004B6B24"/>
    <w:rsid w:val="004C08DB"/>
    <w:rsid w:val="004C0A38"/>
    <w:rsid w:val="004C15A4"/>
    <w:rsid w:val="004C1B38"/>
    <w:rsid w:val="004C1EC8"/>
    <w:rsid w:val="004C2048"/>
    <w:rsid w:val="004C25B7"/>
    <w:rsid w:val="004C268B"/>
    <w:rsid w:val="004C26CF"/>
    <w:rsid w:val="004C26DB"/>
    <w:rsid w:val="004C287D"/>
    <w:rsid w:val="004C2AA2"/>
    <w:rsid w:val="004C2AF7"/>
    <w:rsid w:val="004C2E08"/>
    <w:rsid w:val="004C33C8"/>
    <w:rsid w:val="004C3905"/>
    <w:rsid w:val="004C3BD3"/>
    <w:rsid w:val="004C42D1"/>
    <w:rsid w:val="004C4DC4"/>
    <w:rsid w:val="004C5471"/>
    <w:rsid w:val="004C5487"/>
    <w:rsid w:val="004C5793"/>
    <w:rsid w:val="004C5BCF"/>
    <w:rsid w:val="004C5C8D"/>
    <w:rsid w:val="004C6E57"/>
    <w:rsid w:val="004C72B7"/>
    <w:rsid w:val="004C73BA"/>
    <w:rsid w:val="004C759B"/>
    <w:rsid w:val="004C76A5"/>
    <w:rsid w:val="004D041F"/>
    <w:rsid w:val="004D05B3"/>
    <w:rsid w:val="004D07D2"/>
    <w:rsid w:val="004D0AC8"/>
    <w:rsid w:val="004D1174"/>
    <w:rsid w:val="004D1438"/>
    <w:rsid w:val="004D19E7"/>
    <w:rsid w:val="004D1C8E"/>
    <w:rsid w:val="004D2490"/>
    <w:rsid w:val="004D271D"/>
    <w:rsid w:val="004D2F5D"/>
    <w:rsid w:val="004D303D"/>
    <w:rsid w:val="004D3692"/>
    <w:rsid w:val="004D3B82"/>
    <w:rsid w:val="004D3BC8"/>
    <w:rsid w:val="004D3CAA"/>
    <w:rsid w:val="004D45A2"/>
    <w:rsid w:val="004D4B30"/>
    <w:rsid w:val="004D4CE9"/>
    <w:rsid w:val="004D50FD"/>
    <w:rsid w:val="004D5986"/>
    <w:rsid w:val="004D5A4F"/>
    <w:rsid w:val="004D5EA9"/>
    <w:rsid w:val="004D6020"/>
    <w:rsid w:val="004D653C"/>
    <w:rsid w:val="004D696A"/>
    <w:rsid w:val="004D6CE3"/>
    <w:rsid w:val="004D6D6E"/>
    <w:rsid w:val="004D7694"/>
    <w:rsid w:val="004E0006"/>
    <w:rsid w:val="004E0283"/>
    <w:rsid w:val="004E0354"/>
    <w:rsid w:val="004E0EF5"/>
    <w:rsid w:val="004E1935"/>
    <w:rsid w:val="004E1DEA"/>
    <w:rsid w:val="004E1F14"/>
    <w:rsid w:val="004E24D7"/>
    <w:rsid w:val="004E2749"/>
    <w:rsid w:val="004E2AF6"/>
    <w:rsid w:val="004E2BD6"/>
    <w:rsid w:val="004E2DFE"/>
    <w:rsid w:val="004E2EFE"/>
    <w:rsid w:val="004E326B"/>
    <w:rsid w:val="004E37D7"/>
    <w:rsid w:val="004E3929"/>
    <w:rsid w:val="004E45DC"/>
    <w:rsid w:val="004E47F2"/>
    <w:rsid w:val="004E4F24"/>
    <w:rsid w:val="004E51D8"/>
    <w:rsid w:val="004E5CB5"/>
    <w:rsid w:val="004E5D8A"/>
    <w:rsid w:val="004E5F90"/>
    <w:rsid w:val="004E62D1"/>
    <w:rsid w:val="004E64E1"/>
    <w:rsid w:val="004E681A"/>
    <w:rsid w:val="004E6877"/>
    <w:rsid w:val="004E6DB5"/>
    <w:rsid w:val="004E72C0"/>
    <w:rsid w:val="004E75BD"/>
    <w:rsid w:val="004F0384"/>
    <w:rsid w:val="004F0412"/>
    <w:rsid w:val="004F0B43"/>
    <w:rsid w:val="004F0E6A"/>
    <w:rsid w:val="004F153B"/>
    <w:rsid w:val="004F17CC"/>
    <w:rsid w:val="004F1A2C"/>
    <w:rsid w:val="004F2707"/>
    <w:rsid w:val="004F3336"/>
    <w:rsid w:val="004F373C"/>
    <w:rsid w:val="004F37FF"/>
    <w:rsid w:val="004F3C4D"/>
    <w:rsid w:val="004F408E"/>
    <w:rsid w:val="004F4B9C"/>
    <w:rsid w:val="004F5BF8"/>
    <w:rsid w:val="004F5C3B"/>
    <w:rsid w:val="004F5C73"/>
    <w:rsid w:val="004F5E7D"/>
    <w:rsid w:val="004F6213"/>
    <w:rsid w:val="004F66EA"/>
    <w:rsid w:val="004F67FB"/>
    <w:rsid w:val="004F6901"/>
    <w:rsid w:val="004F719C"/>
    <w:rsid w:val="004F7A10"/>
    <w:rsid w:val="004F7DC0"/>
    <w:rsid w:val="0050080C"/>
    <w:rsid w:val="00500A39"/>
    <w:rsid w:val="00500A46"/>
    <w:rsid w:val="00501308"/>
    <w:rsid w:val="00501406"/>
    <w:rsid w:val="00501719"/>
    <w:rsid w:val="005020D0"/>
    <w:rsid w:val="0050225B"/>
    <w:rsid w:val="005022D7"/>
    <w:rsid w:val="00502856"/>
    <w:rsid w:val="00502A56"/>
    <w:rsid w:val="00502E84"/>
    <w:rsid w:val="005037D0"/>
    <w:rsid w:val="005039D3"/>
    <w:rsid w:val="00503EC8"/>
    <w:rsid w:val="005041A5"/>
    <w:rsid w:val="005042EA"/>
    <w:rsid w:val="0050449D"/>
    <w:rsid w:val="00504F77"/>
    <w:rsid w:val="005058AE"/>
    <w:rsid w:val="00505D9F"/>
    <w:rsid w:val="00505E75"/>
    <w:rsid w:val="0050623D"/>
    <w:rsid w:val="00506710"/>
    <w:rsid w:val="00506EB4"/>
    <w:rsid w:val="00507C05"/>
    <w:rsid w:val="00507F82"/>
    <w:rsid w:val="00510107"/>
    <w:rsid w:val="00510195"/>
    <w:rsid w:val="00510368"/>
    <w:rsid w:val="00510D12"/>
    <w:rsid w:val="00511295"/>
    <w:rsid w:val="005114EC"/>
    <w:rsid w:val="00511B04"/>
    <w:rsid w:val="005121AE"/>
    <w:rsid w:val="0051220C"/>
    <w:rsid w:val="005122C8"/>
    <w:rsid w:val="005127E7"/>
    <w:rsid w:val="00512BE7"/>
    <w:rsid w:val="00512D9D"/>
    <w:rsid w:val="0051353E"/>
    <w:rsid w:val="005138A0"/>
    <w:rsid w:val="005141FD"/>
    <w:rsid w:val="00514807"/>
    <w:rsid w:val="00514888"/>
    <w:rsid w:val="00514AB2"/>
    <w:rsid w:val="00515564"/>
    <w:rsid w:val="005163A8"/>
    <w:rsid w:val="0051663C"/>
    <w:rsid w:val="005167CF"/>
    <w:rsid w:val="005168CF"/>
    <w:rsid w:val="005172C4"/>
    <w:rsid w:val="0052067D"/>
    <w:rsid w:val="0052081C"/>
    <w:rsid w:val="00521611"/>
    <w:rsid w:val="00521C35"/>
    <w:rsid w:val="00522462"/>
    <w:rsid w:val="005226B4"/>
    <w:rsid w:val="005229EA"/>
    <w:rsid w:val="00522D34"/>
    <w:rsid w:val="00523211"/>
    <w:rsid w:val="00523F3B"/>
    <w:rsid w:val="00523F52"/>
    <w:rsid w:val="0052401E"/>
    <w:rsid w:val="005243D9"/>
    <w:rsid w:val="00524918"/>
    <w:rsid w:val="00524924"/>
    <w:rsid w:val="00524BCD"/>
    <w:rsid w:val="00524C7A"/>
    <w:rsid w:val="0052587D"/>
    <w:rsid w:val="00525D4F"/>
    <w:rsid w:val="00525FE4"/>
    <w:rsid w:val="005260DD"/>
    <w:rsid w:val="0052634B"/>
    <w:rsid w:val="005263BF"/>
    <w:rsid w:val="0052665D"/>
    <w:rsid w:val="00526B56"/>
    <w:rsid w:val="00526CA5"/>
    <w:rsid w:val="00526ED1"/>
    <w:rsid w:val="00530D80"/>
    <w:rsid w:val="00531239"/>
    <w:rsid w:val="00531553"/>
    <w:rsid w:val="00531F20"/>
    <w:rsid w:val="00532203"/>
    <w:rsid w:val="005322AA"/>
    <w:rsid w:val="005324BF"/>
    <w:rsid w:val="0053282F"/>
    <w:rsid w:val="00533382"/>
    <w:rsid w:val="005335DE"/>
    <w:rsid w:val="0053413D"/>
    <w:rsid w:val="00534338"/>
    <w:rsid w:val="005346C6"/>
    <w:rsid w:val="00534B79"/>
    <w:rsid w:val="00535BBA"/>
    <w:rsid w:val="00535BDF"/>
    <w:rsid w:val="00535EDF"/>
    <w:rsid w:val="00535FCD"/>
    <w:rsid w:val="005362DD"/>
    <w:rsid w:val="005366D4"/>
    <w:rsid w:val="00536BDC"/>
    <w:rsid w:val="005375BA"/>
    <w:rsid w:val="005377D4"/>
    <w:rsid w:val="00537A17"/>
    <w:rsid w:val="0054059A"/>
    <w:rsid w:val="005407AE"/>
    <w:rsid w:val="005408FF"/>
    <w:rsid w:val="005409DD"/>
    <w:rsid w:val="00541078"/>
    <w:rsid w:val="005413F2"/>
    <w:rsid w:val="005413F5"/>
    <w:rsid w:val="00541808"/>
    <w:rsid w:val="00542098"/>
    <w:rsid w:val="005422BD"/>
    <w:rsid w:val="005425BF"/>
    <w:rsid w:val="00543283"/>
    <w:rsid w:val="005433DB"/>
    <w:rsid w:val="005437E9"/>
    <w:rsid w:val="0054480A"/>
    <w:rsid w:val="005449FF"/>
    <w:rsid w:val="00544C60"/>
    <w:rsid w:val="00544F5C"/>
    <w:rsid w:val="0054504D"/>
    <w:rsid w:val="005451C0"/>
    <w:rsid w:val="005452F4"/>
    <w:rsid w:val="005453FA"/>
    <w:rsid w:val="0054565C"/>
    <w:rsid w:val="0054571C"/>
    <w:rsid w:val="00545F54"/>
    <w:rsid w:val="005460A3"/>
    <w:rsid w:val="005463C0"/>
    <w:rsid w:val="005465F2"/>
    <w:rsid w:val="005466A4"/>
    <w:rsid w:val="0054674E"/>
    <w:rsid w:val="005469AD"/>
    <w:rsid w:val="00546DCA"/>
    <w:rsid w:val="00547642"/>
    <w:rsid w:val="005476E0"/>
    <w:rsid w:val="00547B4C"/>
    <w:rsid w:val="00547CC6"/>
    <w:rsid w:val="00547D0C"/>
    <w:rsid w:val="00547F59"/>
    <w:rsid w:val="0055014D"/>
    <w:rsid w:val="00550879"/>
    <w:rsid w:val="00550D79"/>
    <w:rsid w:val="00550F2D"/>
    <w:rsid w:val="005511B4"/>
    <w:rsid w:val="005512FE"/>
    <w:rsid w:val="0055132B"/>
    <w:rsid w:val="005517D9"/>
    <w:rsid w:val="005517FD"/>
    <w:rsid w:val="005529DF"/>
    <w:rsid w:val="00552DE6"/>
    <w:rsid w:val="00552E2B"/>
    <w:rsid w:val="00553060"/>
    <w:rsid w:val="005530D4"/>
    <w:rsid w:val="00553238"/>
    <w:rsid w:val="005537E3"/>
    <w:rsid w:val="00554620"/>
    <w:rsid w:val="00554E3B"/>
    <w:rsid w:val="00555345"/>
    <w:rsid w:val="00555820"/>
    <w:rsid w:val="0055653C"/>
    <w:rsid w:val="00556590"/>
    <w:rsid w:val="0055661D"/>
    <w:rsid w:val="00556816"/>
    <w:rsid w:val="00556A45"/>
    <w:rsid w:val="00556BF1"/>
    <w:rsid w:val="00556D1E"/>
    <w:rsid w:val="00557201"/>
    <w:rsid w:val="00557379"/>
    <w:rsid w:val="00557716"/>
    <w:rsid w:val="005604FE"/>
    <w:rsid w:val="00560C7B"/>
    <w:rsid w:val="00560E20"/>
    <w:rsid w:val="0056112E"/>
    <w:rsid w:val="0056134D"/>
    <w:rsid w:val="00561D7A"/>
    <w:rsid w:val="00562411"/>
    <w:rsid w:val="00562690"/>
    <w:rsid w:val="0056281B"/>
    <w:rsid w:val="005630B8"/>
    <w:rsid w:val="00563186"/>
    <w:rsid w:val="00563BD7"/>
    <w:rsid w:val="00563BEB"/>
    <w:rsid w:val="00563D05"/>
    <w:rsid w:val="00563E22"/>
    <w:rsid w:val="00563FEE"/>
    <w:rsid w:val="00564083"/>
    <w:rsid w:val="00564B23"/>
    <w:rsid w:val="00564E8F"/>
    <w:rsid w:val="00565349"/>
    <w:rsid w:val="00565512"/>
    <w:rsid w:val="005655FB"/>
    <w:rsid w:val="00565786"/>
    <w:rsid w:val="00565BC2"/>
    <w:rsid w:val="00566D43"/>
    <w:rsid w:val="00566E34"/>
    <w:rsid w:val="00566F40"/>
    <w:rsid w:val="00567815"/>
    <w:rsid w:val="00567866"/>
    <w:rsid w:val="005700F1"/>
    <w:rsid w:val="005705EE"/>
    <w:rsid w:val="00570FB0"/>
    <w:rsid w:val="0057113F"/>
    <w:rsid w:val="0057162B"/>
    <w:rsid w:val="0057196D"/>
    <w:rsid w:val="00571BE9"/>
    <w:rsid w:val="00571C45"/>
    <w:rsid w:val="00571F58"/>
    <w:rsid w:val="005721CF"/>
    <w:rsid w:val="0057232B"/>
    <w:rsid w:val="0057256E"/>
    <w:rsid w:val="005728DF"/>
    <w:rsid w:val="0057330E"/>
    <w:rsid w:val="00573430"/>
    <w:rsid w:val="00573587"/>
    <w:rsid w:val="005735E6"/>
    <w:rsid w:val="00573729"/>
    <w:rsid w:val="00573DDF"/>
    <w:rsid w:val="00574536"/>
    <w:rsid w:val="005745AB"/>
    <w:rsid w:val="00574826"/>
    <w:rsid w:val="0057496F"/>
    <w:rsid w:val="00574E94"/>
    <w:rsid w:val="0057542A"/>
    <w:rsid w:val="005759AF"/>
    <w:rsid w:val="00575BE8"/>
    <w:rsid w:val="00575E1B"/>
    <w:rsid w:val="00576574"/>
    <w:rsid w:val="00576AF6"/>
    <w:rsid w:val="00576C0A"/>
    <w:rsid w:val="00576C81"/>
    <w:rsid w:val="00576F4D"/>
    <w:rsid w:val="00576F62"/>
    <w:rsid w:val="005772E3"/>
    <w:rsid w:val="005773AE"/>
    <w:rsid w:val="005775F0"/>
    <w:rsid w:val="0057798A"/>
    <w:rsid w:val="00577F86"/>
    <w:rsid w:val="0058089B"/>
    <w:rsid w:val="00580947"/>
    <w:rsid w:val="0058153C"/>
    <w:rsid w:val="005816D5"/>
    <w:rsid w:val="00581840"/>
    <w:rsid w:val="00581B21"/>
    <w:rsid w:val="00581BC6"/>
    <w:rsid w:val="00581CE8"/>
    <w:rsid w:val="00581D3A"/>
    <w:rsid w:val="00581D6B"/>
    <w:rsid w:val="00581DF5"/>
    <w:rsid w:val="00581F77"/>
    <w:rsid w:val="00581F8E"/>
    <w:rsid w:val="00582484"/>
    <w:rsid w:val="005825EF"/>
    <w:rsid w:val="0058282E"/>
    <w:rsid w:val="005829BA"/>
    <w:rsid w:val="00582C01"/>
    <w:rsid w:val="00582E98"/>
    <w:rsid w:val="00582F92"/>
    <w:rsid w:val="005832EF"/>
    <w:rsid w:val="0058349B"/>
    <w:rsid w:val="005838FC"/>
    <w:rsid w:val="00583902"/>
    <w:rsid w:val="00583B04"/>
    <w:rsid w:val="00583C50"/>
    <w:rsid w:val="0058405E"/>
    <w:rsid w:val="00584EF9"/>
    <w:rsid w:val="00584F2C"/>
    <w:rsid w:val="0058538D"/>
    <w:rsid w:val="005858DA"/>
    <w:rsid w:val="00585A06"/>
    <w:rsid w:val="00585DC0"/>
    <w:rsid w:val="00585EF0"/>
    <w:rsid w:val="00585EF8"/>
    <w:rsid w:val="00585F30"/>
    <w:rsid w:val="005863F1"/>
    <w:rsid w:val="005867BA"/>
    <w:rsid w:val="00586C12"/>
    <w:rsid w:val="00586CDC"/>
    <w:rsid w:val="005874C0"/>
    <w:rsid w:val="0058758A"/>
    <w:rsid w:val="00590193"/>
    <w:rsid w:val="0059028E"/>
    <w:rsid w:val="005903C0"/>
    <w:rsid w:val="0059056C"/>
    <w:rsid w:val="00590EDD"/>
    <w:rsid w:val="005913B7"/>
    <w:rsid w:val="00591832"/>
    <w:rsid w:val="00592111"/>
    <w:rsid w:val="00592193"/>
    <w:rsid w:val="00592864"/>
    <w:rsid w:val="005928CF"/>
    <w:rsid w:val="00593273"/>
    <w:rsid w:val="005939A4"/>
    <w:rsid w:val="00593BCE"/>
    <w:rsid w:val="00593BE0"/>
    <w:rsid w:val="005949A4"/>
    <w:rsid w:val="00595357"/>
    <w:rsid w:val="00595A8B"/>
    <w:rsid w:val="00595C6F"/>
    <w:rsid w:val="00595E0E"/>
    <w:rsid w:val="005961A9"/>
    <w:rsid w:val="00596B90"/>
    <w:rsid w:val="00596BDB"/>
    <w:rsid w:val="005973D9"/>
    <w:rsid w:val="00597494"/>
    <w:rsid w:val="005975ED"/>
    <w:rsid w:val="00597612"/>
    <w:rsid w:val="0059781D"/>
    <w:rsid w:val="005A02C0"/>
    <w:rsid w:val="005A07A0"/>
    <w:rsid w:val="005A0F92"/>
    <w:rsid w:val="005A1156"/>
    <w:rsid w:val="005A1401"/>
    <w:rsid w:val="005A1523"/>
    <w:rsid w:val="005A194D"/>
    <w:rsid w:val="005A260B"/>
    <w:rsid w:val="005A26D1"/>
    <w:rsid w:val="005A340F"/>
    <w:rsid w:val="005A3F1A"/>
    <w:rsid w:val="005A4DBA"/>
    <w:rsid w:val="005A50CA"/>
    <w:rsid w:val="005A528B"/>
    <w:rsid w:val="005A66F4"/>
    <w:rsid w:val="005A689C"/>
    <w:rsid w:val="005A6A6F"/>
    <w:rsid w:val="005A6EBA"/>
    <w:rsid w:val="005A7100"/>
    <w:rsid w:val="005A7618"/>
    <w:rsid w:val="005A799E"/>
    <w:rsid w:val="005B0176"/>
    <w:rsid w:val="005B02BD"/>
    <w:rsid w:val="005B02D0"/>
    <w:rsid w:val="005B02E5"/>
    <w:rsid w:val="005B042E"/>
    <w:rsid w:val="005B0805"/>
    <w:rsid w:val="005B0C0F"/>
    <w:rsid w:val="005B1200"/>
    <w:rsid w:val="005B12F6"/>
    <w:rsid w:val="005B1605"/>
    <w:rsid w:val="005B162E"/>
    <w:rsid w:val="005B1FC6"/>
    <w:rsid w:val="005B227D"/>
    <w:rsid w:val="005B29AF"/>
    <w:rsid w:val="005B2A02"/>
    <w:rsid w:val="005B2C05"/>
    <w:rsid w:val="005B3644"/>
    <w:rsid w:val="005B379B"/>
    <w:rsid w:val="005B385D"/>
    <w:rsid w:val="005B3C72"/>
    <w:rsid w:val="005B3ED7"/>
    <w:rsid w:val="005B3F29"/>
    <w:rsid w:val="005B41D9"/>
    <w:rsid w:val="005B465E"/>
    <w:rsid w:val="005B4815"/>
    <w:rsid w:val="005B4952"/>
    <w:rsid w:val="005B4970"/>
    <w:rsid w:val="005B4AE9"/>
    <w:rsid w:val="005B4BB8"/>
    <w:rsid w:val="005B4C77"/>
    <w:rsid w:val="005B584C"/>
    <w:rsid w:val="005B5988"/>
    <w:rsid w:val="005B6987"/>
    <w:rsid w:val="005B70AC"/>
    <w:rsid w:val="005B73E0"/>
    <w:rsid w:val="005B7807"/>
    <w:rsid w:val="005B7F8B"/>
    <w:rsid w:val="005C016A"/>
    <w:rsid w:val="005C025E"/>
    <w:rsid w:val="005C061D"/>
    <w:rsid w:val="005C0B8E"/>
    <w:rsid w:val="005C1299"/>
    <w:rsid w:val="005C15FF"/>
    <w:rsid w:val="005C25B2"/>
    <w:rsid w:val="005C304C"/>
    <w:rsid w:val="005C3250"/>
    <w:rsid w:val="005C353E"/>
    <w:rsid w:val="005C3755"/>
    <w:rsid w:val="005C3870"/>
    <w:rsid w:val="005C3B2C"/>
    <w:rsid w:val="005C3BCA"/>
    <w:rsid w:val="005C3BF4"/>
    <w:rsid w:val="005C3C2B"/>
    <w:rsid w:val="005C411C"/>
    <w:rsid w:val="005C4475"/>
    <w:rsid w:val="005C44A5"/>
    <w:rsid w:val="005C44D1"/>
    <w:rsid w:val="005C451D"/>
    <w:rsid w:val="005C4956"/>
    <w:rsid w:val="005C4963"/>
    <w:rsid w:val="005C4D00"/>
    <w:rsid w:val="005C513C"/>
    <w:rsid w:val="005C519D"/>
    <w:rsid w:val="005C5441"/>
    <w:rsid w:val="005C56B4"/>
    <w:rsid w:val="005C5B58"/>
    <w:rsid w:val="005C5E11"/>
    <w:rsid w:val="005C5EB9"/>
    <w:rsid w:val="005C6382"/>
    <w:rsid w:val="005C65B5"/>
    <w:rsid w:val="005C66C2"/>
    <w:rsid w:val="005C692A"/>
    <w:rsid w:val="005C6CA1"/>
    <w:rsid w:val="005C7088"/>
    <w:rsid w:val="005C70C8"/>
    <w:rsid w:val="005C7590"/>
    <w:rsid w:val="005C7D48"/>
    <w:rsid w:val="005D0173"/>
    <w:rsid w:val="005D031D"/>
    <w:rsid w:val="005D033A"/>
    <w:rsid w:val="005D0A4C"/>
    <w:rsid w:val="005D0D69"/>
    <w:rsid w:val="005D0F32"/>
    <w:rsid w:val="005D12BB"/>
    <w:rsid w:val="005D1545"/>
    <w:rsid w:val="005D18DC"/>
    <w:rsid w:val="005D197D"/>
    <w:rsid w:val="005D207F"/>
    <w:rsid w:val="005D2441"/>
    <w:rsid w:val="005D2E6D"/>
    <w:rsid w:val="005D3033"/>
    <w:rsid w:val="005D39A7"/>
    <w:rsid w:val="005D3ABB"/>
    <w:rsid w:val="005D3F57"/>
    <w:rsid w:val="005D47DD"/>
    <w:rsid w:val="005D4DC9"/>
    <w:rsid w:val="005D4DD4"/>
    <w:rsid w:val="005D5236"/>
    <w:rsid w:val="005D5D2C"/>
    <w:rsid w:val="005D5D61"/>
    <w:rsid w:val="005D5F26"/>
    <w:rsid w:val="005D5FF4"/>
    <w:rsid w:val="005D6067"/>
    <w:rsid w:val="005D6234"/>
    <w:rsid w:val="005D62FB"/>
    <w:rsid w:val="005D665F"/>
    <w:rsid w:val="005D67D6"/>
    <w:rsid w:val="005D723B"/>
    <w:rsid w:val="005D79F3"/>
    <w:rsid w:val="005D7D07"/>
    <w:rsid w:val="005D7DC6"/>
    <w:rsid w:val="005E09BA"/>
    <w:rsid w:val="005E11E5"/>
    <w:rsid w:val="005E1329"/>
    <w:rsid w:val="005E1416"/>
    <w:rsid w:val="005E174F"/>
    <w:rsid w:val="005E1998"/>
    <w:rsid w:val="005E1B69"/>
    <w:rsid w:val="005E1F6A"/>
    <w:rsid w:val="005E231D"/>
    <w:rsid w:val="005E23AC"/>
    <w:rsid w:val="005E2524"/>
    <w:rsid w:val="005E273E"/>
    <w:rsid w:val="005E2772"/>
    <w:rsid w:val="005E2C33"/>
    <w:rsid w:val="005E2F9B"/>
    <w:rsid w:val="005E3857"/>
    <w:rsid w:val="005E387D"/>
    <w:rsid w:val="005E3951"/>
    <w:rsid w:val="005E41D6"/>
    <w:rsid w:val="005E55C2"/>
    <w:rsid w:val="005E5A58"/>
    <w:rsid w:val="005E5E30"/>
    <w:rsid w:val="005E6054"/>
    <w:rsid w:val="005E6841"/>
    <w:rsid w:val="005E7924"/>
    <w:rsid w:val="005E7AAA"/>
    <w:rsid w:val="005E7AE2"/>
    <w:rsid w:val="005E7C33"/>
    <w:rsid w:val="005E7E33"/>
    <w:rsid w:val="005F0312"/>
    <w:rsid w:val="005F04F5"/>
    <w:rsid w:val="005F0A0B"/>
    <w:rsid w:val="005F0BAE"/>
    <w:rsid w:val="005F1C00"/>
    <w:rsid w:val="005F221A"/>
    <w:rsid w:val="005F237A"/>
    <w:rsid w:val="005F2754"/>
    <w:rsid w:val="005F2791"/>
    <w:rsid w:val="005F2A20"/>
    <w:rsid w:val="005F327A"/>
    <w:rsid w:val="005F3BC0"/>
    <w:rsid w:val="005F3D9B"/>
    <w:rsid w:val="005F3DD6"/>
    <w:rsid w:val="005F3E85"/>
    <w:rsid w:val="005F4461"/>
    <w:rsid w:val="005F462F"/>
    <w:rsid w:val="005F4DAE"/>
    <w:rsid w:val="005F4E99"/>
    <w:rsid w:val="005F51F6"/>
    <w:rsid w:val="005F5320"/>
    <w:rsid w:val="005F56C3"/>
    <w:rsid w:val="005F59BC"/>
    <w:rsid w:val="005F5F9E"/>
    <w:rsid w:val="005F5FA7"/>
    <w:rsid w:val="005F6102"/>
    <w:rsid w:val="005F61DD"/>
    <w:rsid w:val="005F6676"/>
    <w:rsid w:val="005F6886"/>
    <w:rsid w:val="005F6DA2"/>
    <w:rsid w:val="005F7187"/>
    <w:rsid w:val="005F745F"/>
    <w:rsid w:val="005F7727"/>
    <w:rsid w:val="005F7787"/>
    <w:rsid w:val="005F7AE1"/>
    <w:rsid w:val="00600148"/>
    <w:rsid w:val="006005A6"/>
    <w:rsid w:val="0060076C"/>
    <w:rsid w:val="00600884"/>
    <w:rsid w:val="00600E54"/>
    <w:rsid w:val="0060106A"/>
    <w:rsid w:val="006016CF"/>
    <w:rsid w:val="00601F1B"/>
    <w:rsid w:val="0060227B"/>
    <w:rsid w:val="006023AE"/>
    <w:rsid w:val="006027A3"/>
    <w:rsid w:val="006043BA"/>
    <w:rsid w:val="00604644"/>
    <w:rsid w:val="00604D2C"/>
    <w:rsid w:val="00604DF2"/>
    <w:rsid w:val="00604FB2"/>
    <w:rsid w:val="00604FC7"/>
    <w:rsid w:val="00605746"/>
    <w:rsid w:val="00606269"/>
    <w:rsid w:val="0060687A"/>
    <w:rsid w:val="00606A42"/>
    <w:rsid w:val="00606AFB"/>
    <w:rsid w:val="00607066"/>
    <w:rsid w:val="006070FB"/>
    <w:rsid w:val="00607210"/>
    <w:rsid w:val="00607FF5"/>
    <w:rsid w:val="00610129"/>
    <w:rsid w:val="006102DE"/>
    <w:rsid w:val="0061037D"/>
    <w:rsid w:val="00611102"/>
    <w:rsid w:val="006115F5"/>
    <w:rsid w:val="0061190F"/>
    <w:rsid w:val="0061214E"/>
    <w:rsid w:val="00612151"/>
    <w:rsid w:val="00612A11"/>
    <w:rsid w:val="00612D84"/>
    <w:rsid w:val="00613725"/>
    <w:rsid w:val="00614558"/>
    <w:rsid w:val="00614DD3"/>
    <w:rsid w:val="00614E11"/>
    <w:rsid w:val="00615A72"/>
    <w:rsid w:val="00615B53"/>
    <w:rsid w:val="00615E4C"/>
    <w:rsid w:val="00615F42"/>
    <w:rsid w:val="00616144"/>
    <w:rsid w:val="0061633E"/>
    <w:rsid w:val="00616A11"/>
    <w:rsid w:val="00616FC6"/>
    <w:rsid w:val="00617045"/>
    <w:rsid w:val="00617271"/>
    <w:rsid w:val="0061735F"/>
    <w:rsid w:val="00617556"/>
    <w:rsid w:val="0061766C"/>
    <w:rsid w:val="00617973"/>
    <w:rsid w:val="00617B27"/>
    <w:rsid w:val="00617E2D"/>
    <w:rsid w:val="006202A7"/>
    <w:rsid w:val="006204DA"/>
    <w:rsid w:val="00620640"/>
    <w:rsid w:val="00620AB5"/>
    <w:rsid w:val="006215E1"/>
    <w:rsid w:val="0062177D"/>
    <w:rsid w:val="00621846"/>
    <w:rsid w:val="00621AA5"/>
    <w:rsid w:val="006221B8"/>
    <w:rsid w:val="00622561"/>
    <w:rsid w:val="006226F2"/>
    <w:rsid w:val="00622AA1"/>
    <w:rsid w:val="00622DEC"/>
    <w:rsid w:val="00622F49"/>
    <w:rsid w:val="0062404B"/>
    <w:rsid w:val="00624A7F"/>
    <w:rsid w:val="00624D38"/>
    <w:rsid w:val="00624F83"/>
    <w:rsid w:val="0062547B"/>
    <w:rsid w:val="006256C8"/>
    <w:rsid w:val="0062642D"/>
    <w:rsid w:val="0062674F"/>
    <w:rsid w:val="006268C3"/>
    <w:rsid w:val="00626AFC"/>
    <w:rsid w:val="00627021"/>
    <w:rsid w:val="00627EF3"/>
    <w:rsid w:val="00630DC4"/>
    <w:rsid w:val="0063180E"/>
    <w:rsid w:val="00631C8F"/>
    <w:rsid w:val="006325DF"/>
    <w:rsid w:val="00632EB8"/>
    <w:rsid w:val="006335D5"/>
    <w:rsid w:val="006335DD"/>
    <w:rsid w:val="00633830"/>
    <w:rsid w:val="00633C2B"/>
    <w:rsid w:val="006347BE"/>
    <w:rsid w:val="006348B8"/>
    <w:rsid w:val="00634A5E"/>
    <w:rsid w:val="00634CBB"/>
    <w:rsid w:val="0063520C"/>
    <w:rsid w:val="00635224"/>
    <w:rsid w:val="006353AB"/>
    <w:rsid w:val="00635CD5"/>
    <w:rsid w:val="00635D62"/>
    <w:rsid w:val="0063621B"/>
    <w:rsid w:val="006366D4"/>
    <w:rsid w:val="00637284"/>
    <w:rsid w:val="006378F2"/>
    <w:rsid w:val="00637D23"/>
    <w:rsid w:val="00637D90"/>
    <w:rsid w:val="00637E44"/>
    <w:rsid w:val="00640193"/>
    <w:rsid w:val="00640C33"/>
    <w:rsid w:val="0064135C"/>
    <w:rsid w:val="006419A8"/>
    <w:rsid w:val="006421C7"/>
    <w:rsid w:val="0064287A"/>
    <w:rsid w:val="006429DF"/>
    <w:rsid w:val="006432CB"/>
    <w:rsid w:val="006439C2"/>
    <w:rsid w:val="0064527C"/>
    <w:rsid w:val="006453B4"/>
    <w:rsid w:val="006455AD"/>
    <w:rsid w:val="00646522"/>
    <w:rsid w:val="00646CE6"/>
    <w:rsid w:val="00646D22"/>
    <w:rsid w:val="00646E23"/>
    <w:rsid w:val="0064738D"/>
    <w:rsid w:val="006479F3"/>
    <w:rsid w:val="00650215"/>
    <w:rsid w:val="0065031F"/>
    <w:rsid w:val="00650738"/>
    <w:rsid w:val="0065093F"/>
    <w:rsid w:val="00650CD7"/>
    <w:rsid w:val="00650ED1"/>
    <w:rsid w:val="0065198B"/>
    <w:rsid w:val="00651E08"/>
    <w:rsid w:val="00652728"/>
    <w:rsid w:val="00652B25"/>
    <w:rsid w:val="00652BB4"/>
    <w:rsid w:val="00652E21"/>
    <w:rsid w:val="006538FD"/>
    <w:rsid w:val="00653EC7"/>
    <w:rsid w:val="006548B8"/>
    <w:rsid w:val="00654A60"/>
    <w:rsid w:val="00655F71"/>
    <w:rsid w:val="00656961"/>
    <w:rsid w:val="00656B7E"/>
    <w:rsid w:val="00657DE0"/>
    <w:rsid w:val="0066026C"/>
    <w:rsid w:val="006604DB"/>
    <w:rsid w:val="00660EF0"/>
    <w:rsid w:val="00661742"/>
    <w:rsid w:val="00661868"/>
    <w:rsid w:val="00661E69"/>
    <w:rsid w:val="006621E5"/>
    <w:rsid w:val="0066264E"/>
    <w:rsid w:val="00662E03"/>
    <w:rsid w:val="00663333"/>
    <w:rsid w:val="006633B5"/>
    <w:rsid w:val="00663442"/>
    <w:rsid w:val="00663657"/>
    <w:rsid w:val="00663ED6"/>
    <w:rsid w:val="00664091"/>
    <w:rsid w:val="00664567"/>
    <w:rsid w:val="006645BB"/>
    <w:rsid w:val="006647CF"/>
    <w:rsid w:val="00664A0E"/>
    <w:rsid w:val="00664D24"/>
    <w:rsid w:val="00664DC0"/>
    <w:rsid w:val="006659FE"/>
    <w:rsid w:val="006662D9"/>
    <w:rsid w:val="0066647F"/>
    <w:rsid w:val="00666C8F"/>
    <w:rsid w:val="00666DCA"/>
    <w:rsid w:val="00666FB3"/>
    <w:rsid w:val="0066701C"/>
    <w:rsid w:val="0066717D"/>
    <w:rsid w:val="00667396"/>
    <w:rsid w:val="00667599"/>
    <w:rsid w:val="00667773"/>
    <w:rsid w:val="006678BB"/>
    <w:rsid w:val="00667F99"/>
    <w:rsid w:val="006700B2"/>
    <w:rsid w:val="00671290"/>
    <w:rsid w:val="00671DA0"/>
    <w:rsid w:val="00671F37"/>
    <w:rsid w:val="006722DD"/>
    <w:rsid w:val="0067235D"/>
    <w:rsid w:val="00672432"/>
    <w:rsid w:val="00672F55"/>
    <w:rsid w:val="00672F76"/>
    <w:rsid w:val="00673511"/>
    <w:rsid w:val="00673642"/>
    <w:rsid w:val="00673AEF"/>
    <w:rsid w:val="00673EB8"/>
    <w:rsid w:val="006744AC"/>
    <w:rsid w:val="006744B0"/>
    <w:rsid w:val="006744FD"/>
    <w:rsid w:val="00674857"/>
    <w:rsid w:val="00674982"/>
    <w:rsid w:val="00674FF2"/>
    <w:rsid w:val="00675283"/>
    <w:rsid w:val="006759C7"/>
    <w:rsid w:val="00675A11"/>
    <w:rsid w:val="00676B98"/>
    <w:rsid w:val="00676BEB"/>
    <w:rsid w:val="00676BF0"/>
    <w:rsid w:val="00676DB0"/>
    <w:rsid w:val="00677035"/>
    <w:rsid w:val="00677517"/>
    <w:rsid w:val="006800BD"/>
    <w:rsid w:val="006800E0"/>
    <w:rsid w:val="0068060F"/>
    <w:rsid w:val="00680AF5"/>
    <w:rsid w:val="00680D51"/>
    <w:rsid w:val="00680E41"/>
    <w:rsid w:val="00680F28"/>
    <w:rsid w:val="0068126F"/>
    <w:rsid w:val="00681B87"/>
    <w:rsid w:val="00681C83"/>
    <w:rsid w:val="00681D82"/>
    <w:rsid w:val="0068234C"/>
    <w:rsid w:val="0068234D"/>
    <w:rsid w:val="006823AB"/>
    <w:rsid w:val="0068285B"/>
    <w:rsid w:val="00682A34"/>
    <w:rsid w:val="00682FEA"/>
    <w:rsid w:val="00683136"/>
    <w:rsid w:val="00683507"/>
    <w:rsid w:val="00683651"/>
    <w:rsid w:val="00683C72"/>
    <w:rsid w:val="0068404C"/>
    <w:rsid w:val="006840FC"/>
    <w:rsid w:val="00684623"/>
    <w:rsid w:val="006847C5"/>
    <w:rsid w:val="00684871"/>
    <w:rsid w:val="00684BE4"/>
    <w:rsid w:val="00684F20"/>
    <w:rsid w:val="00684FE1"/>
    <w:rsid w:val="00685420"/>
    <w:rsid w:val="0068552C"/>
    <w:rsid w:val="006855EE"/>
    <w:rsid w:val="00685B79"/>
    <w:rsid w:val="00685C5C"/>
    <w:rsid w:val="006864CB"/>
    <w:rsid w:val="00686898"/>
    <w:rsid w:val="00686A98"/>
    <w:rsid w:val="00686CF7"/>
    <w:rsid w:val="0068791C"/>
    <w:rsid w:val="00687951"/>
    <w:rsid w:val="00687A4F"/>
    <w:rsid w:val="00687D48"/>
    <w:rsid w:val="00690CC4"/>
    <w:rsid w:val="00690CEB"/>
    <w:rsid w:val="00691047"/>
    <w:rsid w:val="006917CF"/>
    <w:rsid w:val="00691C0F"/>
    <w:rsid w:val="00691F01"/>
    <w:rsid w:val="0069206B"/>
    <w:rsid w:val="006922D0"/>
    <w:rsid w:val="00692D27"/>
    <w:rsid w:val="0069309F"/>
    <w:rsid w:val="006934D4"/>
    <w:rsid w:val="0069381B"/>
    <w:rsid w:val="0069397C"/>
    <w:rsid w:val="00693FEF"/>
    <w:rsid w:val="00694594"/>
    <w:rsid w:val="00694BD3"/>
    <w:rsid w:val="00694C70"/>
    <w:rsid w:val="006957FD"/>
    <w:rsid w:val="00695A31"/>
    <w:rsid w:val="00695E89"/>
    <w:rsid w:val="006960EB"/>
    <w:rsid w:val="006963EA"/>
    <w:rsid w:val="00696627"/>
    <w:rsid w:val="0069760A"/>
    <w:rsid w:val="006976BB"/>
    <w:rsid w:val="00697969"/>
    <w:rsid w:val="00697C52"/>
    <w:rsid w:val="006A0829"/>
    <w:rsid w:val="006A161C"/>
    <w:rsid w:val="006A2096"/>
    <w:rsid w:val="006A2419"/>
    <w:rsid w:val="006A26B7"/>
    <w:rsid w:val="006A2890"/>
    <w:rsid w:val="006A3369"/>
    <w:rsid w:val="006A4360"/>
    <w:rsid w:val="006A43E8"/>
    <w:rsid w:val="006A4948"/>
    <w:rsid w:val="006A4E4E"/>
    <w:rsid w:val="006A5B3F"/>
    <w:rsid w:val="006A5F7C"/>
    <w:rsid w:val="006A6565"/>
    <w:rsid w:val="006A6CEE"/>
    <w:rsid w:val="006A6F39"/>
    <w:rsid w:val="006A72E6"/>
    <w:rsid w:val="006A7365"/>
    <w:rsid w:val="006A763D"/>
    <w:rsid w:val="006A7CAA"/>
    <w:rsid w:val="006A7E85"/>
    <w:rsid w:val="006B01C7"/>
    <w:rsid w:val="006B05F9"/>
    <w:rsid w:val="006B07BA"/>
    <w:rsid w:val="006B13FF"/>
    <w:rsid w:val="006B16AC"/>
    <w:rsid w:val="006B1BCA"/>
    <w:rsid w:val="006B230A"/>
    <w:rsid w:val="006B25A0"/>
    <w:rsid w:val="006B270A"/>
    <w:rsid w:val="006B2761"/>
    <w:rsid w:val="006B30AD"/>
    <w:rsid w:val="006B3281"/>
    <w:rsid w:val="006B3D65"/>
    <w:rsid w:val="006B4171"/>
    <w:rsid w:val="006B4DEB"/>
    <w:rsid w:val="006B51FA"/>
    <w:rsid w:val="006B5348"/>
    <w:rsid w:val="006B570C"/>
    <w:rsid w:val="006B59F6"/>
    <w:rsid w:val="006B5E4A"/>
    <w:rsid w:val="006B5EF9"/>
    <w:rsid w:val="006B685D"/>
    <w:rsid w:val="006B6A77"/>
    <w:rsid w:val="006B6AD1"/>
    <w:rsid w:val="006B6CF2"/>
    <w:rsid w:val="006B71B6"/>
    <w:rsid w:val="006B739E"/>
    <w:rsid w:val="006B7F5A"/>
    <w:rsid w:val="006C0537"/>
    <w:rsid w:val="006C0608"/>
    <w:rsid w:val="006C0725"/>
    <w:rsid w:val="006C0AB3"/>
    <w:rsid w:val="006C0E9F"/>
    <w:rsid w:val="006C11D9"/>
    <w:rsid w:val="006C1A1D"/>
    <w:rsid w:val="006C2304"/>
    <w:rsid w:val="006C236A"/>
    <w:rsid w:val="006C2498"/>
    <w:rsid w:val="006C25C5"/>
    <w:rsid w:val="006C2664"/>
    <w:rsid w:val="006C28D6"/>
    <w:rsid w:val="006C2990"/>
    <w:rsid w:val="006C29BB"/>
    <w:rsid w:val="006C2BF4"/>
    <w:rsid w:val="006C2F01"/>
    <w:rsid w:val="006C310C"/>
    <w:rsid w:val="006C3785"/>
    <w:rsid w:val="006C3E1F"/>
    <w:rsid w:val="006C3FC5"/>
    <w:rsid w:val="006C4114"/>
    <w:rsid w:val="006C4568"/>
    <w:rsid w:val="006C468D"/>
    <w:rsid w:val="006C59BA"/>
    <w:rsid w:val="006C5A9E"/>
    <w:rsid w:val="006C5D57"/>
    <w:rsid w:val="006C5FF3"/>
    <w:rsid w:val="006C60CB"/>
    <w:rsid w:val="006C650B"/>
    <w:rsid w:val="006C672C"/>
    <w:rsid w:val="006C6938"/>
    <w:rsid w:val="006C6A42"/>
    <w:rsid w:val="006C6B19"/>
    <w:rsid w:val="006C6E80"/>
    <w:rsid w:val="006C7027"/>
    <w:rsid w:val="006C76DC"/>
    <w:rsid w:val="006C7725"/>
    <w:rsid w:val="006C781D"/>
    <w:rsid w:val="006D01E8"/>
    <w:rsid w:val="006D1134"/>
    <w:rsid w:val="006D13B0"/>
    <w:rsid w:val="006D14C1"/>
    <w:rsid w:val="006D15A0"/>
    <w:rsid w:val="006D19AE"/>
    <w:rsid w:val="006D1C09"/>
    <w:rsid w:val="006D249F"/>
    <w:rsid w:val="006D28BD"/>
    <w:rsid w:val="006D29C7"/>
    <w:rsid w:val="006D35D1"/>
    <w:rsid w:val="006D3799"/>
    <w:rsid w:val="006D37E6"/>
    <w:rsid w:val="006D42F4"/>
    <w:rsid w:val="006D4621"/>
    <w:rsid w:val="006D4A26"/>
    <w:rsid w:val="006D5259"/>
    <w:rsid w:val="006D52EC"/>
    <w:rsid w:val="006D53BF"/>
    <w:rsid w:val="006D5C75"/>
    <w:rsid w:val="006D5E85"/>
    <w:rsid w:val="006D6480"/>
    <w:rsid w:val="006D6486"/>
    <w:rsid w:val="006D64B1"/>
    <w:rsid w:val="006D6E29"/>
    <w:rsid w:val="006D77F8"/>
    <w:rsid w:val="006E0067"/>
    <w:rsid w:val="006E07E8"/>
    <w:rsid w:val="006E0B6F"/>
    <w:rsid w:val="006E0BA4"/>
    <w:rsid w:val="006E0C3E"/>
    <w:rsid w:val="006E1090"/>
    <w:rsid w:val="006E124C"/>
    <w:rsid w:val="006E214E"/>
    <w:rsid w:val="006E24A3"/>
    <w:rsid w:val="006E2F21"/>
    <w:rsid w:val="006E42AC"/>
    <w:rsid w:val="006E481F"/>
    <w:rsid w:val="006E4D88"/>
    <w:rsid w:val="006E4F11"/>
    <w:rsid w:val="006E504C"/>
    <w:rsid w:val="006E55A6"/>
    <w:rsid w:val="006E6758"/>
    <w:rsid w:val="006E693A"/>
    <w:rsid w:val="006E70AC"/>
    <w:rsid w:val="006E7435"/>
    <w:rsid w:val="006E7E68"/>
    <w:rsid w:val="006E7F47"/>
    <w:rsid w:val="006F0279"/>
    <w:rsid w:val="006F0ECE"/>
    <w:rsid w:val="006F151D"/>
    <w:rsid w:val="006F1961"/>
    <w:rsid w:val="006F1CD5"/>
    <w:rsid w:val="006F20BA"/>
    <w:rsid w:val="006F21AE"/>
    <w:rsid w:val="006F2973"/>
    <w:rsid w:val="006F2E83"/>
    <w:rsid w:val="006F2FA0"/>
    <w:rsid w:val="006F336E"/>
    <w:rsid w:val="006F3417"/>
    <w:rsid w:val="006F3A63"/>
    <w:rsid w:val="006F3F69"/>
    <w:rsid w:val="006F4FE2"/>
    <w:rsid w:val="006F592E"/>
    <w:rsid w:val="006F5B9A"/>
    <w:rsid w:val="006F604E"/>
    <w:rsid w:val="006F6344"/>
    <w:rsid w:val="006F649E"/>
    <w:rsid w:val="006F655F"/>
    <w:rsid w:val="006F6874"/>
    <w:rsid w:val="0070021B"/>
    <w:rsid w:val="007003E3"/>
    <w:rsid w:val="007008FF"/>
    <w:rsid w:val="00700D16"/>
    <w:rsid w:val="00700DDE"/>
    <w:rsid w:val="007012B8"/>
    <w:rsid w:val="00702084"/>
    <w:rsid w:val="0070214F"/>
    <w:rsid w:val="00702396"/>
    <w:rsid w:val="007028BF"/>
    <w:rsid w:val="00702D4B"/>
    <w:rsid w:val="007030FE"/>
    <w:rsid w:val="0070334C"/>
    <w:rsid w:val="00703420"/>
    <w:rsid w:val="007034EE"/>
    <w:rsid w:val="00703907"/>
    <w:rsid w:val="00703DF7"/>
    <w:rsid w:val="007040AA"/>
    <w:rsid w:val="00704387"/>
    <w:rsid w:val="007048FA"/>
    <w:rsid w:val="007050C7"/>
    <w:rsid w:val="007056F5"/>
    <w:rsid w:val="0070588C"/>
    <w:rsid w:val="007058D8"/>
    <w:rsid w:val="00705B2E"/>
    <w:rsid w:val="007062A0"/>
    <w:rsid w:val="0070660A"/>
    <w:rsid w:val="00706A27"/>
    <w:rsid w:val="00706A6C"/>
    <w:rsid w:val="00706F07"/>
    <w:rsid w:val="00707C82"/>
    <w:rsid w:val="00707E4A"/>
    <w:rsid w:val="00707FFE"/>
    <w:rsid w:val="007102F6"/>
    <w:rsid w:val="007104C2"/>
    <w:rsid w:val="007109D7"/>
    <w:rsid w:val="00710CB6"/>
    <w:rsid w:val="00710DCE"/>
    <w:rsid w:val="00711621"/>
    <w:rsid w:val="0071270C"/>
    <w:rsid w:val="00712D73"/>
    <w:rsid w:val="00712D75"/>
    <w:rsid w:val="0071343A"/>
    <w:rsid w:val="007134CB"/>
    <w:rsid w:val="00713A9F"/>
    <w:rsid w:val="00713BE7"/>
    <w:rsid w:val="007143E4"/>
    <w:rsid w:val="00714F53"/>
    <w:rsid w:val="00714F84"/>
    <w:rsid w:val="007150C6"/>
    <w:rsid w:val="007153BF"/>
    <w:rsid w:val="00715624"/>
    <w:rsid w:val="007161EF"/>
    <w:rsid w:val="0071640A"/>
    <w:rsid w:val="007165F3"/>
    <w:rsid w:val="0071755D"/>
    <w:rsid w:val="00717569"/>
    <w:rsid w:val="00717573"/>
    <w:rsid w:val="00717B10"/>
    <w:rsid w:val="00717CA5"/>
    <w:rsid w:val="00717FC5"/>
    <w:rsid w:val="00720060"/>
    <w:rsid w:val="00720C07"/>
    <w:rsid w:val="00720F55"/>
    <w:rsid w:val="007215AD"/>
    <w:rsid w:val="0072176F"/>
    <w:rsid w:val="007217CE"/>
    <w:rsid w:val="007222F8"/>
    <w:rsid w:val="0072283D"/>
    <w:rsid w:val="00723218"/>
    <w:rsid w:val="00723343"/>
    <w:rsid w:val="007233AF"/>
    <w:rsid w:val="007233C4"/>
    <w:rsid w:val="007236AB"/>
    <w:rsid w:val="0072375E"/>
    <w:rsid w:val="00723890"/>
    <w:rsid w:val="00723C33"/>
    <w:rsid w:val="00723D8E"/>
    <w:rsid w:val="00725015"/>
    <w:rsid w:val="007254E8"/>
    <w:rsid w:val="00725BFD"/>
    <w:rsid w:val="00725D72"/>
    <w:rsid w:val="00725E35"/>
    <w:rsid w:val="00725FF3"/>
    <w:rsid w:val="0072643E"/>
    <w:rsid w:val="007266D1"/>
    <w:rsid w:val="00727131"/>
    <w:rsid w:val="00727173"/>
    <w:rsid w:val="0073006D"/>
    <w:rsid w:val="00730140"/>
    <w:rsid w:val="00730759"/>
    <w:rsid w:val="0073092B"/>
    <w:rsid w:val="00731036"/>
    <w:rsid w:val="007320C8"/>
    <w:rsid w:val="007321E0"/>
    <w:rsid w:val="00732ADD"/>
    <w:rsid w:val="0073319F"/>
    <w:rsid w:val="007331FA"/>
    <w:rsid w:val="007332A3"/>
    <w:rsid w:val="00733C73"/>
    <w:rsid w:val="007340FF"/>
    <w:rsid w:val="007345FA"/>
    <w:rsid w:val="00734988"/>
    <w:rsid w:val="00735157"/>
    <w:rsid w:val="0073619F"/>
    <w:rsid w:val="007361F2"/>
    <w:rsid w:val="00736F0B"/>
    <w:rsid w:val="00736F70"/>
    <w:rsid w:val="007372F3"/>
    <w:rsid w:val="00737568"/>
    <w:rsid w:val="00737849"/>
    <w:rsid w:val="00740753"/>
    <w:rsid w:val="00741367"/>
    <w:rsid w:val="007421DB"/>
    <w:rsid w:val="00742506"/>
    <w:rsid w:val="0074292C"/>
    <w:rsid w:val="00742E28"/>
    <w:rsid w:val="00742F61"/>
    <w:rsid w:val="00742F9E"/>
    <w:rsid w:val="00743797"/>
    <w:rsid w:val="00743B19"/>
    <w:rsid w:val="0074405A"/>
    <w:rsid w:val="007440F8"/>
    <w:rsid w:val="00744135"/>
    <w:rsid w:val="00744482"/>
    <w:rsid w:val="0074449A"/>
    <w:rsid w:val="0074455A"/>
    <w:rsid w:val="00744718"/>
    <w:rsid w:val="00744848"/>
    <w:rsid w:val="00744B55"/>
    <w:rsid w:val="00744E74"/>
    <w:rsid w:val="00744F09"/>
    <w:rsid w:val="00745253"/>
    <w:rsid w:val="007461F4"/>
    <w:rsid w:val="007467AC"/>
    <w:rsid w:val="00746938"/>
    <w:rsid w:val="00746C9B"/>
    <w:rsid w:val="00746FFD"/>
    <w:rsid w:val="00747AB8"/>
    <w:rsid w:val="00747F0D"/>
    <w:rsid w:val="00747FFC"/>
    <w:rsid w:val="007505CF"/>
    <w:rsid w:val="00750FBA"/>
    <w:rsid w:val="007514A1"/>
    <w:rsid w:val="00751A84"/>
    <w:rsid w:val="00751CE9"/>
    <w:rsid w:val="00751F00"/>
    <w:rsid w:val="00752399"/>
    <w:rsid w:val="007525AE"/>
    <w:rsid w:val="00752A7B"/>
    <w:rsid w:val="00752AD1"/>
    <w:rsid w:val="00752E21"/>
    <w:rsid w:val="00753492"/>
    <w:rsid w:val="0075404C"/>
    <w:rsid w:val="007558B8"/>
    <w:rsid w:val="00755C99"/>
    <w:rsid w:val="00755DD7"/>
    <w:rsid w:val="007567C6"/>
    <w:rsid w:val="00757313"/>
    <w:rsid w:val="00757611"/>
    <w:rsid w:val="00757862"/>
    <w:rsid w:val="00760191"/>
    <w:rsid w:val="0076032B"/>
    <w:rsid w:val="007603FF"/>
    <w:rsid w:val="00760A5C"/>
    <w:rsid w:val="00760ABF"/>
    <w:rsid w:val="00761129"/>
    <w:rsid w:val="00761A1E"/>
    <w:rsid w:val="00761B25"/>
    <w:rsid w:val="00761ED4"/>
    <w:rsid w:val="007620B8"/>
    <w:rsid w:val="0076251F"/>
    <w:rsid w:val="007626B8"/>
    <w:rsid w:val="00763197"/>
    <w:rsid w:val="007631C1"/>
    <w:rsid w:val="007638E7"/>
    <w:rsid w:val="007640A8"/>
    <w:rsid w:val="00764375"/>
    <w:rsid w:val="00765366"/>
    <w:rsid w:val="007654C7"/>
    <w:rsid w:val="00765737"/>
    <w:rsid w:val="00765792"/>
    <w:rsid w:val="00765818"/>
    <w:rsid w:val="00765BC9"/>
    <w:rsid w:val="00765E2A"/>
    <w:rsid w:val="007662A5"/>
    <w:rsid w:val="00766569"/>
    <w:rsid w:val="00766589"/>
    <w:rsid w:val="007668FB"/>
    <w:rsid w:val="00766A9F"/>
    <w:rsid w:val="00767631"/>
    <w:rsid w:val="00767827"/>
    <w:rsid w:val="00767853"/>
    <w:rsid w:val="00770322"/>
    <w:rsid w:val="007704AB"/>
    <w:rsid w:val="00770506"/>
    <w:rsid w:val="00770CF6"/>
    <w:rsid w:val="00770D65"/>
    <w:rsid w:val="007719D3"/>
    <w:rsid w:val="00772221"/>
    <w:rsid w:val="0077229C"/>
    <w:rsid w:val="00772A28"/>
    <w:rsid w:val="00774227"/>
    <w:rsid w:val="00774240"/>
    <w:rsid w:val="00774579"/>
    <w:rsid w:val="007745F6"/>
    <w:rsid w:val="00774805"/>
    <w:rsid w:val="00774A7B"/>
    <w:rsid w:val="00774E76"/>
    <w:rsid w:val="00775190"/>
    <w:rsid w:val="007755C6"/>
    <w:rsid w:val="0077574B"/>
    <w:rsid w:val="00776025"/>
    <w:rsid w:val="0077622B"/>
    <w:rsid w:val="0077709F"/>
    <w:rsid w:val="00777119"/>
    <w:rsid w:val="007771C2"/>
    <w:rsid w:val="007771FA"/>
    <w:rsid w:val="00777390"/>
    <w:rsid w:val="007774C3"/>
    <w:rsid w:val="007777A7"/>
    <w:rsid w:val="00777D4D"/>
    <w:rsid w:val="00777EF7"/>
    <w:rsid w:val="00780970"/>
    <w:rsid w:val="007812C4"/>
    <w:rsid w:val="007814C9"/>
    <w:rsid w:val="00781A33"/>
    <w:rsid w:val="00782503"/>
    <w:rsid w:val="00782830"/>
    <w:rsid w:val="00782CB4"/>
    <w:rsid w:val="00782FF9"/>
    <w:rsid w:val="00783492"/>
    <w:rsid w:val="00783550"/>
    <w:rsid w:val="0078365E"/>
    <w:rsid w:val="0078374F"/>
    <w:rsid w:val="0078422D"/>
    <w:rsid w:val="00784650"/>
    <w:rsid w:val="00785469"/>
    <w:rsid w:val="00785614"/>
    <w:rsid w:val="007856E6"/>
    <w:rsid w:val="007862FE"/>
    <w:rsid w:val="00786318"/>
    <w:rsid w:val="00786390"/>
    <w:rsid w:val="007864CA"/>
    <w:rsid w:val="00787578"/>
    <w:rsid w:val="00787729"/>
    <w:rsid w:val="00787B0F"/>
    <w:rsid w:val="00787F69"/>
    <w:rsid w:val="007900C8"/>
    <w:rsid w:val="0079022A"/>
    <w:rsid w:val="0079035C"/>
    <w:rsid w:val="0079078A"/>
    <w:rsid w:val="00790A4A"/>
    <w:rsid w:val="00790ECD"/>
    <w:rsid w:val="00791460"/>
    <w:rsid w:val="007917EF"/>
    <w:rsid w:val="00791922"/>
    <w:rsid w:val="00792483"/>
    <w:rsid w:val="00792B0B"/>
    <w:rsid w:val="007932B5"/>
    <w:rsid w:val="00793533"/>
    <w:rsid w:val="00794491"/>
    <w:rsid w:val="0079496F"/>
    <w:rsid w:val="007949EC"/>
    <w:rsid w:val="00794B23"/>
    <w:rsid w:val="007950B2"/>
    <w:rsid w:val="00795536"/>
    <w:rsid w:val="007955B1"/>
    <w:rsid w:val="00795D3E"/>
    <w:rsid w:val="007961E6"/>
    <w:rsid w:val="007966BE"/>
    <w:rsid w:val="00796E7E"/>
    <w:rsid w:val="0079712A"/>
    <w:rsid w:val="0079722E"/>
    <w:rsid w:val="0079780E"/>
    <w:rsid w:val="00797997"/>
    <w:rsid w:val="007A04E4"/>
    <w:rsid w:val="007A062A"/>
    <w:rsid w:val="007A08CA"/>
    <w:rsid w:val="007A0E0E"/>
    <w:rsid w:val="007A1057"/>
    <w:rsid w:val="007A1197"/>
    <w:rsid w:val="007A1349"/>
    <w:rsid w:val="007A1654"/>
    <w:rsid w:val="007A1B5D"/>
    <w:rsid w:val="007A1D4F"/>
    <w:rsid w:val="007A1ED7"/>
    <w:rsid w:val="007A22F9"/>
    <w:rsid w:val="007A2400"/>
    <w:rsid w:val="007A29CA"/>
    <w:rsid w:val="007A2C17"/>
    <w:rsid w:val="007A31B7"/>
    <w:rsid w:val="007A34F0"/>
    <w:rsid w:val="007A3957"/>
    <w:rsid w:val="007A3C27"/>
    <w:rsid w:val="007A3C4B"/>
    <w:rsid w:val="007A40E2"/>
    <w:rsid w:val="007A45A6"/>
    <w:rsid w:val="007A4B60"/>
    <w:rsid w:val="007A4CF2"/>
    <w:rsid w:val="007A53D6"/>
    <w:rsid w:val="007A63FF"/>
    <w:rsid w:val="007A64BA"/>
    <w:rsid w:val="007A66A1"/>
    <w:rsid w:val="007A67D6"/>
    <w:rsid w:val="007A6842"/>
    <w:rsid w:val="007A748F"/>
    <w:rsid w:val="007A7522"/>
    <w:rsid w:val="007A7591"/>
    <w:rsid w:val="007A75CF"/>
    <w:rsid w:val="007A7757"/>
    <w:rsid w:val="007B01E8"/>
    <w:rsid w:val="007B0677"/>
    <w:rsid w:val="007B0A91"/>
    <w:rsid w:val="007B100C"/>
    <w:rsid w:val="007B1148"/>
    <w:rsid w:val="007B1430"/>
    <w:rsid w:val="007B18A5"/>
    <w:rsid w:val="007B1AC1"/>
    <w:rsid w:val="007B2B0C"/>
    <w:rsid w:val="007B2C5F"/>
    <w:rsid w:val="007B2DC7"/>
    <w:rsid w:val="007B2FBD"/>
    <w:rsid w:val="007B309C"/>
    <w:rsid w:val="007B3BA0"/>
    <w:rsid w:val="007B46B9"/>
    <w:rsid w:val="007B498C"/>
    <w:rsid w:val="007B4E02"/>
    <w:rsid w:val="007B553A"/>
    <w:rsid w:val="007B6245"/>
    <w:rsid w:val="007B6924"/>
    <w:rsid w:val="007B79CE"/>
    <w:rsid w:val="007B79E6"/>
    <w:rsid w:val="007C055B"/>
    <w:rsid w:val="007C05E5"/>
    <w:rsid w:val="007C088E"/>
    <w:rsid w:val="007C0948"/>
    <w:rsid w:val="007C0E64"/>
    <w:rsid w:val="007C0EF2"/>
    <w:rsid w:val="007C19C4"/>
    <w:rsid w:val="007C1D16"/>
    <w:rsid w:val="007C1D86"/>
    <w:rsid w:val="007C1E01"/>
    <w:rsid w:val="007C2EE5"/>
    <w:rsid w:val="007C2F04"/>
    <w:rsid w:val="007C34C4"/>
    <w:rsid w:val="007C3530"/>
    <w:rsid w:val="007C389D"/>
    <w:rsid w:val="007C3C40"/>
    <w:rsid w:val="007C3F78"/>
    <w:rsid w:val="007C40EC"/>
    <w:rsid w:val="007C4176"/>
    <w:rsid w:val="007C43B0"/>
    <w:rsid w:val="007C48B9"/>
    <w:rsid w:val="007C49AC"/>
    <w:rsid w:val="007C5750"/>
    <w:rsid w:val="007C5D7D"/>
    <w:rsid w:val="007C5E0B"/>
    <w:rsid w:val="007C618C"/>
    <w:rsid w:val="007C6483"/>
    <w:rsid w:val="007C6607"/>
    <w:rsid w:val="007C668E"/>
    <w:rsid w:val="007C6733"/>
    <w:rsid w:val="007C70F9"/>
    <w:rsid w:val="007C726D"/>
    <w:rsid w:val="007C7C81"/>
    <w:rsid w:val="007C7C93"/>
    <w:rsid w:val="007C7E70"/>
    <w:rsid w:val="007D0244"/>
    <w:rsid w:val="007D05BC"/>
    <w:rsid w:val="007D0987"/>
    <w:rsid w:val="007D0B38"/>
    <w:rsid w:val="007D13C3"/>
    <w:rsid w:val="007D15FE"/>
    <w:rsid w:val="007D18DF"/>
    <w:rsid w:val="007D1AE2"/>
    <w:rsid w:val="007D1BDA"/>
    <w:rsid w:val="007D1DFC"/>
    <w:rsid w:val="007D251A"/>
    <w:rsid w:val="007D279B"/>
    <w:rsid w:val="007D2B98"/>
    <w:rsid w:val="007D2F7E"/>
    <w:rsid w:val="007D3126"/>
    <w:rsid w:val="007D39CE"/>
    <w:rsid w:val="007D3B53"/>
    <w:rsid w:val="007D3EC2"/>
    <w:rsid w:val="007D4146"/>
    <w:rsid w:val="007D42C6"/>
    <w:rsid w:val="007D44C4"/>
    <w:rsid w:val="007D4CAA"/>
    <w:rsid w:val="007D4D7C"/>
    <w:rsid w:val="007D50B9"/>
    <w:rsid w:val="007D5C02"/>
    <w:rsid w:val="007D6987"/>
    <w:rsid w:val="007D7E0A"/>
    <w:rsid w:val="007D7EE3"/>
    <w:rsid w:val="007D7F5D"/>
    <w:rsid w:val="007D7F74"/>
    <w:rsid w:val="007E0113"/>
    <w:rsid w:val="007E12CD"/>
    <w:rsid w:val="007E146D"/>
    <w:rsid w:val="007E1669"/>
    <w:rsid w:val="007E207B"/>
    <w:rsid w:val="007E22DF"/>
    <w:rsid w:val="007E24A3"/>
    <w:rsid w:val="007E24CE"/>
    <w:rsid w:val="007E2903"/>
    <w:rsid w:val="007E297C"/>
    <w:rsid w:val="007E3BF4"/>
    <w:rsid w:val="007E3F8F"/>
    <w:rsid w:val="007E4250"/>
    <w:rsid w:val="007E467D"/>
    <w:rsid w:val="007E4881"/>
    <w:rsid w:val="007E48AB"/>
    <w:rsid w:val="007E490A"/>
    <w:rsid w:val="007E4F1C"/>
    <w:rsid w:val="007E519A"/>
    <w:rsid w:val="007E5640"/>
    <w:rsid w:val="007E56BC"/>
    <w:rsid w:val="007E5844"/>
    <w:rsid w:val="007E58AE"/>
    <w:rsid w:val="007E5DD4"/>
    <w:rsid w:val="007E6100"/>
    <w:rsid w:val="007E6185"/>
    <w:rsid w:val="007E6AE6"/>
    <w:rsid w:val="007E6C10"/>
    <w:rsid w:val="007E6DE3"/>
    <w:rsid w:val="007E6E53"/>
    <w:rsid w:val="007E6F1A"/>
    <w:rsid w:val="007E72FB"/>
    <w:rsid w:val="007E755D"/>
    <w:rsid w:val="007E7613"/>
    <w:rsid w:val="007E7CD6"/>
    <w:rsid w:val="007F0574"/>
    <w:rsid w:val="007F0A88"/>
    <w:rsid w:val="007F120A"/>
    <w:rsid w:val="007F15A6"/>
    <w:rsid w:val="007F196A"/>
    <w:rsid w:val="007F1A88"/>
    <w:rsid w:val="007F1CE1"/>
    <w:rsid w:val="007F239C"/>
    <w:rsid w:val="007F23E6"/>
    <w:rsid w:val="007F2456"/>
    <w:rsid w:val="007F2704"/>
    <w:rsid w:val="007F2798"/>
    <w:rsid w:val="007F2B6B"/>
    <w:rsid w:val="007F2E81"/>
    <w:rsid w:val="007F325E"/>
    <w:rsid w:val="007F352D"/>
    <w:rsid w:val="007F391B"/>
    <w:rsid w:val="007F4097"/>
    <w:rsid w:val="007F40EC"/>
    <w:rsid w:val="007F42B0"/>
    <w:rsid w:val="007F4AF3"/>
    <w:rsid w:val="007F4B00"/>
    <w:rsid w:val="007F5317"/>
    <w:rsid w:val="007F53B9"/>
    <w:rsid w:val="007F55F5"/>
    <w:rsid w:val="007F5915"/>
    <w:rsid w:val="007F5B5C"/>
    <w:rsid w:val="007F6394"/>
    <w:rsid w:val="007F646A"/>
    <w:rsid w:val="007F70AA"/>
    <w:rsid w:val="007F7406"/>
    <w:rsid w:val="007F74B2"/>
    <w:rsid w:val="007F75E3"/>
    <w:rsid w:val="007F766D"/>
    <w:rsid w:val="007F7F73"/>
    <w:rsid w:val="00800204"/>
    <w:rsid w:val="00800516"/>
    <w:rsid w:val="00801AD6"/>
    <w:rsid w:val="00802046"/>
    <w:rsid w:val="008020CA"/>
    <w:rsid w:val="0080259A"/>
    <w:rsid w:val="008027B8"/>
    <w:rsid w:val="0080282E"/>
    <w:rsid w:val="008033C3"/>
    <w:rsid w:val="008033FE"/>
    <w:rsid w:val="00803903"/>
    <w:rsid w:val="00804139"/>
    <w:rsid w:val="008046B3"/>
    <w:rsid w:val="00804DEF"/>
    <w:rsid w:val="0080529E"/>
    <w:rsid w:val="0080552E"/>
    <w:rsid w:val="00805B7A"/>
    <w:rsid w:val="0080679D"/>
    <w:rsid w:val="00806D30"/>
    <w:rsid w:val="00807106"/>
    <w:rsid w:val="00807309"/>
    <w:rsid w:val="00810105"/>
    <w:rsid w:val="00810189"/>
    <w:rsid w:val="00810D39"/>
    <w:rsid w:val="00811250"/>
    <w:rsid w:val="0081158A"/>
    <w:rsid w:val="00811613"/>
    <w:rsid w:val="00811C01"/>
    <w:rsid w:val="00811C28"/>
    <w:rsid w:val="00811CF7"/>
    <w:rsid w:val="00812390"/>
    <w:rsid w:val="00812617"/>
    <w:rsid w:val="008126B8"/>
    <w:rsid w:val="00812CBE"/>
    <w:rsid w:val="00812E72"/>
    <w:rsid w:val="00813203"/>
    <w:rsid w:val="0081324E"/>
    <w:rsid w:val="00813437"/>
    <w:rsid w:val="0081347E"/>
    <w:rsid w:val="00813857"/>
    <w:rsid w:val="00813BFC"/>
    <w:rsid w:val="00813DA8"/>
    <w:rsid w:val="00813EF6"/>
    <w:rsid w:val="00813F5D"/>
    <w:rsid w:val="0081445F"/>
    <w:rsid w:val="008144FE"/>
    <w:rsid w:val="008149BA"/>
    <w:rsid w:val="00814CF6"/>
    <w:rsid w:val="00814E79"/>
    <w:rsid w:val="008151B2"/>
    <w:rsid w:val="00815346"/>
    <w:rsid w:val="0081557C"/>
    <w:rsid w:val="00816A07"/>
    <w:rsid w:val="00816C6F"/>
    <w:rsid w:val="00816E58"/>
    <w:rsid w:val="0081730C"/>
    <w:rsid w:val="0081739D"/>
    <w:rsid w:val="00817526"/>
    <w:rsid w:val="008203C0"/>
    <w:rsid w:val="008204FA"/>
    <w:rsid w:val="0082057F"/>
    <w:rsid w:val="00820829"/>
    <w:rsid w:val="00820AC0"/>
    <w:rsid w:val="00820E5C"/>
    <w:rsid w:val="00821266"/>
    <w:rsid w:val="00821ED3"/>
    <w:rsid w:val="008222AC"/>
    <w:rsid w:val="008225BA"/>
    <w:rsid w:val="00822B34"/>
    <w:rsid w:val="0082364E"/>
    <w:rsid w:val="00823C9B"/>
    <w:rsid w:val="00824D16"/>
    <w:rsid w:val="00824FEA"/>
    <w:rsid w:val="00825348"/>
    <w:rsid w:val="00825917"/>
    <w:rsid w:val="00825FDD"/>
    <w:rsid w:val="0082603F"/>
    <w:rsid w:val="0082667F"/>
    <w:rsid w:val="008269E4"/>
    <w:rsid w:val="00826D07"/>
    <w:rsid w:val="008273C3"/>
    <w:rsid w:val="00827E24"/>
    <w:rsid w:val="00830DD9"/>
    <w:rsid w:val="00830E7E"/>
    <w:rsid w:val="00831230"/>
    <w:rsid w:val="008312A0"/>
    <w:rsid w:val="0083141C"/>
    <w:rsid w:val="008315D7"/>
    <w:rsid w:val="0083186F"/>
    <w:rsid w:val="00831872"/>
    <w:rsid w:val="00831FC3"/>
    <w:rsid w:val="008324E3"/>
    <w:rsid w:val="00832DBA"/>
    <w:rsid w:val="008330BF"/>
    <w:rsid w:val="0083314C"/>
    <w:rsid w:val="00833A3E"/>
    <w:rsid w:val="00833ED9"/>
    <w:rsid w:val="008341ED"/>
    <w:rsid w:val="00834249"/>
    <w:rsid w:val="008343DE"/>
    <w:rsid w:val="008348B0"/>
    <w:rsid w:val="00834976"/>
    <w:rsid w:val="008349E7"/>
    <w:rsid w:val="00834E7E"/>
    <w:rsid w:val="00835003"/>
    <w:rsid w:val="008353FE"/>
    <w:rsid w:val="00835618"/>
    <w:rsid w:val="0083594B"/>
    <w:rsid w:val="00835C3C"/>
    <w:rsid w:val="00835E34"/>
    <w:rsid w:val="0083604E"/>
    <w:rsid w:val="008363E6"/>
    <w:rsid w:val="008379F2"/>
    <w:rsid w:val="00837EDF"/>
    <w:rsid w:val="0084012E"/>
    <w:rsid w:val="00840302"/>
    <w:rsid w:val="0084031C"/>
    <w:rsid w:val="0084044E"/>
    <w:rsid w:val="0084049B"/>
    <w:rsid w:val="00840A6E"/>
    <w:rsid w:val="0084115F"/>
    <w:rsid w:val="008412ED"/>
    <w:rsid w:val="008416B4"/>
    <w:rsid w:val="00841975"/>
    <w:rsid w:val="00841FBE"/>
    <w:rsid w:val="0084279E"/>
    <w:rsid w:val="00842B22"/>
    <w:rsid w:val="00842C6A"/>
    <w:rsid w:val="008430A9"/>
    <w:rsid w:val="0084325A"/>
    <w:rsid w:val="00843327"/>
    <w:rsid w:val="00843DF1"/>
    <w:rsid w:val="00843F0C"/>
    <w:rsid w:val="00843FA7"/>
    <w:rsid w:val="0084436D"/>
    <w:rsid w:val="00844BCB"/>
    <w:rsid w:val="00844D07"/>
    <w:rsid w:val="00845240"/>
    <w:rsid w:val="00845827"/>
    <w:rsid w:val="00845CDF"/>
    <w:rsid w:val="008465AF"/>
    <w:rsid w:val="008467AB"/>
    <w:rsid w:val="00846B49"/>
    <w:rsid w:val="008470A0"/>
    <w:rsid w:val="00847737"/>
    <w:rsid w:val="00847D64"/>
    <w:rsid w:val="00847E60"/>
    <w:rsid w:val="00850510"/>
    <w:rsid w:val="0085093F"/>
    <w:rsid w:val="00850AE5"/>
    <w:rsid w:val="00851238"/>
    <w:rsid w:val="008513DC"/>
    <w:rsid w:val="00851DC3"/>
    <w:rsid w:val="00852210"/>
    <w:rsid w:val="00852A7F"/>
    <w:rsid w:val="00853140"/>
    <w:rsid w:val="0085346A"/>
    <w:rsid w:val="00853A11"/>
    <w:rsid w:val="00854846"/>
    <w:rsid w:val="00854CA3"/>
    <w:rsid w:val="008551B0"/>
    <w:rsid w:val="00856025"/>
    <w:rsid w:val="00856293"/>
    <w:rsid w:val="00856754"/>
    <w:rsid w:val="008571E7"/>
    <w:rsid w:val="0085777C"/>
    <w:rsid w:val="00857C61"/>
    <w:rsid w:val="00857CB8"/>
    <w:rsid w:val="00857E67"/>
    <w:rsid w:val="008601E3"/>
    <w:rsid w:val="00860294"/>
    <w:rsid w:val="00860AB2"/>
    <w:rsid w:val="00860D14"/>
    <w:rsid w:val="00860D6A"/>
    <w:rsid w:val="00861261"/>
    <w:rsid w:val="008615D8"/>
    <w:rsid w:val="00861A4B"/>
    <w:rsid w:val="00861E3F"/>
    <w:rsid w:val="00862171"/>
    <w:rsid w:val="008621B6"/>
    <w:rsid w:val="00862374"/>
    <w:rsid w:val="00862D00"/>
    <w:rsid w:val="008630B0"/>
    <w:rsid w:val="00863945"/>
    <w:rsid w:val="00864D96"/>
    <w:rsid w:val="00865A96"/>
    <w:rsid w:val="00865CC2"/>
    <w:rsid w:val="00866402"/>
    <w:rsid w:val="00866425"/>
    <w:rsid w:val="008664C0"/>
    <w:rsid w:val="00866505"/>
    <w:rsid w:val="00866C8E"/>
    <w:rsid w:val="0086705E"/>
    <w:rsid w:val="00867315"/>
    <w:rsid w:val="0086789A"/>
    <w:rsid w:val="0086791D"/>
    <w:rsid w:val="0086795E"/>
    <w:rsid w:val="00867AC8"/>
    <w:rsid w:val="00867BDC"/>
    <w:rsid w:val="00867C57"/>
    <w:rsid w:val="008704CA"/>
    <w:rsid w:val="00870767"/>
    <w:rsid w:val="0087086A"/>
    <w:rsid w:val="00870930"/>
    <w:rsid w:val="00870FBD"/>
    <w:rsid w:val="008714C6"/>
    <w:rsid w:val="00871568"/>
    <w:rsid w:val="0087180F"/>
    <w:rsid w:val="00871F13"/>
    <w:rsid w:val="008728F6"/>
    <w:rsid w:val="008729D8"/>
    <w:rsid w:val="00872B70"/>
    <w:rsid w:val="00872B8A"/>
    <w:rsid w:val="0087360A"/>
    <w:rsid w:val="0087383B"/>
    <w:rsid w:val="00873883"/>
    <w:rsid w:val="00873BDF"/>
    <w:rsid w:val="00873EAF"/>
    <w:rsid w:val="008743CF"/>
    <w:rsid w:val="0087457B"/>
    <w:rsid w:val="00874981"/>
    <w:rsid w:val="00874FE5"/>
    <w:rsid w:val="00875ABD"/>
    <w:rsid w:val="00876A46"/>
    <w:rsid w:val="00876A96"/>
    <w:rsid w:val="00876B67"/>
    <w:rsid w:val="00877036"/>
    <w:rsid w:val="008770EC"/>
    <w:rsid w:val="00877106"/>
    <w:rsid w:val="00877DC8"/>
    <w:rsid w:val="00880295"/>
    <w:rsid w:val="00880B4B"/>
    <w:rsid w:val="00880DAA"/>
    <w:rsid w:val="008810F4"/>
    <w:rsid w:val="008814BA"/>
    <w:rsid w:val="008818D0"/>
    <w:rsid w:val="00881AF7"/>
    <w:rsid w:val="00881C61"/>
    <w:rsid w:val="00882629"/>
    <w:rsid w:val="008827CC"/>
    <w:rsid w:val="00883298"/>
    <w:rsid w:val="0088358B"/>
    <w:rsid w:val="008838A3"/>
    <w:rsid w:val="00884CA7"/>
    <w:rsid w:val="00884D89"/>
    <w:rsid w:val="00884E6E"/>
    <w:rsid w:val="00885A50"/>
    <w:rsid w:val="00885ACA"/>
    <w:rsid w:val="008862B9"/>
    <w:rsid w:val="00886315"/>
    <w:rsid w:val="00886497"/>
    <w:rsid w:val="00886903"/>
    <w:rsid w:val="008872DE"/>
    <w:rsid w:val="008873E9"/>
    <w:rsid w:val="008876A2"/>
    <w:rsid w:val="00890040"/>
    <w:rsid w:val="00890197"/>
    <w:rsid w:val="00890925"/>
    <w:rsid w:val="00890B80"/>
    <w:rsid w:val="00890F72"/>
    <w:rsid w:val="0089128A"/>
    <w:rsid w:val="00891832"/>
    <w:rsid w:val="008921A7"/>
    <w:rsid w:val="0089247E"/>
    <w:rsid w:val="00893010"/>
    <w:rsid w:val="008934AE"/>
    <w:rsid w:val="00893DCF"/>
    <w:rsid w:val="008940E5"/>
    <w:rsid w:val="00894656"/>
    <w:rsid w:val="008946B9"/>
    <w:rsid w:val="00894C8E"/>
    <w:rsid w:val="00894E37"/>
    <w:rsid w:val="00895343"/>
    <w:rsid w:val="0089578D"/>
    <w:rsid w:val="0089628F"/>
    <w:rsid w:val="00896409"/>
    <w:rsid w:val="00896E6E"/>
    <w:rsid w:val="00897C8D"/>
    <w:rsid w:val="008A0176"/>
    <w:rsid w:val="008A0191"/>
    <w:rsid w:val="008A03BD"/>
    <w:rsid w:val="008A0836"/>
    <w:rsid w:val="008A113F"/>
    <w:rsid w:val="008A15A3"/>
    <w:rsid w:val="008A160F"/>
    <w:rsid w:val="008A1A04"/>
    <w:rsid w:val="008A1A05"/>
    <w:rsid w:val="008A1D6D"/>
    <w:rsid w:val="008A1FF1"/>
    <w:rsid w:val="008A23B4"/>
    <w:rsid w:val="008A265D"/>
    <w:rsid w:val="008A26DF"/>
    <w:rsid w:val="008A2FF6"/>
    <w:rsid w:val="008A3054"/>
    <w:rsid w:val="008A31C1"/>
    <w:rsid w:val="008A3328"/>
    <w:rsid w:val="008A34C3"/>
    <w:rsid w:val="008A3DEC"/>
    <w:rsid w:val="008A46D7"/>
    <w:rsid w:val="008A4826"/>
    <w:rsid w:val="008A49CA"/>
    <w:rsid w:val="008A49F7"/>
    <w:rsid w:val="008A4C76"/>
    <w:rsid w:val="008A4CC0"/>
    <w:rsid w:val="008A4EED"/>
    <w:rsid w:val="008A53A8"/>
    <w:rsid w:val="008A66B6"/>
    <w:rsid w:val="008A7077"/>
    <w:rsid w:val="008A7641"/>
    <w:rsid w:val="008A7E7C"/>
    <w:rsid w:val="008B0836"/>
    <w:rsid w:val="008B150D"/>
    <w:rsid w:val="008B2046"/>
    <w:rsid w:val="008B350A"/>
    <w:rsid w:val="008B36C2"/>
    <w:rsid w:val="008B3B67"/>
    <w:rsid w:val="008B48D4"/>
    <w:rsid w:val="008B4910"/>
    <w:rsid w:val="008B4AB2"/>
    <w:rsid w:val="008B4BAA"/>
    <w:rsid w:val="008B4CF5"/>
    <w:rsid w:val="008B514B"/>
    <w:rsid w:val="008B5183"/>
    <w:rsid w:val="008B56C9"/>
    <w:rsid w:val="008B59A0"/>
    <w:rsid w:val="008B5D16"/>
    <w:rsid w:val="008B5FC5"/>
    <w:rsid w:val="008B601B"/>
    <w:rsid w:val="008B6763"/>
    <w:rsid w:val="008B76DA"/>
    <w:rsid w:val="008B797C"/>
    <w:rsid w:val="008B7A59"/>
    <w:rsid w:val="008B7A99"/>
    <w:rsid w:val="008B7B0C"/>
    <w:rsid w:val="008B7EC5"/>
    <w:rsid w:val="008C0614"/>
    <w:rsid w:val="008C0664"/>
    <w:rsid w:val="008C06F3"/>
    <w:rsid w:val="008C072D"/>
    <w:rsid w:val="008C14D7"/>
    <w:rsid w:val="008C1C1C"/>
    <w:rsid w:val="008C1CDF"/>
    <w:rsid w:val="008C1F91"/>
    <w:rsid w:val="008C1FA8"/>
    <w:rsid w:val="008C30F2"/>
    <w:rsid w:val="008C3C42"/>
    <w:rsid w:val="008C3F00"/>
    <w:rsid w:val="008C3F90"/>
    <w:rsid w:val="008C4812"/>
    <w:rsid w:val="008C4A3A"/>
    <w:rsid w:val="008C54C3"/>
    <w:rsid w:val="008C5754"/>
    <w:rsid w:val="008C5896"/>
    <w:rsid w:val="008C5BA3"/>
    <w:rsid w:val="008C62BE"/>
    <w:rsid w:val="008C6461"/>
    <w:rsid w:val="008C6B5E"/>
    <w:rsid w:val="008C6C35"/>
    <w:rsid w:val="008C7A13"/>
    <w:rsid w:val="008D027C"/>
    <w:rsid w:val="008D07F6"/>
    <w:rsid w:val="008D0951"/>
    <w:rsid w:val="008D0A0E"/>
    <w:rsid w:val="008D2181"/>
    <w:rsid w:val="008D230E"/>
    <w:rsid w:val="008D2BCC"/>
    <w:rsid w:val="008D2F65"/>
    <w:rsid w:val="008D313B"/>
    <w:rsid w:val="008D381A"/>
    <w:rsid w:val="008D381D"/>
    <w:rsid w:val="008D49BB"/>
    <w:rsid w:val="008D4B68"/>
    <w:rsid w:val="008D4B94"/>
    <w:rsid w:val="008D5035"/>
    <w:rsid w:val="008D520F"/>
    <w:rsid w:val="008D562A"/>
    <w:rsid w:val="008D5A72"/>
    <w:rsid w:val="008D5F5E"/>
    <w:rsid w:val="008D6124"/>
    <w:rsid w:val="008D6130"/>
    <w:rsid w:val="008D655F"/>
    <w:rsid w:val="008D65CB"/>
    <w:rsid w:val="008D6D79"/>
    <w:rsid w:val="008D7339"/>
    <w:rsid w:val="008D77C2"/>
    <w:rsid w:val="008D77C5"/>
    <w:rsid w:val="008D792E"/>
    <w:rsid w:val="008D7A23"/>
    <w:rsid w:val="008D7FE9"/>
    <w:rsid w:val="008E00DF"/>
    <w:rsid w:val="008E02AA"/>
    <w:rsid w:val="008E0642"/>
    <w:rsid w:val="008E077B"/>
    <w:rsid w:val="008E0A08"/>
    <w:rsid w:val="008E0B9F"/>
    <w:rsid w:val="008E0CC6"/>
    <w:rsid w:val="008E0CE6"/>
    <w:rsid w:val="008E18AD"/>
    <w:rsid w:val="008E1AA9"/>
    <w:rsid w:val="008E1C89"/>
    <w:rsid w:val="008E1CBC"/>
    <w:rsid w:val="008E2479"/>
    <w:rsid w:val="008E2B4A"/>
    <w:rsid w:val="008E3663"/>
    <w:rsid w:val="008E369E"/>
    <w:rsid w:val="008E4679"/>
    <w:rsid w:val="008E4736"/>
    <w:rsid w:val="008E498B"/>
    <w:rsid w:val="008E4E1E"/>
    <w:rsid w:val="008E56BF"/>
    <w:rsid w:val="008E58FF"/>
    <w:rsid w:val="008E5DA3"/>
    <w:rsid w:val="008E5E28"/>
    <w:rsid w:val="008E5FBA"/>
    <w:rsid w:val="008E62DB"/>
    <w:rsid w:val="008E6938"/>
    <w:rsid w:val="008E6E48"/>
    <w:rsid w:val="008E71A5"/>
    <w:rsid w:val="008E7F33"/>
    <w:rsid w:val="008F0153"/>
    <w:rsid w:val="008F0508"/>
    <w:rsid w:val="008F0BC4"/>
    <w:rsid w:val="008F117B"/>
    <w:rsid w:val="008F1B3E"/>
    <w:rsid w:val="008F1F64"/>
    <w:rsid w:val="008F24F1"/>
    <w:rsid w:val="008F2934"/>
    <w:rsid w:val="008F2DA2"/>
    <w:rsid w:val="008F2E27"/>
    <w:rsid w:val="008F310C"/>
    <w:rsid w:val="008F44BC"/>
    <w:rsid w:val="008F46EE"/>
    <w:rsid w:val="008F4798"/>
    <w:rsid w:val="008F490C"/>
    <w:rsid w:val="008F4BB3"/>
    <w:rsid w:val="008F4DAA"/>
    <w:rsid w:val="008F6632"/>
    <w:rsid w:val="008F6EA5"/>
    <w:rsid w:val="008F7230"/>
    <w:rsid w:val="008F73A9"/>
    <w:rsid w:val="008F76D5"/>
    <w:rsid w:val="008F7D80"/>
    <w:rsid w:val="008F7F32"/>
    <w:rsid w:val="00901331"/>
    <w:rsid w:val="009013D4"/>
    <w:rsid w:val="0090153E"/>
    <w:rsid w:val="00901897"/>
    <w:rsid w:val="00902397"/>
    <w:rsid w:val="00902664"/>
    <w:rsid w:val="0090292C"/>
    <w:rsid w:val="00902CF1"/>
    <w:rsid w:val="00902E90"/>
    <w:rsid w:val="00903359"/>
    <w:rsid w:val="009034A4"/>
    <w:rsid w:val="00903D51"/>
    <w:rsid w:val="00904119"/>
    <w:rsid w:val="00904187"/>
    <w:rsid w:val="00904232"/>
    <w:rsid w:val="00904246"/>
    <w:rsid w:val="0090450E"/>
    <w:rsid w:val="00904871"/>
    <w:rsid w:val="00904F96"/>
    <w:rsid w:val="0090552B"/>
    <w:rsid w:val="00905668"/>
    <w:rsid w:val="009059FD"/>
    <w:rsid w:val="00906654"/>
    <w:rsid w:val="00906808"/>
    <w:rsid w:val="00906C63"/>
    <w:rsid w:val="00906D08"/>
    <w:rsid w:val="00906E8F"/>
    <w:rsid w:val="0090721E"/>
    <w:rsid w:val="0090755D"/>
    <w:rsid w:val="00907808"/>
    <w:rsid w:val="00907DD2"/>
    <w:rsid w:val="009107FE"/>
    <w:rsid w:val="00910C92"/>
    <w:rsid w:val="00911271"/>
    <w:rsid w:val="00911643"/>
    <w:rsid w:val="00911D19"/>
    <w:rsid w:val="009121D7"/>
    <w:rsid w:val="00912554"/>
    <w:rsid w:val="009127B0"/>
    <w:rsid w:val="00912B31"/>
    <w:rsid w:val="00913200"/>
    <w:rsid w:val="0091376A"/>
    <w:rsid w:val="00913A67"/>
    <w:rsid w:val="00913B78"/>
    <w:rsid w:val="0091440A"/>
    <w:rsid w:val="00914E7F"/>
    <w:rsid w:val="00914FA0"/>
    <w:rsid w:val="009158DF"/>
    <w:rsid w:val="00915F3D"/>
    <w:rsid w:val="00915FD8"/>
    <w:rsid w:val="00916072"/>
    <w:rsid w:val="009160FB"/>
    <w:rsid w:val="0091645E"/>
    <w:rsid w:val="00916785"/>
    <w:rsid w:val="009172AF"/>
    <w:rsid w:val="0091775D"/>
    <w:rsid w:val="00917D91"/>
    <w:rsid w:val="0092005D"/>
    <w:rsid w:val="00920135"/>
    <w:rsid w:val="00920BDB"/>
    <w:rsid w:val="00920E6B"/>
    <w:rsid w:val="00921B54"/>
    <w:rsid w:val="00921D7F"/>
    <w:rsid w:val="00921FAA"/>
    <w:rsid w:val="0092230C"/>
    <w:rsid w:val="00922B87"/>
    <w:rsid w:val="0092312B"/>
    <w:rsid w:val="00923278"/>
    <w:rsid w:val="00923633"/>
    <w:rsid w:val="00923725"/>
    <w:rsid w:val="00923D0D"/>
    <w:rsid w:val="0092400A"/>
    <w:rsid w:val="00924384"/>
    <w:rsid w:val="0092441A"/>
    <w:rsid w:val="0092468E"/>
    <w:rsid w:val="0092476E"/>
    <w:rsid w:val="0092482A"/>
    <w:rsid w:val="00924D4E"/>
    <w:rsid w:val="0092527D"/>
    <w:rsid w:val="00925451"/>
    <w:rsid w:val="00925B64"/>
    <w:rsid w:val="00926311"/>
    <w:rsid w:val="00926363"/>
    <w:rsid w:val="00926AA4"/>
    <w:rsid w:val="00926B71"/>
    <w:rsid w:val="00926E9D"/>
    <w:rsid w:val="0092707C"/>
    <w:rsid w:val="0092726A"/>
    <w:rsid w:val="009273FF"/>
    <w:rsid w:val="009276CE"/>
    <w:rsid w:val="009277AD"/>
    <w:rsid w:val="00927ABA"/>
    <w:rsid w:val="00927DAB"/>
    <w:rsid w:val="00927F39"/>
    <w:rsid w:val="00930269"/>
    <w:rsid w:val="00930479"/>
    <w:rsid w:val="00930576"/>
    <w:rsid w:val="00930750"/>
    <w:rsid w:val="0093118E"/>
    <w:rsid w:val="009315FE"/>
    <w:rsid w:val="0093166E"/>
    <w:rsid w:val="009317ED"/>
    <w:rsid w:val="00931D82"/>
    <w:rsid w:val="00931F13"/>
    <w:rsid w:val="0093263E"/>
    <w:rsid w:val="0093276B"/>
    <w:rsid w:val="00933D6A"/>
    <w:rsid w:val="00933F4A"/>
    <w:rsid w:val="009348E8"/>
    <w:rsid w:val="00934952"/>
    <w:rsid w:val="00934A8D"/>
    <w:rsid w:val="00934AB7"/>
    <w:rsid w:val="009350ED"/>
    <w:rsid w:val="00935DF3"/>
    <w:rsid w:val="009363E5"/>
    <w:rsid w:val="00936534"/>
    <w:rsid w:val="00936C02"/>
    <w:rsid w:val="00936D3F"/>
    <w:rsid w:val="00936D60"/>
    <w:rsid w:val="00936E37"/>
    <w:rsid w:val="009374F1"/>
    <w:rsid w:val="00937703"/>
    <w:rsid w:val="00937A73"/>
    <w:rsid w:val="009402CE"/>
    <w:rsid w:val="009416E0"/>
    <w:rsid w:val="00941984"/>
    <w:rsid w:val="00941B6E"/>
    <w:rsid w:val="00941CA4"/>
    <w:rsid w:val="00941E2F"/>
    <w:rsid w:val="00941E8B"/>
    <w:rsid w:val="00941E90"/>
    <w:rsid w:val="00941F14"/>
    <w:rsid w:val="009420C1"/>
    <w:rsid w:val="00942463"/>
    <w:rsid w:val="00942492"/>
    <w:rsid w:val="009425DD"/>
    <w:rsid w:val="00942B30"/>
    <w:rsid w:val="00942BF3"/>
    <w:rsid w:val="00942E3E"/>
    <w:rsid w:val="009431F8"/>
    <w:rsid w:val="00943257"/>
    <w:rsid w:val="00943B97"/>
    <w:rsid w:val="00943CBE"/>
    <w:rsid w:val="00944173"/>
    <w:rsid w:val="009447B5"/>
    <w:rsid w:val="00945618"/>
    <w:rsid w:val="00945B98"/>
    <w:rsid w:val="00945D90"/>
    <w:rsid w:val="0094606F"/>
    <w:rsid w:val="009478E1"/>
    <w:rsid w:val="00950912"/>
    <w:rsid w:val="00950D12"/>
    <w:rsid w:val="00951261"/>
    <w:rsid w:val="0095134F"/>
    <w:rsid w:val="00951DE5"/>
    <w:rsid w:val="0095242D"/>
    <w:rsid w:val="00952D1F"/>
    <w:rsid w:val="00952FA0"/>
    <w:rsid w:val="0095304B"/>
    <w:rsid w:val="0095341D"/>
    <w:rsid w:val="00953BB7"/>
    <w:rsid w:val="00953F8F"/>
    <w:rsid w:val="0095492C"/>
    <w:rsid w:val="00955325"/>
    <w:rsid w:val="0095566B"/>
    <w:rsid w:val="00955BFB"/>
    <w:rsid w:val="00955DA1"/>
    <w:rsid w:val="00955E99"/>
    <w:rsid w:val="00956567"/>
    <w:rsid w:val="00956FA4"/>
    <w:rsid w:val="00957889"/>
    <w:rsid w:val="009603A1"/>
    <w:rsid w:val="00960FE9"/>
    <w:rsid w:val="009610AC"/>
    <w:rsid w:val="0096120D"/>
    <w:rsid w:val="009620BE"/>
    <w:rsid w:val="009623FD"/>
    <w:rsid w:val="0096299D"/>
    <w:rsid w:val="009634A1"/>
    <w:rsid w:val="0096405F"/>
    <w:rsid w:val="00964179"/>
    <w:rsid w:val="009643C8"/>
    <w:rsid w:val="0096488A"/>
    <w:rsid w:val="0096495F"/>
    <w:rsid w:val="009652C2"/>
    <w:rsid w:val="009652DC"/>
    <w:rsid w:val="00965820"/>
    <w:rsid w:val="0096585F"/>
    <w:rsid w:val="00965F90"/>
    <w:rsid w:val="00966078"/>
    <w:rsid w:val="00966331"/>
    <w:rsid w:val="00966A8A"/>
    <w:rsid w:val="00966D4A"/>
    <w:rsid w:val="00967031"/>
    <w:rsid w:val="009674A3"/>
    <w:rsid w:val="009675BF"/>
    <w:rsid w:val="00967A31"/>
    <w:rsid w:val="00967C38"/>
    <w:rsid w:val="00970055"/>
    <w:rsid w:val="009703A2"/>
    <w:rsid w:val="0097061F"/>
    <w:rsid w:val="009706C3"/>
    <w:rsid w:val="00970754"/>
    <w:rsid w:val="009710D3"/>
    <w:rsid w:val="009712DF"/>
    <w:rsid w:val="00971302"/>
    <w:rsid w:val="00972764"/>
    <w:rsid w:val="00972942"/>
    <w:rsid w:val="00973537"/>
    <w:rsid w:val="00973B3D"/>
    <w:rsid w:val="009748B7"/>
    <w:rsid w:val="0097519D"/>
    <w:rsid w:val="00975A15"/>
    <w:rsid w:val="00975E4C"/>
    <w:rsid w:val="00976762"/>
    <w:rsid w:val="009773EE"/>
    <w:rsid w:val="0097756E"/>
    <w:rsid w:val="00977687"/>
    <w:rsid w:val="0097792E"/>
    <w:rsid w:val="00977A7D"/>
    <w:rsid w:val="00980C99"/>
    <w:rsid w:val="00980FCD"/>
    <w:rsid w:val="009811C4"/>
    <w:rsid w:val="009812E4"/>
    <w:rsid w:val="009813DE"/>
    <w:rsid w:val="009817CF"/>
    <w:rsid w:val="00981B3C"/>
    <w:rsid w:val="00981BEB"/>
    <w:rsid w:val="00981E2D"/>
    <w:rsid w:val="00982C4E"/>
    <w:rsid w:val="00983025"/>
    <w:rsid w:val="0098311D"/>
    <w:rsid w:val="0098384B"/>
    <w:rsid w:val="00983C54"/>
    <w:rsid w:val="00984055"/>
    <w:rsid w:val="009845A6"/>
    <w:rsid w:val="00985587"/>
    <w:rsid w:val="0098569D"/>
    <w:rsid w:val="0098622B"/>
    <w:rsid w:val="0098626D"/>
    <w:rsid w:val="00986748"/>
    <w:rsid w:val="00986B17"/>
    <w:rsid w:val="00986F24"/>
    <w:rsid w:val="009870AA"/>
    <w:rsid w:val="00987AE5"/>
    <w:rsid w:val="00987C68"/>
    <w:rsid w:val="00987C9F"/>
    <w:rsid w:val="00990AB0"/>
    <w:rsid w:val="00991368"/>
    <w:rsid w:val="009919D8"/>
    <w:rsid w:val="00991BFC"/>
    <w:rsid w:val="00992090"/>
    <w:rsid w:val="009925F7"/>
    <w:rsid w:val="00992A5D"/>
    <w:rsid w:val="00993667"/>
    <w:rsid w:val="00993907"/>
    <w:rsid w:val="00993EF1"/>
    <w:rsid w:val="00994290"/>
    <w:rsid w:val="009942A4"/>
    <w:rsid w:val="00995343"/>
    <w:rsid w:val="0099622C"/>
    <w:rsid w:val="0099645D"/>
    <w:rsid w:val="00996850"/>
    <w:rsid w:val="00997573"/>
    <w:rsid w:val="0099768D"/>
    <w:rsid w:val="009976A6"/>
    <w:rsid w:val="00997893"/>
    <w:rsid w:val="009A0289"/>
    <w:rsid w:val="009A02B1"/>
    <w:rsid w:val="009A0566"/>
    <w:rsid w:val="009A0CA5"/>
    <w:rsid w:val="009A103B"/>
    <w:rsid w:val="009A1702"/>
    <w:rsid w:val="009A19A3"/>
    <w:rsid w:val="009A1F98"/>
    <w:rsid w:val="009A214C"/>
    <w:rsid w:val="009A267D"/>
    <w:rsid w:val="009A2D32"/>
    <w:rsid w:val="009A319B"/>
    <w:rsid w:val="009A3647"/>
    <w:rsid w:val="009A3BD9"/>
    <w:rsid w:val="009A3CF4"/>
    <w:rsid w:val="009A4156"/>
    <w:rsid w:val="009A4237"/>
    <w:rsid w:val="009A5088"/>
    <w:rsid w:val="009A50E5"/>
    <w:rsid w:val="009A5600"/>
    <w:rsid w:val="009A5755"/>
    <w:rsid w:val="009A5C4F"/>
    <w:rsid w:val="009A5ED2"/>
    <w:rsid w:val="009A6157"/>
    <w:rsid w:val="009A6A9B"/>
    <w:rsid w:val="009A6E9A"/>
    <w:rsid w:val="009A74F8"/>
    <w:rsid w:val="009A785F"/>
    <w:rsid w:val="009A7FEA"/>
    <w:rsid w:val="009B06B3"/>
    <w:rsid w:val="009B0828"/>
    <w:rsid w:val="009B10FD"/>
    <w:rsid w:val="009B1465"/>
    <w:rsid w:val="009B148F"/>
    <w:rsid w:val="009B1581"/>
    <w:rsid w:val="009B1E72"/>
    <w:rsid w:val="009B219B"/>
    <w:rsid w:val="009B2607"/>
    <w:rsid w:val="009B3540"/>
    <w:rsid w:val="009B386A"/>
    <w:rsid w:val="009B3B05"/>
    <w:rsid w:val="009B3C77"/>
    <w:rsid w:val="009B43FC"/>
    <w:rsid w:val="009B4738"/>
    <w:rsid w:val="009B57B3"/>
    <w:rsid w:val="009B59DC"/>
    <w:rsid w:val="009B5B9E"/>
    <w:rsid w:val="009B6040"/>
    <w:rsid w:val="009B60D4"/>
    <w:rsid w:val="009B6778"/>
    <w:rsid w:val="009B678D"/>
    <w:rsid w:val="009B6ABB"/>
    <w:rsid w:val="009B6B90"/>
    <w:rsid w:val="009B6FFA"/>
    <w:rsid w:val="009B71EA"/>
    <w:rsid w:val="009C01FF"/>
    <w:rsid w:val="009C1214"/>
    <w:rsid w:val="009C1432"/>
    <w:rsid w:val="009C16AC"/>
    <w:rsid w:val="009C1955"/>
    <w:rsid w:val="009C20EE"/>
    <w:rsid w:val="009C2945"/>
    <w:rsid w:val="009C295F"/>
    <w:rsid w:val="009C301F"/>
    <w:rsid w:val="009C304A"/>
    <w:rsid w:val="009C3736"/>
    <w:rsid w:val="009C389B"/>
    <w:rsid w:val="009C3A50"/>
    <w:rsid w:val="009C3CD0"/>
    <w:rsid w:val="009C4862"/>
    <w:rsid w:val="009C4CCE"/>
    <w:rsid w:val="009C5386"/>
    <w:rsid w:val="009C5484"/>
    <w:rsid w:val="009C54D5"/>
    <w:rsid w:val="009C559B"/>
    <w:rsid w:val="009C6098"/>
    <w:rsid w:val="009C6BE5"/>
    <w:rsid w:val="009C6CCA"/>
    <w:rsid w:val="009C6FA0"/>
    <w:rsid w:val="009C7016"/>
    <w:rsid w:val="009D08EC"/>
    <w:rsid w:val="009D1037"/>
    <w:rsid w:val="009D10CF"/>
    <w:rsid w:val="009D182C"/>
    <w:rsid w:val="009D24C5"/>
    <w:rsid w:val="009D254F"/>
    <w:rsid w:val="009D2713"/>
    <w:rsid w:val="009D355F"/>
    <w:rsid w:val="009D3780"/>
    <w:rsid w:val="009D3800"/>
    <w:rsid w:val="009D397E"/>
    <w:rsid w:val="009D3CEA"/>
    <w:rsid w:val="009D42AF"/>
    <w:rsid w:val="009D4806"/>
    <w:rsid w:val="009D4B10"/>
    <w:rsid w:val="009D504B"/>
    <w:rsid w:val="009D5159"/>
    <w:rsid w:val="009D5B22"/>
    <w:rsid w:val="009D5B30"/>
    <w:rsid w:val="009D6BD8"/>
    <w:rsid w:val="009D6FEE"/>
    <w:rsid w:val="009D7C97"/>
    <w:rsid w:val="009D7CE8"/>
    <w:rsid w:val="009D7EB8"/>
    <w:rsid w:val="009E0289"/>
    <w:rsid w:val="009E0447"/>
    <w:rsid w:val="009E060C"/>
    <w:rsid w:val="009E0D12"/>
    <w:rsid w:val="009E1123"/>
    <w:rsid w:val="009E11FD"/>
    <w:rsid w:val="009E1D5E"/>
    <w:rsid w:val="009E1F6A"/>
    <w:rsid w:val="009E2554"/>
    <w:rsid w:val="009E25C3"/>
    <w:rsid w:val="009E32AA"/>
    <w:rsid w:val="009E43A9"/>
    <w:rsid w:val="009E46A4"/>
    <w:rsid w:val="009E52D7"/>
    <w:rsid w:val="009E57D6"/>
    <w:rsid w:val="009E5BD7"/>
    <w:rsid w:val="009E6906"/>
    <w:rsid w:val="009E69F0"/>
    <w:rsid w:val="009E712F"/>
    <w:rsid w:val="009E715B"/>
    <w:rsid w:val="009E7304"/>
    <w:rsid w:val="009E753F"/>
    <w:rsid w:val="009E7696"/>
    <w:rsid w:val="009E775D"/>
    <w:rsid w:val="009E7923"/>
    <w:rsid w:val="009E7F05"/>
    <w:rsid w:val="009F018F"/>
    <w:rsid w:val="009F0793"/>
    <w:rsid w:val="009F0B0B"/>
    <w:rsid w:val="009F0CA6"/>
    <w:rsid w:val="009F1B47"/>
    <w:rsid w:val="009F20AA"/>
    <w:rsid w:val="009F2808"/>
    <w:rsid w:val="009F2E65"/>
    <w:rsid w:val="009F35C8"/>
    <w:rsid w:val="009F38B1"/>
    <w:rsid w:val="009F3BD4"/>
    <w:rsid w:val="009F44E6"/>
    <w:rsid w:val="009F469A"/>
    <w:rsid w:val="009F4763"/>
    <w:rsid w:val="009F485A"/>
    <w:rsid w:val="009F49B6"/>
    <w:rsid w:val="009F4DBB"/>
    <w:rsid w:val="009F53DB"/>
    <w:rsid w:val="009F57CC"/>
    <w:rsid w:val="009F66D1"/>
    <w:rsid w:val="009F6AF2"/>
    <w:rsid w:val="009F6D1C"/>
    <w:rsid w:val="009F6F55"/>
    <w:rsid w:val="009F7037"/>
    <w:rsid w:val="009F797B"/>
    <w:rsid w:val="009F7D01"/>
    <w:rsid w:val="00A00010"/>
    <w:rsid w:val="00A00033"/>
    <w:rsid w:val="00A00963"/>
    <w:rsid w:val="00A00F11"/>
    <w:rsid w:val="00A01F1B"/>
    <w:rsid w:val="00A02511"/>
    <w:rsid w:val="00A02900"/>
    <w:rsid w:val="00A02C0D"/>
    <w:rsid w:val="00A02D75"/>
    <w:rsid w:val="00A0370E"/>
    <w:rsid w:val="00A0371D"/>
    <w:rsid w:val="00A039D0"/>
    <w:rsid w:val="00A039F2"/>
    <w:rsid w:val="00A03D68"/>
    <w:rsid w:val="00A0458E"/>
    <w:rsid w:val="00A045AE"/>
    <w:rsid w:val="00A04607"/>
    <w:rsid w:val="00A04692"/>
    <w:rsid w:val="00A04800"/>
    <w:rsid w:val="00A04AED"/>
    <w:rsid w:val="00A054E6"/>
    <w:rsid w:val="00A06092"/>
    <w:rsid w:val="00A06EE9"/>
    <w:rsid w:val="00A072ED"/>
    <w:rsid w:val="00A07476"/>
    <w:rsid w:val="00A0762F"/>
    <w:rsid w:val="00A07DE6"/>
    <w:rsid w:val="00A100BE"/>
    <w:rsid w:val="00A10162"/>
    <w:rsid w:val="00A111EF"/>
    <w:rsid w:val="00A1136E"/>
    <w:rsid w:val="00A11FF6"/>
    <w:rsid w:val="00A121D3"/>
    <w:rsid w:val="00A12882"/>
    <w:rsid w:val="00A129FE"/>
    <w:rsid w:val="00A12D3A"/>
    <w:rsid w:val="00A13158"/>
    <w:rsid w:val="00A13246"/>
    <w:rsid w:val="00A135E4"/>
    <w:rsid w:val="00A138A9"/>
    <w:rsid w:val="00A139AA"/>
    <w:rsid w:val="00A13A73"/>
    <w:rsid w:val="00A141A7"/>
    <w:rsid w:val="00A141E3"/>
    <w:rsid w:val="00A14AEE"/>
    <w:rsid w:val="00A15F37"/>
    <w:rsid w:val="00A160A1"/>
    <w:rsid w:val="00A160DA"/>
    <w:rsid w:val="00A16619"/>
    <w:rsid w:val="00A1675E"/>
    <w:rsid w:val="00A16E32"/>
    <w:rsid w:val="00A1771E"/>
    <w:rsid w:val="00A17978"/>
    <w:rsid w:val="00A17BE9"/>
    <w:rsid w:val="00A17D8D"/>
    <w:rsid w:val="00A17F6A"/>
    <w:rsid w:val="00A200CD"/>
    <w:rsid w:val="00A204D4"/>
    <w:rsid w:val="00A2124E"/>
    <w:rsid w:val="00A21360"/>
    <w:rsid w:val="00A21415"/>
    <w:rsid w:val="00A21459"/>
    <w:rsid w:val="00A2184F"/>
    <w:rsid w:val="00A219F0"/>
    <w:rsid w:val="00A21FD5"/>
    <w:rsid w:val="00A2225E"/>
    <w:rsid w:val="00A22952"/>
    <w:rsid w:val="00A24094"/>
    <w:rsid w:val="00A24407"/>
    <w:rsid w:val="00A2472A"/>
    <w:rsid w:val="00A24AAC"/>
    <w:rsid w:val="00A24C8F"/>
    <w:rsid w:val="00A24EEB"/>
    <w:rsid w:val="00A25186"/>
    <w:rsid w:val="00A2585B"/>
    <w:rsid w:val="00A258CC"/>
    <w:rsid w:val="00A25A8E"/>
    <w:rsid w:val="00A25B4C"/>
    <w:rsid w:val="00A25BE9"/>
    <w:rsid w:val="00A25F14"/>
    <w:rsid w:val="00A26691"/>
    <w:rsid w:val="00A26932"/>
    <w:rsid w:val="00A269ED"/>
    <w:rsid w:val="00A26C28"/>
    <w:rsid w:val="00A2778E"/>
    <w:rsid w:val="00A278EA"/>
    <w:rsid w:val="00A3048B"/>
    <w:rsid w:val="00A30CD9"/>
    <w:rsid w:val="00A3170C"/>
    <w:rsid w:val="00A31CFE"/>
    <w:rsid w:val="00A322CB"/>
    <w:rsid w:val="00A3282F"/>
    <w:rsid w:val="00A32BFF"/>
    <w:rsid w:val="00A33361"/>
    <w:rsid w:val="00A33719"/>
    <w:rsid w:val="00A3472E"/>
    <w:rsid w:val="00A34AFB"/>
    <w:rsid w:val="00A34B4E"/>
    <w:rsid w:val="00A34C9E"/>
    <w:rsid w:val="00A35684"/>
    <w:rsid w:val="00A35838"/>
    <w:rsid w:val="00A358E0"/>
    <w:rsid w:val="00A35C27"/>
    <w:rsid w:val="00A35F6B"/>
    <w:rsid w:val="00A3663C"/>
    <w:rsid w:val="00A36905"/>
    <w:rsid w:val="00A36C62"/>
    <w:rsid w:val="00A36F3A"/>
    <w:rsid w:val="00A37324"/>
    <w:rsid w:val="00A3736C"/>
    <w:rsid w:val="00A3756B"/>
    <w:rsid w:val="00A379EB"/>
    <w:rsid w:val="00A37B3C"/>
    <w:rsid w:val="00A37B6F"/>
    <w:rsid w:val="00A4077C"/>
    <w:rsid w:val="00A40A8C"/>
    <w:rsid w:val="00A414C8"/>
    <w:rsid w:val="00A41DA2"/>
    <w:rsid w:val="00A41E4F"/>
    <w:rsid w:val="00A41F3C"/>
    <w:rsid w:val="00A428DD"/>
    <w:rsid w:val="00A42F64"/>
    <w:rsid w:val="00A42F9F"/>
    <w:rsid w:val="00A42FE7"/>
    <w:rsid w:val="00A43BD7"/>
    <w:rsid w:val="00A43C42"/>
    <w:rsid w:val="00A449CE"/>
    <w:rsid w:val="00A45819"/>
    <w:rsid w:val="00A45907"/>
    <w:rsid w:val="00A45C55"/>
    <w:rsid w:val="00A46339"/>
    <w:rsid w:val="00A464E9"/>
    <w:rsid w:val="00A46958"/>
    <w:rsid w:val="00A46FBF"/>
    <w:rsid w:val="00A4707E"/>
    <w:rsid w:val="00A473DF"/>
    <w:rsid w:val="00A500B4"/>
    <w:rsid w:val="00A50219"/>
    <w:rsid w:val="00A50753"/>
    <w:rsid w:val="00A50B68"/>
    <w:rsid w:val="00A50D35"/>
    <w:rsid w:val="00A5140C"/>
    <w:rsid w:val="00A5208D"/>
    <w:rsid w:val="00A52745"/>
    <w:rsid w:val="00A52BF7"/>
    <w:rsid w:val="00A52C8A"/>
    <w:rsid w:val="00A52F21"/>
    <w:rsid w:val="00A5396F"/>
    <w:rsid w:val="00A54100"/>
    <w:rsid w:val="00A54592"/>
    <w:rsid w:val="00A54AE1"/>
    <w:rsid w:val="00A5506D"/>
    <w:rsid w:val="00A5665E"/>
    <w:rsid w:val="00A56AEA"/>
    <w:rsid w:val="00A56B67"/>
    <w:rsid w:val="00A57079"/>
    <w:rsid w:val="00A602EE"/>
    <w:rsid w:val="00A60C5D"/>
    <w:rsid w:val="00A60E2B"/>
    <w:rsid w:val="00A60F40"/>
    <w:rsid w:val="00A6157A"/>
    <w:rsid w:val="00A61F2A"/>
    <w:rsid w:val="00A628FA"/>
    <w:rsid w:val="00A62D32"/>
    <w:rsid w:val="00A63102"/>
    <w:rsid w:val="00A637FA"/>
    <w:rsid w:val="00A63FE6"/>
    <w:rsid w:val="00A640AE"/>
    <w:rsid w:val="00A644FC"/>
    <w:rsid w:val="00A64646"/>
    <w:rsid w:val="00A647F4"/>
    <w:rsid w:val="00A64976"/>
    <w:rsid w:val="00A64B1B"/>
    <w:rsid w:val="00A650E7"/>
    <w:rsid w:val="00A6584C"/>
    <w:rsid w:val="00A65BF9"/>
    <w:rsid w:val="00A66CE1"/>
    <w:rsid w:val="00A67754"/>
    <w:rsid w:val="00A67C1C"/>
    <w:rsid w:val="00A67C27"/>
    <w:rsid w:val="00A67F9E"/>
    <w:rsid w:val="00A707AB"/>
    <w:rsid w:val="00A70D4E"/>
    <w:rsid w:val="00A71002"/>
    <w:rsid w:val="00A71673"/>
    <w:rsid w:val="00A7261F"/>
    <w:rsid w:val="00A72717"/>
    <w:rsid w:val="00A72919"/>
    <w:rsid w:val="00A7348F"/>
    <w:rsid w:val="00A73898"/>
    <w:rsid w:val="00A7436E"/>
    <w:rsid w:val="00A7490F"/>
    <w:rsid w:val="00A75011"/>
    <w:rsid w:val="00A752F1"/>
    <w:rsid w:val="00A75773"/>
    <w:rsid w:val="00A75D02"/>
    <w:rsid w:val="00A75F33"/>
    <w:rsid w:val="00A76EF9"/>
    <w:rsid w:val="00A76FD1"/>
    <w:rsid w:val="00A771A5"/>
    <w:rsid w:val="00A77239"/>
    <w:rsid w:val="00A772B2"/>
    <w:rsid w:val="00A7759D"/>
    <w:rsid w:val="00A77642"/>
    <w:rsid w:val="00A77C5B"/>
    <w:rsid w:val="00A8039A"/>
    <w:rsid w:val="00A8059B"/>
    <w:rsid w:val="00A80924"/>
    <w:rsid w:val="00A80B37"/>
    <w:rsid w:val="00A81C41"/>
    <w:rsid w:val="00A8236D"/>
    <w:rsid w:val="00A83AB5"/>
    <w:rsid w:val="00A83D7A"/>
    <w:rsid w:val="00A857A5"/>
    <w:rsid w:val="00A85918"/>
    <w:rsid w:val="00A859D0"/>
    <w:rsid w:val="00A859F7"/>
    <w:rsid w:val="00A86A19"/>
    <w:rsid w:val="00A86A3B"/>
    <w:rsid w:val="00A86D2F"/>
    <w:rsid w:val="00A87013"/>
    <w:rsid w:val="00A870A6"/>
    <w:rsid w:val="00A877B4"/>
    <w:rsid w:val="00A87800"/>
    <w:rsid w:val="00A9052F"/>
    <w:rsid w:val="00A90C55"/>
    <w:rsid w:val="00A90FA2"/>
    <w:rsid w:val="00A9194D"/>
    <w:rsid w:val="00A91CF0"/>
    <w:rsid w:val="00A93504"/>
    <w:rsid w:val="00A93E91"/>
    <w:rsid w:val="00A941A9"/>
    <w:rsid w:val="00A94960"/>
    <w:rsid w:val="00A94CCD"/>
    <w:rsid w:val="00A94FB6"/>
    <w:rsid w:val="00A95084"/>
    <w:rsid w:val="00A952C9"/>
    <w:rsid w:val="00A95343"/>
    <w:rsid w:val="00A95548"/>
    <w:rsid w:val="00A956E7"/>
    <w:rsid w:val="00A959A4"/>
    <w:rsid w:val="00A95AE3"/>
    <w:rsid w:val="00A95B4F"/>
    <w:rsid w:val="00A95DCE"/>
    <w:rsid w:val="00A96ACC"/>
    <w:rsid w:val="00A96EC8"/>
    <w:rsid w:val="00A96FF6"/>
    <w:rsid w:val="00A973F3"/>
    <w:rsid w:val="00A97466"/>
    <w:rsid w:val="00A97504"/>
    <w:rsid w:val="00A97EE7"/>
    <w:rsid w:val="00AA00F8"/>
    <w:rsid w:val="00AA0261"/>
    <w:rsid w:val="00AA04F9"/>
    <w:rsid w:val="00AA099C"/>
    <w:rsid w:val="00AA09C4"/>
    <w:rsid w:val="00AA0E4E"/>
    <w:rsid w:val="00AA18A7"/>
    <w:rsid w:val="00AA197B"/>
    <w:rsid w:val="00AA20E7"/>
    <w:rsid w:val="00AA2533"/>
    <w:rsid w:val="00AA28DF"/>
    <w:rsid w:val="00AA2B67"/>
    <w:rsid w:val="00AA34F9"/>
    <w:rsid w:val="00AA3707"/>
    <w:rsid w:val="00AA3C31"/>
    <w:rsid w:val="00AA3C3C"/>
    <w:rsid w:val="00AA3F92"/>
    <w:rsid w:val="00AA4143"/>
    <w:rsid w:val="00AA46A3"/>
    <w:rsid w:val="00AA4C37"/>
    <w:rsid w:val="00AA4E17"/>
    <w:rsid w:val="00AA4FD5"/>
    <w:rsid w:val="00AA633C"/>
    <w:rsid w:val="00AA6542"/>
    <w:rsid w:val="00AA6AA1"/>
    <w:rsid w:val="00AA72A1"/>
    <w:rsid w:val="00AB0849"/>
    <w:rsid w:val="00AB0A16"/>
    <w:rsid w:val="00AB0B60"/>
    <w:rsid w:val="00AB0DFB"/>
    <w:rsid w:val="00AB0FF4"/>
    <w:rsid w:val="00AB0FFB"/>
    <w:rsid w:val="00AB10C6"/>
    <w:rsid w:val="00AB129E"/>
    <w:rsid w:val="00AB2770"/>
    <w:rsid w:val="00AB3083"/>
    <w:rsid w:val="00AB4161"/>
    <w:rsid w:val="00AB45E7"/>
    <w:rsid w:val="00AB46AB"/>
    <w:rsid w:val="00AB49AD"/>
    <w:rsid w:val="00AB4BA0"/>
    <w:rsid w:val="00AB50E7"/>
    <w:rsid w:val="00AB50F1"/>
    <w:rsid w:val="00AB52C2"/>
    <w:rsid w:val="00AB55AA"/>
    <w:rsid w:val="00AB55C2"/>
    <w:rsid w:val="00AB5A6D"/>
    <w:rsid w:val="00AB5DF0"/>
    <w:rsid w:val="00AB60D9"/>
    <w:rsid w:val="00AB61E3"/>
    <w:rsid w:val="00AB6CF2"/>
    <w:rsid w:val="00AB74F8"/>
    <w:rsid w:val="00AB7571"/>
    <w:rsid w:val="00AB7EA8"/>
    <w:rsid w:val="00AC037A"/>
    <w:rsid w:val="00AC07EB"/>
    <w:rsid w:val="00AC0ACE"/>
    <w:rsid w:val="00AC0D6A"/>
    <w:rsid w:val="00AC112F"/>
    <w:rsid w:val="00AC1417"/>
    <w:rsid w:val="00AC15F8"/>
    <w:rsid w:val="00AC1867"/>
    <w:rsid w:val="00AC218C"/>
    <w:rsid w:val="00AC2412"/>
    <w:rsid w:val="00AC334F"/>
    <w:rsid w:val="00AC34D2"/>
    <w:rsid w:val="00AC3932"/>
    <w:rsid w:val="00AC39BD"/>
    <w:rsid w:val="00AC3C37"/>
    <w:rsid w:val="00AC3D08"/>
    <w:rsid w:val="00AC3E7F"/>
    <w:rsid w:val="00AC4259"/>
    <w:rsid w:val="00AC43B7"/>
    <w:rsid w:val="00AC44B1"/>
    <w:rsid w:val="00AC4596"/>
    <w:rsid w:val="00AC4D22"/>
    <w:rsid w:val="00AC5728"/>
    <w:rsid w:val="00AC5806"/>
    <w:rsid w:val="00AC5B2E"/>
    <w:rsid w:val="00AC5CDD"/>
    <w:rsid w:val="00AC6B2D"/>
    <w:rsid w:val="00AC738F"/>
    <w:rsid w:val="00AC758D"/>
    <w:rsid w:val="00AC7608"/>
    <w:rsid w:val="00AC7751"/>
    <w:rsid w:val="00AC7770"/>
    <w:rsid w:val="00AC7CAF"/>
    <w:rsid w:val="00AC7DB5"/>
    <w:rsid w:val="00AC7DF4"/>
    <w:rsid w:val="00AD0109"/>
    <w:rsid w:val="00AD0BD6"/>
    <w:rsid w:val="00AD0D04"/>
    <w:rsid w:val="00AD1327"/>
    <w:rsid w:val="00AD2396"/>
    <w:rsid w:val="00AD30E4"/>
    <w:rsid w:val="00AD330B"/>
    <w:rsid w:val="00AD33CA"/>
    <w:rsid w:val="00AD384D"/>
    <w:rsid w:val="00AD3ED5"/>
    <w:rsid w:val="00AD4107"/>
    <w:rsid w:val="00AD446B"/>
    <w:rsid w:val="00AD4ADD"/>
    <w:rsid w:val="00AD61B0"/>
    <w:rsid w:val="00AD6D5A"/>
    <w:rsid w:val="00AD6E85"/>
    <w:rsid w:val="00AD7002"/>
    <w:rsid w:val="00AD7007"/>
    <w:rsid w:val="00AD70F3"/>
    <w:rsid w:val="00AD76D7"/>
    <w:rsid w:val="00AD7C22"/>
    <w:rsid w:val="00AD7C84"/>
    <w:rsid w:val="00AD7D39"/>
    <w:rsid w:val="00AD7F2B"/>
    <w:rsid w:val="00AE1105"/>
    <w:rsid w:val="00AE1893"/>
    <w:rsid w:val="00AE1CAF"/>
    <w:rsid w:val="00AE1D54"/>
    <w:rsid w:val="00AE1FFB"/>
    <w:rsid w:val="00AE224A"/>
    <w:rsid w:val="00AE26FF"/>
    <w:rsid w:val="00AE378A"/>
    <w:rsid w:val="00AE3868"/>
    <w:rsid w:val="00AE4708"/>
    <w:rsid w:val="00AE4B12"/>
    <w:rsid w:val="00AE4B6A"/>
    <w:rsid w:val="00AE5596"/>
    <w:rsid w:val="00AE55B5"/>
    <w:rsid w:val="00AE5B52"/>
    <w:rsid w:val="00AE6249"/>
    <w:rsid w:val="00AE76E0"/>
    <w:rsid w:val="00AE7A36"/>
    <w:rsid w:val="00AF004C"/>
    <w:rsid w:val="00AF022B"/>
    <w:rsid w:val="00AF047B"/>
    <w:rsid w:val="00AF050E"/>
    <w:rsid w:val="00AF07D5"/>
    <w:rsid w:val="00AF0AB0"/>
    <w:rsid w:val="00AF0C4B"/>
    <w:rsid w:val="00AF0DF5"/>
    <w:rsid w:val="00AF12FA"/>
    <w:rsid w:val="00AF1BA7"/>
    <w:rsid w:val="00AF2925"/>
    <w:rsid w:val="00AF2BE9"/>
    <w:rsid w:val="00AF2C83"/>
    <w:rsid w:val="00AF3204"/>
    <w:rsid w:val="00AF379A"/>
    <w:rsid w:val="00AF3A64"/>
    <w:rsid w:val="00AF3B26"/>
    <w:rsid w:val="00AF3C62"/>
    <w:rsid w:val="00AF3FC2"/>
    <w:rsid w:val="00AF45E5"/>
    <w:rsid w:val="00AF4A6C"/>
    <w:rsid w:val="00AF4B43"/>
    <w:rsid w:val="00AF4CF7"/>
    <w:rsid w:val="00AF5183"/>
    <w:rsid w:val="00AF5440"/>
    <w:rsid w:val="00AF669E"/>
    <w:rsid w:val="00AF6D72"/>
    <w:rsid w:val="00AF74A2"/>
    <w:rsid w:val="00AF750E"/>
    <w:rsid w:val="00AF751F"/>
    <w:rsid w:val="00AF758E"/>
    <w:rsid w:val="00AF7599"/>
    <w:rsid w:val="00AF7B55"/>
    <w:rsid w:val="00AF7FC3"/>
    <w:rsid w:val="00B0010D"/>
    <w:rsid w:val="00B003C8"/>
    <w:rsid w:val="00B0051F"/>
    <w:rsid w:val="00B00531"/>
    <w:rsid w:val="00B007A2"/>
    <w:rsid w:val="00B0092F"/>
    <w:rsid w:val="00B00AEC"/>
    <w:rsid w:val="00B01AB8"/>
    <w:rsid w:val="00B01CAE"/>
    <w:rsid w:val="00B01E55"/>
    <w:rsid w:val="00B022F8"/>
    <w:rsid w:val="00B027D7"/>
    <w:rsid w:val="00B02825"/>
    <w:rsid w:val="00B02E65"/>
    <w:rsid w:val="00B03460"/>
    <w:rsid w:val="00B0347B"/>
    <w:rsid w:val="00B035D1"/>
    <w:rsid w:val="00B03705"/>
    <w:rsid w:val="00B0383A"/>
    <w:rsid w:val="00B03BEC"/>
    <w:rsid w:val="00B03EA6"/>
    <w:rsid w:val="00B03FEA"/>
    <w:rsid w:val="00B048D5"/>
    <w:rsid w:val="00B055BD"/>
    <w:rsid w:val="00B057B3"/>
    <w:rsid w:val="00B05F4F"/>
    <w:rsid w:val="00B06268"/>
    <w:rsid w:val="00B06707"/>
    <w:rsid w:val="00B068C9"/>
    <w:rsid w:val="00B07170"/>
    <w:rsid w:val="00B0735E"/>
    <w:rsid w:val="00B0770B"/>
    <w:rsid w:val="00B078B1"/>
    <w:rsid w:val="00B07E17"/>
    <w:rsid w:val="00B1093F"/>
    <w:rsid w:val="00B1117E"/>
    <w:rsid w:val="00B1171E"/>
    <w:rsid w:val="00B12570"/>
    <w:rsid w:val="00B12792"/>
    <w:rsid w:val="00B12B25"/>
    <w:rsid w:val="00B131BF"/>
    <w:rsid w:val="00B13568"/>
    <w:rsid w:val="00B143AD"/>
    <w:rsid w:val="00B144F7"/>
    <w:rsid w:val="00B14910"/>
    <w:rsid w:val="00B14B4C"/>
    <w:rsid w:val="00B14B51"/>
    <w:rsid w:val="00B15087"/>
    <w:rsid w:val="00B15320"/>
    <w:rsid w:val="00B153E7"/>
    <w:rsid w:val="00B1578F"/>
    <w:rsid w:val="00B15875"/>
    <w:rsid w:val="00B15DF8"/>
    <w:rsid w:val="00B15EA8"/>
    <w:rsid w:val="00B160BC"/>
    <w:rsid w:val="00B169CD"/>
    <w:rsid w:val="00B16BE9"/>
    <w:rsid w:val="00B171F6"/>
    <w:rsid w:val="00B17FF9"/>
    <w:rsid w:val="00B202C3"/>
    <w:rsid w:val="00B209EE"/>
    <w:rsid w:val="00B211E7"/>
    <w:rsid w:val="00B21492"/>
    <w:rsid w:val="00B223ED"/>
    <w:rsid w:val="00B235FA"/>
    <w:rsid w:val="00B237C8"/>
    <w:rsid w:val="00B24069"/>
    <w:rsid w:val="00B246DA"/>
    <w:rsid w:val="00B25202"/>
    <w:rsid w:val="00B2558D"/>
    <w:rsid w:val="00B25689"/>
    <w:rsid w:val="00B25776"/>
    <w:rsid w:val="00B27066"/>
    <w:rsid w:val="00B27112"/>
    <w:rsid w:val="00B2722B"/>
    <w:rsid w:val="00B2755C"/>
    <w:rsid w:val="00B27616"/>
    <w:rsid w:val="00B2774C"/>
    <w:rsid w:val="00B27974"/>
    <w:rsid w:val="00B27982"/>
    <w:rsid w:val="00B279AF"/>
    <w:rsid w:val="00B304D1"/>
    <w:rsid w:val="00B3079B"/>
    <w:rsid w:val="00B30899"/>
    <w:rsid w:val="00B30F37"/>
    <w:rsid w:val="00B31304"/>
    <w:rsid w:val="00B3147A"/>
    <w:rsid w:val="00B31E94"/>
    <w:rsid w:val="00B3239A"/>
    <w:rsid w:val="00B327E0"/>
    <w:rsid w:val="00B32C03"/>
    <w:rsid w:val="00B33394"/>
    <w:rsid w:val="00B339DE"/>
    <w:rsid w:val="00B33BF7"/>
    <w:rsid w:val="00B33CC7"/>
    <w:rsid w:val="00B34A9A"/>
    <w:rsid w:val="00B34FDB"/>
    <w:rsid w:val="00B351C5"/>
    <w:rsid w:val="00B35632"/>
    <w:rsid w:val="00B356B3"/>
    <w:rsid w:val="00B358D7"/>
    <w:rsid w:val="00B35C4A"/>
    <w:rsid w:val="00B35CB1"/>
    <w:rsid w:val="00B35F48"/>
    <w:rsid w:val="00B360DC"/>
    <w:rsid w:val="00B3615F"/>
    <w:rsid w:val="00B36609"/>
    <w:rsid w:val="00B3662E"/>
    <w:rsid w:val="00B36E66"/>
    <w:rsid w:val="00B370E8"/>
    <w:rsid w:val="00B37CEC"/>
    <w:rsid w:val="00B37F02"/>
    <w:rsid w:val="00B402EB"/>
    <w:rsid w:val="00B40587"/>
    <w:rsid w:val="00B406C8"/>
    <w:rsid w:val="00B40ACD"/>
    <w:rsid w:val="00B40BB1"/>
    <w:rsid w:val="00B41084"/>
    <w:rsid w:val="00B41352"/>
    <w:rsid w:val="00B4161E"/>
    <w:rsid w:val="00B41E33"/>
    <w:rsid w:val="00B41F11"/>
    <w:rsid w:val="00B42394"/>
    <w:rsid w:val="00B4276F"/>
    <w:rsid w:val="00B42987"/>
    <w:rsid w:val="00B42AE8"/>
    <w:rsid w:val="00B43648"/>
    <w:rsid w:val="00B438FA"/>
    <w:rsid w:val="00B43E0A"/>
    <w:rsid w:val="00B44033"/>
    <w:rsid w:val="00B442CE"/>
    <w:rsid w:val="00B45498"/>
    <w:rsid w:val="00B45F00"/>
    <w:rsid w:val="00B4665B"/>
    <w:rsid w:val="00B468C8"/>
    <w:rsid w:val="00B472B4"/>
    <w:rsid w:val="00B4738C"/>
    <w:rsid w:val="00B500E7"/>
    <w:rsid w:val="00B5079B"/>
    <w:rsid w:val="00B507A7"/>
    <w:rsid w:val="00B5096E"/>
    <w:rsid w:val="00B5098D"/>
    <w:rsid w:val="00B5152A"/>
    <w:rsid w:val="00B51F7E"/>
    <w:rsid w:val="00B5318E"/>
    <w:rsid w:val="00B537C6"/>
    <w:rsid w:val="00B53D75"/>
    <w:rsid w:val="00B54386"/>
    <w:rsid w:val="00B54F45"/>
    <w:rsid w:val="00B55890"/>
    <w:rsid w:val="00B56AA2"/>
    <w:rsid w:val="00B56CEA"/>
    <w:rsid w:val="00B57013"/>
    <w:rsid w:val="00B574B5"/>
    <w:rsid w:val="00B5775C"/>
    <w:rsid w:val="00B6192D"/>
    <w:rsid w:val="00B61EAA"/>
    <w:rsid w:val="00B62493"/>
    <w:rsid w:val="00B630BC"/>
    <w:rsid w:val="00B6326B"/>
    <w:rsid w:val="00B6380A"/>
    <w:rsid w:val="00B638AB"/>
    <w:rsid w:val="00B63BBF"/>
    <w:rsid w:val="00B63DFD"/>
    <w:rsid w:val="00B63E5D"/>
    <w:rsid w:val="00B63F94"/>
    <w:rsid w:val="00B647D9"/>
    <w:rsid w:val="00B64CF6"/>
    <w:rsid w:val="00B64D22"/>
    <w:rsid w:val="00B652E7"/>
    <w:rsid w:val="00B65326"/>
    <w:rsid w:val="00B65AA7"/>
    <w:rsid w:val="00B65B6A"/>
    <w:rsid w:val="00B65BDC"/>
    <w:rsid w:val="00B660AB"/>
    <w:rsid w:val="00B671A7"/>
    <w:rsid w:val="00B671FC"/>
    <w:rsid w:val="00B672C5"/>
    <w:rsid w:val="00B6741C"/>
    <w:rsid w:val="00B67A14"/>
    <w:rsid w:val="00B67C67"/>
    <w:rsid w:val="00B67E6D"/>
    <w:rsid w:val="00B7018D"/>
    <w:rsid w:val="00B70530"/>
    <w:rsid w:val="00B7095D"/>
    <w:rsid w:val="00B70C6C"/>
    <w:rsid w:val="00B71402"/>
    <w:rsid w:val="00B7140B"/>
    <w:rsid w:val="00B718E0"/>
    <w:rsid w:val="00B718F7"/>
    <w:rsid w:val="00B7190B"/>
    <w:rsid w:val="00B71C3A"/>
    <w:rsid w:val="00B71EB5"/>
    <w:rsid w:val="00B7238F"/>
    <w:rsid w:val="00B727A4"/>
    <w:rsid w:val="00B72D4A"/>
    <w:rsid w:val="00B733E5"/>
    <w:rsid w:val="00B73817"/>
    <w:rsid w:val="00B7485A"/>
    <w:rsid w:val="00B7495C"/>
    <w:rsid w:val="00B74C48"/>
    <w:rsid w:val="00B74CBD"/>
    <w:rsid w:val="00B74F4C"/>
    <w:rsid w:val="00B754DD"/>
    <w:rsid w:val="00B7593C"/>
    <w:rsid w:val="00B75F66"/>
    <w:rsid w:val="00B76C7C"/>
    <w:rsid w:val="00B776CC"/>
    <w:rsid w:val="00B776F1"/>
    <w:rsid w:val="00B77BDD"/>
    <w:rsid w:val="00B77ECB"/>
    <w:rsid w:val="00B8061C"/>
    <w:rsid w:val="00B8068A"/>
    <w:rsid w:val="00B80788"/>
    <w:rsid w:val="00B807C5"/>
    <w:rsid w:val="00B819C1"/>
    <w:rsid w:val="00B821F6"/>
    <w:rsid w:val="00B8223B"/>
    <w:rsid w:val="00B82E1F"/>
    <w:rsid w:val="00B83057"/>
    <w:rsid w:val="00B838B7"/>
    <w:rsid w:val="00B83905"/>
    <w:rsid w:val="00B839E3"/>
    <w:rsid w:val="00B83AD1"/>
    <w:rsid w:val="00B8437D"/>
    <w:rsid w:val="00B844B8"/>
    <w:rsid w:val="00B84C69"/>
    <w:rsid w:val="00B84ED8"/>
    <w:rsid w:val="00B85259"/>
    <w:rsid w:val="00B85592"/>
    <w:rsid w:val="00B85827"/>
    <w:rsid w:val="00B85D2E"/>
    <w:rsid w:val="00B85E6B"/>
    <w:rsid w:val="00B8607C"/>
    <w:rsid w:val="00B87A71"/>
    <w:rsid w:val="00B900EB"/>
    <w:rsid w:val="00B9024A"/>
    <w:rsid w:val="00B9034C"/>
    <w:rsid w:val="00B9040D"/>
    <w:rsid w:val="00B90A56"/>
    <w:rsid w:val="00B917BB"/>
    <w:rsid w:val="00B922BC"/>
    <w:rsid w:val="00B9236E"/>
    <w:rsid w:val="00B9251A"/>
    <w:rsid w:val="00B92712"/>
    <w:rsid w:val="00B92BDD"/>
    <w:rsid w:val="00B92D9A"/>
    <w:rsid w:val="00B931B2"/>
    <w:rsid w:val="00B931F2"/>
    <w:rsid w:val="00B936B2"/>
    <w:rsid w:val="00B93BAE"/>
    <w:rsid w:val="00B93CEB"/>
    <w:rsid w:val="00B94144"/>
    <w:rsid w:val="00B9426B"/>
    <w:rsid w:val="00B945CB"/>
    <w:rsid w:val="00B94677"/>
    <w:rsid w:val="00B9493A"/>
    <w:rsid w:val="00B94944"/>
    <w:rsid w:val="00B94A11"/>
    <w:rsid w:val="00B950BD"/>
    <w:rsid w:val="00B95554"/>
    <w:rsid w:val="00B95A07"/>
    <w:rsid w:val="00B964BE"/>
    <w:rsid w:val="00B9655A"/>
    <w:rsid w:val="00B96841"/>
    <w:rsid w:val="00B96D2F"/>
    <w:rsid w:val="00B97465"/>
    <w:rsid w:val="00B9754B"/>
    <w:rsid w:val="00B97C4B"/>
    <w:rsid w:val="00B97D51"/>
    <w:rsid w:val="00BA001C"/>
    <w:rsid w:val="00BA0414"/>
    <w:rsid w:val="00BA0F46"/>
    <w:rsid w:val="00BA10E7"/>
    <w:rsid w:val="00BA1342"/>
    <w:rsid w:val="00BA157C"/>
    <w:rsid w:val="00BA1A35"/>
    <w:rsid w:val="00BA1E67"/>
    <w:rsid w:val="00BA20EC"/>
    <w:rsid w:val="00BA273E"/>
    <w:rsid w:val="00BA2B34"/>
    <w:rsid w:val="00BA2B7B"/>
    <w:rsid w:val="00BA2B93"/>
    <w:rsid w:val="00BA32EF"/>
    <w:rsid w:val="00BA33D4"/>
    <w:rsid w:val="00BA3E93"/>
    <w:rsid w:val="00BA40F3"/>
    <w:rsid w:val="00BA429B"/>
    <w:rsid w:val="00BA4A08"/>
    <w:rsid w:val="00BA61B4"/>
    <w:rsid w:val="00BA6374"/>
    <w:rsid w:val="00BA646E"/>
    <w:rsid w:val="00BA6850"/>
    <w:rsid w:val="00BA6990"/>
    <w:rsid w:val="00BA6E7E"/>
    <w:rsid w:val="00BA71D5"/>
    <w:rsid w:val="00BA7A07"/>
    <w:rsid w:val="00BA7F5E"/>
    <w:rsid w:val="00BB0827"/>
    <w:rsid w:val="00BB112C"/>
    <w:rsid w:val="00BB174F"/>
    <w:rsid w:val="00BB1A96"/>
    <w:rsid w:val="00BB1D4B"/>
    <w:rsid w:val="00BB1E9D"/>
    <w:rsid w:val="00BB20C2"/>
    <w:rsid w:val="00BB21E7"/>
    <w:rsid w:val="00BB2429"/>
    <w:rsid w:val="00BB2B8B"/>
    <w:rsid w:val="00BB34ED"/>
    <w:rsid w:val="00BB36DA"/>
    <w:rsid w:val="00BB39A6"/>
    <w:rsid w:val="00BB4028"/>
    <w:rsid w:val="00BB4B3B"/>
    <w:rsid w:val="00BB522A"/>
    <w:rsid w:val="00BB5BEC"/>
    <w:rsid w:val="00BB6648"/>
    <w:rsid w:val="00BB6720"/>
    <w:rsid w:val="00BB6830"/>
    <w:rsid w:val="00BB6844"/>
    <w:rsid w:val="00BB7053"/>
    <w:rsid w:val="00BB7137"/>
    <w:rsid w:val="00BB725E"/>
    <w:rsid w:val="00BB7329"/>
    <w:rsid w:val="00BB74C7"/>
    <w:rsid w:val="00BB76D4"/>
    <w:rsid w:val="00BB77D1"/>
    <w:rsid w:val="00BB7CAD"/>
    <w:rsid w:val="00BB7D14"/>
    <w:rsid w:val="00BB7DA9"/>
    <w:rsid w:val="00BB7ECE"/>
    <w:rsid w:val="00BC00C1"/>
    <w:rsid w:val="00BC0A15"/>
    <w:rsid w:val="00BC0C34"/>
    <w:rsid w:val="00BC13B9"/>
    <w:rsid w:val="00BC18A7"/>
    <w:rsid w:val="00BC2383"/>
    <w:rsid w:val="00BC3C64"/>
    <w:rsid w:val="00BC4092"/>
    <w:rsid w:val="00BC47BC"/>
    <w:rsid w:val="00BC4BCC"/>
    <w:rsid w:val="00BC5F68"/>
    <w:rsid w:val="00BC6074"/>
    <w:rsid w:val="00BC60EA"/>
    <w:rsid w:val="00BC6316"/>
    <w:rsid w:val="00BC6AAD"/>
    <w:rsid w:val="00BC6C74"/>
    <w:rsid w:val="00BC6C9B"/>
    <w:rsid w:val="00BC6D95"/>
    <w:rsid w:val="00BC7A40"/>
    <w:rsid w:val="00BD0976"/>
    <w:rsid w:val="00BD0A52"/>
    <w:rsid w:val="00BD0DA4"/>
    <w:rsid w:val="00BD1756"/>
    <w:rsid w:val="00BD17EB"/>
    <w:rsid w:val="00BD1851"/>
    <w:rsid w:val="00BD1935"/>
    <w:rsid w:val="00BD1BB5"/>
    <w:rsid w:val="00BD23A2"/>
    <w:rsid w:val="00BD266C"/>
    <w:rsid w:val="00BD34C4"/>
    <w:rsid w:val="00BD34C8"/>
    <w:rsid w:val="00BD4356"/>
    <w:rsid w:val="00BD47DE"/>
    <w:rsid w:val="00BD4838"/>
    <w:rsid w:val="00BD4892"/>
    <w:rsid w:val="00BD489D"/>
    <w:rsid w:val="00BD4B1F"/>
    <w:rsid w:val="00BD4E31"/>
    <w:rsid w:val="00BD5488"/>
    <w:rsid w:val="00BD55A4"/>
    <w:rsid w:val="00BD5964"/>
    <w:rsid w:val="00BD5E93"/>
    <w:rsid w:val="00BD6244"/>
    <w:rsid w:val="00BD6285"/>
    <w:rsid w:val="00BD6A61"/>
    <w:rsid w:val="00BD6CCF"/>
    <w:rsid w:val="00BE051E"/>
    <w:rsid w:val="00BE08D3"/>
    <w:rsid w:val="00BE0DA1"/>
    <w:rsid w:val="00BE0E9F"/>
    <w:rsid w:val="00BE12E8"/>
    <w:rsid w:val="00BE1532"/>
    <w:rsid w:val="00BE1738"/>
    <w:rsid w:val="00BE17E5"/>
    <w:rsid w:val="00BE1F4E"/>
    <w:rsid w:val="00BE272F"/>
    <w:rsid w:val="00BE2766"/>
    <w:rsid w:val="00BE28C6"/>
    <w:rsid w:val="00BE2A30"/>
    <w:rsid w:val="00BE2B94"/>
    <w:rsid w:val="00BE2CC5"/>
    <w:rsid w:val="00BE4A12"/>
    <w:rsid w:val="00BE4CFF"/>
    <w:rsid w:val="00BE5004"/>
    <w:rsid w:val="00BE52B3"/>
    <w:rsid w:val="00BE5D7D"/>
    <w:rsid w:val="00BE5F9D"/>
    <w:rsid w:val="00BE68D9"/>
    <w:rsid w:val="00BE6F64"/>
    <w:rsid w:val="00BE721D"/>
    <w:rsid w:val="00BE73C9"/>
    <w:rsid w:val="00BF035D"/>
    <w:rsid w:val="00BF0440"/>
    <w:rsid w:val="00BF07E8"/>
    <w:rsid w:val="00BF0C6B"/>
    <w:rsid w:val="00BF0C81"/>
    <w:rsid w:val="00BF0DAB"/>
    <w:rsid w:val="00BF0F90"/>
    <w:rsid w:val="00BF14F7"/>
    <w:rsid w:val="00BF299D"/>
    <w:rsid w:val="00BF29E2"/>
    <w:rsid w:val="00BF2EC9"/>
    <w:rsid w:val="00BF36E0"/>
    <w:rsid w:val="00BF39B1"/>
    <w:rsid w:val="00BF3B13"/>
    <w:rsid w:val="00BF3D02"/>
    <w:rsid w:val="00BF4251"/>
    <w:rsid w:val="00BF433E"/>
    <w:rsid w:val="00BF51C0"/>
    <w:rsid w:val="00BF536A"/>
    <w:rsid w:val="00BF53A4"/>
    <w:rsid w:val="00BF59BC"/>
    <w:rsid w:val="00BF5B01"/>
    <w:rsid w:val="00BF5BC2"/>
    <w:rsid w:val="00BF5F53"/>
    <w:rsid w:val="00BF634C"/>
    <w:rsid w:val="00BF63CF"/>
    <w:rsid w:val="00BF6772"/>
    <w:rsid w:val="00BF6997"/>
    <w:rsid w:val="00BF6E9E"/>
    <w:rsid w:val="00BF726F"/>
    <w:rsid w:val="00BF749F"/>
    <w:rsid w:val="00BF7606"/>
    <w:rsid w:val="00BF7B4C"/>
    <w:rsid w:val="00C0030F"/>
    <w:rsid w:val="00C004D6"/>
    <w:rsid w:val="00C0057C"/>
    <w:rsid w:val="00C006CE"/>
    <w:rsid w:val="00C00B71"/>
    <w:rsid w:val="00C01049"/>
    <w:rsid w:val="00C014E4"/>
    <w:rsid w:val="00C01538"/>
    <w:rsid w:val="00C01A6F"/>
    <w:rsid w:val="00C01B5D"/>
    <w:rsid w:val="00C01BE5"/>
    <w:rsid w:val="00C01F55"/>
    <w:rsid w:val="00C01F84"/>
    <w:rsid w:val="00C01FE3"/>
    <w:rsid w:val="00C02436"/>
    <w:rsid w:val="00C02608"/>
    <w:rsid w:val="00C02639"/>
    <w:rsid w:val="00C02855"/>
    <w:rsid w:val="00C02970"/>
    <w:rsid w:val="00C03629"/>
    <w:rsid w:val="00C03A4A"/>
    <w:rsid w:val="00C03B01"/>
    <w:rsid w:val="00C04075"/>
    <w:rsid w:val="00C04489"/>
    <w:rsid w:val="00C04B9F"/>
    <w:rsid w:val="00C05510"/>
    <w:rsid w:val="00C05582"/>
    <w:rsid w:val="00C05A88"/>
    <w:rsid w:val="00C0657A"/>
    <w:rsid w:val="00C06665"/>
    <w:rsid w:val="00C0679B"/>
    <w:rsid w:val="00C074F1"/>
    <w:rsid w:val="00C07715"/>
    <w:rsid w:val="00C07986"/>
    <w:rsid w:val="00C104CC"/>
    <w:rsid w:val="00C10727"/>
    <w:rsid w:val="00C107F1"/>
    <w:rsid w:val="00C11DE4"/>
    <w:rsid w:val="00C12205"/>
    <w:rsid w:val="00C12C40"/>
    <w:rsid w:val="00C12DE0"/>
    <w:rsid w:val="00C130DC"/>
    <w:rsid w:val="00C13157"/>
    <w:rsid w:val="00C132CC"/>
    <w:rsid w:val="00C132DE"/>
    <w:rsid w:val="00C1340A"/>
    <w:rsid w:val="00C13B15"/>
    <w:rsid w:val="00C13CB8"/>
    <w:rsid w:val="00C143CE"/>
    <w:rsid w:val="00C14926"/>
    <w:rsid w:val="00C14C19"/>
    <w:rsid w:val="00C14D2E"/>
    <w:rsid w:val="00C156EF"/>
    <w:rsid w:val="00C15718"/>
    <w:rsid w:val="00C15752"/>
    <w:rsid w:val="00C159BE"/>
    <w:rsid w:val="00C160E1"/>
    <w:rsid w:val="00C166AE"/>
    <w:rsid w:val="00C16899"/>
    <w:rsid w:val="00C1695F"/>
    <w:rsid w:val="00C16A35"/>
    <w:rsid w:val="00C16E3A"/>
    <w:rsid w:val="00C172CD"/>
    <w:rsid w:val="00C17855"/>
    <w:rsid w:val="00C1796B"/>
    <w:rsid w:val="00C2002F"/>
    <w:rsid w:val="00C2018D"/>
    <w:rsid w:val="00C20336"/>
    <w:rsid w:val="00C20965"/>
    <w:rsid w:val="00C20F0B"/>
    <w:rsid w:val="00C210D1"/>
    <w:rsid w:val="00C212D0"/>
    <w:rsid w:val="00C21A1B"/>
    <w:rsid w:val="00C21FB6"/>
    <w:rsid w:val="00C22291"/>
    <w:rsid w:val="00C2234F"/>
    <w:rsid w:val="00C22729"/>
    <w:rsid w:val="00C22D02"/>
    <w:rsid w:val="00C22E30"/>
    <w:rsid w:val="00C22F6F"/>
    <w:rsid w:val="00C22F7B"/>
    <w:rsid w:val="00C2306A"/>
    <w:rsid w:val="00C23184"/>
    <w:rsid w:val="00C231DE"/>
    <w:rsid w:val="00C233BA"/>
    <w:rsid w:val="00C234CE"/>
    <w:rsid w:val="00C23879"/>
    <w:rsid w:val="00C23A97"/>
    <w:rsid w:val="00C23ED4"/>
    <w:rsid w:val="00C2414A"/>
    <w:rsid w:val="00C245BF"/>
    <w:rsid w:val="00C24CD6"/>
    <w:rsid w:val="00C25BED"/>
    <w:rsid w:val="00C265D3"/>
    <w:rsid w:val="00C26892"/>
    <w:rsid w:val="00C26BDA"/>
    <w:rsid w:val="00C26CB1"/>
    <w:rsid w:val="00C271FD"/>
    <w:rsid w:val="00C2751F"/>
    <w:rsid w:val="00C2778F"/>
    <w:rsid w:val="00C277AE"/>
    <w:rsid w:val="00C277E2"/>
    <w:rsid w:val="00C302DE"/>
    <w:rsid w:val="00C30899"/>
    <w:rsid w:val="00C30EF3"/>
    <w:rsid w:val="00C310A7"/>
    <w:rsid w:val="00C317B0"/>
    <w:rsid w:val="00C31821"/>
    <w:rsid w:val="00C31BF9"/>
    <w:rsid w:val="00C32364"/>
    <w:rsid w:val="00C32A01"/>
    <w:rsid w:val="00C32C07"/>
    <w:rsid w:val="00C33132"/>
    <w:rsid w:val="00C331DA"/>
    <w:rsid w:val="00C3322A"/>
    <w:rsid w:val="00C33362"/>
    <w:rsid w:val="00C33752"/>
    <w:rsid w:val="00C341C2"/>
    <w:rsid w:val="00C34688"/>
    <w:rsid w:val="00C34868"/>
    <w:rsid w:val="00C34CC0"/>
    <w:rsid w:val="00C35359"/>
    <w:rsid w:val="00C35673"/>
    <w:rsid w:val="00C35810"/>
    <w:rsid w:val="00C3595F"/>
    <w:rsid w:val="00C35ADB"/>
    <w:rsid w:val="00C35D1A"/>
    <w:rsid w:val="00C35D38"/>
    <w:rsid w:val="00C35E3B"/>
    <w:rsid w:val="00C366FC"/>
    <w:rsid w:val="00C36755"/>
    <w:rsid w:val="00C36889"/>
    <w:rsid w:val="00C36D3F"/>
    <w:rsid w:val="00C3793F"/>
    <w:rsid w:val="00C4022A"/>
    <w:rsid w:val="00C404F6"/>
    <w:rsid w:val="00C40653"/>
    <w:rsid w:val="00C40742"/>
    <w:rsid w:val="00C40841"/>
    <w:rsid w:val="00C40956"/>
    <w:rsid w:val="00C409E7"/>
    <w:rsid w:val="00C40BF7"/>
    <w:rsid w:val="00C40C39"/>
    <w:rsid w:val="00C40C80"/>
    <w:rsid w:val="00C40DD4"/>
    <w:rsid w:val="00C4158D"/>
    <w:rsid w:val="00C417B7"/>
    <w:rsid w:val="00C4180E"/>
    <w:rsid w:val="00C424ED"/>
    <w:rsid w:val="00C42DC4"/>
    <w:rsid w:val="00C42E11"/>
    <w:rsid w:val="00C42E39"/>
    <w:rsid w:val="00C439E8"/>
    <w:rsid w:val="00C43B6A"/>
    <w:rsid w:val="00C43C6E"/>
    <w:rsid w:val="00C43FE9"/>
    <w:rsid w:val="00C4402B"/>
    <w:rsid w:val="00C4486B"/>
    <w:rsid w:val="00C44ADE"/>
    <w:rsid w:val="00C44AE0"/>
    <w:rsid w:val="00C451F0"/>
    <w:rsid w:val="00C452A0"/>
    <w:rsid w:val="00C45B56"/>
    <w:rsid w:val="00C46423"/>
    <w:rsid w:val="00C46F6A"/>
    <w:rsid w:val="00C47251"/>
    <w:rsid w:val="00C47AB0"/>
    <w:rsid w:val="00C47BC0"/>
    <w:rsid w:val="00C50461"/>
    <w:rsid w:val="00C50DE1"/>
    <w:rsid w:val="00C5131D"/>
    <w:rsid w:val="00C513BD"/>
    <w:rsid w:val="00C51914"/>
    <w:rsid w:val="00C51F0F"/>
    <w:rsid w:val="00C51F38"/>
    <w:rsid w:val="00C520E8"/>
    <w:rsid w:val="00C52804"/>
    <w:rsid w:val="00C52A59"/>
    <w:rsid w:val="00C52E1A"/>
    <w:rsid w:val="00C52EC1"/>
    <w:rsid w:val="00C538CA"/>
    <w:rsid w:val="00C53B82"/>
    <w:rsid w:val="00C53C36"/>
    <w:rsid w:val="00C546B6"/>
    <w:rsid w:val="00C55980"/>
    <w:rsid w:val="00C55985"/>
    <w:rsid w:val="00C56885"/>
    <w:rsid w:val="00C56B0C"/>
    <w:rsid w:val="00C56DED"/>
    <w:rsid w:val="00C57B17"/>
    <w:rsid w:val="00C60D60"/>
    <w:rsid w:val="00C60EDD"/>
    <w:rsid w:val="00C610CC"/>
    <w:rsid w:val="00C6174B"/>
    <w:rsid w:val="00C617AE"/>
    <w:rsid w:val="00C61C67"/>
    <w:rsid w:val="00C61E7D"/>
    <w:rsid w:val="00C62B22"/>
    <w:rsid w:val="00C633EB"/>
    <w:rsid w:val="00C63FBD"/>
    <w:rsid w:val="00C649C3"/>
    <w:rsid w:val="00C64E66"/>
    <w:rsid w:val="00C656D0"/>
    <w:rsid w:val="00C65D93"/>
    <w:rsid w:val="00C66054"/>
    <w:rsid w:val="00C66385"/>
    <w:rsid w:val="00C6684D"/>
    <w:rsid w:val="00C66B9F"/>
    <w:rsid w:val="00C66C5F"/>
    <w:rsid w:val="00C673C2"/>
    <w:rsid w:val="00C67835"/>
    <w:rsid w:val="00C67C92"/>
    <w:rsid w:val="00C67FB7"/>
    <w:rsid w:val="00C70A4F"/>
    <w:rsid w:val="00C7194B"/>
    <w:rsid w:val="00C71B0C"/>
    <w:rsid w:val="00C71B56"/>
    <w:rsid w:val="00C71C41"/>
    <w:rsid w:val="00C71EB1"/>
    <w:rsid w:val="00C721BF"/>
    <w:rsid w:val="00C727F6"/>
    <w:rsid w:val="00C72EA3"/>
    <w:rsid w:val="00C7349C"/>
    <w:rsid w:val="00C73645"/>
    <w:rsid w:val="00C73754"/>
    <w:rsid w:val="00C73D75"/>
    <w:rsid w:val="00C74252"/>
    <w:rsid w:val="00C74382"/>
    <w:rsid w:val="00C746E4"/>
    <w:rsid w:val="00C74B55"/>
    <w:rsid w:val="00C75699"/>
    <w:rsid w:val="00C7611A"/>
    <w:rsid w:val="00C7651B"/>
    <w:rsid w:val="00C76B39"/>
    <w:rsid w:val="00C771B9"/>
    <w:rsid w:val="00C777AA"/>
    <w:rsid w:val="00C779B6"/>
    <w:rsid w:val="00C801D9"/>
    <w:rsid w:val="00C80B0F"/>
    <w:rsid w:val="00C811A3"/>
    <w:rsid w:val="00C81244"/>
    <w:rsid w:val="00C81454"/>
    <w:rsid w:val="00C814EE"/>
    <w:rsid w:val="00C817FB"/>
    <w:rsid w:val="00C81AD9"/>
    <w:rsid w:val="00C81DB5"/>
    <w:rsid w:val="00C824F8"/>
    <w:rsid w:val="00C82699"/>
    <w:rsid w:val="00C83265"/>
    <w:rsid w:val="00C83681"/>
    <w:rsid w:val="00C83821"/>
    <w:rsid w:val="00C83FD1"/>
    <w:rsid w:val="00C84584"/>
    <w:rsid w:val="00C8482D"/>
    <w:rsid w:val="00C84949"/>
    <w:rsid w:val="00C84A5E"/>
    <w:rsid w:val="00C853A1"/>
    <w:rsid w:val="00C853FE"/>
    <w:rsid w:val="00C854EE"/>
    <w:rsid w:val="00C857DF"/>
    <w:rsid w:val="00C85974"/>
    <w:rsid w:val="00C85F67"/>
    <w:rsid w:val="00C863D5"/>
    <w:rsid w:val="00C8645C"/>
    <w:rsid w:val="00C86DF1"/>
    <w:rsid w:val="00C86E71"/>
    <w:rsid w:val="00C87071"/>
    <w:rsid w:val="00C8761C"/>
    <w:rsid w:val="00C87A04"/>
    <w:rsid w:val="00C87CA3"/>
    <w:rsid w:val="00C87D77"/>
    <w:rsid w:val="00C90644"/>
    <w:rsid w:val="00C907BA"/>
    <w:rsid w:val="00C90E95"/>
    <w:rsid w:val="00C910FE"/>
    <w:rsid w:val="00C91418"/>
    <w:rsid w:val="00C91659"/>
    <w:rsid w:val="00C919FB"/>
    <w:rsid w:val="00C91A84"/>
    <w:rsid w:val="00C936AD"/>
    <w:rsid w:val="00C937C0"/>
    <w:rsid w:val="00C93B3E"/>
    <w:rsid w:val="00C93B7E"/>
    <w:rsid w:val="00C94485"/>
    <w:rsid w:val="00C94C32"/>
    <w:rsid w:val="00C94EEE"/>
    <w:rsid w:val="00C9525D"/>
    <w:rsid w:val="00C952E0"/>
    <w:rsid w:val="00C95394"/>
    <w:rsid w:val="00C95F58"/>
    <w:rsid w:val="00C96B06"/>
    <w:rsid w:val="00C97371"/>
    <w:rsid w:val="00C975CE"/>
    <w:rsid w:val="00C97B17"/>
    <w:rsid w:val="00C97D95"/>
    <w:rsid w:val="00C97ED8"/>
    <w:rsid w:val="00CA063F"/>
    <w:rsid w:val="00CA0747"/>
    <w:rsid w:val="00CA113C"/>
    <w:rsid w:val="00CA1396"/>
    <w:rsid w:val="00CA1A26"/>
    <w:rsid w:val="00CA1E04"/>
    <w:rsid w:val="00CA1E22"/>
    <w:rsid w:val="00CA1E8D"/>
    <w:rsid w:val="00CA221F"/>
    <w:rsid w:val="00CA2A86"/>
    <w:rsid w:val="00CA2C07"/>
    <w:rsid w:val="00CA2D2A"/>
    <w:rsid w:val="00CA30C9"/>
    <w:rsid w:val="00CA3561"/>
    <w:rsid w:val="00CA35F4"/>
    <w:rsid w:val="00CA4810"/>
    <w:rsid w:val="00CA4F9F"/>
    <w:rsid w:val="00CA50F5"/>
    <w:rsid w:val="00CA519E"/>
    <w:rsid w:val="00CA587F"/>
    <w:rsid w:val="00CA5B95"/>
    <w:rsid w:val="00CA5C04"/>
    <w:rsid w:val="00CA67E0"/>
    <w:rsid w:val="00CA6819"/>
    <w:rsid w:val="00CA70D8"/>
    <w:rsid w:val="00CA72AE"/>
    <w:rsid w:val="00CA744D"/>
    <w:rsid w:val="00CA780A"/>
    <w:rsid w:val="00CA7B4E"/>
    <w:rsid w:val="00CA7B8E"/>
    <w:rsid w:val="00CA7D0F"/>
    <w:rsid w:val="00CA7D90"/>
    <w:rsid w:val="00CB00F7"/>
    <w:rsid w:val="00CB0944"/>
    <w:rsid w:val="00CB0B53"/>
    <w:rsid w:val="00CB0EEE"/>
    <w:rsid w:val="00CB100C"/>
    <w:rsid w:val="00CB14EF"/>
    <w:rsid w:val="00CB1690"/>
    <w:rsid w:val="00CB1CE0"/>
    <w:rsid w:val="00CB2851"/>
    <w:rsid w:val="00CB2BAC"/>
    <w:rsid w:val="00CB2DAF"/>
    <w:rsid w:val="00CB304D"/>
    <w:rsid w:val="00CB3269"/>
    <w:rsid w:val="00CB39F5"/>
    <w:rsid w:val="00CB3C84"/>
    <w:rsid w:val="00CB3D84"/>
    <w:rsid w:val="00CB3E98"/>
    <w:rsid w:val="00CB3EC2"/>
    <w:rsid w:val="00CB4645"/>
    <w:rsid w:val="00CB4ED4"/>
    <w:rsid w:val="00CB4EE1"/>
    <w:rsid w:val="00CB51BB"/>
    <w:rsid w:val="00CB530B"/>
    <w:rsid w:val="00CB541E"/>
    <w:rsid w:val="00CB5A34"/>
    <w:rsid w:val="00CB5F84"/>
    <w:rsid w:val="00CB6633"/>
    <w:rsid w:val="00CB6C29"/>
    <w:rsid w:val="00CB6E32"/>
    <w:rsid w:val="00CB7A50"/>
    <w:rsid w:val="00CB7B14"/>
    <w:rsid w:val="00CC0311"/>
    <w:rsid w:val="00CC0706"/>
    <w:rsid w:val="00CC07F8"/>
    <w:rsid w:val="00CC09DC"/>
    <w:rsid w:val="00CC0B2A"/>
    <w:rsid w:val="00CC0E75"/>
    <w:rsid w:val="00CC186D"/>
    <w:rsid w:val="00CC1AFE"/>
    <w:rsid w:val="00CC207A"/>
    <w:rsid w:val="00CC21FD"/>
    <w:rsid w:val="00CC2710"/>
    <w:rsid w:val="00CC272D"/>
    <w:rsid w:val="00CC2ADF"/>
    <w:rsid w:val="00CC4E20"/>
    <w:rsid w:val="00CC566D"/>
    <w:rsid w:val="00CC583A"/>
    <w:rsid w:val="00CC594A"/>
    <w:rsid w:val="00CC62DF"/>
    <w:rsid w:val="00CC68CE"/>
    <w:rsid w:val="00CC75E7"/>
    <w:rsid w:val="00CD03AB"/>
    <w:rsid w:val="00CD0477"/>
    <w:rsid w:val="00CD0A37"/>
    <w:rsid w:val="00CD0C06"/>
    <w:rsid w:val="00CD2009"/>
    <w:rsid w:val="00CD2142"/>
    <w:rsid w:val="00CD26E7"/>
    <w:rsid w:val="00CD2841"/>
    <w:rsid w:val="00CD29E6"/>
    <w:rsid w:val="00CD2FE1"/>
    <w:rsid w:val="00CD41AB"/>
    <w:rsid w:val="00CD4AE2"/>
    <w:rsid w:val="00CD5914"/>
    <w:rsid w:val="00CD5C63"/>
    <w:rsid w:val="00CD5CFD"/>
    <w:rsid w:val="00CD609F"/>
    <w:rsid w:val="00CD6334"/>
    <w:rsid w:val="00CD64DC"/>
    <w:rsid w:val="00CD6F48"/>
    <w:rsid w:val="00CD7155"/>
    <w:rsid w:val="00CD739C"/>
    <w:rsid w:val="00CD75D0"/>
    <w:rsid w:val="00CD7785"/>
    <w:rsid w:val="00CE0036"/>
    <w:rsid w:val="00CE0195"/>
    <w:rsid w:val="00CE0DC1"/>
    <w:rsid w:val="00CE0FAE"/>
    <w:rsid w:val="00CE1601"/>
    <w:rsid w:val="00CE1D2B"/>
    <w:rsid w:val="00CE2317"/>
    <w:rsid w:val="00CE25BF"/>
    <w:rsid w:val="00CE3276"/>
    <w:rsid w:val="00CE360E"/>
    <w:rsid w:val="00CE3980"/>
    <w:rsid w:val="00CE3CCA"/>
    <w:rsid w:val="00CE4009"/>
    <w:rsid w:val="00CE43ED"/>
    <w:rsid w:val="00CE4424"/>
    <w:rsid w:val="00CE44E0"/>
    <w:rsid w:val="00CE4D3D"/>
    <w:rsid w:val="00CE5746"/>
    <w:rsid w:val="00CE5E3A"/>
    <w:rsid w:val="00CE5E4F"/>
    <w:rsid w:val="00CE649D"/>
    <w:rsid w:val="00CE668D"/>
    <w:rsid w:val="00CE6B21"/>
    <w:rsid w:val="00CE748B"/>
    <w:rsid w:val="00CE75F8"/>
    <w:rsid w:val="00CE7A77"/>
    <w:rsid w:val="00CF031C"/>
    <w:rsid w:val="00CF0464"/>
    <w:rsid w:val="00CF05CF"/>
    <w:rsid w:val="00CF0833"/>
    <w:rsid w:val="00CF14A6"/>
    <w:rsid w:val="00CF1835"/>
    <w:rsid w:val="00CF1882"/>
    <w:rsid w:val="00CF18F9"/>
    <w:rsid w:val="00CF1B75"/>
    <w:rsid w:val="00CF2F57"/>
    <w:rsid w:val="00CF31E5"/>
    <w:rsid w:val="00CF32E5"/>
    <w:rsid w:val="00CF35ED"/>
    <w:rsid w:val="00CF3DC3"/>
    <w:rsid w:val="00CF3DC6"/>
    <w:rsid w:val="00CF3F86"/>
    <w:rsid w:val="00CF4288"/>
    <w:rsid w:val="00CF46DA"/>
    <w:rsid w:val="00CF48DC"/>
    <w:rsid w:val="00CF5141"/>
    <w:rsid w:val="00CF5191"/>
    <w:rsid w:val="00CF592A"/>
    <w:rsid w:val="00CF6602"/>
    <w:rsid w:val="00CF6C27"/>
    <w:rsid w:val="00CF6C7E"/>
    <w:rsid w:val="00CF6E17"/>
    <w:rsid w:val="00CF6F2F"/>
    <w:rsid w:val="00CF72B0"/>
    <w:rsid w:val="00CF7492"/>
    <w:rsid w:val="00CF7A5F"/>
    <w:rsid w:val="00D000E9"/>
    <w:rsid w:val="00D00521"/>
    <w:rsid w:val="00D010F5"/>
    <w:rsid w:val="00D0179F"/>
    <w:rsid w:val="00D01870"/>
    <w:rsid w:val="00D01DFA"/>
    <w:rsid w:val="00D01E14"/>
    <w:rsid w:val="00D02265"/>
    <w:rsid w:val="00D029FF"/>
    <w:rsid w:val="00D02A9D"/>
    <w:rsid w:val="00D02C5A"/>
    <w:rsid w:val="00D03225"/>
    <w:rsid w:val="00D0424A"/>
    <w:rsid w:val="00D04689"/>
    <w:rsid w:val="00D0499D"/>
    <w:rsid w:val="00D04F88"/>
    <w:rsid w:val="00D0512F"/>
    <w:rsid w:val="00D05209"/>
    <w:rsid w:val="00D05A27"/>
    <w:rsid w:val="00D05CF9"/>
    <w:rsid w:val="00D05DC3"/>
    <w:rsid w:val="00D05E4C"/>
    <w:rsid w:val="00D06243"/>
    <w:rsid w:val="00D06D43"/>
    <w:rsid w:val="00D100CD"/>
    <w:rsid w:val="00D10294"/>
    <w:rsid w:val="00D10374"/>
    <w:rsid w:val="00D104F0"/>
    <w:rsid w:val="00D10667"/>
    <w:rsid w:val="00D10727"/>
    <w:rsid w:val="00D10C0B"/>
    <w:rsid w:val="00D1113C"/>
    <w:rsid w:val="00D113F2"/>
    <w:rsid w:val="00D1177A"/>
    <w:rsid w:val="00D118FD"/>
    <w:rsid w:val="00D123A9"/>
    <w:rsid w:val="00D129A7"/>
    <w:rsid w:val="00D12A57"/>
    <w:rsid w:val="00D12E29"/>
    <w:rsid w:val="00D148CE"/>
    <w:rsid w:val="00D14D3E"/>
    <w:rsid w:val="00D14FC9"/>
    <w:rsid w:val="00D1550C"/>
    <w:rsid w:val="00D1552C"/>
    <w:rsid w:val="00D16053"/>
    <w:rsid w:val="00D1607C"/>
    <w:rsid w:val="00D16408"/>
    <w:rsid w:val="00D16A1D"/>
    <w:rsid w:val="00D16D62"/>
    <w:rsid w:val="00D16EAD"/>
    <w:rsid w:val="00D17E40"/>
    <w:rsid w:val="00D201FC"/>
    <w:rsid w:val="00D20529"/>
    <w:rsid w:val="00D2056F"/>
    <w:rsid w:val="00D207EA"/>
    <w:rsid w:val="00D20850"/>
    <w:rsid w:val="00D20A79"/>
    <w:rsid w:val="00D20A84"/>
    <w:rsid w:val="00D20ADB"/>
    <w:rsid w:val="00D20E16"/>
    <w:rsid w:val="00D211D5"/>
    <w:rsid w:val="00D213E8"/>
    <w:rsid w:val="00D21995"/>
    <w:rsid w:val="00D22252"/>
    <w:rsid w:val="00D223F2"/>
    <w:rsid w:val="00D224D8"/>
    <w:rsid w:val="00D226BB"/>
    <w:rsid w:val="00D22BDC"/>
    <w:rsid w:val="00D24148"/>
    <w:rsid w:val="00D2486F"/>
    <w:rsid w:val="00D24AF4"/>
    <w:rsid w:val="00D25171"/>
    <w:rsid w:val="00D258F4"/>
    <w:rsid w:val="00D25BD9"/>
    <w:rsid w:val="00D2616D"/>
    <w:rsid w:val="00D262F1"/>
    <w:rsid w:val="00D263E6"/>
    <w:rsid w:val="00D26592"/>
    <w:rsid w:val="00D2666B"/>
    <w:rsid w:val="00D2679A"/>
    <w:rsid w:val="00D2682D"/>
    <w:rsid w:val="00D26B45"/>
    <w:rsid w:val="00D26BAC"/>
    <w:rsid w:val="00D275F9"/>
    <w:rsid w:val="00D27704"/>
    <w:rsid w:val="00D30147"/>
    <w:rsid w:val="00D301B6"/>
    <w:rsid w:val="00D30AE6"/>
    <w:rsid w:val="00D30EF2"/>
    <w:rsid w:val="00D30FE1"/>
    <w:rsid w:val="00D315C7"/>
    <w:rsid w:val="00D31D2D"/>
    <w:rsid w:val="00D31E6E"/>
    <w:rsid w:val="00D31F5F"/>
    <w:rsid w:val="00D322B7"/>
    <w:rsid w:val="00D32BC9"/>
    <w:rsid w:val="00D32CEF"/>
    <w:rsid w:val="00D32D62"/>
    <w:rsid w:val="00D32E37"/>
    <w:rsid w:val="00D32FF5"/>
    <w:rsid w:val="00D3347A"/>
    <w:rsid w:val="00D335A0"/>
    <w:rsid w:val="00D33605"/>
    <w:rsid w:val="00D336C2"/>
    <w:rsid w:val="00D33C70"/>
    <w:rsid w:val="00D34071"/>
    <w:rsid w:val="00D34D8D"/>
    <w:rsid w:val="00D34E69"/>
    <w:rsid w:val="00D3510A"/>
    <w:rsid w:val="00D3522D"/>
    <w:rsid w:val="00D354C2"/>
    <w:rsid w:val="00D35A8B"/>
    <w:rsid w:val="00D35EB6"/>
    <w:rsid w:val="00D35F62"/>
    <w:rsid w:val="00D3600C"/>
    <w:rsid w:val="00D365B8"/>
    <w:rsid w:val="00D365F9"/>
    <w:rsid w:val="00D366A4"/>
    <w:rsid w:val="00D367E6"/>
    <w:rsid w:val="00D370D4"/>
    <w:rsid w:val="00D37A9B"/>
    <w:rsid w:val="00D37E4D"/>
    <w:rsid w:val="00D40705"/>
    <w:rsid w:val="00D4126E"/>
    <w:rsid w:val="00D416E6"/>
    <w:rsid w:val="00D417E3"/>
    <w:rsid w:val="00D429A9"/>
    <w:rsid w:val="00D42FC4"/>
    <w:rsid w:val="00D43444"/>
    <w:rsid w:val="00D43A95"/>
    <w:rsid w:val="00D43CEF"/>
    <w:rsid w:val="00D44055"/>
    <w:rsid w:val="00D4412C"/>
    <w:rsid w:val="00D44352"/>
    <w:rsid w:val="00D44814"/>
    <w:rsid w:val="00D4489F"/>
    <w:rsid w:val="00D44A16"/>
    <w:rsid w:val="00D44F9E"/>
    <w:rsid w:val="00D44FC2"/>
    <w:rsid w:val="00D455F8"/>
    <w:rsid w:val="00D4751B"/>
    <w:rsid w:val="00D47929"/>
    <w:rsid w:val="00D47ACB"/>
    <w:rsid w:val="00D47F83"/>
    <w:rsid w:val="00D50375"/>
    <w:rsid w:val="00D50417"/>
    <w:rsid w:val="00D50761"/>
    <w:rsid w:val="00D510FC"/>
    <w:rsid w:val="00D515FB"/>
    <w:rsid w:val="00D51A1F"/>
    <w:rsid w:val="00D52A12"/>
    <w:rsid w:val="00D53232"/>
    <w:rsid w:val="00D537F9"/>
    <w:rsid w:val="00D53856"/>
    <w:rsid w:val="00D5389A"/>
    <w:rsid w:val="00D53A6E"/>
    <w:rsid w:val="00D542D3"/>
    <w:rsid w:val="00D545EE"/>
    <w:rsid w:val="00D54758"/>
    <w:rsid w:val="00D54DAC"/>
    <w:rsid w:val="00D5581E"/>
    <w:rsid w:val="00D559EC"/>
    <w:rsid w:val="00D55B2D"/>
    <w:rsid w:val="00D56081"/>
    <w:rsid w:val="00D560F5"/>
    <w:rsid w:val="00D5625C"/>
    <w:rsid w:val="00D5627E"/>
    <w:rsid w:val="00D56812"/>
    <w:rsid w:val="00D5772A"/>
    <w:rsid w:val="00D57AE2"/>
    <w:rsid w:val="00D57B0C"/>
    <w:rsid w:val="00D6011A"/>
    <w:rsid w:val="00D605C4"/>
    <w:rsid w:val="00D6064E"/>
    <w:rsid w:val="00D606E5"/>
    <w:rsid w:val="00D6078C"/>
    <w:rsid w:val="00D60C26"/>
    <w:rsid w:val="00D60E50"/>
    <w:rsid w:val="00D60F5E"/>
    <w:rsid w:val="00D61033"/>
    <w:rsid w:val="00D61187"/>
    <w:rsid w:val="00D61605"/>
    <w:rsid w:val="00D61A7A"/>
    <w:rsid w:val="00D61A7F"/>
    <w:rsid w:val="00D61DB6"/>
    <w:rsid w:val="00D61EA5"/>
    <w:rsid w:val="00D61F5C"/>
    <w:rsid w:val="00D624A5"/>
    <w:rsid w:val="00D6286B"/>
    <w:rsid w:val="00D62A91"/>
    <w:rsid w:val="00D62D53"/>
    <w:rsid w:val="00D62E86"/>
    <w:rsid w:val="00D62F68"/>
    <w:rsid w:val="00D6379A"/>
    <w:rsid w:val="00D63CBD"/>
    <w:rsid w:val="00D63F70"/>
    <w:rsid w:val="00D6436C"/>
    <w:rsid w:val="00D64495"/>
    <w:rsid w:val="00D64D5A"/>
    <w:rsid w:val="00D65274"/>
    <w:rsid w:val="00D6552A"/>
    <w:rsid w:val="00D6629E"/>
    <w:rsid w:val="00D6680B"/>
    <w:rsid w:val="00D66ADA"/>
    <w:rsid w:val="00D66B50"/>
    <w:rsid w:val="00D675C5"/>
    <w:rsid w:val="00D67738"/>
    <w:rsid w:val="00D67801"/>
    <w:rsid w:val="00D67970"/>
    <w:rsid w:val="00D67E9C"/>
    <w:rsid w:val="00D700AC"/>
    <w:rsid w:val="00D70634"/>
    <w:rsid w:val="00D71194"/>
    <w:rsid w:val="00D72107"/>
    <w:rsid w:val="00D72428"/>
    <w:rsid w:val="00D7280B"/>
    <w:rsid w:val="00D73036"/>
    <w:rsid w:val="00D7331F"/>
    <w:rsid w:val="00D73996"/>
    <w:rsid w:val="00D73A36"/>
    <w:rsid w:val="00D74128"/>
    <w:rsid w:val="00D74282"/>
    <w:rsid w:val="00D744E4"/>
    <w:rsid w:val="00D74791"/>
    <w:rsid w:val="00D74D66"/>
    <w:rsid w:val="00D75277"/>
    <w:rsid w:val="00D75415"/>
    <w:rsid w:val="00D75A0B"/>
    <w:rsid w:val="00D75EAE"/>
    <w:rsid w:val="00D75F19"/>
    <w:rsid w:val="00D7644E"/>
    <w:rsid w:val="00D76A27"/>
    <w:rsid w:val="00D76A4D"/>
    <w:rsid w:val="00D76AC4"/>
    <w:rsid w:val="00D80263"/>
    <w:rsid w:val="00D816F4"/>
    <w:rsid w:val="00D81912"/>
    <w:rsid w:val="00D8238F"/>
    <w:rsid w:val="00D825D6"/>
    <w:rsid w:val="00D8343E"/>
    <w:rsid w:val="00D84537"/>
    <w:rsid w:val="00D84EC5"/>
    <w:rsid w:val="00D850DC"/>
    <w:rsid w:val="00D8512C"/>
    <w:rsid w:val="00D85452"/>
    <w:rsid w:val="00D85514"/>
    <w:rsid w:val="00D858A9"/>
    <w:rsid w:val="00D858D5"/>
    <w:rsid w:val="00D85D8F"/>
    <w:rsid w:val="00D863FE"/>
    <w:rsid w:val="00D8683C"/>
    <w:rsid w:val="00D86A30"/>
    <w:rsid w:val="00D86E4A"/>
    <w:rsid w:val="00D879BB"/>
    <w:rsid w:val="00D9059D"/>
    <w:rsid w:val="00D90A66"/>
    <w:rsid w:val="00D90B09"/>
    <w:rsid w:val="00D90E91"/>
    <w:rsid w:val="00D92085"/>
    <w:rsid w:val="00D9217D"/>
    <w:rsid w:val="00D9218A"/>
    <w:rsid w:val="00D9229A"/>
    <w:rsid w:val="00D9230D"/>
    <w:rsid w:val="00D9255C"/>
    <w:rsid w:val="00D925B4"/>
    <w:rsid w:val="00D92EA4"/>
    <w:rsid w:val="00D92ED6"/>
    <w:rsid w:val="00D92EF1"/>
    <w:rsid w:val="00D92FF0"/>
    <w:rsid w:val="00D9354C"/>
    <w:rsid w:val="00D93EB5"/>
    <w:rsid w:val="00D93FE4"/>
    <w:rsid w:val="00D941DE"/>
    <w:rsid w:val="00D9452A"/>
    <w:rsid w:val="00D95C64"/>
    <w:rsid w:val="00D95F53"/>
    <w:rsid w:val="00D960EB"/>
    <w:rsid w:val="00D96176"/>
    <w:rsid w:val="00D96206"/>
    <w:rsid w:val="00D966F6"/>
    <w:rsid w:val="00D96722"/>
    <w:rsid w:val="00D9681D"/>
    <w:rsid w:val="00D968EC"/>
    <w:rsid w:val="00D96ABD"/>
    <w:rsid w:val="00D96F12"/>
    <w:rsid w:val="00D97069"/>
    <w:rsid w:val="00D979EE"/>
    <w:rsid w:val="00D97E65"/>
    <w:rsid w:val="00DA031C"/>
    <w:rsid w:val="00DA040F"/>
    <w:rsid w:val="00DA0869"/>
    <w:rsid w:val="00DA13E2"/>
    <w:rsid w:val="00DA1772"/>
    <w:rsid w:val="00DA1AA3"/>
    <w:rsid w:val="00DA1BE7"/>
    <w:rsid w:val="00DA1D73"/>
    <w:rsid w:val="00DA24ED"/>
    <w:rsid w:val="00DA26B6"/>
    <w:rsid w:val="00DA26D8"/>
    <w:rsid w:val="00DA297E"/>
    <w:rsid w:val="00DA2C06"/>
    <w:rsid w:val="00DA2E28"/>
    <w:rsid w:val="00DA3169"/>
    <w:rsid w:val="00DA31A5"/>
    <w:rsid w:val="00DA3605"/>
    <w:rsid w:val="00DA38B0"/>
    <w:rsid w:val="00DA3927"/>
    <w:rsid w:val="00DA41D9"/>
    <w:rsid w:val="00DA5637"/>
    <w:rsid w:val="00DA56BB"/>
    <w:rsid w:val="00DA5B07"/>
    <w:rsid w:val="00DA5F54"/>
    <w:rsid w:val="00DA609B"/>
    <w:rsid w:val="00DA6583"/>
    <w:rsid w:val="00DA6A88"/>
    <w:rsid w:val="00DA7442"/>
    <w:rsid w:val="00DA77D7"/>
    <w:rsid w:val="00DB01B1"/>
    <w:rsid w:val="00DB0290"/>
    <w:rsid w:val="00DB2241"/>
    <w:rsid w:val="00DB2AC1"/>
    <w:rsid w:val="00DB2F05"/>
    <w:rsid w:val="00DB31F1"/>
    <w:rsid w:val="00DB3899"/>
    <w:rsid w:val="00DB408A"/>
    <w:rsid w:val="00DB40CF"/>
    <w:rsid w:val="00DB44A2"/>
    <w:rsid w:val="00DB44C5"/>
    <w:rsid w:val="00DB49B4"/>
    <w:rsid w:val="00DB5321"/>
    <w:rsid w:val="00DB56B8"/>
    <w:rsid w:val="00DB5A84"/>
    <w:rsid w:val="00DB5E19"/>
    <w:rsid w:val="00DB5EA6"/>
    <w:rsid w:val="00DB6317"/>
    <w:rsid w:val="00DB63C9"/>
    <w:rsid w:val="00DB6B6B"/>
    <w:rsid w:val="00DB6C92"/>
    <w:rsid w:val="00DB6CF2"/>
    <w:rsid w:val="00DB7469"/>
    <w:rsid w:val="00DB783D"/>
    <w:rsid w:val="00DC0696"/>
    <w:rsid w:val="00DC06D0"/>
    <w:rsid w:val="00DC0A33"/>
    <w:rsid w:val="00DC0B9C"/>
    <w:rsid w:val="00DC0F11"/>
    <w:rsid w:val="00DC1380"/>
    <w:rsid w:val="00DC1D48"/>
    <w:rsid w:val="00DC1F27"/>
    <w:rsid w:val="00DC2378"/>
    <w:rsid w:val="00DC2519"/>
    <w:rsid w:val="00DC3312"/>
    <w:rsid w:val="00DC3639"/>
    <w:rsid w:val="00DC4129"/>
    <w:rsid w:val="00DC4A58"/>
    <w:rsid w:val="00DC4E83"/>
    <w:rsid w:val="00DC50CD"/>
    <w:rsid w:val="00DC520E"/>
    <w:rsid w:val="00DC536C"/>
    <w:rsid w:val="00DC663F"/>
    <w:rsid w:val="00DC68F7"/>
    <w:rsid w:val="00DC6984"/>
    <w:rsid w:val="00DC6D7B"/>
    <w:rsid w:val="00DC6D8B"/>
    <w:rsid w:val="00DC7496"/>
    <w:rsid w:val="00DC7A44"/>
    <w:rsid w:val="00DC7DB6"/>
    <w:rsid w:val="00DD0BB6"/>
    <w:rsid w:val="00DD162C"/>
    <w:rsid w:val="00DD1E81"/>
    <w:rsid w:val="00DD25AF"/>
    <w:rsid w:val="00DD25B5"/>
    <w:rsid w:val="00DD2EDD"/>
    <w:rsid w:val="00DD2FF3"/>
    <w:rsid w:val="00DD321E"/>
    <w:rsid w:val="00DD330D"/>
    <w:rsid w:val="00DD3464"/>
    <w:rsid w:val="00DD3903"/>
    <w:rsid w:val="00DD3BA9"/>
    <w:rsid w:val="00DD3FBB"/>
    <w:rsid w:val="00DD4E39"/>
    <w:rsid w:val="00DD516E"/>
    <w:rsid w:val="00DD517A"/>
    <w:rsid w:val="00DD56F0"/>
    <w:rsid w:val="00DD5AEB"/>
    <w:rsid w:val="00DD5C1A"/>
    <w:rsid w:val="00DD5F2D"/>
    <w:rsid w:val="00DD6085"/>
    <w:rsid w:val="00DD6B68"/>
    <w:rsid w:val="00DD6C78"/>
    <w:rsid w:val="00DD6C97"/>
    <w:rsid w:val="00DD72E9"/>
    <w:rsid w:val="00DD74DA"/>
    <w:rsid w:val="00DD77C9"/>
    <w:rsid w:val="00DD7863"/>
    <w:rsid w:val="00DD7970"/>
    <w:rsid w:val="00DD7E9F"/>
    <w:rsid w:val="00DE0188"/>
    <w:rsid w:val="00DE03E4"/>
    <w:rsid w:val="00DE06F3"/>
    <w:rsid w:val="00DE0F0D"/>
    <w:rsid w:val="00DE11C2"/>
    <w:rsid w:val="00DE13D3"/>
    <w:rsid w:val="00DE149C"/>
    <w:rsid w:val="00DE17F7"/>
    <w:rsid w:val="00DE199D"/>
    <w:rsid w:val="00DE1B46"/>
    <w:rsid w:val="00DE23D3"/>
    <w:rsid w:val="00DE25AC"/>
    <w:rsid w:val="00DE25C1"/>
    <w:rsid w:val="00DE2737"/>
    <w:rsid w:val="00DE28B4"/>
    <w:rsid w:val="00DE3680"/>
    <w:rsid w:val="00DE3790"/>
    <w:rsid w:val="00DE3CF0"/>
    <w:rsid w:val="00DE3F53"/>
    <w:rsid w:val="00DE410E"/>
    <w:rsid w:val="00DE42E3"/>
    <w:rsid w:val="00DE4370"/>
    <w:rsid w:val="00DE4D51"/>
    <w:rsid w:val="00DE51EE"/>
    <w:rsid w:val="00DE6218"/>
    <w:rsid w:val="00DE6626"/>
    <w:rsid w:val="00DE6A8C"/>
    <w:rsid w:val="00DE7025"/>
    <w:rsid w:val="00DE78CB"/>
    <w:rsid w:val="00DE7AAD"/>
    <w:rsid w:val="00DE7BC3"/>
    <w:rsid w:val="00DF0D21"/>
    <w:rsid w:val="00DF1568"/>
    <w:rsid w:val="00DF19B1"/>
    <w:rsid w:val="00DF1B14"/>
    <w:rsid w:val="00DF1C73"/>
    <w:rsid w:val="00DF2873"/>
    <w:rsid w:val="00DF28B3"/>
    <w:rsid w:val="00DF373B"/>
    <w:rsid w:val="00DF37D3"/>
    <w:rsid w:val="00DF4D59"/>
    <w:rsid w:val="00DF573B"/>
    <w:rsid w:val="00DF5EC8"/>
    <w:rsid w:val="00DF6276"/>
    <w:rsid w:val="00DF63F9"/>
    <w:rsid w:val="00DF676F"/>
    <w:rsid w:val="00DF6819"/>
    <w:rsid w:val="00DF6987"/>
    <w:rsid w:val="00DF6CD5"/>
    <w:rsid w:val="00DF7369"/>
    <w:rsid w:val="00E002C5"/>
    <w:rsid w:val="00E00B66"/>
    <w:rsid w:val="00E00E2E"/>
    <w:rsid w:val="00E00EC2"/>
    <w:rsid w:val="00E00F70"/>
    <w:rsid w:val="00E0117C"/>
    <w:rsid w:val="00E01478"/>
    <w:rsid w:val="00E016D0"/>
    <w:rsid w:val="00E01895"/>
    <w:rsid w:val="00E01B6F"/>
    <w:rsid w:val="00E01C21"/>
    <w:rsid w:val="00E020E5"/>
    <w:rsid w:val="00E022C3"/>
    <w:rsid w:val="00E028E5"/>
    <w:rsid w:val="00E02D50"/>
    <w:rsid w:val="00E02ED8"/>
    <w:rsid w:val="00E02F7D"/>
    <w:rsid w:val="00E03021"/>
    <w:rsid w:val="00E0309E"/>
    <w:rsid w:val="00E0387D"/>
    <w:rsid w:val="00E0403C"/>
    <w:rsid w:val="00E0407D"/>
    <w:rsid w:val="00E04677"/>
    <w:rsid w:val="00E04821"/>
    <w:rsid w:val="00E04AB7"/>
    <w:rsid w:val="00E04C26"/>
    <w:rsid w:val="00E04E50"/>
    <w:rsid w:val="00E05753"/>
    <w:rsid w:val="00E058BB"/>
    <w:rsid w:val="00E058F6"/>
    <w:rsid w:val="00E05B63"/>
    <w:rsid w:val="00E0626F"/>
    <w:rsid w:val="00E0671D"/>
    <w:rsid w:val="00E06FB3"/>
    <w:rsid w:val="00E0735B"/>
    <w:rsid w:val="00E073A2"/>
    <w:rsid w:val="00E0797F"/>
    <w:rsid w:val="00E07C86"/>
    <w:rsid w:val="00E10332"/>
    <w:rsid w:val="00E1052F"/>
    <w:rsid w:val="00E10598"/>
    <w:rsid w:val="00E10672"/>
    <w:rsid w:val="00E1077D"/>
    <w:rsid w:val="00E108AF"/>
    <w:rsid w:val="00E1090B"/>
    <w:rsid w:val="00E10CE1"/>
    <w:rsid w:val="00E11157"/>
    <w:rsid w:val="00E111AA"/>
    <w:rsid w:val="00E112A5"/>
    <w:rsid w:val="00E11ED6"/>
    <w:rsid w:val="00E11F05"/>
    <w:rsid w:val="00E11F44"/>
    <w:rsid w:val="00E1206A"/>
    <w:rsid w:val="00E12391"/>
    <w:rsid w:val="00E12426"/>
    <w:rsid w:val="00E128F8"/>
    <w:rsid w:val="00E12918"/>
    <w:rsid w:val="00E1340F"/>
    <w:rsid w:val="00E13BD4"/>
    <w:rsid w:val="00E13E06"/>
    <w:rsid w:val="00E14C27"/>
    <w:rsid w:val="00E14DF3"/>
    <w:rsid w:val="00E14F49"/>
    <w:rsid w:val="00E153D6"/>
    <w:rsid w:val="00E15B38"/>
    <w:rsid w:val="00E15BD3"/>
    <w:rsid w:val="00E1609A"/>
    <w:rsid w:val="00E16149"/>
    <w:rsid w:val="00E16299"/>
    <w:rsid w:val="00E16499"/>
    <w:rsid w:val="00E16C86"/>
    <w:rsid w:val="00E16CA8"/>
    <w:rsid w:val="00E17338"/>
    <w:rsid w:val="00E20209"/>
    <w:rsid w:val="00E20979"/>
    <w:rsid w:val="00E20D3B"/>
    <w:rsid w:val="00E211B4"/>
    <w:rsid w:val="00E21231"/>
    <w:rsid w:val="00E21748"/>
    <w:rsid w:val="00E21FE5"/>
    <w:rsid w:val="00E22024"/>
    <w:rsid w:val="00E2221E"/>
    <w:rsid w:val="00E23194"/>
    <w:rsid w:val="00E232F0"/>
    <w:rsid w:val="00E235CA"/>
    <w:rsid w:val="00E23807"/>
    <w:rsid w:val="00E23B2E"/>
    <w:rsid w:val="00E243CE"/>
    <w:rsid w:val="00E24B84"/>
    <w:rsid w:val="00E253AD"/>
    <w:rsid w:val="00E2659A"/>
    <w:rsid w:val="00E2678B"/>
    <w:rsid w:val="00E2766E"/>
    <w:rsid w:val="00E27A10"/>
    <w:rsid w:val="00E27D8D"/>
    <w:rsid w:val="00E27E54"/>
    <w:rsid w:val="00E27E65"/>
    <w:rsid w:val="00E301D2"/>
    <w:rsid w:val="00E30988"/>
    <w:rsid w:val="00E30E14"/>
    <w:rsid w:val="00E311D9"/>
    <w:rsid w:val="00E31313"/>
    <w:rsid w:val="00E313C2"/>
    <w:rsid w:val="00E319E0"/>
    <w:rsid w:val="00E31A3B"/>
    <w:rsid w:val="00E3250E"/>
    <w:rsid w:val="00E325EB"/>
    <w:rsid w:val="00E32AFC"/>
    <w:rsid w:val="00E32D63"/>
    <w:rsid w:val="00E3337E"/>
    <w:rsid w:val="00E3390A"/>
    <w:rsid w:val="00E33943"/>
    <w:rsid w:val="00E3406A"/>
    <w:rsid w:val="00E3419E"/>
    <w:rsid w:val="00E3429B"/>
    <w:rsid w:val="00E348DC"/>
    <w:rsid w:val="00E35131"/>
    <w:rsid w:val="00E35166"/>
    <w:rsid w:val="00E35685"/>
    <w:rsid w:val="00E356D2"/>
    <w:rsid w:val="00E35952"/>
    <w:rsid w:val="00E35E53"/>
    <w:rsid w:val="00E360E3"/>
    <w:rsid w:val="00E366BF"/>
    <w:rsid w:val="00E368D8"/>
    <w:rsid w:val="00E37232"/>
    <w:rsid w:val="00E3748D"/>
    <w:rsid w:val="00E376BE"/>
    <w:rsid w:val="00E40494"/>
    <w:rsid w:val="00E40904"/>
    <w:rsid w:val="00E4114E"/>
    <w:rsid w:val="00E41520"/>
    <w:rsid w:val="00E415EE"/>
    <w:rsid w:val="00E4163B"/>
    <w:rsid w:val="00E41647"/>
    <w:rsid w:val="00E418A4"/>
    <w:rsid w:val="00E41AF3"/>
    <w:rsid w:val="00E41C38"/>
    <w:rsid w:val="00E41EAE"/>
    <w:rsid w:val="00E424A1"/>
    <w:rsid w:val="00E42812"/>
    <w:rsid w:val="00E43E22"/>
    <w:rsid w:val="00E43E8A"/>
    <w:rsid w:val="00E43F6E"/>
    <w:rsid w:val="00E4425E"/>
    <w:rsid w:val="00E45143"/>
    <w:rsid w:val="00E452F5"/>
    <w:rsid w:val="00E45413"/>
    <w:rsid w:val="00E455D4"/>
    <w:rsid w:val="00E459A2"/>
    <w:rsid w:val="00E459A8"/>
    <w:rsid w:val="00E45A2D"/>
    <w:rsid w:val="00E45ADC"/>
    <w:rsid w:val="00E45AFC"/>
    <w:rsid w:val="00E45F42"/>
    <w:rsid w:val="00E462B8"/>
    <w:rsid w:val="00E462CE"/>
    <w:rsid w:val="00E466F4"/>
    <w:rsid w:val="00E468AC"/>
    <w:rsid w:val="00E468DD"/>
    <w:rsid w:val="00E47BA8"/>
    <w:rsid w:val="00E47F48"/>
    <w:rsid w:val="00E50060"/>
    <w:rsid w:val="00E500A1"/>
    <w:rsid w:val="00E500FD"/>
    <w:rsid w:val="00E50587"/>
    <w:rsid w:val="00E50600"/>
    <w:rsid w:val="00E50B34"/>
    <w:rsid w:val="00E50BB7"/>
    <w:rsid w:val="00E50CB0"/>
    <w:rsid w:val="00E51204"/>
    <w:rsid w:val="00E51C0B"/>
    <w:rsid w:val="00E51FDF"/>
    <w:rsid w:val="00E525CC"/>
    <w:rsid w:val="00E534B0"/>
    <w:rsid w:val="00E53644"/>
    <w:rsid w:val="00E5430D"/>
    <w:rsid w:val="00E5459F"/>
    <w:rsid w:val="00E54C64"/>
    <w:rsid w:val="00E554A9"/>
    <w:rsid w:val="00E55A17"/>
    <w:rsid w:val="00E55D04"/>
    <w:rsid w:val="00E55DEE"/>
    <w:rsid w:val="00E55EBF"/>
    <w:rsid w:val="00E55EED"/>
    <w:rsid w:val="00E55FAC"/>
    <w:rsid w:val="00E56191"/>
    <w:rsid w:val="00E567D6"/>
    <w:rsid w:val="00E56B76"/>
    <w:rsid w:val="00E56DBB"/>
    <w:rsid w:val="00E57955"/>
    <w:rsid w:val="00E57CC2"/>
    <w:rsid w:val="00E57CFB"/>
    <w:rsid w:val="00E57F84"/>
    <w:rsid w:val="00E61280"/>
    <w:rsid w:val="00E612A2"/>
    <w:rsid w:val="00E613A1"/>
    <w:rsid w:val="00E61C51"/>
    <w:rsid w:val="00E623C3"/>
    <w:rsid w:val="00E6240D"/>
    <w:rsid w:val="00E62519"/>
    <w:rsid w:val="00E626B7"/>
    <w:rsid w:val="00E6291C"/>
    <w:rsid w:val="00E63173"/>
    <w:rsid w:val="00E636EB"/>
    <w:rsid w:val="00E638A3"/>
    <w:rsid w:val="00E64BFF"/>
    <w:rsid w:val="00E64D21"/>
    <w:rsid w:val="00E64D83"/>
    <w:rsid w:val="00E64EBD"/>
    <w:rsid w:val="00E64FA1"/>
    <w:rsid w:val="00E65114"/>
    <w:rsid w:val="00E6515A"/>
    <w:rsid w:val="00E65F8D"/>
    <w:rsid w:val="00E65FAC"/>
    <w:rsid w:val="00E65FFF"/>
    <w:rsid w:val="00E66394"/>
    <w:rsid w:val="00E664F2"/>
    <w:rsid w:val="00E66681"/>
    <w:rsid w:val="00E6724F"/>
    <w:rsid w:val="00E674DF"/>
    <w:rsid w:val="00E676DA"/>
    <w:rsid w:val="00E67DBF"/>
    <w:rsid w:val="00E67F77"/>
    <w:rsid w:val="00E705A4"/>
    <w:rsid w:val="00E706AA"/>
    <w:rsid w:val="00E709EA"/>
    <w:rsid w:val="00E70A20"/>
    <w:rsid w:val="00E70CEC"/>
    <w:rsid w:val="00E70D32"/>
    <w:rsid w:val="00E70E87"/>
    <w:rsid w:val="00E70F1A"/>
    <w:rsid w:val="00E71D49"/>
    <w:rsid w:val="00E720D7"/>
    <w:rsid w:val="00E729AA"/>
    <w:rsid w:val="00E72C9A"/>
    <w:rsid w:val="00E73343"/>
    <w:rsid w:val="00E73779"/>
    <w:rsid w:val="00E73D5D"/>
    <w:rsid w:val="00E74095"/>
    <w:rsid w:val="00E74C2D"/>
    <w:rsid w:val="00E74CF9"/>
    <w:rsid w:val="00E75224"/>
    <w:rsid w:val="00E7535E"/>
    <w:rsid w:val="00E75AFA"/>
    <w:rsid w:val="00E75CF2"/>
    <w:rsid w:val="00E76612"/>
    <w:rsid w:val="00E76BC2"/>
    <w:rsid w:val="00E76D23"/>
    <w:rsid w:val="00E77BBF"/>
    <w:rsid w:val="00E77D9E"/>
    <w:rsid w:val="00E80263"/>
    <w:rsid w:val="00E80277"/>
    <w:rsid w:val="00E805FE"/>
    <w:rsid w:val="00E80840"/>
    <w:rsid w:val="00E80D8B"/>
    <w:rsid w:val="00E80DD0"/>
    <w:rsid w:val="00E80E88"/>
    <w:rsid w:val="00E81474"/>
    <w:rsid w:val="00E81D3A"/>
    <w:rsid w:val="00E82839"/>
    <w:rsid w:val="00E82CE8"/>
    <w:rsid w:val="00E82F99"/>
    <w:rsid w:val="00E83166"/>
    <w:rsid w:val="00E83304"/>
    <w:rsid w:val="00E833CD"/>
    <w:rsid w:val="00E83899"/>
    <w:rsid w:val="00E83C37"/>
    <w:rsid w:val="00E84A53"/>
    <w:rsid w:val="00E84C9A"/>
    <w:rsid w:val="00E84EA4"/>
    <w:rsid w:val="00E851D5"/>
    <w:rsid w:val="00E85A61"/>
    <w:rsid w:val="00E85B08"/>
    <w:rsid w:val="00E85EFE"/>
    <w:rsid w:val="00E86085"/>
    <w:rsid w:val="00E869D5"/>
    <w:rsid w:val="00E86A42"/>
    <w:rsid w:val="00E86A7F"/>
    <w:rsid w:val="00E87BC0"/>
    <w:rsid w:val="00E87CCE"/>
    <w:rsid w:val="00E9004D"/>
    <w:rsid w:val="00E9032A"/>
    <w:rsid w:val="00E909E6"/>
    <w:rsid w:val="00E90D74"/>
    <w:rsid w:val="00E91034"/>
    <w:rsid w:val="00E915EB"/>
    <w:rsid w:val="00E9161F"/>
    <w:rsid w:val="00E917E1"/>
    <w:rsid w:val="00E919A1"/>
    <w:rsid w:val="00E91FF5"/>
    <w:rsid w:val="00E9262F"/>
    <w:rsid w:val="00E92D6D"/>
    <w:rsid w:val="00E92FC0"/>
    <w:rsid w:val="00E93037"/>
    <w:rsid w:val="00E933AF"/>
    <w:rsid w:val="00E934C8"/>
    <w:rsid w:val="00E934D2"/>
    <w:rsid w:val="00E93B2F"/>
    <w:rsid w:val="00E93E4A"/>
    <w:rsid w:val="00E93E9F"/>
    <w:rsid w:val="00E94037"/>
    <w:rsid w:val="00E94CD8"/>
    <w:rsid w:val="00E9563C"/>
    <w:rsid w:val="00E95E7D"/>
    <w:rsid w:val="00E96004"/>
    <w:rsid w:val="00E960EE"/>
    <w:rsid w:val="00E9679A"/>
    <w:rsid w:val="00E96E6B"/>
    <w:rsid w:val="00E9761B"/>
    <w:rsid w:val="00E97DED"/>
    <w:rsid w:val="00EA054A"/>
    <w:rsid w:val="00EA0637"/>
    <w:rsid w:val="00EA06A4"/>
    <w:rsid w:val="00EA0855"/>
    <w:rsid w:val="00EA0BDA"/>
    <w:rsid w:val="00EA0DB3"/>
    <w:rsid w:val="00EA1240"/>
    <w:rsid w:val="00EA129E"/>
    <w:rsid w:val="00EA1E03"/>
    <w:rsid w:val="00EA1F6B"/>
    <w:rsid w:val="00EA22D6"/>
    <w:rsid w:val="00EA2406"/>
    <w:rsid w:val="00EA296E"/>
    <w:rsid w:val="00EA29CC"/>
    <w:rsid w:val="00EA2AF8"/>
    <w:rsid w:val="00EA3340"/>
    <w:rsid w:val="00EA351F"/>
    <w:rsid w:val="00EA37AC"/>
    <w:rsid w:val="00EA37CC"/>
    <w:rsid w:val="00EA3EE9"/>
    <w:rsid w:val="00EA3F94"/>
    <w:rsid w:val="00EA3FD4"/>
    <w:rsid w:val="00EA4390"/>
    <w:rsid w:val="00EA44A3"/>
    <w:rsid w:val="00EA4CF3"/>
    <w:rsid w:val="00EA53A2"/>
    <w:rsid w:val="00EA563D"/>
    <w:rsid w:val="00EA573B"/>
    <w:rsid w:val="00EA60C1"/>
    <w:rsid w:val="00EA60E3"/>
    <w:rsid w:val="00EA628D"/>
    <w:rsid w:val="00EA6647"/>
    <w:rsid w:val="00EA66CC"/>
    <w:rsid w:val="00EA6C1D"/>
    <w:rsid w:val="00EA6CA8"/>
    <w:rsid w:val="00EA6E7C"/>
    <w:rsid w:val="00EA6F0F"/>
    <w:rsid w:val="00EA71EB"/>
    <w:rsid w:val="00EA736C"/>
    <w:rsid w:val="00EA7DFB"/>
    <w:rsid w:val="00EB0114"/>
    <w:rsid w:val="00EB0560"/>
    <w:rsid w:val="00EB0724"/>
    <w:rsid w:val="00EB0A96"/>
    <w:rsid w:val="00EB100C"/>
    <w:rsid w:val="00EB1041"/>
    <w:rsid w:val="00EB212D"/>
    <w:rsid w:val="00EB25EA"/>
    <w:rsid w:val="00EB3291"/>
    <w:rsid w:val="00EB3448"/>
    <w:rsid w:val="00EB3FE1"/>
    <w:rsid w:val="00EB42A1"/>
    <w:rsid w:val="00EB50B6"/>
    <w:rsid w:val="00EB57E9"/>
    <w:rsid w:val="00EB5838"/>
    <w:rsid w:val="00EB5A98"/>
    <w:rsid w:val="00EB5F6F"/>
    <w:rsid w:val="00EB60F3"/>
    <w:rsid w:val="00EB6CBA"/>
    <w:rsid w:val="00EB764A"/>
    <w:rsid w:val="00EC0ECC"/>
    <w:rsid w:val="00EC10E9"/>
    <w:rsid w:val="00EC1B25"/>
    <w:rsid w:val="00EC1CCC"/>
    <w:rsid w:val="00EC20BA"/>
    <w:rsid w:val="00EC28FD"/>
    <w:rsid w:val="00EC2BBE"/>
    <w:rsid w:val="00EC2FB2"/>
    <w:rsid w:val="00EC339E"/>
    <w:rsid w:val="00EC3A0D"/>
    <w:rsid w:val="00EC3A4C"/>
    <w:rsid w:val="00EC3E31"/>
    <w:rsid w:val="00EC4136"/>
    <w:rsid w:val="00EC4B64"/>
    <w:rsid w:val="00EC4DE8"/>
    <w:rsid w:val="00EC4E38"/>
    <w:rsid w:val="00EC5B74"/>
    <w:rsid w:val="00EC60DD"/>
    <w:rsid w:val="00EC6196"/>
    <w:rsid w:val="00EC6B2A"/>
    <w:rsid w:val="00EC6D3A"/>
    <w:rsid w:val="00EC6F03"/>
    <w:rsid w:val="00EC722B"/>
    <w:rsid w:val="00EC7650"/>
    <w:rsid w:val="00EC79D2"/>
    <w:rsid w:val="00EC7E5A"/>
    <w:rsid w:val="00EC7FEE"/>
    <w:rsid w:val="00ED0622"/>
    <w:rsid w:val="00ED08FF"/>
    <w:rsid w:val="00ED09E4"/>
    <w:rsid w:val="00ED0B0F"/>
    <w:rsid w:val="00ED1ECF"/>
    <w:rsid w:val="00ED1EF3"/>
    <w:rsid w:val="00ED2790"/>
    <w:rsid w:val="00ED2A5C"/>
    <w:rsid w:val="00ED2DBF"/>
    <w:rsid w:val="00ED2F1E"/>
    <w:rsid w:val="00ED3047"/>
    <w:rsid w:val="00ED3205"/>
    <w:rsid w:val="00ED347C"/>
    <w:rsid w:val="00ED3C1B"/>
    <w:rsid w:val="00ED3E43"/>
    <w:rsid w:val="00ED3F44"/>
    <w:rsid w:val="00ED417C"/>
    <w:rsid w:val="00ED42A5"/>
    <w:rsid w:val="00ED5143"/>
    <w:rsid w:val="00ED51E1"/>
    <w:rsid w:val="00ED5573"/>
    <w:rsid w:val="00ED5E53"/>
    <w:rsid w:val="00ED6174"/>
    <w:rsid w:val="00ED6741"/>
    <w:rsid w:val="00ED691C"/>
    <w:rsid w:val="00ED6997"/>
    <w:rsid w:val="00ED69DA"/>
    <w:rsid w:val="00ED6C77"/>
    <w:rsid w:val="00ED73DF"/>
    <w:rsid w:val="00ED7820"/>
    <w:rsid w:val="00ED7B97"/>
    <w:rsid w:val="00ED7FAD"/>
    <w:rsid w:val="00EE018D"/>
    <w:rsid w:val="00EE0BB9"/>
    <w:rsid w:val="00EE1666"/>
    <w:rsid w:val="00EE189C"/>
    <w:rsid w:val="00EE1DA4"/>
    <w:rsid w:val="00EE1E93"/>
    <w:rsid w:val="00EE27A5"/>
    <w:rsid w:val="00EE2B02"/>
    <w:rsid w:val="00EE2D5D"/>
    <w:rsid w:val="00EE2E74"/>
    <w:rsid w:val="00EE36C4"/>
    <w:rsid w:val="00EE492B"/>
    <w:rsid w:val="00EE4D8E"/>
    <w:rsid w:val="00EE572F"/>
    <w:rsid w:val="00EE57EA"/>
    <w:rsid w:val="00EE59EC"/>
    <w:rsid w:val="00EE5C0F"/>
    <w:rsid w:val="00EE63BB"/>
    <w:rsid w:val="00EE6F0D"/>
    <w:rsid w:val="00EE72B9"/>
    <w:rsid w:val="00EE7930"/>
    <w:rsid w:val="00EE7AF3"/>
    <w:rsid w:val="00EE7C77"/>
    <w:rsid w:val="00EF0089"/>
    <w:rsid w:val="00EF01DC"/>
    <w:rsid w:val="00EF05DE"/>
    <w:rsid w:val="00EF1581"/>
    <w:rsid w:val="00EF17F4"/>
    <w:rsid w:val="00EF189F"/>
    <w:rsid w:val="00EF1AD2"/>
    <w:rsid w:val="00EF2443"/>
    <w:rsid w:val="00EF2478"/>
    <w:rsid w:val="00EF25E7"/>
    <w:rsid w:val="00EF284B"/>
    <w:rsid w:val="00EF3204"/>
    <w:rsid w:val="00EF32F8"/>
    <w:rsid w:val="00EF38D5"/>
    <w:rsid w:val="00EF3961"/>
    <w:rsid w:val="00EF4B27"/>
    <w:rsid w:val="00EF5D04"/>
    <w:rsid w:val="00EF6018"/>
    <w:rsid w:val="00EF6151"/>
    <w:rsid w:val="00EF663E"/>
    <w:rsid w:val="00EF6828"/>
    <w:rsid w:val="00EF68A3"/>
    <w:rsid w:val="00EF70B9"/>
    <w:rsid w:val="00EF713B"/>
    <w:rsid w:val="00F004FC"/>
    <w:rsid w:val="00F00A24"/>
    <w:rsid w:val="00F00AA2"/>
    <w:rsid w:val="00F00C1B"/>
    <w:rsid w:val="00F0144D"/>
    <w:rsid w:val="00F01C29"/>
    <w:rsid w:val="00F020C3"/>
    <w:rsid w:val="00F02134"/>
    <w:rsid w:val="00F0213D"/>
    <w:rsid w:val="00F0275F"/>
    <w:rsid w:val="00F034B3"/>
    <w:rsid w:val="00F0366E"/>
    <w:rsid w:val="00F038B7"/>
    <w:rsid w:val="00F03BD1"/>
    <w:rsid w:val="00F03FDF"/>
    <w:rsid w:val="00F04633"/>
    <w:rsid w:val="00F04792"/>
    <w:rsid w:val="00F04BD7"/>
    <w:rsid w:val="00F04CD2"/>
    <w:rsid w:val="00F05073"/>
    <w:rsid w:val="00F054EE"/>
    <w:rsid w:val="00F057C7"/>
    <w:rsid w:val="00F06243"/>
    <w:rsid w:val="00F063A5"/>
    <w:rsid w:val="00F063BC"/>
    <w:rsid w:val="00F068A3"/>
    <w:rsid w:val="00F06F8E"/>
    <w:rsid w:val="00F0746C"/>
    <w:rsid w:val="00F0755A"/>
    <w:rsid w:val="00F07D07"/>
    <w:rsid w:val="00F07E65"/>
    <w:rsid w:val="00F07FB3"/>
    <w:rsid w:val="00F1011B"/>
    <w:rsid w:val="00F11332"/>
    <w:rsid w:val="00F11463"/>
    <w:rsid w:val="00F117F2"/>
    <w:rsid w:val="00F11CA7"/>
    <w:rsid w:val="00F11D2B"/>
    <w:rsid w:val="00F11D8F"/>
    <w:rsid w:val="00F124C6"/>
    <w:rsid w:val="00F127DF"/>
    <w:rsid w:val="00F1295A"/>
    <w:rsid w:val="00F129C7"/>
    <w:rsid w:val="00F129FF"/>
    <w:rsid w:val="00F1328E"/>
    <w:rsid w:val="00F13BB9"/>
    <w:rsid w:val="00F13C39"/>
    <w:rsid w:val="00F14289"/>
    <w:rsid w:val="00F142FA"/>
    <w:rsid w:val="00F143F7"/>
    <w:rsid w:val="00F145F5"/>
    <w:rsid w:val="00F14722"/>
    <w:rsid w:val="00F14BE6"/>
    <w:rsid w:val="00F1558F"/>
    <w:rsid w:val="00F15777"/>
    <w:rsid w:val="00F15907"/>
    <w:rsid w:val="00F15AE8"/>
    <w:rsid w:val="00F15E93"/>
    <w:rsid w:val="00F15F28"/>
    <w:rsid w:val="00F160BE"/>
    <w:rsid w:val="00F16CC4"/>
    <w:rsid w:val="00F16E98"/>
    <w:rsid w:val="00F17012"/>
    <w:rsid w:val="00F1719F"/>
    <w:rsid w:val="00F172AF"/>
    <w:rsid w:val="00F17530"/>
    <w:rsid w:val="00F17CB7"/>
    <w:rsid w:val="00F20262"/>
    <w:rsid w:val="00F20479"/>
    <w:rsid w:val="00F21C42"/>
    <w:rsid w:val="00F21E06"/>
    <w:rsid w:val="00F21E3B"/>
    <w:rsid w:val="00F21FAB"/>
    <w:rsid w:val="00F2233D"/>
    <w:rsid w:val="00F22575"/>
    <w:rsid w:val="00F2295D"/>
    <w:rsid w:val="00F2298B"/>
    <w:rsid w:val="00F230DA"/>
    <w:rsid w:val="00F233E1"/>
    <w:rsid w:val="00F23A8D"/>
    <w:rsid w:val="00F23E0C"/>
    <w:rsid w:val="00F23F06"/>
    <w:rsid w:val="00F2449D"/>
    <w:rsid w:val="00F24D4F"/>
    <w:rsid w:val="00F24F8A"/>
    <w:rsid w:val="00F251FE"/>
    <w:rsid w:val="00F254E7"/>
    <w:rsid w:val="00F25539"/>
    <w:rsid w:val="00F2578B"/>
    <w:rsid w:val="00F25AA6"/>
    <w:rsid w:val="00F26302"/>
    <w:rsid w:val="00F26646"/>
    <w:rsid w:val="00F26A7B"/>
    <w:rsid w:val="00F270A2"/>
    <w:rsid w:val="00F27594"/>
    <w:rsid w:val="00F279C1"/>
    <w:rsid w:val="00F27C73"/>
    <w:rsid w:val="00F27DC8"/>
    <w:rsid w:val="00F30112"/>
    <w:rsid w:val="00F30429"/>
    <w:rsid w:val="00F306EB"/>
    <w:rsid w:val="00F30BA1"/>
    <w:rsid w:val="00F30F2D"/>
    <w:rsid w:val="00F31657"/>
    <w:rsid w:val="00F31C3E"/>
    <w:rsid w:val="00F323B3"/>
    <w:rsid w:val="00F32448"/>
    <w:rsid w:val="00F327E8"/>
    <w:rsid w:val="00F32922"/>
    <w:rsid w:val="00F329EE"/>
    <w:rsid w:val="00F32C40"/>
    <w:rsid w:val="00F33638"/>
    <w:rsid w:val="00F3395E"/>
    <w:rsid w:val="00F33FBC"/>
    <w:rsid w:val="00F34EC5"/>
    <w:rsid w:val="00F34FCB"/>
    <w:rsid w:val="00F3504D"/>
    <w:rsid w:val="00F3598C"/>
    <w:rsid w:val="00F35A37"/>
    <w:rsid w:val="00F37279"/>
    <w:rsid w:val="00F3735C"/>
    <w:rsid w:val="00F37663"/>
    <w:rsid w:val="00F37799"/>
    <w:rsid w:val="00F37D4B"/>
    <w:rsid w:val="00F37D4D"/>
    <w:rsid w:val="00F37FEB"/>
    <w:rsid w:val="00F400EB"/>
    <w:rsid w:val="00F4034B"/>
    <w:rsid w:val="00F4061C"/>
    <w:rsid w:val="00F40713"/>
    <w:rsid w:val="00F4099F"/>
    <w:rsid w:val="00F40CE2"/>
    <w:rsid w:val="00F410B5"/>
    <w:rsid w:val="00F41954"/>
    <w:rsid w:val="00F41A40"/>
    <w:rsid w:val="00F41C6C"/>
    <w:rsid w:val="00F421E3"/>
    <w:rsid w:val="00F42496"/>
    <w:rsid w:val="00F4297B"/>
    <w:rsid w:val="00F42981"/>
    <w:rsid w:val="00F42BEB"/>
    <w:rsid w:val="00F42D25"/>
    <w:rsid w:val="00F4342A"/>
    <w:rsid w:val="00F43BD3"/>
    <w:rsid w:val="00F4469E"/>
    <w:rsid w:val="00F44E64"/>
    <w:rsid w:val="00F45712"/>
    <w:rsid w:val="00F45904"/>
    <w:rsid w:val="00F45AA0"/>
    <w:rsid w:val="00F45D35"/>
    <w:rsid w:val="00F46818"/>
    <w:rsid w:val="00F46851"/>
    <w:rsid w:val="00F46A93"/>
    <w:rsid w:val="00F46CDD"/>
    <w:rsid w:val="00F47F19"/>
    <w:rsid w:val="00F47FFB"/>
    <w:rsid w:val="00F502C4"/>
    <w:rsid w:val="00F50EFC"/>
    <w:rsid w:val="00F5117E"/>
    <w:rsid w:val="00F51365"/>
    <w:rsid w:val="00F51BEF"/>
    <w:rsid w:val="00F51D71"/>
    <w:rsid w:val="00F520D0"/>
    <w:rsid w:val="00F52215"/>
    <w:rsid w:val="00F526E0"/>
    <w:rsid w:val="00F52D53"/>
    <w:rsid w:val="00F52D61"/>
    <w:rsid w:val="00F53CB6"/>
    <w:rsid w:val="00F53F58"/>
    <w:rsid w:val="00F545FE"/>
    <w:rsid w:val="00F54BD6"/>
    <w:rsid w:val="00F55060"/>
    <w:rsid w:val="00F5532B"/>
    <w:rsid w:val="00F5561F"/>
    <w:rsid w:val="00F55A83"/>
    <w:rsid w:val="00F56051"/>
    <w:rsid w:val="00F561D0"/>
    <w:rsid w:val="00F563A5"/>
    <w:rsid w:val="00F564D5"/>
    <w:rsid w:val="00F56A6C"/>
    <w:rsid w:val="00F56C49"/>
    <w:rsid w:val="00F57351"/>
    <w:rsid w:val="00F57790"/>
    <w:rsid w:val="00F57B2D"/>
    <w:rsid w:val="00F608F9"/>
    <w:rsid w:val="00F60919"/>
    <w:rsid w:val="00F617AD"/>
    <w:rsid w:val="00F61D7F"/>
    <w:rsid w:val="00F6225B"/>
    <w:rsid w:val="00F62882"/>
    <w:rsid w:val="00F633CE"/>
    <w:rsid w:val="00F63521"/>
    <w:rsid w:val="00F63871"/>
    <w:rsid w:val="00F64046"/>
    <w:rsid w:val="00F64160"/>
    <w:rsid w:val="00F6470B"/>
    <w:rsid w:val="00F647F8"/>
    <w:rsid w:val="00F649C8"/>
    <w:rsid w:val="00F64ABD"/>
    <w:rsid w:val="00F65158"/>
    <w:rsid w:val="00F65353"/>
    <w:rsid w:val="00F654BA"/>
    <w:rsid w:val="00F657C0"/>
    <w:rsid w:val="00F657F7"/>
    <w:rsid w:val="00F65BAC"/>
    <w:rsid w:val="00F667EA"/>
    <w:rsid w:val="00F6689F"/>
    <w:rsid w:val="00F6696E"/>
    <w:rsid w:val="00F67192"/>
    <w:rsid w:val="00F67554"/>
    <w:rsid w:val="00F67683"/>
    <w:rsid w:val="00F67693"/>
    <w:rsid w:val="00F676E4"/>
    <w:rsid w:val="00F70464"/>
    <w:rsid w:val="00F70932"/>
    <w:rsid w:val="00F70D53"/>
    <w:rsid w:val="00F70EAC"/>
    <w:rsid w:val="00F710D1"/>
    <w:rsid w:val="00F7140E"/>
    <w:rsid w:val="00F71567"/>
    <w:rsid w:val="00F71588"/>
    <w:rsid w:val="00F717A4"/>
    <w:rsid w:val="00F71891"/>
    <w:rsid w:val="00F71A27"/>
    <w:rsid w:val="00F71CBF"/>
    <w:rsid w:val="00F71CE5"/>
    <w:rsid w:val="00F71D64"/>
    <w:rsid w:val="00F71FC9"/>
    <w:rsid w:val="00F72425"/>
    <w:rsid w:val="00F725CF"/>
    <w:rsid w:val="00F72678"/>
    <w:rsid w:val="00F727D7"/>
    <w:rsid w:val="00F7283A"/>
    <w:rsid w:val="00F73BEB"/>
    <w:rsid w:val="00F73C4A"/>
    <w:rsid w:val="00F73E57"/>
    <w:rsid w:val="00F741D2"/>
    <w:rsid w:val="00F74464"/>
    <w:rsid w:val="00F7496E"/>
    <w:rsid w:val="00F74AD4"/>
    <w:rsid w:val="00F74C0E"/>
    <w:rsid w:val="00F754C2"/>
    <w:rsid w:val="00F762BF"/>
    <w:rsid w:val="00F76AE7"/>
    <w:rsid w:val="00F7741A"/>
    <w:rsid w:val="00F776C4"/>
    <w:rsid w:val="00F77E1F"/>
    <w:rsid w:val="00F80074"/>
    <w:rsid w:val="00F802FB"/>
    <w:rsid w:val="00F80462"/>
    <w:rsid w:val="00F8142C"/>
    <w:rsid w:val="00F816BB"/>
    <w:rsid w:val="00F82318"/>
    <w:rsid w:val="00F8246C"/>
    <w:rsid w:val="00F835BA"/>
    <w:rsid w:val="00F83A3B"/>
    <w:rsid w:val="00F83DDE"/>
    <w:rsid w:val="00F8401C"/>
    <w:rsid w:val="00F84367"/>
    <w:rsid w:val="00F84DF6"/>
    <w:rsid w:val="00F85428"/>
    <w:rsid w:val="00F856EE"/>
    <w:rsid w:val="00F85AA8"/>
    <w:rsid w:val="00F85B6F"/>
    <w:rsid w:val="00F85ED7"/>
    <w:rsid w:val="00F85EEF"/>
    <w:rsid w:val="00F860C4"/>
    <w:rsid w:val="00F86B28"/>
    <w:rsid w:val="00F8743A"/>
    <w:rsid w:val="00F87C66"/>
    <w:rsid w:val="00F87DBD"/>
    <w:rsid w:val="00F90072"/>
    <w:rsid w:val="00F90476"/>
    <w:rsid w:val="00F91286"/>
    <w:rsid w:val="00F91483"/>
    <w:rsid w:val="00F914A4"/>
    <w:rsid w:val="00F921A7"/>
    <w:rsid w:val="00F92262"/>
    <w:rsid w:val="00F92B8C"/>
    <w:rsid w:val="00F92FE5"/>
    <w:rsid w:val="00F938C3"/>
    <w:rsid w:val="00F9394E"/>
    <w:rsid w:val="00F93A3B"/>
    <w:rsid w:val="00F93B03"/>
    <w:rsid w:val="00F93D3D"/>
    <w:rsid w:val="00F94416"/>
    <w:rsid w:val="00F94683"/>
    <w:rsid w:val="00F946C1"/>
    <w:rsid w:val="00F94732"/>
    <w:rsid w:val="00F94AFE"/>
    <w:rsid w:val="00F94EE7"/>
    <w:rsid w:val="00F94F3C"/>
    <w:rsid w:val="00F95077"/>
    <w:rsid w:val="00F952FB"/>
    <w:rsid w:val="00F957E2"/>
    <w:rsid w:val="00F95F76"/>
    <w:rsid w:val="00F9608B"/>
    <w:rsid w:val="00F96647"/>
    <w:rsid w:val="00F96F26"/>
    <w:rsid w:val="00F97A53"/>
    <w:rsid w:val="00F97BE1"/>
    <w:rsid w:val="00F97C68"/>
    <w:rsid w:val="00FA08FC"/>
    <w:rsid w:val="00FA0928"/>
    <w:rsid w:val="00FA1361"/>
    <w:rsid w:val="00FA17CE"/>
    <w:rsid w:val="00FA1A3E"/>
    <w:rsid w:val="00FA1B5D"/>
    <w:rsid w:val="00FA1C67"/>
    <w:rsid w:val="00FA1F9F"/>
    <w:rsid w:val="00FA1FEB"/>
    <w:rsid w:val="00FA2FE2"/>
    <w:rsid w:val="00FA317B"/>
    <w:rsid w:val="00FA347F"/>
    <w:rsid w:val="00FA3A2E"/>
    <w:rsid w:val="00FA3D83"/>
    <w:rsid w:val="00FA3F34"/>
    <w:rsid w:val="00FA4217"/>
    <w:rsid w:val="00FA430A"/>
    <w:rsid w:val="00FA46DC"/>
    <w:rsid w:val="00FA4CA0"/>
    <w:rsid w:val="00FA4E90"/>
    <w:rsid w:val="00FA571D"/>
    <w:rsid w:val="00FA59C5"/>
    <w:rsid w:val="00FA5A96"/>
    <w:rsid w:val="00FA5FAB"/>
    <w:rsid w:val="00FA673B"/>
    <w:rsid w:val="00FA6988"/>
    <w:rsid w:val="00FA739C"/>
    <w:rsid w:val="00FA7E9D"/>
    <w:rsid w:val="00FB06CC"/>
    <w:rsid w:val="00FB0C28"/>
    <w:rsid w:val="00FB12CD"/>
    <w:rsid w:val="00FB15C1"/>
    <w:rsid w:val="00FB2152"/>
    <w:rsid w:val="00FB2260"/>
    <w:rsid w:val="00FB2D9F"/>
    <w:rsid w:val="00FB30C0"/>
    <w:rsid w:val="00FB3437"/>
    <w:rsid w:val="00FB38AA"/>
    <w:rsid w:val="00FB3B00"/>
    <w:rsid w:val="00FB3BBE"/>
    <w:rsid w:val="00FB3BF5"/>
    <w:rsid w:val="00FB3E27"/>
    <w:rsid w:val="00FB4B72"/>
    <w:rsid w:val="00FB4E08"/>
    <w:rsid w:val="00FB4E4E"/>
    <w:rsid w:val="00FB4F9E"/>
    <w:rsid w:val="00FB50A5"/>
    <w:rsid w:val="00FB518D"/>
    <w:rsid w:val="00FB5471"/>
    <w:rsid w:val="00FB54EB"/>
    <w:rsid w:val="00FB54FA"/>
    <w:rsid w:val="00FB5ECF"/>
    <w:rsid w:val="00FB5F08"/>
    <w:rsid w:val="00FB6581"/>
    <w:rsid w:val="00FB67B9"/>
    <w:rsid w:val="00FB68BF"/>
    <w:rsid w:val="00FB6C4F"/>
    <w:rsid w:val="00FB7387"/>
    <w:rsid w:val="00FB75E3"/>
    <w:rsid w:val="00FB7802"/>
    <w:rsid w:val="00FC010F"/>
    <w:rsid w:val="00FC0886"/>
    <w:rsid w:val="00FC1099"/>
    <w:rsid w:val="00FC1382"/>
    <w:rsid w:val="00FC14E4"/>
    <w:rsid w:val="00FC18FB"/>
    <w:rsid w:val="00FC1967"/>
    <w:rsid w:val="00FC2246"/>
    <w:rsid w:val="00FC25C0"/>
    <w:rsid w:val="00FC26A7"/>
    <w:rsid w:val="00FC289A"/>
    <w:rsid w:val="00FC2C95"/>
    <w:rsid w:val="00FC2E22"/>
    <w:rsid w:val="00FC33CB"/>
    <w:rsid w:val="00FC3463"/>
    <w:rsid w:val="00FC3B7E"/>
    <w:rsid w:val="00FC46E9"/>
    <w:rsid w:val="00FC4832"/>
    <w:rsid w:val="00FC4A54"/>
    <w:rsid w:val="00FC4A9D"/>
    <w:rsid w:val="00FC4DE7"/>
    <w:rsid w:val="00FC5172"/>
    <w:rsid w:val="00FC517B"/>
    <w:rsid w:val="00FC53F8"/>
    <w:rsid w:val="00FC5B72"/>
    <w:rsid w:val="00FC5CF2"/>
    <w:rsid w:val="00FC5F8D"/>
    <w:rsid w:val="00FC606C"/>
    <w:rsid w:val="00FC63BF"/>
    <w:rsid w:val="00FC6F63"/>
    <w:rsid w:val="00FC728E"/>
    <w:rsid w:val="00FC7323"/>
    <w:rsid w:val="00FD03E7"/>
    <w:rsid w:val="00FD05ED"/>
    <w:rsid w:val="00FD17E3"/>
    <w:rsid w:val="00FD18A4"/>
    <w:rsid w:val="00FD1B81"/>
    <w:rsid w:val="00FD364D"/>
    <w:rsid w:val="00FD3D0C"/>
    <w:rsid w:val="00FD417D"/>
    <w:rsid w:val="00FD4424"/>
    <w:rsid w:val="00FD4AAF"/>
    <w:rsid w:val="00FD4CBD"/>
    <w:rsid w:val="00FD4E62"/>
    <w:rsid w:val="00FD51E0"/>
    <w:rsid w:val="00FD5461"/>
    <w:rsid w:val="00FD598D"/>
    <w:rsid w:val="00FD5E03"/>
    <w:rsid w:val="00FD5F9E"/>
    <w:rsid w:val="00FD606C"/>
    <w:rsid w:val="00FD643A"/>
    <w:rsid w:val="00FD7053"/>
    <w:rsid w:val="00FD713B"/>
    <w:rsid w:val="00FD7464"/>
    <w:rsid w:val="00FD764C"/>
    <w:rsid w:val="00FD7CB7"/>
    <w:rsid w:val="00FD7DA7"/>
    <w:rsid w:val="00FD7F20"/>
    <w:rsid w:val="00FE04E6"/>
    <w:rsid w:val="00FE0BEE"/>
    <w:rsid w:val="00FE0C3E"/>
    <w:rsid w:val="00FE0D61"/>
    <w:rsid w:val="00FE1AB7"/>
    <w:rsid w:val="00FE22FF"/>
    <w:rsid w:val="00FE2590"/>
    <w:rsid w:val="00FE2C6E"/>
    <w:rsid w:val="00FE2D68"/>
    <w:rsid w:val="00FE3382"/>
    <w:rsid w:val="00FE387F"/>
    <w:rsid w:val="00FE392F"/>
    <w:rsid w:val="00FE3CA3"/>
    <w:rsid w:val="00FE456D"/>
    <w:rsid w:val="00FE479E"/>
    <w:rsid w:val="00FE4D47"/>
    <w:rsid w:val="00FE5672"/>
    <w:rsid w:val="00FE56C6"/>
    <w:rsid w:val="00FE5D0E"/>
    <w:rsid w:val="00FE60F8"/>
    <w:rsid w:val="00FE6255"/>
    <w:rsid w:val="00FE62B5"/>
    <w:rsid w:val="00FE63AA"/>
    <w:rsid w:val="00FE68FB"/>
    <w:rsid w:val="00FE6FAD"/>
    <w:rsid w:val="00FE78BA"/>
    <w:rsid w:val="00FE79A2"/>
    <w:rsid w:val="00FE79CF"/>
    <w:rsid w:val="00FF054A"/>
    <w:rsid w:val="00FF0785"/>
    <w:rsid w:val="00FF0989"/>
    <w:rsid w:val="00FF100A"/>
    <w:rsid w:val="00FF12E5"/>
    <w:rsid w:val="00FF141F"/>
    <w:rsid w:val="00FF1830"/>
    <w:rsid w:val="00FF1BFC"/>
    <w:rsid w:val="00FF22D4"/>
    <w:rsid w:val="00FF23C6"/>
    <w:rsid w:val="00FF2554"/>
    <w:rsid w:val="00FF39DF"/>
    <w:rsid w:val="00FF41EF"/>
    <w:rsid w:val="00FF4223"/>
    <w:rsid w:val="00FF4466"/>
    <w:rsid w:val="00FF474B"/>
    <w:rsid w:val="00FF480A"/>
    <w:rsid w:val="00FF4B2C"/>
    <w:rsid w:val="00FF5260"/>
    <w:rsid w:val="00FF5995"/>
    <w:rsid w:val="00FF64F9"/>
    <w:rsid w:val="00FF714A"/>
    <w:rsid w:val="00FF721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5F834"/>
  <w15:chartTrackingRefBased/>
  <w15:docId w15:val="{1BDA39A0-5B88-4DD6-A0F4-E3E9F52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801"/>
    <w:pPr>
      <w:spacing w:after="120" w:line="240" w:lineRule="auto"/>
    </w:pPr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3466E"/>
    <w:pPr>
      <w:spacing w:after="160" w:line="259" w:lineRule="auto"/>
      <w:jc w:val="center"/>
      <w:outlineLvl w:val="0"/>
    </w:pPr>
    <w:rPr>
      <w:rFonts w:asciiTheme="minorHAnsi" w:eastAsiaTheme="minorHAnsi" w:hAnsiTheme="minorHAnsi" w:cstheme="minorHAnsi"/>
      <w:b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6F3F69"/>
    <w:pPr>
      <w:numPr>
        <w:numId w:val="1"/>
      </w:numPr>
      <w:spacing w:after="60" w:line="259" w:lineRule="auto"/>
      <w:jc w:val="both"/>
      <w:outlineLvl w:val="1"/>
    </w:pPr>
    <w:rPr>
      <w:rFonts w:asciiTheme="minorHAnsi" w:eastAsia="Calibri" w:hAnsiTheme="minorHAnsi" w:cstheme="minorHAns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3045F"/>
    <w:pPr>
      <w:keepNext/>
      <w:numPr>
        <w:ilvl w:val="1"/>
        <w:numId w:val="2"/>
      </w:numPr>
      <w:spacing w:after="0"/>
      <w:jc w:val="both"/>
      <w:outlineLvl w:val="2"/>
    </w:pPr>
    <w:rPr>
      <w:rFonts w:cs="Calibri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15015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15015"/>
    <w:pPr>
      <w:keepNext/>
      <w:keepLines/>
      <w:spacing w:before="40" w:after="0"/>
      <w:ind w:left="1008" w:hanging="1008"/>
      <w:outlineLvl w:val="4"/>
    </w:pPr>
    <w:rPr>
      <w:rFonts w:ascii="Arial" w:hAnsi="Arial"/>
      <w:b/>
      <w:bCs/>
      <w:sz w:val="22"/>
      <w:szCs w:val="26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22055C"/>
    <w:pPr>
      <w:keepNext/>
      <w:spacing w:before="120" w:after="0"/>
      <w:jc w:val="center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01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01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01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66E"/>
    <w:rPr>
      <w:rFonts w:eastAsiaTheme="minorHAnsi" w:cstheme="minorHAnsi"/>
      <w:b/>
      <w:sz w:val="28"/>
      <w:szCs w:val="28"/>
    </w:rPr>
  </w:style>
  <w:style w:type="paragraph" w:styleId="Odstavecseseznamem">
    <w:name w:val="List Paragraph"/>
    <w:aliases w:val="Nad,Nadpis pro KZ,Odstavec_muj,odrážky,List Paragraph_0,List Paragraph,Odstavec cíl se seznamem,List Paragraph (Czech Tourism),Odstavec se seznamem5,Odstavec_muj1,Odstavec_muj2,Odstavec_muj3,Nad1,List Paragraph1,Odstavec_muj4,Nad2,3"/>
    <w:basedOn w:val="Normln"/>
    <w:link w:val="OdstavecseseznamemChar"/>
    <w:uiPriority w:val="34"/>
    <w:qFormat/>
    <w:rsid w:val="00F21FAB"/>
    <w:pPr>
      <w:ind w:left="720"/>
      <w:contextualSpacing/>
    </w:pPr>
  </w:style>
  <w:style w:type="character" w:customStyle="1" w:styleId="OdstavecseseznamemChar">
    <w:name w:val="Odstavec se seznamem Char"/>
    <w:aliases w:val="Nad Char,Nadpis pro KZ Char,Odstavec_muj Char,odrážky Char,List Paragraph_0 Char,List Paragraph Char,Odstavec cíl se seznamem Char,List Paragraph (Czech Tourism) Char,Odstavec se seznamem5 Char,Odstavec_muj1 Char,Nad1 Char"/>
    <w:link w:val="Odstavecseseznamem"/>
    <w:uiPriority w:val="34"/>
    <w:qFormat/>
    <w:locked/>
    <w:rsid w:val="004139C8"/>
    <w:rPr>
      <w:rFonts w:ascii="Calibri" w:hAnsi="Calibri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F3F69"/>
    <w:rPr>
      <w:rFonts w:eastAsia="Calibri" w:cstheme="minorHAns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3045F"/>
    <w:rPr>
      <w:rFonts w:ascii="Calibri" w:hAnsi="Calibri" w:cs="Calibr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150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E1A"/>
    <w:rPr>
      <w:rFonts w:ascii="Arial" w:hAnsi="Arial" w:cs="Times New Roman"/>
      <w:b/>
      <w:bCs/>
      <w:szCs w:val="26"/>
      <w:u w:val="single"/>
    </w:rPr>
  </w:style>
  <w:style w:type="character" w:customStyle="1" w:styleId="Nadpis6Char">
    <w:name w:val="Nadpis 6 Char"/>
    <w:basedOn w:val="Standardnpsmoodstavce"/>
    <w:link w:val="Nadpis6"/>
    <w:rsid w:val="0022055C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50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0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0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aliases w:val="12 b.,PGI Fußnote Ziffer,PGI Fußnote Ziffer + Times New Roman,Zúžené o ...,number,BVI fnr,Footnote symbol,Footnote Reference Superscript,Appel note de bas de p,Appel note de bas de page,Légende,Char Car Car Car Car,Footnote call"/>
    <w:basedOn w:val="Standardnpsmoodstavce"/>
    <w:uiPriority w:val="99"/>
    <w:qFormat/>
    <w:rsid w:val="002B7978"/>
    <w:rPr>
      <w:vertAlign w:val="superscript"/>
    </w:rPr>
  </w:style>
  <w:style w:type="paragraph" w:styleId="Textpoznpodarou">
    <w:name w:val="footnote text"/>
    <w:aliases w:val="Boston 10,Font: Geneva 9,Footnote,Fußnotentextf,Geneva 9,Podrozdzia3,Podrozdział,Schriftart: 10 pt,Schriftart: 8 pt,Schriftart: 9 pt,Text pozn. pod čarou times,Text poznámky pod čiarou 007,f,pozn. pod čarou,Char Char Char Char,Char1"/>
    <w:basedOn w:val="Normln"/>
    <w:link w:val="TextpoznpodarouChar"/>
    <w:uiPriority w:val="99"/>
    <w:qFormat/>
    <w:rsid w:val="002B7978"/>
    <w:pPr>
      <w:spacing w:after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Font: Geneva 9 Char,Footnote Char,Fußnotentextf Char,Geneva 9 Char,Podrozdzia3 Char,Podrozdział Char,Schriftart: 10 pt Char,Schriftart: 8 pt Char,Schriftart: 9 pt Char,Text pozn. pod čarou times Char,f Char"/>
    <w:basedOn w:val="Standardnpsmoodstavce"/>
    <w:link w:val="Textpoznpodarou"/>
    <w:uiPriority w:val="99"/>
    <w:qFormat/>
    <w:rsid w:val="002B7978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8BA"/>
    <w:rPr>
      <w:color w:val="0563C1" w:themeColor="hyperlink"/>
      <w:u w:val="single"/>
    </w:rPr>
  </w:style>
  <w:style w:type="paragraph" w:customStyle="1" w:styleId="textKZ">
    <w:name w:val="text KZ"/>
    <w:basedOn w:val="Normln"/>
    <w:link w:val="textKZChar"/>
    <w:qFormat/>
    <w:rsid w:val="00833A3E"/>
    <w:pPr>
      <w:jc w:val="both"/>
    </w:pPr>
  </w:style>
  <w:style w:type="character" w:customStyle="1" w:styleId="textKZChar">
    <w:name w:val="text KZ Char"/>
    <w:basedOn w:val="Standardnpsmoodstavce"/>
    <w:link w:val="textKZ"/>
    <w:rsid w:val="00833A3E"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5640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640"/>
    <w:rPr>
      <w:rFonts w:ascii="Calibri" w:hAnsi="Calibri" w:cs="Times New Roman"/>
      <w:sz w:val="24"/>
      <w:szCs w:val="24"/>
    </w:rPr>
  </w:style>
  <w:style w:type="paragraph" w:customStyle="1" w:styleId="NormlnKZ">
    <w:name w:val="Normální KZ"/>
    <w:basedOn w:val="Normln"/>
    <w:rsid w:val="001B19A8"/>
    <w:pPr>
      <w:ind w:firstLine="425"/>
      <w:jc w:val="both"/>
    </w:pPr>
    <w:rPr>
      <w:rFonts w:ascii="Times New Roman" w:hAnsi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72D"/>
    <w:pPr>
      <w:spacing w:after="0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2D"/>
    <w:rPr>
      <w:rFonts w:ascii="Arial" w:hAnsi="Arial" w:cs="Arial"/>
      <w:sz w:val="18"/>
      <w:szCs w:val="18"/>
    </w:rPr>
  </w:style>
  <w:style w:type="table" w:customStyle="1" w:styleId="Mkatabulky21">
    <w:name w:val="Mřížka tabulky21"/>
    <w:basedOn w:val="Normlntabulka"/>
    <w:next w:val="Mkatabulky"/>
    <w:uiPriority w:val="59"/>
    <w:rsid w:val="006B1BC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3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34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347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47E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66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8A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20A"/>
    <w:rPr>
      <w:color w:val="954F72" w:themeColor="followedHyperlink"/>
      <w:u w:val="single"/>
    </w:rPr>
  </w:style>
  <w:style w:type="paragraph" w:customStyle="1" w:styleId="msonormal0">
    <w:name w:val="msonormal"/>
    <w:basedOn w:val="Normln"/>
    <w:rsid w:val="0022055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2055C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2055C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2055C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22055C"/>
    <w:pPr>
      <w:keepNext/>
      <w:spacing w:before="240"/>
    </w:pPr>
    <w:rPr>
      <w:rFonts w:cs="Calibri"/>
      <w:b/>
      <w:bCs/>
      <w:szCs w:val="20"/>
    </w:rPr>
  </w:style>
  <w:style w:type="character" w:customStyle="1" w:styleId="SeznamobrzkChar">
    <w:name w:val="Seznam obrázků Char"/>
    <w:basedOn w:val="Standardnpsmoodstavce"/>
    <w:link w:val="Seznamobrzk"/>
    <w:uiPriority w:val="99"/>
    <w:semiHidden/>
    <w:locked/>
    <w:rsid w:val="0022055C"/>
    <w:rPr>
      <w:rFonts w:ascii="Times New Roman" w:hAnsi="Times New Roman" w:cs="Times New Roman"/>
      <w:iCs/>
      <w:sz w:val="24"/>
      <w:szCs w:val="20"/>
    </w:rPr>
  </w:style>
  <w:style w:type="paragraph" w:styleId="Seznamobrzk">
    <w:name w:val="table of figures"/>
    <w:basedOn w:val="Normln"/>
    <w:next w:val="Normln"/>
    <w:link w:val="SeznamobrzkChar"/>
    <w:uiPriority w:val="99"/>
    <w:unhideWhenUsed/>
    <w:rsid w:val="0022055C"/>
    <w:pPr>
      <w:spacing w:after="0"/>
    </w:pPr>
    <w:rPr>
      <w:rFonts w:ascii="Times New Roman" w:hAnsi="Times New Roman"/>
      <w:iCs/>
      <w:szCs w:val="20"/>
    </w:rPr>
  </w:style>
  <w:style w:type="character" w:customStyle="1" w:styleId="ZdrojChar">
    <w:name w:val="Zdroj Char"/>
    <w:basedOn w:val="Standardnpsmoodstavce"/>
    <w:link w:val="Zdroj"/>
    <w:locked/>
    <w:rsid w:val="0022055C"/>
    <w:rPr>
      <w:rFonts w:ascii="Times New Roman" w:hAnsi="Times New Roman" w:cstheme="minorHAnsi"/>
      <w:i/>
      <w:sz w:val="20"/>
      <w:szCs w:val="20"/>
    </w:rPr>
  </w:style>
  <w:style w:type="paragraph" w:customStyle="1" w:styleId="Zdroj">
    <w:name w:val="Zdroj"/>
    <w:basedOn w:val="Normln"/>
    <w:link w:val="ZdrojChar"/>
    <w:qFormat/>
    <w:rsid w:val="0022055C"/>
    <w:pPr>
      <w:spacing w:before="120" w:after="0"/>
    </w:pPr>
    <w:rPr>
      <w:rFonts w:ascii="Times New Roman" w:hAnsi="Times New Roman" w:cstheme="minorHAnsi"/>
      <w:i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055C"/>
    <w:pPr>
      <w:spacing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055C"/>
    <w:rPr>
      <w:rFonts w:ascii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link w:val="textodstavceChar"/>
    <w:qFormat/>
    <w:rsid w:val="006C468D"/>
    <w:pPr>
      <w:jc w:val="both"/>
    </w:pPr>
    <w:rPr>
      <w:rFonts w:cs="Calibri"/>
    </w:rPr>
  </w:style>
  <w:style w:type="character" w:customStyle="1" w:styleId="textodstavceChar">
    <w:name w:val="text odstavce Char"/>
    <w:basedOn w:val="Standardnpsmoodstavce"/>
    <w:link w:val="textodstavce"/>
    <w:rsid w:val="006C468D"/>
    <w:rPr>
      <w:rFonts w:ascii="Calibri" w:hAnsi="Calibri" w:cs="Calibri"/>
      <w:sz w:val="24"/>
      <w:szCs w:val="24"/>
    </w:rPr>
  </w:style>
  <w:style w:type="character" w:styleId="Siln">
    <w:name w:val="Strong"/>
    <w:uiPriority w:val="22"/>
    <w:qFormat/>
    <w:rsid w:val="00C14D2E"/>
    <w:rPr>
      <w:rFonts w:ascii="Calibri" w:hAnsi="Calibri" w:cs="Calibri"/>
      <w:b/>
      <w:sz w:val="24"/>
    </w:rPr>
  </w:style>
  <w:style w:type="paragraph" w:customStyle="1" w:styleId="Bezmezer1">
    <w:name w:val="Bez mezer1"/>
    <w:aliases w:val="KP,No Spacing"/>
    <w:basedOn w:val="Normln"/>
    <w:link w:val="Bezmezer1Char"/>
    <w:uiPriority w:val="1"/>
    <w:qFormat/>
    <w:rsid w:val="00C854EE"/>
    <w:pPr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Bezmezer1Char">
    <w:name w:val="Bez mezer1 Char"/>
    <w:aliases w:val="KP Char,No Spacing Char"/>
    <w:basedOn w:val="Standardnpsmoodstavce"/>
    <w:link w:val="Bezmezer1"/>
    <w:uiPriority w:val="1"/>
    <w:rsid w:val="00C854EE"/>
    <w:rPr>
      <w:rFonts w:ascii="Arial" w:hAnsi="Arial" w:cs="Arial"/>
    </w:rPr>
  </w:style>
  <w:style w:type="paragraph" w:styleId="Prosttext">
    <w:name w:val="Plain Text"/>
    <w:basedOn w:val="Normln"/>
    <w:link w:val="ProsttextChar"/>
    <w:uiPriority w:val="99"/>
    <w:unhideWhenUsed/>
    <w:rsid w:val="00C67C92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67C92"/>
    <w:rPr>
      <w:rFonts w:ascii="Consolas" w:hAnsi="Consolas" w:cs="Times New Roman"/>
      <w:sz w:val="21"/>
      <w:szCs w:val="21"/>
    </w:rPr>
  </w:style>
  <w:style w:type="character" w:customStyle="1" w:styleId="Nadpis5Char1">
    <w:name w:val="Nadpis 5 Char1"/>
    <w:basedOn w:val="Standardnpsmoodstavce"/>
    <w:uiPriority w:val="9"/>
    <w:semiHidden/>
    <w:rsid w:val="0011501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501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5015"/>
    <w:pPr>
      <w:spacing w:after="0"/>
    </w:pPr>
    <w:rPr>
      <w:rFonts w:ascii="Tahoma" w:hAnsi="Tahoma" w:cs="Tahoma"/>
      <w:sz w:val="16"/>
      <w:szCs w:val="16"/>
    </w:rPr>
  </w:style>
  <w:style w:type="character" w:customStyle="1" w:styleId="NormalChar">
    <w:name w:val="Normal Char"/>
    <w:basedOn w:val="Standardnpsmoodstavce"/>
    <w:link w:val="Normln1"/>
    <w:locked/>
    <w:rsid w:val="00673511"/>
    <w:rPr>
      <w:rFonts w:ascii="Times New Roman" w:hAnsi="Times New Roman" w:cstheme="minorHAnsi"/>
      <w:sz w:val="24"/>
      <w:szCs w:val="24"/>
    </w:rPr>
  </w:style>
  <w:style w:type="paragraph" w:customStyle="1" w:styleId="Normln1">
    <w:name w:val="Normální1"/>
    <w:basedOn w:val="Normln"/>
    <w:link w:val="NormalChar"/>
    <w:qFormat/>
    <w:rsid w:val="00673511"/>
    <w:pPr>
      <w:spacing w:after="0"/>
    </w:pPr>
    <w:rPr>
      <w:rFonts w:ascii="Times New Roman" w:hAnsi="Times New Roman" w:cstheme="minorHAnsi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AD7C22"/>
    <w:pPr>
      <w:spacing w:after="100"/>
      <w:ind w:left="240"/>
    </w:pPr>
  </w:style>
  <w:style w:type="numbering" w:customStyle="1" w:styleId="Bezseznamu1">
    <w:name w:val="Bez seznamu1"/>
    <w:next w:val="Bezseznamu"/>
    <w:uiPriority w:val="99"/>
    <w:semiHidden/>
    <w:unhideWhenUsed/>
    <w:rsid w:val="00B53D75"/>
  </w:style>
  <w:style w:type="table" w:customStyle="1" w:styleId="Mkatabulky1">
    <w:name w:val="Mřížka tabulky1"/>
    <w:basedOn w:val="Normlntabulka"/>
    <w:next w:val="Mkatabulky"/>
    <w:uiPriority w:val="59"/>
    <w:rsid w:val="00B53D75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236DA8"/>
    <w:rPr>
      <w:i/>
      <w:iCs/>
    </w:rPr>
  </w:style>
  <w:style w:type="numbering" w:customStyle="1" w:styleId="Bezseznamu2">
    <w:name w:val="Bez seznamu2"/>
    <w:next w:val="Bezseznamu"/>
    <w:uiPriority w:val="99"/>
    <w:semiHidden/>
    <w:unhideWhenUsed/>
    <w:rsid w:val="00E6240D"/>
  </w:style>
  <w:style w:type="character" w:styleId="slostrnky">
    <w:name w:val="page number"/>
    <w:basedOn w:val="Standardnpsmoodstavce"/>
    <w:semiHidden/>
    <w:rsid w:val="00E6240D"/>
  </w:style>
  <w:style w:type="numbering" w:customStyle="1" w:styleId="Bezseznamu11">
    <w:name w:val="Bez seznamu11"/>
    <w:next w:val="Bezseznamu"/>
    <w:uiPriority w:val="99"/>
    <w:semiHidden/>
    <w:unhideWhenUsed/>
    <w:rsid w:val="00E6240D"/>
  </w:style>
  <w:style w:type="paragraph" w:customStyle="1" w:styleId="Titulek1">
    <w:name w:val="Titulek1"/>
    <w:basedOn w:val="Normln"/>
    <w:next w:val="Normln"/>
    <w:uiPriority w:val="35"/>
    <w:unhideWhenUsed/>
    <w:qFormat/>
    <w:rsid w:val="00E6240D"/>
    <w:pPr>
      <w:keepNext/>
      <w:tabs>
        <w:tab w:val="left" w:pos="1134"/>
        <w:tab w:val="right" w:pos="9356"/>
      </w:tabs>
      <w:spacing w:after="40"/>
      <w:jc w:val="both"/>
    </w:pPr>
    <w:rPr>
      <w:b/>
      <w:iCs/>
      <w:sz w:val="20"/>
      <w:szCs w:val="18"/>
    </w:rPr>
  </w:style>
  <w:style w:type="paragraph" w:customStyle="1" w:styleId="Textpoznpodarou1">
    <w:name w:val="Text pozn. pod čarou1"/>
    <w:basedOn w:val="Normln"/>
    <w:next w:val="Textpoznpodarou"/>
    <w:uiPriority w:val="99"/>
    <w:semiHidden/>
    <w:unhideWhenUsed/>
    <w:rsid w:val="00E6240D"/>
    <w:pPr>
      <w:spacing w:after="0"/>
      <w:jc w:val="both"/>
    </w:pPr>
    <w:rPr>
      <w:sz w:val="20"/>
      <w:szCs w:val="20"/>
    </w:rPr>
  </w:style>
  <w:style w:type="paragraph" w:customStyle="1" w:styleId="Nadpisobsahu1">
    <w:name w:val="Nadpis obsahu1"/>
    <w:basedOn w:val="Nadpis1"/>
    <w:next w:val="Normln"/>
    <w:uiPriority w:val="39"/>
    <w:unhideWhenUsed/>
    <w:qFormat/>
    <w:rsid w:val="00E6240D"/>
    <w:pPr>
      <w:keepNext/>
      <w:keepLines/>
      <w:pageBreakBefore/>
      <w:spacing w:before="240" w:after="240"/>
      <w:ind w:left="432" w:hanging="432"/>
      <w:jc w:val="both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eastAsia="cs-CZ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E6240D"/>
    <w:pPr>
      <w:spacing w:after="100"/>
      <w:jc w:val="both"/>
    </w:pPr>
    <w:rPr>
      <w:rFonts w:eastAsia="Calibri"/>
      <w:szCs w:val="22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E6240D"/>
    <w:pPr>
      <w:spacing w:after="100"/>
      <w:ind w:left="240"/>
      <w:jc w:val="both"/>
    </w:pPr>
    <w:rPr>
      <w:rFonts w:eastAsia="Calibri"/>
      <w:szCs w:val="22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E6240D"/>
    <w:pPr>
      <w:spacing w:after="100"/>
      <w:ind w:left="480"/>
      <w:jc w:val="both"/>
    </w:pPr>
    <w:rPr>
      <w:rFonts w:eastAsia="Calibri"/>
      <w:szCs w:val="22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E6240D"/>
    <w:pPr>
      <w:spacing w:after="100" w:line="259" w:lineRule="auto"/>
      <w:ind w:left="660"/>
      <w:jc w:val="both"/>
    </w:pPr>
    <w:rPr>
      <w:sz w:val="22"/>
      <w:szCs w:val="22"/>
      <w:lang w:eastAsia="cs-CZ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E6240D"/>
    <w:pPr>
      <w:spacing w:after="100" w:line="259" w:lineRule="auto"/>
      <w:ind w:left="880"/>
      <w:jc w:val="both"/>
    </w:pPr>
    <w:rPr>
      <w:sz w:val="22"/>
      <w:szCs w:val="22"/>
      <w:lang w:eastAsia="cs-CZ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E6240D"/>
    <w:pPr>
      <w:spacing w:after="100" w:line="259" w:lineRule="auto"/>
      <w:ind w:left="1100"/>
      <w:jc w:val="both"/>
    </w:pPr>
    <w:rPr>
      <w:sz w:val="22"/>
      <w:szCs w:val="22"/>
      <w:lang w:eastAsia="cs-CZ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E6240D"/>
    <w:pPr>
      <w:spacing w:after="100" w:line="259" w:lineRule="auto"/>
      <w:ind w:left="1320"/>
      <w:jc w:val="both"/>
    </w:pPr>
    <w:rPr>
      <w:sz w:val="22"/>
      <w:szCs w:val="22"/>
      <w:lang w:eastAsia="cs-CZ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E6240D"/>
    <w:pPr>
      <w:spacing w:after="100" w:line="259" w:lineRule="auto"/>
      <w:ind w:left="1540"/>
      <w:jc w:val="both"/>
    </w:pPr>
    <w:rPr>
      <w:sz w:val="22"/>
      <w:szCs w:val="22"/>
      <w:lang w:eastAsia="cs-CZ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E6240D"/>
    <w:pPr>
      <w:spacing w:after="100" w:line="259" w:lineRule="auto"/>
      <w:ind w:left="1760"/>
      <w:jc w:val="both"/>
    </w:pPr>
    <w:rPr>
      <w:sz w:val="22"/>
      <w:szCs w:val="22"/>
      <w:lang w:eastAsia="cs-CZ"/>
    </w:rPr>
  </w:style>
  <w:style w:type="character" w:customStyle="1" w:styleId="Hypertextovodkaz1">
    <w:name w:val="Hypertextový odkaz1"/>
    <w:basedOn w:val="Standardnpsmoodstavce"/>
    <w:uiPriority w:val="99"/>
    <w:unhideWhenUsed/>
    <w:rsid w:val="00E6240D"/>
    <w:rPr>
      <w:color w:val="0563C1"/>
      <w:u w:val="single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E6240D"/>
    <w:pPr>
      <w:spacing w:after="0"/>
      <w:jc w:val="both"/>
    </w:pPr>
    <w:rPr>
      <w:rFonts w:eastAsia="Calibri"/>
      <w:szCs w:val="22"/>
    </w:rPr>
  </w:style>
  <w:style w:type="paragraph" w:customStyle="1" w:styleId="Textkomente1">
    <w:name w:val="Text komentáře1"/>
    <w:basedOn w:val="Normln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sz w:val="20"/>
      <w:szCs w:val="20"/>
    </w:rPr>
  </w:style>
  <w:style w:type="paragraph" w:customStyle="1" w:styleId="Pedmtkomente1">
    <w:name w:val="Předmět komentáře1"/>
    <w:basedOn w:val="Textkomente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b/>
      <w:bCs/>
    </w:rPr>
  </w:style>
  <w:style w:type="table" w:customStyle="1" w:styleId="Mkatabulky11">
    <w:name w:val="Mřížka tabulky11"/>
    <w:basedOn w:val="Normlntabulka"/>
    <w:next w:val="Mkatabulky"/>
    <w:uiPriority w:val="3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1">
    <w:name w:val="Text pozn. pod čarou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E6240D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Mkatabulky2">
    <w:name w:val="Mřížka tabulky2"/>
    <w:basedOn w:val="Normlntabulka"/>
    <w:next w:val="Mkatabulky"/>
    <w:uiPriority w:val="5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97612"/>
    <w:rPr>
      <w:color w:val="000000"/>
      <w:sz w:val="28"/>
      <w:szCs w:val="28"/>
    </w:rPr>
  </w:style>
  <w:style w:type="character" w:customStyle="1" w:styleId="A4">
    <w:name w:val="A4"/>
    <w:uiPriority w:val="99"/>
    <w:rsid w:val="00597612"/>
    <w:rPr>
      <w:color w:val="000000"/>
      <w:sz w:val="60"/>
      <w:szCs w:val="60"/>
    </w:rPr>
  </w:style>
  <w:style w:type="character" w:customStyle="1" w:styleId="A5">
    <w:name w:val="A5"/>
    <w:uiPriority w:val="99"/>
    <w:rsid w:val="00597612"/>
    <w:rPr>
      <w:b/>
      <w:bCs/>
      <w:color w:val="000000"/>
      <w:sz w:val="40"/>
      <w:szCs w:val="4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05EE"/>
    <w:rPr>
      <w:color w:val="605E5C"/>
      <w:shd w:val="clear" w:color="auto" w:fill="E1DFDD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D50375"/>
    <w:rPr>
      <w:rFonts w:ascii="Calibri" w:hAnsi="Calibri" w:cs="Calibri"/>
      <w:b/>
      <w:bCs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D5035"/>
    <w:rPr>
      <w:color w:val="605E5C"/>
      <w:shd w:val="clear" w:color="auto" w:fill="E1DFDD"/>
    </w:rPr>
  </w:style>
  <w:style w:type="character" w:customStyle="1" w:styleId="odrkaChar">
    <w:name w:val="odrážka Char"/>
    <w:basedOn w:val="Standardnpsmoodstavce"/>
    <w:link w:val="odrka"/>
    <w:locked/>
    <w:rsid w:val="00D50417"/>
    <w:rPr>
      <w:rFonts w:cs="Calibri"/>
    </w:rPr>
  </w:style>
  <w:style w:type="paragraph" w:customStyle="1" w:styleId="odrka">
    <w:name w:val="odrážka"/>
    <w:basedOn w:val="Normln"/>
    <w:link w:val="odrkaChar"/>
    <w:qFormat/>
    <w:rsid w:val="00D50417"/>
    <w:pPr>
      <w:numPr>
        <w:numId w:val="3"/>
      </w:numPr>
      <w:spacing w:after="0" w:line="264" w:lineRule="auto"/>
      <w:jc w:val="both"/>
    </w:pPr>
    <w:rPr>
      <w:rFonts w:asciiTheme="minorHAnsi" w:hAnsiTheme="minorHAnsi" w:cs="Calibri"/>
      <w:sz w:val="22"/>
      <w:szCs w:val="22"/>
    </w:rPr>
  </w:style>
  <w:style w:type="paragraph" w:customStyle="1" w:styleId="Styl1">
    <w:name w:val="Styl1"/>
    <w:basedOn w:val="Nadpis1"/>
    <w:link w:val="Styl1Char"/>
    <w:qFormat/>
    <w:rsid w:val="00201480"/>
    <w:pPr>
      <w:keepNext/>
      <w:numPr>
        <w:numId w:val="4"/>
      </w:numPr>
      <w:spacing w:after="0" w:line="240" w:lineRule="auto"/>
    </w:pPr>
  </w:style>
  <w:style w:type="paragraph" w:customStyle="1" w:styleId="Styl2">
    <w:name w:val="Styl2"/>
    <w:basedOn w:val="Nadpis2"/>
    <w:link w:val="Styl2Char"/>
    <w:qFormat/>
    <w:rsid w:val="00201480"/>
    <w:pPr>
      <w:keepNext/>
      <w:numPr>
        <w:ilvl w:val="1"/>
        <w:numId w:val="4"/>
      </w:numPr>
      <w:spacing w:after="240" w:line="240" w:lineRule="auto"/>
      <w:contextualSpacing w:val="0"/>
      <w:jc w:val="left"/>
    </w:pPr>
    <w:rPr>
      <w:rFonts w:ascii="Calibri" w:hAnsi="Calibri" w:cs="Calibri"/>
    </w:rPr>
  </w:style>
  <w:style w:type="character" w:customStyle="1" w:styleId="Styl1Char">
    <w:name w:val="Styl1 Char"/>
    <w:basedOn w:val="Nadpis1Char"/>
    <w:link w:val="Styl1"/>
    <w:rsid w:val="00201480"/>
    <w:rPr>
      <w:rFonts w:eastAsiaTheme="minorHAnsi" w:cstheme="minorHAnsi"/>
      <w:b/>
      <w:sz w:val="28"/>
      <w:szCs w:val="28"/>
    </w:rPr>
  </w:style>
  <w:style w:type="paragraph" w:customStyle="1" w:styleId="Styl3">
    <w:name w:val="Styl3"/>
    <w:basedOn w:val="Nadpis4"/>
    <w:link w:val="Styl3Char"/>
    <w:qFormat/>
    <w:rsid w:val="00201480"/>
    <w:pPr>
      <w:ind w:left="360" w:hanging="360"/>
    </w:pPr>
    <w:rPr>
      <w:rFonts w:asciiTheme="minorHAnsi" w:eastAsia="Times New Roman" w:hAnsiTheme="minorHAnsi" w:cstheme="minorHAnsi"/>
      <w:b/>
      <w:i w:val="0"/>
      <w:color w:val="000000" w:themeColor="text1"/>
    </w:rPr>
  </w:style>
  <w:style w:type="character" w:customStyle="1" w:styleId="Styl2Char">
    <w:name w:val="Styl2 Char"/>
    <w:basedOn w:val="Nadpis2Char"/>
    <w:link w:val="Styl2"/>
    <w:rsid w:val="00201480"/>
    <w:rPr>
      <w:rFonts w:ascii="Calibri" w:eastAsia="Calibri" w:hAnsi="Calibri" w:cs="Calibri"/>
      <w:b/>
      <w:sz w:val="24"/>
      <w:szCs w:val="24"/>
    </w:rPr>
  </w:style>
  <w:style w:type="character" w:customStyle="1" w:styleId="Styl3Char">
    <w:name w:val="Styl3 Char"/>
    <w:basedOn w:val="Nadpis4Char"/>
    <w:link w:val="Styl3"/>
    <w:rsid w:val="00201480"/>
    <w:rPr>
      <w:rFonts w:asciiTheme="majorHAnsi" w:eastAsiaTheme="majorEastAsia" w:hAnsiTheme="majorHAnsi" w:cstheme="minorHAnsi"/>
      <w:b/>
      <w:i w:val="0"/>
      <w:iCs/>
      <w:color w:val="000000" w:themeColor="text1"/>
      <w:sz w:val="24"/>
      <w:szCs w:val="24"/>
    </w:rPr>
  </w:style>
  <w:style w:type="paragraph" w:customStyle="1" w:styleId="Styl4">
    <w:name w:val="Styl4"/>
    <w:basedOn w:val="Styl2"/>
    <w:link w:val="Styl4Char"/>
    <w:qFormat/>
    <w:rsid w:val="00C83681"/>
    <w:pPr>
      <w:numPr>
        <w:ilvl w:val="0"/>
        <w:numId w:val="0"/>
      </w:numPr>
    </w:pPr>
  </w:style>
  <w:style w:type="character" w:customStyle="1" w:styleId="Styl4Char">
    <w:name w:val="Styl4 Char"/>
    <w:basedOn w:val="Styl2Char"/>
    <w:link w:val="Styl4"/>
    <w:rsid w:val="00C83681"/>
    <w:rPr>
      <w:rFonts w:ascii="Calibri" w:eastAsia="Calibri" w:hAnsi="Calibri" w:cs="Calibri"/>
      <w:b/>
      <w:sz w:val="24"/>
      <w:szCs w:val="24"/>
    </w:rPr>
  </w:style>
  <w:style w:type="paragraph" w:customStyle="1" w:styleId="Normln0">
    <w:name w:val="Norm‡ln’"/>
    <w:rsid w:val="005432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cs-CZ"/>
    </w:rPr>
  </w:style>
  <w:style w:type="paragraph" w:styleId="Normlnodsazen">
    <w:name w:val="Normal Indent"/>
    <w:basedOn w:val="Normln"/>
    <w:link w:val="NormlnodsazenChar"/>
    <w:uiPriority w:val="99"/>
    <w:rsid w:val="007D7F5D"/>
    <w:pPr>
      <w:spacing w:after="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NormlnodsazenChar">
    <w:name w:val="Normální odsazený Char"/>
    <w:basedOn w:val="Standardnpsmoodstavce"/>
    <w:link w:val="Normlnodsazen"/>
    <w:uiPriority w:val="99"/>
    <w:rsid w:val="007D7F5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9" Type="http://schemas.openxmlformats.org/officeDocument/2006/relationships/footer" Target="footer5.xml"/><Relationship Id="rId21" Type="http://schemas.microsoft.com/office/2007/relationships/diagramDrawing" Target="diagrams/drawing2.xml"/><Relationship Id="rId34" Type="http://schemas.openxmlformats.org/officeDocument/2006/relationships/footer" Target="footer2.xm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diagramQuickStyle" Target="diagrams/quickStyle3.xml"/><Relationship Id="rId32" Type="http://schemas.openxmlformats.org/officeDocument/2006/relationships/header" Target="header1.xml"/><Relationship Id="rId37" Type="http://schemas.openxmlformats.org/officeDocument/2006/relationships/header" Target="header3.xml"/><Relationship Id="rId40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2.xml"/><Relationship Id="rId31" Type="http://schemas.microsoft.com/office/2007/relationships/diagramDrawing" Target="diagrams/drawing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footer" Target="footer1.xml"/><Relationship Id="rId38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onitor.statnipokladna.gov.cz/ucetni-jednotka/00023671/rozpocet/vydaje-druhovy?rad=t&amp;obdobi=2412" TargetMode="External"/><Relationship Id="rId1" Type="http://schemas.openxmlformats.org/officeDocument/2006/relationships/hyperlink" Target="https://monitor.statnipokladna.gov.cz/ucetni-jednotka/00023671/ucetni-zaverka/rozvaha?rad=t&amp;obdobi=2412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ÚČETNÍ ZÁVĚRKA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DC300"/>
        </a:solidFill>
      </dgm:spPr>
      <dgm:t>
        <a:bodyPr/>
        <a:lstStyle/>
        <a:p>
          <a:r>
            <a:rPr lang="cs-CZ" sz="1200">
              <a:solidFill>
                <a:schemeClr val="tx1"/>
              </a:solidFill>
            </a:rPr>
            <a:t>V účetnictví ve výši 6,6 mld. Kč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VÝKAZ PRO HODNOCENÍ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PLNĚNÍ ROZPOČTU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2EB3A1"/>
        </a:solidFill>
      </dgm:spPr>
      <dgm:t>
        <a:bodyPr/>
        <a:lstStyle/>
        <a:p>
          <a:pPr>
            <a:lnSpc>
              <a:spcPct val="90000"/>
            </a:lnSpc>
            <a:spcAft>
              <a:spcPts val="0"/>
            </a:spcAft>
          </a:pPr>
          <a:r>
            <a:rPr lang="cs-CZ" sz="1200">
              <a:solidFill>
                <a:schemeClr val="bg1"/>
              </a:solidFill>
            </a:rPr>
            <a:t>Bez nutnosti oprav</a:t>
          </a:r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ZÁVĚREČNÝ ÚČET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>
              <a:solidFill>
                <a:schemeClr val="bg1"/>
              </a:solidFill>
            </a:rPr>
            <a:t>Nevýznamné opravy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VNITŘNÍ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KONTROLNÍ SYSTÉM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DC300"/>
        </a:solidFill>
      </dgm:spPr>
      <dgm:t>
        <a:bodyPr/>
        <a:lstStyle/>
        <a:p>
          <a:r>
            <a:rPr lang="cs-CZ" sz="1200">
              <a:solidFill>
                <a:schemeClr val="tx1"/>
              </a:solidFill>
            </a:rPr>
            <a:t>V oblasti účetnictví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nedostatků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3" y="0"/>
          <a:ext cx="1516316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ÚČETNÍ ZÁVĚRKA</a:t>
          </a:r>
        </a:p>
      </dsp:txBody>
      <dsp:txXfrm>
        <a:off x="25996" y="20923"/>
        <a:ext cx="1474470" cy="672529"/>
      </dsp:txXfrm>
    </dsp:sp>
    <dsp:sp modelId="{123861BD-196C-437D-9931-4CC9041E30FE}">
      <dsp:nvSpPr>
        <dsp:cNvPr id="0" name=""/>
        <dsp:cNvSpPr/>
      </dsp:nvSpPr>
      <dsp:spPr>
        <a:xfrm>
          <a:off x="1673021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3021" y="244373"/>
        <a:ext cx="225021" cy="225628"/>
      </dsp:txXfrm>
    </dsp:sp>
    <dsp:sp modelId="{3DC8206E-A8FB-476D-9805-2A1E5B3AAE38}">
      <dsp:nvSpPr>
        <dsp:cNvPr id="0" name=""/>
        <dsp:cNvSpPr/>
      </dsp:nvSpPr>
      <dsp:spPr>
        <a:xfrm>
          <a:off x="2127916" y="0"/>
          <a:ext cx="1516316" cy="714375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tx1"/>
              </a:solidFill>
            </a:rPr>
            <a:t>V účetnictví ve výši 6,6 mld. Kč</a:t>
          </a:r>
        </a:p>
      </dsp:txBody>
      <dsp:txXfrm>
        <a:off x="2148839" y="20923"/>
        <a:ext cx="1474470" cy="672529"/>
      </dsp:txXfrm>
    </dsp:sp>
    <dsp:sp modelId="{C5972E71-4061-4C9A-A7A8-D74380DF3E5E}">
      <dsp:nvSpPr>
        <dsp:cNvPr id="0" name=""/>
        <dsp:cNvSpPr/>
      </dsp:nvSpPr>
      <dsp:spPr>
        <a:xfrm>
          <a:off x="3795865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865" y="244373"/>
        <a:ext cx="225021" cy="225628"/>
      </dsp:txXfrm>
    </dsp:sp>
    <dsp:sp modelId="{E51FB0D5-E86A-4EDE-93ED-ABF9F2DE5957}">
      <dsp:nvSpPr>
        <dsp:cNvPr id="0" name=""/>
        <dsp:cNvSpPr/>
      </dsp:nvSpPr>
      <dsp:spPr>
        <a:xfrm>
          <a:off x="4250760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1683" y="20923"/>
        <a:ext cx="1474470" cy="6725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3" y="0"/>
          <a:ext cx="1516316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VÝKAZ PRO HODNOCENÍ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PLNĚNÍ ROZPOČTU</a:t>
          </a:r>
        </a:p>
      </dsp:txBody>
      <dsp:txXfrm>
        <a:off x="25996" y="20923"/>
        <a:ext cx="1474470" cy="672529"/>
      </dsp:txXfrm>
    </dsp:sp>
    <dsp:sp modelId="{123861BD-196C-437D-9931-4CC9041E30FE}">
      <dsp:nvSpPr>
        <dsp:cNvPr id="0" name=""/>
        <dsp:cNvSpPr/>
      </dsp:nvSpPr>
      <dsp:spPr>
        <a:xfrm>
          <a:off x="1673021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3021" y="244373"/>
        <a:ext cx="225021" cy="225628"/>
      </dsp:txXfrm>
    </dsp:sp>
    <dsp:sp modelId="{3DC8206E-A8FB-476D-9805-2A1E5B3AAE38}">
      <dsp:nvSpPr>
        <dsp:cNvPr id="0" name=""/>
        <dsp:cNvSpPr/>
      </dsp:nvSpPr>
      <dsp:spPr>
        <a:xfrm>
          <a:off x="2127916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1200" kern="1200">
              <a:solidFill>
                <a:schemeClr val="bg1"/>
              </a:solidFill>
            </a:rPr>
            <a:t>Bez nutnosti oprav</a:t>
          </a:r>
        </a:p>
      </dsp:txBody>
      <dsp:txXfrm>
        <a:off x="2148839" y="20923"/>
        <a:ext cx="1474470" cy="672529"/>
      </dsp:txXfrm>
    </dsp:sp>
    <dsp:sp modelId="{C5972E71-4061-4C9A-A7A8-D74380DF3E5E}">
      <dsp:nvSpPr>
        <dsp:cNvPr id="0" name=""/>
        <dsp:cNvSpPr/>
      </dsp:nvSpPr>
      <dsp:spPr>
        <a:xfrm>
          <a:off x="3795865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865" y="244373"/>
        <a:ext cx="225021" cy="225628"/>
      </dsp:txXfrm>
    </dsp:sp>
    <dsp:sp modelId="{E51FB0D5-E86A-4EDE-93ED-ABF9F2DE5957}">
      <dsp:nvSpPr>
        <dsp:cNvPr id="0" name=""/>
        <dsp:cNvSpPr/>
      </dsp:nvSpPr>
      <dsp:spPr>
        <a:xfrm>
          <a:off x="4250760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1683" y="20923"/>
        <a:ext cx="1474470" cy="67252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62" y="0"/>
          <a:ext cx="1512980" cy="715010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ZÁVĚREČNÝ ÚČET</a:t>
          </a:r>
        </a:p>
      </dsp:txBody>
      <dsp:txXfrm>
        <a:off x="26004" y="20942"/>
        <a:ext cx="1471096" cy="673126"/>
      </dsp:txXfrm>
    </dsp:sp>
    <dsp:sp modelId="{123861BD-196C-437D-9931-4CC9041E30FE}">
      <dsp:nvSpPr>
        <dsp:cNvPr id="0" name=""/>
        <dsp:cNvSpPr/>
      </dsp:nvSpPr>
      <dsp:spPr>
        <a:xfrm>
          <a:off x="1669340" y="169895"/>
          <a:ext cx="320751" cy="375219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69340" y="244939"/>
        <a:ext cx="224526" cy="225131"/>
      </dsp:txXfrm>
    </dsp:sp>
    <dsp:sp modelId="{3DC8206E-A8FB-476D-9805-2A1E5B3AAE38}">
      <dsp:nvSpPr>
        <dsp:cNvPr id="0" name=""/>
        <dsp:cNvSpPr/>
      </dsp:nvSpPr>
      <dsp:spPr>
        <a:xfrm>
          <a:off x="2123234" y="0"/>
          <a:ext cx="1512980" cy="715010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bg1"/>
              </a:solidFill>
            </a:rPr>
            <a:t>Nevýznamné opravy</a:t>
          </a:r>
        </a:p>
      </dsp:txBody>
      <dsp:txXfrm>
        <a:off x="2144176" y="20942"/>
        <a:ext cx="1471096" cy="673126"/>
      </dsp:txXfrm>
    </dsp:sp>
    <dsp:sp modelId="{C5972E71-4061-4C9A-A7A8-D74380DF3E5E}">
      <dsp:nvSpPr>
        <dsp:cNvPr id="0" name=""/>
        <dsp:cNvSpPr/>
      </dsp:nvSpPr>
      <dsp:spPr>
        <a:xfrm>
          <a:off x="3787513" y="169895"/>
          <a:ext cx="320751" cy="375219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87513" y="244939"/>
        <a:ext cx="224526" cy="225131"/>
      </dsp:txXfrm>
    </dsp:sp>
    <dsp:sp modelId="{E51FB0D5-E86A-4EDE-93ED-ABF9F2DE5957}">
      <dsp:nvSpPr>
        <dsp:cNvPr id="0" name=""/>
        <dsp:cNvSpPr/>
      </dsp:nvSpPr>
      <dsp:spPr>
        <a:xfrm>
          <a:off x="4241407" y="0"/>
          <a:ext cx="1512980" cy="715010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62349" y="20942"/>
        <a:ext cx="1471096" cy="67312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3" y="0"/>
          <a:ext cx="1516316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VNITŘNÍ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KONTROLNÍ SYSTÉM</a:t>
          </a:r>
        </a:p>
      </dsp:txBody>
      <dsp:txXfrm>
        <a:off x="25996" y="20923"/>
        <a:ext cx="1474470" cy="672529"/>
      </dsp:txXfrm>
    </dsp:sp>
    <dsp:sp modelId="{123861BD-196C-437D-9931-4CC9041E30FE}">
      <dsp:nvSpPr>
        <dsp:cNvPr id="0" name=""/>
        <dsp:cNvSpPr/>
      </dsp:nvSpPr>
      <dsp:spPr>
        <a:xfrm>
          <a:off x="1673021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3021" y="244373"/>
        <a:ext cx="225021" cy="225628"/>
      </dsp:txXfrm>
    </dsp:sp>
    <dsp:sp modelId="{3DC8206E-A8FB-476D-9805-2A1E5B3AAE38}">
      <dsp:nvSpPr>
        <dsp:cNvPr id="0" name=""/>
        <dsp:cNvSpPr/>
      </dsp:nvSpPr>
      <dsp:spPr>
        <a:xfrm>
          <a:off x="2127916" y="0"/>
          <a:ext cx="1516316" cy="714375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tx1"/>
              </a:solidFill>
            </a:rPr>
            <a:t>V oblasti účetnictví</a:t>
          </a:r>
        </a:p>
      </dsp:txBody>
      <dsp:txXfrm>
        <a:off x="2148839" y="20923"/>
        <a:ext cx="1474470" cy="672529"/>
      </dsp:txXfrm>
    </dsp:sp>
    <dsp:sp modelId="{C5972E71-4061-4C9A-A7A8-D74380DF3E5E}">
      <dsp:nvSpPr>
        <dsp:cNvPr id="0" name=""/>
        <dsp:cNvSpPr/>
      </dsp:nvSpPr>
      <dsp:spPr>
        <a:xfrm>
          <a:off x="3795865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865" y="244373"/>
        <a:ext cx="225021" cy="225628"/>
      </dsp:txXfrm>
    </dsp:sp>
    <dsp:sp modelId="{E51FB0D5-E86A-4EDE-93ED-ABF9F2DE5957}">
      <dsp:nvSpPr>
        <dsp:cNvPr id="0" name=""/>
        <dsp:cNvSpPr/>
      </dsp:nvSpPr>
      <dsp:spPr>
        <a:xfrm>
          <a:off x="4250760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nedostatků</a:t>
          </a:r>
        </a:p>
      </dsp:txBody>
      <dsp:txXfrm>
        <a:off x="4271683" y="20923"/>
        <a:ext cx="1474470" cy="6725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41ef85cfa56222539d111f4b1ed271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835b98b50f7b97a7aacca622fbbc4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2EE732-A3B1-4BC1-B881-AEA3FB9EE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6D73C-A7C7-4FAD-AEBB-3101A328F4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6E8A74-8651-4F92-B98B-04E395422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F0F923-7150-41FF-A829-D5640C567F8E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7065</Words>
  <Characters>41684</Characters>
  <Application>Microsoft Office Word</Application>
  <DocSecurity>0</DocSecurity>
  <Lines>347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24/20 - Závěrečný účet kapitoly státního rozpočtu Ministerstvo kultury za rok 2024, účetní závěrka Ministerstva kultury za rok 2024 a údaje předkládané Ministerstvem kultury pro hodnocení plnění státního rozpočtu za</vt:lpstr>
    </vt:vector>
  </TitlesOfParts>
  <Company>NKU</Company>
  <LinksUpToDate>false</LinksUpToDate>
  <CharactersWithSpaces>48652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24/20 - Závěrečný účet kapitoly státního rozpočtu Ministerstvo kultury za rok 2024, účetní závěrka Ministerstva kultury za rok 2024 a údaje předkládané Ministerstvem kultury pro hodnocení plnění státního rozpočtu za rok 2024</dc:title>
  <dc:subject>Kontrolní závěr z kontrolní akce NKÚ č. 24/20 - Závěrečný účet kapitoly státního rozpočtu Ministerstvo kultury za rok 2024, účetní závěrka Ministerstva kultury za rok 2024 a údaje předkládané Ministerstvem kultury pro hodnocení plnění státního rozpočtu za rok 2024</dc:subject>
  <dc:creator>Nejvyšší kontrolní úřad</dc:creator>
  <cp:keywords>kontrolní závěr; účetnictví; Ministerstvo kultury; MK</cp:keywords>
  <cp:lastModifiedBy>KOKRDA Daniel</cp:lastModifiedBy>
  <cp:revision>3</cp:revision>
  <cp:lastPrinted>2025-07-02T05:25:00Z</cp:lastPrinted>
  <dcterms:created xsi:type="dcterms:W3CDTF">2025-07-02T05:25:00Z</dcterms:created>
  <dcterms:modified xsi:type="dcterms:W3CDTF">2025-07-02T05:26:00Z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19/03-NKU30/1082/19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510/142/18</vt:lpwstr>
  </property>
  <property fmtid="{D5CDD505-2E9C-101B-9397-08002B2CF9AE}" pid="7" name="Contact_PostaOdes_All">
    <vt:lpwstr>ROZDĚLOVNÍK...</vt:lpwstr>
  </property>
  <property fmtid="{D5CDD505-2E9C-101B-9397-08002B2CF9AE}" pid="8" name="ContentTypeId">
    <vt:lpwstr>0x0101002F7A625AE9F5AB4A939F92BCAA7FEC02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7.10.2019</vt:lpwstr>
  </property>
  <property fmtid="{D5CDD505-2E9C-101B-9397-08002B2CF9AE}" pid="12" name="DisplayName_CJCol">
    <vt:lpwstr>&lt;TABLE&gt;&lt;TR&gt;&lt;TD&gt;Č.j.:&lt;/TD&gt;&lt;TD&gt;19/03-NKU30/1082/19&lt;/TD&gt;&lt;/TR&gt;&lt;TR&gt;&lt;TD&gt;&lt;/TD&gt;&lt;TD&gt;&lt;/TD&gt;&lt;/TR&gt;&lt;/TABLE&gt;</vt:lpwstr>
  </property>
  <property fmtid="{D5CDD505-2E9C-101B-9397-08002B2CF9AE}" pid="13" name="DisplayName_SlozkaStupenUtajeniCollection_Slozka_Pisemnost">
    <vt:lpwstr/>
  </property>
  <property fmtid="{D5CDD505-2E9C-101B-9397-08002B2CF9AE}" pid="14" name="DisplayName_SpisovyUzel_PoziceZodpo_Pisemnost">
    <vt:lpwstr>Členové Úřadu</vt:lpwstr>
  </property>
  <property fmtid="{D5CDD505-2E9C-101B-9397-08002B2CF9AE}" pid="15" name="DisplayName_UserPoriz_Pisemnost">
    <vt:lpwstr>Bc. Jana Pokorná</vt:lpwstr>
  </property>
  <property fmtid="{D5CDD505-2E9C-101B-9397-08002B2CF9AE}" pid="16" name="DuvodZmeny_SlozkaStupenUtajeniCollection_Slozka_Pisemnost">
    <vt:lpwstr/>
  </property>
  <property fmtid="{D5CDD505-2E9C-101B-9397-08002B2CF9AE}" pid="17" name="EC_Pisemnost">
    <vt:lpwstr>19-13020/NKU</vt:lpwstr>
  </property>
  <property fmtid="{D5CDD505-2E9C-101B-9397-08002B2CF9AE}" pid="18" name="Key_BarCode_Pisemnost">
    <vt:lpwstr>*B000344466*</vt:lpwstr>
  </property>
  <property fmtid="{D5CDD505-2E9C-101B-9397-08002B2CF9AE}" pid="19" name="KRukam">
    <vt:lpwstr>{KRukam}</vt:lpwstr>
  </property>
  <property fmtid="{D5CDD505-2E9C-101B-9397-08002B2CF9AE}" pid="20" name="NameAddress_Contact_SpisovyUzel_PoziceZodpo_Pisemnost">
    <vt:lpwstr>ADRESÁT SU...</vt:lpwstr>
  </property>
  <property fmtid="{D5CDD505-2E9C-101B-9397-08002B2CF9AE}" pid="21" name="NamePostalAddress_Contact_PostaOdes">
    <vt:lpwstr>{NameAddress_Contact_PostaOdes}
{PostalAddress_Contact_PostaOdes}</vt:lpwstr>
  </property>
  <property fmtid="{D5CDD505-2E9C-101B-9397-08002B2CF9AE}" pid="22" name="Odkaz">
    <vt:lpwstr>ODKAZ</vt:lpwstr>
  </property>
  <property fmtid="{D5CDD505-2E9C-101B-9397-08002B2CF9AE}" pid="23" name="Password_PisemnostTypZpristupneniInformaciZOSZ_Pisemnost">
    <vt:lpwstr>ZOSZ_Password</vt:lpwstr>
  </property>
  <property fmtid="{D5CDD505-2E9C-101B-9397-08002B2CF9AE}" pid="24" name="PocetListuDokumentu_Pisemnost">
    <vt:lpwstr>1</vt:lpwstr>
  </property>
  <property fmtid="{D5CDD505-2E9C-101B-9397-08002B2CF9AE}" pid="25" name="PocetListu_Pisemnost">
    <vt:lpwstr>1</vt:lpwstr>
  </property>
  <property fmtid="{D5CDD505-2E9C-101B-9397-08002B2CF9AE}" pid="26" name="PocetPriloh_Pisemnost">
    <vt:lpwstr>POČET PŘÍLOH</vt:lpwstr>
  </property>
  <property fmtid="{D5CDD505-2E9C-101B-9397-08002B2CF9AE}" pid="27" name="Podpis">
    <vt:lpwstr/>
  </property>
  <property fmtid="{D5CDD505-2E9C-101B-9397-08002B2CF9AE}" pid="28" name="PostalAddress_Contact_SpisovyUzel_PoziceZodpo_Pisemnost">
    <vt:lpwstr>ADRESA SU...</vt:lpwstr>
  </property>
  <property fmtid="{D5CDD505-2E9C-101B-9397-08002B2CF9AE}" pid="29" name="RC">
    <vt:lpwstr/>
  </property>
  <property fmtid="{D5CDD505-2E9C-101B-9397-08002B2CF9AE}" pid="30" name="SkartacniZnakLhuta_PisemnostZnak">
    <vt:lpwstr>?/?</vt:lpwstr>
  </property>
  <property fmtid="{D5CDD505-2E9C-101B-9397-08002B2CF9AE}" pid="31" name="SmlouvaCislo">
    <vt:lpwstr>ČÍSLO SMLOUVY</vt:lpwstr>
  </property>
  <property fmtid="{D5CDD505-2E9C-101B-9397-08002B2CF9AE}" pid="32" name="SZ_Spis_Pisemnost">
    <vt:lpwstr>19/03</vt:lpwstr>
  </property>
  <property fmtid="{D5CDD505-2E9C-101B-9397-08002B2CF9AE}" pid="33" name="TEST">
    <vt:lpwstr>testovací pole</vt:lpwstr>
  </property>
  <property fmtid="{D5CDD505-2E9C-101B-9397-08002B2CF9AE}" pid="34" name="TypPrilohy_Pisemnost">
    <vt:lpwstr>TYP PŘÍLOHY</vt:lpwstr>
  </property>
  <property fmtid="{D5CDD505-2E9C-101B-9397-08002B2CF9AE}" pid="35" name="UserName_PisemnostTypZpristupneniInformaciZOSZ_Pisemnost">
    <vt:lpwstr>ZOSZ_UserName</vt:lpwstr>
  </property>
  <property fmtid="{D5CDD505-2E9C-101B-9397-08002B2CF9AE}" pid="36" name="Vec_Pisemnost">
    <vt:lpwstr>Návrh kontrolního závěru 19/03 – do připomínek</vt:lpwstr>
  </property>
  <property fmtid="{D5CDD505-2E9C-101B-9397-08002B2CF9AE}" pid="37" name="Zkratka_SpisovyUzel_PoziceZodpo_Pisemnost">
    <vt:lpwstr>30</vt:lpwstr>
  </property>
  <property fmtid="{D5CDD505-2E9C-101B-9397-08002B2CF9AE}" pid="38" name="ClassificationContentMarkingFooterShapeIds">
    <vt:lpwstr>4956d514,1191cd83,7dfdb051,4e212f30,64448e59,1c6ef1af,1e70dc9b</vt:lpwstr>
  </property>
  <property fmtid="{D5CDD505-2E9C-101B-9397-08002B2CF9AE}" pid="39" name="ClassificationContentMarkingFooterFontProps">
    <vt:lpwstr>#828282,12,Calibri</vt:lpwstr>
  </property>
  <property fmtid="{D5CDD505-2E9C-101B-9397-08002B2CF9AE}" pid="40" name="ClassificationContentMarkingFooterText">
    <vt:lpwstr>TLP:CLEAR</vt:lpwstr>
  </property>
  <property fmtid="{D5CDD505-2E9C-101B-9397-08002B2CF9AE}" pid="41" name="MSIP_Label_2a5ca00b-f9dd-452b-9d75-e1b2c69cf7c5_Enabled">
    <vt:lpwstr>true</vt:lpwstr>
  </property>
  <property fmtid="{D5CDD505-2E9C-101B-9397-08002B2CF9AE}" pid="42" name="MSIP_Label_2a5ca00b-f9dd-452b-9d75-e1b2c69cf7c5_SetDate">
    <vt:lpwstr>2025-07-01T08:32:24Z</vt:lpwstr>
  </property>
  <property fmtid="{D5CDD505-2E9C-101B-9397-08002B2CF9AE}" pid="43" name="MSIP_Label_2a5ca00b-f9dd-452b-9d75-e1b2c69cf7c5_Method">
    <vt:lpwstr>Privileged</vt:lpwstr>
  </property>
  <property fmtid="{D5CDD505-2E9C-101B-9397-08002B2CF9AE}" pid="44" name="MSIP_Label_2a5ca00b-f9dd-452b-9d75-e1b2c69cf7c5_Name">
    <vt:lpwstr>Nízká</vt:lpwstr>
  </property>
  <property fmtid="{D5CDD505-2E9C-101B-9397-08002B2CF9AE}" pid="45" name="MSIP_Label_2a5ca00b-f9dd-452b-9d75-e1b2c69cf7c5_SiteId">
    <vt:lpwstr>e6d36204-fa0a-4bdb-9b60-80f84bb090cf</vt:lpwstr>
  </property>
  <property fmtid="{D5CDD505-2E9C-101B-9397-08002B2CF9AE}" pid="46" name="MSIP_Label_2a5ca00b-f9dd-452b-9d75-e1b2c69cf7c5_ActionId">
    <vt:lpwstr>6a393711-13b0-49c9-91dd-2be92ba2b18d</vt:lpwstr>
  </property>
  <property fmtid="{D5CDD505-2E9C-101B-9397-08002B2CF9AE}" pid="47" name="MSIP_Label_2a5ca00b-f9dd-452b-9d75-e1b2c69cf7c5_ContentBits">
    <vt:lpwstr>2</vt:lpwstr>
  </property>
  <property fmtid="{D5CDD505-2E9C-101B-9397-08002B2CF9AE}" pid="48" name="MSIP_Label_2a5ca00b-f9dd-452b-9d75-e1b2c69cf7c5_Tag">
    <vt:lpwstr>10, 0, 1, 1</vt:lpwstr>
  </property>
</Properties>
</file>