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4B9B" w14:textId="7E252BE2" w:rsidR="00E34E8B" w:rsidRPr="0088190A" w:rsidRDefault="00F04FEA" w:rsidP="005774A9">
      <w:pPr>
        <w:spacing w:after="0" w:line="240" w:lineRule="auto"/>
        <w:jc w:val="center"/>
        <w:rPr>
          <w:rFonts w:cstheme="minorHAnsi"/>
          <w:color w:val="000000" w:themeColor="text1"/>
        </w:rPr>
      </w:pPr>
      <w:r w:rsidRPr="0088190A">
        <w:rPr>
          <w:rFonts w:cstheme="minorHAnsi"/>
          <w:noProof/>
          <w:lang w:eastAsia="cs-CZ"/>
        </w:rPr>
        <w:drawing>
          <wp:anchor distT="0" distB="0" distL="114300" distR="114300" simplePos="0" relativeHeight="251659264" behindDoc="0" locked="0" layoutInCell="1" allowOverlap="1" wp14:anchorId="12A1BB64" wp14:editId="70EB1D89">
            <wp:simplePos x="895350" y="1181100"/>
            <wp:positionH relativeFrom="margin">
              <wp:align>center</wp:align>
            </wp:positionH>
            <wp:positionV relativeFrom="margin">
              <wp:align>top</wp:align>
            </wp:positionV>
            <wp:extent cx="702310" cy="539750"/>
            <wp:effectExtent l="0" t="0" r="2540" b="0"/>
            <wp:wrapTopAndBottom/>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2310" cy="539750"/>
                    </a:xfrm>
                    <a:prstGeom prst="rect">
                      <a:avLst/>
                    </a:prstGeom>
                    <a:noFill/>
                  </pic:spPr>
                </pic:pic>
              </a:graphicData>
            </a:graphic>
            <wp14:sizeRelH relativeFrom="page">
              <wp14:pctWidth>0</wp14:pctWidth>
            </wp14:sizeRelH>
            <wp14:sizeRelV relativeFrom="page">
              <wp14:pctHeight>0</wp14:pctHeight>
            </wp14:sizeRelV>
          </wp:anchor>
        </w:drawing>
      </w:r>
    </w:p>
    <w:p w14:paraId="263F2598" w14:textId="77777777" w:rsidR="00E34E8B" w:rsidRPr="0088190A" w:rsidRDefault="00E34E8B" w:rsidP="005774A9">
      <w:pPr>
        <w:spacing w:after="0" w:line="240" w:lineRule="auto"/>
        <w:jc w:val="center"/>
        <w:rPr>
          <w:rFonts w:cstheme="minorHAnsi"/>
          <w:color w:val="000000" w:themeColor="text1"/>
        </w:rPr>
      </w:pPr>
    </w:p>
    <w:p w14:paraId="5F91F91B" w14:textId="77777777" w:rsidR="00E34E8B" w:rsidRPr="0088190A" w:rsidRDefault="00E34E8B" w:rsidP="005774A9">
      <w:pPr>
        <w:spacing w:after="0" w:line="240" w:lineRule="auto"/>
        <w:jc w:val="center"/>
        <w:rPr>
          <w:rFonts w:cstheme="minorHAnsi"/>
          <w:color w:val="000000" w:themeColor="text1"/>
        </w:rPr>
      </w:pPr>
    </w:p>
    <w:p w14:paraId="7E0E662F" w14:textId="77777777" w:rsidR="00E34E8B" w:rsidRPr="0088190A" w:rsidRDefault="00E34E8B" w:rsidP="00736451">
      <w:pPr>
        <w:spacing w:after="0" w:line="240" w:lineRule="auto"/>
        <w:jc w:val="center"/>
        <w:rPr>
          <w:rFonts w:cstheme="minorHAnsi"/>
          <w:b/>
          <w:color w:val="000000" w:themeColor="text1"/>
          <w:sz w:val="28"/>
          <w:szCs w:val="28"/>
        </w:rPr>
      </w:pPr>
      <w:r w:rsidRPr="0088190A">
        <w:rPr>
          <w:rFonts w:cstheme="minorHAnsi"/>
          <w:b/>
          <w:color w:val="000000" w:themeColor="text1"/>
          <w:sz w:val="28"/>
          <w:szCs w:val="28"/>
        </w:rPr>
        <w:t>Kontrolní závěr z kontrolní akce</w:t>
      </w:r>
    </w:p>
    <w:p w14:paraId="09731010" w14:textId="77777777" w:rsidR="00736451" w:rsidRPr="0088190A" w:rsidRDefault="00736451" w:rsidP="00736451">
      <w:pPr>
        <w:spacing w:after="0" w:line="240" w:lineRule="auto"/>
        <w:jc w:val="center"/>
        <w:rPr>
          <w:rFonts w:cstheme="minorHAnsi"/>
          <w:b/>
          <w:color w:val="000000" w:themeColor="text1"/>
          <w:sz w:val="28"/>
          <w:szCs w:val="28"/>
        </w:rPr>
      </w:pPr>
    </w:p>
    <w:p w14:paraId="1E3BFA60" w14:textId="77777777" w:rsidR="00E34E8B" w:rsidRPr="0088190A" w:rsidRDefault="00E34E8B" w:rsidP="00736451">
      <w:pPr>
        <w:spacing w:after="0" w:line="240" w:lineRule="auto"/>
        <w:jc w:val="center"/>
        <w:rPr>
          <w:rFonts w:cstheme="minorHAnsi"/>
          <w:b/>
          <w:color w:val="000000" w:themeColor="text1"/>
          <w:sz w:val="28"/>
          <w:szCs w:val="28"/>
        </w:rPr>
      </w:pPr>
      <w:r w:rsidRPr="0088190A">
        <w:rPr>
          <w:rFonts w:cstheme="minorHAnsi"/>
          <w:b/>
          <w:color w:val="000000" w:themeColor="text1"/>
          <w:sz w:val="28"/>
          <w:szCs w:val="28"/>
        </w:rPr>
        <w:t>24/17</w:t>
      </w:r>
    </w:p>
    <w:p w14:paraId="7E00F011" w14:textId="77777777" w:rsidR="00736451" w:rsidRPr="0088190A" w:rsidRDefault="00736451" w:rsidP="00736451">
      <w:pPr>
        <w:spacing w:after="0" w:line="240" w:lineRule="auto"/>
        <w:jc w:val="center"/>
        <w:rPr>
          <w:rFonts w:cstheme="minorHAnsi"/>
          <w:b/>
          <w:color w:val="000000" w:themeColor="text1"/>
          <w:sz w:val="28"/>
          <w:szCs w:val="28"/>
        </w:rPr>
      </w:pPr>
    </w:p>
    <w:p w14:paraId="0506A90D" w14:textId="77777777" w:rsidR="00E34E8B" w:rsidRPr="00690E89" w:rsidRDefault="001E5E0E" w:rsidP="00B65A13">
      <w:pPr>
        <w:spacing w:after="240" w:line="240" w:lineRule="auto"/>
        <w:jc w:val="center"/>
        <w:rPr>
          <w:rFonts w:cstheme="minorHAnsi"/>
          <w:i/>
          <w:color w:val="000000" w:themeColor="text1"/>
        </w:rPr>
      </w:pPr>
      <w:r w:rsidRPr="0088190A">
        <w:rPr>
          <w:rFonts w:cstheme="minorHAnsi"/>
          <w:b/>
          <w:color w:val="000000" w:themeColor="text1"/>
          <w:sz w:val="28"/>
          <w:szCs w:val="28"/>
        </w:rPr>
        <w:t xml:space="preserve">Peněžní prostředky určené na účelovou podporu výzkumu, vývoje a inovací prostřednictvím rozpočtových kapitol </w:t>
      </w:r>
      <w:r w:rsidRPr="00690E89">
        <w:rPr>
          <w:rFonts w:cstheme="minorHAnsi"/>
          <w:b/>
          <w:i/>
          <w:color w:val="000000" w:themeColor="text1"/>
          <w:sz w:val="28"/>
          <w:szCs w:val="28"/>
        </w:rPr>
        <w:t>Grantová agentura České republiky</w:t>
      </w:r>
      <w:r w:rsidRPr="0088190A">
        <w:rPr>
          <w:rFonts w:cstheme="minorHAnsi"/>
          <w:b/>
          <w:color w:val="000000" w:themeColor="text1"/>
          <w:sz w:val="28"/>
          <w:szCs w:val="28"/>
        </w:rPr>
        <w:t xml:space="preserve"> a</w:t>
      </w:r>
      <w:r w:rsidR="00B65A13" w:rsidRPr="0088190A">
        <w:rPr>
          <w:rFonts w:cstheme="minorHAnsi"/>
          <w:b/>
          <w:color w:val="000000" w:themeColor="text1"/>
          <w:sz w:val="28"/>
          <w:szCs w:val="28"/>
        </w:rPr>
        <w:t> </w:t>
      </w:r>
      <w:r w:rsidRPr="00690E89">
        <w:rPr>
          <w:rFonts w:cstheme="minorHAnsi"/>
          <w:b/>
          <w:i/>
          <w:color w:val="000000" w:themeColor="text1"/>
          <w:sz w:val="28"/>
          <w:szCs w:val="28"/>
        </w:rPr>
        <w:t>Technologická agentura České republiky</w:t>
      </w:r>
    </w:p>
    <w:p w14:paraId="1E93C91B" w14:textId="77777777" w:rsidR="005774A9" w:rsidRPr="0088190A" w:rsidRDefault="005774A9" w:rsidP="005774A9">
      <w:pPr>
        <w:spacing w:before="240" w:after="120" w:line="264" w:lineRule="auto"/>
        <w:jc w:val="both"/>
        <w:rPr>
          <w:rFonts w:cstheme="minorHAnsi"/>
          <w:b/>
          <w:sz w:val="24"/>
          <w:szCs w:val="24"/>
        </w:rPr>
      </w:pPr>
    </w:p>
    <w:p w14:paraId="6B900859" w14:textId="37E9DD63" w:rsidR="00E34E8B" w:rsidRPr="0088190A" w:rsidRDefault="00E34E8B" w:rsidP="000A2A7D">
      <w:pPr>
        <w:spacing w:line="264" w:lineRule="auto"/>
        <w:jc w:val="both"/>
        <w:rPr>
          <w:rFonts w:cstheme="minorHAnsi"/>
          <w:sz w:val="24"/>
          <w:szCs w:val="24"/>
        </w:rPr>
      </w:pPr>
      <w:r w:rsidRPr="0088190A">
        <w:rPr>
          <w:rFonts w:cstheme="minorHAnsi"/>
          <w:sz w:val="24"/>
          <w:szCs w:val="24"/>
        </w:rPr>
        <w:t xml:space="preserve">Kontrolní akce byla zařazena do plánu kontrolní činnosti Nejvyššího kontrolního úřadu (dále také „NKÚ“) na rok 2024 pod číslem 24/17. Kontrolní akci řídil a kontrolní závěr vypracoval člen NKÚ </w:t>
      </w:r>
      <w:r w:rsidR="005E309D" w:rsidRPr="0088190A">
        <w:rPr>
          <w:rFonts w:cstheme="minorHAnsi"/>
          <w:sz w:val="24"/>
          <w:szCs w:val="24"/>
        </w:rPr>
        <w:t>RNDr.</w:t>
      </w:r>
      <w:r w:rsidR="00843DB6">
        <w:rPr>
          <w:rFonts w:cstheme="minorHAnsi"/>
          <w:sz w:val="24"/>
          <w:szCs w:val="24"/>
        </w:rPr>
        <w:t> </w:t>
      </w:r>
      <w:r w:rsidR="005E309D" w:rsidRPr="0088190A">
        <w:rPr>
          <w:rFonts w:cstheme="minorHAnsi"/>
          <w:sz w:val="24"/>
          <w:szCs w:val="24"/>
        </w:rPr>
        <w:t>Petr Neuvirt</w:t>
      </w:r>
      <w:r w:rsidRPr="0088190A">
        <w:rPr>
          <w:rFonts w:cstheme="minorHAnsi"/>
          <w:sz w:val="24"/>
          <w:szCs w:val="24"/>
        </w:rPr>
        <w:t xml:space="preserve">.  </w:t>
      </w:r>
    </w:p>
    <w:p w14:paraId="0F9D3A1E" w14:textId="77777777" w:rsidR="00E34E8B" w:rsidRPr="0088190A" w:rsidRDefault="00E34E8B" w:rsidP="000A2A7D">
      <w:pPr>
        <w:spacing w:before="240" w:line="264" w:lineRule="auto"/>
        <w:jc w:val="both"/>
        <w:rPr>
          <w:rFonts w:cstheme="minorHAnsi"/>
          <w:color w:val="000000" w:themeColor="text1"/>
          <w:sz w:val="24"/>
          <w:szCs w:val="24"/>
        </w:rPr>
      </w:pPr>
      <w:r w:rsidRPr="0088190A">
        <w:rPr>
          <w:rFonts w:cstheme="minorHAnsi"/>
          <w:color w:val="000000" w:themeColor="text1"/>
          <w:sz w:val="24"/>
          <w:szCs w:val="24"/>
        </w:rPr>
        <w:t>Cílem kontroly bylo prověřit, zda G</w:t>
      </w:r>
      <w:r w:rsidR="00C23956">
        <w:rPr>
          <w:rFonts w:cstheme="minorHAnsi"/>
          <w:color w:val="000000" w:themeColor="text1"/>
          <w:sz w:val="24"/>
          <w:szCs w:val="24"/>
        </w:rPr>
        <w:t>rantová agentura</w:t>
      </w:r>
      <w:r w:rsidRPr="0088190A">
        <w:rPr>
          <w:rFonts w:cstheme="minorHAnsi"/>
          <w:color w:val="000000" w:themeColor="text1"/>
          <w:sz w:val="24"/>
          <w:szCs w:val="24"/>
        </w:rPr>
        <w:t xml:space="preserve"> Č</w:t>
      </w:r>
      <w:r w:rsidR="00C23956">
        <w:rPr>
          <w:rFonts w:cstheme="minorHAnsi"/>
          <w:color w:val="000000" w:themeColor="text1"/>
          <w:sz w:val="24"/>
          <w:szCs w:val="24"/>
        </w:rPr>
        <w:t>eské republiky</w:t>
      </w:r>
      <w:r w:rsidRPr="0088190A">
        <w:rPr>
          <w:rFonts w:cstheme="minorHAnsi"/>
          <w:color w:val="000000" w:themeColor="text1"/>
          <w:sz w:val="24"/>
          <w:szCs w:val="24"/>
        </w:rPr>
        <w:t xml:space="preserve"> a T</w:t>
      </w:r>
      <w:r w:rsidR="00C23956">
        <w:rPr>
          <w:rFonts w:cstheme="minorHAnsi"/>
          <w:color w:val="000000" w:themeColor="text1"/>
          <w:sz w:val="24"/>
          <w:szCs w:val="24"/>
        </w:rPr>
        <w:t>echnologická agentura</w:t>
      </w:r>
      <w:r w:rsidRPr="0088190A">
        <w:rPr>
          <w:rFonts w:cstheme="minorHAnsi"/>
          <w:color w:val="000000" w:themeColor="text1"/>
          <w:sz w:val="24"/>
          <w:szCs w:val="24"/>
        </w:rPr>
        <w:t xml:space="preserve"> Č</w:t>
      </w:r>
      <w:r w:rsidR="00C23956">
        <w:rPr>
          <w:rFonts w:cstheme="minorHAnsi"/>
          <w:color w:val="000000" w:themeColor="text1"/>
          <w:sz w:val="24"/>
          <w:szCs w:val="24"/>
        </w:rPr>
        <w:t>eské republiky</w:t>
      </w:r>
      <w:r w:rsidRPr="0088190A">
        <w:rPr>
          <w:rFonts w:cstheme="minorHAnsi"/>
          <w:color w:val="000000" w:themeColor="text1"/>
          <w:sz w:val="24"/>
          <w:szCs w:val="24"/>
        </w:rPr>
        <w:t xml:space="preserve"> vynakládaly peněžní prostředky na podporu výzkumu, vývoje a inovací účelně, efektivně a v souladu s právními předpisy.</w:t>
      </w:r>
    </w:p>
    <w:p w14:paraId="1DCB4713" w14:textId="77777777" w:rsidR="00E34E8B" w:rsidRPr="0088190A" w:rsidRDefault="00E34E8B" w:rsidP="000A2A7D">
      <w:pPr>
        <w:spacing w:before="240" w:line="264" w:lineRule="auto"/>
        <w:jc w:val="both"/>
        <w:rPr>
          <w:rFonts w:cstheme="minorHAnsi"/>
          <w:color w:val="000000" w:themeColor="text1"/>
          <w:sz w:val="24"/>
          <w:szCs w:val="24"/>
        </w:rPr>
      </w:pPr>
      <w:r w:rsidRPr="0088190A">
        <w:rPr>
          <w:rFonts w:cstheme="minorHAnsi"/>
          <w:color w:val="000000" w:themeColor="text1"/>
          <w:sz w:val="24"/>
          <w:szCs w:val="24"/>
        </w:rPr>
        <w:t>Kontrolovaným obdobím byly roky 2021 až 2023, v případě věcných souvislostí i období předcházející či následující.</w:t>
      </w:r>
    </w:p>
    <w:p w14:paraId="1A7263E5" w14:textId="77777777" w:rsidR="00E34E8B" w:rsidRPr="0088190A" w:rsidRDefault="00E34E8B" w:rsidP="000A2A7D">
      <w:pPr>
        <w:spacing w:before="240" w:line="264" w:lineRule="auto"/>
        <w:jc w:val="both"/>
        <w:rPr>
          <w:rFonts w:cstheme="minorHAnsi"/>
          <w:color w:val="000000" w:themeColor="text1"/>
          <w:sz w:val="24"/>
          <w:szCs w:val="24"/>
        </w:rPr>
      </w:pPr>
      <w:r w:rsidRPr="0088190A">
        <w:rPr>
          <w:rFonts w:cstheme="minorHAnsi"/>
          <w:color w:val="000000" w:themeColor="text1"/>
          <w:sz w:val="24"/>
          <w:szCs w:val="24"/>
        </w:rPr>
        <w:t>Kontrola byla prováděna u kontrolovaných osob v období od července 2024 do března 2025.</w:t>
      </w:r>
    </w:p>
    <w:p w14:paraId="316F0050" w14:textId="77777777" w:rsidR="00B85578" w:rsidRPr="0088190A" w:rsidRDefault="00B85578" w:rsidP="000A2A7D">
      <w:pPr>
        <w:spacing w:before="240" w:after="120" w:line="264" w:lineRule="auto"/>
        <w:jc w:val="both"/>
        <w:rPr>
          <w:rFonts w:cstheme="minorHAnsi"/>
          <w:b/>
          <w:sz w:val="24"/>
          <w:szCs w:val="24"/>
        </w:rPr>
      </w:pPr>
    </w:p>
    <w:p w14:paraId="0A6BD8C7" w14:textId="77777777" w:rsidR="00E34E8B" w:rsidRPr="0088190A" w:rsidRDefault="00E34E8B" w:rsidP="005774A9">
      <w:pPr>
        <w:spacing w:after="0" w:line="264" w:lineRule="auto"/>
        <w:jc w:val="both"/>
        <w:rPr>
          <w:rFonts w:cstheme="minorHAnsi"/>
          <w:b/>
          <w:sz w:val="24"/>
          <w:szCs w:val="24"/>
        </w:rPr>
      </w:pPr>
      <w:r w:rsidRPr="0088190A">
        <w:rPr>
          <w:rFonts w:cstheme="minorHAnsi"/>
          <w:b/>
          <w:sz w:val="24"/>
          <w:szCs w:val="24"/>
        </w:rPr>
        <w:t>Kontrolované osoby:</w:t>
      </w:r>
    </w:p>
    <w:p w14:paraId="66680A5B" w14:textId="054DC150" w:rsidR="00E34E8B" w:rsidRPr="0088190A" w:rsidRDefault="00E34E8B" w:rsidP="005774A9">
      <w:pPr>
        <w:spacing w:after="0" w:line="264" w:lineRule="auto"/>
        <w:jc w:val="both"/>
        <w:rPr>
          <w:rFonts w:cstheme="minorHAnsi"/>
          <w:sz w:val="24"/>
          <w:szCs w:val="24"/>
          <w:lang w:eastAsia="cs-CZ"/>
        </w:rPr>
      </w:pPr>
      <w:r w:rsidRPr="0088190A">
        <w:rPr>
          <w:rFonts w:cstheme="minorHAnsi"/>
          <w:sz w:val="24"/>
          <w:szCs w:val="24"/>
          <w:lang w:eastAsia="cs-CZ"/>
        </w:rPr>
        <w:t>Grantová agentura České republiky</w:t>
      </w:r>
      <w:r w:rsidR="00690E89">
        <w:rPr>
          <w:rFonts w:cstheme="minorHAnsi"/>
          <w:sz w:val="24"/>
          <w:szCs w:val="24"/>
          <w:lang w:eastAsia="cs-CZ"/>
        </w:rPr>
        <w:t>, Praha</w:t>
      </w:r>
      <w:r w:rsidRPr="0088190A">
        <w:rPr>
          <w:rFonts w:cstheme="minorHAnsi"/>
          <w:sz w:val="24"/>
          <w:szCs w:val="24"/>
          <w:lang w:eastAsia="cs-CZ"/>
        </w:rPr>
        <w:t xml:space="preserve"> (dále také „GA ČR“);</w:t>
      </w:r>
    </w:p>
    <w:p w14:paraId="40622A83" w14:textId="5C690FE2" w:rsidR="00E34E8B" w:rsidRPr="0088190A" w:rsidRDefault="00E34E8B" w:rsidP="005774A9">
      <w:pPr>
        <w:spacing w:after="0" w:line="264" w:lineRule="auto"/>
        <w:jc w:val="both"/>
        <w:rPr>
          <w:rFonts w:cstheme="minorHAnsi"/>
          <w:sz w:val="24"/>
          <w:szCs w:val="24"/>
          <w:lang w:eastAsia="cs-CZ"/>
        </w:rPr>
      </w:pPr>
      <w:r w:rsidRPr="0088190A">
        <w:rPr>
          <w:rFonts w:cstheme="minorHAnsi"/>
          <w:sz w:val="24"/>
          <w:szCs w:val="24"/>
          <w:lang w:eastAsia="cs-CZ"/>
        </w:rPr>
        <w:t>Technologická agentura České republiky</w:t>
      </w:r>
      <w:r w:rsidR="00690E89">
        <w:rPr>
          <w:rFonts w:cstheme="minorHAnsi"/>
          <w:sz w:val="24"/>
          <w:szCs w:val="24"/>
          <w:lang w:eastAsia="cs-CZ"/>
        </w:rPr>
        <w:t>, Praha</w:t>
      </w:r>
      <w:r w:rsidRPr="0088190A">
        <w:rPr>
          <w:rFonts w:cstheme="minorHAnsi"/>
          <w:sz w:val="24"/>
          <w:szCs w:val="24"/>
          <w:lang w:eastAsia="cs-CZ"/>
        </w:rPr>
        <w:t xml:space="preserve"> (dále také „TA ČR“</w:t>
      </w:r>
      <w:r w:rsidR="00B85578" w:rsidRPr="0088190A">
        <w:rPr>
          <w:rFonts w:cstheme="minorHAnsi"/>
          <w:sz w:val="24"/>
          <w:szCs w:val="24"/>
          <w:lang w:eastAsia="cs-CZ"/>
        </w:rPr>
        <w:t>).</w:t>
      </w:r>
    </w:p>
    <w:p w14:paraId="1105BB2F" w14:textId="77777777" w:rsidR="00E34E8B" w:rsidRDefault="00E34E8B" w:rsidP="000A2A7D">
      <w:pPr>
        <w:spacing w:before="240" w:line="264" w:lineRule="auto"/>
        <w:jc w:val="both"/>
        <w:rPr>
          <w:rFonts w:cstheme="minorHAnsi"/>
          <w:color w:val="000000" w:themeColor="text1"/>
          <w:sz w:val="24"/>
          <w:szCs w:val="24"/>
        </w:rPr>
      </w:pPr>
    </w:p>
    <w:p w14:paraId="168ED028" w14:textId="77777777" w:rsidR="005774A9" w:rsidRPr="0088190A" w:rsidRDefault="005774A9" w:rsidP="000A2A7D">
      <w:pPr>
        <w:spacing w:before="240" w:line="264" w:lineRule="auto"/>
        <w:jc w:val="both"/>
        <w:rPr>
          <w:rFonts w:cstheme="minorHAnsi"/>
          <w:color w:val="000000" w:themeColor="text1"/>
          <w:sz w:val="24"/>
          <w:szCs w:val="24"/>
        </w:rPr>
      </w:pPr>
    </w:p>
    <w:p w14:paraId="23EABA84" w14:textId="2A898A25" w:rsidR="00E34E8B" w:rsidRPr="0088190A" w:rsidRDefault="00E34E8B" w:rsidP="000A2A7D">
      <w:pPr>
        <w:spacing w:before="120" w:after="0" w:line="264" w:lineRule="auto"/>
        <w:jc w:val="both"/>
        <w:rPr>
          <w:rFonts w:cstheme="minorHAnsi"/>
          <w:color w:val="000000" w:themeColor="text1"/>
          <w:sz w:val="24"/>
          <w:szCs w:val="24"/>
        </w:rPr>
      </w:pPr>
      <w:r w:rsidRPr="0088190A">
        <w:rPr>
          <w:rFonts w:cstheme="minorHAnsi"/>
          <w:b/>
          <w:i/>
          <w:color w:val="000000" w:themeColor="text1"/>
          <w:spacing w:val="40"/>
          <w:sz w:val="24"/>
          <w:szCs w:val="24"/>
        </w:rPr>
        <w:t>Kolegium</w:t>
      </w:r>
      <w:r w:rsidRPr="0088190A">
        <w:rPr>
          <w:rFonts w:cstheme="minorHAnsi"/>
          <w:b/>
          <w:i/>
          <w:color w:val="000000" w:themeColor="text1"/>
          <w:sz w:val="24"/>
          <w:szCs w:val="24"/>
        </w:rPr>
        <w:t xml:space="preserve">   </w:t>
      </w:r>
      <w:r w:rsidRPr="0088190A">
        <w:rPr>
          <w:rFonts w:cstheme="minorHAnsi"/>
          <w:b/>
          <w:i/>
          <w:color w:val="000000" w:themeColor="text1"/>
          <w:spacing w:val="40"/>
          <w:sz w:val="24"/>
          <w:szCs w:val="24"/>
        </w:rPr>
        <w:t>NKÚ</w:t>
      </w:r>
      <w:r w:rsidRPr="0088190A">
        <w:rPr>
          <w:rFonts w:cstheme="minorHAnsi"/>
          <w:b/>
          <w:i/>
          <w:color w:val="000000" w:themeColor="text1"/>
          <w:sz w:val="24"/>
          <w:szCs w:val="24"/>
        </w:rPr>
        <w:t xml:space="preserve">   </w:t>
      </w:r>
      <w:r w:rsidRPr="0088190A">
        <w:rPr>
          <w:rFonts w:cstheme="minorHAnsi"/>
          <w:color w:val="000000" w:themeColor="text1"/>
          <w:sz w:val="24"/>
          <w:szCs w:val="24"/>
        </w:rPr>
        <w:t xml:space="preserve">na svém </w:t>
      </w:r>
      <w:r w:rsidR="00745D4F">
        <w:rPr>
          <w:rFonts w:cstheme="minorHAnsi"/>
          <w:color w:val="000000" w:themeColor="text1"/>
          <w:sz w:val="24"/>
          <w:szCs w:val="24"/>
        </w:rPr>
        <w:t>VII.</w:t>
      </w:r>
      <w:r w:rsidRPr="0088190A">
        <w:rPr>
          <w:rFonts w:cstheme="minorHAnsi"/>
          <w:color w:val="000000" w:themeColor="text1"/>
          <w:sz w:val="24"/>
          <w:szCs w:val="24"/>
        </w:rPr>
        <w:t xml:space="preserve"> jednání, které se konalo dne </w:t>
      </w:r>
      <w:r w:rsidR="00745D4F">
        <w:rPr>
          <w:rFonts w:cstheme="minorHAnsi"/>
          <w:sz w:val="24"/>
          <w:szCs w:val="24"/>
        </w:rPr>
        <w:t>19. května 2025</w:t>
      </w:r>
      <w:r w:rsidRPr="0088190A">
        <w:rPr>
          <w:rFonts w:cstheme="minorHAnsi"/>
          <w:color w:val="000000" w:themeColor="text1"/>
          <w:sz w:val="24"/>
          <w:szCs w:val="24"/>
        </w:rPr>
        <w:t>,</w:t>
      </w:r>
    </w:p>
    <w:p w14:paraId="7F021585" w14:textId="44EE0EF3" w:rsidR="00E34E8B" w:rsidRPr="0088190A" w:rsidRDefault="00E34E8B" w:rsidP="000A2A7D">
      <w:pPr>
        <w:spacing w:before="120" w:after="0" w:line="264" w:lineRule="auto"/>
        <w:jc w:val="both"/>
        <w:rPr>
          <w:rFonts w:cstheme="minorHAnsi"/>
          <w:color w:val="000000" w:themeColor="text1"/>
          <w:sz w:val="24"/>
          <w:szCs w:val="24"/>
        </w:rPr>
      </w:pPr>
      <w:r w:rsidRPr="0088190A">
        <w:rPr>
          <w:rFonts w:cstheme="minorHAnsi"/>
          <w:b/>
          <w:i/>
          <w:color w:val="000000" w:themeColor="text1"/>
          <w:spacing w:val="40"/>
          <w:sz w:val="24"/>
          <w:szCs w:val="24"/>
        </w:rPr>
        <w:t>schválilo</w:t>
      </w:r>
      <w:r w:rsidRPr="0088190A">
        <w:rPr>
          <w:rFonts w:cstheme="minorHAnsi"/>
          <w:b/>
          <w:i/>
          <w:color w:val="000000" w:themeColor="text1"/>
          <w:sz w:val="24"/>
          <w:szCs w:val="24"/>
        </w:rPr>
        <w:t xml:space="preserve">   </w:t>
      </w:r>
      <w:r w:rsidRPr="0088190A">
        <w:rPr>
          <w:rFonts w:cstheme="minorHAnsi"/>
          <w:color w:val="000000" w:themeColor="text1"/>
          <w:sz w:val="24"/>
          <w:szCs w:val="24"/>
        </w:rPr>
        <w:t xml:space="preserve">usnesením č. </w:t>
      </w:r>
      <w:r w:rsidR="002B3386">
        <w:rPr>
          <w:rFonts w:cstheme="minorHAnsi"/>
          <w:color w:val="000000" w:themeColor="text1"/>
          <w:sz w:val="24"/>
          <w:szCs w:val="24"/>
        </w:rPr>
        <w:t>7</w:t>
      </w:r>
      <w:r w:rsidRPr="0088190A">
        <w:rPr>
          <w:rFonts w:cstheme="minorHAnsi"/>
          <w:color w:val="000000" w:themeColor="text1"/>
          <w:sz w:val="24"/>
          <w:szCs w:val="24"/>
        </w:rPr>
        <w:t>/</w:t>
      </w:r>
      <w:r w:rsidR="00745D4F">
        <w:rPr>
          <w:rFonts w:cstheme="minorHAnsi"/>
          <w:color w:val="000000" w:themeColor="text1"/>
          <w:sz w:val="24"/>
          <w:szCs w:val="24"/>
        </w:rPr>
        <w:t>VII</w:t>
      </w:r>
      <w:r w:rsidRPr="0088190A">
        <w:rPr>
          <w:rFonts w:cstheme="minorHAnsi"/>
          <w:color w:val="000000" w:themeColor="text1"/>
          <w:sz w:val="24"/>
          <w:szCs w:val="24"/>
        </w:rPr>
        <w:t>/2025</w:t>
      </w:r>
    </w:p>
    <w:p w14:paraId="0E0078AB" w14:textId="77777777" w:rsidR="00440149" w:rsidRPr="0088190A" w:rsidRDefault="00E34E8B" w:rsidP="000A2A7D">
      <w:pPr>
        <w:spacing w:before="120" w:after="0" w:line="264" w:lineRule="auto"/>
        <w:jc w:val="both"/>
        <w:rPr>
          <w:rFonts w:cstheme="minorHAnsi"/>
          <w:color w:val="000000" w:themeColor="text1"/>
          <w:sz w:val="24"/>
          <w:szCs w:val="24"/>
        </w:rPr>
      </w:pPr>
      <w:r w:rsidRPr="0088190A">
        <w:rPr>
          <w:rFonts w:cstheme="minorHAnsi"/>
          <w:b/>
          <w:i/>
          <w:color w:val="000000" w:themeColor="text1"/>
          <w:spacing w:val="40"/>
          <w:sz w:val="24"/>
          <w:szCs w:val="24"/>
        </w:rPr>
        <w:t>kontrolní</w:t>
      </w:r>
      <w:r w:rsidRPr="0088190A">
        <w:rPr>
          <w:rFonts w:cstheme="minorHAnsi"/>
          <w:b/>
          <w:i/>
          <w:color w:val="000000" w:themeColor="text1"/>
          <w:sz w:val="24"/>
          <w:szCs w:val="24"/>
        </w:rPr>
        <w:t xml:space="preserve">   </w:t>
      </w:r>
      <w:r w:rsidRPr="0088190A">
        <w:rPr>
          <w:rFonts w:cstheme="minorHAnsi"/>
          <w:b/>
          <w:i/>
          <w:color w:val="000000" w:themeColor="text1"/>
          <w:spacing w:val="40"/>
          <w:sz w:val="24"/>
          <w:szCs w:val="24"/>
        </w:rPr>
        <w:t>závěr</w:t>
      </w:r>
      <w:r w:rsidRPr="0088190A">
        <w:rPr>
          <w:rFonts w:cstheme="minorHAnsi"/>
          <w:color w:val="000000" w:themeColor="text1"/>
          <w:sz w:val="24"/>
          <w:szCs w:val="24"/>
        </w:rPr>
        <w:t xml:space="preserve">   v tomto znění:</w:t>
      </w:r>
    </w:p>
    <w:p w14:paraId="2696CAF4" w14:textId="77777777" w:rsidR="005774A9" w:rsidRPr="0088190A" w:rsidRDefault="005774A9" w:rsidP="005774A9">
      <w:pPr>
        <w:spacing w:before="240" w:after="120" w:line="264" w:lineRule="auto"/>
        <w:jc w:val="both"/>
        <w:rPr>
          <w:rFonts w:cstheme="minorHAnsi"/>
          <w:b/>
          <w:sz w:val="24"/>
          <w:szCs w:val="24"/>
        </w:rPr>
      </w:pPr>
    </w:p>
    <w:p w14:paraId="27105F76" w14:textId="77777777" w:rsidR="005774A9" w:rsidRDefault="005774A9">
      <w:pPr>
        <w:rPr>
          <w:rFonts w:ascii="Calibri" w:hAnsi="Calibri" w:cs="Calibri"/>
          <w:b/>
          <w:caps/>
          <w:sz w:val="28"/>
        </w:rPr>
      </w:pPr>
      <w:r>
        <w:rPr>
          <w:rFonts w:ascii="Calibri" w:hAnsi="Calibri" w:cs="Calibri"/>
          <w:b/>
          <w:caps/>
          <w:sz w:val="28"/>
        </w:rPr>
        <w:br w:type="page"/>
      </w:r>
    </w:p>
    <w:p w14:paraId="7F89D7A8" w14:textId="5A7D87AA" w:rsidR="00D0413D" w:rsidRDefault="00C1161F" w:rsidP="00D0413D">
      <w:pPr>
        <w:jc w:val="center"/>
        <w:rPr>
          <w:rFonts w:ascii="Calibri" w:hAnsi="Calibri" w:cs="Calibri"/>
          <w:b/>
          <w:caps/>
          <w:sz w:val="28"/>
        </w:rPr>
      </w:pPr>
      <w:r>
        <w:rPr>
          <w:rFonts w:ascii="Calibri" w:hAnsi="Calibri" w:cs="Calibri"/>
          <w:b/>
          <w:caps/>
          <w:sz w:val="28"/>
        </w:rPr>
        <w:lastRenderedPageBreak/>
        <w:t xml:space="preserve">ÚČELOVÁ </w:t>
      </w:r>
      <w:r w:rsidR="00D0413D" w:rsidRPr="00D0413D">
        <w:rPr>
          <w:rFonts w:ascii="Calibri" w:hAnsi="Calibri" w:cs="Calibri"/>
          <w:b/>
          <w:caps/>
          <w:sz w:val="28"/>
        </w:rPr>
        <w:t xml:space="preserve">PODPORA VÝZKUMU, VÝVOJE A INOVACÍ V OBDOBÍ 2021–2023 </w:t>
      </w:r>
      <w:r w:rsidR="00D0413D">
        <w:rPr>
          <w:rFonts w:ascii="Calibri" w:hAnsi="Calibri" w:cs="Calibri"/>
          <w:b/>
          <w:caps/>
          <w:sz w:val="28"/>
        </w:rPr>
        <w:br/>
      </w:r>
      <w:r w:rsidR="00D0413D" w:rsidRPr="00D0413D">
        <w:rPr>
          <w:rFonts w:ascii="Calibri" w:hAnsi="Calibri" w:cs="Calibri"/>
          <w:b/>
          <w:caps/>
          <w:sz w:val="28"/>
        </w:rPr>
        <w:t>U</w:t>
      </w:r>
      <w:r w:rsidR="005774A9">
        <w:rPr>
          <w:rFonts w:ascii="Calibri" w:hAnsi="Calibri" w:cs="Calibri"/>
          <w:b/>
          <w:caps/>
          <w:sz w:val="28"/>
        </w:rPr>
        <w:t> </w:t>
      </w:r>
      <w:r w:rsidR="00D0413D" w:rsidRPr="00D0413D">
        <w:rPr>
          <w:rFonts w:ascii="Calibri" w:hAnsi="Calibri" w:cs="Calibri"/>
          <w:b/>
          <w:caps/>
          <w:sz w:val="28"/>
        </w:rPr>
        <w:t>GA ČR A TA ČR</w:t>
      </w:r>
    </w:p>
    <w:p w14:paraId="63774DA4" w14:textId="77777777" w:rsidR="00D0413D" w:rsidRPr="00D0413D" w:rsidRDefault="00D0413D" w:rsidP="00D0413D">
      <w:pPr>
        <w:jc w:val="center"/>
        <w:rPr>
          <w:rFonts w:ascii="Calibri" w:hAnsi="Calibri" w:cs="Calibri"/>
          <w:b/>
          <w:caps/>
          <w:sz w:val="28"/>
        </w:rPr>
      </w:pPr>
    </w:p>
    <w:p w14:paraId="1EED3B73" w14:textId="68B6FC91" w:rsidR="003D1520" w:rsidRPr="00D0413D" w:rsidRDefault="003D1520" w:rsidP="003D1520">
      <w:pPr>
        <w:tabs>
          <w:tab w:val="left" w:pos="1115"/>
        </w:tabs>
        <w:ind w:left="1416" w:hanging="1416"/>
        <w:jc w:val="center"/>
        <w:rPr>
          <w:rFonts w:ascii="Calibri" w:hAnsi="Calibri" w:cs="Calibri"/>
          <w:caps/>
        </w:rPr>
      </w:pPr>
      <w:r w:rsidRPr="00D0413D">
        <w:rPr>
          <w:rFonts w:ascii="Calibri" w:hAnsi="Calibri" w:cs="Calibri"/>
          <w:noProof/>
          <w:lang w:eastAsia="cs-CZ"/>
        </w:rPr>
        <mc:AlternateContent>
          <mc:Choice Requires="wps">
            <w:drawing>
              <wp:anchor distT="0" distB="0" distL="114300" distR="114300" simplePos="0" relativeHeight="251676672" behindDoc="0" locked="0" layoutInCell="1" allowOverlap="1" wp14:anchorId="397CE8E3" wp14:editId="07FF240F">
                <wp:simplePos x="0" y="0"/>
                <wp:positionH relativeFrom="column">
                  <wp:posOffset>-29845</wp:posOffset>
                </wp:positionH>
                <wp:positionV relativeFrom="paragraph">
                  <wp:posOffset>92710</wp:posOffset>
                </wp:positionV>
                <wp:extent cx="2305050" cy="0"/>
                <wp:effectExtent l="0" t="0" r="0" b="0"/>
                <wp:wrapNone/>
                <wp:docPr id="13" name="Přímá spojnice 13"/>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06187" id="Přímá spojnice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7.3pt" to="179.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Q2gEAAAQEAAAOAAAAZHJzL2Uyb0RvYy54bWysU0tu2zAQ3RfIHQjuY8kOWhSC5SwSpJui&#10;Nfo5AEMNLRYkhyBZSz5Klz1ATxH0Xh1Sthy0BYIUhQBKQ857M+9xtL4erWF7CFGja/lyUXMGTmKn&#10;3a7lnz/dXb7mLCbhOmHQQcsPEPn15uLFevANrLBH00FgROJiM/iW9yn5pqqi7MGKuEAPjg4VBisS&#10;hWFXdUEMxG5NtarrV9WAofMBJcRIu7fTId8UfqVApvdKRUjMtJx6S2UNZb3Pa7VZi2YXhO+1PLYh&#10;/qELK7SjojPVrUiCfQ36DyqrZcCIKi0k2gqV0hKKBlKzrH9T87EXHooWMif62ab4/2jlu/02MN3R&#10;3V1x5oSlO9r+/Pbwwz58Z9HjF0cNMjojowYfG8q/cdtwjKLfhqx6VMHmN+lhYzH3MJsLY2KSNldX&#10;9Ut6OJOns+oM9CGmN4CW5Y+WG+2ybtGI/duYqBilnlLytnF5jWh0d6eNKUGeGLgxge0F3XUal7ll&#10;wj3Koigjqyxkar18pYOBifUDKPKCml2W6mUKz5xCSnDpxGscZWeYog5mYP008JifoVAm9DngGVEq&#10;o0sz2GqH4W/Vz1aoKf/kwKQ7W3CP3aFcarGGRq04d/wt8iw/jgv8/PNufgEAAP//AwBQSwMEFAAG&#10;AAgAAAAhAMk646zeAAAACAEAAA8AAABkcnMvZG93bnJldi54bWxMj0FLw0AQhe+C/2EZwYu0G00b&#10;S5pNkUAvHgQbKR632WkSmp0N2W2T/ntHPNTjvPd4871sM9lOXHDwrSMFz/MIBFLlTEu1gq9yO1uB&#10;8EGT0Z0jVHBFD5v8/i7TqXEjfeJlF2rBJeRTraAJoU+l9FWDVvu565HYO7rB6sDnUEsz6JHLbSdf&#10;oiiRVrfEHxrdY9FgddqdrYLv+ine7ksqxyJ8HJNmuu7fl4VSjw/T2xpEwCncwvCLz+iQM9PBncl4&#10;0SmYLV45yfoiAcF+vFzFIA5/gswz+X9A/gMAAP//AwBQSwECLQAUAAYACAAAACEAtoM4kv4AAADh&#10;AQAAEwAAAAAAAAAAAAAAAAAAAAAAW0NvbnRlbnRfVHlwZXNdLnhtbFBLAQItABQABgAIAAAAIQA4&#10;/SH/1gAAAJQBAAALAAAAAAAAAAAAAAAAAC8BAABfcmVscy8ucmVsc1BLAQItABQABgAIAAAAIQBb&#10;A/wQ2gEAAAQEAAAOAAAAAAAAAAAAAAAAAC4CAABkcnMvZTJvRG9jLnhtbFBLAQItABQABgAIAAAA&#10;IQDJOuOs3gAAAAgBAAAPAAAAAAAAAAAAAAAAADQEAABkcnMvZG93bnJldi54bWxQSwUGAAAAAAQA&#10;BADzAAAAPwUAAAAA&#10;" strokecolor="black [3213]" strokeweight=".5pt">
                <v:stroke joinstyle="miter"/>
              </v:line>
            </w:pict>
          </mc:Fallback>
        </mc:AlternateContent>
      </w:r>
      <w:r w:rsidRPr="00D0413D">
        <w:rPr>
          <w:rFonts w:ascii="Calibri" w:hAnsi="Calibri" w:cs="Calibri"/>
          <w:noProof/>
          <w:lang w:eastAsia="cs-CZ"/>
        </w:rPr>
        <mc:AlternateContent>
          <mc:Choice Requires="wps">
            <w:drawing>
              <wp:anchor distT="0" distB="0" distL="114300" distR="114300" simplePos="0" relativeHeight="251677696" behindDoc="0" locked="0" layoutInCell="1" allowOverlap="1" wp14:anchorId="621713E3" wp14:editId="2A62CD66">
                <wp:simplePos x="0" y="0"/>
                <wp:positionH relativeFrom="margin">
                  <wp:posOffset>3435350</wp:posOffset>
                </wp:positionH>
                <wp:positionV relativeFrom="paragraph">
                  <wp:posOffset>106045</wp:posOffset>
                </wp:positionV>
                <wp:extent cx="2305050" cy="0"/>
                <wp:effectExtent l="0" t="0" r="0" b="0"/>
                <wp:wrapNone/>
                <wp:docPr id="14" name="Přímá spojnice 14"/>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F0BB57" id="Přímá spojnice 14" o:spid="_x0000_s1026" style="position:absolute;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0.5pt,8.35pt" to="45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3c2gEAAAQEAAAOAAAAZHJzL2Uyb0RvYy54bWysU12O0zAQfkfaO1h+p0kLi1DUdB92tfuC&#10;2IqfA3idcWNkeyzbNOlReOQAnGLFvRg7bboCJARCkZyMPd83832erK9Ga9geQtToWr5c1JyBk9hp&#10;t2v5xw+3z19zFpNwnTDooOUHiPxqc/FsPfgGVtij6SAwInGxGXzL+5R8U1VR9mBFXKAHR4cKgxWJ&#10;wrCruiAGYremWtX1q2rA0PmAEmKk3ZvpkG8Kv1Ig071SERIzLafeUllDWR/yWm3WotkF4Xstj22I&#10;f+jCCu2o6Ex1I5Jgn4P+hcpqGTCiSguJtkKltISigdQs65/UvO+Fh6KFzIl+tin+P1r5dr8NTHd0&#10;dy85c8LSHW2/f3n8Zh+/sujxk6MGGZ2RUYOPDeVfu204RtFvQ1Y9qmDzm/SwsZh7mM2FMTFJm6sX&#10;9SU9nMnTWXUG+hDTHaBl+aPlRrusWzRi/yYmKkapp5S8bVxeIxrd3WpjSpAnBq5NYHtBd53GZW6Z&#10;cE+yKMrIKguZWi9f6WBgYn0HirygZpelepnCM6eQElw68RpH2RmmqIMZWP8ZeMzPUCgT+jfgGVEq&#10;o0sz2GqH4XfVz1aoKf/kwKQ7W/CA3aFcarGGRq04d/wt8iw/jQv8/PNufgAAAP//AwBQSwMEFAAG&#10;AAgAAAAhAJI1t+DeAAAACQEAAA8AAABkcnMvZG93bnJldi54bWxMj8FOwzAQRO9I/IO1SFwQdQpt&#10;CiFOhSL1wgGJBlU9uvE2jojXUew26d+ziAMcd2Y0+yZfT64TZxxC60nBfJaAQKq9aalR8Flt7p9A&#10;hKjJ6M4TKrhggHVxfZXrzPiRPvC8jY3gEgqZVmBj7DMpQ23R6TDzPRJ7Rz84HfkcGmkGPXK56+RD&#10;kqTS6Zb4g9U9lhbrr+3JKdg3d4+bXUXVWMb3Y2qny+5tWSp1ezO9voCIOMW/MPzgMzoUzHTwJzJB&#10;dAqWizlviWykKxAceE4WLBx+BVnk8v+C4hsAAP//AwBQSwECLQAUAAYACAAAACEAtoM4kv4AAADh&#10;AQAAEwAAAAAAAAAAAAAAAAAAAAAAW0NvbnRlbnRfVHlwZXNdLnhtbFBLAQItABQABgAIAAAAIQA4&#10;/SH/1gAAAJQBAAALAAAAAAAAAAAAAAAAAC8BAABfcmVscy8ucmVsc1BLAQItABQABgAIAAAAIQBs&#10;3P3c2gEAAAQEAAAOAAAAAAAAAAAAAAAAAC4CAABkcnMvZTJvRG9jLnhtbFBLAQItABQABgAIAAAA&#10;IQCSNbfg3gAAAAkBAAAPAAAAAAAAAAAAAAAAADQEAABkcnMvZG93bnJldi54bWxQSwUGAAAAAAQA&#10;BADzAAAAPwUAAAAA&#10;" strokecolor="black [3213]" strokeweight=".5pt">
                <v:stroke joinstyle="miter"/>
                <w10:wrap anchorx="margin"/>
              </v:line>
            </w:pict>
          </mc:Fallback>
        </mc:AlternateContent>
      </w:r>
      <w:r w:rsidR="00D0413D" w:rsidRPr="00D0413D">
        <w:rPr>
          <w:rFonts w:ascii="Calibri" w:hAnsi="Calibri" w:cs="Calibri"/>
          <w:noProof/>
          <w:lang w:eastAsia="cs-CZ"/>
        </w:rPr>
        <w:t>ZÁKLADNÍ</w:t>
      </w:r>
      <w:r w:rsidRPr="00D0413D">
        <w:rPr>
          <w:rFonts w:ascii="Calibri" w:hAnsi="Calibri" w:cs="Calibri"/>
          <w:caps/>
        </w:rPr>
        <w:t xml:space="preserve"> fakta </w:t>
      </w:r>
    </w:p>
    <w:p w14:paraId="0E0E7808" w14:textId="77777777" w:rsidR="003D1520" w:rsidRDefault="003D1520" w:rsidP="003D1520">
      <w:pPr>
        <w:spacing w:after="0" w:line="240" w:lineRule="auto"/>
        <w:rPr>
          <w:rFonts w:ascii="Calibri" w:hAnsi="Calibri" w:cs="Calibri"/>
        </w:rPr>
      </w:pPr>
    </w:p>
    <w:tbl>
      <w:tblPr>
        <w:tblW w:w="9077" w:type="dxa"/>
        <w:jc w:val="center"/>
        <w:shd w:val="clear" w:color="auto" w:fill="FFFFFF" w:themeFill="background1"/>
        <w:tblLayout w:type="fixed"/>
        <w:tblCellMar>
          <w:bottom w:w="57" w:type="dxa"/>
        </w:tblCellMar>
        <w:tblLook w:val="04A0" w:firstRow="1" w:lastRow="0" w:firstColumn="1" w:lastColumn="0" w:noHBand="0" w:noVBand="1"/>
      </w:tblPr>
      <w:tblGrid>
        <w:gridCol w:w="3023"/>
        <w:gridCol w:w="3022"/>
        <w:gridCol w:w="3032"/>
      </w:tblGrid>
      <w:tr w:rsidR="003D1520" w:rsidRPr="00D0413D" w14:paraId="4ABCCFB3" w14:textId="77777777" w:rsidTr="00D0413D">
        <w:trPr>
          <w:trHeight w:val="475"/>
          <w:jc w:val="center"/>
        </w:trPr>
        <w:tc>
          <w:tcPr>
            <w:tcW w:w="3023" w:type="dxa"/>
            <w:shd w:val="clear" w:color="auto" w:fill="FFFFFF" w:themeFill="background1"/>
            <w:vAlign w:val="center"/>
          </w:tcPr>
          <w:p w14:paraId="5C1F88CC" w14:textId="73611F3D" w:rsidR="003D1520" w:rsidRPr="00D0413D" w:rsidRDefault="00D0413D" w:rsidP="003D1520">
            <w:pPr>
              <w:pStyle w:val="Pa18"/>
              <w:spacing w:line="240" w:lineRule="auto"/>
              <w:jc w:val="center"/>
              <w:rPr>
                <w:rFonts w:cs="Calibri"/>
                <w:b/>
                <w:sz w:val="36"/>
                <w:szCs w:val="32"/>
              </w:rPr>
            </w:pPr>
            <w:bookmarkStart w:id="0" w:name="_Hlk145416707"/>
            <w:r w:rsidRPr="00D0413D">
              <w:rPr>
                <w:rFonts w:asciiTheme="minorHAnsi" w:hAnsiTheme="minorHAnsi" w:cstheme="minorHAnsi"/>
                <w:b/>
                <w:bCs/>
                <w:color w:val="000000" w:themeColor="text1"/>
                <w:sz w:val="36"/>
                <w:szCs w:val="44"/>
              </w:rPr>
              <w:t xml:space="preserve">29,8 </w:t>
            </w:r>
            <w:r w:rsidRPr="00D0413D">
              <w:rPr>
                <w:rFonts w:asciiTheme="minorHAnsi" w:hAnsiTheme="minorHAnsi" w:cstheme="minorHAnsi"/>
                <w:b/>
                <w:color w:val="000000" w:themeColor="text1"/>
                <w:sz w:val="36"/>
                <w:szCs w:val="44"/>
              </w:rPr>
              <w:t>mld. Kč</w:t>
            </w:r>
          </w:p>
        </w:tc>
        <w:tc>
          <w:tcPr>
            <w:tcW w:w="3022" w:type="dxa"/>
            <w:shd w:val="clear" w:color="auto" w:fill="FFFFFF" w:themeFill="background1"/>
            <w:vAlign w:val="center"/>
          </w:tcPr>
          <w:p w14:paraId="40CFD54C" w14:textId="3FA88FEC" w:rsidR="003D1520" w:rsidRPr="00D0413D" w:rsidRDefault="00D0413D" w:rsidP="003D1520">
            <w:pPr>
              <w:pStyle w:val="Pa18"/>
              <w:spacing w:line="240" w:lineRule="auto"/>
              <w:jc w:val="center"/>
              <w:rPr>
                <w:rStyle w:val="A14"/>
                <w:rFonts w:cs="Calibri"/>
                <w:bCs/>
                <w:sz w:val="36"/>
                <w:szCs w:val="32"/>
              </w:rPr>
            </w:pPr>
            <w:r w:rsidRPr="00D0413D">
              <w:rPr>
                <w:rFonts w:asciiTheme="minorHAnsi" w:hAnsiTheme="minorHAnsi" w:cstheme="minorHAnsi"/>
                <w:b/>
                <w:bCs/>
                <w:color w:val="000000" w:themeColor="text1"/>
                <w:sz w:val="36"/>
                <w:szCs w:val="44"/>
              </w:rPr>
              <w:t>9 564</w:t>
            </w:r>
          </w:p>
        </w:tc>
        <w:tc>
          <w:tcPr>
            <w:tcW w:w="3032" w:type="dxa"/>
            <w:shd w:val="clear" w:color="auto" w:fill="FFFFFF" w:themeFill="background1"/>
            <w:vAlign w:val="center"/>
          </w:tcPr>
          <w:p w14:paraId="0036A0A0" w14:textId="156FF3CB" w:rsidR="003D1520" w:rsidRPr="00D0413D" w:rsidRDefault="00D0413D" w:rsidP="003D1520">
            <w:pPr>
              <w:pStyle w:val="Pa18"/>
              <w:spacing w:line="240" w:lineRule="auto"/>
              <w:jc w:val="center"/>
              <w:rPr>
                <w:rFonts w:cs="Calibri"/>
                <w:b/>
                <w:sz w:val="36"/>
                <w:szCs w:val="32"/>
              </w:rPr>
            </w:pPr>
            <w:r w:rsidRPr="00D0413D">
              <w:rPr>
                <w:rFonts w:asciiTheme="minorHAnsi" w:hAnsiTheme="minorHAnsi" w:cstheme="minorHAnsi"/>
                <w:b/>
                <w:bCs/>
                <w:sz w:val="36"/>
                <w:szCs w:val="44"/>
              </w:rPr>
              <w:t>58 %</w:t>
            </w:r>
          </w:p>
        </w:tc>
      </w:tr>
      <w:tr w:rsidR="00D0413D" w:rsidRPr="00D0413D" w14:paraId="1BE6628D" w14:textId="77777777" w:rsidTr="00D0413D">
        <w:tblPrEx>
          <w:shd w:val="clear" w:color="auto" w:fill="auto"/>
          <w:tblCellMar>
            <w:top w:w="57" w:type="dxa"/>
            <w:left w:w="57" w:type="dxa"/>
            <w:right w:w="57" w:type="dxa"/>
          </w:tblCellMar>
          <w:tblLook w:val="0000" w:firstRow="0" w:lastRow="0" w:firstColumn="0" w:lastColumn="0" w:noHBand="0" w:noVBand="0"/>
        </w:tblPrEx>
        <w:trPr>
          <w:trHeight w:hRule="exact" w:val="794"/>
          <w:jc w:val="center"/>
        </w:trPr>
        <w:tc>
          <w:tcPr>
            <w:tcW w:w="3023" w:type="dxa"/>
            <w:shd w:val="clear" w:color="auto" w:fill="FFFFFF"/>
          </w:tcPr>
          <w:p w14:paraId="6BC37035" w14:textId="0FBDF854" w:rsidR="00D0413D" w:rsidRPr="00D0413D" w:rsidRDefault="00D0413D" w:rsidP="008565E5">
            <w:pPr>
              <w:pStyle w:val="Jin0"/>
              <w:spacing w:before="100" w:line="240" w:lineRule="auto"/>
              <w:jc w:val="center"/>
              <w:rPr>
                <w:rFonts w:asciiTheme="minorHAnsi" w:hAnsiTheme="minorHAnsi" w:cstheme="minorHAnsi"/>
                <w:color w:val="000000" w:themeColor="text1"/>
              </w:rPr>
            </w:pPr>
            <w:r w:rsidRPr="00D0413D">
              <w:rPr>
                <w:rFonts w:asciiTheme="minorHAnsi" w:hAnsiTheme="minorHAnsi" w:cstheme="minorHAnsi"/>
                <w:color w:val="000000" w:themeColor="text1"/>
                <w:szCs w:val="20"/>
              </w:rPr>
              <w:t>Výdaje na účelovou podporu</w:t>
            </w:r>
            <w:r w:rsidR="00C1161F">
              <w:rPr>
                <w:rFonts w:asciiTheme="minorHAnsi" w:hAnsiTheme="minorHAnsi" w:cstheme="minorHAnsi"/>
                <w:color w:val="000000" w:themeColor="text1"/>
                <w:szCs w:val="20"/>
              </w:rPr>
              <w:t xml:space="preserve"> u</w:t>
            </w:r>
            <w:r w:rsidR="005774A9">
              <w:rPr>
                <w:rFonts w:asciiTheme="minorHAnsi" w:hAnsiTheme="minorHAnsi" w:cstheme="minorHAnsi"/>
                <w:color w:val="000000" w:themeColor="text1"/>
                <w:szCs w:val="20"/>
              </w:rPr>
              <w:t> </w:t>
            </w:r>
            <w:r w:rsidR="00C1161F">
              <w:rPr>
                <w:rFonts w:asciiTheme="minorHAnsi" w:hAnsiTheme="minorHAnsi" w:cstheme="minorHAnsi"/>
                <w:color w:val="000000" w:themeColor="text1"/>
                <w:szCs w:val="20"/>
              </w:rPr>
              <w:t xml:space="preserve">GA ČR a TA ČR </w:t>
            </w:r>
          </w:p>
        </w:tc>
        <w:tc>
          <w:tcPr>
            <w:tcW w:w="3022" w:type="dxa"/>
            <w:shd w:val="clear" w:color="auto" w:fill="FFFFFF"/>
          </w:tcPr>
          <w:p w14:paraId="43B48210" w14:textId="4D4D3B01" w:rsidR="00D0413D" w:rsidRPr="00D0413D" w:rsidRDefault="00D0413D" w:rsidP="008565E5">
            <w:pPr>
              <w:pStyle w:val="Jin0"/>
              <w:spacing w:before="100" w:line="240" w:lineRule="auto"/>
              <w:jc w:val="center"/>
              <w:rPr>
                <w:rFonts w:asciiTheme="minorHAnsi" w:hAnsiTheme="minorHAnsi" w:cstheme="minorHAnsi"/>
                <w:color w:val="000000" w:themeColor="text1"/>
              </w:rPr>
            </w:pPr>
            <w:r w:rsidRPr="00D0413D">
              <w:rPr>
                <w:rFonts w:asciiTheme="minorHAnsi" w:hAnsiTheme="minorHAnsi" w:cstheme="minorHAnsi"/>
                <w:color w:val="000000" w:themeColor="text1"/>
                <w:szCs w:val="20"/>
              </w:rPr>
              <w:t xml:space="preserve">Počet podpořených projektů </w:t>
            </w:r>
            <w:r w:rsidR="00C1161F">
              <w:rPr>
                <w:rFonts w:asciiTheme="minorHAnsi" w:hAnsiTheme="minorHAnsi" w:cstheme="minorHAnsi"/>
                <w:color w:val="000000" w:themeColor="text1"/>
                <w:szCs w:val="20"/>
              </w:rPr>
              <w:t xml:space="preserve">GA ČR a TA ČR </w:t>
            </w:r>
          </w:p>
        </w:tc>
        <w:tc>
          <w:tcPr>
            <w:tcW w:w="3032" w:type="dxa"/>
            <w:shd w:val="clear" w:color="auto" w:fill="FFFFFF"/>
          </w:tcPr>
          <w:p w14:paraId="7EEE6D5C" w14:textId="1A22A8C0" w:rsidR="00D0413D" w:rsidRPr="00D0413D" w:rsidRDefault="00D0413D" w:rsidP="008565E5">
            <w:pPr>
              <w:pStyle w:val="Jin0"/>
              <w:spacing w:before="100" w:line="240" w:lineRule="auto"/>
              <w:jc w:val="center"/>
              <w:rPr>
                <w:rFonts w:asciiTheme="minorHAnsi" w:hAnsiTheme="minorHAnsi" w:cstheme="minorHAnsi"/>
                <w:color w:val="000000" w:themeColor="text1"/>
              </w:rPr>
            </w:pPr>
            <w:r w:rsidRPr="00D0413D">
              <w:rPr>
                <w:rFonts w:asciiTheme="minorHAnsi" w:hAnsiTheme="minorHAnsi" w:cstheme="minorHAnsi"/>
                <w:color w:val="auto"/>
                <w:lang w:eastAsia="cs-CZ"/>
              </w:rPr>
              <w:t xml:space="preserve">Podíl </w:t>
            </w:r>
            <w:r w:rsidR="00FF17E7">
              <w:rPr>
                <w:rFonts w:asciiTheme="minorHAnsi" w:hAnsiTheme="minorHAnsi" w:cstheme="minorHAnsi"/>
                <w:color w:val="auto"/>
                <w:lang w:eastAsia="cs-CZ"/>
              </w:rPr>
              <w:t xml:space="preserve">GA ČR a TA ČR </w:t>
            </w:r>
            <w:r w:rsidRPr="00D0413D">
              <w:rPr>
                <w:rFonts w:asciiTheme="minorHAnsi" w:hAnsiTheme="minorHAnsi" w:cstheme="minorHAnsi"/>
                <w:color w:val="auto"/>
                <w:lang w:eastAsia="cs-CZ"/>
              </w:rPr>
              <w:t>na celkové účelové podpoře</w:t>
            </w:r>
            <w:r w:rsidR="00C1161F">
              <w:rPr>
                <w:rFonts w:asciiTheme="minorHAnsi" w:hAnsiTheme="minorHAnsi" w:cstheme="minorHAnsi"/>
                <w:color w:val="auto"/>
                <w:lang w:eastAsia="cs-CZ"/>
              </w:rPr>
              <w:t xml:space="preserve"> ČR</w:t>
            </w:r>
          </w:p>
        </w:tc>
      </w:tr>
    </w:tbl>
    <w:bookmarkEnd w:id="0"/>
    <w:p w14:paraId="723ADCE2" w14:textId="77777777" w:rsidR="003D1520" w:rsidRDefault="003D1520" w:rsidP="003D1520">
      <w:pPr>
        <w:pStyle w:val="NormlnKZ"/>
        <w:ind w:firstLine="0"/>
        <w:rPr>
          <w:rFonts w:asciiTheme="minorHAnsi" w:hAnsiTheme="minorHAnsi" w:cstheme="minorHAnsi"/>
          <w:b/>
          <w:color w:val="auto"/>
        </w:rPr>
      </w:pPr>
      <w:r w:rsidRPr="00C90F69">
        <w:rPr>
          <w:rFonts w:asciiTheme="minorHAnsi" w:hAnsiTheme="minorHAnsi" w:cstheme="minorHAnsi"/>
          <w:b/>
          <w:color w:val="auto"/>
        </w:rPr>
        <w:t xml:space="preserve"> </w:t>
      </w:r>
    </w:p>
    <w:p w14:paraId="5738C79B" w14:textId="77777777" w:rsidR="003D1520" w:rsidRPr="00DA49C3" w:rsidRDefault="003D1520" w:rsidP="003D1520">
      <w:pPr>
        <w:tabs>
          <w:tab w:val="left" w:pos="1115"/>
        </w:tabs>
        <w:ind w:left="1416" w:hanging="1416"/>
        <w:jc w:val="center"/>
        <w:rPr>
          <w:rFonts w:ascii="Calibri" w:hAnsi="Calibri" w:cs="Calibri"/>
          <w:caps/>
        </w:rPr>
      </w:pPr>
      <w:r w:rsidRPr="00DA49C3">
        <w:rPr>
          <w:rFonts w:ascii="Calibri" w:hAnsi="Calibri" w:cs="Calibri"/>
          <w:noProof/>
          <w:sz w:val="28"/>
          <w:lang w:eastAsia="cs-CZ"/>
        </w:rPr>
        <mc:AlternateContent>
          <mc:Choice Requires="wps">
            <w:drawing>
              <wp:anchor distT="0" distB="0" distL="114300" distR="114300" simplePos="0" relativeHeight="251679744" behindDoc="0" locked="0" layoutInCell="1" allowOverlap="1" wp14:anchorId="2B6E850B" wp14:editId="49F2B94F">
                <wp:simplePos x="0" y="0"/>
                <wp:positionH relativeFrom="margin">
                  <wp:posOffset>3711575</wp:posOffset>
                </wp:positionH>
                <wp:positionV relativeFrom="paragraph">
                  <wp:posOffset>106045</wp:posOffset>
                </wp:positionV>
                <wp:extent cx="2016000" cy="0"/>
                <wp:effectExtent l="0" t="0" r="0" b="0"/>
                <wp:wrapNone/>
                <wp:docPr id="15" name="Přímá spojnice 15"/>
                <wp:cNvGraphicFramePr/>
                <a:graphic xmlns:a="http://schemas.openxmlformats.org/drawingml/2006/main">
                  <a:graphicData uri="http://schemas.microsoft.com/office/word/2010/wordprocessingShape">
                    <wps:wsp>
                      <wps:cNvCnPr/>
                      <wps:spPr>
                        <a:xfrm>
                          <a:off x="0" y="0"/>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4A6E2E" id="Přímá spojnice 15"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2.25pt,8.35pt" to="45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C2QEAAAQEAAAOAAAAZHJzL2Uyb0RvYy54bWysU81u2zAMvg/YOwi6L3YKrBiMOD20aC/D&#10;FuznAVSZilVIoiBpsfMoO+4B9hTF3muUnDhFN6Bo0QttSvxIfh+p1cVoDdtBiBpdy5eLmjNwEjvt&#10;ti3//u363QfOYhKuEwYdtHwPkV+s375ZDb6BM+zRdBAYJXGxGXzL+5R8U1VR9mBFXKAHR5cKgxWJ&#10;3LCtuiAGym5NdVbX59WAofMBJcRIp1fTJV+X/EqBTJ+VipCYaTn1looNxd5mW61XotkG4XstD22I&#10;F3RhhXZUdE51JZJgP4L+J5XVMmBElRYSbYVKaQmFA7FZ1o/YfO2Fh8KFxIl+lim+Xlr5abcJTHc0&#10;u/ecOWFpRps/P+9/2/tfLHq8c9QgozsSavCxofhLtwkHL/pNyKxHFWz+Eh82FnH3s7gwJibpkPid&#10;1zXNQB7vqhPQh5huAC3LPy032mXeohG7jzFRMQo9huRj47KNaHR3rY0pTt4YuDSB7QTNOo3L3DLh&#10;HkSRl5FVJjK1Xv7S3sCU9Qso0oKaXZbqZQtPOYWU4NIxr3EUnWGKOpiB9dPAQ3yGQtnQ54BnRKmM&#10;Ls1gqx2G/1U/SaGm+KMCE+8swS12+zLUIg2tWlHu8CzyLj/0C/z0eNd/AQAA//8DAFBLAwQUAAYA&#10;CAAAACEAntknS94AAAAJAQAADwAAAGRycy9kb3ducmV2LnhtbEyPwU7DMBBE70j8g7VIXBB1KCSU&#10;EKdCkXrhgESDKo5uvI0j4nUUu0369yziAMedeZqdKdaz68UJx9B5UnC3SEAgNd501Cr4qDe3KxAh&#10;ajK694QKzhhgXV5eFDo3fqJ3PG1jKziEQq4V2BiHXMrQWHQ6LPyAxN7Bj05HPsdWmlFPHO56uUyS&#10;TDrdEX+wesDKYvO1PToFn+3N/WZXUz1V8e2Q2fm8e00rpa6v5pdnEBHn+AfDT32uDiV32vsjmSB6&#10;BenqIWWUjewRBANPyZLH7X8FWRby/4LyGwAA//8DAFBLAQItABQABgAIAAAAIQC2gziS/gAAAOEB&#10;AAATAAAAAAAAAAAAAAAAAAAAAABbQ29udGVudF9UeXBlc10ueG1sUEsBAi0AFAAGAAgAAAAhADj9&#10;If/WAAAAlAEAAAsAAAAAAAAAAAAAAAAALwEAAF9yZWxzLy5yZWxzUEsBAi0AFAAGAAgAAAAhAEdG&#10;6MLZAQAABAQAAA4AAAAAAAAAAAAAAAAALgIAAGRycy9lMm9Eb2MueG1sUEsBAi0AFAAGAAgAAAAh&#10;AJ7ZJ0veAAAACQEAAA8AAAAAAAAAAAAAAAAAMwQAAGRycy9kb3ducmV2LnhtbFBLBQYAAAAABAAE&#10;APMAAAA+BQAAAAA=&#10;" strokecolor="black [3213]" strokeweight=".5pt">
                <v:stroke joinstyle="miter"/>
                <w10:wrap anchorx="margin"/>
              </v:line>
            </w:pict>
          </mc:Fallback>
        </mc:AlternateContent>
      </w:r>
      <w:r w:rsidRPr="00DA49C3">
        <w:rPr>
          <w:rFonts w:ascii="Calibri" w:hAnsi="Calibri" w:cs="Calibri"/>
          <w:noProof/>
          <w:sz w:val="28"/>
          <w:lang w:eastAsia="cs-CZ"/>
        </w:rPr>
        <mc:AlternateContent>
          <mc:Choice Requires="wps">
            <w:drawing>
              <wp:anchor distT="0" distB="0" distL="114300" distR="114300" simplePos="0" relativeHeight="251678720" behindDoc="0" locked="0" layoutInCell="1" allowOverlap="1" wp14:anchorId="7FBBDC05" wp14:editId="64F4A13A">
                <wp:simplePos x="0" y="0"/>
                <wp:positionH relativeFrom="column">
                  <wp:posOffset>-29845</wp:posOffset>
                </wp:positionH>
                <wp:positionV relativeFrom="paragraph">
                  <wp:posOffset>92710</wp:posOffset>
                </wp:positionV>
                <wp:extent cx="2052000" cy="0"/>
                <wp:effectExtent l="0" t="0" r="0" b="0"/>
                <wp:wrapNone/>
                <wp:docPr id="16" name="Přímá spojnice 16"/>
                <wp:cNvGraphicFramePr/>
                <a:graphic xmlns:a="http://schemas.openxmlformats.org/drawingml/2006/main">
                  <a:graphicData uri="http://schemas.microsoft.com/office/word/2010/wordprocessingShape">
                    <wps:wsp>
                      <wps:cNvCnPr/>
                      <wps:spPr>
                        <a:xfrm>
                          <a:off x="0" y="0"/>
                          <a:ext cx="20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A39EE" id="Přímá spojnice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7.3pt" to="159.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Ys2QEAAAQEAAAOAAAAZHJzL2Uyb0RvYy54bWysU81u2zAMvg/oOwi6N3YCrBiMOD206C5D&#10;F+znAVSZijVIoiCpsfMoO+4B9hTF3muUnDhFN2DYsAttSvw+kh+p9fVoDdtDiBpdy5eLmjNwEjvt&#10;di3//Onu8g1nMQnXCYMOWn6AyK83F6/Wg29ghT2aDgIjEhebwbe8T8k3VRVlD1bEBXpwdKkwWJHI&#10;DbuqC2IgdmuqVV1fVQOGzgeUECOd3k6XfFP4lQKZ3isVITHTcqotFRuKfci22qxFswvC91oeyxD/&#10;UIUV2lHSmepWJMEeg/6FymoZMKJKC4m2QqW0hNIDdbOsX3TzsRceSi8kTvSzTPH/0cr7/TYw3dHs&#10;rjhzwtKMtj++Pn23T99Y9PjFUYGM7kiowceG4m/cNhy96Lchdz2qYPOX+mFjEfcwiwtjYpIOV/Vr&#10;GhjNQJ7uqjPQh5jeAlqWf1putMt9i0bs38VEySj0FJKPjcs2otHdnTamOHlj4MYEthc06zQuc8mE&#10;exZFXkZWuZGp9PKXDgYm1g+gSAsqdlmyly08cwopwaUTr3EUnWGKKpiB9Z+Bx/gMhbKhfwOeESUz&#10;ujSDrXYYfpf9LIWa4k8KTH1nCR6wO5ShFmlo1Ypyx2eRd/m5X+Dnx7v5CQAA//8DAFBLAwQUAAYA&#10;CAAAACEAnh5YKd4AAAAIAQAADwAAAGRycy9kb3ducmV2LnhtbEyPQUvDQBCF74L/YRnBi7Sb2hhL&#10;mk2RQC8eBBspHrfZaRKanQ3ZbZP+e0c82OO893jzvWwz2U5ccPCtIwWLeQQCqXKmpVrBV7mdrUD4&#10;oMnozhEquKKHTX5/l+nUuJE+8bILteAS8qlW0ITQp1L6qkGr/dz1SOwd3WB14HOopRn0yOW2k89R&#10;lEirW+IPje6xaLA67c5WwXf9tNzuSyrHInwck2a67t9fCqUeH6a3NYiAU/gPwy8+o0POTAd3JuNF&#10;p2AWv3KS9TgBwf5ysYpBHP4EmWfydkD+AwAA//8DAFBLAQItABQABgAIAAAAIQC2gziS/gAAAOEB&#10;AAATAAAAAAAAAAAAAAAAAAAAAABbQ29udGVudF9UeXBlc10ueG1sUEsBAi0AFAAGAAgAAAAhADj9&#10;If/WAAAAlAEAAAsAAAAAAAAAAAAAAAAALwEAAF9yZWxzLy5yZWxzUEsBAi0AFAAGAAgAAAAhAGuN&#10;xizZAQAABAQAAA4AAAAAAAAAAAAAAAAALgIAAGRycy9lMm9Eb2MueG1sUEsBAi0AFAAGAAgAAAAh&#10;AJ4eWCneAAAACAEAAA8AAAAAAAAAAAAAAAAAMwQAAGRycy9kb3ducmV2LnhtbFBLBQYAAAAABAAE&#10;APMAAAA+BQAAAAA=&#10;" strokecolor="black [3213]" strokeweight=".5pt">
                <v:stroke joinstyle="miter"/>
              </v:line>
            </w:pict>
          </mc:Fallback>
        </mc:AlternateContent>
      </w:r>
      <w:r>
        <w:rPr>
          <w:rFonts w:ascii="Calibri" w:hAnsi="Calibri" w:cs="Calibri"/>
          <w:caps/>
        </w:rPr>
        <w:t>Zjištěné skutečnosti</w:t>
      </w:r>
      <w:r w:rsidRPr="00DA49C3">
        <w:rPr>
          <w:rFonts w:ascii="Calibri" w:hAnsi="Calibri" w:cs="Calibri"/>
          <w:caps/>
        </w:rPr>
        <w:t xml:space="preserve"> </w:t>
      </w:r>
    </w:p>
    <w:tbl>
      <w:tblPr>
        <w:tblStyle w:val="Mkatabulky"/>
        <w:tblW w:w="0" w:type="auto"/>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414"/>
        <w:gridCol w:w="6658"/>
      </w:tblGrid>
      <w:tr w:rsidR="00D0413D" w:rsidRPr="00C90F69" w14:paraId="0484E14D" w14:textId="77777777" w:rsidTr="004E0712">
        <w:trPr>
          <w:tblCellSpacing w:w="56" w:type="dxa"/>
        </w:trPr>
        <w:tc>
          <w:tcPr>
            <w:tcW w:w="2273" w:type="dxa"/>
          </w:tcPr>
          <w:p w14:paraId="3314F5ED" w14:textId="32F48BEF" w:rsidR="00D0413D" w:rsidRPr="004E0712" w:rsidRDefault="00D0413D" w:rsidP="002F2573">
            <w:pPr>
              <w:pStyle w:val="NormlnKZ"/>
              <w:spacing w:after="0"/>
              <w:ind w:firstLine="0"/>
              <w:jc w:val="left"/>
              <w:rPr>
                <w:rFonts w:ascii="Calibri" w:hAnsi="Calibri" w:cs="Calibri"/>
                <w:b/>
                <w:color w:val="2EB3A1"/>
                <w:szCs w:val="32"/>
              </w:rPr>
            </w:pPr>
            <w:r w:rsidRPr="004E0712">
              <w:rPr>
                <w:rFonts w:ascii="Calibri" w:hAnsi="Calibri" w:cs="Calibri"/>
                <w:b/>
                <w:color w:val="2EB3A1"/>
                <w:szCs w:val="32"/>
              </w:rPr>
              <w:t xml:space="preserve">Transparentní </w:t>
            </w:r>
            <w:r w:rsidR="004E0712">
              <w:rPr>
                <w:rFonts w:ascii="Calibri" w:hAnsi="Calibri" w:cs="Calibri"/>
                <w:b/>
                <w:color w:val="2EB3A1"/>
                <w:szCs w:val="32"/>
              </w:rPr>
              <w:br/>
            </w:r>
            <w:r w:rsidRPr="004E0712">
              <w:rPr>
                <w:rFonts w:ascii="Calibri" w:hAnsi="Calibri" w:cs="Calibri"/>
                <w:b/>
                <w:color w:val="2EB3A1"/>
                <w:szCs w:val="32"/>
              </w:rPr>
              <w:t>výběr projektů</w:t>
            </w:r>
          </w:p>
        </w:tc>
        <w:tc>
          <w:tcPr>
            <w:tcW w:w="6799" w:type="dxa"/>
          </w:tcPr>
          <w:p w14:paraId="462B41B7" w14:textId="1F3CA8E8" w:rsidR="00D0413D" w:rsidRPr="00D0413D" w:rsidRDefault="00D0413D" w:rsidP="00D0413D">
            <w:pPr>
              <w:pStyle w:val="NormlnKZ"/>
              <w:spacing w:after="0"/>
              <w:ind w:firstLine="0"/>
              <w:jc w:val="left"/>
              <w:rPr>
                <w:rFonts w:asciiTheme="minorHAnsi" w:hAnsiTheme="minorHAnsi" w:cstheme="minorHAnsi"/>
                <w:color w:val="auto"/>
              </w:rPr>
            </w:pPr>
            <w:r w:rsidRPr="00D0413D">
              <w:rPr>
                <w:rFonts w:asciiTheme="minorHAnsi" w:hAnsiTheme="minorHAnsi" w:cstheme="minorHAnsi"/>
                <w:b/>
              </w:rPr>
              <w:t>GA ČR a TA ČR vybíraly projekty transparentně</w:t>
            </w:r>
            <w:r w:rsidRPr="00D0413D">
              <w:rPr>
                <w:rFonts w:asciiTheme="minorHAnsi" w:hAnsiTheme="minorHAnsi" w:cstheme="minorHAnsi"/>
              </w:rPr>
              <w:t xml:space="preserve"> dle předem stanovených kritérií a na základě hodnocení nezávislých expertních posudků. Odstranily tak jeden z nedostatků zjištěných v předešlých kontrolách NKÚ.</w:t>
            </w:r>
          </w:p>
        </w:tc>
      </w:tr>
      <w:tr w:rsidR="00D0413D" w:rsidRPr="00C90F69" w14:paraId="19E746E1" w14:textId="77777777" w:rsidTr="004E0712">
        <w:trPr>
          <w:tblCellSpacing w:w="56" w:type="dxa"/>
        </w:trPr>
        <w:tc>
          <w:tcPr>
            <w:tcW w:w="2273" w:type="dxa"/>
          </w:tcPr>
          <w:p w14:paraId="78C3F5F3" w14:textId="75792CAD" w:rsidR="00D0413D" w:rsidRPr="004E0712" w:rsidRDefault="00C1161F" w:rsidP="002F2573">
            <w:pPr>
              <w:rPr>
                <w:rFonts w:ascii="Calibri" w:hAnsi="Calibri" w:cs="Calibri"/>
                <w:b/>
                <w:color w:val="2EB3A1"/>
                <w:sz w:val="24"/>
                <w:szCs w:val="32"/>
              </w:rPr>
            </w:pPr>
            <w:r>
              <w:rPr>
                <w:rFonts w:ascii="Calibri" w:hAnsi="Calibri" w:cs="Calibri"/>
                <w:b/>
                <w:color w:val="2EB3A1"/>
                <w:sz w:val="24"/>
                <w:szCs w:val="32"/>
              </w:rPr>
              <w:t>Snižování a</w:t>
            </w:r>
            <w:r w:rsidR="00D0413D" w:rsidRPr="004E0712">
              <w:rPr>
                <w:rFonts w:ascii="Calibri" w:hAnsi="Calibri" w:cs="Calibri"/>
                <w:b/>
                <w:color w:val="2EB3A1"/>
                <w:sz w:val="24"/>
                <w:szCs w:val="32"/>
              </w:rPr>
              <w:t>dministrativní náročnost</w:t>
            </w:r>
            <w:r w:rsidR="00443550">
              <w:rPr>
                <w:rFonts w:ascii="Calibri" w:hAnsi="Calibri" w:cs="Calibri"/>
                <w:b/>
                <w:color w:val="2EB3A1"/>
                <w:sz w:val="24"/>
                <w:szCs w:val="32"/>
              </w:rPr>
              <w:t>i</w:t>
            </w:r>
          </w:p>
        </w:tc>
        <w:tc>
          <w:tcPr>
            <w:tcW w:w="6799" w:type="dxa"/>
          </w:tcPr>
          <w:p w14:paraId="10BF6736" w14:textId="4279BF71" w:rsidR="00D0413D" w:rsidRPr="00D0413D" w:rsidRDefault="00D0413D" w:rsidP="00D0413D">
            <w:pPr>
              <w:rPr>
                <w:rFonts w:asciiTheme="minorHAnsi" w:hAnsiTheme="minorHAnsi" w:cstheme="minorHAnsi"/>
                <w:sz w:val="24"/>
                <w:szCs w:val="24"/>
              </w:rPr>
            </w:pPr>
            <w:r w:rsidRPr="004E0712">
              <w:rPr>
                <w:rFonts w:asciiTheme="minorHAnsi" w:hAnsiTheme="minorHAnsi" w:cstheme="minorHAnsi"/>
                <w:b/>
                <w:sz w:val="24"/>
                <w:szCs w:val="24"/>
              </w:rPr>
              <w:t>Informační systémy</w:t>
            </w:r>
            <w:r w:rsidRPr="00D0413D">
              <w:rPr>
                <w:rFonts w:asciiTheme="minorHAnsi" w:hAnsiTheme="minorHAnsi" w:cstheme="minorHAnsi"/>
                <w:sz w:val="24"/>
                <w:szCs w:val="24"/>
              </w:rPr>
              <w:t xml:space="preserve"> </w:t>
            </w:r>
            <w:r w:rsidRPr="004E0712">
              <w:rPr>
                <w:rFonts w:asciiTheme="minorHAnsi" w:hAnsiTheme="minorHAnsi" w:cstheme="minorHAnsi"/>
                <w:b/>
                <w:sz w:val="24"/>
                <w:szCs w:val="24"/>
              </w:rPr>
              <w:t>agentur</w:t>
            </w:r>
            <w:r w:rsidRPr="001B6A31">
              <w:rPr>
                <w:rFonts w:cstheme="minorHAnsi"/>
                <w:b/>
                <w:bCs/>
                <w:sz w:val="24"/>
                <w:szCs w:val="24"/>
              </w:rPr>
              <w:t>,</w:t>
            </w:r>
            <w:r w:rsidRPr="00D0413D">
              <w:rPr>
                <w:rFonts w:asciiTheme="minorHAnsi" w:hAnsiTheme="minorHAnsi" w:cstheme="minorHAnsi"/>
                <w:sz w:val="24"/>
                <w:szCs w:val="24"/>
              </w:rPr>
              <w:t xml:space="preserve"> </w:t>
            </w:r>
            <w:r w:rsidR="00CA5E38">
              <w:rPr>
                <w:rFonts w:asciiTheme="minorHAnsi" w:hAnsiTheme="minorHAnsi" w:cstheme="minorHAnsi"/>
                <w:sz w:val="24"/>
                <w:szCs w:val="24"/>
              </w:rPr>
              <w:t xml:space="preserve">jejichž </w:t>
            </w:r>
            <w:r w:rsidRPr="00D0413D">
              <w:rPr>
                <w:rFonts w:asciiTheme="minorHAnsi" w:hAnsiTheme="minorHAnsi" w:cstheme="minorHAnsi"/>
                <w:sz w:val="24"/>
                <w:szCs w:val="24"/>
              </w:rPr>
              <w:t xml:space="preserve">prostřednictvím je poskytována účelová podpora, </w:t>
            </w:r>
            <w:r w:rsidRPr="00D0413D">
              <w:rPr>
                <w:rFonts w:asciiTheme="minorHAnsi" w:hAnsiTheme="minorHAnsi" w:cstheme="minorHAnsi"/>
                <w:b/>
                <w:sz w:val="24"/>
                <w:szCs w:val="24"/>
              </w:rPr>
              <w:t>průběžně snižují administrativní náročnost</w:t>
            </w:r>
            <w:r w:rsidRPr="00D0413D">
              <w:rPr>
                <w:rFonts w:asciiTheme="minorHAnsi" w:hAnsiTheme="minorHAnsi" w:cstheme="minorHAnsi"/>
                <w:sz w:val="24"/>
                <w:szCs w:val="24"/>
              </w:rPr>
              <w:t xml:space="preserve"> jejího poskytování. Provozní </w:t>
            </w:r>
            <w:r w:rsidRPr="0037539F">
              <w:rPr>
                <w:rFonts w:asciiTheme="minorHAnsi" w:hAnsiTheme="minorHAnsi" w:cstheme="minorHAnsi"/>
                <w:sz w:val="24"/>
                <w:szCs w:val="24"/>
              </w:rPr>
              <w:t>náklady jsou stabilní a</w:t>
            </w:r>
            <w:r w:rsidR="006E03AA" w:rsidRPr="0037539F">
              <w:rPr>
                <w:rFonts w:asciiTheme="minorHAnsi" w:hAnsiTheme="minorHAnsi" w:cstheme="minorHAnsi"/>
                <w:sz w:val="24"/>
                <w:szCs w:val="24"/>
              </w:rPr>
              <w:t> nižší</w:t>
            </w:r>
            <w:r w:rsidRPr="0037539F">
              <w:rPr>
                <w:rFonts w:asciiTheme="minorHAnsi" w:hAnsiTheme="minorHAnsi" w:cstheme="minorHAnsi"/>
                <w:sz w:val="24"/>
                <w:szCs w:val="24"/>
              </w:rPr>
              <w:t xml:space="preserve"> než provozní náklady obdobných </w:t>
            </w:r>
            <w:r w:rsidR="001F73E0" w:rsidRPr="0037539F">
              <w:rPr>
                <w:rFonts w:asciiTheme="minorHAnsi" w:hAnsiTheme="minorHAnsi" w:cstheme="minorHAnsi"/>
                <w:sz w:val="24"/>
                <w:szCs w:val="24"/>
              </w:rPr>
              <w:t>agentur</w:t>
            </w:r>
            <w:r w:rsidRPr="0037539F">
              <w:rPr>
                <w:rFonts w:asciiTheme="minorHAnsi" w:hAnsiTheme="minorHAnsi" w:cstheme="minorHAnsi"/>
                <w:sz w:val="24"/>
                <w:szCs w:val="24"/>
              </w:rPr>
              <w:t xml:space="preserve"> v</w:t>
            </w:r>
            <w:r w:rsidRPr="00D0413D">
              <w:rPr>
                <w:rFonts w:asciiTheme="minorHAnsi" w:hAnsiTheme="minorHAnsi" w:cstheme="minorHAnsi"/>
                <w:sz w:val="24"/>
                <w:szCs w:val="24"/>
              </w:rPr>
              <w:t xml:space="preserve"> zahraničí.</w:t>
            </w:r>
          </w:p>
        </w:tc>
      </w:tr>
      <w:tr w:rsidR="00D0413D" w:rsidRPr="00C90F69" w14:paraId="1282377E" w14:textId="77777777" w:rsidTr="004E0712">
        <w:trPr>
          <w:tblCellSpacing w:w="56" w:type="dxa"/>
        </w:trPr>
        <w:tc>
          <w:tcPr>
            <w:tcW w:w="2273" w:type="dxa"/>
          </w:tcPr>
          <w:p w14:paraId="5896EB6C" w14:textId="75495071" w:rsidR="00D0413D" w:rsidRPr="004E0712" w:rsidRDefault="00D0413D" w:rsidP="002F2573">
            <w:pPr>
              <w:pStyle w:val="NormlnKZ"/>
              <w:spacing w:after="0"/>
              <w:ind w:firstLine="0"/>
              <w:jc w:val="left"/>
              <w:rPr>
                <w:rFonts w:ascii="Calibri" w:hAnsi="Calibri" w:cs="Calibri"/>
                <w:b/>
                <w:color w:val="AF1953"/>
                <w:szCs w:val="32"/>
              </w:rPr>
            </w:pPr>
            <w:r w:rsidRPr="004E0712">
              <w:rPr>
                <w:rFonts w:ascii="Calibri" w:hAnsi="Calibri" w:cs="Calibri"/>
                <w:b/>
                <w:color w:val="AF1953"/>
                <w:szCs w:val="32"/>
              </w:rPr>
              <w:t>Agentury nespolupracují</w:t>
            </w:r>
          </w:p>
        </w:tc>
        <w:tc>
          <w:tcPr>
            <w:tcW w:w="6799" w:type="dxa"/>
          </w:tcPr>
          <w:p w14:paraId="30D2653A" w14:textId="5FF2FC7A" w:rsidR="00D0413D" w:rsidRPr="00D0413D" w:rsidRDefault="00D0413D" w:rsidP="00D0413D">
            <w:pPr>
              <w:rPr>
                <w:rFonts w:asciiTheme="minorHAnsi" w:hAnsiTheme="minorHAnsi" w:cstheme="minorHAnsi"/>
                <w:b/>
                <w:sz w:val="24"/>
                <w:szCs w:val="24"/>
              </w:rPr>
            </w:pPr>
            <w:r w:rsidRPr="004E0712">
              <w:rPr>
                <w:rFonts w:asciiTheme="minorHAnsi" w:hAnsiTheme="minorHAnsi" w:cstheme="minorHAnsi"/>
                <w:b/>
                <w:sz w:val="24"/>
                <w:szCs w:val="24"/>
              </w:rPr>
              <w:t>GA ČR a TA ČR aktivně nespolupracují</w:t>
            </w:r>
            <w:r w:rsidRPr="001B6A31">
              <w:rPr>
                <w:rFonts w:cstheme="minorHAnsi"/>
                <w:b/>
                <w:bCs/>
                <w:sz w:val="24"/>
                <w:szCs w:val="24"/>
              </w:rPr>
              <w:t>,</w:t>
            </w:r>
            <w:r w:rsidRPr="00D0413D">
              <w:rPr>
                <w:rFonts w:asciiTheme="minorHAnsi" w:hAnsiTheme="minorHAnsi" w:cstheme="minorHAnsi"/>
                <w:sz w:val="24"/>
                <w:szCs w:val="24"/>
              </w:rPr>
              <w:t xml:space="preserve"> čímž</w:t>
            </w:r>
            <w:r w:rsidR="004F5011">
              <w:rPr>
                <w:rFonts w:asciiTheme="minorHAnsi" w:hAnsiTheme="minorHAnsi" w:cstheme="minorHAnsi"/>
                <w:sz w:val="24"/>
                <w:szCs w:val="24"/>
              </w:rPr>
              <w:t xml:space="preserve"> </w:t>
            </w:r>
            <w:r w:rsidR="0095097A">
              <w:rPr>
                <w:rFonts w:asciiTheme="minorHAnsi" w:hAnsiTheme="minorHAnsi" w:cstheme="minorHAnsi"/>
                <w:sz w:val="24"/>
                <w:szCs w:val="24"/>
              </w:rPr>
              <w:t xml:space="preserve">nedochází k efektivnímu provázání systému podpory </w:t>
            </w:r>
            <w:proofErr w:type="spellStart"/>
            <w:r w:rsidR="0095097A">
              <w:rPr>
                <w:rFonts w:asciiTheme="minorHAnsi" w:hAnsiTheme="minorHAnsi" w:cstheme="minorHAnsi"/>
                <w:sz w:val="24"/>
                <w:szCs w:val="24"/>
              </w:rPr>
              <w:t>VaVaI</w:t>
            </w:r>
            <w:proofErr w:type="spellEnd"/>
            <w:r w:rsidR="0095097A">
              <w:rPr>
                <w:rFonts w:asciiTheme="minorHAnsi" w:hAnsiTheme="minorHAnsi" w:cstheme="minorHAnsi"/>
                <w:sz w:val="24"/>
                <w:szCs w:val="24"/>
              </w:rPr>
              <w:t>.</w:t>
            </w:r>
            <w:r w:rsidRPr="00D0413D">
              <w:rPr>
                <w:rFonts w:asciiTheme="minorHAnsi" w:hAnsiTheme="minorHAnsi" w:cstheme="minorHAnsi"/>
                <w:sz w:val="24"/>
                <w:szCs w:val="24"/>
              </w:rPr>
              <w:t xml:space="preserve"> Nenaplňují také společně podepsané </w:t>
            </w:r>
            <w:r w:rsidR="00CA5E38">
              <w:rPr>
                <w:rFonts w:asciiTheme="minorHAnsi" w:hAnsiTheme="minorHAnsi" w:cstheme="minorHAnsi"/>
                <w:sz w:val="24"/>
                <w:szCs w:val="24"/>
              </w:rPr>
              <w:t>m</w:t>
            </w:r>
            <w:r w:rsidRPr="00D0413D">
              <w:rPr>
                <w:rFonts w:asciiTheme="minorHAnsi" w:hAnsiTheme="minorHAnsi" w:cstheme="minorHAnsi"/>
                <w:sz w:val="24"/>
                <w:szCs w:val="24"/>
              </w:rPr>
              <w:t>emorandum o spolupráci z roku 2018.</w:t>
            </w:r>
          </w:p>
        </w:tc>
      </w:tr>
      <w:tr w:rsidR="00D0413D" w:rsidRPr="00C90F69" w14:paraId="7BFAF32F" w14:textId="77777777" w:rsidTr="004E0712">
        <w:trPr>
          <w:tblCellSpacing w:w="56" w:type="dxa"/>
        </w:trPr>
        <w:tc>
          <w:tcPr>
            <w:tcW w:w="2273" w:type="dxa"/>
          </w:tcPr>
          <w:p w14:paraId="289792F3" w14:textId="4C140B93" w:rsidR="00D0413D" w:rsidRPr="004E0712" w:rsidRDefault="00D0413D" w:rsidP="002F2573">
            <w:pPr>
              <w:pStyle w:val="NormlnKZ"/>
              <w:spacing w:after="0"/>
              <w:ind w:firstLine="0"/>
              <w:jc w:val="left"/>
              <w:rPr>
                <w:rFonts w:ascii="Calibri" w:hAnsi="Calibri" w:cs="Calibri"/>
                <w:b/>
                <w:color w:val="AF1953"/>
                <w:szCs w:val="32"/>
              </w:rPr>
            </w:pPr>
            <w:r w:rsidRPr="004E0712">
              <w:rPr>
                <w:rFonts w:ascii="Calibri" w:hAnsi="Calibri" w:cs="Calibri"/>
                <w:b/>
                <w:color w:val="AF1953"/>
                <w:szCs w:val="32"/>
              </w:rPr>
              <w:t xml:space="preserve">Podpora </w:t>
            </w:r>
            <w:r w:rsidR="00DD183F">
              <w:rPr>
                <w:rFonts w:ascii="Calibri" w:hAnsi="Calibri" w:cs="Calibri"/>
                <w:b/>
                <w:color w:val="AF1953"/>
                <w:szCs w:val="32"/>
              </w:rPr>
              <w:t xml:space="preserve">cíleně </w:t>
            </w:r>
            <w:r w:rsidRPr="004E0712">
              <w:rPr>
                <w:rFonts w:ascii="Calibri" w:hAnsi="Calibri" w:cs="Calibri"/>
                <w:b/>
                <w:color w:val="AF1953"/>
                <w:szCs w:val="32"/>
              </w:rPr>
              <w:t>nesměřuje do</w:t>
            </w:r>
            <w:r w:rsidR="00F264B5">
              <w:rPr>
                <w:rFonts w:ascii="Calibri" w:hAnsi="Calibri" w:cs="Calibri"/>
                <w:b/>
                <w:color w:val="AF1953"/>
                <w:szCs w:val="32"/>
              </w:rPr>
              <w:t> </w:t>
            </w:r>
            <w:r w:rsidRPr="004E0712">
              <w:rPr>
                <w:rFonts w:ascii="Calibri" w:hAnsi="Calibri" w:cs="Calibri"/>
                <w:b/>
                <w:color w:val="AF1953"/>
                <w:szCs w:val="32"/>
              </w:rPr>
              <w:t>strategických oblastí</w:t>
            </w:r>
          </w:p>
        </w:tc>
        <w:tc>
          <w:tcPr>
            <w:tcW w:w="6799" w:type="dxa"/>
          </w:tcPr>
          <w:p w14:paraId="59ED3444" w14:textId="3A427C67" w:rsidR="00D0413D" w:rsidRPr="00D0413D" w:rsidRDefault="00D0413D" w:rsidP="00D0413D">
            <w:pPr>
              <w:rPr>
                <w:rFonts w:asciiTheme="minorHAnsi" w:hAnsiTheme="minorHAnsi" w:cstheme="minorHAnsi"/>
                <w:b/>
                <w:sz w:val="24"/>
                <w:szCs w:val="24"/>
              </w:rPr>
            </w:pPr>
            <w:r w:rsidRPr="004E0712">
              <w:rPr>
                <w:rFonts w:asciiTheme="minorHAnsi" w:hAnsiTheme="minorHAnsi" w:cstheme="minorHAnsi"/>
                <w:b/>
                <w:sz w:val="24"/>
                <w:szCs w:val="24"/>
              </w:rPr>
              <w:t>GA ČR</w:t>
            </w:r>
            <w:r w:rsidR="00F264B5">
              <w:rPr>
                <w:rFonts w:asciiTheme="minorHAnsi" w:hAnsiTheme="minorHAnsi" w:cstheme="minorHAnsi"/>
                <w:b/>
                <w:sz w:val="24"/>
                <w:szCs w:val="24"/>
              </w:rPr>
              <w:t xml:space="preserve"> cíleně</w:t>
            </w:r>
            <w:r w:rsidRPr="004E0712">
              <w:rPr>
                <w:rFonts w:asciiTheme="minorHAnsi" w:hAnsiTheme="minorHAnsi" w:cstheme="minorHAnsi"/>
                <w:b/>
                <w:sz w:val="24"/>
                <w:szCs w:val="24"/>
              </w:rPr>
              <w:t xml:space="preserve"> nepodporovala </w:t>
            </w:r>
            <w:r w:rsidR="00F264B5">
              <w:rPr>
                <w:rFonts w:asciiTheme="minorHAnsi" w:hAnsiTheme="minorHAnsi" w:cstheme="minorHAnsi"/>
                <w:b/>
                <w:sz w:val="24"/>
                <w:szCs w:val="24"/>
              </w:rPr>
              <w:t>z</w:t>
            </w:r>
            <w:r w:rsidRPr="004E0712">
              <w:rPr>
                <w:rFonts w:asciiTheme="minorHAnsi" w:hAnsiTheme="minorHAnsi" w:cstheme="minorHAnsi"/>
                <w:b/>
                <w:sz w:val="24"/>
                <w:szCs w:val="24"/>
              </w:rPr>
              <w:t>ákladní výzkum</w:t>
            </w:r>
            <w:r w:rsidRPr="00D0413D">
              <w:rPr>
                <w:rFonts w:asciiTheme="minorHAnsi" w:hAnsiTheme="minorHAnsi" w:cstheme="minorHAnsi"/>
                <w:sz w:val="24"/>
                <w:szCs w:val="24"/>
              </w:rPr>
              <w:t xml:space="preserve"> </w:t>
            </w:r>
            <w:r w:rsidR="00F264B5">
              <w:rPr>
                <w:rFonts w:asciiTheme="minorHAnsi" w:hAnsiTheme="minorHAnsi" w:cstheme="minorHAnsi"/>
                <w:sz w:val="24"/>
                <w:szCs w:val="24"/>
              </w:rPr>
              <w:t xml:space="preserve">zaměřený na aktuální oblasti </w:t>
            </w:r>
            <w:r w:rsidRPr="00D0413D">
              <w:rPr>
                <w:rFonts w:asciiTheme="minorHAnsi" w:hAnsiTheme="minorHAnsi" w:cstheme="minorHAnsi"/>
                <w:sz w:val="24"/>
                <w:szCs w:val="24"/>
              </w:rPr>
              <w:t xml:space="preserve">s vyšším předpokladem návaznosti a využití výsledků v následujících fázích inovačního procesu.  </w:t>
            </w:r>
          </w:p>
        </w:tc>
      </w:tr>
      <w:tr w:rsidR="00D0413D" w:rsidRPr="00C90F69" w14:paraId="0E631043" w14:textId="77777777" w:rsidTr="004E0712">
        <w:trPr>
          <w:tblCellSpacing w:w="56" w:type="dxa"/>
        </w:trPr>
        <w:tc>
          <w:tcPr>
            <w:tcW w:w="2273" w:type="dxa"/>
          </w:tcPr>
          <w:p w14:paraId="5F7CA052" w14:textId="4C9777CB" w:rsidR="00D0413D" w:rsidRPr="004E0712" w:rsidRDefault="00D0413D" w:rsidP="002F2573">
            <w:pPr>
              <w:pStyle w:val="NormlnKZ"/>
              <w:spacing w:after="0"/>
              <w:ind w:firstLine="0"/>
              <w:jc w:val="left"/>
              <w:rPr>
                <w:rFonts w:ascii="Calibri" w:hAnsi="Calibri" w:cs="Calibri"/>
                <w:b/>
                <w:color w:val="AF1953"/>
                <w:szCs w:val="32"/>
              </w:rPr>
            </w:pPr>
            <w:r w:rsidRPr="004E0712">
              <w:rPr>
                <w:rFonts w:ascii="Calibri" w:hAnsi="Calibri" w:cs="Calibri"/>
                <w:b/>
                <w:color w:val="AF1953"/>
                <w:szCs w:val="32"/>
              </w:rPr>
              <w:t>Mnoho poskytovatelů účelové podpory</w:t>
            </w:r>
          </w:p>
        </w:tc>
        <w:tc>
          <w:tcPr>
            <w:tcW w:w="6799" w:type="dxa"/>
          </w:tcPr>
          <w:p w14:paraId="4B1F6499" w14:textId="147CF5ED" w:rsidR="00D0413D" w:rsidRPr="00D0413D" w:rsidRDefault="00D0413D" w:rsidP="00D0413D">
            <w:pPr>
              <w:rPr>
                <w:rFonts w:asciiTheme="minorHAnsi" w:hAnsiTheme="minorHAnsi" w:cstheme="minorHAnsi"/>
                <w:b/>
                <w:sz w:val="24"/>
                <w:szCs w:val="24"/>
              </w:rPr>
            </w:pPr>
            <w:r w:rsidRPr="004E0712">
              <w:rPr>
                <w:rFonts w:asciiTheme="minorHAnsi" w:hAnsiTheme="minorHAnsi" w:cstheme="minorHAnsi"/>
                <w:b/>
                <w:sz w:val="24"/>
                <w:szCs w:val="24"/>
              </w:rPr>
              <w:t xml:space="preserve">V systému </w:t>
            </w:r>
            <w:proofErr w:type="spellStart"/>
            <w:r w:rsidRPr="004E0712">
              <w:rPr>
                <w:rFonts w:asciiTheme="minorHAnsi" w:hAnsiTheme="minorHAnsi" w:cstheme="minorHAnsi"/>
                <w:b/>
                <w:sz w:val="24"/>
                <w:szCs w:val="24"/>
              </w:rPr>
              <w:t>VaVaI</w:t>
            </w:r>
            <w:proofErr w:type="spellEnd"/>
            <w:r w:rsidRPr="004E0712">
              <w:rPr>
                <w:rFonts w:asciiTheme="minorHAnsi" w:hAnsiTheme="minorHAnsi" w:cstheme="minorHAnsi"/>
                <w:b/>
                <w:sz w:val="24"/>
                <w:szCs w:val="24"/>
              </w:rPr>
              <w:t xml:space="preserve"> je celkem </w:t>
            </w:r>
            <w:r w:rsidR="00CA5E38">
              <w:rPr>
                <w:rFonts w:asciiTheme="minorHAnsi" w:hAnsiTheme="minorHAnsi" w:cstheme="minorHAnsi"/>
                <w:b/>
                <w:sz w:val="24"/>
                <w:szCs w:val="24"/>
              </w:rPr>
              <w:t>devět</w:t>
            </w:r>
            <w:r w:rsidRPr="004E0712">
              <w:rPr>
                <w:rFonts w:asciiTheme="minorHAnsi" w:hAnsiTheme="minorHAnsi" w:cstheme="minorHAnsi"/>
                <w:b/>
                <w:sz w:val="24"/>
                <w:szCs w:val="24"/>
              </w:rPr>
              <w:t xml:space="preserve"> poskytovatelů podpory</w:t>
            </w:r>
            <w:r w:rsidRPr="001B6A31">
              <w:rPr>
                <w:rFonts w:cstheme="minorHAnsi"/>
                <w:b/>
                <w:bCs/>
                <w:sz w:val="24"/>
                <w:szCs w:val="24"/>
              </w:rPr>
              <w:t>,</w:t>
            </w:r>
            <w:r w:rsidRPr="00D0413D">
              <w:rPr>
                <w:rFonts w:asciiTheme="minorHAnsi" w:hAnsiTheme="minorHAnsi" w:cstheme="minorHAnsi"/>
                <w:sz w:val="24"/>
                <w:szCs w:val="24"/>
              </w:rPr>
              <w:t xml:space="preserve"> což přináší zvýšené náklady na poskytování této podpory. </w:t>
            </w:r>
          </w:p>
        </w:tc>
      </w:tr>
      <w:tr w:rsidR="00D0413D" w:rsidRPr="00C90F69" w14:paraId="6322B6ED" w14:textId="77777777" w:rsidTr="004E0712">
        <w:trPr>
          <w:tblCellSpacing w:w="56" w:type="dxa"/>
        </w:trPr>
        <w:tc>
          <w:tcPr>
            <w:tcW w:w="2273" w:type="dxa"/>
          </w:tcPr>
          <w:p w14:paraId="4A22767F" w14:textId="482249C5" w:rsidR="00D0413D" w:rsidRPr="004E0712" w:rsidRDefault="00115080" w:rsidP="002F2573">
            <w:pPr>
              <w:pStyle w:val="NormlnKZ"/>
              <w:spacing w:after="0"/>
              <w:ind w:firstLine="0"/>
              <w:jc w:val="left"/>
              <w:rPr>
                <w:rFonts w:ascii="Calibri" w:hAnsi="Calibri" w:cs="Calibri"/>
                <w:b/>
                <w:color w:val="AF1953"/>
                <w:szCs w:val="32"/>
              </w:rPr>
            </w:pPr>
            <w:r>
              <w:rPr>
                <w:rFonts w:ascii="Calibri" w:hAnsi="Calibri" w:cs="Calibri"/>
                <w:b/>
                <w:color w:val="AF1953"/>
                <w:szCs w:val="32"/>
              </w:rPr>
              <w:t xml:space="preserve">Klesající </w:t>
            </w:r>
            <w:r w:rsidR="00D0413D" w:rsidRPr="004E0712">
              <w:rPr>
                <w:rFonts w:ascii="Calibri" w:hAnsi="Calibri" w:cs="Calibri"/>
                <w:b/>
                <w:color w:val="AF1953"/>
                <w:szCs w:val="32"/>
              </w:rPr>
              <w:t>množství patentů</w:t>
            </w:r>
          </w:p>
        </w:tc>
        <w:tc>
          <w:tcPr>
            <w:tcW w:w="6799" w:type="dxa"/>
          </w:tcPr>
          <w:p w14:paraId="2728CBE4" w14:textId="70188412" w:rsidR="00D0413D" w:rsidRPr="00D0413D" w:rsidRDefault="00D0413D" w:rsidP="00D0413D">
            <w:pPr>
              <w:rPr>
                <w:rFonts w:asciiTheme="minorHAnsi" w:hAnsiTheme="minorHAnsi" w:cstheme="minorHAnsi"/>
                <w:b/>
                <w:sz w:val="24"/>
                <w:szCs w:val="24"/>
              </w:rPr>
            </w:pPr>
            <w:r w:rsidRPr="004E0712">
              <w:rPr>
                <w:rFonts w:asciiTheme="minorHAnsi" w:hAnsiTheme="minorHAnsi" w:cstheme="minorHAnsi"/>
                <w:b/>
                <w:sz w:val="24"/>
                <w:szCs w:val="24"/>
              </w:rPr>
              <w:t>U příjemců</w:t>
            </w:r>
            <w:r w:rsidR="00115080">
              <w:rPr>
                <w:rFonts w:asciiTheme="minorHAnsi" w:hAnsiTheme="minorHAnsi" w:cstheme="minorHAnsi"/>
                <w:b/>
                <w:sz w:val="24"/>
                <w:szCs w:val="24"/>
              </w:rPr>
              <w:t xml:space="preserve"> podpory, kter</w:t>
            </w:r>
            <w:r w:rsidR="00093853">
              <w:rPr>
                <w:rFonts w:asciiTheme="minorHAnsi" w:hAnsiTheme="minorHAnsi" w:cstheme="minorHAnsi"/>
                <w:b/>
                <w:sz w:val="24"/>
                <w:szCs w:val="24"/>
              </w:rPr>
              <w:t>ou</w:t>
            </w:r>
            <w:r w:rsidR="00115080">
              <w:rPr>
                <w:rFonts w:asciiTheme="minorHAnsi" w:hAnsiTheme="minorHAnsi" w:cstheme="minorHAnsi"/>
                <w:b/>
                <w:sz w:val="24"/>
                <w:szCs w:val="24"/>
              </w:rPr>
              <w:t xml:space="preserve"> po</w:t>
            </w:r>
            <w:r w:rsidR="008D5278">
              <w:rPr>
                <w:rFonts w:asciiTheme="minorHAnsi" w:hAnsiTheme="minorHAnsi" w:cstheme="minorHAnsi"/>
                <w:b/>
                <w:sz w:val="24"/>
                <w:szCs w:val="24"/>
              </w:rPr>
              <w:t>skytuje</w:t>
            </w:r>
            <w:r w:rsidRPr="004E0712">
              <w:rPr>
                <w:rFonts w:asciiTheme="minorHAnsi" w:hAnsiTheme="minorHAnsi" w:cstheme="minorHAnsi"/>
                <w:b/>
                <w:sz w:val="24"/>
                <w:szCs w:val="24"/>
              </w:rPr>
              <w:t xml:space="preserve"> TA ČR</w:t>
            </w:r>
            <w:r w:rsidR="00093853">
              <w:rPr>
                <w:rFonts w:asciiTheme="minorHAnsi" w:hAnsiTheme="minorHAnsi" w:cstheme="minorHAnsi"/>
                <w:b/>
                <w:sz w:val="24"/>
                <w:szCs w:val="24"/>
              </w:rPr>
              <w:t>,</w:t>
            </w:r>
            <w:r w:rsidRPr="004E0712">
              <w:rPr>
                <w:rFonts w:asciiTheme="minorHAnsi" w:hAnsiTheme="minorHAnsi" w:cstheme="minorHAnsi"/>
                <w:b/>
                <w:sz w:val="24"/>
                <w:szCs w:val="24"/>
              </w:rPr>
              <w:t xml:space="preserve"> klesá množství výsledků typu patent</w:t>
            </w:r>
            <w:r w:rsidRPr="001B6A31">
              <w:rPr>
                <w:rFonts w:cstheme="minorHAnsi"/>
                <w:b/>
                <w:bCs/>
                <w:sz w:val="24"/>
                <w:szCs w:val="24"/>
              </w:rPr>
              <w:t>,</w:t>
            </w:r>
            <w:r w:rsidRPr="00D0413D">
              <w:rPr>
                <w:rFonts w:asciiTheme="minorHAnsi" w:hAnsiTheme="minorHAnsi" w:cstheme="minorHAnsi"/>
                <w:sz w:val="24"/>
                <w:szCs w:val="24"/>
              </w:rPr>
              <w:t xml:space="preserve"> který představuje jeden z klíčových ukazatelů úrovně aplikovaného výzkumu a inovací. Jejich pomocí lze chránit a komercionalizovat původní výsledky výzkumu.</w:t>
            </w:r>
          </w:p>
        </w:tc>
      </w:tr>
    </w:tbl>
    <w:p w14:paraId="6C3B7ACE" w14:textId="533DB4CE" w:rsidR="0048721F" w:rsidRDefault="002E7264" w:rsidP="00F470A1">
      <w:pPr>
        <w:keepNext/>
        <w:spacing w:before="240" w:after="240"/>
        <w:ind w:left="357"/>
        <w:jc w:val="center"/>
        <w:outlineLvl w:val="0"/>
        <w:rPr>
          <w:rFonts w:cstheme="minorHAnsi"/>
          <w:b/>
          <w:sz w:val="28"/>
        </w:rPr>
      </w:pPr>
      <w:r w:rsidRPr="0088190A">
        <w:rPr>
          <w:rFonts w:cstheme="minorHAnsi"/>
          <w:b/>
          <w:sz w:val="28"/>
        </w:rPr>
        <w:lastRenderedPageBreak/>
        <w:t>I. Shrnutí a vyhodnocení</w:t>
      </w:r>
    </w:p>
    <w:p w14:paraId="6F2FBEDF" w14:textId="24D6916C" w:rsidR="00D61820" w:rsidRPr="0088190A" w:rsidRDefault="00D61820" w:rsidP="00D61820">
      <w:pPr>
        <w:spacing w:after="120" w:line="240" w:lineRule="auto"/>
        <w:jc w:val="both"/>
        <w:rPr>
          <w:rFonts w:cstheme="minorHAnsi"/>
          <w:sz w:val="24"/>
          <w:szCs w:val="24"/>
        </w:rPr>
      </w:pPr>
      <w:r>
        <w:rPr>
          <w:rFonts w:cstheme="minorHAnsi"/>
          <w:sz w:val="24"/>
          <w:szCs w:val="24"/>
        </w:rPr>
        <w:t xml:space="preserve">1.1 </w:t>
      </w:r>
      <w:r w:rsidRPr="0088190A">
        <w:rPr>
          <w:rFonts w:cstheme="minorHAnsi"/>
          <w:sz w:val="24"/>
          <w:szCs w:val="24"/>
        </w:rPr>
        <w:t>NKÚ provedl kontrolu peněžních prostředků určených na účelovou podporu výzkumu, vývoje a inovací prostřednictvím kapitol</w:t>
      </w:r>
      <w:r w:rsidR="00431FF5">
        <w:rPr>
          <w:rFonts w:cstheme="minorHAnsi"/>
          <w:sz w:val="24"/>
          <w:szCs w:val="24"/>
        </w:rPr>
        <w:t xml:space="preserve"> státního rozpočtu</w:t>
      </w:r>
      <w:r w:rsidRPr="0088190A">
        <w:rPr>
          <w:rFonts w:cstheme="minorHAnsi"/>
          <w:sz w:val="24"/>
          <w:szCs w:val="24"/>
        </w:rPr>
        <w:t xml:space="preserve"> </w:t>
      </w:r>
      <w:r w:rsidRPr="001B6A31">
        <w:rPr>
          <w:rFonts w:cstheme="minorHAnsi"/>
          <w:i/>
          <w:iCs/>
          <w:sz w:val="24"/>
          <w:szCs w:val="24"/>
        </w:rPr>
        <w:t>Grantová agentura České republiky</w:t>
      </w:r>
      <w:r w:rsidRPr="0088190A">
        <w:rPr>
          <w:rFonts w:cstheme="minorHAnsi"/>
          <w:sz w:val="24"/>
          <w:szCs w:val="24"/>
        </w:rPr>
        <w:t xml:space="preserve"> a </w:t>
      </w:r>
      <w:r w:rsidRPr="001B6A31">
        <w:rPr>
          <w:rFonts w:cstheme="minorHAnsi"/>
          <w:i/>
          <w:iCs/>
          <w:sz w:val="24"/>
          <w:szCs w:val="24"/>
        </w:rPr>
        <w:t>Technologická agentura České republiky</w:t>
      </w:r>
      <w:r w:rsidRPr="0088190A">
        <w:rPr>
          <w:rFonts w:cstheme="minorHAnsi"/>
          <w:sz w:val="24"/>
          <w:szCs w:val="24"/>
        </w:rPr>
        <w:t xml:space="preserve">. </w:t>
      </w:r>
      <w:bookmarkStart w:id="1" w:name="_Hlk192165503"/>
      <w:r w:rsidRPr="0088190A">
        <w:rPr>
          <w:rFonts w:cstheme="minorHAnsi"/>
          <w:sz w:val="24"/>
          <w:szCs w:val="24"/>
        </w:rPr>
        <w:t>Cílem kontroly bylo prověřit, zda GA ČR a TA ČR</w:t>
      </w:r>
      <w:r>
        <w:rPr>
          <w:rFonts w:cstheme="minorHAnsi"/>
          <w:sz w:val="24"/>
          <w:szCs w:val="24"/>
        </w:rPr>
        <w:t xml:space="preserve">, </w:t>
      </w:r>
      <w:r w:rsidR="00431FF5">
        <w:rPr>
          <w:rFonts w:cstheme="minorHAnsi"/>
          <w:sz w:val="24"/>
          <w:szCs w:val="24"/>
        </w:rPr>
        <w:t>které patří mezi nejvýznamnější poskytovatel</w:t>
      </w:r>
      <w:r w:rsidR="00093853">
        <w:rPr>
          <w:rFonts w:cstheme="minorHAnsi"/>
          <w:sz w:val="24"/>
          <w:szCs w:val="24"/>
        </w:rPr>
        <w:t>e</w:t>
      </w:r>
      <w:r w:rsidR="004F5011">
        <w:rPr>
          <w:rFonts w:cstheme="minorHAnsi"/>
          <w:sz w:val="24"/>
          <w:szCs w:val="24"/>
        </w:rPr>
        <w:t xml:space="preserve"> </w:t>
      </w:r>
      <w:r w:rsidRPr="00CC4DF0">
        <w:rPr>
          <w:rFonts w:cstheme="minorHAnsi"/>
          <w:sz w:val="24"/>
          <w:szCs w:val="24"/>
        </w:rPr>
        <w:t>účelové podpory výzkumu, vývoje a inovací v České republice</w:t>
      </w:r>
      <w:r w:rsidRPr="001B6A31">
        <w:rPr>
          <w:rFonts w:cstheme="minorHAnsi"/>
          <w:bCs/>
          <w:sz w:val="24"/>
          <w:szCs w:val="24"/>
        </w:rPr>
        <w:t>,</w:t>
      </w:r>
      <w:r w:rsidRPr="0088190A">
        <w:rPr>
          <w:rFonts w:cstheme="minorHAnsi"/>
          <w:sz w:val="24"/>
          <w:szCs w:val="24"/>
        </w:rPr>
        <w:t xml:space="preserve"> vynakládaly peněžní prostředky na podporu výzkumu, vývoje a inovací </w:t>
      </w:r>
      <w:r w:rsidRPr="00C23956">
        <w:rPr>
          <w:rFonts w:cstheme="minorHAnsi"/>
          <w:sz w:val="24"/>
          <w:szCs w:val="24"/>
        </w:rPr>
        <w:t>(dále také „</w:t>
      </w:r>
      <w:proofErr w:type="spellStart"/>
      <w:r w:rsidRPr="00C23956">
        <w:rPr>
          <w:rFonts w:cstheme="minorHAnsi"/>
          <w:sz w:val="24"/>
          <w:szCs w:val="24"/>
        </w:rPr>
        <w:t>VaVaI</w:t>
      </w:r>
      <w:proofErr w:type="spellEnd"/>
      <w:r w:rsidRPr="00C23956">
        <w:rPr>
          <w:rFonts w:cstheme="minorHAnsi"/>
          <w:sz w:val="24"/>
          <w:szCs w:val="24"/>
        </w:rPr>
        <w:t xml:space="preserve">“) </w:t>
      </w:r>
      <w:r w:rsidRPr="0088190A">
        <w:rPr>
          <w:rFonts w:cstheme="minorHAnsi"/>
          <w:sz w:val="24"/>
          <w:szCs w:val="24"/>
        </w:rPr>
        <w:t xml:space="preserve">účelně, efektivně a v souladu s právními předpisy. </w:t>
      </w:r>
      <w:bookmarkEnd w:id="1"/>
      <w:r>
        <w:rPr>
          <w:rFonts w:cstheme="minorHAnsi"/>
          <w:sz w:val="24"/>
          <w:szCs w:val="24"/>
        </w:rPr>
        <w:t>A</w:t>
      </w:r>
      <w:r w:rsidRPr="0088190A">
        <w:rPr>
          <w:rFonts w:cstheme="minorHAnsi"/>
          <w:sz w:val="24"/>
          <w:szCs w:val="24"/>
        </w:rPr>
        <w:t>gentur</w:t>
      </w:r>
      <w:r>
        <w:rPr>
          <w:rFonts w:cstheme="minorHAnsi"/>
          <w:sz w:val="24"/>
          <w:szCs w:val="24"/>
        </w:rPr>
        <w:t xml:space="preserve">y </w:t>
      </w:r>
      <w:r w:rsidRPr="0088190A">
        <w:rPr>
          <w:rFonts w:cstheme="minorHAnsi"/>
          <w:sz w:val="24"/>
          <w:szCs w:val="24"/>
        </w:rPr>
        <w:t xml:space="preserve">v letech 2021 až 2023 poskytly dotace na </w:t>
      </w:r>
      <w:proofErr w:type="spellStart"/>
      <w:r w:rsidRPr="0088190A">
        <w:rPr>
          <w:rFonts w:cstheme="minorHAnsi"/>
          <w:sz w:val="24"/>
          <w:szCs w:val="24"/>
        </w:rPr>
        <w:t>VaVaI</w:t>
      </w:r>
      <w:proofErr w:type="spellEnd"/>
      <w:r w:rsidRPr="0088190A">
        <w:rPr>
          <w:rFonts w:cstheme="minorHAnsi"/>
          <w:sz w:val="24"/>
          <w:szCs w:val="24"/>
        </w:rPr>
        <w:t xml:space="preserve"> ve výši téměř 30 mld. Kč. </w:t>
      </w:r>
    </w:p>
    <w:p w14:paraId="15BA70C5" w14:textId="223DDCE9" w:rsidR="00D61820" w:rsidRDefault="00D61820" w:rsidP="00D61820">
      <w:pPr>
        <w:spacing w:after="120" w:line="240" w:lineRule="auto"/>
        <w:jc w:val="both"/>
        <w:rPr>
          <w:b/>
          <w:sz w:val="24"/>
          <w:szCs w:val="24"/>
        </w:rPr>
      </w:pPr>
      <w:r>
        <w:rPr>
          <w:rFonts w:cstheme="minorHAnsi"/>
          <w:b/>
          <w:sz w:val="24"/>
          <w:szCs w:val="24"/>
        </w:rPr>
        <w:t xml:space="preserve">1.2 </w:t>
      </w:r>
      <w:r w:rsidRPr="005121BC">
        <w:rPr>
          <w:rFonts w:cstheme="minorHAnsi"/>
          <w:b/>
          <w:sz w:val="24"/>
          <w:szCs w:val="24"/>
        </w:rPr>
        <w:t>GA ČR a TA ČR vynakládaly peněžní prostředky na podporu</w:t>
      </w:r>
      <w:r w:rsidRPr="00E8674F">
        <w:rPr>
          <w:rFonts w:cstheme="minorHAnsi"/>
          <w:sz w:val="24"/>
          <w:szCs w:val="24"/>
        </w:rPr>
        <w:t xml:space="preserve"> </w:t>
      </w:r>
      <w:r w:rsidRPr="00CC4DF0">
        <w:rPr>
          <w:rFonts w:cstheme="minorHAnsi"/>
          <w:b/>
          <w:sz w:val="24"/>
          <w:szCs w:val="24"/>
        </w:rPr>
        <w:t>výzkumu, vývoje a inovací</w:t>
      </w:r>
      <w:r w:rsidRPr="005121BC">
        <w:rPr>
          <w:rFonts w:cstheme="minorHAnsi"/>
          <w:b/>
          <w:sz w:val="24"/>
          <w:szCs w:val="24"/>
        </w:rPr>
        <w:t xml:space="preserve"> účelně</w:t>
      </w:r>
      <w:r w:rsidR="00681CA2">
        <w:rPr>
          <w:rFonts w:cstheme="minorHAnsi"/>
          <w:b/>
          <w:sz w:val="24"/>
          <w:szCs w:val="24"/>
        </w:rPr>
        <w:t xml:space="preserve"> </w:t>
      </w:r>
      <w:r w:rsidRPr="005121BC">
        <w:rPr>
          <w:rFonts w:cstheme="minorHAnsi"/>
          <w:b/>
          <w:sz w:val="24"/>
          <w:szCs w:val="24"/>
        </w:rPr>
        <w:t>a v souladu s právními předpisy. Efektivnost poskytované podpory je snižována dlouhodobý</w:t>
      </w:r>
      <w:r>
        <w:rPr>
          <w:rFonts w:cstheme="minorHAnsi"/>
          <w:b/>
          <w:sz w:val="24"/>
          <w:szCs w:val="24"/>
        </w:rPr>
        <w:t>mi</w:t>
      </w:r>
      <w:r w:rsidRPr="005121BC">
        <w:rPr>
          <w:rFonts w:cstheme="minorHAnsi"/>
          <w:b/>
          <w:sz w:val="24"/>
          <w:szCs w:val="24"/>
        </w:rPr>
        <w:t xml:space="preserve"> nedostatk</w:t>
      </w:r>
      <w:r>
        <w:rPr>
          <w:rFonts w:cstheme="minorHAnsi"/>
          <w:b/>
          <w:sz w:val="24"/>
          <w:szCs w:val="24"/>
        </w:rPr>
        <w:t>y, na které NKÚ upozornil již v kontrole z roku 2017. GA</w:t>
      </w:r>
      <w:r w:rsidR="00CE73BA">
        <w:rPr>
          <w:rFonts w:cstheme="minorHAnsi"/>
          <w:b/>
          <w:sz w:val="24"/>
          <w:szCs w:val="24"/>
        </w:rPr>
        <w:t> </w:t>
      </w:r>
      <w:r>
        <w:rPr>
          <w:rFonts w:cstheme="minorHAnsi"/>
          <w:b/>
          <w:sz w:val="24"/>
          <w:szCs w:val="24"/>
        </w:rPr>
        <w:t xml:space="preserve">ČR </w:t>
      </w:r>
      <w:r w:rsidR="00CE73BA">
        <w:rPr>
          <w:rFonts w:cstheme="minorHAnsi"/>
          <w:b/>
          <w:sz w:val="24"/>
          <w:szCs w:val="24"/>
        </w:rPr>
        <w:t xml:space="preserve">každoročně přerozděluje více </w:t>
      </w:r>
      <w:r w:rsidR="000003B3">
        <w:rPr>
          <w:rFonts w:cstheme="minorHAnsi"/>
          <w:b/>
          <w:sz w:val="24"/>
          <w:szCs w:val="24"/>
        </w:rPr>
        <w:t>než</w:t>
      </w:r>
      <w:r w:rsidR="00CE73BA">
        <w:rPr>
          <w:rFonts w:cstheme="minorHAnsi"/>
          <w:b/>
          <w:sz w:val="24"/>
          <w:szCs w:val="24"/>
        </w:rPr>
        <w:t xml:space="preserve"> 4 ml</w:t>
      </w:r>
      <w:r w:rsidR="00FF17E7">
        <w:rPr>
          <w:rFonts w:cstheme="minorHAnsi"/>
          <w:b/>
          <w:sz w:val="24"/>
          <w:szCs w:val="24"/>
        </w:rPr>
        <w:t>d</w:t>
      </w:r>
      <w:r w:rsidR="00CE73BA">
        <w:rPr>
          <w:rFonts w:cstheme="minorHAnsi"/>
          <w:b/>
          <w:sz w:val="24"/>
          <w:szCs w:val="24"/>
        </w:rPr>
        <w:t>. Kč. NKÚ zjistil, že citovanost výsledků</w:t>
      </w:r>
      <w:r w:rsidRPr="005121BC">
        <w:rPr>
          <w:b/>
          <w:sz w:val="24"/>
          <w:szCs w:val="24"/>
        </w:rPr>
        <w:t xml:space="preserve"> základníh</w:t>
      </w:r>
      <w:r w:rsidR="00CE73BA">
        <w:rPr>
          <w:b/>
          <w:sz w:val="24"/>
          <w:szCs w:val="24"/>
        </w:rPr>
        <w:t xml:space="preserve">o </w:t>
      </w:r>
      <w:r w:rsidRPr="005121BC">
        <w:rPr>
          <w:b/>
          <w:sz w:val="24"/>
          <w:szCs w:val="24"/>
        </w:rPr>
        <w:t>výzkumu</w:t>
      </w:r>
      <w:r w:rsidR="00CE73BA">
        <w:rPr>
          <w:b/>
          <w:sz w:val="24"/>
          <w:szCs w:val="24"/>
        </w:rPr>
        <w:t xml:space="preserve"> v renomovaných vědeckých publikacích stále nedosahuje </w:t>
      </w:r>
      <w:r w:rsidR="00CE73BA">
        <w:rPr>
          <w:rFonts w:cstheme="minorHAnsi"/>
          <w:b/>
          <w:sz w:val="24"/>
          <w:szCs w:val="24"/>
        </w:rPr>
        <w:t>světového průměru a ani poloviny toho evropského. U aplikovaného výzkumu TA ČR nezajistila rozšíření spolupráce veřejného a soukromého sektoru ani navýšení počtu patentů. Právě</w:t>
      </w:r>
      <w:r w:rsidR="00B96C1E">
        <w:rPr>
          <w:rFonts w:cstheme="minorHAnsi"/>
          <w:b/>
          <w:sz w:val="24"/>
          <w:szCs w:val="24"/>
        </w:rPr>
        <w:t xml:space="preserve"> výše uvedené skutečnosti </w:t>
      </w:r>
      <w:r w:rsidR="00CE73BA">
        <w:rPr>
          <w:rFonts w:cstheme="minorHAnsi"/>
          <w:b/>
          <w:sz w:val="24"/>
          <w:szCs w:val="24"/>
        </w:rPr>
        <w:t xml:space="preserve">jsou přitom </w:t>
      </w:r>
      <w:r w:rsidR="000003B3">
        <w:rPr>
          <w:rFonts w:cstheme="minorHAnsi"/>
          <w:b/>
          <w:sz w:val="24"/>
          <w:szCs w:val="24"/>
        </w:rPr>
        <w:t>mezi</w:t>
      </w:r>
      <w:r w:rsidR="00CE73BA">
        <w:rPr>
          <w:rFonts w:cstheme="minorHAnsi"/>
          <w:b/>
          <w:sz w:val="24"/>
          <w:szCs w:val="24"/>
        </w:rPr>
        <w:t xml:space="preserve"> základní</w:t>
      </w:r>
      <w:r w:rsidR="000003B3">
        <w:rPr>
          <w:rFonts w:cstheme="minorHAnsi"/>
          <w:b/>
          <w:sz w:val="24"/>
          <w:szCs w:val="24"/>
        </w:rPr>
        <w:t>mi</w:t>
      </w:r>
      <w:r w:rsidR="00CE73BA">
        <w:rPr>
          <w:rFonts w:cstheme="minorHAnsi"/>
          <w:b/>
          <w:sz w:val="24"/>
          <w:szCs w:val="24"/>
        </w:rPr>
        <w:t xml:space="preserve"> ukazatel</w:t>
      </w:r>
      <w:r w:rsidR="000003B3">
        <w:rPr>
          <w:rFonts w:cstheme="minorHAnsi"/>
          <w:b/>
          <w:sz w:val="24"/>
          <w:szCs w:val="24"/>
        </w:rPr>
        <w:t>i</w:t>
      </w:r>
      <w:r w:rsidR="00CE73BA">
        <w:rPr>
          <w:rFonts w:cstheme="minorHAnsi"/>
          <w:b/>
          <w:sz w:val="24"/>
          <w:szCs w:val="24"/>
        </w:rPr>
        <w:t xml:space="preserve"> efektivnosti vynaložených prostředků na základní a</w:t>
      </w:r>
      <w:r w:rsidR="00B96C1E">
        <w:rPr>
          <w:rFonts w:cstheme="minorHAnsi"/>
          <w:b/>
          <w:sz w:val="24"/>
          <w:szCs w:val="24"/>
        </w:rPr>
        <w:t> </w:t>
      </w:r>
      <w:r w:rsidR="00CE73BA">
        <w:rPr>
          <w:rFonts w:cstheme="minorHAnsi"/>
          <w:b/>
          <w:sz w:val="24"/>
          <w:szCs w:val="24"/>
        </w:rPr>
        <w:t>aplikovaný výzkum</w:t>
      </w:r>
      <w:r w:rsidR="00CE73BA" w:rsidRPr="00CC4DF0">
        <w:rPr>
          <w:rFonts w:cstheme="minorHAnsi"/>
          <w:b/>
          <w:sz w:val="24"/>
          <w:szCs w:val="24"/>
        </w:rPr>
        <w:t>.</w:t>
      </w:r>
      <w:r w:rsidR="00CE73BA">
        <w:rPr>
          <w:rFonts w:cstheme="minorHAnsi"/>
          <w:b/>
          <w:sz w:val="24"/>
          <w:szCs w:val="24"/>
        </w:rPr>
        <w:t xml:space="preserve"> </w:t>
      </w:r>
      <w:r w:rsidR="00CE73BA" w:rsidRPr="005121BC">
        <w:rPr>
          <w:b/>
          <w:sz w:val="24"/>
          <w:szCs w:val="24"/>
        </w:rPr>
        <w:t>Již v</w:t>
      </w:r>
      <w:r w:rsidR="00CE73BA">
        <w:rPr>
          <w:b/>
          <w:sz w:val="24"/>
          <w:szCs w:val="24"/>
        </w:rPr>
        <w:t> </w:t>
      </w:r>
      <w:r w:rsidR="00CE73BA" w:rsidRPr="005121BC">
        <w:rPr>
          <w:b/>
          <w:sz w:val="24"/>
          <w:szCs w:val="24"/>
        </w:rPr>
        <w:t>roce 2017</w:t>
      </w:r>
      <w:r w:rsidR="00CE73BA">
        <w:rPr>
          <w:b/>
          <w:sz w:val="24"/>
          <w:szCs w:val="24"/>
        </w:rPr>
        <w:t xml:space="preserve"> </w:t>
      </w:r>
      <w:r w:rsidR="00CE73BA" w:rsidRPr="005121BC">
        <w:rPr>
          <w:b/>
          <w:sz w:val="24"/>
          <w:szCs w:val="24"/>
        </w:rPr>
        <w:t>poukazoval NKÚ na slabé propojení základního a</w:t>
      </w:r>
      <w:r w:rsidR="00B96C1E">
        <w:rPr>
          <w:b/>
          <w:sz w:val="24"/>
          <w:szCs w:val="24"/>
        </w:rPr>
        <w:t> </w:t>
      </w:r>
      <w:r w:rsidR="00CE73BA" w:rsidRPr="005121BC">
        <w:rPr>
          <w:b/>
          <w:sz w:val="24"/>
          <w:szCs w:val="24"/>
        </w:rPr>
        <w:t>aplikovaného výzkumu</w:t>
      </w:r>
      <w:r w:rsidRPr="005121BC">
        <w:rPr>
          <w:b/>
          <w:sz w:val="24"/>
          <w:szCs w:val="24"/>
        </w:rPr>
        <w:t>. GA ČR a TA ČR v</w:t>
      </w:r>
      <w:r>
        <w:rPr>
          <w:b/>
          <w:sz w:val="24"/>
          <w:szCs w:val="24"/>
        </w:rPr>
        <w:t> reakci na kontrolu NKÚ</w:t>
      </w:r>
      <w:r w:rsidR="000003B3">
        <w:rPr>
          <w:b/>
          <w:sz w:val="24"/>
          <w:szCs w:val="24"/>
        </w:rPr>
        <w:t xml:space="preserve"> </w:t>
      </w:r>
      <w:r w:rsidRPr="005121BC">
        <w:rPr>
          <w:b/>
          <w:sz w:val="24"/>
          <w:szCs w:val="24"/>
        </w:rPr>
        <w:t>podepsaly</w:t>
      </w:r>
      <w:r>
        <w:rPr>
          <w:b/>
          <w:sz w:val="24"/>
          <w:szCs w:val="24"/>
        </w:rPr>
        <w:t xml:space="preserve"> v roce 2018</w:t>
      </w:r>
      <w:r w:rsidRPr="005121BC">
        <w:rPr>
          <w:b/>
          <w:sz w:val="24"/>
          <w:szCs w:val="24"/>
        </w:rPr>
        <w:t xml:space="preserve"> </w:t>
      </w:r>
      <w:r w:rsidR="000003B3">
        <w:rPr>
          <w:b/>
          <w:sz w:val="24"/>
          <w:szCs w:val="24"/>
        </w:rPr>
        <w:t>m</w:t>
      </w:r>
      <w:r w:rsidRPr="005121BC">
        <w:rPr>
          <w:b/>
          <w:sz w:val="24"/>
          <w:szCs w:val="24"/>
        </w:rPr>
        <w:t>emorandum o spolupráci,</w:t>
      </w:r>
      <w:r>
        <w:rPr>
          <w:b/>
          <w:sz w:val="24"/>
          <w:szCs w:val="24"/>
        </w:rPr>
        <w:t xml:space="preserve"> </w:t>
      </w:r>
      <w:r w:rsidR="00115080">
        <w:rPr>
          <w:b/>
          <w:sz w:val="24"/>
          <w:szCs w:val="24"/>
        </w:rPr>
        <w:t xml:space="preserve">které nepřineslo konkrétní </w:t>
      </w:r>
      <w:r w:rsidR="00431FF5">
        <w:rPr>
          <w:b/>
          <w:sz w:val="24"/>
          <w:szCs w:val="24"/>
        </w:rPr>
        <w:t>výstupy</w:t>
      </w:r>
      <w:r>
        <w:rPr>
          <w:b/>
          <w:sz w:val="24"/>
          <w:szCs w:val="24"/>
        </w:rPr>
        <w:t xml:space="preserve">. NKÚ prověřil, že k žádným konkrétním krokům ani u jedné agentury nedošlo. </w:t>
      </w:r>
      <w:r w:rsidR="005C1F78">
        <w:rPr>
          <w:b/>
          <w:sz w:val="24"/>
          <w:szCs w:val="24"/>
        </w:rPr>
        <w:t xml:space="preserve">Přitom </w:t>
      </w:r>
      <w:r w:rsidR="00503B5D">
        <w:rPr>
          <w:b/>
          <w:sz w:val="24"/>
          <w:szCs w:val="24"/>
        </w:rPr>
        <w:t>o</w:t>
      </w:r>
      <w:r>
        <w:rPr>
          <w:b/>
          <w:sz w:val="24"/>
          <w:szCs w:val="24"/>
        </w:rPr>
        <w:t>dstranění uvedených nedostatků je klíčové pro dosažení cíle České republiky stát se inovačním lídrem</w:t>
      </w:r>
      <w:r w:rsidR="00503B5D">
        <w:rPr>
          <w:b/>
          <w:sz w:val="24"/>
          <w:szCs w:val="24"/>
        </w:rPr>
        <w:t>.</w:t>
      </w:r>
      <w:r w:rsidR="00503B5D">
        <w:rPr>
          <w:rStyle w:val="Znakapoznpodarou"/>
          <w:b/>
          <w:sz w:val="24"/>
          <w:szCs w:val="24"/>
        </w:rPr>
        <w:footnoteReference w:id="1"/>
      </w:r>
    </w:p>
    <w:p w14:paraId="03A20904" w14:textId="0197E900" w:rsidR="00D61820" w:rsidRDefault="00D61820" w:rsidP="00842A21">
      <w:pPr>
        <w:spacing w:after="0" w:line="240" w:lineRule="auto"/>
        <w:jc w:val="both"/>
        <w:rPr>
          <w:rFonts w:cstheme="minorHAnsi"/>
          <w:sz w:val="24"/>
          <w:szCs w:val="24"/>
        </w:rPr>
      </w:pPr>
      <w:bookmarkStart w:id="2" w:name="_Hlk194582152"/>
      <w:r>
        <w:rPr>
          <w:rFonts w:cstheme="minorHAnsi"/>
          <w:sz w:val="24"/>
          <w:szCs w:val="24"/>
        </w:rPr>
        <w:t xml:space="preserve">1.3 </w:t>
      </w:r>
      <w:r w:rsidRPr="0088190A">
        <w:rPr>
          <w:rFonts w:cstheme="minorHAnsi"/>
          <w:sz w:val="24"/>
          <w:szCs w:val="24"/>
        </w:rPr>
        <w:t>Celkové vyhodnocení se opírá o následující hlavní zjištění z kontroly:</w:t>
      </w:r>
    </w:p>
    <w:p w14:paraId="7A4084E3" w14:textId="05C5C3E3" w:rsidR="00D61820" w:rsidRPr="00EA7B1E" w:rsidRDefault="002F7164" w:rsidP="005774A9">
      <w:pPr>
        <w:pStyle w:val="Odstavecseseznamem"/>
        <w:keepNext/>
        <w:numPr>
          <w:ilvl w:val="0"/>
          <w:numId w:val="28"/>
        </w:numPr>
        <w:spacing w:before="240" w:after="120" w:line="240" w:lineRule="auto"/>
        <w:ind w:left="284" w:hanging="284"/>
        <w:contextualSpacing w:val="0"/>
        <w:jc w:val="both"/>
        <w:rPr>
          <w:rFonts w:cstheme="minorHAnsi"/>
          <w:b/>
          <w:sz w:val="24"/>
          <w:szCs w:val="24"/>
        </w:rPr>
      </w:pPr>
      <w:r>
        <w:rPr>
          <w:rFonts w:cstheme="minorHAnsi"/>
          <w:b/>
          <w:sz w:val="24"/>
          <w:szCs w:val="24"/>
        </w:rPr>
        <w:t>Podpora zaměřená na aktuální potřeby společnosti je nedostatečná</w:t>
      </w:r>
    </w:p>
    <w:p w14:paraId="1836FFA3" w14:textId="34D7D418" w:rsidR="00D61820" w:rsidRPr="00CC4DF0" w:rsidRDefault="00D61820" w:rsidP="00D61820">
      <w:pPr>
        <w:spacing w:after="120" w:line="240" w:lineRule="auto"/>
        <w:jc w:val="both"/>
        <w:rPr>
          <w:rFonts w:cstheme="minorHAnsi"/>
          <w:sz w:val="24"/>
          <w:szCs w:val="24"/>
        </w:rPr>
      </w:pPr>
      <w:r w:rsidRPr="00CC4DF0">
        <w:rPr>
          <w:sz w:val="24"/>
          <w:szCs w:val="24"/>
        </w:rPr>
        <w:t>GA ČR každý rok rozdělí přes 4 mld. Kč na</w:t>
      </w:r>
      <w:r w:rsidR="000003B3">
        <w:rPr>
          <w:sz w:val="24"/>
          <w:szCs w:val="24"/>
        </w:rPr>
        <w:t xml:space="preserve"> </w:t>
      </w:r>
      <w:r w:rsidRPr="00CC4DF0">
        <w:rPr>
          <w:sz w:val="24"/>
          <w:szCs w:val="24"/>
        </w:rPr>
        <w:t xml:space="preserve">podporu základního výzkumu napříč všemi vědními obory. Nepodporuje však </w:t>
      </w:r>
      <w:r w:rsidR="00297009">
        <w:rPr>
          <w:sz w:val="24"/>
          <w:szCs w:val="24"/>
        </w:rPr>
        <w:t xml:space="preserve">cíleně </w:t>
      </w:r>
      <w:r w:rsidRPr="00CC4DF0">
        <w:rPr>
          <w:sz w:val="24"/>
          <w:szCs w:val="24"/>
        </w:rPr>
        <w:t>tzv. orientovaný základní výzkum</w:t>
      </w:r>
      <w:r w:rsidR="00297009">
        <w:rPr>
          <w:rStyle w:val="Znakapoznpodarou"/>
          <w:sz w:val="24"/>
          <w:szCs w:val="24"/>
        </w:rPr>
        <w:footnoteReference w:id="2"/>
      </w:r>
      <w:r w:rsidRPr="00CC4DF0">
        <w:rPr>
          <w:sz w:val="24"/>
          <w:szCs w:val="24"/>
        </w:rPr>
        <w:t>, který by se zabýval aktuálními strategickými potřebami</w:t>
      </w:r>
      <w:r w:rsidR="009E33EB">
        <w:rPr>
          <w:sz w:val="24"/>
          <w:szCs w:val="24"/>
        </w:rPr>
        <w:t xml:space="preserve"> a byl následně využitelný v aplikovaném výzkumu</w:t>
      </w:r>
      <w:r w:rsidR="004F5011">
        <w:rPr>
          <w:sz w:val="24"/>
          <w:szCs w:val="24"/>
        </w:rPr>
        <w:t xml:space="preserve">. </w:t>
      </w:r>
      <w:r w:rsidRPr="00CC4DF0">
        <w:rPr>
          <w:sz w:val="24"/>
          <w:szCs w:val="24"/>
        </w:rPr>
        <w:t>Na</w:t>
      </w:r>
      <w:r w:rsidR="000003B3">
        <w:rPr>
          <w:sz w:val="24"/>
          <w:szCs w:val="24"/>
        </w:rPr>
        <w:t xml:space="preserve"> </w:t>
      </w:r>
      <w:r w:rsidRPr="00CC4DF0">
        <w:rPr>
          <w:sz w:val="24"/>
          <w:szCs w:val="24"/>
        </w:rPr>
        <w:t xml:space="preserve">tento nedostatek upozorňoval NKÚ již v roce 2017. </w:t>
      </w:r>
    </w:p>
    <w:p w14:paraId="5EECE77E" w14:textId="50EB0F20" w:rsidR="00F45F65" w:rsidRDefault="00D61820" w:rsidP="00842A21">
      <w:pPr>
        <w:spacing w:after="0" w:line="240" w:lineRule="auto"/>
        <w:jc w:val="both"/>
        <w:rPr>
          <w:rFonts w:cstheme="minorHAnsi"/>
          <w:sz w:val="24"/>
          <w:szCs w:val="24"/>
        </w:rPr>
      </w:pPr>
      <w:r w:rsidRPr="00AE15C6">
        <w:rPr>
          <w:rFonts w:cstheme="minorHAnsi"/>
          <w:sz w:val="24"/>
          <w:szCs w:val="24"/>
        </w:rPr>
        <w:t xml:space="preserve">Základní výzkum, který se zaměřuje na aktuální problémy a potřeby společnosti, by mohl </w:t>
      </w:r>
      <w:r>
        <w:rPr>
          <w:rFonts w:cstheme="minorHAnsi"/>
          <w:sz w:val="24"/>
          <w:szCs w:val="24"/>
        </w:rPr>
        <w:t>odpovědět na</w:t>
      </w:r>
      <w:r w:rsidRPr="00AE15C6">
        <w:rPr>
          <w:rFonts w:cstheme="minorHAnsi"/>
          <w:sz w:val="24"/>
          <w:szCs w:val="24"/>
        </w:rPr>
        <w:t xml:space="preserve"> důležit</w:t>
      </w:r>
      <w:r>
        <w:rPr>
          <w:rFonts w:cstheme="minorHAnsi"/>
          <w:sz w:val="24"/>
          <w:szCs w:val="24"/>
        </w:rPr>
        <w:t>é</w:t>
      </w:r>
      <w:r w:rsidRPr="00AE15C6">
        <w:rPr>
          <w:rFonts w:cstheme="minorHAnsi"/>
          <w:sz w:val="24"/>
          <w:szCs w:val="24"/>
        </w:rPr>
        <w:t xml:space="preserve"> otáz</w:t>
      </w:r>
      <w:r>
        <w:rPr>
          <w:rFonts w:cstheme="minorHAnsi"/>
          <w:sz w:val="24"/>
          <w:szCs w:val="24"/>
        </w:rPr>
        <w:t>ky</w:t>
      </w:r>
      <w:r w:rsidRPr="00AE15C6">
        <w:rPr>
          <w:rFonts w:cstheme="minorHAnsi"/>
          <w:sz w:val="24"/>
          <w:szCs w:val="24"/>
        </w:rPr>
        <w:t xml:space="preserve"> při řešení současných nebo budoucích problémů. GA ČR si uvědomuje význam takto orientovaného výzkumu a</w:t>
      </w:r>
      <w:r>
        <w:rPr>
          <w:rFonts w:cstheme="minorHAnsi"/>
          <w:sz w:val="24"/>
          <w:szCs w:val="24"/>
        </w:rPr>
        <w:t> </w:t>
      </w:r>
      <w:r w:rsidRPr="00AE15C6">
        <w:rPr>
          <w:rFonts w:cstheme="minorHAnsi"/>
          <w:sz w:val="24"/>
          <w:szCs w:val="24"/>
        </w:rPr>
        <w:t>zahrnula ho do své koncepce pro období po roce 2021</w:t>
      </w:r>
      <w:r w:rsidR="00105145">
        <w:rPr>
          <w:rStyle w:val="Znakapoznpodarou"/>
          <w:rFonts w:cstheme="minorHAnsi"/>
          <w:sz w:val="24"/>
          <w:szCs w:val="24"/>
        </w:rPr>
        <w:footnoteReference w:id="3"/>
      </w:r>
      <w:r w:rsidRPr="00AE15C6">
        <w:rPr>
          <w:rFonts w:cstheme="minorHAnsi"/>
          <w:sz w:val="24"/>
          <w:szCs w:val="24"/>
        </w:rPr>
        <w:t xml:space="preserve">. Přitom na potřebu orientovat část podpory základního výzkumu upozorňoval NKÚ již v roce 2017 v kontrolním závěru kontrolní akce č. 16/19. Až v roce 2021 tak GA ČR vytvořila podmínky pro podporu projektů zaměřených na urgentní problémy, ale zatím nevyhlásila veřejnou soutěž, která by tyto projekty podpořila. Není ani zřejmé, kdy </w:t>
      </w:r>
      <w:r w:rsidRPr="00AE15C6">
        <w:rPr>
          <w:rFonts w:cstheme="minorHAnsi"/>
          <w:sz w:val="24"/>
          <w:szCs w:val="24"/>
        </w:rPr>
        <w:lastRenderedPageBreak/>
        <w:t>a</w:t>
      </w:r>
      <w:r w:rsidR="00842A21">
        <w:rPr>
          <w:rFonts w:cstheme="minorHAnsi"/>
          <w:sz w:val="24"/>
          <w:szCs w:val="24"/>
        </w:rPr>
        <w:t> </w:t>
      </w:r>
      <w:r w:rsidRPr="00AE15C6">
        <w:rPr>
          <w:rFonts w:cstheme="minorHAnsi"/>
          <w:sz w:val="24"/>
          <w:szCs w:val="24"/>
        </w:rPr>
        <w:t>na</w:t>
      </w:r>
      <w:r w:rsidR="00842A21">
        <w:rPr>
          <w:rFonts w:cstheme="minorHAnsi"/>
          <w:sz w:val="24"/>
          <w:szCs w:val="24"/>
        </w:rPr>
        <w:t> </w:t>
      </w:r>
      <w:r w:rsidRPr="00AE15C6">
        <w:rPr>
          <w:rFonts w:cstheme="minorHAnsi"/>
          <w:sz w:val="24"/>
          <w:szCs w:val="24"/>
        </w:rPr>
        <w:t>základě jakého podnětu tak učiní. Ani přes zřejmý potenciál orientovaného základního výzkumu GA ČR tento druh výzkumu nepodpořila.</w:t>
      </w:r>
    </w:p>
    <w:p w14:paraId="6D2FD1CB" w14:textId="5DDC852B" w:rsidR="00D61820" w:rsidRPr="00EA7B1E" w:rsidRDefault="00D61820" w:rsidP="005774A9">
      <w:pPr>
        <w:pStyle w:val="Odstavecseseznamem"/>
        <w:keepNext/>
        <w:numPr>
          <w:ilvl w:val="0"/>
          <w:numId w:val="28"/>
        </w:numPr>
        <w:spacing w:before="240" w:after="120" w:line="240" w:lineRule="auto"/>
        <w:ind w:left="284" w:hanging="284"/>
        <w:contextualSpacing w:val="0"/>
        <w:jc w:val="both"/>
        <w:rPr>
          <w:b/>
          <w:bCs/>
        </w:rPr>
      </w:pPr>
      <w:r w:rsidRPr="00EA7B1E">
        <w:rPr>
          <w:rFonts w:cstheme="minorHAnsi"/>
          <w:b/>
          <w:sz w:val="24"/>
          <w:szCs w:val="24"/>
        </w:rPr>
        <w:t>Snižující se zapojení soukromého sektoru</w:t>
      </w:r>
    </w:p>
    <w:p w14:paraId="438A4C4B" w14:textId="3EEACF3A" w:rsidR="001B702E" w:rsidRPr="00E8115D" w:rsidRDefault="001B702E" w:rsidP="00E8115D">
      <w:pPr>
        <w:spacing w:after="0" w:line="240" w:lineRule="auto"/>
        <w:jc w:val="both"/>
        <w:rPr>
          <w:rFonts w:cstheme="minorHAnsi"/>
          <w:sz w:val="24"/>
          <w:szCs w:val="24"/>
        </w:rPr>
      </w:pPr>
      <w:r w:rsidRPr="00E8115D">
        <w:rPr>
          <w:rFonts w:cstheme="minorHAnsi"/>
          <w:sz w:val="24"/>
          <w:szCs w:val="24"/>
        </w:rPr>
        <w:t>Rozpočet TA ČR se</w:t>
      </w:r>
      <w:r w:rsidR="005F1465">
        <w:rPr>
          <w:rFonts w:cstheme="minorHAnsi"/>
          <w:sz w:val="24"/>
          <w:szCs w:val="24"/>
        </w:rPr>
        <w:t xml:space="preserve"> </w:t>
      </w:r>
      <w:r w:rsidRPr="00E8115D">
        <w:rPr>
          <w:rFonts w:cstheme="minorHAnsi"/>
          <w:sz w:val="24"/>
          <w:szCs w:val="24"/>
        </w:rPr>
        <w:t>mezi lety 2017 a 2023 zvýšil z necelých 3 mld. Kč na</w:t>
      </w:r>
      <w:r w:rsidR="005F1465">
        <w:rPr>
          <w:rFonts w:cstheme="minorHAnsi"/>
          <w:sz w:val="24"/>
          <w:szCs w:val="24"/>
        </w:rPr>
        <w:t xml:space="preserve"> </w:t>
      </w:r>
      <w:r w:rsidRPr="00E8115D">
        <w:rPr>
          <w:rFonts w:cstheme="minorHAnsi"/>
          <w:sz w:val="24"/>
          <w:szCs w:val="24"/>
        </w:rPr>
        <w:t>téměř</w:t>
      </w:r>
      <w:r w:rsidR="005F1465">
        <w:rPr>
          <w:rFonts w:cstheme="minorHAnsi"/>
          <w:sz w:val="24"/>
          <w:szCs w:val="24"/>
        </w:rPr>
        <w:t xml:space="preserve"> </w:t>
      </w:r>
      <w:r w:rsidRPr="00E8115D">
        <w:rPr>
          <w:rFonts w:cstheme="minorHAnsi"/>
          <w:sz w:val="24"/>
          <w:szCs w:val="24"/>
        </w:rPr>
        <w:t>6</w:t>
      </w:r>
      <w:r w:rsidR="005F1465">
        <w:rPr>
          <w:rFonts w:cstheme="minorHAnsi"/>
          <w:sz w:val="24"/>
          <w:szCs w:val="24"/>
        </w:rPr>
        <w:t> </w:t>
      </w:r>
      <w:r w:rsidRPr="00E8115D">
        <w:rPr>
          <w:rFonts w:cstheme="minorHAnsi"/>
          <w:sz w:val="24"/>
          <w:szCs w:val="24"/>
        </w:rPr>
        <w:t>mld.</w:t>
      </w:r>
      <w:r w:rsidR="005F1465">
        <w:rPr>
          <w:rFonts w:cstheme="minorHAnsi"/>
          <w:sz w:val="24"/>
          <w:szCs w:val="24"/>
        </w:rPr>
        <w:t> </w:t>
      </w:r>
      <w:r w:rsidRPr="00E8115D">
        <w:rPr>
          <w:rFonts w:cstheme="minorHAnsi"/>
          <w:sz w:val="24"/>
          <w:szCs w:val="24"/>
        </w:rPr>
        <w:t>Kč. Objem soukromých zdrojů ve veřejném výzkumu rostl pomaleji než objem prostředků, které poskytla TA ČR. To ved</w:t>
      </w:r>
      <w:r w:rsidR="00C10987">
        <w:rPr>
          <w:rFonts w:cstheme="minorHAnsi"/>
          <w:sz w:val="24"/>
          <w:szCs w:val="24"/>
        </w:rPr>
        <w:t>lo</w:t>
      </w:r>
      <w:r w:rsidRPr="00E8115D">
        <w:rPr>
          <w:rFonts w:cstheme="minorHAnsi"/>
          <w:sz w:val="24"/>
          <w:szCs w:val="24"/>
        </w:rPr>
        <w:t xml:space="preserve"> k poklesu účasti soukromého sektoru na financování projektů. Ačkoliv se TA</w:t>
      </w:r>
      <w:r w:rsidR="008D0582">
        <w:rPr>
          <w:rFonts w:cstheme="minorHAnsi"/>
          <w:sz w:val="24"/>
          <w:szCs w:val="24"/>
        </w:rPr>
        <w:t> </w:t>
      </w:r>
      <w:r w:rsidRPr="00E8115D">
        <w:rPr>
          <w:rFonts w:cstheme="minorHAnsi"/>
          <w:sz w:val="24"/>
          <w:szCs w:val="24"/>
        </w:rPr>
        <w:t>ČR snaží podporovat projekty, které mají praktické využití a zvyšují spolupráci mezi těmito sektory</w:t>
      </w:r>
      <w:r w:rsidR="00D6404E">
        <w:rPr>
          <w:rFonts w:cstheme="minorHAnsi"/>
          <w:sz w:val="24"/>
          <w:szCs w:val="24"/>
        </w:rPr>
        <w:t>,</w:t>
      </w:r>
      <w:r w:rsidRPr="00E8115D">
        <w:rPr>
          <w:rFonts w:cstheme="minorHAnsi"/>
          <w:sz w:val="24"/>
          <w:szCs w:val="24"/>
        </w:rPr>
        <w:t xml:space="preserve"> míra finančního zapojení soukromého sektoru </w:t>
      </w:r>
      <w:r w:rsidR="005F1465">
        <w:rPr>
          <w:rFonts w:cstheme="minorHAnsi"/>
          <w:sz w:val="24"/>
          <w:szCs w:val="24"/>
        </w:rPr>
        <w:t xml:space="preserve">se </w:t>
      </w:r>
      <w:r w:rsidR="00D6404E">
        <w:rPr>
          <w:rFonts w:cstheme="minorHAnsi"/>
          <w:sz w:val="24"/>
          <w:szCs w:val="24"/>
        </w:rPr>
        <w:t>snížila z</w:t>
      </w:r>
      <w:r w:rsidR="005F1465">
        <w:rPr>
          <w:rFonts w:cstheme="minorHAnsi"/>
          <w:sz w:val="24"/>
          <w:szCs w:val="24"/>
        </w:rPr>
        <w:t> </w:t>
      </w:r>
      <w:r w:rsidRPr="00E8115D">
        <w:rPr>
          <w:rFonts w:cstheme="minorHAnsi"/>
          <w:sz w:val="24"/>
          <w:szCs w:val="24"/>
        </w:rPr>
        <w:t>32</w:t>
      </w:r>
      <w:r w:rsidR="005F1465">
        <w:rPr>
          <w:rFonts w:cstheme="minorHAnsi"/>
          <w:sz w:val="24"/>
          <w:szCs w:val="24"/>
        </w:rPr>
        <w:t> </w:t>
      </w:r>
      <w:r w:rsidRPr="00E8115D">
        <w:rPr>
          <w:rFonts w:cstheme="minorHAnsi"/>
          <w:sz w:val="24"/>
          <w:szCs w:val="24"/>
        </w:rPr>
        <w:t xml:space="preserve">% </w:t>
      </w:r>
      <w:r w:rsidR="00D6404E" w:rsidRPr="00E8115D">
        <w:rPr>
          <w:rFonts w:cstheme="minorHAnsi"/>
          <w:sz w:val="24"/>
          <w:szCs w:val="24"/>
        </w:rPr>
        <w:t>v roce 2017</w:t>
      </w:r>
      <w:r w:rsidR="00D6404E">
        <w:rPr>
          <w:rFonts w:cstheme="minorHAnsi"/>
          <w:sz w:val="24"/>
          <w:szCs w:val="24"/>
        </w:rPr>
        <w:t xml:space="preserve"> na</w:t>
      </w:r>
      <w:r w:rsidR="005F1465">
        <w:rPr>
          <w:rFonts w:cstheme="minorHAnsi"/>
          <w:sz w:val="24"/>
          <w:szCs w:val="24"/>
        </w:rPr>
        <w:t xml:space="preserve"> </w:t>
      </w:r>
      <w:r w:rsidR="00D6404E" w:rsidRPr="00E8115D">
        <w:rPr>
          <w:rFonts w:cstheme="minorHAnsi"/>
          <w:sz w:val="24"/>
          <w:szCs w:val="24"/>
        </w:rPr>
        <w:t>23</w:t>
      </w:r>
      <w:r w:rsidR="005F1465">
        <w:rPr>
          <w:rFonts w:cstheme="minorHAnsi"/>
          <w:sz w:val="24"/>
          <w:szCs w:val="24"/>
        </w:rPr>
        <w:t> </w:t>
      </w:r>
      <w:r w:rsidR="00D6404E" w:rsidRPr="00E8115D">
        <w:rPr>
          <w:rFonts w:cstheme="minorHAnsi"/>
          <w:sz w:val="24"/>
          <w:szCs w:val="24"/>
        </w:rPr>
        <w:t>%</w:t>
      </w:r>
      <w:r w:rsidR="0011273A">
        <w:rPr>
          <w:rFonts w:cstheme="minorHAnsi"/>
          <w:sz w:val="24"/>
          <w:szCs w:val="24"/>
        </w:rPr>
        <w:t xml:space="preserve"> </w:t>
      </w:r>
      <w:r w:rsidRPr="00E8115D">
        <w:rPr>
          <w:rFonts w:cstheme="minorHAnsi"/>
          <w:sz w:val="24"/>
          <w:szCs w:val="24"/>
        </w:rPr>
        <w:t>v roce 2023.</w:t>
      </w:r>
    </w:p>
    <w:p w14:paraId="5E9D0F4F" w14:textId="6DA1B433" w:rsidR="00D61820" w:rsidRPr="00EA7B1E" w:rsidRDefault="00D61820" w:rsidP="005774A9">
      <w:pPr>
        <w:pStyle w:val="Odstavecseseznamem"/>
        <w:keepNext/>
        <w:numPr>
          <w:ilvl w:val="0"/>
          <w:numId w:val="28"/>
        </w:numPr>
        <w:spacing w:before="240" w:after="120" w:line="240" w:lineRule="auto"/>
        <w:ind w:left="284" w:hanging="284"/>
        <w:contextualSpacing w:val="0"/>
        <w:jc w:val="both"/>
        <w:rPr>
          <w:b/>
          <w:bCs/>
        </w:rPr>
      </w:pPr>
      <w:r w:rsidRPr="00EA7B1E">
        <w:rPr>
          <w:rFonts w:cstheme="minorHAnsi"/>
          <w:b/>
          <w:sz w:val="24"/>
          <w:szCs w:val="24"/>
        </w:rPr>
        <w:t xml:space="preserve">Růst </w:t>
      </w:r>
      <w:r w:rsidR="008E7473">
        <w:rPr>
          <w:rFonts w:cstheme="minorHAnsi"/>
          <w:b/>
          <w:sz w:val="24"/>
          <w:szCs w:val="24"/>
        </w:rPr>
        <w:t xml:space="preserve">počtu </w:t>
      </w:r>
      <w:r w:rsidRPr="00EA7B1E">
        <w:rPr>
          <w:rFonts w:cstheme="minorHAnsi"/>
          <w:b/>
          <w:sz w:val="24"/>
          <w:szCs w:val="24"/>
        </w:rPr>
        <w:t>aplikovaných výsledků</w:t>
      </w:r>
      <w:r w:rsidR="008E7473">
        <w:rPr>
          <w:rFonts w:cstheme="minorHAnsi"/>
          <w:b/>
          <w:sz w:val="24"/>
          <w:szCs w:val="24"/>
        </w:rPr>
        <w:t>,</w:t>
      </w:r>
      <w:r w:rsidRPr="00EA7B1E">
        <w:rPr>
          <w:rFonts w:cstheme="minorHAnsi"/>
          <w:b/>
          <w:sz w:val="24"/>
          <w:szCs w:val="24"/>
        </w:rPr>
        <w:t xml:space="preserve"> </w:t>
      </w:r>
      <w:r w:rsidR="008E7473">
        <w:rPr>
          <w:rFonts w:cstheme="minorHAnsi"/>
          <w:b/>
          <w:sz w:val="24"/>
          <w:szCs w:val="24"/>
        </w:rPr>
        <w:t>pokles počtu</w:t>
      </w:r>
      <w:r w:rsidRPr="00EA7B1E">
        <w:rPr>
          <w:rFonts w:cstheme="minorHAnsi"/>
          <w:b/>
          <w:sz w:val="24"/>
          <w:szCs w:val="24"/>
        </w:rPr>
        <w:t xml:space="preserve"> patentů</w:t>
      </w:r>
    </w:p>
    <w:p w14:paraId="0E62F158" w14:textId="56904A42" w:rsidR="00EA7B1E" w:rsidRPr="00CD2969" w:rsidRDefault="00D61820" w:rsidP="00EA7B1E">
      <w:pPr>
        <w:spacing w:after="0" w:line="240" w:lineRule="auto"/>
        <w:jc w:val="both"/>
        <w:rPr>
          <w:rFonts w:cstheme="minorHAnsi"/>
          <w:sz w:val="24"/>
          <w:szCs w:val="24"/>
        </w:rPr>
      </w:pPr>
      <w:r w:rsidRPr="00CC4DF0">
        <w:rPr>
          <w:rFonts w:cstheme="minorHAnsi"/>
          <w:sz w:val="24"/>
          <w:szCs w:val="24"/>
        </w:rPr>
        <w:t>Přestože u příjemců TA ČR roste počet aplikovaných výsledků, počet patentů naopak klesá. Přitom právě patenty jsou klíčovým nástrojem k ochraně výsledků výzkumu a umožňují jejich zhodnocení. Č</w:t>
      </w:r>
      <w:r w:rsidR="00EA7B1E">
        <w:rPr>
          <w:rFonts w:cstheme="minorHAnsi"/>
          <w:sz w:val="24"/>
          <w:szCs w:val="24"/>
        </w:rPr>
        <w:t>eská republika</w:t>
      </w:r>
      <w:r w:rsidRPr="00CC4DF0">
        <w:rPr>
          <w:rFonts w:cstheme="minorHAnsi"/>
          <w:sz w:val="24"/>
          <w:szCs w:val="24"/>
        </w:rPr>
        <w:t xml:space="preserve"> dlouhodobě dosahuje v počtu patentových přihlášek poloviny průměru Evropské unie</w:t>
      </w:r>
      <w:r w:rsidRPr="00D13D98">
        <w:rPr>
          <w:rFonts w:cstheme="minorHAnsi"/>
          <w:sz w:val="24"/>
          <w:szCs w:val="24"/>
        </w:rPr>
        <w:t xml:space="preserve">. </w:t>
      </w:r>
    </w:p>
    <w:p w14:paraId="1968EF8C" w14:textId="6379DA5E" w:rsidR="00D61820" w:rsidRPr="00EA7B1E" w:rsidRDefault="00D61820" w:rsidP="005774A9">
      <w:pPr>
        <w:pStyle w:val="Odstavecseseznamem"/>
        <w:keepNext/>
        <w:numPr>
          <w:ilvl w:val="0"/>
          <w:numId w:val="28"/>
        </w:numPr>
        <w:spacing w:before="240" w:after="120" w:line="240" w:lineRule="auto"/>
        <w:ind w:left="284" w:hanging="284"/>
        <w:contextualSpacing w:val="0"/>
        <w:jc w:val="both"/>
        <w:rPr>
          <w:rFonts w:cstheme="minorHAnsi"/>
          <w:b/>
          <w:sz w:val="24"/>
          <w:szCs w:val="24"/>
        </w:rPr>
      </w:pPr>
      <w:r w:rsidRPr="00EA7B1E">
        <w:rPr>
          <w:rFonts w:cstheme="minorHAnsi"/>
          <w:b/>
          <w:sz w:val="24"/>
          <w:szCs w:val="24"/>
        </w:rPr>
        <w:t xml:space="preserve">Reforma systému </w:t>
      </w:r>
      <w:proofErr w:type="spellStart"/>
      <w:r w:rsidRPr="00EA7B1E">
        <w:rPr>
          <w:rFonts w:cstheme="minorHAnsi"/>
          <w:b/>
          <w:sz w:val="24"/>
          <w:szCs w:val="24"/>
        </w:rPr>
        <w:t>VaVaI</w:t>
      </w:r>
      <w:proofErr w:type="spellEnd"/>
      <w:r w:rsidRPr="00EA7B1E">
        <w:rPr>
          <w:rFonts w:cstheme="minorHAnsi"/>
          <w:b/>
          <w:sz w:val="24"/>
          <w:szCs w:val="24"/>
        </w:rPr>
        <w:t xml:space="preserve"> přinesla </w:t>
      </w:r>
      <w:r w:rsidR="00B674BE">
        <w:rPr>
          <w:rFonts w:cstheme="minorHAnsi"/>
          <w:b/>
          <w:sz w:val="24"/>
          <w:szCs w:val="24"/>
        </w:rPr>
        <w:t xml:space="preserve">pouze částečné </w:t>
      </w:r>
      <w:r w:rsidRPr="00EA7B1E">
        <w:rPr>
          <w:rFonts w:cstheme="minorHAnsi"/>
          <w:b/>
          <w:sz w:val="24"/>
          <w:szCs w:val="24"/>
        </w:rPr>
        <w:t>zjednodušení</w:t>
      </w:r>
    </w:p>
    <w:p w14:paraId="53F782A9" w14:textId="106F88AE" w:rsidR="004F5011" w:rsidRDefault="00D61820" w:rsidP="004F5011">
      <w:pPr>
        <w:spacing w:before="120" w:after="120" w:line="240" w:lineRule="auto"/>
        <w:jc w:val="both"/>
        <w:rPr>
          <w:rFonts w:cstheme="minorHAnsi"/>
          <w:sz w:val="24"/>
          <w:szCs w:val="24"/>
        </w:rPr>
      </w:pPr>
      <w:r w:rsidRPr="004F5011">
        <w:rPr>
          <w:rFonts w:cstheme="minorHAnsi"/>
          <w:sz w:val="24"/>
          <w:szCs w:val="24"/>
        </w:rPr>
        <w:t xml:space="preserve">Jedním z důvodů zřízení TA ČR byla koncentrace administrace programů účelové podpory většiny poskytovatelů, což by její poskytovaní zlevnilo a zjednodušilo. NKÚ upozorňuje, že </w:t>
      </w:r>
      <w:r w:rsidRPr="004F5011">
        <w:rPr>
          <w:sz w:val="24"/>
          <w:szCs w:val="24"/>
        </w:rPr>
        <w:t>z</w:t>
      </w:r>
      <w:r w:rsidR="009D449B" w:rsidRPr="004F5011">
        <w:rPr>
          <w:sz w:val="24"/>
          <w:szCs w:val="24"/>
        </w:rPr>
        <w:t> </w:t>
      </w:r>
      <w:r w:rsidRPr="004F5011">
        <w:rPr>
          <w:sz w:val="24"/>
          <w:szCs w:val="24"/>
        </w:rPr>
        <w:t>původních 22 institucí poskytujících tuto podporu se snížil jejich počet na</w:t>
      </w:r>
      <w:r w:rsidR="008E7473">
        <w:rPr>
          <w:sz w:val="24"/>
          <w:szCs w:val="24"/>
        </w:rPr>
        <w:t xml:space="preserve"> </w:t>
      </w:r>
      <w:r w:rsidRPr="004F5011">
        <w:rPr>
          <w:sz w:val="24"/>
          <w:szCs w:val="24"/>
        </w:rPr>
        <w:t xml:space="preserve">dnešních devět. NKÚ přitom kontrolou ověřil, že TA ČR disponuje potřebným know-how a vhodným informačním systémem, </w:t>
      </w:r>
      <w:r w:rsidRPr="004F5011">
        <w:rPr>
          <w:rFonts w:cstheme="minorHAnsi"/>
          <w:sz w:val="24"/>
          <w:szCs w:val="24"/>
        </w:rPr>
        <w:t>který umožňuje efektivní administraci programů a projektů</w:t>
      </w:r>
      <w:r w:rsidR="00125163" w:rsidRPr="004F5011">
        <w:rPr>
          <w:rFonts w:cstheme="minorHAnsi"/>
          <w:sz w:val="24"/>
          <w:szCs w:val="24"/>
        </w:rPr>
        <w:t xml:space="preserve"> pro další poskytovatele a</w:t>
      </w:r>
      <w:r w:rsidR="008E7473">
        <w:rPr>
          <w:rFonts w:cstheme="minorHAnsi"/>
          <w:sz w:val="24"/>
          <w:szCs w:val="24"/>
        </w:rPr>
        <w:t> současně</w:t>
      </w:r>
      <w:r w:rsidR="00125163" w:rsidRPr="004F5011">
        <w:rPr>
          <w:rFonts w:cstheme="minorHAnsi"/>
          <w:sz w:val="24"/>
          <w:szCs w:val="24"/>
        </w:rPr>
        <w:t xml:space="preserve"> snížit náklady na poskytování této podpory</w:t>
      </w:r>
      <w:r w:rsidRPr="004F5011">
        <w:rPr>
          <w:rFonts w:cstheme="minorHAnsi"/>
          <w:sz w:val="24"/>
          <w:szCs w:val="24"/>
        </w:rPr>
        <w:t xml:space="preserve">. </w:t>
      </w:r>
    </w:p>
    <w:p w14:paraId="35287916" w14:textId="0B4AE9C9" w:rsidR="00D61820" w:rsidRPr="004F5011" w:rsidRDefault="00D61820" w:rsidP="005774A9">
      <w:pPr>
        <w:pStyle w:val="Odstavecseseznamem"/>
        <w:keepNext/>
        <w:numPr>
          <w:ilvl w:val="0"/>
          <w:numId w:val="28"/>
        </w:numPr>
        <w:spacing w:before="240" w:after="120" w:line="240" w:lineRule="auto"/>
        <w:ind w:left="284" w:hanging="284"/>
        <w:contextualSpacing w:val="0"/>
        <w:jc w:val="both"/>
        <w:rPr>
          <w:rFonts w:cstheme="minorHAnsi"/>
          <w:b/>
          <w:sz w:val="24"/>
          <w:szCs w:val="24"/>
        </w:rPr>
      </w:pPr>
      <w:r w:rsidRPr="004F5011">
        <w:rPr>
          <w:rFonts w:cstheme="minorHAnsi"/>
          <w:b/>
          <w:sz w:val="24"/>
          <w:szCs w:val="24"/>
        </w:rPr>
        <w:t xml:space="preserve">Nedostatečná spolupráce mezi </w:t>
      </w:r>
      <w:r w:rsidR="00B674BE" w:rsidRPr="004F5011">
        <w:rPr>
          <w:rFonts w:cstheme="minorHAnsi"/>
          <w:b/>
          <w:sz w:val="24"/>
          <w:szCs w:val="24"/>
        </w:rPr>
        <w:t xml:space="preserve">agenturami </w:t>
      </w:r>
    </w:p>
    <w:p w14:paraId="36FB1936" w14:textId="0C417176" w:rsidR="00D61820" w:rsidRPr="00CD2969" w:rsidRDefault="00D61820" w:rsidP="00D61820">
      <w:pPr>
        <w:spacing w:after="0" w:line="240" w:lineRule="auto"/>
        <w:jc w:val="both"/>
        <w:rPr>
          <w:sz w:val="24"/>
          <w:szCs w:val="24"/>
        </w:rPr>
      </w:pPr>
      <w:r>
        <w:rPr>
          <w:rFonts w:eastAsia="Calibri" w:cstheme="minorHAnsi"/>
          <w:color w:val="000000"/>
          <w:sz w:val="24"/>
        </w:rPr>
        <w:t xml:space="preserve">Přestože </w:t>
      </w:r>
      <w:r w:rsidRPr="00AE15C6">
        <w:rPr>
          <w:rFonts w:eastAsia="Calibri" w:cstheme="minorHAnsi"/>
          <w:color w:val="000000"/>
          <w:sz w:val="24"/>
        </w:rPr>
        <w:t xml:space="preserve">GA ČR a TA ČR </w:t>
      </w:r>
      <w:r>
        <w:rPr>
          <w:rFonts w:eastAsia="Calibri" w:cstheme="minorHAnsi"/>
          <w:color w:val="000000"/>
          <w:sz w:val="24"/>
        </w:rPr>
        <w:t>deklarují</w:t>
      </w:r>
      <w:r w:rsidRPr="00AE15C6">
        <w:rPr>
          <w:rFonts w:eastAsia="Calibri" w:cstheme="minorHAnsi"/>
          <w:color w:val="000000"/>
          <w:sz w:val="24"/>
        </w:rPr>
        <w:t xml:space="preserve"> </w:t>
      </w:r>
      <w:r>
        <w:rPr>
          <w:rFonts w:eastAsia="Calibri" w:cstheme="minorHAnsi"/>
          <w:color w:val="000000"/>
          <w:sz w:val="24"/>
        </w:rPr>
        <w:t>nutnost</w:t>
      </w:r>
      <w:r w:rsidRPr="00AE15C6">
        <w:rPr>
          <w:rFonts w:eastAsia="Calibri" w:cstheme="minorHAnsi"/>
          <w:color w:val="000000"/>
          <w:sz w:val="24"/>
        </w:rPr>
        <w:t xml:space="preserve"> propojení základního a aplikovaného výzkumu</w:t>
      </w:r>
      <w:r>
        <w:rPr>
          <w:rFonts w:eastAsia="Calibri" w:cstheme="minorHAnsi"/>
          <w:color w:val="000000"/>
          <w:sz w:val="24"/>
        </w:rPr>
        <w:t>, konkrétní kroky v tomto směru neudělaly</w:t>
      </w:r>
      <w:r w:rsidRPr="00AE15C6">
        <w:rPr>
          <w:rFonts w:eastAsia="Calibri" w:cstheme="minorHAnsi"/>
          <w:color w:val="000000"/>
          <w:sz w:val="24"/>
        </w:rPr>
        <w:t xml:space="preserve">. </w:t>
      </w:r>
      <w:r>
        <w:rPr>
          <w:rFonts w:eastAsia="Calibri" w:cstheme="minorHAnsi"/>
          <w:color w:val="000000"/>
          <w:sz w:val="24"/>
        </w:rPr>
        <w:t xml:space="preserve">A to přesto, že NKÚ na tento problém upozornil již v roce 2017. </w:t>
      </w:r>
      <w:r w:rsidRPr="00AE15C6">
        <w:rPr>
          <w:rFonts w:eastAsia="Calibri" w:cstheme="minorHAnsi"/>
          <w:color w:val="000000"/>
          <w:sz w:val="24"/>
        </w:rPr>
        <w:t xml:space="preserve">V roce 2018 podepsaly </w:t>
      </w:r>
      <w:r w:rsidR="008E7473">
        <w:rPr>
          <w:rFonts w:eastAsia="Calibri" w:cstheme="minorHAnsi"/>
          <w:color w:val="000000"/>
          <w:sz w:val="24"/>
        </w:rPr>
        <w:t>m</w:t>
      </w:r>
      <w:r w:rsidRPr="00AE15C6">
        <w:rPr>
          <w:rFonts w:eastAsia="Calibri" w:cstheme="minorHAnsi"/>
          <w:color w:val="000000"/>
          <w:sz w:val="24"/>
        </w:rPr>
        <w:t xml:space="preserve">emorandum o spolupráci a vytvořily pracovní skupinu, která měla hledat způsoby, jak tyto oblasti propojit. </w:t>
      </w:r>
      <w:r>
        <w:rPr>
          <w:rFonts w:eastAsia="Calibri" w:cstheme="minorHAnsi"/>
          <w:color w:val="000000"/>
          <w:sz w:val="24"/>
        </w:rPr>
        <w:t>Agentury</w:t>
      </w:r>
      <w:r w:rsidRPr="00AE15C6">
        <w:rPr>
          <w:rFonts w:eastAsia="Calibri" w:cstheme="minorHAnsi"/>
          <w:color w:val="000000"/>
          <w:sz w:val="24"/>
        </w:rPr>
        <w:t xml:space="preserve"> </w:t>
      </w:r>
      <w:r>
        <w:rPr>
          <w:rFonts w:eastAsia="Calibri" w:cstheme="minorHAnsi"/>
          <w:color w:val="000000"/>
          <w:sz w:val="24"/>
        </w:rPr>
        <w:t>d</w:t>
      </w:r>
      <w:r w:rsidRPr="00AE15C6">
        <w:rPr>
          <w:rFonts w:eastAsia="Calibri" w:cstheme="minorHAnsi"/>
          <w:color w:val="000000"/>
          <w:sz w:val="24"/>
        </w:rPr>
        <w:t>o ukončení kontroly však žádn</w:t>
      </w:r>
      <w:r>
        <w:rPr>
          <w:rFonts w:eastAsia="Calibri" w:cstheme="minorHAnsi"/>
          <w:color w:val="000000"/>
          <w:sz w:val="24"/>
        </w:rPr>
        <w:t>ých</w:t>
      </w:r>
      <w:r w:rsidRPr="00AE15C6">
        <w:rPr>
          <w:rFonts w:eastAsia="Calibri" w:cstheme="minorHAnsi"/>
          <w:color w:val="000000"/>
          <w:sz w:val="24"/>
        </w:rPr>
        <w:t xml:space="preserve"> </w:t>
      </w:r>
      <w:r w:rsidR="000739C7">
        <w:rPr>
          <w:rFonts w:eastAsia="Calibri" w:cstheme="minorHAnsi"/>
          <w:color w:val="000000"/>
          <w:sz w:val="24"/>
        </w:rPr>
        <w:t xml:space="preserve">konkrétních </w:t>
      </w:r>
      <w:r>
        <w:rPr>
          <w:rFonts w:eastAsia="Calibri" w:cstheme="minorHAnsi"/>
          <w:color w:val="000000"/>
          <w:sz w:val="24"/>
        </w:rPr>
        <w:t>výsledků</w:t>
      </w:r>
      <w:r w:rsidRPr="0055195D">
        <w:rPr>
          <w:rFonts w:eastAsia="Calibri" w:cstheme="minorHAnsi"/>
          <w:color w:val="000000"/>
          <w:sz w:val="24"/>
        </w:rPr>
        <w:t xml:space="preserve"> </w:t>
      </w:r>
      <w:r>
        <w:rPr>
          <w:rFonts w:eastAsia="Calibri" w:cstheme="minorHAnsi"/>
          <w:color w:val="000000"/>
          <w:sz w:val="24"/>
        </w:rPr>
        <w:t>nedosáhly</w:t>
      </w:r>
      <w:r w:rsidRPr="00AE15C6">
        <w:rPr>
          <w:rFonts w:eastAsia="Calibri" w:cstheme="minorHAnsi"/>
          <w:color w:val="000000"/>
          <w:sz w:val="24"/>
        </w:rPr>
        <w:t xml:space="preserve">. </w:t>
      </w:r>
      <w:r w:rsidRPr="00D1136E">
        <w:rPr>
          <w:rFonts w:cstheme="minorHAnsi"/>
          <w:sz w:val="24"/>
          <w:szCs w:val="24"/>
        </w:rPr>
        <w:t>Vytvoření efektivního systému spolupráce by</w:t>
      </w:r>
      <w:r w:rsidR="008E7473">
        <w:rPr>
          <w:rFonts w:cstheme="minorHAnsi"/>
          <w:sz w:val="24"/>
          <w:szCs w:val="24"/>
        </w:rPr>
        <w:t xml:space="preserve"> </w:t>
      </w:r>
      <w:r w:rsidR="00840767">
        <w:rPr>
          <w:rFonts w:cstheme="minorHAnsi"/>
          <w:sz w:val="24"/>
          <w:szCs w:val="24"/>
        </w:rPr>
        <w:t xml:space="preserve">mohlo </w:t>
      </w:r>
      <w:r w:rsidRPr="00D1136E">
        <w:rPr>
          <w:rFonts w:cstheme="minorHAnsi"/>
          <w:sz w:val="24"/>
          <w:szCs w:val="24"/>
        </w:rPr>
        <w:t>podpoři</w:t>
      </w:r>
      <w:r w:rsidR="00840767">
        <w:rPr>
          <w:rFonts w:cstheme="minorHAnsi"/>
          <w:sz w:val="24"/>
          <w:szCs w:val="24"/>
        </w:rPr>
        <w:t>t</w:t>
      </w:r>
      <w:r w:rsidRPr="00D1136E">
        <w:rPr>
          <w:rFonts w:cstheme="minorHAnsi"/>
          <w:sz w:val="24"/>
          <w:szCs w:val="24"/>
        </w:rPr>
        <w:t xml:space="preserve"> inovace a zvýši</w:t>
      </w:r>
      <w:r w:rsidR="00840767">
        <w:rPr>
          <w:rFonts w:cstheme="minorHAnsi"/>
          <w:sz w:val="24"/>
          <w:szCs w:val="24"/>
        </w:rPr>
        <w:t>t</w:t>
      </w:r>
      <w:r w:rsidRPr="00D1136E">
        <w:rPr>
          <w:rFonts w:cstheme="minorHAnsi"/>
          <w:sz w:val="24"/>
          <w:szCs w:val="24"/>
        </w:rPr>
        <w:t xml:space="preserve"> konkurenceschopnost České republiky na</w:t>
      </w:r>
      <w:r w:rsidR="008E7473">
        <w:rPr>
          <w:rFonts w:cstheme="minorHAnsi"/>
          <w:sz w:val="24"/>
          <w:szCs w:val="24"/>
        </w:rPr>
        <w:t xml:space="preserve"> </w:t>
      </w:r>
      <w:r w:rsidRPr="00D1136E">
        <w:rPr>
          <w:rFonts w:cstheme="minorHAnsi"/>
          <w:sz w:val="24"/>
          <w:szCs w:val="24"/>
        </w:rPr>
        <w:t>mezinárodní úrovni.</w:t>
      </w:r>
    </w:p>
    <w:p w14:paraId="5A0306C1" w14:textId="7C32BF4F" w:rsidR="00D61820" w:rsidRPr="00D6489E" w:rsidRDefault="00D61820" w:rsidP="005774A9">
      <w:pPr>
        <w:pStyle w:val="Odstavecseseznamem"/>
        <w:keepNext/>
        <w:numPr>
          <w:ilvl w:val="0"/>
          <w:numId w:val="28"/>
        </w:numPr>
        <w:spacing w:before="240" w:after="120" w:line="240" w:lineRule="auto"/>
        <w:ind w:left="284" w:hanging="284"/>
        <w:contextualSpacing w:val="0"/>
        <w:jc w:val="both"/>
        <w:rPr>
          <w:rFonts w:cstheme="minorHAnsi"/>
          <w:sz w:val="24"/>
          <w:szCs w:val="24"/>
        </w:rPr>
      </w:pPr>
      <w:r w:rsidRPr="00D6489E">
        <w:rPr>
          <w:rFonts w:cstheme="minorHAnsi"/>
          <w:b/>
          <w:sz w:val="24"/>
          <w:szCs w:val="24"/>
        </w:rPr>
        <w:t xml:space="preserve">Kvalita základního výzkumu roste, ale pomalu </w:t>
      </w:r>
    </w:p>
    <w:p w14:paraId="115DA74E" w14:textId="1CB9883D" w:rsidR="00D61820" w:rsidRPr="00CD2969" w:rsidRDefault="00D61820" w:rsidP="00CD2969">
      <w:pPr>
        <w:spacing w:before="120" w:after="0" w:line="240" w:lineRule="auto"/>
        <w:jc w:val="both"/>
        <w:rPr>
          <w:sz w:val="24"/>
          <w:szCs w:val="24"/>
        </w:rPr>
      </w:pPr>
      <w:r w:rsidRPr="00176A45">
        <w:rPr>
          <w:sz w:val="24"/>
          <w:szCs w:val="24"/>
        </w:rPr>
        <w:t>GA ČR od roku 2018 navyšuje financování základního výzkumu</w:t>
      </w:r>
      <w:r w:rsidR="00D90C44">
        <w:rPr>
          <w:sz w:val="24"/>
          <w:szCs w:val="24"/>
        </w:rPr>
        <w:t>, v roce 2</w:t>
      </w:r>
      <w:r w:rsidR="00310EAA">
        <w:rPr>
          <w:sz w:val="24"/>
          <w:szCs w:val="24"/>
        </w:rPr>
        <w:t>023 činila tato částka přes 4,5 mld</w:t>
      </w:r>
      <w:r w:rsidRPr="00176A45">
        <w:rPr>
          <w:sz w:val="24"/>
          <w:szCs w:val="24"/>
        </w:rPr>
        <w:t>.</w:t>
      </w:r>
      <w:r w:rsidR="00310EAA">
        <w:rPr>
          <w:sz w:val="24"/>
          <w:szCs w:val="24"/>
        </w:rPr>
        <w:t xml:space="preserve"> Kč.</w:t>
      </w:r>
      <w:r w:rsidRPr="00176A45">
        <w:rPr>
          <w:sz w:val="24"/>
          <w:szCs w:val="24"/>
        </w:rPr>
        <w:t xml:space="preserve"> Počet </w:t>
      </w:r>
      <w:r w:rsidR="00A035FD">
        <w:rPr>
          <w:sz w:val="24"/>
          <w:szCs w:val="24"/>
        </w:rPr>
        <w:t xml:space="preserve">podpořených </w:t>
      </w:r>
      <w:r w:rsidRPr="00176A45">
        <w:rPr>
          <w:sz w:val="24"/>
          <w:szCs w:val="24"/>
        </w:rPr>
        <w:t xml:space="preserve">projektů </w:t>
      </w:r>
      <w:r w:rsidR="00840767">
        <w:rPr>
          <w:sz w:val="24"/>
          <w:szCs w:val="24"/>
        </w:rPr>
        <w:t xml:space="preserve">GA ČR </w:t>
      </w:r>
      <w:r w:rsidRPr="00176A45">
        <w:rPr>
          <w:sz w:val="24"/>
          <w:szCs w:val="24"/>
        </w:rPr>
        <w:t>klesá a jejich průměrná cena roste. GA</w:t>
      </w:r>
      <w:r w:rsidR="00AF5C21">
        <w:rPr>
          <w:sz w:val="24"/>
          <w:szCs w:val="24"/>
        </w:rPr>
        <w:t> </w:t>
      </w:r>
      <w:r w:rsidRPr="00176A45">
        <w:rPr>
          <w:sz w:val="24"/>
          <w:szCs w:val="24"/>
        </w:rPr>
        <w:t>ČR to vysvětluje důrazem na kvalitu vybíraných projektů</w:t>
      </w:r>
      <w:r w:rsidR="00840767">
        <w:rPr>
          <w:sz w:val="24"/>
          <w:szCs w:val="24"/>
        </w:rPr>
        <w:t xml:space="preserve"> a zvyšování</w:t>
      </w:r>
      <w:r w:rsidR="00C10987">
        <w:rPr>
          <w:sz w:val="24"/>
          <w:szCs w:val="24"/>
        </w:rPr>
        <w:t>m</w:t>
      </w:r>
      <w:r w:rsidR="00840767">
        <w:rPr>
          <w:sz w:val="24"/>
          <w:szCs w:val="24"/>
        </w:rPr>
        <w:t xml:space="preserve"> cenové hladiny</w:t>
      </w:r>
      <w:r w:rsidRPr="00176A45">
        <w:rPr>
          <w:sz w:val="24"/>
          <w:szCs w:val="24"/>
        </w:rPr>
        <w:t xml:space="preserve">. </w:t>
      </w:r>
      <w:r w:rsidR="00840767">
        <w:rPr>
          <w:sz w:val="24"/>
          <w:szCs w:val="24"/>
        </w:rPr>
        <w:t>Kvalita</w:t>
      </w:r>
      <w:r w:rsidR="004F5011">
        <w:rPr>
          <w:sz w:val="24"/>
          <w:szCs w:val="24"/>
        </w:rPr>
        <w:t xml:space="preserve"> </w:t>
      </w:r>
      <w:r w:rsidRPr="00176A45">
        <w:rPr>
          <w:sz w:val="24"/>
          <w:szCs w:val="24"/>
        </w:rPr>
        <w:t xml:space="preserve">skutečně roste, ale pomalu. </w:t>
      </w:r>
      <w:r w:rsidR="0002716D" w:rsidRPr="0002716D">
        <w:rPr>
          <w:sz w:val="24"/>
          <w:szCs w:val="24"/>
        </w:rPr>
        <w:t>Od roku 2019 se podíl článků financovaných GA ČR, které se zařadily mezi 10 % nejcitovanějších publikací na</w:t>
      </w:r>
      <w:r w:rsidR="0002716D">
        <w:rPr>
          <w:sz w:val="24"/>
          <w:szCs w:val="24"/>
        </w:rPr>
        <w:t> </w:t>
      </w:r>
      <w:r w:rsidR="0002716D" w:rsidRPr="0002716D">
        <w:rPr>
          <w:sz w:val="24"/>
          <w:szCs w:val="24"/>
        </w:rPr>
        <w:t>světě, zvýšil z 8,48 na 8,93 v roce 2023.</w:t>
      </w:r>
      <w:r w:rsidR="0002716D">
        <w:rPr>
          <w:sz w:val="24"/>
          <w:szCs w:val="24"/>
        </w:rPr>
        <w:t xml:space="preserve"> </w:t>
      </w:r>
      <w:r w:rsidRPr="00D749D5">
        <w:rPr>
          <w:sz w:val="24"/>
        </w:rPr>
        <w:t xml:space="preserve">NKÚ zároveň konstatuje, že </w:t>
      </w:r>
      <w:r w:rsidRPr="00176A45">
        <w:rPr>
          <w:rFonts w:cstheme="minorHAnsi"/>
          <w:sz w:val="24"/>
          <w:szCs w:val="24"/>
        </w:rPr>
        <w:t>GA ČR si pro hodnocení dopadů její podpory sice stanovila hodnot</w:t>
      </w:r>
      <w:r w:rsidR="00AF5C21">
        <w:rPr>
          <w:rFonts w:cstheme="minorHAnsi"/>
          <w:sz w:val="24"/>
          <w:szCs w:val="24"/>
        </w:rPr>
        <w:t>i</w:t>
      </w:r>
      <w:r w:rsidRPr="00176A45">
        <w:rPr>
          <w:rFonts w:cstheme="minorHAnsi"/>
          <w:sz w:val="24"/>
          <w:szCs w:val="24"/>
        </w:rPr>
        <w:t xml:space="preserve">cí indikátory, ale nenastavila konkrétní cílové hodnoty těchto indikátorů. To komplikuje vyhodnocování toho, jaký přínos </w:t>
      </w:r>
      <w:r w:rsidR="00C10987" w:rsidRPr="00176A45">
        <w:rPr>
          <w:rFonts w:cstheme="minorHAnsi"/>
          <w:sz w:val="24"/>
          <w:szCs w:val="24"/>
        </w:rPr>
        <w:t>pro řešení daných</w:t>
      </w:r>
      <w:r w:rsidR="00C10987">
        <w:rPr>
          <w:rFonts w:cstheme="minorHAnsi"/>
          <w:sz w:val="24"/>
          <w:szCs w:val="24"/>
        </w:rPr>
        <w:t xml:space="preserve"> </w:t>
      </w:r>
      <w:r w:rsidR="00C10987" w:rsidRPr="00176A45">
        <w:rPr>
          <w:rFonts w:cstheme="minorHAnsi"/>
          <w:sz w:val="24"/>
          <w:szCs w:val="24"/>
        </w:rPr>
        <w:t>problémů</w:t>
      </w:r>
      <w:r w:rsidR="00C10987">
        <w:rPr>
          <w:rFonts w:cstheme="minorHAnsi"/>
          <w:sz w:val="24"/>
          <w:szCs w:val="24"/>
        </w:rPr>
        <w:t xml:space="preserve"> tato</w:t>
      </w:r>
      <w:r w:rsidR="00C10987" w:rsidRPr="00176A45">
        <w:rPr>
          <w:rFonts w:cstheme="minorHAnsi"/>
          <w:sz w:val="24"/>
          <w:szCs w:val="24"/>
        </w:rPr>
        <w:t xml:space="preserve"> </w:t>
      </w:r>
      <w:r w:rsidRPr="00176A45">
        <w:rPr>
          <w:rFonts w:cstheme="minorHAnsi"/>
          <w:sz w:val="24"/>
          <w:szCs w:val="24"/>
        </w:rPr>
        <w:t xml:space="preserve">podpora </w:t>
      </w:r>
      <w:r w:rsidR="00C10987" w:rsidRPr="00176A45">
        <w:rPr>
          <w:rFonts w:cstheme="minorHAnsi"/>
          <w:sz w:val="24"/>
          <w:szCs w:val="24"/>
        </w:rPr>
        <w:t>má</w:t>
      </w:r>
      <w:r w:rsidRPr="00176A45">
        <w:rPr>
          <w:rFonts w:cstheme="minorHAnsi"/>
          <w:sz w:val="24"/>
          <w:szCs w:val="24"/>
        </w:rPr>
        <w:t>.</w:t>
      </w:r>
    </w:p>
    <w:p w14:paraId="50E804B2" w14:textId="48E1C4DD" w:rsidR="00D61820" w:rsidRPr="004F5011" w:rsidRDefault="00D61820" w:rsidP="005774A9">
      <w:pPr>
        <w:pStyle w:val="Odstavecseseznamem"/>
        <w:keepNext/>
        <w:numPr>
          <w:ilvl w:val="0"/>
          <w:numId w:val="28"/>
        </w:numPr>
        <w:spacing w:before="240" w:after="120" w:line="240" w:lineRule="auto"/>
        <w:ind w:left="284" w:hanging="284"/>
        <w:contextualSpacing w:val="0"/>
        <w:jc w:val="both"/>
        <w:rPr>
          <w:rFonts w:cstheme="minorHAnsi"/>
          <w:b/>
          <w:sz w:val="24"/>
          <w:szCs w:val="24"/>
        </w:rPr>
      </w:pPr>
      <w:r w:rsidRPr="00D749D5">
        <w:rPr>
          <w:rFonts w:cstheme="minorHAnsi"/>
          <w:b/>
          <w:sz w:val="24"/>
          <w:szCs w:val="24"/>
        </w:rPr>
        <w:lastRenderedPageBreak/>
        <w:t>Odstranění nedostatků z</w:t>
      </w:r>
      <w:r w:rsidR="004F5011">
        <w:rPr>
          <w:rFonts w:cstheme="minorHAnsi"/>
          <w:b/>
          <w:sz w:val="24"/>
          <w:szCs w:val="24"/>
        </w:rPr>
        <w:t> </w:t>
      </w:r>
      <w:r w:rsidR="00C60B73">
        <w:rPr>
          <w:rFonts w:cstheme="minorHAnsi"/>
          <w:b/>
          <w:sz w:val="24"/>
          <w:szCs w:val="24"/>
        </w:rPr>
        <w:t>předchozích</w:t>
      </w:r>
      <w:r w:rsidR="004F5011">
        <w:rPr>
          <w:rFonts w:cstheme="minorHAnsi"/>
          <w:b/>
          <w:sz w:val="24"/>
          <w:szCs w:val="24"/>
        </w:rPr>
        <w:t xml:space="preserve"> </w:t>
      </w:r>
      <w:r w:rsidRPr="004F5011">
        <w:rPr>
          <w:rFonts w:cstheme="minorHAnsi"/>
          <w:b/>
          <w:sz w:val="24"/>
          <w:szCs w:val="24"/>
        </w:rPr>
        <w:t>kontrol NKÚ</w:t>
      </w:r>
    </w:p>
    <w:p w14:paraId="014E1603" w14:textId="2C837143" w:rsidR="00D61820" w:rsidRPr="00D6404E" w:rsidRDefault="00D61820" w:rsidP="00E8115D">
      <w:pPr>
        <w:spacing w:after="120" w:line="240" w:lineRule="auto"/>
        <w:jc w:val="both"/>
        <w:rPr>
          <w:b/>
          <w:sz w:val="24"/>
          <w:szCs w:val="24"/>
        </w:rPr>
      </w:pPr>
      <w:r w:rsidRPr="00D6404E">
        <w:rPr>
          <w:sz w:val="24"/>
          <w:szCs w:val="24"/>
        </w:rPr>
        <w:t>GA ČR a TA ČR odstranily nedostatky v oblasti transparentnosti poskytování podpory, které jim NKÚ vytkl v rámci minulých kontrol</w:t>
      </w:r>
      <w:r w:rsidR="00FD1CC0" w:rsidRPr="00D6404E">
        <w:rPr>
          <w:rStyle w:val="Znakapoznpodarou"/>
          <w:rFonts w:cstheme="minorHAnsi"/>
          <w:sz w:val="24"/>
          <w:szCs w:val="24"/>
        </w:rPr>
        <w:footnoteReference w:id="4"/>
      </w:r>
      <w:r w:rsidRPr="00D6404E">
        <w:rPr>
          <w:sz w:val="24"/>
          <w:szCs w:val="24"/>
        </w:rPr>
        <w:t xml:space="preserve">. Naopak nedostatky v oblasti </w:t>
      </w:r>
      <w:r w:rsidR="001945E6">
        <w:rPr>
          <w:sz w:val="24"/>
          <w:szCs w:val="24"/>
        </w:rPr>
        <w:t xml:space="preserve">cílené </w:t>
      </w:r>
      <w:r w:rsidRPr="00D6404E">
        <w:rPr>
          <w:sz w:val="24"/>
          <w:szCs w:val="24"/>
        </w:rPr>
        <w:t>podpory orientovanéh</w:t>
      </w:r>
      <w:r w:rsidR="00E8115D" w:rsidRPr="00D6404E">
        <w:rPr>
          <w:sz w:val="24"/>
          <w:szCs w:val="24"/>
        </w:rPr>
        <w:t>o z</w:t>
      </w:r>
      <w:r w:rsidRPr="00D6404E">
        <w:rPr>
          <w:sz w:val="24"/>
          <w:szCs w:val="24"/>
        </w:rPr>
        <w:t>ákladního výzkumu a propojení základního výzkumu s dalšími fázemi inovačního procesu se</w:t>
      </w:r>
      <w:r w:rsidR="00FC4DE3">
        <w:rPr>
          <w:sz w:val="24"/>
          <w:szCs w:val="24"/>
        </w:rPr>
        <w:t xml:space="preserve"> </w:t>
      </w:r>
      <w:r w:rsidRPr="00D6404E">
        <w:rPr>
          <w:sz w:val="24"/>
          <w:szCs w:val="24"/>
        </w:rPr>
        <w:t xml:space="preserve">jim dosud </w:t>
      </w:r>
      <w:r w:rsidR="00D6404E" w:rsidRPr="00D6404E">
        <w:rPr>
          <w:sz w:val="24"/>
          <w:szCs w:val="24"/>
        </w:rPr>
        <w:t xml:space="preserve">odstranit </w:t>
      </w:r>
      <w:r w:rsidRPr="00D6404E">
        <w:rPr>
          <w:sz w:val="24"/>
          <w:szCs w:val="24"/>
        </w:rPr>
        <w:t>nepodařilo.</w:t>
      </w:r>
    </w:p>
    <w:bookmarkEnd w:id="2"/>
    <w:p w14:paraId="185ED55C" w14:textId="77777777" w:rsidR="00F470A1" w:rsidRPr="0088190A" w:rsidRDefault="00F470A1" w:rsidP="00D44236">
      <w:pPr>
        <w:keepNext/>
        <w:spacing w:before="840" w:after="240" w:line="240" w:lineRule="auto"/>
        <w:ind w:left="357"/>
        <w:jc w:val="center"/>
        <w:outlineLvl w:val="0"/>
        <w:rPr>
          <w:rFonts w:cstheme="minorHAnsi"/>
          <w:b/>
          <w:sz w:val="28"/>
        </w:rPr>
      </w:pPr>
      <w:r w:rsidRPr="0088190A">
        <w:rPr>
          <w:rFonts w:cstheme="minorHAnsi"/>
          <w:b/>
          <w:sz w:val="28"/>
        </w:rPr>
        <w:t>II. Informace o kontrolované oblasti</w:t>
      </w:r>
    </w:p>
    <w:p w14:paraId="092BE399" w14:textId="0D5D493D" w:rsidR="0081269F" w:rsidRPr="0088190A" w:rsidRDefault="00330295" w:rsidP="00DD54BA">
      <w:pPr>
        <w:autoSpaceDE w:val="0"/>
        <w:autoSpaceDN w:val="0"/>
        <w:adjustRightInd w:val="0"/>
        <w:spacing w:before="120" w:after="120" w:line="240" w:lineRule="auto"/>
        <w:jc w:val="both"/>
        <w:rPr>
          <w:rFonts w:cstheme="minorHAnsi"/>
          <w:sz w:val="24"/>
          <w:szCs w:val="24"/>
          <w:lang w:eastAsia="cs-CZ"/>
        </w:rPr>
      </w:pPr>
      <w:r>
        <w:rPr>
          <w:rFonts w:cstheme="minorHAnsi"/>
          <w:sz w:val="24"/>
          <w:szCs w:val="24"/>
          <w:lang w:eastAsia="cs-CZ"/>
        </w:rPr>
        <w:t xml:space="preserve">2.1 </w:t>
      </w:r>
      <w:r w:rsidR="0081269F" w:rsidRPr="0088190A">
        <w:rPr>
          <w:rFonts w:cstheme="minorHAnsi"/>
          <w:sz w:val="24"/>
          <w:szCs w:val="24"/>
          <w:lang w:eastAsia="cs-CZ"/>
        </w:rPr>
        <w:t xml:space="preserve">V České republice je </w:t>
      </w:r>
      <w:r w:rsidR="0081269F" w:rsidRPr="00396635">
        <w:rPr>
          <w:rFonts w:cstheme="minorHAnsi"/>
          <w:sz w:val="24"/>
          <w:szCs w:val="24"/>
          <w:lang w:eastAsia="cs-CZ"/>
        </w:rPr>
        <w:t xml:space="preserve">rozdělena </w:t>
      </w:r>
      <w:r w:rsidR="003F3A8F">
        <w:rPr>
          <w:rFonts w:cstheme="minorHAnsi"/>
          <w:sz w:val="24"/>
          <w:szCs w:val="24"/>
          <w:lang w:eastAsia="cs-CZ"/>
        </w:rPr>
        <w:t xml:space="preserve">účelová </w:t>
      </w:r>
      <w:r w:rsidR="0081269F" w:rsidRPr="00396635">
        <w:rPr>
          <w:rFonts w:cstheme="minorHAnsi"/>
          <w:sz w:val="24"/>
          <w:szCs w:val="24"/>
          <w:lang w:eastAsia="cs-CZ"/>
        </w:rPr>
        <w:t>podpora základního výzkumu a aplikovaného výzkumu</w:t>
      </w:r>
      <w:r w:rsidR="00E26014" w:rsidRPr="00396635">
        <w:rPr>
          <w:rFonts w:cstheme="minorHAnsi"/>
          <w:sz w:val="24"/>
          <w:szCs w:val="24"/>
          <w:lang w:eastAsia="cs-CZ"/>
        </w:rPr>
        <w:t>.</w:t>
      </w:r>
      <w:r w:rsidR="00F45F50" w:rsidRPr="00396635">
        <w:rPr>
          <w:rFonts w:cstheme="minorHAnsi"/>
          <w:sz w:val="24"/>
          <w:szCs w:val="24"/>
        </w:rPr>
        <w:t xml:space="preserve"> Problematika </w:t>
      </w:r>
      <w:proofErr w:type="spellStart"/>
      <w:r w:rsidR="00F45F50" w:rsidRPr="00396635">
        <w:rPr>
          <w:rFonts w:cstheme="minorHAnsi"/>
          <w:sz w:val="24"/>
          <w:szCs w:val="24"/>
        </w:rPr>
        <w:t>VaVaI</w:t>
      </w:r>
      <w:proofErr w:type="spellEnd"/>
      <w:r w:rsidR="00F45F50" w:rsidRPr="00396635">
        <w:rPr>
          <w:rFonts w:cstheme="minorHAnsi"/>
          <w:sz w:val="24"/>
          <w:szCs w:val="24"/>
        </w:rPr>
        <w:t xml:space="preserve"> je upravena zejména zákonem č. 130/2002 Sb., o podpoře výzkumu, experimentálního vývoje a inovací z veřejných prostředků a o změně některých souvisejících zákonů (zákon o podpoře výzkumu, experimentálního vývoje a inovací)</w:t>
      </w:r>
      <w:r w:rsidR="00FC4DE3">
        <w:rPr>
          <w:rFonts w:cstheme="minorHAnsi"/>
          <w:sz w:val="24"/>
          <w:szCs w:val="24"/>
        </w:rPr>
        <w:t>,</w:t>
      </w:r>
      <w:r w:rsidR="00396635" w:rsidRPr="00396635">
        <w:rPr>
          <w:rFonts w:cstheme="minorHAnsi"/>
          <w:sz w:val="24"/>
          <w:szCs w:val="24"/>
        </w:rPr>
        <w:t xml:space="preserve"> </w:t>
      </w:r>
      <w:r w:rsidR="00F45F50" w:rsidRPr="00396635">
        <w:rPr>
          <w:rFonts w:cstheme="minorHAnsi"/>
          <w:sz w:val="24"/>
          <w:szCs w:val="24"/>
        </w:rPr>
        <w:t>(dále také „zákon o</w:t>
      </w:r>
      <w:r w:rsidR="00F45F65">
        <w:rPr>
          <w:rFonts w:cstheme="minorHAnsi"/>
          <w:sz w:val="24"/>
          <w:szCs w:val="24"/>
        </w:rPr>
        <w:t> </w:t>
      </w:r>
      <w:proofErr w:type="spellStart"/>
      <w:r w:rsidR="00F45F50" w:rsidRPr="00396635">
        <w:rPr>
          <w:rFonts w:cstheme="minorHAnsi"/>
          <w:sz w:val="24"/>
          <w:szCs w:val="24"/>
        </w:rPr>
        <w:t>VaVaI</w:t>
      </w:r>
      <w:proofErr w:type="spellEnd"/>
      <w:r w:rsidR="00F45F50" w:rsidRPr="00396635">
        <w:rPr>
          <w:rFonts w:cstheme="minorHAnsi"/>
          <w:sz w:val="24"/>
          <w:szCs w:val="24"/>
        </w:rPr>
        <w:t>“)</w:t>
      </w:r>
      <w:r w:rsidR="00F45F65">
        <w:rPr>
          <w:rFonts w:cstheme="minorHAnsi"/>
          <w:sz w:val="24"/>
          <w:szCs w:val="24"/>
        </w:rPr>
        <w:t>.</w:t>
      </w:r>
    </w:p>
    <w:p w14:paraId="73C70865" w14:textId="7245903D" w:rsidR="00EB1C3D" w:rsidRPr="0088190A" w:rsidRDefault="00330295" w:rsidP="00DD54BA">
      <w:pPr>
        <w:spacing w:after="120" w:line="240" w:lineRule="auto"/>
        <w:jc w:val="both"/>
        <w:rPr>
          <w:rFonts w:cstheme="minorHAnsi"/>
          <w:sz w:val="24"/>
          <w:szCs w:val="24"/>
        </w:rPr>
      </w:pPr>
      <w:r>
        <w:rPr>
          <w:rFonts w:cstheme="minorHAnsi"/>
          <w:sz w:val="24"/>
          <w:szCs w:val="24"/>
        </w:rPr>
        <w:t xml:space="preserve">2.2 </w:t>
      </w:r>
      <w:r w:rsidR="00EB1C3D" w:rsidRPr="0088190A">
        <w:rPr>
          <w:rFonts w:cstheme="minorHAnsi"/>
          <w:b/>
          <w:sz w:val="24"/>
          <w:szCs w:val="24"/>
        </w:rPr>
        <w:t>Základní výzkum</w:t>
      </w:r>
      <w:r w:rsidR="00EB1C3D" w:rsidRPr="0088190A">
        <w:rPr>
          <w:rFonts w:cstheme="minorHAnsi"/>
          <w:sz w:val="24"/>
          <w:szCs w:val="24"/>
        </w:rPr>
        <w:t xml:space="preserve"> je členěn na čistý základní výzkum a orientovaný základní výzkum. </w:t>
      </w:r>
      <w:r w:rsidR="00EB1C3D" w:rsidRPr="0088190A">
        <w:rPr>
          <w:rFonts w:cstheme="minorHAnsi"/>
          <w:b/>
          <w:sz w:val="24"/>
          <w:szCs w:val="24"/>
        </w:rPr>
        <w:t>Čistý základní výzkum</w:t>
      </w:r>
      <w:r w:rsidR="00EB1C3D" w:rsidRPr="0088190A">
        <w:rPr>
          <w:rFonts w:cstheme="minorHAnsi"/>
          <w:sz w:val="24"/>
          <w:szCs w:val="24"/>
        </w:rPr>
        <w:t xml:space="preserve"> se provádí v zájmu rozvoje poznání, bez usilování o dlouhodobý ekonomický nebo společenský prospěch nebo snahy aplikovat výsledky na praktické problémy nebo předat výsledky do sektorů odpovědných za jejich aplikaci. </w:t>
      </w:r>
      <w:r w:rsidR="00EB1C3D" w:rsidRPr="0088190A">
        <w:rPr>
          <w:rFonts w:cstheme="minorHAnsi"/>
          <w:b/>
          <w:sz w:val="24"/>
          <w:szCs w:val="24"/>
        </w:rPr>
        <w:t xml:space="preserve">Orientovaný základní výzkum </w:t>
      </w:r>
      <w:r w:rsidR="00EB1C3D" w:rsidRPr="0088190A">
        <w:rPr>
          <w:rFonts w:cstheme="minorHAnsi"/>
          <w:sz w:val="24"/>
          <w:szCs w:val="24"/>
        </w:rPr>
        <w:t>se provádí s očekáváním, že poskytne širokou základnu poznatků, kter</w:t>
      </w:r>
      <w:r w:rsidR="00FC4DE3">
        <w:rPr>
          <w:rFonts w:cstheme="minorHAnsi"/>
          <w:sz w:val="24"/>
          <w:szCs w:val="24"/>
        </w:rPr>
        <w:t>é</w:t>
      </w:r>
      <w:r w:rsidR="00EB1C3D" w:rsidRPr="0088190A">
        <w:rPr>
          <w:rFonts w:cstheme="minorHAnsi"/>
          <w:sz w:val="24"/>
          <w:szCs w:val="24"/>
        </w:rPr>
        <w:t xml:space="preserve"> se pravděpodobně stan</w:t>
      </w:r>
      <w:r w:rsidR="00FC4DE3">
        <w:rPr>
          <w:rFonts w:cstheme="minorHAnsi"/>
          <w:sz w:val="24"/>
          <w:szCs w:val="24"/>
        </w:rPr>
        <w:t>ou</w:t>
      </w:r>
      <w:r w:rsidR="00EB1C3D" w:rsidRPr="0088190A">
        <w:rPr>
          <w:rFonts w:cstheme="minorHAnsi"/>
          <w:sz w:val="24"/>
          <w:szCs w:val="24"/>
        </w:rPr>
        <w:t xml:space="preserve"> základem pro řešení</w:t>
      </w:r>
      <w:r w:rsidR="00F622E0">
        <w:rPr>
          <w:rFonts w:cstheme="minorHAnsi"/>
          <w:sz w:val="24"/>
          <w:szCs w:val="24"/>
        </w:rPr>
        <w:t xml:space="preserve"> konkrétních společenských a hospodářských cílů.</w:t>
      </w:r>
    </w:p>
    <w:p w14:paraId="359A0427" w14:textId="250FC864" w:rsidR="0081269F" w:rsidRDefault="00330295" w:rsidP="00DD54BA">
      <w:pPr>
        <w:spacing w:after="120" w:line="240" w:lineRule="auto"/>
        <w:jc w:val="both"/>
        <w:rPr>
          <w:rFonts w:cstheme="minorHAnsi"/>
          <w:sz w:val="24"/>
          <w:szCs w:val="24"/>
        </w:rPr>
      </w:pPr>
      <w:r>
        <w:rPr>
          <w:rFonts w:cstheme="minorHAnsi"/>
          <w:sz w:val="24"/>
          <w:szCs w:val="24"/>
        </w:rPr>
        <w:t xml:space="preserve">2.3 </w:t>
      </w:r>
      <w:r w:rsidR="0081269F" w:rsidRPr="0088190A">
        <w:rPr>
          <w:rFonts w:cstheme="minorHAnsi"/>
          <w:sz w:val="24"/>
          <w:szCs w:val="24"/>
        </w:rPr>
        <w:t xml:space="preserve">V </w:t>
      </w:r>
      <w:r w:rsidR="0081269F" w:rsidRPr="0088190A">
        <w:rPr>
          <w:rFonts w:cstheme="minorHAnsi"/>
          <w:b/>
          <w:sz w:val="24"/>
          <w:szCs w:val="24"/>
        </w:rPr>
        <w:t>aplikovaném výzkumu</w:t>
      </w:r>
      <w:r w:rsidR="0081269F" w:rsidRPr="0088190A">
        <w:rPr>
          <w:rFonts w:cstheme="minorHAnsi"/>
          <w:sz w:val="24"/>
          <w:szCs w:val="24"/>
        </w:rPr>
        <w:t xml:space="preserve"> jsou výsledkem nové poznatky a dovednosti pro vývoj výrobků, postupů nebo služeb, poznatky a dovednosti uplatněné jako výsledky, které jsou chráněny podle zákonů upravujících ochranu výsledků autorské, vynálezecké nebo obdobné činnosti nebo využívané odbornou veřejností či jinými uživateli, nebo poznatky a dovednosti pro</w:t>
      </w:r>
      <w:r w:rsidR="00FC4DE3">
        <w:rPr>
          <w:rFonts w:cstheme="minorHAnsi"/>
          <w:sz w:val="24"/>
          <w:szCs w:val="24"/>
        </w:rPr>
        <w:t xml:space="preserve"> </w:t>
      </w:r>
      <w:r w:rsidR="0081269F" w:rsidRPr="0088190A">
        <w:rPr>
          <w:rFonts w:cstheme="minorHAnsi"/>
          <w:sz w:val="24"/>
          <w:szCs w:val="24"/>
        </w:rPr>
        <w:t>potřeby poskytovatele, využité v jeho činnosti, pokud vznikly při plnění veřejné zakázky nebo ve vývoji návrhy nových nebo podstatně zdokonalených výrobků, postupů nebo služeb. V </w:t>
      </w:r>
      <w:r w:rsidR="0081269F" w:rsidRPr="0088190A">
        <w:rPr>
          <w:rFonts w:cstheme="minorHAnsi"/>
          <w:b/>
          <w:sz w:val="24"/>
          <w:szCs w:val="24"/>
        </w:rPr>
        <w:t xml:space="preserve">inovacích </w:t>
      </w:r>
      <w:r w:rsidR="0081269F" w:rsidRPr="0088190A">
        <w:rPr>
          <w:rFonts w:cstheme="minorHAnsi"/>
          <w:sz w:val="24"/>
          <w:szCs w:val="24"/>
        </w:rPr>
        <w:t>jsou</w:t>
      </w:r>
      <w:r w:rsidR="0081269F" w:rsidRPr="0088190A">
        <w:rPr>
          <w:rFonts w:cstheme="minorHAnsi"/>
          <w:b/>
          <w:sz w:val="24"/>
          <w:szCs w:val="24"/>
        </w:rPr>
        <w:t xml:space="preserve"> </w:t>
      </w:r>
      <w:r w:rsidR="0081269F" w:rsidRPr="0088190A">
        <w:rPr>
          <w:rFonts w:cstheme="minorHAnsi"/>
          <w:sz w:val="24"/>
          <w:szCs w:val="24"/>
        </w:rPr>
        <w:t xml:space="preserve">výsledky nové nebo podstatně zdokonalené výrobky, postupy nebo služby, zavedené do praxe. </w:t>
      </w:r>
    </w:p>
    <w:p w14:paraId="0D017E91" w14:textId="39085E4E" w:rsidR="008355F8" w:rsidRPr="0088190A" w:rsidRDefault="008355F8" w:rsidP="00DD54BA">
      <w:pPr>
        <w:spacing w:after="120" w:line="240" w:lineRule="auto"/>
        <w:jc w:val="both"/>
        <w:rPr>
          <w:rFonts w:cstheme="minorHAnsi"/>
          <w:sz w:val="24"/>
          <w:szCs w:val="24"/>
        </w:rPr>
      </w:pPr>
      <w:r>
        <w:rPr>
          <w:rFonts w:cstheme="minorHAnsi"/>
          <w:sz w:val="24"/>
          <w:szCs w:val="24"/>
        </w:rPr>
        <w:t xml:space="preserve">2.4 </w:t>
      </w:r>
      <w:r w:rsidRPr="008355F8">
        <w:rPr>
          <w:rFonts w:cstheme="minorHAnsi"/>
          <w:b/>
          <w:bCs/>
          <w:sz w:val="24"/>
          <w:szCs w:val="24"/>
        </w:rPr>
        <w:t>Účelová podpora</w:t>
      </w:r>
      <w:r w:rsidR="0000133A">
        <w:rPr>
          <w:rFonts w:cstheme="minorHAnsi"/>
          <w:b/>
          <w:bCs/>
          <w:sz w:val="24"/>
          <w:szCs w:val="24"/>
        </w:rPr>
        <w:t xml:space="preserve"> </w:t>
      </w:r>
      <w:r w:rsidRPr="008355F8">
        <w:rPr>
          <w:rFonts w:cstheme="minorHAnsi"/>
          <w:sz w:val="24"/>
          <w:szCs w:val="24"/>
        </w:rPr>
        <w:t xml:space="preserve">představuje veřejné </w:t>
      </w:r>
      <w:r w:rsidR="0000133A">
        <w:rPr>
          <w:rFonts w:cstheme="minorHAnsi"/>
          <w:sz w:val="24"/>
          <w:szCs w:val="24"/>
        </w:rPr>
        <w:t>peněžní</w:t>
      </w:r>
      <w:r w:rsidRPr="008355F8">
        <w:rPr>
          <w:rFonts w:cstheme="minorHAnsi"/>
          <w:sz w:val="24"/>
          <w:szCs w:val="24"/>
        </w:rPr>
        <w:t xml:space="preserve"> prostředky poskytované na základě soutěže na konkrétní projekty </w:t>
      </w:r>
      <w:proofErr w:type="spellStart"/>
      <w:r w:rsidR="0000133A">
        <w:rPr>
          <w:rFonts w:cstheme="minorHAnsi"/>
          <w:sz w:val="24"/>
          <w:szCs w:val="24"/>
        </w:rPr>
        <w:t>VaVaI</w:t>
      </w:r>
      <w:proofErr w:type="spellEnd"/>
      <w:r w:rsidRPr="008355F8">
        <w:rPr>
          <w:rFonts w:cstheme="minorHAnsi"/>
          <w:sz w:val="24"/>
          <w:szCs w:val="24"/>
        </w:rPr>
        <w:t xml:space="preserve">. Je vázána na jasně vymezené cíle, časový rámec a rozpočet daného projektu. Naproti tomu </w:t>
      </w:r>
      <w:r w:rsidRPr="008355F8">
        <w:rPr>
          <w:rFonts w:cstheme="minorHAnsi"/>
          <w:b/>
          <w:bCs/>
          <w:sz w:val="24"/>
          <w:szCs w:val="24"/>
        </w:rPr>
        <w:t>institucionální podpora</w:t>
      </w:r>
      <w:r w:rsidRPr="008355F8">
        <w:rPr>
          <w:rFonts w:cstheme="minorHAnsi"/>
          <w:sz w:val="24"/>
          <w:szCs w:val="24"/>
        </w:rPr>
        <w:t xml:space="preserve"> je určena na dlouhodobý koncepční rozvoj výzkumné organizace. Slouží k financování její stabilní výzkumné činnosti a rozděluje se na základě hodnocení výsledků a výzkumného výkonu organizace.</w:t>
      </w:r>
      <w:r w:rsidR="00970FE1">
        <w:rPr>
          <w:rFonts w:cstheme="minorHAnsi"/>
          <w:sz w:val="24"/>
          <w:szCs w:val="24"/>
        </w:rPr>
        <w:t xml:space="preserve"> </w:t>
      </w:r>
      <w:r w:rsidR="00FC4DE3">
        <w:rPr>
          <w:rFonts w:cstheme="minorHAnsi"/>
          <w:sz w:val="24"/>
          <w:szCs w:val="24"/>
        </w:rPr>
        <w:t>Tato k</w:t>
      </w:r>
      <w:r w:rsidR="00607212">
        <w:rPr>
          <w:rFonts w:cstheme="minorHAnsi"/>
          <w:sz w:val="24"/>
          <w:szCs w:val="24"/>
        </w:rPr>
        <w:t xml:space="preserve">ontrolní akce </w:t>
      </w:r>
      <w:r w:rsidR="00970FE1">
        <w:rPr>
          <w:rFonts w:cstheme="minorHAnsi"/>
          <w:sz w:val="24"/>
          <w:szCs w:val="24"/>
        </w:rPr>
        <w:t>byla zaměřena na účelovou podporu.</w:t>
      </w:r>
    </w:p>
    <w:p w14:paraId="709E1093" w14:textId="041EC480" w:rsidR="00413802" w:rsidRPr="0088190A" w:rsidRDefault="00330295" w:rsidP="00DD54BA">
      <w:pPr>
        <w:spacing w:before="120" w:after="120" w:line="240" w:lineRule="auto"/>
        <w:jc w:val="both"/>
        <w:rPr>
          <w:rFonts w:cstheme="minorHAnsi"/>
          <w:sz w:val="24"/>
        </w:rPr>
      </w:pPr>
      <w:r>
        <w:rPr>
          <w:rFonts w:cstheme="minorHAnsi"/>
          <w:b/>
          <w:sz w:val="24"/>
          <w:szCs w:val="24"/>
        </w:rPr>
        <w:t>2.</w:t>
      </w:r>
      <w:r w:rsidR="008355F8">
        <w:rPr>
          <w:rFonts w:cstheme="minorHAnsi"/>
          <w:b/>
          <w:sz w:val="24"/>
          <w:szCs w:val="24"/>
        </w:rPr>
        <w:t>5</w:t>
      </w:r>
      <w:r>
        <w:rPr>
          <w:rFonts w:cstheme="minorHAnsi"/>
          <w:b/>
          <w:sz w:val="24"/>
          <w:szCs w:val="24"/>
        </w:rPr>
        <w:t xml:space="preserve"> </w:t>
      </w:r>
      <w:r w:rsidR="009222D6" w:rsidRPr="00330295">
        <w:rPr>
          <w:rFonts w:cstheme="minorHAnsi"/>
          <w:b/>
          <w:sz w:val="24"/>
          <w:szCs w:val="24"/>
        </w:rPr>
        <w:t>Grantová agentura České republiky</w:t>
      </w:r>
      <w:r w:rsidR="009222D6" w:rsidRPr="0088190A">
        <w:rPr>
          <w:rFonts w:cstheme="minorHAnsi"/>
          <w:sz w:val="24"/>
          <w:szCs w:val="24"/>
        </w:rPr>
        <w:t xml:space="preserve"> je organizační složka státu, která poskytuje z</w:t>
      </w:r>
      <w:r w:rsidR="00D63175">
        <w:rPr>
          <w:rFonts w:cstheme="minorHAnsi"/>
          <w:sz w:val="24"/>
          <w:szCs w:val="24"/>
        </w:rPr>
        <w:t> </w:t>
      </w:r>
      <w:r w:rsidR="009222D6" w:rsidRPr="0088190A">
        <w:rPr>
          <w:rFonts w:cstheme="minorHAnsi"/>
          <w:sz w:val="24"/>
          <w:szCs w:val="24"/>
        </w:rPr>
        <w:t>veřejných prostředků účelovou podporu</w:t>
      </w:r>
      <w:r w:rsidR="0005615A">
        <w:rPr>
          <w:rFonts w:cstheme="minorHAnsi"/>
          <w:sz w:val="24"/>
          <w:szCs w:val="24"/>
        </w:rPr>
        <w:t xml:space="preserve"> pouze</w:t>
      </w:r>
      <w:r w:rsidR="009222D6" w:rsidRPr="0088190A">
        <w:rPr>
          <w:rFonts w:cstheme="minorHAnsi"/>
          <w:sz w:val="24"/>
          <w:szCs w:val="24"/>
        </w:rPr>
        <w:t xml:space="preserve"> na projekty základního výzkumu. </w:t>
      </w:r>
      <w:r w:rsidR="00EB1C3D" w:rsidRPr="0088190A">
        <w:rPr>
          <w:rFonts w:cstheme="minorHAnsi"/>
          <w:sz w:val="24"/>
          <w:szCs w:val="24"/>
        </w:rPr>
        <w:t xml:space="preserve">GA ČR </w:t>
      </w:r>
      <w:r w:rsidR="00F45F50">
        <w:rPr>
          <w:rFonts w:cstheme="minorHAnsi"/>
          <w:sz w:val="24"/>
          <w:szCs w:val="24"/>
        </w:rPr>
        <w:t xml:space="preserve">je správcem kapitoly státního rozpočtu účelových a institucionálních prostředků. </w:t>
      </w:r>
      <w:r w:rsidR="009222D6" w:rsidRPr="0088190A">
        <w:rPr>
          <w:rFonts w:cstheme="minorHAnsi"/>
          <w:sz w:val="24"/>
          <w:szCs w:val="24"/>
        </w:rPr>
        <w:t>GA ČR zahájila svoji činnost v roce 1993.</w:t>
      </w:r>
      <w:r w:rsidR="00EB1C3D" w:rsidRPr="0088190A">
        <w:rPr>
          <w:rFonts w:cstheme="minorHAnsi"/>
          <w:sz w:val="24"/>
          <w:szCs w:val="24"/>
        </w:rPr>
        <w:t xml:space="preserve"> </w:t>
      </w:r>
      <w:r w:rsidR="00EB1C3D" w:rsidRPr="0088190A">
        <w:rPr>
          <w:rFonts w:cstheme="minorHAnsi"/>
          <w:sz w:val="24"/>
        </w:rPr>
        <w:t xml:space="preserve">GA ČR zabezpečuje mj. přípravu a realizaci skupin grantových projektů a dalších aktivit v oblasti základního výzkumu včetně veřejných soutěží ve </w:t>
      </w:r>
      <w:proofErr w:type="spellStart"/>
      <w:r w:rsidR="00EB1C3D" w:rsidRPr="0088190A">
        <w:rPr>
          <w:rFonts w:cstheme="minorHAnsi"/>
          <w:sz w:val="24"/>
        </w:rPr>
        <w:t>VaVaI</w:t>
      </w:r>
      <w:proofErr w:type="spellEnd"/>
      <w:r w:rsidR="00EB1C3D" w:rsidRPr="0088190A">
        <w:rPr>
          <w:rFonts w:cstheme="minorHAnsi"/>
          <w:sz w:val="24"/>
        </w:rPr>
        <w:t xml:space="preserve"> na podporu grantových projektů.</w:t>
      </w:r>
    </w:p>
    <w:p w14:paraId="7AEED162" w14:textId="6C3155E6" w:rsidR="00B63084" w:rsidRPr="0088190A" w:rsidRDefault="003D6569" w:rsidP="00DD54BA">
      <w:pPr>
        <w:spacing w:before="120" w:after="120" w:line="240" w:lineRule="auto"/>
        <w:jc w:val="both"/>
        <w:rPr>
          <w:rFonts w:cstheme="minorHAnsi"/>
          <w:sz w:val="24"/>
          <w:szCs w:val="24"/>
        </w:rPr>
      </w:pPr>
      <w:r>
        <w:rPr>
          <w:rFonts w:cstheme="minorHAnsi"/>
          <w:sz w:val="24"/>
          <w:szCs w:val="24"/>
        </w:rPr>
        <w:lastRenderedPageBreak/>
        <w:t>2.</w:t>
      </w:r>
      <w:r w:rsidR="008355F8">
        <w:rPr>
          <w:rFonts w:cstheme="minorHAnsi"/>
          <w:sz w:val="24"/>
          <w:szCs w:val="24"/>
        </w:rPr>
        <w:t>6</w:t>
      </w:r>
      <w:r>
        <w:rPr>
          <w:rFonts w:cstheme="minorHAnsi"/>
          <w:sz w:val="24"/>
          <w:szCs w:val="24"/>
        </w:rPr>
        <w:t xml:space="preserve"> </w:t>
      </w:r>
      <w:r w:rsidR="00B63084" w:rsidRPr="0088190A">
        <w:rPr>
          <w:rFonts w:cstheme="minorHAnsi"/>
          <w:sz w:val="24"/>
          <w:szCs w:val="24"/>
        </w:rPr>
        <w:t xml:space="preserve">Přehled účelové podpory </w:t>
      </w:r>
      <w:r w:rsidR="00D63175">
        <w:rPr>
          <w:rFonts w:cstheme="minorHAnsi"/>
          <w:sz w:val="24"/>
          <w:szCs w:val="24"/>
        </w:rPr>
        <w:t xml:space="preserve">poskytnuté </w:t>
      </w:r>
      <w:r w:rsidR="00B63084" w:rsidRPr="0088190A">
        <w:rPr>
          <w:rFonts w:cstheme="minorHAnsi"/>
          <w:sz w:val="24"/>
          <w:szCs w:val="24"/>
        </w:rPr>
        <w:t>GA ČR v období let 2021 až 2023 dle jednotlivých skupin projektů zobrazuje následující tabulka</w:t>
      </w:r>
      <w:r w:rsidR="00C10987">
        <w:rPr>
          <w:rFonts w:cstheme="minorHAnsi"/>
          <w:sz w:val="24"/>
          <w:szCs w:val="24"/>
        </w:rPr>
        <w:t xml:space="preserve"> č. 1</w:t>
      </w:r>
      <w:r w:rsidR="00B63084" w:rsidRPr="0088190A">
        <w:rPr>
          <w:rFonts w:cstheme="minorHAnsi"/>
          <w:sz w:val="24"/>
          <w:szCs w:val="24"/>
        </w:rPr>
        <w:t>.</w:t>
      </w:r>
    </w:p>
    <w:p w14:paraId="36E391B7" w14:textId="354E8F5C" w:rsidR="00EB1C3D" w:rsidRPr="007F4773" w:rsidRDefault="00EB1C3D" w:rsidP="00C475A9">
      <w:pPr>
        <w:tabs>
          <w:tab w:val="right" w:pos="9072"/>
        </w:tabs>
        <w:spacing w:before="120" w:after="40" w:line="240" w:lineRule="auto"/>
        <w:jc w:val="both"/>
        <w:rPr>
          <w:rFonts w:cstheme="minorHAnsi"/>
          <w:b/>
          <w:sz w:val="28"/>
        </w:rPr>
      </w:pPr>
      <w:r w:rsidRPr="007F4773">
        <w:rPr>
          <w:rFonts w:cstheme="minorHAnsi"/>
          <w:b/>
          <w:sz w:val="24"/>
        </w:rPr>
        <w:t xml:space="preserve">Tabulka č. 1: Účelová podpora GA ČR dle skupin projektů v letech 2021 až 2023 </w:t>
      </w:r>
      <w:r w:rsidR="00FC4DE3">
        <w:rPr>
          <w:rFonts w:cstheme="minorHAnsi"/>
          <w:b/>
          <w:sz w:val="24"/>
        </w:rPr>
        <w:tab/>
      </w:r>
      <w:r w:rsidRPr="007F4773">
        <w:rPr>
          <w:rFonts w:cstheme="minorHAnsi"/>
          <w:b/>
          <w:sz w:val="24"/>
        </w:rPr>
        <w:t>(v tis. Kč)</w:t>
      </w:r>
    </w:p>
    <w:tbl>
      <w:tblPr>
        <w:tblW w:w="5000" w:type="pct"/>
        <w:tblCellMar>
          <w:left w:w="70" w:type="dxa"/>
          <w:right w:w="70" w:type="dxa"/>
        </w:tblCellMar>
        <w:tblLook w:val="04A0" w:firstRow="1" w:lastRow="0" w:firstColumn="1" w:lastColumn="0" w:noHBand="0" w:noVBand="1"/>
      </w:tblPr>
      <w:tblGrid>
        <w:gridCol w:w="3585"/>
        <w:gridCol w:w="1098"/>
        <w:gridCol w:w="1116"/>
        <w:gridCol w:w="981"/>
        <w:gridCol w:w="1082"/>
        <w:gridCol w:w="1200"/>
      </w:tblGrid>
      <w:tr w:rsidR="00EB1C3D" w:rsidRPr="0088190A" w14:paraId="13047AD8" w14:textId="77777777" w:rsidTr="005B5580">
        <w:trPr>
          <w:trHeight w:val="20"/>
        </w:trPr>
        <w:tc>
          <w:tcPr>
            <w:tcW w:w="197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359EFB9" w14:textId="77777777" w:rsidR="00EB1C3D" w:rsidRPr="0088190A" w:rsidRDefault="00EB1C3D" w:rsidP="005B5580">
            <w:pPr>
              <w:spacing w:after="0" w:line="240" w:lineRule="auto"/>
              <w:jc w:val="center"/>
              <w:rPr>
                <w:rFonts w:eastAsia="Times New Roman" w:cstheme="minorHAnsi"/>
                <w:b/>
                <w:bCs/>
                <w:color w:val="000000"/>
                <w:sz w:val="20"/>
                <w:szCs w:val="20"/>
                <w:lang w:eastAsia="cs-CZ"/>
              </w:rPr>
            </w:pPr>
            <w:r w:rsidRPr="0088190A">
              <w:rPr>
                <w:rFonts w:eastAsia="Times New Roman" w:cstheme="minorHAnsi"/>
                <w:b/>
                <w:bCs/>
                <w:color w:val="000000"/>
                <w:sz w:val="20"/>
                <w:szCs w:val="20"/>
              </w:rPr>
              <w:t>Skupiny grantových projektů</w:t>
            </w:r>
          </w:p>
        </w:tc>
        <w:tc>
          <w:tcPr>
            <w:tcW w:w="606" w:type="pct"/>
            <w:tcBorders>
              <w:top w:val="single" w:sz="4" w:space="0" w:color="auto"/>
              <w:left w:val="nil"/>
              <w:bottom w:val="single" w:sz="4" w:space="0" w:color="auto"/>
              <w:right w:val="single" w:sz="4" w:space="0" w:color="auto"/>
            </w:tcBorders>
            <w:shd w:val="clear" w:color="auto" w:fill="E6E6E6"/>
            <w:noWrap/>
            <w:vAlign w:val="center"/>
            <w:hideMark/>
          </w:tcPr>
          <w:p w14:paraId="3C4E68AB" w14:textId="77777777" w:rsidR="00EB1C3D" w:rsidRPr="0088190A" w:rsidRDefault="00EB1C3D" w:rsidP="005B5580">
            <w:pPr>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2021</w:t>
            </w:r>
          </w:p>
        </w:tc>
        <w:tc>
          <w:tcPr>
            <w:tcW w:w="616" w:type="pct"/>
            <w:tcBorders>
              <w:top w:val="single" w:sz="4" w:space="0" w:color="auto"/>
              <w:left w:val="nil"/>
              <w:bottom w:val="single" w:sz="4" w:space="0" w:color="auto"/>
              <w:right w:val="single" w:sz="4" w:space="0" w:color="auto"/>
            </w:tcBorders>
            <w:shd w:val="clear" w:color="auto" w:fill="E6E6E6"/>
            <w:noWrap/>
            <w:vAlign w:val="center"/>
            <w:hideMark/>
          </w:tcPr>
          <w:p w14:paraId="27124782" w14:textId="77777777" w:rsidR="00EB1C3D" w:rsidRPr="0088190A" w:rsidRDefault="00EB1C3D" w:rsidP="005B5580">
            <w:pPr>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2022</w:t>
            </w:r>
          </w:p>
        </w:tc>
        <w:tc>
          <w:tcPr>
            <w:tcW w:w="541" w:type="pct"/>
            <w:tcBorders>
              <w:top w:val="single" w:sz="4" w:space="0" w:color="auto"/>
              <w:left w:val="nil"/>
              <w:bottom w:val="single" w:sz="4" w:space="0" w:color="auto"/>
              <w:right w:val="single" w:sz="4" w:space="0" w:color="auto"/>
            </w:tcBorders>
            <w:shd w:val="clear" w:color="auto" w:fill="E6E6E6"/>
            <w:noWrap/>
            <w:vAlign w:val="center"/>
            <w:hideMark/>
          </w:tcPr>
          <w:p w14:paraId="034E0279" w14:textId="77777777" w:rsidR="00EB1C3D" w:rsidRPr="0088190A" w:rsidRDefault="00EB1C3D" w:rsidP="005B5580">
            <w:pPr>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2023</w:t>
            </w:r>
          </w:p>
        </w:tc>
        <w:tc>
          <w:tcPr>
            <w:tcW w:w="597" w:type="pct"/>
            <w:tcBorders>
              <w:top w:val="single" w:sz="4" w:space="0" w:color="auto"/>
              <w:left w:val="nil"/>
              <w:bottom w:val="single" w:sz="4" w:space="0" w:color="auto"/>
              <w:right w:val="single" w:sz="4" w:space="0" w:color="auto"/>
            </w:tcBorders>
            <w:shd w:val="clear" w:color="auto" w:fill="E6E6E6"/>
            <w:noWrap/>
            <w:vAlign w:val="center"/>
            <w:hideMark/>
          </w:tcPr>
          <w:p w14:paraId="62C190EE" w14:textId="77777777" w:rsidR="00EB1C3D" w:rsidRPr="0088190A" w:rsidRDefault="00EB1C3D" w:rsidP="005B5580">
            <w:pPr>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Celkem</w:t>
            </w:r>
          </w:p>
        </w:tc>
        <w:tc>
          <w:tcPr>
            <w:tcW w:w="662" w:type="pct"/>
            <w:tcBorders>
              <w:top w:val="single" w:sz="4" w:space="0" w:color="auto"/>
              <w:left w:val="nil"/>
              <w:bottom w:val="single" w:sz="4" w:space="0" w:color="auto"/>
              <w:right w:val="single" w:sz="4" w:space="0" w:color="auto"/>
            </w:tcBorders>
            <w:shd w:val="clear" w:color="auto" w:fill="E6E6E6"/>
            <w:noWrap/>
            <w:vAlign w:val="center"/>
            <w:hideMark/>
          </w:tcPr>
          <w:p w14:paraId="36E1E46A" w14:textId="77777777" w:rsidR="00EB1C3D" w:rsidRPr="0088190A" w:rsidRDefault="00EB1C3D" w:rsidP="005B5580">
            <w:pPr>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Podíl celkem</w:t>
            </w:r>
          </w:p>
        </w:tc>
      </w:tr>
      <w:tr w:rsidR="00EB1C3D" w:rsidRPr="0088190A" w14:paraId="1C14EEFB" w14:textId="77777777" w:rsidTr="001F482E">
        <w:trPr>
          <w:trHeight w:val="20"/>
        </w:trPr>
        <w:tc>
          <w:tcPr>
            <w:tcW w:w="1978" w:type="pct"/>
            <w:tcBorders>
              <w:top w:val="nil"/>
              <w:left w:val="single" w:sz="4" w:space="0" w:color="auto"/>
              <w:bottom w:val="single" w:sz="4" w:space="0" w:color="auto"/>
              <w:right w:val="single" w:sz="4" w:space="0" w:color="auto"/>
            </w:tcBorders>
            <w:shd w:val="clear" w:color="auto" w:fill="auto"/>
            <w:noWrap/>
            <w:vAlign w:val="center"/>
            <w:hideMark/>
          </w:tcPr>
          <w:p w14:paraId="2DE97D1F" w14:textId="77777777" w:rsidR="00EB1C3D" w:rsidRPr="0088190A" w:rsidRDefault="00EB1C3D" w:rsidP="001F482E">
            <w:pPr>
              <w:spacing w:after="0" w:line="240" w:lineRule="auto"/>
              <w:rPr>
                <w:rFonts w:eastAsia="Times New Roman" w:cstheme="minorHAnsi"/>
                <w:color w:val="000000"/>
                <w:sz w:val="20"/>
                <w:szCs w:val="20"/>
              </w:rPr>
            </w:pPr>
            <w:r w:rsidRPr="0088190A">
              <w:rPr>
                <w:rFonts w:eastAsia="Times New Roman" w:cstheme="minorHAnsi"/>
                <w:color w:val="000000"/>
                <w:sz w:val="20"/>
                <w:szCs w:val="20"/>
              </w:rPr>
              <w:t>Standardní grantové projekty</w:t>
            </w:r>
          </w:p>
        </w:tc>
        <w:tc>
          <w:tcPr>
            <w:tcW w:w="606" w:type="pct"/>
            <w:tcBorders>
              <w:top w:val="nil"/>
              <w:left w:val="nil"/>
              <w:bottom w:val="single" w:sz="4" w:space="0" w:color="auto"/>
              <w:right w:val="single" w:sz="4" w:space="0" w:color="auto"/>
            </w:tcBorders>
            <w:shd w:val="clear" w:color="auto" w:fill="auto"/>
            <w:noWrap/>
            <w:vAlign w:val="center"/>
            <w:hideMark/>
          </w:tcPr>
          <w:p w14:paraId="7171E121"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2 984 354</w:t>
            </w:r>
          </w:p>
        </w:tc>
        <w:tc>
          <w:tcPr>
            <w:tcW w:w="616" w:type="pct"/>
            <w:tcBorders>
              <w:top w:val="nil"/>
              <w:left w:val="nil"/>
              <w:bottom w:val="single" w:sz="4" w:space="0" w:color="auto"/>
              <w:right w:val="single" w:sz="4" w:space="0" w:color="auto"/>
            </w:tcBorders>
            <w:shd w:val="clear" w:color="auto" w:fill="auto"/>
            <w:noWrap/>
            <w:vAlign w:val="center"/>
            <w:hideMark/>
          </w:tcPr>
          <w:p w14:paraId="38D6AB25"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2 949 723</w:t>
            </w:r>
          </w:p>
        </w:tc>
        <w:tc>
          <w:tcPr>
            <w:tcW w:w="541" w:type="pct"/>
            <w:tcBorders>
              <w:top w:val="nil"/>
              <w:left w:val="nil"/>
              <w:bottom w:val="single" w:sz="4" w:space="0" w:color="auto"/>
              <w:right w:val="single" w:sz="4" w:space="0" w:color="auto"/>
            </w:tcBorders>
            <w:shd w:val="clear" w:color="auto" w:fill="auto"/>
            <w:noWrap/>
            <w:vAlign w:val="center"/>
            <w:hideMark/>
          </w:tcPr>
          <w:p w14:paraId="1E708389"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3 147 410</w:t>
            </w:r>
          </w:p>
        </w:tc>
        <w:tc>
          <w:tcPr>
            <w:tcW w:w="597" w:type="pct"/>
            <w:tcBorders>
              <w:top w:val="nil"/>
              <w:left w:val="nil"/>
              <w:bottom w:val="single" w:sz="4" w:space="0" w:color="auto"/>
              <w:right w:val="single" w:sz="4" w:space="0" w:color="auto"/>
            </w:tcBorders>
            <w:shd w:val="clear" w:color="auto" w:fill="auto"/>
            <w:noWrap/>
            <w:vAlign w:val="center"/>
            <w:hideMark/>
          </w:tcPr>
          <w:p w14:paraId="5D72D11F" w14:textId="77777777" w:rsidR="00EB1C3D" w:rsidRPr="0088190A" w:rsidRDefault="00EB1C3D" w:rsidP="001F482E">
            <w:pPr>
              <w:spacing w:after="0" w:line="240" w:lineRule="auto"/>
              <w:jc w:val="right"/>
              <w:rPr>
                <w:rFonts w:eastAsia="Times New Roman" w:cstheme="minorHAnsi"/>
                <w:b/>
                <w:color w:val="000000"/>
                <w:sz w:val="20"/>
                <w:szCs w:val="20"/>
              </w:rPr>
            </w:pPr>
            <w:r w:rsidRPr="0088190A">
              <w:rPr>
                <w:rFonts w:eastAsia="Times New Roman" w:cstheme="minorHAnsi"/>
                <w:b/>
                <w:color w:val="000000"/>
                <w:sz w:val="20"/>
                <w:szCs w:val="20"/>
              </w:rPr>
              <w:t>9 081 487</w:t>
            </w:r>
          </w:p>
        </w:tc>
        <w:tc>
          <w:tcPr>
            <w:tcW w:w="662" w:type="pct"/>
            <w:tcBorders>
              <w:top w:val="nil"/>
              <w:left w:val="nil"/>
              <w:bottom w:val="single" w:sz="4" w:space="0" w:color="auto"/>
              <w:right w:val="single" w:sz="4" w:space="0" w:color="auto"/>
            </w:tcBorders>
            <w:shd w:val="clear" w:color="auto" w:fill="auto"/>
            <w:noWrap/>
            <w:vAlign w:val="center"/>
            <w:hideMark/>
          </w:tcPr>
          <w:p w14:paraId="18CD6E80" w14:textId="77777777" w:rsidR="00EB1C3D" w:rsidRPr="0088190A" w:rsidRDefault="00EB1C3D" w:rsidP="005B5580">
            <w:pPr>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67,98 %</w:t>
            </w:r>
          </w:p>
        </w:tc>
      </w:tr>
      <w:tr w:rsidR="00EB1C3D" w:rsidRPr="0088190A" w14:paraId="21186A4F" w14:textId="77777777" w:rsidTr="001F482E">
        <w:trPr>
          <w:trHeight w:val="20"/>
        </w:trPr>
        <w:tc>
          <w:tcPr>
            <w:tcW w:w="1978" w:type="pct"/>
            <w:tcBorders>
              <w:top w:val="nil"/>
              <w:left w:val="single" w:sz="4" w:space="0" w:color="auto"/>
              <w:bottom w:val="single" w:sz="4" w:space="0" w:color="auto"/>
              <w:right w:val="single" w:sz="4" w:space="0" w:color="auto"/>
            </w:tcBorders>
            <w:shd w:val="clear" w:color="auto" w:fill="auto"/>
            <w:noWrap/>
            <w:vAlign w:val="center"/>
            <w:hideMark/>
          </w:tcPr>
          <w:p w14:paraId="6A20DBC9" w14:textId="77777777" w:rsidR="00EB1C3D" w:rsidRPr="0088190A" w:rsidRDefault="00EB1C3D" w:rsidP="001F482E">
            <w:pPr>
              <w:spacing w:after="0" w:line="240" w:lineRule="auto"/>
              <w:rPr>
                <w:rFonts w:eastAsia="Times New Roman" w:cstheme="minorHAnsi"/>
                <w:color w:val="000000"/>
                <w:sz w:val="20"/>
                <w:szCs w:val="20"/>
              </w:rPr>
            </w:pPr>
            <w:r w:rsidRPr="0088190A">
              <w:rPr>
                <w:rFonts w:eastAsia="Times New Roman" w:cstheme="minorHAnsi"/>
                <w:color w:val="000000"/>
                <w:sz w:val="20"/>
                <w:szCs w:val="20"/>
              </w:rPr>
              <w:t>Projekty na podporu excelence EXPRO</w:t>
            </w:r>
          </w:p>
        </w:tc>
        <w:tc>
          <w:tcPr>
            <w:tcW w:w="606" w:type="pct"/>
            <w:tcBorders>
              <w:top w:val="nil"/>
              <w:left w:val="nil"/>
              <w:bottom w:val="single" w:sz="4" w:space="0" w:color="auto"/>
              <w:right w:val="single" w:sz="4" w:space="0" w:color="auto"/>
            </w:tcBorders>
            <w:shd w:val="clear" w:color="auto" w:fill="auto"/>
            <w:noWrap/>
            <w:vAlign w:val="center"/>
            <w:hideMark/>
          </w:tcPr>
          <w:p w14:paraId="099CAE9A"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608 944</w:t>
            </w:r>
          </w:p>
        </w:tc>
        <w:tc>
          <w:tcPr>
            <w:tcW w:w="616" w:type="pct"/>
            <w:tcBorders>
              <w:top w:val="nil"/>
              <w:left w:val="nil"/>
              <w:bottom w:val="single" w:sz="4" w:space="0" w:color="auto"/>
              <w:right w:val="single" w:sz="4" w:space="0" w:color="auto"/>
            </w:tcBorders>
            <w:shd w:val="clear" w:color="auto" w:fill="auto"/>
            <w:noWrap/>
            <w:vAlign w:val="center"/>
            <w:hideMark/>
          </w:tcPr>
          <w:p w14:paraId="5AE2F1BB"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597 002</w:t>
            </w:r>
          </w:p>
        </w:tc>
        <w:tc>
          <w:tcPr>
            <w:tcW w:w="541" w:type="pct"/>
            <w:tcBorders>
              <w:top w:val="nil"/>
              <w:left w:val="nil"/>
              <w:bottom w:val="single" w:sz="4" w:space="0" w:color="auto"/>
              <w:right w:val="single" w:sz="4" w:space="0" w:color="auto"/>
            </w:tcBorders>
            <w:shd w:val="clear" w:color="auto" w:fill="auto"/>
            <w:noWrap/>
            <w:vAlign w:val="center"/>
            <w:hideMark/>
          </w:tcPr>
          <w:p w14:paraId="4F607E15"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673 798</w:t>
            </w:r>
          </w:p>
        </w:tc>
        <w:tc>
          <w:tcPr>
            <w:tcW w:w="597" w:type="pct"/>
            <w:tcBorders>
              <w:top w:val="nil"/>
              <w:left w:val="nil"/>
              <w:bottom w:val="single" w:sz="4" w:space="0" w:color="auto"/>
              <w:right w:val="single" w:sz="4" w:space="0" w:color="auto"/>
            </w:tcBorders>
            <w:shd w:val="clear" w:color="auto" w:fill="auto"/>
            <w:noWrap/>
            <w:vAlign w:val="center"/>
            <w:hideMark/>
          </w:tcPr>
          <w:p w14:paraId="43D1BBBA" w14:textId="77777777" w:rsidR="00EB1C3D" w:rsidRPr="0088190A" w:rsidRDefault="00EB1C3D" w:rsidP="001F482E">
            <w:pPr>
              <w:spacing w:after="0" w:line="240" w:lineRule="auto"/>
              <w:jc w:val="right"/>
              <w:rPr>
                <w:rFonts w:eastAsia="Times New Roman" w:cstheme="minorHAnsi"/>
                <w:b/>
                <w:color w:val="000000"/>
                <w:sz w:val="20"/>
                <w:szCs w:val="20"/>
              </w:rPr>
            </w:pPr>
            <w:r w:rsidRPr="0088190A">
              <w:rPr>
                <w:rFonts w:eastAsia="Times New Roman" w:cstheme="minorHAnsi"/>
                <w:b/>
                <w:color w:val="000000"/>
                <w:sz w:val="20"/>
                <w:szCs w:val="20"/>
              </w:rPr>
              <w:t>1 879 744</w:t>
            </w:r>
          </w:p>
        </w:tc>
        <w:tc>
          <w:tcPr>
            <w:tcW w:w="662" w:type="pct"/>
            <w:tcBorders>
              <w:top w:val="nil"/>
              <w:left w:val="nil"/>
              <w:bottom w:val="single" w:sz="4" w:space="0" w:color="auto"/>
              <w:right w:val="single" w:sz="4" w:space="0" w:color="auto"/>
            </w:tcBorders>
            <w:shd w:val="clear" w:color="auto" w:fill="auto"/>
            <w:noWrap/>
            <w:vAlign w:val="center"/>
            <w:hideMark/>
          </w:tcPr>
          <w:p w14:paraId="601BAF14" w14:textId="77777777" w:rsidR="00EB1C3D" w:rsidRPr="0088190A" w:rsidRDefault="00EB1C3D" w:rsidP="005B5580">
            <w:pPr>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14,07 %</w:t>
            </w:r>
          </w:p>
        </w:tc>
      </w:tr>
      <w:tr w:rsidR="00EB1C3D" w:rsidRPr="0088190A" w14:paraId="715AEA48" w14:textId="77777777" w:rsidTr="001F482E">
        <w:trPr>
          <w:trHeight w:val="20"/>
        </w:trPr>
        <w:tc>
          <w:tcPr>
            <w:tcW w:w="1978" w:type="pct"/>
            <w:tcBorders>
              <w:top w:val="nil"/>
              <w:left w:val="single" w:sz="4" w:space="0" w:color="auto"/>
              <w:bottom w:val="single" w:sz="4" w:space="0" w:color="auto"/>
              <w:right w:val="single" w:sz="4" w:space="0" w:color="auto"/>
            </w:tcBorders>
            <w:shd w:val="clear" w:color="auto" w:fill="auto"/>
            <w:noWrap/>
            <w:vAlign w:val="center"/>
            <w:hideMark/>
          </w:tcPr>
          <w:p w14:paraId="40B31C96" w14:textId="77777777" w:rsidR="00EB1C3D" w:rsidRPr="0088190A" w:rsidRDefault="00EB1C3D" w:rsidP="001F482E">
            <w:pPr>
              <w:spacing w:after="0" w:line="240" w:lineRule="auto"/>
              <w:rPr>
                <w:rFonts w:eastAsia="Times New Roman" w:cstheme="minorHAnsi"/>
                <w:color w:val="000000"/>
                <w:sz w:val="20"/>
                <w:szCs w:val="20"/>
              </w:rPr>
            </w:pPr>
            <w:r w:rsidRPr="0088190A">
              <w:rPr>
                <w:rFonts w:eastAsia="Times New Roman" w:cstheme="minorHAnsi"/>
                <w:color w:val="000000"/>
                <w:sz w:val="20"/>
                <w:szCs w:val="20"/>
              </w:rPr>
              <w:t xml:space="preserve">Mezinárodní Lead </w:t>
            </w:r>
            <w:proofErr w:type="spellStart"/>
            <w:r w:rsidRPr="0088190A">
              <w:rPr>
                <w:rFonts w:eastAsia="Times New Roman" w:cstheme="minorHAnsi"/>
                <w:color w:val="000000"/>
                <w:sz w:val="20"/>
                <w:szCs w:val="20"/>
              </w:rPr>
              <w:t>Agency</w:t>
            </w:r>
            <w:proofErr w:type="spellEnd"/>
            <w:r w:rsidRPr="0088190A">
              <w:rPr>
                <w:rFonts w:eastAsia="Times New Roman" w:cstheme="minorHAnsi"/>
                <w:color w:val="000000"/>
                <w:sz w:val="20"/>
                <w:szCs w:val="20"/>
              </w:rPr>
              <w:t xml:space="preserve"> projekty</w:t>
            </w:r>
          </w:p>
        </w:tc>
        <w:tc>
          <w:tcPr>
            <w:tcW w:w="606" w:type="pct"/>
            <w:tcBorders>
              <w:top w:val="nil"/>
              <w:left w:val="nil"/>
              <w:bottom w:val="single" w:sz="4" w:space="0" w:color="auto"/>
              <w:right w:val="single" w:sz="4" w:space="0" w:color="auto"/>
            </w:tcBorders>
            <w:shd w:val="clear" w:color="auto" w:fill="auto"/>
            <w:noWrap/>
            <w:vAlign w:val="center"/>
            <w:hideMark/>
          </w:tcPr>
          <w:p w14:paraId="325C6FB3"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127 747</w:t>
            </w:r>
          </w:p>
        </w:tc>
        <w:tc>
          <w:tcPr>
            <w:tcW w:w="616" w:type="pct"/>
            <w:tcBorders>
              <w:top w:val="nil"/>
              <w:left w:val="nil"/>
              <w:bottom w:val="single" w:sz="4" w:space="0" w:color="auto"/>
              <w:right w:val="single" w:sz="4" w:space="0" w:color="auto"/>
            </w:tcBorders>
            <w:shd w:val="clear" w:color="auto" w:fill="auto"/>
            <w:noWrap/>
            <w:vAlign w:val="center"/>
            <w:hideMark/>
          </w:tcPr>
          <w:p w14:paraId="1F35EB43"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238 646</w:t>
            </w:r>
          </w:p>
        </w:tc>
        <w:tc>
          <w:tcPr>
            <w:tcW w:w="541" w:type="pct"/>
            <w:tcBorders>
              <w:top w:val="nil"/>
              <w:left w:val="nil"/>
              <w:bottom w:val="single" w:sz="4" w:space="0" w:color="auto"/>
              <w:right w:val="single" w:sz="4" w:space="0" w:color="auto"/>
            </w:tcBorders>
            <w:shd w:val="clear" w:color="auto" w:fill="auto"/>
            <w:noWrap/>
            <w:vAlign w:val="center"/>
            <w:hideMark/>
          </w:tcPr>
          <w:p w14:paraId="728F3CE2"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362 159</w:t>
            </w:r>
          </w:p>
        </w:tc>
        <w:tc>
          <w:tcPr>
            <w:tcW w:w="597" w:type="pct"/>
            <w:tcBorders>
              <w:top w:val="nil"/>
              <w:left w:val="nil"/>
              <w:bottom w:val="single" w:sz="4" w:space="0" w:color="auto"/>
              <w:right w:val="single" w:sz="4" w:space="0" w:color="auto"/>
            </w:tcBorders>
            <w:shd w:val="clear" w:color="auto" w:fill="auto"/>
            <w:noWrap/>
            <w:vAlign w:val="center"/>
            <w:hideMark/>
          </w:tcPr>
          <w:p w14:paraId="7C1F983E" w14:textId="77777777" w:rsidR="00EB1C3D" w:rsidRPr="0088190A" w:rsidRDefault="00EB1C3D" w:rsidP="001F482E">
            <w:pPr>
              <w:spacing w:after="0" w:line="240" w:lineRule="auto"/>
              <w:jc w:val="right"/>
              <w:rPr>
                <w:rFonts w:eastAsia="Times New Roman" w:cstheme="minorHAnsi"/>
                <w:b/>
                <w:color w:val="000000"/>
                <w:sz w:val="20"/>
                <w:szCs w:val="20"/>
              </w:rPr>
            </w:pPr>
            <w:r w:rsidRPr="0088190A">
              <w:rPr>
                <w:rFonts w:eastAsia="Times New Roman" w:cstheme="minorHAnsi"/>
                <w:b/>
                <w:color w:val="000000"/>
                <w:sz w:val="20"/>
                <w:szCs w:val="20"/>
              </w:rPr>
              <w:t>728 552</w:t>
            </w:r>
          </w:p>
        </w:tc>
        <w:tc>
          <w:tcPr>
            <w:tcW w:w="662" w:type="pct"/>
            <w:tcBorders>
              <w:top w:val="nil"/>
              <w:left w:val="nil"/>
              <w:bottom w:val="single" w:sz="4" w:space="0" w:color="auto"/>
              <w:right w:val="single" w:sz="4" w:space="0" w:color="auto"/>
            </w:tcBorders>
            <w:shd w:val="clear" w:color="auto" w:fill="auto"/>
            <w:noWrap/>
            <w:vAlign w:val="center"/>
            <w:hideMark/>
          </w:tcPr>
          <w:p w14:paraId="63208353" w14:textId="77777777" w:rsidR="00EB1C3D" w:rsidRPr="0088190A" w:rsidRDefault="00EB1C3D" w:rsidP="005B5580">
            <w:pPr>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5,45 %</w:t>
            </w:r>
          </w:p>
        </w:tc>
      </w:tr>
      <w:tr w:rsidR="00EB1C3D" w:rsidRPr="0088190A" w14:paraId="397DB669" w14:textId="77777777" w:rsidTr="001F482E">
        <w:trPr>
          <w:trHeight w:val="20"/>
        </w:trPr>
        <w:tc>
          <w:tcPr>
            <w:tcW w:w="1978" w:type="pct"/>
            <w:tcBorders>
              <w:top w:val="nil"/>
              <w:left w:val="single" w:sz="4" w:space="0" w:color="auto"/>
              <w:bottom w:val="single" w:sz="4" w:space="0" w:color="auto"/>
              <w:right w:val="single" w:sz="4" w:space="0" w:color="auto"/>
            </w:tcBorders>
            <w:shd w:val="clear" w:color="auto" w:fill="auto"/>
            <w:noWrap/>
            <w:vAlign w:val="center"/>
            <w:hideMark/>
          </w:tcPr>
          <w:p w14:paraId="47DAB1E9" w14:textId="77777777" w:rsidR="00EB1C3D" w:rsidRPr="0088190A" w:rsidRDefault="00EB1C3D" w:rsidP="001F482E">
            <w:pPr>
              <w:spacing w:after="0" w:line="240" w:lineRule="auto"/>
              <w:rPr>
                <w:rFonts w:eastAsia="Times New Roman" w:cstheme="minorHAnsi"/>
                <w:color w:val="000000"/>
                <w:sz w:val="20"/>
                <w:szCs w:val="20"/>
              </w:rPr>
            </w:pPr>
            <w:r w:rsidRPr="0088190A">
              <w:rPr>
                <w:rFonts w:eastAsia="Times New Roman" w:cstheme="minorHAnsi"/>
                <w:color w:val="000000"/>
                <w:sz w:val="20"/>
                <w:szCs w:val="20"/>
              </w:rPr>
              <w:t>Juniorské granty</w:t>
            </w:r>
          </w:p>
        </w:tc>
        <w:tc>
          <w:tcPr>
            <w:tcW w:w="606" w:type="pct"/>
            <w:tcBorders>
              <w:top w:val="nil"/>
              <w:left w:val="nil"/>
              <w:bottom w:val="single" w:sz="4" w:space="0" w:color="auto"/>
              <w:right w:val="single" w:sz="4" w:space="0" w:color="auto"/>
            </w:tcBorders>
            <w:shd w:val="clear" w:color="auto" w:fill="auto"/>
            <w:noWrap/>
            <w:vAlign w:val="center"/>
            <w:hideMark/>
          </w:tcPr>
          <w:p w14:paraId="2BE804E6"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373 205</w:t>
            </w:r>
          </w:p>
        </w:tc>
        <w:tc>
          <w:tcPr>
            <w:tcW w:w="616" w:type="pct"/>
            <w:tcBorders>
              <w:top w:val="nil"/>
              <w:left w:val="nil"/>
              <w:bottom w:val="single" w:sz="4" w:space="0" w:color="auto"/>
              <w:right w:val="single" w:sz="4" w:space="0" w:color="auto"/>
            </w:tcBorders>
            <w:shd w:val="clear" w:color="auto" w:fill="auto"/>
            <w:noWrap/>
            <w:vAlign w:val="center"/>
            <w:hideMark/>
          </w:tcPr>
          <w:p w14:paraId="7F10A971"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200 615</w:t>
            </w:r>
          </w:p>
        </w:tc>
        <w:tc>
          <w:tcPr>
            <w:tcW w:w="541" w:type="pct"/>
            <w:tcBorders>
              <w:top w:val="nil"/>
              <w:left w:val="nil"/>
              <w:bottom w:val="single" w:sz="4" w:space="0" w:color="auto"/>
              <w:right w:val="single" w:sz="4" w:space="0" w:color="auto"/>
            </w:tcBorders>
            <w:shd w:val="clear" w:color="auto" w:fill="auto"/>
            <w:noWrap/>
            <w:vAlign w:val="center"/>
            <w:hideMark/>
          </w:tcPr>
          <w:p w14:paraId="3D41559A"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5 516</w:t>
            </w:r>
          </w:p>
        </w:tc>
        <w:tc>
          <w:tcPr>
            <w:tcW w:w="597" w:type="pct"/>
            <w:tcBorders>
              <w:top w:val="nil"/>
              <w:left w:val="nil"/>
              <w:bottom w:val="single" w:sz="4" w:space="0" w:color="auto"/>
              <w:right w:val="single" w:sz="4" w:space="0" w:color="auto"/>
            </w:tcBorders>
            <w:shd w:val="clear" w:color="auto" w:fill="auto"/>
            <w:noWrap/>
            <w:vAlign w:val="center"/>
            <w:hideMark/>
          </w:tcPr>
          <w:p w14:paraId="0E7DD109" w14:textId="77777777" w:rsidR="00EB1C3D" w:rsidRPr="0088190A" w:rsidRDefault="00EB1C3D" w:rsidP="001F482E">
            <w:pPr>
              <w:spacing w:after="0" w:line="240" w:lineRule="auto"/>
              <w:jc w:val="right"/>
              <w:rPr>
                <w:rFonts w:eastAsia="Times New Roman" w:cstheme="minorHAnsi"/>
                <w:b/>
                <w:color w:val="000000"/>
                <w:sz w:val="20"/>
                <w:szCs w:val="20"/>
              </w:rPr>
            </w:pPr>
            <w:r w:rsidRPr="0088190A">
              <w:rPr>
                <w:rFonts w:eastAsia="Times New Roman" w:cstheme="minorHAnsi"/>
                <w:b/>
                <w:color w:val="000000"/>
                <w:sz w:val="20"/>
                <w:szCs w:val="20"/>
              </w:rPr>
              <w:t>579 336</w:t>
            </w:r>
          </w:p>
        </w:tc>
        <w:tc>
          <w:tcPr>
            <w:tcW w:w="662" w:type="pct"/>
            <w:tcBorders>
              <w:top w:val="nil"/>
              <w:left w:val="nil"/>
              <w:bottom w:val="single" w:sz="4" w:space="0" w:color="auto"/>
              <w:right w:val="single" w:sz="4" w:space="0" w:color="auto"/>
            </w:tcBorders>
            <w:shd w:val="clear" w:color="auto" w:fill="auto"/>
            <w:noWrap/>
            <w:vAlign w:val="center"/>
            <w:hideMark/>
          </w:tcPr>
          <w:p w14:paraId="0BC902D1" w14:textId="77777777" w:rsidR="00EB1C3D" w:rsidRPr="0088190A" w:rsidRDefault="00EB1C3D" w:rsidP="005B5580">
            <w:pPr>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4,34 %</w:t>
            </w:r>
          </w:p>
        </w:tc>
      </w:tr>
      <w:tr w:rsidR="00EB1C3D" w:rsidRPr="0088190A" w14:paraId="62789B15" w14:textId="77777777" w:rsidTr="001F482E">
        <w:trPr>
          <w:trHeight w:val="20"/>
        </w:trPr>
        <w:tc>
          <w:tcPr>
            <w:tcW w:w="1978" w:type="pct"/>
            <w:tcBorders>
              <w:top w:val="nil"/>
              <w:left w:val="single" w:sz="4" w:space="0" w:color="auto"/>
              <w:bottom w:val="single" w:sz="4" w:space="0" w:color="auto"/>
              <w:right w:val="single" w:sz="4" w:space="0" w:color="auto"/>
            </w:tcBorders>
            <w:shd w:val="clear" w:color="auto" w:fill="auto"/>
            <w:noWrap/>
            <w:vAlign w:val="center"/>
            <w:hideMark/>
          </w:tcPr>
          <w:p w14:paraId="26CBB39C" w14:textId="77777777" w:rsidR="00EB1C3D" w:rsidRPr="0088190A" w:rsidRDefault="00EB1C3D" w:rsidP="001F482E">
            <w:pPr>
              <w:spacing w:after="0" w:line="240" w:lineRule="auto"/>
              <w:rPr>
                <w:rFonts w:eastAsia="Times New Roman" w:cstheme="minorHAnsi"/>
                <w:color w:val="000000"/>
                <w:sz w:val="20"/>
                <w:szCs w:val="20"/>
              </w:rPr>
            </w:pPr>
            <w:r w:rsidRPr="0088190A">
              <w:rPr>
                <w:rFonts w:eastAsia="Times New Roman" w:cstheme="minorHAnsi"/>
                <w:color w:val="000000"/>
                <w:sz w:val="20"/>
                <w:szCs w:val="20"/>
              </w:rPr>
              <w:t>JUNIOR STAR</w:t>
            </w:r>
          </w:p>
        </w:tc>
        <w:tc>
          <w:tcPr>
            <w:tcW w:w="606" w:type="pct"/>
            <w:tcBorders>
              <w:top w:val="nil"/>
              <w:left w:val="nil"/>
              <w:bottom w:val="single" w:sz="4" w:space="0" w:color="auto"/>
              <w:right w:val="single" w:sz="4" w:space="0" w:color="auto"/>
            </w:tcBorders>
            <w:shd w:val="clear" w:color="auto" w:fill="auto"/>
            <w:noWrap/>
            <w:vAlign w:val="center"/>
            <w:hideMark/>
          </w:tcPr>
          <w:p w14:paraId="6FB63CDD"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113 625</w:t>
            </w:r>
          </w:p>
        </w:tc>
        <w:tc>
          <w:tcPr>
            <w:tcW w:w="616" w:type="pct"/>
            <w:tcBorders>
              <w:top w:val="nil"/>
              <w:left w:val="nil"/>
              <w:bottom w:val="single" w:sz="4" w:space="0" w:color="auto"/>
              <w:right w:val="single" w:sz="4" w:space="0" w:color="auto"/>
            </w:tcBorders>
            <w:shd w:val="clear" w:color="auto" w:fill="auto"/>
            <w:noWrap/>
            <w:vAlign w:val="center"/>
            <w:hideMark/>
          </w:tcPr>
          <w:p w14:paraId="3D49D848"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179 296</w:t>
            </w:r>
          </w:p>
        </w:tc>
        <w:tc>
          <w:tcPr>
            <w:tcW w:w="541" w:type="pct"/>
            <w:tcBorders>
              <w:top w:val="nil"/>
              <w:left w:val="nil"/>
              <w:bottom w:val="single" w:sz="4" w:space="0" w:color="auto"/>
              <w:right w:val="single" w:sz="4" w:space="0" w:color="auto"/>
            </w:tcBorders>
            <w:shd w:val="clear" w:color="auto" w:fill="auto"/>
            <w:noWrap/>
            <w:vAlign w:val="center"/>
            <w:hideMark/>
          </w:tcPr>
          <w:p w14:paraId="54FB0E82"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277 687</w:t>
            </w:r>
          </w:p>
        </w:tc>
        <w:tc>
          <w:tcPr>
            <w:tcW w:w="597" w:type="pct"/>
            <w:tcBorders>
              <w:top w:val="nil"/>
              <w:left w:val="nil"/>
              <w:bottom w:val="single" w:sz="4" w:space="0" w:color="auto"/>
              <w:right w:val="single" w:sz="4" w:space="0" w:color="auto"/>
            </w:tcBorders>
            <w:shd w:val="clear" w:color="auto" w:fill="auto"/>
            <w:noWrap/>
            <w:vAlign w:val="center"/>
            <w:hideMark/>
          </w:tcPr>
          <w:p w14:paraId="3E686E96" w14:textId="77777777" w:rsidR="00EB1C3D" w:rsidRPr="0088190A" w:rsidRDefault="00EB1C3D" w:rsidP="001F482E">
            <w:pPr>
              <w:spacing w:after="0" w:line="240" w:lineRule="auto"/>
              <w:jc w:val="right"/>
              <w:rPr>
                <w:rFonts w:eastAsia="Times New Roman" w:cstheme="minorHAnsi"/>
                <w:b/>
                <w:color w:val="000000"/>
                <w:sz w:val="20"/>
                <w:szCs w:val="20"/>
              </w:rPr>
            </w:pPr>
            <w:r w:rsidRPr="0088190A">
              <w:rPr>
                <w:rFonts w:eastAsia="Times New Roman" w:cstheme="minorHAnsi"/>
                <w:b/>
                <w:color w:val="000000"/>
                <w:sz w:val="20"/>
                <w:szCs w:val="20"/>
              </w:rPr>
              <w:t>570 608</w:t>
            </w:r>
          </w:p>
        </w:tc>
        <w:tc>
          <w:tcPr>
            <w:tcW w:w="662" w:type="pct"/>
            <w:tcBorders>
              <w:top w:val="nil"/>
              <w:left w:val="nil"/>
              <w:bottom w:val="single" w:sz="4" w:space="0" w:color="auto"/>
              <w:right w:val="single" w:sz="4" w:space="0" w:color="auto"/>
            </w:tcBorders>
            <w:shd w:val="clear" w:color="auto" w:fill="auto"/>
            <w:noWrap/>
            <w:vAlign w:val="center"/>
            <w:hideMark/>
          </w:tcPr>
          <w:p w14:paraId="476756C5" w14:textId="77777777" w:rsidR="00EB1C3D" w:rsidRPr="0088190A" w:rsidRDefault="00EB1C3D" w:rsidP="005B5580">
            <w:pPr>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4,27 %</w:t>
            </w:r>
          </w:p>
        </w:tc>
      </w:tr>
      <w:tr w:rsidR="00EB1C3D" w:rsidRPr="0088190A" w14:paraId="6B823E52" w14:textId="77777777" w:rsidTr="001F482E">
        <w:trPr>
          <w:trHeight w:val="20"/>
        </w:trPr>
        <w:tc>
          <w:tcPr>
            <w:tcW w:w="1978" w:type="pct"/>
            <w:tcBorders>
              <w:top w:val="nil"/>
              <w:left w:val="single" w:sz="4" w:space="0" w:color="auto"/>
              <w:bottom w:val="single" w:sz="4" w:space="0" w:color="auto"/>
              <w:right w:val="single" w:sz="4" w:space="0" w:color="auto"/>
            </w:tcBorders>
            <w:shd w:val="clear" w:color="auto" w:fill="auto"/>
            <w:noWrap/>
            <w:vAlign w:val="center"/>
            <w:hideMark/>
          </w:tcPr>
          <w:p w14:paraId="47E25476" w14:textId="77777777" w:rsidR="00EB1C3D" w:rsidRPr="0088190A" w:rsidRDefault="00EB1C3D" w:rsidP="001F482E">
            <w:pPr>
              <w:spacing w:after="0" w:line="240" w:lineRule="auto"/>
              <w:rPr>
                <w:rFonts w:eastAsia="Times New Roman" w:cstheme="minorHAnsi"/>
                <w:color w:val="000000"/>
                <w:sz w:val="20"/>
                <w:szCs w:val="20"/>
              </w:rPr>
            </w:pPr>
            <w:r w:rsidRPr="0088190A">
              <w:rPr>
                <w:rFonts w:eastAsia="Times New Roman" w:cstheme="minorHAnsi"/>
                <w:color w:val="000000"/>
                <w:sz w:val="20"/>
                <w:szCs w:val="20"/>
              </w:rPr>
              <w:t>Mezinárodní (bilaterální) projekty</w:t>
            </w:r>
          </w:p>
        </w:tc>
        <w:tc>
          <w:tcPr>
            <w:tcW w:w="606" w:type="pct"/>
            <w:tcBorders>
              <w:top w:val="nil"/>
              <w:left w:val="nil"/>
              <w:bottom w:val="single" w:sz="4" w:space="0" w:color="auto"/>
              <w:right w:val="single" w:sz="4" w:space="0" w:color="auto"/>
            </w:tcBorders>
            <w:shd w:val="clear" w:color="auto" w:fill="auto"/>
            <w:noWrap/>
            <w:vAlign w:val="center"/>
            <w:hideMark/>
          </w:tcPr>
          <w:p w14:paraId="50CF18EB"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188 391</w:t>
            </w:r>
          </w:p>
        </w:tc>
        <w:tc>
          <w:tcPr>
            <w:tcW w:w="616" w:type="pct"/>
            <w:tcBorders>
              <w:top w:val="nil"/>
              <w:left w:val="nil"/>
              <w:bottom w:val="single" w:sz="4" w:space="0" w:color="auto"/>
              <w:right w:val="single" w:sz="4" w:space="0" w:color="auto"/>
            </w:tcBorders>
            <w:shd w:val="clear" w:color="auto" w:fill="auto"/>
            <w:noWrap/>
            <w:vAlign w:val="center"/>
            <w:hideMark/>
          </w:tcPr>
          <w:p w14:paraId="33FBD859"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159 361</w:t>
            </w:r>
          </w:p>
        </w:tc>
        <w:tc>
          <w:tcPr>
            <w:tcW w:w="541" w:type="pct"/>
            <w:tcBorders>
              <w:top w:val="nil"/>
              <w:left w:val="nil"/>
              <w:bottom w:val="single" w:sz="4" w:space="0" w:color="auto"/>
              <w:right w:val="single" w:sz="4" w:space="0" w:color="auto"/>
            </w:tcBorders>
            <w:shd w:val="clear" w:color="auto" w:fill="auto"/>
            <w:noWrap/>
            <w:vAlign w:val="center"/>
            <w:hideMark/>
          </w:tcPr>
          <w:p w14:paraId="5FA7942A"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95 981</w:t>
            </w:r>
          </w:p>
        </w:tc>
        <w:tc>
          <w:tcPr>
            <w:tcW w:w="597" w:type="pct"/>
            <w:tcBorders>
              <w:top w:val="nil"/>
              <w:left w:val="nil"/>
              <w:bottom w:val="single" w:sz="4" w:space="0" w:color="auto"/>
              <w:right w:val="single" w:sz="4" w:space="0" w:color="auto"/>
            </w:tcBorders>
            <w:shd w:val="clear" w:color="auto" w:fill="auto"/>
            <w:noWrap/>
            <w:vAlign w:val="center"/>
            <w:hideMark/>
          </w:tcPr>
          <w:p w14:paraId="3AEBF430" w14:textId="77777777" w:rsidR="00EB1C3D" w:rsidRPr="0088190A" w:rsidRDefault="00EB1C3D" w:rsidP="001F482E">
            <w:pPr>
              <w:spacing w:after="0" w:line="240" w:lineRule="auto"/>
              <w:jc w:val="right"/>
              <w:rPr>
                <w:rFonts w:eastAsia="Times New Roman" w:cstheme="minorHAnsi"/>
                <w:b/>
                <w:color w:val="000000"/>
                <w:sz w:val="20"/>
                <w:szCs w:val="20"/>
              </w:rPr>
            </w:pPr>
            <w:r w:rsidRPr="0088190A">
              <w:rPr>
                <w:rFonts w:eastAsia="Times New Roman" w:cstheme="minorHAnsi"/>
                <w:b/>
                <w:color w:val="000000"/>
                <w:sz w:val="20"/>
                <w:szCs w:val="20"/>
              </w:rPr>
              <w:t>443 733</w:t>
            </w:r>
          </w:p>
        </w:tc>
        <w:tc>
          <w:tcPr>
            <w:tcW w:w="662" w:type="pct"/>
            <w:tcBorders>
              <w:top w:val="nil"/>
              <w:left w:val="nil"/>
              <w:bottom w:val="single" w:sz="4" w:space="0" w:color="auto"/>
              <w:right w:val="single" w:sz="4" w:space="0" w:color="auto"/>
            </w:tcBorders>
            <w:shd w:val="clear" w:color="auto" w:fill="auto"/>
            <w:noWrap/>
            <w:vAlign w:val="center"/>
            <w:hideMark/>
          </w:tcPr>
          <w:p w14:paraId="0903A29E" w14:textId="77777777" w:rsidR="00EB1C3D" w:rsidRPr="0088190A" w:rsidRDefault="00EB1C3D" w:rsidP="005B5580">
            <w:pPr>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3,32 %</w:t>
            </w:r>
          </w:p>
        </w:tc>
      </w:tr>
      <w:tr w:rsidR="00EB1C3D" w:rsidRPr="0088190A" w14:paraId="6DAD080B" w14:textId="77777777" w:rsidTr="001F482E">
        <w:trPr>
          <w:trHeight w:val="20"/>
        </w:trPr>
        <w:tc>
          <w:tcPr>
            <w:tcW w:w="1978" w:type="pct"/>
            <w:tcBorders>
              <w:top w:val="nil"/>
              <w:left w:val="single" w:sz="4" w:space="0" w:color="auto"/>
              <w:bottom w:val="single" w:sz="4" w:space="0" w:color="auto"/>
              <w:right w:val="single" w:sz="4" w:space="0" w:color="auto"/>
            </w:tcBorders>
            <w:shd w:val="clear" w:color="auto" w:fill="auto"/>
            <w:noWrap/>
            <w:vAlign w:val="center"/>
            <w:hideMark/>
          </w:tcPr>
          <w:p w14:paraId="7E9DAF18" w14:textId="77777777" w:rsidR="00EB1C3D" w:rsidRPr="0088190A" w:rsidRDefault="00EB1C3D" w:rsidP="001F482E">
            <w:pPr>
              <w:spacing w:after="0" w:line="240" w:lineRule="auto"/>
              <w:rPr>
                <w:rFonts w:eastAsia="Times New Roman" w:cstheme="minorHAnsi"/>
                <w:color w:val="000000"/>
                <w:sz w:val="20"/>
                <w:szCs w:val="20"/>
              </w:rPr>
            </w:pPr>
            <w:r w:rsidRPr="0088190A">
              <w:rPr>
                <w:rFonts w:eastAsia="Times New Roman" w:cstheme="minorHAnsi"/>
                <w:color w:val="000000"/>
                <w:sz w:val="20"/>
                <w:szCs w:val="20"/>
              </w:rPr>
              <w:t>POSTDOC INDIVIDUAL FELLOWSHIP</w:t>
            </w:r>
          </w:p>
        </w:tc>
        <w:tc>
          <w:tcPr>
            <w:tcW w:w="606" w:type="pct"/>
            <w:tcBorders>
              <w:top w:val="nil"/>
              <w:left w:val="nil"/>
              <w:bottom w:val="single" w:sz="4" w:space="0" w:color="auto"/>
              <w:right w:val="single" w:sz="4" w:space="0" w:color="auto"/>
            </w:tcBorders>
            <w:shd w:val="clear" w:color="auto" w:fill="auto"/>
            <w:noWrap/>
            <w:vAlign w:val="center"/>
            <w:hideMark/>
          </w:tcPr>
          <w:p w14:paraId="02532DB9"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 xml:space="preserve"> -</w:t>
            </w:r>
          </w:p>
        </w:tc>
        <w:tc>
          <w:tcPr>
            <w:tcW w:w="616" w:type="pct"/>
            <w:tcBorders>
              <w:top w:val="nil"/>
              <w:left w:val="nil"/>
              <w:bottom w:val="single" w:sz="4" w:space="0" w:color="auto"/>
              <w:right w:val="single" w:sz="4" w:space="0" w:color="auto"/>
            </w:tcBorders>
            <w:shd w:val="clear" w:color="auto" w:fill="auto"/>
            <w:noWrap/>
            <w:vAlign w:val="center"/>
            <w:hideMark/>
          </w:tcPr>
          <w:p w14:paraId="4C0DCB60"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22 939</w:t>
            </w:r>
          </w:p>
        </w:tc>
        <w:tc>
          <w:tcPr>
            <w:tcW w:w="541" w:type="pct"/>
            <w:tcBorders>
              <w:top w:val="nil"/>
              <w:left w:val="nil"/>
              <w:bottom w:val="single" w:sz="4" w:space="0" w:color="auto"/>
              <w:right w:val="single" w:sz="4" w:space="0" w:color="auto"/>
            </w:tcBorders>
            <w:shd w:val="clear" w:color="auto" w:fill="auto"/>
            <w:noWrap/>
            <w:vAlign w:val="center"/>
            <w:hideMark/>
          </w:tcPr>
          <w:p w14:paraId="4840126B"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52 187</w:t>
            </w:r>
          </w:p>
        </w:tc>
        <w:tc>
          <w:tcPr>
            <w:tcW w:w="597" w:type="pct"/>
            <w:tcBorders>
              <w:top w:val="nil"/>
              <w:left w:val="nil"/>
              <w:bottom w:val="single" w:sz="4" w:space="0" w:color="auto"/>
              <w:right w:val="single" w:sz="4" w:space="0" w:color="auto"/>
            </w:tcBorders>
            <w:shd w:val="clear" w:color="auto" w:fill="auto"/>
            <w:noWrap/>
            <w:vAlign w:val="center"/>
            <w:hideMark/>
          </w:tcPr>
          <w:p w14:paraId="5D0F7CF8" w14:textId="77777777" w:rsidR="00EB1C3D" w:rsidRPr="0088190A" w:rsidRDefault="00EB1C3D" w:rsidP="001F482E">
            <w:pPr>
              <w:spacing w:after="0" w:line="240" w:lineRule="auto"/>
              <w:jc w:val="right"/>
              <w:rPr>
                <w:rFonts w:eastAsia="Times New Roman" w:cstheme="minorHAnsi"/>
                <w:b/>
                <w:color w:val="000000"/>
                <w:sz w:val="20"/>
                <w:szCs w:val="20"/>
              </w:rPr>
            </w:pPr>
            <w:r w:rsidRPr="0088190A">
              <w:rPr>
                <w:rFonts w:eastAsia="Times New Roman" w:cstheme="minorHAnsi"/>
                <w:b/>
                <w:color w:val="000000"/>
                <w:sz w:val="20"/>
                <w:szCs w:val="20"/>
              </w:rPr>
              <w:t>75 126</w:t>
            </w:r>
          </w:p>
        </w:tc>
        <w:tc>
          <w:tcPr>
            <w:tcW w:w="662" w:type="pct"/>
            <w:tcBorders>
              <w:top w:val="nil"/>
              <w:left w:val="nil"/>
              <w:bottom w:val="single" w:sz="4" w:space="0" w:color="auto"/>
              <w:right w:val="single" w:sz="4" w:space="0" w:color="auto"/>
            </w:tcBorders>
            <w:shd w:val="clear" w:color="auto" w:fill="auto"/>
            <w:noWrap/>
            <w:vAlign w:val="center"/>
            <w:hideMark/>
          </w:tcPr>
          <w:p w14:paraId="363A17BA" w14:textId="77777777" w:rsidR="00EB1C3D" w:rsidRPr="0088190A" w:rsidRDefault="00EB1C3D" w:rsidP="005B5580">
            <w:pPr>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0,56 %</w:t>
            </w:r>
          </w:p>
        </w:tc>
      </w:tr>
      <w:tr w:rsidR="00EB1C3D" w:rsidRPr="0088190A" w14:paraId="2F3B0F9D" w14:textId="77777777" w:rsidTr="001F482E">
        <w:trPr>
          <w:trHeight w:val="20"/>
        </w:trPr>
        <w:tc>
          <w:tcPr>
            <w:tcW w:w="1978" w:type="pct"/>
            <w:tcBorders>
              <w:top w:val="nil"/>
              <w:left w:val="single" w:sz="4" w:space="0" w:color="auto"/>
              <w:bottom w:val="single" w:sz="4" w:space="0" w:color="auto"/>
              <w:right w:val="single" w:sz="4" w:space="0" w:color="auto"/>
            </w:tcBorders>
            <w:shd w:val="clear" w:color="auto" w:fill="auto"/>
            <w:vAlign w:val="center"/>
            <w:hideMark/>
          </w:tcPr>
          <w:p w14:paraId="221A8728" w14:textId="0FADEB35" w:rsidR="00EB1C3D" w:rsidRPr="0088190A" w:rsidRDefault="00EB1C3D" w:rsidP="001F482E">
            <w:pPr>
              <w:spacing w:after="0" w:line="240" w:lineRule="auto"/>
              <w:rPr>
                <w:rFonts w:eastAsia="Times New Roman" w:cstheme="minorHAnsi"/>
                <w:color w:val="000000"/>
                <w:sz w:val="20"/>
                <w:szCs w:val="20"/>
              </w:rPr>
            </w:pPr>
            <w:r w:rsidRPr="0088190A">
              <w:rPr>
                <w:rFonts w:eastAsia="Times New Roman" w:cstheme="minorHAnsi"/>
                <w:color w:val="000000"/>
                <w:sz w:val="20"/>
                <w:szCs w:val="20"/>
              </w:rPr>
              <w:t>Podpora mezinárodní spolupráce pro získávání ERC grantů („</w:t>
            </w:r>
            <w:r w:rsidR="00FC4DE3">
              <w:rPr>
                <w:rFonts w:eastAsia="Times New Roman" w:cstheme="minorHAnsi"/>
                <w:color w:val="000000"/>
                <w:sz w:val="20"/>
                <w:szCs w:val="20"/>
              </w:rPr>
              <w:t>p</w:t>
            </w:r>
            <w:r w:rsidRPr="0088190A">
              <w:rPr>
                <w:rFonts w:eastAsia="Times New Roman" w:cstheme="minorHAnsi"/>
                <w:color w:val="000000"/>
                <w:sz w:val="20"/>
                <w:szCs w:val="20"/>
              </w:rPr>
              <w:t>odpora ERC žadatelů“)</w:t>
            </w:r>
          </w:p>
        </w:tc>
        <w:tc>
          <w:tcPr>
            <w:tcW w:w="606" w:type="pct"/>
            <w:tcBorders>
              <w:top w:val="nil"/>
              <w:left w:val="nil"/>
              <w:bottom w:val="single" w:sz="4" w:space="0" w:color="auto"/>
              <w:right w:val="single" w:sz="4" w:space="0" w:color="auto"/>
            </w:tcBorders>
            <w:shd w:val="clear" w:color="auto" w:fill="auto"/>
            <w:noWrap/>
            <w:vAlign w:val="center"/>
            <w:hideMark/>
          </w:tcPr>
          <w:p w14:paraId="6EBFD86E"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 0</w:t>
            </w:r>
          </w:p>
        </w:tc>
        <w:tc>
          <w:tcPr>
            <w:tcW w:w="616" w:type="pct"/>
            <w:tcBorders>
              <w:top w:val="nil"/>
              <w:left w:val="nil"/>
              <w:bottom w:val="single" w:sz="4" w:space="0" w:color="auto"/>
              <w:right w:val="single" w:sz="4" w:space="0" w:color="auto"/>
            </w:tcBorders>
            <w:shd w:val="clear" w:color="auto" w:fill="auto"/>
            <w:noWrap/>
            <w:vAlign w:val="center"/>
            <w:hideMark/>
          </w:tcPr>
          <w:p w14:paraId="50DED810"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445</w:t>
            </w:r>
          </w:p>
        </w:tc>
        <w:tc>
          <w:tcPr>
            <w:tcW w:w="541" w:type="pct"/>
            <w:tcBorders>
              <w:top w:val="nil"/>
              <w:left w:val="nil"/>
              <w:bottom w:val="single" w:sz="4" w:space="0" w:color="auto"/>
              <w:right w:val="single" w:sz="4" w:space="0" w:color="auto"/>
            </w:tcBorders>
            <w:shd w:val="clear" w:color="auto" w:fill="auto"/>
            <w:noWrap/>
            <w:vAlign w:val="center"/>
            <w:hideMark/>
          </w:tcPr>
          <w:p w14:paraId="1013D16E" w14:textId="77777777" w:rsidR="00EB1C3D" w:rsidRPr="0088190A" w:rsidRDefault="00EB1C3D" w:rsidP="001F482E">
            <w:pPr>
              <w:spacing w:after="0" w:line="240" w:lineRule="auto"/>
              <w:jc w:val="right"/>
              <w:rPr>
                <w:rFonts w:eastAsia="Times New Roman" w:cstheme="minorHAnsi"/>
                <w:color w:val="000000"/>
                <w:sz w:val="20"/>
                <w:szCs w:val="20"/>
              </w:rPr>
            </w:pPr>
            <w:r w:rsidRPr="0088190A">
              <w:rPr>
                <w:rFonts w:eastAsia="Times New Roman" w:cstheme="minorHAnsi"/>
                <w:color w:val="000000"/>
                <w:sz w:val="20"/>
                <w:szCs w:val="20"/>
              </w:rPr>
              <w:t> 0</w:t>
            </w:r>
          </w:p>
        </w:tc>
        <w:tc>
          <w:tcPr>
            <w:tcW w:w="597" w:type="pct"/>
            <w:tcBorders>
              <w:top w:val="nil"/>
              <w:left w:val="nil"/>
              <w:bottom w:val="single" w:sz="4" w:space="0" w:color="auto"/>
              <w:right w:val="single" w:sz="4" w:space="0" w:color="auto"/>
            </w:tcBorders>
            <w:shd w:val="clear" w:color="auto" w:fill="auto"/>
            <w:noWrap/>
            <w:vAlign w:val="center"/>
            <w:hideMark/>
          </w:tcPr>
          <w:p w14:paraId="635626DA" w14:textId="77777777" w:rsidR="00EB1C3D" w:rsidRPr="0088190A" w:rsidRDefault="00EB1C3D" w:rsidP="001F482E">
            <w:pPr>
              <w:spacing w:after="0" w:line="240" w:lineRule="auto"/>
              <w:jc w:val="right"/>
              <w:rPr>
                <w:rFonts w:eastAsia="Times New Roman" w:cstheme="minorHAnsi"/>
                <w:b/>
                <w:color w:val="000000"/>
                <w:sz w:val="20"/>
                <w:szCs w:val="20"/>
              </w:rPr>
            </w:pPr>
            <w:r w:rsidRPr="0088190A">
              <w:rPr>
                <w:rFonts w:eastAsia="Times New Roman" w:cstheme="minorHAnsi"/>
                <w:b/>
                <w:color w:val="000000"/>
                <w:sz w:val="20"/>
                <w:szCs w:val="20"/>
              </w:rPr>
              <w:t>445</w:t>
            </w:r>
          </w:p>
        </w:tc>
        <w:tc>
          <w:tcPr>
            <w:tcW w:w="662" w:type="pct"/>
            <w:tcBorders>
              <w:top w:val="nil"/>
              <w:left w:val="nil"/>
              <w:bottom w:val="single" w:sz="4" w:space="0" w:color="auto"/>
              <w:right w:val="single" w:sz="4" w:space="0" w:color="auto"/>
            </w:tcBorders>
            <w:shd w:val="clear" w:color="auto" w:fill="auto"/>
            <w:noWrap/>
            <w:vAlign w:val="center"/>
            <w:hideMark/>
          </w:tcPr>
          <w:p w14:paraId="7B1D5461" w14:textId="77777777" w:rsidR="00EB1C3D" w:rsidRPr="0088190A" w:rsidRDefault="00EB1C3D" w:rsidP="005B5580">
            <w:pPr>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0,00 %</w:t>
            </w:r>
          </w:p>
        </w:tc>
      </w:tr>
      <w:tr w:rsidR="00EB1C3D" w:rsidRPr="0088190A" w14:paraId="4534BD98" w14:textId="77777777" w:rsidTr="00026D42">
        <w:trPr>
          <w:trHeight w:val="20"/>
        </w:trPr>
        <w:tc>
          <w:tcPr>
            <w:tcW w:w="1978" w:type="pct"/>
            <w:tcBorders>
              <w:top w:val="nil"/>
              <w:left w:val="single" w:sz="4" w:space="0" w:color="auto"/>
              <w:bottom w:val="single" w:sz="4" w:space="0" w:color="auto"/>
              <w:right w:val="single" w:sz="4" w:space="0" w:color="auto"/>
            </w:tcBorders>
            <w:shd w:val="clear" w:color="auto" w:fill="EDD4D9"/>
            <w:noWrap/>
            <w:vAlign w:val="center"/>
            <w:hideMark/>
          </w:tcPr>
          <w:p w14:paraId="07D2D5FA" w14:textId="77777777" w:rsidR="00EB1C3D" w:rsidRPr="0088190A" w:rsidRDefault="00EB1C3D" w:rsidP="001F482E">
            <w:pPr>
              <w:spacing w:after="0" w:line="240" w:lineRule="auto"/>
              <w:rPr>
                <w:rFonts w:eastAsia="Times New Roman" w:cstheme="minorHAnsi"/>
                <w:b/>
                <w:bCs/>
                <w:color w:val="000000"/>
                <w:sz w:val="20"/>
                <w:szCs w:val="20"/>
              </w:rPr>
            </w:pPr>
            <w:r w:rsidRPr="0088190A">
              <w:rPr>
                <w:rFonts w:eastAsia="Times New Roman" w:cstheme="minorHAnsi"/>
                <w:b/>
                <w:bCs/>
                <w:color w:val="000000"/>
                <w:sz w:val="20"/>
                <w:szCs w:val="20"/>
              </w:rPr>
              <w:t>Celkem</w:t>
            </w:r>
          </w:p>
        </w:tc>
        <w:tc>
          <w:tcPr>
            <w:tcW w:w="606" w:type="pct"/>
            <w:tcBorders>
              <w:top w:val="nil"/>
              <w:left w:val="nil"/>
              <w:bottom w:val="single" w:sz="4" w:space="0" w:color="auto"/>
              <w:right w:val="single" w:sz="4" w:space="0" w:color="auto"/>
            </w:tcBorders>
            <w:shd w:val="clear" w:color="auto" w:fill="EDD4D9"/>
            <w:noWrap/>
            <w:vAlign w:val="center"/>
            <w:hideMark/>
          </w:tcPr>
          <w:p w14:paraId="3E67866D" w14:textId="77777777" w:rsidR="00EB1C3D" w:rsidRPr="0088190A" w:rsidRDefault="00EB1C3D" w:rsidP="001F482E">
            <w:pPr>
              <w:spacing w:after="0" w:line="240" w:lineRule="auto"/>
              <w:jc w:val="right"/>
              <w:rPr>
                <w:rFonts w:eastAsia="Times New Roman" w:cstheme="minorHAnsi"/>
                <w:b/>
                <w:bCs/>
                <w:color w:val="000000"/>
                <w:sz w:val="20"/>
                <w:szCs w:val="20"/>
              </w:rPr>
            </w:pPr>
            <w:r w:rsidRPr="0088190A">
              <w:rPr>
                <w:rFonts w:eastAsia="Times New Roman" w:cstheme="minorHAnsi"/>
                <w:b/>
                <w:bCs/>
                <w:color w:val="000000"/>
                <w:sz w:val="20"/>
                <w:szCs w:val="20"/>
              </w:rPr>
              <w:t>4 396 266</w:t>
            </w:r>
          </w:p>
        </w:tc>
        <w:tc>
          <w:tcPr>
            <w:tcW w:w="616" w:type="pct"/>
            <w:tcBorders>
              <w:top w:val="nil"/>
              <w:left w:val="nil"/>
              <w:bottom w:val="single" w:sz="4" w:space="0" w:color="auto"/>
              <w:right w:val="single" w:sz="4" w:space="0" w:color="auto"/>
            </w:tcBorders>
            <w:shd w:val="clear" w:color="auto" w:fill="EDD4D9"/>
            <w:noWrap/>
            <w:vAlign w:val="center"/>
            <w:hideMark/>
          </w:tcPr>
          <w:p w14:paraId="249CDCB0" w14:textId="77777777" w:rsidR="00EB1C3D" w:rsidRPr="0088190A" w:rsidRDefault="00EB1C3D" w:rsidP="001F482E">
            <w:pPr>
              <w:spacing w:after="0" w:line="240" w:lineRule="auto"/>
              <w:jc w:val="right"/>
              <w:rPr>
                <w:rFonts w:eastAsia="Times New Roman" w:cstheme="minorHAnsi"/>
                <w:b/>
                <w:bCs/>
                <w:color w:val="000000"/>
                <w:sz w:val="20"/>
                <w:szCs w:val="20"/>
              </w:rPr>
            </w:pPr>
            <w:r w:rsidRPr="0088190A">
              <w:rPr>
                <w:rFonts w:eastAsia="Times New Roman" w:cstheme="minorHAnsi"/>
                <w:b/>
                <w:bCs/>
                <w:color w:val="000000"/>
                <w:sz w:val="20"/>
                <w:szCs w:val="20"/>
              </w:rPr>
              <w:t>4 348 027</w:t>
            </w:r>
          </w:p>
        </w:tc>
        <w:tc>
          <w:tcPr>
            <w:tcW w:w="541" w:type="pct"/>
            <w:tcBorders>
              <w:top w:val="nil"/>
              <w:left w:val="nil"/>
              <w:bottom w:val="single" w:sz="4" w:space="0" w:color="auto"/>
              <w:right w:val="single" w:sz="4" w:space="0" w:color="auto"/>
            </w:tcBorders>
            <w:shd w:val="clear" w:color="auto" w:fill="EDD4D9"/>
            <w:noWrap/>
            <w:vAlign w:val="center"/>
            <w:hideMark/>
          </w:tcPr>
          <w:p w14:paraId="30CB24A7" w14:textId="77777777" w:rsidR="00EB1C3D" w:rsidRPr="0088190A" w:rsidRDefault="00EB1C3D" w:rsidP="001F482E">
            <w:pPr>
              <w:spacing w:after="0" w:line="240" w:lineRule="auto"/>
              <w:jc w:val="right"/>
              <w:rPr>
                <w:rFonts w:eastAsia="Times New Roman" w:cstheme="minorHAnsi"/>
                <w:b/>
                <w:bCs/>
                <w:color w:val="000000"/>
                <w:sz w:val="20"/>
                <w:szCs w:val="20"/>
              </w:rPr>
            </w:pPr>
            <w:r w:rsidRPr="0088190A">
              <w:rPr>
                <w:rFonts w:eastAsia="Times New Roman" w:cstheme="minorHAnsi"/>
                <w:b/>
                <w:bCs/>
                <w:color w:val="000000"/>
                <w:sz w:val="20"/>
                <w:szCs w:val="20"/>
              </w:rPr>
              <w:t>4 614 738</w:t>
            </w:r>
          </w:p>
        </w:tc>
        <w:tc>
          <w:tcPr>
            <w:tcW w:w="597" w:type="pct"/>
            <w:tcBorders>
              <w:top w:val="nil"/>
              <w:left w:val="nil"/>
              <w:bottom w:val="single" w:sz="4" w:space="0" w:color="auto"/>
              <w:right w:val="single" w:sz="4" w:space="0" w:color="auto"/>
            </w:tcBorders>
            <w:shd w:val="clear" w:color="auto" w:fill="EDD4D9"/>
            <w:noWrap/>
            <w:vAlign w:val="center"/>
            <w:hideMark/>
          </w:tcPr>
          <w:p w14:paraId="7C49F6E7" w14:textId="77777777" w:rsidR="00EB1C3D" w:rsidRPr="0088190A" w:rsidRDefault="00EB1C3D" w:rsidP="001F482E">
            <w:pPr>
              <w:spacing w:after="0" w:line="240" w:lineRule="auto"/>
              <w:jc w:val="right"/>
              <w:rPr>
                <w:rFonts w:eastAsia="Times New Roman" w:cstheme="minorHAnsi"/>
                <w:b/>
                <w:bCs/>
                <w:color w:val="000000"/>
                <w:sz w:val="20"/>
                <w:szCs w:val="20"/>
              </w:rPr>
            </w:pPr>
            <w:r w:rsidRPr="0088190A">
              <w:rPr>
                <w:rFonts w:eastAsia="Times New Roman" w:cstheme="minorHAnsi"/>
                <w:b/>
                <w:bCs/>
                <w:color w:val="000000"/>
                <w:sz w:val="20"/>
                <w:szCs w:val="20"/>
              </w:rPr>
              <w:t>13 359 031</w:t>
            </w:r>
          </w:p>
        </w:tc>
        <w:tc>
          <w:tcPr>
            <w:tcW w:w="662" w:type="pct"/>
            <w:tcBorders>
              <w:top w:val="nil"/>
              <w:left w:val="nil"/>
              <w:bottom w:val="single" w:sz="4" w:space="0" w:color="auto"/>
              <w:right w:val="single" w:sz="4" w:space="0" w:color="auto"/>
            </w:tcBorders>
            <w:shd w:val="clear" w:color="auto" w:fill="EDD4D9"/>
            <w:noWrap/>
            <w:vAlign w:val="center"/>
            <w:hideMark/>
          </w:tcPr>
          <w:p w14:paraId="3C91ECC3" w14:textId="77777777" w:rsidR="00EB1C3D" w:rsidRPr="0088190A" w:rsidRDefault="00EB1C3D" w:rsidP="005B5580">
            <w:pPr>
              <w:spacing w:after="0" w:line="240" w:lineRule="auto"/>
              <w:ind w:right="170"/>
              <w:jc w:val="right"/>
              <w:rPr>
                <w:rFonts w:eastAsia="Times New Roman" w:cstheme="minorHAnsi"/>
                <w:b/>
                <w:bCs/>
                <w:color w:val="000000"/>
                <w:sz w:val="20"/>
                <w:szCs w:val="20"/>
              </w:rPr>
            </w:pPr>
            <w:r w:rsidRPr="0088190A">
              <w:rPr>
                <w:rFonts w:eastAsia="Times New Roman" w:cstheme="minorHAnsi"/>
                <w:b/>
                <w:bCs/>
                <w:color w:val="000000"/>
                <w:sz w:val="20"/>
                <w:szCs w:val="20"/>
              </w:rPr>
              <w:t>100 %</w:t>
            </w:r>
          </w:p>
        </w:tc>
      </w:tr>
    </w:tbl>
    <w:p w14:paraId="135A585F" w14:textId="4258C35D" w:rsidR="00587F6F" w:rsidRPr="00026D42" w:rsidRDefault="0081269F" w:rsidP="00C475A9">
      <w:pPr>
        <w:autoSpaceDE w:val="0"/>
        <w:autoSpaceDN w:val="0"/>
        <w:adjustRightInd w:val="0"/>
        <w:spacing w:before="40" w:after="120" w:line="240" w:lineRule="auto"/>
        <w:jc w:val="both"/>
        <w:rPr>
          <w:rFonts w:cstheme="minorHAnsi"/>
          <w:sz w:val="20"/>
        </w:rPr>
      </w:pPr>
      <w:r w:rsidRPr="0088190A">
        <w:rPr>
          <w:rFonts w:cstheme="minorHAnsi"/>
          <w:b/>
          <w:sz w:val="20"/>
          <w:szCs w:val="20"/>
          <w:lang w:eastAsia="cs-CZ"/>
        </w:rPr>
        <w:t>Zdroj:</w:t>
      </w:r>
      <w:r w:rsidRPr="0088190A">
        <w:rPr>
          <w:rFonts w:cstheme="minorHAnsi"/>
          <w:sz w:val="20"/>
          <w:szCs w:val="20"/>
          <w:lang w:eastAsia="cs-CZ"/>
        </w:rPr>
        <w:t xml:space="preserve"> </w:t>
      </w:r>
      <w:r w:rsidR="00EB1C3D" w:rsidRPr="0088190A">
        <w:rPr>
          <w:rFonts w:cstheme="minorHAnsi"/>
          <w:sz w:val="20"/>
        </w:rPr>
        <w:t>informace GA ČR</w:t>
      </w:r>
      <w:r w:rsidR="00FC4DE3">
        <w:rPr>
          <w:rFonts w:cstheme="minorHAnsi"/>
          <w:sz w:val="20"/>
        </w:rPr>
        <w:t>;</w:t>
      </w:r>
      <w:r w:rsidR="00A81AF7">
        <w:rPr>
          <w:rFonts w:cstheme="minorHAnsi"/>
          <w:sz w:val="20"/>
        </w:rPr>
        <w:t xml:space="preserve"> </w:t>
      </w:r>
      <w:r w:rsidR="00FC4DE3">
        <w:rPr>
          <w:rFonts w:cstheme="minorHAnsi"/>
          <w:sz w:val="20"/>
        </w:rPr>
        <w:t>vypracoval</w:t>
      </w:r>
      <w:r w:rsidR="00A81AF7">
        <w:rPr>
          <w:rFonts w:cstheme="minorHAnsi"/>
          <w:sz w:val="20"/>
        </w:rPr>
        <w:t xml:space="preserve"> NKÚ</w:t>
      </w:r>
      <w:r w:rsidR="00D332E5">
        <w:rPr>
          <w:rFonts w:cstheme="minorHAnsi"/>
          <w:sz w:val="20"/>
        </w:rPr>
        <w:t>.</w:t>
      </w:r>
    </w:p>
    <w:p w14:paraId="0BFCFA6C" w14:textId="216734CA" w:rsidR="0081269F" w:rsidRPr="0088190A" w:rsidRDefault="003D6569" w:rsidP="00463A34">
      <w:pPr>
        <w:spacing w:after="120" w:line="240" w:lineRule="auto"/>
        <w:jc w:val="both"/>
        <w:rPr>
          <w:rFonts w:cstheme="minorHAnsi"/>
          <w:sz w:val="24"/>
          <w:szCs w:val="24"/>
        </w:rPr>
      </w:pPr>
      <w:r>
        <w:rPr>
          <w:rFonts w:cstheme="minorHAnsi"/>
          <w:b/>
          <w:sz w:val="24"/>
          <w:szCs w:val="24"/>
        </w:rPr>
        <w:t>2.</w:t>
      </w:r>
      <w:r w:rsidR="008355F8">
        <w:rPr>
          <w:rFonts w:cstheme="minorHAnsi"/>
          <w:b/>
          <w:sz w:val="24"/>
          <w:szCs w:val="24"/>
        </w:rPr>
        <w:t>7</w:t>
      </w:r>
      <w:r>
        <w:rPr>
          <w:rFonts w:cstheme="minorHAnsi"/>
          <w:b/>
          <w:sz w:val="24"/>
          <w:szCs w:val="24"/>
        </w:rPr>
        <w:t xml:space="preserve"> </w:t>
      </w:r>
      <w:r w:rsidR="00E26014">
        <w:rPr>
          <w:rFonts w:cstheme="minorHAnsi"/>
          <w:b/>
          <w:sz w:val="24"/>
          <w:szCs w:val="24"/>
        </w:rPr>
        <w:t xml:space="preserve">Technologická agentura České republiky </w:t>
      </w:r>
      <w:r w:rsidR="00E26014" w:rsidRPr="0088190A">
        <w:rPr>
          <w:rFonts w:cstheme="minorHAnsi"/>
          <w:sz w:val="24"/>
          <w:szCs w:val="24"/>
        </w:rPr>
        <w:t>je organizační složka státu</w:t>
      </w:r>
      <w:r w:rsidR="00E26014">
        <w:rPr>
          <w:rFonts w:cstheme="minorHAnsi"/>
          <w:sz w:val="24"/>
          <w:szCs w:val="24"/>
        </w:rPr>
        <w:t xml:space="preserve">, která poskytuje účelovou podporu na projekty aplikovaného výzkumu. TA ČR je správcem kapitoly státního rozpočtu účelových a institucionálních prostředků. </w:t>
      </w:r>
      <w:r w:rsidR="0081269F" w:rsidRPr="003D6569">
        <w:rPr>
          <w:rFonts w:cstheme="minorHAnsi"/>
          <w:b/>
          <w:sz w:val="24"/>
          <w:szCs w:val="24"/>
        </w:rPr>
        <w:t>Ustavení T</w:t>
      </w:r>
      <w:r>
        <w:rPr>
          <w:rFonts w:cstheme="minorHAnsi"/>
          <w:b/>
          <w:sz w:val="24"/>
          <w:szCs w:val="24"/>
        </w:rPr>
        <w:t>echnologické agentury</w:t>
      </w:r>
      <w:r w:rsidR="0081269F" w:rsidRPr="003D6569">
        <w:rPr>
          <w:rFonts w:cstheme="minorHAnsi"/>
          <w:b/>
          <w:sz w:val="24"/>
          <w:szCs w:val="24"/>
        </w:rPr>
        <w:t xml:space="preserve"> Č</w:t>
      </w:r>
      <w:r>
        <w:rPr>
          <w:rFonts w:cstheme="minorHAnsi"/>
          <w:b/>
          <w:sz w:val="24"/>
          <w:szCs w:val="24"/>
        </w:rPr>
        <w:t>eské republiky</w:t>
      </w:r>
      <w:r w:rsidR="0081269F" w:rsidRPr="0088190A">
        <w:rPr>
          <w:rFonts w:cstheme="minorHAnsi"/>
          <w:sz w:val="24"/>
          <w:szCs w:val="24"/>
        </w:rPr>
        <w:t xml:space="preserve"> bylo jedním z důležitých implementačních kroků </w:t>
      </w:r>
      <w:r w:rsidR="00FC4DE3">
        <w:rPr>
          <w:rFonts w:cstheme="minorHAnsi"/>
          <w:sz w:val="24"/>
          <w:szCs w:val="24"/>
        </w:rPr>
        <w:t>r</w:t>
      </w:r>
      <w:r w:rsidR="0081269F" w:rsidRPr="0088190A">
        <w:rPr>
          <w:rFonts w:cstheme="minorHAnsi"/>
          <w:sz w:val="24"/>
          <w:szCs w:val="24"/>
        </w:rPr>
        <w:t>eformy systému výzkumu, vývoje a inovací</w:t>
      </w:r>
      <w:r w:rsidR="00165598">
        <w:rPr>
          <w:rStyle w:val="Znakapoznpodarou"/>
          <w:rFonts w:cstheme="minorHAnsi"/>
          <w:sz w:val="24"/>
          <w:szCs w:val="24"/>
        </w:rPr>
        <w:footnoteReference w:id="5"/>
      </w:r>
      <w:r w:rsidR="0081269F" w:rsidRPr="0088190A">
        <w:rPr>
          <w:rFonts w:cstheme="minorHAnsi"/>
          <w:sz w:val="24"/>
          <w:szCs w:val="24"/>
        </w:rPr>
        <w:t xml:space="preserve">. TA ČR poskytuje státní podporu aplikovaného výzkumu a vývoje, která byla do té doby roztříštěna mezi velký počet poskytovatelů. TA ČR byla zřízena v roce 2009 zákonem </w:t>
      </w:r>
      <w:r w:rsidR="009A26F3">
        <w:rPr>
          <w:rFonts w:cstheme="minorHAnsi"/>
          <w:sz w:val="24"/>
          <w:szCs w:val="24"/>
        </w:rPr>
        <w:t>o</w:t>
      </w:r>
      <w:r w:rsidR="009E33B8">
        <w:rPr>
          <w:rFonts w:cstheme="minorHAnsi"/>
          <w:sz w:val="24"/>
          <w:szCs w:val="24"/>
        </w:rPr>
        <w:t> </w:t>
      </w:r>
      <w:proofErr w:type="spellStart"/>
      <w:r w:rsidR="009A26F3">
        <w:rPr>
          <w:rFonts w:cstheme="minorHAnsi"/>
          <w:sz w:val="24"/>
          <w:szCs w:val="24"/>
        </w:rPr>
        <w:t>VaVaI</w:t>
      </w:r>
      <w:proofErr w:type="spellEnd"/>
      <w:r w:rsidR="009A26F3">
        <w:rPr>
          <w:rFonts w:cstheme="minorHAnsi"/>
          <w:sz w:val="24"/>
          <w:szCs w:val="24"/>
        </w:rPr>
        <w:t>.</w:t>
      </w:r>
    </w:p>
    <w:p w14:paraId="031FC6C6" w14:textId="50021106" w:rsidR="00B63084" w:rsidRPr="0088190A" w:rsidRDefault="003D6569" w:rsidP="00B63084">
      <w:pPr>
        <w:spacing w:before="120" w:after="120" w:line="240" w:lineRule="auto"/>
        <w:jc w:val="both"/>
        <w:rPr>
          <w:rFonts w:cstheme="minorHAnsi"/>
          <w:sz w:val="24"/>
          <w:szCs w:val="24"/>
        </w:rPr>
      </w:pPr>
      <w:r>
        <w:rPr>
          <w:rFonts w:cstheme="minorHAnsi"/>
          <w:sz w:val="24"/>
          <w:szCs w:val="24"/>
        </w:rPr>
        <w:t>2.</w:t>
      </w:r>
      <w:r w:rsidR="008355F8">
        <w:rPr>
          <w:rFonts w:cstheme="minorHAnsi"/>
          <w:sz w:val="24"/>
          <w:szCs w:val="24"/>
        </w:rPr>
        <w:t>8</w:t>
      </w:r>
      <w:r>
        <w:rPr>
          <w:rFonts w:cstheme="minorHAnsi"/>
          <w:sz w:val="24"/>
          <w:szCs w:val="24"/>
        </w:rPr>
        <w:t xml:space="preserve"> </w:t>
      </w:r>
      <w:r w:rsidR="00B63084" w:rsidRPr="0088190A">
        <w:rPr>
          <w:rFonts w:cstheme="minorHAnsi"/>
          <w:sz w:val="24"/>
          <w:szCs w:val="24"/>
        </w:rPr>
        <w:t xml:space="preserve">Přehled účelové podpory </w:t>
      </w:r>
      <w:r w:rsidR="00D63175">
        <w:rPr>
          <w:rFonts w:cstheme="minorHAnsi"/>
          <w:sz w:val="24"/>
          <w:szCs w:val="24"/>
        </w:rPr>
        <w:t xml:space="preserve">poskytnuté </w:t>
      </w:r>
      <w:r w:rsidR="00B63084" w:rsidRPr="0088190A">
        <w:rPr>
          <w:rFonts w:cstheme="minorHAnsi"/>
          <w:sz w:val="24"/>
          <w:szCs w:val="24"/>
        </w:rPr>
        <w:t>TA ČR v období let 2021 až 2023 dle jednotlivých programů zobrazuje následující tabulka č. 2.</w:t>
      </w:r>
    </w:p>
    <w:p w14:paraId="75193C9E" w14:textId="16C051FD" w:rsidR="00EB1C3D" w:rsidRPr="006F59BB" w:rsidRDefault="00EB1C3D" w:rsidP="00F530E5">
      <w:pPr>
        <w:tabs>
          <w:tab w:val="right" w:pos="9072"/>
        </w:tabs>
        <w:spacing w:before="120" w:after="40" w:line="240" w:lineRule="auto"/>
        <w:jc w:val="both"/>
        <w:rPr>
          <w:rFonts w:cstheme="minorHAnsi"/>
          <w:b/>
          <w:sz w:val="28"/>
        </w:rPr>
      </w:pPr>
      <w:r w:rsidRPr="006F59BB">
        <w:rPr>
          <w:rFonts w:cstheme="minorHAnsi"/>
          <w:b/>
          <w:sz w:val="24"/>
        </w:rPr>
        <w:t xml:space="preserve">Tabulka č. 2: Účelová podpora TA ČR dle programů v letech 2021 až 2023 </w:t>
      </w:r>
      <w:r w:rsidR="00FC4DE3">
        <w:rPr>
          <w:rFonts w:cstheme="minorHAnsi"/>
          <w:b/>
          <w:sz w:val="24"/>
        </w:rPr>
        <w:tab/>
      </w:r>
      <w:r w:rsidRPr="006F59BB">
        <w:rPr>
          <w:rFonts w:cstheme="minorHAnsi"/>
          <w:b/>
          <w:sz w:val="24"/>
        </w:rPr>
        <w:t>(v tis. Kč)</w:t>
      </w:r>
    </w:p>
    <w:tbl>
      <w:tblPr>
        <w:tblW w:w="5000" w:type="pct"/>
        <w:tblCellMar>
          <w:left w:w="70" w:type="dxa"/>
          <w:right w:w="70" w:type="dxa"/>
        </w:tblCellMar>
        <w:tblLook w:val="04A0" w:firstRow="1" w:lastRow="0" w:firstColumn="1" w:lastColumn="0" w:noHBand="0" w:noVBand="1"/>
      </w:tblPr>
      <w:tblGrid>
        <w:gridCol w:w="2047"/>
        <w:gridCol w:w="1662"/>
        <w:gridCol w:w="1479"/>
        <w:gridCol w:w="1464"/>
        <w:gridCol w:w="1205"/>
        <w:gridCol w:w="1205"/>
      </w:tblGrid>
      <w:tr w:rsidR="00D63175" w:rsidRPr="0088190A" w14:paraId="7DA6F1B1" w14:textId="77777777" w:rsidTr="005B5580">
        <w:trPr>
          <w:trHeight w:val="156"/>
        </w:trPr>
        <w:tc>
          <w:tcPr>
            <w:tcW w:w="1129"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64377D6C" w14:textId="77777777" w:rsidR="00D63175" w:rsidRPr="0088190A" w:rsidRDefault="00D63175" w:rsidP="005B5580">
            <w:pPr>
              <w:keepNext/>
              <w:spacing w:after="0" w:line="240" w:lineRule="auto"/>
              <w:jc w:val="center"/>
              <w:rPr>
                <w:rFonts w:eastAsia="Times New Roman" w:cstheme="minorHAnsi"/>
                <w:b/>
                <w:color w:val="000000"/>
                <w:sz w:val="20"/>
                <w:szCs w:val="20"/>
                <w:lang w:eastAsia="cs-CZ"/>
              </w:rPr>
            </w:pPr>
            <w:r w:rsidRPr="0088190A">
              <w:rPr>
                <w:rFonts w:eastAsia="Times New Roman" w:cstheme="minorHAnsi"/>
                <w:b/>
                <w:color w:val="000000"/>
                <w:sz w:val="20"/>
                <w:szCs w:val="20"/>
              </w:rPr>
              <w:t>Program</w:t>
            </w:r>
          </w:p>
        </w:tc>
        <w:tc>
          <w:tcPr>
            <w:tcW w:w="917" w:type="pct"/>
            <w:tcBorders>
              <w:top w:val="single" w:sz="4" w:space="0" w:color="auto"/>
              <w:left w:val="nil"/>
              <w:bottom w:val="single" w:sz="4" w:space="0" w:color="auto"/>
              <w:right w:val="single" w:sz="4" w:space="0" w:color="auto"/>
            </w:tcBorders>
            <w:shd w:val="clear" w:color="auto" w:fill="E6E6E6"/>
            <w:noWrap/>
            <w:vAlign w:val="center"/>
            <w:hideMark/>
          </w:tcPr>
          <w:p w14:paraId="7C211914" w14:textId="18ED2F93" w:rsidR="00D63175" w:rsidRPr="0088190A" w:rsidRDefault="00D63175" w:rsidP="005B5580">
            <w:pPr>
              <w:keepNext/>
              <w:spacing w:after="0" w:line="240" w:lineRule="auto"/>
              <w:jc w:val="center"/>
              <w:rPr>
                <w:rFonts w:eastAsia="Times New Roman" w:cstheme="minorHAnsi"/>
                <w:b/>
                <w:color w:val="000000"/>
                <w:sz w:val="20"/>
                <w:szCs w:val="20"/>
              </w:rPr>
            </w:pPr>
            <w:r w:rsidRPr="0088190A">
              <w:rPr>
                <w:rFonts w:eastAsia="Times New Roman" w:cstheme="minorHAnsi"/>
                <w:b/>
                <w:color w:val="000000"/>
                <w:sz w:val="20"/>
                <w:szCs w:val="20"/>
              </w:rPr>
              <w:t>2021</w:t>
            </w:r>
          </w:p>
        </w:tc>
        <w:tc>
          <w:tcPr>
            <w:tcW w:w="816" w:type="pct"/>
            <w:tcBorders>
              <w:top w:val="single" w:sz="4" w:space="0" w:color="auto"/>
              <w:left w:val="nil"/>
              <w:bottom w:val="single" w:sz="4" w:space="0" w:color="auto"/>
              <w:right w:val="single" w:sz="4" w:space="0" w:color="auto"/>
            </w:tcBorders>
            <w:shd w:val="clear" w:color="auto" w:fill="E6E6E6"/>
            <w:vAlign w:val="center"/>
          </w:tcPr>
          <w:p w14:paraId="1CCC087B" w14:textId="7481C7BD" w:rsidR="00D63175" w:rsidRPr="0088190A" w:rsidRDefault="00D63175" w:rsidP="005B5580">
            <w:pPr>
              <w:keepNext/>
              <w:spacing w:after="0" w:line="240" w:lineRule="auto"/>
              <w:jc w:val="center"/>
              <w:rPr>
                <w:rFonts w:eastAsia="Times New Roman" w:cstheme="minorHAnsi"/>
                <w:b/>
                <w:color w:val="000000"/>
                <w:sz w:val="20"/>
                <w:szCs w:val="20"/>
              </w:rPr>
            </w:pPr>
            <w:r w:rsidRPr="0088190A">
              <w:rPr>
                <w:rFonts w:eastAsia="Times New Roman" w:cstheme="minorHAnsi"/>
                <w:b/>
                <w:color w:val="000000"/>
                <w:sz w:val="20"/>
                <w:szCs w:val="20"/>
              </w:rPr>
              <w:t>2022</w:t>
            </w:r>
          </w:p>
        </w:tc>
        <w:tc>
          <w:tcPr>
            <w:tcW w:w="808" w:type="pct"/>
            <w:tcBorders>
              <w:top w:val="single" w:sz="4" w:space="0" w:color="auto"/>
              <w:left w:val="nil"/>
              <w:bottom w:val="single" w:sz="4" w:space="0" w:color="auto"/>
              <w:right w:val="single" w:sz="4" w:space="0" w:color="auto"/>
            </w:tcBorders>
            <w:shd w:val="clear" w:color="auto" w:fill="E6E6E6"/>
            <w:vAlign w:val="center"/>
          </w:tcPr>
          <w:p w14:paraId="3FD38B1A" w14:textId="292650D1" w:rsidR="00D63175" w:rsidRPr="0088190A" w:rsidRDefault="00D63175" w:rsidP="005B5580">
            <w:pPr>
              <w:keepNext/>
              <w:spacing w:after="0" w:line="240" w:lineRule="auto"/>
              <w:jc w:val="center"/>
              <w:rPr>
                <w:rFonts w:eastAsia="Times New Roman" w:cstheme="minorHAnsi"/>
                <w:b/>
                <w:color w:val="000000"/>
                <w:sz w:val="20"/>
                <w:szCs w:val="20"/>
              </w:rPr>
            </w:pPr>
            <w:r w:rsidRPr="0088190A">
              <w:rPr>
                <w:rFonts w:eastAsia="Times New Roman" w:cstheme="minorHAnsi"/>
                <w:b/>
                <w:color w:val="000000"/>
                <w:sz w:val="20"/>
                <w:szCs w:val="20"/>
              </w:rPr>
              <w:t>2023</w:t>
            </w:r>
          </w:p>
        </w:tc>
        <w:tc>
          <w:tcPr>
            <w:tcW w:w="665" w:type="pct"/>
            <w:tcBorders>
              <w:top w:val="single" w:sz="4" w:space="0" w:color="auto"/>
              <w:left w:val="nil"/>
              <w:bottom w:val="single" w:sz="4" w:space="0" w:color="auto"/>
              <w:right w:val="single" w:sz="4" w:space="0" w:color="auto"/>
            </w:tcBorders>
            <w:shd w:val="clear" w:color="auto" w:fill="E6E6E6"/>
            <w:vAlign w:val="center"/>
          </w:tcPr>
          <w:p w14:paraId="318C2961" w14:textId="77777777" w:rsidR="00D63175" w:rsidRPr="0088190A" w:rsidRDefault="00D63175" w:rsidP="005B5580">
            <w:pPr>
              <w:keepNext/>
              <w:spacing w:after="0" w:line="240" w:lineRule="auto"/>
              <w:jc w:val="center"/>
              <w:rPr>
                <w:rFonts w:eastAsia="Times New Roman" w:cstheme="minorHAnsi"/>
                <w:b/>
                <w:color w:val="000000"/>
                <w:sz w:val="20"/>
                <w:szCs w:val="20"/>
              </w:rPr>
            </w:pPr>
            <w:r w:rsidRPr="0088190A">
              <w:rPr>
                <w:rFonts w:eastAsia="Times New Roman" w:cstheme="minorHAnsi"/>
                <w:b/>
                <w:color w:val="000000"/>
                <w:sz w:val="20"/>
                <w:szCs w:val="20"/>
              </w:rPr>
              <w:t>Celkem</w:t>
            </w:r>
          </w:p>
        </w:tc>
        <w:tc>
          <w:tcPr>
            <w:tcW w:w="665" w:type="pct"/>
            <w:tcBorders>
              <w:top w:val="single" w:sz="4" w:space="0" w:color="auto"/>
              <w:left w:val="single" w:sz="4" w:space="0" w:color="auto"/>
              <w:bottom w:val="single" w:sz="4" w:space="0" w:color="auto"/>
              <w:right w:val="single" w:sz="4" w:space="0" w:color="auto"/>
            </w:tcBorders>
            <w:shd w:val="clear" w:color="auto" w:fill="E6E6E6"/>
            <w:vAlign w:val="center"/>
          </w:tcPr>
          <w:p w14:paraId="691C4C45" w14:textId="20902B54" w:rsidR="00D63175" w:rsidRPr="0088190A" w:rsidRDefault="00D63175" w:rsidP="005B5580">
            <w:pPr>
              <w:keepNext/>
              <w:spacing w:after="0" w:line="240" w:lineRule="auto"/>
              <w:jc w:val="center"/>
              <w:rPr>
                <w:rFonts w:eastAsia="Times New Roman" w:cstheme="minorHAnsi"/>
                <w:b/>
                <w:color w:val="000000"/>
                <w:sz w:val="20"/>
                <w:szCs w:val="20"/>
              </w:rPr>
            </w:pPr>
            <w:r w:rsidRPr="0088190A">
              <w:rPr>
                <w:rFonts w:eastAsia="Times New Roman" w:cstheme="minorHAnsi"/>
                <w:b/>
                <w:color w:val="000000"/>
                <w:sz w:val="20"/>
                <w:szCs w:val="20"/>
              </w:rPr>
              <w:t>Podíl celkem</w:t>
            </w:r>
          </w:p>
        </w:tc>
      </w:tr>
      <w:tr w:rsidR="00EB1C3D" w:rsidRPr="0088190A" w14:paraId="7B7B3205" w14:textId="77777777" w:rsidTr="005B5580">
        <w:trPr>
          <w:trHeight w:val="255"/>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EE138"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Beta 2</w:t>
            </w:r>
          </w:p>
        </w:tc>
        <w:tc>
          <w:tcPr>
            <w:tcW w:w="917" w:type="pct"/>
            <w:tcBorders>
              <w:top w:val="single" w:sz="4" w:space="0" w:color="auto"/>
              <w:left w:val="nil"/>
              <w:bottom w:val="single" w:sz="4" w:space="0" w:color="auto"/>
              <w:right w:val="single" w:sz="4" w:space="0" w:color="auto"/>
            </w:tcBorders>
            <w:shd w:val="clear" w:color="auto" w:fill="auto"/>
            <w:noWrap/>
            <w:vAlign w:val="center"/>
            <w:hideMark/>
          </w:tcPr>
          <w:p w14:paraId="47D2FC62"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122 796</w:t>
            </w:r>
          </w:p>
        </w:tc>
        <w:tc>
          <w:tcPr>
            <w:tcW w:w="816" w:type="pct"/>
            <w:tcBorders>
              <w:top w:val="single" w:sz="4" w:space="0" w:color="auto"/>
              <w:left w:val="nil"/>
              <w:bottom w:val="single" w:sz="4" w:space="0" w:color="auto"/>
              <w:right w:val="single" w:sz="4" w:space="0" w:color="auto"/>
            </w:tcBorders>
            <w:shd w:val="clear" w:color="000000" w:fill="FFFFFF"/>
            <w:noWrap/>
            <w:vAlign w:val="center"/>
            <w:hideMark/>
          </w:tcPr>
          <w:p w14:paraId="042909AE"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133 779</w:t>
            </w:r>
          </w:p>
        </w:tc>
        <w:tc>
          <w:tcPr>
            <w:tcW w:w="808" w:type="pct"/>
            <w:tcBorders>
              <w:top w:val="single" w:sz="4" w:space="0" w:color="auto"/>
              <w:left w:val="nil"/>
              <w:bottom w:val="single" w:sz="4" w:space="0" w:color="auto"/>
              <w:right w:val="single" w:sz="4" w:space="0" w:color="auto"/>
            </w:tcBorders>
            <w:shd w:val="clear" w:color="000000" w:fill="FFFFFF"/>
            <w:noWrap/>
            <w:vAlign w:val="center"/>
            <w:hideMark/>
          </w:tcPr>
          <w:p w14:paraId="35651607"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104 734</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020ADEC4"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361 309</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7610BEF8"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2,20 %</w:t>
            </w:r>
          </w:p>
        </w:tc>
      </w:tr>
      <w:tr w:rsidR="00EB1C3D" w:rsidRPr="0088190A" w14:paraId="6CB89359"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403AD963"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Epsilon</w:t>
            </w:r>
          </w:p>
        </w:tc>
        <w:tc>
          <w:tcPr>
            <w:tcW w:w="917" w:type="pct"/>
            <w:tcBorders>
              <w:top w:val="nil"/>
              <w:left w:val="nil"/>
              <w:bottom w:val="single" w:sz="4" w:space="0" w:color="auto"/>
              <w:right w:val="single" w:sz="4" w:space="0" w:color="auto"/>
            </w:tcBorders>
            <w:shd w:val="clear" w:color="auto" w:fill="auto"/>
            <w:noWrap/>
            <w:vAlign w:val="center"/>
            <w:hideMark/>
          </w:tcPr>
          <w:p w14:paraId="2CB27046"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614 240</w:t>
            </w:r>
          </w:p>
        </w:tc>
        <w:tc>
          <w:tcPr>
            <w:tcW w:w="816" w:type="pct"/>
            <w:tcBorders>
              <w:top w:val="nil"/>
              <w:left w:val="nil"/>
              <w:bottom w:val="single" w:sz="4" w:space="0" w:color="auto"/>
              <w:right w:val="single" w:sz="4" w:space="0" w:color="auto"/>
            </w:tcBorders>
            <w:shd w:val="clear" w:color="000000" w:fill="FFFFFF"/>
            <w:noWrap/>
            <w:vAlign w:val="center"/>
            <w:hideMark/>
          </w:tcPr>
          <w:p w14:paraId="548A07F1"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269 255</w:t>
            </w:r>
          </w:p>
        </w:tc>
        <w:tc>
          <w:tcPr>
            <w:tcW w:w="808" w:type="pct"/>
            <w:tcBorders>
              <w:top w:val="nil"/>
              <w:left w:val="nil"/>
              <w:bottom w:val="single" w:sz="4" w:space="0" w:color="auto"/>
              <w:right w:val="single" w:sz="4" w:space="0" w:color="auto"/>
            </w:tcBorders>
            <w:shd w:val="clear" w:color="000000" w:fill="FFFFFF"/>
            <w:noWrap/>
            <w:vAlign w:val="center"/>
            <w:hideMark/>
          </w:tcPr>
          <w:p w14:paraId="4E5F9293"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82 342</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386EC11"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965 837</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2A1B19C6"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5,87 %</w:t>
            </w:r>
          </w:p>
        </w:tc>
      </w:tr>
      <w:tr w:rsidR="00EB1C3D" w:rsidRPr="0088190A" w14:paraId="744EE574"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7FF9B60A"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Delta</w:t>
            </w:r>
          </w:p>
        </w:tc>
        <w:tc>
          <w:tcPr>
            <w:tcW w:w="917" w:type="pct"/>
            <w:tcBorders>
              <w:top w:val="nil"/>
              <w:left w:val="nil"/>
              <w:bottom w:val="single" w:sz="4" w:space="0" w:color="auto"/>
              <w:right w:val="single" w:sz="4" w:space="0" w:color="auto"/>
            </w:tcBorders>
            <w:shd w:val="clear" w:color="auto" w:fill="auto"/>
            <w:noWrap/>
            <w:vAlign w:val="center"/>
            <w:hideMark/>
          </w:tcPr>
          <w:p w14:paraId="29C98F73"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24 121</w:t>
            </w:r>
          </w:p>
        </w:tc>
        <w:tc>
          <w:tcPr>
            <w:tcW w:w="816" w:type="pct"/>
            <w:tcBorders>
              <w:top w:val="nil"/>
              <w:left w:val="nil"/>
              <w:bottom w:val="single" w:sz="4" w:space="0" w:color="auto"/>
              <w:right w:val="single" w:sz="4" w:space="0" w:color="auto"/>
            </w:tcBorders>
            <w:shd w:val="clear" w:color="000000" w:fill="FFFFFF"/>
            <w:noWrap/>
            <w:vAlign w:val="center"/>
            <w:hideMark/>
          </w:tcPr>
          <w:p w14:paraId="34910552"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0</w:t>
            </w:r>
          </w:p>
        </w:tc>
        <w:tc>
          <w:tcPr>
            <w:tcW w:w="808" w:type="pct"/>
            <w:tcBorders>
              <w:top w:val="nil"/>
              <w:left w:val="nil"/>
              <w:bottom w:val="single" w:sz="4" w:space="0" w:color="auto"/>
              <w:right w:val="single" w:sz="4" w:space="0" w:color="auto"/>
            </w:tcBorders>
            <w:shd w:val="clear" w:color="000000" w:fill="FFFFFF"/>
            <w:noWrap/>
            <w:vAlign w:val="center"/>
            <w:hideMark/>
          </w:tcPr>
          <w:p w14:paraId="3A85ECC3"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0</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3ED8C3BD"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24 121</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1CDA0DC4"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0,15 %</w:t>
            </w:r>
          </w:p>
        </w:tc>
      </w:tr>
      <w:tr w:rsidR="00EB1C3D" w:rsidRPr="0088190A" w14:paraId="581E780A"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11C57766"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Zéta</w:t>
            </w:r>
          </w:p>
        </w:tc>
        <w:tc>
          <w:tcPr>
            <w:tcW w:w="917" w:type="pct"/>
            <w:tcBorders>
              <w:top w:val="nil"/>
              <w:left w:val="nil"/>
              <w:bottom w:val="single" w:sz="4" w:space="0" w:color="auto"/>
              <w:right w:val="single" w:sz="4" w:space="0" w:color="auto"/>
            </w:tcBorders>
            <w:shd w:val="clear" w:color="auto" w:fill="auto"/>
            <w:noWrap/>
            <w:vAlign w:val="center"/>
            <w:hideMark/>
          </w:tcPr>
          <w:p w14:paraId="5F823907"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215 529</w:t>
            </w:r>
          </w:p>
        </w:tc>
        <w:tc>
          <w:tcPr>
            <w:tcW w:w="816" w:type="pct"/>
            <w:tcBorders>
              <w:top w:val="nil"/>
              <w:left w:val="nil"/>
              <w:bottom w:val="single" w:sz="4" w:space="0" w:color="auto"/>
              <w:right w:val="single" w:sz="4" w:space="0" w:color="auto"/>
            </w:tcBorders>
            <w:shd w:val="clear" w:color="000000" w:fill="FFFFFF"/>
            <w:noWrap/>
            <w:vAlign w:val="center"/>
            <w:hideMark/>
          </w:tcPr>
          <w:p w14:paraId="21D2AB7E"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59 119</w:t>
            </w:r>
          </w:p>
        </w:tc>
        <w:tc>
          <w:tcPr>
            <w:tcW w:w="808" w:type="pct"/>
            <w:tcBorders>
              <w:top w:val="nil"/>
              <w:left w:val="nil"/>
              <w:bottom w:val="single" w:sz="4" w:space="0" w:color="auto"/>
              <w:right w:val="single" w:sz="4" w:space="0" w:color="auto"/>
            </w:tcBorders>
            <w:shd w:val="clear" w:color="000000" w:fill="FFFFFF"/>
            <w:noWrap/>
            <w:vAlign w:val="center"/>
            <w:hideMark/>
          </w:tcPr>
          <w:p w14:paraId="2A09D478"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0</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5628D550"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274 648</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778C301B"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1,67 %</w:t>
            </w:r>
          </w:p>
        </w:tc>
      </w:tr>
      <w:tr w:rsidR="00EB1C3D" w:rsidRPr="0088190A" w14:paraId="651FFA2F"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23EFF7C5"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Éta</w:t>
            </w:r>
          </w:p>
        </w:tc>
        <w:tc>
          <w:tcPr>
            <w:tcW w:w="917" w:type="pct"/>
            <w:tcBorders>
              <w:top w:val="nil"/>
              <w:left w:val="nil"/>
              <w:bottom w:val="single" w:sz="4" w:space="0" w:color="auto"/>
              <w:right w:val="single" w:sz="4" w:space="0" w:color="auto"/>
            </w:tcBorders>
            <w:shd w:val="clear" w:color="auto" w:fill="auto"/>
            <w:noWrap/>
            <w:vAlign w:val="center"/>
            <w:hideMark/>
          </w:tcPr>
          <w:p w14:paraId="4800F5C4"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487 011</w:t>
            </w:r>
          </w:p>
        </w:tc>
        <w:tc>
          <w:tcPr>
            <w:tcW w:w="816" w:type="pct"/>
            <w:tcBorders>
              <w:top w:val="nil"/>
              <w:left w:val="nil"/>
              <w:bottom w:val="single" w:sz="4" w:space="0" w:color="auto"/>
              <w:right w:val="single" w:sz="4" w:space="0" w:color="auto"/>
            </w:tcBorders>
            <w:shd w:val="clear" w:color="000000" w:fill="FFFFFF"/>
            <w:noWrap/>
            <w:vAlign w:val="center"/>
            <w:hideMark/>
          </w:tcPr>
          <w:p w14:paraId="67E138B1"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355 313</w:t>
            </w:r>
          </w:p>
        </w:tc>
        <w:tc>
          <w:tcPr>
            <w:tcW w:w="808" w:type="pct"/>
            <w:tcBorders>
              <w:top w:val="nil"/>
              <w:left w:val="nil"/>
              <w:bottom w:val="single" w:sz="4" w:space="0" w:color="auto"/>
              <w:right w:val="single" w:sz="4" w:space="0" w:color="auto"/>
            </w:tcBorders>
            <w:shd w:val="clear" w:color="000000" w:fill="FFFFFF"/>
            <w:noWrap/>
            <w:vAlign w:val="center"/>
            <w:hideMark/>
          </w:tcPr>
          <w:p w14:paraId="4648CBFF"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175 894</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71C6CC7A"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1 018 218</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729F522A"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6,19 %</w:t>
            </w:r>
          </w:p>
        </w:tc>
      </w:tr>
      <w:tr w:rsidR="00EB1C3D" w:rsidRPr="0088190A" w14:paraId="71488A6E"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16CDD0B1"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NCK</w:t>
            </w:r>
          </w:p>
        </w:tc>
        <w:tc>
          <w:tcPr>
            <w:tcW w:w="917" w:type="pct"/>
            <w:tcBorders>
              <w:top w:val="nil"/>
              <w:left w:val="nil"/>
              <w:bottom w:val="single" w:sz="4" w:space="0" w:color="auto"/>
              <w:right w:val="single" w:sz="4" w:space="0" w:color="auto"/>
            </w:tcBorders>
            <w:shd w:val="clear" w:color="auto" w:fill="auto"/>
            <w:noWrap/>
            <w:vAlign w:val="center"/>
            <w:hideMark/>
          </w:tcPr>
          <w:p w14:paraId="70CBD430"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546 853</w:t>
            </w:r>
          </w:p>
        </w:tc>
        <w:tc>
          <w:tcPr>
            <w:tcW w:w="816" w:type="pct"/>
            <w:tcBorders>
              <w:top w:val="nil"/>
              <w:left w:val="nil"/>
              <w:bottom w:val="single" w:sz="4" w:space="0" w:color="auto"/>
              <w:right w:val="single" w:sz="4" w:space="0" w:color="auto"/>
            </w:tcBorders>
            <w:shd w:val="clear" w:color="000000" w:fill="FFFFFF"/>
            <w:noWrap/>
            <w:vAlign w:val="center"/>
            <w:hideMark/>
          </w:tcPr>
          <w:p w14:paraId="569836FD"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299 934</w:t>
            </w:r>
          </w:p>
        </w:tc>
        <w:tc>
          <w:tcPr>
            <w:tcW w:w="808" w:type="pct"/>
            <w:tcBorders>
              <w:top w:val="nil"/>
              <w:left w:val="nil"/>
              <w:bottom w:val="single" w:sz="4" w:space="0" w:color="auto"/>
              <w:right w:val="single" w:sz="4" w:space="0" w:color="auto"/>
            </w:tcBorders>
            <w:shd w:val="clear" w:color="000000" w:fill="FFFFFF"/>
            <w:noWrap/>
            <w:vAlign w:val="center"/>
            <w:hideMark/>
          </w:tcPr>
          <w:p w14:paraId="28826400"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1 302 082</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2D43108B"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2 148 869</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00DE7559"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13,06 %</w:t>
            </w:r>
          </w:p>
        </w:tc>
      </w:tr>
      <w:tr w:rsidR="00EB1C3D" w:rsidRPr="0088190A" w14:paraId="74D59345"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06F39986"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Théta</w:t>
            </w:r>
          </w:p>
        </w:tc>
        <w:tc>
          <w:tcPr>
            <w:tcW w:w="917" w:type="pct"/>
            <w:tcBorders>
              <w:top w:val="nil"/>
              <w:left w:val="nil"/>
              <w:bottom w:val="single" w:sz="4" w:space="0" w:color="auto"/>
              <w:right w:val="single" w:sz="4" w:space="0" w:color="auto"/>
            </w:tcBorders>
            <w:shd w:val="clear" w:color="auto" w:fill="auto"/>
            <w:noWrap/>
            <w:vAlign w:val="center"/>
            <w:hideMark/>
          </w:tcPr>
          <w:p w14:paraId="4A555690"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572 133</w:t>
            </w:r>
          </w:p>
        </w:tc>
        <w:tc>
          <w:tcPr>
            <w:tcW w:w="816" w:type="pct"/>
            <w:tcBorders>
              <w:top w:val="nil"/>
              <w:left w:val="nil"/>
              <w:bottom w:val="single" w:sz="4" w:space="0" w:color="auto"/>
              <w:right w:val="single" w:sz="4" w:space="0" w:color="auto"/>
            </w:tcBorders>
            <w:shd w:val="clear" w:color="000000" w:fill="FFFFFF"/>
            <w:noWrap/>
            <w:vAlign w:val="center"/>
            <w:hideMark/>
          </w:tcPr>
          <w:p w14:paraId="46E6A495"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673 918</w:t>
            </w:r>
          </w:p>
        </w:tc>
        <w:tc>
          <w:tcPr>
            <w:tcW w:w="808" w:type="pct"/>
            <w:tcBorders>
              <w:top w:val="nil"/>
              <w:left w:val="nil"/>
              <w:bottom w:val="single" w:sz="4" w:space="0" w:color="auto"/>
              <w:right w:val="single" w:sz="4" w:space="0" w:color="auto"/>
            </w:tcBorders>
            <w:shd w:val="clear" w:color="000000" w:fill="FFFFFF"/>
            <w:noWrap/>
            <w:vAlign w:val="center"/>
            <w:hideMark/>
          </w:tcPr>
          <w:p w14:paraId="1944D2E8"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748 212</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005BBB8B"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1 994 263</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5A366BE2"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12,12 %</w:t>
            </w:r>
          </w:p>
        </w:tc>
      </w:tr>
      <w:tr w:rsidR="00EB1C3D" w:rsidRPr="0088190A" w14:paraId="24803582"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407FA1F2"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Gama 2</w:t>
            </w:r>
          </w:p>
        </w:tc>
        <w:tc>
          <w:tcPr>
            <w:tcW w:w="917" w:type="pct"/>
            <w:tcBorders>
              <w:top w:val="nil"/>
              <w:left w:val="nil"/>
              <w:bottom w:val="single" w:sz="4" w:space="0" w:color="auto"/>
              <w:right w:val="single" w:sz="4" w:space="0" w:color="auto"/>
            </w:tcBorders>
            <w:shd w:val="clear" w:color="auto" w:fill="auto"/>
            <w:noWrap/>
            <w:vAlign w:val="center"/>
            <w:hideMark/>
          </w:tcPr>
          <w:p w14:paraId="7B749FB2"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145 399</w:t>
            </w:r>
          </w:p>
        </w:tc>
        <w:tc>
          <w:tcPr>
            <w:tcW w:w="816" w:type="pct"/>
            <w:tcBorders>
              <w:top w:val="nil"/>
              <w:left w:val="nil"/>
              <w:bottom w:val="single" w:sz="4" w:space="0" w:color="auto"/>
              <w:right w:val="single" w:sz="4" w:space="0" w:color="auto"/>
            </w:tcBorders>
            <w:shd w:val="clear" w:color="000000" w:fill="FFFFFF"/>
            <w:noWrap/>
            <w:vAlign w:val="center"/>
            <w:hideMark/>
          </w:tcPr>
          <w:p w14:paraId="441F6740"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110 425</w:t>
            </w:r>
          </w:p>
        </w:tc>
        <w:tc>
          <w:tcPr>
            <w:tcW w:w="808" w:type="pct"/>
            <w:tcBorders>
              <w:top w:val="nil"/>
              <w:left w:val="nil"/>
              <w:bottom w:val="single" w:sz="4" w:space="0" w:color="auto"/>
              <w:right w:val="single" w:sz="4" w:space="0" w:color="auto"/>
            </w:tcBorders>
            <w:shd w:val="clear" w:color="000000" w:fill="FFFFFF"/>
            <w:noWrap/>
            <w:vAlign w:val="center"/>
            <w:hideMark/>
          </w:tcPr>
          <w:p w14:paraId="03C8D832"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0</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B1AB6C0"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255 824</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5AE1D39E"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1,55 %</w:t>
            </w:r>
          </w:p>
        </w:tc>
      </w:tr>
      <w:tr w:rsidR="00EB1C3D" w:rsidRPr="0088190A" w14:paraId="3B2950F4"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65917F49"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Delta 2</w:t>
            </w:r>
          </w:p>
        </w:tc>
        <w:tc>
          <w:tcPr>
            <w:tcW w:w="917" w:type="pct"/>
            <w:tcBorders>
              <w:top w:val="nil"/>
              <w:left w:val="nil"/>
              <w:bottom w:val="single" w:sz="4" w:space="0" w:color="auto"/>
              <w:right w:val="single" w:sz="4" w:space="0" w:color="auto"/>
            </w:tcBorders>
            <w:shd w:val="clear" w:color="auto" w:fill="auto"/>
            <w:noWrap/>
            <w:vAlign w:val="center"/>
            <w:hideMark/>
          </w:tcPr>
          <w:p w14:paraId="19CD032A"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141 248</w:t>
            </w:r>
          </w:p>
        </w:tc>
        <w:tc>
          <w:tcPr>
            <w:tcW w:w="816" w:type="pct"/>
            <w:tcBorders>
              <w:top w:val="nil"/>
              <w:left w:val="nil"/>
              <w:bottom w:val="single" w:sz="4" w:space="0" w:color="auto"/>
              <w:right w:val="single" w:sz="4" w:space="0" w:color="auto"/>
            </w:tcBorders>
            <w:shd w:val="clear" w:color="000000" w:fill="FFFFFF"/>
            <w:noWrap/>
            <w:vAlign w:val="center"/>
            <w:hideMark/>
          </w:tcPr>
          <w:p w14:paraId="68FF2E75"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199 623</w:t>
            </w:r>
          </w:p>
        </w:tc>
        <w:tc>
          <w:tcPr>
            <w:tcW w:w="808" w:type="pct"/>
            <w:tcBorders>
              <w:top w:val="nil"/>
              <w:left w:val="nil"/>
              <w:bottom w:val="single" w:sz="4" w:space="0" w:color="auto"/>
              <w:right w:val="single" w:sz="4" w:space="0" w:color="auto"/>
            </w:tcBorders>
            <w:shd w:val="clear" w:color="000000" w:fill="FFFFFF"/>
            <w:noWrap/>
            <w:vAlign w:val="center"/>
            <w:hideMark/>
          </w:tcPr>
          <w:p w14:paraId="20A6344B"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197 957</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2330E967"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538 828</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2676EB30"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3,28 %</w:t>
            </w:r>
          </w:p>
        </w:tc>
      </w:tr>
      <w:tr w:rsidR="00EB1C3D" w:rsidRPr="0088190A" w14:paraId="58D16863"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3B13632D"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Prostředí pro život</w:t>
            </w:r>
          </w:p>
        </w:tc>
        <w:tc>
          <w:tcPr>
            <w:tcW w:w="917" w:type="pct"/>
            <w:tcBorders>
              <w:top w:val="nil"/>
              <w:left w:val="nil"/>
              <w:bottom w:val="single" w:sz="4" w:space="0" w:color="auto"/>
              <w:right w:val="single" w:sz="4" w:space="0" w:color="auto"/>
            </w:tcBorders>
            <w:shd w:val="clear" w:color="auto" w:fill="auto"/>
            <w:noWrap/>
            <w:vAlign w:val="center"/>
            <w:hideMark/>
          </w:tcPr>
          <w:p w14:paraId="71D09A93"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422 831</w:t>
            </w:r>
          </w:p>
        </w:tc>
        <w:tc>
          <w:tcPr>
            <w:tcW w:w="816" w:type="pct"/>
            <w:tcBorders>
              <w:top w:val="nil"/>
              <w:left w:val="nil"/>
              <w:bottom w:val="single" w:sz="4" w:space="0" w:color="auto"/>
              <w:right w:val="single" w:sz="4" w:space="0" w:color="auto"/>
            </w:tcBorders>
            <w:shd w:val="clear" w:color="000000" w:fill="FFFFFF"/>
            <w:noWrap/>
            <w:vAlign w:val="center"/>
            <w:hideMark/>
          </w:tcPr>
          <w:p w14:paraId="6AC6E273"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530 140</w:t>
            </w:r>
          </w:p>
        </w:tc>
        <w:tc>
          <w:tcPr>
            <w:tcW w:w="808" w:type="pct"/>
            <w:tcBorders>
              <w:top w:val="nil"/>
              <w:left w:val="nil"/>
              <w:bottom w:val="single" w:sz="4" w:space="0" w:color="auto"/>
              <w:right w:val="single" w:sz="4" w:space="0" w:color="auto"/>
            </w:tcBorders>
            <w:shd w:val="clear" w:color="000000" w:fill="FFFFFF"/>
            <w:noWrap/>
            <w:vAlign w:val="center"/>
            <w:hideMark/>
          </w:tcPr>
          <w:p w14:paraId="6AEA4917"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579 383</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3902E62D"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1 532 354</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3F4518B3"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9,31 %</w:t>
            </w:r>
          </w:p>
        </w:tc>
      </w:tr>
      <w:tr w:rsidR="00EB1C3D" w:rsidRPr="0088190A" w14:paraId="3AF0FFE2"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749E843D"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Doprava 2020+</w:t>
            </w:r>
          </w:p>
        </w:tc>
        <w:tc>
          <w:tcPr>
            <w:tcW w:w="917" w:type="pct"/>
            <w:tcBorders>
              <w:top w:val="nil"/>
              <w:left w:val="nil"/>
              <w:bottom w:val="single" w:sz="4" w:space="0" w:color="auto"/>
              <w:right w:val="single" w:sz="4" w:space="0" w:color="auto"/>
            </w:tcBorders>
            <w:shd w:val="clear" w:color="auto" w:fill="auto"/>
            <w:noWrap/>
            <w:vAlign w:val="center"/>
            <w:hideMark/>
          </w:tcPr>
          <w:p w14:paraId="0044160B"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272 187</w:t>
            </w:r>
          </w:p>
        </w:tc>
        <w:tc>
          <w:tcPr>
            <w:tcW w:w="816" w:type="pct"/>
            <w:tcBorders>
              <w:top w:val="nil"/>
              <w:left w:val="nil"/>
              <w:bottom w:val="single" w:sz="4" w:space="0" w:color="auto"/>
              <w:right w:val="single" w:sz="4" w:space="0" w:color="auto"/>
            </w:tcBorders>
            <w:shd w:val="clear" w:color="000000" w:fill="FFFFFF"/>
            <w:noWrap/>
            <w:vAlign w:val="center"/>
            <w:hideMark/>
          </w:tcPr>
          <w:p w14:paraId="4F0E5D77"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413 129</w:t>
            </w:r>
          </w:p>
        </w:tc>
        <w:tc>
          <w:tcPr>
            <w:tcW w:w="808" w:type="pct"/>
            <w:tcBorders>
              <w:top w:val="nil"/>
              <w:left w:val="nil"/>
              <w:bottom w:val="single" w:sz="4" w:space="0" w:color="auto"/>
              <w:right w:val="single" w:sz="4" w:space="0" w:color="auto"/>
            </w:tcBorders>
            <w:shd w:val="clear" w:color="000000" w:fill="FFFFFF"/>
            <w:noWrap/>
            <w:vAlign w:val="center"/>
            <w:hideMark/>
          </w:tcPr>
          <w:p w14:paraId="75248448"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454 052</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14F3B585"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1 139 368</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6487706D"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6,93 %</w:t>
            </w:r>
          </w:p>
        </w:tc>
      </w:tr>
      <w:tr w:rsidR="00EB1C3D" w:rsidRPr="0088190A" w14:paraId="22298D4D"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4A95455C"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Trend</w:t>
            </w:r>
          </w:p>
        </w:tc>
        <w:tc>
          <w:tcPr>
            <w:tcW w:w="917" w:type="pct"/>
            <w:tcBorders>
              <w:top w:val="nil"/>
              <w:left w:val="nil"/>
              <w:bottom w:val="single" w:sz="4" w:space="0" w:color="auto"/>
              <w:right w:val="single" w:sz="4" w:space="0" w:color="auto"/>
            </w:tcBorders>
            <w:shd w:val="clear" w:color="auto" w:fill="auto"/>
            <w:noWrap/>
            <w:vAlign w:val="center"/>
            <w:hideMark/>
          </w:tcPr>
          <w:p w14:paraId="5B92C678"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1 671 367</w:t>
            </w:r>
          </w:p>
        </w:tc>
        <w:tc>
          <w:tcPr>
            <w:tcW w:w="816" w:type="pct"/>
            <w:tcBorders>
              <w:top w:val="nil"/>
              <w:left w:val="nil"/>
              <w:bottom w:val="single" w:sz="4" w:space="0" w:color="auto"/>
              <w:right w:val="single" w:sz="4" w:space="0" w:color="auto"/>
            </w:tcBorders>
            <w:shd w:val="clear" w:color="000000" w:fill="FFFFFF"/>
            <w:noWrap/>
            <w:vAlign w:val="center"/>
            <w:hideMark/>
          </w:tcPr>
          <w:p w14:paraId="28D4C096"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1 712 155</w:t>
            </w:r>
          </w:p>
        </w:tc>
        <w:tc>
          <w:tcPr>
            <w:tcW w:w="808" w:type="pct"/>
            <w:tcBorders>
              <w:top w:val="nil"/>
              <w:left w:val="nil"/>
              <w:bottom w:val="single" w:sz="4" w:space="0" w:color="auto"/>
              <w:right w:val="single" w:sz="4" w:space="0" w:color="auto"/>
            </w:tcBorders>
            <w:shd w:val="clear" w:color="000000" w:fill="FFFFFF"/>
            <w:noWrap/>
            <w:vAlign w:val="center"/>
            <w:hideMark/>
          </w:tcPr>
          <w:p w14:paraId="04ED0FEA"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1 917 323</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15883A2F"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5 300 845</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262CDD11"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32,22 %</w:t>
            </w:r>
          </w:p>
        </w:tc>
      </w:tr>
      <w:tr w:rsidR="00EB1C3D" w:rsidRPr="0088190A" w14:paraId="38CFCD57"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2F1E7853"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Kappa</w:t>
            </w:r>
          </w:p>
        </w:tc>
        <w:tc>
          <w:tcPr>
            <w:tcW w:w="917" w:type="pct"/>
            <w:tcBorders>
              <w:top w:val="nil"/>
              <w:left w:val="nil"/>
              <w:bottom w:val="single" w:sz="4" w:space="0" w:color="auto"/>
              <w:right w:val="single" w:sz="4" w:space="0" w:color="auto"/>
            </w:tcBorders>
            <w:shd w:val="clear" w:color="auto" w:fill="auto"/>
            <w:noWrap/>
            <w:vAlign w:val="center"/>
            <w:hideMark/>
          </w:tcPr>
          <w:p w14:paraId="3EFAC837"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262 967</w:t>
            </w:r>
          </w:p>
        </w:tc>
        <w:tc>
          <w:tcPr>
            <w:tcW w:w="816" w:type="pct"/>
            <w:tcBorders>
              <w:top w:val="nil"/>
              <w:left w:val="nil"/>
              <w:bottom w:val="single" w:sz="4" w:space="0" w:color="auto"/>
              <w:right w:val="single" w:sz="4" w:space="0" w:color="auto"/>
            </w:tcBorders>
            <w:shd w:val="clear" w:color="000000" w:fill="FFFFFF"/>
            <w:noWrap/>
            <w:vAlign w:val="center"/>
            <w:hideMark/>
          </w:tcPr>
          <w:p w14:paraId="35DFCB6F"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264 380</w:t>
            </w:r>
          </w:p>
        </w:tc>
        <w:tc>
          <w:tcPr>
            <w:tcW w:w="808" w:type="pct"/>
            <w:tcBorders>
              <w:top w:val="nil"/>
              <w:left w:val="nil"/>
              <w:bottom w:val="single" w:sz="4" w:space="0" w:color="auto"/>
              <w:right w:val="single" w:sz="4" w:space="0" w:color="auto"/>
            </w:tcBorders>
            <w:shd w:val="clear" w:color="000000" w:fill="FFFFFF"/>
            <w:noWrap/>
            <w:vAlign w:val="center"/>
            <w:hideMark/>
          </w:tcPr>
          <w:p w14:paraId="658C38EA"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228 531</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F704FCF"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755 878</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22B29A22"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4,59 %</w:t>
            </w:r>
          </w:p>
        </w:tc>
      </w:tr>
      <w:tr w:rsidR="00EB1C3D" w:rsidRPr="0088190A" w14:paraId="2E3EDEC0"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14:paraId="170544EB" w14:textId="77777777" w:rsidR="00EB1C3D" w:rsidRPr="0088190A" w:rsidRDefault="00EB1C3D" w:rsidP="00EB1C3D">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Sigma</w:t>
            </w:r>
          </w:p>
        </w:tc>
        <w:tc>
          <w:tcPr>
            <w:tcW w:w="917" w:type="pct"/>
            <w:tcBorders>
              <w:top w:val="nil"/>
              <w:left w:val="nil"/>
              <w:bottom w:val="single" w:sz="4" w:space="0" w:color="auto"/>
              <w:right w:val="single" w:sz="4" w:space="0" w:color="auto"/>
            </w:tcBorders>
            <w:shd w:val="clear" w:color="auto" w:fill="auto"/>
            <w:noWrap/>
            <w:vAlign w:val="center"/>
            <w:hideMark/>
          </w:tcPr>
          <w:p w14:paraId="4031BBB2"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0</w:t>
            </w:r>
          </w:p>
        </w:tc>
        <w:tc>
          <w:tcPr>
            <w:tcW w:w="816" w:type="pct"/>
            <w:tcBorders>
              <w:top w:val="nil"/>
              <w:left w:val="nil"/>
              <w:bottom w:val="single" w:sz="4" w:space="0" w:color="auto"/>
              <w:right w:val="single" w:sz="4" w:space="0" w:color="auto"/>
            </w:tcBorders>
            <w:shd w:val="clear" w:color="000000" w:fill="FFFFFF"/>
            <w:noWrap/>
            <w:vAlign w:val="center"/>
            <w:hideMark/>
          </w:tcPr>
          <w:p w14:paraId="4EFA6AB6"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0</w:t>
            </w:r>
          </w:p>
        </w:tc>
        <w:tc>
          <w:tcPr>
            <w:tcW w:w="808" w:type="pct"/>
            <w:tcBorders>
              <w:top w:val="nil"/>
              <w:left w:val="nil"/>
              <w:bottom w:val="single" w:sz="4" w:space="0" w:color="auto"/>
              <w:right w:val="single" w:sz="4" w:space="0" w:color="auto"/>
            </w:tcBorders>
            <w:shd w:val="clear" w:color="000000" w:fill="FFFFFF"/>
            <w:noWrap/>
            <w:vAlign w:val="center"/>
            <w:hideMark/>
          </w:tcPr>
          <w:p w14:paraId="77DCBA28"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142 289</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69DE7BE7" w14:textId="77777777" w:rsidR="00EB1C3D" w:rsidRPr="0088190A" w:rsidRDefault="00EB1C3D" w:rsidP="005B5580">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142 289</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17443200" w14:textId="77777777" w:rsidR="00EB1C3D" w:rsidRPr="0088190A" w:rsidRDefault="00EB1C3D" w:rsidP="005B5580">
            <w:pPr>
              <w:keepNext/>
              <w:spacing w:after="0" w:line="240" w:lineRule="auto"/>
              <w:ind w:right="170"/>
              <w:jc w:val="right"/>
              <w:rPr>
                <w:rFonts w:eastAsia="Times New Roman" w:cstheme="minorHAnsi"/>
                <w:color w:val="000000"/>
                <w:sz w:val="20"/>
                <w:szCs w:val="20"/>
              </w:rPr>
            </w:pPr>
            <w:r w:rsidRPr="0088190A">
              <w:rPr>
                <w:rFonts w:eastAsia="Times New Roman" w:cstheme="minorHAnsi"/>
                <w:color w:val="000000"/>
                <w:sz w:val="20"/>
                <w:szCs w:val="20"/>
              </w:rPr>
              <w:t>0,86 %</w:t>
            </w:r>
          </w:p>
        </w:tc>
      </w:tr>
      <w:tr w:rsidR="00EB1C3D" w:rsidRPr="0088190A" w14:paraId="3690C361" w14:textId="77777777" w:rsidTr="005B5580">
        <w:trPr>
          <w:trHeight w:val="255"/>
        </w:trPr>
        <w:tc>
          <w:tcPr>
            <w:tcW w:w="1129" w:type="pct"/>
            <w:tcBorders>
              <w:top w:val="nil"/>
              <w:left w:val="single" w:sz="4" w:space="0" w:color="auto"/>
              <w:bottom w:val="single" w:sz="4" w:space="0" w:color="auto"/>
              <w:right w:val="single" w:sz="4" w:space="0" w:color="auto"/>
            </w:tcBorders>
            <w:shd w:val="clear" w:color="auto" w:fill="EDD4D9"/>
            <w:noWrap/>
            <w:vAlign w:val="center"/>
            <w:hideMark/>
          </w:tcPr>
          <w:p w14:paraId="3CF440CB" w14:textId="77777777" w:rsidR="00EB1C3D" w:rsidRPr="0088190A" w:rsidRDefault="00EB1C3D" w:rsidP="00EB1C3D">
            <w:pPr>
              <w:keepNext/>
              <w:spacing w:after="0" w:line="240" w:lineRule="auto"/>
              <w:rPr>
                <w:rFonts w:eastAsia="Times New Roman" w:cstheme="minorHAnsi"/>
                <w:b/>
                <w:color w:val="000000"/>
                <w:sz w:val="20"/>
                <w:szCs w:val="20"/>
              </w:rPr>
            </w:pPr>
            <w:r w:rsidRPr="0088190A">
              <w:rPr>
                <w:rFonts w:eastAsia="Times New Roman" w:cstheme="minorHAnsi"/>
                <w:b/>
                <w:color w:val="000000"/>
                <w:sz w:val="20"/>
                <w:szCs w:val="20"/>
              </w:rPr>
              <w:t>Celkem</w:t>
            </w:r>
          </w:p>
        </w:tc>
        <w:tc>
          <w:tcPr>
            <w:tcW w:w="917" w:type="pct"/>
            <w:tcBorders>
              <w:top w:val="nil"/>
              <w:left w:val="nil"/>
              <w:bottom w:val="single" w:sz="4" w:space="0" w:color="auto"/>
              <w:right w:val="single" w:sz="4" w:space="0" w:color="auto"/>
            </w:tcBorders>
            <w:shd w:val="clear" w:color="auto" w:fill="EDD4D9"/>
            <w:noWrap/>
            <w:vAlign w:val="center"/>
            <w:hideMark/>
          </w:tcPr>
          <w:p w14:paraId="01668BCF" w14:textId="77777777" w:rsidR="00EB1C3D" w:rsidRPr="0088190A" w:rsidRDefault="00EB1C3D" w:rsidP="005B5580">
            <w:pPr>
              <w:keepNext/>
              <w:spacing w:after="0" w:line="240" w:lineRule="auto"/>
              <w:ind w:right="57"/>
              <w:jc w:val="right"/>
              <w:rPr>
                <w:rFonts w:eastAsia="Times New Roman" w:cstheme="minorHAnsi"/>
                <w:b/>
                <w:color w:val="000000"/>
                <w:sz w:val="20"/>
                <w:szCs w:val="20"/>
              </w:rPr>
            </w:pPr>
            <w:r w:rsidRPr="0088190A">
              <w:rPr>
                <w:rFonts w:eastAsia="Times New Roman" w:cstheme="minorHAnsi"/>
                <w:b/>
                <w:color w:val="000000"/>
                <w:sz w:val="20"/>
                <w:szCs w:val="20"/>
              </w:rPr>
              <w:t>5 498 683</w:t>
            </w:r>
          </w:p>
        </w:tc>
        <w:tc>
          <w:tcPr>
            <w:tcW w:w="816" w:type="pct"/>
            <w:tcBorders>
              <w:top w:val="nil"/>
              <w:left w:val="nil"/>
              <w:bottom w:val="single" w:sz="4" w:space="0" w:color="auto"/>
              <w:right w:val="single" w:sz="4" w:space="0" w:color="auto"/>
            </w:tcBorders>
            <w:shd w:val="clear" w:color="auto" w:fill="EDD4D9"/>
            <w:noWrap/>
            <w:vAlign w:val="center"/>
            <w:hideMark/>
          </w:tcPr>
          <w:p w14:paraId="560E326E" w14:textId="77777777" w:rsidR="00EB1C3D" w:rsidRPr="0088190A" w:rsidRDefault="00EB1C3D" w:rsidP="005B5580">
            <w:pPr>
              <w:keepNext/>
              <w:spacing w:after="0" w:line="240" w:lineRule="auto"/>
              <w:ind w:right="57"/>
              <w:jc w:val="right"/>
              <w:rPr>
                <w:rFonts w:eastAsia="Times New Roman" w:cstheme="minorHAnsi"/>
                <w:b/>
                <w:color w:val="000000"/>
                <w:sz w:val="20"/>
                <w:szCs w:val="20"/>
              </w:rPr>
            </w:pPr>
            <w:r w:rsidRPr="0088190A">
              <w:rPr>
                <w:rFonts w:eastAsia="Times New Roman" w:cstheme="minorHAnsi"/>
                <w:b/>
                <w:color w:val="000000"/>
                <w:sz w:val="20"/>
                <w:szCs w:val="20"/>
              </w:rPr>
              <w:t>5 021 171</w:t>
            </w:r>
          </w:p>
        </w:tc>
        <w:tc>
          <w:tcPr>
            <w:tcW w:w="808" w:type="pct"/>
            <w:tcBorders>
              <w:top w:val="nil"/>
              <w:left w:val="nil"/>
              <w:bottom w:val="single" w:sz="4" w:space="0" w:color="auto"/>
              <w:right w:val="single" w:sz="4" w:space="0" w:color="auto"/>
            </w:tcBorders>
            <w:shd w:val="clear" w:color="auto" w:fill="EDD4D9"/>
            <w:noWrap/>
            <w:vAlign w:val="center"/>
            <w:hideMark/>
          </w:tcPr>
          <w:p w14:paraId="79B18292" w14:textId="77777777" w:rsidR="00EB1C3D" w:rsidRPr="0088190A" w:rsidRDefault="00EB1C3D" w:rsidP="005B5580">
            <w:pPr>
              <w:keepNext/>
              <w:spacing w:after="0" w:line="240" w:lineRule="auto"/>
              <w:ind w:right="57"/>
              <w:jc w:val="right"/>
              <w:rPr>
                <w:rFonts w:eastAsia="Times New Roman" w:cstheme="minorHAnsi"/>
                <w:b/>
                <w:color w:val="000000"/>
                <w:sz w:val="20"/>
                <w:szCs w:val="20"/>
              </w:rPr>
            </w:pPr>
            <w:r w:rsidRPr="0088190A">
              <w:rPr>
                <w:rFonts w:eastAsia="Times New Roman" w:cstheme="minorHAnsi"/>
                <w:b/>
                <w:color w:val="000000"/>
                <w:sz w:val="20"/>
                <w:szCs w:val="20"/>
              </w:rPr>
              <w:t>5 932 799</w:t>
            </w:r>
          </w:p>
        </w:tc>
        <w:tc>
          <w:tcPr>
            <w:tcW w:w="665" w:type="pct"/>
            <w:tcBorders>
              <w:top w:val="single" w:sz="4" w:space="0" w:color="auto"/>
              <w:left w:val="nil"/>
              <w:bottom w:val="single" w:sz="4" w:space="0" w:color="auto"/>
              <w:right w:val="single" w:sz="4" w:space="0" w:color="auto"/>
            </w:tcBorders>
            <w:shd w:val="clear" w:color="auto" w:fill="EDD4D9"/>
            <w:vAlign w:val="center"/>
          </w:tcPr>
          <w:p w14:paraId="29EB13D3" w14:textId="77777777" w:rsidR="00EB1C3D" w:rsidRPr="0088190A" w:rsidRDefault="00EB1C3D" w:rsidP="005B5580">
            <w:pPr>
              <w:keepNext/>
              <w:spacing w:after="0" w:line="240" w:lineRule="auto"/>
              <w:ind w:right="57"/>
              <w:jc w:val="right"/>
              <w:rPr>
                <w:rFonts w:eastAsia="Times New Roman" w:cstheme="minorHAnsi"/>
                <w:b/>
                <w:color w:val="000000"/>
                <w:sz w:val="20"/>
                <w:szCs w:val="20"/>
              </w:rPr>
            </w:pPr>
            <w:r w:rsidRPr="0088190A">
              <w:rPr>
                <w:rFonts w:eastAsia="Times New Roman" w:cstheme="minorHAnsi"/>
                <w:b/>
                <w:color w:val="000000"/>
                <w:sz w:val="20"/>
                <w:szCs w:val="20"/>
              </w:rPr>
              <w:t>16 452 653</w:t>
            </w:r>
          </w:p>
        </w:tc>
        <w:tc>
          <w:tcPr>
            <w:tcW w:w="665" w:type="pct"/>
            <w:tcBorders>
              <w:top w:val="single" w:sz="4" w:space="0" w:color="auto"/>
              <w:left w:val="single" w:sz="4" w:space="0" w:color="auto"/>
              <w:bottom w:val="single" w:sz="4" w:space="0" w:color="auto"/>
              <w:right w:val="single" w:sz="4" w:space="0" w:color="auto"/>
            </w:tcBorders>
            <w:shd w:val="clear" w:color="auto" w:fill="EDD4D9"/>
            <w:vAlign w:val="center"/>
          </w:tcPr>
          <w:p w14:paraId="3A645800" w14:textId="77777777" w:rsidR="00EB1C3D" w:rsidRPr="0088190A" w:rsidRDefault="00EB1C3D" w:rsidP="005B5580">
            <w:pPr>
              <w:keepNext/>
              <w:spacing w:after="0" w:line="240" w:lineRule="auto"/>
              <w:ind w:right="170"/>
              <w:jc w:val="right"/>
              <w:rPr>
                <w:rFonts w:eastAsia="Times New Roman" w:cstheme="minorHAnsi"/>
                <w:b/>
                <w:color w:val="000000"/>
                <w:sz w:val="20"/>
                <w:szCs w:val="20"/>
              </w:rPr>
            </w:pPr>
            <w:r w:rsidRPr="0088190A">
              <w:rPr>
                <w:rFonts w:eastAsia="Times New Roman" w:cstheme="minorHAnsi"/>
                <w:b/>
                <w:color w:val="000000"/>
                <w:sz w:val="20"/>
                <w:szCs w:val="20"/>
              </w:rPr>
              <w:t>100,00 %</w:t>
            </w:r>
          </w:p>
        </w:tc>
      </w:tr>
    </w:tbl>
    <w:p w14:paraId="6AA42FBC" w14:textId="18622D3A" w:rsidR="00E53823" w:rsidRPr="0088190A" w:rsidRDefault="00E53823" w:rsidP="00C475A9">
      <w:pPr>
        <w:autoSpaceDE w:val="0"/>
        <w:autoSpaceDN w:val="0"/>
        <w:adjustRightInd w:val="0"/>
        <w:spacing w:before="40" w:after="120" w:line="240" w:lineRule="auto"/>
        <w:jc w:val="both"/>
        <w:rPr>
          <w:rFonts w:eastAsia="Times New Roman" w:cstheme="minorHAnsi"/>
          <w:sz w:val="20"/>
          <w:szCs w:val="20"/>
          <w:lang w:eastAsia="cs-CZ"/>
        </w:rPr>
      </w:pPr>
      <w:r w:rsidRPr="0088190A">
        <w:rPr>
          <w:rFonts w:eastAsia="Times New Roman" w:cstheme="minorHAnsi"/>
          <w:b/>
          <w:sz w:val="20"/>
          <w:szCs w:val="20"/>
          <w:lang w:eastAsia="cs-CZ"/>
        </w:rPr>
        <w:t>Zdroj:</w:t>
      </w:r>
      <w:r w:rsidRPr="0088190A">
        <w:rPr>
          <w:rFonts w:eastAsia="Times New Roman" w:cstheme="minorHAnsi"/>
          <w:sz w:val="20"/>
          <w:szCs w:val="20"/>
          <w:lang w:eastAsia="cs-CZ"/>
        </w:rPr>
        <w:t xml:space="preserve"> </w:t>
      </w:r>
      <w:r w:rsidR="00EB1C3D" w:rsidRPr="0088190A">
        <w:rPr>
          <w:rFonts w:eastAsia="Times New Roman" w:cstheme="minorHAnsi"/>
          <w:sz w:val="20"/>
          <w:szCs w:val="20"/>
          <w:lang w:eastAsia="cs-CZ"/>
        </w:rPr>
        <w:t>informace TA ČR</w:t>
      </w:r>
      <w:r w:rsidR="00FC4DE3">
        <w:rPr>
          <w:rFonts w:eastAsia="Times New Roman" w:cstheme="minorHAnsi"/>
          <w:sz w:val="20"/>
          <w:szCs w:val="20"/>
          <w:lang w:eastAsia="cs-CZ"/>
        </w:rPr>
        <w:t>;</w:t>
      </w:r>
      <w:r w:rsidR="00A81AF7">
        <w:rPr>
          <w:rFonts w:eastAsia="Times New Roman" w:cstheme="minorHAnsi"/>
          <w:sz w:val="20"/>
          <w:szCs w:val="20"/>
          <w:lang w:eastAsia="cs-CZ"/>
        </w:rPr>
        <w:t xml:space="preserve"> </w:t>
      </w:r>
      <w:r w:rsidR="00FC4DE3">
        <w:rPr>
          <w:rFonts w:eastAsia="Times New Roman" w:cstheme="minorHAnsi"/>
          <w:sz w:val="20"/>
          <w:szCs w:val="20"/>
          <w:lang w:eastAsia="cs-CZ"/>
        </w:rPr>
        <w:t>vypracoval</w:t>
      </w:r>
      <w:r w:rsidR="00A81AF7">
        <w:rPr>
          <w:rFonts w:eastAsia="Times New Roman" w:cstheme="minorHAnsi"/>
          <w:sz w:val="20"/>
          <w:szCs w:val="20"/>
          <w:lang w:eastAsia="cs-CZ"/>
        </w:rPr>
        <w:t xml:space="preserve"> NKÚ</w:t>
      </w:r>
      <w:r w:rsidR="00DD54BA" w:rsidRPr="0088190A">
        <w:rPr>
          <w:rFonts w:eastAsia="Times New Roman" w:cstheme="minorHAnsi"/>
          <w:sz w:val="20"/>
          <w:szCs w:val="20"/>
          <w:lang w:eastAsia="cs-CZ"/>
        </w:rPr>
        <w:t>.</w:t>
      </w:r>
    </w:p>
    <w:p w14:paraId="37C834C9" w14:textId="02D140CC" w:rsidR="00E53823" w:rsidRDefault="003D6569" w:rsidP="00214B1D">
      <w:pPr>
        <w:spacing w:before="120" w:after="120" w:line="240" w:lineRule="auto"/>
        <w:jc w:val="both"/>
        <w:rPr>
          <w:rFonts w:cstheme="minorHAnsi"/>
          <w:sz w:val="24"/>
          <w:szCs w:val="24"/>
        </w:rPr>
      </w:pPr>
      <w:r>
        <w:rPr>
          <w:rFonts w:cstheme="minorHAnsi"/>
          <w:sz w:val="24"/>
          <w:szCs w:val="24"/>
        </w:rPr>
        <w:t>2.</w:t>
      </w:r>
      <w:r w:rsidR="008355F8">
        <w:rPr>
          <w:rFonts w:cstheme="minorHAnsi"/>
          <w:sz w:val="24"/>
          <w:szCs w:val="24"/>
        </w:rPr>
        <w:t>9</w:t>
      </w:r>
      <w:r>
        <w:rPr>
          <w:rFonts w:cstheme="minorHAnsi"/>
          <w:sz w:val="24"/>
          <w:szCs w:val="24"/>
        </w:rPr>
        <w:t xml:space="preserve"> </w:t>
      </w:r>
      <w:r w:rsidR="00E53823" w:rsidRPr="0088190A">
        <w:rPr>
          <w:rFonts w:cstheme="minorHAnsi"/>
          <w:sz w:val="24"/>
          <w:szCs w:val="24"/>
        </w:rPr>
        <w:t>Činnost obou agentur vychází rovněž z jejich statutů a vlastních koncepčních materiálů. U</w:t>
      </w:r>
      <w:r w:rsidR="00E969A8" w:rsidRPr="0088190A">
        <w:rPr>
          <w:rFonts w:cstheme="minorHAnsi"/>
          <w:sz w:val="24"/>
          <w:szCs w:val="24"/>
        </w:rPr>
        <w:t> </w:t>
      </w:r>
      <w:r w:rsidR="00E53823" w:rsidRPr="0088190A">
        <w:rPr>
          <w:rFonts w:cstheme="minorHAnsi"/>
          <w:sz w:val="24"/>
          <w:szCs w:val="24"/>
        </w:rPr>
        <w:t>GA</w:t>
      </w:r>
      <w:r w:rsidR="00E969A8" w:rsidRPr="0088190A">
        <w:rPr>
          <w:rFonts w:cstheme="minorHAnsi"/>
          <w:sz w:val="24"/>
          <w:szCs w:val="24"/>
        </w:rPr>
        <w:t> </w:t>
      </w:r>
      <w:r w:rsidR="00E53823" w:rsidRPr="0088190A">
        <w:rPr>
          <w:rFonts w:cstheme="minorHAnsi"/>
          <w:sz w:val="24"/>
          <w:szCs w:val="24"/>
        </w:rPr>
        <w:t xml:space="preserve">ČR se jedná o </w:t>
      </w:r>
      <w:r w:rsidR="00E53823" w:rsidRPr="001B6A31">
        <w:rPr>
          <w:rFonts w:cstheme="minorHAnsi"/>
          <w:i/>
          <w:iCs/>
          <w:sz w:val="24"/>
          <w:szCs w:val="24"/>
        </w:rPr>
        <w:t xml:space="preserve">Koncepci činnosti </w:t>
      </w:r>
      <w:r w:rsidR="008F23CB" w:rsidRPr="001B6A31">
        <w:rPr>
          <w:rFonts w:cstheme="minorHAnsi"/>
          <w:i/>
          <w:iCs/>
          <w:sz w:val="24"/>
          <w:szCs w:val="24"/>
        </w:rPr>
        <w:t>G</w:t>
      </w:r>
      <w:r w:rsidR="00001915" w:rsidRPr="001B6A31">
        <w:rPr>
          <w:rFonts w:cstheme="minorHAnsi"/>
          <w:i/>
          <w:iCs/>
          <w:sz w:val="24"/>
          <w:szCs w:val="24"/>
        </w:rPr>
        <w:t>rantové agentury</w:t>
      </w:r>
      <w:r w:rsidR="00E53823" w:rsidRPr="001B6A31">
        <w:rPr>
          <w:rFonts w:cstheme="minorHAnsi"/>
          <w:i/>
          <w:iCs/>
          <w:sz w:val="24"/>
          <w:szCs w:val="24"/>
        </w:rPr>
        <w:t xml:space="preserve"> </w:t>
      </w:r>
      <w:r w:rsidR="008F23CB" w:rsidRPr="001B6A31">
        <w:rPr>
          <w:rFonts w:cstheme="minorHAnsi"/>
          <w:i/>
          <w:iCs/>
          <w:sz w:val="24"/>
          <w:szCs w:val="24"/>
        </w:rPr>
        <w:t>Č</w:t>
      </w:r>
      <w:r w:rsidR="00001915" w:rsidRPr="001B6A31">
        <w:rPr>
          <w:rFonts w:cstheme="minorHAnsi"/>
          <w:i/>
          <w:iCs/>
          <w:sz w:val="24"/>
          <w:szCs w:val="24"/>
        </w:rPr>
        <w:t>eské republiky</w:t>
      </w:r>
      <w:r w:rsidR="00E53823" w:rsidRPr="001B6A31">
        <w:rPr>
          <w:rFonts w:cstheme="minorHAnsi"/>
          <w:i/>
          <w:iCs/>
          <w:sz w:val="24"/>
          <w:szCs w:val="24"/>
        </w:rPr>
        <w:t xml:space="preserve"> 2021+</w:t>
      </w:r>
      <w:r w:rsidR="00E53823" w:rsidRPr="0088190A">
        <w:rPr>
          <w:rFonts w:cstheme="minorHAnsi"/>
          <w:sz w:val="24"/>
          <w:szCs w:val="24"/>
        </w:rPr>
        <w:t xml:space="preserve">. U TA ČR se jedná o </w:t>
      </w:r>
      <w:r w:rsidR="00E53823" w:rsidRPr="001B6A31">
        <w:rPr>
          <w:rFonts w:cstheme="minorHAnsi"/>
          <w:i/>
          <w:iCs/>
          <w:sz w:val="24"/>
          <w:szCs w:val="24"/>
        </w:rPr>
        <w:t xml:space="preserve">Strategii rozvoje TA ČR </w:t>
      </w:r>
      <w:r w:rsidR="00B63084" w:rsidRPr="001B6A31">
        <w:rPr>
          <w:rFonts w:cstheme="minorHAnsi"/>
          <w:i/>
          <w:iCs/>
          <w:sz w:val="24"/>
          <w:szCs w:val="24"/>
        </w:rPr>
        <w:t>2016–2025</w:t>
      </w:r>
      <w:r w:rsidR="00E53823" w:rsidRPr="0088190A">
        <w:rPr>
          <w:rFonts w:cstheme="minorHAnsi"/>
          <w:sz w:val="24"/>
          <w:szCs w:val="24"/>
        </w:rPr>
        <w:t xml:space="preserve">, </w:t>
      </w:r>
      <w:r w:rsidR="00E53823" w:rsidRPr="001B6A31">
        <w:rPr>
          <w:rFonts w:cstheme="minorHAnsi"/>
          <w:i/>
          <w:iCs/>
          <w:sz w:val="24"/>
          <w:szCs w:val="24"/>
        </w:rPr>
        <w:t xml:space="preserve">Koncepci rozvoje TA ČR </w:t>
      </w:r>
      <w:r w:rsidR="00B63084" w:rsidRPr="001B6A31">
        <w:rPr>
          <w:rFonts w:cstheme="minorHAnsi"/>
          <w:i/>
          <w:iCs/>
          <w:sz w:val="24"/>
          <w:szCs w:val="24"/>
        </w:rPr>
        <w:t>2016–2025</w:t>
      </w:r>
      <w:r w:rsidR="00E53823" w:rsidRPr="0088190A">
        <w:rPr>
          <w:rFonts w:cstheme="minorHAnsi"/>
          <w:sz w:val="24"/>
          <w:szCs w:val="24"/>
        </w:rPr>
        <w:t xml:space="preserve"> a </w:t>
      </w:r>
      <w:r w:rsidR="00E53823" w:rsidRPr="001B6A31">
        <w:rPr>
          <w:rFonts w:cstheme="minorHAnsi"/>
          <w:i/>
          <w:iCs/>
          <w:sz w:val="24"/>
          <w:szCs w:val="24"/>
        </w:rPr>
        <w:t xml:space="preserve">Perspektivy </w:t>
      </w:r>
      <w:r w:rsidR="00E53823" w:rsidRPr="001B6A31">
        <w:rPr>
          <w:rFonts w:cstheme="minorHAnsi"/>
          <w:i/>
          <w:iCs/>
          <w:sz w:val="24"/>
          <w:szCs w:val="24"/>
        </w:rPr>
        <w:lastRenderedPageBreak/>
        <w:t xml:space="preserve">rozvoje </w:t>
      </w:r>
      <w:r w:rsidR="008F23CB" w:rsidRPr="001B6A31">
        <w:rPr>
          <w:rFonts w:cstheme="minorHAnsi"/>
          <w:i/>
          <w:iCs/>
          <w:sz w:val="24"/>
          <w:szCs w:val="24"/>
        </w:rPr>
        <w:t>TA</w:t>
      </w:r>
      <w:r w:rsidR="00E53823" w:rsidRPr="001B6A31">
        <w:rPr>
          <w:rFonts w:cstheme="minorHAnsi"/>
          <w:i/>
          <w:iCs/>
          <w:sz w:val="24"/>
          <w:szCs w:val="24"/>
        </w:rPr>
        <w:t xml:space="preserve"> </w:t>
      </w:r>
      <w:r w:rsidR="008F23CB" w:rsidRPr="001B6A31">
        <w:rPr>
          <w:rFonts w:cstheme="minorHAnsi"/>
          <w:i/>
          <w:iCs/>
          <w:sz w:val="24"/>
          <w:szCs w:val="24"/>
        </w:rPr>
        <w:t>ČR</w:t>
      </w:r>
      <w:r w:rsidR="00E53823" w:rsidRPr="001B6A31">
        <w:rPr>
          <w:rFonts w:cstheme="minorHAnsi"/>
          <w:i/>
          <w:iCs/>
          <w:sz w:val="24"/>
          <w:szCs w:val="24"/>
        </w:rPr>
        <w:t xml:space="preserve"> v rámci systému českého výzkumu, vývoje a</w:t>
      </w:r>
      <w:r w:rsidR="00E969A8" w:rsidRPr="001B6A31">
        <w:rPr>
          <w:rFonts w:cstheme="minorHAnsi"/>
          <w:i/>
          <w:iCs/>
          <w:sz w:val="24"/>
          <w:szCs w:val="24"/>
        </w:rPr>
        <w:t> </w:t>
      </w:r>
      <w:r w:rsidR="00E53823" w:rsidRPr="001B6A31">
        <w:rPr>
          <w:rFonts w:cstheme="minorHAnsi"/>
          <w:i/>
          <w:iCs/>
          <w:sz w:val="24"/>
          <w:szCs w:val="24"/>
        </w:rPr>
        <w:t>novací 2021</w:t>
      </w:r>
      <w:r w:rsidR="00E13DB6" w:rsidRPr="001B6A31">
        <w:rPr>
          <w:rFonts w:cstheme="minorHAnsi"/>
          <w:i/>
          <w:iCs/>
          <w:sz w:val="24"/>
          <w:szCs w:val="24"/>
        </w:rPr>
        <w:t>–</w:t>
      </w:r>
      <w:r w:rsidR="00E53823" w:rsidRPr="001B6A31">
        <w:rPr>
          <w:rFonts w:cstheme="minorHAnsi"/>
          <w:i/>
          <w:iCs/>
          <w:sz w:val="24"/>
          <w:szCs w:val="24"/>
        </w:rPr>
        <w:t>2025</w:t>
      </w:r>
      <w:r w:rsidR="00E53823" w:rsidRPr="0088190A">
        <w:rPr>
          <w:rFonts w:cstheme="minorHAnsi"/>
          <w:sz w:val="24"/>
          <w:szCs w:val="24"/>
        </w:rPr>
        <w:t>.</w:t>
      </w:r>
      <w:r w:rsidR="00A32245">
        <w:rPr>
          <w:rFonts w:cstheme="minorHAnsi"/>
          <w:sz w:val="24"/>
          <w:szCs w:val="24"/>
        </w:rPr>
        <w:t xml:space="preserve"> V kontrolovaném období obě agentury vydal</w:t>
      </w:r>
      <w:r w:rsidR="00BE0D25">
        <w:rPr>
          <w:rFonts w:cstheme="minorHAnsi"/>
          <w:sz w:val="24"/>
          <w:szCs w:val="24"/>
        </w:rPr>
        <w:t>y</w:t>
      </w:r>
      <w:r w:rsidR="00A32245">
        <w:rPr>
          <w:rFonts w:cstheme="minorHAnsi"/>
          <w:sz w:val="24"/>
          <w:szCs w:val="24"/>
        </w:rPr>
        <w:t xml:space="preserve"> na účelovou podporu 29,8 mld. Kč</w:t>
      </w:r>
      <w:r w:rsidR="00FC2929">
        <w:rPr>
          <w:rFonts w:cstheme="minorHAnsi"/>
          <w:sz w:val="24"/>
          <w:szCs w:val="24"/>
        </w:rPr>
        <w:t xml:space="preserve">, což je 58 % z celkové účelové podpory </w:t>
      </w:r>
      <w:r w:rsidR="00C44A4A">
        <w:rPr>
          <w:rFonts w:cstheme="minorHAnsi"/>
          <w:sz w:val="24"/>
          <w:szCs w:val="24"/>
        </w:rPr>
        <w:t>poskytované ze</w:t>
      </w:r>
      <w:r w:rsidR="00BE0D25">
        <w:rPr>
          <w:rFonts w:cstheme="minorHAnsi"/>
          <w:sz w:val="24"/>
          <w:szCs w:val="24"/>
        </w:rPr>
        <w:t> </w:t>
      </w:r>
      <w:r w:rsidR="00C44A4A">
        <w:rPr>
          <w:rFonts w:cstheme="minorHAnsi"/>
          <w:sz w:val="24"/>
          <w:szCs w:val="24"/>
        </w:rPr>
        <w:t>státního rozpočtu,</w:t>
      </w:r>
      <w:r w:rsidR="00A32245">
        <w:rPr>
          <w:rFonts w:cstheme="minorHAnsi"/>
          <w:sz w:val="24"/>
          <w:szCs w:val="24"/>
        </w:rPr>
        <w:t xml:space="preserve"> a podpořily celkem 9 564 projektů. </w:t>
      </w:r>
    </w:p>
    <w:p w14:paraId="6B35E0C0" w14:textId="4CDECB27" w:rsidR="00EB7BEB" w:rsidRPr="00D332E5" w:rsidRDefault="00EB7BEB" w:rsidP="00214B1D">
      <w:pPr>
        <w:spacing w:before="120" w:after="120" w:line="240" w:lineRule="auto"/>
        <w:jc w:val="both"/>
        <w:rPr>
          <w:rFonts w:cstheme="minorHAnsi"/>
          <w:sz w:val="24"/>
          <w:szCs w:val="24"/>
        </w:rPr>
      </w:pPr>
      <w:r w:rsidRPr="00D332E5">
        <w:rPr>
          <w:rFonts w:cstheme="minorHAnsi"/>
          <w:sz w:val="24"/>
          <w:szCs w:val="24"/>
        </w:rPr>
        <w:t>2.</w:t>
      </w:r>
      <w:r w:rsidR="008355F8">
        <w:rPr>
          <w:rFonts w:cstheme="minorHAnsi"/>
          <w:sz w:val="24"/>
          <w:szCs w:val="24"/>
        </w:rPr>
        <w:t>10</w:t>
      </w:r>
      <w:r w:rsidRPr="00D332E5">
        <w:rPr>
          <w:rFonts w:cstheme="minorHAnsi"/>
          <w:sz w:val="24"/>
          <w:szCs w:val="24"/>
        </w:rPr>
        <w:t xml:space="preserve"> KA č. </w:t>
      </w:r>
      <w:bookmarkStart w:id="3" w:name="_Hlk194574600"/>
      <w:r w:rsidRPr="00D332E5">
        <w:rPr>
          <w:rFonts w:cstheme="minorHAnsi"/>
          <w:sz w:val="24"/>
          <w:szCs w:val="24"/>
        </w:rPr>
        <w:t xml:space="preserve">15/27 </w:t>
      </w:r>
      <w:r w:rsidR="00083279">
        <w:rPr>
          <w:rFonts w:cstheme="minorHAnsi"/>
          <w:sz w:val="24"/>
          <w:szCs w:val="24"/>
        </w:rPr>
        <w:t>–</w:t>
      </w:r>
      <w:r w:rsidRPr="00D332E5">
        <w:rPr>
          <w:rFonts w:cstheme="minorHAnsi"/>
          <w:sz w:val="24"/>
          <w:szCs w:val="24"/>
        </w:rPr>
        <w:t xml:space="preserve"> </w:t>
      </w:r>
      <w:r w:rsidRPr="00D332E5">
        <w:rPr>
          <w:rFonts w:cstheme="minorHAnsi"/>
          <w:i/>
          <w:sz w:val="24"/>
          <w:szCs w:val="24"/>
        </w:rPr>
        <w:t xml:space="preserve">Peněžní prostředky státu určené na účelovou podporu výzkumu a vývoje prostřednictvím rozpočtové kapitoly Technologická agentura České republiky </w:t>
      </w:r>
      <w:bookmarkEnd w:id="3"/>
      <w:r w:rsidRPr="00BE0D25">
        <w:rPr>
          <w:rFonts w:cstheme="minorHAnsi"/>
          <w:sz w:val="24"/>
          <w:szCs w:val="24"/>
        </w:rPr>
        <w:t>by</w:t>
      </w:r>
      <w:r w:rsidRPr="00D332E5">
        <w:rPr>
          <w:rFonts w:cstheme="minorHAnsi"/>
          <w:sz w:val="24"/>
          <w:szCs w:val="24"/>
        </w:rPr>
        <w:t>la zaměřena na poskytování, čerpání a užití peněžních prostředků státu určených na účelovou podporu výzkumu a vývoje</w:t>
      </w:r>
      <w:r w:rsidR="00301BB2" w:rsidRPr="00D332E5">
        <w:rPr>
          <w:rFonts w:cstheme="minorHAnsi"/>
          <w:sz w:val="24"/>
          <w:szCs w:val="24"/>
        </w:rPr>
        <w:t xml:space="preserve"> prostřednictvím rozpočtové kapitoly TA ČR</w:t>
      </w:r>
      <w:r w:rsidRPr="00D332E5">
        <w:rPr>
          <w:rFonts w:cstheme="minorHAnsi"/>
          <w:sz w:val="24"/>
          <w:szCs w:val="24"/>
        </w:rPr>
        <w:t xml:space="preserve">. NKÚ mj. zjistil, že TA ČR nepostupovala při výběru příjemců transparentním způsobem </w:t>
      </w:r>
      <w:r w:rsidR="0035635A" w:rsidRPr="00D332E5">
        <w:rPr>
          <w:rFonts w:cstheme="minorHAnsi"/>
          <w:sz w:val="24"/>
          <w:szCs w:val="24"/>
        </w:rPr>
        <w:t xml:space="preserve">a zároveň hodnoticí kritéria první veřejné soutěže </w:t>
      </w:r>
      <w:r w:rsidR="0035635A" w:rsidRPr="00202DF7">
        <w:rPr>
          <w:rFonts w:cstheme="minorHAnsi"/>
          <w:i/>
          <w:iCs/>
          <w:sz w:val="24"/>
          <w:szCs w:val="24"/>
        </w:rPr>
        <w:t>Alfa</w:t>
      </w:r>
      <w:r w:rsidR="0035635A" w:rsidRPr="00D332E5">
        <w:rPr>
          <w:rFonts w:cstheme="minorHAnsi"/>
          <w:sz w:val="24"/>
          <w:szCs w:val="24"/>
        </w:rPr>
        <w:t xml:space="preserve"> nebyla jasně stanovena. </w:t>
      </w:r>
      <w:r w:rsidR="00F435AC" w:rsidRPr="00D332E5">
        <w:rPr>
          <w:color w:val="000000" w:themeColor="text1"/>
          <w:sz w:val="24"/>
          <w:szCs w:val="24"/>
        </w:rPr>
        <w:t xml:space="preserve">Vláda na základě návrhu </w:t>
      </w:r>
      <w:r w:rsidR="00C95C80" w:rsidRPr="00D332E5">
        <w:rPr>
          <w:color w:val="000000" w:themeColor="text1"/>
          <w:sz w:val="24"/>
          <w:szCs w:val="24"/>
        </w:rPr>
        <w:t>TA ČR</w:t>
      </w:r>
      <w:r w:rsidR="00F435AC" w:rsidRPr="00D332E5">
        <w:rPr>
          <w:color w:val="000000" w:themeColor="text1"/>
          <w:sz w:val="24"/>
          <w:szCs w:val="24"/>
        </w:rPr>
        <w:t xml:space="preserve"> k odstranění nedostatků zjištěných kontrolní akcí č. 1</w:t>
      </w:r>
      <w:r w:rsidR="008065BC" w:rsidRPr="00D332E5">
        <w:rPr>
          <w:color w:val="000000" w:themeColor="text1"/>
          <w:sz w:val="24"/>
          <w:szCs w:val="24"/>
        </w:rPr>
        <w:t>5</w:t>
      </w:r>
      <w:r w:rsidR="00F435AC" w:rsidRPr="00D332E5">
        <w:rPr>
          <w:color w:val="000000" w:themeColor="text1"/>
          <w:sz w:val="24"/>
          <w:szCs w:val="24"/>
        </w:rPr>
        <w:t>/</w:t>
      </w:r>
      <w:r w:rsidR="008065BC" w:rsidRPr="00D332E5">
        <w:rPr>
          <w:color w:val="000000" w:themeColor="text1"/>
          <w:sz w:val="24"/>
          <w:szCs w:val="24"/>
        </w:rPr>
        <w:t>27</w:t>
      </w:r>
      <w:r w:rsidR="00F435AC" w:rsidRPr="00D332E5">
        <w:rPr>
          <w:color w:val="000000" w:themeColor="text1"/>
          <w:sz w:val="24"/>
          <w:szCs w:val="24"/>
        </w:rPr>
        <w:t xml:space="preserve"> uložila svým usnesením</w:t>
      </w:r>
      <w:r w:rsidR="008065BC" w:rsidRPr="00D332E5">
        <w:rPr>
          <w:rStyle w:val="Znakapoznpodarou"/>
          <w:color w:val="000000" w:themeColor="text1"/>
          <w:sz w:val="24"/>
          <w:szCs w:val="24"/>
        </w:rPr>
        <w:footnoteReference w:id="6"/>
      </w:r>
      <w:r w:rsidR="00F435AC" w:rsidRPr="00D332E5">
        <w:rPr>
          <w:color w:val="000000" w:themeColor="text1"/>
          <w:sz w:val="24"/>
          <w:szCs w:val="24"/>
        </w:rPr>
        <w:t xml:space="preserve"> </w:t>
      </w:r>
      <w:r w:rsidR="00A53793" w:rsidRPr="00D332E5">
        <w:rPr>
          <w:sz w:val="24"/>
          <w:szCs w:val="24"/>
        </w:rPr>
        <w:t xml:space="preserve">místopředsedovi vlády pro vědu, výzkum a inovace a </w:t>
      </w:r>
      <w:r w:rsidR="008065BC" w:rsidRPr="00D332E5">
        <w:rPr>
          <w:color w:val="000000" w:themeColor="text1"/>
          <w:sz w:val="24"/>
          <w:szCs w:val="24"/>
        </w:rPr>
        <w:t>předsedov</w:t>
      </w:r>
      <w:r w:rsidR="00245FDF">
        <w:rPr>
          <w:color w:val="000000" w:themeColor="text1"/>
          <w:sz w:val="24"/>
          <w:szCs w:val="24"/>
        </w:rPr>
        <w:t>i</w:t>
      </w:r>
      <w:r w:rsidR="008065BC" w:rsidRPr="00D332E5">
        <w:rPr>
          <w:color w:val="000000" w:themeColor="text1"/>
          <w:sz w:val="24"/>
          <w:szCs w:val="24"/>
        </w:rPr>
        <w:t xml:space="preserve"> TA ČR</w:t>
      </w:r>
      <w:r w:rsidR="00F435AC" w:rsidRPr="00D332E5">
        <w:rPr>
          <w:color w:val="000000" w:themeColor="text1"/>
          <w:sz w:val="24"/>
          <w:szCs w:val="24"/>
        </w:rPr>
        <w:t xml:space="preserve"> provést navržená opatření. O stavu jejich plnění </w:t>
      </w:r>
      <w:r w:rsidR="001C1120" w:rsidRPr="00D332E5">
        <w:rPr>
          <w:color w:val="000000" w:themeColor="text1"/>
          <w:sz w:val="24"/>
          <w:szCs w:val="24"/>
        </w:rPr>
        <w:t xml:space="preserve">informoval </w:t>
      </w:r>
      <w:r w:rsidR="00182247" w:rsidRPr="00D332E5">
        <w:rPr>
          <w:color w:val="000000" w:themeColor="text1"/>
          <w:sz w:val="24"/>
          <w:szCs w:val="24"/>
        </w:rPr>
        <w:t>předseda vlády</w:t>
      </w:r>
      <w:r w:rsidR="00A53793" w:rsidRPr="00D332E5">
        <w:rPr>
          <w:color w:val="000000" w:themeColor="text1"/>
          <w:sz w:val="24"/>
          <w:szCs w:val="24"/>
        </w:rPr>
        <w:t xml:space="preserve"> </w:t>
      </w:r>
      <w:r w:rsidR="00A53793" w:rsidRPr="00D332E5">
        <w:rPr>
          <w:sz w:val="24"/>
          <w:szCs w:val="24"/>
        </w:rPr>
        <w:t>a předseda Rady pro výzkum, vývoj a inovace</w:t>
      </w:r>
      <w:r w:rsidR="00F435AC" w:rsidRPr="00D332E5">
        <w:rPr>
          <w:color w:val="000000" w:themeColor="text1"/>
          <w:sz w:val="24"/>
          <w:szCs w:val="24"/>
        </w:rPr>
        <w:t xml:space="preserve"> vládu</w:t>
      </w:r>
      <w:r w:rsidR="008065BC" w:rsidRPr="00D332E5">
        <w:rPr>
          <w:color w:val="000000" w:themeColor="text1"/>
          <w:sz w:val="24"/>
          <w:szCs w:val="24"/>
        </w:rPr>
        <w:t xml:space="preserve"> </w:t>
      </w:r>
      <w:r w:rsidR="00182247" w:rsidRPr="00D332E5">
        <w:rPr>
          <w:color w:val="000000" w:themeColor="text1"/>
          <w:sz w:val="24"/>
          <w:szCs w:val="24"/>
        </w:rPr>
        <w:t>v informaci o plnění</w:t>
      </w:r>
      <w:r w:rsidR="00F435AC" w:rsidRPr="00D332E5">
        <w:rPr>
          <w:color w:val="000000" w:themeColor="text1"/>
          <w:sz w:val="24"/>
          <w:szCs w:val="24"/>
        </w:rPr>
        <w:t xml:space="preserve"> opatření</w:t>
      </w:r>
      <w:r w:rsidR="008065BC" w:rsidRPr="00D332E5">
        <w:rPr>
          <w:rStyle w:val="Znakapoznpodarou"/>
          <w:color w:val="000000" w:themeColor="text1"/>
          <w:sz w:val="24"/>
          <w:szCs w:val="24"/>
        </w:rPr>
        <w:footnoteReference w:id="7"/>
      </w:r>
      <w:r w:rsidR="00182247" w:rsidRPr="00D332E5">
        <w:rPr>
          <w:color w:val="000000" w:themeColor="text1"/>
          <w:sz w:val="24"/>
          <w:szCs w:val="24"/>
        </w:rPr>
        <w:t>.</w:t>
      </w:r>
    </w:p>
    <w:p w14:paraId="204D1F8D" w14:textId="0A616BA5" w:rsidR="0035635A" w:rsidRPr="0035635A" w:rsidRDefault="0035635A" w:rsidP="00214B1D">
      <w:pPr>
        <w:spacing w:before="120" w:after="120" w:line="240" w:lineRule="auto"/>
        <w:jc w:val="both"/>
        <w:rPr>
          <w:rFonts w:cstheme="minorHAnsi"/>
          <w:sz w:val="24"/>
          <w:szCs w:val="24"/>
        </w:rPr>
      </w:pPr>
      <w:r w:rsidRPr="00D332E5">
        <w:rPr>
          <w:rFonts w:cstheme="minorHAnsi"/>
          <w:sz w:val="24"/>
          <w:szCs w:val="24"/>
        </w:rPr>
        <w:t>2.1</w:t>
      </w:r>
      <w:r w:rsidR="008355F8">
        <w:rPr>
          <w:rFonts w:cstheme="minorHAnsi"/>
          <w:sz w:val="24"/>
          <w:szCs w:val="24"/>
        </w:rPr>
        <w:t>1</w:t>
      </w:r>
      <w:r w:rsidRPr="00D332E5">
        <w:rPr>
          <w:rFonts w:cstheme="minorHAnsi"/>
          <w:sz w:val="24"/>
          <w:szCs w:val="24"/>
        </w:rPr>
        <w:t xml:space="preserve"> KA 16/19 </w:t>
      </w:r>
      <w:r w:rsidR="00083279">
        <w:rPr>
          <w:rFonts w:cstheme="minorHAnsi"/>
          <w:sz w:val="24"/>
          <w:szCs w:val="24"/>
        </w:rPr>
        <w:t>–</w:t>
      </w:r>
      <w:r w:rsidRPr="00D332E5">
        <w:rPr>
          <w:rFonts w:cstheme="minorHAnsi"/>
          <w:sz w:val="24"/>
          <w:szCs w:val="24"/>
        </w:rPr>
        <w:t xml:space="preserve"> </w:t>
      </w:r>
      <w:r w:rsidRPr="00D332E5">
        <w:rPr>
          <w:rFonts w:cstheme="minorHAnsi"/>
          <w:i/>
          <w:sz w:val="24"/>
          <w:szCs w:val="24"/>
        </w:rPr>
        <w:t xml:space="preserve">Peněžní prostředky státu určené na účelovou podporu výzkumu a vývoje prostřednictvím rozpočtové kapitoly Grantová agentura České republiky </w:t>
      </w:r>
      <w:r w:rsidR="00301BB2" w:rsidRPr="00D332E5">
        <w:rPr>
          <w:rFonts w:cstheme="minorHAnsi"/>
          <w:sz w:val="24"/>
          <w:szCs w:val="24"/>
        </w:rPr>
        <w:t>prověřila především poskytování, čerpání a užití peněžních prostředků státu určených na účelovou podporu výzkumu a vývoje prostřednictvím rozpočtové kapitoly</w:t>
      </w:r>
      <w:r w:rsidRPr="00D332E5">
        <w:rPr>
          <w:rFonts w:cstheme="minorHAnsi"/>
          <w:sz w:val="24"/>
          <w:szCs w:val="24"/>
        </w:rPr>
        <w:t xml:space="preserve"> </w:t>
      </w:r>
      <w:r w:rsidR="00301BB2" w:rsidRPr="00D332E5">
        <w:rPr>
          <w:rFonts w:cstheme="minorHAnsi"/>
          <w:sz w:val="24"/>
          <w:szCs w:val="24"/>
        </w:rPr>
        <w:t xml:space="preserve">GA ČR. NKÚ </w:t>
      </w:r>
      <w:r w:rsidR="00F435AC" w:rsidRPr="00D332E5">
        <w:rPr>
          <w:rFonts w:cstheme="minorHAnsi"/>
          <w:sz w:val="24"/>
          <w:szCs w:val="24"/>
        </w:rPr>
        <w:t>mj. zjistil, že GA ČR se nepodílela na zajištění vazby základního výzkumu na další fáze inovačního procesu, nepodporovala orientovaný základní výzkum, nesledovala kvalitu dosahovaných výsledků a</w:t>
      </w:r>
      <w:r w:rsidR="005C06A7">
        <w:rPr>
          <w:rFonts w:cstheme="minorHAnsi"/>
          <w:sz w:val="24"/>
          <w:szCs w:val="24"/>
        </w:rPr>
        <w:t> </w:t>
      </w:r>
      <w:r w:rsidR="00F435AC" w:rsidRPr="00D332E5">
        <w:rPr>
          <w:rFonts w:cstheme="minorHAnsi"/>
          <w:sz w:val="24"/>
          <w:szCs w:val="24"/>
        </w:rPr>
        <w:t xml:space="preserve">nepostupovala při výběru projektů </w:t>
      </w:r>
      <w:r w:rsidR="00F435AC" w:rsidRPr="00D332E5">
        <w:rPr>
          <w:rFonts w:cstheme="minorHAnsi"/>
          <w:color w:val="000000" w:themeColor="text1"/>
          <w:sz w:val="24"/>
          <w:szCs w:val="24"/>
        </w:rPr>
        <w:t>transparentně.</w:t>
      </w:r>
      <w:r w:rsidR="00A53793" w:rsidRPr="00D332E5">
        <w:rPr>
          <w:rFonts w:cstheme="minorHAnsi"/>
          <w:color w:val="000000" w:themeColor="text1"/>
          <w:sz w:val="24"/>
          <w:szCs w:val="24"/>
        </w:rPr>
        <w:t xml:space="preserve"> </w:t>
      </w:r>
      <w:r w:rsidR="00F435AC" w:rsidRPr="00D332E5">
        <w:rPr>
          <w:color w:val="000000" w:themeColor="text1"/>
          <w:sz w:val="24"/>
          <w:szCs w:val="24"/>
        </w:rPr>
        <w:t xml:space="preserve">Vláda na základě návrhu </w:t>
      </w:r>
      <w:r w:rsidR="00182247" w:rsidRPr="00D332E5">
        <w:rPr>
          <w:color w:val="000000" w:themeColor="text1"/>
          <w:sz w:val="24"/>
          <w:szCs w:val="24"/>
        </w:rPr>
        <w:t>GA ČR</w:t>
      </w:r>
      <w:r w:rsidR="00F435AC" w:rsidRPr="00D332E5">
        <w:rPr>
          <w:color w:val="000000" w:themeColor="text1"/>
          <w:sz w:val="24"/>
          <w:szCs w:val="24"/>
        </w:rPr>
        <w:t xml:space="preserve"> k</w:t>
      </w:r>
      <w:r w:rsidR="005C06A7">
        <w:rPr>
          <w:color w:val="000000" w:themeColor="text1"/>
          <w:sz w:val="24"/>
          <w:szCs w:val="24"/>
        </w:rPr>
        <w:t> </w:t>
      </w:r>
      <w:r w:rsidR="00F435AC" w:rsidRPr="00D332E5">
        <w:rPr>
          <w:color w:val="000000" w:themeColor="text1"/>
          <w:sz w:val="24"/>
          <w:szCs w:val="24"/>
        </w:rPr>
        <w:t>odstranění nedostatků zjištěných kontrolní akcí č. 1</w:t>
      </w:r>
      <w:r w:rsidR="00182247" w:rsidRPr="00D332E5">
        <w:rPr>
          <w:color w:val="000000" w:themeColor="text1"/>
          <w:sz w:val="24"/>
          <w:szCs w:val="24"/>
        </w:rPr>
        <w:t>6</w:t>
      </w:r>
      <w:r w:rsidR="00F435AC" w:rsidRPr="00D332E5">
        <w:rPr>
          <w:color w:val="000000" w:themeColor="text1"/>
          <w:sz w:val="24"/>
          <w:szCs w:val="24"/>
        </w:rPr>
        <w:t>/1</w:t>
      </w:r>
      <w:r w:rsidR="00182247" w:rsidRPr="00D332E5">
        <w:rPr>
          <w:color w:val="000000" w:themeColor="text1"/>
          <w:sz w:val="24"/>
          <w:szCs w:val="24"/>
        </w:rPr>
        <w:t>9</w:t>
      </w:r>
      <w:r w:rsidR="00F435AC" w:rsidRPr="00D332E5">
        <w:rPr>
          <w:color w:val="000000" w:themeColor="text1"/>
          <w:sz w:val="24"/>
          <w:szCs w:val="24"/>
        </w:rPr>
        <w:t xml:space="preserve"> uložila svým usnesením</w:t>
      </w:r>
      <w:r w:rsidR="00182247" w:rsidRPr="00D332E5">
        <w:rPr>
          <w:rStyle w:val="Znakapoznpodarou"/>
          <w:color w:val="000000" w:themeColor="text1"/>
          <w:sz w:val="24"/>
          <w:szCs w:val="24"/>
        </w:rPr>
        <w:footnoteReference w:id="8"/>
      </w:r>
      <w:r w:rsidR="00F435AC" w:rsidRPr="00D332E5">
        <w:rPr>
          <w:color w:val="000000" w:themeColor="text1"/>
          <w:sz w:val="24"/>
          <w:szCs w:val="24"/>
        </w:rPr>
        <w:t xml:space="preserve"> </w:t>
      </w:r>
      <w:r w:rsidR="00A53793" w:rsidRPr="00D332E5">
        <w:rPr>
          <w:color w:val="000000" w:themeColor="text1"/>
          <w:sz w:val="24"/>
          <w:szCs w:val="24"/>
        </w:rPr>
        <w:t>místopředsed</w:t>
      </w:r>
      <w:r w:rsidR="00A807F2">
        <w:rPr>
          <w:color w:val="000000" w:themeColor="text1"/>
          <w:sz w:val="24"/>
          <w:szCs w:val="24"/>
        </w:rPr>
        <w:t>ovi</w:t>
      </w:r>
      <w:r w:rsidR="00A53793" w:rsidRPr="00D332E5">
        <w:rPr>
          <w:color w:val="000000" w:themeColor="text1"/>
          <w:sz w:val="24"/>
          <w:szCs w:val="24"/>
        </w:rPr>
        <w:t xml:space="preserve"> vlády pro vědu, výzkum a inovace a </w:t>
      </w:r>
      <w:r w:rsidR="00182247" w:rsidRPr="00D332E5">
        <w:rPr>
          <w:color w:val="000000" w:themeColor="text1"/>
          <w:sz w:val="24"/>
          <w:szCs w:val="24"/>
        </w:rPr>
        <w:t>předsed</w:t>
      </w:r>
      <w:r w:rsidR="00A53793" w:rsidRPr="00D332E5">
        <w:rPr>
          <w:color w:val="000000" w:themeColor="text1"/>
          <w:sz w:val="24"/>
          <w:szCs w:val="24"/>
        </w:rPr>
        <w:t>kyni</w:t>
      </w:r>
      <w:r w:rsidR="00182247" w:rsidRPr="00D332E5">
        <w:rPr>
          <w:color w:val="000000" w:themeColor="text1"/>
          <w:sz w:val="24"/>
          <w:szCs w:val="24"/>
        </w:rPr>
        <w:t xml:space="preserve"> GA ČR</w:t>
      </w:r>
      <w:r w:rsidR="00F435AC" w:rsidRPr="00D332E5">
        <w:rPr>
          <w:color w:val="000000" w:themeColor="text1"/>
          <w:sz w:val="24"/>
          <w:szCs w:val="24"/>
        </w:rPr>
        <w:t xml:space="preserve"> provést navržená opatření. O stavu jejich plnění </w:t>
      </w:r>
      <w:r w:rsidR="00D332E5" w:rsidRPr="00D332E5">
        <w:rPr>
          <w:color w:val="000000" w:themeColor="text1"/>
          <w:sz w:val="24"/>
          <w:szCs w:val="24"/>
        </w:rPr>
        <w:t xml:space="preserve">informoval </w:t>
      </w:r>
      <w:r w:rsidR="00A53793" w:rsidRPr="00D332E5">
        <w:rPr>
          <w:color w:val="000000" w:themeColor="text1"/>
          <w:sz w:val="24"/>
          <w:szCs w:val="24"/>
        </w:rPr>
        <w:t xml:space="preserve">předseda vlády a předseda Rady pro výzkum, vývoj a inovace </w:t>
      </w:r>
      <w:r w:rsidR="00F435AC" w:rsidRPr="00D332E5">
        <w:rPr>
          <w:color w:val="000000" w:themeColor="text1"/>
          <w:sz w:val="24"/>
          <w:szCs w:val="24"/>
        </w:rPr>
        <w:t>vládu ve vyhodnocení opatření</w:t>
      </w:r>
      <w:r w:rsidR="00182247" w:rsidRPr="00D332E5">
        <w:rPr>
          <w:rStyle w:val="Znakapoznpodarou"/>
          <w:color w:val="000000" w:themeColor="text1"/>
          <w:sz w:val="24"/>
          <w:szCs w:val="24"/>
        </w:rPr>
        <w:footnoteReference w:id="9"/>
      </w:r>
      <w:r w:rsidR="00F435AC" w:rsidRPr="00D332E5">
        <w:rPr>
          <w:color w:val="000000" w:themeColor="text1"/>
          <w:sz w:val="24"/>
          <w:szCs w:val="24"/>
        </w:rPr>
        <w:t>.</w:t>
      </w:r>
      <w:r w:rsidR="00D332E5" w:rsidRPr="00D332E5">
        <w:rPr>
          <w:color w:val="000000" w:themeColor="text1"/>
          <w:sz w:val="24"/>
          <w:szCs w:val="24"/>
        </w:rPr>
        <w:t xml:space="preserve"> </w:t>
      </w:r>
    </w:p>
    <w:p w14:paraId="169DD5AB" w14:textId="77777777" w:rsidR="00F470A1" w:rsidRPr="0088190A" w:rsidRDefault="00F470A1" w:rsidP="00C475A9">
      <w:pPr>
        <w:keepNext/>
        <w:spacing w:before="720" w:after="240" w:line="240" w:lineRule="auto"/>
        <w:ind w:left="357"/>
        <w:jc w:val="center"/>
        <w:outlineLvl w:val="0"/>
        <w:rPr>
          <w:rFonts w:cstheme="minorHAnsi"/>
          <w:b/>
          <w:sz w:val="28"/>
        </w:rPr>
      </w:pPr>
      <w:r w:rsidRPr="0088190A">
        <w:rPr>
          <w:rFonts w:cstheme="minorHAnsi"/>
          <w:b/>
          <w:sz w:val="28"/>
        </w:rPr>
        <w:t>III. Rozsah kontroly</w:t>
      </w:r>
    </w:p>
    <w:p w14:paraId="401AC202" w14:textId="77777777" w:rsidR="00F470A1" w:rsidRPr="0088190A" w:rsidRDefault="009948F8" w:rsidP="00463A34">
      <w:pPr>
        <w:spacing w:after="120" w:line="240" w:lineRule="auto"/>
        <w:jc w:val="both"/>
        <w:rPr>
          <w:rFonts w:cstheme="minorHAnsi"/>
          <w:sz w:val="24"/>
          <w:szCs w:val="24"/>
        </w:rPr>
      </w:pPr>
      <w:r>
        <w:rPr>
          <w:rFonts w:cstheme="minorHAnsi"/>
          <w:sz w:val="24"/>
          <w:szCs w:val="24"/>
        </w:rPr>
        <w:t xml:space="preserve">3.1 </w:t>
      </w:r>
      <w:r w:rsidR="00E53823" w:rsidRPr="0088190A">
        <w:rPr>
          <w:rFonts w:cstheme="minorHAnsi"/>
          <w:sz w:val="24"/>
          <w:szCs w:val="24"/>
        </w:rPr>
        <w:t xml:space="preserve">Předmětem kontrolní akce byly peněžní prostředky určené na účelovou podporu výzkumu, vývoje a inovací prostřednictvím rozpočtových kapitol </w:t>
      </w:r>
      <w:r w:rsidR="007D71CB" w:rsidRPr="0088190A">
        <w:rPr>
          <w:rFonts w:cstheme="minorHAnsi"/>
          <w:sz w:val="24"/>
          <w:szCs w:val="24"/>
        </w:rPr>
        <w:t>GA ČR</w:t>
      </w:r>
      <w:r w:rsidR="00E53823" w:rsidRPr="0088190A">
        <w:rPr>
          <w:rFonts w:cstheme="minorHAnsi"/>
          <w:sz w:val="24"/>
          <w:szCs w:val="24"/>
        </w:rPr>
        <w:t xml:space="preserve"> a </w:t>
      </w:r>
      <w:r w:rsidR="003970AD" w:rsidRPr="0088190A">
        <w:rPr>
          <w:rFonts w:cstheme="minorHAnsi"/>
          <w:sz w:val="24"/>
          <w:szCs w:val="24"/>
        </w:rPr>
        <w:t>TA ČR</w:t>
      </w:r>
      <w:r w:rsidR="00E53823" w:rsidRPr="0088190A">
        <w:rPr>
          <w:rFonts w:cstheme="minorHAnsi"/>
          <w:sz w:val="24"/>
          <w:szCs w:val="24"/>
        </w:rPr>
        <w:t xml:space="preserve">. Cílem kontroly bylo prověřit, zda </w:t>
      </w:r>
      <w:r w:rsidR="003970AD" w:rsidRPr="0088190A">
        <w:rPr>
          <w:rFonts w:cstheme="minorHAnsi"/>
          <w:sz w:val="24"/>
          <w:szCs w:val="24"/>
        </w:rPr>
        <w:t>GA</w:t>
      </w:r>
      <w:r w:rsidR="00E53823" w:rsidRPr="0088190A">
        <w:rPr>
          <w:rFonts w:cstheme="minorHAnsi"/>
          <w:sz w:val="24"/>
          <w:szCs w:val="24"/>
        </w:rPr>
        <w:t xml:space="preserve"> ČR a </w:t>
      </w:r>
      <w:r w:rsidR="003970AD" w:rsidRPr="0088190A">
        <w:rPr>
          <w:rFonts w:cstheme="minorHAnsi"/>
          <w:sz w:val="24"/>
          <w:szCs w:val="24"/>
        </w:rPr>
        <w:t>TA</w:t>
      </w:r>
      <w:r w:rsidR="00E53823" w:rsidRPr="0088190A">
        <w:rPr>
          <w:rFonts w:cstheme="minorHAnsi"/>
          <w:sz w:val="24"/>
          <w:szCs w:val="24"/>
        </w:rPr>
        <w:t xml:space="preserve"> ČR vynakládaly peněžní prostředky na podporu </w:t>
      </w:r>
      <w:proofErr w:type="spellStart"/>
      <w:r w:rsidR="003970AD" w:rsidRPr="0088190A">
        <w:rPr>
          <w:rFonts w:cstheme="minorHAnsi"/>
          <w:sz w:val="24"/>
          <w:szCs w:val="24"/>
        </w:rPr>
        <w:t>VaVaI</w:t>
      </w:r>
      <w:proofErr w:type="spellEnd"/>
      <w:r w:rsidR="00E53823" w:rsidRPr="0088190A">
        <w:rPr>
          <w:rFonts w:cstheme="minorHAnsi"/>
          <w:sz w:val="24"/>
          <w:szCs w:val="24"/>
        </w:rPr>
        <w:t xml:space="preserve"> účelně, efektivně a v souladu s právními předpisy. Kontrolovaným obdobím bylo období od roku 2021 do </w:t>
      </w:r>
      <w:r w:rsidR="003970AD" w:rsidRPr="0088190A">
        <w:rPr>
          <w:rFonts w:cstheme="minorHAnsi"/>
          <w:sz w:val="24"/>
          <w:szCs w:val="24"/>
        </w:rPr>
        <w:t xml:space="preserve">roku </w:t>
      </w:r>
      <w:r w:rsidR="00E53823" w:rsidRPr="0088190A">
        <w:rPr>
          <w:rFonts w:cstheme="minorHAnsi"/>
          <w:sz w:val="24"/>
          <w:szCs w:val="24"/>
        </w:rPr>
        <w:t>2023</w:t>
      </w:r>
      <w:r w:rsidR="003970AD" w:rsidRPr="0088190A">
        <w:rPr>
          <w:rFonts w:cstheme="minorHAnsi"/>
          <w:sz w:val="24"/>
          <w:szCs w:val="24"/>
        </w:rPr>
        <w:t>, v</w:t>
      </w:r>
      <w:r w:rsidR="00E53823" w:rsidRPr="0088190A">
        <w:rPr>
          <w:rFonts w:cstheme="minorHAnsi"/>
          <w:sz w:val="24"/>
          <w:szCs w:val="24"/>
        </w:rPr>
        <w:t xml:space="preserve"> případě věcných souvislostí i období předcházející či následující.</w:t>
      </w:r>
    </w:p>
    <w:p w14:paraId="5D91AC1A" w14:textId="1D817A64" w:rsidR="003970AD" w:rsidRPr="0088190A" w:rsidRDefault="00A602D6" w:rsidP="00463A34">
      <w:pPr>
        <w:spacing w:after="120" w:line="240" w:lineRule="auto"/>
        <w:jc w:val="both"/>
        <w:rPr>
          <w:rFonts w:cstheme="minorHAnsi"/>
          <w:sz w:val="24"/>
          <w:szCs w:val="24"/>
        </w:rPr>
      </w:pPr>
      <w:r>
        <w:rPr>
          <w:rFonts w:cstheme="minorHAnsi"/>
          <w:sz w:val="24"/>
          <w:szCs w:val="24"/>
        </w:rPr>
        <w:lastRenderedPageBreak/>
        <w:t xml:space="preserve">3.2 </w:t>
      </w:r>
      <w:r w:rsidR="00E53823" w:rsidRPr="0088190A">
        <w:rPr>
          <w:rFonts w:cstheme="minorHAnsi"/>
          <w:sz w:val="24"/>
          <w:szCs w:val="24"/>
        </w:rPr>
        <w:t>Kontrola byla provedena u GA ČR jako poskytovatele účelové podpory základního výzkumu a</w:t>
      </w:r>
      <w:r w:rsidR="008B66BA" w:rsidRPr="0088190A">
        <w:rPr>
          <w:rFonts w:cstheme="minorHAnsi"/>
          <w:sz w:val="24"/>
          <w:szCs w:val="24"/>
        </w:rPr>
        <w:t> </w:t>
      </w:r>
      <w:r w:rsidR="00E53823" w:rsidRPr="0088190A">
        <w:rPr>
          <w:rFonts w:cstheme="minorHAnsi"/>
          <w:sz w:val="24"/>
          <w:szCs w:val="24"/>
        </w:rPr>
        <w:t>u</w:t>
      </w:r>
      <w:r w:rsidR="008B66BA" w:rsidRPr="0088190A">
        <w:rPr>
          <w:rFonts w:cstheme="minorHAnsi"/>
          <w:sz w:val="24"/>
          <w:szCs w:val="24"/>
        </w:rPr>
        <w:t> </w:t>
      </w:r>
      <w:r w:rsidR="00E53823" w:rsidRPr="0088190A">
        <w:rPr>
          <w:rFonts w:cstheme="minorHAnsi"/>
          <w:sz w:val="24"/>
          <w:szCs w:val="24"/>
        </w:rPr>
        <w:t xml:space="preserve">TA ČR jako poskytovatele účelové podpory aplikovaného výzkumu. </w:t>
      </w:r>
      <w:r w:rsidR="003970AD" w:rsidRPr="0088190A">
        <w:rPr>
          <w:rFonts w:cstheme="minorHAnsi"/>
          <w:sz w:val="24"/>
          <w:szCs w:val="24"/>
        </w:rPr>
        <w:t>Kontrola prověřila, jak si obě agentury nastavily systém, priority a cíle této podpory a jak vyhodnocovaly naplnění těchto cílů, ale i dopadů vynaložených peněžních prostředků. V oblasti poskytování podpory bylo u GA ČR i TA ČR kontrolováno, zda byly k podpoře vybrány nejkvalitnější projekty. Kontrola dále ověřila, zda obě agentury v oblasti výběru projektů určených k podpoře dodržovaly nastavené hodnoticí a rozhodovací procesy tak, aby byly minimalizovány možnosti ovlivňování a netransparentní</w:t>
      </w:r>
      <w:r w:rsidR="00026D42">
        <w:rPr>
          <w:rFonts w:cstheme="minorHAnsi"/>
          <w:sz w:val="24"/>
          <w:szCs w:val="24"/>
        </w:rPr>
        <w:t>ho</w:t>
      </w:r>
      <w:r w:rsidR="003970AD" w:rsidRPr="0088190A">
        <w:rPr>
          <w:rFonts w:cstheme="minorHAnsi"/>
          <w:sz w:val="24"/>
          <w:szCs w:val="24"/>
        </w:rPr>
        <w:t xml:space="preserve"> rozhodování.</w:t>
      </w:r>
    </w:p>
    <w:p w14:paraId="3884586F" w14:textId="1EA0798A" w:rsidR="003970AD" w:rsidRPr="0088190A" w:rsidRDefault="00A602D6" w:rsidP="00463A34">
      <w:pPr>
        <w:spacing w:after="120" w:line="240" w:lineRule="auto"/>
        <w:jc w:val="both"/>
        <w:rPr>
          <w:rFonts w:cstheme="minorHAnsi"/>
          <w:sz w:val="24"/>
          <w:szCs w:val="24"/>
        </w:rPr>
      </w:pPr>
      <w:r>
        <w:rPr>
          <w:rFonts w:cstheme="minorHAnsi"/>
          <w:sz w:val="24"/>
          <w:szCs w:val="24"/>
        </w:rPr>
        <w:t xml:space="preserve">3.3 </w:t>
      </w:r>
      <w:r w:rsidR="003970AD" w:rsidRPr="0088190A">
        <w:rPr>
          <w:rFonts w:cstheme="minorHAnsi"/>
          <w:sz w:val="24"/>
          <w:szCs w:val="24"/>
        </w:rPr>
        <w:t xml:space="preserve">Kontrola také ověřila, zda GA ČR vyhodnocovala a systematicky podporovala provázanost grantových projektů základního výzkumu s dalšími fázemi inovačního procesu. NKÚ dále zjišťoval, zda GA ČR ve svých koncepčních dokumentech a výběru projektů zohlednila </w:t>
      </w:r>
      <w:r w:rsidR="00CF37EE">
        <w:rPr>
          <w:rFonts w:cstheme="minorHAnsi"/>
          <w:sz w:val="24"/>
          <w:szCs w:val="24"/>
        </w:rPr>
        <w:t xml:space="preserve">cílený </w:t>
      </w:r>
      <w:r w:rsidR="003970AD" w:rsidRPr="0088190A">
        <w:rPr>
          <w:rFonts w:cstheme="minorHAnsi"/>
          <w:sz w:val="24"/>
          <w:szCs w:val="24"/>
        </w:rPr>
        <w:t>orientovaný základní výzkum tak, aby výsledky podpořených projektů měly využití v</w:t>
      </w:r>
      <w:r w:rsidR="008B66BA" w:rsidRPr="0088190A">
        <w:rPr>
          <w:rFonts w:cstheme="minorHAnsi"/>
          <w:sz w:val="24"/>
          <w:szCs w:val="24"/>
        </w:rPr>
        <w:t> </w:t>
      </w:r>
      <w:r w:rsidR="003970AD" w:rsidRPr="0088190A">
        <w:rPr>
          <w:rFonts w:cstheme="minorHAnsi"/>
          <w:sz w:val="24"/>
          <w:szCs w:val="24"/>
        </w:rPr>
        <w:t>aplikovaném výzkumu.</w:t>
      </w:r>
      <w:r w:rsidR="00F8097C">
        <w:rPr>
          <w:rStyle w:val="Znakapoznpodarou"/>
          <w:rFonts w:cstheme="minorHAnsi"/>
          <w:sz w:val="24"/>
          <w:szCs w:val="24"/>
        </w:rPr>
        <w:footnoteReference w:id="10"/>
      </w:r>
      <w:r w:rsidR="003970AD" w:rsidRPr="0088190A">
        <w:rPr>
          <w:rFonts w:cstheme="minorHAnsi"/>
          <w:sz w:val="24"/>
          <w:szCs w:val="24"/>
        </w:rPr>
        <w:t xml:space="preserve"> U TA ČR kontrola dále prověřila, zda agentura podporovala aplikovaný výzkum zaměřený především na tvorbu výsledků uplat</w:t>
      </w:r>
      <w:r w:rsidR="00B72C31" w:rsidRPr="0088190A">
        <w:rPr>
          <w:rFonts w:cstheme="minorHAnsi"/>
          <w:sz w:val="24"/>
          <w:szCs w:val="24"/>
        </w:rPr>
        <w:t>n</w:t>
      </w:r>
      <w:r w:rsidR="003970AD" w:rsidRPr="0088190A">
        <w:rPr>
          <w:rFonts w:cstheme="minorHAnsi"/>
          <w:sz w:val="24"/>
          <w:szCs w:val="24"/>
        </w:rPr>
        <w:t>itelných v praxi a projekty s cílem podpořit inovační cyklus jako celek se zaměřením na spolupráci se soukromým sektorem.</w:t>
      </w:r>
    </w:p>
    <w:p w14:paraId="48415EE2" w14:textId="5751329E" w:rsidR="0013531E" w:rsidRPr="0088190A" w:rsidRDefault="00A602D6" w:rsidP="00463A34">
      <w:pPr>
        <w:spacing w:after="120" w:line="240" w:lineRule="auto"/>
        <w:jc w:val="both"/>
        <w:rPr>
          <w:rFonts w:cstheme="minorHAnsi"/>
          <w:sz w:val="24"/>
          <w:szCs w:val="24"/>
        </w:rPr>
      </w:pPr>
      <w:r>
        <w:rPr>
          <w:rFonts w:cstheme="minorHAnsi"/>
          <w:sz w:val="24"/>
          <w:szCs w:val="24"/>
        </w:rPr>
        <w:t xml:space="preserve">3.4 </w:t>
      </w:r>
      <w:r w:rsidR="0013531E" w:rsidRPr="0088190A">
        <w:rPr>
          <w:rFonts w:cstheme="minorHAnsi"/>
          <w:sz w:val="24"/>
          <w:szCs w:val="24"/>
        </w:rPr>
        <w:t>Kontrola také prověřila, zda GA ČR a TA ČR provedly opatření k odstranění nedostatků zjištěných v předchozích kontrolách provedených NKÚ</w:t>
      </w:r>
      <w:r w:rsidR="00E26014">
        <w:rPr>
          <w:rFonts w:cstheme="minorHAnsi"/>
          <w:sz w:val="24"/>
          <w:szCs w:val="24"/>
        </w:rPr>
        <w:t xml:space="preserve"> </w:t>
      </w:r>
      <w:r w:rsidR="005F31C7">
        <w:rPr>
          <w:rFonts w:cstheme="minorHAnsi"/>
          <w:sz w:val="24"/>
          <w:szCs w:val="24"/>
        </w:rPr>
        <w:t>(</w:t>
      </w:r>
      <w:r w:rsidR="00E26014">
        <w:rPr>
          <w:rFonts w:cstheme="minorHAnsi"/>
          <w:sz w:val="24"/>
          <w:szCs w:val="24"/>
        </w:rPr>
        <w:t>viz body 2.</w:t>
      </w:r>
      <w:r w:rsidR="00885FE7">
        <w:rPr>
          <w:rFonts w:cstheme="minorHAnsi"/>
          <w:sz w:val="24"/>
          <w:szCs w:val="24"/>
        </w:rPr>
        <w:t>10</w:t>
      </w:r>
      <w:r w:rsidR="00E26014">
        <w:rPr>
          <w:rFonts w:cstheme="minorHAnsi"/>
          <w:sz w:val="24"/>
          <w:szCs w:val="24"/>
        </w:rPr>
        <w:t xml:space="preserve"> a 2.1</w:t>
      </w:r>
      <w:r w:rsidR="00885FE7">
        <w:rPr>
          <w:rFonts w:cstheme="minorHAnsi"/>
          <w:sz w:val="24"/>
          <w:szCs w:val="24"/>
        </w:rPr>
        <w:t>1</w:t>
      </w:r>
      <w:r w:rsidR="005F31C7">
        <w:rPr>
          <w:rFonts w:cstheme="minorHAnsi"/>
          <w:sz w:val="24"/>
          <w:szCs w:val="24"/>
        </w:rPr>
        <w:t>)</w:t>
      </w:r>
      <w:r w:rsidR="00E26014">
        <w:rPr>
          <w:rFonts w:cstheme="minorHAnsi"/>
          <w:sz w:val="24"/>
          <w:szCs w:val="24"/>
        </w:rPr>
        <w:t>.</w:t>
      </w:r>
    </w:p>
    <w:p w14:paraId="0EE1E5A9" w14:textId="3B8069A0" w:rsidR="0013531E" w:rsidRPr="0088190A" w:rsidRDefault="00A602D6" w:rsidP="00463A34">
      <w:pPr>
        <w:spacing w:after="120" w:line="240" w:lineRule="auto"/>
        <w:jc w:val="both"/>
        <w:rPr>
          <w:rFonts w:cstheme="minorHAnsi"/>
          <w:sz w:val="24"/>
          <w:szCs w:val="24"/>
        </w:rPr>
      </w:pPr>
      <w:r>
        <w:rPr>
          <w:rFonts w:cstheme="minorHAnsi"/>
          <w:sz w:val="24"/>
          <w:szCs w:val="24"/>
        </w:rPr>
        <w:t xml:space="preserve">3.5 </w:t>
      </w:r>
      <w:r w:rsidR="0013531E" w:rsidRPr="0088190A">
        <w:rPr>
          <w:rFonts w:cstheme="minorHAnsi"/>
          <w:sz w:val="24"/>
          <w:szCs w:val="24"/>
        </w:rPr>
        <w:t xml:space="preserve">Výběr vzorku projektů byl zaměřen především na veřejné soutěže vyhlášené v roce 2021, aby byla možná kontrola i ukončených projektů. U GA ČR se </w:t>
      </w:r>
      <w:r w:rsidR="0013531E" w:rsidRPr="00325D57">
        <w:rPr>
          <w:rFonts w:cstheme="minorHAnsi"/>
          <w:sz w:val="24"/>
          <w:szCs w:val="24"/>
        </w:rPr>
        <w:t xml:space="preserve">konkrétně jednalo o skupinu standardních projektů a u TA ČR se jednalo o program </w:t>
      </w:r>
      <w:r w:rsidR="0013531E" w:rsidRPr="00202DF7">
        <w:rPr>
          <w:rFonts w:cstheme="minorHAnsi"/>
          <w:i/>
          <w:iCs/>
          <w:sz w:val="24"/>
          <w:szCs w:val="24"/>
        </w:rPr>
        <w:t>Théta</w:t>
      </w:r>
      <w:r w:rsidR="0013531E" w:rsidRPr="00325D57">
        <w:rPr>
          <w:rFonts w:cstheme="minorHAnsi"/>
          <w:sz w:val="24"/>
          <w:szCs w:val="24"/>
        </w:rPr>
        <w:t xml:space="preserve"> (čtvrtá veřejná soutěž). </w:t>
      </w:r>
      <w:r w:rsidR="00910E30" w:rsidRPr="00325D57">
        <w:rPr>
          <w:rFonts w:cstheme="minorHAnsi"/>
          <w:sz w:val="24"/>
          <w:szCs w:val="24"/>
        </w:rPr>
        <w:t>Systém</w:t>
      </w:r>
      <w:r w:rsidR="00325D57" w:rsidRPr="00325D57">
        <w:rPr>
          <w:rFonts w:cstheme="minorHAnsi"/>
          <w:sz w:val="24"/>
          <w:szCs w:val="24"/>
        </w:rPr>
        <w:t xml:space="preserve"> h</w:t>
      </w:r>
      <w:r w:rsidR="0013531E" w:rsidRPr="00325D57">
        <w:rPr>
          <w:rFonts w:cstheme="minorHAnsi"/>
          <w:sz w:val="24"/>
          <w:szCs w:val="24"/>
        </w:rPr>
        <w:t>odnocení ukončených projektů byl ověřen na kontrolním vzorku 10 projektů u každého poskytovatele. Kontrolní vzorek tvořily náhodně vybrané projekty.</w:t>
      </w:r>
    </w:p>
    <w:p w14:paraId="0B344AE8" w14:textId="14E815E3" w:rsidR="008A46BA" w:rsidRPr="0066785E" w:rsidRDefault="00A602D6" w:rsidP="00463A34">
      <w:pPr>
        <w:spacing w:after="120" w:line="240" w:lineRule="auto"/>
        <w:jc w:val="both"/>
        <w:rPr>
          <w:rFonts w:cstheme="minorHAnsi"/>
          <w:sz w:val="24"/>
          <w:szCs w:val="24"/>
        </w:rPr>
      </w:pPr>
      <w:r>
        <w:rPr>
          <w:rFonts w:cstheme="minorHAnsi"/>
          <w:sz w:val="24"/>
          <w:szCs w:val="24"/>
        </w:rPr>
        <w:t xml:space="preserve">3.6 </w:t>
      </w:r>
      <w:r w:rsidR="0066785E" w:rsidRPr="0066785E">
        <w:rPr>
          <w:rFonts w:cstheme="minorHAnsi"/>
          <w:sz w:val="24"/>
          <w:szCs w:val="24"/>
        </w:rPr>
        <w:t xml:space="preserve">Posouzení účelnosti zahrnovalo </w:t>
      </w:r>
      <w:r w:rsidR="0066785E" w:rsidRPr="00325D57">
        <w:rPr>
          <w:rFonts w:cstheme="minorHAnsi"/>
          <w:sz w:val="24"/>
          <w:szCs w:val="24"/>
        </w:rPr>
        <w:t>hodnocení využití peněžních prostředků vynaložených na</w:t>
      </w:r>
      <w:r w:rsidR="00BF3BD9">
        <w:rPr>
          <w:rFonts w:cstheme="minorHAnsi"/>
          <w:sz w:val="24"/>
          <w:szCs w:val="24"/>
        </w:rPr>
        <w:t xml:space="preserve"> </w:t>
      </w:r>
      <w:r w:rsidR="0066785E" w:rsidRPr="00325D57">
        <w:rPr>
          <w:rFonts w:cstheme="minorHAnsi"/>
          <w:sz w:val="24"/>
          <w:szCs w:val="24"/>
        </w:rPr>
        <w:t>základní a aplikovaný výzkum. Konkrétně bylo hodnoceno, zda bylo použití těchto prostředků v souladu se stanovenými cíli</w:t>
      </w:r>
      <w:r w:rsidR="00CC3791">
        <w:rPr>
          <w:rFonts w:cstheme="minorHAnsi"/>
          <w:sz w:val="24"/>
          <w:szCs w:val="24"/>
        </w:rPr>
        <w:t>.</w:t>
      </w:r>
      <w:r w:rsidR="00325D57" w:rsidRPr="00325D57">
        <w:rPr>
          <w:rFonts w:cstheme="minorHAnsi"/>
          <w:sz w:val="24"/>
          <w:szCs w:val="24"/>
        </w:rPr>
        <w:t xml:space="preserve"> </w:t>
      </w:r>
      <w:r w:rsidR="0066785E" w:rsidRPr="00325D57">
        <w:rPr>
          <w:rFonts w:cstheme="minorHAnsi"/>
          <w:sz w:val="24"/>
          <w:szCs w:val="24"/>
        </w:rPr>
        <w:t>Dále se vyhodnocovaly dosažené cíle výzkumu, a</w:t>
      </w:r>
      <w:r w:rsidR="00AC43C1">
        <w:rPr>
          <w:rFonts w:cstheme="minorHAnsi"/>
          <w:sz w:val="24"/>
          <w:szCs w:val="24"/>
        </w:rPr>
        <w:t> </w:t>
      </w:r>
      <w:r w:rsidR="0066785E" w:rsidRPr="00325D57">
        <w:rPr>
          <w:sz w:val="24"/>
          <w:szCs w:val="24"/>
        </w:rPr>
        <w:t xml:space="preserve">také administrativní náročnost systému poskytování účelové podpory. </w:t>
      </w:r>
      <w:r w:rsidR="00CC3791">
        <w:rPr>
          <w:sz w:val="24"/>
          <w:szCs w:val="24"/>
        </w:rPr>
        <w:t>Prověřováno</w:t>
      </w:r>
      <w:r w:rsidR="004F5011">
        <w:rPr>
          <w:sz w:val="24"/>
          <w:szCs w:val="24"/>
        </w:rPr>
        <w:t xml:space="preserve"> </w:t>
      </w:r>
      <w:r w:rsidR="0066785E" w:rsidRPr="00325D57">
        <w:rPr>
          <w:sz w:val="24"/>
          <w:szCs w:val="24"/>
        </w:rPr>
        <w:t>bylo, zda je systém co nejméně administrativně náročný při zachování požadované kvality.</w:t>
      </w:r>
      <w:r w:rsidR="0066785E" w:rsidRPr="00325D57">
        <w:rPr>
          <w:rFonts w:cstheme="minorHAnsi"/>
          <w:sz w:val="24"/>
          <w:szCs w:val="24"/>
        </w:rPr>
        <w:t xml:space="preserve"> </w:t>
      </w:r>
      <w:r w:rsidR="00DE6269" w:rsidRPr="00325D57">
        <w:rPr>
          <w:rFonts w:cstheme="minorHAnsi"/>
          <w:sz w:val="24"/>
          <w:szCs w:val="24"/>
        </w:rPr>
        <w:t>Zdrojem kritérií b</w:t>
      </w:r>
      <w:r w:rsidR="0013531E" w:rsidRPr="00325D57">
        <w:rPr>
          <w:rFonts w:cstheme="minorHAnsi"/>
          <w:sz w:val="24"/>
          <w:szCs w:val="24"/>
        </w:rPr>
        <w:t>yly</w:t>
      </w:r>
      <w:r w:rsidR="00DE6269" w:rsidRPr="00325D57">
        <w:rPr>
          <w:rFonts w:cstheme="minorHAnsi"/>
          <w:sz w:val="24"/>
          <w:szCs w:val="24"/>
        </w:rPr>
        <w:t xml:space="preserve"> cíle stanovené ve strategických dokumentech upravujících oblast </w:t>
      </w:r>
      <w:proofErr w:type="spellStart"/>
      <w:r w:rsidR="00DE6269" w:rsidRPr="00325D57">
        <w:rPr>
          <w:rFonts w:cstheme="minorHAnsi"/>
          <w:sz w:val="24"/>
          <w:szCs w:val="24"/>
        </w:rPr>
        <w:t>VaVaI</w:t>
      </w:r>
      <w:proofErr w:type="spellEnd"/>
      <w:r w:rsidR="00DE6269" w:rsidRPr="00325D57">
        <w:rPr>
          <w:rFonts w:cstheme="minorHAnsi"/>
          <w:sz w:val="24"/>
          <w:szCs w:val="24"/>
        </w:rPr>
        <w:t>, dále pak cíle stanovené u</w:t>
      </w:r>
      <w:r w:rsidR="00374BC8">
        <w:rPr>
          <w:rFonts w:cstheme="minorHAnsi"/>
          <w:sz w:val="24"/>
          <w:szCs w:val="24"/>
        </w:rPr>
        <w:t> </w:t>
      </w:r>
      <w:r w:rsidR="00DE6269" w:rsidRPr="00325D57">
        <w:rPr>
          <w:rFonts w:cstheme="minorHAnsi"/>
          <w:sz w:val="24"/>
          <w:szCs w:val="24"/>
        </w:rPr>
        <w:t>jednotlivých programů nebo skupin grantových projektů.</w:t>
      </w:r>
    </w:p>
    <w:p w14:paraId="702A56D5" w14:textId="7057598C" w:rsidR="008A46BA" w:rsidRPr="0088190A" w:rsidRDefault="00A602D6" w:rsidP="00463A34">
      <w:pPr>
        <w:spacing w:after="120" w:line="240" w:lineRule="auto"/>
        <w:jc w:val="both"/>
        <w:rPr>
          <w:rFonts w:cstheme="minorHAnsi"/>
          <w:sz w:val="24"/>
          <w:szCs w:val="24"/>
        </w:rPr>
      </w:pPr>
      <w:r>
        <w:rPr>
          <w:rFonts w:cstheme="minorHAnsi"/>
          <w:sz w:val="24"/>
          <w:szCs w:val="24"/>
        </w:rPr>
        <w:t xml:space="preserve">3.7 </w:t>
      </w:r>
      <w:r w:rsidR="00DE6269" w:rsidRPr="0088190A">
        <w:rPr>
          <w:rFonts w:cstheme="minorHAnsi"/>
          <w:sz w:val="24"/>
          <w:szCs w:val="24"/>
        </w:rPr>
        <w:t>Posouzení efektivnosti spočíva</w:t>
      </w:r>
      <w:r w:rsidR="00A84CD3" w:rsidRPr="0088190A">
        <w:rPr>
          <w:rFonts w:cstheme="minorHAnsi"/>
          <w:sz w:val="24"/>
          <w:szCs w:val="24"/>
        </w:rPr>
        <w:t>lo</w:t>
      </w:r>
      <w:r w:rsidR="00DE6269" w:rsidRPr="0088190A">
        <w:rPr>
          <w:rFonts w:cstheme="minorHAnsi"/>
          <w:sz w:val="24"/>
          <w:szCs w:val="24"/>
        </w:rPr>
        <w:t xml:space="preserve"> především v porovnání výše poskytované podpory a</w:t>
      </w:r>
      <w:r w:rsidR="004E7186">
        <w:rPr>
          <w:rFonts w:cstheme="minorHAnsi"/>
          <w:sz w:val="24"/>
          <w:szCs w:val="24"/>
        </w:rPr>
        <w:t> </w:t>
      </w:r>
      <w:r w:rsidR="00DE6269" w:rsidRPr="0088190A">
        <w:rPr>
          <w:rFonts w:cstheme="minorHAnsi"/>
          <w:sz w:val="24"/>
          <w:szCs w:val="24"/>
        </w:rPr>
        <w:t xml:space="preserve">množství a kvality výsledků. </w:t>
      </w:r>
      <w:r w:rsidR="009E33B8">
        <w:rPr>
          <w:rFonts w:cstheme="minorHAnsi"/>
          <w:sz w:val="24"/>
          <w:szCs w:val="24"/>
        </w:rPr>
        <w:t>NKÚ dále vyhodnotil</w:t>
      </w:r>
      <w:r w:rsidR="00DE6269" w:rsidRPr="0088190A">
        <w:rPr>
          <w:rFonts w:cstheme="minorHAnsi"/>
          <w:sz w:val="24"/>
          <w:szCs w:val="24"/>
        </w:rPr>
        <w:t>, zda agentury podporují projekty v rámci celého inovačního cyklu</w:t>
      </w:r>
      <w:r w:rsidR="00F8097C">
        <w:rPr>
          <w:rFonts w:cstheme="minorHAnsi"/>
          <w:sz w:val="24"/>
          <w:szCs w:val="24"/>
        </w:rPr>
        <w:t>, tedy GA ČR základní výzkum a TA ČR aplikovaný výzkum,</w:t>
      </w:r>
      <w:r w:rsidR="00DE6269" w:rsidRPr="0088190A">
        <w:rPr>
          <w:rFonts w:cstheme="minorHAnsi"/>
          <w:sz w:val="24"/>
          <w:szCs w:val="24"/>
        </w:rPr>
        <w:t xml:space="preserve"> a zda tuto podporu cíleně směř</w:t>
      </w:r>
      <w:r w:rsidR="00A84CD3" w:rsidRPr="0088190A">
        <w:rPr>
          <w:rFonts w:cstheme="minorHAnsi"/>
          <w:sz w:val="24"/>
          <w:szCs w:val="24"/>
        </w:rPr>
        <w:t>ovaly</w:t>
      </w:r>
      <w:r w:rsidR="00DE6269" w:rsidRPr="0088190A">
        <w:rPr>
          <w:rFonts w:cstheme="minorHAnsi"/>
          <w:sz w:val="24"/>
          <w:szCs w:val="24"/>
        </w:rPr>
        <w:t xml:space="preserve"> a dosah</w:t>
      </w:r>
      <w:r w:rsidR="00A84CD3" w:rsidRPr="0088190A">
        <w:rPr>
          <w:rFonts w:cstheme="minorHAnsi"/>
          <w:sz w:val="24"/>
          <w:szCs w:val="24"/>
        </w:rPr>
        <w:t>ovaly</w:t>
      </w:r>
      <w:r w:rsidR="00DE6269" w:rsidRPr="0088190A">
        <w:rPr>
          <w:rFonts w:cstheme="minorHAnsi"/>
          <w:sz w:val="24"/>
          <w:szCs w:val="24"/>
        </w:rPr>
        <w:t xml:space="preserve"> očekávaných dopadů. Využito b</w:t>
      </w:r>
      <w:r w:rsidR="00A84CD3" w:rsidRPr="0088190A">
        <w:rPr>
          <w:rFonts w:cstheme="minorHAnsi"/>
          <w:sz w:val="24"/>
          <w:szCs w:val="24"/>
        </w:rPr>
        <w:t>ylo</w:t>
      </w:r>
      <w:r w:rsidR="00DE6269" w:rsidRPr="0088190A">
        <w:rPr>
          <w:rFonts w:cstheme="minorHAnsi"/>
          <w:sz w:val="24"/>
          <w:szCs w:val="24"/>
        </w:rPr>
        <w:t xml:space="preserve"> i mezinárodní srovnání a postavení Č</w:t>
      </w:r>
      <w:r w:rsidR="00BB4913">
        <w:rPr>
          <w:rFonts w:cstheme="minorHAnsi"/>
          <w:sz w:val="24"/>
          <w:szCs w:val="24"/>
        </w:rPr>
        <w:t>eské republiky (dále také „ČR“)</w:t>
      </w:r>
      <w:r w:rsidR="00DE6269" w:rsidRPr="0088190A">
        <w:rPr>
          <w:rFonts w:cstheme="minorHAnsi"/>
          <w:sz w:val="24"/>
          <w:szCs w:val="24"/>
        </w:rPr>
        <w:t xml:space="preserve"> v</w:t>
      </w:r>
      <w:r w:rsidR="0057160E">
        <w:rPr>
          <w:rFonts w:cstheme="minorHAnsi"/>
          <w:sz w:val="24"/>
          <w:szCs w:val="24"/>
        </w:rPr>
        <w:t> </w:t>
      </w:r>
      <w:r w:rsidR="00DE6269" w:rsidRPr="0088190A">
        <w:rPr>
          <w:rFonts w:cstheme="minorHAnsi"/>
          <w:sz w:val="24"/>
          <w:szCs w:val="24"/>
        </w:rPr>
        <w:t>rámci E</w:t>
      </w:r>
      <w:r w:rsidR="001F482E" w:rsidRPr="0088190A">
        <w:rPr>
          <w:rFonts w:cstheme="minorHAnsi"/>
          <w:sz w:val="24"/>
          <w:szCs w:val="24"/>
        </w:rPr>
        <w:t>vropské unie (dále také „EU“)</w:t>
      </w:r>
      <w:r w:rsidR="00DE6269" w:rsidRPr="0088190A">
        <w:rPr>
          <w:rFonts w:cstheme="minorHAnsi"/>
          <w:sz w:val="24"/>
          <w:szCs w:val="24"/>
        </w:rPr>
        <w:t>.</w:t>
      </w:r>
    </w:p>
    <w:p w14:paraId="23521E32" w14:textId="6C4E0FD7" w:rsidR="00A84CD3" w:rsidRPr="0088190A" w:rsidRDefault="00A602D6" w:rsidP="00A84CD3">
      <w:pPr>
        <w:spacing w:after="120" w:line="240" w:lineRule="auto"/>
        <w:jc w:val="both"/>
        <w:rPr>
          <w:rFonts w:cstheme="minorHAnsi"/>
          <w:sz w:val="32"/>
        </w:rPr>
      </w:pPr>
      <w:r>
        <w:rPr>
          <w:rFonts w:cstheme="minorHAnsi"/>
          <w:sz w:val="24"/>
        </w:rPr>
        <w:t xml:space="preserve">3.8 </w:t>
      </w:r>
      <w:r w:rsidR="00A84CD3" w:rsidRPr="0088190A">
        <w:rPr>
          <w:rFonts w:cstheme="minorHAnsi"/>
          <w:sz w:val="24"/>
        </w:rPr>
        <w:t xml:space="preserve">Kontrolovaný objem peněžních prostředků na úrovni systému vychází z celkových poskytnutých peněžních prostředků GA ČR a TA ČR na účelovou podporu </w:t>
      </w:r>
      <w:proofErr w:type="spellStart"/>
      <w:r w:rsidR="00A84CD3" w:rsidRPr="0088190A">
        <w:rPr>
          <w:rFonts w:cstheme="minorHAnsi"/>
          <w:sz w:val="24"/>
        </w:rPr>
        <w:t>VaVaI</w:t>
      </w:r>
      <w:proofErr w:type="spellEnd"/>
      <w:r w:rsidR="00A84CD3" w:rsidRPr="0088190A">
        <w:rPr>
          <w:rFonts w:cstheme="minorHAnsi"/>
          <w:sz w:val="24"/>
        </w:rPr>
        <w:t xml:space="preserve"> v letech 2021 až 2023. U GA ČR činil kontrolovaný objem na úrovni systému 13,</w:t>
      </w:r>
      <w:r w:rsidR="00287DE4" w:rsidRPr="0088190A">
        <w:rPr>
          <w:rFonts w:cstheme="minorHAnsi"/>
          <w:sz w:val="24"/>
        </w:rPr>
        <w:t>4</w:t>
      </w:r>
      <w:r w:rsidR="00A84CD3" w:rsidRPr="0088190A">
        <w:rPr>
          <w:rFonts w:cstheme="minorHAnsi"/>
          <w:sz w:val="24"/>
        </w:rPr>
        <w:t xml:space="preserve"> mld. Kč, z toho na úrovni </w:t>
      </w:r>
      <w:r w:rsidR="00031338">
        <w:rPr>
          <w:rFonts w:cstheme="minorHAnsi"/>
          <w:sz w:val="24"/>
        </w:rPr>
        <w:t xml:space="preserve">deseti zkontrolovaných </w:t>
      </w:r>
      <w:r w:rsidR="00A84CD3" w:rsidRPr="0088190A">
        <w:rPr>
          <w:rFonts w:cstheme="minorHAnsi"/>
          <w:sz w:val="24"/>
        </w:rPr>
        <w:t xml:space="preserve">projektů 130 914 000 Kč. U TA ČR byl kontrolovaný objem na úrovni systému 16,4 mld. Kč, z toho na úrovni </w:t>
      </w:r>
      <w:r w:rsidR="00031338">
        <w:rPr>
          <w:rFonts w:cstheme="minorHAnsi"/>
          <w:sz w:val="24"/>
        </w:rPr>
        <w:t xml:space="preserve">deseti zkontrolovaných </w:t>
      </w:r>
      <w:r w:rsidR="00A84CD3" w:rsidRPr="0088190A">
        <w:rPr>
          <w:rFonts w:cstheme="minorHAnsi"/>
          <w:sz w:val="24"/>
        </w:rPr>
        <w:t xml:space="preserve">projektů </w:t>
      </w:r>
      <w:r w:rsidR="00A84CD3" w:rsidRPr="0088190A">
        <w:rPr>
          <w:rFonts w:cstheme="minorHAnsi"/>
          <w:sz w:val="24"/>
          <w:szCs w:val="24"/>
        </w:rPr>
        <w:t>51 645</w:t>
      </w:r>
      <w:r w:rsidR="008B66BA" w:rsidRPr="0088190A">
        <w:rPr>
          <w:rFonts w:cstheme="minorHAnsi"/>
          <w:sz w:val="24"/>
          <w:szCs w:val="24"/>
        </w:rPr>
        <w:t> </w:t>
      </w:r>
      <w:r w:rsidR="00A84CD3" w:rsidRPr="0088190A">
        <w:rPr>
          <w:rFonts w:cstheme="minorHAnsi"/>
          <w:sz w:val="24"/>
          <w:szCs w:val="24"/>
        </w:rPr>
        <w:t>286</w:t>
      </w:r>
      <w:r w:rsidR="008B66BA" w:rsidRPr="0088190A">
        <w:rPr>
          <w:rFonts w:cstheme="minorHAnsi"/>
          <w:sz w:val="24"/>
          <w:szCs w:val="24"/>
        </w:rPr>
        <w:t xml:space="preserve"> </w:t>
      </w:r>
      <w:r w:rsidR="00A84CD3" w:rsidRPr="0088190A">
        <w:rPr>
          <w:rFonts w:cstheme="minorHAnsi"/>
          <w:sz w:val="24"/>
          <w:szCs w:val="24"/>
        </w:rPr>
        <w:t xml:space="preserve">Kč. </w:t>
      </w:r>
    </w:p>
    <w:p w14:paraId="205D1E89" w14:textId="77777777" w:rsidR="008A46BA" w:rsidRPr="0088190A" w:rsidRDefault="00A602D6" w:rsidP="00C475A9">
      <w:pPr>
        <w:keepNext/>
        <w:spacing w:before="120" w:after="0" w:line="240" w:lineRule="auto"/>
        <w:jc w:val="both"/>
        <w:rPr>
          <w:rFonts w:cstheme="minorHAnsi"/>
          <w:sz w:val="24"/>
          <w:szCs w:val="24"/>
        </w:rPr>
      </w:pPr>
      <w:r>
        <w:rPr>
          <w:rFonts w:cstheme="minorHAnsi"/>
          <w:sz w:val="24"/>
          <w:szCs w:val="24"/>
        </w:rPr>
        <w:t xml:space="preserve">3.9 </w:t>
      </w:r>
      <w:r w:rsidR="008A46BA" w:rsidRPr="0088190A">
        <w:rPr>
          <w:rFonts w:cstheme="minorHAnsi"/>
          <w:sz w:val="24"/>
          <w:szCs w:val="24"/>
        </w:rPr>
        <w:t>Kontrola se zaměřila zejména</w:t>
      </w:r>
      <w:r w:rsidR="00A84CD3" w:rsidRPr="0088190A">
        <w:rPr>
          <w:rFonts w:cstheme="minorHAnsi"/>
          <w:sz w:val="24"/>
          <w:szCs w:val="24"/>
        </w:rPr>
        <w:t xml:space="preserve"> na</w:t>
      </w:r>
      <w:r w:rsidR="008A46BA" w:rsidRPr="0088190A">
        <w:rPr>
          <w:rFonts w:cstheme="minorHAnsi"/>
          <w:sz w:val="24"/>
          <w:szCs w:val="24"/>
        </w:rPr>
        <w:t>:</w:t>
      </w:r>
    </w:p>
    <w:p w14:paraId="2F69345A" w14:textId="77777777" w:rsidR="0086126E" w:rsidRPr="0088190A" w:rsidRDefault="0086126E" w:rsidP="00BF3BD9">
      <w:pPr>
        <w:pStyle w:val="Odstavecseseznamem"/>
        <w:numPr>
          <w:ilvl w:val="0"/>
          <w:numId w:val="34"/>
        </w:numPr>
        <w:spacing w:after="120" w:line="240" w:lineRule="auto"/>
        <w:ind w:left="567" w:hanging="283"/>
        <w:jc w:val="both"/>
        <w:rPr>
          <w:rFonts w:cstheme="minorHAnsi"/>
          <w:sz w:val="24"/>
          <w:szCs w:val="24"/>
        </w:rPr>
      </w:pPr>
      <w:r w:rsidRPr="0088190A">
        <w:rPr>
          <w:rFonts w:cstheme="minorHAnsi"/>
          <w:sz w:val="24"/>
          <w:szCs w:val="24"/>
        </w:rPr>
        <w:t>zaměření podpory základního</w:t>
      </w:r>
      <w:r w:rsidR="00DE6269" w:rsidRPr="0088190A">
        <w:rPr>
          <w:rFonts w:cstheme="minorHAnsi"/>
          <w:sz w:val="24"/>
          <w:szCs w:val="24"/>
        </w:rPr>
        <w:t xml:space="preserve"> a aplikovaného</w:t>
      </w:r>
      <w:r w:rsidRPr="0088190A">
        <w:rPr>
          <w:rFonts w:cstheme="minorHAnsi"/>
          <w:sz w:val="24"/>
          <w:szCs w:val="24"/>
        </w:rPr>
        <w:t xml:space="preserve"> výzkumu</w:t>
      </w:r>
      <w:r w:rsidR="00127D10" w:rsidRPr="0088190A">
        <w:rPr>
          <w:rFonts w:cstheme="minorHAnsi"/>
          <w:sz w:val="24"/>
          <w:szCs w:val="24"/>
        </w:rPr>
        <w:t>,</w:t>
      </w:r>
    </w:p>
    <w:p w14:paraId="720A3E94" w14:textId="77777777" w:rsidR="00597DD7" w:rsidRPr="0088190A" w:rsidRDefault="00597DD7" w:rsidP="00BF3BD9">
      <w:pPr>
        <w:pStyle w:val="Odstavecseseznamem"/>
        <w:numPr>
          <w:ilvl w:val="0"/>
          <w:numId w:val="34"/>
        </w:numPr>
        <w:shd w:val="clear" w:color="auto" w:fill="FFFFFF" w:themeFill="background1"/>
        <w:spacing w:after="120" w:line="240" w:lineRule="auto"/>
        <w:ind w:left="567" w:hanging="283"/>
        <w:jc w:val="both"/>
        <w:outlineLvl w:val="0"/>
        <w:rPr>
          <w:rFonts w:cstheme="minorHAnsi"/>
          <w:b/>
          <w:sz w:val="24"/>
          <w:szCs w:val="24"/>
        </w:rPr>
      </w:pPr>
      <w:r w:rsidRPr="0088190A">
        <w:rPr>
          <w:rFonts w:cstheme="minorHAnsi"/>
          <w:sz w:val="24"/>
          <w:szCs w:val="24"/>
        </w:rPr>
        <w:lastRenderedPageBreak/>
        <w:t>spoluprác</w:t>
      </w:r>
      <w:r w:rsidR="004E7186">
        <w:rPr>
          <w:rFonts w:cstheme="minorHAnsi"/>
          <w:sz w:val="24"/>
          <w:szCs w:val="24"/>
        </w:rPr>
        <w:t>i</w:t>
      </w:r>
      <w:r w:rsidRPr="0088190A">
        <w:rPr>
          <w:rFonts w:cstheme="minorHAnsi"/>
          <w:sz w:val="24"/>
          <w:szCs w:val="24"/>
        </w:rPr>
        <w:t xml:space="preserve"> </w:t>
      </w:r>
      <w:r w:rsidR="00C6404A" w:rsidRPr="0088190A">
        <w:rPr>
          <w:rFonts w:cstheme="minorHAnsi"/>
          <w:sz w:val="24"/>
          <w:szCs w:val="24"/>
        </w:rPr>
        <w:t xml:space="preserve">agentur </w:t>
      </w:r>
      <w:r w:rsidRPr="0088190A">
        <w:rPr>
          <w:rFonts w:cstheme="minorHAnsi"/>
          <w:sz w:val="24"/>
          <w:szCs w:val="24"/>
        </w:rPr>
        <w:t>při vazbě základního výzkumu na další fáze inovačního procesu</w:t>
      </w:r>
      <w:r w:rsidR="00127D10" w:rsidRPr="0088190A">
        <w:rPr>
          <w:rFonts w:cstheme="minorHAnsi"/>
          <w:sz w:val="24"/>
          <w:szCs w:val="24"/>
        </w:rPr>
        <w:t>,</w:t>
      </w:r>
    </w:p>
    <w:p w14:paraId="0E0FA476" w14:textId="77777777" w:rsidR="0086126E" w:rsidRPr="0088190A" w:rsidRDefault="0086126E" w:rsidP="00BF3BD9">
      <w:pPr>
        <w:pStyle w:val="Odstavecseseznamem"/>
        <w:numPr>
          <w:ilvl w:val="0"/>
          <w:numId w:val="34"/>
        </w:numPr>
        <w:spacing w:after="120" w:line="240" w:lineRule="auto"/>
        <w:ind w:left="567" w:hanging="283"/>
        <w:jc w:val="both"/>
        <w:rPr>
          <w:rFonts w:cstheme="minorHAnsi"/>
          <w:sz w:val="24"/>
          <w:szCs w:val="24"/>
        </w:rPr>
      </w:pPr>
      <w:r w:rsidRPr="0088190A">
        <w:rPr>
          <w:rFonts w:cstheme="minorHAnsi"/>
          <w:sz w:val="24"/>
          <w:szCs w:val="24"/>
        </w:rPr>
        <w:t xml:space="preserve">nastavení a vyhodnocování </w:t>
      </w:r>
      <w:r w:rsidR="00A84CD3" w:rsidRPr="0088190A">
        <w:rPr>
          <w:rFonts w:cstheme="minorHAnsi"/>
          <w:sz w:val="24"/>
          <w:szCs w:val="24"/>
        </w:rPr>
        <w:t>skupin projektů</w:t>
      </w:r>
      <w:r w:rsidRPr="0088190A">
        <w:rPr>
          <w:rFonts w:cstheme="minorHAnsi"/>
          <w:sz w:val="24"/>
          <w:szCs w:val="24"/>
        </w:rPr>
        <w:t xml:space="preserve"> a programů</w:t>
      </w:r>
      <w:r w:rsidR="00127D10" w:rsidRPr="0088190A">
        <w:rPr>
          <w:rFonts w:cstheme="minorHAnsi"/>
          <w:sz w:val="24"/>
          <w:szCs w:val="24"/>
        </w:rPr>
        <w:t>,</w:t>
      </w:r>
    </w:p>
    <w:p w14:paraId="0924FD8A" w14:textId="77777777" w:rsidR="0086126E" w:rsidRPr="0088190A" w:rsidRDefault="0086126E" w:rsidP="00BF3BD9">
      <w:pPr>
        <w:pStyle w:val="Odstavecseseznamem"/>
        <w:numPr>
          <w:ilvl w:val="0"/>
          <w:numId w:val="34"/>
        </w:numPr>
        <w:spacing w:after="120" w:line="240" w:lineRule="auto"/>
        <w:ind w:left="567" w:hanging="283"/>
        <w:jc w:val="both"/>
        <w:rPr>
          <w:rFonts w:cstheme="minorHAnsi"/>
          <w:sz w:val="24"/>
          <w:szCs w:val="24"/>
        </w:rPr>
      </w:pPr>
      <w:r w:rsidRPr="0088190A">
        <w:rPr>
          <w:rFonts w:cstheme="minorHAnsi"/>
          <w:sz w:val="24"/>
          <w:szCs w:val="24"/>
        </w:rPr>
        <w:t>naplnění stanovených cílů a dosažení dopadů podpory</w:t>
      </w:r>
      <w:r w:rsidR="00127D10" w:rsidRPr="0088190A">
        <w:rPr>
          <w:rFonts w:cstheme="minorHAnsi"/>
          <w:sz w:val="24"/>
          <w:szCs w:val="24"/>
        </w:rPr>
        <w:t>,</w:t>
      </w:r>
    </w:p>
    <w:p w14:paraId="6B1F5339" w14:textId="77777777" w:rsidR="0086126E" w:rsidRPr="0088190A" w:rsidRDefault="0086126E" w:rsidP="00BF3BD9">
      <w:pPr>
        <w:pStyle w:val="Odstavecseseznamem"/>
        <w:numPr>
          <w:ilvl w:val="0"/>
          <w:numId w:val="34"/>
        </w:numPr>
        <w:spacing w:after="120" w:line="240" w:lineRule="auto"/>
        <w:ind w:left="567" w:hanging="283"/>
        <w:jc w:val="both"/>
        <w:rPr>
          <w:rFonts w:cstheme="minorHAnsi"/>
          <w:sz w:val="24"/>
          <w:szCs w:val="24"/>
        </w:rPr>
      </w:pPr>
      <w:r w:rsidRPr="0088190A">
        <w:rPr>
          <w:rFonts w:cstheme="minorHAnsi"/>
          <w:sz w:val="24"/>
          <w:szCs w:val="24"/>
        </w:rPr>
        <w:t>transparentnost výběru projektů</w:t>
      </w:r>
      <w:r w:rsidR="00127D10" w:rsidRPr="0088190A">
        <w:rPr>
          <w:rFonts w:cstheme="minorHAnsi"/>
          <w:sz w:val="24"/>
          <w:szCs w:val="24"/>
        </w:rPr>
        <w:t>,</w:t>
      </w:r>
    </w:p>
    <w:p w14:paraId="2BC8A579" w14:textId="77777777" w:rsidR="008A46BA" w:rsidRPr="0088190A" w:rsidRDefault="0086126E" w:rsidP="00BF3BD9">
      <w:pPr>
        <w:pStyle w:val="Odstavecseseznamem"/>
        <w:numPr>
          <w:ilvl w:val="0"/>
          <w:numId w:val="34"/>
        </w:numPr>
        <w:spacing w:after="480" w:line="240" w:lineRule="auto"/>
        <w:ind w:left="567" w:hanging="283"/>
        <w:contextualSpacing w:val="0"/>
        <w:jc w:val="both"/>
        <w:rPr>
          <w:rFonts w:cstheme="minorHAnsi"/>
          <w:sz w:val="24"/>
          <w:szCs w:val="24"/>
        </w:rPr>
      </w:pPr>
      <w:r w:rsidRPr="0088190A">
        <w:rPr>
          <w:rFonts w:cstheme="minorHAnsi"/>
          <w:sz w:val="24"/>
          <w:szCs w:val="24"/>
        </w:rPr>
        <w:t>administrativní náročnost poskytování podpory</w:t>
      </w:r>
      <w:r w:rsidR="00127D10" w:rsidRPr="0088190A">
        <w:rPr>
          <w:rFonts w:cstheme="minorHAnsi"/>
          <w:sz w:val="24"/>
          <w:szCs w:val="24"/>
        </w:rPr>
        <w:t>.</w:t>
      </w:r>
      <w:r w:rsidRPr="0088190A">
        <w:rPr>
          <w:rFonts w:cstheme="minorHAnsi"/>
          <w:sz w:val="24"/>
          <w:szCs w:val="24"/>
        </w:rPr>
        <w:t xml:space="preserve"> </w:t>
      </w:r>
    </w:p>
    <w:p w14:paraId="4B80DEDC" w14:textId="751CF235" w:rsidR="00F470A1" w:rsidRDefault="008A46BA" w:rsidP="00C475A9">
      <w:pPr>
        <w:ind w:left="567" w:hanging="567"/>
        <w:jc w:val="both"/>
        <w:rPr>
          <w:rFonts w:cstheme="minorHAnsi"/>
          <w:sz w:val="20"/>
          <w:szCs w:val="20"/>
        </w:rPr>
      </w:pPr>
      <w:r w:rsidRPr="0088190A">
        <w:rPr>
          <w:rFonts w:cstheme="minorHAnsi"/>
          <w:b/>
          <w:sz w:val="20"/>
          <w:szCs w:val="20"/>
        </w:rPr>
        <w:t>Pozn.:</w:t>
      </w:r>
      <w:r w:rsidRPr="0088190A">
        <w:rPr>
          <w:rFonts w:cstheme="minorHAnsi"/>
          <w:sz w:val="20"/>
          <w:szCs w:val="20"/>
        </w:rPr>
        <w:t xml:space="preserve"> </w:t>
      </w:r>
      <w:r w:rsidRPr="0088190A">
        <w:rPr>
          <w:rFonts w:cstheme="minorHAnsi"/>
          <w:sz w:val="20"/>
          <w:szCs w:val="20"/>
        </w:rPr>
        <w:tab/>
        <w:t>Právní předpisy uvedené v tomto kontrolním závěru jsou aplikovány ve znění účinném</w:t>
      </w:r>
      <w:r w:rsidR="0013531E" w:rsidRPr="0088190A">
        <w:rPr>
          <w:rFonts w:cstheme="minorHAnsi"/>
          <w:sz w:val="20"/>
          <w:szCs w:val="20"/>
        </w:rPr>
        <w:t xml:space="preserve"> </w:t>
      </w:r>
      <w:r w:rsidRPr="0088190A">
        <w:rPr>
          <w:rFonts w:cstheme="minorHAnsi"/>
          <w:sz w:val="20"/>
          <w:szCs w:val="20"/>
        </w:rPr>
        <w:t>pro kontrolované období.</w:t>
      </w:r>
    </w:p>
    <w:p w14:paraId="29F277D6" w14:textId="77777777" w:rsidR="00F470A1" w:rsidRPr="0088190A" w:rsidRDefault="00F470A1" w:rsidP="001B3FE1">
      <w:pPr>
        <w:keepNext/>
        <w:spacing w:before="840" w:after="240"/>
        <w:ind w:left="357"/>
        <w:jc w:val="center"/>
        <w:outlineLvl w:val="0"/>
        <w:rPr>
          <w:rFonts w:cstheme="minorHAnsi"/>
          <w:b/>
          <w:sz w:val="28"/>
        </w:rPr>
      </w:pPr>
      <w:r w:rsidRPr="0088190A">
        <w:rPr>
          <w:rFonts w:cstheme="minorHAnsi"/>
          <w:b/>
          <w:sz w:val="28"/>
        </w:rPr>
        <w:t>IV. Podrobné skutečnosti zjištěné kontrolou</w:t>
      </w:r>
    </w:p>
    <w:p w14:paraId="5F62F5DE" w14:textId="24F096FD" w:rsidR="00B63084" w:rsidRPr="00EB7BEB" w:rsidRDefault="008D2FED" w:rsidP="008D3501">
      <w:pPr>
        <w:pStyle w:val="Odstavecseseznamem"/>
        <w:keepNext/>
        <w:numPr>
          <w:ilvl w:val="0"/>
          <w:numId w:val="2"/>
        </w:numPr>
        <w:spacing w:before="240" w:after="240" w:line="240" w:lineRule="auto"/>
        <w:ind w:left="284" w:hanging="284"/>
        <w:contextualSpacing w:val="0"/>
        <w:jc w:val="both"/>
        <w:rPr>
          <w:rFonts w:cstheme="minorHAnsi"/>
          <w:b/>
          <w:strike/>
          <w:sz w:val="24"/>
          <w:szCs w:val="24"/>
        </w:rPr>
      </w:pPr>
      <w:r>
        <w:rPr>
          <w:rFonts w:cstheme="minorHAnsi"/>
          <w:b/>
          <w:sz w:val="24"/>
          <w:szCs w:val="24"/>
        </w:rPr>
        <w:t>Podpora zaměřená na aktuální potřeby společnosti je nedostatečná</w:t>
      </w:r>
    </w:p>
    <w:p w14:paraId="117957AC" w14:textId="3CDD3BFB" w:rsidR="008D2FED" w:rsidRPr="00940F02" w:rsidRDefault="00A602D6" w:rsidP="00B63084">
      <w:pPr>
        <w:spacing w:before="120" w:after="0" w:line="240" w:lineRule="auto"/>
        <w:jc w:val="both"/>
        <w:rPr>
          <w:rFonts w:cstheme="minorHAnsi"/>
          <w:sz w:val="24"/>
          <w:szCs w:val="24"/>
        </w:rPr>
      </w:pPr>
      <w:r>
        <w:rPr>
          <w:rFonts w:cstheme="minorHAnsi"/>
          <w:sz w:val="24"/>
          <w:lang w:eastAsia="cs-CZ"/>
        </w:rPr>
        <w:t xml:space="preserve">4.1 </w:t>
      </w:r>
      <w:r w:rsidR="00B63084" w:rsidRPr="0088190A">
        <w:rPr>
          <w:rFonts w:cstheme="minorHAnsi"/>
          <w:sz w:val="24"/>
          <w:szCs w:val="24"/>
        </w:rPr>
        <w:t>Orientovaný základní</w:t>
      </w:r>
      <w:r w:rsidR="00245FDF">
        <w:rPr>
          <w:rFonts w:cstheme="minorHAnsi"/>
          <w:sz w:val="24"/>
          <w:szCs w:val="24"/>
        </w:rPr>
        <w:t xml:space="preserve"> výzkum má za cíl podpořit oblasti s vyšším předpokladem návaznosti a využití výsledků v následných fázích inovačního procesu a může řešit zásadní současné a</w:t>
      </w:r>
      <w:r w:rsidR="00791738">
        <w:rPr>
          <w:rFonts w:cstheme="minorHAnsi"/>
          <w:sz w:val="24"/>
          <w:szCs w:val="24"/>
        </w:rPr>
        <w:t> </w:t>
      </w:r>
      <w:r w:rsidR="00245FDF">
        <w:rPr>
          <w:rFonts w:cstheme="minorHAnsi"/>
          <w:sz w:val="24"/>
          <w:szCs w:val="24"/>
        </w:rPr>
        <w:t>předvídatelné budoucí problémy a výzvy ČR</w:t>
      </w:r>
      <w:r w:rsidR="00B63084" w:rsidRPr="0088190A">
        <w:rPr>
          <w:rFonts w:cstheme="minorHAnsi"/>
          <w:sz w:val="24"/>
          <w:szCs w:val="24"/>
        </w:rPr>
        <w:t xml:space="preserve">. </w:t>
      </w:r>
    </w:p>
    <w:p w14:paraId="15F86145" w14:textId="5EB37AB0" w:rsidR="00B63084" w:rsidRPr="004E2AE2" w:rsidRDefault="00A602D6" w:rsidP="005B5EB7">
      <w:pPr>
        <w:spacing w:before="120" w:after="0" w:line="240" w:lineRule="auto"/>
        <w:jc w:val="both"/>
        <w:rPr>
          <w:rFonts w:eastAsia="Times New Roman" w:cstheme="minorHAnsi"/>
          <w:sz w:val="24"/>
          <w:szCs w:val="24"/>
        </w:rPr>
      </w:pPr>
      <w:r>
        <w:rPr>
          <w:rFonts w:eastAsia="Times New Roman" w:cstheme="minorHAnsi"/>
          <w:sz w:val="24"/>
          <w:szCs w:val="24"/>
        </w:rPr>
        <w:t xml:space="preserve">4.2 </w:t>
      </w:r>
      <w:r w:rsidR="00B63084" w:rsidRPr="0088190A">
        <w:rPr>
          <w:rFonts w:eastAsia="Times New Roman" w:cstheme="minorHAnsi"/>
          <w:sz w:val="24"/>
          <w:szCs w:val="24"/>
        </w:rPr>
        <w:t xml:space="preserve">GA ČR potřebu </w:t>
      </w:r>
      <w:r w:rsidR="00A51C95">
        <w:rPr>
          <w:rFonts w:eastAsia="Times New Roman" w:cstheme="minorHAnsi"/>
          <w:sz w:val="24"/>
          <w:szCs w:val="24"/>
        </w:rPr>
        <w:t xml:space="preserve">cílené </w:t>
      </w:r>
      <w:r w:rsidR="00B63084" w:rsidRPr="0088190A">
        <w:rPr>
          <w:rFonts w:eastAsia="Times New Roman" w:cstheme="minorHAnsi"/>
          <w:sz w:val="24"/>
          <w:szCs w:val="24"/>
        </w:rPr>
        <w:t>orientace základního výzkumu uvedla ve své</w:t>
      </w:r>
      <w:r w:rsidR="00B63084" w:rsidRPr="0088190A">
        <w:rPr>
          <w:rFonts w:eastAsia="Times New Roman" w:cstheme="minorHAnsi"/>
          <w:i/>
          <w:sz w:val="24"/>
          <w:szCs w:val="24"/>
        </w:rPr>
        <w:t xml:space="preserve"> Koncepci činnosti Grantové agentury </w:t>
      </w:r>
      <w:r w:rsidR="00BF3BD9">
        <w:rPr>
          <w:rFonts w:eastAsia="Times New Roman" w:cstheme="minorHAnsi"/>
          <w:i/>
          <w:sz w:val="24"/>
          <w:szCs w:val="24"/>
        </w:rPr>
        <w:t xml:space="preserve">České republiky </w:t>
      </w:r>
      <w:r w:rsidR="00B63084" w:rsidRPr="0088190A">
        <w:rPr>
          <w:rFonts w:eastAsia="Times New Roman" w:cstheme="minorHAnsi"/>
          <w:i/>
          <w:sz w:val="24"/>
          <w:szCs w:val="24"/>
        </w:rPr>
        <w:t>2021+</w:t>
      </w:r>
      <w:r w:rsidR="00B63084" w:rsidRPr="0088190A">
        <w:rPr>
          <w:rFonts w:eastAsia="Times New Roman" w:cstheme="minorHAnsi"/>
          <w:sz w:val="24"/>
          <w:szCs w:val="24"/>
        </w:rPr>
        <w:t xml:space="preserve"> a připravila návrh nové skupiny projektů, kter</w:t>
      </w:r>
      <w:r w:rsidR="00BF3BD9">
        <w:rPr>
          <w:rFonts w:eastAsia="Times New Roman" w:cstheme="minorHAnsi"/>
          <w:sz w:val="24"/>
          <w:szCs w:val="24"/>
        </w:rPr>
        <w:t>é</w:t>
      </w:r>
      <w:r w:rsidR="00B63084" w:rsidRPr="0088190A">
        <w:rPr>
          <w:rFonts w:eastAsia="Times New Roman" w:cstheme="minorHAnsi"/>
          <w:sz w:val="24"/>
          <w:szCs w:val="24"/>
        </w:rPr>
        <w:t xml:space="preserve"> měl</w:t>
      </w:r>
      <w:r w:rsidR="00BF3BD9">
        <w:rPr>
          <w:rFonts w:eastAsia="Times New Roman" w:cstheme="minorHAnsi"/>
          <w:sz w:val="24"/>
          <w:szCs w:val="24"/>
        </w:rPr>
        <w:t>y</w:t>
      </w:r>
      <w:r w:rsidR="00B63084" w:rsidRPr="0088190A">
        <w:rPr>
          <w:rFonts w:eastAsia="Times New Roman" w:cstheme="minorHAnsi"/>
          <w:sz w:val="24"/>
          <w:szCs w:val="24"/>
        </w:rPr>
        <w:t xml:space="preserve"> umožnit řešení konkrétních významných celospolečenských a hospodářských problémů (dlouhodobých i</w:t>
      </w:r>
      <w:r w:rsidR="00791738">
        <w:rPr>
          <w:rFonts w:eastAsia="Times New Roman" w:cstheme="minorHAnsi"/>
          <w:sz w:val="24"/>
          <w:szCs w:val="24"/>
        </w:rPr>
        <w:t> </w:t>
      </w:r>
      <w:r w:rsidR="00B63084" w:rsidRPr="0088190A">
        <w:rPr>
          <w:rFonts w:eastAsia="Times New Roman" w:cstheme="minorHAnsi"/>
          <w:sz w:val="24"/>
          <w:szCs w:val="24"/>
        </w:rPr>
        <w:t xml:space="preserve">urgentních). Vláda ČR schválila novou skupinu projektů </w:t>
      </w:r>
      <w:r w:rsidR="00E36663">
        <w:rPr>
          <w:rFonts w:eastAsia="Times New Roman" w:cstheme="minorHAnsi"/>
          <w:sz w:val="24"/>
          <w:szCs w:val="24"/>
        </w:rPr>
        <w:t>pojmenovanou</w:t>
      </w:r>
      <w:r w:rsidR="00B63084" w:rsidRPr="0088190A">
        <w:rPr>
          <w:rFonts w:eastAsia="Times New Roman" w:cstheme="minorHAnsi"/>
          <w:sz w:val="24"/>
          <w:szCs w:val="24"/>
        </w:rPr>
        <w:t xml:space="preserve"> </w:t>
      </w:r>
      <w:r w:rsidR="00FB133E">
        <w:rPr>
          <w:rFonts w:eastAsia="Times New Roman" w:cstheme="minorHAnsi"/>
          <w:sz w:val="24"/>
          <w:szCs w:val="24"/>
        </w:rPr>
        <w:t>„</w:t>
      </w:r>
      <w:r w:rsidR="00E36663">
        <w:rPr>
          <w:rFonts w:eastAsia="Times New Roman" w:cstheme="minorHAnsi"/>
          <w:b/>
          <w:sz w:val="24"/>
          <w:szCs w:val="24"/>
        </w:rPr>
        <w:t>o</w:t>
      </w:r>
      <w:r w:rsidR="00B63084" w:rsidRPr="0088190A">
        <w:rPr>
          <w:rFonts w:eastAsia="Times New Roman" w:cstheme="minorHAnsi"/>
          <w:b/>
          <w:sz w:val="24"/>
          <w:szCs w:val="24"/>
        </w:rPr>
        <w:t>rientovaný základní výzkum</w:t>
      </w:r>
      <w:r w:rsidR="00FB133E">
        <w:rPr>
          <w:rFonts w:eastAsia="Times New Roman" w:cstheme="minorHAnsi"/>
          <w:b/>
          <w:sz w:val="24"/>
          <w:szCs w:val="24"/>
        </w:rPr>
        <w:t>“</w:t>
      </w:r>
      <w:r w:rsidR="00B63084" w:rsidRPr="0088190A">
        <w:rPr>
          <w:rFonts w:eastAsia="Times New Roman" w:cstheme="minorHAnsi"/>
          <w:sz w:val="24"/>
          <w:szCs w:val="24"/>
        </w:rPr>
        <w:t xml:space="preserve"> dne 15. 11. 2021</w:t>
      </w:r>
      <w:r w:rsidR="00527B3E">
        <w:rPr>
          <w:rStyle w:val="Znakapoznpodarou"/>
          <w:rFonts w:eastAsia="Times New Roman" w:cstheme="minorHAnsi"/>
          <w:sz w:val="24"/>
          <w:szCs w:val="24"/>
        </w:rPr>
        <w:footnoteReference w:id="11"/>
      </w:r>
      <w:r w:rsidR="005B5EB7">
        <w:rPr>
          <w:rFonts w:eastAsia="Times New Roman" w:cstheme="minorHAnsi"/>
          <w:sz w:val="24"/>
          <w:szCs w:val="24"/>
        </w:rPr>
        <w:t>.</w:t>
      </w:r>
      <w:r w:rsidR="00B63084" w:rsidRPr="0088190A">
        <w:rPr>
          <w:rFonts w:eastAsia="Times New Roman" w:cstheme="minorHAnsi"/>
          <w:sz w:val="24"/>
          <w:szCs w:val="24"/>
        </w:rPr>
        <w:t xml:space="preserve"> </w:t>
      </w:r>
      <w:r w:rsidR="005B5EB7">
        <w:rPr>
          <w:rFonts w:eastAsia="Times New Roman" w:cstheme="minorHAnsi"/>
          <w:sz w:val="24"/>
          <w:szCs w:val="24"/>
        </w:rPr>
        <w:t>Na</w:t>
      </w:r>
      <w:r w:rsidR="005B5EB7" w:rsidRPr="005B5EB7">
        <w:rPr>
          <w:rFonts w:eastAsia="Times New Roman" w:cstheme="minorHAnsi"/>
          <w:sz w:val="24"/>
          <w:szCs w:val="24"/>
        </w:rPr>
        <w:t xml:space="preserve"> t</w:t>
      </w:r>
      <w:r w:rsidR="005B5EB7">
        <w:rPr>
          <w:rFonts w:eastAsia="Times New Roman" w:cstheme="minorHAnsi"/>
          <w:sz w:val="24"/>
          <w:szCs w:val="24"/>
        </w:rPr>
        <w:t>u</w:t>
      </w:r>
      <w:r w:rsidR="005B5EB7" w:rsidRPr="005B5EB7">
        <w:rPr>
          <w:rFonts w:eastAsia="Times New Roman" w:cstheme="minorHAnsi"/>
          <w:sz w:val="24"/>
          <w:szCs w:val="24"/>
        </w:rPr>
        <w:t>to skupin</w:t>
      </w:r>
      <w:r w:rsidR="005B5EB7">
        <w:rPr>
          <w:rFonts w:eastAsia="Times New Roman" w:cstheme="minorHAnsi"/>
          <w:sz w:val="24"/>
          <w:szCs w:val="24"/>
        </w:rPr>
        <w:t>u</w:t>
      </w:r>
      <w:r w:rsidR="005B5EB7" w:rsidRPr="005B5EB7">
        <w:rPr>
          <w:rFonts w:eastAsia="Times New Roman" w:cstheme="minorHAnsi"/>
          <w:sz w:val="24"/>
          <w:szCs w:val="24"/>
        </w:rPr>
        <w:t xml:space="preserve"> projektů doposud nebyly alokovány finanční prostředky ze státního rozpočtu a daná situace </w:t>
      </w:r>
      <w:r w:rsidR="00D81E9A">
        <w:rPr>
          <w:rFonts w:eastAsia="Times New Roman" w:cstheme="minorHAnsi"/>
          <w:sz w:val="24"/>
          <w:szCs w:val="24"/>
        </w:rPr>
        <w:t>se bude</w:t>
      </w:r>
      <w:r w:rsidR="005B5EB7" w:rsidRPr="005B5EB7">
        <w:rPr>
          <w:rFonts w:eastAsia="Times New Roman" w:cstheme="minorHAnsi"/>
          <w:sz w:val="24"/>
          <w:szCs w:val="24"/>
        </w:rPr>
        <w:t xml:space="preserve"> řešit v rámci rozpočtového opatření.</w:t>
      </w:r>
      <w:r w:rsidR="00B63084" w:rsidRPr="0088190A">
        <w:rPr>
          <w:rFonts w:eastAsia="Times New Roman" w:cstheme="minorHAnsi"/>
          <w:sz w:val="24"/>
          <w:szCs w:val="24"/>
        </w:rPr>
        <w:t xml:space="preserve"> Dle schválené dokumentace k této nové skupině projektů předpokládá GA ČR vypsání veřejné soutěže pouze v případě urgentní potřeby, kdy bude nutné okamžitě a pružně reagovat na</w:t>
      </w:r>
      <w:r w:rsidR="00E36663">
        <w:rPr>
          <w:rFonts w:eastAsia="Times New Roman" w:cstheme="minorHAnsi"/>
          <w:sz w:val="24"/>
          <w:szCs w:val="24"/>
        </w:rPr>
        <w:t xml:space="preserve"> </w:t>
      </w:r>
      <w:r w:rsidR="00B63084" w:rsidRPr="0088190A">
        <w:rPr>
          <w:rFonts w:eastAsia="Times New Roman" w:cstheme="minorHAnsi"/>
          <w:sz w:val="24"/>
          <w:szCs w:val="24"/>
        </w:rPr>
        <w:t xml:space="preserve">určitý společenský, hospodářský nebo environmentální problém. Konkrétní urgentní téma určuje předsednictvo a vědecká rada GA ČR, dále je nutné zapojení </w:t>
      </w:r>
      <w:r w:rsidR="00B63084" w:rsidRPr="004E2AE2">
        <w:rPr>
          <w:rFonts w:eastAsia="Times New Roman" w:cstheme="minorHAnsi"/>
          <w:sz w:val="24"/>
          <w:szCs w:val="24"/>
        </w:rPr>
        <w:t xml:space="preserve">i </w:t>
      </w:r>
      <w:r w:rsidR="001C0464" w:rsidRPr="004E2AE2">
        <w:rPr>
          <w:rFonts w:eastAsia="Times New Roman" w:cstheme="minorHAnsi"/>
          <w:sz w:val="24"/>
          <w:szCs w:val="24"/>
        </w:rPr>
        <w:t>Rady pro výzkum, vývoj a inovace (dále také „</w:t>
      </w:r>
      <w:r w:rsidR="00B63084" w:rsidRPr="004E2AE2">
        <w:rPr>
          <w:rFonts w:eastAsia="Times New Roman" w:cstheme="minorHAnsi"/>
          <w:sz w:val="24"/>
          <w:szCs w:val="24"/>
        </w:rPr>
        <w:t>RVVI</w:t>
      </w:r>
      <w:r w:rsidR="001C0464" w:rsidRPr="004E2AE2">
        <w:rPr>
          <w:rFonts w:eastAsia="Times New Roman" w:cstheme="minorHAnsi"/>
          <w:sz w:val="24"/>
          <w:szCs w:val="24"/>
        </w:rPr>
        <w:t>“)</w:t>
      </w:r>
      <w:r w:rsidR="00B63084" w:rsidRPr="004E2AE2">
        <w:rPr>
          <w:rFonts w:eastAsia="Times New Roman" w:cstheme="minorHAnsi"/>
          <w:sz w:val="24"/>
          <w:szCs w:val="24"/>
        </w:rPr>
        <w:t xml:space="preserve"> a Ministerstva financí České republiky. </w:t>
      </w:r>
    </w:p>
    <w:p w14:paraId="4BC0484A" w14:textId="1DFBF7F4" w:rsidR="00B672B9" w:rsidRPr="00796759" w:rsidRDefault="00A602D6" w:rsidP="00B672B9">
      <w:pPr>
        <w:spacing w:before="120" w:after="120" w:line="240" w:lineRule="auto"/>
        <w:jc w:val="both"/>
        <w:rPr>
          <w:rFonts w:cstheme="minorHAnsi"/>
          <w:b/>
          <w:sz w:val="24"/>
          <w:szCs w:val="24"/>
        </w:rPr>
      </w:pPr>
      <w:r w:rsidRPr="00796759">
        <w:rPr>
          <w:rFonts w:eastAsia="Times New Roman" w:cstheme="minorHAnsi"/>
          <w:b/>
          <w:sz w:val="24"/>
          <w:szCs w:val="24"/>
        </w:rPr>
        <w:t xml:space="preserve">4.3 </w:t>
      </w:r>
      <w:r w:rsidR="00B63084" w:rsidRPr="00796759">
        <w:rPr>
          <w:rFonts w:eastAsia="Times New Roman" w:cstheme="minorHAnsi"/>
          <w:b/>
          <w:sz w:val="24"/>
          <w:szCs w:val="24"/>
        </w:rPr>
        <w:t xml:space="preserve">GA ČR od doby vzniku této nové skupiny projektů do ukončení kontroly NKÚ zatím žádnou veřejnou soutěž zaměřenou na </w:t>
      </w:r>
      <w:r w:rsidR="00E07648">
        <w:rPr>
          <w:rFonts w:eastAsia="Times New Roman" w:cstheme="minorHAnsi"/>
          <w:b/>
          <w:sz w:val="24"/>
          <w:szCs w:val="24"/>
        </w:rPr>
        <w:t xml:space="preserve">cílený </w:t>
      </w:r>
      <w:r w:rsidR="00B63084" w:rsidRPr="00796759">
        <w:rPr>
          <w:rFonts w:eastAsia="Times New Roman" w:cstheme="minorHAnsi"/>
          <w:b/>
          <w:sz w:val="24"/>
          <w:szCs w:val="24"/>
        </w:rPr>
        <w:t xml:space="preserve">orientovaný základní výzkum nevyhlásila. Není ani zřejmé, kdy a na základě jakého podnětu GA ČR ve spolupráci s výše uvedenými institucemi rozhodne o urgentnosti případného tématu. Tento způsob nastavení nové skupiny projektů nevyřeší dlouhodobou potřebu </w:t>
      </w:r>
      <w:r w:rsidR="00E07648">
        <w:rPr>
          <w:rFonts w:eastAsia="Times New Roman" w:cstheme="minorHAnsi"/>
          <w:b/>
          <w:sz w:val="24"/>
          <w:szCs w:val="24"/>
        </w:rPr>
        <w:t xml:space="preserve">cílené </w:t>
      </w:r>
      <w:r w:rsidR="00D97FA1" w:rsidRPr="00796759">
        <w:rPr>
          <w:rFonts w:eastAsia="Times New Roman" w:cstheme="minorHAnsi"/>
          <w:b/>
          <w:sz w:val="24"/>
          <w:szCs w:val="24"/>
        </w:rPr>
        <w:t xml:space="preserve">orientace </w:t>
      </w:r>
      <w:r w:rsidR="00B63084" w:rsidRPr="00796759">
        <w:rPr>
          <w:rFonts w:eastAsia="Times New Roman" w:cstheme="minorHAnsi"/>
          <w:b/>
          <w:sz w:val="24"/>
          <w:szCs w:val="24"/>
        </w:rPr>
        <w:t>základního výzkumu.</w:t>
      </w:r>
      <w:r w:rsidRPr="00796759">
        <w:rPr>
          <w:rFonts w:eastAsia="Times New Roman" w:cstheme="minorHAnsi"/>
          <w:b/>
          <w:sz w:val="24"/>
          <w:szCs w:val="24"/>
        </w:rPr>
        <w:t xml:space="preserve"> </w:t>
      </w:r>
      <w:r w:rsidR="00B63084" w:rsidRPr="00796759">
        <w:rPr>
          <w:rFonts w:cstheme="minorHAnsi"/>
          <w:b/>
          <w:sz w:val="24"/>
          <w:szCs w:val="24"/>
        </w:rPr>
        <w:t>Doplnění podpory orientovaného základního výzkumu by přitom mohlo</w:t>
      </w:r>
      <w:r w:rsidR="00E36663">
        <w:rPr>
          <w:rFonts w:cstheme="minorHAnsi"/>
          <w:b/>
          <w:sz w:val="24"/>
          <w:szCs w:val="24"/>
        </w:rPr>
        <w:t xml:space="preserve"> </w:t>
      </w:r>
      <w:r w:rsidR="00B63084" w:rsidRPr="00796759">
        <w:rPr>
          <w:rFonts w:cstheme="minorHAnsi"/>
          <w:b/>
          <w:sz w:val="24"/>
          <w:szCs w:val="24"/>
        </w:rPr>
        <w:t xml:space="preserve">přinést </w:t>
      </w:r>
      <w:r w:rsidR="00AB41E1" w:rsidRPr="00796759">
        <w:rPr>
          <w:rFonts w:cstheme="minorHAnsi"/>
          <w:b/>
          <w:sz w:val="24"/>
          <w:szCs w:val="24"/>
        </w:rPr>
        <w:t>ČR</w:t>
      </w:r>
      <w:r w:rsidR="00B63084" w:rsidRPr="00796759">
        <w:rPr>
          <w:rFonts w:cstheme="minorHAnsi"/>
          <w:b/>
          <w:sz w:val="24"/>
          <w:szCs w:val="24"/>
        </w:rPr>
        <w:t xml:space="preserve"> větší společenské a</w:t>
      </w:r>
      <w:r w:rsidR="00791738">
        <w:rPr>
          <w:rFonts w:cstheme="minorHAnsi"/>
          <w:b/>
          <w:sz w:val="24"/>
          <w:szCs w:val="24"/>
        </w:rPr>
        <w:t> </w:t>
      </w:r>
      <w:r w:rsidR="00B63084" w:rsidRPr="00796759">
        <w:rPr>
          <w:rFonts w:cstheme="minorHAnsi"/>
          <w:b/>
          <w:sz w:val="24"/>
          <w:szCs w:val="24"/>
        </w:rPr>
        <w:t>ekonomické přínosy.</w:t>
      </w:r>
      <w:r w:rsidR="006E1348">
        <w:rPr>
          <w:rFonts w:cstheme="minorHAnsi"/>
          <w:b/>
          <w:sz w:val="24"/>
          <w:szCs w:val="24"/>
        </w:rPr>
        <w:t xml:space="preserve"> </w:t>
      </w:r>
    </w:p>
    <w:p w14:paraId="14509CEC" w14:textId="77777777" w:rsidR="00EE43E4" w:rsidRPr="004E2AE2" w:rsidRDefault="00EE43E4" w:rsidP="008D3501">
      <w:pPr>
        <w:pStyle w:val="Odstavecseseznamem"/>
        <w:keepNext/>
        <w:numPr>
          <w:ilvl w:val="0"/>
          <w:numId w:val="2"/>
        </w:numPr>
        <w:spacing w:before="240" w:after="240" w:line="240" w:lineRule="auto"/>
        <w:ind w:left="284" w:hanging="284"/>
        <w:contextualSpacing w:val="0"/>
        <w:jc w:val="both"/>
        <w:rPr>
          <w:rFonts w:cstheme="minorHAnsi"/>
          <w:b/>
          <w:sz w:val="24"/>
          <w:szCs w:val="24"/>
        </w:rPr>
      </w:pPr>
      <w:bookmarkStart w:id="4" w:name="_Hlk192578616"/>
      <w:r>
        <w:rPr>
          <w:rFonts w:cstheme="minorHAnsi"/>
          <w:b/>
          <w:sz w:val="24"/>
          <w:szCs w:val="24"/>
        </w:rPr>
        <w:t>Snižující se zapojení soukromého sektoru</w:t>
      </w:r>
    </w:p>
    <w:p w14:paraId="73A0C753" w14:textId="4038F23F" w:rsidR="00EE43E4" w:rsidRPr="0088190A" w:rsidRDefault="008760F3" w:rsidP="00EE43E4">
      <w:pPr>
        <w:spacing w:after="120" w:line="240" w:lineRule="auto"/>
        <w:jc w:val="both"/>
        <w:rPr>
          <w:rFonts w:eastAsia="Times New Roman" w:cstheme="minorHAnsi"/>
          <w:sz w:val="24"/>
          <w:szCs w:val="24"/>
        </w:rPr>
      </w:pPr>
      <w:r>
        <w:rPr>
          <w:rFonts w:eastAsia="Times New Roman" w:cstheme="minorHAnsi"/>
          <w:sz w:val="24"/>
          <w:szCs w:val="24"/>
        </w:rPr>
        <w:t xml:space="preserve">4.4 </w:t>
      </w:r>
      <w:r w:rsidR="00EE43E4" w:rsidRPr="006225B4">
        <w:rPr>
          <w:rFonts w:eastAsia="Times New Roman" w:cstheme="minorHAnsi"/>
          <w:sz w:val="24"/>
          <w:szCs w:val="24"/>
        </w:rPr>
        <w:t>TA ČR v kontrolovaném období poskytovala účelovou podporu ve 14 programech. Ve</w:t>
      </w:r>
      <w:r w:rsidR="00EE43E4">
        <w:rPr>
          <w:rFonts w:eastAsia="Times New Roman" w:cstheme="minorHAnsi"/>
          <w:sz w:val="24"/>
          <w:szCs w:val="24"/>
        </w:rPr>
        <w:t> </w:t>
      </w:r>
      <w:r w:rsidR="00EE43E4" w:rsidRPr="006225B4">
        <w:rPr>
          <w:rFonts w:eastAsia="Times New Roman" w:cstheme="minorHAnsi"/>
          <w:sz w:val="24"/>
          <w:szCs w:val="24"/>
        </w:rPr>
        <w:t>13</w:t>
      </w:r>
      <w:r w:rsidR="00EE43E4" w:rsidRPr="006225B4">
        <w:rPr>
          <w:rStyle w:val="Znakapoznpodarou"/>
          <w:rFonts w:eastAsia="Times New Roman" w:cstheme="minorHAnsi"/>
          <w:sz w:val="24"/>
          <w:szCs w:val="24"/>
        </w:rPr>
        <w:footnoteReference w:id="12"/>
      </w:r>
      <w:r w:rsidR="00E36663">
        <w:rPr>
          <w:rFonts w:eastAsia="Times New Roman" w:cstheme="minorHAnsi"/>
          <w:sz w:val="24"/>
          <w:szCs w:val="24"/>
        </w:rPr>
        <w:t xml:space="preserve"> </w:t>
      </w:r>
      <w:r w:rsidR="00EE43E4" w:rsidRPr="006225B4">
        <w:rPr>
          <w:rFonts w:eastAsia="Times New Roman" w:cstheme="minorHAnsi"/>
          <w:sz w:val="24"/>
          <w:szCs w:val="24"/>
        </w:rPr>
        <w:t>z</w:t>
      </w:r>
      <w:r w:rsidR="00AA0524">
        <w:rPr>
          <w:rFonts w:eastAsia="Times New Roman" w:cstheme="minorHAnsi"/>
          <w:sz w:val="24"/>
          <w:szCs w:val="24"/>
        </w:rPr>
        <w:t>e</w:t>
      </w:r>
      <w:r w:rsidR="00EE43E4" w:rsidRPr="006225B4">
        <w:rPr>
          <w:rFonts w:eastAsia="Times New Roman" w:cstheme="minorHAnsi"/>
          <w:sz w:val="24"/>
          <w:szCs w:val="24"/>
        </w:rPr>
        <w:t xml:space="preserve"> 14 podporovaných programů byl příjemcem podpory soukromý sektor. </w:t>
      </w:r>
      <w:r w:rsidR="00EE43E4" w:rsidRPr="0088190A">
        <w:rPr>
          <w:rFonts w:eastAsia="Times New Roman" w:cstheme="minorHAnsi"/>
          <w:sz w:val="24"/>
          <w:szCs w:val="24"/>
        </w:rPr>
        <w:t xml:space="preserve">Intenzita podpory </w:t>
      </w:r>
      <w:r w:rsidR="002C306E">
        <w:rPr>
          <w:rFonts w:eastAsia="Times New Roman" w:cstheme="minorHAnsi"/>
          <w:sz w:val="24"/>
          <w:szCs w:val="24"/>
        </w:rPr>
        <w:lastRenderedPageBreak/>
        <w:t xml:space="preserve">od TA ČR </w:t>
      </w:r>
      <w:r w:rsidR="00EE43E4" w:rsidRPr="0088190A">
        <w:rPr>
          <w:rFonts w:eastAsia="Times New Roman" w:cstheme="minorHAnsi"/>
          <w:sz w:val="24"/>
          <w:szCs w:val="24"/>
        </w:rPr>
        <w:t>se pohybovala v rozmezí 15 až 80 % celkových nákladů projektu</w:t>
      </w:r>
      <w:r w:rsidR="001E6997">
        <w:rPr>
          <w:rFonts w:eastAsia="Times New Roman" w:cstheme="minorHAnsi"/>
          <w:sz w:val="24"/>
          <w:szCs w:val="24"/>
        </w:rPr>
        <w:t>.</w:t>
      </w:r>
      <w:r w:rsidR="00EE43E4" w:rsidRPr="0088190A">
        <w:rPr>
          <w:rFonts w:eastAsia="Times New Roman" w:cstheme="minorHAnsi"/>
          <w:sz w:val="24"/>
          <w:szCs w:val="24"/>
        </w:rPr>
        <w:t xml:space="preserve"> Konkrétní výše podpory se odvíjela od</w:t>
      </w:r>
      <w:r w:rsidR="00E36663">
        <w:rPr>
          <w:rFonts w:eastAsia="Times New Roman" w:cstheme="minorHAnsi"/>
          <w:sz w:val="24"/>
          <w:szCs w:val="24"/>
        </w:rPr>
        <w:t xml:space="preserve"> </w:t>
      </w:r>
      <w:r w:rsidR="00EE43E4" w:rsidRPr="0088190A">
        <w:rPr>
          <w:rFonts w:eastAsia="Times New Roman" w:cstheme="minorHAnsi"/>
          <w:sz w:val="24"/>
          <w:szCs w:val="24"/>
        </w:rPr>
        <w:t>velikosti podniku a</w:t>
      </w:r>
      <w:r w:rsidR="00EE43E4">
        <w:rPr>
          <w:rFonts w:eastAsia="Times New Roman" w:cstheme="minorHAnsi"/>
          <w:sz w:val="24"/>
          <w:szCs w:val="24"/>
        </w:rPr>
        <w:t> </w:t>
      </w:r>
      <w:r w:rsidR="00EE43E4" w:rsidRPr="0088190A">
        <w:rPr>
          <w:rFonts w:eastAsia="Times New Roman" w:cstheme="minorHAnsi"/>
          <w:sz w:val="24"/>
          <w:szCs w:val="24"/>
        </w:rPr>
        <w:t>typu výzkumu či vývoje. Při prokázání spolupráce s</w:t>
      </w:r>
      <w:r w:rsidR="002C306E">
        <w:rPr>
          <w:rFonts w:eastAsia="Times New Roman" w:cstheme="minorHAnsi"/>
          <w:sz w:val="24"/>
          <w:szCs w:val="24"/>
        </w:rPr>
        <w:t xml:space="preserve"> veřejnou</w:t>
      </w:r>
      <w:r w:rsidR="00EE43E4" w:rsidRPr="0088190A">
        <w:rPr>
          <w:rFonts w:eastAsia="Times New Roman" w:cstheme="minorHAnsi"/>
          <w:sz w:val="24"/>
          <w:szCs w:val="24"/>
        </w:rPr>
        <w:t xml:space="preserve"> výzkumnou organizací byla </w:t>
      </w:r>
      <w:r w:rsidR="002C306E">
        <w:rPr>
          <w:rFonts w:eastAsia="Times New Roman" w:cstheme="minorHAnsi"/>
          <w:sz w:val="24"/>
          <w:szCs w:val="24"/>
        </w:rPr>
        <w:t>poskytnutá</w:t>
      </w:r>
      <w:r w:rsidR="004F5011">
        <w:rPr>
          <w:rFonts w:eastAsia="Times New Roman" w:cstheme="minorHAnsi"/>
          <w:sz w:val="24"/>
          <w:szCs w:val="24"/>
        </w:rPr>
        <w:t xml:space="preserve"> </w:t>
      </w:r>
      <w:r w:rsidR="00EE43E4" w:rsidRPr="0088190A">
        <w:rPr>
          <w:rFonts w:eastAsia="Times New Roman" w:cstheme="minorHAnsi"/>
          <w:sz w:val="24"/>
          <w:szCs w:val="24"/>
        </w:rPr>
        <w:t>podpor</w:t>
      </w:r>
      <w:r w:rsidR="00F360F5">
        <w:rPr>
          <w:rFonts w:eastAsia="Times New Roman" w:cstheme="minorHAnsi"/>
          <w:sz w:val="24"/>
          <w:szCs w:val="24"/>
        </w:rPr>
        <w:t>a</w:t>
      </w:r>
      <w:r w:rsidR="00EE43E4" w:rsidRPr="0088190A">
        <w:rPr>
          <w:rFonts w:eastAsia="Times New Roman" w:cstheme="minorHAnsi"/>
          <w:sz w:val="24"/>
          <w:szCs w:val="24"/>
        </w:rPr>
        <w:t xml:space="preserve"> vyšší.</w:t>
      </w:r>
    </w:p>
    <w:p w14:paraId="7A0BB7D4" w14:textId="11A17E14" w:rsidR="00EE43E4" w:rsidRPr="0088190A" w:rsidRDefault="006A0A54" w:rsidP="00EE43E4">
      <w:pPr>
        <w:spacing w:after="120" w:line="240" w:lineRule="auto"/>
        <w:jc w:val="both"/>
        <w:rPr>
          <w:rFonts w:cstheme="minorHAnsi"/>
          <w:sz w:val="24"/>
          <w:szCs w:val="24"/>
        </w:rPr>
      </w:pPr>
      <w:r>
        <w:rPr>
          <w:rFonts w:cstheme="minorHAnsi"/>
          <w:sz w:val="24"/>
          <w:szCs w:val="24"/>
        </w:rPr>
        <w:t xml:space="preserve">4.5 </w:t>
      </w:r>
      <w:r w:rsidR="00EE43E4" w:rsidRPr="0088190A">
        <w:rPr>
          <w:rFonts w:cstheme="minorHAnsi"/>
          <w:sz w:val="24"/>
          <w:szCs w:val="24"/>
        </w:rPr>
        <w:t>Výzkumné organizace mohly získat podporu až do výše 100 % nákladů, avšak s ohledem na</w:t>
      </w:r>
      <w:r w:rsidR="00E36663">
        <w:rPr>
          <w:rFonts w:cstheme="minorHAnsi"/>
          <w:sz w:val="24"/>
          <w:szCs w:val="24"/>
        </w:rPr>
        <w:t xml:space="preserve"> </w:t>
      </w:r>
      <w:r w:rsidR="00EE43E4" w:rsidRPr="0088190A">
        <w:rPr>
          <w:rFonts w:cstheme="minorHAnsi"/>
          <w:sz w:val="24"/>
          <w:szCs w:val="24"/>
        </w:rPr>
        <w:t>omezení</w:t>
      </w:r>
      <w:r w:rsidR="00CC3791">
        <w:rPr>
          <w:rFonts w:cstheme="minorHAnsi"/>
          <w:sz w:val="24"/>
          <w:szCs w:val="24"/>
        </w:rPr>
        <w:t xml:space="preserve"> stanovené</w:t>
      </w:r>
      <w:r w:rsidR="00EE43E4" w:rsidRPr="0088190A">
        <w:rPr>
          <w:rFonts w:cstheme="minorHAnsi"/>
          <w:sz w:val="24"/>
          <w:szCs w:val="24"/>
        </w:rPr>
        <w:t xml:space="preserve"> pro jednotlivé veřejné soutěže. Většina programů TA ČR stanovila průměrnou očekávanou intenzitu podpory na 80 %. Podpora spolupráce mezi </w:t>
      </w:r>
      <w:r w:rsidR="002C306E">
        <w:rPr>
          <w:rFonts w:cstheme="minorHAnsi"/>
          <w:sz w:val="24"/>
          <w:szCs w:val="24"/>
        </w:rPr>
        <w:t>veřejným a</w:t>
      </w:r>
      <w:r w:rsidR="00C73865">
        <w:rPr>
          <w:rFonts w:cstheme="minorHAnsi"/>
          <w:sz w:val="24"/>
          <w:szCs w:val="24"/>
        </w:rPr>
        <w:t> </w:t>
      </w:r>
      <w:r w:rsidR="002C306E">
        <w:rPr>
          <w:rFonts w:cstheme="minorHAnsi"/>
          <w:sz w:val="24"/>
          <w:szCs w:val="24"/>
        </w:rPr>
        <w:t xml:space="preserve">soukromým sektorem </w:t>
      </w:r>
      <w:r w:rsidR="00EE43E4" w:rsidRPr="0088190A">
        <w:rPr>
          <w:rFonts w:cstheme="minorHAnsi"/>
          <w:sz w:val="24"/>
          <w:szCs w:val="24"/>
        </w:rPr>
        <w:t>byla častým cílem a očekávaným přínosem programů, a také jedním z hodnot</w:t>
      </w:r>
      <w:r w:rsidR="00C73865">
        <w:rPr>
          <w:rFonts w:cstheme="minorHAnsi"/>
          <w:sz w:val="24"/>
          <w:szCs w:val="24"/>
        </w:rPr>
        <w:t>i</w:t>
      </w:r>
      <w:r w:rsidR="00EE43E4" w:rsidRPr="0088190A">
        <w:rPr>
          <w:rFonts w:cstheme="minorHAnsi"/>
          <w:sz w:val="24"/>
          <w:szCs w:val="24"/>
        </w:rPr>
        <w:t>cích kritérií.</w:t>
      </w:r>
    </w:p>
    <w:p w14:paraId="2E9849CF" w14:textId="731AA7CC" w:rsidR="00EE43E4" w:rsidRPr="001E48C4" w:rsidRDefault="00EE43E4" w:rsidP="001B3FE1">
      <w:pPr>
        <w:keepNext/>
        <w:spacing w:before="120" w:after="40" w:line="240" w:lineRule="auto"/>
        <w:ind w:left="1418" w:hanging="1418"/>
        <w:jc w:val="both"/>
        <w:rPr>
          <w:rFonts w:eastAsia="Times New Roman" w:cstheme="minorHAnsi"/>
          <w:b/>
          <w:sz w:val="24"/>
          <w:szCs w:val="24"/>
        </w:rPr>
      </w:pPr>
      <w:r w:rsidRPr="001E48C4">
        <w:rPr>
          <w:rFonts w:eastAsia="Times New Roman" w:cstheme="minorHAnsi"/>
          <w:b/>
          <w:sz w:val="24"/>
          <w:szCs w:val="24"/>
        </w:rPr>
        <w:t xml:space="preserve">Tabulka č. </w:t>
      </w:r>
      <w:r w:rsidR="00494169">
        <w:rPr>
          <w:rFonts w:eastAsia="Times New Roman" w:cstheme="minorHAnsi"/>
          <w:b/>
          <w:sz w:val="24"/>
          <w:szCs w:val="24"/>
        </w:rPr>
        <w:t>3</w:t>
      </w:r>
      <w:r w:rsidRPr="001E48C4">
        <w:rPr>
          <w:rFonts w:eastAsia="Times New Roman" w:cstheme="minorHAnsi"/>
          <w:b/>
          <w:sz w:val="24"/>
          <w:szCs w:val="24"/>
        </w:rPr>
        <w:t>: Projekty ve spolupráci veřejného a soukromého sektoru podpořené TA ČR v letech 2017 až 2023</w:t>
      </w:r>
    </w:p>
    <w:tbl>
      <w:tblPr>
        <w:tblW w:w="5000" w:type="pct"/>
        <w:tblCellMar>
          <w:left w:w="70" w:type="dxa"/>
          <w:right w:w="70" w:type="dxa"/>
        </w:tblCellMar>
        <w:tblLook w:val="04A0" w:firstRow="1" w:lastRow="0" w:firstColumn="1" w:lastColumn="0" w:noHBand="0" w:noVBand="1"/>
      </w:tblPr>
      <w:tblGrid>
        <w:gridCol w:w="3107"/>
        <w:gridCol w:w="742"/>
        <w:gridCol w:w="742"/>
        <w:gridCol w:w="743"/>
        <w:gridCol w:w="743"/>
        <w:gridCol w:w="743"/>
        <w:gridCol w:w="743"/>
        <w:gridCol w:w="743"/>
        <w:gridCol w:w="756"/>
      </w:tblGrid>
      <w:tr w:rsidR="00EE43E4" w:rsidRPr="0088190A" w14:paraId="5FE7D738" w14:textId="77777777" w:rsidTr="0036780E">
        <w:trPr>
          <w:trHeight w:val="57"/>
        </w:trPr>
        <w:tc>
          <w:tcPr>
            <w:tcW w:w="1687"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2354658A" w14:textId="77777777" w:rsidR="00EE43E4" w:rsidRPr="0088190A" w:rsidRDefault="00EE43E4" w:rsidP="003D71C9">
            <w:pPr>
              <w:keepNext/>
              <w:spacing w:after="0" w:line="240" w:lineRule="auto"/>
              <w:jc w:val="center"/>
              <w:rPr>
                <w:rFonts w:eastAsia="Times New Roman" w:cstheme="minorHAnsi"/>
                <w:b/>
                <w:bCs/>
                <w:color w:val="000000"/>
                <w:sz w:val="20"/>
                <w:szCs w:val="20"/>
                <w:lang w:eastAsia="cs-CZ"/>
              </w:rPr>
            </w:pPr>
            <w:r w:rsidRPr="0088190A">
              <w:rPr>
                <w:rFonts w:eastAsia="Times New Roman" w:cstheme="minorHAnsi"/>
                <w:b/>
                <w:bCs/>
                <w:color w:val="000000"/>
                <w:sz w:val="20"/>
                <w:szCs w:val="20"/>
              </w:rPr>
              <w:t> </w:t>
            </w:r>
          </w:p>
        </w:tc>
        <w:tc>
          <w:tcPr>
            <w:tcW w:w="414" w:type="pct"/>
            <w:tcBorders>
              <w:top w:val="single" w:sz="4" w:space="0" w:color="auto"/>
              <w:left w:val="nil"/>
              <w:bottom w:val="single" w:sz="4" w:space="0" w:color="auto"/>
              <w:right w:val="single" w:sz="4" w:space="0" w:color="auto"/>
            </w:tcBorders>
            <w:shd w:val="clear" w:color="auto" w:fill="E6E6E6"/>
            <w:noWrap/>
            <w:vAlign w:val="center"/>
            <w:hideMark/>
          </w:tcPr>
          <w:p w14:paraId="77C822B7"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2017</w:t>
            </w:r>
          </w:p>
        </w:tc>
        <w:tc>
          <w:tcPr>
            <w:tcW w:w="414" w:type="pct"/>
            <w:tcBorders>
              <w:top w:val="single" w:sz="4" w:space="0" w:color="auto"/>
              <w:left w:val="nil"/>
              <w:bottom w:val="single" w:sz="4" w:space="0" w:color="auto"/>
              <w:right w:val="single" w:sz="4" w:space="0" w:color="auto"/>
            </w:tcBorders>
            <w:shd w:val="clear" w:color="auto" w:fill="E6E6E6"/>
            <w:noWrap/>
            <w:vAlign w:val="center"/>
            <w:hideMark/>
          </w:tcPr>
          <w:p w14:paraId="53E8C08A"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2018</w:t>
            </w:r>
          </w:p>
        </w:tc>
        <w:tc>
          <w:tcPr>
            <w:tcW w:w="414" w:type="pct"/>
            <w:tcBorders>
              <w:top w:val="single" w:sz="4" w:space="0" w:color="auto"/>
              <w:left w:val="nil"/>
              <w:bottom w:val="single" w:sz="4" w:space="0" w:color="auto"/>
              <w:right w:val="single" w:sz="4" w:space="0" w:color="auto"/>
            </w:tcBorders>
            <w:shd w:val="clear" w:color="auto" w:fill="E6E6E6"/>
            <w:noWrap/>
            <w:vAlign w:val="center"/>
            <w:hideMark/>
          </w:tcPr>
          <w:p w14:paraId="232F43EE"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2019</w:t>
            </w:r>
          </w:p>
        </w:tc>
        <w:tc>
          <w:tcPr>
            <w:tcW w:w="414" w:type="pct"/>
            <w:tcBorders>
              <w:top w:val="single" w:sz="4" w:space="0" w:color="auto"/>
              <w:left w:val="nil"/>
              <w:bottom w:val="single" w:sz="4" w:space="0" w:color="auto"/>
              <w:right w:val="single" w:sz="4" w:space="0" w:color="auto"/>
            </w:tcBorders>
            <w:shd w:val="clear" w:color="auto" w:fill="E6E6E6"/>
            <w:noWrap/>
            <w:vAlign w:val="center"/>
            <w:hideMark/>
          </w:tcPr>
          <w:p w14:paraId="674DB41C"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2020</w:t>
            </w:r>
          </w:p>
        </w:tc>
        <w:tc>
          <w:tcPr>
            <w:tcW w:w="414" w:type="pct"/>
            <w:tcBorders>
              <w:top w:val="single" w:sz="4" w:space="0" w:color="auto"/>
              <w:left w:val="nil"/>
              <w:bottom w:val="single" w:sz="4" w:space="0" w:color="auto"/>
              <w:right w:val="single" w:sz="4" w:space="0" w:color="auto"/>
            </w:tcBorders>
            <w:shd w:val="clear" w:color="auto" w:fill="E6E6E6"/>
            <w:noWrap/>
            <w:vAlign w:val="center"/>
            <w:hideMark/>
          </w:tcPr>
          <w:p w14:paraId="2B038E49"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2021</w:t>
            </w:r>
          </w:p>
        </w:tc>
        <w:tc>
          <w:tcPr>
            <w:tcW w:w="414" w:type="pct"/>
            <w:tcBorders>
              <w:top w:val="single" w:sz="4" w:space="0" w:color="auto"/>
              <w:left w:val="nil"/>
              <w:bottom w:val="single" w:sz="4" w:space="0" w:color="auto"/>
              <w:right w:val="single" w:sz="4" w:space="0" w:color="auto"/>
            </w:tcBorders>
            <w:shd w:val="clear" w:color="auto" w:fill="E6E6E6"/>
            <w:noWrap/>
            <w:vAlign w:val="center"/>
            <w:hideMark/>
          </w:tcPr>
          <w:p w14:paraId="42764084"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2022</w:t>
            </w:r>
          </w:p>
        </w:tc>
        <w:tc>
          <w:tcPr>
            <w:tcW w:w="414" w:type="pct"/>
            <w:tcBorders>
              <w:top w:val="single" w:sz="4" w:space="0" w:color="auto"/>
              <w:left w:val="nil"/>
              <w:bottom w:val="single" w:sz="4" w:space="0" w:color="auto"/>
              <w:right w:val="single" w:sz="4" w:space="0" w:color="auto"/>
            </w:tcBorders>
            <w:shd w:val="clear" w:color="auto" w:fill="E6E6E6"/>
            <w:noWrap/>
            <w:vAlign w:val="center"/>
            <w:hideMark/>
          </w:tcPr>
          <w:p w14:paraId="4D95D20F"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2023</w:t>
            </w:r>
          </w:p>
        </w:tc>
        <w:tc>
          <w:tcPr>
            <w:tcW w:w="416" w:type="pct"/>
            <w:tcBorders>
              <w:top w:val="single" w:sz="4" w:space="0" w:color="auto"/>
              <w:left w:val="nil"/>
              <w:bottom w:val="single" w:sz="4" w:space="0" w:color="auto"/>
              <w:right w:val="single" w:sz="4" w:space="0" w:color="auto"/>
            </w:tcBorders>
            <w:shd w:val="clear" w:color="auto" w:fill="E6E6E6"/>
            <w:noWrap/>
            <w:vAlign w:val="center"/>
            <w:hideMark/>
          </w:tcPr>
          <w:p w14:paraId="07A85595"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Celkem</w:t>
            </w:r>
          </w:p>
        </w:tc>
      </w:tr>
      <w:tr w:rsidR="00EE43E4" w:rsidRPr="0088190A" w14:paraId="7C79A6F0" w14:textId="77777777" w:rsidTr="0036780E">
        <w:trPr>
          <w:trHeight w:val="57"/>
        </w:trPr>
        <w:tc>
          <w:tcPr>
            <w:tcW w:w="5000" w:type="pct"/>
            <w:gridSpan w:val="9"/>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5C3871FC" w14:textId="77777777" w:rsidR="00EE43E4" w:rsidRPr="0088190A" w:rsidRDefault="00EE43E4" w:rsidP="003D71C9">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Podpořené projekty celkem</w:t>
            </w:r>
          </w:p>
        </w:tc>
      </w:tr>
      <w:tr w:rsidR="00EE43E4" w:rsidRPr="0088190A" w14:paraId="2860FBF1" w14:textId="77777777" w:rsidTr="003D71C9">
        <w:trPr>
          <w:trHeight w:val="57"/>
        </w:trPr>
        <w:tc>
          <w:tcPr>
            <w:tcW w:w="1687" w:type="pct"/>
            <w:tcBorders>
              <w:top w:val="nil"/>
              <w:left w:val="single" w:sz="4" w:space="0" w:color="auto"/>
              <w:bottom w:val="single" w:sz="4" w:space="0" w:color="auto"/>
              <w:right w:val="single" w:sz="4" w:space="0" w:color="auto"/>
            </w:tcBorders>
            <w:shd w:val="clear" w:color="auto" w:fill="auto"/>
            <w:noWrap/>
            <w:vAlign w:val="bottom"/>
            <w:hideMark/>
          </w:tcPr>
          <w:p w14:paraId="62062F95" w14:textId="77777777" w:rsidR="00EE43E4" w:rsidRPr="0088190A" w:rsidRDefault="00EE43E4" w:rsidP="003D71C9">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Počet</w:t>
            </w:r>
          </w:p>
        </w:tc>
        <w:tc>
          <w:tcPr>
            <w:tcW w:w="414" w:type="pct"/>
            <w:tcBorders>
              <w:top w:val="nil"/>
              <w:left w:val="nil"/>
              <w:bottom w:val="single" w:sz="4" w:space="0" w:color="auto"/>
              <w:right w:val="single" w:sz="4" w:space="0" w:color="auto"/>
            </w:tcBorders>
            <w:shd w:val="clear" w:color="auto" w:fill="auto"/>
            <w:noWrap/>
            <w:vAlign w:val="bottom"/>
            <w:hideMark/>
          </w:tcPr>
          <w:p w14:paraId="225C64A3"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786</w:t>
            </w:r>
          </w:p>
        </w:tc>
        <w:tc>
          <w:tcPr>
            <w:tcW w:w="414" w:type="pct"/>
            <w:tcBorders>
              <w:top w:val="nil"/>
              <w:left w:val="nil"/>
              <w:bottom w:val="single" w:sz="4" w:space="0" w:color="auto"/>
              <w:right w:val="single" w:sz="4" w:space="0" w:color="auto"/>
            </w:tcBorders>
            <w:shd w:val="clear" w:color="auto" w:fill="auto"/>
            <w:noWrap/>
            <w:vAlign w:val="bottom"/>
            <w:hideMark/>
          </w:tcPr>
          <w:p w14:paraId="4D8D7E35"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850</w:t>
            </w:r>
          </w:p>
        </w:tc>
        <w:tc>
          <w:tcPr>
            <w:tcW w:w="414" w:type="pct"/>
            <w:tcBorders>
              <w:top w:val="nil"/>
              <w:left w:val="nil"/>
              <w:bottom w:val="single" w:sz="4" w:space="0" w:color="auto"/>
              <w:right w:val="single" w:sz="4" w:space="0" w:color="auto"/>
            </w:tcBorders>
            <w:shd w:val="clear" w:color="auto" w:fill="auto"/>
            <w:noWrap/>
            <w:vAlign w:val="bottom"/>
            <w:hideMark/>
          </w:tcPr>
          <w:p w14:paraId="482F8B8C"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1 270</w:t>
            </w:r>
          </w:p>
        </w:tc>
        <w:tc>
          <w:tcPr>
            <w:tcW w:w="414" w:type="pct"/>
            <w:tcBorders>
              <w:top w:val="nil"/>
              <w:left w:val="nil"/>
              <w:bottom w:val="single" w:sz="4" w:space="0" w:color="auto"/>
              <w:right w:val="single" w:sz="4" w:space="0" w:color="auto"/>
            </w:tcBorders>
            <w:shd w:val="clear" w:color="auto" w:fill="auto"/>
            <w:noWrap/>
            <w:vAlign w:val="bottom"/>
            <w:hideMark/>
          </w:tcPr>
          <w:p w14:paraId="630960F5"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1 534</w:t>
            </w:r>
          </w:p>
        </w:tc>
        <w:tc>
          <w:tcPr>
            <w:tcW w:w="414" w:type="pct"/>
            <w:tcBorders>
              <w:top w:val="nil"/>
              <w:left w:val="nil"/>
              <w:bottom w:val="single" w:sz="4" w:space="0" w:color="auto"/>
              <w:right w:val="single" w:sz="4" w:space="0" w:color="auto"/>
            </w:tcBorders>
            <w:shd w:val="clear" w:color="auto" w:fill="auto"/>
            <w:noWrap/>
            <w:vAlign w:val="bottom"/>
            <w:hideMark/>
          </w:tcPr>
          <w:p w14:paraId="79D994CE"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1 565</w:t>
            </w:r>
          </w:p>
        </w:tc>
        <w:tc>
          <w:tcPr>
            <w:tcW w:w="414" w:type="pct"/>
            <w:tcBorders>
              <w:top w:val="nil"/>
              <w:left w:val="nil"/>
              <w:bottom w:val="single" w:sz="4" w:space="0" w:color="auto"/>
              <w:right w:val="single" w:sz="4" w:space="0" w:color="auto"/>
            </w:tcBorders>
            <w:shd w:val="clear" w:color="auto" w:fill="auto"/>
            <w:noWrap/>
            <w:vAlign w:val="bottom"/>
            <w:hideMark/>
          </w:tcPr>
          <w:p w14:paraId="2B2EA211"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1 356</w:t>
            </w:r>
          </w:p>
        </w:tc>
        <w:tc>
          <w:tcPr>
            <w:tcW w:w="414" w:type="pct"/>
            <w:tcBorders>
              <w:top w:val="nil"/>
              <w:left w:val="nil"/>
              <w:bottom w:val="single" w:sz="4" w:space="0" w:color="auto"/>
              <w:right w:val="single" w:sz="4" w:space="0" w:color="auto"/>
            </w:tcBorders>
            <w:shd w:val="clear" w:color="auto" w:fill="auto"/>
            <w:noWrap/>
            <w:vAlign w:val="bottom"/>
            <w:hideMark/>
          </w:tcPr>
          <w:p w14:paraId="370C2A23"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1 248</w:t>
            </w:r>
          </w:p>
        </w:tc>
        <w:tc>
          <w:tcPr>
            <w:tcW w:w="416" w:type="pct"/>
            <w:tcBorders>
              <w:top w:val="nil"/>
              <w:left w:val="nil"/>
              <w:bottom w:val="single" w:sz="4" w:space="0" w:color="auto"/>
              <w:right w:val="single" w:sz="4" w:space="0" w:color="auto"/>
            </w:tcBorders>
            <w:shd w:val="clear" w:color="auto" w:fill="auto"/>
            <w:noWrap/>
            <w:vAlign w:val="bottom"/>
            <w:hideMark/>
          </w:tcPr>
          <w:p w14:paraId="68B950E3"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8 609</w:t>
            </w:r>
          </w:p>
        </w:tc>
      </w:tr>
      <w:tr w:rsidR="00EE43E4" w:rsidRPr="0088190A" w14:paraId="0D6A59F3" w14:textId="77777777" w:rsidTr="003D71C9">
        <w:trPr>
          <w:trHeight w:val="57"/>
        </w:trPr>
        <w:tc>
          <w:tcPr>
            <w:tcW w:w="1687" w:type="pct"/>
            <w:tcBorders>
              <w:top w:val="nil"/>
              <w:left w:val="single" w:sz="4" w:space="0" w:color="auto"/>
              <w:bottom w:val="single" w:sz="4" w:space="0" w:color="auto"/>
              <w:right w:val="single" w:sz="4" w:space="0" w:color="auto"/>
            </w:tcBorders>
            <w:shd w:val="clear" w:color="auto" w:fill="auto"/>
            <w:noWrap/>
            <w:vAlign w:val="bottom"/>
            <w:hideMark/>
          </w:tcPr>
          <w:p w14:paraId="2BAE2079" w14:textId="77777777" w:rsidR="00EE43E4" w:rsidRPr="0088190A" w:rsidRDefault="00EE43E4" w:rsidP="003D71C9">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Objem podpory (v mil. Kč)</w:t>
            </w:r>
          </w:p>
        </w:tc>
        <w:tc>
          <w:tcPr>
            <w:tcW w:w="414" w:type="pct"/>
            <w:tcBorders>
              <w:top w:val="nil"/>
              <w:left w:val="nil"/>
              <w:bottom w:val="single" w:sz="4" w:space="0" w:color="auto"/>
              <w:right w:val="single" w:sz="4" w:space="0" w:color="auto"/>
            </w:tcBorders>
            <w:shd w:val="clear" w:color="auto" w:fill="auto"/>
            <w:noWrap/>
            <w:vAlign w:val="bottom"/>
            <w:hideMark/>
          </w:tcPr>
          <w:p w14:paraId="52208637"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2 804</w:t>
            </w:r>
          </w:p>
        </w:tc>
        <w:tc>
          <w:tcPr>
            <w:tcW w:w="414" w:type="pct"/>
            <w:tcBorders>
              <w:top w:val="nil"/>
              <w:left w:val="nil"/>
              <w:bottom w:val="single" w:sz="4" w:space="0" w:color="auto"/>
              <w:right w:val="single" w:sz="4" w:space="0" w:color="auto"/>
            </w:tcBorders>
            <w:shd w:val="clear" w:color="auto" w:fill="auto"/>
            <w:noWrap/>
            <w:vAlign w:val="bottom"/>
            <w:hideMark/>
          </w:tcPr>
          <w:p w14:paraId="44C9D807"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2 726</w:t>
            </w:r>
          </w:p>
        </w:tc>
        <w:tc>
          <w:tcPr>
            <w:tcW w:w="414" w:type="pct"/>
            <w:tcBorders>
              <w:top w:val="nil"/>
              <w:left w:val="nil"/>
              <w:bottom w:val="single" w:sz="4" w:space="0" w:color="auto"/>
              <w:right w:val="single" w:sz="4" w:space="0" w:color="auto"/>
            </w:tcBorders>
            <w:shd w:val="clear" w:color="auto" w:fill="auto"/>
            <w:noWrap/>
            <w:vAlign w:val="bottom"/>
            <w:hideMark/>
          </w:tcPr>
          <w:p w14:paraId="0E715B8A"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4 126</w:t>
            </w:r>
          </w:p>
        </w:tc>
        <w:tc>
          <w:tcPr>
            <w:tcW w:w="414" w:type="pct"/>
            <w:tcBorders>
              <w:top w:val="nil"/>
              <w:left w:val="nil"/>
              <w:bottom w:val="single" w:sz="4" w:space="0" w:color="auto"/>
              <w:right w:val="single" w:sz="4" w:space="0" w:color="auto"/>
            </w:tcBorders>
            <w:shd w:val="clear" w:color="auto" w:fill="auto"/>
            <w:noWrap/>
            <w:vAlign w:val="bottom"/>
            <w:hideMark/>
          </w:tcPr>
          <w:p w14:paraId="2DD16C30"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4 787</w:t>
            </w:r>
          </w:p>
        </w:tc>
        <w:tc>
          <w:tcPr>
            <w:tcW w:w="414" w:type="pct"/>
            <w:tcBorders>
              <w:top w:val="nil"/>
              <w:left w:val="nil"/>
              <w:bottom w:val="single" w:sz="4" w:space="0" w:color="auto"/>
              <w:right w:val="single" w:sz="4" w:space="0" w:color="auto"/>
            </w:tcBorders>
            <w:shd w:val="clear" w:color="auto" w:fill="auto"/>
            <w:noWrap/>
            <w:vAlign w:val="bottom"/>
            <w:hideMark/>
          </w:tcPr>
          <w:p w14:paraId="563049F9"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5 403</w:t>
            </w:r>
          </w:p>
        </w:tc>
        <w:tc>
          <w:tcPr>
            <w:tcW w:w="414" w:type="pct"/>
            <w:tcBorders>
              <w:top w:val="nil"/>
              <w:left w:val="nil"/>
              <w:bottom w:val="single" w:sz="4" w:space="0" w:color="auto"/>
              <w:right w:val="single" w:sz="4" w:space="0" w:color="auto"/>
            </w:tcBorders>
            <w:shd w:val="clear" w:color="auto" w:fill="auto"/>
            <w:noWrap/>
            <w:vAlign w:val="bottom"/>
            <w:hideMark/>
          </w:tcPr>
          <w:p w14:paraId="1592BBD0"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4 926</w:t>
            </w:r>
          </w:p>
        </w:tc>
        <w:tc>
          <w:tcPr>
            <w:tcW w:w="414" w:type="pct"/>
            <w:tcBorders>
              <w:top w:val="nil"/>
              <w:left w:val="nil"/>
              <w:bottom w:val="single" w:sz="4" w:space="0" w:color="auto"/>
              <w:right w:val="single" w:sz="4" w:space="0" w:color="auto"/>
            </w:tcBorders>
            <w:shd w:val="clear" w:color="auto" w:fill="auto"/>
            <w:noWrap/>
            <w:vAlign w:val="bottom"/>
            <w:hideMark/>
          </w:tcPr>
          <w:p w14:paraId="393BD2AF"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5 894</w:t>
            </w:r>
          </w:p>
        </w:tc>
        <w:tc>
          <w:tcPr>
            <w:tcW w:w="416" w:type="pct"/>
            <w:tcBorders>
              <w:top w:val="nil"/>
              <w:left w:val="nil"/>
              <w:bottom w:val="single" w:sz="4" w:space="0" w:color="auto"/>
              <w:right w:val="single" w:sz="4" w:space="0" w:color="auto"/>
            </w:tcBorders>
            <w:shd w:val="clear" w:color="auto" w:fill="auto"/>
            <w:noWrap/>
            <w:vAlign w:val="bottom"/>
            <w:hideMark/>
          </w:tcPr>
          <w:p w14:paraId="470E5F49"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30 667</w:t>
            </w:r>
          </w:p>
        </w:tc>
      </w:tr>
      <w:tr w:rsidR="00EE43E4" w:rsidRPr="0088190A" w14:paraId="3100A27A" w14:textId="77777777" w:rsidTr="003D71C9">
        <w:trPr>
          <w:trHeight w:val="57"/>
        </w:trPr>
        <w:tc>
          <w:tcPr>
            <w:tcW w:w="1687" w:type="pct"/>
            <w:tcBorders>
              <w:top w:val="nil"/>
              <w:left w:val="single" w:sz="4" w:space="0" w:color="auto"/>
              <w:bottom w:val="single" w:sz="4" w:space="0" w:color="auto"/>
              <w:right w:val="single" w:sz="4" w:space="0" w:color="auto"/>
            </w:tcBorders>
            <w:shd w:val="clear" w:color="auto" w:fill="auto"/>
            <w:noWrap/>
            <w:vAlign w:val="bottom"/>
            <w:hideMark/>
          </w:tcPr>
          <w:p w14:paraId="44097E5E" w14:textId="77777777" w:rsidR="00EE43E4" w:rsidRPr="0088190A" w:rsidRDefault="00EE43E4" w:rsidP="003D71C9">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Ostatní zdroje financování (v mil. Kč)</w:t>
            </w:r>
          </w:p>
        </w:tc>
        <w:tc>
          <w:tcPr>
            <w:tcW w:w="414" w:type="pct"/>
            <w:tcBorders>
              <w:top w:val="nil"/>
              <w:left w:val="nil"/>
              <w:bottom w:val="single" w:sz="4" w:space="0" w:color="auto"/>
              <w:right w:val="single" w:sz="4" w:space="0" w:color="auto"/>
            </w:tcBorders>
            <w:shd w:val="clear" w:color="auto" w:fill="auto"/>
            <w:noWrap/>
            <w:vAlign w:val="bottom"/>
            <w:hideMark/>
          </w:tcPr>
          <w:p w14:paraId="3B41B3BD"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1 308</w:t>
            </w:r>
          </w:p>
        </w:tc>
        <w:tc>
          <w:tcPr>
            <w:tcW w:w="414" w:type="pct"/>
            <w:tcBorders>
              <w:top w:val="nil"/>
              <w:left w:val="nil"/>
              <w:bottom w:val="single" w:sz="4" w:space="0" w:color="auto"/>
              <w:right w:val="single" w:sz="4" w:space="0" w:color="auto"/>
            </w:tcBorders>
            <w:shd w:val="clear" w:color="auto" w:fill="auto"/>
            <w:noWrap/>
            <w:vAlign w:val="bottom"/>
            <w:hideMark/>
          </w:tcPr>
          <w:p w14:paraId="62994076"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1 182</w:t>
            </w:r>
          </w:p>
        </w:tc>
        <w:tc>
          <w:tcPr>
            <w:tcW w:w="414" w:type="pct"/>
            <w:tcBorders>
              <w:top w:val="nil"/>
              <w:left w:val="nil"/>
              <w:bottom w:val="single" w:sz="4" w:space="0" w:color="auto"/>
              <w:right w:val="single" w:sz="4" w:space="0" w:color="auto"/>
            </w:tcBorders>
            <w:shd w:val="clear" w:color="auto" w:fill="auto"/>
            <w:noWrap/>
            <w:vAlign w:val="bottom"/>
            <w:hideMark/>
          </w:tcPr>
          <w:p w14:paraId="2C4AD0CD"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1 622</w:t>
            </w:r>
          </w:p>
        </w:tc>
        <w:tc>
          <w:tcPr>
            <w:tcW w:w="414" w:type="pct"/>
            <w:tcBorders>
              <w:top w:val="nil"/>
              <w:left w:val="nil"/>
              <w:bottom w:val="single" w:sz="4" w:space="0" w:color="auto"/>
              <w:right w:val="single" w:sz="4" w:space="0" w:color="auto"/>
            </w:tcBorders>
            <w:shd w:val="clear" w:color="auto" w:fill="auto"/>
            <w:noWrap/>
            <w:vAlign w:val="bottom"/>
            <w:hideMark/>
          </w:tcPr>
          <w:p w14:paraId="4D390B75"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1 595</w:t>
            </w:r>
          </w:p>
        </w:tc>
        <w:tc>
          <w:tcPr>
            <w:tcW w:w="414" w:type="pct"/>
            <w:tcBorders>
              <w:top w:val="nil"/>
              <w:left w:val="nil"/>
              <w:bottom w:val="single" w:sz="4" w:space="0" w:color="auto"/>
              <w:right w:val="single" w:sz="4" w:space="0" w:color="auto"/>
            </w:tcBorders>
            <w:shd w:val="clear" w:color="auto" w:fill="auto"/>
            <w:noWrap/>
            <w:vAlign w:val="bottom"/>
            <w:hideMark/>
          </w:tcPr>
          <w:p w14:paraId="2079702E"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1 639</w:t>
            </w:r>
          </w:p>
        </w:tc>
        <w:tc>
          <w:tcPr>
            <w:tcW w:w="414" w:type="pct"/>
            <w:tcBorders>
              <w:top w:val="nil"/>
              <w:left w:val="nil"/>
              <w:bottom w:val="single" w:sz="4" w:space="0" w:color="auto"/>
              <w:right w:val="single" w:sz="4" w:space="0" w:color="auto"/>
            </w:tcBorders>
            <w:shd w:val="clear" w:color="auto" w:fill="auto"/>
            <w:noWrap/>
            <w:vAlign w:val="bottom"/>
            <w:hideMark/>
          </w:tcPr>
          <w:p w14:paraId="6DD16508"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1 451</w:t>
            </w:r>
          </w:p>
        </w:tc>
        <w:tc>
          <w:tcPr>
            <w:tcW w:w="414" w:type="pct"/>
            <w:tcBorders>
              <w:top w:val="nil"/>
              <w:left w:val="nil"/>
              <w:bottom w:val="single" w:sz="4" w:space="0" w:color="auto"/>
              <w:right w:val="single" w:sz="4" w:space="0" w:color="auto"/>
            </w:tcBorders>
            <w:shd w:val="clear" w:color="auto" w:fill="auto"/>
            <w:noWrap/>
            <w:vAlign w:val="bottom"/>
            <w:hideMark/>
          </w:tcPr>
          <w:p w14:paraId="151DD952"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1 779</w:t>
            </w:r>
          </w:p>
        </w:tc>
        <w:tc>
          <w:tcPr>
            <w:tcW w:w="416" w:type="pct"/>
            <w:tcBorders>
              <w:top w:val="nil"/>
              <w:left w:val="nil"/>
              <w:bottom w:val="single" w:sz="4" w:space="0" w:color="auto"/>
              <w:right w:val="single" w:sz="4" w:space="0" w:color="auto"/>
            </w:tcBorders>
            <w:shd w:val="clear" w:color="auto" w:fill="auto"/>
            <w:noWrap/>
            <w:vAlign w:val="bottom"/>
            <w:hideMark/>
          </w:tcPr>
          <w:p w14:paraId="3526EA8B"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10 576</w:t>
            </w:r>
          </w:p>
        </w:tc>
      </w:tr>
      <w:tr w:rsidR="00EE43E4" w:rsidRPr="0088190A" w14:paraId="5ED5F89F" w14:textId="77777777" w:rsidTr="0036780E">
        <w:trPr>
          <w:trHeight w:val="57"/>
        </w:trPr>
        <w:tc>
          <w:tcPr>
            <w:tcW w:w="5000" w:type="pct"/>
            <w:gridSpan w:val="9"/>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0065DCD8" w14:textId="5496B26C" w:rsidR="00EE43E4" w:rsidRPr="0088190A" w:rsidRDefault="00F360F5" w:rsidP="00E36663">
            <w:pPr>
              <w:keepNext/>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Z toho p</w:t>
            </w:r>
            <w:r w:rsidR="00EE43E4" w:rsidRPr="0088190A">
              <w:rPr>
                <w:rFonts w:eastAsia="Times New Roman" w:cstheme="minorHAnsi"/>
                <w:b/>
                <w:bCs/>
                <w:color w:val="000000"/>
                <w:sz w:val="20"/>
                <w:szCs w:val="20"/>
              </w:rPr>
              <w:t>odpořené projekty řešené ve spolupráci veřejného a soukromého sektoru</w:t>
            </w:r>
          </w:p>
        </w:tc>
      </w:tr>
      <w:tr w:rsidR="00EE43E4" w:rsidRPr="0088190A" w14:paraId="1534AA37" w14:textId="77777777" w:rsidTr="003D71C9">
        <w:trPr>
          <w:trHeight w:val="57"/>
        </w:trPr>
        <w:tc>
          <w:tcPr>
            <w:tcW w:w="1687" w:type="pct"/>
            <w:tcBorders>
              <w:top w:val="nil"/>
              <w:left w:val="single" w:sz="4" w:space="0" w:color="auto"/>
              <w:bottom w:val="single" w:sz="4" w:space="0" w:color="auto"/>
              <w:right w:val="single" w:sz="4" w:space="0" w:color="auto"/>
            </w:tcBorders>
            <w:shd w:val="clear" w:color="auto" w:fill="auto"/>
            <w:noWrap/>
            <w:vAlign w:val="bottom"/>
            <w:hideMark/>
          </w:tcPr>
          <w:p w14:paraId="51AFE7C5" w14:textId="77777777" w:rsidR="00EE43E4" w:rsidRPr="0088190A" w:rsidRDefault="00EE43E4" w:rsidP="003D71C9">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 xml:space="preserve">Počet </w:t>
            </w:r>
          </w:p>
        </w:tc>
        <w:tc>
          <w:tcPr>
            <w:tcW w:w="414" w:type="pct"/>
            <w:tcBorders>
              <w:top w:val="nil"/>
              <w:left w:val="nil"/>
              <w:bottom w:val="single" w:sz="4" w:space="0" w:color="auto"/>
              <w:right w:val="single" w:sz="4" w:space="0" w:color="auto"/>
            </w:tcBorders>
            <w:shd w:val="clear" w:color="auto" w:fill="auto"/>
            <w:noWrap/>
            <w:vAlign w:val="bottom"/>
            <w:hideMark/>
          </w:tcPr>
          <w:p w14:paraId="645B4A07"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610</w:t>
            </w:r>
          </w:p>
        </w:tc>
        <w:tc>
          <w:tcPr>
            <w:tcW w:w="414" w:type="pct"/>
            <w:tcBorders>
              <w:top w:val="nil"/>
              <w:left w:val="nil"/>
              <w:bottom w:val="single" w:sz="4" w:space="0" w:color="auto"/>
              <w:right w:val="single" w:sz="4" w:space="0" w:color="auto"/>
            </w:tcBorders>
            <w:shd w:val="clear" w:color="auto" w:fill="auto"/>
            <w:noWrap/>
            <w:vAlign w:val="bottom"/>
            <w:hideMark/>
          </w:tcPr>
          <w:p w14:paraId="1D33EA1A"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587</w:t>
            </w:r>
          </w:p>
        </w:tc>
        <w:tc>
          <w:tcPr>
            <w:tcW w:w="414" w:type="pct"/>
            <w:tcBorders>
              <w:top w:val="nil"/>
              <w:left w:val="nil"/>
              <w:bottom w:val="single" w:sz="4" w:space="0" w:color="auto"/>
              <w:right w:val="single" w:sz="4" w:space="0" w:color="auto"/>
            </w:tcBorders>
            <w:shd w:val="clear" w:color="auto" w:fill="auto"/>
            <w:noWrap/>
            <w:vAlign w:val="bottom"/>
            <w:hideMark/>
          </w:tcPr>
          <w:p w14:paraId="6BA8AF13"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863</w:t>
            </w:r>
          </w:p>
        </w:tc>
        <w:tc>
          <w:tcPr>
            <w:tcW w:w="414" w:type="pct"/>
            <w:tcBorders>
              <w:top w:val="nil"/>
              <w:left w:val="nil"/>
              <w:bottom w:val="single" w:sz="4" w:space="0" w:color="auto"/>
              <w:right w:val="single" w:sz="4" w:space="0" w:color="auto"/>
            </w:tcBorders>
            <w:shd w:val="clear" w:color="auto" w:fill="auto"/>
            <w:noWrap/>
            <w:vAlign w:val="bottom"/>
            <w:hideMark/>
          </w:tcPr>
          <w:p w14:paraId="41515E9E"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1 031</w:t>
            </w:r>
          </w:p>
        </w:tc>
        <w:tc>
          <w:tcPr>
            <w:tcW w:w="414" w:type="pct"/>
            <w:tcBorders>
              <w:top w:val="nil"/>
              <w:left w:val="nil"/>
              <w:bottom w:val="single" w:sz="4" w:space="0" w:color="auto"/>
              <w:right w:val="single" w:sz="4" w:space="0" w:color="auto"/>
            </w:tcBorders>
            <w:shd w:val="clear" w:color="auto" w:fill="auto"/>
            <w:noWrap/>
            <w:vAlign w:val="bottom"/>
            <w:hideMark/>
          </w:tcPr>
          <w:p w14:paraId="69A7B0D5"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1 036</w:t>
            </w:r>
          </w:p>
        </w:tc>
        <w:tc>
          <w:tcPr>
            <w:tcW w:w="414" w:type="pct"/>
            <w:tcBorders>
              <w:top w:val="nil"/>
              <w:left w:val="nil"/>
              <w:bottom w:val="single" w:sz="4" w:space="0" w:color="auto"/>
              <w:right w:val="single" w:sz="4" w:space="0" w:color="auto"/>
            </w:tcBorders>
            <w:shd w:val="clear" w:color="auto" w:fill="auto"/>
            <w:noWrap/>
            <w:vAlign w:val="bottom"/>
            <w:hideMark/>
          </w:tcPr>
          <w:p w14:paraId="6137C89F"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918</w:t>
            </w:r>
          </w:p>
        </w:tc>
        <w:tc>
          <w:tcPr>
            <w:tcW w:w="414" w:type="pct"/>
            <w:tcBorders>
              <w:top w:val="nil"/>
              <w:left w:val="nil"/>
              <w:bottom w:val="single" w:sz="4" w:space="0" w:color="auto"/>
              <w:right w:val="single" w:sz="4" w:space="0" w:color="auto"/>
            </w:tcBorders>
            <w:shd w:val="clear" w:color="auto" w:fill="auto"/>
            <w:noWrap/>
            <w:vAlign w:val="bottom"/>
            <w:hideMark/>
          </w:tcPr>
          <w:p w14:paraId="34187585"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903</w:t>
            </w:r>
          </w:p>
        </w:tc>
        <w:tc>
          <w:tcPr>
            <w:tcW w:w="416" w:type="pct"/>
            <w:tcBorders>
              <w:top w:val="nil"/>
              <w:left w:val="nil"/>
              <w:bottom w:val="single" w:sz="4" w:space="0" w:color="auto"/>
              <w:right w:val="single" w:sz="4" w:space="0" w:color="auto"/>
            </w:tcBorders>
            <w:shd w:val="clear" w:color="auto" w:fill="auto"/>
            <w:noWrap/>
            <w:vAlign w:val="bottom"/>
            <w:hideMark/>
          </w:tcPr>
          <w:p w14:paraId="29614F87"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5 948</w:t>
            </w:r>
          </w:p>
        </w:tc>
      </w:tr>
      <w:tr w:rsidR="00EE43E4" w:rsidRPr="0088190A" w14:paraId="61010C66" w14:textId="77777777" w:rsidTr="003D71C9">
        <w:trPr>
          <w:trHeight w:val="57"/>
        </w:trPr>
        <w:tc>
          <w:tcPr>
            <w:tcW w:w="1687" w:type="pct"/>
            <w:tcBorders>
              <w:top w:val="nil"/>
              <w:left w:val="single" w:sz="4" w:space="0" w:color="auto"/>
              <w:bottom w:val="single" w:sz="4" w:space="0" w:color="auto"/>
              <w:right w:val="single" w:sz="4" w:space="0" w:color="auto"/>
            </w:tcBorders>
            <w:shd w:val="clear" w:color="auto" w:fill="auto"/>
            <w:noWrap/>
            <w:vAlign w:val="bottom"/>
            <w:hideMark/>
          </w:tcPr>
          <w:p w14:paraId="2072ADFD" w14:textId="77777777" w:rsidR="00EE43E4" w:rsidRPr="0088190A" w:rsidRDefault="00EE43E4" w:rsidP="003D71C9">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Objem podpory (v mil. Kč)</w:t>
            </w:r>
          </w:p>
        </w:tc>
        <w:tc>
          <w:tcPr>
            <w:tcW w:w="414" w:type="pct"/>
            <w:tcBorders>
              <w:top w:val="nil"/>
              <w:left w:val="nil"/>
              <w:bottom w:val="single" w:sz="4" w:space="0" w:color="auto"/>
              <w:right w:val="single" w:sz="4" w:space="0" w:color="auto"/>
            </w:tcBorders>
            <w:shd w:val="clear" w:color="auto" w:fill="auto"/>
            <w:noWrap/>
            <w:vAlign w:val="bottom"/>
            <w:hideMark/>
          </w:tcPr>
          <w:p w14:paraId="6A898A9D"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2 391</w:t>
            </w:r>
          </w:p>
        </w:tc>
        <w:tc>
          <w:tcPr>
            <w:tcW w:w="414" w:type="pct"/>
            <w:tcBorders>
              <w:top w:val="nil"/>
              <w:left w:val="nil"/>
              <w:bottom w:val="single" w:sz="4" w:space="0" w:color="auto"/>
              <w:right w:val="single" w:sz="4" w:space="0" w:color="auto"/>
            </w:tcBorders>
            <w:shd w:val="clear" w:color="auto" w:fill="auto"/>
            <w:noWrap/>
            <w:vAlign w:val="bottom"/>
            <w:hideMark/>
          </w:tcPr>
          <w:p w14:paraId="3997A2B8"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2 217</w:t>
            </w:r>
          </w:p>
        </w:tc>
        <w:tc>
          <w:tcPr>
            <w:tcW w:w="414" w:type="pct"/>
            <w:tcBorders>
              <w:top w:val="nil"/>
              <w:left w:val="nil"/>
              <w:bottom w:val="single" w:sz="4" w:space="0" w:color="auto"/>
              <w:right w:val="single" w:sz="4" w:space="0" w:color="auto"/>
            </w:tcBorders>
            <w:shd w:val="clear" w:color="auto" w:fill="auto"/>
            <w:noWrap/>
            <w:vAlign w:val="bottom"/>
            <w:hideMark/>
          </w:tcPr>
          <w:p w14:paraId="094A4616"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3 409</w:t>
            </w:r>
          </w:p>
        </w:tc>
        <w:tc>
          <w:tcPr>
            <w:tcW w:w="414" w:type="pct"/>
            <w:tcBorders>
              <w:top w:val="nil"/>
              <w:left w:val="nil"/>
              <w:bottom w:val="single" w:sz="4" w:space="0" w:color="auto"/>
              <w:right w:val="single" w:sz="4" w:space="0" w:color="auto"/>
            </w:tcBorders>
            <w:shd w:val="clear" w:color="auto" w:fill="auto"/>
            <w:noWrap/>
            <w:vAlign w:val="bottom"/>
            <w:hideMark/>
          </w:tcPr>
          <w:p w14:paraId="016F7A49"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3 811</w:t>
            </w:r>
          </w:p>
        </w:tc>
        <w:tc>
          <w:tcPr>
            <w:tcW w:w="414" w:type="pct"/>
            <w:tcBorders>
              <w:top w:val="nil"/>
              <w:left w:val="nil"/>
              <w:bottom w:val="single" w:sz="4" w:space="0" w:color="auto"/>
              <w:right w:val="single" w:sz="4" w:space="0" w:color="auto"/>
            </w:tcBorders>
            <w:shd w:val="clear" w:color="auto" w:fill="auto"/>
            <w:noWrap/>
            <w:vAlign w:val="bottom"/>
            <w:hideMark/>
          </w:tcPr>
          <w:p w14:paraId="2CB2F027"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4 283</w:t>
            </w:r>
          </w:p>
        </w:tc>
        <w:tc>
          <w:tcPr>
            <w:tcW w:w="414" w:type="pct"/>
            <w:tcBorders>
              <w:top w:val="nil"/>
              <w:left w:val="nil"/>
              <w:bottom w:val="single" w:sz="4" w:space="0" w:color="auto"/>
              <w:right w:val="single" w:sz="4" w:space="0" w:color="auto"/>
            </w:tcBorders>
            <w:shd w:val="clear" w:color="auto" w:fill="auto"/>
            <w:noWrap/>
            <w:vAlign w:val="bottom"/>
            <w:hideMark/>
          </w:tcPr>
          <w:p w14:paraId="67B3D365"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3 931</w:t>
            </w:r>
          </w:p>
        </w:tc>
        <w:tc>
          <w:tcPr>
            <w:tcW w:w="414" w:type="pct"/>
            <w:tcBorders>
              <w:top w:val="nil"/>
              <w:left w:val="nil"/>
              <w:bottom w:val="single" w:sz="4" w:space="0" w:color="auto"/>
              <w:right w:val="single" w:sz="4" w:space="0" w:color="auto"/>
            </w:tcBorders>
            <w:shd w:val="clear" w:color="auto" w:fill="auto"/>
            <w:noWrap/>
            <w:vAlign w:val="bottom"/>
            <w:hideMark/>
          </w:tcPr>
          <w:p w14:paraId="78C1BD1E"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5 047</w:t>
            </w:r>
          </w:p>
        </w:tc>
        <w:tc>
          <w:tcPr>
            <w:tcW w:w="416" w:type="pct"/>
            <w:tcBorders>
              <w:top w:val="nil"/>
              <w:left w:val="nil"/>
              <w:bottom w:val="single" w:sz="4" w:space="0" w:color="auto"/>
              <w:right w:val="single" w:sz="4" w:space="0" w:color="auto"/>
            </w:tcBorders>
            <w:shd w:val="clear" w:color="auto" w:fill="auto"/>
            <w:noWrap/>
            <w:vAlign w:val="bottom"/>
            <w:hideMark/>
          </w:tcPr>
          <w:p w14:paraId="3B810DF4" w14:textId="77777777" w:rsidR="00EE43E4" w:rsidRPr="0088190A" w:rsidRDefault="00EE43E4" w:rsidP="00E36663">
            <w:pPr>
              <w:keepNext/>
              <w:spacing w:after="0" w:line="240" w:lineRule="auto"/>
              <w:ind w:right="57"/>
              <w:jc w:val="right"/>
              <w:rPr>
                <w:rFonts w:eastAsia="Times New Roman" w:cstheme="minorHAnsi"/>
                <w:color w:val="000000"/>
                <w:sz w:val="20"/>
                <w:szCs w:val="20"/>
              </w:rPr>
            </w:pPr>
            <w:r w:rsidRPr="0088190A">
              <w:rPr>
                <w:rFonts w:eastAsia="Times New Roman" w:cstheme="minorHAnsi"/>
                <w:color w:val="000000"/>
                <w:sz w:val="20"/>
                <w:szCs w:val="20"/>
              </w:rPr>
              <w:t>25 089</w:t>
            </w:r>
          </w:p>
        </w:tc>
      </w:tr>
    </w:tbl>
    <w:p w14:paraId="00459F31" w14:textId="7BA11A98" w:rsidR="00EE43E4" w:rsidRPr="0088190A" w:rsidRDefault="00EE43E4" w:rsidP="00EE43E4">
      <w:pPr>
        <w:keepNext/>
        <w:spacing w:before="40" w:after="0" w:line="240" w:lineRule="auto"/>
        <w:jc w:val="both"/>
        <w:rPr>
          <w:rFonts w:eastAsia="Times New Roman" w:cstheme="minorHAnsi"/>
          <w:sz w:val="20"/>
          <w:szCs w:val="20"/>
        </w:rPr>
      </w:pPr>
      <w:r w:rsidRPr="0088190A">
        <w:rPr>
          <w:rFonts w:eastAsia="Times New Roman" w:cstheme="minorHAnsi"/>
          <w:b/>
          <w:sz w:val="20"/>
          <w:szCs w:val="20"/>
        </w:rPr>
        <w:t>Zdroj:</w:t>
      </w:r>
      <w:r w:rsidRPr="0088190A">
        <w:rPr>
          <w:rFonts w:eastAsia="Times New Roman" w:cstheme="minorHAnsi"/>
          <w:sz w:val="20"/>
          <w:szCs w:val="20"/>
        </w:rPr>
        <w:t xml:space="preserve"> informace TA ČR</w:t>
      </w:r>
      <w:r w:rsidR="00E36663">
        <w:rPr>
          <w:rFonts w:eastAsia="Times New Roman" w:cstheme="minorHAnsi"/>
          <w:sz w:val="20"/>
          <w:szCs w:val="20"/>
        </w:rPr>
        <w:t>;</w:t>
      </w:r>
      <w:r>
        <w:rPr>
          <w:rFonts w:eastAsia="Times New Roman" w:cstheme="minorHAnsi"/>
          <w:sz w:val="20"/>
          <w:szCs w:val="20"/>
        </w:rPr>
        <w:t xml:space="preserve"> </w:t>
      </w:r>
      <w:r w:rsidR="00E36663">
        <w:rPr>
          <w:rFonts w:eastAsia="Times New Roman" w:cstheme="minorHAnsi"/>
          <w:sz w:val="20"/>
          <w:szCs w:val="20"/>
        </w:rPr>
        <w:t>vypracoval</w:t>
      </w:r>
      <w:r>
        <w:rPr>
          <w:rFonts w:eastAsia="Times New Roman" w:cstheme="minorHAnsi"/>
          <w:sz w:val="20"/>
          <w:szCs w:val="20"/>
        </w:rPr>
        <w:t xml:space="preserve"> NKÚ.</w:t>
      </w:r>
    </w:p>
    <w:p w14:paraId="297B868E" w14:textId="4A033487" w:rsidR="00EE43E4" w:rsidRPr="0088190A" w:rsidRDefault="00EE43E4" w:rsidP="001B3FE1">
      <w:pPr>
        <w:keepNext/>
        <w:spacing w:after="0" w:line="240" w:lineRule="auto"/>
        <w:ind w:left="567" w:hanging="567"/>
        <w:jc w:val="both"/>
        <w:rPr>
          <w:rFonts w:eastAsia="Times New Roman" w:cstheme="minorHAnsi"/>
          <w:sz w:val="20"/>
          <w:szCs w:val="20"/>
        </w:rPr>
      </w:pPr>
      <w:r w:rsidRPr="0088190A">
        <w:rPr>
          <w:rFonts w:eastAsia="Times New Roman" w:cstheme="minorHAnsi"/>
          <w:b/>
          <w:sz w:val="20"/>
          <w:szCs w:val="20"/>
        </w:rPr>
        <w:t>Pozn.:</w:t>
      </w:r>
      <w:r w:rsidRPr="0088190A">
        <w:rPr>
          <w:rFonts w:eastAsia="Times New Roman" w:cstheme="minorHAnsi"/>
          <w:sz w:val="20"/>
          <w:szCs w:val="20"/>
        </w:rPr>
        <w:t xml:space="preserve"> Jako veřejný sektor byly označeny organizace s právní formou veřejná vysoká škola a veřejná výzkumná instituce</w:t>
      </w:r>
      <w:r>
        <w:rPr>
          <w:rFonts w:eastAsia="Times New Roman" w:cstheme="minorHAnsi"/>
          <w:sz w:val="20"/>
          <w:szCs w:val="20"/>
        </w:rPr>
        <w:t>.</w:t>
      </w:r>
      <w:r w:rsidR="002C306E">
        <w:rPr>
          <w:rFonts w:eastAsia="Times New Roman" w:cstheme="minorHAnsi"/>
          <w:sz w:val="20"/>
          <w:szCs w:val="20"/>
        </w:rPr>
        <w:t xml:space="preserve"> Ostatní zdroje financování jsou převážně ze soukromého sektoru. </w:t>
      </w:r>
    </w:p>
    <w:p w14:paraId="02E5B3D9" w14:textId="1182DBC4" w:rsidR="00EE43E4" w:rsidRPr="0088190A" w:rsidRDefault="006A0A54" w:rsidP="001B3FE1">
      <w:pPr>
        <w:spacing w:before="240" w:after="120" w:line="240" w:lineRule="auto"/>
        <w:jc w:val="both"/>
        <w:rPr>
          <w:rFonts w:cstheme="minorHAnsi"/>
          <w:sz w:val="24"/>
          <w:szCs w:val="24"/>
        </w:rPr>
      </w:pPr>
      <w:r>
        <w:rPr>
          <w:rFonts w:cstheme="minorHAnsi"/>
          <w:sz w:val="24"/>
          <w:szCs w:val="24"/>
        </w:rPr>
        <w:t xml:space="preserve">4.6 </w:t>
      </w:r>
      <w:r w:rsidR="00EE43E4" w:rsidRPr="0088190A">
        <w:rPr>
          <w:rFonts w:cstheme="minorHAnsi"/>
          <w:sz w:val="24"/>
          <w:szCs w:val="24"/>
        </w:rPr>
        <w:t xml:space="preserve">V letech 2017 až 2023 bylo průměrně </w:t>
      </w:r>
      <w:r w:rsidR="00501B82">
        <w:rPr>
          <w:rFonts w:cstheme="minorHAnsi"/>
          <w:sz w:val="24"/>
          <w:szCs w:val="24"/>
        </w:rPr>
        <w:t>cca 70</w:t>
      </w:r>
      <w:r w:rsidR="00EE43E4" w:rsidRPr="0088190A">
        <w:rPr>
          <w:rFonts w:cstheme="minorHAnsi"/>
          <w:sz w:val="24"/>
          <w:szCs w:val="24"/>
        </w:rPr>
        <w:t xml:space="preserve"> % projektů TA ČR </w:t>
      </w:r>
      <w:r w:rsidR="001C158D">
        <w:rPr>
          <w:rFonts w:cstheme="minorHAnsi"/>
          <w:sz w:val="24"/>
          <w:szCs w:val="24"/>
        </w:rPr>
        <w:t xml:space="preserve">(5 948 z 8 609) </w:t>
      </w:r>
      <w:r w:rsidR="00EE43E4" w:rsidRPr="0088190A">
        <w:rPr>
          <w:rFonts w:cstheme="minorHAnsi"/>
          <w:sz w:val="24"/>
          <w:szCs w:val="24"/>
        </w:rPr>
        <w:t>realizováno ve</w:t>
      </w:r>
      <w:r w:rsidR="00E36663">
        <w:rPr>
          <w:rFonts w:cstheme="minorHAnsi"/>
          <w:sz w:val="24"/>
          <w:szCs w:val="24"/>
        </w:rPr>
        <w:t xml:space="preserve"> </w:t>
      </w:r>
      <w:r w:rsidR="00EE43E4" w:rsidRPr="0088190A">
        <w:rPr>
          <w:rFonts w:cstheme="minorHAnsi"/>
          <w:sz w:val="24"/>
          <w:szCs w:val="24"/>
        </w:rPr>
        <w:t>spolupráci veřejného a soukromého sektoru, přičemž tyto projekty získaly průměrně 82 % celkové podpory TA ČR. V těchto ukazatelích nebyl</w:t>
      </w:r>
      <w:r w:rsidR="00346D85">
        <w:rPr>
          <w:rFonts w:cstheme="minorHAnsi"/>
          <w:sz w:val="24"/>
          <w:szCs w:val="24"/>
        </w:rPr>
        <w:t>a</w:t>
      </w:r>
      <w:r w:rsidR="00EE43E4" w:rsidRPr="0088190A">
        <w:rPr>
          <w:rFonts w:cstheme="minorHAnsi"/>
          <w:sz w:val="24"/>
          <w:szCs w:val="24"/>
        </w:rPr>
        <w:t xml:space="preserve"> </w:t>
      </w:r>
      <w:r w:rsidR="00691B2E">
        <w:rPr>
          <w:rFonts w:cstheme="minorHAnsi"/>
          <w:sz w:val="24"/>
          <w:szCs w:val="24"/>
        </w:rPr>
        <w:t xml:space="preserve">zjištěna </w:t>
      </w:r>
      <w:r w:rsidR="00EE43E4" w:rsidRPr="0088190A">
        <w:rPr>
          <w:rFonts w:cstheme="minorHAnsi"/>
          <w:sz w:val="24"/>
          <w:szCs w:val="24"/>
        </w:rPr>
        <w:t>významn</w:t>
      </w:r>
      <w:r w:rsidR="00CC3791">
        <w:rPr>
          <w:rFonts w:cstheme="minorHAnsi"/>
          <w:sz w:val="24"/>
          <w:szCs w:val="24"/>
        </w:rPr>
        <w:t>á</w:t>
      </w:r>
      <w:r w:rsidR="00EE43E4" w:rsidRPr="0088190A">
        <w:rPr>
          <w:rFonts w:cstheme="minorHAnsi"/>
          <w:sz w:val="24"/>
          <w:szCs w:val="24"/>
        </w:rPr>
        <w:t xml:space="preserve"> </w:t>
      </w:r>
      <w:r w:rsidR="00CC3791">
        <w:rPr>
          <w:rFonts w:cstheme="minorHAnsi"/>
          <w:sz w:val="24"/>
          <w:szCs w:val="24"/>
        </w:rPr>
        <w:t>změna</w:t>
      </w:r>
      <w:r w:rsidR="00EE43E4" w:rsidRPr="0088190A">
        <w:rPr>
          <w:rFonts w:cstheme="minorHAnsi"/>
          <w:sz w:val="24"/>
          <w:szCs w:val="24"/>
        </w:rPr>
        <w:t>.</w:t>
      </w:r>
    </w:p>
    <w:p w14:paraId="41312DE3" w14:textId="797D61B3" w:rsidR="00EE43E4" w:rsidRPr="0088190A" w:rsidRDefault="006A0A54" w:rsidP="00EE43E4">
      <w:pPr>
        <w:spacing w:after="120" w:line="240" w:lineRule="auto"/>
        <w:jc w:val="both"/>
        <w:rPr>
          <w:rFonts w:cstheme="minorHAnsi"/>
          <w:sz w:val="24"/>
          <w:szCs w:val="24"/>
        </w:rPr>
      </w:pPr>
      <w:r>
        <w:rPr>
          <w:rFonts w:cstheme="minorHAnsi"/>
          <w:sz w:val="24"/>
          <w:szCs w:val="24"/>
        </w:rPr>
        <w:t xml:space="preserve">4.7 </w:t>
      </w:r>
      <w:r w:rsidR="00EE43E4" w:rsidRPr="0088190A">
        <w:rPr>
          <w:rFonts w:cstheme="minorHAnsi"/>
          <w:sz w:val="24"/>
          <w:szCs w:val="24"/>
        </w:rPr>
        <w:t>Naopak byl</w:t>
      </w:r>
      <w:r w:rsidR="00AF4324">
        <w:rPr>
          <w:rFonts w:cstheme="minorHAnsi"/>
          <w:sz w:val="24"/>
          <w:szCs w:val="24"/>
        </w:rPr>
        <w:t>o</w:t>
      </w:r>
      <w:r w:rsidR="00EE43E4" w:rsidRPr="0088190A">
        <w:rPr>
          <w:rFonts w:cstheme="minorHAnsi"/>
          <w:sz w:val="24"/>
          <w:szCs w:val="24"/>
        </w:rPr>
        <w:t xml:space="preserve"> zaznamenán</w:t>
      </w:r>
      <w:r w:rsidR="00AF4324">
        <w:rPr>
          <w:rFonts w:cstheme="minorHAnsi"/>
          <w:sz w:val="24"/>
          <w:szCs w:val="24"/>
        </w:rPr>
        <w:t>o</w:t>
      </w:r>
      <w:r w:rsidR="00EE43E4" w:rsidRPr="0088190A">
        <w:rPr>
          <w:rFonts w:cstheme="minorHAnsi"/>
          <w:sz w:val="24"/>
          <w:szCs w:val="24"/>
        </w:rPr>
        <w:t xml:space="preserve"> </w:t>
      </w:r>
      <w:r w:rsidR="00AF4324">
        <w:rPr>
          <w:rFonts w:cstheme="minorHAnsi"/>
          <w:sz w:val="24"/>
          <w:szCs w:val="24"/>
        </w:rPr>
        <w:t>zvýšení</w:t>
      </w:r>
      <w:r w:rsidR="00EE43E4" w:rsidRPr="0088190A">
        <w:rPr>
          <w:rFonts w:cstheme="minorHAnsi"/>
          <w:sz w:val="24"/>
          <w:szCs w:val="24"/>
        </w:rPr>
        <w:t xml:space="preserve"> průměrné intenzity podpory TA ČR a spolufinancování. Průměrná intenzita podpory se zvyšovala z 68 % </w:t>
      </w:r>
      <w:r w:rsidR="00DF7F84">
        <w:rPr>
          <w:rFonts w:cstheme="minorHAnsi"/>
          <w:sz w:val="24"/>
          <w:szCs w:val="24"/>
        </w:rPr>
        <w:t xml:space="preserve">(2 804 mil. Kč) </w:t>
      </w:r>
      <w:r w:rsidR="00EE43E4" w:rsidRPr="0088190A">
        <w:rPr>
          <w:rFonts w:cstheme="minorHAnsi"/>
          <w:sz w:val="24"/>
          <w:szCs w:val="24"/>
        </w:rPr>
        <w:t xml:space="preserve">v roce 2017 na 77 % </w:t>
      </w:r>
      <w:r w:rsidR="00DF7F84">
        <w:rPr>
          <w:rFonts w:cstheme="minorHAnsi"/>
          <w:sz w:val="24"/>
          <w:szCs w:val="24"/>
        </w:rPr>
        <w:t>(5</w:t>
      </w:r>
      <w:r w:rsidR="00346D85">
        <w:rPr>
          <w:rFonts w:cstheme="minorHAnsi"/>
          <w:sz w:val="24"/>
          <w:szCs w:val="24"/>
        </w:rPr>
        <w:t> </w:t>
      </w:r>
      <w:r w:rsidR="00DF7F84">
        <w:rPr>
          <w:rFonts w:cstheme="minorHAnsi"/>
          <w:sz w:val="24"/>
          <w:szCs w:val="24"/>
        </w:rPr>
        <w:t>894</w:t>
      </w:r>
      <w:r w:rsidR="00346D85">
        <w:rPr>
          <w:rFonts w:cstheme="minorHAnsi"/>
          <w:sz w:val="24"/>
          <w:szCs w:val="24"/>
        </w:rPr>
        <w:t> </w:t>
      </w:r>
      <w:r w:rsidR="00DF7F84">
        <w:rPr>
          <w:rFonts w:cstheme="minorHAnsi"/>
          <w:sz w:val="24"/>
          <w:szCs w:val="24"/>
        </w:rPr>
        <w:t>mil.</w:t>
      </w:r>
      <w:r w:rsidR="00346D85">
        <w:rPr>
          <w:rFonts w:cstheme="minorHAnsi"/>
          <w:sz w:val="24"/>
          <w:szCs w:val="24"/>
        </w:rPr>
        <w:t> </w:t>
      </w:r>
      <w:r w:rsidR="00DF7F84">
        <w:rPr>
          <w:rFonts w:cstheme="minorHAnsi"/>
          <w:sz w:val="24"/>
          <w:szCs w:val="24"/>
        </w:rPr>
        <w:t xml:space="preserve">Kč) </w:t>
      </w:r>
      <w:r w:rsidR="00EE43E4" w:rsidRPr="0088190A">
        <w:rPr>
          <w:rFonts w:cstheme="minorHAnsi"/>
          <w:sz w:val="24"/>
          <w:szCs w:val="24"/>
        </w:rPr>
        <w:t xml:space="preserve">v roce 2023, s průměrem 74 % za celé období. Míra spoluúčasti soukromého sektoru se naopak snižovala z 32 % </w:t>
      </w:r>
      <w:r w:rsidR="00DF7F84">
        <w:rPr>
          <w:rFonts w:cstheme="minorHAnsi"/>
          <w:sz w:val="24"/>
          <w:szCs w:val="24"/>
        </w:rPr>
        <w:t xml:space="preserve">(1 308 mil. Kč) </w:t>
      </w:r>
      <w:r w:rsidR="00EE43E4" w:rsidRPr="0088190A">
        <w:rPr>
          <w:rFonts w:cstheme="minorHAnsi"/>
          <w:sz w:val="24"/>
          <w:szCs w:val="24"/>
        </w:rPr>
        <w:t xml:space="preserve">v roce 2017 na 23 % </w:t>
      </w:r>
      <w:r w:rsidR="00DF7F84">
        <w:rPr>
          <w:rFonts w:cstheme="minorHAnsi"/>
          <w:sz w:val="24"/>
          <w:szCs w:val="24"/>
        </w:rPr>
        <w:t>(</w:t>
      </w:r>
      <w:r w:rsidR="00496051">
        <w:rPr>
          <w:rFonts w:cstheme="minorHAnsi"/>
          <w:sz w:val="24"/>
          <w:szCs w:val="24"/>
        </w:rPr>
        <w:t xml:space="preserve">1 779 mil. Kč) </w:t>
      </w:r>
      <w:r w:rsidR="00EE43E4" w:rsidRPr="0088190A">
        <w:rPr>
          <w:rFonts w:cstheme="minorHAnsi"/>
          <w:sz w:val="24"/>
          <w:szCs w:val="24"/>
        </w:rPr>
        <w:t>v roce 2023, s průměrem 26 %.</w:t>
      </w:r>
    </w:p>
    <w:p w14:paraId="16BA3972" w14:textId="0E61C18E" w:rsidR="00EE43E4" w:rsidRPr="0088190A" w:rsidRDefault="006A0A54" w:rsidP="00EE43E4">
      <w:pPr>
        <w:spacing w:after="120" w:line="240" w:lineRule="auto"/>
        <w:jc w:val="both"/>
        <w:rPr>
          <w:rFonts w:cstheme="minorHAnsi"/>
          <w:sz w:val="24"/>
          <w:szCs w:val="24"/>
        </w:rPr>
      </w:pPr>
      <w:r>
        <w:rPr>
          <w:rFonts w:cstheme="minorHAnsi"/>
          <w:sz w:val="24"/>
          <w:szCs w:val="24"/>
        </w:rPr>
        <w:t xml:space="preserve">4.8 </w:t>
      </w:r>
      <w:r w:rsidR="00EE43E4" w:rsidRPr="0088190A">
        <w:rPr>
          <w:rFonts w:cstheme="minorHAnsi"/>
          <w:sz w:val="24"/>
          <w:szCs w:val="24"/>
        </w:rPr>
        <w:t xml:space="preserve">Objem ostatních zdrojů financování, převážně ze soukromého sektoru, rostl pomaleji než podpora TA ČR, což je dáno i zvyšujícím se rozpočtem TA ČR na účelovou podporu v relativně krátkém období. Z tohoto pohledu se tedy </w:t>
      </w:r>
      <w:r w:rsidR="00AF4324">
        <w:rPr>
          <w:rFonts w:cstheme="minorHAnsi"/>
          <w:sz w:val="24"/>
          <w:szCs w:val="24"/>
        </w:rPr>
        <w:t xml:space="preserve">finanční </w:t>
      </w:r>
      <w:r w:rsidR="00EE43E4" w:rsidRPr="0088190A">
        <w:rPr>
          <w:rFonts w:cstheme="minorHAnsi"/>
          <w:sz w:val="24"/>
          <w:szCs w:val="24"/>
        </w:rPr>
        <w:t>spolupráce soukromého a veřejného sektoru snižovala.</w:t>
      </w:r>
    </w:p>
    <w:p w14:paraId="5D32EA71" w14:textId="5E05F44E" w:rsidR="007A1944" w:rsidRDefault="006A0A54" w:rsidP="00B672B9">
      <w:pPr>
        <w:spacing w:before="120" w:after="120" w:line="240" w:lineRule="auto"/>
        <w:jc w:val="both"/>
        <w:rPr>
          <w:rFonts w:cstheme="minorHAnsi"/>
          <w:b/>
          <w:sz w:val="24"/>
          <w:szCs w:val="24"/>
        </w:rPr>
      </w:pPr>
      <w:r>
        <w:rPr>
          <w:rFonts w:cstheme="minorHAnsi"/>
          <w:b/>
          <w:sz w:val="24"/>
          <w:szCs w:val="24"/>
        </w:rPr>
        <w:t xml:space="preserve">4.9 </w:t>
      </w:r>
      <w:r w:rsidR="00AF4324">
        <w:rPr>
          <w:rFonts w:cstheme="minorHAnsi"/>
          <w:b/>
          <w:sz w:val="24"/>
          <w:szCs w:val="24"/>
        </w:rPr>
        <w:t xml:space="preserve">Přestože </w:t>
      </w:r>
      <w:r w:rsidR="00EE43E4" w:rsidRPr="0088190A">
        <w:rPr>
          <w:rFonts w:cstheme="minorHAnsi"/>
          <w:b/>
          <w:sz w:val="24"/>
          <w:szCs w:val="24"/>
        </w:rPr>
        <w:t>TA ČR nastavila podmínky pro podporu spolupráce se soukromým sektorem</w:t>
      </w:r>
      <w:r w:rsidR="00AF4324">
        <w:rPr>
          <w:rFonts w:cstheme="minorHAnsi"/>
          <w:b/>
          <w:sz w:val="24"/>
          <w:szCs w:val="24"/>
        </w:rPr>
        <w:t xml:space="preserve"> a</w:t>
      </w:r>
      <w:r w:rsidR="00346D85">
        <w:rPr>
          <w:rFonts w:cstheme="minorHAnsi"/>
          <w:b/>
          <w:sz w:val="24"/>
          <w:szCs w:val="24"/>
        </w:rPr>
        <w:t> </w:t>
      </w:r>
      <w:r w:rsidR="00AF4324">
        <w:rPr>
          <w:rFonts w:cstheme="minorHAnsi"/>
          <w:b/>
          <w:sz w:val="24"/>
          <w:szCs w:val="24"/>
        </w:rPr>
        <w:t>většina podpořených projektů byla realizov</w:t>
      </w:r>
      <w:r w:rsidR="00E36663">
        <w:rPr>
          <w:rFonts w:cstheme="minorHAnsi"/>
          <w:b/>
          <w:sz w:val="24"/>
          <w:szCs w:val="24"/>
        </w:rPr>
        <w:t>ána</w:t>
      </w:r>
      <w:r w:rsidR="00AF4324">
        <w:rPr>
          <w:rFonts w:cstheme="minorHAnsi"/>
          <w:b/>
          <w:sz w:val="24"/>
          <w:szCs w:val="24"/>
        </w:rPr>
        <w:t>, k posílení finanční spolupráce mezi TA ČR a soukromým sektorem nedošlo</w:t>
      </w:r>
      <w:r w:rsidR="00EE43E4" w:rsidRPr="0088190A">
        <w:rPr>
          <w:rFonts w:cstheme="minorHAnsi"/>
          <w:b/>
          <w:sz w:val="24"/>
          <w:szCs w:val="24"/>
        </w:rPr>
        <w:t>. Počet a objem podpory takovýchto projektů nevykazoval žádn</w:t>
      </w:r>
      <w:r w:rsidR="00AF4324">
        <w:rPr>
          <w:rFonts w:cstheme="minorHAnsi"/>
          <w:b/>
          <w:sz w:val="24"/>
          <w:szCs w:val="24"/>
        </w:rPr>
        <w:t>ou</w:t>
      </w:r>
      <w:r w:rsidR="00EE43E4" w:rsidRPr="0088190A">
        <w:rPr>
          <w:rFonts w:cstheme="minorHAnsi"/>
          <w:b/>
          <w:sz w:val="24"/>
          <w:szCs w:val="24"/>
        </w:rPr>
        <w:t xml:space="preserve"> </w:t>
      </w:r>
      <w:r w:rsidR="00AF4324">
        <w:rPr>
          <w:rFonts w:cstheme="minorHAnsi"/>
          <w:b/>
          <w:sz w:val="24"/>
          <w:szCs w:val="24"/>
        </w:rPr>
        <w:t>významnou změnu</w:t>
      </w:r>
      <w:r w:rsidR="00EE43E4" w:rsidRPr="0088190A">
        <w:rPr>
          <w:rFonts w:cstheme="minorHAnsi"/>
          <w:b/>
          <w:sz w:val="24"/>
          <w:szCs w:val="24"/>
        </w:rPr>
        <w:t xml:space="preserve">. Od roku 2017 rostla </w:t>
      </w:r>
      <w:r w:rsidR="00AF4324">
        <w:rPr>
          <w:rFonts w:cstheme="minorHAnsi"/>
          <w:b/>
          <w:sz w:val="24"/>
          <w:szCs w:val="24"/>
        </w:rPr>
        <w:t>výše</w:t>
      </w:r>
      <w:r w:rsidR="00EE43E4" w:rsidRPr="0088190A">
        <w:rPr>
          <w:rFonts w:cstheme="minorHAnsi"/>
          <w:b/>
          <w:sz w:val="24"/>
          <w:szCs w:val="24"/>
        </w:rPr>
        <w:t xml:space="preserve"> podpory TA ČR a</w:t>
      </w:r>
      <w:r w:rsidR="00EE43E4">
        <w:rPr>
          <w:rFonts w:cstheme="minorHAnsi"/>
          <w:b/>
          <w:sz w:val="24"/>
          <w:szCs w:val="24"/>
        </w:rPr>
        <w:t> </w:t>
      </w:r>
      <w:r w:rsidR="00EE43E4" w:rsidRPr="0088190A">
        <w:rPr>
          <w:rFonts w:cstheme="minorHAnsi"/>
          <w:b/>
          <w:sz w:val="24"/>
          <w:szCs w:val="24"/>
        </w:rPr>
        <w:t>snižovala se míra spoluúčasti</w:t>
      </w:r>
      <w:r w:rsidR="004F5011">
        <w:rPr>
          <w:rFonts w:cstheme="minorHAnsi"/>
          <w:b/>
          <w:sz w:val="24"/>
          <w:szCs w:val="24"/>
        </w:rPr>
        <w:t xml:space="preserve"> </w:t>
      </w:r>
      <w:r w:rsidR="00AF4324">
        <w:rPr>
          <w:rFonts w:cstheme="minorHAnsi"/>
          <w:b/>
          <w:sz w:val="24"/>
          <w:szCs w:val="24"/>
        </w:rPr>
        <w:t>souk</w:t>
      </w:r>
      <w:r w:rsidR="004F5011">
        <w:rPr>
          <w:rFonts w:cstheme="minorHAnsi"/>
          <w:b/>
          <w:sz w:val="24"/>
          <w:szCs w:val="24"/>
        </w:rPr>
        <w:t>r</w:t>
      </w:r>
      <w:r w:rsidR="00AF4324">
        <w:rPr>
          <w:rFonts w:cstheme="minorHAnsi"/>
          <w:b/>
          <w:sz w:val="24"/>
          <w:szCs w:val="24"/>
        </w:rPr>
        <w:t>omého sektoru</w:t>
      </w:r>
      <w:r w:rsidR="00EE43E4" w:rsidRPr="0088190A">
        <w:rPr>
          <w:rFonts w:cstheme="minorHAnsi"/>
          <w:b/>
          <w:sz w:val="24"/>
          <w:szCs w:val="24"/>
        </w:rPr>
        <w:t>.</w:t>
      </w:r>
      <w:bookmarkEnd w:id="4"/>
    </w:p>
    <w:p w14:paraId="33258D05" w14:textId="0F33E3E9" w:rsidR="00B672B9" w:rsidRPr="004E2AE2" w:rsidRDefault="00B672B9" w:rsidP="008D3501">
      <w:pPr>
        <w:pStyle w:val="Odstavecseseznamem"/>
        <w:keepNext/>
        <w:numPr>
          <w:ilvl w:val="0"/>
          <w:numId w:val="2"/>
        </w:numPr>
        <w:spacing w:before="240" w:after="240" w:line="240" w:lineRule="auto"/>
        <w:ind w:left="284" w:hanging="284"/>
        <w:contextualSpacing w:val="0"/>
        <w:jc w:val="both"/>
        <w:rPr>
          <w:rFonts w:cstheme="minorHAnsi"/>
          <w:b/>
          <w:sz w:val="24"/>
          <w:szCs w:val="24"/>
        </w:rPr>
      </w:pPr>
      <w:r>
        <w:rPr>
          <w:rFonts w:cstheme="minorHAnsi"/>
          <w:b/>
          <w:sz w:val="24"/>
          <w:szCs w:val="24"/>
        </w:rPr>
        <w:t>Růst</w:t>
      </w:r>
      <w:r w:rsidRPr="004E2AE2">
        <w:rPr>
          <w:rFonts w:cstheme="minorHAnsi"/>
          <w:b/>
          <w:sz w:val="24"/>
          <w:szCs w:val="24"/>
        </w:rPr>
        <w:t xml:space="preserve"> </w:t>
      </w:r>
      <w:r w:rsidR="008E7473">
        <w:rPr>
          <w:rFonts w:cstheme="minorHAnsi"/>
          <w:b/>
          <w:sz w:val="24"/>
          <w:szCs w:val="24"/>
        </w:rPr>
        <w:t xml:space="preserve">počtu </w:t>
      </w:r>
      <w:r w:rsidRPr="004E2AE2">
        <w:rPr>
          <w:rFonts w:cstheme="minorHAnsi"/>
          <w:b/>
          <w:sz w:val="24"/>
          <w:szCs w:val="24"/>
        </w:rPr>
        <w:t>aplikovaných výsledků</w:t>
      </w:r>
      <w:r w:rsidR="008E7473">
        <w:rPr>
          <w:rFonts w:cstheme="minorHAnsi"/>
          <w:b/>
          <w:sz w:val="24"/>
          <w:szCs w:val="24"/>
        </w:rPr>
        <w:t>, pokles počtu</w:t>
      </w:r>
      <w:r w:rsidRPr="004E2AE2">
        <w:rPr>
          <w:rFonts w:cstheme="minorHAnsi"/>
          <w:b/>
          <w:sz w:val="24"/>
          <w:szCs w:val="24"/>
        </w:rPr>
        <w:t xml:space="preserve"> patentů</w:t>
      </w:r>
    </w:p>
    <w:p w14:paraId="429FD26E" w14:textId="266F4BCE" w:rsidR="00B672B9" w:rsidRPr="0088190A" w:rsidRDefault="006A0A54" w:rsidP="001B3FE1">
      <w:pPr>
        <w:spacing w:after="120" w:line="240" w:lineRule="auto"/>
        <w:jc w:val="both"/>
        <w:rPr>
          <w:rFonts w:cstheme="minorHAnsi"/>
          <w:sz w:val="24"/>
          <w:szCs w:val="24"/>
        </w:rPr>
      </w:pPr>
      <w:r>
        <w:rPr>
          <w:rFonts w:cstheme="minorHAnsi"/>
          <w:sz w:val="24"/>
          <w:szCs w:val="24"/>
        </w:rPr>
        <w:t xml:space="preserve">4.10 </w:t>
      </w:r>
      <w:r w:rsidR="00B672B9" w:rsidRPr="0088190A">
        <w:rPr>
          <w:rFonts w:cstheme="minorHAnsi"/>
          <w:sz w:val="24"/>
          <w:szCs w:val="24"/>
        </w:rPr>
        <w:t>Základní analytický nástroj pro porovnávání inovační výkonnosti a celkové úrovně v</w:t>
      </w:r>
      <w:r w:rsidR="00B672B9">
        <w:rPr>
          <w:rFonts w:cstheme="minorHAnsi"/>
          <w:sz w:val="24"/>
          <w:szCs w:val="24"/>
        </w:rPr>
        <w:t> </w:t>
      </w:r>
      <w:r w:rsidR="00B672B9" w:rsidRPr="0088190A">
        <w:rPr>
          <w:rFonts w:cstheme="minorHAnsi"/>
          <w:sz w:val="24"/>
          <w:szCs w:val="24"/>
        </w:rPr>
        <w:t xml:space="preserve">oblasti </w:t>
      </w:r>
      <w:proofErr w:type="spellStart"/>
      <w:r w:rsidR="00B672B9" w:rsidRPr="0088190A">
        <w:rPr>
          <w:rFonts w:cstheme="minorHAnsi"/>
          <w:sz w:val="24"/>
          <w:szCs w:val="24"/>
        </w:rPr>
        <w:t>VaVaI</w:t>
      </w:r>
      <w:proofErr w:type="spellEnd"/>
      <w:r w:rsidR="00B672B9" w:rsidRPr="0088190A">
        <w:rPr>
          <w:rFonts w:cstheme="minorHAnsi"/>
          <w:sz w:val="24"/>
          <w:szCs w:val="24"/>
        </w:rPr>
        <w:t xml:space="preserve"> evropských zemí představuje Evropskou komisí každoročně zveřejňovaný Evropský srovnávací přehled inovací (</w:t>
      </w:r>
      <w:proofErr w:type="spellStart"/>
      <w:r w:rsidR="00B672B9" w:rsidRPr="007925FA">
        <w:rPr>
          <w:rFonts w:cstheme="minorHAnsi"/>
          <w:i/>
          <w:iCs/>
          <w:sz w:val="24"/>
          <w:szCs w:val="24"/>
        </w:rPr>
        <w:t>European</w:t>
      </w:r>
      <w:proofErr w:type="spellEnd"/>
      <w:r w:rsidR="00B672B9" w:rsidRPr="007925FA">
        <w:rPr>
          <w:rFonts w:cstheme="minorHAnsi"/>
          <w:i/>
          <w:iCs/>
          <w:sz w:val="24"/>
          <w:szCs w:val="24"/>
        </w:rPr>
        <w:t xml:space="preserve"> Innovation </w:t>
      </w:r>
      <w:proofErr w:type="spellStart"/>
      <w:r w:rsidR="00346D85" w:rsidRPr="007925FA">
        <w:rPr>
          <w:rFonts w:cstheme="minorHAnsi"/>
          <w:i/>
          <w:iCs/>
          <w:sz w:val="24"/>
          <w:szCs w:val="24"/>
        </w:rPr>
        <w:t>Scoreboard</w:t>
      </w:r>
      <w:proofErr w:type="spellEnd"/>
      <w:r w:rsidR="00346D85">
        <w:rPr>
          <w:rFonts w:cstheme="minorHAnsi"/>
          <w:sz w:val="24"/>
          <w:szCs w:val="24"/>
        </w:rPr>
        <w:t xml:space="preserve"> – dále</w:t>
      </w:r>
      <w:r w:rsidR="00390B03">
        <w:rPr>
          <w:rFonts w:cstheme="minorHAnsi"/>
          <w:sz w:val="24"/>
          <w:szCs w:val="24"/>
        </w:rPr>
        <w:t xml:space="preserve"> také „</w:t>
      </w:r>
      <w:r w:rsidR="00462682">
        <w:rPr>
          <w:rFonts w:cstheme="minorHAnsi"/>
          <w:sz w:val="24"/>
          <w:szCs w:val="24"/>
        </w:rPr>
        <w:t>EIS</w:t>
      </w:r>
      <w:r w:rsidR="00390B03">
        <w:rPr>
          <w:rFonts w:cstheme="minorHAnsi"/>
          <w:sz w:val="24"/>
          <w:szCs w:val="24"/>
        </w:rPr>
        <w:t>“</w:t>
      </w:r>
      <w:r w:rsidR="00B672B9" w:rsidRPr="0088190A">
        <w:rPr>
          <w:rFonts w:cstheme="minorHAnsi"/>
          <w:sz w:val="24"/>
          <w:szCs w:val="24"/>
        </w:rPr>
        <w:t xml:space="preserve">). Jedná se o statistický nástroj, který na základě </w:t>
      </w:r>
      <w:r w:rsidR="00AF4324">
        <w:rPr>
          <w:rFonts w:cstheme="minorHAnsi"/>
          <w:sz w:val="24"/>
          <w:szCs w:val="24"/>
        </w:rPr>
        <w:t xml:space="preserve">tří desítek </w:t>
      </w:r>
      <w:r w:rsidR="00B672B9" w:rsidRPr="0088190A">
        <w:rPr>
          <w:rFonts w:cstheme="minorHAnsi"/>
          <w:sz w:val="24"/>
          <w:szCs w:val="24"/>
        </w:rPr>
        <w:t>ukazatelů (32 za rok 2024), které představují podstatné aspekty inovačního procesu</w:t>
      </w:r>
      <w:r w:rsidR="00C37352">
        <w:rPr>
          <w:rFonts w:cstheme="minorHAnsi"/>
          <w:sz w:val="24"/>
          <w:szCs w:val="24"/>
        </w:rPr>
        <w:t xml:space="preserve">, </w:t>
      </w:r>
      <w:r w:rsidR="00B672B9" w:rsidRPr="0088190A">
        <w:rPr>
          <w:rFonts w:cstheme="minorHAnsi"/>
          <w:sz w:val="24"/>
          <w:szCs w:val="24"/>
        </w:rPr>
        <w:t>umožňuje měřit, porovnávat a</w:t>
      </w:r>
      <w:r w:rsidR="005C036D">
        <w:rPr>
          <w:rFonts w:cstheme="minorHAnsi"/>
          <w:sz w:val="24"/>
          <w:szCs w:val="24"/>
        </w:rPr>
        <w:t> </w:t>
      </w:r>
      <w:r w:rsidR="00B672B9" w:rsidRPr="0088190A">
        <w:rPr>
          <w:rFonts w:cstheme="minorHAnsi"/>
          <w:sz w:val="24"/>
          <w:szCs w:val="24"/>
        </w:rPr>
        <w:t xml:space="preserve">následně </w:t>
      </w:r>
      <w:r w:rsidR="00B672B9" w:rsidRPr="0088190A">
        <w:rPr>
          <w:rFonts w:cstheme="minorHAnsi"/>
          <w:sz w:val="24"/>
          <w:szCs w:val="24"/>
        </w:rPr>
        <w:lastRenderedPageBreak/>
        <w:t>vyhodnocovat inovační kapacitu národních inovačních systémů členských států Evropské unie a kapacity celoevropského inovačního systému. Shromážděná statistická data jsou využívána pro</w:t>
      </w:r>
      <w:r w:rsidR="00E36663">
        <w:rPr>
          <w:rFonts w:cstheme="minorHAnsi"/>
          <w:sz w:val="24"/>
          <w:szCs w:val="24"/>
        </w:rPr>
        <w:t xml:space="preserve"> </w:t>
      </w:r>
      <w:r w:rsidR="00B672B9" w:rsidRPr="0088190A">
        <w:rPr>
          <w:rFonts w:cstheme="minorHAnsi"/>
          <w:sz w:val="24"/>
          <w:szCs w:val="24"/>
        </w:rPr>
        <w:t>srovnávací hodnocení současné inovační výkonnosti a pro analýzu jejích krátkodobých vývojových trendů.</w:t>
      </w:r>
    </w:p>
    <w:p w14:paraId="0858A918" w14:textId="5B00294B" w:rsidR="00B672B9" w:rsidRPr="0088190A" w:rsidRDefault="006A0A54" w:rsidP="001B3FE1">
      <w:pPr>
        <w:spacing w:after="120" w:line="240" w:lineRule="auto"/>
        <w:jc w:val="both"/>
        <w:rPr>
          <w:rFonts w:cstheme="minorHAnsi"/>
          <w:sz w:val="24"/>
          <w:szCs w:val="24"/>
        </w:rPr>
      </w:pPr>
      <w:r>
        <w:rPr>
          <w:rFonts w:cstheme="minorHAnsi"/>
          <w:sz w:val="24"/>
          <w:szCs w:val="24"/>
        </w:rPr>
        <w:t xml:space="preserve">4.11 </w:t>
      </w:r>
      <w:r w:rsidR="00B672B9" w:rsidRPr="0088190A">
        <w:rPr>
          <w:rFonts w:cstheme="minorHAnsi"/>
          <w:sz w:val="24"/>
          <w:szCs w:val="24"/>
        </w:rPr>
        <w:t>Česká republika se na základě výkonnosti inovačního systému dlouhodobě řadí do třetí ze čtyř kategorií a patří mezi tzv. mírné inovátory. Vývoj výkonnosti inovačního systému České republiky vztažený k výkonnosti inovačních systémů průměru 27 členských států Evropské unie (dále také „EU27“) zobrazuje následující graf č</w:t>
      </w:r>
      <w:r w:rsidR="00B672B9" w:rsidRPr="007A42BC">
        <w:rPr>
          <w:rFonts w:cstheme="minorHAnsi"/>
          <w:sz w:val="24"/>
          <w:szCs w:val="24"/>
        </w:rPr>
        <w:t>. 1.</w:t>
      </w:r>
      <w:r w:rsidR="00B672B9" w:rsidRPr="0088190A">
        <w:rPr>
          <w:rFonts w:cstheme="minorHAnsi"/>
          <w:sz w:val="24"/>
          <w:szCs w:val="24"/>
        </w:rPr>
        <w:t xml:space="preserve"> Součástí je rovněž porovnání patentové aktivity, jelikož patenty pomáhají chránit a komercionalizovat původní výsledky výzkumu</w:t>
      </w:r>
      <w:r w:rsidR="009C1E2C">
        <w:rPr>
          <w:rFonts w:cstheme="minorHAnsi"/>
          <w:sz w:val="24"/>
          <w:szCs w:val="24"/>
        </w:rPr>
        <w:t>,</w:t>
      </w:r>
      <w:r w:rsidR="00B672B9" w:rsidRPr="0088190A">
        <w:rPr>
          <w:rFonts w:cstheme="minorHAnsi"/>
          <w:sz w:val="24"/>
          <w:szCs w:val="24"/>
        </w:rPr>
        <w:t xml:space="preserve"> a jejich počet tak představuje jeden z klíčových ukazatelů úrovně aplikovaného výzkumu a inovací.</w:t>
      </w:r>
    </w:p>
    <w:p w14:paraId="4C5BBD1C" w14:textId="03A42731" w:rsidR="00B672B9" w:rsidRPr="0088190A" w:rsidRDefault="006A0A54" w:rsidP="001B3FE1">
      <w:pPr>
        <w:spacing w:after="120" w:line="240" w:lineRule="auto"/>
        <w:jc w:val="both"/>
        <w:rPr>
          <w:rFonts w:cstheme="minorHAnsi"/>
          <w:sz w:val="24"/>
          <w:szCs w:val="24"/>
        </w:rPr>
      </w:pPr>
      <w:r>
        <w:rPr>
          <w:rFonts w:cstheme="minorHAnsi"/>
          <w:sz w:val="24"/>
          <w:szCs w:val="24"/>
        </w:rPr>
        <w:t xml:space="preserve">4.12 </w:t>
      </w:r>
      <w:r w:rsidR="00B672B9" w:rsidRPr="0088190A">
        <w:rPr>
          <w:rFonts w:cstheme="minorHAnsi"/>
          <w:sz w:val="24"/>
          <w:szCs w:val="24"/>
        </w:rPr>
        <w:t xml:space="preserve">V roce 2017 dosahovala ČR v </w:t>
      </w:r>
      <w:r w:rsidR="00B672B9" w:rsidRPr="006225B4">
        <w:rPr>
          <w:rFonts w:cstheme="minorHAnsi"/>
          <w:sz w:val="24"/>
          <w:szCs w:val="24"/>
        </w:rPr>
        <w:t>počtu PCT</w:t>
      </w:r>
      <w:r w:rsidR="00B672B9" w:rsidRPr="006225B4">
        <w:rPr>
          <w:rStyle w:val="Znakapoznpodarou"/>
          <w:rFonts w:cstheme="minorHAnsi"/>
          <w:sz w:val="24"/>
          <w:szCs w:val="24"/>
        </w:rPr>
        <w:footnoteReference w:id="13"/>
      </w:r>
      <w:r w:rsidR="00B672B9" w:rsidRPr="006225B4">
        <w:rPr>
          <w:rFonts w:cstheme="minorHAnsi"/>
          <w:sz w:val="24"/>
          <w:szCs w:val="24"/>
        </w:rPr>
        <w:t xml:space="preserve"> </w:t>
      </w:r>
      <w:r w:rsidR="00B672B9" w:rsidRPr="0088190A">
        <w:rPr>
          <w:rFonts w:cstheme="minorHAnsi"/>
          <w:sz w:val="24"/>
          <w:szCs w:val="24"/>
        </w:rPr>
        <w:t>patentových přihlášek 52,8 % průměru EU27</w:t>
      </w:r>
      <w:r w:rsidR="009C1E2C">
        <w:rPr>
          <w:rFonts w:cstheme="minorHAnsi"/>
          <w:sz w:val="24"/>
          <w:szCs w:val="24"/>
        </w:rPr>
        <w:t>,</w:t>
      </w:r>
      <w:r w:rsidR="00B672B9" w:rsidRPr="0088190A">
        <w:rPr>
          <w:rFonts w:cstheme="minorHAnsi"/>
          <w:sz w:val="24"/>
          <w:szCs w:val="24"/>
        </w:rPr>
        <w:t xml:space="preserve"> a</w:t>
      </w:r>
      <w:r w:rsidR="00B672B9">
        <w:rPr>
          <w:rFonts w:cstheme="minorHAnsi"/>
          <w:sz w:val="24"/>
          <w:szCs w:val="24"/>
        </w:rPr>
        <w:t> </w:t>
      </w:r>
      <w:r w:rsidR="00B672B9" w:rsidRPr="0088190A">
        <w:rPr>
          <w:rFonts w:cstheme="minorHAnsi"/>
          <w:sz w:val="24"/>
          <w:szCs w:val="24"/>
        </w:rPr>
        <w:t>umístila se tak na 16. místě. V roce 2024 dosahovala ČR již jen 49,3 % průměru EU27 a</w:t>
      </w:r>
      <w:r w:rsidR="00B672B9">
        <w:rPr>
          <w:rFonts w:cstheme="minorHAnsi"/>
          <w:sz w:val="24"/>
          <w:szCs w:val="24"/>
        </w:rPr>
        <w:t> </w:t>
      </w:r>
      <w:r w:rsidR="00B672B9" w:rsidRPr="0088190A">
        <w:rPr>
          <w:rFonts w:cstheme="minorHAnsi"/>
          <w:sz w:val="24"/>
          <w:szCs w:val="24"/>
        </w:rPr>
        <w:t>umístila se až na 20. místě. V mezinárodním srovnání patentové aktivity se tak prohlubuje zaostávání ČR.</w:t>
      </w:r>
    </w:p>
    <w:p w14:paraId="7672A845" w14:textId="1D84235A" w:rsidR="00B672B9" w:rsidRPr="007A42BC" w:rsidRDefault="00B672B9" w:rsidP="001B3FE1">
      <w:pPr>
        <w:keepNext/>
        <w:spacing w:after="40" w:line="240" w:lineRule="auto"/>
        <w:ind w:left="1021" w:hanging="1021"/>
        <w:jc w:val="both"/>
        <w:rPr>
          <w:rFonts w:cstheme="minorHAnsi"/>
          <w:b/>
          <w:sz w:val="24"/>
          <w:szCs w:val="24"/>
        </w:rPr>
      </w:pPr>
      <w:r w:rsidRPr="007A42BC">
        <w:rPr>
          <w:rFonts w:cstheme="minorHAnsi"/>
          <w:b/>
          <w:sz w:val="24"/>
          <w:szCs w:val="24"/>
        </w:rPr>
        <w:t xml:space="preserve">Graf č. 1: </w:t>
      </w:r>
      <w:r w:rsidR="001B3FE1">
        <w:rPr>
          <w:rFonts w:cstheme="minorHAnsi"/>
          <w:b/>
          <w:sz w:val="24"/>
          <w:szCs w:val="24"/>
        </w:rPr>
        <w:tab/>
      </w:r>
      <w:r w:rsidRPr="007A42BC">
        <w:rPr>
          <w:rFonts w:cstheme="minorHAnsi"/>
          <w:b/>
          <w:sz w:val="24"/>
          <w:szCs w:val="24"/>
        </w:rPr>
        <w:t>Výkonnost inovačního systému ČR a patentová aktivita v letech 2017</w:t>
      </w:r>
      <w:r w:rsidR="009C1E2C">
        <w:rPr>
          <w:rFonts w:cstheme="minorHAnsi"/>
          <w:b/>
          <w:sz w:val="24"/>
          <w:szCs w:val="24"/>
        </w:rPr>
        <w:t>–</w:t>
      </w:r>
      <w:r w:rsidRPr="007A42BC">
        <w:rPr>
          <w:rFonts w:cstheme="minorHAnsi"/>
          <w:b/>
          <w:sz w:val="24"/>
          <w:szCs w:val="24"/>
        </w:rPr>
        <w:t>2024 vztažená k průměru EU27</w:t>
      </w:r>
    </w:p>
    <w:p w14:paraId="670291D1" w14:textId="13A4253F" w:rsidR="00B672B9" w:rsidRPr="0088190A" w:rsidRDefault="00B672B9" w:rsidP="00C21B9E">
      <w:pPr>
        <w:spacing w:after="120"/>
        <w:jc w:val="both"/>
        <w:rPr>
          <w:rFonts w:cstheme="minorHAnsi"/>
          <w:sz w:val="20"/>
          <w:szCs w:val="20"/>
        </w:rPr>
      </w:pPr>
      <w:r w:rsidRPr="0088190A">
        <w:rPr>
          <w:rFonts w:cstheme="minorHAnsi"/>
          <w:noProof/>
          <w:color w:val="FF0000"/>
          <w:highlight w:val="yellow"/>
          <w:shd w:val="clear" w:color="auto" w:fill="538135" w:themeFill="accent6" w:themeFillShade="BF"/>
        </w:rPr>
        <w:drawing>
          <wp:inline distT="0" distB="0" distL="0" distR="0" wp14:anchorId="138EDDE1" wp14:editId="2F4B8979">
            <wp:extent cx="5760000" cy="2847975"/>
            <wp:effectExtent l="0" t="0" r="0" b="0"/>
            <wp:docPr id="1800896558" name="Graf 1">
              <a:extLst xmlns:a="http://schemas.openxmlformats.org/drawingml/2006/main">
                <a:ext uri="{FF2B5EF4-FFF2-40B4-BE49-F238E27FC236}">
                  <a16:creationId xmlns:a16="http://schemas.microsoft.com/office/drawing/2014/main" id="{E434E540-AE95-4360-B86F-5D3EEB10A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8190A">
        <w:rPr>
          <w:rFonts w:cstheme="minorHAnsi"/>
          <w:b/>
          <w:sz w:val="20"/>
          <w:szCs w:val="20"/>
        </w:rPr>
        <w:t>Zdroj:</w:t>
      </w:r>
      <w:r w:rsidRPr="0088190A">
        <w:rPr>
          <w:rFonts w:cstheme="minorHAnsi"/>
          <w:sz w:val="20"/>
          <w:szCs w:val="20"/>
        </w:rPr>
        <w:t xml:space="preserve"> </w:t>
      </w:r>
      <w:r w:rsidRPr="00EE6508">
        <w:rPr>
          <w:rFonts w:cstheme="minorHAnsi"/>
          <w:i/>
          <w:iCs/>
          <w:sz w:val="20"/>
          <w:szCs w:val="20"/>
          <w:lang w:val="en-GB"/>
        </w:rPr>
        <w:t>European Innovation Scoreboard</w:t>
      </w:r>
      <w:r w:rsidRPr="00EE6508">
        <w:rPr>
          <w:rFonts w:cstheme="minorHAnsi"/>
          <w:i/>
          <w:iCs/>
          <w:sz w:val="20"/>
          <w:szCs w:val="20"/>
        </w:rPr>
        <w:t xml:space="preserve"> 2024</w:t>
      </w:r>
      <w:r w:rsidR="009C1E2C">
        <w:rPr>
          <w:rFonts w:cstheme="minorHAnsi"/>
          <w:sz w:val="20"/>
          <w:szCs w:val="20"/>
        </w:rPr>
        <w:t>;</w:t>
      </w:r>
      <w:r>
        <w:rPr>
          <w:rFonts w:cstheme="minorHAnsi"/>
          <w:sz w:val="20"/>
          <w:szCs w:val="20"/>
        </w:rPr>
        <w:t xml:space="preserve"> </w:t>
      </w:r>
      <w:r w:rsidR="009C1E2C">
        <w:rPr>
          <w:rFonts w:cstheme="minorHAnsi"/>
          <w:sz w:val="20"/>
          <w:szCs w:val="20"/>
        </w:rPr>
        <w:t>vypracoval</w:t>
      </w:r>
      <w:r>
        <w:rPr>
          <w:rFonts w:cstheme="minorHAnsi"/>
          <w:sz w:val="20"/>
          <w:szCs w:val="20"/>
        </w:rPr>
        <w:t xml:space="preserve"> NKÚ</w:t>
      </w:r>
      <w:r w:rsidRPr="0088190A">
        <w:rPr>
          <w:rFonts w:cstheme="minorHAnsi"/>
          <w:sz w:val="20"/>
          <w:szCs w:val="20"/>
        </w:rPr>
        <w:t>.</w:t>
      </w:r>
    </w:p>
    <w:p w14:paraId="68A0DA30" w14:textId="031D949A" w:rsidR="00B672B9" w:rsidRPr="0088190A" w:rsidRDefault="006A0A54" w:rsidP="001B3FE1">
      <w:pPr>
        <w:spacing w:before="240" w:after="120" w:line="240" w:lineRule="auto"/>
        <w:jc w:val="both"/>
        <w:rPr>
          <w:rFonts w:cstheme="minorHAnsi"/>
          <w:sz w:val="24"/>
          <w:szCs w:val="24"/>
        </w:rPr>
      </w:pPr>
      <w:r>
        <w:rPr>
          <w:rFonts w:cstheme="minorHAnsi"/>
          <w:sz w:val="24"/>
          <w:szCs w:val="24"/>
        </w:rPr>
        <w:t xml:space="preserve">4.13 </w:t>
      </w:r>
      <w:r w:rsidR="00B672B9" w:rsidRPr="0088190A">
        <w:rPr>
          <w:rFonts w:cstheme="minorHAnsi"/>
          <w:sz w:val="24"/>
          <w:szCs w:val="24"/>
        </w:rPr>
        <w:t>NKÚ prověřil, zda TA ČR zacílila podporu aplikovaného výzkumu zejména na tvorbu výsledků uplatnitelných v praxi, tzn. nastavení podmínek všech 14 programů, na které v</w:t>
      </w:r>
      <w:r w:rsidR="00B672B9">
        <w:rPr>
          <w:rFonts w:cstheme="minorHAnsi"/>
          <w:sz w:val="24"/>
          <w:szCs w:val="24"/>
        </w:rPr>
        <w:t> </w:t>
      </w:r>
      <w:r w:rsidR="00B672B9" w:rsidRPr="0088190A">
        <w:rPr>
          <w:rFonts w:cstheme="minorHAnsi"/>
          <w:sz w:val="24"/>
          <w:szCs w:val="24"/>
        </w:rPr>
        <w:t>kontrolovaném období 2021 až 2023 TA ČR vyplácela peněžní prostředky. V zadávacích dokumentacích 13 ze 14 programů TA ČR stanovila v rámci kritérií splnění cílů programu minimální počet aplikovaných výsledků programu. U osmi těchto programů TA ČR stanovila minimální počty i pro jednotlivé kategorie aplikovaných výsledků, jako jsou patenty, užitné vzory apod.</w:t>
      </w:r>
    </w:p>
    <w:p w14:paraId="7DDF466A" w14:textId="20280716" w:rsidR="00B672B9" w:rsidRPr="0088190A" w:rsidRDefault="006A0A54" w:rsidP="00B672B9">
      <w:pPr>
        <w:spacing w:before="120" w:after="0" w:line="240" w:lineRule="auto"/>
        <w:jc w:val="both"/>
        <w:rPr>
          <w:rFonts w:cstheme="minorHAnsi"/>
          <w:sz w:val="24"/>
          <w:szCs w:val="24"/>
        </w:rPr>
      </w:pPr>
      <w:r>
        <w:rPr>
          <w:rFonts w:cstheme="minorHAnsi"/>
          <w:sz w:val="24"/>
          <w:szCs w:val="24"/>
        </w:rPr>
        <w:t xml:space="preserve">4.14 </w:t>
      </w:r>
      <w:r w:rsidR="00B672B9" w:rsidRPr="0088190A">
        <w:rPr>
          <w:rFonts w:cstheme="minorHAnsi"/>
          <w:sz w:val="24"/>
          <w:szCs w:val="24"/>
        </w:rPr>
        <w:t xml:space="preserve">TA ČR rovněž sleduje průběh a přínosy implementace výstupů a výsledků z podpořených projektů. Implementací se rozumí využití daného výstupu/výsledku nebo jejich skupiny v praxi, nikoli jen jejich nahlášení </w:t>
      </w:r>
      <w:r w:rsidR="00B672B9" w:rsidRPr="006225B4">
        <w:rPr>
          <w:rFonts w:cstheme="minorHAnsi"/>
          <w:sz w:val="24"/>
          <w:szCs w:val="24"/>
        </w:rPr>
        <w:t>a akceptace v </w:t>
      </w:r>
      <w:r w:rsidR="00B672B9" w:rsidRPr="006225B4">
        <w:rPr>
          <w:rFonts w:eastAsia="Times New Roman" w:cstheme="minorHAnsi"/>
          <w:sz w:val="24"/>
          <w:szCs w:val="24"/>
        </w:rPr>
        <w:t>rejstříku informací o výsledcích (dále také „RIV“)</w:t>
      </w:r>
      <w:r w:rsidR="00B672B9">
        <w:rPr>
          <w:rFonts w:eastAsia="Times New Roman" w:cstheme="minorHAnsi"/>
          <w:sz w:val="24"/>
          <w:szCs w:val="24"/>
        </w:rPr>
        <w:t>.</w:t>
      </w:r>
      <w:r w:rsidR="00B672B9" w:rsidRPr="006225B4">
        <w:rPr>
          <w:rFonts w:cstheme="minorHAnsi"/>
          <w:sz w:val="24"/>
          <w:szCs w:val="24"/>
        </w:rPr>
        <w:t xml:space="preserve"> </w:t>
      </w:r>
      <w:r w:rsidR="00B672B9" w:rsidRPr="006225B4">
        <w:rPr>
          <w:rFonts w:cstheme="minorHAnsi"/>
          <w:sz w:val="24"/>
          <w:szCs w:val="24"/>
        </w:rPr>
        <w:lastRenderedPageBreak/>
        <w:t>Příjemci jsou povinni nejpozději v závěrečné zprávě uvést implementační plán, a to buď pro</w:t>
      </w:r>
      <w:r w:rsidR="00450FDC">
        <w:rPr>
          <w:rFonts w:cstheme="minorHAnsi"/>
          <w:sz w:val="24"/>
          <w:szCs w:val="24"/>
        </w:rPr>
        <w:t xml:space="preserve"> </w:t>
      </w:r>
      <w:r w:rsidR="00B672B9" w:rsidRPr="006225B4">
        <w:rPr>
          <w:rFonts w:cstheme="minorHAnsi"/>
          <w:sz w:val="24"/>
          <w:szCs w:val="24"/>
        </w:rPr>
        <w:t>každý</w:t>
      </w:r>
      <w:r w:rsidR="00B672B9" w:rsidRPr="0088190A">
        <w:rPr>
          <w:rFonts w:cstheme="minorHAnsi"/>
          <w:sz w:val="24"/>
          <w:szCs w:val="24"/>
        </w:rPr>
        <w:t xml:space="preserve"> výsledek zvlášť nebo pro skupinu výsledků, které mají implementaci společnou a tvoří logicky provázaný celek. Informace o naplňování implementačního plánu příjemce </w:t>
      </w:r>
      <w:r w:rsidR="00B672B9" w:rsidRPr="004E2AE2">
        <w:rPr>
          <w:rFonts w:cstheme="minorHAnsi"/>
          <w:sz w:val="24"/>
          <w:szCs w:val="24"/>
        </w:rPr>
        <w:t xml:space="preserve">uvádí TA ČR v </w:t>
      </w:r>
      <w:r w:rsidR="00B672B9" w:rsidRPr="0088190A">
        <w:rPr>
          <w:rFonts w:cstheme="minorHAnsi"/>
          <w:sz w:val="24"/>
          <w:szCs w:val="24"/>
        </w:rPr>
        <w:t xml:space="preserve">každoročních zprávách o implementaci. </w:t>
      </w:r>
    </w:p>
    <w:p w14:paraId="799D4EAF" w14:textId="59BAF414" w:rsidR="00B672B9" w:rsidRPr="0088190A" w:rsidRDefault="006A0A54" w:rsidP="00B672B9">
      <w:pPr>
        <w:spacing w:before="120" w:after="120" w:line="240" w:lineRule="auto"/>
        <w:jc w:val="both"/>
        <w:rPr>
          <w:rFonts w:eastAsia="Times New Roman" w:cstheme="minorHAnsi"/>
          <w:sz w:val="24"/>
          <w:szCs w:val="24"/>
        </w:rPr>
      </w:pPr>
      <w:r>
        <w:rPr>
          <w:rFonts w:eastAsia="Times New Roman" w:cstheme="minorHAnsi"/>
          <w:sz w:val="24"/>
          <w:szCs w:val="24"/>
        </w:rPr>
        <w:t xml:space="preserve">4.15 </w:t>
      </w:r>
      <w:r w:rsidR="00B672B9" w:rsidRPr="0088190A">
        <w:rPr>
          <w:rFonts w:eastAsia="Times New Roman" w:cstheme="minorHAnsi"/>
          <w:sz w:val="24"/>
          <w:szCs w:val="24"/>
        </w:rPr>
        <w:t>V následující tabulce č.</w:t>
      </w:r>
      <w:r w:rsidR="00B672B9">
        <w:rPr>
          <w:rFonts w:eastAsia="Times New Roman" w:cstheme="minorHAnsi"/>
          <w:sz w:val="24"/>
          <w:szCs w:val="24"/>
        </w:rPr>
        <w:t xml:space="preserve"> </w:t>
      </w:r>
      <w:r w:rsidR="008760F3">
        <w:rPr>
          <w:rFonts w:eastAsia="Times New Roman" w:cstheme="minorHAnsi"/>
          <w:sz w:val="24"/>
          <w:szCs w:val="24"/>
        </w:rPr>
        <w:t>4</w:t>
      </w:r>
      <w:r w:rsidR="00B672B9" w:rsidRPr="0088190A">
        <w:rPr>
          <w:rFonts w:eastAsia="Times New Roman" w:cstheme="minorHAnsi"/>
          <w:sz w:val="24"/>
          <w:szCs w:val="24"/>
        </w:rPr>
        <w:t xml:space="preserve"> je uveden vývoj počtu a druhů výsledků poskytovatele TA ČR od</w:t>
      </w:r>
      <w:r w:rsidR="00450FDC">
        <w:rPr>
          <w:rFonts w:eastAsia="Times New Roman" w:cstheme="minorHAnsi"/>
          <w:sz w:val="24"/>
          <w:szCs w:val="24"/>
        </w:rPr>
        <w:t xml:space="preserve"> </w:t>
      </w:r>
      <w:r w:rsidR="00B672B9" w:rsidRPr="0088190A">
        <w:rPr>
          <w:rFonts w:eastAsia="Times New Roman" w:cstheme="minorHAnsi"/>
          <w:sz w:val="24"/>
          <w:szCs w:val="24"/>
        </w:rPr>
        <w:t>roku 2017. Tyto údaje vycházejí z obecné analýzy výsledků zveřejněné v</w:t>
      </w:r>
      <w:r w:rsidR="00D45028">
        <w:rPr>
          <w:rFonts w:eastAsia="Times New Roman" w:cstheme="minorHAnsi"/>
          <w:sz w:val="24"/>
          <w:szCs w:val="24"/>
        </w:rPr>
        <w:t> informačním systému (dále také „</w:t>
      </w:r>
      <w:r w:rsidR="00B672B9">
        <w:rPr>
          <w:rFonts w:eastAsia="Times New Roman" w:cstheme="minorHAnsi"/>
          <w:sz w:val="24"/>
          <w:szCs w:val="24"/>
        </w:rPr>
        <w:t>IS</w:t>
      </w:r>
      <w:r w:rsidR="00D45028">
        <w:rPr>
          <w:rFonts w:eastAsia="Times New Roman" w:cstheme="minorHAnsi"/>
          <w:sz w:val="24"/>
          <w:szCs w:val="24"/>
        </w:rPr>
        <w:t>“)</w:t>
      </w:r>
      <w:r w:rsidR="00B672B9">
        <w:rPr>
          <w:rFonts w:eastAsia="Times New Roman" w:cstheme="minorHAnsi"/>
          <w:sz w:val="24"/>
          <w:szCs w:val="24"/>
        </w:rPr>
        <w:t xml:space="preserve"> </w:t>
      </w:r>
      <w:proofErr w:type="spellStart"/>
      <w:r w:rsidR="00B672B9">
        <w:rPr>
          <w:rFonts w:eastAsia="Times New Roman" w:cstheme="minorHAnsi"/>
          <w:sz w:val="24"/>
          <w:szCs w:val="24"/>
        </w:rPr>
        <w:t>VaVaI</w:t>
      </w:r>
      <w:proofErr w:type="spellEnd"/>
      <w:r w:rsidR="00B672B9" w:rsidRPr="0088190A">
        <w:rPr>
          <w:rFonts w:eastAsia="Times New Roman" w:cstheme="minorHAnsi"/>
          <w:sz w:val="24"/>
          <w:szCs w:val="24"/>
        </w:rPr>
        <w:t>, kde jsou od roku 2017 zpracovány statistiky jednotlivých výskytů výsledků dle roků sběru dat.</w:t>
      </w:r>
      <w:r w:rsidR="003628C6">
        <w:rPr>
          <w:rStyle w:val="Znakapoznpodarou"/>
          <w:rFonts w:eastAsia="Times New Roman" w:cstheme="minorHAnsi"/>
          <w:sz w:val="24"/>
          <w:szCs w:val="24"/>
        </w:rPr>
        <w:footnoteReference w:id="14"/>
      </w:r>
    </w:p>
    <w:p w14:paraId="22E08B48" w14:textId="5F994B5D" w:rsidR="00B672B9" w:rsidRPr="001B3FE1" w:rsidRDefault="00B672B9" w:rsidP="001B3FE1">
      <w:pPr>
        <w:keepNext/>
        <w:spacing w:before="120" w:after="40" w:line="240" w:lineRule="auto"/>
        <w:jc w:val="both"/>
        <w:rPr>
          <w:rFonts w:eastAsia="Times New Roman" w:cstheme="minorHAnsi"/>
          <w:b/>
          <w:color w:val="000000" w:themeColor="text1"/>
          <w:sz w:val="24"/>
          <w:szCs w:val="24"/>
        </w:rPr>
      </w:pPr>
      <w:r w:rsidRPr="00001263">
        <w:rPr>
          <w:rFonts w:eastAsia="Times New Roman" w:cstheme="minorHAnsi"/>
          <w:b/>
          <w:sz w:val="24"/>
          <w:szCs w:val="24"/>
        </w:rPr>
        <w:t>T</w:t>
      </w:r>
      <w:r w:rsidRPr="001B3FE1">
        <w:rPr>
          <w:rFonts w:eastAsia="Times New Roman" w:cstheme="minorHAnsi"/>
          <w:b/>
          <w:color w:val="000000" w:themeColor="text1"/>
          <w:sz w:val="24"/>
          <w:szCs w:val="24"/>
        </w:rPr>
        <w:t xml:space="preserve">abulka č. </w:t>
      </w:r>
      <w:r w:rsidR="008760F3" w:rsidRPr="001B3FE1">
        <w:rPr>
          <w:rFonts w:eastAsia="Times New Roman" w:cstheme="minorHAnsi"/>
          <w:b/>
          <w:color w:val="000000" w:themeColor="text1"/>
          <w:sz w:val="24"/>
          <w:szCs w:val="24"/>
        </w:rPr>
        <w:t>4</w:t>
      </w:r>
      <w:r w:rsidRPr="001B3FE1">
        <w:rPr>
          <w:rFonts w:eastAsia="Times New Roman" w:cstheme="minorHAnsi"/>
          <w:b/>
          <w:color w:val="000000" w:themeColor="text1"/>
          <w:sz w:val="24"/>
          <w:szCs w:val="24"/>
        </w:rPr>
        <w:t>: Počet výsledků poskytovatele TA ČR v letech 2017 až 2023</w:t>
      </w:r>
    </w:p>
    <w:tbl>
      <w:tblPr>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4384"/>
        <w:gridCol w:w="568"/>
        <w:gridCol w:w="568"/>
        <w:gridCol w:w="568"/>
        <w:gridCol w:w="571"/>
        <w:gridCol w:w="571"/>
        <w:gridCol w:w="571"/>
        <w:gridCol w:w="571"/>
        <w:gridCol w:w="694"/>
      </w:tblGrid>
      <w:tr w:rsidR="001B3FE1" w:rsidRPr="001C6490" w14:paraId="6CD3EFEE" w14:textId="77777777" w:rsidTr="001C6490">
        <w:trPr>
          <w:trHeight w:val="255"/>
        </w:trPr>
        <w:tc>
          <w:tcPr>
            <w:tcW w:w="2303" w:type="pct"/>
            <w:shd w:val="clear" w:color="auto" w:fill="E6E6E6"/>
            <w:noWrap/>
            <w:vAlign w:val="bottom"/>
            <w:hideMark/>
          </w:tcPr>
          <w:p w14:paraId="1B4C1ECD" w14:textId="77777777" w:rsidR="00B672B9" w:rsidRPr="001C6490" w:rsidRDefault="00B672B9" w:rsidP="001C6490">
            <w:pPr>
              <w:spacing w:after="0" w:line="240" w:lineRule="auto"/>
              <w:jc w:val="center"/>
              <w:rPr>
                <w:rFonts w:ascii="Calibri" w:eastAsia="Times New Roman" w:hAnsi="Calibri" w:cs="Calibri"/>
                <w:b/>
                <w:bCs/>
                <w:color w:val="000000" w:themeColor="text1"/>
                <w:sz w:val="18"/>
                <w:szCs w:val="18"/>
                <w:lang w:eastAsia="cs-CZ"/>
              </w:rPr>
            </w:pPr>
            <w:r w:rsidRPr="001C6490">
              <w:rPr>
                <w:rFonts w:ascii="Calibri" w:eastAsia="Times New Roman" w:hAnsi="Calibri" w:cs="Calibri"/>
                <w:b/>
                <w:bCs/>
                <w:color w:val="000000" w:themeColor="text1"/>
                <w:sz w:val="18"/>
                <w:szCs w:val="18"/>
              </w:rPr>
              <w:t>Druh výsledku</w:t>
            </w:r>
          </w:p>
        </w:tc>
        <w:tc>
          <w:tcPr>
            <w:tcW w:w="331" w:type="pct"/>
            <w:shd w:val="clear" w:color="auto" w:fill="E6E6E6"/>
            <w:noWrap/>
            <w:vAlign w:val="bottom"/>
            <w:hideMark/>
          </w:tcPr>
          <w:p w14:paraId="5246698D" w14:textId="77777777" w:rsidR="00B672B9" w:rsidRPr="001C6490" w:rsidRDefault="00B672B9" w:rsidP="001B3FE1">
            <w:pPr>
              <w:spacing w:after="0" w:line="240" w:lineRule="auto"/>
              <w:jc w:val="center"/>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2017</w:t>
            </w:r>
          </w:p>
        </w:tc>
        <w:tc>
          <w:tcPr>
            <w:tcW w:w="331" w:type="pct"/>
            <w:shd w:val="clear" w:color="auto" w:fill="E6E6E6"/>
            <w:noWrap/>
            <w:vAlign w:val="bottom"/>
            <w:hideMark/>
          </w:tcPr>
          <w:p w14:paraId="724C2035" w14:textId="77777777" w:rsidR="00B672B9" w:rsidRPr="001C6490" w:rsidRDefault="00B672B9" w:rsidP="001B3FE1">
            <w:pPr>
              <w:spacing w:after="0" w:line="240" w:lineRule="auto"/>
              <w:jc w:val="center"/>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2018</w:t>
            </w:r>
          </w:p>
        </w:tc>
        <w:tc>
          <w:tcPr>
            <w:tcW w:w="331" w:type="pct"/>
            <w:shd w:val="clear" w:color="auto" w:fill="E6E6E6"/>
            <w:noWrap/>
            <w:vAlign w:val="bottom"/>
            <w:hideMark/>
          </w:tcPr>
          <w:p w14:paraId="6D7C9739" w14:textId="77777777" w:rsidR="00B672B9" w:rsidRPr="001C6490" w:rsidRDefault="00B672B9" w:rsidP="001B3FE1">
            <w:pPr>
              <w:spacing w:after="0" w:line="240" w:lineRule="auto"/>
              <w:jc w:val="center"/>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2019</w:t>
            </w:r>
          </w:p>
        </w:tc>
        <w:tc>
          <w:tcPr>
            <w:tcW w:w="332" w:type="pct"/>
            <w:shd w:val="clear" w:color="auto" w:fill="E6E6E6"/>
            <w:noWrap/>
            <w:vAlign w:val="bottom"/>
            <w:hideMark/>
          </w:tcPr>
          <w:p w14:paraId="5FC25D37" w14:textId="77777777" w:rsidR="00B672B9" w:rsidRPr="001C6490" w:rsidRDefault="00B672B9" w:rsidP="001B3FE1">
            <w:pPr>
              <w:spacing w:after="0" w:line="240" w:lineRule="auto"/>
              <w:jc w:val="center"/>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2020</w:t>
            </w:r>
          </w:p>
        </w:tc>
        <w:tc>
          <w:tcPr>
            <w:tcW w:w="332" w:type="pct"/>
            <w:shd w:val="clear" w:color="auto" w:fill="E6E6E6"/>
            <w:noWrap/>
            <w:vAlign w:val="bottom"/>
            <w:hideMark/>
          </w:tcPr>
          <w:p w14:paraId="3E7EFC65" w14:textId="77777777" w:rsidR="00B672B9" w:rsidRPr="001C6490" w:rsidRDefault="00B672B9" w:rsidP="001B3FE1">
            <w:pPr>
              <w:spacing w:after="0" w:line="240" w:lineRule="auto"/>
              <w:jc w:val="center"/>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2021</w:t>
            </w:r>
          </w:p>
        </w:tc>
        <w:tc>
          <w:tcPr>
            <w:tcW w:w="332" w:type="pct"/>
            <w:shd w:val="clear" w:color="auto" w:fill="E6E6E6"/>
            <w:noWrap/>
            <w:vAlign w:val="bottom"/>
            <w:hideMark/>
          </w:tcPr>
          <w:p w14:paraId="28A57A5F" w14:textId="77777777" w:rsidR="00B672B9" w:rsidRPr="001C6490" w:rsidRDefault="00B672B9" w:rsidP="001B3FE1">
            <w:pPr>
              <w:spacing w:after="0" w:line="240" w:lineRule="auto"/>
              <w:jc w:val="center"/>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2022</w:t>
            </w:r>
          </w:p>
        </w:tc>
        <w:tc>
          <w:tcPr>
            <w:tcW w:w="332" w:type="pct"/>
            <w:shd w:val="clear" w:color="auto" w:fill="E6E6E6"/>
            <w:noWrap/>
            <w:vAlign w:val="bottom"/>
            <w:hideMark/>
          </w:tcPr>
          <w:p w14:paraId="6F545385" w14:textId="77777777" w:rsidR="00B672B9" w:rsidRPr="001C6490" w:rsidRDefault="00B672B9" w:rsidP="001B3FE1">
            <w:pPr>
              <w:spacing w:after="0" w:line="240" w:lineRule="auto"/>
              <w:jc w:val="center"/>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2023</w:t>
            </w:r>
          </w:p>
        </w:tc>
        <w:tc>
          <w:tcPr>
            <w:tcW w:w="377" w:type="pct"/>
            <w:shd w:val="clear" w:color="auto" w:fill="E6E6E6"/>
            <w:noWrap/>
            <w:vAlign w:val="bottom"/>
            <w:hideMark/>
          </w:tcPr>
          <w:p w14:paraId="1114FA53" w14:textId="77777777" w:rsidR="00B672B9" w:rsidRPr="001C6490" w:rsidRDefault="00B672B9" w:rsidP="001B3FE1">
            <w:pPr>
              <w:spacing w:after="0" w:line="240" w:lineRule="auto"/>
              <w:jc w:val="center"/>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Celkem</w:t>
            </w:r>
          </w:p>
        </w:tc>
      </w:tr>
      <w:tr w:rsidR="001B3FE1" w:rsidRPr="001C6490" w14:paraId="23F7BC50" w14:textId="77777777" w:rsidTr="001C6490">
        <w:trPr>
          <w:trHeight w:val="255"/>
        </w:trPr>
        <w:tc>
          <w:tcPr>
            <w:tcW w:w="2303" w:type="pct"/>
            <w:shd w:val="clear" w:color="auto" w:fill="auto"/>
            <w:noWrap/>
            <w:vAlign w:val="center"/>
            <w:hideMark/>
          </w:tcPr>
          <w:p w14:paraId="19A87CFE" w14:textId="691C03C5" w:rsidR="00B672B9" w:rsidRPr="001C6490" w:rsidRDefault="00B672B9" w:rsidP="001C6490">
            <w:pPr>
              <w:spacing w:after="0" w:line="240" w:lineRule="auto"/>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Aplikované výsledky</w:t>
            </w:r>
          </w:p>
        </w:tc>
        <w:tc>
          <w:tcPr>
            <w:tcW w:w="331" w:type="pct"/>
            <w:shd w:val="clear" w:color="auto" w:fill="auto"/>
            <w:noWrap/>
            <w:vAlign w:val="center"/>
            <w:hideMark/>
          </w:tcPr>
          <w:p w14:paraId="6FCFD5BE"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1 723</w:t>
            </w:r>
          </w:p>
        </w:tc>
        <w:tc>
          <w:tcPr>
            <w:tcW w:w="331" w:type="pct"/>
            <w:shd w:val="clear" w:color="auto" w:fill="auto"/>
            <w:noWrap/>
            <w:vAlign w:val="center"/>
            <w:hideMark/>
          </w:tcPr>
          <w:p w14:paraId="1347C014"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1 861</w:t>
            </w:r>
          </w:p>
        </w:tc>
        <w:tc>
          <w:tcPr>
            <w:tcW w:w="331" w:type="pct"/>
            <w:shd w:val="clear" w:color="auto" w:fill="auto"/>
            <w:noWrap/>
            <w:vAlign w:val="center"/>
            <w:hideMark/>
          </w:tcPr>
          <w:p w14:paraId="42A08207"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1 195</w:t>
            </w:r>
          </w:p>
        </w:tc>
        <w:tc>
          <w:tcPr>
            <w:tcW w:w="332" w:type="pct"/>
            <w:shd w:val="clear" w:color="auto" w:fill="auto"/>
            <w:noWrap/>
            <w:vAlign w:val="center"/>
            <w:hideMark/>
          </w:tcPr>
          <w:p w14:paraId="22A91A51"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1 769</w:t>
            </w:r>
          </w:p>
        </w:tc>
        <w:tc>
          <w:tcPr>
            <w:tcW w:w="332" w:type="pct"/>
            <w:shd w:val="clear" w:color="auto" w:fill="auto"/>
            <w:noWrap/>
            <w:vAlign w:val="center"/>
            <w:hideMark/>
          </w:tcPr>
          <w:p w14:paraId="4C634BC0"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2 057</w:t>
            </w:r>
          </w:p>
        </w:tc>
        <w:tc>
          <w:tcPr>
            <w:tcW w:w="332" w:type="pct"/>
            <w:shd w:val="clear" w:color="auto" w:fill="auto"/>
            <w:noWrap/>
            <w:vAlign w:val="center"/>
            <w:hideMark/>
          </w:tcPr>
          <w:p w14:paraId="185DD2AE"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1 821</w:t>
            </w:r>
          </w:p>
        </w:tc>
        <w:tc>
          <w:tcPr>
            <w:tcW w:w="332" w:type="pct"/>
            <w:shd w:val="clear" w:color="auto" w:fill="auto"/>
            <w:noWrap/>
            <w:vAlign w:val="center"/>
            <w:hideMark/>
          </w:tcPr>
          <w:p w14:paraId="62680D17"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2 250</w:t>
            </w:r>
          </w:p>
        </w:tc>
        <w:tc>
          <w:tcPr>
            <w:tcW w:w="377" w:type="pct"/>
            <w:shd w:val="clear" w:color="auto" w:fill="auto"/>
            <w:noWrap/>
            <w:vAlign w:val="center"/>
            <w:hideMark/>
          </w:tcPr>
          <w:p w14:paraId="4CCB07D1"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12 676</w:t>
            </w:r>
          </w:p>
        </w:tc>
      </w:tr>
      <w:tr w:rsidR="001B3FE1" w:rsidRPr="001C6490" w14:paraId="0000B49C" w14:textId="77777777" w:rsidTr="001C6490">
        <w:trPr>
          <w:trHeight w:val="255"/>
        </w:trPr>
        <w:tc>
          <w:tcPr>
            <w:tcW w:w="2303" w:type="pct"/>
            <w:shd w:val="clear" w:color="auto" w:fill="auto"/>
            <w:noWrap/>
            <w:vAlign w:val="center"/>
            <w:hideMark/>
          </w:tcPr>
          <w:p w14:paraId="7200054D"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Výsledky s právní ochranou (F)</w:t>
            </w:r>
          </w:p>
        </w:tc>
        <w:tc>
          <w:tcPr>
            <w:tcW w:w="331" w:type="pct"/>
            <w:shd w:val="clear" w:color="auto" w:fill="auto"/>
            <w:noWrap/>
            <w:vAlign w:val="center"/>
            <w:hideMark/>
          </w:tcPr>
          <w:p w14:paraId="05D85CA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300</w:t>
            </w:r>
          </w:p>
        </w:tc>
        <w:tc>
          <w:tcPr>
            <w:tcW w:w="331" w:type="pct"/>
            <w:shd w:val="clear" w:color="auto" w:fill="auto"/>
            <w:noWrap/>
            <w:vAlign w:val="center"/>
            <w:hideMark/>
          </w:tcPr>
          <w:p w14:paraId="58681C82"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288</w:t>
            </w:r>
          </w:p>
        </w:tc>
        <w:tc>
          <w:tcPr>
            <w:tcW w:w="331" w:type="pct"/>
            <w:shd w:val="clear" w:color="auto" w:fill="auto"/>
            <w:noWrap/>
            <w:vAlign w:val="center"/>
            <w:hideMark/>
          </w:tcPr>
          <w:p w14:paraId="2D1A81E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218</w:t>
            </w:r>
          </w:p>
        </w:tc>
        <w:tc>
          <w:tcPr>
            <w:tcW w:w="332" w:type="pct"/>
            <w:shd w:val="clear" w:color="auto" w:fill="auto"/>
            <w:noWrap/>
            <w:vAlign w:val="center"/>
            <w:hideMark/>
          </w:tcPr>
          <w:p w14:paraId="6CF5D96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288</w:t>
            </w:r>
          </w:p>
        </w:tc>
        <w:tc>
          <w:tcPr>
            <w:tcW w:w="332" w:type="pct"/>
            <w:shd w:val="clear" w:color="auto" w:fill="auto"/>
            <w:noWrap/>
            <w:vAlign w:val="center"/>
            <w:hideMark/>
          </w:tcPr>
          <w:p w14:paraId="2EA2FD0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336</w:t>
            </w:r>
          </w:p>
        </w:tc>
        <w:tc>
          <w:tcPr>
            <w:tcW w:w="332" w:type="pct"/>
            <w:shd w:val="clear" w:color="auto" w:fill="auto"/>
            <w:noWrap/>
            <w:vAlign w:val="center"/>
            <w:hideMark/>
          </w:tcPr>
          <w:p w14:paraId="3DD17B2A"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232</w:t>
            </w:r>
          </w:p>
        </w:tc>
        <w:tc>
          <w:tcPr>
            <w:tcW w:w="332" w:type="pct"/>
            <w:shd w:val="clear" w:color="auto" w:fill="auto"/>
            <w:noWrap/>
            <w:vAlign w:val="center"/>
            <w:hideMark/>
          </w:tcPr>
          <w:p w14:paraId="286EC5A3"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302</w:t>
            </w:r>
          </w:p>
        </w:tc>
        <w:tc>
          <w:tcPr>
            <w:tcW w:w="377" w:type="pct"/>
            <w:shd w:val="clear" w:color="auto" w:fill="auto"/>
            <w:noWrap/>
            <w:vAlign w:val="center"/>
            <w:hideMark/>
          </w:tcPr>
          <w:p w14:paraId="3CA0CDB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1 964</w:t>
            </w:r>
          </w:p>
        </w:tc>
      </w:tr>
      <w:tr w:rsidR="001B3FE1" w:rsidRPr="001C6490" w14:paraId="5D7302CF" w14:textId="77777777" w:rsidTr="001C6490">
        <w:trPr>
          <w:trHeight w:val="255"/>
        </w:trPr>
        <w:tc>
          <w:tcPr>
            <w:tcW w:w="2303" w:type="pct"/>
            <w:shd w:val="clear" w:color="auto" w:fill="auto"/>
            <w:noWrap/>
            <w:vAlign w:val="center"/>
            <w:hideMark/>
          </w:tcPr>
          <w:p w14:paraId="361D70F5"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Technicky realizované výsledky (G)</w:t>
            </w:r>
          </w:p>
        </w:tc>
        <w:tc>
          <w:tcPr>
            <w:tcW w:w="331" w:type="pct"/>
            <w:shd w:val="clear" w:color="auto" w:fill="auto"/>
            <w:noWrap/>
            <w:vAlign w:val="center"/>
            <w:hideMark/>
          </w:tcPr>
          <w:p w14:paraId="228327E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608</w:t>
            </w:r>
          </w:p>
        </w:tc>
        <w:tc>
          <w:tcPr>
            <w:tcW w:w="331" w:type="pct"/>
            <w:shd w:val="clear" w:color="auto" w:fill="auto"/>
            <w:noWrap/>
            <w:vAlign w:val="center"/>
            <w:hideMark/>
          </w:tcPr>
          <w:p w14:paraId="1C9E48F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607</w:t>
            </w:r>
          </w:p>
        </w:tc>
        <w:tc>
          <w:tcPr>
            <w:tcW w:w="331" w:type="pct"/>
            <w:shd w:val="clear" w:color="auto" w:fill="auto"/>
            <w:noWrap/>
            <w:vAlign w:val="center"/>
            <w:hideMark/>
          </w:tcPr>
          <w:p w14:paraId="7F63191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453</w:t>
            </w:r>
          </w:p>
        </w:tc>
        <w:tc>
          <w:tcPr>
            <w:tcW w:w="332" w:type="pct"/>
            <w:shd w:val="clear" w:color="auto" w:fill="auto"/>
            <w:noWrap/>
            <w:vAlign w:val="center"/>
            <w:hideMark/>
          </w:tcPr>
          <w:p w14:paraId="17C6082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658</w:t>
            </w:r>
          </w:p>
        </w:tc>
        <w:tc>
          <w:tcPr>
            <w:tcW w:w="332" w:type="pct"/>
            <w:shd w:val="clear" w:color="auto" w:fill="auto"/>
            <w:noWrap/>
            <w:vAlign w:val="center"/>
            <w:hideMark/>
          </w:tcPr>
          <w:p w14:paraId="2334A68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752</w:t>
            </w:r>
          </w:p>
        </w:tc>
        <w:tc>
          <w:tcPr>
            <w:tcW w:w="332" w:type="pct"/>
            <w:shd w:val="clear" w:color="auto" w:fill="auto"/>
            <w:noWrap/>
            <w:vAlign w:val="center"/>
            <w:hideMark/>
          </w:tcPr>
          <w:p w14:paraId="35E640E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644</w:t>
            </w:r>
          </w:p>
        </w:tc>
        <w:tc>
          <w:tcPr>
            <w:tcW w:w="332" w:type="pct"/>
            <w:shd w:val="clear" w:color="auto" w:fill="auto"/>
            <w:noWrap/>
            <w:vAlign w:val="center"/>
            <w:hideMark/>
          </w:tcPr>
          <w:p w14:paraId="5D546A9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873</w:t>
            </w:r>
          </w:p>
        </w:tc>
        <w:tc>
          <w:tcPr>
            <w:tcW w:w="377" w:type="pct"/>
            <w:shd w:val="clear" w:color="auto" w:fill="auto"/>
            <w:noWrap/>
            <w:vAlign w:val="center"/>
            <w:hideMark/>
          </w:tcPr>
          <w:p w14:paraId="0A89A45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4 595</w:t>
            </w:r>
          </w:p>
        </w:tc>
      </w:tr>
      <w:tr w:rsidR="001B3FE1" w:rsidRPr="001C6490" w14:paraId="7C88B0AF" w14:textId="77777777" w:rsidTr="001C6490">
        <w:trPr>
          <w:trHeight w:val="255"/>
        </w:trPr>
        <w:tc>
          <w:tcPr>
            <w:tcW w:w="2303" w:type="pct"/>
            <w:shd w:val="clear" w:color="auto" w:fill="auto"/>
            <w:noWrap/>
            <w:vAlign w:val="center"/>
            <w:hideMark/>
          </w:tcPr>
          <w:p w14:paraId="203FB18B"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Poskytovatelem realizované výsledky (H)</w:t>
            </w:r>
          </w:p>
        </w:tc>
        <w:tc>
          <w:tcPr>
            <w:tcW w:w="331" w:type="pct"/>
            <w:shd w:val="clear" w:color="auto" w:fill="auto"/>
            <w:noWrap/>
            <w:vAlign w:val="center"/>
            <w:hideMark/>
          </w:tcPr>
          <w:p w14:paraId="468ADC0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25</w:t>
            </w:r>
          </w:p>
        </w:tc>
        <w:tc>
          <w:tcPr>
            <w:tcW w:w="331" w:type="pct"/>
            <w:shd w:val="clear" w:color="auto" w:fill="auto"/>
            <w:noWrap/>
            <w:vAlign w:val="center"/>
            <w:hideMark/>
          </w:tcPr>
          <w:p w14:paraId="582759F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21</w:t>
            </w:r>
          </w:p>
        </w:tc>
        <w:tc>
          <w:tcPr>
            <w:tcW w:w="331" w:type="pct"/>
            <w:shd w:val="clear" w:color="auto" w:fill="auto"/>
            <w:noWrap/>
            <w:vAlign w:val="center"/>
            <w:hideMark/>
          </w:tcPr>
          <w:p w14:paraId="78B37B1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11</w:t>
            </w:r>
          </w:p>
        </w:tc>
        <w:tc>
          <w:tcPr>
            <w:tcW w:w="332" w:type="pct"/>
            <w:shd w:val="clear" w:color="auto" w:fill="auto"/>
            <w:noWrap/>
            <w:vAlign w:val="center"/>
            <w:hideMark/>
          </w:tcPr>
          <w:p w14:paraId="18865F8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11</w:t>
            </w:r>
          </w:p>
        </w:tc>
        <w:tc>
          <w:tcPr>
            <w:tcW w:w="332" w:type="pct"/>
            <w:shd w:val="clear" w:color="auto" w:fill="auto"/>
            <w:noWrap/>
            <w:vAlign w:val="center"/>
            <w:hideMark/>
          </w:tcPr>
          <w:p w14:paraId="760B71D1"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10</w:t>
            </w:r>
          </w:p>
        </w:tc>
        <w:tc>
          <w:tcPr>
            <w:tcW w:w="332" w:type="pct"/>
            <w:shd w:val="clear" w:color="auto" w:fill="auto"/>
            <w:noWrap/>
            <w:vAlign w:val="center"/>
            <w:hideMark/>
          </w:tcPr>
          <w:p w14:paraId="301A4C7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20</w:t>
            </w:r>
          </w:p>
        </w:tc>
        <w:tc>
          <w:tcPr>
            <w:tcW w:w="332" w:type="pct"/>
            <w:shd w:val="clear" w:color="auto" w:fill="auto"/>
            <w:noWrap/>
            <w:vAlign w:val="center"/>
            <w:hideMark/>
          </w:tcPr>
          <w:p w14:paraId="7BF48702"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21</w:t>
            </w:r>
          </w:p>
        </w:tc>
        <w:tc>
          <w:tcPr>
            <w:tcW w:w="377" w:type="pct"/>
            <w:shd w:val="clear" w:color="auto" w:fill="auto"/>
            <w:noWrap/>
            <w:vAlign w:val="center"/>
            <w:hideMark/>
          </w:tcPr>
          <w:p w14:paraId="6EEC5BB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119</w:t>
            </w:r>
          </w:p>
        </w:tc>
      </w:tr>
      <w:tr w:rsidR="001B3FE1" w:rsidRPr="001C6490" w14:paraId="5236FA7E" w14:textId="77777777" w:rsidTr="001C6490">
        <w:trPr>
          <w:trHeight w:val="255"/>
        </w:trPr>
        <w:tc>
          <w:tcPr>
            <w:tcW w:w="2303" w:type="pct"/>
            <w:shd w:val="clear" w:color="auto" w:fill="auto"/>
            <w:noWrap/>
            <w:vAlign w:val="center"/>
            <w:hideMark/>
          </w:tcPr>
          <w:p w14:paraId="22EF24FC" w14:textId="2E51EEA4"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 xml:space="preserve">Metodiky, léčebné a </w:t>
            </w:r>
            <w:proofErr w:type="spellStart"/>
            <w:r w:rsidRPr="001C6490">
              <w:rPr>
                <w:rFonts w:ascii="Calibri" w:eastAsia="Times New Roman" w:hAnsi="Calibri" w:cs="Calibri"/>
                <w:color w:val="000000" w:themeColor="text1"/>
                <w:sz w:val="18"/>
                <w:szCs w:val="18"/>
              </w:rPr>
              <w:t>pam</w:t>
            </w:r>
            <w:proofErr w:type="spellEnd"/>
            <w:r w:rsidRPr="001C6490">
              <w:rPr>
                <w:rFonts w:ascii="Calibri" w:eastAsia="Times New Roman" w:hAnsi="Calibri" w:cs="Calibri"/>
                <w:color w:val="000000" w:themeColor="text1"/>
                <w:sz w:val="18"/>
                <w:szCs w:val="18"/>
              </w:rPr>
              <w:t xml:space="preserve">. postupy, </w:t>
            </w:r>
            <w:proofErr w:type="spellStart"/>
            <w:r w:rsidRPr="001C6490">
              <w:rPr>
                <w:rFonts w:ascii="Calibri" w:eastAsia="Times New Roman" w:hAnsi="Calibri" w:cs="Calibri"/>
                <w:color w:val="000000" w:themeColor="text1"/>
                <w:sz w:val="18"/>
                <w:szCs w:val="18"/>
              </w:rPr>
              <w:t>spec</w:t>
            </w:r>
            <w:proofErr w:type="spellEnd"/>
            <w:r w:rsidRPr="001C6490">
              <w:rPr>
                <w:rFonts w:ascii="Calibri" w:eastAsia="Times New Roman" w:hAnsi="Calibri" w:cs="Calibri"/>
                <w:color w:val="000000" w:themeColor="text1"/>
                <w:sz w:val="18"/>
                <w:szCs w:val="18"/>
              </w:rPr>
              <w:t xml:space="preserve">. </w:t>
            </w:r>
            <w:r w:rsidR="00C37352" w:rsidRPr="001C6490">
              <w:rPr>
                <w:rFonts w:ascii="Calibri" w:eastAsia="Times New Roman" w:hAnsi="Calibri" w:cs="Calibri"/>
                <w:color w:val="000000" w:themeColor="text1"/>
                <w:sz w:val="18"/>
                <w:szCs w:val="18"/>
              </w:rPr>
              <w:t>m</w:t>
            </w:r>
            <w:r w:rsidRPr="001C6490">
              <w:rPr>
                <w:rFonts w:ascii="Calibri" w:eastAsia="Times New Roman" w:hAnsi="Calibri" w:cs="Calibri"/>
                <w:color w:val="000000" w:themeColor="text1"/>
                <w:sz w:val="18"/>
                <w:szCs w:val="18"/>
              </w:rPr>
              <w:t>apy (N)</w:t>
            </w:r>
          </w:p>
        </w:tc>
        <w:tc>
          <w:tcPr>
            <w:tcW w:w="331" w:type="pct"/>
            <w:shd w:val="clear" w:color="auto" w:fill="auto"/>
            <w:noWrap/>
            <w:vAlign w:val="center"/>
            <w:hideMark/>
          </w:tcPr>
          <w:p w14:paraId="4B6A9151"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290</w:t>
            </w:r>
          </w:p>
        </w:tc>
        <w:tc>
          <w:tcPr>
            <w:tcW w:w="331" w:type="pct"/>
            <w:shd w:val="clear" w:color="auto" w:fill="auto"/>
            <w:noWrap/>
            <w:vAlign w:val="center"/>
            <w:hideMark/>
          </w:tcPr>
          <w:p w14:paraId="5255ABF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342</w:t>
            </w:r>
          </w:p>
        </w:tc>
        <w:tc>
          <w:tcPr>
            <w:tcW w:w="331" w:type="pct"/>
            <w:shd w:val="clear" w:color="auto" w:fill="auto"/>
            <w:noWrap/>
            <w:vAlign w:val="center"/>
            <w:hideMark/>
          </w:tcPr>
          <w:p w14:paraId="3BB3E16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91</w:t>
            </w:r>
          </w:p>
        </w:tc>
        <w:tc>
          <w:tcPr>
            <w:tcW w:w="332" w:type="pct"/>
            <w:shd w:val="clear" w:color="auto" w:fill="auto"/>
            <w:noWrap/>
            <w:vAlign w:val="center"/>
            <w:hideMark/>
          </w:tcPr>
          <w:p w14:paraId="7EDAF3B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150</w:t>
            </w:r>
          </w:p>
        </w:tc>
        <w:tc>
          <w:tcPr>
            <w:tcW w:w="332" w:type="pct"/>
            <w:shd w:val="clear" w:color="auto" w:fill="auto"/>
            <w:noWrap/>
            <w:vAlign w:val="center"/>
            <w:hideMark/>
          </w:tcPr>
          <w:p w14:paraId="30C5E398"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239</w:t>
            </w:r>
          </w:p>
        </w:tc>
        <w:tc>
          <w:tcPr>
            <w:tcW w:w="332" w:type="pct"/>
            <w:shd w:val="clear" w:color="auto" w:fill="auto"/>
            <w:noWrap/>
            <w:vAlign w:val="center"/>
            <w:hideMark/>
          </w:tcPr>
          <w:p w14:paraId="32B905C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251</w:t>
            </w:r>
          </w:p>
        </w:tc>
        <w:tc>
          <w:tcPr>
            <w:tcW w:w="332" w:type="pct"/>
            <w:shd w:val="clear" w:color="auto" w:fill="auto"/>
            <w:noWrap/>
            <w:vAlign w:val="center"/>
            <w:hideMark/>
          </w:tcPr>
          <w:p w14:paraId="7F1F68A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229</w:t>
            </w:r>
          </w:p>
        </w:tc>
        <w:tc>
          <w:tcPr>
            <w:tcW w:w="377" w:type="pct"/>
            <w:shd w:val="clear" w:color="auto" w:fill="auto"/>
            <w:noWrap/>
            <w:vAlign w:val="center"/>
            <w:hideMark/>
          </w:tcPr>
          <w:p w14:paraId="72FF965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1 592</w:t>
            </w:r>
          </w:p>
        </w:tc>
      </w:tr>
      <w:tr w:rsidR="001B3FE1" w:rsidRPr="001C6490" w14:paraId="3ECD8EA2" w14:textId="77777777" w:rsidTr="001C6490">
        <w:trPr>
          <w:trHeight w:val="255"/>
        </w:trPr>
        <w:tc>
          <w:tcPr>
            <w:tcW w:w="2303" w:type="pct"/>
            <w:shd w:val="clear" w:color="auto" w:fill="auto"/>
            <w:noWrap/>
            <w:vAlign w:val="center"/>
            <w:hideMark/>
          </w:tcPr>
          <w:p w14:paraId="223495DB"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Patent (P)</w:t>
            </w:r>
          </w:p>
        </w:tc>
        <w:tc>
          <w:tcPr>
            <w:tcW w:w="331" w:type="pct"/>
            <w:shd w:val="clear" w:color="auto" w:fill="auto"/>
            <w:noWrap/>
            <w:vAlign w:val="center"/>
            <w:hideMark/>
          </w:tcPr>
          <w:p w14:paraId="5665C37B"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101</w:t>
            </w:r>
          </w:p>
        </w:tc>
        <w:tc>
          <w:tcPr>
            <w:tcW w:w="331" w:type="pct"/>
            <w:shd w:val="clear" w:color="auto" w:fill="auto"/>
            <w:noWrap/>
            <w:vAlign w:val="center"/>
            <w:hideMark/>
          </w:tcPr>
          <w:p w14:paraId="1909261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102</w:t>
            </w:r>
          </w:p>
        </w:tc>
        <w:tc>
          <w:tcPr>
            <w:tcW w:w="331" w:type="pct"/>
            <w:shd w:val="clear" w:color="auto" w:fill="auto"/>
            <w:noWrap/>
            <w:vAlign w:val="center"/>
            <w:hideMark/>
          </w:tcPr>
          <w:p w14:paraId="0F081DF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113</w:t>
            </w:r>
          </w:p>
        </w:tc>
        <w:tc>
          <w:tcPr>
            <w:tcW w:w="332" w:type="pct"/>
            <w:shd w:val="clear" w:color="auto" w:fill="auto"/>
            <w:noWrap/>
            <w:vAlign w:val="center"/>
            <w:hideMark/>
          </w:tcPr>
          <w:p w14:paraId="4572A17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112</w:t>
            </w:r>
          </w:p>
        </w:tc>
        <w:tc>
          <w:tcPr>
            <w:tcW w:w="332" w:type="pct"/>
            <w:shd w:val="clear" w:color="auto" w:fill="auto"/>
            <w:noWrap/>
            <w:vAlign w:val="center"/>
            <w:hideMark/>
          </w:tcPr>
          <w:p w14:paraId="59A91B0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101</w:t>
            </w:r>
          </w:p>
        </w:tc>
        <w:tc>
          <w:tcPr>
            <w:tcW w:w="332" w:type="pct"/>
            <w:shd w:val="clear" w:color="auto" w:fill="auto"/>
            <w:noWrap/>
            <w:vAlign w:val="center"/>
            <w:hideMark/>
          </w:tcPr>
          <w:p w14:paraId="477FFD91"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94</w:t>
            </w:r>
          </w:p>
        </w:tc>
        <w:tc>
          <w:tcPr>
            <w:tcW w:w="332" w:type="pct"/>
            <w:shd w:val="clear" w:color="auto" w:fill="auto"/>
            <w:noWrap/>
            <w:vAlign w:val="center"/>
            <w:hideMark/>
          </w:tcPr>
          <w:p w14:paraId="142F8BD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65</w:t>
            </w:r>
          </w:p>
        </w:tc>
        <w:tc>
          <w:tcPr>
            <w:tcW w:w="377" w:type="pct"/>
            <w:shd w:val="clear" w:color="auto" w:fill="auto"/>
            <w:noWrap/>
            <w:vAlign w:val="center"/>
            <w:hideMark/>
          </w:tcPr>
          <w:p w14:paraId="7F1409E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688</w:t>
            </w:r>
          </w:p>
        </w:tc>
      </w:tr>
      <w:tr w:rsidR="001B3FE1" w:rsidRPr="001C6490" w14:paraId="2FD51950" w14:textId="77777777" w:rsidTr="001C6490">
        <w:trPr>
          <w:trHeight w:val="255"/>
        </w:trPr>
        <w:tc>
          <w:tcPr>
            <w:tcW w:w="2303" w:type="pct"/>
            <w:shd w:val="clear" w:color="auto" w:fill="auto"/>
            <w:noWrap/>
            <w:vAlign w:val="center"/>
            <w:hideMark/>
          </w:tcPr>
          <w:p w14:paraId="6EE5A5E7"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Software (R)</w:t>
            </w:r>
          </w:p>
        </w:tc>
        <w:tc>
          <w:tcPr>
            <w:tcW w:w="331" w:type="pct"/>
            <w:shd w:val="clear" w:color="auto" w:fill="auto"/>
            <w:noWrap/>
            <w:vAlign w:val="center"/>
            <w:hideMark/>
          </w:tcPr>
          <w:p w14:paraId="7B1A92F0"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178</w:t>
            </w:r>
          </w:p>
        </w:tc>
        <w:tc>
          <w:tcPr>
            <w:tcW w:w="331" w:type="pct"/>
            <w:shd w:val="clear" w:color="auto" w:fill="auto"/>
            <w:noWrap/>
            <w:vAlign w:val="center"/>
            <w:hideMark/>
          </w:tcPr>
          <w:p w14:paraId="4584037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231</w:t>
            </w:r>
          </w:p>
        </w:tc>
        <w:tc>
          <w:tcPr>
            <w:tcW w:w="331" w:type="pct"/>
            <w:shd w:val="clear" w:color="auto" w:fill="auto"/>
            <w:noWrap/>
            <w:vAlign w:val="center"/>
            <w:hideMark/>
          </w:tcPr>
          <w:p w14:paraId="7486A773"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122</w:t>
            </w:r>
          </w:p>
        </w:tc>
        <w:tc>
          <w:tcPr>
            <w:tcW w:w="332" w:type="pct"/>
            <w:shd w:val="clear" w:color="auto" w:fill="auto"/>
            <w:noWrap/>
            <w:vAlign w:val="center"/>
            <w:hideMark/>
          </w:tcPr>
          <w:p w14:paraId="6CD2ED32"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224</w:t>
            </w:r>
          </w:p>
        </w:tc>
        <w:tc>
          <w:tcPr>
            <w:tcW w:w="332" w:type="pct"/>
            <w:shd w:val="clear" w:color="auto" w:fill="auto"/>
            <w:noWrap/>
            <w:vAlign w:val="center"/>
            <w:hideMark/>
          </w:tcPr>
          <w:p w14:paraId="72E2924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224</w:t>
            </w:r>
          </w:p>
        </w:tc>
        <w:tc>
          <w:tcPr>
            <w:tcW w:w="332" w:type="pct"/>
            <w:shd w:val="clear" w:color="auto" w:fill="auto"/>
            <w:noWrap/>
            <w:vAlign w:val="center"/>
            <w:hideMark/>
          </w:tcPr>
          <w:p w14:paraId="79124BB0"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221</w:t>
            </w:r>
          </w:p>
        </w:tc>
        <w:tc>
          <w:tcPr>
            <w:tcW w:w="332" w:type="pct"/>
            <w:shd w:val="clear" w:color="auto" w:fill="auto"/>
            <w:noWrap/>
            <w:vAlign w:val="center"/>
            <w:hideMark/>
          </w:tcPr>
          <w:p w14:paraId="4DEE8B0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276</w:t>
            </w:r>
          </w:p>
        </w:tc>
        <w:tc>
          <w:tcPr>
            <w:tcW w:w="377" w:type="pct"/>
            <w:shd w:val="clear" w:color="auto" w:fill="auto"/>
            <w:noWrap/>
            <w:vAlign w:val="center"/>
            <w:hideMark/>
          </w:tcPr>
          <w:p w14:paraId="53599C7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1 476</w:t>
            </w:r>
          </w:p>
        </w:tc>
      </w:tr>
      <w:tr w:rsidR="001B3FE1" w:rsidRPr="001C6490" w14:paraId="4EC3552E" w14:textId="77777777" w:rsidTr="001C6490">
        <w:trPr>
          <w:trHeight w:val="255"/>
        </w:trPr>
        <w:tc>
          <w:tcPr>
            <w:tcW w:w="2303" w:type="pct"/>
            <w:shd w:val="clear" w:color="auto" w:fill="auto"/>
            <w:noWrap/>
            <w:vAlign w:val="center"/>
            <w:hideMark/>
          </w:tcPr>
          <w:p w14:paraId="1D38EADB"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Specializovaná veřejná databáze (S)</w:t>
            </w:r>
          </w:p>
        </w:tc>
        <w:tc>
          <w:tcPr>
            <w:tcW w:w="331" w:type="pct"/>
            <w:shd w:val="clear" w:color="auto" w:fill="auto"/>
            <w:noWrap/>
            <w:vAlign w:val="center"/>
            <w:hideMark/>
          </w:tcPr>
          <w:p w14:paraId="2B96906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0</w:t>
            </w:r>
          </w:p>
        </w:tc>
        <w:tc>
          <w:tcPr>
            <w:tcW w:w="331" w:type="pct"/>
            <w:shd w:val="clear" w:color="auto" w:fill="auto"/>
            <w:noWrap/>
            <w:vAlign w:val="center"/>
            <w:hideMark/>
          </w:tcPr>
          <w:p w14:paraId="4A2E85C6"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0</w:t>
            </w:r>
          </w:p>
        </w:tc>
        <w:tc>
          <w:tcPr>
            <w:tcW w:w="331" w:type="pct"/>
            <w:shd w:val="clear" w:color="auto" w:fill="auto"/>
            <w:noWrap/>
            <w:vAlign w:val="center"/>
            <w:hideMark/>
          </w:tcPr>
          <w:p w14:paraId="75CEEC4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0</w:t>
            </w:r>
          </w:p>
        </w:tc>
        <w:tc>
          <w:tcPr>
            <w:tcW w:w="332" w:type="pct"/>
            <w:shd w:val="clear" w:color="auto" w:fill="auto"/>
            <w:noWrap/>
            <w:vAlign w:val="center"/>
            <w:hideMark/>
          </w:tcPr>
          <w:p w14:paraId="1E4B1020"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0</w:t>
            </w:r>
          </w:p>
        </w:tc>
        <w:tc>
          <w:tcPr>
            <w:tcW w:w="332" w:type="pct"/>
            <w:shd w:val="clear" w:color="auto" w:fill="auto"/>
            <w:noWrap/>
            <w:vAlign w:val="center"/>
            <w:hideMark/>
          </w:tcPr>
          <w:p w14:paraId="40B6553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0</w:t>
            </w:r>
          </w:p>
        </w:tc>
        <w:tc>
          <w:tcPr>
            <w:tcW w:w="332" w:type="pct"/>
            <w:shd w:val="clear" w:color="auto" w:fill="auto"/>
            <w:noWrap/>
            <w:vAlign w:val="center"/>
            <w:hideMark/>
          </w:tcPr>
          <w:p w14:paraId="2DF11F8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w:t>
            </w:r>
          </w:p>
        </w:tc>
        <w:tc>
          <w:tcPr>
            <w:tcW w:w="332" w:type="pct"/>
            <w:shd w:val="clear" w:color="auto" w:fill="auto"/>
            <w:noWrap/>
            <w:vAlign w:val="center"/>
            <w:hideMark/>
          </w:tcPr>
          <w:p w14:paraId="1652C553"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3</w:t>
            </w:r>
          </w:p>
        </w:tc>
        <w:tc>
          <w:tcPr>
            <w:tcW w:w="377" w:type="pct"/>
            <w:shd w:val="clear" w:color="auto" w:fill="auto"/>
            <w:noWrap/>
            <w:vAlign w:val="center"/>
            <w:hideMark/>
          </w:tcPr>
          <w:p w14:paraId="0068C7B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w:t>
            </w:r>
          </w:p>
        </w:tc>
      </w:tr>
      <w:tr w:rsidR="001B3FE1" w:rsidRPr="001C6490" w14:paraId="50593AE9" w14:textId="77777777" w:rsidTr="001C6490">
        <w:trPr>
          <w:trHeight w:val="255"/>
        </w:trPr>
        <w:tc>
          <w:tcPr>
            <w:tcW w:w="2303" w:type="pct"/>
            <w:shd w:val="clear" w:color="auto" w:fill="auto"/>
            <w:noWrap/>
            <w:vAlign w:val="center"/>
            <w:hideMark/>
          </w:tcPr>
          <w:p w14:paraId="36A7B668"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Souhrnná a výzkumná zpráva s utajovanou informací (V)</w:t>
            </w:r>
          </w:p>
        </w:tc>
        <w:tc>
          <w:tcPr>
            <w:tcW w:w="331" w:type="pct"/>
            <w:shd w:val="clear" w:color="auto" w:fill="auto"/>
            <w:noWrap/>
            <w:vAlign w:val="center"/>
            <w:hideMark/>
          </w:tcPr>
          <w:p w14:paraId="5B0D7CD6"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57</w:t>
            </w:r>
          </w:p>
        </w:tc>
        <w:tc>
          <w:tcPr>
            <w:tcW w:w="331" w:type="pct"/>
            <w:shd w:val="clear" w:color="auto" w:fill="auto"/>
            <w:noWrap/>
            <w:vAlign w:val="center"/>
            <w:hideMark/>
          </w:tcPr>
          <w:p w14:paraId="2F7AFB6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66</w:t>
            </w:r>
          </w:p>
        </w:tc>
        <w:tc>
          <w:tcPr>
            <w:tcW w:w="331" w:type="pct"/>
            <w:shd w:val="clear" w:color="auto" w:fill="auto"/>
            <w:noWrap/>
            <w:vAlign w:val="center"/>
            <w:hideMark/>
          </w:tcPr>
          <w:p w14:paraId="1C0B7A3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57</w:t>
            </w:r>
          </w:p>
        </w:tc>
        <w:tc>
          <w:tcPr>
            <w:tcW w:w="332" w:type="pct"/>
            <w:shd w:val="clear" w:color="auto" w:fill="auto"/>
            <w:noWrap/>
            <w:vAlign w:val="center"/>
            <w:hideMark/>
          </w:tcPr>
          <w:p w14:paraId="7F5C0A48"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138</w:t>
            </w:r>
          </w:p>
        </w:tc>
        <w:tc>
          <w:tcPr>
            <w:tcW w:w="332" w:type="pct"/>
            <w:shd w:val="clear" w:color="auto" w:fill="auto"/>
            <w:noWrap/>
            <w:vAlign w:val="center"/>
            <w:hideMark/>
          </w:tcPr>
          <w:p w14:paraId="090373DB"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156</w:t>
            </w:r>
          </w:p>
        </w:tc>
        <w:tc>
          <w:tcPr>
            <w:tcW w:w="332" w:type="pct"/>
            <w:shd w:val="clear" w:color="auto" w:fill="auto"/>
            <w:noWrap/>
            <w:vAlign w:val="center"/>
            <w:hideMark/>
          </w:tcPr>
          <w:p w14:paraId="64804A3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173</w:t>
            </w:r>
          </w:p>
        </w:tc>
        <w:tc>
          <w:tcPr>
            <w:tcW w:w="332" w:type="pct"/>
            <w:shd w:val="clear" w:color="auto" w:fill="auto"/>
            <w:noWrap/>
            <w:vAlign w:val="center"/>
            <w:hideMark/>
          </w:tcPr>
          <w:p w14:paraId="28ACCA0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182</w:t>
            </w:r>
          </w:p>
        </w:tc>
        <w:tc>
          <w:tcPr>
            <w:tcW w:w="377" w:type="pct"/>
            <w:shd w:val="clear" w:color="auto" w:fill="auto"/>
            <w:noWrap/>
            <w:vAlign w:val="center"/>
            <w:hideMark/>
          </w:tcPr>
          <w:p w14:paraId="07CFF791"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829</w:t>
            </w:r>
          </w:p>
        </w:tc>
      </w:tr>
      <w:tr w:rsidR="001B3FE1" w:rsidRPr="001C6490" w14:paraId="0DF6974B" w14:textId="77777777" w:rsidTr="001C6490">
        <w:trPr>
          <w:trHeight w:val="255"/>
        </w:trPr>
        <w:tc>
          <w:tcPr>
            <w:tcW w:w="2303" w:type="pct"/>
            <w:shd w:val="clear" w:color="auto" w:fill="auto"/>
            <w:noWrap/>
            <w:vAlign w:val="center"/>
            <w:hideMark/>
          </w:tcPr>
          <w:p w14:paraId="0A35D031"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Poloprovoz, ověřená technologie, odrůda, plemeno (Z)</w:t>
            </w:r>
          </w:p>
        </w:tc>
        <w:tc>
          <w:tcPr>
            <w:tcW w:w="331" w:type="pct"/>
            <w:shd w:val="clear" w:color="auto" w:fill="auto"/>
            <w:noWrap/>
            <w:vAlign w:val="center"/>
            <w:hideMark/>
          </w:tcPr>
          <w:p w14:paraId="4D80AF9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164</w:t>
            </w:r>
          </w:p>
        </w:tc>
        <w:tc>
          <w:tcPr>
            <w:tcW w:w="331" w:type="pct"/>
            <w:shd w:val="clear" w:color="auto" w:fill="auto"/>
            <w:noWrap/>
            <w:vAlign w:val="center"/>
            <w:hideMark/>
          </w:tcPr>
          <w:p w14:paraId="5CDCC16B"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204</w:t>
            </w:r>
          </w:p>
        </w:tc>
        <w:tc>
          <w:tcPr>
            <w:tcW w:w="331" w:type="pct"/>
            <w:shd w:val="clear" w:color="auto" w:fill="auto"/>
            <w:noWrap/>
            <w:vAlign w:val="center"/>
            <w:hideMark/>
          </w:tcPr>
          <w:p w14:paraId="1BF4FAF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130</w:t>
            </w:r>
          </w:p>
        </w:tc>
        <w:tc>
          <w:tcPr>
            <w:tcW w:w="332" w:type="pct"/>
            <w:shd w:val="clear" w:color="auto" w:fill="auto"/>
            <w:noWrap/>
            <w:vAlign w:val="center"/>
            <w:hideMark/>
          </w:tcPr>
          <w:p w14:paraId="204DA2F0"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188</w:t>
            </w:r>
          </w:p>
        </w:tc>
        <w:tc>
          <w:tcPr>
            <w:tcW w:w="332" w:type="pct"/>
            <w:shd w:val="clear" w:color="auto" w:fill="auto"/>
            <w:noWrap/>
            <w:vAlign w:val="center"/>
            <w:hideMark/>
          </w:tcPr>
          <w:p w14:paraId="5D70A1A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239</w:t>
            </w:r>
          </w:p>
        </w:tc>
        <w:tc>
          <w:tcPr>
            <w:tcW w:w="332" w:type="pct"/>
            <w:shd w:val="clear" w:color="auto" w:fill="auto"/>
            <w:noWrap/>
            <w:vAlign w:val="center"/>
            <w:hideMark/>
          </w:tcPr>
          <w:p w14:paraId="44F6AD61"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182</w:t>
            </w:r>
          </w:p>
        </w:tc>
        <w:tc>
          <w:tcPr>
            <w:tcW w:w="332" w:type="pct"/>
            <w:shd w:val="clear" w:color="auto" w:fill="auto"/>
            <w:noWrap/>
            <w:vAlign w:val="center"/>
            <w:hideMark/>
          </w:tcPr>
          <w:p w14:paraId="46664C0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299</w:t>
            </w:r>
          </w:p>
        </w:tc>
        <w:tc>
          <w:tcPr>
            <w:tcW w:w="377" w:type="pct"/>
            <w:shd w:val="clear" w:color="auto" w:fill="auto"/>
            <w:noWrap/>
            <w:vAlign w:val="center"/>
            <w:hideMark/>
          </w:tcPr>
          <w:p w14:paraId="5D7FE16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1 406</w:t>
            </w:r>
          </w:p>
        </w:tc>
      </w:tr>
      <w:tr w:rsidR="001B3FE1" w:rsidRPr="001C6490" w14:paraId="2F0797D0" w14:textId="77777777" w:rsidTr="001C6490">
        <w:trPr>
          <w:trHeight w:val="255"/>
        </w:trPr>
        <w:tc>
          <w:tcPr>
            <w:tcW w:w="2303" w:type="pct"/>
            <w:shd w:val="clear" w:color="auto" w:fill="auto"/>
            <w:noWrap/>
            <w:vAlign w:val="center"/>
            <w:hideMark/>
          </w:tcPr>
          <w:p w14:paraId="4816C32E" w14:textId="3B8CF1C9" w:rsidR="00B672B9" w:rsidRPr="001C6490" w:rsidRDefault="00B672B9" w:rsidP="001C6490">
            <w:pPr>
              <w:spacing w:after="0" w:line="240" w:lineRule="auto"/>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Publikační výsledky</w:t>
            </w:r>
          </w:p>
        </w:tc>
        <w:tc>
          <w:tcPr>
            <w:tcW w:w="331" w:type="pct"/>
            <w:shd w:val="clear" w:color="auto" w:fill="auto"/>
            <w:noWrap/>
            <w:vAlign w:val="center"/>
            <w:hideMark/>
          </w:tcPr>
          <w:p w14:paraId="2C4A98A0"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1 721</w:t>
            </w:r>
          </w:p>
        </w:tc>
        <w:tc>
          <w:tcPr>
            <w:tcW w:w="331" w:type="pct"/>
            <w:shd w:val="clear" w:color="auto" w:fill="auto"/>
            <w:noWrap/>
            <w:vAlign w:val="center"/>
            <w:hideMark/>
          </w:tcPr>
          <w:p w14:paraId="44CDEE98"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1 584</w:t>
            </w:r>
          </w:p>
        </w:tc>
        <w:tc>
          <w:tcPr>
            <w:tcW w:w="331" w:type="pct"/>
            <w:shd w:val="clear" w:color="auto" w:fill="auto"/>
            <w:noWrap/>
            <w:vAlign w:val="center"/>
            <w:hideMark/>
          </w:tcPr>
          <w:p w14:paraId="2B47071A"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1 326</w:t>
            </w:r>
          </w:p>
        </w:tc>
        <w:tc>
          <w:tcPr>
            <w:tcW w:w="332" w:type="pct"/>
            <w:shd w:val="clear" w:color="auto" w:fill="auto"/>
            <w:noWrap/>
            <w:vAlign w:val="center"/>
            <w:hideMark/>
          </w:tcPr>
          <w:p w14:paraId="5EE827AA"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1 605</w:t>
            </w:r>
          </w:p>
        </w:tc>
        <w:tc>
          <w:tcPr>
            <w:tcW w:w="332" w:type="pct"/>
            <w:shd w:val="clear" w:color="auto" w:fill="auto"/>
            <w:noWrap/>
            <w:vAlign w:val="center"/>
            <w:hideMark/>
          </w:tcPr>
          <w:p w14:paraId="0B469FF2"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1 463</w:t>
            </w:r>
          </w:p>
        </w:tc>
        <w:tc>
          <w:tcPr>
            <w:tcW w:w="332" w:type="pct"/>
            <w:shd w:val="clear" w:color="auto" w:fill="auto"/>
            <w:noWrap/>
            <w:vAlign w:val="center"/>
            <w:hideMark/>
          </w:tcPr>
          <w:p w14:paraId="2F72ABB5"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1 633</w:t>
            </w:r>
          </w:p>
        </w:tc>
        <w:tc>
          <w:tcPr>
            <w:tcW w:w="332" w:type="pct"/>
            <w:shd w:val="clear" w:color="auto" w:fill="auto"/>
            <w:noWrap/>
            <w:vAlign w:val="center"/>
            <w:hideMark/>
          </w:tcPr>
          <w:p w14:paraId="5D31F959"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1 639</w:t>
            </w:r>
          </w:p>
        </w:tc>
        <w:tc>
          <w:tcPr>
            <w:tcW w:w="377" w:type="pct"/>
            <w:shd w:val="clear" w:color="auto" w:fill="auto"/>
            <w:noWrap/>
            <w:vAlign w:val="center"/>
            <w:hideMark/>
          </w:tcPr>
          <w:p w14:paraId="6137A6D1"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10 971</w:t>
            </w:r>
          </w:p>
        </w:tc>
      </w:tr>
      <w:tr w:rsidR="001B3FE1" w:rsidRPr="001C6490" w14:paraId="0F17B3B1" w14:textId="77777777" w:rsidTr="001C6490">
        <w:trPr>
          <w:trHeight w:val="255"/>
        </w:trPr>
        <w:tc>
          <w:tcPr>
            <w:tcW w:w="2303" w:type="pct"/>
            <w:shd w:val="clear" w:color="auto" w:fill="auto"/>
            <w:noWrap/>
            <w:vAlign w:val="center"/>
            <w:hideMark/>
          </w:tcPr>
          <w:p w14:paraId="5157D204"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Odborná kniha (B)</w:t>
            </w:r>
          </w:p>
        </w:tc>
        <w:tc>
          <w:tcPr>
            <w:tcW w:w="331" w:type="pct"/>
            <w:shd w:val="clear" w:color="auto" w:fill="auto"/>
            <w:noWrap/>
            <w:vAlign w:val="center"/>
            <w:hideMark/>
          </w:tcPr>
          <w:p w14:paraId="3120B9E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18</w:t>
            </w:r>
          </w:p>
        </w:tc>
        <w:tc>
          <w:tcPr>
            <w:tcW w:w="331" w:type="pct"/>
            <w:shd w:val="clear" w:color="auto" w:fill="auto"/>
            <w:noWrap/>
            <w:vAlign w:val="center"/>
            <w:hideMark/>
          </w:tcPr>
          <w:p w14:paraId="4F895DB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24</w:t>
            </w:r>
          </w:p>
        </w:tc>
        <w:tc>
          <w:tcPr>
            <w:tcW w:w="331" w:type="pct"/>
            <w:shd w:val="clear" w:color="auto" w:fill="auto"/>
            <w:noWrap/>
            <w:vAlign w:val="center"/>
            <w:hideMark/>
          </w:tcPr>
          <w:p w14:paraId="63DDEEA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w:t>
            </w:r>
          </w:p>
        </w:tc>
        <w:tc>
          <w:tcPr>
            <w:tcW w:w="332" w:type="pct"/>
            <w:shd w:val="clear" w:color="auto" w:fill="auto"/>
            <w:noWrap/>
            <w:vAlign w:val="center"/>
            <w:hideMark/>
          </w:tcPr>
          <w:p w14:paraId="541A6CF1"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17</w:t>
            </w:r>
          </w:p>
        </w:tc>
        <w:tc>
          <w:tcPr>
            <w:tcW w:w="332" w:type="pct"/>
            <w:shd w:val="clear" w:color="auto" w:fill="auto"/>
            <w:noWrap/>
            <w:vAlign w:val="center"/>
            <w:hideMark/>
          </w:tcPr>
          <w:p w14:paraId="14D22A5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49</w:t>
            </w:r>
          </w:p>
        </w:tc>
        <w:tc>
          <w:tcPr>
            <w:tcW w:w="332" w:type="pct"/>
            <w:shd w:val="clear" w:color="auto" w:fill="auto"/>
            <w:noWrap/>
            <w:vAlign w:val="center"/>
            <w:hideMark/>
          </w:tcPr>
          <w:p w14:paraId="5DAE84A6"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54</w:t>
            </w:r>
          </w:p>
        </w:tc>
        <w:tc>
          <w:tcPr>
            <w:tcW w:w="332" w:type="pct"/>
            <w:shd w:val="clear" w:color="auto" w:fill="auto"/>
            <w:noWrap/>
            <w:vAlign w:val="center"/>
            <w:hideMark/>
          </w:tcPr>
          <w:p w14:paraId="0B23AD9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54</w:t>
            </w:r>
          </w:p>
        </w:tc>
        <w:tc>
          <w:tcPr>
            <w:tcW w:w="377" w:type="pct"/>
            <w:shd w:val="clear" w:color="auto" w:fill="auto"/>
            <w:noWrap/>
            <w:vAlign w:val="center"/>
            <w:hideMark/>
          </w:tcPr>
          <w:p w14:paraId="72C8740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223</w:t>
            </w:r>
          </w:p>
        </w:tc>
      </w:tr>
      <w:tr w:rsidR="001B3FE1" w:rsidRPr="001C6490" w14:paraId="227751C5" w14:textId="77777777" w:rsidTr="001C6490">
        <w:trPr>
          <w:trHeight w:val="255"/>
        </w:trPr>
        <w:tc>
          <w:tcPr>
            <w:tcW w:w="2303" w:type="pct"/>
            <w:shd w:val="clear" w:color="auto" w:fill="auto"/>
            <w:noWrap/>
            <w:vAlign w:val="center"/>
            <w:hideMark/>
          </w:tcPr>
          <w:p w14:paraId="1B55590E"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Kapitola/y v odborné knize (C)</w:t>
            </w:r>
          </w:p>
        </w:tc>
        <w:tc>
          <w:tcPr>
            <w:tcW w:w="331" w:type="pct"/>
            <w:shd w:val="clear" w:color="auto" w:fill="auto"/>
            <w:noWrap/>
            <w:vAlign w:val="center"/>
            <w:hideMark/>
          </w:tcPr>
          <w:p w14:paraId="34463A10"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20</w:t>
            </w:r>
          </w:p>
        </w:tc>
        <w:tc>
          <w:tcPr>
            <w:tcW w:w="331" w:type="pct"/>
            <w:shd w:val="clear" w:color="auto" w:fill="auto"/>
            <w:noWrap/>
            <w:vAlign w:val="center"/>
            <w:hideMark/>
          </w:tcPr>
          <w:p w14:paraId="052E58B3"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w:t>
            </w:r>
          </w:p>
        </w:tc>
        <w:tc>
          <w:tcPr>
            <w:tcW w:w="331" w:type="pct"/>
            <w:shd w:val="clear" w:color="auto" w:fill="auto"/>
            <w:noWrap/>
            <w:vAlign w:val="center"/>
            <w:hideMark/>
          </w:tcPr>
          <w:p w14:paraId="5E0D792F"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w:t>
            </w:r>
          </w:p>
        </w:tc>
        <w:tc>
          <w:tcPr>
            <w:tcW w:w="332" w:type="pct"/>
            <w:shd w:val="clear" w:color="auto" w:fill="auto"/>
            <w:noWrap/>
            <w:vAlign w:val="center"/>
            <w:hideMark/>
          </w:tcPr>
          <w:p w14:paraId="45EED5B8"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85</w:t>
            </w:r>
          </w:p>
        </w:tc>
        <w:tc>
          <w:tcPr>
            <w:tcW w:w="332" w:type="pct"/>
            <w:shd w:val="clear" w:color="auto" w:fill="auto"/>
            <w:noWrap/>
            <w:vAlign w:val="center"/>
            <w:hideMark/>
          </w:tcPr>
          <w:p w14:paraId="7689BEEB"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47</w:t>
            </w:r>
          </w:p>
        </w:tc>
        <w:tc>
          <w:tcPr>
            <w:tcW w:w="332" w:type="pct"/>
            <w:shd w:val="clear" w:color="auto" w:fill="auto"/>
            <w:noWrap/>
            <w:vAlign w:val="center"/>
            <w:hideMark/>
          </w:tcPr>
          <w:p w14:paraId="1D6E3DBA"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70</w:t>
            </w:r>
          </w:p>
        </w:tc>
        <w:tc>
          <w:tcPr>
            <w:tcW w:w="332" w:type="pct"/>
            <w:shd w:val="clear" w:color="auto" w:fill="auto"/>
            <w:noWrap/>
            <w:vAlign w:val="center"/>
            <w:hideMark/>
          </w:tcPr>
          <w:p w14:paraId="2942C1E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57</w:t>
            </w:r>
          </w:p>
        </w:tc>
        <w:tc>
          <w:tcPr>
            <w:tcW w:w="377" w:type="pct"/>
            <w:shd w:val="clear" w:color="auto" w:fill="auto"/>
            <w:noWrap/>
            <w:vAlign w:val="center"/>
            <w:hideMark/>
          </w:tcPr>
          <w:p w14:paraId="01151FF3"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293</w:t>
            </w:r>
          </w:p>
        </w:tc>
      </w:tr>
      <w:tr w:rsidR="001B3FE1" w:rsidRPr="001C6490" w14:paraId="638D871A" w14:textId="77777777" w:rsidTr="001C6490">
        <w:trPr>
          <w:trHeight w:val="255"/>
        </w:trPr>
        <w:tc>
          <w:tcPr>
            <w:tcW w:w="2303" w:type="pct"/>
            <w:shd w:val="clear" w:color="auto" w:fill="auto"/>
            <w:noWrap/>
            <w:vAlign w:val="center"/>
            <w:hideMark/>
          </w:tcPr>
          <w:p w14:paraId="5688B7A7"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Stať ve sborníku (D)</w:t>
            </w:r>
          </w:p>
        </w:tc>
        <w:tc>
          <w:tcPr>
            <w:tcW w:w="331" w:type="pct"/>
            <w:shd w:val="clear" w:color="auto" w:fill="auto"/>
            <w:noWrap/>
            <w:vAlign w:val="center"/>
            <w:hideMark/>
          </w:tcPr>
          <w:p w14:paraId="55FA52C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955</w:t>
            </w:r>
          </w:p>
        </w:tc>
        <w:tc>
          <w:tcPr>
            <w:tcW w:w="331" w:type="pct"/>
            <w:shd w:val="clear" w:color="auto" w:fill="auto"/>
            <w:noWrap/>
            <w:vAlign w:val="center"/>
            <w:hideMark/>
          </w:tcPr>
          <w:p w14:paraId="7F467B00"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887</w:t>
            </w:r>
          </w:p>
        </w:tc>
        <w:tc>
          <w:tcPr>
            <w:tcW w:w="331" w:type="pct"/>
            <w:shd w:val="clear" w:color="auto" w:fill="auto"/>
            <w:noWrap/>
            <w:vAlign w:val="center"/>
            <w:hideMark/>
          </w:tcPr>
          <w:p w14:paraId="4DE99F9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712</w:t>
            </w:r>
          </w:p>
        </w:tc>
        <w:tc>
          <w:tcPr>
            <w:tcW w:w="332" w:type="pct"/>
            <w:shd w:val="clear" w:color="auto" w:fill="auto"/>
            <w:noWrap/>
            <w:vAlign w:val="center"/>
            <w:hideMark/>
          </w:tcPr>
          <w:p w14:paraId="169D4A8A"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892</w:t>
            </w:r>
          </w:p>
        </w:tc>
        <w:tc>
          <w:tcPr>
            <w:tcW w:w="332" w:type="pct"/>
            <w:shd w:val="clear" w:color="auto" w:fill="auto"/>
            <w:noWrap/>
            <w:vAlign w:val="center"/>
            <w:hideMark/>
          </w:tcPr>
          <w:p w14:paraId="2B415751"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554</w:t>
            </w:r>
          </w:p>
        </w:tc>
        <w:tc>
          <w:tcPr>
            <w:tcW w:w="332" w:type="pct"/>
            <w:shd w:val="clear" w:color="auto" w:fill="auto"/>
            <w:noWrap/>
            <w:vAlign w:val="center"/>
            <w:hideMark/>
          </w:tcPr>
          <w:p w14:paraId="04BF8756"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475</w:t>
            </w:r>
          </w:p>
        </w:tc>
        <w:tc>
          <w:tcPr>
            <w:tcW w:w="332" w:type="pct"/>
            <w:shd w:val="clear" w:color="auto" w:fill="auto"/>
            <w:noWrap/>
            <w:vAlign w:val="center"/>
            <w:hideMark/>
          </w:tcPr>
          <w:p w14:paraId="42B7979A"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479</w:t>
            </w:r>
          </w:p>
        </w:tc>
        <w:tc>
          <w:tcPr>
            <w:tcW w:w="377" w:type="pct"/>
            <w:shd w:val="clear" w:color="auto" w:fill="auto"/>
            <w:noWrap/>
            <w:vAlign w:val="center"/>
            <w:hideMark/>
          </w:tcPr>
          <w:p w14:paraId="183FD2FA"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4 954</w:t>
            </w:r>
          </w:p>
        </w:tc>
      </w:tr>
      <w:tr w:rsidR="001B3FE1" w:rsidRPr="001C6490" w14:paraId="469A3633" w14:textId="77777777" w:rsidTr="001C6490">
        <w:trPr>
          <w:trHeight w:val="255"/>
        </w:trPr>
        <w:tc>
          <w:tcPr>
            <w:tcW w:w="2303" w:type="pct"/>
            <w:shd w:val="clear" w:color="auto" w:fill="auto"/>
            <w:noWrap/>
            <w:vAlign w:val="center"/>
            <w:hideMark/>
          </w:tcPr>
          <w:p w14:paraId="4784D8D2"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Recenzovaný odborný článek (J)</w:t>
            </w:r>
          </w:p>
        </w:tc>
        <w:tc>
          <w:tcPr>
            <w:tcW w:w="331" w:type="pct"/>
            <w:shd w:val="clear" w:color="auto" w:fill="auto"/>
            <w:noWrap/>
            <w:vAlign w:val="center"/>
            <w:hideMark/>
          </w:tcPr>
          <w:p w14:paraId="4E7ECB1A"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728</w:t>
            </w:r>
          </w:p>
        </w:tc>
        <w:tc>
          <w:tcPr>
            <w:tcW w:w="331" w:type="pct"/>
            <w:shd w:val="clear" w:color="auto" w:fill="auto"/>
            <w:noWrap/>
            <w:vAlign w:val="center"/>
            <w:hideMark/>
          </w:tcPr>
          <w:p w14:paraId="714283FA"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666</w:t>
            </w:r>
          </w:p>
        </w:tc>
        <w:tc>
          <w:tcPr>
            <w:tcW w:w="331" w:type="pct"/>
            <w:shd w:val="clear" w:color="auto" w:fill="auto"/>
            <w:noWrap/>
            <w:vAlign w:val="center"/>
            <w:hideMark/>
          </w:tcPr>
          <w:p w14:paraId="1FCDFE5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600</w:t>
            </w:r>
          </w:p>
        </w:tc>
        <w:tc>
          <w:tcPr>
            <w:tcW w:w="332" w:type="pct"/>
            <w:shd w:val="clear" w:color="auto" w:fill="auto"/>
            <w:noWrap/>
            <w:vAlign w:val="center"/>
            <w:hideMark/>
          </w:tcPr>
          <w:p w14:paraId="3CA40908"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611</w:t>
            </w:r>
          </w:p>
        </w:tc>
        <w:tc>
          <w:tcPr>
            <w:tcW w:w="332" w:type="pct"/>
            <w:shd w:val="clear" w:color="auto" w:fill="auto"/>
            <w:noWrap/>
            <w:vAlign w:val="center"/>
            <w:hideMark/>
          </w:tcPr>
          <w:p w14:paraId="7BFB4A2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813</w:t>
            </w:r>
          </w:p>
        </w:tc>
        <w:tc>
          <w:tcPr>
            <w:tcW w:w="332" w:type="pct"/>
            <w:shd w:val="clear" w:color="auto" w:fill="auto"/>
            <w:noWrap/>
            <w:vAlign w:val="center"/>
            <w:hideMark/>
          </w:tcPr>
          <w:p w14:paraId="72598B1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1 034</w:t>
            </w:r>
          </w:p>
        </w:tc>
        <w:tc>
          <w:tcPr>
            <w:tcW w:w="332" w:type="pct"/>
            <w:shd w:val="clear" w:color="auto" w:fill="auto"/>
            <w:noWrap/>
            <w:vAlign w:val="center"/>
            <w:hideMark/>
          </w:tcPr>
          <w:p w14:paraId="703AF7F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1 049</w:t>
            </w:r>
          </w:p>
        </w:tc>
        <w:tc>
          <w:tcPr>
            <w:tcW w:w="377" w:type="pct"/>
            <w:shd w:val="clear" w:color="auto" w:fill="auto"/>
            <w:noWrap/>
            <w:vAlign w:val="center"/>
            <w:hideMark/>
          </w:tcPr>
          <w:p w14:paraId="214747C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5 501</w:t>
            </w:r>
          </w:p>
        </w:tc>
      </w:tr>
      <w:tr w:rsidR="001B3FE1" w:rsidRPr="001C6490" w14:paraId="01530372" w14:textId="77777777" w:rsidTr="001C6490">
        <w:trPr>
          <w:trHeight w:val="255"/>
        </w:trPr>
        <w:tc>
          <w:tcPr>
            <w:tcW w:w="2303" w:type="pct"/>
            <w:shd w:val="clear" w:color="auto" w:fill="auto"/>
            <w:noWrap/>
            <w:vAlign w:val="center"/>
            <w:hideMark/>
          </w:tcPr>
          <w:p w14:paraId="251E1B3F" w14:textId="366C19BC" w:rsidR="00B672B9" w:rsidRPr="001C6490" w:rsidRDefault="00B672B9" w:rsidP="001C6490">
            <w:pPr>
              <w:spacing w:after="0" w:line="240" w:lineRule="auto"/>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Ostatní výsledky</w:t>
            </w:r>
          </w:p>
        </w:tc>
        <w:tc>
          <w:tcPr>
            <w:tcW w:w="331" w:type="pct"/>
            <w:shd w:val="clear" w:color="auto" w:fill="auto"/>
            <w:noWrap/>
            <w:vAlign w:val="center"/>
            <w:hideMark/>
          </w:tcPr>
          <w:p w14:paraId="0F07F5C3"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748</w:t>
            </w:r>
          </w:p>
        </w:tc>
        <w:tc>
          <w:tcPr>
            <w:tcW w:w="331" w:type="pct"/>
            <w:shd w:val="clear" w:color="auto" w:fill="auto"/>
            <w:noWrap/>
            <w:vAlign w:val="center"/>
            <w:hideMark/>
          </w:tcPr>
          <w:p w14:paraId="3F6C0452"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845</w:t>
            </w:r>
          </w:p>
        </w:tc>
        <w:tc>
          <w:tcPr>
            <w:tcW w:w="331" w:type="pct"/>
            <w:shd w:val="clear" w:color="auto" w:fill="auto"/>
            <w:noWrap/>
            <w:vAlign w:val="center"/>
            <w:hideMark/>
          </w:tcPr>
          <w:p w14:paraId="2DEE8665"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723</w:t>
            </w:r>
          </w:p>
        </w:tc>
        <w:tc>
          <w:tcPr>
            <w:tcW w:w="332" w:type="pct"/>
            <w:shd w:val="clear" w:color="auto" w:fill="auto"/>
            <w:noWrap/>
            <w:vAlign w:val="center"/>
            <w:hideMark/>
          </w:tcPr>
          <w:p w14:paraId="32A6AAE8"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1 137</w:t>
            </w:r>
          </w:p>
        </w:tc>
        <w:tc>
          <w:tcPr>
            <w:tcW w:w="332" w:type="pct"/>
            <w:shd w:val="clear" w:color="auto" w:fill="auto"/>
            <w:noWrap/>
            <w:vAlign w:val="center"/>
            <w:hideMark/>
          </w:tcPr>
          <w:p w14:paraId="3EF7546F"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974</w:t>
            </w:r>
          </w:p>
        </w:tc>
        <w:tc>
          <w:tcPr>
            <w:tcW w:w="332" w:type="pct"/>
            <w:shd w:val="clear" w:color="auto" w:fill="auto"/>
            <w:noWrap/>
            <w:vAlign w:val="center"/>
            <w:hideMark/>
          </w:tcPr>
          <w:p w14:paraId="316EEB1C"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960</w:t>
            </w:r>
          </w:p>
        </w:tc>
        <w:tc>
          <w:tcPr>
            <w:tcW w:w="332" w:type="pct"/>
            <w:shd w:val="clear" w:color="auto" w:fill="auto"/>
            <w:noWrap/>
            <w:vAlign w:val="center"/>
            <w:hideMark/>
          </w:tcPr>
          <w:p w14:paraId="073E6146"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1 172</w:t>
            </w:r>
          </w:p>
        </w:tc>
        <w:tc>
          <w:tcPr>
            <w:tcW w:w="377" w:type="pct"/>
            <w:shd w:val="clear" w:color="auto" w:fill="auto"/>
            <w:noWrap/>
            <w:vAlign w:val="center"/>
            <w:hideMark/>
          </w:tcPr>
          <w:p w14:paraId="7F267492"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6 559</w:t>
            </w:r>
          </w:p>
        </w:tc>
      </w:tr>
      <w:tr w:rsidR="001B3FE1" w:rsidRPr="001C6490" w14:paraId="1AC4FF9D" w14:textId="77777777" w:rsidTr="001C6490">
        <w:trPr>
          <w:trHeight w:val="255"/>
        </w:trPr>
        <w:tc>
          <w:tcPr>
            <w:tcW w:w="2303" w:type="pct"/>
            <w:shd w:val="clear" w:color="auto" w:fill="auto"/>
            <w:noWrap/>
            <w:vAlign w:val="center"/>
            <w:hideMark/>
          </w:tcPr>
          <w:p w14:paraId="68B7F05F"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Audiovizuální tvorba (A)</w:t>
            </w:r>
          </w:p>
        </w:tc>
        <w:tc>
          <w:tcPr>
            <w:tcW w:w="331" w:type="pct"/>
            <w:shd w:val="clear" w:color="auto" w:fill="auto"/>
            <w:noWrap/>
            <w:vAlign w:val="center"/>
            <w:hideMark/>
          </w:tcPr>
          <w:p w14:paraId="738D630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w:t>
            </w:r>
          </w:p>
        </w:tc>
        <w:tc>
          <w:tcPr>
            <w:tcW w:w="331" w:type="pct"/>
            <w:shd w:val="clear" w:color="auto" w:fill="auto"/>
            <w:noWrap/>
            <w:vAlign w:val="center"/>
            <w:hideMark/>
          </w:tcPr>
          <w:p w14:paraId="121DB64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w:t>
            </w:r>
          </w:p>
        </w:tc>
        <w:tc>
          <w:tcPr>
            <w:tcW w:w="331" w:type="pct"/>
            <w:shd w:val="clear" w:color="auto" w:fill="auto"/>
            <w:noWrap/>
            <w:vAlign w:val="center"/>
            <w:hideMark/>
          </w:tcPr>
          <w:p w14:paraId="18E7740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w:t>
            </w:r>
          </w:p>
        </w:tc>
        <w:tc>
          <w:tcPr>
            <w:tcW w:w="332" w:type="pct"/>
            <w:shd w:val="clear" w:color="auto" w:fill="auto"/>
            <w:noWrap/>
            <w:vAlign w:val="center"/>
            <w:hideMark/>
          </w:tcPr>
          <w:p w14:paraId="025AF20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w:t>
            </w:r>
          </w:p>
        </w:tc>
        <w:tc>
          <w:tcPr>
            <w:tcW w:w="332" w:type="pct"/>
            <w:shd w:val="clear" w:color="auto" w:fill="auto"/>
            <w:noWrap/>
            <w:vAlign w:val="center"/>
            <w:hideMark/>
          </w:tcPr>
          <w:p w14:paraId="7603ED4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13</w:t>
            </w:r>
          </w:p>
        </w:tc>
        <w:tc>
          <w:tcPr>
            <w:tcW w:w="332" w:type="pct"/>
            <w:shd w:val="clear" w:color="auto" w:fill="auto"/>
            <w:noWrap/>
            <w:vAlign w:val="center"/>
            <w:hideMark/>
          </w:tcPr>
          <w:p w14:paraId="0FB39F5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w:t>
            </w:r>
          </w:p>
        </w:tc>
        <w:tc>
          <w:tcPr>
            <w:tcW w:w="332" w:type="pct"/>
            <w:shd w:val="clear" w:color="auto" w:fill="auto"/>
            <w:noWrap/>
            <w:vAlign w:val="center"/>
            <w:hideMark/>
          </w:tcPr>
          <w:p w14:paraId="78F544B1"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31</w:t>
            </w:r>
          </w:p>
        </w:tc>
        <w:tc>
          <w:tcPr>
            <w:tcW w:w="377" w:type="pct"/>
            <w:shd w:val="clear" w:color="auto" w:fill="auto"/>
            <w:noWrap/>
            <w:vAlign w:val="center"/>
            <w:hideMark/>
          </w:tcPr>
          <w:p w14:paraId="745923F2"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72</w:t>
            </w:r>
          </w:p>
        </w:tc>
      </w:tr>
      <w:tr w:rsidR="001B3FE1" w:rsidRPr="001C6490" w14:paraId="31806CFD" w14:textId="77777777" w:rsidTr="001C6490">
        <w:trPr>
          <w:trHeight w:val="255"/>
        </w:trPr>
        <w:tc>
          <w:tcPr>
            <w:tcW w:w="2303" w:type="pct"/>
            <w:shd w:val="clear" w:color="auto" w:fill="auto"/>
            <w:noWrap/>
            <w:vAlign w:val="center"/>
            <w:hideMark/>
          </w:tcPr>
          <w:p w14:paraId="128EF7E4"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Uspořádání výstavy (E)</w:t>
            </w:r>
          </w:p>
        </w:tc>
        <w:tc>
          <w:tcPr>
            <w:tcW w:w="331" w:type="pct"/>
            <w:shd w:val="clear" w:color="auto" w:fill="auto"/>
            <w:noWrap/>
            <w:vAlign w:val="center"/>
            <w:hideMark/>
          </w:tcPr>
          <w:p w14:paraId="11C88EB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w:t>
            </w:r>
          </w:p>
        </w:tc>
        <w:tc>
          <w:tcPr>
            <w:tcW w:w="331" w:type="pct"/>
            <w:shd w:val="clear" w:color="auto" w:fill="auto"/>
            <w:noWrap/>
            <w:vAlign w:val="center"/>
            <w:hideMark/>
          </w:tcPr>
          <w:p w14:paraId="5618C93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w:t>
            </w:r>
          </w:p>
        </w:tc>
        <w:tc>
          <w:tcPr>
            <w:tcW w:w="331" w:type="pct"/>
            <w:shd w:val="clear" w:color="auto" w:fill="auto"/>
            <w:noWrap/>
            <w:vAlign w:val="center"/>
            <w:hideMark/>
          </w:tcPr>
          <w:p w14:paraId="0FED2E8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w:t>
            </w:r>
          </w:p>
        </w:tc>
        <w:tc>
          <w:tcPr>
            <w:tcW w:w="332" w:type="pct"/>
            <w:shd w:val="clear" w:color="auto" w:fill="auto"/>
            <w:noWrap/>
            <w:vAlign w:val="center"/>
            <w:hideMark/>
          </w:tcPr>
          <w:p w14:paraId="191EFD8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w:t>
            </w:r>
          </w:p>
        </w:tc>
        <w:tc>
          <w:tcPr>
            <w:tcW w:w="332" w:type="pct"/>
            <w:shd w:val="clear" w:color="auto" w:fill="auto"/>
            <w:noWrap/>
            <w:vAlign w:val="center"/>
            <w:hideMark/>
          </w:tcPr>
          <w:p w14:paraId="54F13A5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w:t>
            </w:r>
          </w:p>
        </w:tc>
        <w:tc>
          <w:tcPr>
            <w:tcW w:w="332" w:type="pct"/>
            <w:shd w:val="clear" w:color="auto" w:fill="auto"/>
            <w:noWrap/>
            <w:vAlign w:val="center"/>
            <w:hideMark/>
          </w:tcPr>
          <w:p w14:paraId="45585068"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w:t>
            </w:r>
          </w:p>
        </w:tc>
        <w:tc>
          <w:tcPr>
            <w:tcW w:w="332" w:type="pct"/>
            <w:shd w:val="clear" w:color="auto" w:fill="auto"/>
            <w:noWrap/>
            <w:vAlign w:val="center"/>
            <w:hideMark/>
          </w:tcPr>
          <w:p w14:paraId="68118B1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11</w:t>
            </w:r>
          </w:p>
        </w:tc>
        <w:tc>
          <w:tcPr>
            <w:tcW w:w="377" w:type="pct"/>
            <w:shd w:val="clear" w:color="auto" w:fill="auto"/>
            <w:noWrap/>
            <w:vAlign w:val="center"/>
            <w:hideMark/>
          </w:tcPr>
          <w:p w14:paraId="041194A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29</w:t>
            </w:r>
          </w:p>
        </w:tc>
      </w:tr>
      <w:tr w:rsidR="001B3FE1" w:rsidRPr="001C6490" w14:paraId="0182AED4" w14:textId="77777777" w:rsidTr="001C6490">
        <w:trPr>
          <w:trHeight w:val="255"/>
        </w:trPr>
        <w:tc>
          <w:tcPr>
            <w:tcW w:w="2303" w:type="pct"/>
            <w:shd w:val="clear" w:color="auto" w:fill="auto"/>
            <w:noWrap/>
            <w:vAlign w:val="center"/>
            <w:hideMark/>
          </w:tcPr>
          <w:p w14:paraId="26E1E0BB"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Uspořádání konference M)</w:t>
            </w:r>
          </w:p>
        </w:tc>
        <w:tc>
          <w:tcPr>
            <w:tcW w:w="331" w:type="pct"/>
            <w:shd w:val="clear" w:color="auto" w:fill="auto"/>
            <w:noWrap/>
            <w:vAlign w:val="center"/>
            <w:hideMark/>
          </w:tcPr>
          <w:p w14:paraId="42772FF7"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w:t>
            </w:r>
          </w:p>
        </w:tc>
        <w:tc>
          <w:tcPr>
            <w:tcW w:w="331" w:type="pct"/>
            <w:shd w:val="clear" w:color="auto" w:fill="auto"/>
            <w:noWrap/>
            <w:vAlign w:val="center"/>
            <w:hideMark/>
          </w:tcPr>
          <w:p w14:paraId="7177DBE3"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14</w:t>
            </w:r>
          </w:p>
        </w:tc>
        <w:tc>
          <w:tcPr>
            <w:tcW w:w="331" w:type="pct"/>
            <w:shd w:val="clear" w:color="auto" w:fill="auto"/>
            <w:noWrap/>
            <w:vAlign w:val="center"/>
            <w:hideMark/>
          </w:tcPr>
          <w:p w14:paraId="1E3B8668"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12</w:t>
            </w:r>
          </w:p>
        </w:tc>
        <w:tc>
          <w:tcPr>
            <w:tcW w:w="332" w:type="pct"/>
            <w:shd w:val="clear" w:color="auto" w:fill="auto"/>
            <w:noWrap/>
            <w:vAlign w:val="center"/>
            <w:hideMark/>
          </w:tcPr>
          <w:p w14:paraId="6CA00FD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19</w:t>
            </w:r>
          </w:p>
        </w:tc>
        <w:tc>
          <w:tcPr>
            <w:tcW w:w="332" w:type="pct"/>
            <w:shd w:val="clear" w:color="auto" w:fill="auto"/>
            <w:noWrap/>
            <w:vAlign w:val="center"/>
            <w:hideMark/>
          </w:tcPr>
          <w:p w14:paraId="538C463B"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19</w:t>
            </w:r>
          </w:p>
        </w:tc>
        <w:tc>
          <w:tcPr>
            <w:tcW w:w="332" w:type="pct"/>
            <w:shd w:val="clear" w:color="auto" w:fill="auto"/>
            <w:noWrap/>
            <w:vAlign w:val="center"/>
            <w:hideMark/>
          </w:tcPr>
          <w:p w14:paraId="476F15FB"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43</w:t>
            </w:r>
          </w:p>
        </w:tc>
        <w:tc>
          <w:tcPr>
            <w:tcW w:w="332" w:type="pct"/>
            <w:shd w:val="clear" w:color="auto" w:fill="auto"/>
            <w:noWrap/>
            <w:vAlign w:val="center"/>
            <w:hideMark/>
          </w:tcPr>
          <w:p w14:paraId="0BAB222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33</w:t>
            </w:r>
          </w:p>
        </w:tc>
        <w:tc>
          <w:tcPr>
            <w:tcW w:w="377" w:type="pct"/>
            <w:shd w:val="clear" w:color="auto" w:fill="auto"/>
            <w:noWrap/>
            <w:vAlign w:val="center"/>
            <w:hideMark/>
          </w:tcPr>
          <w:p w14:paraId="3F497E6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147</w:t>
            </w:r>
          </w:p>
        </w:tc>
      </w:tr>
      <w:tr w:rsidR="001B3FE1" w:rsidRPr="001C6490" w14:paraId="2A9ECA3F" w14:textId="77777777" w:rsidTr="001C6490">
        <w:trPr>
          <w:trHeight w:val="255"/>
        </w:trPr>
        <w:tc>
          <w:tcPr>
            <w:tcW w:w="2303" w:type="pct"/>
            <w:shd w:val="clear" w:color="auto" w:fill="auto"/>
            <w:noWrap/>
            <w:vAlign w:val="center"/>
            <w:hideMark/>
          </w:tcPr>
          <w:p w14:paraId="0D79AF18"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Ostatní výsledky (O)</w:t>
            </w:r>
          </w:p>
        </w:tc>
        <w:tc>
          <w:tcPr>
            <w:tcW w:w="331" w:type="pct"/>
            <w:shd w:val="clear" w:color="auto" w:fill="auto"/>
            <w:noWrap/>
            <w:vAlign w:val="center"/>
            <w:hideMark/>
          </w:tcPr>
          <w:p w14:paraId="103EE86A"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727</w:t>
            </w:r>
          </w:p>
        </w:tc>
        <w:tc>
          <w:tcPr>
            <w:tcW w:w="331" w:type="pct"/>
            <w:shd w:val="clear" w:color="auto" w:fill="auto"/>
            <w:noWrap/>
            <w:vAlign w:val="center"/>
            <w:hideMark/>
          </w:tcPr>
          <w:p w14:paraId="5866EE6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810</w:t>
            </w:r>
          </w:p>
        </w:tc>
        <w:tc>
          <w:tcPr>
            <w:tcW w:w="331" w:type="pct"/>
            <w:shd w:val="clear" w:color="auto" w:fill="auto"/>
            <w:noWrap/>
            <w:vAlign w:val="center"/>
            <w:hideMark/>
          </w:tcPr>
          <w:p w14:paraId="7FD5D1D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680</w:t>
            </w:r>
          </w:p>
        </w:tc>
        <w:tc>
          <w:tcPr>
            <w:tcW w:w="332" w:type="pct"/>
            <w:shd w:val="clear" w:color="auto" w:fill="auto"/>
            <w:noWrap/>
            <w:vAlign w:val="center"/>
            <w:hideMark/>
          </w:tcPr>
          <w:p w14:paraId="48DFAEB2"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1 045</w:t>
            </w:r>
          </w:p>
        </w:tc>
        <w:tc>
          <w:tcPr>
            <w:tcW w:w="332" w:type="pct"/>
            <w:shd w:val="clear" w:color="auto" w:fill="auto"/>
            <w:noWrap/>
            <w:vAlign w:val="center"/>
            <w:hideMark/>
          </w:tcPr>
          <w:p w14:paraId="483DC618"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875</w:t>
            </w:r>
          </w:p>
        </w:tc>
        <w:tc>
          <w:tcPr>
            <w:tcW w:w="332" w:type="pct"/>
            <w:shd w:val="clear" w:color="auto" w:fill="auto"/>
            <w:noWrap/>
            <w:vAlign w:val="center"/>
            <w:hideMark/>
          </w:tcPr>
          <w:p w14:paraId="04E561F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791</w:t>
            </w:r>
          </w:p>
        </w:tc>
        <w:tc>
          <w:tcPr>
            <w:tcW w:w="332" w:type="pct"/>
            <w:shd w:val="clear" w:color="auto" w:fill="auto"/>
            <w:noWrap/>
            <w:vAlign w:val="center"/>
            <w:hideMark/>
          </w:tcPr>
          <w:p w14:paraId="6EECBD29"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963</w:t>
            </w:r>
          </w:p>
        </w:tc>
        <w:tc>
          <w:tcPr>
            <w:tcW w:w="377" w:type="pct"/>
            <w:shd w:val="clear" w:color="auto" w:fill="auto"/>
            <w:noWrap/>
            <w:vAlign w:val="center"/>
            <w:hideMark/>
          </w:tcPr>
          <w:p w14:paraId="0B21CC1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5 891</w:t>
            </w:r>
          </w:p>
        </w:tc>
      </w:tr>
      <w:tr w:rsidR="001B3FE1" w:rsidRPr="001C6490" w14:paraId="78CB9465" w14:textId="77777777" w:rsidTr="001C6490">
        <w:trPr>
          <w:trHeight w:val="255"/>
        </w:trPr>
        <w:tc>
          <w:tcPr>
            <w:tcW w:w="2303" w:type="pct"/>
            <w:shd w:val="clear" w:color="auto" w:fill="auto"/>
            <w:noWrap/>
            <w:vAlign w:val="center"/>
            <w:hideMark/>
          </w:tcPr>
          <w:p w14:paraId="28C1A875" w14:textId="77777777" w:rsidR="00B672B9" w:rsidRPr="001C6490" w:rsidRDefault="00B672B9" w:rsidP="001C6490">
            <w:pPr>
              <w:spacing w:after="0" w:line="240" w:lineRule="auto"/>
              <w:ind w:left="142"/>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Uspořádání workshopu (W)</w:t>
            </w:r>
          </w:p>
        </w:tc>
        <w:tc>
          <w:tcPr>
            <w:tcW w:w="331" w:type="pct"/>
            <w:shd w:val="clear" w:color="auto" w:fill="auto"/>
            <w:noWrap/>
            <w:vAlign w:val="center"/>
            <w:hideMark/>
          </w:tcPr>
          <w:p w14:paraId="2868549E"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11</w:t>
            </w:r>
          </w:p>
        </w:tc>
        <w:tc>
          <w:tcPr>
            <w:tcW w:w="331" w:type="pct"/>
            <w:shd w:val="clear" w:color="auto" w:fill="auto"/>
            <w:noWrap/>
            <w:vAlign w:val="center"/>
            <w:hideMark/>
          </w:tcPr>
          <w:p w14:paraId="4582E925"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14</w:t>
            </w:r>
          </w:p>
        </w:tc>
        <w:tc>
          <w:tcPr>
            <w:tcW w:w="331" w:type="pct"/>
            <w:shd w:val="clear" w:color="auto" w:fill="auto"/>
            <w:noWrap/>
            <w:vAlign w:val="center"/>
            <w:hideMark/>
          </w:tcPr>
          <w:p w14:paraId="4A370FA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25</w:t>
            </w:r>
          </w:p>
        </w:tc>
        <w:tc>
          <w:tcPr>
            <w:tcW w:w="332" w:type="pct"/>
            <w:shd w:val="clear" w:color="auto" w:fill="auto"/>
            <w:noWrap/>
            <w:vAlign w:val="center"/>
            <w:hideMark/>
          </w:tcPr>
          <w:p w14:paraId="3D613484"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63</w:t>
            </w:r>
          </w:p>
        </w:tc>
        <w:tc>
          <w:tcPr>
            <w:tcW w:w="332" w:type="pct"/>
            <w:shd w:val="clear" w:color="auto" w:fill="auto"/>
            <w:noWrap/>
            <w:vAlign w:val="center"/>
            <w:hideMark/>
          </w:tcPr>
          <w:p w14:paraId="55288F88"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61</w:t>
            </w:r>
          </w:p>
        </w:tc>
        <w:tc>
          <w:tcPr>
            <w:tcW w:w="332" w:type="pct"/>
            <w:shd w:val="clear" w:color="auto" w:fill="auto"/>
            <w:noWrap/>
            <w:vAlign w:val="center"/>
            <w:hideMark/>
          </w:tcPr>
          <w:p w14:paraId="10173D9C"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112</w:t>
            </w:r>
          </w:p>
        </w:tc>
        <w:tc>
          <w:tcPr>
            <w:tcW w:w="332" w:type="pct"/>
            <w:shd w:val="clear" w:color="auto" w:fill="auto"/>
            <w:noWrap/>
            <w:vAlign w:val="center"/>
            <w:hideMark/>
          </w:tcPr>
          <w:p w14:paraId="66A33E0B"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134</w:t>
            </w:r>
          </w:p>
        </w:tc>
        <w:tc>
          <w:tcPr>
            <w:tcW w:w="377" w:type="pct"/>
            <w:shd w:val="clear" w:color="auto" w:fill="auto"/>
            <w:noWrap/>
            <w:vAlign w:val="center"/>
            <w:hideMark/>
          </w:tcPr>
          <w:p w14:paraId="1F902AED" w14:textId="77777777" w:rsidR="00B672B9" w:rsidRPr="001C6490" w:rsidRDefault="00B672B9" w:rsidP="001C6490">
            <w:pPr>
              <w:spacing w:after="0" w:line="240" w:lineRule="auto"/>
              <w:jc w:val="right"/>
              <w:rPr>
                <w:rFonts w:ascii="Calibri" w:eastAsia="Times New Roman" w:hAnsi="Calibri" w:cs="Calibri"/>
                <w:color w:val="000000" w:themeColor="text1"/>
                <w:sz w:val="18"/>
                <w:szCs w:val="18"/>
              </w:rPr>
            </w:pPr>
            <w:r w:rsidRPr="001C6490">
              <w:rPr>
                <w:rFonts w:ascii="Calibri" w:eastAsia="Times New Roman" w:hAnsi="Calibri" w:cs="Calibri"/>
                <w:color w:val="000000" w:themeColor="text1"/>
                <w:sz w:val="18"/>
                <w:szCs w:val="18"/>
              </w:rPr>
              <w:t>420</w:t>
            </w:r>
          </w:p>
        </w:tc>
      </w:tr>
      <w:tr w:rsidR="001B3FE1" w:rsidRPr="001C6490" w14:paraId="22952955" w14:textId="77777777" w:rsidTr="001C6490">
        <w:trPr>
          <w:trHeight w:val="255"/>
        </w:trPr>
        <w:tc>
          <w:tcPr>
            <w:tcW w:w="2303" w:type="pct"/>
            <w:shd w:val="clear" w:color="auto" w:fill="EDD4D9"/>
            <w:noWrap/>
            <w:vAlign w:val="center"/>
            <w:hideMark/>
          </w:tcPr>
          <w:p w14:paraId="3508DFC7" w14:textId="77777777" w:rsidR="00B672B9" w:rsidRPr="001C6490" w:rsidRDefault="00B672B9" w:rsidP="001C6490">
            <w:pPr>
              <w:spacing w:after="0" w:line="240" w:lineRule="auto"/>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Celkem</w:t>
            </w:r>
          </w:p>
        </w:tc>
        <w:tc>
          <w:tcPr>
            <w:tcW w:w="331" w:type="pct"/>
            <w:shd w:val="clear" w:color="auto" w:fill="EDD4D9"/>
            <w:noWrap/>
            <w:vAlign w:val="center"/>
            <w:hideMark/>
          </w:tcPr>
          <w:p w14:paraId="307D9D27"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4 192</w:t>
            </w:r>
          </w:p>
        </w:tc>
        <w:tc>
          <w:tcPr>
            <w:tcW w:w="331" w:type="pct"/>
            <w:shd w:val="clear" w:color="auto" w:fill="EDD4D9"/>
            <w:noWrap/>
            <w:vAlign w:val="center"/>
            <w:hideMark/>
          </w:tcPr>
          <w:p w14:paraId="5E029C0F"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4 290</w:t>
            </w:r>
          </w:p>
        </w:tc>
        <w:tc>
          <w:tcPr>
            <w:tcW w:w="331" w:type="pct"/>
            <w:shd w:val="clear" w:color="auto" w:fill="EDD4D9"/>
            <w:noWrap/>
            <w:vAlign w:val="center"/>
            <w:hideMark/>
          </w:tcPr>
          <w:p w14:paraId="2529E2D0"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3 244</w:t>
            </w:r>
          </w:p>
        </w:tc>
        <w:tc>
          <w:tcPr>
            <w:tcW w:w="332" w:type="pct"/>
            <w:shd w:val="clear" w:color="auto" w:fill="EDD4D9"/>
            <w:noWrap/>
            <w:vAlign w:val="center"/>
            <w:hideMark/>
          </w:tcPr>
          <w:p w14:paraId="52EF0699"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4 511</w:t>
            </w:r>
          </w:p>
        </w:tc>
        <w:tc>
          <w:tcPr>
            <w:tcW w:w="332" w:type="pct"/>
            <w:shd w:val="clear" w:color="auto" w:fill="EDD4D9"/>
            <w:noWrap/>
            <w:vAlign w:val="center"/>
            <w:hideMark/>
          </w:tcPr>
          <w:p w14:paraId="36DD0EE6"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4 494</w:t>
            </w:r>
          </w:p>
        </w:tc>
        <w:tc>
          <w:tcPr>
            <w:tcW w:w="332" w:type="pct"/>
            <w:shd w:val="clear" w:color="auto" w:fill="EDD4D9"/>
            <w:noWrap/>
            <w:vAlign w:val="center"/>
            <w:hideMark/>
          </w:tcPr>
          <w:p w14:paraId="599155EF"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4 414</w:t>
            </w:r>
          </w:p>
        </w:tc>
        <w:tc>
          <w:tcPr>
            <w:tcW w:w="332" w:type="pct"/>
            <w:shd w:val="clear" w:color="auto" w:fill="EDD4D9"/>
            <w:noWrap/>
            <w:vAlign w:val="center"/>
            <w:hideMark/>
          </w:tcPr>
          <w:p w14:paraId="379A9D7F"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5 061</w:t>
            </w:r>
          </w:p>
        </w:tc>
        <w:tc>
          <w:tcPr>
            <w:tcW w:w="377" w:type="pct"/>
            <w:shd w:val="clear" w:color="auto" w:fill="EDD4D9"/>
            <w:noWrap/>
            <w:vAlign w:val="center"/>
            <w:hideMark/>
          </w:tcPr>
          <w:p w14:paraId="4198EBA6" w14:textId="77777777" w:rsidR="00B672B9" w:rsidRPr="001C6490" w:rsidRDefault="00B672B9" w:rsidP="001C6490">
            <w:pPr>
              <w:spacing w:after="0" w:line="240" w:lineRule="auto"/>
              <w:jc w:val="right"/>
              <w:rPr>
                <w:rFonts w:ascii="Calibri" w:eastAsia="Times New Roman" w:hAnsi="Calibri" w:cs="Calibri"/>
                <w:b/>
                <w:bCs/>
                <w:color w:val="000000" w:themeColor="text1"/>
                <w:sz w:val="18"/>
                <w:szCs w:val="18"/>
              </w:rPr>
            </w:pPr>
            <w:r w:rsidRPr="001C6490">
              <w:rPr>
                <w:rFonts w:ascii="Calibri" w:eastAsia="Times New Roman" w:hAnsi="Calibri" w:cs="Calibri"/>
                <w:b/>
                <w:bCs/>
                <w:color w:val="000000" w:themeColor="text1"/>
                <w:sz w:val="18"/>
                <w:szCs w:val="18"/>
              </w:rPr>
              <w:t>30 206</w:t>
            </w:r>
          </w:p>
        </w:tc>
      </w:tr>
    </w:tbl>
    <w:p w14:paraId="4F5F562E" w14:textId="31D090C3" w:rsidR="00B672B9" w:rsidRPr="001B3FE1" w:rsidRDefault="00B672B9" w:rsidP="00B672B9">
      <w:pPr>
        <w:keepNext/>
        <w:spacing w:before="40" w:after="120" w:line="240" w:lineRule="auto"/>
        <w:jc w:val="both"/>
        <w:rPr>
          <w:rFonts w:eastAsia="Times New Roman" w:cstheme="minorHAnsi"/>
          <w:color w:val="000000" w:themeColor="text1"/>
          <w:sz w:val="24"/>
          <w:szCs w:val="24"/>
        </w:rPr>
      </w:pPr>
      <w:r w:rsidRPr="001B3FE1">
        <w:rPr>
          <w:rFonts w:eastAsia="Times New Roman" w:cstheme="minorHAnsi"/>
          <w:b/>
          <w:color w:val="000000" w:themeColor="text1"/>
          <w:sz w:val="20"/>
          <w:szCs w:val="20"/>
        </w:rPr>
        <w:t>Zdroj:</w:t>
      </w:r>
      <w:r w:rsidRPr="001B3FE1">
        <w:rPr>
          <w:rFonts w:eastAsia="Times New Roman" w:cstheme="minorHAnsi"/>
          <w:color w:val="000000" w:themeColor="text1"/>
          <w:sz w:val="20"/>
          <w:szCs w:val="20"/>
        </w:rPr>
        <w:t xml:space="preserve"> IS </w:t>
      </w:r>
      <w:proofErr w:type="spellStart"/>
      <w:r w:rsidRPr="001B3FE1">
        <w:rPr>
          <w:rFonts w:eastAsia="Times New Roman" w:cstheme="minorHAnsi"/>
          <w:color w:val="000000" w:themeColor="text1"/>
          <w:sz w:val="20"/>
          <w:szCs w:val="20"/>
        </w:rPr>
        <w:t>VaVaI</w:t>
      </w:r>
      <w:proofErr w:type="spellEnd"/>
      <w:r w:rsidRPr="001B3FE1">
        <w:rPr>
          <w:rFonts w:eastAsia="Times New Roman" w:cstheme="minorHAnsi"/>
          <w:color w:val="000000" w:themeColor="text1"/>
          <w:sz w:val="20"/>
          <w:szCs w:val="20"/>
        </w:rPr>
        <w:t>, RIV ke dni 17. 1. 2025</w:t>
      </w:r>
      <w:r w:rsidR="00450FDC">
        <w:rPr>
          <w:rFonts w:eastAsia="Times New Roman" w:cstheme="minorHAnsi"/>
          <w:color w:val="000000" w:themeColor="text1"/>
          <w:sz w:val="20"/>
          <w:szCs w:val="20"/>
        </w:rPr>
        <w:t>;</w:t>
      </w:r>
      <w:r w:rsidRPr="001B3FE1">
        <w:rPr>
          <w:rFonts w:eastAsia="Times New Roman" w:cstheme="minorHAnsi"/>
          <w:color w:val="000000" w:themeColor="text1"/>
          <w:sz w:val="20"/>
          <w:szCs w:val="20"/>
        </w:rPr>
        <w:t xml:space="preserve"> </w:t>
      </w:r>
      <w:r w:rsidR="00450FDC">
        <w:rPr>
          <w:rFonts w:eastAsia="Times New Roman" w:cstheme="minorHAnsi"/>
          <w:color w:val="000000" w:themeColor="text1"/>
          <w:sz w:val="20"/>
          <w:szCs w:val="20"/>
        </w:rPr>
        <w:t>vypracoval</w:t>
      </w:r>
      <w:r w:rsidRPr="001B3FE1">
        <w:rPr>
          <w:rFonts w:eastAsia="Times New Roman" w:cstheme="minorHAnsi"/>
          <w:color w:val="000000" w:themeColor="text1"/>
          <w:sz w:val="20"/>
          <w:szCs w:val="20"/>
        </w:rPr>
        <w:t xml:space="preserve"> NKÚ.</w:t>
      </w:r>
    </w:p>
    <w:p w14:paraId="1779F450" w14:textId="73306893" w:rsidR="00B672B9" w:rsidRPr="0088190A" w:rsidRDefault="006A0A54" w:rsidP="001C6490">
      <w:pPr>
        <w:spacing w:before="240" w:after="120" w:line="240" w:lineRule="auto"/>
        <w:jc w:val="both"/>
        <w:rPr>
          <w:rFonts w:eastAsia="Times New Roman" w:cstheme="minorHAnsi"/>
          <w:sz w:val="24"/>
          <w:szCs w:val="24"/>
        </w:rPr>
      </w:pPr>
      <w:r w:rsidRPr="001B3FE1">
        <w:rPr>
          <w:rFonts w:eastAsia="Times New Roman" w:cstheme="minorHAnsi"/>
          <w:color w:val="000000" w:themeColor="text1"/>
          <w:sz w:val="24"/>
          <w:szCs w:val="24"/>
        </w:rPr>
        <w:t xml:space="preserve">4.16 </w:t>
      </w:r>
      <w:r w:rsidR="00B672B9" w:rsidRPr="001B3FE1">
        <w:rPr>
          <w:rFonts w:eastAsia="Times New Roman" w:cstheme="minorHAnsi"/>
          <w:color w:val="000000" w:themeColor="text1"/>
          <w:sz w:val="24"/>
          <w:szCs w:val="24"/>
        </w:rPr>
        <w:t xml:space="preserve">Z tabulky č. </w:t>
      </w:r>
      <w:r w:rsidR="008760F3" w:rsidRPr="001B3FE1">
        <w:rPr>
          <w:rFonts w:eastAsia="Times New Roman" w:cstheme="minorHAnsi"/>
          <w:color w:val="000000" w:themeColor="text1"/>
          <w:sz w:val="24"/>
          <w:szCs w:val="24"/>
        </w:rPr>
        <w:t>4</w:t>
      </w:r>
      <w:r w:rsidR="00B672B9" w:rsidRPr="001B3FE1">
        <w:rPr>
          <w:rFonts w:eastAsia="Times New Roman" w:cstheme="minorHAnsi"/>
          <w:color w:val="000000" w:themeColor="text1"/>
          <w:sz w:val="24"/>
          <w:szCs w:val="24"/>
        </w:rPr>
        <w:t xml:space="preserve"> je zřejmý rostoucí trend v počtu dosažených výsledků. </w:t>
      </w:r>
      <w:r w:rsidR="00B672B9" w:rsidRPr="0088190A">
        <w:rPr>
          <w:rFonts w:eastAsia="Times New Roman" w:cstheme="minorHAnsi"/>
          <w:sz w:val="24"/>
          <w:szCs w:val="24"/>
        </w:rPr>
        <w:t>V roce 2017 se jednalo o 4 192 výsledků a v roce 2023 o 5 061 výsledků, tj. o 20,7 % více. Tento celkový nárůst je</w:t>
      </w:r>
      <w:r w:rsidR="00450FDC">
        <w:rPr>
          <w:rFonts w:eastAsia="Times New Roman" w:cstheme="minorHAnsi"/>
          <w:sz w:val="24"/>
          <w:szCs w:val="24"/>
        </w:rPr>
        <w:t xml:space="preserve"> </w:t>
      </w:r>
      <w:r w:rsidR="00B672B9" w:rsidRPr="0088190A">
        <w:rPr>
          <w:rFonts w:eastAsia="Times New Roman" w:cstheme="minorHAnsi"/>
          <w:sz w:val="24"/>
          <w:szCs w:val="24"/>
        </w:rPr>
        <w:t xml:space="preserve">způsoben zejména nárůstem počtu aplikovaných a ostatních výsledků. Oproti tomu počet publikačních výsledků se </w:t>
      </w:r>
      <w:r w:rsidR="00B672B9" w:rsidRPr="006225B4">
        <w:rPr>
          <w:rFonts w:eastAsia="Times New Roman" w:cstheme="minorHAnsi"/>
          <w:sz w:val="24"/>
          <w:szCs w:val="24"/>
        </w:rPr>
        <w:t xml:space="preserve">snížil. Naopak </w:t>
      </w:r>
      <w:r w:rsidR="00570EA1">
        <w:rPr>
          <w:rFonts w:eastAsia="Times New Roman" w:cstheme="minorHAnsi"/>
          <w:sz w:val="24"/>
          <w:szCs w:val="24"/>
        </w:rPr>
        <w:t xml:space="preserve">přes počáteční růst </w:t>
      </w:r>
      <w:r w:rsidR="00B672B9" w:rsidRPr="006225B4">
        <w:rPr>
          <w:rFonts w:eastAsia="Times New Roman" w:cstheme="minorHAnsi"/>
          <w:sz w:val="24"/>
          <w:szCs w:val="24"/>
        </w:rPr>
        <w:t xml:space="preserve">došlo </w:t>
      </w:r>
      <w:r w:rsidR="00570EA1">
        <w:rPr>
          <w:rFonts w:eastAsia="Times New Roman" w:cstheme="minorHAnsi"/>
          <w:sz w:val="24"/>
          <w:szCs w:val="24"/>
        </w:rPr>
        <w:t xml:space="preserve">od roku 2019 k poklesu </w:t>
      </w:r>
      <w:r w:rsidR="00B672B9" w:rsidRPr="006225B4">
        <w:rPr>
          <w:rFonts w:eastAsia="Times New Roman" w:cstheme="minorHAnsi"/>
          <w:sz w:val="24"/>
          <w:szCs w:val="24"/>
        </w:rPr>
        <w:t>u</w:t>
      </w:r>
      <w:r w:rsidR="00B75DB8">
        <w:rPr>
          <w:rFonts w:eastAsia="Times New Roman" w:cstheme="minorHAnsi"/>
          <w:sz w:val="24"/>
          <w:szCs w:val="24"/>
        </w:rPr>
        <w:t> </w:t>
      </w:r>
      <w:r w:rsidR="00B672B9" w:rsidRPr="006225B4">
        <w:rPr>
          <w:rFonts w:eastAsia="Times New Roman" w:cstheme="minorHAnsi"/>
          <w:sz w:val="24"/>
          <w:szCs w:val="24"/>
        </w:rPr>
        <w:t>počtu patentů (</w:t>
      </w:r>
      <w:r w:rsidR="00570EA1">
        <w:rPr>
          <w:rFonts w:eastAsia="Times New Roman" w:cstheme="minorHAnsi"/>
          <w:sz w:val="24"/>
          <w:szCs w:val="24"/>
        </w:rPr>
        <w:t xml:space="preserve">101 v roce 2017, </w:t>
      </w:r>
      <w:r w:rsidR="00B672B9" w:rsidRPr="006225B4">
        <w:rPr>
          <w:rFonts w:eastAsia="Times New Roman" w:cstheme="minorHAnsi"/>
          <w:sz w:val="24"/>
          <w:szCs w:val="24"/>
        </w:rPr>
        <w:t>113 v </w:t>
      </w:r>
      <w:r w:rsidR="00B672B9" w:rsidRPr="0088190A">
        <w:rPr>
          <w:rFonts w:eastAsia="Times New Roman" w:cstheme="minorHAnsi"/>
          <w:sz w:val="24"/>
          <w:szCs w:val="24"/>
        </w:rPr>
        <w:t>roce 2019 a 65 v roce 2023).</w:t>
      </w:r>
    </w:p>
    <w:p w14:paraId="168BAE39" w14:textId="79EAC686" w:rsidR="00B672B9" w:rsidRPr="0033489C" w:rsidRDefault="006A0A54" w:rsidP="00B672B9">
      <w:pPr>
        <w:spacing w:after="120" w:line="240" w:lineRule="auto"/>
        <w:jc w:val="both"/>
        <w:rPr>
          <w:rFonts w:eastAsia="Times New Roman" w:cstheme="minorHAnsi"/>
          <w:sz w:val="24"/>
          <w:szCs w:val="24"/>
        </w:rPr>
      </w:pPr>
      <w:r>
        <w:rPr>
          <w:rFonts w:eastAsia="Times New Roman" w:cstheme="minorHAnsi"/>
          <w:sz w:val="24"/>
          <w:szCs w:val="24"/>
        </w:rPr>
        <w:t xml:space="preserve">4.17 </w:t>
      </w:r>
      <w:r w:rsidR="00B672B9" w:rsidRPr="0088190A">
        <w:rPr>
          <w:rFonts w:eastAsia="Times New Roman" w:cstheme="minorHAnsi"/>
          <w:sz w:val="24"/>
          <w:szCs w:val="24"/>
        </w:rPr>
        <w:t>V grafu č.</w:t>
      </w:r>
      <w:r w:rsidR="00B672B9">
        <w:rPr>
          <w:rFonts w:eastAsia="Times New Roman" w:cstheme="minorHAnsi"/>
          <w:sz w:val="24"/>
          <w:szCs w:val="24"/>
        </w:rPr>
        <w:t xml:space="preserve"> 2 </w:t>
      </w:r>
      <w:r w:rsidR="00B672B9" w:rsidRPr="0088190A">
        <w:rPr>
          <w:rFonts w:eastAsia="Times New Roman" w:cstheme="minorHAnsi"/>
          <w:sz w:val="24"/>
          <w:szCs w:val="24"/>
        </w:rPr>
        <w:t xml:space="preserve">je patrné, že se zlepšuje poměr aplikovaných </w:t>
      </w:r>
      <w:r w:rsidR="00ED3D80">
        <w:rPr>
          <w:rFonts w:eastAsia="Times New Roman" w:cstheme="minorHAnsi"/>
          <w:sz w:val="24"/>
          <w:szCs w:val="24"/>
        </w:rPr>
        <w:t xml:space="preserve">výsledků </w:t>
      </w:r>
      <w:r w:rsidR="00B672B9" w:rsidRPr="0088190A">
        <w:rPr>
          <w:rFonts w:eastAsia="Times New Roman" w:cstheme="minorHAnsi"/>
          <w:sz w:val="24"/>
          <w:szCs w:val="24"/>
        </w:rPr>
        <w:t xml:space="preserve">vůči publikačním, který v roce 2017 činil 1,00 a v roce 2023 činil 1,37. </w:t>
      </w:r>
    </w:p>
    <w:p w14:paraId="07A78FE9" w14:textId="3D19C9F4" w:rsidR="00B672B9" w:rsidRPr="001C6490" w:rsidRDefault="00B672B9" w:rsidP="001C6490">
      <w:pPr>
        <w:keepNext/>
        <w:spacing w:after="0" w:line="240" w:lineRule="auto"/>
        <w:jc w:val="both"/>
        <w:rPr>
          <w:rFonts w:eastAsia="Times New Roman" w:cstheme="minorHAnsi"/>
          <w:b/>
          <w:color w:val="000000" w:themeColor="text1"/>
          <w:sz w:val="24"/>
          <w:szCs w:val="24"/>
        </w:rPr>
      </w:pPr>
      <w:r w:rsidRPr="00EF6E22">
        <w:rPr>
          <w:rFonts w:cstheme="minorHAnsi"/>
          <w:b/>
          <w:sz w:val="24"/>
          <w:szCs w:val="24"/>
        </w:rPr>
        <w:lastRenderedPageBreak/>
        <w:t>Graf č. 2: Poměr aplikovaných výsledků vůči publikačním výsledkům</w:t>
      </w:r>
      <w:r w:rsidR="0049646D">
        <w:rPr>
          <w:rFonts w:cstheme="minorHAnsi"/>
          <w:b/>
          <w:sz w:val="24"/>
          <w:szCs w:val="24"/>
        </w:rPr>
        <w:t xml:space="preserve"> TA</w:t>
      </w:r>
      <w:r w:rsidR="0049646D" w:rsidRPr="001C6490">
        <w:rPr>
          <w:rFonts w:cstheme="minorHAnsi"/>
          <w:b/>
          <w:color w:val="000000" w:themeColor="text1"/>
          <w:sz w:val="24"/>
          <w:szCs w:val="24"/>
        </w:rPr>
        <w:t xml:space="preserve"> ČR</w:t>
      </w:r>
    </w:p>
    <w:p w14:paraId="424890E5" w14:textId="4A73FD87" w:rsidR="00B672B9" w:rsidRPr="0088190A" w:rsidRDefault="00B672B9" w:rsidP="00B672B9">
      <w:pPr>
        <w:spacing w:before="40" w:after="120" w:line="240" w:lineRule="auto"/>
        <w:jc w:val="both"/>
        <w:rPr>
          <w:rFonts w:cstheme="minorHAnsi"/>
          <w:sz w:val="24"/>
          <w:szCs w:val="24"/>
        </w:rPr>
      </w:pPr>
      <w:r w:rsidRPr="001C6490">
        <w:rPr>
          <w:rFonts w:cstheme="minorHAnsi"/>
          <w:noProof/>
          <w:color w:val="000000" w:themeColor="text1"/>
        </w:rPr>
        <w:drawing>
          <wp:inline distT="0" distB="0" distL="0" distR="0" wp14:anchorId="178CE39E" wp14:editId="7EB986C6">
            <wp:extent cx="5760000" cy="2233930"/>
            <wp:effectExtent l="0" t="0" r="0" b="0"/>
            <wp:docPr id="805552123" name="Graf 1">
              <a:extLst xmlns:a="http://schemas.openxmlformats.org/drawingml/2006/main">
                <a:ext uri="{FF2B5EF4-FFF2-40B4-BE49-F238E27FC236}">
                  <a16:creationId xmlns:a16="http://schemas.microsoft.com/office/drawing/2014/main" id="{6C2807C0-50EC-C07D-75B5-6118A7A49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225B4">
        <w:rPr>
          <w:rFonts w:eastAsia="Times New Roman" w:cstheme="minorHAnsi"/>
          <w:b/>
          <w:sz w:val="20"/>
          <w:szCs w:val="20"/>
        </w:rPr>
        <w:t>Zdroj:</w:t>
      </w:r>
      <w:r w:rsidRPr="0088190A">
        <w:rPr>
          <w:rFonts w:eastAsia="Times New Roman" w:cstheme="minorHAnsi"/>
          <w:i/>
          <w:sz w:val="20"/>
          <w:szCs w:val="20"/>
        </w:rPr>
        <w:t xml:space="preserve"> </w:t>
      </w:r>
      <w:r w:rsidR="00450FDC">
        <w:rPr>
          <w:rFonts w:eastAsia="Times New Roman" w:cstheme="minorHAnsi"/>
          <w:sz w:val="20"/>
          <w:szCs w:val="20"/>
        </w:rPr>
        <w:t>vypracoval</w:t>
      </w:r>
      <w:r w:rsidRPr="0028357D">
        <w:rPr>
          <w:rFonts w:eastAsia="Times New Roman" w:cstheme="minorHAnsi"/>
          <w:sz w:val="20"/>
          <w:szCs w:val="20"/>
        </w:rPr>
        <w:t xml:space="preserve"> NKÚ.</w:t>
      </w:r>
    </w:p>
    <w:p w14:paraId="74EB8452" w14:textId="12ECCC8F" w:rsidR="00B672B9" w:rsidRPr="003F1C6F" w:rsidRDefault="006A0A54" w:rsidP="001C6490">
      <w:pPr>
        <w:spacing w:before="240" w:after="120" w:line="240" w:lineRule="auto"/>
        <w:jc w:val="both"/>
        <w:rPr>
          <w:rFonts w:cstheme="minorHAnsi"/>
          <w:sz w:val="24"/>
          <w:szCs w:val="24"/>
        </w:rPr>
      </w:pPr>
      <w:r>
        <w:rPr>
          <w:rFonts w:cstheme="minorHAnsi"/>
          <w:sz w:val="24"/>
          <w:szCs w:val="24"/>
        </w:rPr>
        <w:t xml:space="preserve">4.18 </w:t>
      </w:r>
      <w:r w:rsidR="00B672B9" w:rsidRPr="0088190A">
        <w:rPr>
          <w:rFonts w:cstheme="minorHAnsi"/>
          <w:sz w:val="24"/>
          <w:szCs w:val="24"/>
        </w:rPr>
        <w:t xml:space="preserve">Účelové výdaje TA ČR vzrostly v roce 2023 </w:t>
      </w:r>
      <w:r w:rsidR="00503FA1">
        <w:rPr>
          <w:rFonts w:cstheme="minorHAnsi"/>
          <w:sz w:val="24"/>
          <w:szCs w:val="24"/>
        </w:rPr>
        <w:t xml:space="preserve">oproti </w:t>
      </w:r>
      <w:r w:rsidR="00503FA1" w:rsidRPr="0088190A">
        <w:rPr>
          <w:rFonts w:cstheme="minorHAnsi"/>
          <w:sz w:val="24"/>
          <w:szCs w:val="24"/>
        </w:rPr>
        <w:t xml:space="preserve">roku 2017 </w:t>
      </w:r>
      <w:r w:rsidR="00B672B9" w:rsidRPr="0088190A">
        <w:rPr>
          <w:rFonts w:cstheme="minorHAnsi"/>
          <w:sz w:val="24"/>
          <w:szCs w:val="24"/>
        </w:rPr>
        <w:t>na více než dvojnásobek (o</w:t>
      </w:r>
      <w:r w:rsidR="00B672B9">
        <w:rPr>
          <w:rFonts w:cstheme="minorHAnsi"/>
          <w:sz w:val="24"/>
          <w:szCs w:val="24"/>
        </w:rPr>
        <w:t> </w:t>
      </w:r>
      <w:r w:rsidR="00B672B9" w:rsidRPr="0088190A">
        <w:rPr>
          <w:rFonts w:cstheme="minorHAnsi"/>
          <w:sz w:val="24"/>
          <w:szCs w:val="24"/>
        </w:rPr>
        <w:t>112</w:t>
      </w:r>
      <w:r w:rsidR="00B672B9">
        <w:rPr>
          <w:rFonts w:cstheme="minorHAnsi"/>
          <w:sz w:val="24"/>
          <w:szCs w:val="24"/>
        </w:rPr>
        <w:t> </w:t>
      </w:r>
      <w:r w:rsidR="00B672B9" w:rsidRPr="0088190A">
        <w:rPr>
          <w:rFonts w:cstheme="minorHAnsi"/>
          <w:sz w:val="24"/>
          <w:szCs w:val="24"/>
        </w:rPr>
        <w:t>%). Počet výsledků rostl nižším tempem, v případě aplikovaných výsledků o 31 % a</w:t>
      </w:r>
      <w:r w:rsidR="00B672B9">
        <w:rPr>
          <w:rFonts w:cstheme="minorHAnsi"/>
          <w:sz w:val="24"/>
          <w:szCs w:val="24"/>
        </w:rPr>
        <w:t> </w:t>
      </w:r>
      <w:r w:rsidR="00B672B9" w:rsidRPr="0088190A">
        <w:rPr>
          <w:rFonts w:cstheme="minorHAnsi"/>
          <w:sz w:val="24"/>
          <w:szCs w:val="24"/>
        </w:rPr>
        <w:t xml:space="preserve">v případě všech výsledků o 21 %. Zvyšovala se tak průměrná cena jednoho výsledku, v případě aplikovaného výsledku o 62 % a v případě všech výsledků o 76 %. </w:t>
      </w:r>
      <w:r w:rsidR="00B672B9" w:rsidRPr="003F1C6F">
        <w:rPr>
          <w:rFonts w:cstheme="minorHAnsi"/>
          <w:sz w:val="24"/>
          <w:szCs w:val="24"/>
        </w:rPr>
        <w:t xml:space="preserve">Na tuto skutečnost měl vliv mj. růst cenové hladiny v ČR a růst mezd. </w:t>
      </w:r>
    </w:p>
    <w:p w14:paraId="0A40238C" w14:textId="75662392" w:rsidR="00B672B9" w:rsidRPr="009F4575" w:rsidRDefault="00B672B9" w:rsidP="00B672B9">
      <w:pPr>
        <w:spacing w:after="40" w:line="240" w:lineRule="auto"/>
        <w:rPr>
          <w:rFonts w:cstheme="minorHAnsi"/>
          <w:b/>
          <w:sz w:val="24"/>
          <w:szCs w:val="24"/>
        </w:rPr>
      </w:pPr>
      <w:r w:rsidRPr="009F4575">
        <w:rPr>
          <w:rFonts w:cstheme="minorHAnsi"/>
          <w:b/>
          <w:sz w:val="24"/>
          <w:szCs w:val="24"/>
        </w:rPr>
        <w:t xml:space="preserve">Tabulka č. </w:t>
      </w:r>
      <w:r w:rsidR="008760F3">
        <w:rPr>
          <w:rFonts w:cstheme="minorHAnsi"/>
          <w:b/>
          <w:sz w:val="24"/>
          <w:szCs w:val="24"/>
        </w:rPr>
        <w:t>5</w:t>
      </w:r>
      <w:r w:rsidRPr="009F4575">
        <w:rPr>
          <w:rFonts w:cstheme="minorHAnsi"/>
          <w:b/>
          <w:sz w:val="24"/>
          <w:szCs w:val="24"/>
        </w:rPr>
        <w:t>: Vývoj výdajů TA ČR a dosažených výsledků výzkumu v letech 2017 až 2023</w:t>
      </w:r>
    </w:p>
    <w:tbl>
      <w:tblPr>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2457"/>
        <w:gridCol w:w="762"/>
        <w:gridCol w:w="762"/>
        <w:gridCol w:w="763"/>
        <w:gridCol w:w="763"/>
        <w:gridCol w:w="763"/>
        <w:gridCol w:w="763"/>
        <w:gridCol w:w="763"/>
        <w:gridCol w:w="1270"/>
      </w:tblGrid>
      <w:tr w:rsidR="00B672B9" w:rsidRPr="0088190A" w14:paraId="21A36FF5" w14:textId="77777777" w:rsidTr="00D44236">
        <w:trPr>
          <w:trHeight w:val="255"/>
        </w:trPr>
        <w:tc>
          <w:tcPr>
            <w:tcW w:w="951" w:type="pct"/>
            <w:shd w:val="clear" w:color="auto" w:fill="E6E6E6"/>
            <w:noWrap/>
            <w:vAlign w:val="center"/>
            <w:hideMark/>
          </w:tcPr>
          <w:p w14:paraId="59A058BF" w14:textId="77777777" w:rsidR="00B672B9" w:rsidRPr="0088190A" w:rsidRDefault="00B672B9" w:rsidP="003D71C9">
            <w:pPr>
              <w:spacing w:after="0" w:line="240" w:lineRule="auto"/>
              <w:jc w:val="center"/>
              <w:rPr>
                <w:rFonts w:cstheme="minorHAnsi"/>
                <w:b/>
                <w:bCs/>
                <w:color w:val="000000"/>
                <w:sz w:val="20"/>
                <w:szCs w:val="20"/>
                <w:lang w:eastAsia="cs-CZ"/>
              </w:rPr>
            </w:pPr>
            <w:r w:rsidRPr="0088190A">
              <w:rPr>
                <w:rFonts w:cstheme="minorHAnsi"/>
                <w:b/>
                <w:bCs/>
                <w:color w:val="000000"/>
                <w:sz w:val="20"/>
                <w:szCs w:val="20"/>
              </w:rPr>
              <w:t> </w:t>
            </w:r>
          </w:p>
        </w:tc>
        <w:tc>
          <w:tcPr>
            <w:tcW w:w="507" w:type="pct"/>
            <w:shd w:val="clear" w:color="auto" w:fill="E6E6E6"/>
            <w:noWrap/>
            <w:vAlign w:val="center"/>
            <w:hideMark/>
          </w:tcPr>
          <w:p w14:paraId="77797BA3" w14:textId="77777777" w:rsidR="00B672B9" w:rsidRPr="0088190A" w:rsidRDefault="00B672B9" w:rsidP="003D71C9">
            <w:pPr>
              <w:spacing w:after="0" w:line="240" w:lineRule="auto"/>
              <w:jc w:val="center"/>
              <w:rPr>
                <w:rFonts w:cstheme="minorHAnsi"/>
                <w:b/>
                <w:bCs/>
                <w:color w:val="000000"/>
                <w:sz w:val="20"/>
                <w:szCs w:val="20"/>
              </w:rPr>
            </w:pPr>
            <w:r w:rsidRPr="0088190A">
              <w:rPr>
                <w:rFonts w:cstheme="minorHAnsi"/>
                <w:b/>
                <w:bCs/>
                <w:color w:val="000000"/>
                <w:sz w:val="20"/>
                <w:szCs w:val="20"/>
              </w:rPr>
              <w:t>2017</w:t>
            </w:r>
          </w:p>
        </w:tc>
        <w:tc>
          <w:tcPr>
            <w:tcW w:w="507" w:type="pct"/>
            <w:shd w:val="clear" w:color="auto" w:fill="E6E6E6"/>
            <w:noWrap/>
            <w:vAlign w:val="center"/>
            <w:hideMark/>
          </w:tcPr>
          <w:p w14:paraId="0A891DC5" w14:textId="77777777" w:rsidR="00B672B9" w:rsidRPr="0088190A" w:rsidRDefault="00B672B9" w:rsidP="003D71C9">
            <w:pPr>
              <w:spacing w:after="0" w:line="240" w:lineRule="auto"/>
              <w:jc w:val="center"/>
              <w:rPr>
                <w:rFonts w:cstheme="minorHAnsi"/>
                <w:b/>
                <w:bCs/>
                <w:color w:val="000000"/>
                <w:sz w:val="20"/>
                <w:szCs w:val="20"/>
              </w:rPr>
            </w:pPr>
            <w:r w:rsidRPr="0088190A">
              <w:rPr>
                <w:rFonts w:cstheme="minorHAnsi"/>
                <w:b/>
                <w:bCs/>
                <w:color w:val="000000"/>
                <w:sz w:val="20"/>
                <w:szCs w:val="20"/>
              </w:rPr>
              <w:t>2018</w:t>
            </w:r>
          </w:p>
        </w:tc>
        <w:tc>
          <w:tcPr>
            <w:tcW w:w="507" w:type="pct"/>
            <w:shd w:val="clear" w:color="auto" w:fill="E6E6E6"/>
            <w:noWrap/>
            <w:vAlign w:val="center"/>
            <w:hideMark/>
          </w:tcPr>
          <w:p w14:paraId="4947C44A" w14:textId="77777777" w:rsidR="00B672B9" w:rsidRPr="0088190A" w:rsidRDefault="00B672B9" w:rsidP="003D71C9">
            <w:pPr>
              <w:spacing w:after="0" w:line="240" w:lineRule="auto"/>
              <w:jc w:val="center"/>
              <w:rPr>
                <w:rFonts w:cstheme="minorHAnsi"/>
                <w:b/>
                <w:bCs/>
                <w:color w:val="000000"/>
                <w:sz w:val="20"/>
                <w:szCs w:val="20"/>
              </w:rPr>
            </w:pPr>
            <w:r w:rsidRPr="0088190A">
              <w:rPr>
                <w:rFonts w:cstheme="minorHAnsi"/>
                <w:b/>
                <w:bCs/>
                <w:color w:val="000000"/>
                <w:sz w:val="20"/>
                <w:szCs w:val="20"/>
              </w:rPr>
              <w:t>2019</w:t>
            </w:r>
          </w:p>
        </w:tc>
        <w:tc>
          <w:tcPr>
            <w:tcW w:w="507" w:type="pct"/>
            <w:shd w:val="clear" w:color="auto" w:fill="E6E6E6"/>
            <w:noWrap/>
            <w:vAlign w:val="center"/>
            <w:hideMark/>
          </w:tcPr>
          <w:p w14:paraId="61422DC9" w14:textId="77777777" w:rsidR="00B672B9" w:rsidRPr="0088190A" w:rsidRDefault="00B672B9" w:rsidP="003D71C9">
            <w:pPr>
              <w:spacing w:after="0" w:line="240" w:lineRule="auto"/>
              <w:jc w:val="center"/>
              <w:rPr>
                <w:rFonts w:cstheme="minorHAnsi"/>
                <w:b/>
                <w:bCs/>
                <w:color w:val="000000"/>
                <w:sz w:val="20"/>
                <w:szCs w:val="20"/>
              </w:rPr>
            </w:pPr>
            <w:r w:rsidRPr="0088190A">
              <w:rPr>
                <w:rFonts w:cstheme="minorHAnsi"/>
                <w:b/>
                <w:bCs/>
                <w:color w:val="000000"/>
                <w:sz w:val="20"/>
                <w:szCs w:val="20"/>
              </w:rPr>
              <w:t>2020</w:t>
            </w:r>
          </w:p>
        </w:tc>
        <w:tc>
          <w:tcPr>
            <w:tcW w:w="507" w:type="pct"/>
            <w:shd w:val="clear" w:color="auto" w:fill="E6E6E6"/>
            <w:noWrap/>
            <w:vAlign w:val="center"/>
            <w:hideMark/>
          </w:tcPr>
          <w:p w14:paraId="42E36F3B" w14:textId="77777777" w:rsidR="00B672B9" w:rsidRPr="0088190A" w:rsidRDefault="00B672B9" w:rsidP="003D71C9">
            <w:pPr>
              <w:spacing w:after="0" w:line="240" w:lineRule="auto"/>
              <w:jc w:val="center"/>
              <w:rPr>
                <w:rFonts w:cstheme="minorHAnsi"/>
                <w:b/>
                <w:bCs/>
                <w:color w:val="000000"/>
                <w:sz w:val="20"/>
                <w:szCs w:val="20"/>
              </w:rPr>
            </w:pPr>
            <w:r w:rsidRPr="0088190A">
              <w:rPr>
                <w:rFonts w:cstheme="minorHAnsi"/>
                <w:b/>
                <w:bCs/>
                <w:color w:val="000000"/>
                <w:sz w:val="20"/>
                <w:szCs w:val="20"/>
              </w:rPr>
              <w:t>2021</w:t>
            </w:r>
          </w:p>
        </w:tc>
        <w:tc>
          <w:tcPr>
            <w:tcW w:w="507" w:type="pct"/>
            <w:shd w:val="clear" w:color="auto" w:fill="E6E6E6"/>
            <w:noWrap/>
            <w:vAlign w:val="center"/>
            <w:hideMark/>
          </w:tcPr>
          <w:p w14:paraId="2A2F03E6" w14:textId="77777777" w:rsidR="00B672B9" w:rsidRPr="0088190A" w:rsidRDefault="00B672B9" w:rsidP="003D71C9">
            <w:pPr>
              <w:spacing w:after="0" w:line="240" w:lineRule="auto"/>
              <w:jc w:val="center"/>
              <w:rPr>
                <w:rFonts w:cstheme="minorHAnsi"/>
                <w:b/>
                <w:bCs/>
                <w:color w:val="000000"/>
                <w:sz w:val="20"/>
                <w:szCs w:val="20"/>
              </w:rPr>
            </w:pPr>
            <w:r w:rsidRPr="0088190A">
              <w:rPr>
                <w:rFonts w:cstheme="minorHAnsi"/>
                <w:b/>
                <w:bCs/>
                <w:color w:val="000000"/>
                <w:sz w:val="20"/>
                <w:szCs w:val="20"/>
              </w:rPr>
              <w:t>2022</w:t>
            </w:r>
          </w:p>
        </w:tc>
        <w:tc>
          <w:tcPr>
            <w:tcW w:w="507" w:type="pct"/>
            <w:shd w:val="clear" w:color="auto" w:fill="E6E6E6"/>
            <w:noWrap/>
            <w:vAlign w:val="center"/>
            <w:hideMark/>
          </w:tcPr>
          <w:p w14:paraId="68B563BF" w14:textId="77777777" w:rsidR="00B672B9" w:rsidRPr="0088190A" w:rsidRDefault="00B672B9" w:rsidP="003D71C9">
            <w:pPr>
              <w:spacing w:after="0" w:line="240" w:lineRule="auto"/>
              <w:jc w:val="center"/>
              <w:rPr>
                <w:rFonts w:cstheme="minorHAnsi"/>
                <w:b/>
                <w:bCs/>
                <w:color w:val="000000"/>
                <w:sz w:val="20"/>
                <w:szCs w:val="20"/>
              </w:rPr>
            </w:pPr>
            <w:r w:rsidRPr="0088190A">
              <w:rPr>
                <w:rFonts w:cstheme="minorHAnsi"/>
                <w:b/>
                <w:bCs/>
                <w:color w:val="000000"/>
                <w:sz w:val="20"/>
                <w:szCs w:val="20"/>
              </w:rPr>
              <w:t>2023</w:t>
            </w:r>
          </w:p>
        </w:tc>
        <w:tc>
          <w:tcPr>
            <w:tcW w:w="500" w:type="pct"/>
            <w:shd w:val="clear" w:color="auto" w:fill="E6E6E6"/>
            <w:noWrap/>
            <w:vAlign w:val="center"/>
            <w:hideMark/>
          </w:tcPr>
          <w:p w14:paraId="11C08462" w14:textId="366ECD76" w:rsidR="00B672B9" w:rsidRPr="0088190A" w:rsidRDefault="009A6783" w:rsidP="003D71C9">
            <w:pPr>
              <w:spacing w:after="0" w:line="240" w:lineRule="auto"/>
              <w:jc w:val="center"/>
              <w:rPr>
                <w:rFonts w:cstheme="minorHAnsi"/>
                <w:b/>
                <w:bCs/>
                <w:color w:val="000000"/>
                <w:sz w:val="20"/>
                <w:szCs w:val="20"/>
              </w:rPr>
            </w:pPr>
            <w:r w:rsidRPr="0088190A">
              <w:rPr>
                <w:rFonts w:cstheme="minorHAnsi"/>
                <w:b/>
                <w:bCs/>
                <w:color w:val="000000"/>
                <w:sz w:val="20"/>
                <w:szCs w:val="20"/>
              </w:rPr>
              <w:t>2017</w:t>
            </w:r>
            <w:r w:rsidR="00DF75DA">
              <w:rPr>
                <w:rFonts w:cstheme="minorHAnsi"/>
                <w:b/>
                <w:bCs/>
                <w:color w:val="000000"/>
                <w:sz w:val="20"/>
                <w:szCs w:val="20"/>
              </w:rPr>
              <w:t xml:space="preserve"> </w:t>
            </w:r>
            <w:r>
              <w:rPr>
                <w:rFonts w:cstheme="minorHAnsi"/>
                <w:b/>
                <w:bCs/>
                <w:color w:val="000000"/>
                <w:sz w:val="20"/>
                <w:szCs w:val="20"/>
              </w:rPr>
              <w:t>vs</w:t>
            </w:r>
            <w:r w:rsidR="00DF75DA">
              <w:rPr>
                <w:rFonts w:cstheme="minorHAnsi"/>
                <w:b/>
                <w:bCs/>
                <w:color w:val="000000"/>
                <w:sz w:val="20"/>
                <w:szCs w:val="20"/>
              </w:rPr>
              <w:t xml:space="preserve">. </w:t>
            </w:r>
            <w:r w:rsidRPr="0088190A">
              <w:rPr>
                <w:rFonts w:cstheme="minorHAnsi"/>
                <w:b/>
                <w:bCs/>
                <w:color w:val="000000"/>
                <w:sz w:val="20"/>
                <w:szCs w:val="20"/>
              </w:rPr>
              <w:t>2023</w:t>
            </w:r>
          </w:p>
        </w:tc>
      </w:tr>
      <w:tr w:rsidR="00B672B9" w:rsidRPr="0088190A" w14:paraId="0AC16C15" w14:textId="77777777" w:rsidTr="00D44236">
        <w:trPr>
          <w:trHeight w:val="255"/>
        </w:trPr>
        <w:tc>
          <w:tcPr>
            <w:tcW w:w="951" w:type="pct"/>
            <w:noWrap/>
            <w:vAlign w:val="bottom"/>
            <w:hideMark/>
          </w:tcPr>
          <w:p w14:paraId="160AC101" w14:textId="72D5ED1D" w:rsidR="00B672B9" w:rsidRPr="0088190A" w:rsidRDefault="00B672B9" w:rsidP="003D71C9">
            <w:pPr>
              <w:spacing w:after="0" w:line="240" w:lineRule="auto"/>
              <w:rPr>
                <w:rFonts w:cstheme="minorHAnsi"/>
                <w:color w:val="000000"/>
                <w:sz w:val="20"/>
                <w:szCs w:val="20"/>
              </w:rPr>
            </w:pPr>
            <w:r w:rsidRPr="0088190A">
              <w:rPr>
                <w:rFonts w:cstheme="minorHAnsi"/>
                <w:color w:val="000000"/>
                <w:sz w:val="20"/>
                <w:szCs w:val="20"/>
              </w:rPr>
              <w:t xml:space="preserve">Účelové výdaje </w:t>
            </w:r>
            <w:r w:rsidR="006D0583">
              <w:rPr>
                <w:rFonts w:cstheme="minorHAnsi"/>
                <w:color w:val="000000"/>
                <w:sz w:val="20"/>
                <w:szCs w:val="20"/>
              </w:rPr>
              <w:t>(</w:t>
            </w:r>
            <w:r w:rsidRPr="0088190A">
              <w:rPr>
                <w:rFonts w:cstheme="minorHAnsi"/>
                <w:color w:val="000000"/>
                <w:sz w:val="20"/>
                <w:szCs w:val="20"/>
              </w:rPr>
              <w:t>v mld. Kč</w:t>
            </w:r>
            <w:r w:rsidR="006D0583">
              <w:rPr>
                <w:rFonts w:cstheme="minorHAnsi"/>
                <w:color w:val="000000"/>
                <w:sz w:val="20"/>
                <w:szCs w:val="20"/>
              </w:rPr>
              <w:t>)</w:t>
            </w:r>
          </w:p>
        </w:tc>
        <w:tc>
          <w:tcPr>
            <w:tcW w:w="507" w:type="pct"/>
            <w:noWrap/>
            <w:vAlign w:val="center"/>
            <w:hideMark/>
          </w:tcPr>
          <w:p w14:paraId="359B0347"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2,80</w:t>
            </w:r>
          </w:p>
        </w:tc>
        <w:tc>
          <w:tcPr>
            <w:tcW w:w="507" w:type="pct"/>
            <w:noWrap/>
            <w:vAlign w:val="center"/>
            <w:hideMark/>
          </w:tcPr>
          <w:p w14:paraId="16D99250"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2,73</w:t>
            </w:r>
          </w:p>
        </w:tc>
        <w:tc>
          <w:tcPr>
            <w:tcW w:w="507" w:type="pct"/>
            <w:noWrap/>
            <w:vAlign w:val="center"/>
            <w:hideMark/>
          </w:tcPr>
          <w:p w14:paraId="33CEC089"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4,16</w:t>
            </w:r>
          </w:p>
        </w:tc>
        <w:tc>
          <w:tcPr>
            <w:tcW w:w="507" w:type="pct"/>
            <w:noWrap/>
            <w:vAlign w:val="center"/>
            <w:hideMark/>
          </w:tcPr>
          <w:p w14:paraId="1DBD0776"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4,87</w:t>
            </w:r>
          </w:p>
        </w:tc>
        <w:tc>
          <w:tcPr>
            <w:tcW w:w="507" w:type="pct"/>
            <w:noWrap/>
            <w:vAlign w:val="center"/>
            <w:hideMark/>
          </w:tcPr>
          <w:p w14:paraId="77D3FC7A"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5,50</w:t>
            </w:r>
          </w:p>
        </w:tc>
        <w:tc>
          <w:tcPr>
            <w:tcW w:w="507" w:type="pct"/>
            <w:noWrap/>
            <w:vAlign w:val="center"/>
            <w:hideMark/>
          </w:tcPr>
          <w:p w14:paraId="1A89C085"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5,02</w:t>
            </w:r>
          </w:p>
        </w:tc>
        <w:tc>
          <w:tcPr>
            <w:tcW w:w="507" w:type="pct"/>
            <w:noWrap/>
            <w:vAlign w:val="center"/>
            <w:hideMark/>
          </w:tcPr>
          <w:p w14:paraId="31AB6CE2"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5,93</w:t>
            </w:r>
          </w:p>
        </w:tc>
        <w:tc>
          <w:tcPr>
            <w:tcW w:w="500" w:type="pct"/>
            <w:noWrap/>
            <w:vAlign w:val="center"/>
            <w:hideMark/>
          </w:tcPr>
          <w:p w14:paraId="187CE748" w14:textId="77777777" w:rsidR="00B672B9" w:rsidRPr="0088190A" w:rsidRDefault="00B672B9" w:rsidP="00D44236">
            <w:pPr>
              <w:spacing w:after="0" w:line="240" w:lineRule="auto"/>
              <w:ind w:right="170"/>
              <w:jc w:val="right"/>
              <w:rPr>
                <w:rFonts w:cstheme="minorHAnsi"/>
                <w:color w:val="000000"/>
                <w:sz w:val="20"/>
                <w:szCs w:val="20"/>
              </w:rPr>
            </w:pPr>
            <w:r w:rsidRPr="0088190A">
              <w:rPr>
                <w:rFonts w:cstheme="minorHAnsi"/>
                <w:color w:val="000000"/>
                <w:sz w:val="20"/>
                <w:szCs w:val="20"/>
              </w:rPr>
              <w:t>112 %</w:t>
            </w:r>
          </w:p>
        </w:tc>
      </w:tr>
      <w:tr w:rsidR="00B672B9" w:rsidRPr="0088190A" w14:paraId="323FCD59" w14:textId="77777777" w:rsidTr="00D44236">
        <w:trPr>
          <w:trHeight w:val="255"/>
        </w:trPr>
        <w:tc>
          <w:tcPr>
            <w:tcW w:w="951" w:type="pct"/>
            <w:noWrap/>
            <w:vAlign w:val="bottom"/>
            <w:hideMark/>
          </w:tcPr>
          <w:p w14:paraId="395C1A93" w14:textId="77777777" w:rsidR="00B672B9" w:rsidRPr="0088190A" w:rsidRDefault="00B672B9" w:rsidP="003D71C9">
            <w:pPr>
              <w:spacing w:after="0" w:line="240" w:lineRule="auto"/>
              <w:rPr>
                <w:rFonts w:cstheme="minorHAnsi"/>
                <w:color w:val="000000"/>
                <w:sz w:val="20"/>
                <w:szCs w:val="20"/>
              </w:rPr>
            </w:pPr>
            <w:r w:rsidRPr="0088190A">
              <w:rPr>
                <w:rFonts w:cstheme="minorHAnsi"/>
                <w:color w:val="000000"/>
                <w:sz w:val="20"/>
                <w:szCs w:val="20"/>
              </w:rPr>
              <w:t>Počet aplikovaných výsledků</w:t>
            </w:r>
          </w:p>
        </w:tc>
        <w:tc>
          <w:tcPr>
            <w:tcW w:w="507" w:type="pct"/>
            <w:noWrap/>
            <w:vAlign w:val="center"/>
            <w:hideMark/>
          </w:tcPr>
          <w:p w14:paraId="1D74550B"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1 723</w:t>
            </w:r>
          </w:p>
        </w:tc>
        <w:tc>
          <w:tcPr>
            <w:tcW w:w="507" w:type="pct"/>
            <w:noWrap/>
            <w:vAlign w:val="center"/>
            <w:hideMark/>
          </w:tcPr>
          <w:p w14:paraId="12EF4018"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1 861</w:t>
            </w:r>
          </w:p>
        </w:tc>
        <w:tc>
          <w:tcPr>
            <w:tcW w:w="507" w:type="pct"/>
            <w:noWrap/>
            <w:vAlign w:val="center"/>
            <w:hideMark/>
          </w:tcPr>
          <w:p w14:paraId="7F7A9BED"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1 195</w:t>
            </w:r>
          </w:p>
        </w:tc>
        <w:tc>
          <w:tcPr>
            <w:tcW w:w="507" w:type="pct"/>
            <w:noWrap/>
            <w:vAlign w:val="center"/>
            <w:hideMark/>
          </w:tcPr>
          <w:p w14:paraId="1DBCD0AE"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1 769</w:t>
            </w:r>
          </w:p>
        </w:tc>
        <w:tc>
          <w:tcPr>
            <w:tcW w:w="507" w:type="pct"/>
            <w:noWrap/>
            <w:vAlign w:val="center"/>
            <w:hideMark/>
          </w:tcPr>
          <w:p w14:paraId="6F9E672B"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2 057</w:t>
            </w:r>
          </w:p>
        </w:tc>
        <w:tc>
          <w:tcPr>
            <w:tcW w:w="507" w:type="pct"/>
            <w:noWrap/>
            <w:vAlign w:val="center"/>
            <w:hideMark/>
          </w:tcPr>
          <w:p w14:paraId="2AE8D329"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1 821</w:t>
            </w:r>
          </w:p>
        </w:tc>
        <w:tc>
          <w:tcPr>
            <w:tcW w:w="507" w:type="pct"/>
            <w:noWrap/>
            <w:vAlign w:val="center"/>
            <w:hideMark/>
          </w:tcPr>
          <w:p w14:paraId="40F98D28"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2 250</w:t>
            </w:r>
          </w:p>
        </w:tc>
        <w:tc>
          <w:tcPr>
            <w:tcW w:w="500" w:type="pct"/>
            <w:noWrap/>
            <w:vAlign w:val="center"/>
            <w:hideMark/>
          </w:tcPr>
          <w:p w14:paraId="40A91963" w14:textId="77777777" w:rsidR="00B672B9" w:rsidRPr="0088190A" w:rsidRDefault="00B672B9" w:rsidP="00D44236">
            <w:pPr>
              <w:spacing w:after="0" w:line="240" w:lineRule="auto"/>
              <w:ind w:right="170"/>
              <w:jc w:val="right"/>
              <w:rPr>
                <w:rFonts w:cstheme="minorHAnsi"/>
                <w:color w:val="000000"/>
                <w:sz w:val="20"/>
                <w:szCs w:val="20"/>
              </w:rPr>
            </w:pPr>
            <w:r w:rsidRPr="0088190A">
              <w:rPr>
                <w:rFonts w:cstheme="minorHAnsi"/>
                <w:color w:val="000000"/>
                <w:sz w:val="20"/>
                <w:szCs w:val="20"/>
              </w:rPr>
              <w:t>31 %</w:t>
            </w:r>
          </w:p>
        </w:tc>
      </w:tr>
      <w:tr w:rsidR="00B672B9" w:rsidRPr="0088190A" w14:paraId="5A2E72EF" w14:textId="77777777" w:rsidTr="00D44236">
        <w:trPr>
          <w:trHeight w:val="255"/>
        </w:trPr>
        <w:tc>
          <w:tcPr>
            <w:tcW w:w="951" w:type="pct"/>
            <w:noWrap/>
            <w:vAlign w:val="bottom"/>
            <w:hideMark/>
          </w:tcPr>
          <w:p w14:paraId="54B595C4" w14:textId="77777777" w:rsidR="00B672B9" w:rsidRPr="0088190A" w:rsidRDefault="00B672B9" w:rsidP="003D71C9">
            <w:pPr>
              <w:spacing w:after="0" w:line="240" w:lineRule="auto"/>
              <w:rPr>
                <w:rFonts w:cstheme="minorHAnsi"/>
                <w:color w:val="000000"/>
                <w:sz w:val="20"/>
                <w:szCs w:val="20"/>
              </w:rPr>
            </w:pPr>
            <w:r w:rsidRPr="0088190A">
              <w:rPr>
                <w:rFonts w:cstheme="minorHAnsi"/>
                <w:color w:val="000000"/>
                <w:sz w:val="20"/>
                <w:szCs w:val="20"/>
              </w:rPr>
              <w:t>Počet všech výsledků</w:t>
            </w:r>
          </w:p>
        </w:tc>
        <w:tc>
          <w:tcPr>
            <w:tcW w:w="507" w:type="pct"/>
            <w:noWrap/>
            <w:vAlign w:val="center"/>
            <w:hideMark/>
          </w:tcPr>
          <w:p w14:paraId="553F5027"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4 192</w:t>
            </w:r>
          </w:p>
        </w:tc>
        <w:tc>
          <w:tcPr>
            <w:tcW w:w="507" w:type="pct"/>
            <w:noWrap/>
            <w:vAlign w:val="center"/>
            <w:hideMark/>
          </w:tcPr>
          <w:p w14:paraId="78F2BABC"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4 290</w:t>
            </w:r>
          </w:p>
        </w:tc>
        <w:tc>
          <w:tcPr>
            <w:tcW w:w="507" w:type="pct"/>
            <w:noWrap/>
            <w:vAlign w:val="center"/>
            <w:hideMark/>
          </w:tcPr>
          <w:p w14:paraId="12F2C4F2"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3 244</w:t>
            </w:r>
          </w:p>
        </w:tc>
        <w:tc>
          <w:tcPr>
            <w:tcW w:w="507" w:type="pct"/>
            <w:noWrap/>
            <w:vAlign w:val="center"/>
            <w:hideMark/>
          </w:tcPr>
          <w:p w14:paraId="067A3B21"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4 511</w:t>
            </w:r>
          </w:p>
        </w:tc>
        <w:tc>
          <w:tcPr>
            <w:tcW w:w="507" w:type="pct"/>
            <w:noWrap/>
            <w:vAlign w:val="center"/>
            <w:hideMark/>
          </w:tcPr>
          <w:p w14:paraId="1A3B11D8"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4 494</w:t>
            </w:r>
          </w:p>
        </w:tc>
        <w:tc>
          <w:tcPr>
            <w:tcW w:w="507" w:type="pct"/>
            <w:noWrap/>
            <w:vAlign w:val="center"/>
            <w:hideMark/>
          </w:tcPr>
          <w:p w14:paraId="67284F6D"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4 414</w:t>
            </w:r>
          </w:p>
        </w:tc>
        <w:tc>
          <w:tcPr>
            <w:tcW w:w="507" w:type="pct"/>
            <w:noWrap/>
            <w:vAlign w:val="center"/>
            <w:hideMark/>
          </w:tcPr>
          <w:p w14:paraId="107BFF23" w14:textId="77777777" w:rsidR="00B672B9" w:rsidRPr="0088190A" w:rsidRDefault="00B672B9" w:rsidP="00D44236">
            <w:pPr>
              <w:spacing w:after="0" w:line="240" w:lineRule="auto"/>
              <w:ind w:right="57"/>
              <w:jc w:val="right"/>
              <w:rPr>
                <w:rFonts w:cstheme="minorHAnsi"/>
                <w:color w:val="000000"/>
                <w:sz w:val="20"/>
                <w:szCs w:val="20"/>
              </w:rPr>
            </w:pPr>
            <w:r w:rsidRPr="0088190A">
              <w:rPr>
                <w:rFonts w:cstheme="minorHAnsi"/>
                <w:color w:val="000000"/>
                <w:sz w:val="20"/>
                <w:szCs w:val="20"/>
              </w:rPr>
              <w:t>5 061</w:t>
            </w:r>
          </w:p>
        </w:tc>
        <w:tc>
          <w:tcPr>
            <w:tcW w:w="500" w:type="pct"/>
            <w:noWrap/>
            <w:vAlign w:val="center"/>
            <w:hideMark/>
          </w:tcPr>
          <w:p w14:paraId="7FF7A2D3" w14:textId="77777777" w:rsidR="00B672B9" w:rsidRPr="0088190A" w:rsidRDefault="00B672B9" w:rsidP="00D44236">
            <w:pPr>
              <w:spacing w:after="0" w:line="240" w:lineRule="auto"/>
              <w:ind w:right="170"/>
              <w:jc w:val="right"/>
              <w:rPr>
                <w:rFonts w:cstheme="minorHAnsi"/>
                <w:color w:val="000000"/>
                <w:sz w:val="20"/>
                <w:szCs w:val="20"/>
              </w:rPr>
            </w:pPr>
            <w:r w:rsidRPr="0088190A">
              <w:rPr>
                <w:rFonts w:cstheme="minorHAnsi"/>
                <w:color w:val="000000"/>
                <w:sz w:val="20"/>
                <w:szCs w:val="20"/>
              </w:rPr>
              <w:t>21 %</w:t>
            </w:r>
          </w:p>
        </w:tc>
      </w:tr>
    </w:tbl>
    <w:p w14:paraId="42FC2573" w14:textId="7A3DAE44" w:rsidR="00B672B9" w:rsidRPr="0088190A" w:rsidRDefault="00B672B9" w:rsidP="001C6490">
      <w:pPr>
        <w:spacing w:before="40" w:after="0" w:line="240" w:lineRule="auto"/>
        <w:ind w:left="567" w:hanging="567"/>
        <w:jc w:val="both"/>
        <w:rPr>
          <w:rFonts w:cstheme="minorHAnsi"/>
          <w:sz w:val="20"/>
          <w:szCs w:val="20"/>
        </w:rPr>
      </w:pPr>
      <w:r w:rsidRPr="0088190A">
        <w:rPr>
          <w:rFonts w:cstheme="minorHAnsi"/>
          <w:b/>
          <w:sz w:val="20"/>
          <w:szCs w:val="20"/>
        </w:rPr>
        <w:t>Zdroj:</w:t>
      </w:r>
      <w:r w:rsidRPr="0088190A">
        <w:rPr>
          <w:rFonts w:cstheme="minorHAnsi"/>
          <w:sz w:val="20"/>
          <w:szCs w:val="20"/>
        </w:rPr>
        <w:t xml:space="preserve"> </w:t>
      </w:r>
      <w:r w:rsidR="006D0583">
        <w:rPr>
          <w:rFonts w:cstheme="minorHAnsi"/>
          <w:sz w:val="20"/>
          <w:szCs w:val="20"/>
        </w:rPr>
        <w:t>z</w:t>
      </w:r>
      <w:r w:rsidRPr="0088190A">
        <w:rPr>
          <w:rFonts w:cstheme="minorHAnsi"/>
          <w:sz w:val="20"/>
          <w:szCs w:val="20"/>
        </w:rPr>
        <w:t xml:space="preserve">ávěrečné účty TA ČR za roky 2017 až 2023, </w:t>
      </w:r>
      <w:r>
        <w:rPr>
          <w:rFonts w:cstheme="minorHAnsi"/>
          <w:sz w:val="20"/>
          <w:szCs w:val="20"/>
        </w:rPr>
        <w:t xml:space="preserve">IS </w:t>
      </w:r>
      <w:proofErr w:type="spellStart"/>
      <w:r>
        <w:rPr>
          <w:rFonts w:cstheme="minorHAnsi"/>
          <w:sz w:val="20"/>
          <w:szCs w:val="20"/>
        </w:rPr>
        <w:t>VaVaI</w:t>
      </w:r>
      <w:proofErr w:type="spellEnd"/>
      <w:r w:rsidRPr="0088190A">
        <w:rPr>
          <w:rFonts w:cstheme="minorHAnsi"/>
          <w:sz w:val="20"/>
          <w:szCs w:val="20"/>
        </w:rPr>
        <w:t>, obecná analýza výsledků (RIV) ke dni 17. 1. 2025</w:t>
      </w:r>
      <w:r w:rsidR="006D0583">
        <w:rPr>
          <w:rFonts w:cstheme="minorHAnsi"/>
          <w:sz w:val="20"/>
          <w:szCs w:val="20"/>
        </w:rPr>
        <w:t>;</w:t>
      </w:r>
      <w:r w:rsidRPr="0088190A">
        <w:rPr>
          <w:rFonts w:cstheme="minorHAnsi"/>
          <w:sz w:val="20"/>
          <w:szCs w:val="20"/>
        </w:rPr>
        <w:t xml:space="preserve"> </w:t>
      </w:r>
      <w:r w:rsidR="006D0583">
        <w:rPr>
          <w:rFonts w:cstheme="minorHAnsi"/>
          <w:sz w:val="20"/>
          <w:szCs w:val="20"/>
        </w:rPr>
        <w:t>vypracoval</w:t>
      </w:r>
      <w:r>
        <w:rPr>
          <w:rFonts w:cstheme="minorHAnsi"/>
          <w:sz w:val="20"/>
          <w:szCs w:val="20"/>
        </w:rPr>
        <w:t xml:space="preserve"> NKÚ</w:t>
      </w:r>
      <w:r w:rsidRPr="0088190A">
        <w:rPr>
          <w:rFonts w:cstheme="minorHAnsi"/>
          <w:sz w:val="20"/>
          <w:szCs w:val="20"/>
        </w:rPr>
        <w:t>.</w:t>
      </w:r>
    </w:p>
    <w:p w14:paraId="5E357276" w14:textId="66A9D54C" w:rsidR="00B672B9" w:rsidRPr="0088190A" w:rsidRDefault="006A0A54" w:rsidP="001C6490">
      <w:pPr>
        <w:spacing w:before="240" w:after="120" w:line="240" w:lineRule="auto"/>
        <w:jc w:val="both"/>
        <w:rPr>
          <w:rFonts w:cstheme="minorHAnsi"/>
          <w:sz w:val="24"/>
          <w:szCs w:val="24"/>
        </w:rPr>
      </w:pPr>
      <w:r>
        <w:rPr>
          <w:rFonts w:cstheme="minorHAnsi"/>
          <w:sz w:val="24"/>
          <w:szCs w:val="24"/>
        </w:rPr>
        <w:t xml:space="preserve">4.19 </w:t>
      </w:r>
      <w:r w:rsidR="00B672B9" w:rsidRPr="0088190A">
        <w:rPr>
          <w:rFonts w:cstheme="minorHAnsi"/>
          <w:sz w:val="24"/>
          <w:szCs w:val="24"/>
        </w:rPr>
        <w:t>Srovnání všech poskytovatelů účelové podpory a výsledky, podíly na podpoře i výsledcích a zvlášť patentů zobrazuje následující tabulka č.</w:t>
      </w:r>
      <w:r w:rsidR="00B672B9">
        <w:rPr>
          <w:rFonts w:cstheme="minorHAnsi"/>
          <w:sz w:val="24"/>
          <w:szCs w:val="24"/>
        </w:rPr>
        <w:t xml:space="preserve"> </w:t>
      </w:r>
      <w:r w:rsidR="008760F3">
        <w:rPr>
          <w:rFonts w:cstheme="minorHAnsi"/>
          <w:sz w:val="24"/>
          <w:szCs w:val="24"/>
        </w:rPr>
        <w:t>6</w:t>
      </w:r>
      <w:r w:rsidR="00B672B9">
        <w:rPr>
          <w:rFonts w:cstheme="minorHAnsi"/>
          <w:sz w:val="24"/>
          <w:szCs w:val="24"/>
        </w:rPr>
        <w:t>.</w:t>
      </w:r>
    </w:p>
    <w:p w14:paraId="4374EFDC" w14:textId="274B43F9" w:rsidR="00B672B9" w:rsidRPr="00E04D6A" w:rsidRDefault="00B672B9" w:rsidP="001C6490">
      <w:pPr>
        <w:keepNext/>
        <w:spacing w:before="120" w:after="40" w:line="240" w:lineRule="auto"/>
        <w:ind w:left="1304" w:hanging="1304"/>
        <w:jc w:val="both"/>
        <w:rPr>
          <w:rFonts w:cstheme="minorHAnsi"/>
          <w:b/>
          <w:sz w:val="24"/>
          <w:szCs w:val="24"/>
        </w:rPr>
      </w:pPr>
      <w:r w:rsidRPr="00E04D6A">
        <w:rPr>
          <w:rFonts w:cstheme="minorHAnsi"/>
          <w:b/>
          <w:sz w:val="24"/>
          <w:szCs w:val="24"/>
        </w:rPr>
        <w:t xml:space="preserve">Tabulka č. </w:t>
      </w:r>
      <w:r w:rsidR="008760F3">
        <w:rPr>
          <w:rFonts w:cstheme="minorHAnsi"/>
          <w:b/>
          <w:sz w:val="24"/>
          <w:szCs w:val="24"/>
        </w:rPr>
        <w:t>6</w:t>
      </w:r>
      <w:r w:rsidRPr="00E04D6A">
        <w:rPr>
          <w:rFonts w:cstheme="minorHAnsi"/>
          <w:b/>
          <w:sz w:val="24"/>
          <w:szCs w:val="24"/>
        </w:rPr>
        <w:t xml:space="preserve">: </w:t>
      </w:r>
      <w:r w:rsidR="001C6490">
        <w:rPr>
          <w:rFonts w:cstheme="minorHAnsi"/>
          <w:b/>
          <w:sz w:val="24"/>
          <w:szCs w:val="24"/>
        </w:rPr>
        <w:tab/>
      </w:r>
      <w:r w:rsidRPr="00E04D6A">
        <w:rPr>
          <w:rFonts w:cstheme="minorHAnsi"/>
          <w:b/>
          <w:sz w:val="24"/>
          <w:szCs w:val="24"/>
        </w:rPr>
        <w:t xml:space="preserve">Srovnání podílu na výdajích státního rozpočtu na </w:t>
      </w:r>
      <w:proofErr w:type="spellStart"/>
      <w:r w:rsidRPr="00E04D6A">
        <w:rPr>
          <w:rFonts w:cstheme="minorHAnsi"/>
          <w:b/>
          <w:sz w:val="24"/>
          <w:szCs w:val="24"/>
        </w:rPr>
        <w:t>VaVaI</w:t>
      </w:r>
      <w:proofErr w:type="spellEnd"/>
      <w:r w:rsidRPr="00E04D6A">
        <w:rPr>
          <w:rFonts w:cstheme="minorHAnsi"/>
          <w:b/>
          <w:sz w:val="24"/>
          <w:szCs w:val="24"/>
        </w:rPr>
        <w:t xml:space="preserve"> (účelové výdaje a zahraniční zdroje) a podílu na aplikovaných výsledcích v letech 2019 až 2023</w:t>
      </w:r>
    </w:p>
    <w:tbl>
      <w:tblPr>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3391"/>
        <w:gridCol w:w="1014"/>
        <w:gridCol w:w="979"/>
        <w:gridCol w:w="722"/>
        <w:gridCol w:w="935"/>
        <w:gridCol w:w="1125"/>
        <w:gridCol w:w="900"/>
      </w:tblGrid>
      <w:tr w:rsidR="00B672B9" w:rsidRPr="00D44236" w14:paraId="6C2FB0BC" w14:textId="77777777" w:rsidTr="001C6490">
        <w:trPr>
          <w:trHeight w:val="255"/>
        </w:trPr>
        <w:tc>
          <w:tcPr>
            <w:tcW w:w="1841" w:type="pct"/>
            <w:shd w:val="clear" w:color="auto" w:fill="E6E6E6"/>
            <w:vAlign w:val="center"/>
            <w:hideMark/>
          </w:tcPr>
          <w:p w14:paraId="7822A056" w14:textId="77777777" w:rsidR="00B672B9" w:rsidRPr="00D44236" w:rsidRDefault="00B672B9" w:rsidP="003D71C9">
            <w:pPr>
              <w:spacing w:after="0" w:line="240" w:lineRule="auto"/>
              <w:jc w:val="center"/>
              <w:rPr>
                <w:rFonts w:ascii="Calibri" w:eastAsia="Times New Roman" w:hAnsi="Calibri" w:cs="Calibri"/>
                <w:b/>
                <w:bCs/>
                <w:color w:val="000000"/>
                <w:sz w:val="18"/>
                <w:szCs w:val="18"/>
                <w:lang w:eastAsia="cs-CZ"/>
              </w:rPr>
            </w:pPr>
            <w:r w:rsidRPr="00D44236">
              <w:rPr>
                <w:rFonts w:ascii="Calibri" w:eastAsia="Times New Roman" w:hAnsi="Calibri" w:cs="Calibri"/>
                <w:b/>
                <w:bCs/>
                <w:color w:val="000000"/>
                <w:sz w:val="18"/>
                <w:szCs w:val="18"/>
              </w:rPr>
              <w:t>Poskytovatel účelové podpory</w:t>
            </w:r>
          </w:p>
        </w:tc>
        <w:tc>
          <w:tcPr>
            <w:tcW w:w="520" w:type="pct"/>
            <w:shd w:val="clear" w:color="auto" w:fill="E6E6E6"/>
            <w:vAlign w:val="center"/>
            <w:hideMark/>
          </w:tcPr>
          <w:p w14:paraId="636E0624" w14:textId="75514215" w:rsidR="00B672B9" w:rsidRPr="00D44236" w:rsidRDefault="00B672B9" w:rsidP="003D71C9">
            <w:pPr>
              <w:spacing w:after="0" w:line="240" w:lineRule="auto"/>
              <w:jc w:val="center"/>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Podpora v</w:t>
            </w:r>
            <w:r w:rsidR="00503FA1" w:rsidRPr="00D44236">
              <w:rPr>
                <w:rFonts w:ascii="Calibri" w:eastAsia="Times New Roman" w:hAnsi="Calibri" w:cs="Calibri"/>
                <w:b/>
                <w:bCs/>
                <w:color w:val="000000"/>
                <w:sz w:val="18"/>
                <w:szCs w:val="18"/>
              </w:rPr>
              <w:t> </w:t>
            </w:r>
            <w:r w:rsidRPr="00D44236">
              <w:rPr>
                <w:rFonts w:ascii="Calibri" w:eastAsia="Times New Roman" w:hAnsi="Calibri" w:cs="Calibri"/>
                <w:b/>
                <w:bCs/>
                <w:color w:val="000000"/>
                <w:sz w:val="18"/>
                <w:szCs w:val="18"/>
              </w:rPr>
              <w:t>mil. Kč</w:t>
            </w:r>
          </w:p>
        </w:tc>
        <w:tc>
          <w:tcPr>
            <w:tcW w:w="531" w:type="pct"/>
            <w:shd w:val="clear" w:color="auto" w:fill="E6E6E6"/>
            <w:vAlign w:val="center"/>
            <w:hideMark/>
          </w:tcPr>
          <w:p w14:paraId="0EEE7982" w14:textId="77777777" w:rsidR="00B672B9" w:rsidRPr="00D44236" w:rsidRDefault="00B672B9" w:rsidP="003D71C9">
            <w:pPr>
              <w:spacing w:after="0" w:line="240" w:lineRule="auto"/>
              <w:jc w:val="center"/>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Aplikované výsledky</w:t>
            </w:r>
          </w:p>
        </w:tc>
        <w:tc>
          <w:tcPr>
            <w:tcW w:w="392" w:type="pct"/>
            <w:shd w:val="clear" w:color="auto" w:fill="E6E6E6"/>
            <w:vAlign w:val="center"/>
            <w:hideMark/>
          </w:tcPr>
          <w:p w14:paraId="6DB82F50" w14:textId="77777777" w:rsidR="00B672B9" w:rsidRPr="00D44236" w:rsidRDefault="00B672B9" w:rsidP="003D71C9">
            <w:pPr>
              <w:spacing w:after="0" w:line="240" w:lineRule="auto"/>
              <w:jc w:val="center"/>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Patenty</w:t>
            </w:r>
          </w:p>
        </w:tc>
        <w:tc>
          <w:tcPr>
            <w:tcW w:w="617" w:type="pct"/>
            <w:shd w:val="clear" w:color="auto" w:fill="E6E6E6"/>
            <w:vAlign w:val="center"/>
            <w:hideMark/>
          </w:tcPr>
          <w:p w14:paraId="4DFC0E04" w14:textId="26FBE2DC" w:rsidR="00B672B9" w:rsidRPr="00D44236" w:rsidRDefault="00B672B9" w:rsidP="003D71C9">
            <w:pPr>
              <w:spacing w:after="0" w:line="240" w:lineRule="auto"/>
              <w:jc w:val="center"/>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Podíl na podpoře v</w:t>
            </w:r>
            <w:r w:rsidR="00503FA1" w:rsidRPr="00D44236">
              <w:rPr>
                <w:rFonts w:ascii="Calibri" w:eastAsia="Times New Roman" w:hAnsi="Calibri" w:cs="Calibri"/>
                <w:b/>
                <w:bCs/>
                <w:color w:val="000000"/>
                <w:sz w:val="18"/>
                <w:szCs w:val="18"/>
              </w:rPr>
              <w:t> </w:t>
            </w:r>
            <w:r w:rsidRPr="00D44236">
              <w:rPr>
                <w:rFonts w:ascii="Calibri" w:eastAsia="Times New Roman" w:hAnsi="Calibri" w:cs="Calibri"/>
                <w:b/>
                <w:bCs/>
                <w:color w:val="000000"/>
                <w:sz w:val="18"/>
                <w:szCs w:val="18"/>
              </w:rPr>
              <w:t>%</w:t>
            </w:r>
          </w:p>
        </w:tc>
        <w:tc>
          <w:tcPr>
            <w:tcW w:w="611" w:type="pct"/>
            <w:shd w:val="clear" w:color="auto" w:fill="E6E6E6"/>
            <w:vAlign w:val="center"/>
            <w:hideMark/>
          </w:tcPr>
          <w:p w14:paraId="59B29654" w14:textId="68D79CF1" w:rsidR="00B672B9" w:rsidRPr="00D44236" w:rsidRDefault="00B672B9" w:rsidP="003D71C9">
            <w:pPr>
              <w:spacing w:after="0" w:line="240" w:lineRule="auto"/>
              <w:jc w:val="center"/>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Podíl na aplikovaných výsledcích v</w:t>
            </w:r>
            <w:r w:rsidR="00503FA1" w:rsidRPr="00D44236">
              <w:rPr>
                <w:rFonts w:ascii="Calibri" w:eastAsia="Times New Roman" w:hAnsi="Calibri" w:cs="Calibri"/>
                <w:b/>
                <w:bCs/>
                <w:color w:val="000000"/>
                <w:sz w:val="18"/>
                <w:szCs w:val="18"/>
              </w:rPr>
              <w:t> </w:t>
            </w:r>
            <w:r w:rsidRPr="00D44236">
              <w:rPr>
                <w:rFonts w:ascii="Calibri" w:eastAsia="Times New Roman" w:hAnsi="Calibri" w:cs="Calibri"/>
                <w:b/>
                <w:bCs/>
                <w:color w:val="000000"/>
                <w:sz w:val="18"/>
                <w:szCs w:val="18"/>
              </w:rPr>
              <w:t>%</w:t>
            </w:r>
          </w:p>
        </w:tc>
        <w:tc>
          <w:tcPr>
            <w:tcW w:w="489" w:type="pct"/>
            <w:shd w:val="clear" w:color="auto" w:fill="E6E6E6"/>
            <w:vAlign w:val="center"/>
            <w:hideMark/>
          </w:tcPr>
          <w:p w14:paraId="333DFD6B" w14:textId="77777777" w:rsidR="00B672B9" w:rsidRPr="00D44236" w:rsidRDefault="00B672B9" w:rsidP="003D71C9">
            <w:pPr>
              <w:spacing w:after="0" w:line="240" w:lineRule="auto"/>
              <w:jc w:val="center"/>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Podíl na patentech v %</w:t>
            </w:r>
          </w:p>
        </w:tc>
      </w:tr>
      <w:tr w:rsidR="00B672B9" w:rsidRPr="00D44236" w14:paraId="242E0DF6" w14:textId="77777777" w:rsidTr="001C6490">
        <w:trPr>
          <w:trHeight w:val="255"/>
        </w:trPr>
        <w:tc>
          <w:tcPr>
            <w:tcW w:w="1841" w:type="pct"/>
            <w:noWrap/>
            <w:vAlign w:val="center"/>
            <w:hideMark/>
          </w:tcPr>
          <w:p w14:paraId="7C9C0558" w14:textId="77777777" w:rsidR="00B672B9" w:rsidRPr="00D44236" w:rsidRDefault="00B672B9" w:rsidP="003D71C9">
            <w:pPr>
              <w:spacing w:after="0" w:line="240" w:lineRule="auto"/>
              <w:rPr>
                <w:rFonts w:ascii="Calibri" w:eastAsia="Times New Roman" w:hAnsi="Calibri" w:cs="Calibri"/>
                <w:color w:val="000000"/>
                <w:sz w:val="18"/>
                <w:szCs w:val="18"/>
              </w:rPr>
            </w:pPr>
            <w:r w:rsidRPr="00D44236">
              <w:rPr>
                <w:rFonts w:ascii="Calibri" w:eastAsia="Times New Roman" w:hAnsi="Calibri" w:cs="Calibri"/>
                <w:color w:val="000000"/>
                <w:sz w:val="18"/>
                <w:szCs w:val="18"/>
              </w:rPr>
              <w:t>Ministerstvo školství, mládeže a tělovýchovy</w:t>
            </w:r>
          </w:p>
        </w:tc>
        <w:tc>
          <w:tcPr>
            <w:tcW w:w="520" w:type="pct"/>
            <w:noWrap/>
            <w:vAlign w:val="center"/>
            <w:hideMark/>
          </w:tcPr>
          <w:p w14:paraId="0885F449"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46 740,56</w:t>
            </w:r>
          </w:p>
        </w:tc>
        <w:tc>
          <w:tcPr>
            <w:tcW w:w="531" w:type="pct"/>
            <w:noWrap/>
            <w:vAlign w:val="center"/>
            <w:hideMark/>
          </w:tcPr>
          <w:p w14:paraId="15F95CFA"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9 774</w:t>
            </w:r>
          </w:p>
        </w:tc>
        <w:tc>
          <w:tcPr>
            <w:tcW w:w="392" w:type="pct"/>
            <w:noWrap/>
            <w:vAlign w:val="center"/>
            <w:hideMark/>
          </w:tcPr>
          <w:p w14:paraId="1A70AF1A"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940</w:t>
            </w:r>
          </w:p>
        </w:tc>
        <w:tc>
          <w:tcPr>
            <w:tcW w:w="617" w:type="pct"/>
            <w:noWrap/>
            <w:vAlign w:val="center"/>
            <w:hideMark/>
          </w:tcPr>
          <w:p w14:paraId="6FFA2879"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42,48</w:t>
            </w:r>
          </w:p>
        </w:tc>
        <w:tc>
          <w:tcPr>
            <w:tcW w:w="611" w:type="pct"/>
            <w:noWrap/>
            <w:vAlign w:val="center"/>
            <w:hideMark/>
          </w:tcPr>
          <w:p w14:paraId="6AEF945A"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31,46</w:t>
            </w:r>
          </w:p>
        </w:tc>
        <w:tc>
          <w:tcPr>
            <w:tcW w:w="489" w:type="pct"/>
            <w:noWrap/>
            <w:vAlign w:val="center"/>
            <w:hideMark/>
          </w:tcPr>
          <w:p w14:paraId="041B3E34"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51,37</w:t>
            </w:r>
          </w:p>
        </w:tc>
      </w:tr>
      <w:tr w:rsidR="00B672B9" w:rsidRPr="00D44236" w14:paraId="17CBB9AB" w14:textId="77777777" w:rsidTr="001C6490">
        <w:trPr>
          <w:trHeight w:val="255"/>
        </w:trPr>
        <w:tc>
          <w:tcPr>
            <w:tcW w:w="1841" w:type="pct"/>
            <w:shd w:val="clear" w:color="auto" w:fill="FFCE44"/>
            <w:noWrap/>
            <w:vAlign w:val="center"/>
            <w:hideMark/>
          </w:tcPr>
          <w:p w14:paraId="15DA4B45" w14:textId="77777777" w:rsidR="00B672B9" w:rsidRPr="00D44236" w:rsidRDefault="00B672B9" w:rsidP="003D71C9">
            <w:pPr>
              <w:spacing w:after="0" w:line="240" w:lineRule="auto"/>
              <w:rPr>
                <w:rFonts w:ascii="Calibri" w:eastAsia="Times New Roman" w:hAnsi="Calibri" w:cs="Calibri"/>
                <w:color w:val="000000"/>
                <w:sz w:val="18"/>
                <w:szCs w:val="18"/>
              </w:rPr>
            </w:pPr>
            <w:r w:rsidRPr="00D44236">
              <w:rPr>
                <w:rFonts w:ascii="Calibri" w:eastAsia="Times New Roman" w:hAnsi="Calibri" w:cs="Calibri"/>
                <w:color w:val="000000"/>
                <w:sz w:val="18"/>
                <w:szCs w:val="18"/>
              </w:rPr>
              <w:t>Technologická agentura České republiky</w:t>
            </w:r>
          </w:p>
        </w:tc>
        <w:tc>
          <w:tcPr>
            <w:tcW w:w="520" w:type="pct"/>
            <w:shd w:val="clear" w:color="auto" w:fill="FFCE44"/>
            <w:noWrap/>
            <w:vAlign w:val="center"/>
            <w:hideMark/>
          </w:tcPr>
          <w:p w14:paraId="728652AE"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25 605,60</w:t>
            </w:r>
          </w:p>
        </w:tc>
        <w:tc>
          <w:tcPr>
            <w:tcW w:w="531" w:type="pct"/>
            <w:shd w:val="clear" w:color="auto" w:fill="FFCE44"/>
            <w:noWrap/>
            <w:vAlign w:val="center"/>
            <w:hideMark/>
          </w:tcPr>
          <w:p w14:paraId="261EDB64"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9 092</w:t>
            </w:r>
          </w:p>
        </w:tc>
        <w:tc>
          <w:tcPr>
            <w:tcW w:w="392" w:type="pct"/>
            <w:shd w:val="clear" w:color="auto" w:fill="FFCE44"/>
            <w:noWrap/>
            <w:vAlign w:val="center"/>
            <w:hideMark/>
          </w:tcPr>
          <w:p w14:paraId="08D360AD"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485</w:t>
            </w:r>
          </w:p>
        </w:tc>
        <w:tc>
          <w:tcPr>
            <w:tcW w:w="617" w:type="pct"/>
            <w:shd w:val="clear" w:color="auto" w:fill="FFCE44"/>
            <w:noWrap/>
            <w:vAlign w:val="center"/>
            <w:hideMark/>
          </w:tcPr>
          <w:p w14:paraId="30307C0E"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23,27</w:t>
            </w:r>
          </w:p>
        </w:tc>
        <w:tc>
          <w:tcPr>
            <w:tcW w:w="611" w:type="pct"/>
            <w:shd w:val="clear" w:color="auto" w:fill="FFCE44"/>
            <w:noWrap/>
            <w:vAlign w:val="center"/>
            <w:hideMark/>
          </w:tcPr>
          <w:p w14:paraId="4F13E932"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29,26</w:t>
            </w:r>
          </w:p>
        </w:tc>
        <w:tc>
          <w:tcPr>
            <w:tcW w:w="489" w:type="pct"/>
            <w:shd w:val="clear" w:color="auto" w:fill="FFCE44"/>
            <w:noWrap/>
            <w:vAlign w:val="center"/>
            <w:hideMark/>
          </w:tcPr>
          <w:p w14:paraId="49E60146"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26,50</w:t>
            </w:r>
          </w:p>
        </w:tc>
      </w:tr>
      <w:tr w:rsidR="00B672B9" w:rsidRPr="00D44236" w14:paraId="6EC5402B" w14:textId="77777777" w:rsidTr="001C6490">
        <w:trPr>
          <w:trHeight w:val="255"/>
        </w:trPr>
        <w:tc>
          <w:tcPr>
            <w:tcW w:w="1841" w:type="pct"/>
            <w:noWrap/>
            <w:vAlign w:val="center"/>
            <w:hideMark/>
          </w:tcPr>
          <w:p w14:paraId="7D9E836C" w14:textId="77777777" w:rsidR="00B672B9" w:rsidRPr="00D44236" w:rsidRDefault="00B672B9" w:rsidP="003D71C9">
            <w:pPr>
              <w:spacing w:after="0" w:line="240" w:lineRule="auto"/>
              <w:rPr>
                <w:rFonts w:ascii="Calibri" w:eastAsia="Times New Roman" w:hAnsi="Calibri" w:cs="Calibri"/>
                <w:color w:val="000000"/>
                <w:sz w:val="18"/>
                <w:szCs w:val="18"/>
              </w:rPr>
            </w:pPr>
            <w:r w:rsidRPr="00D44236">
              <w:rPr>
                <w:rFonts w:ascii="Calibri" w:eastAsia="Times New Roman" w:hAnsi="Calibri" w:cs="Calibri"/>
                <w:color w:val="000000"/>
                <w:sz w:val="18"/>
                <w:szCs w:val="18"/>
              </w:rPr>
              <w:t>Ministerstvo průmyslu a obchodu</w:t>
            </w:r>
          </w:p>
        </w:tc>
        <w:tc>
          <w:tcPr>
            <w:tcW w:w="520" w:type="pct"/>
            <w:noWrap/>
            <w:vAlign w:val="center"/>
            <w:hideMark/>
          </w:tcPr>
          <w:p w14:paraId="4524D02D"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23 047,43</w:t>
            </w:r>
          </w:p>
        </w:tc>
        <w:tc>
          <w:tcPr>
            <w:tcW w:w="531" w:type="pct"/>
            <w:noWrap/>
            <w:vAlign w:val="center"/>
            <w:hideMark/>
          </w:tcPr>
          <w:p w14:paraId="305337A0"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7 102</w:t>
            </w:r>
          </w:p>
        </w:tc>
        <w:tc>
          <w:tcPr>
            <w:tcW w:w="392" w:type="pct"/>
            <w:noWrap/>
            <w:vAlign w:val="center"/>
            <w:hideMark/>
          </w:tcPr>
          <w:p w14:paraId="0389B079"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129</w:t>
            </w:r>
          </w:p>
        </w:tc>
        <w:tc>
          <w:tcPr>
            <w:tcW w:w="617" w:type="pct"/>
            <w:noWrap/>
            <w:vAlign w:val="center"/>
            <w:hideMark/>
          </w:tcPr>
          <w:p w14:paraId="5443C009"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20,95</w:t>
            </w:r>
          </w:p>
        </w:tc>
        <w:tc>
          <w:tcPr>
            <w:tcW w:w="611" w:type="pct"/>
            <w:noWrap/>
            <w:vAlign w:val="center"/>
            <w:hideMark/>
          </w:tcPr>
          <w:p w14:paraId="462B0E4F"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22,86</w:t>
            </w:r>
          </w:p>
        </w:tc>
        <w:tc>
          <w:tcPr>
            <w:tcW w:w="489" w:type="pct"/>
            <w:noWrap/>
            <w:vAlign w:val="center"/>
            <w:hideMark/>
          </w:tcPr>
          <w:p w14:paraId="7CD0BBE5"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7,05</w:t>
            </w:r>
          </w:p>
        </w:tc>
      </w:tr>
      <w:tr w:rsidR="00B672B9" w:rsidRPr="00D44236" w14:paraId="56888AB4" w14:textId="77777777" w:rsidTr="001C6490">
        <w:trPr>
          <w:trHeight w:val="255"/>
        </w:trPr>
        <w:tc>
          <w:tcPr>
            <w:tcW w:w="1841" w:type="pct"/>
            <w:noWrap/>
            <w:vAlign w:val="center"/>
            <w:hideMark/>
          </w:tcPr>
          <w:p w14:paraId="203B94C1" w14:textId="77777777" w:rsidR="00B672B9" w:rsidRPr="00D44236" w:rsidRDefault="00B672B9" w:rsidP="003D71C9">
            <w:pPr>
              <w:spacing w:after="0" w:line="240" w:lineRule="auto"/>
              <w:rPr>
                <w:rFonts w:ascii="Calibri" w:eastAsia="Times New Roman" w:hAnsi="Calibri" w:cs="Calibri"/>
                <w:color w:val="000000"/>
                <w:sz w:val="18"/>
                <w:szCs w:val="18"/>
              </w:rPr>
            </w:pPr>
            <w:r w:rsidRPr="00D44236">
              <w:rPr>
                <w:rFonts w:ascii="Calibri" w:eastAsia="Times New Roman" w:hAnsi="Calibri" w:cs="Calibri"/>
                <w:color w:val="000000"/>
                <w:sz w:val="18"/>
                <w:szCs w:val="18"/>
              </w:rPr>
              <w:t>Ministerstvo zdravotnictví</w:t>
            </w:r>
          </w:p>
        </w:tc>
        <w:tc>
          <w:tcPr>
            <w:tcW w:w="520" w:type="pct"/>
            <w:noWrap/>
            <w:vAlign w:val="center"/>
            <w:hideMark/>
          </w:tcPr>
          <w:p w14:paraId="28C66F94"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5 347,46</w:t>
            </w:r>
          </w:p>
        </w:tc>
        <w:tc>
          <w:tcPr>
            <w:tcW w:w="531" w:type="pct"/>
            <w:noWrap/>
            <w:vAlign w:val="center"/>
            <w:hideMark/>
          </w:tcPr>
          <w:p w14:paraId="5FB354D5"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392</w:t>
            </w:r>
          </w:p>
        </w:tc>
        <w:tc>
          <w:tcPr>
            <w:tcW w:w="392" w:type="pct"/>
            <w:noWrap/>
            <w:vAlign w:val="center"/>
            <w:hideMark/>
          </w:tcPr>
          <w:p w14:paraId="7DCA67EF"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123</w:t>
            </w:r>
          </w:p>
        </w:tc>
        <w:tc>
          <w:tcPr>
            <w:tcW w:w="617" w:type="pct"/>
            <w:noWrap/>
            <w:vAlign w:val="center"/>
            <w:hideMark/>
          </w:tcPr>
          <w:p w14:paraId="590245FE"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4,86</w:t>
            </w:r>
          </w:p>
        </w:tc>
        <w:tc>
          <w:tcPr>
            <w:tcW w:w="611" w:type="pct"/>
            <w:noWrap/>
            <w:vAlign w:val="center"/>
            <w:hideMark/>
          </w:tcPr>
          <w:p w14:paraId="4743F904"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1,26</w:t>
            </w:r>
          </w:p>
        </w:tc>
        <w:tc>
          <w:tcPr>
            <w:tcW w:w="489" w:type="pct"/>
            <w:noWrap/>
            <w:vAlign w:val="center"/>
            <w:hideMark/>
          </w:tcPr>
          <w:p w14:paraId="15B4DCD5"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6,72</w:t>
            </w:r>
          </w:p>
        </w:tc>
      </w:tr>
      <w:tr w:rsidR="00B672B9" w:rsidRPr="00D44236" w14:paraId="297C1490" w14:textId="77777777" w:rsidTr="001C6490">
        <w:trPr>
          <w:trHeight w:val="255"/>
        </w:trPr>
        <w:tc>
          <w:tcPr>
            <w:tcW w:w="1841" w:type="pct"/>
            <w:noWrap/>
            <w:vAlign w:val="center"/>
            <w:hideMark/>
          </w:tcPr>
          <w:p w14:paraId="4F3E057D" w14:textId="77777777" w:rsidR="00B672B9" w:rsidRPr="00D44236" w:rsidRDefault="00B672B9" w:rsidP="003D71C9">
            <w:pPr>
              <w:spacing w:after="0" w:line="240" w:lineRule="auto"/>
              <w:rPr>
                <w:rFonts w:ascii="Calibri" w:eastAsia="Times New Roman" w:hAnsi="Calibri" w:cs="Calibri"/>
                <w:color w:val="000000"/>
                <w:sz w:val="18"/>
                <w:szCs w:val="18"/>
              </w:rPr>
            </w:pPr>
            <w:r w:rsidRPr="00D44236">
              <w:rPr>
                <w:rFonts w:ascii="Calibri" w:eastAsia="Times New Roman" w:hAnsi="Calibri" w:cs="Calibri"/>
                <w:color w:val="000000"/>
                <w:sz w:val="18"/>
                <w:szCs w:val="18"/>
              </w:rPr>
              <w:t>Ministerstvo vnitra</w:t>
            </w:r>
          </w:p>
        </w:tc>
        <w:tc>
          <w:tcPr>
            <w:tcW w:w="520" w:type="pct"/>
            <w:noWrap/>
            <w:vAlign w:val="center"/>
            <w:hideMark/>
          </w:tcPr>
          <w:p w14:paraId="19656E0B"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3 029,21</w:t>
            </w:r>
          </w:p>
        </w:tc>
        <w:tc>
          <w:tcPr>
            <w:tcW w:w="531" w:type="pct"/>
            <w:noWrap/>
            <w:vAlign w:val="center"/>
            <w:hideMark/>
          </w:tcPr>
          <w:p w14:paraId="633B6978"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1 110</w:t>
            </w:r>
          </w:p>
        </w:tc>
        <w:tc>
          <w:tcPr>
            <w:tcW w:w="392" w:type="pct"/>
            <w:noWrap/>
            <w:vAlign w:val="center"/>
            <w:hideMark/>
          </w:tcPr>
          <w:p w14:paraId="794A19C0"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41</w:t>
            </w:r>
          </w:p>
        </w:tc>
        <w:tc>
          <w:tcPr>
            <w:tcW w:w="617" w:type="pct"/>
            <w:noWrap/>
            <w:vAlign w:val="center"/>
            <w:hideMark/>
          </w:tcPr>
          <w:p w14:paraId="2ACACFF1"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2,75</w:t>
            </w:r>
          </w:p>
        </w:tc>
        <w:tc>
          <w:tcPr>
            <w:tcW w:w="611" w:type="pct"/>
            <w:noWrap/>
            <w:vAlign w:val="center"/>
            <w:hideMark/>
          </w:tcPr>
          <w:p w14:paraId="41980753"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3,57</w:t>
            </w:r>
          </w:p>
        </w:tc>
        <w:tc>
          <w:tcPr>
            <w:tcW w:w="489" w:type="pct"/>
            <w:noWrap/>
            <w:vAlign w:val="center"/>
            <w:hideMark/>
          </w:tcPr>
          <w:p w14:paraId="005DCC87"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2,24</w:t>
            </w:r>
          </w:p>
        </w:tc>
      </w:tr>
      <w:tr w:rsidR="00B672B9" w:rsidRPr="00D44236" w14:paraId="015B00A3" w14:textId="77777777" w:rsidTr="001C6490">
        <w:trPr>
          <w:trHeight w:val="255"/>
        </w:trPr>
        <w:tc>
          <w:tcPr>
            <w:tcW w:w="1841" w:type="pct"/>
            <w:noWrap/>
            <w:vAlign w:val="center"/>
            <w:hideMark/>
          </w:tcPr>
          <w:p w14:paraId="182D90AA" w14:textId="77777777" w:rsidR="00B672B9" w:rsidRPr="00D44236" w:rsidRDefault="00B672B9" w:rsidP="003D71C9">
            <w:pPr>
              <w:spacing w:after="0" w:line="240" w:lineRule="auto"/>
              <w:rPr>
                <w:rFonts w:ascii="Calibri" w:eastAsia="Times New Roman" w:hAnsi="Calibri" w:cs="Calibri"/>
                <w:color w:val="000000"/>
                <w:sz w:val="18"/>
                <w:szCs w:val="18"/>
              </w:rPr>
            </w:pPr>
            <w:r w:rsidRPr="00D44236">
              <w:rPr>
                <w:rFonts w:ascii="Calibri" w:eastAsia="Times New Roman" w:hAnsi="Calibri" w:cs="Calibri"/>
                <w:color w:val="000000"/>
                <w:sz w:val="18"/>
                <w:szCs w:val="18"/>
              </w:rPr>
              <w:t>Ministerstvo zemědělství</w:t>
            </w:r>
          </w:p>
        </w:tc>
        <w:tc>
          <w:tcPr>
            <w:tcW w:w="520" w:type="pct"/>
            <w:noWrap/>
            <w:vAlign w:val="center"/>
            <w:hideMark/>
          </w:tcPr>
          <w:p w14:paraId="27137C09"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2 747,07</w:t>
            </w:r>
          </w:p>
        </w:tc>
        <w:tc>
          <w:tcPr>
            <w:tcW w:w="531" w:type="pct"/>
            <w:noWrap/>
            <w:vAlign w:val="center"/>
            <w:hideMark/>
          </w:tcPr>
          <w:p w14:paraId="318A3A8A"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2 185</w:t>
            </w:r>
          </w:p>
        </w:tc>
        <w:tc>
          <w:tcPr>
            <w:tcW w:w="392" w:type="pct"/>
            <w:noWrap/>
            <w:vAlign w:val="center"/>
            <w:hideMark/>
          </w:tcPr>
          <w:p w14:paraId="1EF48EBC"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94</w:t>
            </w:r>
          </w:p>
        </w:tc>
        <w:tc>
          <w:tcPr>
            <w:tcW w:w="617" w:type="pct"/>
            <w:noWrap/>
            <w:vAlign w:val="center"/>
            <w:hideMark/>
          </w:tcPr>
          <w:p w14:paraId="27148A88"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2,50</w:t>
            </w:r>
          </w:p>
        </w:tc>
        <w:tc>
          <w:tcPr>
            <w:tcW w:w="611" w:type="pct"/>
            <w:noWrap/>
            <w:vAlign w:val="center"/>
            <w:hideMark/>
          </w:tcPr>
          <w:p w14:paraId="5A133AC7"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7,03</w:t>
            </w:r>
          </w:p>
        </w:tc>
        <w:tc>
          <w:tcPr>
            <w:tcW w:w="489" w:type="pct"/>
            <w:noWrap/>
            <w:vAlign w:val="center"/>
            <w:hideMark/>
          </w:tcPr>
          <w:p w14:paraId="2EC2C70D"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5,14</w:t>
            </w:r>
          </w:p>
        </w:tc>
      </w:tr>
      <w:tr w:rsidR="00B672B9" w:rsidRPr="00D44236" w14:paraId="0C3C1A4F" w14:textId="77777777" w:rsidTr="001C6490">
        <w:trPr>
          <w:trHeight w:val="255"/>
        </w:trPr>
        <w:tc>
          <w:tcPr>
            <w:tcW w:w="1841" w:type="pct"/>
            <w:noWrap/>
            <w:vAlign w:val="center"/>
            <w:hideMark/>
          </w:tcPr>
          <w:p w14:paraId="1B342890" w14:textId="77777777" w:rsidR="00B672B9" w:rsidRPr="00D44236" w:rsidRDefault="00B672B9" w:rsidP="003D71C9">
            <w:pPr>
              <w:spacing w:after="0" w:line="240" w:lineRule="auto"/>
              <w:rPr>
                <w:rFonts w:ascii="Calibri" w:eastAsia="Times New Roman" w:hAnsi="Calibri" w:cs="Calibri"/>
                <w:color w:val="000000"/>
                <w:sz w:val="18"/>
                <w:szCs w:val="18"/>
              </w:rPr>
            </w:pPr>
            <w:r w:rsidRPr="00D44236">
              <w:rPr>
                <w:rFonts w:ascii="Calibri" w:eastAsia="Times New Roman" w:hAnsi="Calibri" w:cs="Calibri"/>
                <w:color w:val="000000"/>
                <w:sz w:val="18"/>
                <w:szCs w:val="18"/>
              </w:rPr>
              <w:t>Ministerstvo kultury</w:t>
            </w:r>
          </w:p>
        </w:tc>
        <w:tc>
          <w:tcPr>
            <w:tcW w:w="520" w:type="pct"/>
            <w:noWrap/>
            <w:vAlign w:val="center"/>
            <w:hideMark/>
          </w:tcPr>
          <w:p w14:paraId="3B04CA65"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2 050,51</w:t>
            </w:r>
          </w:p>
        </w:tc>
        <w:tc>
          <w:tcPr>
            <w:tcW w:w="531" w:type="pct"/>
            <w:noWrap/>
            <w:vAlign w:val="center"/>
            <w:hideMark/>
          </w:tcPr>
          <w:p w14:paraId="41D55EDE"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1 253</w:t>
            </w:r>
          </w:p>
        </w:tc>
        <w:tc>
          <w:tcPr>
            <w:tcW w:w="392" w:type="pct"/>
            <w:noWrap/>
            <w:vAlign w:val="center"/>
            <w:hideMark/>
          </w:tcPr>
          <w:p w14:paraId="31A54876"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14</w:t>
            </w:r>
          </w:p>
        </w:tc>
        <w:tc>
          <w:tcPr>
            <w:tcW w:w="617" w:type="pct"/>
            <w:noWrap/>
            <w:vAlign w:val="center"/>
            <w:hideMark/>
          </w:tcPr>
          <w:p w14:paraId="2CD99A3B"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1,86</w:t>
            </w:r>
          </w:p>
        </w:tc>
        <w:tc>
          <w:tcPr>
            <w:tcW w:w="611" w:type="pct"/>
            <w:noWrap/>
            <w:vAlign w:val="center"/>
            <w:hideMark/>
          </w:tcPr>
          <w:p w14:paraId="32FE883A"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4,03</w:t>
            </w:r>
          </w:p>
        </w:tc>
        <w:tc>
          <w:tcPr>
            <w:tcW w:w="489" w:type="pct"/>
            <w:noWrap/>
            <w:vAlign w:val="center"/>
            <w:hideMark/>
          </w:tcPr>
          <w:p w14:paraId="69BCD4C9"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0,77</w:t>
            </w:r>
          </w:p>
        </w:tc>
      </w:tr>
      <w:tr w:rsidR="00B672B9" w:rsidRPr="00D44236" w14:paraId="47A76E62" w14:textId="77777777" w:rsidTr="001C6490">
        <w:trPr>
          <w:trHeight w:val="255"/>
        </w:trPr>
        <w:tc>
          <w:tcPr>
            <w:tcW w:w="1841" w:type="pct"/>
            <w:noWrap/>
            <w:vAlign w:val="center"/>
            <w:hideMark/>
          </w:tcPr>
          <w:p w14:paraId="78CA02C4" w14:textId="77777777" w:rsidR="00B672B9" w:rsidRPr="00D44236" w:rsidRDefault="00B672B9" w:rsidP="003D71C9">
            <w:pPr>
              <w:spacing w:after="0" w:line="240" w:lineRule="auto"/>
              <w:rPr>
                <w:rFonts w:ascii="Calibri" w:eastAsia="Times New Roman" w:hAnsi="Calibri" w:cs="Calibri"/>
                <w:color w:val="000000"/>
                <w:sz w:val="18"/>
                <w:szCs w:val="18"/>
              </w:rPr>
            </w:pPr>
            <w:r w:rsidRPr="00D44236">
              <w:rPr>
                <w:rFonts w:ascii="Calibri" w:eastAsia="Times New Roman" w:hAnsi="Calibri" w:cs="Calibri"/>
                <w:color w:val="000000"/>
                <w:sz w:val="18"/>
                <w:szCs w:val="18"/>
              </w:rPr>
              <w:t>Ministerstvo obrany</w:t>
            </w:r>
          </w:p>
        </w:tc>
        <w:tc>
          <w:tcPr>
            <w:tcW w:w="520" w:type="pct"/>
            <w:noWrap/>
            <w:vAlign w:val="center"/>
            <w:hideMark/>
          </w:tcPr>
          <w:p w14:paraId="78D910A3"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1 452,22</w:t>
            </w:r>
          </w:p>
        </w:tc>
        <w:tc>
          <w:tcPr>
            <w:tcW w:w="531" w:type="pct"/>
            <w:noWrap/>
            <w:vAlign w:val="center"/>
            <w:hideMark/>
          </w:tcPr>
          <w:p w14:paraId="3A602BBC"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161</w:t>
            </w:r>
          </w:p>
        </w:tc>
        <w:tc>
          <w:tcPr>
            <w:tcW w:w="392" w:type="pct"/>
            <w:noWrap/>
            <w:vAlign w:val="center"/>
            <w:hideMark/>
          </w:tcPr>
          <w:p w14:paraId="167AA224" w14:textId="77777777" w:rsidR="00B672B9" w:rsidRPr="00D44236" w:rsidRDefault="00B672B9" w:rsidP="00B2054C">
            <w:pPr>
              <w:spacing w:after="0" w:line="240" w:lineRule="auto"/>
              <w:ind w:right="57"/>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4</w:t>
            </w:r>
          </w:p>
        </w:tc>
        <w:tc>
          <w:tcPr>
            <w:tcW w:w="617" w:type="pct"/>
            <w:noWrap/>
            <w:vAlign w:val="center"/>
            <w:hideMark/>
          </w:tcPr>
          <w:p w14:paraId="79AB068E"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1,32</w:t>
            </w:r>
          </w:p>
        </w:tc>
        <w:tc>
          <w:tcPr>
            <w:tcW w:w="611" w:type="pct"/>
            <w:noWrap/>
            <w:vAlign w:val="center"/>
            <w:hideMark/>
          </w:tcPr>
          <w:p w14:paraId="312780BB"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0,52</w:t>
            </w:r>
          </w:p>
        </w:tc>
        <w:tc>
          <w:tcPr>
            <w:tcW w:w="489" w:type="pct"/>
            <w:noWrap/>
            <w:vAlign w:val="center"/>
            <w:hideMark/>
          </w:tcPr>
          <w:p w14:paraId="5382453F" w14:textId="77777777" w:rsidR="00B672B9" w:rsidRPr="00D44236" w:rsidRDefault="00B672B9" w:rsidP="00D44236">
            <w:pPr>
              <w:spacing w:after="0" w:line="240" w:lineRule="auto"/>
              <w:ind w:right="170"/>
              <w:jc w:val="right"/>
              <w:rPr>
                <w:rFonts w:ascii="Calibri" w:eastAsia="Times New Roman" w:hAnsi="Calibri" w:cs="Calibri"/>
                <w:color w:val="000000"/>
                <w:sz w:val="18"/>
                <w:szCs w:val="18"/>
              </w:rPr>
            </w:pPr>
            <w:r w:rsidRPr="00D44236">
              <w:rPr>
                <w:rFonts w:ascii="Calibri" w:eastAsia="Times New Roman" w:hAnsi="Calibri" w:cs="Calibri"/>
                <w:color w:val="000000"/>
                <w:sz w:val="18"/>
                <w:szCs w:val="18"/>
              </w:rPr>
              <w:t>0,22</w:t>
            </w:r>
          </w:p>
        </w:tc>
      </w:tr>
      <w:tr w:rsidR="00B672B9" w:rsidRPr="00D44236" w14:paraId="6726251C" w14:textId="77777777" w:rsidTr="001C6490">
        <w:trPr>
          <w:trHeight w:val="255"/>
        </w:trPr>
        <w:tc>
          <w:tcPr>
            <w:tcW w:w="1841" w:type="pct"/>
            <w:shd w:val="clear" w:color="auto" w:fill="EDD4D9"/>
            <w:noWrap/>
            <w:vAlign w:val="center"/>
            <w:hideMark/>
          </w:tcPr>
          <w:p w14:paraId="7D428009" w14:textId="77777777" w:rsidR="00B672B9" w:rsidRPr="00D44236" w:rsidRDefault="00B672B9" w:rsidP="003D71C9">
            <w:pPr>
              <w:spacing w:after="0" w:line="240" w:lineRule="auto"/>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Celkem</w:t>
            </w:r>
          </w:p>
        </w:tc>
        <w:tc>
          <w:tcPr>
            <w:tcW w:w="520" w:type="pct"/>
            <w:shd w:val="clear" w:color="auto" w:fill="EDD4D9"/>
            <w:noWrap/>
            <w:vAlign w:val="center"/>
            <w:hideMark/>
          </w:tcPr>
          <w:p w14:paraId="7B36E2AF" w14:textId="77777777" w:rsidR="00B672B9" w:rsidRPr="00D44236" w:rsidRDefault="00B672B9" w:rsidP="00B2054C">
            <w:pPr>
              <w:spacing w:after="0" w:line="240" w:lineRule="auto"/>
              <w:ind w:right="57"/>
              <w:jc w:val="right"/>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110 020,05</w:t>
            </w:r>
          </w:p>
        </w:tc>
        <w:tc>
          <w:tcPr>
            <w:tcW w:w="531" w:type="pct"/>
            <w:shd w:val="clear" w:color="auto" w:fill="EDD4D9"/>
            <w:noWrap/>
            <w:vAlign w:val="center"/>
            <w:hideMark/>
          </w:tcPr>
          <w:p w14:paraId="03A358E0" w14:textId="62334F17" w:rsidR="00B672B9" w:rsidRPr="00D44236" w:rsidRDefault="00B672B9" w:rsidP="00B2054C">
            <w:pPr>
              <w:spacing w:after="0" w:line="240" w:lineRule="auto"/>
              <w:ind w:right="57"/>
              <w:jc w:val="right"/>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31 069</w:t>
            </w:r>
          </w:p>
        </w:tc>
        <w:tc>
          <w:tcPr>
            <w:tcW w:w="392" w:type="pct"/>
            <w:shd w:val="clear" w:color="auto" w:fill="EDD4D9"/>
            <w:noWrap/>
            <w:vAlign w:val="center"/>
            <w:hideMark/>
          </w:tcPr>
          <w:p w14:paraId="2C95423F" w14:textId="77777777" w:rsidR="00B672B9" w:rsidRPr="00D44236" w:rsidRDefault="00B672B9" w:rsidP="00B2054C">
            <w:pPr>
              <w:spacing w:after="0" w:line="240" w:lineRule="auto"/>
              <w:ind w:right="57"/>
              <w:jc w:val="right"/>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1 830</w:t>
            </w:r>
          </w:p>
        </w:tc>
        <w:tc>
          <w:tcPr>
            <w:tcW w:w="617" w:type="pct"/>
            <w:shd w:val="clear" w:color="auto" w:fill="EDD4D9"/>
            <w:noWrap/>
            <w:vAlign w:val="center"/>
            <w:hideMark/>
          </w:tcPr>
          <w:p w14:paraId="751B3F8E" w14:textId="77777777" w:rsidR="00B672B9" w:rsidRPr="00D44236" w:rsidRDefault="00B672B9" w:rsidP="00D44236">
            <w:pPr>
              <w:spacing w:after="0" w:line="240" w:lineRule="auto"/>
              <w:ind w:right="170"/>
              <w:jc w:val="right"/>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100,00</w:t>
            </w:r>
          </w:p>
        </w:tc>
        <w:tc>
          <w:tcPr>
            <w:tcW w:w="611" w:type="pct"/>
            <w:shd w:val="clear" w:color="auto" w:fill="EDD4D9"/>
            <w:noWrap/>
            <w:vAlign w:val="center"/>
            <w:hideMark/>
          </w:tcPr>
          <w:p w14:paraId="31620E2B" w14:textId="77777777" w:rsidR="00B672B9" w:rsidRPr="00D44236" w:rsidRDefault="00B672B9" w:rsidP="00D44236">
            <w:pPr>
              <w:spacing w:after="0" w:line="240" w:lineRule="auto"/>
              <w:ind w:right="170"/>
              <w:jc w:val="right"/>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100,00</w:t>
            </w:r>
          </w:p>
        </w:tc>
        <w:tc>
          <w:tcPr>
            <w:tcW w:w="489" w:type="pct"/>
            <w:shd w:val="clear" w:color="auto" w:fill="EDD4D9"/>
            <w:noWrap/>
            <w:vAlign w:val="center"/>
            <w:hideMark/>
          </w:tcPr>
          <w:p w14:paraId="19C64A89" w14:textId="77777777" w:rsidR="00B672B9" w:rsidRPr="00D44236" w:rsidRDefault="00B672B9" w:rsidP="00D44236">
            <w:pPr>
              <w:spacing w:after="0" w:line="240" w:lineRule="auto"/>
              <w:ind w:right="170"/>
              <w:jc w:val="right"/>
              <w:rPr>
                <w:rFonts w:ascii="Calibri" w:eastAsia="Times New Roman" w:hAnsi="Calibri" w:cs="Calibri"/>
                <w:b/>
                <w:bCs/>
                <w:color w:val="000000"/>
                <w:sz w:val="18"/>
                <w:szCs w:val="18"/>
              </w:rPr>
            </w:pPr>
            <w:r w:rsidRPr="00D44236">
              <w:rPr>
                <w:rFonts w:ascii="Calibri" w:eastAsia="Times New Roman" w:hAnsi="Calibri" w:cs="Calibri"/>
                <w:b/>
                <w:bCs/>
                <w:color w:val="000000"/>
                <w:sz w:val="18"/>
                <w:szCs w:val="18"/>
              </w:rPr>
              <w:t>100,00</w:t>
            </w:r>
          </w:p>
        </w:tc>
      </w:tr>
    </w:tbl>
    <w:p w14:paraId="3D6A9DFB" w14:textId="4F43DCEC" w:rsidR="00B672B9" w:rsidRPr="0088190A" w:rsidRDefault="00B672B9" w:rsidP="006D0583">
      <w:pPr>
        <w:spacing w:before="40" w:after="120" w:line="240" w:lineRule="auto"/>
        <w:ind w:left="567" w:hanging="567"/>
        <w:jc w:val="both"/>
        <w:rPr>
          <w:rFonts w:cstheme="minorHAnsi"/>
          <w:sz w:val="20"/>
          <w:szCs w:val="20"/>
        </w:rPr>
      </w:pPr>
      <w:r w:rsidRPr="0088190A">
        <w:rPr>
          <w:rFonts w:cstheme="minorHAnsi"/>
          <w:b/>
          <w:sz w:val="20"/>
          <w:szCs w:val="20"/>
        </w:rPr>
        <w:t>Zdroj:</w:t>
      </w:r>
      <w:r w:rsidRPr="0088190A">
        <w:rPr>
          <w:rFonts w:cstheme="minorHAnsi"/>
          <w:sz w:val="20"/>
          <w:szCs w:val="20"/>
        </w:rPr>
        <w:t xml:space="preserve"> Státní závěrečné účty za roky 2019 až 2023, </w:t>
      </w:r>
      <w:r>
        <w:rPr>
          <w:rFonts w:cstheme="minorHAnsi"/>
          <w:sz w:val="20"/>
          <w:szCs w:val="20"/>
        </w:rPr>
        <w:t xml:space="preserve">IS </w:t>
      </w:r>
      <w:proofErr w:type="spellStart"/>
      <w:r>
        <w:rPr>
          <w:rFonts w:cstheme="minorHAnsi"/>
          <w:sz w:val="20"/>
          <w:szCs w:val="20"/>
        </w:rPr>
        <w:t>VaVaI</w:t>
      </w:r>
      <w:proofErr w:type="spellEnd"/>
      <w:r w:rsidRPr="0088190A">
        <w:rPr>
          <w:rFonts w:cstheme="minorHAnsi"/>
          <w:sz w:val="20"/>
          <w:szCs w:val="20"/>
        </w:rPr>
        <w:t>, obecná analýza výsledků (RIV) ke dni 17. 1. 2025</w:t>
      </w:r>
      <w:r w:rsidR="006D0583">
        <w:rPr>
          <w:rFonts w:cstheme="minorHAnsi"/>
          <w:sz w:val="20"/>
          <w:szCs w:val="20"/>
        </w:rPr>
        <w:t>;</w:t>
      </w:r>
      <w:r w:rsidRPr="0088190A">
        <w:rPr>
          <w:rFonts w:cstheme="minorHAnsi"/>
          <w:sz w:val="20"/>
          <w:szCs w:val="20"/>
        </w:rPr>
        <w:t xml:space="preserve"> </w:t>
      </w:r>
      <w:r w:rsidR="006D0583">
        <w:rPr>
          <w:rFonts w:cstheme="minorHAnsi"/>
          <w:sz w:val="20"/>
          <w:szCs w:val="20"/>
        </w:rPr>
        <w:t>vypracoval</w:t>
      </w:r>
      <w:r>
        <w:rPr>
          <w:rFonts w:cstheme="minorHAnsi"/>
          <w:sz w:val="20"/>
          <w:szCs w:val="20"/>
        </w:rPr>
        <w:t xml:space="preserve"> NKÚ</w:t>
      </w:r>
      <w:r w:rsidRPr="0088190A">
        <w:rPr>
          <w:rFonts w:cstheme="minorHAnsi"/>
          <w:sz w:val="20"/>
          <w:szCs w:val="20"/>
        </w:rPr>
        <w:t>.</w:t>
      </w:r>
    </w:p>
    <w:p w14:paraId="3E3B74DC" w14:textId="1BC015F5" w:rsidR="00B672B9" w:rsidRPr="00984D2E" w:rsidRDefault="006A0A54" w:rsidP="00B672B9">
      <w:pPr>
        <w:spacing w:after="0" w:line="240" w:lineRule="auto"/>
        <w:jc w:val="both"/>
        <w:rPr>
          <w:rFonts w:cstheme="minorHAnsi"/>
          <w:sz w:val="24"/>
          <w:szCs w:val="24"/>
        </w:rPr>
      </w:pPr>
      <w:r>
        <w:rPr>
          <w:rFonts w:cstheme="minorHAnsi"/>
          <w:sz w:val="24"/>
          <w:szCs w:val="24"/>
        </w:rPr>
        <w:t xml:space="preserve">4.20 </w:t>
      </w:r>
      <w:r w:rsidR="00B672B9" w:rsidRPr="0088190A">
        <w:rPr>
          <w:rFonts w:cstheme="minorHAnsi"/>
          <w:sz w:val="24"/>
          <w:szCs w:val="24"/>
        </w:rPr>
        <w:t xml:space="preserve">Podíl TA ČR v rámci všech poskytovatelů účelové podpory </w:t>
      </w:r>
      <w:proofErr w:type="spellStart"/>
      <w:r w:rsidR="00B672B9" w:rsidRPr="0088190A">
        <w:rPr>
          <w:rFonts w:cstheme="minorHAnsi"/>
          <w:sz w:val="24"/>
          <w:szCs w:val="24"/>
        </w:rPr>
        <w:t>VaVaI</w:t>
      </w:r>
      <w:proofErr w:type="spellEnd"/>
      <w:r w:rsidR="00B672B9" w:rsidRPr="0088190A">
        <w:rPr>
          <w:rFonts w:cstheme="minorHAnsi"/>
          <w:sz w:val="24"/>
          <w:szCs w:val="24"/>
        </w:rPr>
        <w:t xml:space="preserve"> na aplikovaných výsledcích i na počtu patentů převyšuje podíl TA ČR na poskytnuté podpoře.</w:t>
      </w:r>
    </w:p>
    <w:p w14:paraId="28CF1E6C" w14:textId="68479190" w:rsidR="00366EF1" w:rsidRPr="00366EF1" w:rsidRDefault="006A0A54" w:rsidP="00B672B9">
      <w:pPr>
        <w:spacing w:before="120" w:after="120" w:line="240" w:lineRule="auto"/>
        <w:jc w:val="both"/>
        <w:rPr>
          <w:rFonts w:cstheme="minorHAnsi"/>
          <w:sz w:val="24"/>
          <w:szCs w:val="24"/>
        </w:rPr>
      </w:pPr>
      <w:r>
        <w:rPr>
          <w:rFonts w:cstheme="minorHAnsi"/>
          <w:b/>
          <w:bCs/>
          <w:color w:val="000000"/>
          <w:sz w:val="24"/>
          <w:szCs w:val="24"/>
        </w:rPr>
        <w:lastRenderedPageBreak/>
        <w:t xml:space="preserve">4.21 </w:t>
      </w:r>
      <w:r w:rsidR="00B672B9" w:rsidRPr="0088190A">
        <w:rPr>
          <w:rFonts w:cstheme="minorHAnsi"/>
          <w:b/>
          <w:bCs/>
          <w:color w:val="000000"/>
          <w:sz w:val="24"/>
          <w:szCs w:val="24"/>
        </w:rPr>
        <w:t>TA ČR v</w:t>
      </w:r>
      <w:r w:rsidR="00B672B9">
        <w:rPr>
          <w:rFonts w:cstheme="minorHAnsi"/>
          <w:b/>
          <w:bCs/>
          <w:color w:val="000000"/>
          <w:sz w:val="24"/>
          <w:szCs w:val="24"/>
        </w:rPr>
        <w:t> </w:t>
      </w:r>
      <w:r w:rsidR="00B672B9" w:rsidRPr="0088190A">
        <w:rPr>
          <w:rFonts w:cstheme="minorHAnsi"/>
          <w:b/>
          <w:bCs/>
          <w:color w:val="000000"/>
          <w:sz w:val="24"/>
          <w:szCs w:val="24"/>
        </w:rPr>
        <w:t>zadávacích dokumentacích programů, příp. veřejných soutěží nastavila podmínky podporující tvorbu praktických výsledků</w:t>
      </w:r>
      <w:r w:rsidR="006D0583">
        <w:rPr>
          <w:rFonts w:cstheme="minorHAnsi"/>
          <w:b/>
          <w:bCs/>
          <w:color w:val="000000"/>
          <w:sz w:val="24"/>
          <w:szCs w:val="24"/>
        </w:rPr>
        <w:t>,</w:t>
      </w:r>
      <w:r w:rsidR="00B672B9" w:rsidRPr="0088190A">
        <w:rPr>
          <w:rFonts w:cstheme="minorHAnsi"/>
          <w:b/>
          <w:bCs/>
          <w:color w:val="000000"/>
          <w:sz w:val="24"/>
          <w:szCs w:val="24"/>
        </w:rPr>
        <w:t xml:space="preserve"> a zacílila tak podporu aplikovaného výzkumu zejména na tvorbu výsledků uplatnitelných v</w:t>
      </w:r>
      <w:r w:rsidR="00B672B9">
        <w:rPr>
          <w:rFonts w:cstheme="minorHAnsi"/>
          <w:b/>
          <w:bCs/>
          <w:color w:val="000000"/>
          <w:sz w:val="24"/>
          <w:szCs w:val="24"/>
        </w:rPr>
        <w:t> </w:t>
      </w:r>
      <w:r w:rsidR="00B672B9" w:rsidRPr="0088190A">
        <w:rPr>
          <w:rFonts w:cstheme="minorHAnsi"/>
          <w:b/>
          <w:bCs/>
          <w:color w:val="000000"/>
          <w:sz w:val="24"/>
          <w:szCs w:val="24"/>
        </w:rPr>
        <w:t>praxi. Počet aplikovaných výsledků v</w:t>
      </w:r>
      <w:r w:rsidR="00B672B9">
        <w:rPr>
          <w:rFonts w:cstheme="minorHAnsi"/>
          <w:b/>
          <w:bCs/>
          <w:color w:val="000000"/>
          <w:sz w:val="24"/>
          <w:szCs w:val="24"/>
        </w:rPr>
        <w:t> </w:t>
      </w:r>
      <w:r w:rsidR="00B672B9" w:rsidRPr="0088190A">
        <w:rPr>
          <w:rFonts w:cstheme="minorHAnsi"/>
          <w:b/>
          <w:bCs/>
          <w:color w:val="000000"/>
          <w:sz w:val="24"/>
          <w:szCs w:val="24"/>
        </w:rPr>
        <w:t>posledních letech rostl, ovšem s</w:t>
      </w:r>
      <w:r w:rsidR="00B672B9">
        <w:rPr>
          <w:rFonts w:cstheme="minorHAnsi"/>
          <w:b/>
          <w:bCs/>
          <w:color w:val="000000"/>
          <w:sz w:val="24"/>
          <w:szCs w:val="24"/>
        </w:rPr>
        <w:t> </w:t>
      </w:r>
      <w:r w:rsidR="00B672B9" w:rsidRPr="0088190A">
        <w:rPr>
          <w:rFonts w:cstheme="minorHAnsi"/>
          <w:b/>
          <w:bCs/>
          <w:color w:val="000000"/>
          <w:sz w:val="24"/>
          <w:szCs w:val="24"/>
        </w:rPr>
        <w:t>výjimkou patentů, kde naopak došlo k</w:t>
      </w:r>
      <w:r w:rsidR="00B672B9">
        <w:rPr>
          <w:rFonts w:cstheme="minorHAnsi"/>
          <w:b/>
          <w:bCs/>
          <w:color w:val="000000"/>
          <w:sz w:val="24"/>
          <w:szCs w:val="24"/>
        </w:rPr>
        <w:t> </w:t>
      </w:r>
      <w:r w:rsidR="00B672B9" w:rsidRPr="0088190A">
        <w:rPr>
          <w:rFonts w:cstheme="minorHAnsi"/>
          <w:b/>
          <w:bCs/>
          <w:color w:val="000000"/>
          <w:sz w:val="24"/>
          <w:szCs w:val="24"/>
        </w:rPr>
        <w:t>poklesu.</w:t>
      </w:r>
      <w:r w:rsidR="00781D2A">
        <w:rPr>
          <w:rFonts w:cstheme="minorHAnsi"/>
          <w:b/>
          <w:bCs/>
          <w:color w:val="000000"/>
          <w:sz w:val="24"/>
          <w:szCs w:val="24"/>
        </w:rPr>
        <w:t xml:space="preserve"> </w:t>
      </w:r>
      <w:r w:rsidR="00781D2A" w:rsidRPr="00CC4DF0">
        <w:rPr>
          <w:rFonts w:cstheme="minorHAnsi"/>
          <w:sz w:val="24"/>
          <w:szCs w:val="24"/>
        </w:rPr>
        <w:t>Přitom právě patenty jsou klíčovým nástrojem k ochraně výsledků výzkumu a umožňují jejich zhodnocení. Č</w:t>
      </w:r>
      <w:r w:rsidR="00781D2A">
        <w:rPr>
          <w:rFonts w:cstheme="minorHAnsi"/>
          <w:sz w:val="24"/>
          <w:szCs w:val="24"/>
        </w:rPr>
        <w:t xml:space="preserve">eská </w:t>
      </w:r>
      <w:r w:rsidR="00781D2A" w:rsidRPr="004F5011">
        <w:rPr>
          <w:rFonts w:cstheme="minorHAnsi"/>
          <w:sz w:val="24"/>
          <w:szCs w:val="24"/>
        </w:rPr>
        <w:t>republika dlouhodobě dosahuje v počtu patentových přihlášek poloviny průměru Evropské unie.</w:t>
      </w:r>
      <w:r w:rsidR="00852D2D" w:rsidRPr="004F5011">
        <w:rPr>
          <w:rFonts w:cstheme="minorHAnsi"/>
          <w:sz w:val="24"/>
          <w:szCs w:val="24"/>
        </w:rPr>
        <w:t xml:space="preserve"> TA ČR tak nedosáhla v oblasti patentů nejvýše možného rozsahu a</w:t>
      </w:r>
      <w:r w:rsidR="00503FA1">
        <w:rPr>
          <w:rFonts w:cstheme="minorHAnsi"/>
          <w:sz w:val="24"/>
          <w:szCs w:val="24"/>
        </w:rPr>
        <w:t> </w:t>
      </w:r>
      <w:r w:rsidR="00852D2D" w:rsidRPr="004F5011">
        <w:rPr>
          <w:rFonts w:cstheme="minorHAnsi"/>
          <w:sz w:val="24"/>
          <w:szCs w:val="24"/>
        </w:rPr>
        <w:t>přínosu</w:t>
      </w:r>
      <w:r w:rsidR="00D47C01" w:rsidRPr="004F5011">
        <w:rPr>
          <w:rFonts w:cstheme="minorHAnsi"/>
          <w:sz w:val="24"/>
          <w:szCs w:val="24"/>
        </w:rPr>
        <w:t xml:space="preserve">, čímž je celková efektivnost podpory snižována. </w:t>
      </w:r>
    </w:p>
    <w:p w14:paraId="5715BA17" w14:textId="02419E2B" w:rsidR="00325D57" w:rsidRPr="00EB7BEB" w:rsidRDefault="00325D57" w:rsidP="00B2054C">
      <w:pPr>
        <w:pStyle w:val="Odstavecseseznamem"/>
        <w:keepNext/>
        <w:numPr>
          <w:ilvl w:val="0"/>
          <w:numId w:val="2"/>
        </w:numPr>
        <w:spacing w:before="240" w:after="240" w:line="240" w:lineRule="auto"/>
        <w:ind w:left="284" w:hanging="284"/>
        <w:contextualSpacing w:val="0"/>
        <w:jc w:val="both"/>
        <w:rPr>
          <w:rFonts w:cstheme="minorHAnsi"/>
          <w:b/>
          <w:sz w:val="24"/>
          <w:szCs w:val="24"/>
        </w:rPr>
      </w:pPr>
      <w:r w:rsidRPr="00325D57">
        <w:rPr>
          <w:rFonts w:cstheme="minorHAnsi"/>
          <w:b/>
          <w:sz w:val="24"/>
          <w:szCs w:val="24"/>
        </w:rPr>
        <w:t xml:space="preserve">Reforma systému </w:t>
      </w:r>
      <w:proofErr w:type="spellStart"/>
      <w:r w:rsidRPr="00325D57">
        <w:rPr>
          <w:rFonts w:cstheme="minorHAnsi"/>
          <w:b/>
          <w:sz w:val="24"/>
          <w:szCs w:val="24"/>
        </w:rPr>
        <w:t>VaVaI</w:t>
      </w:r>
      <w:proofErr w:type="spellEnd"/>
      <w:r w:rsidR="00366EF1">
        <w:rPr>
          <w:rFonts w:cstheme="minorHAnsi"/>
          <w:b/>
          <w:sz w:val="24"/>
          <w:szCs w:val="24"/>
        </w:rPr>
        <w:t xml:space="preserve"> </w:t>
      </w:r>
      <w:r w:rsidRPr="00325D57">
        <w:rPr>
          <w:rFonts w:cstheme="minorHAnsi"/>
          <w:b/>
          <w:sz w:val="24"/>
          <w:szCs w:val="24"/>
        </w:rPr>
        <w:t xml:space="preserve">přinesla </w:t>
      </w:r>
      <w:r w:rsidR="00366EF1">
        <w:rPr>
          <w:rFonts w:cstheme="minorHAnsi"/>
          <w:b/>
          <w:sz w:val="24"/>
          <w:szCs w:val="24"/>
        </w:rPr>
        <w:t xml:space="preserve">pouze částečné </w:t>
      </w:r>
      <w:r w:rsidRPr="00325D57">
        <w:rPr>
          <w:rFonts w:cstheme="minorHAnsi"/>
          <w:b/>
          <w:sz w:val="24"/>
          <w:szCs w:val="24"/>
        </w:rPr>
        <w:t>zjednodušení</w:t>
      </w:r>
    </w:p>
    <w:p w14:paraId="00F04D8E" w14:textId="6CA67588" w:rsidR="00AB6A84" w:rsidRPr="0088190A" w:rsidRDefault="006A0A54" w:rsidP="00D46A57">
      <w:pPr>
        <w:pStyle w:val="Normlnweb"/>
        <w:spacing w:before="0" w:beforeAutospacing="0" w:after="120" w:afterAutospacing="0"/>
        <w:jc w:val="both"/>
        <w:rPr>
          <w:rFonts w:asciiTheme="minorHAnsi" w:hAnsiTheme="minorHAnsi" w:cstheme="minorHAnsi"/>
        </w:rPr>
      </w:pPr>
      <w:r>
        <w:rPr>
          <w:rFonts w:asciiTheme="minorHAnsi" w:hAnsiTheme="minorHAnsi" w:cstheme="minorHAnsi"/>
        </w:rPr>
        <w:t xml:space="preserve">4.22 </w:t>
      </w:r>
      <w:r w:rsidR="00D46A57" w:rsidRPr="0088190A">
        <w:rPr>
          <w:rFonts w:asciiTheme="minorHAnsi" w:hAnsiTheme="minorHAnsi" w:cstheme="minorHAnsi"/>
        </w:rPr>
        <w:t xml:space="preserve">TA ČR byla založena v roce 2009 jako klíčový prvek reformy systému </w:t>
      </w:r>
      <w:proofErr w:type="spellStart"/>
      <w:r w:rsidR="00D46A57" w:rsidRPr="0088190A">
        <w:rPr>
          <w:rFonts w:asciiTheme="minorHAnsi" w:hAnsiTheme="minorHAnsi" w:cstheme="minorHAnsi"/>
        </w:rPr>
        <w:t>VaVaI</w:t>
      </w:r>
      <w:proofErr w:type="spellEnd"/>
      <w:r w:rsidR="00D46A57" w:rsidRPr="0088190A">
        <w:rPr>
          <w:rFonts w:asciiTheme="minorHAnsi" w:hAnsiTheme="minorHAnsi" w:cstheme="minorHAnsi"/>
        </w:rPr>
        <w:t>. Ustanovení TA</w:t>
      </w:r>
      <w:r w:rsidR="00130823">
        <w:rPr>
          <w:rFonts w:asciiTheme="minorHAnsi" w:hAnsiTheme="minorHAnsi" w:cstheme="minorHAnsi"/>
        </w:rPr>
        <w:t> </w:t>
      </w:r>
      <w:r w:rsidR="00D46A57" w:rsidRPr="0088190A">
        <w:rPr>
          <w:rFonts w:asciiTheme="minorHAnsi" w:hAnsiTheme="minorHAnsi" w:cstheme="minorHAnsi"/>
        </w:rPr>
        <w:t xml:space="preserve">ČR bylo jedním z implementačních kroků reformy, která měla za cíl zjednodušit státní podporu </w:t>
      </w:r>
      <w:proofErr w:type="spellStart"/>
      <w:r w:rsidR="00D46A57" w:rsidRPr="0088190A">
        <w:rPr>
          <w:rFonts w:asciiTheme="minorHAnsi" w:hAnsiTheme="minorHAnsi" w:cstheme="minorHAnsi"/>
        </w:rPr>
        <w:t>VaVaI</w:t>
      </w:r>
      <w:proofErr w:type="spellEnd"/>
      <w:r w:rsidR="00D46A57" w:rsidRPr="0088190A">
        <w:rPr>
          <w:rFonts w:asciiTheme="minorHAnsi" w:hAnsiTheme="minorHAnsi" w:cstheme="minorHAnsi"/>
        </w:rPr>
        <w:t>, která byla dříve roztříštěna mezi 22 poskytovatelů</w:t>
      </w:r>
      <w:r w:rsidR="00AB41E1">
        <w:rPr>
          <w:rFonts w:asciiTheme="minorHAnsi" w:hAnsiTheme="minorHAnsi" w:cstheme="minorHAnsi"/>
        </w:rPr>
        <w:t xml:space="preserve">. </w:t>
      </w:r>
      <w:r w:rsidR="00D46A57" w:rsidRPr="0088190A">
        <w:rPr>
          <w:rFonts w:asciiTheme="minorHAnsi" w:hAnsiTheme="minorHAnsi" w:cstheme="minorHAnsi"/>
        </w:rPr>
        <w:t>V rámci reformy došlo k</w:t>
      </w:r>
      <w:r w:rsidR="00E479A9">
        <w:rPr>
          <w:rFonts w:asciiTheme="minorHAnsi" w:hAnsiTheme="minorHAnsi" w:cstheme="minorHAnsi"/>
        </w:rPr>
        <w:t> </w:t>
      </w:r>
      <w:r w:rsidR="00D46A57" w:rsidRPr="0088190A">
        <w:rPr>
          <w:rFonts w:asciiTheme="minorHAnsi" w:hAnsiTheme="minorHAnsi" w:cstheme="minorHAnsi"/>
        </w:rPr>
        <w:t>poklesu počtu rozpočtových kapitol, z</w:t>
      </w:r>
      <w:r w:rsidR="000767B4" w:rsidRPr="0088190A">
        <w:rPr>
          <w:rFonts w:asciiTheme="minorHAnsi" w:hAnsiTheme="minorHAnsi" w:cstheme="minorHAnsi"/>
        </w:rPr>
        <w:t> </w:t>
      </w:r>
      <w:r w:rsidR="00D46A57" w:rsidRPr="0088190A">
        <w:rPr>
          <w:rFonts w:asciiTheme="minorHAnsi" w:hAnsiTheme="minorHAnsi" w:cstheme="minorHAnsi"/>
        </w:rPr>
        <w:t xml:space="preserve">nichž je </w:t>
      </w:r>
      <w:proofErr w:type="spellStart"/>
      <w:r w:rsidR="00D46A57" w:rsidRPr="0088190A">
        <w:rPr>
          <w:rFonts w:asciiTheme="minorHAnsi" w:hAnsiTheme="minorHAnsi" w:cstheme="minorHAnsi"/>
        </w:rPr>
        <w:t>VaVaI</w:t>
      </w:r>
      <w:proofErr w:type="spellEnd"/>
      <w:r w:rsidR="00D46A57" w:rsidRPr="0088190A">
        <w:rPr>
          <w:rFonts w:asciiTheme="minorHAnsi" w:hAnsiTheme="minorHAnsi" w:cstheme="minorHAnsi"/>
        </w:rPr>
        <w:t xml:space="preserve"> podporován, na současných devět</w:t>
      </w:r>
      <w:r w:rsidR="00570EA1">
        <w:rPr>
          <w:rFonts w:asciiTheme="minorHAnsi" w:hAnsiTheme="minorHAnsi" w:cstheme="minorHAnsi"/>
        </w:rPr>
        <w:t xml:space="preserve">, z čehož je </w:t>
      </w:r>
      <w:r w:rsidR="007F49F8">
        <w:rPr>
          <w:rFonts w:asciiTheme="minorHAnsi" w:hAnsiTheme="minorHAnsi" w:cstheme="minorHAnsi"/>
        </w:rPr>
        <w:t>osm poskytovate</w:t>
      </w:r>
      <w:r w:rsidR="00A17166">
        <w:rPr>
          <w:rFonts w:asciiTheme="minorHAnsi" w:hAnsiTheme="minorHAnsi" w:cstheme="minorHAnsi"/>
        </w:rPr>
        <w:t>lů</w:t>
      </w:r>
      <w:r w:rsidR="00570EA1">
        <w:rPr>
          <w:rFonts w:asciiTheme="minorHAnsi" w:hAnsiTheme="minorHAnsi" w:cstheme="minorHAnsi"/>
        </w:rPr>
        <w:t xml:space="preserve"> aplikovaného výzkumu a jeden </w:t>
      </w:r>
      <w:r w:rsidR="007F49F8">
        <w:rPr>
          <w:rFonts w:asciiTheme="minorHAnsi" w:hAnsiTheme="minorHAnsi" w:cstheme="minorHAnsi"/>
        </w:rPr>
        <w:t xml:space="preserve">poskytovatel </w:t>
      </w:r>
      <w:r w:rsidR="00570EA1">
        <w:rPr>
          <w:rFonts w:asciiTheme="minorHAnsi" w:hAnsiTheme="minorHAnsi" w:cstheme="minorHAnsi"/>
        </w:rPr>
        <w:t>základního výzkumu</w:t>
      </w:r>
      <w:r w:rsidR="00D46A57" w:rsidRPr="0088190A">
        <w:rPr>
          <w:rFonts w:asciiTheme="minorHAnsi" w:hAnsiTheme="minorHAnsi" w:cstheme="minorHAnsi"/>
        </w:rPr>
        <w:t>.</w:t>
      </w:r>
    </w:p>
    <w:p w14:paraId="03A83727" w14:textId="1CBF1881" w:rsidR="00D46A57" w:rsidRPr="0088190A" w:rsidRDefault="006A0A54" w:rsidP="00B2054C">
      <w:pPr>
        <w:pStyle w:val="Normlnweb"/>
        <w:spacing w:before="0" w:beforeAutospacing="0" w:after="0" w:afterAutospacing="0"/>
        <w:jc w:val="both"/>
        <w:rPr>
          <w:rFonts w:asciiTheme="minorHAnsi" w:hAnsiTheme="minorHAnsi" w:cstheme="minorHAnsi"/>
        </w:rPr>
      </w:pPr>
      <w:r>
        <w:rPr>
          <w:rFonts w:asciiTheme="minorHAnsi" w:hAnsiTheme="minorHAnsi" w:cstheme="minorHAnsi"/>
        </w:rPr>
        <w:t xml:space="preserve">4.23 </w:t>
      </w:r>
      <w:r w:rsidR="00D46A57" w:rsidRPr="0088190A">
        <w:rPr>
          <w:rFonts w:asciiTheme="minorHAnsi" w:hAnsiTheme="minorHAnsi" w:cstheme="minorHAnsi"/>
        </w:rPr>
        <w:t>Základní tři principy reformy</w:t>
      </w:r>
      <w:r w:rsidR="00E01C66" w:rsidRPr="00E01C66">
        <w:rPr>
          <w:rFonts w:asciiTheme="minorHAnsi" w:hAnsiTheme="minorHAnsi" w:cstheme="minorHAnsi"/>
          <w:vertAlign w:val="superscript"/>
        </w:rPr>
        <w:t>5</w:t>
      </w:r>
      <w:r w:rsidR="00D46A57" w:rsidRPr="0088190A">
        <w:rPr>
          <w:rFonts w:asciiTheme="minorHAnsi" w:hAnsiTheme="minorHAnsi" w:cstheme="minorHAnsi"/>
        </w:rPr>
        <w:t>:</w:t>
      </w:r>
    </w:p>
    <w:p w14:paraId="67587C3A" w14:textId="2605C900" w:rsidR="00D46A57" w:rsidRPr="002F6575" w:rsidRDefault="002F6575" w:rsidP="00B2054C">
      <w:pPr>
        <w:pStyle w:val="Normlnweb"/>
        <w:numPr>
          <w:ilvl w:val="0"/>
          <w:numId w:val="6"/>
        </w:numPr>
        <w:spacing w:before="0" w:beforeAutospacing="0" w:after="0" w:afterAutospacing="0"/>
        <w:ind w:left="568" w:hanging="284"/>
        <w:jc w:val="both"/>
        <w:rPr>
          <w:rFonts w:asciiTheme="minorHAnsi" w:hAnsiTheme="minorHAnsi" w:cstheme="minorHAnsi"/>
          <w:color w:val="000000" w:themeColor="text1"/>
        </w:rPr>
      </w:pPr>
      <w:r>
        <w:rPr>
          <w:rFonts w:asciiTheme="minorHAnsi" w:hAnsiTheme="minorHAnsi" w:cstheme="minorHAnsi"/>
          <w:color w:val="000000" w:themeColor="text1"/>
        </w:rPr>
        <w:t>c</w:t>
      </w:r>
      <w:r w:rsidR="00D46A57" w:rsidRPr="002F6575">
        <w:rPr>
          <w:rFonts w:asciiTheme="minorHAnsi" w:hAnsiTheme="minorHAnsi" w:cstheme="minorHAnsi"/>
          <w:color w:val="000000" w:themeColor="text1"/>
        </w:rPr>
        <w:t xml:space="preserve">o největší zjednodušení struktury systému státní podpory </w:t>
      </w:r>
      <w:proofErr w:type="spellStart"/>
      <w:r w:rsidR="00D46A57" w:rsidRPr="002F6575">
        <w:rPr>
          <w:rFonts w:asciiTheme="minorHAnsi" w:hAnsiTheme="minorHAnsi" w:cstheme="minorHAnsi"/>
          <w:color w:val="000000" w:themeColor="text1"/>
        </w:rPr>
        <w:t>VaV</w:t>
      </w:r>
      <w:proofErr w:type="spellEnd"/>
      <w:r w:rsidR="00D46A57" w:rsidRPr="002F6575">
        <w:rPr>
          <w:rFonts w:asciiTheme="minorHAnsi" w:hAnsiTheme="minorHAnsi" w:cstheme="minorHAnsi"/>
          <w:color w:val="000000" w:themeColor="text1"/>
        </w:rPr>
        <w:t>, snížení počtu rozpočtových kapitol a snížení administrativní zátěže</w:t>
      </w:r>
      <w:r>
        <w:rPr>
          <w:rFonts w:asciiTheme="minorHAnsi" w:hAnsiTheme="minorHAnsi" w:cstheme="minorHAnsi"/>
          <w:color w:val="000000" w:themeColor="text1"/>
        </w:rPr>
        <w:t>;</w:t>
      </w:r>
      <w:r w:rsidR="00D46A57" w:rsidRPr="002F6575">
        <w:rPr>
          <w:rFonts w:asciiTheme="minorHAnsi" w:hAnsiTheme="minorHAnsi" w:cstheme="minorHAnsi"/>
          <w:color w:val="000000" w:themeColor="text1"/>
        </w:rPr>
        <w:t xml:space="preserve"> </w:t>
      </w:r>
    </w:p>
    <w:p w14:paraId="48A2AB97" w14:textId="38265DA8" w:rsidR="00D46A57" w:rsidRPr="002F6575" w:rsidRDefault="002F6575" w:rsidP="00B2054C">
      <w:pPr>
        <w:pStyle w:val="Normlnweb"/>
        <w:numPr>
          <w:ilvl w:val="0"/>
          <w:numId w:val="6"/>
        </w:numPr>
        <w:spacing w:before="0" w:beforeAutospacing="0" w:after="0" w:afterAutospacing="0"/>
        <w:ind w:left="568" w:hanging="284"/>
        <w:jc w:val="both"/>
        <w:rPr>
          <w:rFonts w:asciiTheme="minorHAnsi" w:hAnsiTheme="minorHAnsi" w:cstheme="minorHAnsi"/>
          <w:color w:val="000000" w:themeColor="text1"/>
        </w:rPr>
      </w:pPr>
      <w:r>
        <w:rPr>
          <w:rFonts w:asciiTheme="minorHAnsi" w:hAnsiTheme="minorHAnsi" w:cstheme="minorHAnsi"/>
          <w:color w:val="000000" w:themeColor="text1"/>
        </w:rPr>
        <w:t>p</w:t>
      </w:r>
      <w:r w:rsidR="00D46A57" w:rsidRPr="002F6575">
        <w:rPr>
          <w:rFonts w:asciiTheme="minorHAnsi" w:hAnsiTheme="minorHAnsi" w:cstheme="minorHAnsi"/>
          <w:color w:val="000000" w:themeColor="text1"/>
        </w:rPr>
        <w:t xml:space="preserve">odpora excelence a kvalitního </w:t>
      </w:r>
      <w:proofErr w:type="spellStart"/>
      <w:r w:rsidR="00D46A57" w:rsidRPr="002F6575">
        <w:rPr>
          <w:rFonts w:asciiTheme="minorHAnsi" w:hAnsiTheme="minorHAnsi" w:cstheme="minorHAnsi"/>
          <w:color w:val="000000" w:themeColor="text1"/>
        </w:rPr>
        <w:t>VaVaI</w:t>
      </w:r>
      <w:proofErr w:type="spellEnd"/>
      <w:r w:rsidR="00D46A57" w:rsidRPr="002F6575">
        <w:rPr>
          <w:rFonts w:asciiTheme="minorHAnsi" w:hAnsiTheme="minorHAnsi" w:cstheme="minorHAnsi"/>
          <w:color w:val="000000" w:themeColor="text1"/>
        </w:rPr>
        <w:t xml:space="preserve"> a přenesení rozhodování o tom, jaké cesty k dosažení nejlepších výsledků zvolit, z ministerstev na organizace u institucionální podpory a na profesionální agentury GA ČR a TA ČR u účelové podpory</w:t>
      </w:r>
      <w:r>
        <w:rPr>
          <w:rFonts w:asciiTheme="minorHAnsi" w:hAnsiTheme="minorHAnsi" w:cstheme="minorHAnsi"/>
          <w:color w:val="000000" w:themeColor="text1"/>
        </w:rPr>
        <w:t>;</w:t>
      </w:r>
      <w:r w:rsidR="00D46A57" w:rsidRPr="002F6575">
        <w:rPr>
          <w:rFonts w:asciiTheme="minorHAnsi" w:hAnsiTheme="minorHAnsi" w:cstheme="minorHAnsi"/>
          <w:color w:val="000000" w:themeColor="text1"/>
        </w:rPr>
        <w:t xml:space="preserve"> </w:t>
      </w:r>
    </w:p>
    <w:p w14:paraId="239D96A0" w14:textId="70538282" w:rsidR="00D46A57" w:rsidRPr="002F6575" w:rsidRDefault="002F6575" w:rsidP="00B2054C">
      <w:pPr>
        <w:pStyle w:val="Normlnweb"/>
        <w:numPr>
          <w:ilvl w:val="0"/>
          <w:numId w:val="6"/>
        </w:numPr>
        <w:spacing w:before="0" w:beforeAutospacing="0" w:after="120" w:afterAutospacing="0"/>
        <w:ind w:left="568" w:hanging="284"/>
        <w:jc w:val="both"/>
        <w:rPr>
          <w:rFonts w:asciiTheme="minorHAnsi" w:hAnsiTheme="minorHAnsi" w:cstheme="minorHAnsi"/>
          <w:color w:val="000000" w:themeColor="text1"/>
        </w:rPr>
      </w:pPr>
      <w:r>
        <w:rPr>
          <w:rFonts w:asciiTheme="minorHAnsi" w:hAnsiTheme="minorHAnsi" w:cstheme="minorHAnsi"/>
          <w:color w:val="000000" w:themeColor="text1"/>
        </w:rPr>
        <w:t>p</w:t>
      </w:r>
      <w:r w:rsidR="00D46A57" w:rsidRPr="002F6575">
        <w:rPr>
          <w:rFonts w:asciiTheme="minorHAnsi" w:hAnsiTheme="minorHAnsi" w:cstheme="minorHAnsi"/>
          <w:color w:val="000000" w:themeColor="text1"/>
        </w:rPr>
        <w:t>odpora vzájemné spolupráce výzkumných organizací a zejm</w:t>
      </w:r>
      <w:r w:rsidR="00AB41E1" w:rsidRPr="002F6575">
        <w:rPr>
          <w:rFonts w:asciiTheme="minorHAnsi" w:hAnsiTheme="minorHAnsi" w:cstheme="minorHAnsi"/>
          <w:color w:val="000000" w:themeColor="text1"/>
        </w:rPr>
        <w:t>éna</w:t>
      </w:r>
      <w:r w:rsidR="00D46A57" w:rsidRPr="002F6575">
        <w:rPr>
          <w:rFonts w:asciiTheme="minorHAnsi" w:hAnsiTheme="minorHAnsi" w:cstheme="minorHAnsi"/>
          <w:color w:val="000000" w:themeColor="text1"/>
        </w:rPr>
        <w:t xml:space="preserve"> jejich spolupráce s podniky ekonomickými nástroji – podmínkami pro poskytování podpory tak, aby krátkodobě i dlouhodobě vzrostly přínosy </w:t>
      </w:r>
      <w:proofErr w:type="spellStart"/>
      <w:r w:rsidR="00D46A57" w:rsidRPr="002F6575">
        <w:rPr>
          <w:rFonts w:asciiTheme="minorHAnsi" w:hAnsiTheme="minorHAnsi" w:cstheme="minorHAnsi"/>
          <w:color w:val="000000" w:themeColor="text1"/>
        </w:rPr>
        <w:t>VaVaI</w:t>
      </w:r>
      <w:proofErr w:type="spellEnd"/>
      <w:r w:rsidR="00D46A57" w:rsidRPr="002F6575">
        <w:rPr>
          <w:rFonts w:asciiTheme="minorHAnsi" w:hAnsiTheme="minorHAnsi" w:cstheme="minorHAnsi"/>
          <w:color w:val="000000" w:themeColor="text1"/>
        </w:rPr>
        <w:t xml:space="preserve"> pro ekonomiku a společnost. </w:t>
      </w:r>
    </w:p>
    <w:p w14:paraId="6FA838A3" w14:textId="588DFE57" w:rsidR="00D46A57" w:rsidRPr="0088190A" w:rsidRDefault="006A0A54" w:rsidP="00B2054C">
      <w:pPr>
        <w:pStyle w:val="Normlnweb"/>
        <w:spacing w:before="0" w:beforeAutospacing="0" w:after="0" w:afterAutospacing="0"/>
        <w:jc w:val="both"/>
        <w:rPr>
          <w:rFonts w:asciiTheme="minorHAnsi" w:hAnsiTheme="minorHAnsi" w:cstheme="minorHAnsi"/>
        </w:rPr>
      </w:pPr>
      <w:r>
        <w:rPr>
          <w:rFonts w:asciiTheme="minorHAnsi" w:hAnsiTheme="minorHAnsi" w:cstheme="minorHAnsi"/>
        </w:rPr>
        <w:t xml:space="preserve">4.24 </w:t>
      </w:r>
      <w:r w:rsidR="00D46A57" w:rsidRPr="0088190A">
        <w:rPr>
          <w:rFonts w:asciiTheme="minorHAnsi" w:hAnsiTheme="minorHAnsi" w:cstheme="minorHAnsi"/>
        </w:rPr>
        <w:t xml:space="preserve">TA ČR funguje jako poskytovatel </w:t>
      </w:r>
      <w:r w:rsidR="00832F0E">
        <w:rPr>
          <w:rFonts w:asciiTheme="minorHAnsi" w:hAnsiTheme="minorHAnsi" w:cstheme="minorHAnsi"/>
        </w:rPr>
        <w:t xml:space="preserve">podpory </w:t>
      </w:r>
      <w:r w:rsidR="00D46A57" w:rsidRPr="0088190A">
        <w:rPr>
          <w:rFonts w:asciiTheme="minorHAnsi" w:hAnsiTheme="minorHAnsi" w:cstheme="minorHAnsi"/>
        </w:rPr>
        <w:t>aplikovaného výzkumu a realizuje nejen vlastní programy podpory, ale také administruje programy podpory jiným poskytovatelům (ministerstvům), např.:</w:t>
      </w:r>
    </w:p>
    <w:p w14:paraId="2391AE1E" w14:textId="4FC8BA4B" w:rsidR="00D46A57" w:rsidRPr="0088190A" w:rsidRDefault="00D46A57" w:rsidP="00B2054C">
      <w:pPr>
        <w:pStyle w:val="Normlnweb"/>
        <w:numPr>
          <w:ilvl w:val="0"/>
          <w:numId w:val="5"/>
        </w:numPr>
        <w:spacing w:before="0" w:beforeAutospacing="0" w:after="0" w:afterAutospacing="0"/>
        <w:ind w:left="568" w:hanging="284"/>
        <w:jc w:val="both"/>
        <w:rPr>
          <w:rFonts w:asciiTheme="minorHAnsi" w:hAnsiTheme="minorHAnsi" w:cstheme="minorHAnsi"/>
        </w:rPr>
      </w:pPr>
      <w:r w:rsidRPr="0088190A">
        <w:rPr>
          <w:rFonts w:asciiTheme="minorHAnsi" w:hAnsiTheme="minorHAnsi" w:cstheme="minorHAnsi"/>
        </w:rPr>
        <w:t xml:space="preserve">Ministerstvu dopravy (program </w:t>
      </w:r>
      <w:r w:rsidRPr="00010976">
        <w:rPr>
          <w:rFonts w:asciiTheme="minorHAnsi" w:hAnsiTheme="minorHAnsi" w:cstheme="minorHAnsi"/>
          <w:i/>
          <w:iCs/>
        </w:rPr>
        <w:t>Doprava 2020+</w:t>
      </w:r>
      <w:r w:rsidRPr="0088190A">
        <w:rPr>
          <w:rFonts w:asciiTheme="minorHAnsi" w:hAnsiTheme="minorHAnsi" w:cstheme="minorHAnsi"/>
        </w:rPr>
        <w:t xml:space="preserve">, </w:t>
      </w:r>
      <w:r w:rsidR="002F6575" w:rsidRPr="00AF478C">
        <w:rPr>
          <w:rFonts w:asciiTheme="minorHAnsi" w:hAnsiTheme="minorHAnsi" w:cstheme="minorHAnsi"/>
          <w:i/>
          <w:iCs/>
        </w:rPr>
        <w:t>Doprava</w:t>
      </w:r>
      <w:r w:rsidR="002F6575" w:rsidRPr="0088190A">
        <w:rPr>
          <w:rFonts w:asciiTheme="minorHAnsi" w:hAnsiTheme="minorHAnsi" w:cstheme="minorHAnsi"/>
        </w:rPr>
        <w:t xml:space="preserve"> </w:t>
      </w:r>
      <w:r w:rsidRPr="00010976">
        <w:rPr>
          <w:rFonts w:asciiTheme="minorHAnsi" w:hAnsiTheme="minorHAnsi" w:cstheme="minorHAnsi"/>
          <w:i/>
          <w:iCs/>
        </w:rPr>
        <w:t>2030+</w:t>
      </w:r>
      <w:r w:rsidRPr="0088190A">
        <w:rPr>
          <w:rFonts w:asciiTheme="minorHAnsi" w:hAnsiTheme="minorHAnsi" w:cstheme="minorHAnsi"/>
        </w:rPr>
        <w:t>);</w:t>
      </w:r>
    </w:p>
    <w:p w14:paraId="26D173C4" w14:textId="77777777" w:rsidR="00D46A57" w:rsidRPr="0088190A" w:rsidRDefault="00D46A57" w:rsidP="00B2054C">
      <w:pPr>
        <w:pStyle w:val="Normlnweb"/>
        <w:numPr>
          <w:ilvl w:val="0"/>
          <w:numId w:val="5"/>
        </w:numPr>
        <w:spacing w:before="0" w:beforeAutospacing="0" w:after="0" w:afterAutospacing="0"/>
        <w:ind w:left="568" w:hanging="284"/>
        <w:jc w:val="both"/>
        <w:rPr>
          <w:rFonts w:asciiTheme="minorHAnsi" w:hAnsiTheme="minorHAnsi" w:cstheme="minorHAnsi"/>
        </w:rPr>
      </w:pPr>
      <w:r w:rsidRPr="0088190A">
        <w:rPr>
          <w:rFonts w:asciiTheme="minorHAnsi" w:hAnsiTheme="minorHAnsi" w:cstheme="minorHAnsi"/>
        </w:rPr>
        <w:t xml:space="preserve">Ministerstvu životního prostředí (program </w:t>
      </w:r>
      <w:r w:rsidRPr="00010976">
        <w:rPr>
          <w:rFonts w:asciiTheme="minorHAnsi" w:hAnsiTheme="minorHAnsi" w:cstheme="minorHAnsi"/>
          <w:i/>
          <w:iCs/>
        </w:rPr>
        <w:t>Prostředí pro život</w:t>
      </w:r>
      <w:r w:rsidRPr="0088190A">
        <w:rPr>
          <w:rFonts w:asciiTheme="minorHAnsi" w:hAnsiTheme="minorHAnsi" w:cstheme="minorHAnsi"/>
        </w:rPr>
        <w:t xml:space="preserve"> a </w:t>
      </w:r>
      <w:r w:rsidRPr="00010976">
        <w:rPr>
          <w:rFonts w:asciiTheme="minorHAnsi" w:hAnsiTheme="minorHAnsi" w:cstheme="minorHAnsi"/>
          <w:i/>
          <w:iCs/>
        </w:rPr>
        <w:t>Prostředí pro život II</w:t>
      </w:r>
      <w:r w:rsidRPr="0088190A">
        <w:rPr>
          <w:rFonts w:asciiTheme="minorHAnsi" w:hAnsiTheme="minorHAnsi" w:cstheme="minorHAnsi"/>
        </w:rPr>
        <w:t>);</w:t>
      </w:r>
    </w:p>
    <w:p w14:paraId="4C52E8E4" w14:textId="77777777" w:rsidR="00D46A57" w:rsidRPr="0088190A" w:rsidRDefault="00D46A57" w:rsidP="00B2054C">
      <w:pPr>
        <w:pStyle w:val="Normlnweb"/>
        <w:numPr>
          <w:ilvl w:val="0"/>
          <w:numId w:val="5"/>
        </w:numPr>
        <w:spacing w:before="0" w:beforeAutospacing="0" w:after="0" w:afterAutospacing="0"/>
        <w:ind w:left="568" w:hanging="284"/>
        <w:jc w:val="both"/>
        <w:rPr>
          <w:rFonts w:asciiTheme="minorHAnsi" w:hAnsiTheme="minorHAnsi" w:cstheme="minorHAnsi"/>
        </w:rPr>
      </w:pPr>
      <w:r w:rsidRPr="0088190A">
        <w:rPr>
          <w:rFonts w:asciiTheme="minorHAnsi" w:hAnsiTheme="minorHAnsi" w:cstheme="minorHAnsi"/>
        </w:rPr>
        <w:t>Ministerstvu obrany (program PRODEF</w:t>
      </w:r>
      <w:r w:rsidRPr="0088190A">
        <w:rPr>
          <w:rStyle w:val="Znakapoznpodarou"/>
          <w:rFonts w:asciiTheme="minorHAnsi" w:hAnsiTheme="minorHAnsi" w:cstheme="minorHAnsi"/>
        </w:rPr>
        <w:footnoteReference w:id="15"/>
      </w:r>
      <w:r w:rsidRPr="0088190A">
        <w:rPr>
          <w:rFonts w:asciiTheme="minorHAnsi" w:hAnsiTheme="minorHAnsi" w:cstheme="minorHAnsi"/>
        </w:rPr>
        <w:t>);</w:t>
      </w:r>
    </w:p>
    <w:p w14:paraId="23BD3FA2" w14:textId="77777777" w:rsidR="00D46A57" w:rsidRPr="0088190A" w:rsidRDefault="00D46A57" w:rsidP="00B2054C">
      <w:pPr>
        <w:pStyle w:val="Normlnweb"/>
        <w:numPr>
          <w:ilvl w:val="0"/>
          <w:numId w:val="5"/>
        </w:numPr>
        <w:spacing w:before="0" w:beforeAutospacing="0" w:after="120" w:afterAutospacing="0"/>
        <w:ind w:left="568" w:hanging="284"/>
        <w:jc w:val="both"/>
        <w:rPr>
          <w:rFonts w:asciiTheme="minorHAnsi" w:hAnsiTheme="minorHAnsi" w:cstheme="minorHAnsi"/>
        </w:rPr>
      </w:pPr>
      <w:r w:rsidRPr="0088190A">
        <w:rPr>
          <w:rFonts w:asciiTheme="minorHAnsi" w:hAnsiTheme="minorHAnsi" w:cstheme="minorHAnsi"/>
        </w:rPr>
        <w:t xml:space="preserve">Ministerstvu průmyslu a obchodu (program </w:t>
      </w:r>
      <w:r w:rsidRPr="00010976">
        <w:rPr>
          <w:rFonts w:asciiTheme="minorHAnsi" w:hAnsiTheme="minorHAnsi" w:cstheme="minorHAnsi"/>
          <w:i/>
          <w:iCs/>
        </w:rPr>
        <w:t>Trend</w:t>
      </w:r>
      <w:r w:rsidRPr="0088190A">
        <w:rPr>
          <w:rStyle w:val="Znakapoznpodarou"/>
          <w:rFonts w:asciiTheme="minorHAnsi" w:hAnsiTheme="minorHAnsi" w:cstheme="minorHAnsi"/>
        </w:rPr>
        <w:footnoteReference w:id="16"/>
      </w:r>
      <w:r w:rsidRPr="0088190A">
        <w:rPr>
          <w:rFonts w:asciiTheme="minorHAnsi" w:hAnsiTheme="minorHAnsi" w:cstheme="minorHAnsi"/>
        </w:rPr>
        <w:t>).</w:t>
      </w:r>
    </w:p>
    <w:p w14:paraId="2E3EE44C" w14:textId="1F09D77A" w:rsidR="00D46A57" w:rsidRPr="0088190A" w:rsidRDefault="006A0A54" w:rsidP="000767B4">
      <w:pPr>
        <w:spacing w:after="120" w:line="240" w:lineRule="auto"/>
        <w:jc w:val="both"/>
        <w:rPr>
          <w:rFonts w:eastAsia="Times New Roman" w:cstheme="minorHAnsi"/>
          <w:sz w:val="24"/>
          <w:szCs w:val="24"/>
        </w:rPr>
      </w:pPr>
      <w:r>
        <w:rPr>
          <w:rFonts w:eastAsia="Times New Roman" w:cstheme="minorHAnsi"/>
          <w:sz w:val="24"/>
          <w:szCs w:val="24"/>
        </w:rPr>
        <w:t xml:space="preserve">4.25 </w:t>
      </w:r>
      <w:r w:rsidR="00D46A57" w:rsidRPr="0088190A">
        <w:rPr>
          <w:rFonts w:eastAsia="Times New Roman" w:cstheme="minorHAnsi"/>
          <w:sz w:val="24"/>
          <w:szCs w:val="24"/>
        </w:rPr>
        <w:t xml:space="preserve">Tyto programy jsou financovány z rozpočtu TA ČR a spravovány jejím personálem pomocí informačního systému ISTA (od roku 2025 SISTA). Odborný obsah a nastavení programů však zůstává v kompetenci příslušných ministerstev. </w:t>
      </w:r>
    </w:p>
    <w:p w14:paraId="3DC90529" w14:textId="1DB4E817" w:rsidR="00D46A57" w:rsidRPr="0088190A" w:rsidRDefault="006A0A54" w:rsidP="0094221A">
      <w:pPr>
        <w:spacing w:after="120" w:line="240" w:lineRule="auto"/>
        <w:jc w:val="both"/>
        <w:rPr>
          <w:rFonts w:eastAsia="Times New Roman" w:cstheme="minorHAnsi"/>
          <w:sz w:val="24"/>
          <w:szCs w:val="24"/>
        </w:rPr>
      </w:pPr>
      <w:r>
        <w:rPr>
          <w:rFonts w:eastAsia="Times New Roman" w:cstheme="minorHAnsi"/>
          <w:sz w:val="24"/>
          <w:szCs w:val="24"/>
        </w:rPr>
        <w:t xml:space="preserve">4.26 </w:t>
      </w:r>
      <w:r w:rsidR="00D46A57" w:rsidRPr="0088190A">
        <w:rPr>
          <w:rFonts w:eastAsia="Times New Roman" w:cstheme="minorHAnsi"/>
          <w:sz w:val="24"/>
          <w:szCs w:val="24"/>
        </w:rPr>
        <w:t xml:space="preserve">Informační systém SISTA, který TA ČR používá pro administraci projektů a programů </w:t>
      </w:r>
      <w:proofErr w:type="spellStart"/>
      <w:r w:rsidR="00D46A57" w:rsidRPr="0088190A">
        <w:rPr>
          <w:rFonts w:eastAsia="Times New Roman" w:cstheme="minorHAnsi"/>
          <w:sz w:val="24"/>
          <w:szCs w:val="24"/>
        </w:rPr>
        <w:t>VaVaI</w:t>
      </w:r>
      <w:proofErr w:type="spellEnd"/>
      <w:r w:rsidR="00D46A57" w:rsidRPr="0088190A">
        <w:rPr>
          <w:rFonts w:eastAsia="Times New Roman" w:cstheme="minorHAnsi"/>
          <w:sz w:val="24"/>
          <w:szCs w:val="24"/>
        </w:rPr>
        <w:t>, využívá pro správu veřejných soutěží aplikovaného výzkumu též Ministerstvo vnitra a</w:t>
      </w:r>
      <w:r w:rsidR="0094221A" w:rsidRPr="0088190A">
        <w:rPr>
          <w:rFonts w:eastAsia="Times New Roman" w:cstheme="minorHAnsi"/>
          <w:sz w:val="24"/>
          <w:szCs w:val="24"/>
        </w:rPr>
        <w:t> </w:t>
      </w:r>
      <w:r w:rsidR="00D46A57" w:rsidRPr="0088190A">
        <w:rPr>
          <w:rFonts w:eastAsia="Times New Roman" w:cstheme="minorHAnsi"/>
          <w:sz w:val="24"/>
          <w:szCs w:val="24"/>
        </w:rPr>
        <w:t xml:space="preserve">Ministerstvo zemědělství. S těmito ministerstvy má TA ČR uzavřené smlouvy, kde je specifikován způsob spolupráce a </w:t>
      </w:r>
      <w:r w:rsidR="00D46A57" w:rsidRPr="00AB41E1">
        <w:rPr>
          <w:rFonts w:eastAsia="Times New Roman" w:cstheme="minorHAnsi"/>
          <w:sz w:val="24"/>
          <w:szCs w:val="24"/>
        </w:rPr>
        <w:t xml:space="preserve">jejich rozsah. </w:t>
      </w:r>
      <w:r w:rsidR="00AB41E1" w:rsidRPr="00AB41E1">
        <w:rPr>
          <w:rFonts w:eastAsia="Times New Roman" w:cstheme="minorHAnsi"/>
          <w:sz w:val="24"/>
          <w:szCs w:val="24"/>
        </w:rPr>
        <w:t>N</w:t>
      </w:r>
      <w:r w:rsidR="00D46A57" w:rsidRPr="00AB41E1">
        <w:rPr>
          <w:rFonts w:eastAsia="Times New Roman" w:cstheme="minorHAnsi"/>
          <w:sz w:val="24"/>
          <w:szCs w:val="24"/>
        </w:rPr>
        <w:t xml:space="preserve">ový systém SISTA umožňuje sdílení modulů mezi státní správou </w:t>
      </w:r>
    </w:p>
    <w:p w14:paraId="63D7CFA8" w14:textId="3783F1B8" w:rsidR="00D46A57" w:rsidRPr="00934A8A" w:rsidRDefault="00D46A57" w:rsidP="00B2054C">
      <w:pPr>
        <w:keepNext/>
        <w:spacing w:before="120" w:after="40" w:line="240" w:lineRule="auto"/>
        <w:jc w:val="both"/>
        <w:rPr>
          <w:rFonts w:eastAsia="Times New Roman" w:cstheme="minorHAnsi"/>
          <w:b/>
          <w:sz w:val="24"/>
          <w:szCs w:val="24"/>
        </w:rPr>
      </w:pPr>
      <w:r w:rsidRPr="00934A8A">
        <w:rPr>
          <w:rFonts w:eastAsia="Times New Roman" w:cstheme="minorHAnsi"/>
          <w:b/>
          <w:sz w:val="24"/>
          <w:szCs w:val="24"/>
        </w:rPr>
        <w:lastRenderedPageBreak/>
        <w:t xml:space="preserve">Tabulka č. </w:t>
      </w:r>
      <w:r w:rsidR="008760F3">
        <w:rPr>
          <w:rFonts w:eastAsia="Times New Roman" w:cstheme="minorHAnsi"/>
          <w:b/>
          <w:sz w:val="24"/>
          <w:szCs w:val="24"/>
        </w:rPr>
        <w:t>7</w:t>
      </w:r>
      <w:r w:rsidR="00934A8A" w:rsidRPr="00934A8A">
        <w:rPr>
          <w:rFonts w:eastAsia="Times New Roman" w:cstheme="minorHAnsi"/>
          <w:b/>
          <w:sz w:val="24"/>
          <w:szCs w:val="24"/>
        </w:rPr>
        <w:t xml:space="preserve">: </w:t>
      </w:r>
      <w:r w:rsidRPr="00934A8A">
        <w:rPr>
          <w:rFonts w:eastAsia="Times New Roman" w:cstheme="minorHAnsi"/>
          <w:b/>
          <w:sz w:val="24"/>
          <w:szCs w:val="24"/>
        </w:rPr>
        <w:t>Počet programů u jednotlivých poskytovatelů</w:t>
      </w:r>
    </w:p>
    <w:tbl>
      <w:tblPr>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5950"/>
        <w:gridCol w:w="1558"/>
        <w:gridCol w:w="1558"/>
      </w:tblGrid>
      <w:tr w:rsidR="00D46A57" w:rsidRPr="0088190A" w14:paraId="66F8B3D0" w14:textId="77777777" w:rsidTr="00B2054C">
        <w:trPr>
          <w:cantSplit/>
          <w:trHeight w:val="255"/>
        </w:trPr>
        <w:tc>
          <w:tcPr>
            <w:tcW w:w="3282" w:type="pct"/>
            <w:shd w:val="clear" w:color="auto" w:fill="E6E6E6"/>
            <w:noWrap/>
            <w:vAlign w:val="center"/>
            <w:hideMark/>
          </w:tcPr>
          <w:p w14:paraId="69465119" w14:textId="77777777" w:rsidR="00D46A57" w:rsidRPr="0088190A" w:rsidRDefault="00D46A57" w:rsidP="00B2054C">
            <w:pPr>
              <w:keepNext/>
              <w:spacing w:after="0" w:line="240" w:lineRule="auto"/>
              <w:jc w:val="center"/>
              <w:rPr>
                <w:rFonts w:eastAsia="Times New Roman" w:cstheme="minorHAnsi"/>
                <w:b/>
                <w:bCs/>
                <w:color w:val="000000"/>
                <w:sz w:val="20"/>
                <w:szCs w:val="20"/>
                <w:lang w:eastAsia="cs-CZ"/>
              </w:rPr>
            </w:pPr>
            <w:r w:rsidRPr="0088190A">
              <w:rPr>
                <w:rFonts w:eastAsia="Times New Roman" w:cstheme="minorHAnsi"/>
                <w:b/>
                <w:bCs/>
                <w:color w:val="000000"/>
                <w:sz w:val="20"/>
                <w:szCs w:val="20"/>
              </w:rPr>
              <w:t>Poskytovatel</w:t>
            </w:r>
          </w:p>
        </w:tc>
        <w:tc>
          <w:tcPr>
            <w:tcW w:w="859" w:type="pct"/>
            <w:shd w:val="clear" w:color="auto" w:fill="E6E6E6"/>
            <w:noWrap/>
            <w:vAlign w:val="center"/>
            <w:hideMark/>
          </w:tcPr>
          <w:p w14:paraId="49A20998" w14:textId="77777777" w:rsidR="00D46A57" w:rsidRPr="0088190A" w:rsidRDefault="00D46A57" w:rsidP="00B2054C">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2023</w:t>
            </w:r>
          </w:p>
        </w:tc>
        <w:tc>
          <w:tcPr>
            <w:tcW w:w="859" w:type="pct"/>
            <w:shd w:val="clear" w:color="auto" w:fill="E6E6E6"/>
            <w:noWrap/>
            <w:vAlign w:val="center"/>
            <w:hideMark/>
          </w:tcPr>
          <w:p w14:paraId="6856DA11" w14:textId="77777777" w:rsidR="00D46A57" w:rsidRPr="0088190A" w:rsidRDefault="00D46A57" w:rsidP="00B2054C">
            <w:pPr>
              <w:keepNext/>
              <w:spacing w:after="0" w:line="240" w:lineRule="auto"/>
              <w:jc w:val="center"/>
              <w:rPr>
                <w:rFonts w:eastAsia="Times New Roman" w:cstheme="minorHAnsi"/>
                <w:b/>
                <w:bCs/>
                <w:color w:val="000000"/>
                <w:sz w:val="20"/>
                <w:szCs w:val="20"/>
              </w:rPr>
            </w:pPr>
            <w:r w:rsidRPr="0088190A">
              <w:rPr>
                <w:rFonts w:eastAsia="Times New Roman" w:cstheme="minorHAnsi"/>
                <w:b/>
                <w:bCs/>
                <w:color w:val="000000"/>
                <w:sz w:val="20"/>
                <w:szCs w:val="20"/>
              </w:rPr>
              <w:t>2024</w:t>
            </w:r>
          </w:p>
        </w:tc>
      </w:tr>
      <w:tr w:rsidR="00D46A57" w:rsidRPr="0088190A" w14:paraId="340A23DD" w14:textId="77777777" w:rsidTr="00B2054C">
        <w:trPr>
          <w:cantSplit/>
          <w:trHeight w:val="255"/>
        </w:trPr>
        <w:tc>
          <w:tcPr>
            <w:tcW w:w="3282" w:type="pct"/>
            <w:shd w:val="clear" w:color="auto" w:fill="auto"/>
            <w:noWrap/>
            <w:vAlign w:val="center"/>
            <w:hideMark/>
          </w:tcPr>
          <w:p w14:paraId="6E171325"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Grantová agentura České republiky</w:t>
            </w:r>
          </w:p>
        </w:tc>
        <w:tc>
          <w:tcPr>
            <w:tcW w:w="859" w:type="pct"/>
            <w:shd w:val="clear" w:color="auto" w:fill="auto"/>
            <w:noWrap/>
            <w:vAlign w:val="center"/>
            <w:hideMark/>
          </w:tcPr>
          <w:p w14:paraId="06465174"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11</w:t>
            </w:r>
          </w:p>
        </w:tc>
        <w:tc>
          <w:tcPr>
            <w:tcW w:w="859" w:type="pct"/>
            <w:shd w:val="clear" w:color="auto" w:fill="auto"/>
            <w:noWrap/>
            <w:vAlign w:val="center"/>
            <w:hideMark/>
          </w:tcPr>
          <w:p w14:paraId="52AF8EE7"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11</w:t>
            </w:r>
          </w:p>
        </w:tc>
      </w:tr>
      <w:tr w:rsidR="00D46A57" w:rsidRPr="0088190A" w14:paraId="14AAC5F0" w14:textId="77777777" w:rsidTr="00B2054C">
        <w:trPr>
          <w:cantSplit/>
          <w:trHeight w:val="255"/>
        </w:trPr>
        <w:tc>
          <w:tcPr>
            <w:tcW w:w="3282" w:type="pct"/>
            <w:shd w:val="clear" w:color="auto" w:fill="auto"/>
            <w:noWrap/>
            <w:vAlign w:val="center"/>
            <w:hideMark/>
          </w:tcPr>
          <w:p w14:paraId="040E9700"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Ministerstvo kultury</w:t>
            </w:r>
          </w:p>
        </w:tc>
        <w:tc>
          <w:tcPr>
            <w:tcW w:w="859" w:type="pct"/>
            <w:shd w:val="clear" w:color="auto" w:fill="auto"/>
            <w:noWrap/>
            <w:vAlign w:val="center"/>
            <w:hideMark/>
          </w:tcPr>
          <w:p w14:paraId="3EC399F1"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w:t>
            </w:r>
          </w:p>
        </w:tc>
        <w:tc>
          <w:tcPr>
            <w:tcW w:w="859" w:type="pct"/>
            <w:shd w:val="clear" w:color="auto" w:fill="auto"/>
            <w:noWrap/>
            <w:vAlign w:val="center"/>
            <w:hideMark/>
          </w:tcPr>
          <w:p w14:paraId="70F57C34"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w:t>
            </w:r>
          </w:p>
        </w:tc>
      </w:tr>
      <w:tr w:rsidR="00D46A57" w:rsidRPr="0088190A" w14:paraId="04164A04" w14:textId="77777777" w:rsidTr="00B2054C">
        <w:trPr>
          <w:cantSplit/>
          <w:trHeight w:val="255"/>
        </w:trPr>
        <w:tc>
          <w:tcPr>
            <w:tcW w:w="3282" w:type="pct"/>
            <w:shd w:val="clear" w:color="auto" w:fill="auto"/>
            <w:noWrap/>
            <w:vAlign w:val="center"/>
            <w:hideMark/>
          </w:tcPr>
          <w:p w14:paraId="76784327"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Ministerstvo obrany</w:t>
            </w:r>
          </w:p>
        </w:tc>
        <w:tc>
          <w:tcPr>
            <w:tcW w:w="859" w:type="pct"/>
            <w:shd w:val="clear" w:color="auto" w:fill="auto"/>
            <w:noWrap/>
            <w:vAlign w:val="center"/>
            <w:hideMark/>
          </w:tcPr>
          <w:p w14:paraId="7EB52D7E"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w:t>
            </w:r>
          </w:p>
        </w:tc>
        <w:tc>
          <w:tcPr>
            <w:tcW w:w="859" w:type="pct"/>
            <w:shd w:val="clear" w:color="auto" w:fill="auto"/>
            <w:noWrap/>
            <w:vAlign w:val="center"/>
            <w:hideMark/>
          </w:tcPr>
          <w:p w14:paraId="079F4492"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w:t>
            </w:r>
          </w:p>
        </w:tc>
      </w:tr>
      <w:tr w:rsidR="00D46A57" w:rsidRPr="0088190A" w14:paraId="24C371D8" w14:textId="77777777" w:rsidTr="00B2054C">
        <w:trPr>
          <w:cantSplit/>
          <w:trHeight w:val="255"/>
        </w:trPr>
        <w:tc>
          <w:tcPr>
            <w:tcW w:w="3282" w:type="pct"/>
            <w:shd w:val="clear" w:color="auto" w:fill="auto"/>
            <w:noWrap/>
            <w:vAlign w:val="center"/>
            <w:hideMark/>
          </w:tcPr>
          <w:p w14:paraId="66223F09"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Ministerstvo průmyslu a obchodu</w:t>
            </w:r>
          </w:p>
        </w:tc>
        <w:tc>
          <w:tcPr>
            <w:tcW w:w="859" w:type="pct"/>
            <w:shd w:val="clear" w:color="auto" w:fill="auto"/>
            <w:noWrap/>
            <w:vAlign w:val="center"/>
            <w:hideMark/>
          </w:tcPr>
          <w:p w14:paraId="4AD93654"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2</w:t>
            </w:r>
          </w:p>
        </w:tc>
        <w:tc>
          <w:tcPr>
            <w:tcW w:w="859" w:type="pct"/>
            <w:shd w:val="clear" w:color="auto" w:fill="auto"/>
            <w:noWrap/>
            <w:vAlign w:val="center"/>
            <w:hideMark/>
          </w:tcPr>
          <w:p w14:paraId="0A060A3D"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2</w:t>
            </w:r>
          </w:p>
        </w:tc>
      </w:tr>
      <w:tr w:rsidR="00D46A57" w:rsidRPr="0088190A" w14:paraId="66669344" w14:textId="77777777" w:rsidTr="00B2054C">
        <w:trPr>
          <w:cantSplit/>
          <w:trHeight w:val="255"/>
        </w:trPr>
        <w:tc>
          <w:tcPr>
            <w:tcW w:w="3282" w:type="pct"/>
            <w:shd w:val="clear" w:color="auto" w:fill="auto"/>
            <w:noWrap/>
            <w:vAlign w:val="center"/>
            <w:hideMark/>
          </w:tcPr>
          <w:p w14:paraId="78F34155"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Ministerstvo školství, mládeže a tělovýchovy</w:t>
            </w:r>
          </w:p>
        </w:tc>
        <w:tc>
          <w:tcPr>
            <w:tcW w:w="859" w:type="pct"/>
            <w:shd w:val="clear" w:color="auto" w:fill="auto"/>
            <w:noWrap/>
            <w:vAlign w:val="center"/>
            <w:hideMark/>
          </w:tcPr>
          <w:p w14:paraId="271E603A"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22</w:t>
            </w:r>
          </w:p>
        </w:tc>
        <w:tc>
          <w:tcPr>
            <w:tcW w:w="859" w:type="pct"/>
            <w:shd w:val="clear" w:color="auto" w:fill="auto"/>
            <w:noWrap/>
            <w:vAlign w:val="center"/>
            <w:hideMark/>
          </w:tcPr>
          <w:p w14:paraId="535E5EC5"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24</w:t>
            </w:r>
          </w:p>
        </w:tc>
      </w:tr>
      <w:tr w:rsidR="00D46A57" w:rsidRPr="0088190A" w14:paraId="64EFB3DE" w14:textId="77777777" w:rsidTr="00B2054C">
        <w:trPr>
          <w:cantSplit/>
          <w:trHeight w:val="255"/>
        </w:trPr>
        <w:tc>
          <w:tcPr>
            <w:tcW w:w="3282" w:type="pct"/>
            <w:shd w:val="clear" w:color="auto" w:fill="auto"/>
            <w:noWrap/>
            <w:vAlign w:val="center"/>
            <w:hideMark/>
          </w:tcPr>
          <w:p w14:paraId="082C8088"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Ministerstvo vnitra</w:t>
            </w:r>
          </w:p>
        </w:tc>
        <w:tc>
          <w:tcPr>
            <w:tcW w:w="859" w:type="pct"/>
            <w:shd w:val="clear" w:color="auto" w:fill="auto"/>
            <w:noWrap/>
            <w:vAlign w:val="center"/>
            <w:hideMark/>
          </w:tcPr>
          <w:p w14:paraId="2E4B994E"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4</w:t>
            </w:r>
          </w:p>
        </w:tc>
        <w:tc>
          <w:tcPr>
            <w:tcW w:w="859" w:type="pct"/>
            <w:shd w:val="clear" w:color="auto" w:fill="auto"/>
            <w:noWrap/>
            <w:vAlign w:val="center"/>
            <w:hideMark/>
          </w:tcPr>
          <w:p w14:paraId="25450C25"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4</w:t>
            </w:r>
          </w:p>
        </w:tc>
      </w:tr>
      <w:tr w:rsidR="00D46A57" w:rsidRPr="0088190A" w14:paraId="695E7B6D" w14:textId="77777777" w:rsidTr="00B2054C">
        <w:trPr>
          <w:cantSplit/>
          <w:trHeight w:val="255"/>
        </w:trPr>
        <w:tc>
          <w:tcPr>
            <w:tcW w:w="3282" w:type="pct"/>
            <w:shd w:val="clear" w:color="auto" w:fill="auto"/>
            <w:noWrap/>
            <w:vAlign w:val="center"/>
            <w:hideMark/>
          </w:tcPr>
          <w:p w14:paraId="5AD42FFA"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Ministerstvo zdravotnictví</w:t>
            </w:r>
          </w:p>
        </w:tc>
        <w:tc>
          <w:tcPr>
            <w:tcW w:w="859" w:type="pct"/>
            <w:shd w:val="clear" w:color="auto" w:fill="auto"/>
            <w:noWrap/>
            <w:vAlign w:val="center"/>
            <w:hideMark/>
          </w:tcPr>
          <w:p w14:paraId="19416BFB"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2</w:t>
            </w:r>
          </w:p>
        </w:tc>
        <w:tc>
          <w:tcPr>
            <w:tcW w:w="859" w:type="pct"/>
            <w:shd w:val="clear" w:color="auto" w:fill="auto"/>
            <w:noWrap/>
            <w:vAlign w:val="center"/>
            <w:hideMark/>
          </w:tcPr>
          <w:p w14:paraId="7DD82DB5"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2</w:t>
            </w:r>
          </w:p>
        </w:tc>
      </w:tr>
      <w:tr w:rsidR="00D46A57" w:rsidRPr="0088190A" w14:paraId="14FB64E6" w14:textId="77777777" w:rsidTr="00B2054C">
        <w:trPr>
          <w:cantSplit/>
          <w:trHeight w:val="255"/>
        </w:trPr>
        <w:tc>
          <w:tcPr>
            <w:tcW w:w="3282" w:type="pct"/>
            <w:shd w:val="clear" w:color="auto" w:fill="auto"/>
            <w:noWrap/>
            <w:vAlign w:val="center"/>
            <w:hideMark/>
          </w:tcPr>
          <w:p w14:paraId="68B1FC68"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Ministerstvo zemědělství</w:t>
            </w:r>
          </w:p>
        </w:tc>
        <w:tc>
          <w:tcPr>
            <w:tcW w:w="859" w:type="pct"/>
            <w:shd w:val="clear" w:color="auto" w:fill="auto"/>
            <w:noWrap/>
            <w:vAlign w:val="center"/>
            <w:hideMark/>
          </w:tcPr>
          <w:p w14:paraId="0F2D0CA2"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w:t>
            </w:r>
          </w:p>
        </w:tc>
        <w:tc>
          <w:tcPr>
            <w:tcW w:w="859" w:type="pct"/>
            <w:shd w:val="clear" w:color="auto" w:fill="auto"/>
            <w:noWrap/>
            <w:vAlign w:val="center"/>
            <w:hideMark/>
          </w:tcPr>
          <w:p w14:paraId="4E4A5713"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2</w:t>
            </w:r>
          </w:p>
        </w:tc>
      </w:tr>
      <w:tr w:rsidR="00D46A57" w:rsidRPr="0088190A" w14:paraId="44AA2DD6" w14:textId="77777777" w:rsidTr="00B2054C">
        <w:trPr>
          <w:cantSplit/>
          <w:trHeight w:val="255"/>
        </w:trPr>
        <w:tc>
          <w:tcPr>
            <w:tcW w:w="3282" w:type="pct"/>
            <w:shd w:val="clear" w:color="auto" w:fill="auto"/>
            <w:noWrap/>
            <w:vAlign w:val="center"/>
            <w:hideMark/>
          </w:tcPr>
          <w:p w14:paraId="0B5A7BBD" w14:textId="77777777" w:rsidR="00D46A57" w:rsidRPr="0088190A" w:rsidRDefault="00D46A57" w:rsidP="00B2054C">
            <w:pPr>
              <w:keepNext/>
              <w:spacing w:after="0" w:line="240" w:lineRule="auto"/>
              <w:rPr>
                <w:rFonts w:eastAsia="Times New Roman" w:cstheme="minorHAnsi"/>
                <w:color w:val="000000"/>
                <w:sz w:val="20"/>
                <w:szCs w:val="20"/>
              </w:rPr>
            </w:pPr>
            <w:r w:rsidRPr="0088190A">
              <w:rPr>
                <w:rFonts w:eastAsia="Times New Roman" w:cstheme="minorHAnsi"/>
                <w:color w:val="000000"/>
                <w:sz w:val="20"/>
                <w:szCs w:val="20"/>
              </w:rPr>
              <w:t>Technologická agentura České republiky</w:t>
            </w:r>
          </w:p>
        </w:tc>
        <w:tc>
          <w:tcPr>
            <w:tcW w:w="859" w:type="pct"/>
            <w:shd w:val="clear" w:color="auto" w:fill="auto"/>
            <w:noWrap/>
            <w:vAlign w:val="center"/>
            <w:hideMark/>
          </w:tcPr>
          <w:p w14:paraId="2949AD45"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14</w:t>
            </w:r>
          </w:p>
        </w:tc>
        <w:tc>
          <w:tcPr>
            <w:tcW w:w="859" w:type="pct"/>
            <w:shd w:val="clear" w:color="auto" w:fill="auto"/>
            <w:noWrap/>
            <w:vAlign w:val="center"/>
            <w:hideMark/>
          </w:tcPr>
          <w:p w14:paraId="0A88FEF8" w14:textId="77777777" w:rsidR="00D46A57" w:rsidRPr="0088190A" w:rsidRDefault="00D46A57" w:rsidP="00B2054C">
            <w:pPr>
              <w:keepNext/>
              <w:spacing w:after="0" w:line="240" w:lineRule="auto"/>
              <w:ind w:right="599"/>
              <w:jc w:val="right"/>
              <w:rPr>
                <w:rFonts w:eastAsia="Times New Roman" w:cstheme="minorHAnsi"/>
                <w:color w:val="000000"/>
                <w:sz w:val="20"/>
                <w:szCs w:val="20"/>
              </w:rPr>
            </w:pPr>
            <w:r w:rsidRPr="0088190A">
              <w:rPr>
                <w:rFonts w:eastAsia="Times New Roman" w:cstheme="minorHAnsi"/>
                <w:color w:val="000000"/>
                <w:sz w:val="20"/>
                <w:szCs w:val="20"/>
              </w:rPr>
              <w:t>17</w:t>
            </w:r>
          </w:p>
        </w:tc>
      </w:tr>
      <w:tr w:rsidR="00D46A57" w:rsidRPr="0088190A" w14:paraId="1ADE5873" w14:textId="77777777" w:rsidTr="00B2054C">
        <w:trPr>
          <w:cantSplit/>
          <w:trHeight w:val="255"/>
        </w:trPr>
        <w:tc>
          <w:tcPr>
            <w:tcW w:w="3282" w:type="pct"/>
            <w:shd w:val="clear" w:color="auto" w:fill="EDD4D9"/>
            <w:noWrap/>
            <w:vAlign w:val="center"/>
            <w:hideMark/>
          </w:tcPr>
          <w:p w14:paraId="4FAD37FE" w14:textId="77777777" w:rsidR="00D46A57" w:rsidRPr="0088190A" w:rsidRDefault="00D46A57" w:rsidP="00B2054C">
            <w:pPr>
              <w:keepNext/>
              <w:spacing w:after="0" w:line="240" w:lineRule="auto"/>
              <w:rPr>
                <w:rFonts w:eastAsia="Times New Roman" w:cstheme="minorHAnsi"/>
                <w:b/>
                <w:bCs/>
                <w:color w:val="000000"/>
                <w:sz w:val="20"/>
                <w:szCs w:val="20"/>
              </w:rPr>
            </w:pPr>
            <w:r w:rsidRPr="0088190A">
              <w:rPr>
                <w:rFonts w:eastAsia="Times New Roman" w:cstheme="minorHAnsi"/>
                <w:b/>
                <w:bCs/>
                <w:color w:val="000000"/>
                <w:sz w:val="20"/>
                <w:szCs w:val="20"/>
              </w:rPr>
              <w:t>Počet poskytovatelů celkem</w:t>
            </w:r>
          </w:p>
        </w:tc>
        <w:tc>
          <w:tcPr>
            <w:tcW w:w="859" w:type="pct"/>
            <w:shd w:val="clear" w:color="auto" w:fill="EDD4D9"/>
            <w:noWrap/>
            <w:vAlign w:val="center"/>
            <w:hideMark/>
          </w:tcPr>
          <w:p w14:paraId="4349EF87" w14:textId="77777777" w:rsidR="00D46A57" w:rsidRPr="0088190A" w:rsidRDefault="00D46A57" w:rsidP="00B2054C">
            <w:pPr>
              <w:keepNext/>
              <w:spacing w:after="0" w:line="240" w:lineRule="auto"/>
              <w:ind w:right="599"/>
              <w:jc w:val="right"/>
              <w:rPr>
                <w:rFonts w:eastAsia="Times New Roman" w:cstheme="minorHAnsi"/>
                <w:b/>
                <w:bCs/>
                <w:color w:val="000000"/>
                <w:sz w:val="20"/>
                <w:szCs w:val="20"/>
              </w:rPr>
            </w:pPr>
            <w:r w:rsidRPr="0088190A">
              <w:rPr>
                <w:rFonts w:eastAsia="Times New Roman" w:cstheme="minorHAnsi"/>
                <w:b/>
                <w:bCs/>
                <w:color w:val="000000"/>
                <w:sz w:val="20"/>
                <w:szCs w:val="20"/>
              </w:rPr>
              <w:t>9</w:t>
            </w:r>
          </w:p>
        </w:tc>
        <w:tc>
          <w:tcPr>
            <w:tcW w:w="859" w:type="pct"/>
            <w:shd w:val="clear" w:color="auto" w:fill="EDD4D9"/>
            <w:noWrap/>
            <w:vAlign w:val="center"/>
            <w:hideMark/>
          </w:tcPr>
          <w:p w14:paraId="0676E93C" w14:textId="77777777" w:rsidR="00D46A57" w:rsidRPr="0088190A" w:rsidRDefault="00D46A57" w:rsidP="00B2054C">
            <w:pPr>
              <w:keepNext/>
              <w:spacing w:after="0" w:line="240" w:lineRule="auto"/>
              <w:ind w:right="599"/>
              <w:jc w:val="right"/>
              <w:rPr>
                <w:rFonts w:eastAsia="Times New Roman" w:cstheme="minorHAnsi"/>
                <w:b/>
                <w:bCs/>
                <w:color w:val="000000"/>
                <w:sz w:val="20"/>
                <w:szCs w:val="20"/>
              </w:rPr>
            </w:pPr>
            <w:r w:rsidRPr="0088190A">
              <w:rPr>
                <w:rFonts w:eastAsia="Times New Roman" w:cstheme="minorHAnsi"/>
                <w:b/>
                <w:bCs/>
                <w:color w:val="000000"/>
                <w:sz w:val="20"/>
                <w:szCs w:val="20"/>
              </w:rPr>
              <w:t>9</w:t>
            </w:r>
          </w:p>
        </w:tc>
      </w:tr>
      <w:tr w:rsidR="00D46A57" w:rsidRPr="0088190A" w14:paraId="40874D8C" w14:textId="77777777" w:rsidTr="00B2054C">
        <w:trPr>
          <w:cantSplit/>
          <w:trHeight w:val="255"/>
        </w:trPr>
        <w:tc>
          <w:tcPr>
            <w:tcW w:w="3282" w:type="pct"/>
            <w:shd w:val="clear" w:color="auto" w:fill="EDD4D9"/>
            <w:noWrap/>
            <w:vAlign w:val="bottom"/>
            <w:hideMark/>
          </w:tcPr>
          <w:p w14:paraId="5EF3E959" w14:textId="77777777" w:rsidR="00D46A57" w:rsidRPr="0088190A" w:rsidRDefault="00D46A57" w:rsidP="00B2054C">
            <w:pPr>
              <w:keepNext/>
              <w:spacing w:after="0" w:line="240" w:lineRule="auto"/>
              <w:rPr>
                <w:rFonts w:eastAsia="Times New Roman" w:cstheme="minorHAnsi"/>
                <w:b/>
                <w:bCs/>
                <w:color w:val="000000"/>
                <w:sz w:val="20"/>
                <w:szCs w:val="20"/>
              </w:rPr>
            </w:pPr>
            <w:r w:rsidRPr="0088190A">
              <w:rPr>
                <w:rFonts w:eastAsia="Times New Roman" w:cstheme="minorHAnsi"/>
                <w:b/>
                <w:bCs/>
                <w:color w:val="000000"/>
                <w:sz w:val="20"/>
                <w:szCs w:val="20"/>
              </w:rPr>
              <w:t>Počet programů celkem</w:t>
            </w:r>
          </w:p>
        </w:tc>
        <w:tc>
          <w:tcPr>
            <w:tcW w:w="859" w:type="pct"/>
            <w:shd w:val="clear" w:color="auto" w:fill="EDD4D9"/>
            <w:noWrap/>
            <w:vAlign w:val="center"/>
            <w:hideMark/>
          </w:tcPr>
          <w:p w14:paraId="4E4BF6AA" w14:textId="77777777" w:rsidR="00D46A57" w:rsidRPr="0088190A" w:rsidRDefault="00D46A57" w:rsidP="00B2054C">
            <w:pPr>
              <w:keepNext/>
              <w:spacing w:after="0" w:line="240" w:lineRule="auto"/>
              <w:ind w:right="599"/>
              <w:jc w:val="right"/>
              <w:rPr>
                <w:rFonts w:eastAsia="Times New Roman" w:cstheme="minorHAnsi"/>
                <w:b/>
                <w:bCs/>
                <w:color w:val="000000"/>
                <w:sz w:val="20"/>
                <w:szCs w:val="20"/>
              </w:rPr>
            </w:pPr>
            <w:r w:rsidRPr="0088190A">
              <w:rPr>
                <w:rFonts w:eastAsia="Times New Roman" w:cstheme="minorHAnsi"/>
                <w:b/>
                <w:bCs/>
                <w:color w:val="000000"/>
                <w:sz w:val="20"/>
                <w:szCs w:val="20"/>
              </w:rPr>
              <w:t>58</w:t>
            </w:r>
          </w:p>
        </w:tc>
        <w:tc>
          <w:tcPr>
            <w:tcW w:w="859" w:type="pct"/>
            <w:shd w:val="clear" w:color="auto" w:fill="EDD4D9"/>
            <w:noWrap/>
            <w:vAlign w:val="center"/>
            <w:hideMark/>
          </w:tcPr>
          <w:p w14:paraId="5342B0D9" w14:textId="77777777" w:rsidR="00D46A57" w:rsidRPr="0088190A" w:rsidRDefault="00D46A57" w:rsidP="00B2054C">
            <w:pPr>
              <w:keepNext/>
              <w:spacing w:after="0" w:line="240" w:lineRule="auto"/>
              <w:ind w:right="599"/>
              <w:jc w:val="right"/>
              <w:rPr>
                <w:rFonts w:eastAsia="Times New Roman" w:cstheme="minorHAnsi"/>
                <w:b/>
                <w:bCs/>
                <w:color w:val="000000"/>
                <w:sz w:val="20"/>
                <w:szCs w:val="20"/>
              </w:rPr>
            </w:pPr>
            <w:r w:rsidRPr="0088190A">
              <w:rPr>
                <w:rFonts w:eastAsia="Times New Roman" w:cstheme="minorHAnsi"/>
                <w:b/>
                <w:bCs/>
                <w:color w:val="000000"/>
                <w:sz w:val="20"/>
                <w:szCs w:val="20"/>
              </w:rPr>
              <w:t>64</w:t>
            </w:r>
          </w:p>
        </w:tc>
      </w:tr>
    </w:tbl>
    <w:p w14:paraId="21B6D019" w14:textId="38E493A6" w:rsidR="00D46A57" w:rsidRPr="0088190A" w:rsidRDefault="00D46A57" w:rsidP="00B2054C">
      <w:pPr>
        <w:spacing w:before="40" w:after="120" w:line="240" w:lineRule="auto"/>
        <w:jc w:val="both"/>
        <w:rPr>
          <w:rFonts w:eastAsia="Times New Roman" w:cstheme="minorHAnsi"/>
          <w:sz w:val="20"/>
          <w:szCs w:val="20"/>
        </w:rPr>
      </w:pPr>
      <w:r w:rsidRPr="0088190A">
        <w:rPr>
          <w:rFonts w:eastAsia="Times New Roman" w:cstheme="minorHAnsi"/>
          <w:b/>
          <w:sz w:val="20"/>
          <w:szCs w:val="20"/>
        </w:rPr>
        <w:t>Zdroj:</w:t>
      </w:r>
      <w:r w:rsidRPr="0088190A">
        <w:rPr>
          <w:rFonts w:eastAsia="Times New Roman" w:cstheme="minorHAnsi"/>
          <w:sz w:val="20"/>
          <w:szCs w:val="20"/>
        </w:rPr>
        <w:t xml:space="preserve"> IS </w:t>
      </w:r>
      <w:proofErr w:type="spellStart"/>
      <w:r w:rsidRPr="0088190A">
        <w:rPr>
          <w:rFonts w:eastAsia="Times New Roman" w:cstheme="minorHAnsi"/>
          <w:sz w:val="20"/>
          <w:szCs w:val="20"/>
        </w:rPr>
        <w:t>V</w:t>
      </w:r>
      <w:r w:rsidR="001F482E" w:rsidRPr="0088190A">
        <w:rPr>
          <w:rFonts w:eastAsia="Times New Roman" w:cstheme="minorHAnsi"/>
          <w:sz w:val="20"/>
          <w:szCs w:val="20"/>
        </w:rPr>
        <w:t>a</w:t>
      </w:r>
      <w:r w:rsidRPr="0088190A">
        <w:rPr>
          <w:rFonts w:eastAsia="Times New Roman" w:cstheme="minorHAnsi"/>
          <w:sz w:val="20"/>
          <w:szCs w:val="20"/>
        </w:rPr>
        <w:t>V</w:t>
      </w:r>
      <w:r w:rsidR="001F482E" w:rsidRPr="0088190A">
        <w:rPr>
          <w:rFonts w:eastAsia="Times New Roman" w:cstheme="minorHAnsi"/>
          <w:sz w:val="20"/>
          <w:szCs w:val="20"/>
        </w:rPr>
        <w:t>a</w:t>
      </w:r>
      <w:r w:rsidRPr="0088190A">
        <w:rPr>
          <w:rFonts w:eastAsia="Times New Roman" w:cstheme="minorHAnsi"/>
          <w:sz w:val="20"/>
          <w:szCs w:val="20"/>
        </w:rPr>
        <w:t>I</w:t>
      </w:r>
      <w:proofErr w:type="spellEnd"/>
      <w:r w:rsidR="002F6575">
        <w:rPr>
          <w:rFonts w:eastAsia="Times New Roman" w:cstheme="minorHAnsi"/>
          <w:sz w:val="20"/>
          <w:szCs w:val="20"/>
        </w:rPr>
        <w:t>;</w:t>
      </w:r>
      <w:r w:rsidRPr="0088190A">
        <w:rPr>
          <w:rFonts w:eastAsia="Times New Roman" w:cstheme="minorHAnsi"/>
          <w:sz w:val="20"/>
          <w:szCs w:val="20"/>
        </w:rPr>
        <w:t xml:space="preserve"> </w:t>
      </w:r>
      <w:r w:rsidR="002F6575">
        <w:rPr>
          <w:rFonts w:eastAsia="Times New Roman" w:cstheme="minorHAnsi"/>
          <w:sz w:val="20"/>
          <w:szCs w:val="20"/>
        </w:rPr>
        <w:t>vypracoval</w:t>
      </w:r>
      <w:r w:rsidRPr="0088190A">
        <w:rPr>
          <w:rFonts w:eastAsia="Times New Roman" w:cstheme="minorHAnsi"/>
          <w:sz w:val="20"/>
          <w:szCs w:val="20"/>
        </w:rPr>
        <w:t xml:space="preserve"> NKÚ.</w:t>
      </w:r>
    </w:p>
    <w:p w14:paraId="7D5A198F" w14:textId="4F196869" w:rsidR="00D46A57" w:rsidRPr="0088190A" w:rsidRDefault="006A0A54" w:rsidP="00B2054C">
      <w:pPr>
        <w:spacing w:before="240" w:after="120" w:line="240" w:lineRule="auto"/>
        <w:jc w:val="both"/>
        <w:rPr>
          <w:rFonts w:cstheme="minorHAnsi"/>
          <w:sz w:val="24"/>
          <w:szCs w:val="24"/>
        </w:rPr>
      </w:pPr>
      <w:r>
        <w:rPr>
          <w:rFonts w:cstheme="minorHAnsi"/>
          <w:sz w:val="24"/>
          <w:szCs w:val="24"/>
        </w:rPr>
        <w:t xml:space="preserve">4.27 </w:t>
      </w:r>
      <w:r w:rsidR="00D46A57" w:rsidRPr="0088190A">
        <w:rPr>
          <w:rFonts w:cstheme="minorHAnsi"/>
          <w:sz w:val="24"/>
          <w:szCs w:val="24"/>
        </w:rPr>
        <w:t>V roce 2024 bylo realizováno v ČR celkem 64 programů, 11 z nich v gesci GA ČR (základní výzkum). Zbylých 53 programů byl</w:t>
      </w:r>
      <w:r w:rsidR="0070341C">
        <w:rPr>
          <w:rFonts w:cstheme="minorHAnsi"/>
          <w:sz w:val="24"/>
          <w:szCs w:val="24"/>
        </w:rPr>
        <w:t>o</w:t>
      </w:r>
      <w:r w:rsidR="00D46A57" w:rsidRPr="0088190A">
        <w:rPr>
          <w:rFonts w:cstheme="minorHAnsi"/>
          <w:sz w:val="24"/>
          <w:szCs w:val="24"/>
        </w:rPr>
        <w:t xml:space="preserve"> určen</w:t>
      </w:r>
      <w:r w:rsidR="002F6575">
        <w:rPr>
          <w:rFonts w:cstheme="minorHAnsi"/>
          <w:sz w:val="24"/>
          <w:szCs w:val="24"/>
        </w:rPr>
        <w:t>o</w:t>
      </w:r>
      <w:r w:rsidR="00D46A57" w:rsidRPr="0088190A">
        <w:rPr>
          <w:rFonts w:cstheme="minorHAnsi"/>
          <w:sz w:val="24"/>
          <w:szCs w:val="24"/>
        </w:rPr>
        <w:t xml:space="preserve"> </w:t>
      </w:r>
      <w:r w:rsidR="00286A9D">
        <w:rPr>
          <w:rFonts w:cstheme="minorHAnsi"/>
          <w:sz w:val="24"/>
          <w:szCs w:val="24"/>
        </w:rPr>
        <w:t xml:space="preserve">především </w:t>
      </w:r>
      <w:r w:rsidR="00D46A57" w:rsidRPr="0088190A">
        <w:rPr>
          <w:rFonts w:cstheme="minorHAnsi"/>
          <w:sz w:val="24"/>
          <w:szCs w:val="24"/>
        </w:rPr>
        <w:t>pro aplikovaný a experimentální výzkum a z nich administrovala 17 programů TA ČR a 24 programů Ministerstvo školství, mládeže a</w:t>
      </w:r>
      <w:r w:rsidR="00EF2A22" w:rsidRPr="0088190A">
        <w:rPr>
          <w:rFonts w:cstheme="minorHAnsi"/>
          <w:sz w:val="24"/>
          <w:szCs w:val="24"/>
        </w:rPr>
        <w:t> </w:t>
      </w:r>
      <w:r w:rsidR="00D46A57" w:rsidRPr="0088190A">
        <w:rPr>
          <w:rFonts w:cstheme="minorHAnsi"/>
          <w:sz w:val="24"/>
          <w:szCs w:val="24"/>
        </w:rPr>
        <w:t xml:space="preserve">tělovýchovy. </w:t>
      </w:r>
      <w:r w:rsidR="00D46A57" w:rsidRPr="00AB41E1">
        <w:rPr>
          <w:rFonts w:cstheme="minorHAnsi"/>
          <w:sz w:val="24"/>
          <w:szCs w:val="24"/>
        </w:rPr>
        <w:t xml:space="preserve">Zbylých </w:t>
      </w:r>
      <w:r w:rsidR="00AB41E1" w:rsidRPr="00AB41E1">
        <w:rPr>
          <w:rFonts w:cstheme="minorHAnsi"/>
          <w:sz w:val="24"/>
          <w:szCs w:val="24"/>
        </w:rPr>
        <w:t>šest</w:t>
      </w:r>
      <w:r w:rsidR="002F6575">
        <w:rPr>
          <w:rFonts w:cstheme="minorHAnsi"/>
          <w:sz w:val="24"/>
          <w:szCs w:val="24"/>
        </w:rPr>
        <w:t xml:space="preserve"> </w:t>
      </w:r>
      <w:r w:rsidR="00D46A57" w:rsidRPr="00AB41E1">
        <w:rPr>
          <w:rFonts w:cstheme="minorHAnsi"/>
          <w:sz w:val="24"/>
          <w:szCs w:val="24"/>
        </w:rPr>
        <w:t xml:space="preserve">poskytovatelů </w:t>
      </w:r>
      <w:r w:rsidR="00D46A57" w:rsidRPr="0088190A">
        <w:rPr>
          <w:rFonts w:cstheme="minorHAnsi"/>
          <w:sz w:val="24"/>
          <w:szCs w:val="24"/>
        </w:rPr>
        <w:t xml:space="preserve">realizuje 12 programů. </w:t>
      </w:r>
    </w:p>
    <w:p w14:paraId="049371EC" w14:textId="7E590DC6" w:rsidR="007A1944" w:rsidRPr="0088190A" w:rsidRDefault="006A0A54" w:rsidP="006C7902">
      <w:pPr>
        <w:spacing w:before="120" w:after="0" w:line="240" w:lineRule="auto"/>
        <w:jc w:val="both"/>
        <w:rPr>
          <w:rFonts w:cstheme="minorHAnsi"/>
          <w:i/>
          <w:sz w:val="24"/>
          <w:szCs w:val="24"/>
        </w:rPr>
      </w:pPr>
      <w:r>
        <w:rPr>
          <w:rFonts w:cstheme="minorHAnsi"/>
          <w:sz w:val="24"/>
          <w:szCs w:val="24"/>
        </w:rPr>
        <w:t xml:space="preserve">4.28 </w:t>
      </w:r>
      <w:r w:rsidR="00C478F8" w:rsidRPr="0088190A">
        <w:rPr>
          <w:rFonts w:cstheme="minorHAnsi"/>
          <w:sz w:val="24"/>
          <w:szCs w:val="24"/>
        </w:rPr>
        <w:t>V</w:t>
      </w:r>
      <w:r w:rsidR="007A1944" w:rsidRPr="0088190A">
        <w:rPr>
          <w:rFonts w:cstheme="minorHAnsi"/>
          <w:sz w:val="24"/>
          <w:szCs w:val="24"/>
        </w:rPr>
        <w:t xml:space="preserve"> Analýz</w:t>
      </w:r>
      <w:r w:rsidR="00C478F8" w:rsidRPr="0088190A">
        <w:rPr>
          <w:rFonts w:cstheme="minorHAnsi"/>
          <w:sz w:val="24"/>
          <w:szCs w:val="24"/>
        </w:rPr>
        <w:t>e</w:t>
      </w:r>
      <w:r w:rsidR="007A1944" w:rsidRPr="0088190A">
        <w:rPr>
          <w:rFonts w:cstheme="minorHAnsi"/>
          <w:sz w:val="24"/>
          <w:szCs w:val="24"/>
        </w:rPr>
        <w:t xml:space="preserve"> stavu </w:t>
      </w:r>
      <w:proofErr w:type="spellStart"/>
      <w:r w:rsidR="007A1944" w:rsidRPr="0088190A">
        <w:rPr>
          <w:rFonts w:cstheme="minorHAnsi"/>
          <w:sz w:val="24"/>
          <w:szCs w:val="24"/>
        </w:rPr>
        <w:t>VaVaI</w:t>
      </w:r>
      <w:proofErr w:type="spellEnd"/>
      <w:r w:rsidR="007A1944" w:rsidRPr="0088190A">
        <w:rPr>
          <w:rFonts w:cstheme="minorHAnsi"/>
          <w:sz w:val="24"/>
          <w:szCs w:val="24"/>
        </w:rPr>
        <w:t xml:space="preserve"> v ČR a jejich srovnání se zahraničím v roce 2022</w:t>
      </w:r>
      <w:r w:rsidR="00C478F8" w:rsidRPr="0088190A">
        <w:rPr>
          <w:rFonts w:cstheme="minorHAnsi"/>
          <w:sz w:val="24"/>
          <w:szCs w:val="24"/>
        </w:rPr>
        <w:t xml:space="preserve"> se uvádí:</w:t>
      </w:r>
      <w:r w:rsidR="007A1944" w:rsidRPr="0088190A">
        <w:rPr>
          <w:rFonts w:cstheme="minorHAnsi"/>
          <w:sz w:val="24"/>
          <w:szCs w:val="24"/>
        </w:rPr>
        <w:t xml:space="preserve"> </w:t>
      </w:r>
      <w:r w:rsidR="00C478F8" w:rsidRPr="00010976">
        <w:rPr>
          <w:rFonts w:cstheme="minorHAnsi"/>
          <w:iCs/>
          <w:sz w:val="24"/>
          <w:szCs w:val="24"/>
        </w:rPr>
        <w:t>„</w:t>
      </w:r>
      <w:r w:rsidR="007A1944" w:rsidRPr="0088190A">
        <w:rPr>
          <w:rFonts w:cstheme="minorHAnsi"/>
          <w:i/>
          <w:sz w:val="24"/>
          <w:szCs w:val="24"/>
        </w:rPr>
        <w:t xml:space="preserve">Ministerstva mohou realizovat vlastní programy účelové podpory </w:t>
      </w:r>
      <w:proofErr w:type="spellStart"/>
      <w:r w:rsidR="007A1944" w:rsidRPr="0088190A">
        <w:rPr>
          <w:rFonts w:cstheme="minorHAnsi"/>
          <w:i/>
          <w:sz w:val="24"/>
          <w:szCs w:val="24"/>
        </w:rPr>
        <w:t>VaVaI</w:t>
      </w:r>
      <w:proofErr w:type="spellEnd"/>
      <w:r w:rsidR="007A1944" w:rsidRPr="0088190A">
        <w:rPr>
          <w:rFonts w:cstheme="minorHAnsi"/>
          <w:i/>
          <w:sz w:val="24"/>
          <w:szCs w:val="24"/>
        </w:rPr>
        <w:t>, nicméně tuto roli za</w:t>
      </w:r>
      <w:r w:rsidR="0058265B">
        <w:rPr>
          <w:rFonts w:cstheme="minorHAnsi"/>
          <w:i/>
          <w:sz w:val="24"/>
          <w:szCs w:val="24"/>
        </w:rPr>
        <w:t> </w:t>
      </w:r>
      <w:r w:rsidR="007A1944" w:rsidRPr="0088190A">
        <w:rPr>
          <w:rFonts w:cstheme="minorHAnsi"/>
          <w:i/>
          <w:sz w:val="24"/>
          <w:szCs w:val="24"/>
        </w:rPr>
        <w:t>ně</w:t>
      </w:r>
      <w:r w:rsidR="00C478F8" w:rsidRPr="0088190A">
        <w:rPr>
          <w:rFonts w:cstheme="minorHAnsi"/>
          <w:i/>
          <w:sz w:val="24"/>
          <w:szCs w:val="24"/>
        </w:rPr>
        <w:t xml:space="preserve"> </w:t>
      </w:r>
      <w:r w:rsidR="007A1944" w:rsidRPr="0088190A">
        <w:rPr>
          <w:rFonts w:cstheme="minorHAnsi"/>
          <w:i/>
          <w:sz w:val="24"/>
          <w:szCs w:val="24"/>
        </w:rPr>
        <w:t>může vykonávat TA ČR</w:t>
      </w:r>
      <w:r w:rsidR="007A1944" w:rsidRPr="00010976">
        <w:rPr>
          <w:rFonts w:cstheme="minorHAnsi"/>
          <w:iCs/>
          <w:sz w:val="24"/>
          <w:szCs w:val="24"/>
        </w:rPr>
        <w:t>.</w:t>
      </w:r>
      <w:r w:rsidR="00C478F8" w:rsidRPr="00010976">
        <w:rPr>
          <w:rFonts w:cstheme="minorHAnsi"/>
          <w:iCs/>
          <w:sz w:val="24"/>
          <w:szCs w:val="24"/>
        </w:rPr>
        <w:t>“</w:t>
      </w:r>
    </w:p>
    <w:p w14:paraId="27861EA9" w14:textId="0F0BA261" w:rsidR="00D46A57" w:rsidRPr="0088190A" w:rsidRDefault="006A0A54" w:rsidP="006C7902">
      <w:pPr>
        <w:spacing w:before="120" w:after="0" w:line="240" w:lineRule="auto"/>
        <w:jc w:val="both"/>
        <w:rPr>
          <w:rFonts w:cstheme="minorHAnsi"/>
          <w:sz w:val="24"/>
          <w:szCs w:val="24"/>
        </w:rPr>
      </w:pPr>
      <w:r>
        <w:rPr>
          <w:rFonts w:cstheme="minorHAnsi"/>
          <w:sz w:val="24"/>
          <w:szCs w:val="24"/>
        </w:rPr>
        <w:t xml:space="preserve">4.29 </w:t>
      </w:r>
      <w:r w:rsidR="00D46A57" w:rsidRPr="0088190A">
        <w:rPr>
          <w:rFonts w:cstheme="minorHAnsi"/>
          <w:sz w:val="24"/>
          <w:szCs w:val="24"/>
        </w:rPr>
        <w:t xml:space="preserve">TA ČR jako administrátor programů může plnit různé funkce, a to především implementační roli dle zákona </w:t>
      </w:r>
      <w:r w:rsidR="007824E0">
        <w:rPr>
          <w:rFonts w:cstheme="minorHAnsi"/>
          <w:sz w:val="24"/>
          <w:szCs w:val="24"/>
        </w:rPr>
        <w:t xml:space="preserve">o </w:t>
      </w:r>
      <w:proofErr w:type="spellStart"/>
      <w:r w:rsidR="007824E0">
        <w:rPr>
          <w:rFonts w:cstheme="minorHAnsi"/>
          <w:sz w:val="24"/>
          <w:szCs w:val="24"/>
        </w:rPr>
        <w:t>VaVaI</w:t>
      </w:r>
      <w:proofErr w:type="spellEnd"/>
      <w:r w:rsidR="00D46A57" w:rsidRPr="0088190A">
        <w:rPr>
          <w:rFonts w:cstheme="minorHAnsi"/>
          <w:sz w:val="24"/>
          <w:szCs w:val="24"/>
        </w:rPr>
        <w:t xml:space="preserve"> a dále dle dohody s daným re</w:t>
      </w:r>
      <w:r w:rsidR="00843DB6">
        <w:rPr>
          <w:rFonts w:cstheme="minorHAnsi"/>
          <w:sz w:val="24"/>
          <w:szCs w:val="24"/>
        </w:rPr>
        <w:t>s</w:t>
      </w:r>
      <w:r w:rsidR="00D46A57" w:rsidRPr="0088190A">
        <w:rPr>
          <w:rFonts w:cstheme="minorHAnsi"/>
          <w:sz w:val="24"/>
          <w:szCs w:val="24"/>
        </w:rPr>
        <w:t>ortem se může spolupodílet na</w:t>
      </w:r>
      <w:r w:rsidR="006C7902" w:rsidRPr="0088190A">
        <w:rPr>
          <w:rFonts w:cstheme="minorHAnsi"/>
          <w:sz w:val="24"/>
          <w:szCs w:val="24"/>
        </w:rPr>
        <w:t> </w:t>
      </w:r>
      <w:r w:rsidR="00D46A57" w:rsidRPr="0088190A">
        <w:rPr>
          <w:rFonts w:cstheme="minorHAnsi"/>
          <w:sz w:val="24"/>
          <w:szCs w:val="24"/>
        </w:rPr>
        <w:t>přípravě programu, pomáhat s jeho hodnocením atd. Dále může zastávat roli poskytovatele informačního systému</w:t>
      </w:r>
      <w:r w:rsidR="00AB41E1">
        <w:rPr>
          <w:rFonts w:cstheme="minorHAnsi"/>
          <w:sz w:val="24"/>
          <w:szCs w:val="24"/>
        </w:rPr>
        <w:t xml:space="preserve">. </w:t>
      </w:r>
      <w:r w:rsidR="00D46A57" w:rsidRPr="0088190A">
        <w:rPr>
          <w:rFonts w:cstheme="minorHAnsi"/>
          <w:sz w:val="24"/>
          <w:szCs w:val="24"/>
        </w:rPr>
        <w:t>Hloubka a</w:t>
      </w:r>
      <w:r w:rsidR="006C7902" w:rsidRPr="0088190A">
        <w:rPr>
          <w:rFonts w:cstheme="minorHAnsi"/>
          <w:sz w:val="24"/>
          <w:szCs w:val="24"/>
        </w:rPr>
        <w:t> </w:t>
      </w:r>
      <w:r w:rsidR="00D46A57" w:rsidRPr="0088190A">
        <w:rPr>
          <w:rFonts w:cstheme="minorHAnsi"/>
          <w:sz w:val="24"/>
          <w:szCs w:val="24"/>
        </w:rPr>
        <w:t>intenzita spolupráce na přípravě a</w:t>
      </w:r>
      <w:r w:rsidR="00E479A9">
        <w:rPr>
          <w:rFonts w:cstheme="minorHAnsi"/>
          <w:sz w:val="24"/>
          <w:szCs w:val="24"/>
        </w:rPr>
        <w:t> </w:t>
      </w:r>
      <w:r w:rsidR="00D46A57" w:rsidRPr="0088190A">
        <w:rPr>
          <w:rFonts w:cstheme="minorHAnsi"/>
          <w:sz w:val="24"/>
          <w:szCs w:val="24"/>
        </w:rPr>
        <w:t>implementaci programu se pak řídí například usnesením vlády nebo dohodou, či smlouvou mezi TA ČR a partnerem. Nastavování priorit jednotlivých programů, podprogramů a</w:t>
      </w:r>
      <w:r w:rsidR="00E479A9">
        <w:rPr>
          <w:rFonts w:cstheme="minorHAnsi"/>
          <w:sz w:val="24"/>
          <w:szCs w:val="24"/>
        </w:rPr>
        <w:t> </w:t>
      </w:r>
      <w:r w:rsidR="00D46A57" w:rsidRPr="0088190A">
        <w:rPr>
          <w:rFonts w:cstheme="minorHAnsi"/>
          <w:sz w:val="24"/>
          <w:szCs w:val="24"/>
        </w:rPr>
        <w:t xml:space="preserve">konkrétních soutěží je v gesci </w:t>
      </w:r>
      <w:r w:rsidR="006663E1">
        <w:rPr>
          <w:rFonts w:cstheme="minorHAnsi"/>
          <w:sz w:val="24"/>
          <w:szCs w:val="24"/>
        </w:rPr>
        <w:t>příslušného</w:t>
      </w:r>
      <w:r w:rsidR="00D46A57" w:rsidRPr="0088190A">
        <w:rPr>
          <w:rFonts w:cstheme="minorHAnsi"/>
          <w:sz w:val="24"/>
          <w:szCs w:val="24"/>
        </w:rPr>
        <w:t xml:space="preserve"> re</w:t>
      </w:r>
      <w:r w:rsidR="00843DB6">
        <w:rPr>
          <w:rFonts w:cstheme="minorHAnsi"/>
          <w:sz w:val="24"/>
          <w:szCs w:val="24"/>
        </w:rPr>
        <w:t>s</w:t>
      </w:r>
      <w:r w:rsidR="00D46A57" w:rsidRPr="0088190A">
        <w:rPr>
          <w:rFonts w:cstheme="minorHAnsi"/>
          <w:sz w:val="24"/>
          <w:szCs w:val="24"/>
        </w:rPr>
        <w:t xml:space="preserve">ortu. Danému ministerstvu tak zůstane rozhodovací pravomoc o směřování programu, TA ČR zajistí administraci programu a jeho projektů. Konečné rozhodnutí o administraci resortních programů TA ČR však vždy </w:t>
      </w:r>
      <w:r w:rsidR="00D46A57" w:rsidRPr="00AB41E1">
        <w:rPr>
          <w:rFonts w:cstheme="minorHAnsi"/>
          <w:sz w:val="24"/>
          <w:szCs w:val="24"/>
        </w:rPr>
        <w:t xml:space="preserve">náleží </w:t>
      </w:r>
      <w:r w:rsidR="00843DB6">
        <w:rPr>
          <w:rFonts w:cstheme="minorHAnsi"/>
          <w:sz w:val="24"/>
          <w:szCs w:val="24"/>
        </w:rPr>
        <w:t>v</w:t>
      </w:r>
      <w:r w:rsidR="006C7902" w:rsidRPr="00AB41E1">
        <w:rPr>
          <w:rFonts w:cstheme="minorHAnsi"/>
          <w:sz w:val="24"/>
          <w:szCs w:val="24"/>
        </w:rPr>
        <w:t>ládě ČR</w:t>
      </w:r>
      <w:r w:rsidR="00D46A57" w:rsidRPr="00AB41E1">
        <w:rPr>
          <w:rFonts w:cstheme="minorHAnsi"/>
          <w:sz w:val="24"/>
          <w:szCs w:val="24"/>
        </w:rPr>
        <w:t>.</w:t>
      </w:r>
    </w:p>
    <w:p w14:paraId="10609E9F" w14:textId="4DB360B5" w:rsidR="006C7902" w:rsidRPr="004E2AE2" w:rsidRDefault="006A0A54" w:rsidP="003D71C9">
      <w:pPr>
        <w:spacing w:before="120" w:after="120" w:line="240" w:lineRule="auto"/>
        <w:jc w:val="both"/>
        <w:rPr>
          <w:rFonts w:cstheme="minorHAnsi"/>
          <w:b/>
          <w:sz w:val="24"/>
          <w:szCs w:val="24"/>
        </w:rPr>
      </w:pPr>
      <w:r>
        <w:rPr>
          <w:rFonts w:cstheme="minorHAnsi"/>
          <w:b/>
          <w:sz w:val="24"/>
          <w:szCs w:val="24"/>
        </w:rPr>
        <w:t xml:space="preserve">4.30 </w:t>
      </w:r>
      <w:r w:rsidR="00D46A57" w:rsidRPr="0088190A">
        <w:rPr>
          <w:rFonts w:cstheme="minorHAnsi"/>
          <w:b/>
          <w:sz w:val="24"/>
          <w:szCs w:val="24"/>
        </w:rPr>
        <w:t>Cílem reformy</w:t>
      </w:r>
      <w:r w:rsidR="00572B4D" w:rsidRPr="0088190A">
        <w:rPr>
          <w:rFonts w:cstheme="minorHAnsi"/>
          <w:b/>
          <w:sz w:val="24"/>
          <w:szCs w:val="24"/>
        </w:rPr>
        <w:t xml:space="preserve"> </w:t>
      </w:r>
      <w:proofErr w:type="spellStart"/>
      <w:r w:rsidR="00572B4D" w:rsidRPr="0088190A">
        <w:rPr>
          <w:rFonts w:cstheme="minorHAnsi"/>
          <w:b/>
          <w:sz w:val="24"/>
          <w:szCs w:val="24"/>
        </w:rPr>
        <w:t>VaVaI</w:t>
      </w:r>
      <w:proofErr w:type="spellEnd"/>
      <w:r w:rsidR="00D46A57" w:rsidRPr="0088190A">
        <w:rPr>
          <w:rFonts w:cstheme="minorHAnsi"/>
          <w:b/>
          <w:sz w:val="24"/>
          <w:szCs w:val="24"/>
        </w:rPr>
        <w:t xml:space="preserve"> bylo zefektivnit podporu </w:t>
      </w:r>
      <w:proofErr w:type="spellStart"/>
      <w:r w:rsidR="00D46A57" w:rsidRPr="0088190A">
        <w:rPr>
          <w:rFonts w:cstheme="minorHAnsi"/>
          <w:b/>
          <w:sz w:val="24"/>
          <w:szCs w:val="24"/>
        </w:rPr>
        <w:t>VaVaI</w:t>
      </w:r>
      <w:proofErr w:type="spellEnd"/>
      <w:r w:rsidR="00D46A57" w:rsidRPr="0088190A">
        <w:rPr>
          <w:rFonts w:cstheme="minorHAnsi"/>
          <w:b/>
          <w:sz w:val="24"/>
          <w:szCs w:val="24"/>
        </w:rPr>
        <w:t xml:space="preserve"> a snížit roztříštěnost</w:t>
      </w:r>
      <w:r w:rsidR="0070341C">
        <w:rPr>
          <w:rFonts w:cstheme="minorHAnsi"/>
          <w:b/>
          <w:sz w:val="24"/>
          <w:szCs w:val="24"/>
        </w:rPr>
        <w:t xml:space="preserve"> systému pod</w:t>
      </w:r>
      <w:r w:rsidR="004F5011">
        <w:rPr>
          <w:rFonts w:cstheme="minorHAnsi"/>
          <w:b/>
          <w:sz w:val="24"/>
          <w:szCs w:val="24"/>
        </w:rPr>
        <w:t>p</w:t>
      </w:r>
      <w:r w:rsidR="0070341C">
        <w:rPr>
          <w:rFonts w:cstheme="minorHAnsi"/>
          <w:b/>
          <w:sz w:val="24"/>
          <w:szCs w:val="24"/>
        </w:rPr>
        <w:t>ory</w:t>
      </w:r>
      <w:r w:rsidR="00D46A57" w:rsidRPr="0088190A">
        <w:rPr>
          <w:rFonts w:cstheme="minorHAnsi"/>
          <w:b/>
          <w:sz w:val="24"/>
          <w:szCs w:val="24"/>
        </w:rPr>
        <w:t xml:space="preserve"> českého výzkumu. TA ČR disponuje potřebným know-how a moderním informačním systémem, který umožňuje efektivní administraci programů a projektů. I přes dosažené pokroky však zůstává roztříštěnost</w:t>
      </w:r>
      <w:r w:rsidR="004F5011">
        <w:rPr>
          <w:rFonts w:cstheme="minorHAnsi"/>
          <w:b/>
          <w:sz w:val="24"/>
          <w:szCs w:val="24"/>
        </w:rPr>
        <w:t xml:space="preserve"> </w:t>
      </w:r>
      <w:r w:rsidR="0070341C">
        <w:rPr>
          <w:rFonts w:cstheme="minorHAnsi"/>
          <w:b/>
          <w:sz w:val="24"/>
          <w:szCs w:val="24"/>
        </w:rPr>
        <w:t>systému státní podpory českého výzkumu problémem</w:t>
      </w:r>
      <w:r w:rsidR="00D46A57" w:rsidRPr="0088190A">
        <w:rPr>
          <w:rFonts w:cstheme="minorHAnsi"/>
          <w:b/>
          <w:sz w:val="24"/>
          <w:szCs w:val="24"/>
        </w:rPr>
        <w:t>.</w:t>
      </w:r>
    </w:p>
    <w:p w14:paraId="65B1E3DF" w14:textId="7673DDD8" w:rsidR="00F470A1" w:rsidRPr="004E2AE2" w:rsidRDefault="0038040B" w:rsidP="00B2054C">
      <w:pPr>
        <w:pStyle w:val="Odstavecseseznamem"/>
        <w:keepNext/>
        <w:numPr>
          <w:ilvl w:val="0"/>
          <w:numId w:val="2"/>
        </w:numPr>
        <w:spacing w:before="240" w:after="240" w:line="240" w:lineRule="auto"/>
        <w:ind w:left="284" w:hanging="284"/>
        <w:contextualSpacing w:val="0"/>
        <w:jc w:val="both"/>
        <w:rPr>
          <w:rFonts w:cstheme="minorHAnsi"/>
          <w:b/>
          <w:sz w:val="24"/>
          <w:szCs w:val="24"/>
        </w:rPr>
      </w:pPr>
      <w:r>
        <w:rPr>
          <w:rFonts w:cstheme="minorHAnsi"/>
          <w:b/>
          <w:sz w:val="24"/>
          <w:szCs w:val="24"/>
        </w:rPr>
        <w:t xml:space="preserve">Nedostatečná spolupráce mezi </w:t>
      </w:r>
      <w:r w:rsidR="0070341C">
        <w:rPr>
          <w:rFonts w:cstheme="minorHAnsi"/>
          <w:b/>
          <w:sz w:val="24"/>
          <w:szCs w:val="24"/>
        </w:rPr>
        <w:t>agenturami</w:t>
      </w:r>
    </w:p>
    <w:p w14:paraId="747FBEFF" w14:textId="45E68BA0" w:rsidR="00E950AF" w:rsidRPr="0088190A" w:rsidRDefault="00EF2AE4" w:rsidP="008D3501">
      <w:pPr>
        <w:keepNext/>
        <w:spacing w:before="120" w:after="0" w:line="240" w:lineRule="auto"/>
        <w:jc w:val="both"/>
        <w:rPr>
          <w:rFonts w:eastAsia="Times New Roman" w:cstheme="minorHAnsi"/>
          <w:sz w:val="24"/>
          <w:szCs w:val="24"/>
        </w:rPr>
      </w:pPr>
      <w:r>
        <w:rPr>
          <w:rFonts w:eastAsia="Times New Roman" w:cstheme="minorHAnsi"/>
          <w:sz w:val="24"/>
          <w:szCs w:val="24"/>
        </w:rPr>
        <w:t xml:space="preserve">4.31 </w:t>
      </w:r>
      <w:r w:rsidR="00E950AF" w:rsidRPr="0088190A">
        <w:rPr>
          <w:rFonts w:eastAsia="Times New Roman" w:cstheme="minorHAnsi"/>
          <w:sz w:val="24"/>
          <w:szCs w:val="24"/>
        </w:rPr>
        <w:t>Spolupráce mezi GA ČR a TA ČR probíhala na různých úrovních. Jedn</w:t>
      </w:r>
      <w:r w:rsidR="005E6260" w:rsidRPr="0088190A">
        <w:rPr>
          <w:rFonts w:eastAsia="Times New Roman" w:cstheme="minorHAnsi"/>
          <w:sz w:val="24"/>
          <w:szCs w:val="24"/>
        </w:rPr>
        <w:t>alo</w:t>
      </w:r>
      <w:r w:rsidR="00E950AF" w:rsidRPr="0088190A">
        <w:rPr>
          <w:rFonts w:eastAsia="Times New Roman" w:cstheme="minorHAnsi"/>
          <w:sz w:val="24"/>
          <w:szCs w:val="24"/>
        </w:rPr>
        <w:t xml:space="preserve"> se zejména o</w:t>
      </w:r>
      <w:r w:rsidR="004511D5">
        <w:rPr>
          <w:rFonts w:eastAsia="Times New Roman" w:cstheme="minorHAnsi"/>
          <w:sz w:val="24"/>
          <w:szCs w:val="24"/>
        </w:rPr>
        <w:t> </w:t>
      </w:r>
      <w:r w:rsidR="00E950AF" w:rsidRPr="0088190A">
        <w:rPr>
          <w:rFonts w:eastAsia="Times New Roman" w:cstheme="minorHAnsi"/>
          <w:sz w:val="24"/>
          <w:szCs w:val="24"/>
        </w:rPr>
        <w:t>společnou komunikaci, výměnu relevantních informací, spolupráci v</w:t>
      </w:r>
      <w:r w:rsidR="00834CEC">
        <w:rPr>
          <w:rFonts w:eastAsia="Times New Roman" w:cstheme="minorHAnsi"/>
          <w:sz w:val="24"/>
          <w:szCs w:val="24"/>
        </w:rPr>
        <w:t> </w:t>
      </w:r>
      <w:r w:rsidR="00E950AF" w:rsidRPr="0088190A">
        <w:rPr>
          <w:rFonts w:eastAsia="Times New Roman" w:cstheme="minorHAnsi"/>
          <w:sz w:val="24"/>
          <w:szCs w:val="24"/>
        </w:rPr>
        <w:t>oblasti poradenství uchazečům apod. Obě agentury se dohodly na potřebě určit pravidla pro</w:t>
      </w:r>
      <w:r w:rsidR="002F6575">
        <w:rPr>
          <w:rFonts w:eastAsia="Times New Roman" w:cstheme="minorHAnsi"/>
          <w:sz w:val="24"/>
          <w:szCs w:val="24"/>
        </w:rPr>
        <w:t xml:space="preserve"> </w:t>
      </w:r>
      <w:r w:rsidR="00E950AF" w:rsidRPr="0088190A">
        <w:rPr>
          <w:rFonts w:eastAsia="Times New Roman" w:cstheme="minorHAnsi"/>
          <w:sz w:val="24"/>
          <w:szCs w:val="24"/>
        </w:rPr>
        <w:t xml:space="preserve">vzájemnou spolupráci v oblasti podpory projektů a návaznosti jednotlivých kroků inovačního procesu </w:t>
      </w:r>
      <w:r w:rsidR="00E950AF" w:rsidRPr="0088190A">
        <w:rPr>
          <w:rFonts w:eastAsia="Times New Roman" w:cstheme="minorHAnsi"/>
          <w:sz w:val="24"/>
          <w:szCs w:val="24"/>
        </w:rPr>
        <w:lastRenderedPageBreak/>
        <w:t>a</w:t>
      </w:r>
      <w:r w:rsidR="004511D5">
        <w:rPr>
          <w:rFonts w:eastAsia="Times New Roman" w:cstheme="minorHAnsi"/>
          <w:sz w:val="24"/>
          <w:szCs w:val="24"/>
        </w:rPr>
        <w:t> </w:t>
      </w:r>
      <w:r w:rsidR="00E950AF" w:rsidRPr="0088190A">
        <w:rPr>
          <w:rFonts w:eastAsia="Times New Roman" w:cstheme="minorHAnsi"/>
          <w:sz w:val="24"/>
          <w:szCs w:val="24"/>
        </w:rPr>
        <w:t xml:space="preserve">dne 10. 11. 2018 uzavřely </w:t>
      </w:r>
      <w:r w:rsidR="002F6575">
        <w:rPr>
          <w:rFonts w:eastAsia="Times New Roman" w:cstheme="minorHAnsi"/>
          <w:sz w:val="24"/>
          <w:szCs w:val="24"/>
        </w:rPr>
        <w:t>m</w:t>
      </w:r>
      <w:r w:rsidR="00E950AF" w:rsidRPr="0088190A">
        <w:rPr>
          <w:rFonts w:eastAsia="Times New Roman" w:cstheme="minorHAnsi"/>
          <w:sz w:val="24"/>
          <w:szCs w:val="24"/>
        </w:rPr>
        <w:t>emorandum o spolupráci. Zde stanovily následující cíle vzájemné spolupráce:</w:t>
      </w:r>
    </w:p>
    <w:p w14:paraId="63CF266F" w14:textId="4BDA7F06" w:rsidR="00E950AF" w:rsidRPr="004C0D5B" w:rsidRDefault="00E950AF" w:rsidP="008D3501">
      <w:pPr>
        <w:pStyle w:val="Odstavecseseznamem"/>
        <w:numPr>
          <w:ilvl w:val="0"/>
          <w:numId w:val="19"/>
        </w:numPr>
        <w:spacing w:after="0" w:line="240" w:lineRule="auto"/>
        <w:ind w:left="568" w:hanging="284"/>
        <w:contextualSpacing w:val="0"/>
        <w:jc w:val="both"/>
        <w:rPr>
          <w:rFonts w:eastAsia="Times New Roman" w:cstheme="minorHAnsi"/>
          <w:sz w:val="24"/>
          <w:szCs w:val="24"/>
        </w:rPr>
      </w:pPr>
      <w:r w:rsidRPr="004C0D5B">
        <w:rPr>
          <w:rFonts w:eastAsia="Times New Roman" w:cstheme="minorHAnsi"/>
          <w:sz w:val="24"/>
          <w:szCs w:val="24"/>
        </w:rPr>
        <w:t>Obě strany se zavazují k vzájemné spolupráci za účelem efektivního provázání systému podpory výzkumu, experimentálního vývoje a inovací a co nejvyššího využití potenciálu výstupů základního výzkumu pro aplikační účely.</w:t>
      </w:r>
    </w:p>
    <w:p w14:paraId="1D025C73" w14:textId="1463AF66" w:rsidR="00E950AF" w:rsidRPr="004C0D5B" w:rsidRDefault="00E950AF" w:rsidP="008D3501">
      <w:pPr>
        <w:pStyle w:val="Odstavecseseznamem"/>
        <w:numPr>
          <w:ilvl w:val="0"/>
          <w:numId w:val="19"/>
        </w:numPr>
        <w:spacing w:after="0" w:line="240" w:lineRule="auto"/>
        <w:ind w:left="568" w:hanging="284"/>
        <w:contextualSpacing w:val="0"/>
        <w:jc w:val="both"/>
        <w:rPr>
          <w:rFonts w:eastAsia="Times New Roman" w:cstheme="minorHAnsi"/>
          <w:sz w:val="24"/>
          <w:szCs w:val="24"/>
        </w:rPr>
      </w:pPr>
      <w:r w:rsidRPr="004C0D5B">
        <w:rPr>
          <w:rFonts w:eastAsia="Times New Roman" w:cstheme="minorHAnsi"/>
          <w:sz w:val="24"/>
          <w:szCs w:val="24"/>
        </w:rPr>
        <w:t>Obě strany se zavazují svojí spoluprací směřovat k synergickému postupu při</w:t>
      </w:r>
      <w:r w:rsidR="002F6575">
        <w:rPr>
          <w:rFonts w:eastAsia="Times New Roman" w:cstheme="minorHAnsi"/>
          <w:sz w:val="24"/>
          <w:szCs w:val="24"/>
        </w:rPr>
        <w:t xml:space="preserve"> </w:t>
      </w:r>
      <w:r w:rsidRPr="004C0D5B">
        <w:rPr>
          <w:rFonts w:eastAsia="Times New Roman" w:cstheme="minorHAnsi"/>
          <w:sz w:val="24"/>
          <w:szCs w:val="24"/>
        </w:rPr>
        <w:t>podpoře projektů základního a aplikovaného výzkumu v rámci stávajících možností obou organizací.</w:t>
      </w:r>
    </w:p>
    <w:p w14:paraId="7EA15F5F" w14:textId="75041026" w:rsidR="00E950AF" w:rsidRPr="004C0D5B" w:rsidRDefault="00E950AF" w:rsidP="008D3501">
      <w:pPr>
        <w:pStyle w:val="Odstavecseseznamem"/>
        <w:numPr>
          <w:ilvl w:val="0"/>
          <w:numId w:val="19"/>
        </w:numPr>
        <w:spacing w:after="0" w:line="240" w:lineRule="auto"/>
        <w:ind w:left="568" w:hanging="284"/>
        <w:contextualSpacing w:val="0"/>
        <w:jc w:val="both"/>
        <w:rPr>
          <w:rFonts w:eastAsia="Times New Roman" w:cstheme="minorHAnsi"/>
          <w:sz w:val="24"/>
          <w:szCs w:val="24"/>
        </w:rPr>
      </w:pPr>
      <w:r w:rsidRPr="004C0D5B">
        <w:rPr>
          <w:rFonts w:eastAsia="Times New Roman" w:cstheme="minorHAnsi"/>
          <w:sz w:val="24"/>
          <w:szCs w:val="24"/>
        </w:rPr>
        <w:t>TA ČR se zavazuje poskytnout informace a metodickou pomoc řešitelům a</w:t>
      </w:r>
      <w:r w:rsidR="005E6260" w:rsidRPr="004C0D5B">
        <w:rPr>
          <w:rFonts w:eastAsia="Times New Roman" w:cstheme="minorHAnsi"/>
          <w:sz w:val="24"/>
          <w:szCs w:val="24"/>
        </w:rPr>
        <w:t> </w:t>
      </w:r>
      <w:r w:rsidRPr="004C0D5B">
        <w:rPr>
          <w:rFonts w:eastAsia="Times New Roman" w:cstheme="minorHAnsi"/>
          <w:sz w:val="24"/>
          <w:szCs w:val="24"/>
        </w:rPr>
        <w:t>řešitelkám projektů, které byly podpořeny GA ČR a které byly vyhodnoceny při</w:t>
      </w:r>
      <w:r w:rsidR="000077F3">
        <w:rPr>
          <w:rFonts w:eastAsia="Times New Roman" w:cstheme="minorHAnsi"/>
          <w:sz w:val="24"/>
          <w:szCs w:val="24"/>
        </w:rPr>
        <w:t xml:space="preserve"> </w:t>
      </w:r>
      <w:r w:rsidRPr="004C0D5B">
        <w:rPr>
          <w:rFonts w:eastAsia="Times New Roman" w:cstheme="minorHAnsi"/>
          <w:sz w:val="24"/>
          <w:szCs w:val="24"/>
        </w:rPr>
        <w:t>ukončení jako kvalitní.</w:t>
      </w:r>
    </w:p>
    <w:p w14:paraId="0FD4B72D" w14:textId="77777777" w:rsidR="00E950AF" w:rsidRPr="004C0D5B" w:rsidRDefault="00E950AF" w:rsidP="008D3501">
      <w:pPr>
        <w:pStyle w:val="Odstavecseseznamem"/>
        <w:numPr>
          <w:ilvl w:val="0"/>
          <w:numId w:val="19"/>
        </w:numPr>
        <w:spacing w:after="0" w:line="240" w:lineRule="auto"/>
        <w:ind w:left="568" w:hanging="284"/>
        <w:contextualSpacing w:val="0"/>
        <w:jc w:val="both"/>
        <w:rPr>
          <w:rFonts w:eastAsia="Times New Roman" w:cstheme="minorHAnsi"/>
          <w:sz w:val="24"/>
          <w:szCs w:val="24"/>
        </w:rPr>
      </w:pPr>
      <w:r w:rsidRPr="004C0D5B">
        <w:rPr>
          <w:rFonts w:eastAsia="Times New Roman" w:cstheme="minorHAnsi"/>
          <w:sz w:val="24"/>
          <w:szCs w:val="24"/>
        </w:rPr>
        <w:t>GA ČR se zavazuje zprostředkovat svým žadatelům, žadatelkám, řešitelům a</w:t>
      </w:r>
      <w:r w:rsidR="005E6260" w:rsidRPr="004C0D5B">
        <w:rPr>
          <w:rFonts w:eastAsia="Times New Roman" w:cstheme="minorHAnsi"/>
          <w:sz w:val="24"/>
          <w:szCs w:val="24"/>
        </w:rPr>
        <w:t> </w:t>
      </w:r>
      <w:r w:rsidRPr="004C0D5B">
        <w:rPr>
          <w:rFonts w:eastAsia="Times New Roman" w:cstheme="minorHAnsi"/>
          <w:sz w:val="24"/>
          <w:szCs w:val="24"/>
        </w:rPr>
        <w:t>řešitelkám informace vycházející z předmětné spolupráce.</w:t>
      </w:r>
    </w:p>
    <w:p w14:paraId="6E83EFF8" w14:textId="38B627F6" w:rsidR="00E950AF" w:rsidRPr="0088190A" w:rsidRDefault="00250D2B" w:rsidP="00834CEC">
      <w:pPr>
        <w:spacing w:before="120" w:after="120" w:line="240" w:lineRule="auto"/>
        <w:jc w:val="both"/>
        <w:rPr>
          <w:rFonts w:eastAsia="Times New Roman" w:cstheme="minorHAnsi"/>
          <w:sz w:val="24"/>
          <w:szCs w:val="24"/>
        </w:rPr>
      </w:pPr>
      <w:r>
        <w:rPr>
          <w:rFonts w:eastAsia="Times New Roman" w:cstheme="minorHAnsi"/>
          <w:sz w:val="24"/>
          <w:szCs w:val="24"/>
        </w:rPr>
        <w:t xml:space="preserve">4.32 </w:t>
      </w:r>
      <w:r w:rsidR="00E950AF" w:rsidRPr="0088190A">
        <w:rPr>
          <w:rFonts w:eastAsia="Times New Roman" w:cstheme="minorHAnsi"/>
          <w:sz w:val="24"/>
          <w:szCs w:val="24"/>
        </w:rPr>
        <w:t>Zástupci obou agentur vytvořili pracovní skupinu, jejímž cílem je provázat systém podpory základního a aplikovaného výzkumu. Z jednání byly vytvořeny zápisy, a to ze sedmi schůzek. První jednání se uskutečnilo dne 10.</w:t>
      </w:r>
      <w:r w:rsidR="00543409">
        <w:rPr>
          <w:rFonts w:eastAsia="Times New Roman" w:cstheme="minorHAnsi"/>
          <w:sz w:val="24"/>
          <w:szCs w:val="24"/>
        </w:rPr>
        <w:t> </w:t>
      </w:r>
      <w:r w:rsidR="00E950AF" w:rsidRPr="0088190A">
        <w:rPr>
          <w:rFonts w:eastAsia="Times New Roman" w:cstheme="minorHAnsi"/>
          <w:sz w:val="24"/>
          <w:szCs w:val="24"/>
        </w:rPr>
        <w:t>10.</w:t>
      </w:r>
      <w:r w:rsidR="00543409">
        <w:rPr>
          <w:rFonts w:eastAsia="Times New Roman" w:cstheme="minorHAnsi"/>
          <w:sz w:val="24"/>
          <w:szCs w:val="24"/>
        </w:rPr>
        <w:t> </w:t>
      </w:r>
      <w:r w:rsidR="00E950AF" w:rsidRPr="0088190A">
        <w:rPr>
          <w:rFonts w:eastAsia="Times New Roman" w:cstheme="minorHAnsi"/>
          <w:sz w:val="24"/>
          <w:szCs w:val="24"/>
        </w:rPr>
        <w:t>2022 a poslední zaznamenané jednání se</w:t>
      </w:r>
      <w:r w:rsidR="000077F3">
        <w:rPr>
          <w:rFonts w:eastAsia="Times New Roman" w:cstheme="minorHAnsi"/>
          <w:sz w:val="24"/>
          <w:szCs w:val="24"/>
        </w:rPr>
        <w:t xml:space="preserve"> </w:t>
      </w:r>
      <w:r w:rsidR="00E950AF" w:rsidRPr="0088190A">
        <w:rPr>
          <w:rFonts w:eastAsia="Times New Roman" w:cstheme="minorHAnsi"/>
          <w:sz w:val="24"/>
          <w:szCs w:val="24"/>
        </w:rPr>
        <w:t>uskutečnilo dne 11.</w:t>
      </w:r>
      <w:r w:rsidR="00543409">
        <w:rPr>
          <w:rFonts w:eastAsia="Times New Roman" w:cstheme="minorHAnsi"/>
          <w:sz w:val="24"/>
          <w:szCs w:val="24"/>
        </w:rPr>
        <w:t> </w:t>
      </w:r>
      <w:r w:rsidR="00E950AF" w:rsidRPr="0088190A">
        <w:rPr>
          <w:rFonts w:eastAsia="Times New Roman" w:cstheme="minorHAnsi"/>
          <w:sz w:val="24"/>
          <w:szCs w:val="24"/>
        </w:rPr>
        <w:t>12.</w:t>
      </w:r>
      <w:r w:rsidR="00543409">
        <w:rPr>
          <w:rFonts w:eastAsia="Times New Roman" w:cstheme="minorHAnsi"/>
          <w:sz w:val="24"/>
          <w:szCs w:val="24"/>
        </w:rPr>
        <w:t> </w:t>
      </w:r>
      <w:r w:rsidR="00E950AF" w:rsidRPr="0088190A">
        <w:rPr>
          <w:rFonts w:eastAsia="Times New Roman" w:cstheme="minorHAnsi"/>
          <w:sz w:val="24"/>
          <w:szCs w:val="24"/>
        </w:rPr>
        <w:t>2023. Zástupci GA ČR a TA ČR diskutovali o podobě, možnostech a překážkách spolupráce obou agentur za účelem provázání systému podpory základního a aplikovaného výzkumu a zvýšení aplikovatelnosti výsledků dosažených z veřejných zdrojů, a</w:t>
      </w:r>
      <w:r w:rsidR="00E257AA">
        <w:rPr>
          <w:rFonts w:eastAsia="Times New Roman" w:cstheme="minorHAnsi"/>
          <w:sz w:val="24"/>
          <w:szCs w:val="24"/>
        </w:rPr>
        <w:t> </w:t>
      </w:r>
      <w:r w:rsidR="00E950AF" w:rsidRPr="0088190A">
        <w:rPr>
          <w:rFonts w:eastAsia="Times New Roman" w:cstheme="minorHAnsi"/>
          <w:sz w:val="24"/>
          <w:szCs w:val="24"/>
        </w:rPr>
        <w:t xml:space="preserve">to také výsledků základního výzkumu. Jedním z uvedených východisek byla rovněž </w:t>
      </w:r>
      <w:r w:rsidR="004511D5">
        <w:rPr>
          <w:rFonts w:eastAsia="Times New Roman" w:cstheme="minorHAnsi"/>
          <w:sz w:val="24"/>
          <w:szCs w:val="24"/>
        </w:rPr>
        <w:t>i </w:t>
      </w:r>
      <w:r w:rsidR="00E950AF" w:rsidRPr="0088190A">
        <w:rPr>
          <w:rFonts w:eastAsia="Times New Roman" w:cstheme="minorHAnsi"/>
          <w:sz w:val="24"/>
          <w:szCs w:val="24"/>
        </w:rPr>
        <w:t>skutečnost, že vědci a</w:t>
      </w:r>
      <w:r w:rsidR="00755DD4" w:rsidRPr="0088190A">
        <w:rPr>
          <w:rFonts w:eastAsia="Times New Roman" w:cstheme="minorHAnsi"/>
          <w:sz w:val="24"/>
          <w:szCs w:val="24"/>
        </w:rPr>
        <w:t> </w:t>
      </w:r>
      <w:r w:rsidR="00E950AF" w:rsidRPr="0088190A">
        <w:rPr>
          <w:rFonts w:eastAsia="Times New Roman" w:cstheme="minorHAnsi"/>
          <w:sz w:val="24"/>
          <w:szCs w:val="24"/>
        </w:rPr>
        <w:t>výzkumníci dlouhodobě oslov</w:t>
      </w:r>
      <w:r w:rsidR="00755DD4" w:rsidRPr="0088190A">
        <w:rPr>
          <w:rFonts w:eastAsia="Times New Roman" w:cstheme="minorHAnsi"/>
          <w:sz w:val="24"/>
          <w:szCs w:val="24"/>
        </w:rPr>
        <w:t>ovali</w:t>
      </w:r>
      <w:r w:rsidR="00E950AF" w:rsidRPr="0088190A">
        <w:rPr>
          <w:rFonts w:eastAsia="Times New Roman" w:cstheme="minorHAnsi"/>
          <w:sz w:val="24"/>
          <w:szCs w:val="24"/>
        </w:rPr>
        <w:t xml:space="preserve"> GA ČR i TA ČR, zda existují možnosti, jak podporovat aktivity navazující na základní výzkum ve fázi aplikovaného výzkumu.</w:t>
      </w:r>
    </w:p>
    <w:p w14:paraId="5699E6E4" w14:textId="6D75C7BF" w:rsidR="00E950AF" w:rsidRPr="0088190A" w:rsidRDefault="00250D2B" w:rsidP="00E950AF">
      <w:pPr>
        <w:spacing w:after="120" w:line="240" w:lineRule="auto"/>
        <w:jc w:val="both"/>
        <w:rPr>
          <w:rFonts w:eastAsia="Times New Roman" w:cstheme="minorHAnsi"/>
          <w:sz w:val="24"/>
          <w:szCs w:val="24"/>
        </w:rPr>
      </w:pPr>
      <w:r>
        <w:rPr>
          <w:rFonts w:eastAsia="Times New Roman" w:cstheme="minorHAnsi"/>
          <w:sz w:val="24"/>
          <w:szCs w:val="24"/>
        </w:rPr>
        <w:t xml:space="preserve">4.33 </w:t>
      </w:r>
      <w:r w:rsidR="00E950AF" w:rsidRPr="0088190A">
        <w:rPr>
          <w:rFonts w:eastAsia="Times New Roman" w:cstheme="minorHAnsi"/>
          <w:sz w:val="24"/>
          <w:szCs w:val="24"/>
        </w:rPr>
        <w:t>Projednávána byla možnost realizace společného programu obou agentur. Vývoj jednání nicméně dospěl k variantě posílení vzájemné spolupráce a podpory projektů základního výzkumu s aplikačním potenciálem v programech TA ČR. GA ČR by měla identifikovat kvalitní úspěšně ukončené projekty, u kterých se jejich řešitelé přihlásili k aplikačnímu potenciálu. TA ČR by měla tyto projekty v rámci hodnoticího procesu svých vybraných programů bonifikovat. Do doby ukončení kontrolní akce NKÚ nicméně tento systém nebyl zaveden do praxe. TA ČR tak dosud úspěšné řešitele projektů podpořených GA ČR s aplikačním potenciálem ve svých programech žádným způsobem nebonifikuje</w:t>
      </w:r>
      <w:r w:rsidR="007A1944" w:rsidRPr="0088190A">
        <w:rPr>
          <w:rFonts w:eastAsia="Times New Roman" w:cstheme="minorHAnsi"/>
          <w:sz w:val="24"/>
          <w:szCs w:val="24"/>
        </w:rPr>
        <w:t xml:space="preserve">. </w:t>
      </w:r>
      <w:r w:rsidR="00E950AF" w:rsidRPr="0088190A">
        <w:rPr>
          <w:rFonts w:eastAsia="Times New Roman" w:cstheme="minorHAnsi"/>
          <w:sz w:val="24"/>
          <w:szCs w:val="24"/>
        </w:rPr>
        <w:t>TA ČR jako důvod uvedla nedostatek personálních kapacit a přechod na nový informační systém. Zároveň zde TA ČR uvedla, že obě agentury jednají o možnostech zvýhodnění vybraných projektů v soutěžích vyhlášených</w:t>
      </w:r>
      <w:r w:rsidR="000077F3">
        <w:rPr>
          <w:rFonts w:eastAsia="Times New Roman" w:cstheme="minorHAnsi"/>
          <w:sz w:val="24"/>
          <w:szCs w:val="24"/>
        </w:rPr>
        <w:t xml:space="preserve"> </w:t>
      </w:r>
      <w:r w:rsidR="00E950AF" w:rsidRPr="0088190A">
        <w:rPr>
          <w:rFonts w:eastAsia="Times New Roman" w:cstheme="minorHAnsi"/>
          <w:sz w:val="24"/>
          <w:szCs w:val="24"/>
        </w:rPr>
        <w:t xml:space="preserve">v roce 2025. </w:t>
      </w:r>
    </w:p>
    <w:p w14:paraId="693BA4F3" w14:textId="6FB67942" w:rsidR="00E950AF" w:rsidRPr="0088190A" w:rsidRDefault="00250D2B" w:rsidP="00E950AF">
      <w:pPr>
        <w:spacing w:after="120" w:line="240" w:lineRule="auto"/>
        <w:jc w:val="both"/>
        <w:rPr>
          <w:rFonts w:eastAsia="Times New Roman" w:cstheme="minorHAnsi"/>
          <w:b/>
          <w:bCs/>
          <w:sz w:val="24"/>
          <w:szCs w:val="24"/>
        </w:rPr>
      </w:pPr>
      <w:r>
        <w:rPr>
          <w:rFonts w:eastAsia="Times New Roman" w:cstheme="minorHAnsi"/>
          <w:b/>
          <w:bCs/>
          <w:sz w:val="24"/>
          <w:szCs w:val="24"/>
        </w:rPr>
        <w:t xml:space="preserve">4.34 </w:t>
      </w:r>
      <w:r w:rsidR="00E950AF" w:rsidRPr="0088190A">
        <w:rPr>
          <w:rFonts w:eastAsia="Times New Roman" w:cstheme="minorHAnsi"/>
          <w:b/>
          <w:bCs/>
          <w:sz w:val="24"/>
          <w:szCs w:val="24"/>
        </w:rPr>
        <w:t xml:space="preserve">K vzájemné spolupráci agentur za účelem efektivního provázání systému podpory </w:t>
      </w:r>
      <w:proofErr w:type="spellStart"/>
      <w:r w:rsidR="00E950AF" w:rsidRPr="0088190A">
        <w:rPr>
          <w:rFonts w:eastAsia="Times New Roman" w:cstheme="minorHAnsi"/>
          <w:b/>
          <w:bCs/>
          <w:sz w:val="24"/>
          <w:szCs w:val="24"/>
        </w:rPr>
        <w:t>VaVaI</w:t>
      </w:r>
      <w:proofErr w:type="spellEnd"/>
      <w:r w:rsidR="00E950AF" w:rsidRPr="0088190A">
        <w:rPr>
          <w:rFonts w:eastAsia="Times New Roman" w:cstheme="minorHAnsi"/>
          <w:b/>
          <w:bCs/>
          <w:sz w:val="24"/>
          <w:szCs w:val="24"/>
        </w:rPr>
        <w:t xml:space="preserve"> a co nejvyššího využití potenciálu výstupů základního výzkumu pro aplikační účely dosud nedošlo.</w:t>
      </w:r>
    </w:p>
    <w:p w14:paraId="2E71DDCF" w14:textId="5DA3D4CD" w:rsidR="00351E2F" w:rsidRPr="00351E2F" w:rsidRDefault="00250D2B" w:rsidP="00351E2F">
      <w:pPr>
        <w:autoSpaceDE w:val="0"/>
        <w:autoSpaceDN w:val="0"/>
        <w:adjustRightInd w:val="0"/>
        <w:spacing w:before="120" w:after="120" w:line="240" w:lineRule="auto"/>
        <w:jc w:val="both"/>
        <w:rPr>
          <w:rFonts w:eastAsia="Times New Roman" w:cstheme="minorHAnsi"/>
          <w:sz w:val="24"/>
          <w:szCs w:val="24"/>
        </w:rPr>
      </w:pPr>
      <w:r>
        <w:rPr>
          <w:rFonts w:cstheme="minorHAnsi"/>
          <w:bCs/>
          <w:sz w:val="24"/>
        </w:rPr>
        <w:t xml:space="preserve">4.35 </w:t>
      </w:r>
      <w:r w:rsidR="00B63084" w:rsidRPr="00AB41E1">
        <w:rPr>
          <w:rFonts w:cstheme="minorHAnsi"/>
          <w:bCs/>
          <w:sz w:val="24"/>
        </w:rPr>
        <w:t xml:space="preserve">GA ČR se rozhodla zatím o částečné propojení základního a aplikovaného výzkumu prostřednictvím nové skupiny projektů s názvem </w:t>
      </w:r>
      <w:proofErr w:type="spellStart"/>
      <w:r w:rsidR="00B63084" w:rsidRPr="00AB41E1">
        <w:rPr>
          <w:rFonts w:cstheme="minorHAnsi"/>
          <w:b/>
          <w:bCs/>
          <w:sz w:val="24"/>
        </w:rPr>
        <w:t>Proof</w:t>
      </w:r>
      <w:proofErr w:type="spellEnd"/>
      <w:r w:rsidR="00B63084" w:rsidRPr="00AB41E1">
        <w:rPr>
          <w:rFonts w:cstheme="minorHAnsi"/>
          <w:b/>
          <w:bCs/>
          <w:sz w:val="24"/>
        </w:rPr>
        <w:t xml:space="preserve"> </w:t>
      </w:r>
      <w:proofErr w:type="spellStart"/>
      <w:r w:rsidR="00B63084" w:rsidRPr="00AB41E1">
        <w:rPr>
          <w:rFonts w:cstheme="minorHAnsi"/>
          <w:b/>
          <w:bCs/>
          <w:sz w:val="24"/>
        </w:rPr>
        <w:t>of</w:t>
      </w:r>
      <w:proofErr w:type="spellEnd"/>
      <w:r w:rsidR="00B63084" w:rsidRPr="00AB41E1">
        <w:rPr>
          <w:rFonts w:cstheme="minorHAnsi"/>
          <w:b/>
          <w:bCs/>
          <w:sz w:val="24"/>
        </w:rPr>
        <w:t xml:space="preserve"> </w:t>
      </w:r>
      <w:proofErr w:type="spellStart"/>
      <w:r w:rsidR="00B63084" w:rsidRPr="00AB41E1">
        <w:rPr>
          <w:rFonts w:cstheme="minorHAnsi"/>
          <w:b/>
          <w:bCs/>
          <w:sz w:val="24"/>
        </w:rPr>
        <w:t>Concept</w:t>
      </w:r>
      <w:proofErr w:type="spellEnd"/>
      <w:r w:rsidR="00B63084" w:rsidRPr="00AB41E1">
        <w:rPr>
          <w:rFonts w:cstheme="minorHAnsi"/>
          <w:bCs/>
          <w:sz w:val="24"/>
        </w:rPr>
        <w:t xml:space="preserve"> s c</w:t>
      </w:r>
      <w:r w:rsidR="00B63084" w:rsidRPr="00AB41E1">
        <w:rPr>
          <w:rFonts w:cstheme="minorHAnsi"/>
          <w:sz w:val="24"/>
        </w:rPr>
        <w:t>ílem podpory proveditelnosti nápadů a konceptů, které již vznikly v rámci jiné skupiny projektů financované GA ČR. Doba realizace těchto projektů by byla mezi 12 až 18 měsíci</w:t>
      </w:r>
      <w:r w:rsidR="00AB41E1">
        <w:rPr>
          <w:rFonts w:cstheme="minorHAnsi"/>
          <w:sz w:val="24"/>
        </w:rPr>
        <w:t xml:space="preserve">, </w:t>
      </w:r>
      <w:r w:rsidR="006225B4" w:rsidRPr="006225B4">
        <w:rPr>
          <w:rFonts w:cstheme="minorHAnsi"/>
          <w:sz w:val="24"/>
        </w:rPr>
        <w:t xml:space="preserve">GA ČR předpokládá výdaje </w:t>
      </w:r>
      <w:r w:rsidR="006225B4">
        <w:rPr>
          <w:rFonts w:cstheme="minorHAnsi"/>
          <w:sz w:val="24"/>
        </w:rPr>
        <w:t xml:space="preserve">na tuto skupinu projektů </w:t>
      </w:r>
      <w:r w:rsidR="006225B4" w:rsidRPr="006225B4">
        <w:rPr>
          <w:rFonts w:cstheme="minorHAnsi"/>
          <w:sz w:val="24"/>
        </w:rPr>
        <w:t>v objemu cca 60 mil. Kč ročně.</w:t>
      </w:r>
      <w:r w:rsidR="00AB41E1">
        <w:rPr>
          <w:rFonts w:cstheme="minorHAnsi"/>
          <w:sz w:val="24"/>
        </w:rPr>
        <w:t xml:space="preserve"> </w:t>
      </w:r>
      <w:r w:rsidR="00B63084" w:rsidRPr="00AB41E1">
        <w:rPr>
          <w:rFonts w:eastAsia="Times New Roman" w:cstheme="minorHAnsi"/>
          <w:sz w:val="24"/>
          <w:szCs w:val="24"/>
        </w:rPr>
        <w:t xml:space="preserve">GA ČR se v této oblasti inspirovala také v zahraničí, kde jsou podobné granty běžné. Vypracovaný návrh nové skupiny projektů </w:t>
      </w:r>
      <w:proofErr w:type="spellStart"/>
      <w:r w:rsidR="00B63084" w:rsidRPr="00AB41E1">
        <w:rPr>
          <w:rFonts w:eastAsia="Times New Roman" w:cstheme="minorHAnsi"/>
          <w:sz w:val="24"/>
          <w:szCs w:val="24"/>
        </w:rPr>
        <w:t>Proof</w:t>
      </w:r>
      <w:proofErr w:type="spellEnd"/>
      <w:r w:rsidR="00B63084" w:rsidRPr="00AB41E1">
        <w:rPr>
          <w:rFonts w:eastAsia="Times New Roman" w:cstheme="minorHAnsi"/>
          <w:sz w:val="24"/>
          <w:szCs w:val="24"/>
        </w:rPr>
        <w:t xml:space="preserve"> </w:t>
      </w:r>
      <w:proofErr w:type="spellStart"/>
      <w:r w:rsidR="00B63084" w:rsidRPr="00AB41E1">
        <w:rPr>
          <w:rFonts w:eastAsia="Times New Roman" w:cstheme="minorHAnsi"/>
          <w:sz w:val="24"/>
          <w:szCs w:val="24"/>
        </w:rPr>
        <w:t>of</w:t>
      </w:r>
      <w:proofErr w:type="spellEnd"/>
      <w:r w:rsidR="00B63084" w:rsidRPr="00AB41E1">
        <w:rPr>
          <w:rFonts w:eastAsia="Times New Roman" w:cstheme="minorHAnsi"/>
          <w:sz w:val="24"/>
          <w:szCs w:val="24"/>
        </w:rPr>
        <w:t xml:space="preserve"> </w:t>
      </w:r>
      <w:proofErr w:type="spellStart"/>
      <w:r w:rsidR="00B63084" w:rsidRPr="00AB41E1">
        <w:rPr>
          <w:rFonts w:eastAsia="Times New Roman" w:cstheme="minorHAnsi"/>
          <w:sz w:val="24"/>
          <w:szCs w:val="24"/>
        </w:rPr>
        <w:t>Concept</w:t>
      </w:r>
      <w:proofErr w:type="spellEnd"/>
      <w:r w:rsidR="00B63084" w:rsidRPr="00AB41E1">
        <w:rPr>
          <w:rFonts w:eastAsia="Times New Roman" w:cstheme="minorHAnsi"/>
          <w:sz w:val="24"/>
          <w:szCs w:val="24"/>
        </w:rPr>
        <w:t xml:space="preserve"> zaslala GA ČR dne 6.</w:t>
      </w:r>
      <w:r w:rsidR="001C0464">
        <w:rPr>
          <w:rFonts w:eastAsia="Times New Roman" w:cstheme="minorHAnsi"/>
          <w:sz w:val="24"/>
          <w:szCs w:val="24"/>
        </w:rPr>
        <w:t> </w:t>
      </w:r>
      <w:r w:rsidR="00B63084" w:rsidRPr="00AB41E1">
        <w:rPr>
          <w:rFonts w:eastAsia="Times New Roman" w:cstheme="minorHAnsi"/>
          <w:sz w:val="24"/>
          <w:szCs w:val="24"/>
        </w:rPr>
        <w:t>1.</w:t>
      </w:r>
      <w:r w:rsidR="001C0464">
        <w:rPr>
          <w:rFonts w:eastAsia="Times New Roman" w:cstheme="minorHAnsi"/>
          <w:sz w:val="24"/>
          <w:szCs w:val="24"/>
        </w:rPr>
        <w:t> </w:t>
      </w:r>
      <w:r w:rsidR="00B63084" w:rsidRPr="00AB41E1">
        <w:rPr>
          <w:rFonts w:eastAsia="Times New Roman" w:cstheme="minorHAnsi"/>
          <w:sz w:val="24"/>
          <w:szCs w:val="24"/>
        </w:rPr>
        <w:t>2025 k projednání RVVI.</w:t>
      </w:r>
    </w:p>
    <w:p w14:paraId="08E246B8" w14:textId="20F1DE3D" w:rsidR="003F6B0E" w:rsidRPr="004E2AE2" w:rsidRDefault="00B672B9" w:rsidP="008D3501">
      <w:pPr>
        <w:pStyle w:val="Odstavecseseznamem"/>
        <w:keepNext/>
        <w:numPr>
          <w:ilvl w:val="0"/>
          <w:numId w:val="2"/>
        </w:numPr>
        <w:spacing w:before="240" w:after="240" w:line="240" w:lineRule="auto"/>
        <w:ind w:left="284" w:hanging="284"/>
        <w:contextualSpacing w:val="0"/>
        <w:jc w:val="both"/>
        <w:rPr>
          <w:rFonts w:cstheme="minorHAnsi"/>
          <w:b/>
          <w:sz w:val="24"/>
          <w:szCs w:val="24"/>
        </w:rPr>
      </w:pPr>
      <w:r>
        <w:rPr>
          <w:rFonts w:cstheme="minorHAnsi"/>
          <w:b/>
          <w:sz w:val="24"/>
          <w:szCs w:val="24"/>
        </w:rPr>
        <w:lastRenderedPageBreak/>
        <w:t>Kvalita základního výzkumu roste, ale pomalu</w:t>
      </w:r>
    </w:p>
    <w:p w14:paraId="3E5FFBA4" w14:textId="7515E884" w:rsidR="00B77037" w:rsidRPr="009D2FF2" w:rsidRDefault="00250D2B" w:rsidP="009D2FF2">
      <w:pPr>
        <w:numPr>
          <w:ilvl w:val="1"/>
          <w:numId w:val="8"/>
        </w:numPr>
        <w:spacing w:before="120" w:after="0" w:line="240" w:lineRule="auto"/>
        <w:jc w:val="both"/>
        <w:rPr>
          <w:rFonts w:eastAsia="Times New Roman" w:cstheme="minorHAnsi"/>
          <w:sz w:val="24"/>
        </w:rPr>
      </w:pPr>
      <w:r>
        <w:rPr>
          <w:rFonts w:cstheme="minorHAnsi"/>
          <w:sz w:val="24"/>
          <w:szCs w:val="24"/>
        </w:rPr>
        <w:t xml:space="preserve">4.36 </w:t>
      </w:r>
      <w:r w:rsidR="00B63084" w:rsidRPr="0088190A">
        <w:rPr>
          <w:rFonts w:cstheme="minorHAnsi"/>
          <w:sz w:val="24"/>
          <w:szCs w:val="24"/>
        </w:rPr>
        <w:t>V letech 2018 až 2023 se peněžní prostředky přidělené ze státního rozpočtu na účelovou podporu GA ČR zvyšovaly, zatímco od roku 2019 klesal počet výsledků</w:t>
      </w:r>
      <w:r w:rsidR="00163D25" w:rsidRPr="00163D25">
        <w:rPr>
          <w:rFonts w:eastAsia="Times New Roman" w:cstheme="minorHAnsi"/>
          <w:sz w:val="24"/>
          <w:szCs w:val="24"/>
          <w:vertAlign w:val="superscript"/>
        </w:rPr>
        <w:t>14</w:t>
      </w:r>
      <w:r w:rsidR="00B63084" w:rsidRPr="0088190A">
        <w:rPr>
          <w:rFonts w:cstheme="minorHAnsi"/>
          <w:sz w:val="24"/>
          <w:szCs w:val="24"/>
        </w:rPr>
        <w:t xml:space="preserve"> řešení projektů, především těch publikačních, což znázorňuje graf č</w:t>
      </w:r>
      <w:r w:rsidR="002C7C37">
        <w:rPr>
          <w:rFonts w:eastAsia="Times New Roman" w:cstheme="minorHAnsi"/>
          <w:sz w:val="24"/>
          <w:szCs w:val="24"/>
        </w:rPr>
        <w:t>. 3</w:t>
      </w:r>
      <w:r w:rsidR="00B63084" w:rsidRPr="0088190A">
        <w:rPr>
          <w:rFonts w:eastAsia="Times New Roman" w:cstheme="minorHAnsi"/>
          <w:sz w:val="24"/>
          <w:szCs w:val="24"/>
        </w:rPr>
        <w:t>.</w:t>
      </w:r>
      <w:r w:rsidR="00B63084" w:rsidRPr="0088190A">
        <w:rPr>
          <w:rFonts w:cstheme="minorHAnsi"/>
          <w:sz w:val="24"/>
          <w:szCs w:val="24"/>
        </w:rPr>
        <w:t xml:space="preserve"> </w:t>
      </w:r>
    </w:p>
    <w:p w14:paraId="521000FC" w14:textId="2F31DE0C" w:rsidR="00B63084" w:rsidRPr="008D3501" w:rsidRDefault="00B63084" w:rsidP="008D3501">
      <w:pPr>
        <w:spacing w:before="120" w:after="0" w:line="240" w:lineRule="auto"/>
        <w:ind w:left="1021" w:hanging="1021"/>
        <w:jc w:val="both"/>
        <w:rPr>
          <w:rFonts w:cstheme="minorHAnsi"/>
          <w:sz w:val="24"/>
        </w:rPr>
      </w:pPr>
      <w:r w:rsidRPr="008D3501">
        <w:rPr>
          <w:rFonts w:cstheme="minorHAnsi"/>
          <w:b/>
          <w:sz w:val="24"/>
        </w:rPr>
        <w:t>Graf č.</w:t>
      </w:r>
      <w:r w:rsidR="002C7C37" w:rsidRPr="008D3501">
        <w:rPr>
          <w:rFonts w:cstheme="minorHAnsi"/>
          <w:b/>
          <w:sz w:val="24"/>
        </w:rPr>
        <w:t xml:space="preserve"> 3: </w:t>
      </w:r>
      <w:r w:rsidR="008D3501">
        <w:rPr>
          <w:rFonts w:cstheme="minorHAnsi"/>
          <w:b/>
          <w:sz w:val="24"/>
        </w:rPr>
        <w:tab/>
      </w:r>
      <w:r w:rsidRPr="008D3501">
        <w:rPr>
          <w:rFonts w:cstheme="minorHAnsi"/>
          <w:b/>
          <w:sz w:val="24"/>
        </w:rPr>
        <w:t xml:space="preserve">Výsledky řešení projektů a objem podpory všech </w:t>
      </w:r>
      <w:r w:rsidR="005C3DF7" w:rsidRPr="008D3501">
        <w:rPr>
          <w:rFonts w:cstheme="minorHAnsi"/>
          <w:b/>
          <w:sz w:val="24"/>
        </w:rPr>
        <w:t>skupin projek</w:t>
      </w:r>
      <w:r w:rsidR="00843DB6">
        <w:rPr>
          <w:rFonts w:cstheme="minorHAnsi"/>
          <w:b/>
          <w:sz w:val="24"/>
        </w:rPr>
        <w:t>t</w:t>
      </w:r>
      <w:r w:rsidR="005C3DF7" w:rsidRPr="008D3501">
        <w:rPr>
          <w:rFonts w:cstheme="minorHAnsi"/>
          <w:b/>
          <w:sz w:val="24"/>
        </w:rPr>
        <w:t>ů</w:t>
      </w:r>
      <w:r w:rsidRPr="008D3501">
        <w:rPr>
          <w:rFonts w:cstheme="minorHAnsi"/>
          <w:b/>
          <w:sz w:val="24"/>
        </w:rPr>
        <w:t xml:space="preserve"> GA ČR v letech 2017</w:t>
      </w:r>
      <w:r w:rsidR="002C7C37" w:rsidRPr="008D3501">
        <w:rPr>
          <w:rFonts w:cstheme="minorHAnsi"/>
          <w:b/>
          <w:sz w:val="24"/>
        </w:rPr>
        <w:t xml:space="preserve"> až </w:t>
      </w:r>
      <w:r w:rsidRPr="008D3501">
        <w:rPr>
          <w:rFonts w:cstheme="minorHAnsi"/>
          <w:b/>
          <w:sz w:val="24"/>
        </w:rPr>
        <w:t>2023</w:t>
      </w:r>
    </w:p>
    <w:p w14:paraId="16ED9141" w14:textId="77777777" w:rsidR="002C0315" w:rsidRPr="002C0315" w:rsidRDefault="00F610B0" w:rsidP="009D2FF2">
      <w:pPr>
        <w:numPr>
          <w:ilvl w:val="1"/>
          <w:numId w:val="8"/>
        </w:numPr>
        <w:spacing w:before="120" w:after="120" w:line="240" w:lineRule="auto"/>
        <w:jc w:val="both"/>
        <w:rPr>
          <w:rFonts w:eastAsia="Times New Roman" w:cstheme="minorHAnsi"/>
          <w:sz w:val="24"/>
        </w:rPr>
      </w:pPr>
      <w:r>
        <w:rPr>
          <w:noProof/>
        </w:rPr>
        <w:drawing>
          <wp:inline distT="0" distB="0" distL="0" distR="0" wp14:anchorId="2B55D374" wp14:editId="7088978C">
            <wp:extent cx="5760720" cy="4061460"/>
            <wp:effectExtent l="0" t="0" r="0" b="0"/>
            <wp:docPr id="3" name="Graf 3">
              <a:extLst xmlns:a="http://schemas.openxmlformats.org/drawingml/2006/main">
                <a:ext uri="{FF2B5EF4-FFF2-40B4-BE49-F238E27FC236}">
                  <a16:creationId xmlns:a16="http://schemas.microsoft.com/office/drawing/2014/main" id="{3E6231A0-FD2E-4B00-ABAE-0A6EB5EE1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eastAsia="Times New Roman" w:cstheme="minorHAnsi"/>
          <w:sz w:val="24"/>
          <w:szCs w:val="24"/>
        </w:rPr>
        <w:t xml:space="preserve"> </w:t>
      </w:r>
    </w:p>
    <w:p w14:paraId="32EA1D31" w14:textId="08E24808" w:rsidR="002C0315" w:rsidRPr="00D73ED7" w:rsidRDefault="002C0315" w:rsidP="008D3501">
      <w:pPr>
        <w:spacing w:before="40" w:after="120" w:line="240" w:lineRule="auto"/>
        <w:jc w:val="both"/>
        <w:rPr>
          <w:rFonts w:cstheme="minorHAnsi"/>
          <w:sz w:val="20"/>
        </w:rPr>
      </w:pPr>
      <w:r w:rsidRPr="002C0315">
        <w:rPr>
          <w:rFonts w:cstheme="minorHAnsi"/>
          <w:b/>
          <w:sz w:val="20"/>
        </w:rPr>
        <w:t>Zdroj:</w:t>
      </w:r>
      <w:r w:rsidRPr="002C0315">
        <w:rPr>
          <w:rFonts w:cstheme="minorHAnsi"/>
          <w:sz w:val="20"/>
        </w:rPr>
        <w:t xml:space="preserve"> IS </w:t>
      </w:r>
      <w:proofErr w:type="spellStart"/>
      <w:r w:rsidRPr="002C0315">
        <w:rPr>
          <w:rFonts w:cstheme="minorHAnsi"/>
          <w:sz w:val="20"/>
        </w:rPr>
        <w:t>VaVaI</w:t>
      </w:r>
      <w:proofErr w:type="spellEnd"/>
      <w:r w:rsidRPr="002C0315">
        <w:rPr>
          <w:rFonts w:cstheme="minorHAnsi"/>
          <w:sz w:val="20"/>
        </w:rPr>
        <w:t xml:space="preserve"> (RIV) ke dni 17. 1. 2025</w:t>
      </w:r>
      <w:bookmarkStart w:id="5" w:name="_Hlk188953334"/>
      <w:r w:rsidRPr="002C0315">
        <w:rPr>
          <w:rFonts w:cstheme="minorHAnsi"/>
          <w:sz w:val="20"/>
        </w:rPr>
        <w:t xml:space="preserve">, </w:t>
      </w:r>
      <w:r w:rsidR="000077F3">
        <w:rPr>
          <w:rFonts w:cstheme="minorHAnsi"/>
          <w:sz w:val="20"/>
        </w:rPr>
        <w:t>z</w:t>
      </w:r>
      <w:r w:rsidRPr="002C0315">
        <w:rPr>
          <w:rFonts w:cstheme="minorHAnsi"/>
          <w:sz w:val="20"/>
        </w:rPr>
        <w:t>ávěrečný účet kapitoly 321 za roky 2017 až 2023</w:t>
      </w:r>
      <w:bookmarkEnd w:id="5"/>
      <w:r w:rsidR="000077F3">
        <w:rPr>
          <w:rFonts w:cstheme="minorHAnsi"/>
          <w:sz w:val="20"/>
        </w:rPr>
        <w:t>;</w:t>
      </w:r>
      <w:r w:rsidRPr="002C0315">
        <w:rPr>
          <w:rFonts w:cstheme="minorHAnsi"/>
          <w:sz w:val="20"/>
        </w:rPr>
        <w:t xml:space="preserve"> </w:t>
      </w:r>
      <w:r w:rsidR="000077F3">
        <w:rPr>
          <w:rFonts w:cstheme="minorHAnsi"/>
          <w:sz w:val="20"/>
        </w:rPr>
        <w:t>vypracoval</w:t>
      </w:r>
      <w:r w:rsidRPr="002C0315">
        <w:rPr>
          <w:rFonts w:cstheme="minorHAnsi"/>
          <w:sz w:val="20"/>
        </w:rPr>
        <w:t xml:space="preserve"> NKÚ.</w:t>
      </w:r>
    </w:p>
    <w:p w14:paraId="293FFDE4" w14:textId="146BC7B5" w:rsidR="009D2FF2" w:rsidRPr="009D2FF2" w:rsidRDefault="009D2FF2" w:rsidP="008D3501">
      <w:pPr>
        <w:numPr>
          <w:ilvl w:val="1"/>
          <w:numId w:val="8"/>
        </w:numPr>
        <w:spacing w:before="240" w:after="120" w:line="240" w:lineRule="auto"/>
        <w:jc w:val="both"/>
        <w:rPr>
          <w:rFonts w:eastAsia="Times New Roman" w:cstheme="minorHAnsi"/>
          <w:sz w:val="24"/>
        </w:rPr>
      </w:pPr>
      <w:r>
        <w:rPr>
          <w:rFonts w:eastAsia="Times New Roman" w:cstheme="minorHAnsi"/>
          <w:sz w:val="24"/>
          <w:szCs w:val="24"/>
        </w:rPr>
        <w:t xml:space="preserve">4.37 </w:t>
      </w:r>
      <w:r w:rsidRPr="0088190A">
        <w:rPr>
          <w:rFonts w:eastAsia="Times New Roman" w:cstheme="minorHAnsi"/>
          <w:sz w:val="24"/>
          <w:szCs w:val="24"/>
        </w:rPr>
        <w:t>Od roku 2019 docházelo k poklesu celkového počtu publikačních výsledků nejen v rámci GA ČR, ale i v celém českém výzkumném prostředí. Na základě změny metodiky hodnocení programů účelové podpory výzkumu, vývoje a inovací (</w:t>
      </w:r>
      <w:r w:rsidR="000077F3">
        <w:rPr>
          <w:rFonts w:eastAsia="Times New Roman" w:cstheme="minorHAnsi"/>
          <w:sz w:val="24"/>
          <w:szCs w:val="24"/>
        </w:rPr>
        <w:t>m</w:t>
      </w:r>
      <w:r w:rsidRPr="0088190A">
        <w:rPr>
          <w:rFonts w:eastAsia="Times New Roman" w:cstheme="minorHAnsi"/>
          <w:sz w:val="24"/>
          <w:szCs w:val="24"/>
        </w:rPr>
        <w:t xml:space="preserve">etodika 2017+) byl kladen větší důraz </w:t>
      </w:r>
      <w:r w:rsidRPr="0088190A">
        <w:rPr>
          <w:rFonts w:eastAsia="Times New Roman" w:cstheme="minorHAnsi"/>
          <w:sz w:val="24"/>
        </w:rPr>
        <w:t>na publikování kvalitních výstupů ve vysoce impaktovaných časopisech</w:t>
      </w:r>
      <w:r w:rsidR="00135A2F">
        <w:rPr>
          <w:rStyle w:val="Znakapoznpodarou"/>
          <w:rFonts w:eastAsia="Times New Roman" w:cstheme="minorHAnsi"/>
          <w:sz w:val="24"/>
        </w:rPr>
        <w:footnoteReference w:id="17"/>
      </w:r>
      <w:r w:rsidRPr="0088190A">
        <w:rPr>
          <w:rFonts w:eastAsia="Times New Roman" w:cstheme="minorHAnsi"/>
          <w:sz w:val="24"/>
        </w:rPr>
        <w:t xml:space="preserve"> namísto publikování většího množství méně kvalitních </w:t>
      </w:r>
      <w:r w:rsidR="00767A7D">
        <w:rPr>
          <w:rFonts w:eastAsia="Times New Roman" w:cstheme="minorHAnsi"/>
          <w:sz w:val="24"/>
        </w:rPr>
        <w:t>výstupů</w:t>
      </w:r>
      <w:r w:rsidR="004F5011">
        <w:rPr>
          <w:rFonts w:eastAsia="Times New Roman" w:cstheme="minorHAnsi"/>
          <w:sz w:val="24"/>
        </w:rPr>
        <w:t xml:space="preserve"> </w:t>
      </w:r>
      <w:r w:rsidRPr="0088190A">
        <w:rPr>
          <w:rFonts w:eastAsia="Times New Roman" w:cstheme="minorHAnsi"/>
          <w:sz w:val="24"/>
        </w:rPr>
        <w:t xml:space="preserve">(tzv. „kafemlejnek“). </w:t>
      </w:r>
    </w:p>
    <w:p w14:paraId="405F397D" w14:textId="7561A755" w:rsidR="00B63084" w:rsidRPr="0088190A" w:rsidRDefault="00250D2B" w:rsidP="00B63084">
      <w:pPr>
        <w:spacing w:after="0" w:line="240" w:lineRule="auto"/>
        <w:jc w:val="both"/>
        <w:rPr>
          <w:rFonts w:cstheme="minorHAnsi"/>
          <w:sz w:val="24"/>
        </w:rPr>
      </w:pPr>
      <w:r>
        <w:rPr>
          <w:rFonts w:cstheme="minorHAnsi"/>
          <w:sz w:val="24"/>
        </w:rPr>
        <w:t xml:space="preserve">4.38 </w:t>
      </w:r>
      <w:r w:rsidR="00B63084" w:rsidRPr="0088190A">
        <w:rPr>
          <w:rFonts w:cstheme="minorHAnsi"/>
          <w:sz w:val="24"/>
        </w:rPr>
        <w:t>Tento celkový trend byl způsoben také v důsledku nerovnoměrné rychlosti růstu rozpočtu GA ČR v porovnání s rostoucími náklady na jednotlivé projekty. Skutečně čerpané účelové peněžní prostředky vzrostly v letech 2019 až 2023 o cca 9,1 % (z 4 220 mil. Kč na</w:t>
      </w:r>
      <w:r w:rsidR="000077F3">
        <w:rPr>
          <w:rFonts w:cstheme="minorHAnsi"/>
          <w:sz w:val="24"/>
        </w:rPr>
        <w:t xml:space="preserve"> </w:t>
      </w:r>
      <w:r w:rsidR="00B63084" w:rsidRPr="0088190A">
        <w:rPr>
          <w:rFonts w:cstheme="minorHAnsi"/>
          <w:sz w:val="24"/>
        </w:rPr>
        <w:t>4</w:t>
      </w:r>
      <w:r w:rsidR="000077F3">
        <w:rPr>
          <w:rFonts w:cstheme="minorHAnsi"/>
          <w:sz w:val="24"/>
        </w:rPr>
        <w:t> </w:t>
      </w:r>
      <w:r w:rsidR="00B63084" w:rsidRPr="0088190A">
        <w:rPr>
          <w:rFonts w:cstheme="minorHAnsi"/>
          <w:sz w:val="24"/>
        </w:rPr>
        <w:t>606</w:t>
      </w:r>
      <w:r w:rsidR="000077F3">
        <w:rPr>
          <w:rFonts w:cstheme="minorHAnsi"/>
          <w:sz w:val="24"/>
        </w:rPr>
        <w:t> </w:t>
      </w:r>
      <w:r w:rsidR="00B63084" w:rsidRPr="0088190A">
        <w:rPr>
          <w:rFonts w:cstheme="minorHAnsi"/>
          <w:sz w:val="24"/>
        </w:rPr>
        <w:t>mil.</w:t>
      </w:r>
      <w:r w:rsidR="000077F3">
        <w:rPr>
          <w:rFonts w:cstheme="minorHAnsi"/>
          <w:sz w:val="24"/>
        </w:rPr>
        <w:t> </w:t>
      </w:r>
      <w:r w:rsidR="00B63084" w:rsidRPr="0088190A">
        <w:rPr>
          <w:rFonts w:cstheme="minorHAnsi"/>
          <w:sz w:val="24"/>
        </w:rPr>
        <w:t xml:space="preserve">Kč), přičemž průměrné náklady na jeden projekt na rok jeho řešení vzrostly zhruba o 32,6 % (z 2 006 tis. Kč na 2 661 tis. Kč). Na tuto skutečnost měl vliv mj. růst cenové hladiny v ČR, růst mezd apod. </w:t>
      </w:r>
    </w:p>
    <w:p w14:paraId="200E8CC2" w14:textId="543F0D5F" w:rsidR="00EE43E4" w:rsidRDefault="00250D2B" w:rsidP="00B63084">
      <w:pPr>
        <w:spacing w:before="120" w:after="0" w:line="240" w:lineRule="auto"/>
        <w:jc w:val="both"/>
        <w:rPr>
          <w:rFonts w:cstheme="minorHAnsi"/>
          <w:sz w:val="24"/>
          <w:szCs w:val="24"/>
        </w:rPr>
      </w:pPr>
      <w:r>
        <w:rPr>
          <w:rFonts w:cstheme="minorHAnsi"/>
          <w:sz w:val="24"/>
          <w:szCs w:val="24"/>
        </w:rPr>
        <w:lastRenderedPageBreak/>
        <w:t xml:space="preserve">4.39 </w:t>
      </w:r>
      <w:r w:rsidR="00B63084" w:rsidRPr="0088190A">
        <w:rPr>
          <w:rFonts w:cstheme="minorHAnsi"/>
          <w:sz w:val="24"/>
          <w:szCs w:val="24"/>
        </w:rPr>
        <w:t xml:space="preserve">Dalším významným faktorem, který zapříčinil pokles počtu publikací, byl výrazný pokles počtu financovaných projektů GA ČR o 32 % (z 641 na 432). Průměrná </w:t>
      </w:r>
      <w:r w:rsidR="00B63084" w:rsidRPr="0076433D">
        <w:rPr>
          <w:rFonts w:cstheme="minorHAnsi"/>
          <w:sz w:val="24"/>
          <w:szCs w:val="24"/>
        </w:rPr>
        <w:t>úspěšnost vybraných projektů ve vztahu k počtu přijatých návrhů projektů se od</w:t>
      </w:r>
      <w:r w:rsidR="000077F3">
        <w:rPr>
          <w:rFonts w:cstheme="minorHAnsi"/>
          <w:sz w:val="24"/>
          <w:szCs w:val="24"/>
        </w:rPr>
        <w:t xml:space="preserve"> </w:t>
      </w:r>
      <w:r w:rsidR="00B63084" w:rsidRPr="0076433D">
        <w:rPr>
          <w:rFonts w:cstheme="minorHAnsi"/>
          <w:sz w:val="24"/>
          <w:szCs w:val="24"/>
        </w:rPr>
        <w:t>roku 2019 snížila o devět procentních bodů (z 24 % na 15 %).</w:t>
      </w:r>
      <w:r w:rsidR="00B63084" w:rsidRPr="0088190A">
        <w:rPr>
          <w:rFonts w:cstheme="minorHAnsi"/>
          <w:sz w:val="24"/>
          <w:szCs w:val="24"/>
        </w:rPr>
        <w:t xml:space="preserve"> </w:t>
      </w:r>
    </w:p>
    <w:p w14:paraId="0324BAD5" w14:textId="3DA3797A" w:rsidR="00B63084" w:rsidRPr="00EE43E4" w:rsidRDefault="00250D2B" w:rsidP="00B63084">
      <w:pPr>
        <w:spacing w:before="120" w:after="0" w:line="240" w:lineRule="auto"/>
        <w:jc w:val="both"/>
        <w:rPr>
          <w:rFonts w:cstheme="minorHAnsi"/>
          <w:sz w:val="24"/>
          <w:szCs w:val="24"/>
        </w:rPr>
      </w:pPr>
      <w:r>
        <w:rPr>
          <w:rFonts w:cstheme="minorHAnsi"/>
          <w:sz w:val="24"/>
          <w:szCs w:val="24"/>
        </w:rPr>
        <w:t xml:space="preserve">4.40 </w:t>
      </w:r>
      <w:r w:rsidR="00B63084" w:rsidRPr="0088190A">
        <w:rPr>
          <w:rFonts w:cstheme="minorHAnsi"/>
          <w:sz w:val="24"/>
          <w:szCs w:val="24"/>
        </w:rPr>
        <w:t xml:space="preserve">Neméně důležitým faktorem ovlivňujícím pokles publikačních výsledků byla i dlouhá doba uplatnění výsledků. Informační systém </w:t>
      </w:r>
      <w:proofErr w:type="spellStart"/>
      <w:r w:rsidR="00B63084" w:rsidRPr="0088190A">
        <w:rPr>
          <w:rFonts w:cstheme="minorHAnsi"/>
          <w:sz w:val="24"/>
          <w:szCs w:val="24"/>
        </w:rPr>
        <w:t>VaVaI</w:t>
      </w:r>
      <w:proofErr w:type="spellEnd"/>
      <w:r w:rsidR="00B63084" w:rsidRPr="0088190A">
        <w:rPr>
          <w:rFonts w:cstheme="minorHAnsi"/>
          <w:sz w:val="24"/>
          <w:szCs w:val="24"/>
        </w:rPr>
        <w:t xml:space="preserve"> pracuje s obdobím sběru dat, nikoliv s rokem jejich uplatnění. </w:t>
      </w:r>
      <w:r w:rsidR="00B63084" w:rsidRPr="0088190A">
        <w:rPr>
          <w:rFonts w:eastAsia="Times New Roman" w:cstheme="minorHAnsi"/>
          <w:sz w:val="24"/>
          <w:szCs w:val="24"/>
        </w:rPr>
        <w:t>Z toho důvodu nemusí přesně odrážet reálný časový vývoj produkce výsledků řešení projektů. Je zde nutné také zohlednit i to, že díky délce recenzního řízení a případným dalším publikačním edičním činnostem se</w:t>
      </w:r>
      <w:r w:rsidR="000077F3">
        <w:rPr>
          <w:rFonts w:eastAsia="Times New Roman" w:cstheme="minorHAnsi"/>
          <w:sz w:val="24"/>
          <w:szCs w:val="24"/>
        </w:rPr>
        <w:t xml:space="preserve"> </w:t>
      </w:r>
      <w:r w:rsidR="00B63084" w:rsidRPr="0088190A">
        <w:rPr>
          <w:rFonts w:eastAsia="Times New Roman" w:cstheme="minorHAnsi"/>
          <w:sz w:val="24"/>
          <w:szCs w:val="24"/>
        </w:rPr>
        <w:t>výsledky do</w:t>
      </w:r>
      <w:r w:rsidR="000077F3">
        <w:rPr>
          <w:rFonts w:eastAsia="Times New Roman" w:cstheme="minorHAnsi"/>
          <w:sz w:val="24"/>
          <w:szCs w:val="24"/>
        </w:rPr>
        <w:t xml:space="preserve"> </w:t>
      </w:r>
      <w:r w:rsidR="00921D5B">
        <w:rPr>
          <w:rFonts w:eastAsia="Times New Roman" w:cstheme="minorHAnsi"/>
          <w:sz w:val="24"/>
          <w:szCs w:val="24"/>
        </w:rPr>
        <w:t>IS</w:t>
      </w:r>
      <w:r w:rsidR="00B63084" w:rsidRPr="0088190A">
        <w:rPr>
          <w:rFonts w:eastAsia="Times New Roman" w:cstheme="minorHAnsi"/>
          <w:sz w:val="24"/>
          <w:szCs w:val="24"/>
        </w:rPr>
        <w:t xml:space="preserve"> </w:t>
      </w:r>
      <w:proofErr w:type="spellStart"/>
      <w:r w:rsidR="00B63084" w:rsidRPr="0088190A">
        <w:rPr>
          <w:rFonts w:eastAsia="Times New Roman" w:cstheme="minorHAnsi"/>
          <w:sz w:val="24"/>
          <w:szCs w:val="24"/>
        </w:rPr>
        <w:t>VaVaI</w:t>
      </w:r>
      <w:proofErr w:type="spellEnd"/>
      <w:r w:rsidR="00B63084" w:rsidRPr="0088190A">
        <w:rPr>
          <w:rFonts w:eastAsia="Times New Roman" w:cstheme="minorHAnsi"/>
          <w:sz w:val="24"/>
          <w:szCs w:val="24"/>
        </w:rPr>
        <w:t xml:space="preserve"> vkládají ještě i po</w:t>
      </w:r>
      <w:r w:rsidR="000077F3">
        <w:rPr>
          <w:rFonts w:eastAsia="Times New Roman" w:cstheme="minorHAnsi"/>
          <w:sz w:val="24"/>
          <w:szCs w:val="24"/>
        </w:rPr>
        <w:t xml:space="preserve"> </w:t>
      </w:r>
      <w:r w:rsidR="00B63084" w:rsidRPr="0088190A">
        <w:rPr>
          <w:rFonts w:eastAsia="Times New Roman" w:cstheme="minorHAnsi"/>
          <w:sz w:val="24"/>
          <w:szCs w:val="24"/>
        </w:rPr>
        <w:t>skončení realizace projektu (nejčastěji v prvních dvou letech, nejdéle až pět let po</w:t>
      </w:r>
      <w:r w:rsidR="000077F3">
        <w:rPr>
          <w:rFonts w:eastAsia="Times New Roman" w:cstheme="minorHAnsi"/>
          <w:sz w:val="24"/>
          <w:szCs w:val="24"/>
        </w:rPr>
        <w:t xml:space="preserve"> </w:t>
      </w:r>
      <w:r w:rsidR="00B63084" w:rsidRPr="0088190A">
        <w:rPr>
          <w:rFonts w:eastAsia="Times New Roman" w:cstheme="minorHAnsi"/>
          <w:sz w:val="24"/>
          <w:szCs w:val="24"/>
        </w:rPr>
        <w:t>jejich dokončení).</w:t>
      </w:r>
    </w:p>
    <w:p w14:paraId="33203893" w14:textId="7D9857DA" w:rsidR="00B63084" w:rsidRPr="0088190A" w:rsidRDefault="00250D2B" w:rsidP="00B63084">
      <w:pPr>
        <w:spacing w:before="120" w:after="0" w:line="240" w:lineRule="auto"/>
        <w:jc w:val="both"/>
        <w:rPr>
          <w:rFonts w:cstheme="minorHAnsi"/>
          <w:sz w:val="24"/>
        </w:rPr>
      </w:pPr>
      <w:r>
        <w:rPr>
          <w:rFonts w:cstheme="minorHAnsi"/>
          <w:sz w:val="24"/>
        </w:rPr>
        <w:t xml:space="preserve">4.41 </w:t>
      </w:r>
      <w:r w:rsidR="00B63084" w:rsidRPr="0088190A">
        <w:rPr>
          <w:rFonts w:cstheme="minorHAnsi"/>
          <w:sz w:val="24"/>
        </w:rPr>
        <w:t xml:space="preserve">GA ČR sleduje kvalitu základního výzkumu měřenou především citovaností </w:t>
      </w:r>
      <w:r w:rsidR="00B63084" w:rsidRPr="0076433D">
        <w:rPr>
          <w:rFonts w:cstheme="minorHAnsi"/>
          <w:sz w:val="24"/>
        </w:rPr>
        <w:t xml:space="preserve">publikací. Grafy uvedené </w:t>
      </w:r>
      <w:r w:rsidR="0076433D" w:rsidRPr="0076433D">
        <w:rPr>
          <w:rFonts w:cstheme="minorHAnsi"/>
          <w:sz w:val="24"/>
        </w:rPr>
        <w:t>níže</w:t>
      </w:r>
      <w:r w:rsidR="00B63084" w:rsidRPr="0076433D">
        <w:rPr>
          <w:rFonts w:cstheme="minorHAnsi"/>
          <w:sz w:val="24"/>
        </w:rPr>
        <w:t xml:space="preserve"> znázorňují vývoj podílu všech článků financovaných GA ČR, které se od</w:t>
      </w:r>
      <w:r w:rsidR="000077F3">
        <w:rPr>
          <w:rFonts w:cstheme="minorHAnsi"/>
          <w:sz w:val="24"/>
        </w:rPr>
        <w:t xml:space="preserve"> </w:t>
      </w:r>
      <w:r w:rsidR="00B63084" w:rsidRPr="0088190A">
        <w:rPr>
          <w:rFonts w:cstheme="minorHAnsi"/>
          <w:sz w:val="24"/>
        </w:rPr>
        <w:t xml:space="preserve">roku 2017 do roku 2023 umístily v žebříčku 10 % a 1 % nejcitovanějších publikací na světě podle databáze </w:t>
      </w:r>
      <w:proofErr w:type="spellStart"/>
      <w:r w:rsidR="00B63084" w:rsidRPr="0088190A">
        <w:rPr>
          <w:rFonts w:cstheme="minorHAnsi"/>
          <w:sz w:val="24"/>
        </w:rPr>
        <w:t>InCites</w:t>
      </w:r>
      <w:proofErr w:type="spellEnd"/>
      <w:r w:rsidR="00B63084" w:rsidRPr="0088190A">
        <w:rPr>
          <w:rFonts w:cstheme="minorHAnsi"/>
          <w:sz w:val="24"/>
        </w:rPr>
        <w:t xml:space="preserve">, která provádí celosvětové srovnání vědeckých publikací na základě jejich citačního impaktu. </w:t>
      </w:r>
    </w:p>
    <w:p w14:paraId="5BA10522" w14:textId="2734F8AE" w:rsidR="00B63084" w:rsidRPr="00921D5B" w:rsidRDefault="00B63084" w:rsidP="008D3501">
      <w:pPr>
        <w:pStyle w:val="Default"/>
        <w:spacing w:before="120" w:after="40"/>
        <w:ind w:left="1021" w:hanging="1021"/>
        <w:jc w:val="both"/>
        <w:rPr>
          <w:rFonts w:asciiTheme="minorHAnsi" w:hAnsiTheme="minorHAnsi" w:cstheme="minorHAnsi"/>
          <w:b/>
        </w:rPr>
      </w:pPr>
      <w:r w:rsidRPr="00921D5B">
        <w:rPr>
          <w:rFonts w:asciiTheme="minorHAnsi" w:hAnsiTheme="minorHAnsi" w:cstheme="minorHAnsi"/>
          <w:b/>
        </w:rPr>
        <w:t>Graf č.</w:t>
      </w:r>
      <w:r w:rsidR="00921D5B" w:rsidRPr="00921D5B">
        <w:rPr>
          <w:rFonts w:asciiTheme="minorHAnsi" w:hAnsiTheme="minorHAnsi" w:cstheme="minorHAnsi"/>
          <w:b/>
        </w:rPr>
        <w:t xml:space="preserve"> 4:</w:t>
      </w:r>
      <w:r w:rsidRPr="00921D5B">
        <w:rPr>
          <w:rFonts w:asciiTheme="minorHAnsi" w:hAnsiTheme="minorHAnsi" w:cstheme="minorHAnsi"/>
          <w:b/>
        </w:rPr>
        <w:t xml:space="preserve"> </w:t>
      </w:r>
      <w:r w:rsidR="008D3501">
        <w:rPr>
          <w:rFonts w:asciiTheme="minorHAnsi" w:hAnsiTheme="minorHAnsi" w:cstheme="minorHAnsi"/>
          <w:b/>
        </w:rPr>
        <w:tab/>
      </w:r>
      <w:r w:rsidRPr="00921D5B">
        <w:rPr>
          <w:rFonts w:asciiTheme="minorHAnsi" w:hAnsiTheme="minorHAnsi" w:cstheme="minorHAnsi"/>
          <w:b/>
        </w:rPr>
        <w:t>Vývoj podílu článků</w:t>
      </w:r>
      <w:r w:rsidR="009F53BD">
        <w:rPr>
          <w:rFonts w:asciiTheme="minorHAnsi" w:hAnsiTheme="minorHAnsi" w:cstheme="minorHAnsi"/>
          <w:b/>
        </w:rPr>
        <w:t xml:space="preserve"> projektů podporovaných</w:t>
      </w:r>
      <w:r w:rsidRPr="00921D5B">
        <w:rPr>
          <w:rFonts w:asciiTheme="minorHAnsi" w:hAnsiTheme="minorHAnsi" w:cstheme="minorHAnsi"/>
          <w:b/>
        </w:rPr>
        <w:t xml:space="preserve"> GA ČR v top 10 % světově nejcitovanějších publikací v letech 2017 až 2023</w:t>
      </w:r>
    </w:p>
    <w:p w14:paraId="4B4ED1CD" w14:textId="77777777" w:rsidR="00B63084" w:rsidRPr="0088190A" w:rsidRDefault="00B63084" w:rsidP="00B63084">
      <w:pPr>
        <w:spacing w:after="0" w:line="240" w:lineRule="auto"/>
        <w:jc w:val="both"/>
        <w:rPr>
          <w:rFonts w:cstheme="minorHAnsi"/>
          <w:b/>
          <w:sz w:val="24"/>
          <w:szCs w:val="24"/>
        </w:rPr>
      </w:pPr>
      <w:r w:rsidRPr="0088190A">
        <w:rPr>
          <w:rFonts w:cstheme="minorHAnsi"/>
          <w:noProof/>
        </w:rPr>
        <w:drawing>
          <wp:inline distT="0" distB="0" distL="0" distR="0" wp14:anchorId="7981C160" wp14:editId="56EE829E">
            <wp:extent cx="5760000" cy="2691442"/>
            <wp:effectExtent l="0" t="0" r="0" b="0"/>
            <wp:docPr id="4" name="Graf 4">
              <a:extLst xmlns:a="http://schemas.openxmlformats.org/drawingml/2006/main">
                <a:ext uri="{FF2B5EF4-FFF2-40B4-BE49-F238E27FC236}">
                  <a16:creationId xmlns:a16="http://schemas.microsoft.com/office/drawing/2014/main" id="{C9DC9FC1-1CBC-451A-B5E1-2A6219758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73B722" w14:textId="502F7CD1" w:rsidR="00AC6E0E" w:rsidRPr="00CD4064" w:rsidRDefault="00B63084" w:rsidP="00CD4064">
      <w:pPr>
        <w:spacing w:before="40" w:after="0" w:line="240" w:lineRule="auto"/>
        <w:jc w:val="both"/>
        <w:rPr>
          <w:rFonts w:cstheme="minorHAnsi"/>
          <w:b/>
          <w:sz w:val="24"/>
          <w:szCs w:val="24"/>
        </w:rPr>
      </w:pPr>
      <w:r w:rsidRPr="0088190A">
        <w:rPr>
          <w:rFonts w:cstheme="minorHAnsi"/>
          <w:b/>
          <w:sz w:val="20"/>
        </w:rPr>
        <w:t>Zdroj:</w:t>
      </w:r>
      <w:r w:rsidRPr="0088190A">
        <w:rPr>
          <w:rFonts w:cstheme="minorHAnsi"/>
          <w:sz w:val="20"/>
        </w:rPr>
        <w:t xml:space="preserve"> informace GA ČR</w:t>
      </w:r>
      <w:r w:rsidR="00F51C86">
        <w:rPr>
          <w:rFonts w:cstheme="minorHAnsi"/>
          <w:sz w:val="20"/>
        </w:rPr>
        <w:t>;</w:t>
      </w:r>
      <w:r w:rsidR="00AC6E0E">
        <w:rPr>
          <w:rFonts w:cstheme="minorHAnsi"/>
          <w:sz w:val="20"/>
        </w:rPr>
        <w:t xml:space="preserve"> </w:t>
      </w:r>
      <w:r w:rsidR="00F51C86">
        <w:rPr>
          <w:rFonts w:cstheme="minorHAnsi"/>
          <w:sz w:val="20"/>
        </w:rPr>
        <w:t>vypracoval</w:t>
      </w:r>
      <w:r w:rsidR="00AC6E0E">
        <w:rPr>
          <w:rFonts w:cstheme="minorHAnsi"/>
          <w:sz w:val="20"/>
        </w:rPr>
        <w:t xml:space="preserve"> NKÚ</w:t>
      </w:r>
      <w:r w:rsidRPr="0088190A">
        <w:rPr>
          <w:rFonts w:cstheme="minorHAnsi"/>
          <w:sz w:val="20"/>
        </w:rPr>
        <w:t>.</w:t>
      </w:r>
    </w:p>
    <w:p w14:paraId="5A597F4E" w14:textId="00B505CD" w:rsidR="009D2FF2" w:rsidRPr="0088190A" w:rsidRDefault="009D2FF2" w:rsidP="008D3501">
      <w:pPr>
        <w:spacing w:before="240" w:after="120" w:line="240" w:lineRule="auto"/>
        <w:jc w:val="both"/>
        <w:rPr>
          <w:rFonts w:cstheme="minorHAnsi"/>
          <w:sz w:val="24"/>
        </w:rPr>
      </w:pPr>
      <w:r>
        <w:rPr>
          <w:rFonts w:cstheme="minorHAnsi"/>
          <w:sz w:val="24"/>
        </w:rPr>
        <w:t xml:space="preserve">4.42 </w:t>
      </w:r>
      <w:r w:rsidRPr="0088190A">
        <w:rPr>
          <w:rFonts w:cstheme="minorHAnsi"/>
          <w:sz w:val="24"/>
        </w:rPr>
        <w:t>V letech 2017 až 2020 docházelo k mírnému poklesu podílu článků</w:t>
      </w:r>
      <w:r w:rsidR="009F53BD">
        <w:rPr>
          <w:rFonts w:cstheme="minorHAnsi"/>
          <w:sz w:val="24"/>
        </w:rPr>
        <w:t xml:space="preserve"> z projektů</w:t>
      </w:r>
      <w:r w:rsidRPr="0088190A">
        <w:rPr>
          <w:rFonts w:cstheme="minorHAnsi"/>
          <w:sz w:val="24"/>
        </w:rPr>
        <w:t xml:space="preserve"> financovaných GA ČR umístěných mezi 10 % nejcitovanějších publikací na světě. Od roku 2020 tento podíl článků zaznamenal pozvolný nárůst</w:t>
      </w:r>
      <w:r>
        <w:rPr>
          <w:rFonts w:cstheme="minorHAnsi"/>
          <w:sz w:val="24"/>
        </w:rPr>
        <w:t>, což je patrné z grafu č. 4</w:t>
      </w:r>
      <w:r w:rsidRPr="0088190A">
        <w:rPr>
          <w:rFonts w:cstheme="minorHAnsi"/>
          <w:sz w:val="24"/>
        </w:rPr>
        <w:t xml:space="preserve">, nicméně hodnot z roku 2017 zatím nedosáhl. </w:t>
      </w:r>
    </w:p>
    <w:p w14:paraId="3675BB56" w14:textId="33326802" w:rsidR="009D2FF2" w:rsidRPr="0088190A" w:rsidRDefault="009D2FF2" w:rsidP="006663E1">
      <w:pPr>
        <w:spacing w:before="120" w:after="120" w:line="240" w:lineRule="auto"/>
        <w:jc w:val="both"/>
        <w:rPr>
          <w:rFonts w:cstheme="minorHAnsi"/>
          <w:sz w:val="24"/>
        </w:rPr>
      </w:pPr>
      <w:r>
        <w:rPr>
          <w:rFonts w:cstheme="minorHAnsi"/>
          <w:sz w:val="24"/>
        </w:rPr>
        <w:t xml:space="preserve">4.43 </w:t>
      </w:r>
      <w:r w:rsidRPr="0088190A">
        <w:rPr>
          <w:rFonts w:cstheme="minorHAnsi"/>
          <w:sz w:val="24"/>
        </w:rPr>
        <w:t>Podíl článků</w:t>
      </w:r>
      <w:r w:rsidR="009F53BD">
        <w:rPr>
          <w:rFonts w:cstheme="minorHAnsi"/>
          <w:sz w:val="24"/>
        </w:rPr>
        <w:t xml:space="preserve"> z projektů</w:t>
      </w:r>
      <w:r w:rsidRPr="0088190A">
        <w:rPr>
          <w:rFonts w:cstheme="minorHAnsi"/>
          <w:sz w:val="24"/>
        </w:rPr>
        <w:t xml:space="preserve"> podpořených GA ČR v nejcitovanějším 1 % publikací na světě se od roku 2019 zlepšoval a blížil se svými hodnotami ke světovému průměru. V posledních letech tak docházelo k postupnému zlepšení viditelnosti a impaktu vědeckých výsledků financovaných GA ČR</w:t>
      </w:r>
      <w:r>
        <w:rPr>
          <w:rFonts w:cstheme="minorHAnsi"/>
          <w:sz w:val="24"/>
        </w:rPr>
        <w:t>, což znázorňuje následující graf č. 5</w:t>
      </w:r>
      <w:r w:rsidRPr="0088190A">
        <w:rPr>
          <w:rFonts w:cstheme="minorHAnsi"/>
          <w:sz w:val="24"/>
        </w:rPr>
        <w:t>.</w:t>
      </w:r>
    </w:p>
    <w:p w14:paraId="32F8A407" w14:textId="52C254C6" w:rsidR="00B63084" w:rsidRPr="00921D5B" w:rsidRDefault="00B63084" w:rsidP="008D3501">
      <w:pPr>
        <w:pStyle w:val="Default"/>
        <w:keepNext/>
        <w:spacing w:before="120" w:after="40"/>
        <w:ind w:left="1021" w:hanging="1021"/>
        <w:jc w:val="both"/>
        <w:rPr>
          <w:rFonts w:asciiTheme="minorHAnsi" w:hAnsiTheme="minorHAnsi" w:cstheme="minorHAnsi"/>
          <w:b/>
        </w:rPr>
      </w:pPr>
      <w:r w:rsidRPr="00921D5B">
        <w:rPr>
          <w:rFonts w:asciiTheme="minorHAnsi" w:hAnsiTheme="minorHAnsi" w:cstheme="minorHAnsi"/>
          <w:b/>
        </w:rPr>
        <w:lastRenderedPageBreak/>
        <w:t>Graf č.</w:t>
      </w:r>
      <w:r w:rsidR="00921D5B" w:rsidRPr="00921D5B">
        <w:rPr>
          <w:rFonts w:asciiTheme="minorHAnsi" w:hAnsiTheme="minorHAnsi" w:cstheme="minorHAnsi"/>
          <w:b/>
        </w:rPr>
        <w:t xml:space="preserve"> 5: </w:t>
      </w:r>
      <w:r w:rsidR="008D3501">
        <w:rPr>
          <w:rFonts w:asciiTheme="minorHAnsi" w:hAnsiTheme="minorHAnsi" w:cstheme="minorHAnsi"/>
          <w:b/>
        </w:rPr>
        <w:tab/>
      </w:r>
      <w:r w:rsidRPr="00921D5B">
        <w:rPr>
          <w:rFonts w:asciiTheme="minorHAnsi" w:hAnsiTheme="minorHAnsi" w:cstheme="minorHAnsi"/>
          <w:b/>
        </w:rPr>
        <w:t>Vývoj podílu článků</w:t>
      </w:r>
      <w:r w:rsidR="009F53BD">
        <w:rPr>
          <w:rFonts w:asciiTheme="minorHAnsi" w:hAnsiTheme="minorHAnsi" w:cstheme="minorHAnsi"/>
          <w:b/>
        </w:rPr>
        <w:t xml:space="preserve"> projektů</w:t>
      </w:r>
      <w:r w:rsidRPr="00921D5B">
        <w:rPr>
          <w:rFonts w:asciiTheme="minorHAnsi" w:hAnsiTheme="minorHAnsi" w:cstheme="minorHAnsi"/>
          <w:b/>
        </w:rPr>
        <w:t xml:space="preserve"> </w:t>
      </w:r>
      <w:r w:rsidR="009F53BD">
        <w:rPr>
          <w:rFonts w:asciiTheme="minorHAnsi" w:hAnsiTheme="minorHAnsi" w:cstheme="minorHAnsi"/>
          <w:b/>
        </w:rPr>
        <w:t xml:space="preserve">podporovaných </w:t>
      </w:r>
      <w:r w:rsidRPr="00921D5B">
        <w:rPr>
          <w:rFonts w:asciiTheme="minorHAnsi" w:hAnsiTheme="minorHAnsi" w:cstheme="minorHAnsi"/>
          <w:b/>
        </w:rPr>
        <w:t>GA ČR v top 1 % světově nejcitovanějších publikací v letech 2017 až 2023</w:t>
      </w:r>
    </w:p>
    <w:p w14:paraId="07B96B1A" w14:textId="77777777" w:rsidR="00B63084" w:rsidRPr="0088190A" w:rsidRDefault="00B63084" w:rsidP="00B63084">
      <w:pPr>
        <w:spacing w:after="0" w:line="240" w:lineRule="auto"/>
        <w:jc w:val="both"/>
        <w:rPr>
          <w:rFonts w:cstheme="minorHAnsi"/>
          <w:sz w:val="24"/>
          <w:szCs w:val="24"/>
        </w:rPr>
      </w:pPr>
      <w:bookmarkStart w:id="7" w:name="_Hlk190162680"/>
      <w:r w:rsidRPr="0088190A">
        <w:rPr>
          <w:rFonts w:cstheme="minorHAnsi"/>
          <w:noProof/>
        </w:rPr>
        <w:drawing>
          <wp:inline distT="0" distB="0" distL="0" distR="0" wp14:anchorId="37DE5340" wp14:editId="3A776BE4">
            <wp:extent cx="5760000" cy="2863970"/>
            <wp:effectExtent l="0" t="0" r="0" b="0"/>
            <wp:docPr id="5" name="Graf 5">
              <a:extLst xmlns:a="http://schemas.openxmlformats.org/drawingml/2006/main">
                <a:ext uri="{FF2B5EF4-FFF2-40B4-BE49-F238E27FC236}">
                  <a16:creationId xmlns:a16="http://schemas.microsoft.com/office/drawing/2014/main" id="{57508969-C8DF-4466-965A-2207A1676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4E6DA7" w14:textId="064EBBA1" w:rsidR="00B63084" w:rsidRPr="0088190A" w:rsidRDefault="00B63084" w:rsidP="00A21AF4">
      <w:pPr>
        <w:spacing w:before="40" w:after="0" w:line="240" w:lineRule="auto"/>
        <w:jc w:val="both"/>
        <w:rPr>
          <w:rFonts w:cstheme="minorHAnsi"/>
          <w:b/>
          <w:sz w:val="24"/>
          <w:szCs w:val="24"/>
        </w:rPr>
      </w:pPr>
      <w:r w:rsidRPr="0088190A">
        <w:rPr>
          <w:rFonts w:cstheme="minorHAnsi"/>
          <w:b/>
          <w:sz w:val="20"/>
        </w:rPr>
        <w:t>Zdroj:</w:t>
      </w:r>
      <w:r w:rsidRPr="0088190A">
        <w:rPr>
          <w:rFonts w:cstheme="minorHAnsi"/>
          <w:sz w:val="20"/>
        </w:rPr>
        <w:t xml:space="preserve"> informace GA ČR</w:t>
      </w:r>
      <w:r w:rsidR="00F51C86">
        <w:rPr>
          <w:rFonts w:cstheme="minorHAnsi"/>
          <w:sz w:val="20"/>
        </w:rPr>
        <w:t>;</w:t>
      </w:r>
      <w:r w:rsidR="00AC6E0E">
        <w:rPr>
          <w:rFonts w:cstheme="minorHAnsi"/>
          <w:sz w:val="20"/>
        </w:rPr>
        <w:t xml:space="preserve"> </w:t>
      </w:r>
      <w:r w:rsidR="00F51C86">
        <w:rPr>
          <w:rFonts w:cstheme="minorHAnsi"/>
          <w:sz w:val="20"/>
        </w:rPr>
        <w:t>vypracoval</w:t>
      </w:r>
      <w:r w:rsidR="00AC6E0E">
        <w:rPr>
          <w:rFonts w:cstheme="minorHAnsi"/>
          <w:sz w:val="20"/>
        </w:rPr>
        <w:t xml:space="preserve"> NKÚ</w:t>
      </w:r>
      <w:r w:rsidRPr="0088190A">
        <w:rPr>
          <w:rFonts w:cstheme="minorHAnsi"/>
          <w:sz w:val="20"/>
        </w:rPr>
        <w:t>.</w:t>
      </w:r>
    </w:p>
    <w:p w14:paraId="3A5F463A" w14:textId="1D7A211E" w:rsidR="00B63084" w:rsidRPr="0088190A" w:rsidRDefault="00250D2B" w:rsidP="008D3501">
      <w:pPr>
        <w:autoSpaceDE w:val="0"/>
        <w:autoSpaceDN w:val="0"/>
        <w:adjustRightInd w:val="0"/>
        <w:spacing w:before="240" w:after="120" w:line="240" w:lineRule="auto"/>
        <w:jc w:val="both"/>
        <w:rPr>
          <w:rFonts w:eastAsia="Times New Roman" w:cstheme="minorHAnsi"/>
          <w:sz w:val="24"/>
          <w:szCs w:val="24"/>
          <w:lang w:eastAsia="cs-CZ"/>
        </w:rPr>
      </w:pPr>
      <w:r w:rsidRPr="004F5011">
        <w:rPr>
          <w:rFonts w:eastAsia="Times New Roman" w:cstheme="minorHAnsi"/>
          <w:sz w:val="24"/>
          <w:szCs w:val="24"/>
          <w:lang w:eastAsia="cs-CZ"/>
        </w:rPr>
        <w:t xml:space="preserve">4.44 </w:t>
      </w:r>
      <w:r w:rsidR="00B63084" w:rsidRPr="004F5011">
        <w:rPr>
          <w:rFonts w:eastAsia="Times New Roman" w:cstheme="minorHAnsi"/>
          <w:sz w:val="24"/>
          <w:szCs w:val="24"/>
          <w:lang w:eastAsia="cs-CZ"/>
        </w:rPr>
        <w:t xml:space="preserve">Pro srovnání kvality základního výzkumu byl </w:t>
      </w:r>
      <w:r w:rsidR="005863DB" w:rsidRPr="004F5011">
        <w:rPr>
          <w:rFonts w:eastAsia="Times New Roman" w:cstheme="minorHAnsi"/>
          <w:sz w:val="24"/>
          <w:szCs w:val="24"/>
          <w:lang w:eastAsia="cs-CZ"/>
        </w:rPr>
        <w:t xml:space="preserve">u indikátoru EIS </w:t>
      </w:r>
      <w:r w:rsidR="00B63084" w:rsidRPr="004F5011">
        <w:rPr>
          <w:rFonts w:eastAsia="Times New Roman" w:cstheme="minorHAnsi"/>
          <w:sz w:val="24"/>
          <w:szCs w:val="24"/>
          <w:lang w:eastAsia="cs-CZ"/>
        </w:rPr>
        <w:t>relevantní zejména ukazatel tvorby a kvality publikací, jelikož publikační činnost je téměř výhradním výstupem základního výzkumu.</w:t>
      </w:r>
    </w:p>
    <w:p w14:paraId="7415E74C" w14:textId="715539DD" w:rsidR="00B63084" w:rsidRPr="0088190A" w:rsidRDefault="00250D2B" w:rsidP="00B63084">
      <w:pPr>
        <w:autoSpaceDE w:val="0"/>
        <w:autoSpaceDN w:val="0"/>
        <w:adjustRightInd w:val="0"/>
        <w:spacing w:before="120" w:after="0" w:line="240" w:lineRule="auto"/>
        <w:jc w:val="both"/>
        <w:rPr>
          <w:rFonts w:eastAsia="Times New Roman" w:cstheme="minorHAnsi"/>
          <w:sz w:val="24"/>
          <w:szCs w:val="24"/>
          <w:lang w:eastAsia="cs-CZ"/>
        </w:rPr>
      </w:pPr>
      <w:r>
        <w:rPr>
          <w:rFonts w:eastAsia="Times New Roman" w:cstheme="minorHAnsi"/>
          <w:sz w:val="24"/>
          <w:szCs w:val="24"/>
          <w:lang w:eastAsia="cs-CZ"/>
        </w:rPr>
        <w:t xml:space="preserve">4.45 </w:t>
      </w:r>
      <w:r w:rsidR="00B63084" w:rsidRPr="0088190A">
        <w:rPr>
          <w:rFonts w:eastAsia="Times New Roman" w:cstheme="minorHAnsi"/>
          <w:sz w:val="24"/>
          <w:szCs w:val="24"/>
          <w:lang w:eastAsia="cs-CZ"/>
        </w:rPr>
        <w:t>Tabulka č.</w:t>
      </w:r>
      <w:r w:rsidR="00D10891">
        <w:rPr>
          <w:rFonts w:eastAsia="Times New Roman" w:cstheme="minorHAnsi"/>
          <w:sz w:val="24"/>
          <w:szCs w:val="24"/>
          <w:lang w:eastAsia="cs-CZ"/>
        </w:rPr>
        <w:t xml:space="preserve"> 8 </w:t>
      </w:r>
      <w:r w:rsidR="00B63084" w:rsidRPr="0088190A">
        <w:rPr>
          <w:rFonts w:eastAsia="Times New Roman" w:cstheme="minorHAnsi"/>
          <w:sz w:val="24"/>
          <w:szCs w:val="24"/>
          <w:lang w:eastAsia="cs-CZ"/>
        </w:rPr>
        <w:t xml:space="preserve">zobrazuje přehled a srovnání České republiky s průměrem 27 států Evropské unie v souhrnném ukazateli </w:t>
      </w:r>
      <w:r w:rsidR="005863DB">
        <w:rPr>
          <w:rFonts w:eastAsia="Times New Roman" w:cstheme="minorHAnsi"/>
          <w:sz w:val="24"/>
          <w:szCs w:val="24"/>
          <w:lang w:eastAsia="cs-CZ"/>
        </w:rPr>
        <w:t>EIS</w:t>
      </w:r>
      <w:r w:rsidR="00B63084" w:rsidRPr="0088190A">
        <w:rPr>
          <w:rFonts w:eastAsia="Times New Roman" w:cstheme="minorHAnsi"/>
          <w:sz w:val="24"/>
          <w:szCs w:val="24"/>
          <w:lang w:eastAsia="cs-CZ"/>
        </w:rPr>
        <w:t xml:space="preserve"> a jeho sub-indexu, tj. ukazateli podílu 10 % světově nejcitovanějších publikací na celkovém počtu publikací.</w:t>
      </w:r>
    </w:p>
    <w:p w14:paraId="075752B6" w14:textId="56547D91" w:rsidR="00B63084" w:rsidRPr="002E521C" w:rsidRDefault="00B63084" w:rsidP="00CF689C">
      <w:pPr>
        <w:spacing w:before="120" w:after="40" w:line="240" w:lineRule="auto"/>
        <w:ind w:left="1304" w:hanging="1304"/>
        <w:jc w:val="both"/>
        <w:rPr>
          <w:rFonts w:eastAsia="Times New Roman" w:cstheme="minorHAnsi"/>
          <w:b/>
          <w:sz w:val="24"/>
          <w:szCs w:val="24"/>
          <w:highlight w:val="yellow"/>
        </w:rPr>
      </w:pPr>
      <w:r w:rsidRPr="002E521C">
        <w:rPr>
          <w:rFonts w:eastAsia="Times New Roman" w:cstheme="minorHAnsi"/>
          <w:b/>
          <w:sz w:val="24"/>
          <w:szCs w:val="24"/>
        </w:rPr>
        <w:t>Tabulka č.</w:t>
      </w:r>
      <w:r w:rsidR="002E521C" w:rsidRPr="002E521C">
        <w:rPr>
          <w:rFonts w:eastAsia="Times New Roman" w:cstheme="minorHAnsi"/>
          <w:b/>
          <w:sz w:val="24"/>
          <w:szCs w:val="24"/>
        </w:rPr>
        <w:t xml:space="preserve"> 8:</w:t>
      </w:r>
      <w:r w:rsidR="00CF689C">
        <w:rPr>
          <w:rFonts w:eastAsia="Times New Roman" w:cstheme="minorHAnsi"/>
          <w:b/>
          <w:sz w:val="24"/>
          <w:szCs w:val="24"/>
        </w:rPr>
        <w:tab/>
      </w:r>
      <w:r w:rsidR="00232C28" w:rsidRPr="007A42BC">
        <w:rPr>
          <w:rFonts w:cstheme="minorHAnsi"/>
          <w:b/>
          <w:sz w:val="24"/>
          <w:szCs w:val="24"/>
        </w:rPr>
        <w:t>Výkonnost inovačního systému</w:t>
      </w:r>
      <w:r w:rsidRPr="002E521C">
        <w:rPr>
          <w:rFonts w:eastAsia="Times New Roman" w:cstheme="minorHAnsi"/>
          <w:b/>
          <w:sz w:val="24"/>
          <w:szCs w:val="24"/>
        </w:rPr>
        <w:t xml:space="preserve"> ČR v porovnání s průměrem EU27 v letech 2017 až 2024</w:t>
      </w:r>
    </w:p>
    <w:tbl>
      <w:tblPr>
        <w:tblW w:w="5000" w:type="pct"/>
        <w:tblLayout w:type="fixed"/>
        <w:tblCellMar>
          <w:left w:w="70" w:type="dxa"/>
          <w:right w:w="70" w:type="dxa"/>
        </w:tblCellMar>
        <w:tblLook w:val="04A0" w:firstRow="1" w:lastRow="0" w:firstColumn="1" w:lastColumn="0" w:noHBand="0" w:noVBand="1"/>
      </w:tblPr>
      <w:tblGrid>
        <w:gridCol w:w="1745"/>
        <w:gridCol w:w="915"/>
        <w:gridCol w:w="915"/>
        <w:gridCol w:w="915"/>
        <w:gridCol w:w="915"/>
        <w:gridCol w:w="915"/>
        <w:gridCol w:w="915"/>
        <w:gridCol w:w="915"/>
        <w:gridCol w:w="912"/>
      </w:tblGrid>
      <w:tr w:rsidR="008A65E9" w:rsidRPr="0088190A" w14:paraId="550BEEF1" w14:textId="77777777" w:rsidTr="0036780E">
        <w:trPr>
          <w:trHeight w:val="300"/>
        </w:trPr>
        <w:tc>
          <w:tcPr>
            <w:tcW w:w="962"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3C0CCC96" w14:textId="77777777" w:rsidR="00B63084" w:rsidRPr="0088190A" w:rsidRDefault="00B63084" w:rsidP="00801377">
            <w:pPr>
              <w:spacing w:after="0" w:line="240" w:lineRule="auto"/>
              <w:rPr>
                <w:rFonts w:eastAsia="Times New Roman" w:cstheme="minorHAnsi"/>
                <w:b/>
                <w:bCs/>
                <w:sz w:val="20"/>
                <w:szCs w:val="20"/>
                <w:lang w:eastAsia="cs-CZ"/>
              </w:rPr>
            </w:pPr>
            <w:bookmarkStart w:id="8" w:name="_Hlk188302931"/>
          </w:p>
        </w:tc>
        <w:tc>
          <w:tcPr>
            <w:tcW w:w="505" w:type="pct"/>
            <w:tcBorders>
              <w:top w:val="single" w:sz="4" w:space="0" w:color="auto"/>
              <w:left w:val="nil"/>
              <w:bottom w:val="single" w:sz="4" w:space="0" w:color="auto"/>
              <w:right w:val="single" w:sz="4" w:space="0" w:color="auto"/>
            </w:tcBorders>
            <w:shd w:val="clear" w:color="auto" w:fill="E6E6E6"/>
            <w:noWrap/>
            <w:vAlign w:val="center"/>
            <w:hideMark/>
          </w:tcPr>
          <w:p w14:paraId="5211605F" w14:textId="77777777" w:rsidR="00B63084" w:rsidRPr="0088190A" w:rsidRDefault="00B63084" w:rsidP="00801377">
            <w:pPr>
              <w:spacing w:after="0" w:line="240" w:lineRule="auto"/>
              <w:jc w:val="center"/>
              <w:rPr>
                <w:rFonts w:eastAsia="Times New Roman" w:cstheme="minorHAnsi"/>
                <w:b/>
                <w:sz w:val="20"/>
                <w:szCs w:val="20"/>
              </w:rPr>
            </w:pPr>
            <w:r w:rsidRPr="0088190A">
              <w:rPr>
                <w:rFonts w:eastAsia="Times New Roman" w:cstheme="minorHAnsi"/>
                <w:b/>
                <w:bCs/>
                <w:sz w:val="20"/>
                <w:szCs w:val="20"/>
              </w:rPr>
              <w:t>2017</w:t>
            </w:r>
          </w:p>
        </w:tc>
        <w:tc>
          <w:tcPr>
            <w:tcW w:w="505" w:type="pct"/>
            <w:tcBorders>
              <w:top w:val="single" w:sz="4" w:space="0" w:color="auto"/>
              <w:left w:val="nil"/>
              <w:bottom w:val="single" w:sz="4" w:space="0" w:color="auto"/>
              <w:right w:val="single" w:sz="4" w:space="0" w:color="auto"/>
            </w:tcBorders>
            <w:shd w:val="clear" w:color="auto" w:fill="E6E6E6"/>
            <w:noWrap/>
            <w:vAlign w:val="center"/>
            <w:hideMark/>
          </w:tcPr>
          <w:p w14:paraId="7FAAFA18" w14:textId="77777777" w:rsidR="00B63084" w:rsidRPr="0088190A" w:rsidRDefault="00B63084" w:rsidP="00801377">
            <w:pPr>
              <w:spacing w:after="0" w:line="240" w:lineRule="auto"/>
              <w:jc w:val="center"/>
              <w:rPr>
                <w:rFonts w:eastAsia="Times New Roman" w:cstheme="minorHAnsi"/>
                <w:b/>
              </w:rPr>
            </w:pPr>
            <w:r w:rsidRPr="0088190A">
              <w:rPr>
                <w:rFonts w:eastAsia="Times New Roman" w:cstheme="minorHAnsi"/>
                <w:b/>
                <w:bCs/>
                <w:sz w:val="20"/>
                <w:szCs w:val="20"/>
              </w:rPr>
              <w:t>2018</w:t>
            </w:r>
          </w:p>
        </w:tc>
        <w:tc>
          <w:tcPr>
            <w:tcW w:w="505" w:type="pct"/>
            <w:tcBorders>
              <w:top w:val="single" w:sz="4" w:space="0" w:color="auto"/>
              <w:left w:val="nil"/>
              <w:bottom w:val="single" w:sz="4" w:space="0" w:color="auto"/>
              <w:right w:val="single" w:sz="4" w:space="0" w:color="auto"/>
            </w:tcBorders>
            <w:shd w:val="clear" w:color="auto" w:fill="E6E6E6"/>
            <w:noWrap/>
            <w:vAlign w:val="center"/>
            <w:hideMark/>
          </w:tcPr>
          <w:p w14:paraId="5D4965E6" w14:textId="77777777" w:rsidR="00B63084" w:rsidRPr="0088190A" w:rsidRDefault="00B63084" w:rsidP="00801377">
            <w:pPr>
              <w:spacing w:after="0" w:line="240" w:lineRule="auto"/>
              <w:jc w:val="center"/>
              <w:rPr>
                <w:rFonts w:eastAsia="Times New Roman" w:cstheme="minorHAnsi"/>
                <w:b/>
              </w:rPr>
            </w:pPr>
            <w:r w:rsidRPr="0088190A">
              <w:rPr>
                <w:rFonts w:eastAsia="Times New Roman" w:cstheme="minorHAnsi"/>
                <w:b/>
                <w:bCs/>
                <w:sz w:val="20"/>
                <w:szCs w:val="20"/>
              </w:rPr>
              <w:t>2019</w:t>
            </w:r>
          </w:p>
        </w:tc>
        <w:tc>
          <w:tcPr>
            <w:tcW w:w="505" w:type="pct"/>
            <w:tcBorders>
              <w:top w:val="single" w:sz="4" w:space="0" w:color="auto"/>
              <w:left w:val="nil"/>
              <w:bottom w:val="single" w:sz="4" w:space="0" w:color="auto"/>
              <w:right w:val="single" w:sz="4" w:space="0" w:color="auto"/>
            </w:tcBorders>
            <w:shd w:val="clear" w:color="auto" w:fill="E6E6E6"/>
            <w:noWrap/>
            <w:vAlign w:val="center"/>
            <w:hideMark/>
          </w:tcPr>
          <w:p w14:paraId="63D71A12" w14:textId="77777777" w:rsidR="00B63084" w:rsidRPr="0088190A" w:rsidRDefault="00B63084" w:rsidP="00801377">
            <w:pPr>
              <w:spacing w:after="0" w:line="240" w:lineRule="auto"/>
              <w:jc w:val="center"/>
              <w:rPr>
                <w:rFonts w:eastAsia="Times New Roman" w:cstheme="minorHAnsi"/>
                <w:b/>
              </w:rPr>
            </w:pPr>
            <w:r w:rsidRPr="0088190A">
              <w:rPr>
                <w:rFonts w:eastAsia="Times New Roman" w:cstheme="minorHAnsi"/>
                <w:b/>
                <w:bCs/>
                <w:sz w:val="20"/>
                <w:szCs w:val="20"/>
              </w:rPr>
              <w:t>2020</w:t>
            </w:r>
          </w:p>
        </w:tc>
        <w:tc>
          <w:tcPr>
            <w:tcW w:w="505" w:type="pct"/>
            <w:tcBorders>
              <w:top w:val="single" w:sz="4" w:space="0" w:color="auto"/>
              <w:left w:val="nil"/>
              <w:bottom w:val="single" w:sz="4" w:space="0" w:color="auto"/>
              <w:right w:val="single" w:sz="4" w:space="0" w:color="auto"/>
            </w:tcBorders>
            <w:shd w:val="clear" w:color="auto" w:fill="E6E6E6"/>
            <w:noWrap/>
            <w:vAlign w:val="center"/>
            <w:hideMark/>
          </w:tcPr>
          <w:p w14:paraId="4E10057F" w14:textId="77777777" w:rsidR="00B63084" w:rsidRPr="0088190A" w:rsidRDefault="00B63084" w:rsidP="00801377">
            <w:pPr>
              <w:spacing w:after="0" w:line="240" w:lineRule="auto"/>
              <w:jc w:val="center"/>
              <w:rPr>
                <w:rFonts w:eastAsia="Times New Roman" w:cstheme="minorHAnsi"/>
                <w:b/>
              </w:rPr>
            </w:pPr>
            <w:r w:rsidRPr="0088190A">
              <w:rPr>
                <w:rFonts w:eastAsia="Times New Roman" w:cstheme="minorHAnsi"/>
                <w:b/>
                <w:bCs/>
                <w:sz w:val="20"/>
                <w:szCs w:val="20"/>
              </w:rPr>
              <w:t>2021</w:t>
            </w:r>
          </w:p>
        </w:tc>
        <w:tc>
          <w:tcPr>
            <w:tcW w:w="505" w:type="pct"/>
            <w:tcBorders>
              <w:top w:val="single" w:sz="4" w:space="0" w:color="auto"/>
              <w:left w:val="nil"/>
              <w:bottom w:val="single" w:sz="4" w:space="0" w:color="auto"/>
              <w:right w:val="single" w:sz="4" w:space="0" w:color="auto"/>
            </w:tcBorders>
            <w:shd w:val="clear" w:color="auto" w:fill="E6E6E6"/>
            <w:noWrap/>
            <w:vAlign w:val="center"/>
            <w:hideMark/>
          </w:tcPr>
          <w:p w14:paraId="57AFB49F" w14:textId="77777777" w:rsidR="00B63084" w:rsidRPr="0088190A" w:rsidRDefault="00B63084" w:rsidP="00801377">
            <w:pPr>
              <w:spacing w:after="0" w:line="240" w:lineRule="auto"/>
              <w:jc w:val="center"/>
              <w:rPr>
                <w:rFonts w:eastAsia="Times New Roman" w:cstheme="minorHAnsi"/>
                <w:b/>
              </w:rPr>
            </w:pPr>
            <w:r w:rsidRPr="0088190A">
              <w:rPr>
                <w:rFonts w:eastAsia="Times New Roman" w:cstheme="minorHAnsi"/>
                <w:b/>
                <w:bCs/>
                <w:sz w:val="20"/>
                <w:szCs w:val="20"/>
              </w:rPr>
              <w:t>2022</w:t>
            </w:r>
          </w:p>
        </w:tc>
        <w:tc>
          <w:tcPr>
            <w:tcW w:w="505" w:type="pct"/>
            <w:tcBorders>
              <w:top w:val="single" w:sz="4" w:space="0" w:color="auto"/>
              <w:left w:val="nil"/>
              <w:bottom w:val="single" w:sz="4" w:space="0" w:color="auto"/>
              <w:right w:val="single" w:sz="4" w:space="0" w:color="auto"/>
            </w:tcBorders>
            <w:shd w:val="clear" w:color="auto" w:fill="E6E6E6"/>
            <w:noWrap/>
            <w:vAlign w:val="center"/>
            <w:hideMark/>
          </w:tcPr>
          <w:p w14:paraId="0AB12FA7" w14:textId="77777777" w:rsidR="00B63084" w:rsidRPr="0088190A" w:rsidRDefault="00B63084" w:rsidP="00801377">
            <w:pPr>
              <w:spacing w:after="0" w:line="240" w:lineRule="auto"/>
              <w:jc w:val="center"/>
              <w:rPr>
                <w:rFonts w:eastAsia="Times New Roman" w:cstheme="minorHAnsi"/>
                <w:b/>
              </w:rPr>
            </w:pPr>
            <w:r w:rsidRPr="0088190A">
              <w:rPr>
                <w:rFonts w:eastAsia="Times New Roman" w:cstheme="minorHAnsi"/>
                <w:b/>
                <w:bCs/>
                <w:sz w:val="20"/>
                <w:szCs w:val="20"/>
              </w:rPr>
              <w:t>2023</w:t>
            </w:r>
          </w:p>
        </w:tc>
        <w:tc>
          <w:tcPr>
            <w:tcW w:w="504" w:type="pct"/>
            <w:tcBorders>
              <w:top w:val="single" w:sz="4" w:space="0" w:color="auto"/>
              <w:left w:val="nil"/>
              <w:bottom w:val="single" w:sz="4" w:space="0" w:color="auto"/>
              <w:right w:val="single" w:sz="4" w:space="0" w:color="auto"/>
            </w:tcBorders>
            <w:shd w:val="clear" w:color="auto" w:fill="E6E6E6"/>
            <w:noWrap/>
            <w:vAlign w:val="center"/>
            <w:hideMark/>
          </w:tcPr>
          <w:p w14:paraId="4A7DBEC2" w14:textId="77777777" w:rsidR="00B63084" w:rsidRPr="0088190A" w:rsidRDefault="00B63084" w:rsidP="00801377">
            <w:pPr>
              <w:spacing w:after="0" w:line="240" w:lineRule="auto"/>
              <w:jc w:val="center"/>
              <w:rPr>
                <w:rFonts w:eastAsia="Times New Roman" w:cstheme="minorHAnsi"/>
                <w:b/>
              </w:rPr>
            </w:pPr>
            <w:r w:rsidRPr="0088190A">
              <w:rPr>
                <w:rFonts w:eastAsia="Times New Roman" w:cstheme="minorHAnsi"/>
                <w:b/>
                <w:bCs/>
                <w:sz w:val="20"/>
                <w:szCs w:val="20"/>
              </w:rPr>
              <w:t>2024</w:t>
            </w:r>
          </w:p>
        </w:tc>
      </w:tr>
      <w:tr w:rsidR="008A65E9" w:rsidRPr="0088190A" w14:paraId="6B29FE64" w14:textId="77777777" w:rsidTr="002E521C">
        <w:trPr>
          <w:trHeight w:val="300"/>
        </w:trPr>
        <w:tc>
          <w:tcPr>
            <w:tcW w:w="5000" w:type="pct"/>
            <w:gridSpan w:val="9"/>
            <w:tcBorders>
              <w:top w:val="nil"/>
              <w:left w:val="single" w:sz="4" w:space="0" w:color="auto"/>
              <w:bottom w:val="single" w:sz="4" w:space="0" w:color="auto"/>
              <w:right w:val="single" w:sz="4" w:space="0" w:color="auto"/>
            </w:tcBorders>
            <w:shd w:val="clear" w:color="auto" w:fill="EDD4D9"/>
            <w:noWrap/>
            <w:vAlign w:val="center"/>
          </w:tcPr>
          <w:p w14:paraId="45DA84EB" w14:textId="3CD28818" w:rsidR="00B63084" w:rsidRPr="0088190A" w:rsidRDefault="00B63084" w:rsidP="00801377">
            <w:pPr>
              <w:spacing w:after="0" w:line="240" w:lineRule="auto"/>
              <w:rPr>
                <w:rFonts w:eastAsia="Times New Roman" w:cstheme="minorHAnsi"/>
                <w:sz w:val="20"/>
                <w:szCs w:val="20"/>
              </w:rPr>
            </w:pPr>
            <w:r w:rsidRPr="0088190A">
              <w:rPr>
                <w:rFonts w:eastAsia="Times New Roman" w:cstheme="minorHAnsi"/>
                <w:b/>
                <w:bCs/>
                <w:sz w:val="20"/>
                <w:szCs w:val="20"/>
              </w:rPr>
              <w:t xml:space="preserve">Ukazatel </w:t>
            </w:r>
            <w:r w:rsidR="005863DB">
              <w:rPr>
                <w:rFonts w:eastAsia="Times New Roman" w:cstheme="minorHAnsi"/>
                <w:b/>
                <w:bCs/>
                <w:sz w:val="20"/>
                <w:szCs w:val="20"/>
              </w:rPr>
              <w:t>EIS</w:t>
            </w:r>
            <w:r w:rsidRPr="0088190A">
              <w:rPr>
                <w:rFonts w:eastAsia="Times New Roman" w:cstheme="minorHAnsi"/>
                <w:b/>
                <w:bCs/>
                <w:sz w:val="20"/>
                <w:szCs w:val="20"/>
              </w:rPr>
              <w:t xml:space="preserve"> celkem</w:t>
            </w:r>
          </w:p>
        </w:tc>
      </w:tr>
      <w:tr w:rsidR="008A65E9" w:rsidRPr="0088190A" w14:paraId="1250023F" w14:textId="77777777" w:rsidTr="00801377">
        <w:trPr>
          <w:trHeight w:val="300"/>
        </w:trPr>
        <w:tc>
          <w:tcPr>
            <w:tcW w:w="962" w:type="pct"/>
            <w:tcBorders>
              <w:top w:val="nil"/>
              <w:left w:val="single" w:sz="4" w:space="0" w:color="auto"/>
              <w:bottom w:val="single" w:sz="4" w:space="0" w:color="auto"/>
              <w:right w:val="single" w:sz="4" w:space="0" w:color="auto"/>
            </w:tcBorders>
            <w:shd w:val="clear" w:color="auto" w:fill="auto"/>
            <w:vAlign w:val="center"/>
            <w:hideMark/>
          </w:tcPr>
          <w:p w14:paraId="4511260F" w14:textId="77777777" w:rsidR="00B63084" w:rsidRPr="0088190A" w:rsidRDefault="00B63084" w:rsidP="00801377">
            <w:pPr>
              <w:spacing w:after="0" w:line="240" w:lineRule="auto"/>
              <w:rPr>
                <w:rFonts w:eastAsia="Times New Roman" w:cstheme="minorHAnsi"/>
                <w:sz w:val="20"/>
                <w:szCs w:val="20"/>
              </w:rPr>
            </w:pPr>
            <w:r w:rsidRPr="0088190A">
              <w:rPr>
                <w:rFonts w:eastAsia="Times New Roman" w:cstheme="minorHAnsi"/>
                <w:sz w:val="20"/>
                <w:szCs w:val="20"/>
              </w:rPr>
              <w:t>Porovnání ČR s</w:t>
            </w:r>
            <w:r w:rsidR="006E65CD">
              <w:rPr>
                <w:rFonts w:eastAsia="Times New Roman" w:cstheme="minorHAnsi"/>
                <w:sz w:val="20"/>
                <w:szCs w:val="20"/>
              </w:rPr>
              <w:t> </w:t>
            </w:r>
            <w:r w:rsidRPr="0088190A">
              <w:rPr>
                <w:rFonts w:eastAsia="Times New Roman" w:cstheme="minorHAnsi"/>
                <w:sz w:val="20"/>
                <w:szCs w:val="20"/>
              </w:rPr>
              <w:t>EU27</w:t>
            </w:r>
          </w:p>
        </w:tc>
        <w:tc>
          <w:tcPr>
            <w:tcW w:w="505" w:type="pct"/>
            <w:tcBorders>
              <w:top w:val="nil"/>
              <w:left w:val="nil"/>
              <w:bottom w:val="single" w:sz="4" w:space="0" w:color="auto"/>
              <w:right w:val="single" w:sz="4" w:space="0" w:color="auto"/>
            </w:tcBorders>
            <w:shd w:val="clear" w:color="auto" w:fill="auto"/>
            <w:noWrap/>
            <w:vAlign w:val="center"/>
            <w:hideMark/>
          </w:tcPr>
          <w:p w14:paraId="3DEDDE4C"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83,09 %</w:t>
            </w:r>
          </w:p>
        </w:tc>
        <w:tc>
          <w:tcPr>
            <w:tcW w:w="505" w:type="pct"/>
            <w:tcBorders>
              <w:top w:val="nil"/>
              <w:left w:val="nil"/>
              <w:bottom w:val="single" w:sz="4" w:space="0" w:color="auto"/>
              <w:right w:val="single" w:sz="4" w:space="0" w:color="auto"/>
            </w:tcBorders>
            <w:shd w:val="clear" w:color="auto" w:fill="auto"/>
            <w:noWrap/>
            <w:vAlign w:val="center"/>
            <w:hideMark/>
          </w:tcPr>
          <w:p w14:paraId="6975E312"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80,94 %</w:t>
            </w:r>
          </w:p>
        </w:tc>
        <w:tc>
          <w:tcPr>
            <w:tcW w:w="505" w:type="pct"/>
            <w:tcBorders>
              <w:top w:val="nil"/>
              <w:left w:val="nil"/>
              <w:bottom w:val="single" w:sz="4" w:space="0" w:color="auto"/>
              <w:right w:val="single" w:sz="4" w:space="0" w:color="auto"/>
            </w:tcBorders>
            <w:shd w:val="clear" w:color="auto" w:fill="auto"/>
            <w:noWrap/>
            <w:vAlign w:val="center"/>
            <w:hideMark/>
          </w:tcPr>
          <w:p w14:paraId="6A952518"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83,07 %</w:t>
            </w:r>
          </w:p>
        </w:tc>
        <w:tc>
          <w:tcPr>
            <w:tcW w:w="505" w:type="pct"/>
            <w:tcBorders>
              <w:top w:val="nil"/>
              <w:left w:val="nil"/>
              <w:bottom w:val="single" w:sz="4" w:space="0" w:color="auto"/>
              <w:right w:val="single" w:sz="4" w:space="0" w:color="auto"/>
            </w:tcBorders>
            <w:shd w:val="clear" w:color="auto" w:fill="auto"/>
            <w:noWrap/>
            <w:vAlign w:val="center"/>
            <w:hideMark/>
          </w:tcPr>
          <w:p w14:paraId="76BCF7B6"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82,10 %</w:t>
            </w:r>
          </w:p>
        </w:tc>
        <w:tc>
          <w:tcPr>
            <w:tcW w:w="505" w:type="pct"/>
            <w:tcBorders>
              <w:top w:val="nil"/>
              <w:left w:val="nil"/>
              <w:bottom w:val="single" w:sz="4" w:space="0" w:color="auto"/>
              <w:right w:val="single" w:sz="4" w:space="0" w:color="auto"/>
            </w:tcBorders>
            <w:shd w:val="clear" w:color="auto" w:fill="auto"/>
            <w:noWrap/>
            <w:vAlign w:val="center"/>
            <w:hideMark/>
          </w:tcPr>
          <w:p w14:paraId="4A77F3D5"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81,36 %</w:t>
            </w:r>
          </w:p>
        </w:tc>
        <w:tc>
          <w:tcPr>
            <w:tcW w:w="505" w:type="pct"/>
            <w:tcBorders>
              <w:top w:val="nil"/>
              <w:left w:val="nil"/>
              <w:bottom w:val="single" w:sz="4" w:space="0" w:color="auto"/>
              <w:right w:val="single" w:sz="4" w:space="0" w:color="auto"/>
            </w:tcBorders>
            <w:shd w:val="clear" w:color="auto" w:fill="auto"/>
            <w:noWrap/>
            <w:vAlign w:val="center"/>
            <w:hideMark/>
          </w:tcPr>
          <w:p w14:paraId="76D20FD0"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87,56 %</w:t>
            </w:r>
          </w:p>
        </w:tc>
        <w:tc>
          <w:tcPr>
            <w:tcW w:w="505" w:type="pct"/>
            <w:tcBorders>
              <w:top w:val="nil"/>
              <w:left w:val="nil"/>
              <w:bottom w:val="single" w:sz="4" w:space="0" w:color="auto"/>
              <w:right w:val="single" w:sz="4" w:space="0" w:color="auto"/>
            </w:tcBorders>
            <w:shd w:val="clear" w:color="auto" w:fill="auto"/>
            <w:noWrap/>
            <w:vAlign w:val="center"/>
            <w:hideMark/>
          </w:tcPr>
          <w:p w14:paraId="73B58BCE"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88,09 %</w:t>
            </w:r>
          </w:p>
        </w:tc>
        <w:tc>
          <w:tcPr>
            <w:tcW w:w="504" w:type="pct"/>
            <w:tcBorders>
              <w:top w:val="nil"/>
              <w:left w:val="nil"/>
              <w:bottom w:val="single" w:sz="4" w:space="0" w:color="auto"/>
              <w:right w:val="single" w:sz="4" w:space="0" w:color="auto"/>
            </w:tcBorders>
            <w:shd w:val="clear" w:color="auto" w:fill="auto"/>
            <w:noWrap/>
            <w:vAlign w:val="center"/>
            <w:hideMark/>
          </w:tcPr>
          <w:p w14:paraId="16C157BF"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89,72 %</w:t>
            </w:r>
          </w:p>
        </w:tc>
      </w:tr>
      <w:tr w:rsidR="008A65E9" w:rsidRPr="0088190A" w14:paraId="2CE5FAA8" w14:textId="77777777" w:rsidTr="002E521C">
        <w:trPr>
          <w:trHeight w:val="367"/>
        </w:trPr>
        <w:tc>
          <w:tcPr>
            <w:tcW w:w="5000" w:type="pct"/>
            <w:gridSpan w:val="9"/>
            <w:tcBorders>
              <w:top w:val="nil"/>
              <w:left w:val="single" w:sz="4" w:space="0" w:color="auto"/>
              <w:bottom w:val="single" w:sz="4" w:space="0" w:color="auto"/>
              <w:right w:val="single" w:sz="4" w:space="0" w:color="auto"/>
            </w:tcBorders>
            <w:shd w:val="clear" w:color="auto" w:fill="EDD4D9"/>
            <w:noWrap/>
            <w:vAlign w:val="center"/>
            <w:hideMark/>
          </w:tcPr>
          <w:p w14:paraId="2272E5C8" w14:textId="373369F7" w:rsidR="00B63084" w:rsidRPr="002E521C" w:rsidRDefault="00B63084" w:rsidP="00F51C86">
            <w:pPr>
              <w:spacing w:after="0" w:line="240" w:lineRule="auto"/>
              <w:rPr>
                <w:rFonts w:eastAsia="Times New Roman" w:cstheme="minorHAnsi"/>
                <w:b/>
                <w:bCs/>
                <w:sz w:val="20"/>
                <w:szCs w:val="20"/>
              </w:rPr>
            </w:pPr>
            <w:r w:rsidRPr="002E521C">
              <w:rPr>
                <w:rFonts w:eastAsia="Times New Roman" w:cstheme="minorHAnsi"/>
                <w:b/>
                <w:bCs/>
                <w:sz w:val="20"/>
                <w:szCs w:val="20"/>
              </w:rPr>
              <w:t>Podíl 10 % světově nejcitovanějších publikací na celkovém počtu publikací</w:t>
            </w:r>
          </w:p>
        </w:tc>
      </w:tr>
      <w:tr w:rsidR="008A65E9" w:rsidRPr="0088190A" w14:paraId="67094BB3" w14:textId="77777777" w:rsidTr="00801377">
        <w:trPr>
          <w:trHeight w:val="285"/>
        </w:trPr>
        <w:tc>
          <w:tcPr>
            <w:tcW w:w="962" w:type="pct"/>
            <w:tcBorders>
              <w:top w:val="nil"/>
              <w:left w:val="single" w:sz="4" w:space="0" w:color="auto"/>
              <w:bottom w:val="single" w:sz="4" w:space="0" w:color="auto"/>
              <w:right w:val="single" w:sz="4" w:space="0" w:color="auto"/>
            </w:tcBorders>
            <w:shd w:val="clear" w:color="auto" w:fill="auto"/>
            <w:noWrap/>
            <w:vAlign w:val="center"/>
            <w:hideMark/>
          </w:tcPr>
          <w:p w14:paraId="0DCDC013" w14:textId="77777777" w:rsidR="00B63084" w:rsidRPr="0088190A" w:rsidRDefault="00B63084" w:rsidP="00801377">
            <w:pPr>
              <w:spacing w:after="0" w:line="240" w:lineRule="auto"/>
              <w:rPr>
                <w:rFonts w:eastAsia="Times New Roman" w:cstheme="minorHAnsi"/>
                <w:sz w:val="20"/>
                <w:szCs w:val="20"/>
              </w:rPr>
            </w:pPr>
            <w:r w:rsidRPr="0088190A">
              <w:rPr>
                <w:rFonts w:eastAsia="Times New Roman" w:cstheme="minorHAnsi"/>
                <w:sz w:val="20"/>
                <w:szCs w:val="20"/>
              </w:rPr>
              <w:t>Porovnání ČR s</w:t>
            </w:r>
            <w:r w:rsidR="006E65CD">
              <w:rPr>
                <w:rFonts w:eastAsia="Times New Roman" w:cstheme="minorHAnsi"/>
                <w:sz w:val="20"/>
                <w:szCs w:val="20"/>
              </w:rPr>
              <w:t> </w:t>
            </w:r>
            <w:r w:rsidRPr="0088190A">
              <w:rPr>
                <w:rFonts w:eastAsia="Times New Roman" w:cstheme="minorHAnsi"/>
                <w:sz w:val="20"/>
                <w:szCs w:val="20"/>
              </w:rPr>
              <w:t>EU27</w:t>
            </w:r>
          </w:p>
        </w:tc>
        <w:tc>
          <w:tcPr>
            <w:tcW w:w="505" w:type="pct"/>
            <w:tcBorders>
              <w:top w:val="nil"/>
              <w:left w:val="nil"/>
              <w:bottom w:val="single" w:sz="4" w:space="0" w:color="auto"/>
              <w:right w:val="single" w:sz="4" w:space="0" w:color="auto"/>
            </w:tcBorders>
            <w:shd w:val="clear" w:color="auto" w:fill="auto"/>
            <w:noWrap/>
            <w:vAlign w:val="center"/>
            <w:hideMark/>
          </w:tcPr>
          <w:p w14:paraId="294E3F7E" w14:textId="77777777" w:rsidR="00B63084" w:rsidRPr="0088190A" w:rsidRDefault="00B63084" w:rsidP="00F51C86">
            <w:pPr>
              <w:spacing w:after="0" w:line="240" w:lineRule="auto"/>
              <w:ind w:right="57"/>
              <w:jc w:val="right"/>
              <w:rPr>
                <w:rFonts w:eastAsia="Times New Roman" w:cstheme="minorHAnsi"/>
                <w:sz w:val="20"/>
                <w:szCs w:val="20"/>
              </w:rPr>
            </w:pPr>
            <w:r w:rsidRPr="0088190A">
              <w:rPr>
                <w:rFonts w:eastAsia="Times New Roman" w:cstheme="minorHAnsi"/>
                <w:sz w:val="20"/>
                <w:szCs w:val="20"/>
              </w:rPr>
              <w:t>42,19 %</w:t>
            </w:r>
          </w:p>
        </w:tc>
        <w:tc>
          <w:tcPr>
            <w:tcW w:w="505" w:type="pct"/>
            <w:tcBorders>
              <w:top w:val="nil"/>
              <w:left w:val="nil"/>
              <w:bottom w:val="single" w:sz="4" w:space="0" w:color="auto"/>
              <w:right w:val="single" w:sz="4" w:space="0" w:color="auto"/>
            </w:tcBorders>
            <w:shd w:val="clear" w:color="auto" w:fill="auto"/>
            <w:noWrap/>
            <w:vAlign w:val="center"/>
            <w:hideMark/>
          </w:tcPr>
          <w:p w14:paraId="39E68D28" w14:textId="77777777" w:rsidR="00B63084" w:rsidRPr="0088190A" w:rsidRDefault="00B63084" w:rsidP="00F51C86">
            <w:pPr>
              <w:spacing w:after="0" w:line="240" w:lineRule="auto"/>
              <w:ind w:right="57"/>
              <w:jc w:val="right"/>
              <w:rPr>
                <w:rFonts w:eastAsia="Times New Roman" w:cstheme="minorHAnsi"/>
              </w:rPr>
            </w:pPr>
            <w:r w:rsidRPr="0088190A">
              <w:rPr>
                <w:rFonts w:eastAsia="Times New Roman" w:cstheme="minorHAnsi"/>
                <w:sz w:val="20"/>
                <w:szCs w:val="20"/>
              </w:rPr>
              <w:t>37,49 %</w:t>
            </w:r>
          </w:p>
        </w:tc>
        <w:tc>
          <w:tcPr>
            <w:tcW w:w="505" w:type="pct"/>
            <w:tcBorders>
              <w:top w:val="nil"/>
              <w:left w:val="nil"/>
              <w:bottom w:val="single" w:sz="4" w:space="0" w:color="auto"/>
              <w:right w:val="single" w:sz="4" w:space="0" w:color="auto"/>
            </w:tcBorders>
            <w:shd w:val="clear" w:color="auto" w:fill="auto"/>
            <w:noWrap/>
            <w:vAlign w:val="center"/>
            <w:hideMark/>
          </w:tcPr>
          <w:p w14:paraId="5CC1FCD7" w14:textId="77777777" w:rsidR="00B63084" w:rsidRPr="0088190A" w:rsidRDefault="00B63084" w:rsidP="00F51C86">
            <w:pPr>
              <w:spacing w:after="0" w:line="240" w:lineRule="auto"/>
              <w:ind w:right="57"/>
              <w:jc w:val="right"/>
              <w:rPr>
                <w:rFonts w:eastAsia="Times New Roman" w:cstheme="minorHAnsi"/>
              </w:rPr>
            </w:pPr>
            <w:r w:rsidRPr="0088190A">
              <w:rPr>
                <w:rFonts w:eastAsia="Times New Roman" w:cstheme="minorHAnsi"/>
                <w:sz w:val="20"/>
                <w:szCs w:val="20"/>
              </w:rPr>
              <w:t>40,19 %</w:t>
            </w:r>
          </w:p>
        </w:tc>
        <w:tc>
          <w:tcPr>
            <w:tcW w:w="505" w:type="pct"/>
            <w:tcBorders>
              <w:top w:val="nil"/>
              <w:left w:val="nil"/>
              <w:bottom w:val="single" w:sz="4" w:space="0" w:color="auto"/>
              <w:right w:val="single" w:sz="4" w:space="0" w:color="auto"/>
            </w:tcBorders>
            <w:shd w:val="clear" w:color="auto" w:fill="auto"/>
            <w:noWrap/>
            <w:vAlign w:val="center"/>
            <w:hideMark/>
          </w:tcPr>
          <w:p w14:paraId="190D9E9F" w14:textId="77777777" w:rsidR="00B63084" w:rsidRPr="0088190A" w:rsidRDefault="00B63084" w:rsidP="00F51C86">
            <w:pPr>
              <w:spacing w:after="0" w:line="240" w:lineRule="auto"/>
              <w:ind w:right="57"/>
              <w:jc w:val="right"/>
              <w:rPr>
                <w:rFonts w:eastAsia="Times New Roman" w:cstheme="minorHAnsi"/>
              </w:rPr>
            </w:pPr>
            <w:r w:rsidRPr="0088190A">
              <w:rPr>
                <w:rFonts w:eastAsia="Times New Roman" w:cstheme="minorHAnsi"/>
                <w:sz w:val="20"/>
                <w:szCs w:val="20"/>
              </w:rPr>
              <w:t>39,92 %</w:t>
            </w:r>
          </w:p>
        </w:tc>
        <w:tc>
          <w:tcPr>
            <w:tcW w:w="505" w:type="pct"/>
            <w:tcBorders>
              <w:top w:val="nil"/>
              <w:left w:val="nil"/>
              <w:bottom w:val="single" w:sz="4" w:space="0" w:color="auto"/>
              <w:right w:val="single" w:sz="4" w:space="0" w:color="auto"/>
            </w:tcBorders>
            <w:shd w:val="clear" w:color="auto" w:fill="auto"/>
            <w:noWrap/>
            <w:vAlign w:val="center"/>
            <w:hideMark/>
          </w:tcPr>
          <w:p w14:paraId="3A8AFD6C" w14:textId="77777777" w:rsidR="00B63084" w:rsidRPr="0088190A" w:rsidRDefault="00B63084" w:rsidP="00F51C86">
            <w:pPr>
              <w:spacing w:after="0" w:line="240" w:lineRule="auto"/>
              <w:ind w:right="57"/>
              <w:jc w:val="right"/>
              <w:rPr>
                <w:rFonts w:eastAsia="Times New Roman" w:cstheme="minorHAnsi"/>
              </w:rPr>
            </w:pPr>
            <w:r w:rsidRPr="0088190A">
              <w:rPr>
                <w:rFonts w:eastAsia="Times New Roman" w:cstheme="minorHAnsi"/>
                <w:sz w:val="20"/>
                <w:szCs w:val="20"/>
              </w:rPr>
              <w:t>42,07 %</w:t>
            </w:r>
          </w:p>
        </w:tc>
        <w:tc>
          <w:tcPr>
            <w:tcW w:w="505" w:type="pct"/>
            <w:tcBorders>
              <w:top w:val="nil"/>
              <w:left w:val="nil"/>
              <w:bottom w:val="single" w:sz="4" w:space="0" w:color="auto"/>
              <w:right w:val="single" w:sz="4" w:space="0" w:color="auto"/>
            </w:tcBorders>
            <w:shd w:val="clear" w:color="auto" w:fill="auto"/>
            <w:noWrap/>
            <w:vAlign w:val="center"/>
            <w:hideMark/>
          </w:tcPr>
          <w:p w14:paraId="0128F2E7" w14:textId="77777777" w:rsidR="00B63084" w:rsidRPr="0088190A" w:rsidRDefault="00B63084" w:rsidP="00F51C86">
            <w:pPr>
              <w:spacing w:after="0" w:line="240" w:lineRule="auto"/>
              <w:ind w:right="57"/>
              <w:jc w:val="right"/>
              <w:rPr>
                <w:rFonts w:eastAsia="Times New Roman" w:cstheme="minorHAnsi"/>
              </w:rPr>
            </w:pPr>
            <w:r w:rsidRPr="0088190A">
              <w:rPr>
                <w:rFonts w:eastAsia="Times New Roman" w:cstheme="minorHAnsi"/>
                <w:sz w:val="20"/>
                <w:szCs w:val="20"/>
              </w:rPr>
              <w:t>43,19 %</w:t>
            </w:r>
          </w:p>
        </w:tc>
        <w:tc>
          <w:tcPr>
            <w:tcW w:w="505" w:type="pct"/>
            <w:tcBorders>
              <w:top w:val="nil"/>
              <w:left w:val="nil"/>
              <w:bottom w:val="single" w:sz="4" w:space="0" w:color="auto"/>
              <w:right w:val="single" w:sz="4" w:space="0" w:color="auto"/>
            </w:tcBorders>
            <w:shd w:val="clear" w:color="auto" w:fill="auto"/>
            <w:noWrap/>
            <w:vAlign w:val="center"/>
            <w:hideMark/>
          </w:tcPr>
          <w:p w14:paraId="1AFB3327" w14:textId="77777777" w:rsidR="00B63084" w:rsidRPr="0088190A" w:rsidRDefault="00B63084" w:rsidP="00F51C86">
            <w:pPr>
              <w:spacing w:after="0" w:line="240" w:lineRule="auto"/>
              <w:ind w:right="57"/>
              <w:jc w:val="right"/>
              <w:rPr>
                <w:rFonts w:eastAsia="Times New Roman" w:cstheme="minorHAnsi"/>
              </w:rPr>
            </w:pPr>
            <w:r w:rsidRPr="0088190A">
              <w:rPr>
                <w:rFonts w:eastAsia="Times New Roman" w:cstheme="minorHAnsi"/>
                <w:sz w:val="20"/>
                <w:szCs w:val="20"/>
              </w:rPr>
              <w:t>44,75 %</w:t>
            </w:r>
          </w:p>
        </w:tc>
        <w:tc>
          <w:tcPr>
            <w:tcW w:w="504" w:type="pct"/>
            <w:tcBorders>
              <w:top w:val="nil"/>
              <w:left w:val="nil"/>
              <w:bottom w:val="single" w:sz="4" w:space="0" w:color="auto"/>
              <w:right w:val="single" w:sz="4" w:space="0" w:color="auto"/>
            </w:tcBorders>
            <w:shd w:val="clear" w:color="auto" w:fill="auto"/>
            <w:noWrap/>
            <w:vAlign w:val="center"/>
            <w:hideMark/>
          </w:tcPr>
          <w:p w14:paraId="31E63197" w14:textId="77777777" w:rsidR="00B63084" w:rsidRPr="0088190A" w:rsidRDefault="00B63084" w:rsidP="00F51C86">
            <w:pPr>
              <w:spacing w:after="0" w:line="240" w:lineRule="auto"/>
              <w:ind w:right="57"/>
              <w:jc w:val="right"/>
              <w:rPr>
                <w:rFonts w:eastAsia="Times New Roman" w:cstheme="minorHAnsi"/>
              </w:rPr>
            </w:pPr>
            <w:r w:rsidRPr="0088190A">
              <w:rPr>
                <w:rFonts w:eastAsia="Times New Roman" w:cstheme="minorHAnsi"/>
                <w:sz w:val="20"/>
                <w:szCs w:val="20"/>
              </w:rPr>
              <w:t>49,76 %</w:t>
            </w:r>
          </w:p>
        </w:tc>
      </w:tr>
    </w:tbl>
    <w:bookmarkEnd w:id="8"/>
    <w:p w14:paraId="6AAA126A" w14:textId="050264CB" w:rsidR="00B63084" w:rsidRPr="0088190A" w:rsidRDefault="00B63084" w:rsidP="00A21AF4">
      <w:pPr>
        <w:spacing w:before="40" w:after="0" w:line="240" w:lineRule="auto"/>
        <w:jc w:val="both"/>
        <w:rPr>
          <w:rFonts w:eastAsia="Times New Roman" w:cstheme="minorHAnsi"/>
          <w:sz w:val="20"/>
          <w:szCs w:val="24"/>
          <w:highlight w:val="green"/>
        </w:rPr>
      </w:pPr>
      <w:r w:rsidRPr="0088190A">
        <w:rPr>
          <w:rFonts w:eastAsia="Times New Roman" w:cstheme="minorHAnsi"/>
          <w:b/>
          <w:sz w:val="20"/>
          <w:szCs w:val="24"/>
        </w:rPr>
        <w:t>Zdroj:</w:t>
      </w:r>
      <w:r w:rsidRPr="0088190A">
        <w:rPr>
          <w:rFonts w:eastAsia="Times New Roman" w:cstheme="minorHAnsi"/>
          <w:sz w:val="20"/>
          <w:szCs w:val="24"/>
        </w:rPr>
        <w:t xml:space="preserve"> </w:t>
      </w:r>
      <w:r w:rsidRPr="00F9203E">
        <w:rPr>
          <w:rFonts w:eastAsia="Times New Roman" w:cstheme="minorHAnsi"/>
          <w:i/>
          <w:iCs/>
          <w:sz w:val="20"/>
          <w:szCs w:val="24"/>
          <w:lang w:val="en-GB"/>
        </w:rPr>
        <w:t>European Innovation Scoreboard</w:t>
      </w:r>
      <w:r w:rsidRPr="00F9203E">
        <w:rPr>
          <w:rFonts w:eastAsia="Times New Roman" w:cstheme="minorHAnsi"/>
          <w:i/>
          <w:iCs/>
          <w:sz w:val="20"/>
          <w:szCs w:val="24"/>
        </w:rPr>
        <w:t xml:space="preserve"> 2024</w:t>
      </w:r>
      <w:r w:rsidR="00FB133E">
        <w:rPr>
          <w:rFonts w:eastAsia="Times New Roman" w:cstheme="minorHAnsi"/>
          <w:sz w:val="20"/>
          <w:szCs w:val="24"/>
        </w:rPr>
        <w:t>;</w:t>
      </w:r>
      <w:r w:rsidR="0009281D">
        <w:rPr>
          <w:rFonts w:eastAsia="Times New Roman" w:cstheme="minorHAnsi"/>
          <w:sz w:val="20"/>
          <w:szCs w:val="24"/>
        </w:rPr>
        <w:t xml:space="preserve"> </w:t>
      </w:r>
      <w:r w:rsidR="00FB133E">
        <w:rPr>
          <w:rFonts w:eastAsia="Times New Roman" w:cstheme="minorHAnsi"/>
          <w:sz w:val="20"/>
          <w:szCs w:val="24"/>
        </w:rPr>
        <w:t>vypracoval</w:t>
      </w:r>
      <w:r w:rsidR="0009281D">
        <w:rPr>
          <w:rFonts w:eastAsia="Times New Roman" w:cstheme="minorHAnsi"/>
          <w:sz w:val="20"/>
          <w:szCs w:val="24"/>
        </w:rPr>
        <w:t xml:space="preserve"> NKÚ</w:t>
      </w:r>
      <w:r w:rsidRPr="0088190A">
        <w:rPr>
          <w:rFonts w:eastAsia="Times New Roman" w:cstheme="minorHAnsi"/>
          <w:sz w:val="20"/>
          <w:szCs w:val="24"/>
        </w:rPr>
        <w:t>.</w:t>
      </w:r>
    </w:p>
    <w:bookmarkEnd w:id="7"/>
    <w:p w14:paraId="5E4EE02F" w14:textId="4660BAA8" w:rsidR="00B63084" w:rsidRPr="0088190A" w:rsidRDefault="00250D2B" w:rsidP="00CF689C">
      <w:pPr>
        <w:spacing w:before="240" w:after="120" w:line="240" w:lineRule="auto"/>
        <w:jc w:val="both"/>
        <w:rPr>
          <w:rFonts w:cstheme="minorHAnsi"/>
          <w:sz w:val="24"/>
          <w:szCs w:val="24"/>
        </w:rPr>
      </w:pPr>
      <w:r>
        <w:rPr>
          <w:rFonts w:cstheme="minorHAnsi"/>
          <w:sz w:val="24"/>
          <w:szCs w:val="24"/>
        </w:rPr>
        <w:t>4.4</w:t>
      </w:r>
      <w:r w:rsidR="002201AB">
        <w:rPr>
          <w:rFonts w:cstheme="minorHAnsi"/>
          <w:sz w:val="24"/>
          <w:szCs w:val="24"/>
        </w:rPr>
        <w:t>6</w:t>
      </w:r>
      <w:r>
        <w:rPr>
          <w:rFonts w:cstheme="minorHAnsi"/>
          <w:sz w:val="24"/>
          <w:szCs w:val="24"/>
        </w:rPr>
        <w:t xml:space="preserve"> </w:t>
      </w:r>
      <w:r w:rsidR="00B63084" w:rsidRPr="0088190A">
        <w:rPr>
          <w:rFonts w:cstheme="minorHAnsi"/>
          <w:sz w:val="24"/>
          <w:szCs w:val="24"/>
        </w:rPr>
        <w:t xml:space="preserve">Cíle jednotlivých skupin projektů stanovila GA ČR v jejich dokumentacích, které schvalovala vláda ČR. Pravidla pro přípravu skupin projektů </w:t>
      </w:r>
      <w:proofErr w:type="spellStart"/>
      <w:r w:rsidR="00B63084" w:rsidRPr="0088190A">
        <w:rPr>
          <w:rFonts w:cstheme="minorHAnsi"/>
          <w:sz w:val="24"/>
          <w:szCs w:val="24"/>
        </w:rPr>
        <w:t>VaVaI</w:t>
      </w:r>
      <w:proofErr w:type="spellEnd"/>
      <w:r w:rsidR="00B63084" w:rsidRPr="0088190A">
        <w:rPr>
          <w:rFonts w:cstheme="minorHAnsi"/>
          <w:sz w:val="24"/>
          <w:szCs w:val="24"/>
        </w:rPr>
        <w:t xml:space="preserve"> vycházela z dokumentu </w:t>
      </w:r>
      <w:r w:rsidR="00B63084" w:rsidRPr="0088190A">
        <w:rPr>
          <w:rFonts w:cstheme="minorHAnsi"/>
          <w:i/>
          <w:sz w:val="24"/>
          <w:szCs w:val="24"/>
        </w:rPr>
        <w:t>Základní principy přípravy a hodnocení programů a skupin grantových projektů výzkumu, vývoje a inovací</w:t>
      </w:r>
      <w:r w:rsidR="00B63084" w:rsidRPr="0088190A">
        <w:rPr>
          <w:rStyle w:val="Znakapoznpodarou"/>
          <w:rFonts w:cstheme="minorHAnsi"/>
          <w:i/>
          <w:sz w:val="24"/>
          <w:szCs w:val="24"/>
        </w:rPr>
        <w:footnoteReference w:id="18"/>
      </w:r>
      <w:r w:rsidR="00B63084" w:rsidRPr="0088190A">
        <w:rPr>
          <w:rFonts w:cstheme="minorHAnsi"/>
          <w:sz w:val="24"/>
          <w:szCs w:val="24"/>
        </w:rPr>
        <w:t>. Tento dokument stanovil, že pro jednotlivé cíle skupin projektů budou stanovena vhodná kritéria jejich splnění, tj. vhodné indikátory, pomocí nichž bude možné zhodnotit míru splnění cílů. Přiměřenou metodou měly být stanoveny i vstupní hodnoty všech navržených indikátorů, aby bylo možné posoudit dosažený efekt a dopady skupin projektů.</w:t>
      </w:r>
    </w:p>
    <w:p w14:paraId="3F6D76CD" w14:textId="7F7171D3" w:rsidR="002201AB" w:rsidRPr="003A0742" w:rsidRDefault="002201AB" w:rsidP="002201AB">
      <w:pPr>
        <w:spacing w:before="120" w:after="0" w:line="240" w:lineRule="auto"/>
        <w:jc w:val="both"/>
        <w:rPr>
          <w:rFonts w:cstheme="minorHAnsi"/>
          <w:b/>
          <w:sz w:val="24"/>
          <w:szCs w:val="24"/>
        </w:rPr>
      </w:pPr>
      <w:r w:rsidRPr="002201AB">
        <w:rPr>
          <w:rFonts w:cstheme="minorHAnsi"/>
          <w:b/>
          <w:sz w:val="24"/>
          <w:szCs w:val="24"/>
        </w:rPr>
        <w:lastRenderedPageBreak/>
        <w:t>4.4</w:t>
      </w:r>
      <w:r>
        <w:rPr>
          <w:rFonts w:cstheme="minorHAnsi"/>
          <w:b/>
          <w:sz w:val="24"/>
          <w:szCs w:val="24"/>
        </w:rPr>
        <w:t>7</w:t>
      </w:r>
      <w:r w:rsidRPr="002201AB">
        <w:rPr>
          <w:rFonts w:cstheme="minorHAnsi"/>
          <w:b/>
          <w:sz w:val="24"/>
          <w:szCs w:val="24"/>
        </w:rPr>
        <w:t xml:space="preserve"> Na základě zjištěných skutečností lze konstatovat, že poskytnutá podpora GA ČR přispívala v kontrolovaném období k</w:t>
      </w:r>
      <w:r w:rsidR="009C3E87">
        <w:rPr>
          <w:rFonts w:cstheme="minorHAnsi"/>
          <w:b/>
          <w:sz w:val="24"/>
          <w:szCs w:val="24"/>
        </w:rPr>
        <w:t>e</w:t>
      </w:r>
      <w:r w:rsidRPr="002201AB">
        <w:rPr>
          <w:rFonts w:cstheme="minorHAnsi"/>
          <w:b/>
          <w:sz w:val="24"/>
          <w:szCs w:val="24"/>
        </w:rPr>
        <w:t xml:space="preserve"> zlepšení postavení ČR v </w:t>
      </w:r>
      <w:r w:rsidR="005863DB">
        <w:rPr>
          <w:rFonts w:cstheme="minorHAnsi"/>
          <w:b/>
          <w:sz w:val="24"/>
          <w:szCs w:val="24"/>
        </w:rPr>
        <w:t>EIS</w:t>
      </w:r>
      <w:r w:rsidRPr="002201AB">
        <w:rPr>
          <w:rFonts w:cstheme="minorHAnsi"/>
          <w:b/>
          <w:sz w:val="24"/>
          <w:szCs w:val="24"/>
        </w:rPr>
        <w:t xml:space="preserve"> a k většímu mezin</w:t>
      </w:r>
      <w:r w:rsidRPr="003A0742">
        <w:rPr>
          <w:rFonts w:cstheme="minorHAnsi"/>
          <w:b/>
          <w:sz w:val="24"/>
          <w:szCs w:val="24"/>
        </w:rPr>
        <w:t xml:space="preserve">árodnímu dopadu publikačních výstupů. Nicméně i tak ukazatel počtu publikací v top 10 % nejvíce citovaných publikací v porovnání se státy EU dosahoval necelé poloviny průměru států EU27. </w:t>
      </w:r>
    </w:p>
    <w:p w14:paraId="78389167" w14:textId="53CDCF75" w:rsidR="00351E2F" w:rsidRPr="00351E2F" w:rsidRDefault="00250D2B" w:rsidP="009D2FF2">
      <w:pPr>
        <w:spacing w:before="120" w:after="120" w:line="240" w:lineRule="auto"/>
        <w:jc w:val="both"/>
        <w:rPr>
          <w:rFonts w:cstheme="minorHAnsi"/>
          <w:b/>
          <w:sz w:val="24"/>
        </w:rPr>
      </w:pPr>
      <w:r w:rsidRPr="00796759">
        <w:rPr>
          <w:rFonts w:cstheme="minorHAnsi"/>
          <w:b/>
          <w:sz w:val="24"/>
        </w:rPr>
        <w:t xml:space="preserve">4.48 </w:t>
      </w:r>
      <w:r w:rsidR="00B63084" w:rsidRPr="00796759">
        <w:rPr>
          <w:rFonts w:cstheme="minorHAnsi"/>
          <w:b/>
          <w:sz w:val="24"/>
        </w:rPr>
        <w:t xml:space="preserve">GA ČR při tvorbě dokumentací skupin projektů přihlížela ke specifikům základního výzkumu a jeho podpory. Při stanovení cílů jednotlivých skupin projektů vycházela GA ČR především z analýzy současného stavu </w:t>
      </w:r>
      <w:proofErr w:type="spellStart"/>
      <w:r w:rsidR="00B63084" w:rsidRPr="00796759">
        <w:rPr>
          <w:rFonts w:cstheme="minorHAnsi"/>
          <w:b/>
          <w:sz w:val="24"/>
        </w:rPr>
        <w:t>VaVaI</w:t>
      </w:r>
      <w:proofErr w:type="spellEnd"/>
      <w:r w:rsidR="00B63084" w:rsidRPr="00796759">
        <w:rPr>
          <w:rFonts w:cstheme="minorHAnsi"/>
          <w:b/>
          <w:sz w:val="24"/>
        </w:rPr>
        <w:t xml:space="preserve"> a identifikace problémů sledované problematiky. GA ČR definovala v dokumentacích skupin projektů tyto cíle obecně. Jako hlavní měřitelný ukazatel splnění cílů jednotlivých </w:t>
      </w:r>
      <w:r w:rsidR="005C3DF7">
        <w:rPr>
          <w:rFonts w:cstheme="minorHAnsi"/>
          <w:b/>
          <w:sz w:val="24"/>
        </w:rPr>
        <w:t xml:space="preserve">skupin projektů </w:t>
      </w:r>
      <w:r w:rsidR="00B63084" w:rsidRPr="00796759">
        <w:rPr>
          <w:rFonts w:cstheme="minorHAnsi"/>
          <w:b/>
          <w:sz w:val="24"/>
        </w:rPr>
        <w:t>si GA ČR nastavila procentuální podíl úspěšně řešených projektů (tj. projektů klasifikovaných jako „splněno“). Pro každou skupinu projektů stanovila GA ČR jinou výši tohoto procentuálního podílu dle rizikové povahy. GA</w:t>
      </w:r>
      <w:r w:rsidR="009C3E87">
        <w:rPr>
          <w:rFonts w:cstheme="minorHAnsi"/>
          <w:b/>
          <w:sz w:val="24"/>
        </w:rPr>
        <w:t> </w:t>
      </w:r>
      <w:r w:rsidR="00B63084" w:rsidRPr="00796759">
        <w:rPr>
          <w:rFonts w:cstheme="minorHAnsi"/>
          <w:b/>
          <w:sz w:val="24"/>
        </w:rPr>
        <w:t xml:space="preserve">ČR si u každé skupiny projektů určila i další indikátory, kterými prováděla plošný monitoring této podpory (např. publikační a citační analýza, úspěšnost v mezinárodních soutěžích apod.). </w:t>
      </w:r>
      <w:bookmarkStart w:id="9" w:name="_Hlk191545665"/>
      <w:r w:rsidR="00B63084" w:rsidRPr="00796759">
        <w:rPr>
          <w:rFonts w:cstheme="minorHAnsi"/>
          <w:b/>
          <w:sz w:val="24"/>
        </w:rPr>
        <w:t>Hodnoty indikátorů GA ČR však nestanovila</w:t>
      </w:r>
      <w:bookmarkEnd w:id="9"/>
      <w:r w:rsidR="00D220D1" w:rsidRPr="00796759">
        <w:rPr>
          <w:rFonts w:cstheme="minorHAnsi"/>
          <w:b/>
          <w:sz w:val="24"/>
        </w:rPr>
        <w:t>, což komplikuje vyhodnocování dosažených dopadů a posunu v dané problematice.</w:t>
      </w:r>
    </w:p>
    <w:p w14:paraId="6420B179" w14:textId="02E5999C" w:rsidR="002D52F8" w:rsidRPr="00A602D6" w:rsidRDefault="00BF3506" w:rsidP="00CF689C">
      <w:pPr>
        <w:pStyle w:val="Odstavecseseznamem"/>
        <w:keepNext/>
        <w:numPr>
          <w:ilvl w:val="0"/>
          <w:numId w:val="2"/>
        </w:numPr>
        <w:spacing w:before="240" w:after="240" w:line="240" w:lineRule="auto"/>
        <w:ind w:left="284" w:hanging="284"/>
        <w:contextualSpacing w:val="0"/>
        <w:jc w:val="both"/>
        <w:rPr>
          <w:rFonts w:cstheme="minorHAnsi"/>
          <w:b/>
          <w:sz w:val="24"/>
          <w:szCs w:val="24"/>
        </w:rPr>
      </w:pPr>
      <w:r>
        <w:rPr>
          <w:rFonts w:cstheme="minorHAnsi"/>
          <w:b/>
          <w:sz w:val="24"/>
          <w:szCs w:val="24"/>
        </w:rPr>
        <w:t>Odstranění nedostatků z </w:t>
      </w:r>
      <w:r w:rsidR="00351E2F">
        <w:rPr>
          <w:rFonts w:cstheme="minorHAnsi"/>
          <w:b/>
          <w:sz w:val="24"/>
          <w:szCs w:val="24"/>
        </w:rPr>
        <w:t>předchozích</w:t>
      </w:r>
      <w:r>
        <w:rPr>
          <w:rFonts w:cstheme="minorHAnsi"/>
          <w:b/>
          <w:sz w:val="24"/>
          <w:szCs w:val="24"/>
        </w:rPr>
        <w:t xml:space="preserve"> kontrol NKÚ</w:t>
      </w:r>
    </w:p>
    <w:p w14:paraId="5165B5BC" w14:textId="2A9498D0" w:rsidR="00BF3506" w:rsidRDefault="00250D2B" w:rsidP="00784A34">
      <w:pPr>
        <w:spacing w:after="120" w:line="240" w:lineRule="auto"/>
        <w:jc w:val="both"/>
        <w:rPr>
          <w:rFonts w:cstheme="minorHAnsi"/>
          <w:sz w:val="24"/>
          <w:szCs w:val="24"/>
        </w:rPr>
      </w:pPr>
      <w:r>
        <w:rPr>
          <w:rFonts w:cstheme="minorHAnsi"/>
          <w:sz w:val="24"/>
          <w:szCs w:val="24"/>
        </w:rPr>
        <w:t xml:space="preserve">4.49 </w:t>
      </w:r>
      <w:r w:rsidR="009C2790">
        <w:rPr>
          <w:rFonts w:cstheme="minorHAnsi"/>
          <w:sz w:val="24"/>
          <w:szCs w:val="24"/>
        </w:rPr>
        <w:t>Kontroly poskytování podpory na základní a aplikovaný výzkum prostřednictvím GA ČR a</w:t>
      </w:r>
      <w:r w:rsidR="0023484A">
        <w:rPr>
          <w:rFonts w:cstheme="minorHAnsi"/>
          <w:sz w:val="24"/>
          <w:szCs w:val="24"/>
        </w:rPr>
        <w:t> </w:t>
      </w:r>
      <w:r w:rsidR="009C2790">
        <w:rPr>
          <w:rFonts w:cstheme="minorHAnsi"/>
          <w:sz w:val="24"/>
          <w:szCs w:val="24"/>
        </w:rPr>
        <w:t>TA</w:t>
      </w:r>
      <w:r w:rsidR="00B461F5">
        <w:rPr>
          <w:rFonts w:cstheme="minorHAnsi"/>
          <w:sz w:val="24"/>
          <w:szCs w:val="24"/>
        </w:rPr>
        <w:t> </w:t>
      </w:r>
      <w:r w:rsidR="009C2790">
        <w:rPr>
          <w:rFonts w:cstheme="minorHAnsi"/>
          <w:sz w:val="24"/>
          <w:szCs w:val="24"/>
        </w:rPr>
        <w:t xml:space="preserve">ČR realizoval NKÚ již v letech 2015 a 2016. Fungování a vývoj některých oblastí systému podpory </w:t>
      </w:r>
      <w:proofErr w:type="spellStart"/>
      <w:r w:rsidR="009C2790">
        <w:rPr>
          <w:rFonts w:cstheme="minorHAnsi"/>
          <w:sz w:val="24"/>
          <w:szCs w:val="24"/>
        </w:rPr>
        <w:t>VaVaI</w:t>
      </w:r>
      <w:proofErr w:type="spellEnd"/>
      <w:r w:rsidR="009C2790">
        <w:rPr>
          <w:rFonts w:cstheme="minorHAnsi"/>
          <w:sz w:val="24"/>
          <w:szCs w:val="24"/>
        </w:rPr>
        <w:t xml:space="preserve"> těchto agentur je uveden v předchozích částech tohoto </w:t>
      </w:r>
      <w:r w:rsidR="0023484A" w:rsidRPr="004E2AE2">
        <w:rPr>
          <w:rFonts w:cstheme="minorHAnsi"/>
          <w:sz w:val="24"/>
          <w:szCs w:val="24"/>
        </w:rPr>
        <w:t>kontrolního závěru</w:t>
      </w:r>
      <w:r w:rsidR="009C2790" w:rsidRPr="004E2AE2">
        <w:rPr>
          <w:rFonts w:cstheme="minorHAnsi"/>
          <w:sz w:val="24"/>
          <w:szCs w:val="24"/>
        </w:rPr>
        <w:t xml:space="preserve">. V následující tabulce je uveden souhrnný přehled </w:t>
      </w:r>
      <w:r w:rsidR="00A3463A" w:rsidRPr="004E2AE2">
        <w:rPr>
          <w:rFonts w:cstheme="minorHAnsi"/>
          <w:sz w:val="24"/>
          <w:szCs w:val="24"/>
        </w:rPr>
        <w:t>zjištění z předešlých</w:t>
      </w:r>
      <w:r w:rsidR="009C2790" w:rsidRPr="004E2AE2">
        <w:rPr>
          <w:rFonts w:cstheme="minorHAnsi"/>
          <w:sz w:val="24"/>
          <w:szCs w:val="24"/>
        </w:rPr>
        <w:t xml:space="preserve"> </w:t>
      </w:r>
      <w:r w:rsidR="0023484A" w:rsidRPr="004E2AE2">
        <w:rPr>
          <w:rFonts w:cstheme="minorHAnsi"/>
          <w:sz w:val="24"/>
          <w:szCs w:val="24"/>
        </w:rPr>
        <w:t>kontrolních závěrů</w:t>
      </w:r>
      <w:r w:rsidR="009C2790" w:rsidRPr="004E2AE2">
        <w:rPr>
          <w:rFonts w:cstheme="minorHAnsi"/>
          <w:sz w:val="24"/>
          <w:szCs w:val="24"/>
        </w:rPr>
        <w:t xml:space="preserve"> </w:t>
      </w:r>
      <w:r w:rsidR="009C2790">
        <w:rPr>
          <w:rFonts w:cstheme="minorHAnsi"/>
          <w:sz w:val="24"/>
          <w:szCs w:val="24"/>
        </w:rPr>
        <w:t>a</w:t>
      </w:r>
      <w:r w:rsidR="0023484A">
        <w:rPr>
          <w:rFonts w:cstheme="minorHAnsi"/>
          <w:sz w:val="24"/>
          <w:szCs w:val="24"/>
        </w:rPr>
        <w:t> </w:t>
      </w:r>
      <w:r w:rsidR="009C2790">
        <w:rPr>
          <w:rFonts w:cstheme="minorHAnsi"/>
          <w:sz w:val="24"/>
          <w:szCs w:val="24"/>
        </w:rPr>
        <w:t>porovnání se stavem zjištěným v rámci této kontrol</w:t>
      </w:r>
      <w:r w:rsidR="009C3E87">
        <w:rPr>
          <w:rFonts w:cstheme="minorHAnsi"/>
          <w:sz w:val="24"/>
          <w:szCs w:val="24"/>
        </w:rPr>
        <w:t>ní akce</w:t>
      </w:r>
      <w:r w:rsidR="009C2790">
        <w:rPr>
          <w:rFonts w:cstheme="minorHAnsi"/>
          <w:sz w:val="24"/>
          <w:szCs w:val="24"/>
        </w:rPr>
        <w:t xml:space="preserve">.  </w:t>
      </w:r>
    </w:p>
    <w:p w14:paraId="633C4FC6" w14:textId="6D4BF411" w:rsidR="0047475C" w:rsidRPr="0023484A" w:rsidRDefault="0047475C" w:rsidP="00CF689C">
      <w:pPr>
        <w:spacing w:after="40" w:line="240" w:lineRule="auto"/>
        <w:ind w:left="1304" w:hanging="1304"/>
        <w:jc w:val="both"/>
        <w:rPr>
          <w:rFonts w:cstheme="minorHAnsi"/>
          <w:b/>
          <w:sz w:val="24"/>
          <w:szCs w:val="24"/>
        </w:rPr>
      </w:pPr>
      <w:r w:rsidRPr="0023484A">
        <w:rPr>
          <w:rFonts w:eastAsia="Times New Roman" w:cstheme="minorHAnsi"/>
          <w:b/>
          <w:sz w:val="24"/>
          <w:szCs w:val="24"/>
        </w:rPr>
        <w:t>Tabulka č.</w:t>
      </w:r>
      <w:r w:rsidR="009C3E87">
        <w:rPr>
          <w:rFonts w:eastAsia="Times New Roman" w:cstheme="minorHAnsi"/>
          <w:b/>
          <w:sz w:val="24"/>
          <w:szCs w:val="24"/>
        </w:rPr>
        <w:t xml:space="preserve"> </w:t>
      </w:r>
      <w:r w:rsidR="0023484A" w:rsidRPr="0023484A">
        <w:rPr>
          <w:rFonts w:eastAsia="Times New Roman" w:cstheme="minorHAnsi"/>
          <w:b/>
          <w:sz w:val="24"/>
          <w:szCs w:val="24"/>
        </w:rPr>
        <w:t>9:</w:t>
      </w:r>
      <w:r w:rsidR="00CF689C">
        <w:rPr>
          <w:rFonts w:eastAsia="Times New Roman" w:cstheme="minorHAnsi"/>
          <w:b/>
          <w:sz w:val="24"/>
          <w:szCs w:val="24"/>
        </w:rPr>
        <w:tab/>
      </w:r>
      <w:r w:rsidRPr="0023484A">
        <w:rPr>
          <w:rFonts w:eastAsia="Times New Roman" w:cstheme="minorHAnsi"/>
          <w:b/>
          <w:sz w:val="24"/>
          <w:szCs w:val="24"/>
        </w:rPr>
        <w:t>Přehled nedostatků zjištěných NKÚ v rámci KA č.</w:t>
      </w:r>
      <w:r w:rsidR="002C44B0">
        <w:rPr>
          <w:rFonts w:eastAsia="Times New Roman" w:cstheme="minorHAnsi"/>
          <w:b/>
          <w:sz w:val="24"/>
          <w:szCs w:val="24"/>
        </w:rPr>
        <w:t> </w:t>
      </w:r>
      <w:r w:rsidRPr="0023484A">
        <w:rPr>
          <w:rFonts w:eastAsia="Times New Roman" w:cstheme="minorHAnsi"/>
          <w:b/>
          <w:sz w:val="24"/>
          <w:szCs w:val="24"/>
        </w:rPr>
        <w:t>15/27 a KA č.</w:t>
      </w:r>
      <w:r w:rsidR="002C44B0">
        <w:rPr>
          <w:rFonts w:eastAsia="Times New Roman" w:cstheme="minorHAnsi"/>
          <w:b/>
          <w:sz w:val="24"/>
          <w:szCs w:val="24"/>
        </w:rPr>
        <w:t> </w:t>
      </w:r>
      <w:r w:rsidRPr="0023484A">
        <w:rPr>
          <w:rFonts w:eastAsia="Times New Roman" w:cstheme="minorHAnsi"/>
          <w:b/>
          <w:sz w:val="24"/>
          <w:szCs w:val="24"/>
        </w:rPr>
        <w:t>16/19 a stav plnění opatření přijatých TA ČR a GA ČR</w:t>
      </w:r>
    </w:p>
    <w:tbl>
      <w:tblPr>
        <w:tblStyle w:val="Mkatabulky"/>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185"/>
        <w:gridCol w:w="4185"/>
        <w:gridCol w:w="696"/>
      </w:tblGrid>
      <w:tr w:rsidR="00CE12B8" w:rsidRPr="00CF689C" w14:paraId="41352C75" w14:textId="77777777" w:rsidTr="00D44236">
        <w:trPr>
          <w:trHeight w:val="283"/>
        </w:trPr>
        <w:tc>
          <w:tcPr>
            <w:tcW w:w="4250" w:type="dxa"/>
            <w:shd w:val="clear" w:color="auto" w:fill="E6E6E6"/>
            <w:vAlign w:val="center"/>
          </w:tcPr>
          <w:p w14:paraId="1BCD3E51" w14:textId="77777777" w:rsidR="00CE12B8" w:rsidRPr="00CF689C" w:rsidRDefault="00CE12B8" w:rsidP="00D44236">
            <w:pPr>
              <w:rPr>
                <w:rFonts w:ascii="Calibri" w:hAnsi="Calibri" w:cs="Calibri"/>
                <w:b/>
              </w:rPr>
            </w:pPr>
            <w:r w:rsidRPr="00CF689C">
              <w:rPr>
                <w:rFonts w:ascii="Calibri" w:hAnsi="Calibri" w:cs="Calibri"/>
                <w:b/>
              </w:rPr>
              <w:t xml:space="preserve">Zjištění v rámci KA </w:t>
            </w:r>
            <w:r w:rsidR="00BE23CE" w:rsidRPr="00CF689C">
              <w:rPr>
                <w:rFonts w:ascii="Calibri" w:hAnsi="Calibri" w:cs="Calibri"/>
                <w:b/>
              </w:rPr>
              <w:t xml:space="preserve">č. </w:t>
            </w:r>
            <w:r w:rsidRPr="00CF689C">
              <w:rPr>
                <w:rFonts w:ascii="Calibri" w:hAnsi="Calibri" w:cs="Calibri"/>
                <w:b/>
              </w:rPr>
              <w:t>15/27</w:t>
            </w:r>
          </w:p>
        </w:tc>
        <w:tc>
          <w:tcPr>
            <w:tcW w:w="4812" w:type="dxa"/>
            <w:gridSpan w:val="2"/>
            <w:shd w:val="clear" w:color="auto" w:fill="E6E6E6"/>
            <w:vAlign w:val="center"/>
          </w:tcPr>
          <w:p w14:paraId="2BDC65AB" w14:textId="3367E184" w:rsidR="00CE12B8" w:rsidRPr="00CF689C" w:rsidRDefault="00CE12B8" w:rsidP="00D44236">
            <w:pPr>
              <w:rPr>
                <w:rFonts w:ascii="Calibri" w:hAnsi="Calibri" w:cs="Calibri"/>
                <w:b/>
              </w:rPr>
            </w:pPr>
            <w:r w:rsidRPr="00CF689C">
              <w:rPr>
                <w:rFonts w:ascii="Calibri" w:hAnsi="Calibri" w:cs="Calibri"/>
                <w:b/>
              </w:rPr>
              <w:t xml:space="preserve">Stav zjištěný v rámci KA </w:t>
            </w:r>
            <w:r w:rsidR="00BE23CE" w:rsidRPr="00CF689C">
              <w:rPr>
                <w:rFonts w:ascii="Calibri" w:hAnsi="Calibri" w:cs="Calibri"/>
                <w:b/>
              </w:rPr>
              <w:t>č.</w:t>
            </w:r>
            <w:r w:rsidR="0035635A" w:rsidRPr="00CF689C">
              <w:rPr>
                <w:rFonts w:ascii="Calibri" w:hAnsi="Calibri" w:cs="Calibri"/>
                <w:b/>
              </w:rPr>
              <w:t xml:space="preserve"> </w:t>
            </w:r>
            <w:r w:rsidRPr="00CF689C">
              <w:rPr>
                <w:rFonts w:ascii="Calibri" w:hAnsi="Calibri" w:cs="Calibri"/>
                <w:b/>
              </w:rPr>
              <w:t>24/17</w:t>
            </w:r>
          </w:p>
        </w:tc>
      </w:tr>
      <w:tr w:rsidR="00BE0D37" w:rsidRPr="00CF689C" w14:paraId="2F562EEA" w14:textId="77777777" w:rsidTr="00D44236">
        <w:trPr>
          <w:trHeight w:val="283"/>
        </w:trPr>
        <w:tc>
          <w:tcPr>
            <w:tcW w:w="4250" w:type="dxa"/>
          </w:tcPr>
          <w:p w14:paraId="2FF76E74" w14:textId="506E617E" w:rsidR="00BE0D37" w:rsidRPr="00CF689C" w:rsidRDefault="00A3463A" w:rsidP="00D44236">
            <w:pPr>
              <w:rPr>
                <w:rFonts w:ascii="Calibri" w:hAnsi="Calibri" w:cs="Calibri"/>
              </w:rPr>
            </w:pPr>
            <w:r w:rsidRPr="00CF689C">
              <w:rPr>
                <w:rFonts w:ascii="Calibri" w:hAnsi="Calibri" w:cs="Calibri"/>
              </w:rPr>
              <w:t xml:space="preserve">Transparentnost výběru </w:t>
            </w:r>
            <w:r w:rsidR="001014F9" w:rsidRPr="00CF689C">
              <w:rPr>
                <w:rFonts w:ascii="Calibri" w:hAnsi="Calibri" w:cs="Calibri"/>
              </w:rPr>
              <w:t xml:space="preserve">projektů </w:t>
            </w:r>
            <w:r w:rsidRPr="00CF689C">
              <w:rPr>
                <w:rFonts w:ascii="Calibri" w:hAnsi="Calibri" w:cs="Calibri"/>
              </w:rPr>
              <w:t xml:space="preserve">– </w:t>
            </w:r>
            <w:r w:rsidR="00FB133E">
              <w:rPr>
                <w:rFonts w:ascii="Calibri" w:hAnsi="Calibri" w:cs="Calibri"/>
              </w:rPr>
              <w:t>p</w:t>
            </w:r>
            <w:r w:rsidRPr="00CF689C">
              <w:rPr>
                <w:rFonts w:ascii="Calibri" w:hAnsi="Calibri" w:cs="Calibri"/>
              </w:rPr>
              <w:t xml:space="preserve">ersonální provázanost hodnotitelů a příjemců </w:t>
            </w:r>
          </w:p>
        </w:tc>
        <w:tc>
          <w:tcPr>
            <w:tcW w:w="4250" w:type="dxa"/>
            <w:vAlign w:val="center"/>
          </w:tcPr>
          <w:p w14:paraId="42552BD6" w14:textId="77777777" w:rsidR="00BE0D37" w:rsidRPr="00CF689C" w:rsidRDefault="00804836" w:rsidP="00D44236">
            <w:pPr>
              <w:rPr>
                <w:rFonts w:ascii="Calibri" w:hAnsi="Calibri" w:cs="Calibri"/>
              </w:rPr>
            </w:pPr>
            <w:r w:rsidRPr="00CF689C">
              <w:rPr>
                <w:rFonts w:ascii="Calibri" w:hAnsi="Calibri" w:cs="Calibri"/>
              </w:rPr>
              <w:t>Nedostatek odstraněn. TA ČR na</w:t>
            </w:r>
            <w:r w:rsidR="00A3463A" w:rsidRPr="00CF689C">
              <w:rPr>
                <w:rFonts w:ascii="Calibri" w:hAnsi="Calibri" w:cs="Calibri"/>
              </w:rPr>
              <w:t>výš</w:t>
            </w:r>
            <w:r w:rsidRPr="00CF689C">
              <w:rPr>
                <w:rFonts w:ascii="Calibri" w:hAnsi="Calibri" w:cs="Calibri"/>
              </w:rPr>
              <w:t>ila</w:t>
            </w:r>
            <w:r w:rsidR="00A3463A" w:rsidRPr="00CF689C">
              <w:rPr>
                <w:rFonts w:ascii="Calibri" w:hAnsi="Calibri" w:cs="Calibri"/>
              </w:rPr>
              <w:t xml:space="preserve"> počt</w:t>
            </w:r>
            <w:r w:rsidRPr="00CF689C">
              <w:rPr>
                <w:rFonts w:ascii="Calibri" w:hAnsi="Calibri" w:cs="Calibri"/>
              </w:rPr>
              <w:t>y</w:t>
            </w:r>
            <w:r w:rsidR="00A3463A" w:rsidRPr="00CF689C">
              <w:rPr>
                <w:rFonts w:ascii="Calibri" w:hAnsi="Calibri" w:cs="Calibri"/>
              </w:rPr>
              <w:t xml:space="preserve"> hodnotitelů v databázi, využ</w:t>
            </w:r>
            <w:r w:rsidRPr="00CF689C">
              <w:rPr>
                <w:rFonts w:ascii="Calibri" w:hAnsi="Calibri" w:cs="Calibri"/>
              </w:rPr>
              <w:t>ívá</w:t>
            </w:r>
            <w:r w:rsidR="00A3463A" w:rsidRPr="00CF689C">
              <w:rPr>
                <w:rFonts w:ascii="Calibri" w:hAnsi="Calibri" w:cs="Calibri"/>
              </w:rPr>
              <w:t xml:space="preserve"> zahraničních hodnotitelů a sofistikovaného přiřazování přes IT</w:t>
            </w:r>
            <w:r w:rsidR="00F65633" w:rsidRPr="00CF689C">
              <w:rPr>
                <w:rFonts w:ascii="Calibri" w:hAnsi="Calibri" w:cs="Calibri"/>
              </w:rPr>
              <w:t> </w:t>
            </w:r>
            <w:r w:rsidR="00A3463A" w:rsidRPr="00CF689C">
              <w:rPr>
                <w:rFonts w:ascii="Calibri" w:hAnsi="Calibri" w:cs="Calibri"/>
              </w:rPr>
              <w:t xml:space="preserve">systém. </w:t>
            </w:r>
          </w:p>
        </w:tc>
        <w:tc>
          <w:tcPr>
            <w:tcW w:w="562" w:type="dxa"/>
            <w:vAlign w:val="center"/>
          </w:tcPr>
          <w:p w14:paraId="587F8676" w14:textId="17F0D6BD" w:rsidR="00BE0D37" w:rsidRPr="00CF689C" w:rsidRDefault="00045149" w:rsidP="00D44236">
            <w:pPr>
              <w:rPr>
                <w:rFonts w:ascii="Calibri" w:hAnsi="Calibri" w:cs="Calibri"/>
                <w:b/>
              </w:rPr>
            </w:pPr>
            <w:r w:rsidRPr="00CF689C">
              <w:rPr>
                <w:rFonts w:ascii="Calibri" w:hAnsi="Calibri" w:cs="Calibri"/>
                <w:b/>
                <w:noProof/>
              </w:rPr>
              <mc:AlternateContent>
                <mc:Choice Requires="wps">
                  <w:drawing>
                    <wp:inline distT="0" distB="0" distL="0" distR="0" wp14:anchorId="0D6AC3D7" wp14:editId="53E7C4E7">
                      <wp:extent cx="288000" cy="288000"/>
                      <wp:effectExtent l="0" t="0" r="17145" b="17145"/>
                      <wp:docPr id="2" name="Vývojový diagram: spojnice 2"/>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71C3B4"/>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0278627" id="_x0000_t120" coordsize="21600,21600" o:spt="120" path="m10800,qx,10800,10800,21600,21600,10800,10800,xe">
                      <v:path gradientshapeok="t" o:connecttype="custom" o:connectlocs="10800,0;3163,3163;0,10800;3163,18437;10800,21600;18437,18437;21600,10800;18437,3163" textboxrect="3163,3163,18437,18437"/>
                    </v:shapetype>
                    <v:shape id="Vývojový diagram: spojnice 2" o:spid="_x0000_s1026" type="#_x0000_t12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WcoQIAAI0FAAAOAAAAZHJzL2Uyb0RvYy54bWysVEtv1DAQviPxHyzfaZJl+yBqtlq2KkKq&#10;2hUt9Ox17I0rx2Ns74v/1lP/GGMnm64KAglxcWYy728e5xfbVpO1cF6BqWhxlFMiDIdamWVFv95f&#10;vTujxAdmaqbBiIruhKcXk7dvzje2FCNoQNfCEXRifLmxFW1CsGWWed6IlvkjsMKgUIJrWUDWLbPa&#10;sQ16b3U2yvOTbAOutg648B7/XnZCOkn+pRQ83ErpRSC6ophbSK9L7yK+2eSclUvHbKN4nwb7hyxa&#10;pgwGHVxdssDIyqlfXLWKO/AgwxGHNgMpFRepBqymyF9Vc9cwK1ItCI63A0z+/7nlN+u5I6qu6IgS&#10;w1ps0bfnpzU8wvr5idSKITZtSbyFR4OpklFEbGN9iYZ3du56ziMZy99K18YvFka2CeXdgLLYBsLx&#10;5+jsLM+xFxxFPY1eshdj63z4JKAlkaio1LCZNcyFGRiDDQWXkGbrax86w71BjOxBq/pKaZ0Yt1zM&#10;tCNrhu0/LWbvP45j/hjrQC2L5XQFJCrstIjG2nwREqGJKaeIaSjF4I9xLkw46UQNq0UX5hiLS3MV&#10;o8QxjhYpZnIYPUtMb/Bd/Ml3l2yvH01FmunBOP+78WCRIoMJg3GrTI/lkGdXgg5FD5Ps9DH9A2gi&#10;uYB6h4PjoNsob/mVwm5dMx/mzOEKYYPxLIRbfGIDKwo9RUkD7sfv/kd9nGyUUrLBlayo/75iTlCi&#10;Pxuc+Q/FeBx3ODHj49MRMu5QsjiUmFU7A2x7gQfI8kRG/aD3pHTQPuD1mMaoKGKGY+yK8uD2zCx0&#10;pwLvDxfTaVLDvbUsXJs7y6PziGqcv/vtA3O2H9mAs34D+/Vl5atZ7XSjpYHpKoBUaZBfcO3xxp1P&#10;g9Pfp3hUDvmk9XJFJz8BAAD//wMAUEsDBBQABgAIAAAAIQCozB8c2QAAAAMBAAAPAAAAZHJzL2Rv&#10;d25yZXYueG1sTI9BS8NAEIXvgv9hGcGb3VhSCTGbEgo9CCIYFTxus9NsMDsbstMm7a/vqge9zGN4&#10;w3vfFOvZ9eKIY+g8KbhfJCCQGm86ahW8v23vMhCBNRnde0IFJwywLq+vCp0bP9ErHmtuRQyhkGsF&#10;lnnIpQyNRafDwg9I0dv70WmO69hKM+ophrteLpPkQTrdUWywesCNxearPjgFT88V25ZP9cc+m1ab&#10;l+yz6s6pUrc3c/UIgnHmv2P4xo/oUEamnT+QCaJXEB/hnxm9dJWC2P2qLAv5n728AAAA//8DAFBL&#10;AQItABQABgAIAAAAIQC2gziS/gAAAOEBAAATAAAAAAAAAAAAAAAAAAAAAABbQ29udGVudF9UeXBl&#10;c10ueG1sUEsBAi0AFAAGAAgAAAAhADj9If/WAAAAlAEAAAsAAAAAAAAAAAAAAAAALwEAAF9yZWxz&#10;Ly5yZWxzUEsBAi0AFAAGAAgAAAAhAMYSdZyhAgAAjQUAAA4AAAAAAAAAAAAAAAAALgIAAGRycy9l&#10;Mm9Eb2MueG1sUEsBAi0AFAAGAAgAAAAhAKjMHxzZAAAAAwEAAA8AAAAAAAAAAAAAAAAA+wQAAGRy&#10;cy9kb3ducmV2LnhtbFBLBQYAAAAABAAEAPMAAAABBgAAAAA=&#10;" fillcolor="#71c3b4" strokecolor="#375623 [1609]" strokeweight="1pt">
                      <v:stroke joinstyle="miter"/>
                      <w10:anchorlock/>
                    </v:shape>
                  </w:pict>
                </mc:Fallback>
              </mc:AlternateContent>
            </w:r>
          </w:p>
        </w:tc>
      </w:tr>
      <w:tr w:rsidR="00BE0D37" w:rsidRPr="00CF689C" w14:paraId="6D824D17" w14:textId="77777777" w:rsidTr="00D44236">
        <w:trPr>
          <w:trHeight w:val="283"/>
        </w:trPr>
        <w:tc>
          <w:tcPr>
            <w:tcW w:w="4250" w:type="dxa"/>
          </w:tcPr>
          <w:p w14:paraId="18529CE1" w14:textId="77777777" w:rsidR="00BE0D37" w:rsidRPr="00CF689C" w:rsidRDefault="00CE12B8" w:rsidP="00D44236">
            <w:pPr>
              <w:rPr>
                <w:rFonts w:ascii="Calibri" w:hAnsi="Calibri" w:cs="Calibri"/>
              </w:rPr>
            </w:pPr>
            <w:r w:rsidRPr="00CF689C">
              <w:rPr>
                <w:rFonts w:ascii="Calibri" w:hAnsi="Calibri" w:cs="Calibri"/>
              </w:rPr>
              <w:t xml:space="preserve">Hodnoticí kritéria projektů v první veřejné soutěži programu ALFA nebyla jasně stanovena, lišila se od kritérií, kterými posuzovali hodnotitelé návrhy projektů. </w:t>
            </w:r>
          </w:p>
        </w:tc>
        <w:tc>
          <w:tcPr>
            <w:tcW w:w="4250" w:type="dxa"/>
            <w:vAlign w:val="center"/>
          </w:tcPr>
          <w:p w14:paraId="34591D5C" w14:textId="28496136" w:rsidR="00BE0D37" w:rsidRPr="00CF689C" w:rsidRDefault="00CE12B8" w:rsidP="00D44236">
            <w:pPr>
              <w:rPr>
                <w:rFonts w:ascii="Calibri" w:hAnsi="Calibri" w:cs="Calibri"/>
              </w:rPr>
            </w:pPr>
            <w:r w:rsidRPr="00CF689C">
              <w:rPr>
                <w:rFonts w:ascii="Calibri" w:hAnsi="Calibri" w:cs="Calibri"/>
              </w:rPr>
              <w:t xml:space="preserve">Nedostatek odstraněn, TA ČR ve čtvrté veřejné soutěži programu </w:t>
            </w:r>
            <w:r w:rsidRPr="00F9203E">
              <w:rPr>
                <w:rFonts w:ascii="Calibri" w:hAnsi="Calibri" w:cs="Calibri"/>
                <w:i/>
                <w:iCs/>
              </w:rPr>
              <w:t>Théta</w:t>
            </w:r>
            <w:r w:rsidRPr="00CF689C">
              <w:rPr>
                <w:rFonts w:ascii="Calibri" w:hAnsi="Calibri" w:cs="Calibri"/>
              </w:rPr>
              <w:t xml:space="preserve"> nastavil</w:t>
            </w:r>
            <w:r w:rsidR="00FB133E">
              <w:rPr>
                <w:rFonts w:ascii="Calibri" w:hAnsi="Calibri" w:cs="Calibri"/>
              </w:rPr>
              <w:t>a</w:t>
            </w:r>
            <w:r w:rsidRPr="00CF689C">
              <w:rPr>
                <w:rFonts w:ascii="Calibri" w:hAnsi="Calibri" w:cs="Calibri"/>
              </w:rPr>
              <w:t xml:space="preserve"> kritéria hodnocení návrhů projektů jednotně </w:t>
            </w:r>
            <w:r w:rsidR="00FB133E">
              <w:rPr>
                <w:rFonts w:ascii="Calibri" w:hAnsi="Calibri" w:cs="Calibri"/>
              </w:rPr>
              <w:t xml:space="preserve">jak </w:t>
            </w:r>
            <w:r w:rsidRPr="00CF689C">
              <w:rPr>
                <w:rFonts w:ascii="Calibri" w:hAnsi="Calibri" w:cs="Calibri"/>
              </w:rPr>
              <w:t xml:space="preserve">v zadávací dokumentaci, tak i u hodnotitelů. </w:t>
            </w:r>
          </w:p>
        </w:tc>
        <w:tc>
          <w:tcPr>
            <w:tcW w:w="562" w:type="dxa"/>
            <w:vAlign w:val="center"/>
          </w:tcPr>
          <w:p w14:paraId="59C8200C" w14:textId="42262779" w:rsidR="00BE0D37" w:rsidRPr="00CF689C" w:rsidRDefault="00045149" w:rsidP="00D44236">
            <w:pPr>
              <w:rPr>
                <w:rFonts w:ascii="Calibri" w:hAnsi="Calibri" w:cs="Calibri"/>
                <w:b/>
              </w:rPr>
            </w:pPr>
            <w:r w:rsidRPr="00CF689C">
              <w:rPr>
                <w:rFonts w:ascii="Calibri" w:hAnsi="Calibri" w:cs="Calibri"/>
                <w:b/>
                <w:noProof/>
              </w:rPr>
              <mc:AlternateContent>
                <mc:Choice Requires="wps">
                  <w:drawing>
                    <wp:inline distT="0" distB="0" distL="0" distR="0" wp14:anchorId="4CC526CC" wp14:editId="426E31C8">
                      <wp:extent cx="288000" cy="288000"/>
                      <wp:effectExtent l="0" t="0" r="17145" b="17145"/>
                      <wp:docPr id="17" name="Vývojový diagram: spojnice 17"/>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71C3B4"/>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2A71CF" id="Vývojový diagram: spojnice 17" o:spid="_x0000_s1026" type="#_x0000_t12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7jowIAAI8FAAAOAAAAZHJzL2Uyb0RvYy54bWysVFtv0zAUfkfiP1h+Z0lLdyFaOpVOQ0jT&#10;VrHBnl3HbjLZPsZ2m5b/tqf9MY6dNKsGAgnx4pyTc//O5fxiqxXZCOcbMCUdHeWUCMOhasyqpF/v&#10;r96dUeIDMxVTYERJd8LTi+nbN+etLcQYalCVcASdGF+0tqR1CLbIMs9roZk/AisMCiU4zQKybpVV&#10;jrXoXatsnOcnWQuusg648B7/XnZCOk3+pRQ83ErpRSCqpJhbSK9L7zK+2fScFSvHbN3wPg32D1lo&#10;1hgMOri6ZIGRtWt+caUb7sCDDEccdAZSNlykGrCaUf6qmruaWZFqQXC8HWDy/88tv9ksHGkq7N0p&#10;JYZp7NG356cNPMLm+YlUDUNwdEG8hUeDuRJUQ8xa6ws0vbML13MeyQjAVjodv1ga2SacdwPOYhsI&#10;x5/js7M8x25wFPU0eslejK3z4ZMATSJRUqmgndfMhTkYgy0Fl7Bmm2sfOsO9QYzsQTXVVaNUYtxq&#10;OVeObBgOwOlo/v7jJOaPsQ7UslhOV0Ciwk6JaKzMFyERnJhyipjGUgz+GOfChJNOVLNKdGGOsbg0&#10;WTFKHORokWImh9GzxPQG36M/+e6S7fWjqUhTPRjnfzceLFJkMGEw1o3psRzy7EpQYdTDJDt9TP8A&#10;mkguodrh6DjodspbftVgt66ZDwvmcImwwXgYwi0+sYElhZ6ipAb343f/oz7ONkopaXEpS+q/r5kT&#10;lKjPBqf+w2gyiVucmMnx6RgZdyhZHkrMWs8B2z7CE2R5IqN+UHtSOtAPeD9mMSqKmOEYu6Q8uD0z&#10;D92xwAvExWyW1HBzLQvX5s7y6DyiGufvfvvAnO1HNuCs38B+gVnxalY73WhpYLYOIJs0yC+49njj&#10;1qfB6S9UPCuHfNJ6uaPTnwAAAP//AwBQSwMEFAAGAAgAAAAhAKjMHxzZAAAAAwEAAA8AAABkcnMv&#10;ZG93bnJldi54bWxMj0FLw0AQhe+C/2EZwZvdWFIJMZsSCj0IIhgVPG6z02wwOxuy0ybtr++qB73M&#10;Y3jDe98U69n14ohj6DwpuF8kIJAabzpqFby/be8yEIE1Gd17QgUnDLAur68KnRs/0Ssea25FDKGQ&#10;awWWecilDI1Fp8PCD0jR2/vRaY7r2Eoz6imGu14uk+RBOt1RbLB6wI3F5qs+OAVPzxXblk/1xz6b&#10;VpuX7LPqzqlStzdz9QiCcea/Y/jGj+hQRqadP5AJolcQH+GfGb10lYLY/aosC/mfvbwAAAD//wMA&#10;UEsBAi0AFAAGAAgAAAAhALaDOJL+AAAA4QEAABMAAAAAAAAAAAAAAAAAAAAAAFtDb250ZW50X1R5&#10;cGVzXS54bWxQSwECLQAUAAYACAAAACEAOP0h/9YAAACUAQAACwAAAAAAAAAAAAAAAAAvAQAAX3Jl&#10;bHMvLnJlbHNQSwECLQAUAAYACAAAACEA1Cz+46MCAACPBQAADgAAAAAAAAAAAAAAAAAuAgAAZHJz&#10;L2Uyb0RvYy54bWxQSwECLQAUAAYACAAAACEAqMwfHNkAAAADAQAADwAAAAAAAAAAAAAAAAD9BAAA&#10;ZHJzL2Rvd25yZXYueG1sUEsFBgAAAAAEAAQA8wAAAAMGAAAAAA==&#10;" fillcolor="#71c3b4" strokecolor="#375623 [1609]" strokeweight="1pt">
                      <v:stroke joinstyle="miter"/>
                      <w10:anchorlock/>
                    </v:shape>
                  </w:pict>
                </mc:Fallback>
              </mc:AlternateContent>
            </w:r>
          </w:p>
        </w:tc>
      </w:tr>
      <w:tr w:rsidR="00CE12B8" w:rsidRPr="00CF689C" w14:paraId="300C04FE" w14:textId="77777777" w:rsidTr="00D44236">
        <w:trPr>
          <w:trHeight w:val="283"/>
        </w:trPr>
        <w:tc>
          <w:tcPr>
            <w:tcW w:w="4250" w:type="dxa"/>
            <w:shd w:val="clear" w:color="auto" w:fill="E6E6E6"/>
            <w:vAlign w:val="center"/>
          </w:tcPr>
          <w:p w14:paraId="3AD4584D" w14:textId="77777777" w:rsidR="00CE12B8" w:rsidRPr="00CF689C" w:rsidRDefault="00CE12B8" w:rsidP="00D44236">
            <w:pPr>
              <w:rPr>
                <w:rFonts w:ascii="Calibri" w:hAnsi="Calibri" w:cs="Calibri"/>
                <w:b/>
              </w:rPr>
            </w:pPr>
            <w:r w:rsidRPr="00CF689C">
              <w:rPr>
                <w:rFonts w:ascii="Calibri" w:hAnsi="Calibri" w:cs="Calibri"/>
                <w:b/>
              </w:rPr>
              <w:t>Zjištění v rámci KA č. 16/19</w:t>
            </w:r>
          </w:p>
        </w:tc>
        <w:tc>
          <w:tcPr>
            <w:tcW w:w="4812" w:type="dxa"/>
            <w:gridSpan w:val="2"/>
            <w:shd w:val="clear" w:color="auto" w:fill="E6E6E6"/>
            <w:vAlign w:val="center"/>
          </w:tcPr>
          <w:p w14:paraId="7F4C6001" w14:textId="77777777" w:rsidR="00CE12B8" w:rsidRPr="00CF689C" w:rsidRDefault="00CE12B8" w:rsidP="00D44236">
            <w:pPr>
              <w:rPr>
                <w:rFonts w:ascii="Calibri" w:hAnsi="Calibri" w:cs="Calibri"/>
                <w:b/>
              </w:rPr>
            </w:pPr>
            <w:r w:rsidRPr="00CF689C">
              <w:rPr>
                <w:rFonts w:ascii="Calibri" w:hAnsi="Calibri" w:cs="Calibri"/>
                <w:b/>
              </w:rPr>
              <w:t xml:space="preserve">Stav zjištěný v rámci KA </w:t>
            </w:r>
            <w:r w:rsidR="00BE23CE" w:rsidRPr="00CF689C">
              <w:rPr>
                <w:rFonts w:ascii="Calibri" w:hAnsi="Calibri" w:cs="Calibri"/>
                <w:b/>
              </w:rPr>
              <w:t xml:space="preserve">č. </w:t>
            </w:r>
            <w:r w:rsidRPr="00CF689C">
              <w:rPr>
                <w:rFonts w:ascii="Calibri" w:hAnsi="Calibri" w:cs="Calibri"/>
                <w:b/>
              </w:rPr>
              <w:t>24/17</w:t>
            </w:r>
          </w:p>
        </w:tc>
      </w:tr>
      <w:tr w:rsidR="00CE12B8" w:rsidRPr="00CF689C" w14:paraId="5ED0F7BB" w14:textId="77777777" w:rsidTr="00D44236">
        <w:trPr>
          <w:trHeight w:val="283"/>
        </w:trPr>
        <w:tc>
          <w:tcPr>
            <w:tcW w:w="4250" w:type="dxa"/>
          </w:tcPr>
          <w:p w14:paraId="58285D36" w14:textId="18D05C36" w:rsidR="00CE12B8" w:rsidRPr="00CF689C" w:rsidRDefault="001014F9" w:rsidP="00D44236">
            <w:pPr>
              <w:rPr>
                <w:rFonts w:ascii="Calibri" w:hAnsi="Calibri" w:cs="Calibri"/>
              </w:rPr>
            </w:pPr>
            <w:r w:rsidRPr="00CF689C">
              <w:rPr>
                <w:rFonts w:ascii="Calibri" w:hAnsi="Calibri" w:cs="Calibri"/>
              </w:rPr>
              <w:t>Chybějící vazba základního výzkumu na další fáze inovačního procesu – spolupráce TA ČR a</w:t>
            </w:r>
            <w:r w:rsidR="00D44236">
              <w:rPr>
                <w:rFonts w:ascii="Calibri" w:hAnsi="Calibri" w:cs="Calibri"/>
              </w:rPr>
              <w:t> </w:t>
            </w:r>
            <w:r w:rsidRPr="00CF689C">
              <w:rPr>
                <w:rFonts w:ascii="Calibri" w:hAnsi="Calibri" w:cs="Calibri"/>
              </w:rPr>
              <w:t xml:space="preserve">GA ČR </w:t>
            </w:r>
          </w:p>
        </w:tc>
        <w:tc>
          <w:tcPr>
            <w:tcW w:w="4250" w:type="dxa"/>
            <w:vAlign w:val="center"/>
          </w:tcPr>
          <w:p w14:paraId="1F8CD1C3" w14:textId="73278B47" w:rsidR="00CE12B8" w:rsidRPr="00CF689C" w:rsidRDefault="001014F9" w:rsidP="00D44236">
            <w:pPr>
              <w:rPr>
                <w:rFonts w:ascii="Calibri" w:hAnsi="Calibri" w:cs="Calibri"/>
              </w:rPr>
            </w:pPr>
            <w:r w:rsidRPr="00CF689C">
              <w:rPr>
                <w:rFonts w:ascii="Calibri" w:hAnsi="Calibri" w:cs="Calibri"/>
              </w:rPr>
              <w:t xml:space="preserve">TA ČR a GA ČR podepsaly </w:t>
            </w:r>
            <w:r w:rsidR="00FB133E">
              <w:rPr>
                <w:rFonts w:ascii="Calibri" w:hAnsi="Calibri" w:cs="Calibri"/>
              </w:rPr>
              <w:t>m</w:t>
            </w:r>
            <w:r w:rsidRPr="00CF689C">
              <w:rPr>
                <w:rFonts w:ascii="Calibri" w:hAnsi="Calibri" w:cs="Calibri"/>
              </w:rPr>
              <w:t>emorandum o</w:t>
            </w:r>
            <w:r w:rsidR="00F65633" w:rsidRPr="00CF689C">
              <w:rPr>
                <w:rFonts w:ascii="Calibri" w:hAnsi="Calibri" w:cs="Calibri"/>
              </w:rPr>
              <w:t> </w:t>
            </w:r>
            <w:r w:rsidRPr="00CF689C">
              <w:rPr>
                <w:rFonts w:ascii="Calibri" w:hAnsi="Calibri" w:cs="Calibri"/>
              </w:rPr>
              <w:t>spolupráci, vytvořily pracovní skupinu GATA, ale r</w:t>
            </w:r>
            <w:r w:rsidR="009B5694" w:rsidRPr="00CF689C">
              <w:rPr>
                <w:rFonts w:ascii="Calibri" w:hAnsi="Calibri" w:cs="Calibri"/>
              </w:rPr>
              <w:t xml:space="preserve">ealizace konkrétních plánů nezačala. </w:t>
            </w:r>
            <w:r w:rsidRPr="00CF689C">
              <w:rPr>
                <w:rFonts w:ascii="Calibri" w:hAnsi="Calibri" w:cs="Calibri"/>
              </w:rPr>
              <w:t xml:space="preserve">GA ČR navrhla novou skupinu projektů </w:t>
            </w:r>
            <w:proofErr w:type="spellStart"/>
            <w:r w:rsidRPr="00CF689C">
              <w:rPr>
                <w:rFonts w:ascii="Calibri" w:hAnsi="Calibri" w:cs="Calibri"/>
              </w:rPr>
              <w:t>Proof</w:t>
            </w:r>
            <w:proofErr w:type="spellEnd"/>
            <w:r w:rsidRPr="00CF689C">
              <w:rPr>
                <w:rFonts w:ascii="Calibri" w:hAnsi="Calibri" w:cs="Calibri"/>
              </w:rPr>
              <w:t xml:space="preserve"> </w:t>
            </w:r>
            <w:proofErr w:type="spellStart"/>
            <w:r w:rsidRPr="00CF689C">
              <w:rPr>
                <w:rFonts w:ascii="Calibri" w:hAnsi="Calibri" w:cs="Calibri"/>
              </w:rPr>
              <w:t>of</w:t>
            </w:r>
            <w:proofErr w:type="spellEnd"/>
            <w:r w:rsidRPr="00CF689C">
              <w:rPr>
                <w:rFonts w:ascii="Calibri" w:hAnsi="Calibri" w:cs="Calibri"/>
              </w:rPr>
              <w:t xml:space="preserve"> </w:t>
            </w:r>
            <w:proofErr w:type="spellStart"/>
            <w:r w:rsidR="00B108F8" w:rsidRPr="00CF689C">
              <w:rPr>
                <w:rFonts w:ascii="Calibri" w:hAnsi="Calibri" w:cs="Calibri"/>
              </w:rPr>
              <w:t>C</w:t>
            </w:r>
            <w:r w:rsidRPr="00CF689C">
              <w:rPr>
                <w:rFonts w:ascii="Calibri" w:hAnsi="Calibri" w:cs="Calibri"/>
              </w:rPr>
              <w:t>oncept</w:t>
            </w:r>
            <w:proofErr w:type="spellEnd"/>
            <w:r w:rsidRPr="00CF689C">
              <w:rPr>
                <w:rFonts w:ascii="Calibri" w:hAnsi="Calibri" w:cs="Calibri"/>
              </w:rPr>
              <w:t xml:space="preserve">. </w:t>
            </w:r>
          </w:p>
        </w:tc>
        <w:tc>
          <w:tcPr>
            <w:tcW w:w="562" w:type="dxa"/>
            <w:vAlign w:val="center"/>
          </w:tcPr>
          <w:p w14:paraId="7857E3F4" w14:textId="1E7C2581" w:rsidR="00CE12B8" w:rsidRPr="00CF689C" w:rsidRDefault="00045149" w:rsidP="00D44236">
            <w:pPr>
              <w:rPr>
                <w:rFonts w:ascii="Calibri" w:hAnsi="Calibri" w:cs="Calibri"/>
              </w:rPr>
            </w:pPr>
            <w:r w:rsidRPr="00CF689C">
              <w:rPr>
                <w:rFonts w:ascii="Calibri" w:hAnsi="Calibri" w:cs="Calibri"/>
                <w:b/>
                <w:noProof/>
              </w:rPr>
              <mc:AlternateContent>
                <mc:Choice Requires="wps">
                  <w:drawing>
                    <wp:inline distT="0" distB="0" distL="0" distR="0" wp14:anchorId="1BB77991" wp14:editId="42C5D235">
                      <wp:extent cx="288000" cy="288000"/>
                      <wp:effectExtent l="0" t="0" r="17145" b="17145"/>
                      <wp:docPr id="24" name="Vývojový diagram: spojnice 24"/>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FDC300"/>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A031AB" id="Vývojový diagram: spojnice 24" o:spid="_x0000_s1026" type="#_x0000_t12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bnnQIAAI8FAAAOAAAAZHJzL2Uyb0RvYy54bWysVN1u0zAUvkfiHSzfs6SlGyNaOlWdipCm&#10;rWKDXbuO3WSyfYztNi3vtqu9GMdOmlUDgYS4cc7J+f/Oz8XlTiuyFc43YEo6OskpEYZD1Zh1Sb/e&#10;L96dU+IDMxVTYERJ98LTy+nbNxetLcQYalCVcASdGF+0tqR1CLbIMs9roZk/ASsMCiU4zQKybp1V&#10;jrXoXatsnOdnWQuusg648B7/XnVCOk3+pRQ83ErpRSCqpJhbSK9L7yq+2fSCFWvHbN3wPg32D1lo&#10;1hgMOri6YoGRjWt+caUb7sCDDCccdAZSNlykGrCaUf6qmruaWZFqQXC8HWDy/88tv9kuHWmqko4n&#10;lBimsUffnp+28Ajb5ydSNQzB0QXxFh4N5kpQDTFrrS/Q9M4uXc95JCMAO+l0/GJpZJdw3g84i10g&#10;HH+Oz8/zHLvBUdTT6CV7MbbOh08CNIlESaWCdl4zF+ZgDLYUXMKaba996AwPBjGyB9VUi0apxLj1&#10;aq4c2TIcgMXV/D3G7UyO1LJYTldAosJeiWiszBchEZyYcoqYxlIM/hjnwoSzTlSzSnRhTrG4IUoc&#10;5GiR6ksOo2eJ6Q2+R3/y3SXb60dTkaZ6MM7/bjxYpMhgwmCsG9Nj+aoyFUY9TLLTx/SPoInkCqo9&#10;jo6Dbqe85YsGu3XNfFgyh0uEDcbDEG7xiQ0sKfQUJTW4H7/7H/VxtlFKSYtLWVL/fcOcoER9Njj1&#10;H0eTSdzixExOP4yRcceS1bHEbPQcsO0jPEGWJzLqB3UgpQP9gPdjFqOiiBmOsUvKgzsw89AdC7xA&#10;XMxmSQ0317Jwbe4sj84jqnH+7ncPzNl+ZAPO+g0cFpgVr2a1042WBmabALJJg/yCa483bn0anP5C&#10;xbNyzCetlzs6/QkAAP//AwBQSwMEFAAGAAgAAAAhAD4kHV7ZAAAAAwEAAA8AAABkcnMvZG93bnJl&#10;di54bWxMj09PwzAMxe9IfIfISNxYChoIStMJISZxmtgftKvXuE2hcaom27pvj4EDXPxkPeu9n4vZ&#10;6Dt1oCG2gQ1cTzJQxFWwLTcGNuv51T2omJAtdoHJwIkizMrzswJzG468pMMqNUpCOOZowKXU51rH&#10;ypHHOAk9sXh1GDwmWYdG2wGPEu47fZNld9pjy9LgsKdnR9Xnau8NNHMXlh/1+/i6eDi9bOu37WKz&#10;ZmMuL8anR1CJxvR3DN/4gg6lMO3Cnm1UnQF5JP1M8aa3U1C7X9Vlof+zl18AAAD//wMAUEsBAi0A&#10;FAAGAAgAAAAhALaDOJL+AAAA4QEAABMAAAAAAAAAAAAAAAAAAAAAAFtDb250ZW50X1R5cGVzXS54&#10;bWxQSwECLQAUAAYACAAAACEAOP0h/9YAAACUAQAACwAAAAAAAAAAAAAAAAAvAQAAX3JlbHMvLnJl&#10;bHNQSwECLQAUAAYACAAAACEANB12550CAACPBQAADgAAAAAAAAAAAAAAAAAuAgAAZHJzL2Uyb0Rv&#10;Yy54bWxQSwECLQAUAAYACAAAACEAPiQdXtkAAAADAQAADwAAAAAAAAAAAAAAAAD3BAAAZHJzL2Rv&#10;d25yZXYueG1sUEsFBgAAAAAEAAQA8wAAAP0FAAAAAA==&#10;" fillcolor="#fdc300" strokecolor="#375623 [1609]" strokeweight="1pt">
                      <v:stroke joinstyle="miter"/>
                      <w10:anchorlock/>
                    </v:shape>
                  </w:pict>
                </mc:Fallback>
              </mc:AlternateContent>
            </w:r>
          </w:p>
        </w:tc>
      </w:tr>
      <w:tr w:rsidR="00CE12B8" w:rsidRPr="00CF689C" w14:paraId="390EBDB5" w14:textId="77777777" w:rsidTr="00D44236">
        <w:trPr>
          <w:cantSplit/>
          <w:trHeight w:val="283"/>
        </w:trPr>
        <w:tc>
          <w:tcPr>
            <w:tcW w:w="4250" w:type="dxa"/>
          </w:tcPr>
          <w:p w14:paraId="11BCB6F3" w14:textId="017F899C" w:rsidR="00CE12B8" w:rsidRPr="00CF689C" w:rsidRDefault="001014F9" w:rsidP="00D44236">
            <w:pPr>
              <w:rPr>
                <w:rFonts w:ascii="Calibri" w:hAnsi="Calibri" w:cs="Calibri"/>
              </w:rPr>
            </w:pPr>
            <w:r w:rsidRPr="00CF689C">
              <w:rPr>
                <w:rFonts w:ascii="Calibri" w:hAnsi="Calibri" w:cs="Calibri"/>
              </w:rPr>
              <w:t xml:space="preserve">Část podpory základního výzkumu nesměřovala </w:t>
            </w:r>
            <w:r w:rsidR="00052053" w:rsidRPr="00CF689C">
              <w:rPr>
                <w:rFonts w:ascii="Calibri" w:hAnsi="Calibri" w:cs="Calibri"/>
              </w:rPr>
              <w:t xml:space="preserve">cíleně </w:t>
            </w:r>
            <w:r w:rsidRPr="00CF689C">
              <w:rPr>
                <w:rFonts w:ascii="Calibri" w:hAnsi="Calibri" w:cs="Calibri"/>
              </w:rPr>
              <w:t>do strategických oblastí</w:t>
            </w:r>
            <w:r w:rsidR="0037684D" w:rsidRPr="00CF689C">
              <w:rPr>
                <w:rFonts w:ascii="Calibri" w:hAnsi="Calibri" w:cs="Calibri"/>
              </w:rPr>
              <w:t>.</w:t>
            </w:r>
          </w:p>
        </w:tc>
        <w:tc>
          <w:tcPr>
            <w:tcW w:w="4250" w:type="dxa"/>
            <w:vAlign w:val="center"/>
          </w:tcPr>
          <w:p w14:paraId="0FC33EFA" w14:textId="6C66F319" w:rsidR="00CE12B8" w:rsidRPr="00CF689C" w:rsidRDefault="00804836" w:rsidP="00D44236">
            <w:pPr>
              <w:rPr>
                <w:rFonts w:ascii="Calibri" w:hAnsi="Calibri" w:cs="Calibri"/>
              </w:rPr>
            </w:pPr>
            <w:r w:rsidRPr="00CF689C">
              <w:rPr>
                <w:rFonts w:ascii="Calibri" w:hAnsi="Calibri" w:cs="Calibri"/>
              </w:rPr>
              <w:t xml:space="preserve">Stav se nezměnil. Vznikla skupina projektů </w:t>
            </w:r>
            <w:r w:rsidR="00FB133E">
              <w:rPr>
                <w:rFonts w:ascii="Calibri" w:hAnsi="Calibri" w:cs="Calibri"/>
              </w:rPr>
              <w:t>s pojmenováním „o</w:t>
            </w:r>
            <w:r w:rsidRPr="00CF689C">
              <w:rPr>
                <w:rFonts w:ascii="Calibri" w:hAnsi="Calibri" w:cs="Calibri"/>
              </w:rPr>
              <w:t>rientovaný základní výzkum</w:t>
            </w:r>
            <w:r w:rsidR="00FB133E">
              <w:rPr>
                <w:rFonts w:ascii="Calibri" w:hAnsi="Calibri" w:cs="Calibri"/>
              </w:rPr>
              <w:t>“</w:t>
            </w:r>
            <w:r w:rsidRPr="00CF689C">
              <w:rPr>
                <w:rFonts w:ascii="Calibri" w:hAnsi="Calibri" w:cs="Calibri"/>
              </w:rPr>
              <w:t>, v </w:t>
            </w:r>
            <w:r w:rsidR="00FB133E">
              <w:rPr>
                <w:rFonts w:ascii="Calibri" w:hAnsi="Calibri" w:cs="Calibri"/>
              </w:rPr>
              <w:t xml:space="preserve">jejímž </w:t>
            </w:r>
            <w:r w:rsidRPr="00CF689C">
              <w:rPr>
                <w:rFonts w:ascii="Calibri" w:hAnsi="Calibri" w:cs="Calibri"/>
              </w:rPr>
              <w:t xml:space="preserve">rámci nedošlo </w:t>
            </w:r>
            <w:r w:rsidR="0079102B" w:rsidRPr="00CF689C">
              <w:rPr>
                <w:rFonts w:ascii="Calibri" w:hAnsi="Calibri" w:cs="Calibri"/>
              </w:rPr>
              <w:t>k</w:t>
            </w:r>
            <w:r w:rsidR="00FB133E">
              <w:rPr>
                <w:rFonts w:ascii="Calibri" w:hAnsi="Calibri" w:cs="Calibri"/>
              </w:rPr>
              <w:t> </w:t>
            </w:r>
            <w:r w:rsidRPr="00CF689C">
              <w:rPr>
                <w:rFonts w:ascii="Calibri" w:hAnsi="Calibri" w:cs="Calibri"/>
              </w:rPr>
              <w:t xml:space="preserve">vyhlášení veřejné soutěže. Nastavení této skupiny projektů ovšem neřeší dlouhodobou potřebu </w:t>
            </w:r>
            <w:r w:rsidR="00052053" w:rsidRPr="00CF689C">
              <w:rPr>
                <w:rFonts w:ascii="Calibri" w:hAnsi="Calibri" w:cs="Calibri"/>
              </w:rPr>
              <w:t xml:space="preserve">cílené </w:t>
            </w:r>
            <w:r w:rsidRPr="00CF689C">
              <w:rPr>
                <w:rFonts w:ascii="Calibri" w:hAnsi="Calibri" w:cs="Calibri"/>
              </w:rPr>
              <w:t xml:space="preserve">orientace základního výzkumu. </w:t>
            </w:r>
          </w:p>
        </w:tc>
        <w:tc>
          <w:tcPr>
            <w:tcW w:w="562" w:type="dxa"/>
            <w:vAlign w:val="center"/>
          </w:tcPr>
          <w:p w14:paraId="5053C739" w14:textId="2C252D89" w:rsidR="00CE12B8" w:rsidRPr="00CF689C" w:rsidRDefault="00045149" w:rsidP="00D44236">
            <w:pPr>
              <w:rPr>
                <w:rFonts w:ascii="Calibri" w:hAnsi="Calibri" w:cs="Calibri"/>
                <w:b/>
              </w:rPr>
            </w:pPr>
            <w:r w:rsidRPr="00CF689C">
              <w:rPr>
                <w:rFonts w:ascii="Calibri" w:hAnsi="Calibri" w:cs="Calibri"/>
                <w:b/>
                <w:noProof/>
              </w:rPr>
              <mc:AlternateContent>
                <mc:Choice Requires="wps">
                  <w:drawing>
                    <wp:inline distT="0" distB="0" distL="0" distR="0" wp14:anchorId="2950A196" wp14:editId="7A4D4DE3">
                      <wp:extent cx="288000" cy="288000"/>
                      <wp:effectExtent l="0" t="0" r="17145" b="17145"/>
                      <wp:docPr id="25" name="Vývojový diagram: spojnice 25"/>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AF1953"/>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64946D" id="Vývojový diagram: spojnice 25" o:spid="_x0000_s1026" type="#_x0000_t12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ffowIAAI8FAAAOAAAAZHJzL2Uyb0RvYy54bWysVN1O2zAUvp+0d7B8P5J2lEFEiqqiTpMQ&#10;oMHGtevYTZDt49lu0+7duOLFOHbSULFpk6bdOOfk/H/n5/xiqxXZCOcbMCUdHeWUCMOhasyqpN/u&#10;Fx9OKfGBmYopMKKkO+HpxfT9u/PWFmIMNahKOIJOjC9aW9I6BFtkmee10MwfgRUGhRKcZgFZt8oq&#10;x1r0rlU2zvOTrAVXWQdceI9/LzshnSb/UgoebqT0IhBVUswtpNeldxnfbHrOipVjtm54nwb7hyw0&#10;awwGHVxdssDI2jW/uNINd+BBhiMOOgMpGy5SDVjNKH9TzV3NrEi1IDjeDjD5/+eWX29uHWmqko4n&#10;lBimsUffn5828Aib5ydSNQzB0QXxFh4N5kpQDTFrrS/Q9M7eup7zSEYAttLp+MXSyDbhvBtwFttA&#10;OP4cn57mOXaDo6in0Uv2amydD58FaBKJkkoF7bxmLszBGGwpuIQ121z50BnuDWJkD6qpFo1SiXGr&#10;5Vw5smE4ALPF6GzyMeaPsQ7UslhOV0Ciwk6JaKzMVyERnJhyipjGUgz+GOfChJNOVLNKdGEmWFya&#10;rBglDnK0SDGTw+hZYnqD79GffHfJ9vrRVKSpHozzvxsPFikymDAY68b0WA55diWoMOphkp0+pn8A&#10;TSSXUO1wdBx0O+UtXzTYrSvmwy1zuETYYDwM4Qaf2MCSQk9RUoP7+bv/UR9nG6WUtLiUJfU/1swJ&#10;StQXg1N/Njo+jlucmOPJpzEy7lCyPJSYtZ4Dtn2EJ8jyREb9oPakdKAf8H7MYlQUMcMxdkl5cHtm&#10;HrpjgReIi9ksqeHmWhauzJ3l0XlENc7f/faBOduPbMBZv4b9ArPizax2utHSwGwdQDZpkF9x7fHG&#10;rU+D01+oeFYO+aT1ekenLwAAAP//AwBQSwMEFAAGAAgAAAAhACodPuTYAAAAAwEAAA8AAABkcnMv&#10;ZG93bnJldi54bWxMj09Lw0AQxe+C32EZwZvdKK1Imk0RRcWL2BrpdZqd/NHsbMhu2vTbO+pBL/MY&#10;3vDeb7LV5Dq1pyG0ng1czhJQxKW3LdcGireHixtQISJb7DyTgSMFWOWnJxmm1h94TftNrJWEcEjR&#10;QBNjn2odyoYchpnvicWr/OAwyjrU2g54kHDX6askudYOW5aGBnu6a6j83IzOQHVcPxZE90/+vcLn&#10;Rdi+vBYfozHnZ9PtElSkKf4dwze+oEMuTDs/sg2qMyCPxJ8p3nwxB7X7VZ1n+j97/gUAAP//AwBQ&#10;SwECLQAUAAYACAAAACEAtoM4kv4AAADhAQAAEwAAAAAAAAAAAAAAAAAAAAAAW0NvbnRlbnRfVHlw&#10;ZXNdLnhtbFBLAQItABQABgAIAAAAIQA4/SH/1gAAAJQBAAALAAAAAAAAAAAAAAAAAC8BAABfcmVs&#10;cy8ucmVsc1BLAQItABQABgAIAAAAIQBg8uffowIAAI8FAAAOAAAAAAAAAAAAAAAAAC4CAABkcnMv&#10;ZTJvRG9jLnhtbFBLAQItABQABgAIAAAAIQAqHT7k2AAAAAMBAAAPAAAAAAAAAAAAAAAAAP0EAABk&#10;cnMvZG93bnJldi54bWxQSwUGAAAAAAQABADzAAAAAgYAAAAA&#10;" fillcolor="#af1953" strokecolor="#375623 [1609]" strokeweight="1pt">
                      <v:stroke joinstyle="miter"/>
                      <w10:anchorlock/>
                    </v:shape>
                  </w:pict>
                </mc:Fallback>
              </mc:AlternateContent>
            </w:r>
          </w:p>
        </w:tc>
      </w:tr>
      <w:tr w:rsidR="00045149" w:rsidRPr="00CF689C" w14:paraId="5A31F4BC" w14:textId="77777777" w:rsidTr="00D44236">
        <w:trPr>
          <w:trHeight w:val="283"/>
        </w:trPr>
        <w:tc>
          <w:tcPr>
            <w:tcW w:w="4250" w:type="dxa"/>
          </w:tcPr>
          <w:p w14:paraId="0590A718" w14:textId="410A9E9D" w:rsidR="00CE12B8" w:rsidRPr="00CF689C" w:rsidRDefault="00804836" w:rsidP="00D44236">
            <w:pPr>
              <w:rPr>
                <w:rFonts w:ascii="Calibri" w:hAnsi="Calibri" w:cs="Calibri"/>
              </w:rPr>
            </w:pPr>
            <w:r w:rsidRPr="00CF689C">
              <w:rPr>
                <w:rFonts w:ascii="Calibri" w:hAnsi="Calibri" w:cs="Calibri"/>
              </w:rPr>
              <w:t xml:space="preserve">Transparentnost výběru projektů – změna podmínek již vyhlášené veřejné soutěže, prodlužování soutěžní lhůty </w:t>
            </w:r>
          </w:p>
        </w:tc>
        <w:tc>
          <w:tcPr>
            <w:tcW w:w="4250" w:type="dxa"/>
            <w:vAlign w:val="center"/>
          </w:tcPr>
          <w:p w14:paraId="1966EB22" w14:textId="7AF630B9" w:rsidR="00CE12B8" w:rsidRPr="00CF689C" w:rsidRDefault="00804836" w:rsidP="00D44236">
            <w:pPr>
              <w:rPr>
                <w:rFonts w:ascii="Calibri" w:hAnsi="Calibri" w:cs="Calibri"/>
              </w:rPr>
            </w:pPr>
            <w:r w:rsidRPr="00CF689C">
              <w:rPr>
                <w:rFonts w:ascii="Calibri" w:hAnsi="Calibri" w:cs="Calibri"/>
              </w:rPr>
              <w:t>Nedostatek odstraněn. V zadávací</w:t>
            </w:r>
            <w:r w:rsidR="00810BD0" w:rsidRPr="00CF689C">
              <w:rPr>
                <w:rFonts w:ascii="Calibri" w:hAnsi="Calibri" w:cs="Calibri"/>
              </w:rPr>
              <w:t>ch</w:t>
            </w:r>
            <w:r w:rsidRPr="00CF689C">
              <w:rPr>
                <w:rFonts w:ascii="Calibri" w:hAnsi="Calibri" w:cs="Calibri"/>
              </w:rPr>
              <w:t xml:space="preserve"> dokumentacích byla odstraněna možnost prodloužit soutěžní lhůtu. </w:t>
            </w:r>
          </w:p>
        </w:tc>
        <w:tc>
          <w:tcPr>
            <w:tcW w:w="562" w:type="dxa"/>
            <w:vAlign w:val="center"/>
          </w:tcPr>
          <w:p w14:paraId="1C573FA9" w14:textId="4480F048" w:rsidR="00CE12B8" w:rsidRPr="00CF689C" w:rsidRDefault="00045149" w:rsidP="00D44236">
            <w:pPr>
              <w:rPr>
                <w:rFonts w:ascii="Calibri" w:hAnsi="Calibri" w:cs="Calibri"/>
                <w:b/>
              </w:rPr>
            </w:pPr>
            <w:r w:rsidRPr="00CF689C">
              <w:rPr>
                <w:rFonts w:ascii="Calibri" w:hAnsi="Calibri" w:cs="Calibri"/>
                <w:b/>
                <w:noProof/>
              </w:rPr>
              <mc:AlternateContent>
                <mc:Choice Requires="wps">
                  <w:drawing>
                    <wp:inline distT="0" distB="0" distL="0" distR="0" wp14:anchorId="218ED32C" wp14:editId="7F4810BA">
                      <wp:extent cx="288000" cy="288000"/>
                      <wp:effectExtent l="0" t="0" r="17145" b="17145"/>
                      <wp:docPr id="23" name="Vývojový diagram: spojnice 23"/>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71C3B4"/>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C28A5E" id="Vývojový diagram: spojnice 23" o:spid="_x0000_s1026" type="#_x0000_t12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eowIAAI8FAAAOAAAAZHJzL2Uyb0RvYy54bWysVFtP2zAUfp+0/2D5fSQt5bKIFHVFTJMQ&#10;oMHGs+vYjZHj49lu0/LfeOKP7dhJQ8WmTZr24pyTc//O5ex802iyFs4rMCUdHeSUCMOhUmZZ0m/3&#10;lx9OKfGBmYppMKKkW+Hp+fT9u7PWFmIMNehKOIJOjC9aW9I6BFtkmee1aJg/ACsMCiW4hgVk3TKr&#10;HGvRe6OzcZ4fZy24yjrgwnv8e9EJ6TT5l1LwcCOlF4HokmJuIb0uvYv4ZtMzViwds7XifRrsH7Jo&#10;mDIYdHB1wQIjK6d+cdUo7sCDDAccmgykVFykGrCaUf6mmruaWZFqQXC8HWDy/88tv17fOqKqko4P&#10;KTGswR59f3lewyOsX55JpRiC0xTEW3g0mCtBNcSstb5A0zt763rOIxkB2EjXxC+WRjYJ5+2As9gE&#10;wvHn+PQ0z7EbHEU9jV6yV2PrfPgsoCGRKKnU0M5r5sIcjMGWgktYs/WVD53hziBG9qBVdam0Toxb&#10;LubakTXDATgZzQ8/TWL+GGtPLYvldAUkKmy1iMbafBUSwYkpp4hpLMXgj3EuTDjuRDWrRBfmCItL&#10;kxWjxEGOFilmchg9S0xv8D36k+8u2V4/moo01YNx/nfjwSJFBhMG40aZHsshz64EHUY9TLLTx/T3&#10;oInkAqotjo6Dbqe85ZcKu3XFfLhlDpcIG4yHIdzgExtYUugpSmpwT7/7H/VxtlFKSYtLWVL/Y8Wc&#10;oER/MTj1H0eTSdzixEyOTsbIuH3JYl9iVs0csO0jPEGWJzLqB70jpYPmAe/HLEZFETMcY5eUB7dj&#10;5qE7FniBuJjNkhpurmXhytxZHp1HVOP83W8emLP9yAac9WvYLTAr3sxqpxstDcxWAaRKg/yKa483&#10;bn0anP5CxbOyzyet1zs6/QkAAP//AwBQSwMEFAAGAAgAAAAhAKjMHxzZAAAAAwEAAA8AAABkcnMv&#10;ZG93bnJldi54bWxMj0FLw0AQhe+C/2EZwZvdWFIJMZsSCj0IIhgVPG6z02wwOxuy0ybtr++qB73M&#10;Y3jDe98U69n14ohj6DwpuF8kIJAabzpqFby/be8yEIE1Gd17QgUnDLAur68KnRs/0Ssea25FDKGQ&#10;awWWecilDI1Fp8PCD0jR2/vRaY7r2Eoz6imGu14uk+RBOt1RbLB6wI3F5qs+OAVPzxXblk/1xz6b&#10;VpuX7LPqzqlStzdz9QiCcea/Y/jGj+hQRqadP5AJolcQH+GfGb10lYLY/aosC/mfvbwAAAD//wMA&#10;UEsBAi0AFAAGAAgAAAAhALaDOJL+AAAA4QEAABMAAAAAAAAAAAAAAAAAAAAAAFtDb250ZW50X1R5&#10;cGVzXS54bWxQSwECLQAUAAYACAAAACEAOP0h/9YAAACUAQAACwAAAAAAAAAAAAAAAAAvAQAAX3Jl&#10;bHMvLnJlbHNQSwECLQAUAAYACAAAACEAvgMF3qMCAACPBQAADgAAAAAAAAAAAAAAAAAuAgAAZHJz&#10;L2Uyb0RvYy54bWxQSwECLQAUAAYACAAAACEAqMwfHNkAAAADAQAADwAAAAAAAAAAAAAAAAD9BAAA&#10;ZHJzL2Rvd25yZXYueG1sUEsFBgAAAAAEAAQA8wAAAAMGAAAAAA==&#10;" fillcolor="#71c3b4" strokecolor="#375623 [1609]" strokeweight="1pt">
                      <v:stroke joinstyle="miter"/>
                      <w10:anchorlock/>
                    </v:shape>
                  </w:pict>
                </mc:Fallback>
              </mc:AlternateContent>
            </w:r>
          </w:p>
        </w:tc>
      </w:tr>
      <w:tr w:rsidR="00045149" w:rsidRPr="00CF689C" w14:paraId="2CA6F343" w14:textId="77777777" w:rsidTr="00D44236">
        <w:trPr>
          <w:trHeight w:val="283"/>
        </w:trPr>
        <w:tc>
          <w:tcPr>
            <w:tcW w:w="4250" w:type="dxa"/>
          </w:tcPr>
          <w:p w14:paraId="4986AEEE" w14:textId="77777777" w:rsidR="00CE12B8" w:rsidRPr="00CF689C" w:rsidRDefault="00804836" w:rsidP="00D44236">
            <w:pPr>
              <w:rPr>
                <w:rFonts w:ascii="Calibri" w:hAnsi="Calibri" w:cs="Calibri"/>
              </w:rPr>
            </w:pPr>
            <w:r w:rsidRPr="00CF689C">
              <w:rPr>
                <w:rFonts w:ascii="Calibri" w:hAnsi="Calibri" w:cs="Calibri"/>
              </w:rPr>
              <w:lastRenderedPageBreak/>
              <w:t>GA ČR nesledovala kvalitu dosahovaných výsledků za jednotlivé vědní obory ani souhrnně za</w:t>
            </w:r>
            <w:r w:rsidR="00F65633" w:rsidRPr="00CF689C">
              <w:rPr>
                <w:rFonts w:ascii="Calibri" w:hAnsi="Calibri" w:cs="Calibri"/>
              </w:rPr>
              <w:t> </w:t>
            </w:r>
            <w:r w:rsidRPr="00CF689C">
              <w:rPr>
                <w:rFonts w:ascii="Calibri" w:hAnsi="Calibri" w:cs="Calibri"/>
              </w:rPr>
              <w:t>poskytnutou podporu, a nemohla proto adekvátně vyhodnotit celkové dopady této podpory.</w:t>
            </w:r>
          </w:p>
        </w:tc>
        <w:tc>
          <w:tcPr>
            <w:tcW w:w="4250" w:type="dxa"/>
            <w:vAlign w:val="center"/>
          </w:tcPr>
          <w:p w14:paraId="4EF1CA1C" w14:textId="7A6C0D57" w:rsidR="00CE12B8" w:rsidRPr="00CF689C" w:rsidRDefault="00804836" w:rsidP="00D44236">
            <w:pPr>
              <w:rPr>
                <w:rFonts w:ascii="Calibri" w:hAnsi="Calibri" w:cs="Calibri"/>
              </w:rPr>
            </w:pPr>
            <w:r w:rsidRPr="00CF689C">
              <w:rPr>
                <w:rFonts w:ascii="Calibri" w:hAnsi="Calibri" w:cs="Calibri"/>
              </w:rPr>
              <w:t>Nedostatek odstraněn. GA ČR sled</w:t>
            </w:r>
            <w:r w:rsidR="005C45E0" w:rsidRPr="00CF689C">
              <w:rPr>
                <w:rFonts w:ascii="Calibri" w:hAnsi="Calibri" w:cs="Calibri"/>
              </w:rPr>
              <w:t>oval</w:t>
            </w:r>
            <w:r w:rsidR="0079102B" w:rsidRPr="00CF689C">
              <w:rPr>
                <w:rFonts w:ascii="Calibri" w:hAnsi="Calibri" w:cs="Calibri"/>
              </w:rPr>
              <w:t>a</w:t>
            </w:r>
            <w:r w:rsidRPr="00CF689C">
              <w:rPr>
                <w:rFonts w:ascii="Calibri" w:hAnsi="Calibri" w:cs="Calibri"/>
              </w:rPr>
              <w:t xml:space="preserve"> a</w:t>
            </w:r>
            <w:r w:rsidR="00F65633" w:rsidRPr="00CF689C">
              <w:rPr>
                <w:rFonts w:ascii="Calibri" w:hAnsi="Calibri" w:cs="Calibri"/>
              </w:rPr>
              <w:t> </w:t>
            </w:r>
            <w:r w:rsidRPr="00CF689C">
              <w:rPr>
                <w:rFonts w:ascii="Calibri" w:hAnsi="Calibri" w:cs="Calibri"/>
              </w:rPr>
              <w:t>vyhodnoc</w:t>
            </w:r>
            <w:r w:rsidR="005C45E0" w:rsidRPr="00CF689C">
              <w:rPr>
                <w:rFonts w:ascii="Calibri" w:hAnsi="Calibri" w:cs="Calibri"/>
              </w:rPr>
              <w:t>oval</w:t>
            </w:r>
            <w:r w:rsidR="0079102B" w:rsidRPr="00CF689C">
              <w:rPr>
                <w:rFonts w:ascii="Calibri" w:hAnsi="Calibri" w:cs="Calibri"/>
              </w:rPr>
              <w:t>a</w:t>
            </w:r>
            <w:r w:rsidRPr="00CF689C">
              <w:rPr>
                <w:rFonts w:ascii="Calibri" w:hAnsi="Calibri" w:cs="Calibri"/>
              </w:rPr>
              <w:t xml:space="preserve"> kvalitu výsledků za jednotlivé vědní obory i souhrnně za všechny podpořené projekty. </w:t>
            </w:r>
          </w:p>
        </w:tc>
        <w:tc>
          <w:tcPr>
            <w:tcW w:w="562" w:type="dxa"/>
            <w:vAlign w:val="center"/>
          </w:tcPr>
          <w:p w14:paraId="2CE3725C" w14:textId="44C2331C" w:rsidR="00CE12B8" w:rsidRPr="00CF689C" w:rsidRDefault="00045149" w:rsidP="00D44236">
            <w:pPr>
              <w:rPr>
                <w:rFonts w:ascii="Calibri" w:hAnsi="Calibri" w:cs="Calibri"/>
                <w:b/>
              </w:rPr>
            </w:pPr>
            <w:r w:rsidRPr="00CF689C">
              <w:rPr>
                <w:rFonts w:ascii="Calibri" w:hAnsi="Calibri" w:cs="Calibri"/>
                <w:b/>
                <w:noProof/>
              </w:rPr>
              <mc:AlternateContent>
                <mc:Choice Requires="wps">
                  <w:drawing>
                    <wp:inline distT="0" distB="0" distL="0" distR="0" wp14:anchorId="692FA3DE" wp14:editId="63AE6EA9">
                      <wp:extent cx="288000" cy="288000"/>
                      <wp:effectExtent l="0" t="0" r="17145" b="17145"/>
                      <wp:docPr id="22" name="Vývojový diagram: spojnice 22"/>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71C3B4"/>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775E61" id="Vývojový diagram: spojnice 22" o:spid="_x0000_s1026" type="#_x0000_t12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3logIAAI8FAAAOAAAAZHJzL2Uyb0RvYy54bWysVEtv1DAQviPxHyzfaZJl+yBqtlq2KkKq&#10;2hUt9Ox17I0rx2Ns74v/1lP/GGMnm64KAglxcWYy728e5xfbVpO1cF6BqWhxlFMiDIdamWVFv95f&#10;vTujxAdmaqbBiIruhKcXk7dvzje2FCNoQNfCEXRifLmxFW1CsGWWed6IlvkjsMKgUIJrWUDWLbPa&#10;sQ16b3U2yvOTbAOutg648B7/XnZCOkn+pRQ83ErpRSC6ophbSK9L7yK+2eSclUvHbKN4nwb7hyxa&#10;pgwGHVxdssDIyqlfXLWKO/AgwxGHNgMpFRepBqymyF9Vc9cwK1ItCI63A0z+/7nlN+u5I6qu6GhE&#10;iWEt9ujb89MaHmH9/ERqxRCctiTewqPBXAmqIWYb60s0vbNz13MeyQjAVro2frE0sk047wacxTYQ&#10;jj9HZ2d5jt3gKOpp9JK9GFvnwycBLYlERaWGzaxhLszAGGwpuIQ1W1/70BnuDWJkD1rVV0rrxLjl&#10;YqYdWTMcgNNi9v7jOOaPsQ7UslhOV0Ciwk6LaKzNFyERnJhyipjGUgz+GOfChJNO1LBadGGOsbg0&#10;WTFKHORokWImh9GzxPQG38WffHfJ9vrRVKSpHozzvxsPFikymDAYt8r0WA55diXoUPQwyU4f0z+A&#10;JpILqHc4Og66nfKWXyns1jXzYc4cLhE2GA9DuMUnNrCi0FOUNOB+/O5/1MfZRiklG1zKivrvK+YE&#10;Jfqzwan/UIzHcYsTMz4+HSHjDiWLQ4lZtTPAthd4gixPZNQPek9KB+0D3o9pjIoiZjjGrigPbs/M&#10;Qncs8AJxMZ0mNdxcy8K1ubM8Oo+oxvm73z4wZ/uRDTjrN7BfYFa+mtVON1oamK4CSJUG+QXXHm/c&#10;+jQ4/YWKZ+WQT1ovd3TyEwAA//8DAFBLAwQUAAYACAAAACEAqMwfHNkAAAADAQAADwAAAGRycy9k&#10;b3ducmV2LnhtbEyPQUvDQBCF74L/YRnBm91YUgkxmxIKPQgiGBU8brPTbDA7G7LTJu2v76oHvcxj&#10;eMN73xTr2fXiiGPoPCm4XyQgkBpvOmoVvL9t7zIQgTUZ3XtCBScMsC6vrwqdGz/RKx5rbkUMoZBr&#10;BZZ5yKUMjUWnw8IPSNHb+9FpjuvYSjPqKYa7Xi6T5EE63VFssHrAjcXmqz44BU/PFduWT/XHPptW&#10;m5fss+rOqVK3N3P1CIJx5r9j+MaP6FBGpp0/kAmiVxAf4Z8ZvXSVgtj9qiwL+Z+9vAAAAP//AwBQ&#10;SwECLQAUAAYACAAAACEAtoM4kv4AAADhAQAAEwAAAAAAAAAAAAAAAAAAAAAAW0NvbnRlbnRfVHlw&#10;ZXNdLnhtbFBLAQItABQABgAIAAAAIQA4/SH/1gAAAJQBAAALAAAAAAAAAAAAAAAAAC8BAABfcmVs&#10;cy8ucmVsc1BLAQItABQABgAIAAAAIQBjX53logIAAI8FAAAOAAAAAAAAAAAAAAAAAC4CAABkcnMv&#10;ZTJvRG9jLnhtbFBLAQItABQABgAIAAAAIQCozB8c2QAAAAMBAAAPAAAAAAAAAAAAAAAAAPwEAABk&#10;cnMvZG93bnJldi54bWxQSwUGAAAAAAQABADzAAAAAgYAAAAA&#10;" fillcolor="#71c3b4" strokecolor="#375623 [1609]" strokeweight="1pt">
                      <v:stroke joinstyle="miter"/>
                      <w10:anchorlock/>
                    </v:shape>
                  </w:pict>
                </mc:Fallback>
              </mc:AlternateContent>
            </w:r>
          </w:p>
        </w:tc>
      </w:tr>
      <w:tr w:rsidR="00045149" w:rsidRPr="00CF689C" w14:paraId="60E82A6E" w14:textId="77777777" w:rsidTr="00D44236">
        <w:trPr>
          <w:trHeight w:val="283"/>
        </w:trPr>
        <w:tc>
          <w:tcPr>
            <w:tcW w:w="4250" w:type="dxa"/>
          </w:tcPr>
          <w:p w14:paraId="1BCF21E4" w14:textId="77777777" w:rsidR="00804836" w:rsidRPr="00CF689C" w:rsidRDefault="00804836" w:rsidP="00D44236">
            <w:pPr>
              <w:rPr>
                <w:rFonts w:ascii="Calibri" w:hAnsi="Calibri" w:cs="Calibri"/>
                <w:b/>
              </w:rPr>
            </w:pPr>
            <w:r w:rsidRPr="00CF689C">
              <w:rPr>
                <w:rFonts w:ascii="Calibri" w:hAnsi="Calibri" w:cs="Calibri"/>
              </w:rPr>
              <w:t>Hodnoticí kritéria uvedená v zadávacích dokumentacích nebyla zcela totožná s kritérii, která hodnotili posuzovatelé v hodnoticích protokolech.</w:t>
            </w:r>
          </w:p>
        </w:tc>
        <w:tc>
          <w:tcPr>
            <w:tcW w:w="4250" w:type="dxa"/>
            <w:vAlign w:val="center"/>
          </w:tcPr>
          <w:p w14:paraId="7453E56B" w14:textId="4FCD57F9" w:rsidR="00804836" w:rsidRPr="00CF689C" w:rsidRDefault="00804836" w:rsidP="00D44236">
            <w:pPr>
              <w:rPr>
                <w:rFonts w:ascii="Calibri" w:hAnsi="Calibri" w:cs="Calibri"/>
                <w:b/>
              </w:rPr>
            </w:pPr>
            <w:r w:rsidRPr="00CF689C">
              <w:rPr>
                <w:rFonts w:ascii="Calibri" w:hAnsi="Calibri" w:cs="Calibri"/>
              </w:rPr>
              <w:t>Nedostatek odstraněn. GA ČR sjednotila hodnoticí kritéria uvedená v zadávacích dokumentací</w:t>
            </w:r>
            <w:r w:rsidR="00FB133E">
              <w:rPr>
                <w:rFonts w:ascii="Calibri" w:hAnsi="Calibri" w:cs="Calibri"/>
              </w:rPr>
              <w:t>ch</w:t>
            </w:r>
            <w:r w:rsidRPr="00CF689C">
              <w:rPr>
                <w:rFonts w:ascii="Calibri" w:hAnsi="Calibri" w:cs="Calibri"/>
              </w:rPr>
              <w:t xml:space="preserve"> a</w:t>
            </w:r>
            <w:r w:rsidR="00F65633" w:rsidRPr="00CF689C">
              <w:rPr>
                <w:rFonts w:ascii="Calibri" w:hAnsi="Calibri" w:cs="Calibri"/>
              </w:rPr>
              <w:t> </w:t>
            </w:r>
            <w:r w:rsidRPr="00CF689C">
              <w:rPr>
                <w:rFonts w:ascii="Calibri" w:hAnsi="Calibri" w:cs="Calibri"/>
              </w:rPr>
              <w:t xml:space="preserve">hodnoticích </w:t>
            </w:r>
            <w:r w:rsidR="00891928" w:rsidRPr="00CF689C">
              <w:rPr>
                <w:rFonts w:ascii="Calibri" w:hAnsi="Calibri" w:cs="Calibri"/>
              </w:rPr>
              <w:t xml:space="preserve">protokolech. </w:t>
            </w:r>
          </w:p>
        </w:tc>
        <w:tc>
          <w:tcPr>
            <w:tcW w:w="562" w:type="dxa"/>
            <w:vAlign w:val="center"/>
          </w:tcPr>
          <w:p w14:paraId="51951F8C" w14:textId="3A1258B9" w:rsidR="00804836" w:rsidRPr="00CF689C" w:rsidRDefault="00045149" w:rsidP="00D44236">
            <w:pPr>
              <w:rPr>
                <w:rFonts w:ascii="Calibri" w:hAnsi="Calibri" w:cs="Calibri"/>
                <w:b/>
              </w:rPr>
            </w:pPr>
            <w:r w:rsidRPr="00CF689C">
              <w:rPr>
                <w:rFonts w:ascii="Calibri" w:hAnsi="Calibri" w:cs="Calibri"/>
                <w:b/>
                <w:noProof/>
              </w:rPr>
              <mc:AlternateContent>
                <mc:Choice Requires="wps">
                  <w:drawing>
                    <wp:inline distT="0" distB="0" distL="0" distR="0" wp14:anchorId="6CE28D11" wp14:editId="4A4AB98A">
                      <wp:extent cx="288000" cy="288000"/>
                      <wp:effectExtent l="0" t="0" r="17145" b="17145"/>
                      <wp:docPr id="20" name="Vývojový diagram: spojnice 20"/>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71C3B4"/>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4344BD" id="Vývojový diagram: spojnice 20" o:spid="_x0000_s1026" type="#_x0000_t12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2SogIAAI8FAAAOAAAAZHJzL2Uyb0RvYy54bWysVNtu1DAQfUfiHyy/0yTL9kLUbLVsVYRU&#10;tSta6LPXsTeuHI+xvTf+rU/9McZONl0VBBLixRln7sdn5vxi22qyFs4rMBUtjnJKhOFQK7Os6Nf7&#10;q3dnlPjATM00GFHRnfD0YvL2zfnGlmIEDehaOIJBjC83tqJNCLbMMs8b0TJ/BFYYVEpwLQt4dcus&#10;dmyD0VudjfL8JNuAq60DLrzHv5edkk5SfCkFD7dSehGIrijWFtLp0rmIZzY5Z+XSMdso3pfB/qGK&#10;limDSYdQlywwsnLql1Ct4g48yHDEoc1ASsVF6gG7KfJX3dw1zIrUC4Lj7QCT/39h+c167oiqKzpC&#10;eAxr8Y2+PT+t4RHWz0+kVgzBaUviLTwarJWgGWK2sb5E1zs7d/3NoxgB2ErXxi+2RrYJ592As9gG&#10;wvHn6OwszzEdR1UvY5Tsxdk6Hz4JaEkUKio1bGYNc2EGxuCTgktYs/W1D53j3iFm9qBVfaW0The3&#10;XMy0I2uGBDgtZu8/jmP9mOvALIvtdA0kKey0iM7afBESwYklp4yJlmKIxzgXJpx0qobVoktzjM0l&#10;lGKWSOTokXKmgDGyxPKG2MWfYnfF9vbRVSRWD875350Hj5QZTBicW2V6LIc6uxZ0KHqYZGeP5R9A&#10;E8UF1DukjoNuprzlVwpf65r5MGcOhwgfGBdDuMUjPmBFoZcoacD9+N3/aI/cRi0lGxzKivrvK+YE&#10;JfqzQdZ/KMbjOMXpMj4+jZx1h5rFocas2hngsxe4gixPYrQPei9KB+0D7o9pzIoqZjjmrigPbn+Z&#10;hW5Z4AbiYjpNZji5loVrc2d5DB5Rjfy73z4wZ3vKBuT6DewHmJWvuNrZRk8D01UAqRKRX3Dt8cap&#10;T8TpN1RcK4f3ZPWyRyc/AQAA//8DAFBLAwQUAAYACAAAACEAqMwfHNkAAAADAQAADwAAAGRycy9k&#10;b3ducmV2LnhtbEyPQUvDQBCF74L/YRnBm91YUgkxmxIKPQgiGBU8brPTbDA7G7LTJu2v76oHvcxj&#10;eMN73xTr2fXiiGPoPCm4XyQgkBpvOmoVvL9t7zIQgTUZ3XtCBScMsC6vrwqdGz/RKx5rbkUMoZBr&#10;BZZ5yKUMjUWnw8IPSNHb+9FpjuvYSjPqKYa7Xi6T5EE63VFssHrAjcXmqz44BU/PFduWT/XHPptW&#10;m5fss+rOqVK3N3P1CIJx5r9j+MaP6FBGpp0/kAmiVxAf4Z8ZvXSVgtj9qiwL+Z+9vAAAAP//AwBQ&#10;SwECLQAUAAYACAAAACEAtoM4kv4AAADhAQAAEwAAAAAAAAAAAAAAAAAAAAAAW0NvbnRlbnRfVHlw&#10;ZXNdLnhtbFBLAQItABQABgAIAAAAIQA4/SH/1gAAAJQBAAALAAAAAAAAAAAAAAAAAC8BAABfcmVs&#10;cy8ucmVsc1BLAQItABQABgAIAAAAIQDZ5q2SogIAAI8FAAAOAAAAAAAAAAAAAAAAAC4CAABkcnMv&#10;ZTJvRG9jLnhtbFBLAQItABQABgAIAAAAIQCozB8c2QAAAAMBAAAPAAAAAAAAAAAAAAAAAPwEAABk&#10;cnMvZG93bnJldi54bWxQSwUGAAAAAAQABADzAAAAAgYAAAAA&#10;" fillcolor="#71c3b4" strokecolor="#375623 [1609]" strokeweight="1pt">
                      <v:stroke joinstyle="miter"/>
                      <w10:anchorlock/>
                    </v:shape>
                  </w:pict>
                </mc:Fallback>
              </mc:AlternateContent>
            </w:r>
          </w:p>
        </w:tc>
      </w:tr>
      <w:tr w:rsidR="00045149" w:rsidRPr="00CF689C" w14:paraId="304AFF16" w14:textId="77777777" w:rsidTr="00D44236">
        <w:trPr>
          <w:trHeight w:val="283"/>
        </w:trPr>
        <w:tc>
          <w:tcPr>
            <w:tcW w:w="4250" w:type="dxa"/>
          </w:tcPr>
          <w:p w14:paraId="45B09F5E" w14:textId="77777777" w:rsidR="00804836" w:rsidRPr="00CF689C" w:rsidRDefault="00891928" w:rsidP="00D44236">
            <w:pPr>
              <w:rPr>
                <w:rFonts w:ascii="Calibri" w:hAnsi="Calibri" w:cs="Calibri"/>
                <w:b/>
              </w:rPr>
            </w:pPr>
            <w:r w:rsidRPr="00CF689C">
              <w:rPr>
                <w:rFonts w:ascii="Calibri" w:hAnsi="Calibri" w:cs="Calibri"/>
              </w:rPr>
              <w:t>GA ČR vyplácela podporu na druhý a další roky řešení projektů vždy až po uzavření dodatku ke</w:t>
            </w:r>
            <w:r w:rsidR="00F65633" w:rsidRPr="00CF689C">
              <w:rPr>
                <w:rFonts w:ascii="Calibri" w:hAnsi="Calibri" w:cs="Calibri"/>
              </w:rPr>
              <w:t> </w:t>
            </w:r>
            <w:r w:rsidRPr="00CF689C">
              <w:rPr>
                <w:rFonts w:ascii="Calibri" w:hAnsi="Calibri" w:cs="Calibri"/>
              </w:rPr>
              <w:t>smlouvě o poskytnutí podpory na daný rok, což bylo administrativně náročné. Těmito dodatky přitom nebyly ve většině případů měněny již sjednané podmínky.</w:t>
            </w:r>
          </w:p>
        </w:tc>
        <w:tc>
          <w:tcPr>
            <w:tcW w:w="4250" w:type="dxa"/>
            <w:vAlign w:val="center"/>
          </w:tcPr>
          <w:p w14:paraId="23DEB816" w14:textId="77777777" w:rsidR="00804836" w:rsidRPr="00CF689C" w:rsidRDefault="00804836" w:rsidP="00D44236">
            <w:pPr>
              <w:rPr>
                <w:rFonts w:ascii="Calibri" w:hAnsi="Calibri" w:cs="Calibri"/>
                <w:b/>
              </w:rPr>
            </w:pPr>
            <w:r w:rsidRPr="00CF689C">
              <w:rPr>
                <w:rFonts w:ascii="Calibri" w:hAnsi="Calibri" w:cs="Calibri"/>
              </w:rPr>
              <w:t>Nedostatek odstraněn.</w:t>
            </w:r>
            <w:r w:rsidR="00891928" w:rsidRPr="00CF689C">
              <w:rPr>
                <w:rFonts w:ascii="Calibri" w:hAnsi="Calibri" w:cs="Calibri"/>
              </w:rPr>
              <w:t xml:space="preserve"> Uzavřené smlouvy s příjemci podpory obsah</w:t>
            </w:r>
            <w:r w:rsidR="005C45E0" w:rsidRPr="00CF689C">
              <w:rPr>
                <w:rFonts w:ascii="Calibri" w:hAnsi="Calibri" w:cs="Calibri"/>
              </w:rPr>
              <w:t>ovaly</w:t>
            </w:r>
            <w:r w:rsidR="00891928" w:rsidRPr="00CF689C">
              <w:rPr>
                <w:rFonts w:ascii="Calibri" w:hAnsi="Calibri" w:cs="Calibri"/>
              </w:rPr>
              <w:t xml:space="preserve"> rozpis peněžních prostředků na všechny roky řešení projektu. GA ČR vyhotov</w:t>
            </w:r>
            <w:r w:rsidR="005C45E0" w:rsidRPr="00CF689C">
              <w:rPr>
                <w:rFonts w:ascii="Calibri" w:hAnsi="Calibri" w:cs="Calibri"/>
              </w:rPr>
              <w:t>oval</w:t>
            </w:r>
            <w:r w:rsidR="00891928" w:rsidRPr="00CF689C">
              <w:rPr>
                <w:rFonts w:ascii="Calibri" w:hAnsi="Calibri" w:cs="Calibri"/>
              </w:rPr>
              <w:t xml:space="preserve"> </w:t>
            </w:r>
            <w:r w:rsidR="009F047B" w:rsidRPr="00CF689C">
              <w:rPr>
                <w:rFonts w:ascii="Calibri" w:hAnsi="Calibri" w:cs="Calibri"/>
              </w:rPr>
              <w:t xml:space="preserve">dodatky ke smlouvě </w:t>
            </w:r>
            <w:r w:rsidR="00891928" w:rsidRPr="00CF689C">
              <w:rPr>
                <w:rFonts w:ascii="Calibri" w:hAnsi="Calibri" w:cs="Calibri"/>
              </w:rPr>
              <w:t xml:space="preserve">již jen v případě podstatné změny v řešení projektu. </w:t>
            </w:r>
          </w:p>
        </w:tc>
        <w:tc>
          <w:tcPr>
            <w:tcW w:w="562" w:type="dxa"/>
            <w:vAlign w:val="center"/>
          </w:tcPr>
          <w:p w14:paraId="3248DCCA" w14:textId="772EA82D" w:rsidR="00804836" w:rsidRPr="00CF689C" w:rsidRDefault="00045149" w:rsidP="00D44236">
            <w:pPr>
              <w:rPr>
                <w:rFonts w:ascii="Calibri" w:hAnsi="Calibri" w:cs="Calibri"/>
                <w:b/>
              </w:rPr>
            </w:pPr>
            <w:r w:rsidRPr="00CF689C">
              <w:rPr>
                <w:rFonts w:ascii="Calibri" w:hAnsi="Calibri" w:cs="Calibri"/>
                <w:b/>
                <w:noProof/>
              </w:rPr>
              <mc:AlternateContent>
                <mc:Choice Requires="wps">
                  <w:drawing>
                    <wp:inline distT="0" distB="0" distL="0" distR="0" wp14:anchorId="53F6C859" wp14:editId="3D70DDDE">
                      <wp:extent cx="288000" cy="288000"/>
                      <wp:effectExtent l="0" t="0" r="17145" b="17145"/>
                      <wp:docPr id="21" name="Vývojový diagram: spojnice 21"/>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rgbClr val="71C3B4"/>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C8EAE4" id="Vývojový diagram: spojnice 21" o:spid="_x0000_s1026" type="#_x0000_t12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WppAIAAI8FAAAOAAAAZHJzL2Uyb0RvYy54bWysVM1u2zAMvg/YOwi6r3ay9GdGnSJL0WFA&#10;0QZrt54VWYpVyKImKXGyd+upLzZKdtygGzZg2EUmzX/yI88vto0mG+G8AlPS0VFOiTAcKmVWJf16&#10;f/XujBIfmKmYBiNKuhOeXkzfvjlvbSHGUIOuhCPoxPiitSWtQ7BFlnlei4b5I7DCoFCCa1hA1q2y&#10;yrEWvTc6G+f5SdaCq6wDLrzHv5edkE6TfykFD7dSehGILinmFtLr0ruMbzY9Z8XKMVsr3qfB/iGL&#10;himDQQdXlywwsnbqF1eN4g48yHDEoclASsVFqgGrGeWvqrmrmRWpFmyOt0Ob/P9zy282C0dUVdLx&#10;iBLDGpzRt+enDTzC5vmJVIphc5qCeAuPBnMlqIY9a60v0PTOLlzPeSRjA7bSNfGLpZFt6vNu6LPY&#10;BsLx5/jsLM9xGhxFPY1eshdj63z4JKAhkSip1NDOa+bCHIzBkYJLvWabax86w71BjOxBq+pKaZ0Y&#10;t1rOtSMbhgA4Hc3ff5zE/DHWgVoWy+kKSFTYaRGNtfkiJDYnppwiJliKwR/jXJhw0olqVokuzDEW&#10;l5AVo0QgR4sUMzmMniWmN/ge/cl3l2yvH01FQvVgnP/deLBIkcGEwbhRpu/lkGdXgg5pzFiA7PQx&#10;/YPWRHIJ1Q6h46DbKW/5lcJpXTMfFszhEuGA8TCEW3ziAEsKPUVJDe7H7/5HfcQ2SilpcSlL6r+v&#10;mROU6M8GUf9hNJnELU7M5Ph0jIw7lCwPJWbdzAHHjsDG7BIZ9YPek9JB84D3YxajoogZjrFLyoPb&#10;M/PQHQu8QFzMZkkNN9eycG3uLI/OY1cj/u63D8zZHrIBsX4D+wVmxSusdrrR0sBsHUCqBOSXvvb9&#10;xq1PwOkvVDwrh3zSermj058AAAD//wMAUEsDBBQABgAIAAAAIQCozB8c2QAAAAMBAAAPAAAAZHJz&#10;L2Rvd25yZXYueG1sTI9BS8NAEIXvgv9hGcGb3VhSCTGbEgo9CCIYFTxus9NsMDsbstMm7a/vqge9&#10;zGN4w3vfFOvZ9eKIY+g8KbhfJCCQGm86ahW8v23vMhCBNRnde0IFJwywLq+vCp0bP9ErHmtuRQyh&#10;kGsFlnnIpQyNRafDwg9I0dv70WmO69hKM+ophrteLpPkQTrdUWywesCNxearPjgFT88V25ZP9cc+&#10;m1abl+yz6s6pUrc3c/UIgnHmv2P4xo/oUEamnT+QCaJXEB/hnxm9dJWC2P2qLAv5n728AAAA//8D&#10;AFBLAQItABQABgAIAAAAIQC2gziS/gAAAOEBAAATAAAAAAAAAAAAAAAAAAAAAABbQ29udGVudF9U&#10;eXBlc10ueG1sUEsBAi0AFAAGAAgAAAAhADj9If/WAAAAlAEAAAsAAAAAAAAAAAAAAAAALwEAAF9y&#10;ZWxzLy5yZWxzUEsBAi0AFAAGAAgAAAAhAAS6NamkAgAAjwUAAA4AAAAAAAAAAAAAAAAALgIAAGRy&#10;cy9lMm9Eb2MueG1sUEsBAi0AFAAGAAgAAAAhAKjMHxzZAAAAAwEAAA8AAAAAAAAAAAAAAAAA/gQA&#10;AGRycy9kb3ducmV2LnhtbFBLBQYAAAAABAAEAPMAAAAEBgAAAAA=&#10;" fillcolor="#71c3b4" strokecolor="#375623 [1609]" strokeweight="1pt">
                      <v:stroke joinstyle="miter"/>
                      <w10:anchorlock/>
                    </v:shape>
                  </w:pict>
                </mc:Fallback>
              </mc:AlternateContent>
            </w:r>
          </w:p>
        </w:tc>
      </w:tr>
    </w:tbl>
    <w:p w14:paraId="4828B054" w14:textId="552CF380" w:rsidR="0047475C" w:rsidRPr="009460FA" w:rsidRDefault="0047475C" w:rsidP="00A21AF4">
      <w:pPr>
        <w:spacing w:before="40" w:after="120" w:line="240" w:lineRule="auto"/>
        <w:rPr>
          <w:rFonts w:cstheme="minorHAnsi"/>
          <w:sz w:val="24"/>
          <w:szCs w:val="24"/>
        </w:rPr>
      </w:pPr>
      <w:r w:rsidRPr="009460FA">
        <w:rPr>
          <w:rFonts w:cstheme="minorHAnsi"/>
          <w:b/>
          <w:sz w:val="20"/>
        </w:rPr>
        <w:t xml:space="preserve">Zdroj: </w:t>
      </w:r>
      <w:r w:rsidRPr="009460FA">
        <w:rPr>
          <w:rFonts w:cstheme="minorHAnsi"/>
          <w:sz w:val="20"/>
        </w:rPr>
        <w:t>KZ z kontrolní akce č. 15/27 a KZ z kontrolní akce č. 16/19</w:t>
      </w:r>
      <w:r w:rsidR="00B54D63">
        <w:rPr>
          <w:rFonts w:cstheme="minorHAnsi"/>
          <w:sz w:val="20"/>
        </w:rPr>
        <w:t>;</w:t>
      </w:r>
      <w:r w:rsidRPr="009460FA">
        <w:rPr>
          <w:rFonts w:cstheme="minorHAnsi"/>
          <w:sz w:val="20"/>
        </w:rPr>
        <w:t xml:space="preserve"> </w:t>
      </w:r>
      <w:r w:rsidR="00B54D63">
        <w:rPr>
          <w:rFonts w:cstheme="minorHAnsi"/>
          <w:sz w:val="20"/>
        </w:rPr>
        <w:t>vypracoval</w:t>
      </w:r>
      <w:r w:rsidR="00BF3506" w:rsidRPr="009460FA">
        <w:rPr>
          <w:rFonts w:cstheme="minorHAnsi"/>
          <w:sz w:val="20"/>
        </w:rPr>
        <w:t xml:space="preserve"> </w:t>
      </w:r>
      <w:r w:rsidRPr="009460FA">
        <w:rPr>
          <w:rFonts w:cstheme="minorHAnsi"/>
          <w:sz w:val="20"/>
        </w:rPr>
        <w:t xml:space="preserve">NKÚ.  </w:t>
      </w:r>
    </w:p>
    <w:p w14:paraId="1BCE7EEC" w14:textId="05980379" w:rsidR="00B672B9" w:rsidRPr="00D6404E" w:rsidRDefault="00250D2B" w:rsidP="00CF689C">
      <w:pPr>
        <w:spacing w:before="240" w:after="120" w:line="240" w:lineRule="auto"/>
        <w:jc w:val="both"/>
        <w:rPr>
          <w:b/>
          <w:sz w:val="24"/>
          <w:szCs w:val="24"/>
        </w:rPr>
      </w:pPr>
      <w:r>
        <w:rPr>
          <w:rFonts w:cstheme="minorHAnsi"/>
          <w:b/>
          <w:sz w:val="24"/>
          <w:szCs w:val="24"/>
        </w:rPr>
        <w:t xml:space="preserve">4.50 </w:t>
      </w:r>
      <w:r w:rsidR="0035635A" w:rsidRPr="009460FA">
        <w:rPr>
          <w:rFonts w:cstheme="minorHAnsi"/>
          <w:b/>
          <w:sz w:val="24"/>
          <w:szCs w:val="24"/>
        </w:rPr>
        <w:t xml:space="preserve">NKÚ shrnuje a vyhodnocuje, </w:t>
      </w:r>
      <w:r w:rsidR="0035635A" w:rsidRPr="009460FA">
        <w:rPr>
          <w:rFonts w:cstheme="minorHAnsi"/>
          <w:sz w:val="24"/>
          <w:szCs w:val="24"/>
        </w:rPr>
        <w:t>že TA ČR i GA ČR opatření k odstranění nedostatků v rámci transparentnosti výběru projektů a poskytování podpory splnily</w:t>
      </w:r>
      <w:r w:rsidR="00B672B9">
        <w:rPr>
          <w:rFonts w:cstheme="minorHAnsi"/>
          <w:sz w:val="24"/>
          <w:szCs w:val="24"/>
        </w:rPr>
        <w:t xml:space="preserve">. </w:t>
      </w:r>
      <w:r w:rsidR="00B672B9" w:rsidRPr="00D6404E">
        <w:rPr>
          <w:sz w:val="24"/>
          <w:szCs w:val="24"/>
        </w:rPr>
        <w:t xml:space="preserve">Naopak nedostatky v oblasti </w:t>
      </w:r>
      <w:r w:rsidR="004E5499">
        <w:rPr>
          <w:sz w:val="24"/>
          <w:szCs w:val="24"/>
        </w:rPr>
        <w:t xml:space="preserve">cílené </w:t>
      </w:r>
      <w:r w:rsidR="00B672B9" w:rsidRPr="00D6404E">
        <w:rPr>
          <w:sz w:val="24"/>
          <w:szCs w:val="24"/>
        </w:rPr>
        <w:t xml:space="preserve">podpory </w:t>
      </w:r>
      <w:r w:rsidR="00B672B9" w:rsidRPr="004F5011">
        <w:rPr>
          <w:sz w:val="24"/>
          <w:szCs w:val="24"/>
        </w:rPr>
        <w:t>orientovaného základního výzkumu a propojení základního výzkumu s dalšími fázemi inovačního procesu se dosud odstranit nepodařilo.</w:t>
      </w:r>
      <w:r w:rsidR="00310EAA" w:rsidRPr="004F5011">
        <w:rPr>
          <w:sz w:val="24"/>
          <w:szCs w:val="24"/>
        </w:rPr>
        <w:t xml:space="preserve"> Chybějící vazba základního výzkumu na</w:t>
      </w:r>
      <w:r w:rsidR="00B54D63">
        <w:rPr>
          <w:sz w:val="24"/>
          <w:szCs w:val="24"/>
        </w:rPr>
        <w:t xml:space="preserve"> </w:t>
      </w:r>
      <w:r w:rsidR="00310EAA" w:rsidRPr="004F5011">
        <w:rPr>
          <w:sz w:val="24"/>
          <w:szCs w:val="24"/>
        </w:rPr>
        <w:t xml:space="preserve">další fáze inovačního procesu byla odstraněna formálně podepsáním </w:t>
      </w:r>
      <w:r w:rsidR="00B54D63">
        <w:rPr>
          <w:sz w:val="24"/>
          <w:szCs w:val="24"/>
        </w:rPr>
        <w:t>m</w:t>
      </w:r>
      <w:r w:rsidR="00310EAA" w:rsidRPr="004F5011">
        <w:rPr>
          <w:sz w:val="24"/>
          <w:szCs w:val="24"/>
        </w:rPr>
        <w:t>emoranda o</w:t>
      </w:r>
      <w:r w:rsidR="005C3DF7">
        <w:rPr>
          <w:sz w:val="24"/>
          <w:szCs w:val="24"/>
        </w:rPr>
        <w:t> </w:t>
      </w:r>
      <w:r w:rsidR="00310EAA" w:rsidRPr="004F5011">
        <w:rPr>
          <w:sz w:val="24"/>
          <w:szCs w:val="24"/>
        </w:rPr>
        <w:t xml:space="preserve">spolupráci. Na podporu orientovaného základního výzkumu nebylo v usnesení vlády nakonec žádné nápravné opatření. </w:t>
      </w:r>
    </w:p>
    <w:p w14:paraId="5C016F57" w14:textId="47FB8A2E" w:rsidR="008A65E9" w:rsidRPr="00301BB2" w:rsidRDefault="008A65E9" w:rsidP="0079102B">
      <w:pPr>
        <w:spacing w:after="0" w:line="240" w:lineRule="auto"/>
        <w:jc w:val="both"/>
        <w:rPr>
          <w:rFonts w:cstheme="minorHAnsi"/>
          <w:sz w:val="24"/>
          <w:szCs w:val="24"/>
        </w:rPr>
      </w:pPr>
      <w:r w:rsidRPr="0088190A">
        <w:rPr>
          <w:rFonts w:cstheme="minorHAnsi"/>
          <w:b/>
          <w:sz w:val="24"/>
          <w:szCs w:val="24"/>
        </w:rPr>
        <w:br w:type="page"/>
      </w:r>
    </w:p>
    <w:p w14:paraId="3E193ADE" w14:textId="77777777" w:rsidR="00F470A1" w:rsidRPr="0088190A" w:rsidRDefault="00F470A1" w:rsidP="00F470A1">
      <w:pPr>
        <w:keepNext/>
        <w:spacing w:after="120"/>
        <w:rPr>
          <w:rFonts w:cstheme="minorHAnsi"/>
          <w:sz w:val="24"/>
          <w:szCs w:val="24"/>
        </w:rPr>
      </w:pPr>
      <w:r w:rsidRPr="0088190A">
        <w:rPr>
          <w:rFonts w:cstheme="minorHAnsi"/>
          <w:b/>
          <w:sz w:val="24"/>
          <w:szCs w:val="24"/>
        </w:rPr>
        <w:lastRenderedPageBreak/>
        <w:t>Seznam zkratek</w:t>
      </w:r>
    </w:p>
    <w:p w14:paraId="609E35CB" w14:textId="5DFEE372" w:rsidR="00BB4913" w:rsidRDefault="00BB4913" w:rsidP="00CF689C">
      <w:pPr>
        <w:spacing w:after="120" w:line="240" w:lineRule="auto"/>
        <w:ind w:left="1843" w:hanging="1843"/>
        <w:jc w:val="both"/>
        <w:rPr>
          <w:rFonts w:cstheme="minorHAnsi"/>
          <w:sz w:val="24"/>
          <w:szCs w:val="24"/>
        </w:rPr>
      </w:pPr>
      <w:r w:rsidRPr="0088190A">
        <w:rPr>
          <w:rFonts w:cstheme="minorHAnsi"/>
          <w:sz w:val="24"/>
          <w:szCs w:val="24"/>
        </w:rPr>
        <w:t>ČR</w:t>
      </w:r>
      <w:r w:rsidRPr="0088190A">
        <w:rPr>
          <w:rFonts w:cstheme="minorHAnsi"/>
          <w:sz w:val="24"/>
          <w:szCs w:val="24"/>
        </w:rPr>
        <w:tab/>
        <w:t>Česká republika</w:t>
      </w:r>
    </w:p>
    <w:p w14:paraId="1AE1D9CB" w14:textId="506D1858" w:rsidR="005C3DF7" w:rsidRPr="0088190A" w:rsidRDefault="005C3DF7" w:rsidP="00CF689C">
      <w:pPr>
        <w:spacing w:after="120" w:line="240" w:lineRule="auto"/>
        <w:ind w:left="1843" w:hanging="1843"/>
        <w:jc w:val="both"/>
        <w:rPr>
          <w:rFonts w:cstheme="minorHAnsi"/>
          <w:sz w:val="24"/>
          <w:szCs w:val="24"/>
        </w:rPr>
      </w:pPr>
      <w:r>
        <w:rPr>
          <w:rFonts w:cstheme="minorHAnsi"/>
          <w:sz w:val="24"/>
          <w:szCs w:val="24"/>
        </w:rPr>
        <w:t>EIS</w:t>
      </w:r>
      <w:r>
        <w:rPr>
          <w:rFonts w:cstheme="minorHAnsi"/>
          <w:sz w:val="24"/>
          <w:szCs w:val="24"/>
        </w:rPr>
        <w:tab/>
      </w:r>
      <w:r w:rsidR="00B54D63">
        <w:rPr>
          <w:rFonts w:cstheme="minorHAnsi"/>
          <w:sz w:val="24"/>
          <w:szCs w:val="24"/>
        </w:rPr>
        <w:t>e</w:t>
      </w:r>
      <w:r w:rsidRPr="0088190A">
        <w:rPr>
          <w:rFonts w:cstheme="minorHAnsi"/>
          <w:sz w:val="24"/>
          <w:szCs w:val="24"/>
        </w:rPr>
        <w:t xml:space="preserve">vropský srovnávací přehled inovací </w:t>
      </w:r>
      <w:r w:rsidR="00B54D63">
        <w:rPr>
          <w:rFonts w:cstheme="minorHAnsi"/>
          <w:sz w:val="24"/>
          <w:szCs w:val="24"/>
        </w:rPr>
        <w:t>(</w:t>
      </w:r>
      <w:proofErr w:type="spellStart"/>
      <w:r w:rsidR="00B54D63" w:rsidRPr="007925FA">
        <w:rPr>
          <w:rFonts w:cstheme="minorHAnsi"/>
          <w:i/>
          <w:iCs/>
          <w:sz w:val="24"/>
          <w:szCs w:val="24"/>
        </w:rPr>
        <w:t>European</w:t>
      </w:r>
      <w:proofErr w:type="spellEnd"/>
      <w:r w:rsidR="00B54D63" w:rsidRPr="007925FA">
        <w:rPr>
          <w:rFonts w:cstheme="minorHAnsi"/>
          <w:i/>
          <w:iCs/>
          <w:sz w:val="24"/>
          <w:szCs w:val="24"/>
        </w:rPr>
        <w:t xml:space="preserve"> Innovation </w:t>
      </w:r>
      <w:proofErr w:type="spellStart"/>
      <w:r w:rsidR="00B54D63" w:rsidRPr="007925FA">
        <w:rPr>
          <w:rFonts w:cstheme="minorHAnsi"/>
          <w:i/>
          <w:iCs/>
          <w:sz w:val="24"/>
          <w:szCs w:val="24"/>
        </w:rPr>
        <w:t>Scoreboard</w:t>
      </w:r>
      <w:proofErr w:type="spellEnd"/>
      <w:r w:rsidR="00B54D63">
        <w:rPr>
          <w:rFonts w:cstheme="minorHAnsi"/>
          <w:sz w:val="24"/>
          <w:szCs w:val="24"/>
        </w:rPr>
        <w:t>)</w:t>
      </w:r>
    </w:p>
    <w:p w14:paraId="30829EB7" w14:textId="552D4D6A" w:rsidR="00BB4913" w:rsidRPr="0088190A" w:rsidRDefault="00BB4913" w:rsidP="00CF689C">
      <w:pPr>
        <w:spacing w:after="120" w:line="240" w:lineRule="auto"/>
        <w:ind w:left="1843" w:hanging="1843"/>
        <w:jc w:val="both"/>
        <w:rPr>
          <w:rFonts w:cstheme="minorHAnsi"/>
          <w:color w:val="000000" w:themeColor="text1"/>
          <w:sz w:val="24"/>
          <w:szCs w:val="24"/>
        </w:rPr>
      </w:pPr>
      <w:r w:rsidRPr="0088190A">
        <w:rPr>
          <w:rFonts w:cstheme="minorHAnsi"/>
          <w:color w:val="000000" w:themeColor="text1"/>
          <w:sz w:val="24"/>
          <w:szCs w:val="24"/>
        </w:rPr>
        <w:t>EU</w:t>
      </w:r>
      <w:r w:rsidRPr="0088190A">
        <w:rPr>
          <w:rFonts w:cstheme="minorHAnsi"/>
          <w:color w:val="000000" w:themeColor="text1"/>
          <w:sz w:val="24"/>
          <w:szCs w:val="24"/>
        </w:rPr>
        <w:tab/>
        <w:t>Evropská unie</w:t>
      </w:r>
    </w:p>
    <w:p w14:paraId="1E0F9086" w14:textId="7D0DF250" w:rsidR="00BB4913" w:rsidRPr="0088190A" w:rsidRDefault="00BB4913" w:rsidP="00CF689C">
      <w:pPr>
        <w:ind w:left="1843" w:hanging="1843"/>
        <w:rPr>
          <w:rFonts w:cstheme="minorHAnsi"/>
          <w:sz w:val="24"/>
          <w:szCs w:val="24"/>
        </w:rPr>
      </w:pPr>
      <w:r w:rsidRPr="0088190A">
        <w:rPr>
          <w:rFonts w:cstheme="minorHAnsi"/>
          <w:sz w:val="24"/>
          <w:szCs w:val="24"/>
        </w:rPr>
        <w:t>EU27</w:t>
      </w:r>
      <w:r w:rsidRPr="0088190A">
        <w:rPr>
          <w:rFonts w:cstheme="minorHAnsi"/>
          <w:sz w:val="24"/>
          <w:szCs w:val="24"/>
        </w:rPr>
        <w:tab/>
        <w:t xml:space="preserve">27 členských států Evropské unie </w:t>
      </w:r>
    </w:p>
    <w:p w14:paraId="56282771" w14:textId="30BDBFD1" w:rsidR="00BB4913" w:rsidRPr="0088190A" w:rsidRDefault="00BB4913" w:rsidP="00CF689C">
      <w:pPr>
        <w:spacing w:after="120" w:line="240" w:lineRule="auto"/>
        <w:ind w:left="1843" w:hanging="1843"/>
        <w:jc w:val="both"/>
        <w:rPr>
          <w:rFonts w:cstheme="minorHAnsi"/>
          <w:sz w:val="24"/>
          <w:szCs w:val="24"/>
        </w:rPr>
      </w:pPr>
      <w:r w:rsidRPr="0088190A">
        <w:rPr>
          <w:rFonts w:cstheme="minorHAnsi"/>
          <w:sz w:val="24"/>
          <w:szCs w:val="24"/>
        </w:rPr>
        <w:t>GA ČR</w:t>
      </w:r>
      <w:r w:rsidRPr="0088190A">
        <w:rPr>
          <w:rFonts w:cstheme="minorHAnsi"/>
          <w:sz w:val="24"/>
          <w:szCs w:val="24"/>
        </w:rPr>
        <w:tab/>
        <w:t>Grantová agentura České republiky</w:t>
      </w:r>
    </w:p>
    <w:p w14:paraId="5D7DEDD2" w14:textId="7D2C79CE" w:rsidR="00BB4913" w:rsidRPr="0088190A" w:rsidRDefault="00BB4913" w:rsidP="00CF689C">
      <w:pPr>
        <w:ind w:left="1843" w:hanging="1843"/>
        <w:rPr>
          <w:rFonts w:cstheme="minorHAnsi"/>
          <w:sz w:val="24"/>
          <w:szCs w:val="24"/>
        </w:rPr>
      </w:pPr>
      <w:r w:rsidRPr="0088190A">
        <w:rPr>
          <w:rFonts w:cstheme="minorHAnsi"/>
          <w:sz w:val="24"/>
          <w:szCs w:val="24"/>
        </w:rPr>
        <w:t xml:space="preserve">IS </w:t>
      </w:r>
      <w:proofErr w:type="spellStart"/>
      <w:r w:rsidRPr="0088190A">
        <w:rPr>
          <w:rFonts w:cstheme="minorHAnsi"/>
          <w:sz w:val="24"/>
          <w:szCs w:val="24"/>
        </w:rPr>
        <w:t>VaVaI</w:t>
      </w:r>
      <w:proofErr w:type="spellEnd"/>
      <w:r w:rsidRPr="0088190A">
        <w:rPr>
          <w:rFonts w:cstheme="minorHAnsi"/>
          <w:sz w:val="24"/>
          <w:szCs w:val="24"/>
        </w:rPr>
        <w:tab/>
      </w:r>
      <w:r w:rsidR="00B54D63">
        <w:rPr>
          <w:rFonts w:cstheme="minorHAnsi"/>
          <w:sz w:val="24"/>
          <w:szCs w:val="24"/>
        </w:rPr>
        <w:t>i</w:t>
      </w:r>
      <w:r w:rsidRPr="0088190A">
        <w:rPr>
          <w:rFonts w:cstheme="minorHAnsi"/>
          <w:sz w:val="24"/>
          <w:szCs w:val="24"/>
        </w:rPr>
        <w:t>nformační systém výzkumu, vývoje a inovací</w:t>
      </w:r>
    </w:p>
    <w:p w14:paraId="43196DFA" w14:textId="62BFA330" w:rsidR="00BB4913" w:rsidRPr="0088190A" w:rsidRDefault="00BB4913" w:rsidP="00CF689C">
      <w:pPr>
        <w:ind w:left="1843" w:hanging="1843"/>
        <w:rPr>
          <w:rFonts w:cstheme="minorHAnsi"/>
          <w:sz w:val="24"/>
          <w:szCs w:val="24"/>
        </w:rPr>
      </w:pPr>
      <w:r>
        <w:rPr>
          <w:rFonts w:cstheme="minorHAnsi"/>
          <w:sz w:val="24"/>
          <w:szCs w:val="24"/>
        </w:rPr>
        <w:t>KA</w:t>
      </w:r>
      <w:r>
        <w:rPr>
          <w:rFonts w:cstheme="minorHAnsi"/>
          <w:sz w:val="24"/>
          <w:szCs w:val="24"/>
        </w:rPr>
        <w:tab/>
        <w:t xml:space="preserve">kontrolní akce </w:t>
      </w:r>
    </w:p>
    <w:p w14:paraId="419CDDBF" w14:textId="0FF9DF7D" w:rsidR="00BB4913" w:rsidRDefault="00BB4913" w:rsidP="00CF689C">
      <w:pPr>
        <w:ind w:left="1843" w:hanging="1843"/>
        <w:rPr>
          <w:rFonts w:cstheme="minorHAnsi"/>
          <w:sz w:val="24"/>
          <w:szCs w:val="24"/>
        </w:rPr>
      </w:pPr>
      <w:r>
        <w:rPr>
          <w:rFonts w:cstheme="minorHAnsi"/>
          <w:sz w:val="24"/>
          <w:szCs w:val="24"/>
        </w:rPr>
        <w:t>KZ</w:t>
      </w:r>
      <w:r>
        <w:rPr>
          <w:rFonts w:cstheme="minorHAnsi"/>
          <w:sz w:val="24"/>
          <w:szCs w:val="24"/>
        </w:rPr>
        <w:tab/>
        <w:t>kontrolní závěr</w:t>
      </w:r>
    </w:p>
    <w:p w14:paraId="39F3BEA1" w14:textId="068A1A16" w:rsidR="00BB4913" w:rsidRPr="0088190A" w:rsidRDefault="00BB4913" w:rsidP="00CF689C">
      <w:pPr>
        <w:spacing w:after="120" w:line="240" w:lineRule="auto"/>
        <w:ind w:left="1843" w:hanging="1843"/>
        <w:jc w:val="both"/>
        <w:rPr>
          <w:rFonts w:cstheme="minorHAnsi"/>
          <w:sz w:val="24"/>
          <w:szCs w:val="24"/>
        </w:rPr>
      </w:pPr>
      <w:r w:rsidRPr="0088190A">
        <w:rPr>
          <w:rFonts w:cstheme="minorHAnsi"/>
          <w:sz w:val="24"/>
          <w:szCs w:val="24"/>
        </w:rPr>
        <w:t>NKÚ</w:t>
      </w:r>
      <w:r w:rsidRPr="0088190A">
        <w:rPr>
          <w:rFonts w:cstheme="minorHAnsi"/>
          <w:sz w:val="24"/>
          <w:szCs w:val="24"/>
        </w:rPr>
        <w:tab/>
        <w:t>Nejvyšší kontrolní úřad</w:t>
      </w:r>
    </w:p>
    <w:p w14:paraId="56E502F3" w14:textId="01F365E4" w:rsidR="00BB4913" w:rsidRPr="0088190A" w:rsidRDefault="00BB4913" w:rsidP="00CF689C">
      <w:pPr>
        <w:ind w:left="1843" w:hanging="1843"/>
        <w:rPr>
          <w:rFonts w:cstheme="minorHAnsi"/>
          <w:sz w:val="24"/>
          <w:szCs w:val="24"/>
        </w:rPr>
      </w:pPr>
      <w:r w:rsidRPr="0088190A">
        <w:rPr>
          <w:rFonts w:cstheme="minorHAnsi"/>
          <w:sz w:val="24"/>
          <w:szCs w:val="24"/>
        </w:rPr>
        <w:t>RIV</w:t>
      </w:r>
      <w:r w:rsidRPr="0088190A">
        <w:rPr>
          <w:rFonts w:cstheme="minorHAnsi"/>
          <w:sz w:val="24"/>
          <w:szCs w:val="24"/>
        </w:rPr>
        <w:tab/>
      </w:r>
      <w:r w:rsidR="00B54D63">
        <w:rPr>
          <w:rFonts w:cstheme="minorHAnsi"/>
          <w:sz w:val="24"/>
          <w:szCs w:val="24"/>
        </w:rPr>
        <w:t>r</w:t>
      </w:r>
      <w:r w:rsidRPr="0088190A">
        <w:rPr>
          <w:rFonts w:cstheme="minorHAnsi"/>
          <w:sz w:val="24"/>
          <w:szCs w:val="24"/>
        </w:rPr>
        <w:t>ejstřík informací o výsledcích</w:t>
      </w:r>
    </w:p>
    <w:p w14:paraId="2AAF03AA" w14:textId="4BC12359" w:rsidR="00BB4913" w:rsidRPr="0088190A" w:rsidRDefault="00BB4913" w:rsidP="00CF689C">
      <w:pPr>
        <w:ind w:left="1843" w:hanging="1843"/>
        <w:rPr>
          <w:rFonts w:eastAsia="Times New Roman" w:cstheme="minorHAnsi"/>
          <w:bCs/>
          <w:sz w:val="24"/>
          <w:szCs w:val="24"/>
        </w:rPr>
      </w:pPr>
      <w:r w:rsidRPr="0088190A">
        <w:rPr>
          <w:rFonts w:cstheme="minorHAnsi"/>
          <w:sz w:val="24"/>
          <w:szCs w:val="24"/>
        </w:rPr>
        <w:t>RVVI</w:t>
      </w:r>
      <w:r w:rsidRPr="0088190A">
        <w:rPr>
          <w:rFonts w:cstheme="minorHAnsi"/>
          <w:sz w:val="24"/>
          <w:szCs w:val="24"/>
        </w:rPr>
        <w:tab/>
      </w:r>
      <w:r w:rsidRPr="0088190A">
        <w:rPr>
          <w:rFonts w:eastAsia="Times New Roman" w:cstheme="minorHAnsi"/>
          <w:bCs/>
          <w:sz w:val="24"/>
          <w:szCs w:val="24"/>
        </w:rPr>
        <w:t xml:space="preserve">Rada pro výzkum, vývoj a inovace </w:t>
      </w:r>
    </w:p>
    <w:p w14:paraId="30E8D131" w14:textId="076B7B0E" w:rsidR="00BB4913" w:rsidRPr="0088190A" w:rsidRDefault="00BB4913" w:rsidP="00CF689C">
      <w:pPr>
        <w:spacing w:after="120" w:line="240" w:lineRule="auto"/>
        <w:ind w:left="1843" w:hanging="1843"/>
        <w:jc w:val="both"/>
        <w:rPr>
          <w:rFonts w:cstheme="minorHAnsi"/>
          <w:sz w:val="24"/>
          <w:szCs w:val="24"/>
        </w:rPr>
      </w:pPr>
      <w:r w:rsidRPr="0088190A">
        <w:rPr>
          <w:rFonts w:cstheme="minorHAnsi"/>
          <w:sz w:val="24"/>
          <w:szCs w:val="24"/>
        </w:rPr>
        <w:t>TA ČR</w:t>
      </w:r>
      <w:r w:rsidRPr="0088190A">
        <w:rPr>
          <w:rFonts w:cstheme="minorHAnsi"/>
          <w:sz w:val="24"/>
          <w:szCs w:val="24"/>
        </w:rPr>
        <w:tab/>
        <w:t>Technologická agentura České republiky</w:t>
      </w:r>
    </w:p>
    <w:p w14:paraId="6EAE187E" w14:textId="4834D74C" w:rsidR="00BB4913" w:rsidRDefault="00BB4913" w:rsidP="00CF689C">
      <w:pPr>
        <w:spacing w:after="120" w:line="240" w:lineRule="auto"/>
        <w:ind w:left="1843" w:hanging="1843"/>
        <w:jc w:val="both"/>
        <w:rPr>
          <w:rFonts w:cstheme="minorHAnsi"/>
          <w:sz w:val="24"/>
          <w:szCs w:val="24"/>
        </w:rPr>
      </w:pPr>
      <w:proofErr w:type="spellStart"/>
      <w:r w:rsidRPr="0088190A">
        <w:rPr>
          <w:rFonts w:cstheme="minorHAnsi"/>
          <w:sz w:val="24"/>
          <w:szCs w:val="24"/>
        </w:rPr>
        <w:t>VaVaI</w:t>
      </w:r>
      <w:proofErr w:type="spellEnd"/>
      <w:r w:rsidRPr="0088190A">
        <w:rPr>
          <w:rFonts w:cstheme="minorHAnsi"/>
          <w:sz w:val="24"/>
          <w:szCs w:val="24"/>
        </w:rPr>
        <w:tab/>
      </w:r>
      <w:r w:rsidR="00B54D63">
        <w:rPr>
          <w:rFonts w:cstheme="minorHAnsi"/>
          <w:sz w:val="24"/>
          <w:szCs w:val="24"/>
        </w:rPr>
        <w:t>v</w:t>
      </w:r>
      <w:r w:rsidRPr="0088190A">
        <w:rPr>
          <w:rFonts w:cstheme="minorHAnsi"/>
          <w:sz w:val="24"/>
          <w:szCs w:val="24"/>
        </w:rPr>
        <w:t>ýzkum, vývoj a inovace</w:t>
      </w:r>
    </w:p>
    <w:p w14:paraId="5545CEBD" w14:textId="18A942C1" w:rsidR="00C60B73" w:rsidRPr="00C60B73" w:rsidRDefault="00C60B73" w:rsidP="00CF689C">
      <w:pPr>
        <w:spacing w:after="120" w:line="240" w:lineRule="auto"/>
        <w:ind w:left="1843" w:hanging="1843"/>
        <w:jc w:val="both"/>
        <w:rPr>
          <w:rFonts w:cstheme="minorHAnsi"/>
          <w:sz w:val="24"/>
          <w:szCs w:val="24"/>
        </w:rPr>
      </w:pPr>
      <w:r w:rsidRPr="00C60B73">
        <w:rPr>
          <w:rFonts w:cstheme="minorHAnsi"/>
          <w:sz w:val="24"/>
          <w:szCs w:val="24"/>
        </w:rPr>
        <w:t>z</w:t>
      </w:r>
      <w:r w:rsidRPr="00F45F50">
        <w:rPr>
          <w:rFonts w:cstheme="minorHAnsi"/>
          <w:sz w:val="24"/>
          <w:szCs w:val="24"/>
        </w:rPr>
        <w:t xml:space="preserve">ákon </w:t>
      </w:r>
      <w:r w:rsidRPr="00F8097C">
        <w:rPr>
          <w:rFonts w:cstheme="minorHAnsi"/>
          <w:sz w:val="24"/>
          <w:szCs w:val="24"/>
        </w:rPr>
        <w:t xml:space="preserve">o </w:t>
      </w:r>
      <w:proofErr w:type="spellStart"/>
      <w:r w:rsidRPr="00F8097C">
        <w:rPr>
          <w:rFonts w:cstheme="minorHAnsi"/>
          <w:sz w:val="24"/>
          <w:szCs w:val="24"/>
        </w:rPr>
        <w:t>Va</w:t>
      </w:r>
      <w:r w:rsidRPr="00C60B73">
        <w:rPr>
          <w:rFonts w:cstheme="minorHAnsi"/>
          <w:sz w:val="24"/>
          <w:szCs w:val="24"/>
        </w:rPr>
        <w:t>VaI</w:t>
      </w:r>
      <w:proofErr w:type="spellEnd"/>
      <w:r w:rsidRPr="00C60B73">
        <w:rPr>
          <w:rFonts w:cstheme="minorHAnsi"/>
          <w:sz w:val="24"/>
          <w:szCs w:val="24"/>
        </w:rPr>
        <w:tab/>
      </w:r>
      <w:r w:rsidRPr="004F5011">
        <w:rPr>
          <w:rFonts w:cstheme="minorHAnsi"/>
          <w:sz w:val="24"/>
          <w:szCs w:val="24"/>
        </w:rPr>
        <w:t>zákon č. 130/2002 Sb., o podpoře výzkumu, experimentálního vývoje a inovací z veřejných prostředků a o změně některých souvisejících zákonů (zákon o podpoře výzkumu, experimentálního vývoje a inovací)</w:t>
      </w:r>
    </w:p>
    <w:sectPr w:rsidR="00C60B73" w:rsidRPr="00C60B73" w:rsidSect="00A256F8">
      <w:footerReference w:type="even" r:id="rId14"/>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BEB0" w14:textId="77777777" w:rsidR="00DD183F" w:rsidRDefault="00DD183F" w:rsidP="00BA32EF">
      <w:pPr>
        <w:spacing w:after="0" w:line="240" w:lineRule="auto"/>
      </w:pPr>
      <w:r>
        <w:separator/>
      </w:r>
    </w:p>
  </w:endnote>
  <w:endnote w:type="continuationSeparator" w:id="0">
    <w:p w14:paraId="6BD6E854" w14:textId="77777777" w:rsidR="00DD183F" w:rsidRDefault="00DD183F" w:rsidP="00BA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9834" w14:textId="58484920" w:rsidR="00BB2EE9" w:rsidRDefault="00BB2EE9">
    <w:pPr>
      <w:pStyle w:val="Zpat"/>
    </w:pPr>
    <w:r>
      <w:rPr>
        <w:noProof/>
      </w:rPr>
      <mc:AlternateContent>
        <mc:Choice Requires="wps">
          <w:drawing>
            <wp:anchor distT="0" distB="0" distL="0" distR="0" simplePos="0" relativeHeight="251659264" behindDoc="0" locked="0" layoutInCell="1" allowOverlap="1" wp14:anchorId="682A3B3F" wp14:editId="30D38C06">
              <wp:simplePos x="635" y="635"/>
              <wp:positionH relativeFrom="page">
                <wp:align>left</wp:align>
              </wp:positionH>
              <wp:positionV relativeFrom="page">
                <wp:align>bottom</wp:align>
              </wp:positionV>
              <wp:extent cx="902970" cy="391160"/>
              <wp:effectExtent l="0" t="0" r="11430" b="0"/>
              <wp:wrapNone/>
              <wp:docPr id="908724222" name="Textové pole 14"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91160"/>
                      </a:xfrm>
                      <a:prstGeom prst="rect">
                        <a:avLst/>
                      </a:prstGeom>
                      <a:noFill/>
                      <a:ln>
                        <a:noFill/>
                      </a:ln>
                    </wps:spPr>
                    <wps:txbx>
                      <w:txbxContent>
                        <w:p w14:paraId="47083558" w14:textId="20F34D82" w:rsidR="00BB2EE9" w:rsidRPr="00BB2EE9" w:rsidRDefault="00BB2EE9" w:rsidP="00BB2EE9">
                          <w:pPr>
                            <w:spacing w:after="0"/>
                            <w:rPr>
                              <w:rFonts w:ascii="Calibri" w:eastAsia="Calibri" w:hAnsi="Calibri" w:cs="Calibri"/>
                              <w:noProof/>
                              <w:color w:val="828282"/>
                              <w:sz w:val="24"/>
                              <w:szCs w:val="24"/>
                            </w:rPr>
                          </w:pPr>
                          <w:r w:rsidRPr="00BB2EE9">
                            <w:rPr>
                              <w:rFonts w:ascii="Calibri" w:eastAsia="Calibri" w:hAnsi="Calibri" w:cs="Calibri"/>
                              <w:noProof/>
                              <w:color w:val="828282"/>
                              <w:sz w:val="24"/>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2A3B3F" id="_x0000_t202" coordsize="21600,21600" o:spt="202" path="m,l,21600r21600,l21600,xe">
              <v:stroke joinstyle="miter"/>
              <v:path gradientshapeok="t" o:connecttype="rect"/>
            </v:shapetype>
            <v:shape id="Textové pole 14" o:spid="_x0000_s1026" type="#_x0000_t202" alt="TLP:CLEAR" style="position:absolute;margin-left:0;margin-top:0;width:71.1pt;height:30.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Y7EQIAACEEAAAOAAAAZHJzL2Uyb0RvYy54bWysU01v2zAMvQ/YfxB0X2xna7cYcYqsRYYB&#10;QVsgHXpWZCk2IImCpMTOfv0oxU66bqeiF5kiaX689zS/6bUiB+F8C6aixSSnRBgOdWt2Ff31tPr0&#10;jRIfmKmZAiMqehSe3iw+fph3thRTaEDVwhEsYnzZ2Yo2IdgyyzxvhGZ+AlYYDEpwmgW8ul1WO9Zh&#10;da2yaZ5fZx242jrgwnv03p2CdJHqSyl4eJDSi0BURXG2kE6Xzm08s8WclTvHbNPyYQz2hik0aw02&#10;PZe6Y4GRvWv/KaVb7sCDDBMOOgMpWy7SDrhNkb/aZtMwK9IuCI63Z5j8+5Xl94eNfXQk9N+hRwIj&#10;IJ31pUdn3KeXTscvTkowjhAez7CJPhCOzlk+nX3FCMfQ51lRXCdYs8vP1vnwQ4Am0aioQ1YSWOyw&#10;9gEbYuqYEnsZWLVKJWaU+cuBidGTXSaMVui3PWnrF9NvoT7iUg5OfHvLVy22XjMfHplDgnFaFG14&#10;wEMq6CoKg0VJA+73//wxH3HHKCUdCqaiBhVNifppkI/p1Zc8jwJLNzTcaGyTUczyqxg3e30LqMUC&#10;n4XlyYzJQY2mdKCfUdPL2A1DzHDsWdHtaN6Gk3zxTXCxXKYk1JJlYW02lsfSEbMI6FP/zJwdUA9I&#10;1z2MkmLlK/BPufFPb5f7gBQkZiK+JzQH2FGHibDhzUShv7ynrMvLXvwBAAD//wMAUEsDBBQABgAI&#10;AAAAIQB8qa6k2QAAAAQBAAAPAAAAZHJzL2Rvd25yZXYueG1sTI/BasMwDIbvg76DUWG31WkoYWRx&#10;Slm3suuywnZ0YjUOjeU0Vtvs7efusl0E4v/59KlYT64XFxxD50nBcpGAQGq86ahVsP94fXgEEViT&#10;0b0nVPCNAdbl7K7QufFXesdLxa2IEAq5VmCZh1zK0Fh0Oiz8gBSzgx+d5riOrTSjvka462WaJJl0&#10;uqN4weoBny02x+rsFGTb3cYOn9nX6ZCGt1D7I1f+Ran7+bR5AsE48V8ZbvpRHcroVPszmSB6BfER&#10;/p23bJWmIOoIXmYgy0L+ly9/AAAA//8DAFBLAQItABQABgAIAAAAIQC2gziS/gAAAOEBAAATAAAA&#10;AAAAAAAAAAAAAAAAAABbQ29udGVudF9UeXBlc10ueG1sUEsBAi0AFAAGAAgAAAAhADj9If/WAAAA&#10;lAEAAAsAAAAAAAAAAAAAAAAALwEAAF9yZWxzLy5yZWxzUEsBAi0AFAAGAAgAAAAhAJs3ZjsRAgAA&#10;IQQAAA4AAAAAAAAAAAAAAAAALgIAAGRycy9lMm9Eb2MueG1sUEsBAi0AFAAGAAgAAAAhAHyprqTZ&#10;AAAABAEAAA8AAAAAAAAAAAAAAAAAawQAAGRycy9kb3ducmV2LnhtbFBLBQYAAAAABAAEAPMAAABx&#10;BQAAAAA=&#10;" filled="f" stroked="f">
              <v:fill o:detectmouseclick="t"/>
              <v:textbox style="mso-fit-shape-to-text:t" inset="20pt,0,0,15pt">
                <w:txbxContent>
                  <w:p w14:paraId="47083558" w14:textId="20F34D82" w:rsidR="00BB2EE9" w:rsidRPr="00BB2EE9" w:rsidRDefault="00BB2EE9" w:rsidP="00BB2EE9">
                    <w:pPr>
                      <w:spacing w:after="0"/>
                      <w:rPr>
                        <w:rFonts w:ascii="Calibri" w:eastAsia="Calibri" w:hAnsi="Calibri" w:cs="Calibri"/>
                        <w:noProof/>
                        <w:color w:val="828282"/>
                        <w:sz w:val="24"/>
                        <w:szCs w:val="24"/>
                      </w:rPr>
                    </w:pPr>
                    <w:r w:rsidRPr="00BB2EE9">
                      <w:rPr>
                        <w:rFonts w:ascii="Calibri" w:eastAsia="Calibri" w:hAnsi="Calibri" w:cs="Calibri"/>
                        <w:noProof/>
                        <w:color w:val="828282"/>
                        <w:sz w:val="24"/>
                        <w:szCs w:val="24"/>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FD78" w14:textId="71A541A0" w:rsidR="00DD183F" w:rsidRDefault="00BB2EE9">
    <w:pPr>
      <w:pStyle w:val="Zpat"/>
      <w:jc w:val="center"/>
    </w:pPr>
    <w:r>
      <w:rPr>
        <w:noProof/>
      </w:rPr>
      <mc:AlternateContent>
        <mc:Choice Requires="wps">
          <w:drawing>
            <wp:anchor distT="0" distB="0" distL="0" distR="0" simplePos="0" relativeHeight="251660288" behindDoc="0" locked="0" layoutInCell="1" allowOverlap="1" wp14:anchorId="6BD3814C" wp14:editId="0C3192C3">
              <wp:simplePos x="904875" y="10067925"/>
              <wp:positionH relativeFrom="page">
                <wp:align>left</wp:align>
              </wp:positionH>
              <wp:positionV relativeFrom="page">
                <wp:align>bottom</wp:align>
              </wp:positionV>
              <wp:extent cx="902970" cy="391160"/>
              <wp:effectExtent l="0" t="0" r="11430" b="0"/>
              <wp:wrapNone/>
              <wp:docPr id="224792737" name="Textové pole 15"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91160"/>
                      </a:xfrm>
                      <a:prstGeom prst="rect">
                        <a:avLst/>
                      </a:prstGeom>
                      <a:noFill/>
                      <a:ln>
                        <a:noFill/>
                      </a:ln>
                    </wps:spPr>
                    <wps:txbx>
                      <w:txbxContent>
                        <w:p w14:paraId="0E69FE64" w14:textId="135109E3" w:rsidR="00BB2EE9" w:rsidRPr="00BB2EE9" w:rsidRDefault="00BB2EE9" w:rsidP="00BB2EE9">
                          <w:pPr>
                            <w:spacing w:after="0"/>
                            <w:rPr>
                              <w:rFonts w:ascii="Calibri" w:eastAsia="Calibri" w:hAnsi="Calibri" w:cs="Calibri"/>
                              <w:noProof/>
                              <w:color w:val="828282"/>
                              <w:sz w:val="24"/>
                              <w:szCs w:val="24"/>
                            </w:rPr>
                          </w:pPr>
                          <w:r w:rsidRPr="00BB2EE9">
                            <w:rPr>
                              <w:rFonts w:ascii="Calibri" w:eastAsia="Calibri" w:hAnsi="Calibri" w:cs="Calibri"/>
                              <w:noProof/>
                              <w:color w:val="828282"/>
                              <w:sz w:val="24"/>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3814C" id="_x0000_t202" coordsize="21600,21600" o:spt="202" path="m,l,21600r21600,l21600,xe">
              <v:stroke joinstyle="miter"/>
              <v:path gradientshapeok="t" o:connecttype="rect"/>
            </v:shapetype>
            <v:shape id="Textové pole 15" o:spid="_x0000_s1027" type="#_x0000_t202" alt="TLP:CLEAR" style="position:absolute;left:0;text-align:left;margin-left:0;margin-top:0;width:71.1pt;height:30.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V5EwIAACEEAAAOAAAAZHJzL2Uyb0RvYy54bWysU01v2zAMvQ/YfxB0X2xna9cYcYqsRYYB&#10;QVsgHXqWZSk2IImCpMTOfv0oJU62bqeiF5kiaX689zS/HbQie+F8B6aixSSnRBgOTWe2Ff35vPp0&#10;Q4kPzDRMgREVPQhPbxcfP8x7W4optKAa4QgWMb7sbUXbEGyZZZ63QjM/ASsMBiU4zQJe3TZrHOux&#10;ulbZNM+vsx5cYx1w4T16749Bukj1pRQ8PErpRSCqojhbSKdLZx3PbDFn5dYx23b8NAZ7wxSadQab&#10;nkvds8DIznX/lNIdd+BBhgkHnYGUHRdpB9ymyF9ts2mZFWkXBMfbM0z+/cryh/3GPjkShm8wIIER&#10;kN760qMz7jNIp+MXJyUYRwgPZ9jEEAhH5yyfzr5ihGPo86worhOs2eVn63z4LkCTaFTUISsJLLZf&#10;+4ANMXVMib0MrDqlEjPK/OXAxOjJLhNGKwz1QLqmotNx+hqaAy7l4Mi3t3zVYes18+GJOSQYp0XR&#10;hkc8pIK+onCyKGnB/fqfP+Yj7hilpEfBVNSgoilRPwzyMb36kudRYOmGhhuNOhnFLL+KcbPTd4Ba&#10;LPBZWJ7MmBzUaEoH+gU1vYzdMMQMx54VrUfzLhzli2+Ci+UyJaGWLAtrs7E8lo6YRUCfhxfm7An1&#10;gHQ9wCgpVr4C/5gb//R2uQtIQWIm4ntE8wQ76jARdnozUeh/3lPW5WUvfgMAAP//AwBQSwMEFAAG&#10;AAgAAAAhAHyprqTZAAAABAEAAA8AAABkcnMvZG93bnJldi54bWxMj8FqwzAMhu+DvoNRYbfVaShh&#10;ZHFKWbey67LCdnRiNQ6N5TRW2+zt5+6yXQTi//n0qVhPrhcXHEPnScFykYBAarzpqFWw/3h9eAQR&#10;WJPRvSdU8I0B1uXsrtC58Vd6x0vFrYgQCrlWYJmHXMrQWHQ6LPyAFLODH53muI6tNKO+RrjrZZok&#10;mXS6o3jB6gGfLTbH6uwUZNvdxg6f2dfpkIa3UPsjV/5Fqfv5tHkCwTjxXxlu+lEdyuhU+zOZIHoF&#10;8RH+nbdslaYg6gheZiDLQv6XL38AAAD//wMAUEsBAi0AFAAGAAgAAAAhALaDOJL+AAAA4QEAABMA&#10;AAAAAAAAAAAAAAAAAAAAAFtDb250ZW50X1R5cGVzXS54bWxQSwECLQAUAAYACAAAACEAOP0h/9YA&#10;AACUAQAACwAAAAAAAAAAAAAAAAAvAQAAX3JlbHMvLnJlbHNQSwECLQAUAAYACAAAACEAyqGVeRMC&#10;AAAhBAAADgAAAAAAAAAAAAAAAAAuAgAAZHJzL2Uyb0RvYy54bWxQSwECLQAUAAYACAAAACEAfKmu&#10;pNkAAAAEAQAADwAAAAAAAAAAAAAAAABtBAAAZHJzL2Rvd25yZXYueG1sUEsFBgAAAAAEAAQA8wAA&#10;AHMFAAAAAA==&#10;" filled="f" stroked="f">
              <v:fill o:detectmouseclick="t"/>
              <v:textbox style="mso-fit-shape-to-text:t" inset="20pt,0,0,15pt">
                <w:txbxContent>
                  <w:p w14:paraId="0E69FE64" w14:textId="135109E3" w:rsidR="00BB2EE9" w:rsidRPr="00BB2EE9" w:rsidRDefault="00BB2EE9" w:rsidP="00BB2EE9">
                    <w:pPr>
                      <w:spacing w:after="0"/>
                      <w:rPr>
                        <w:rFonts w:ascii="Calibri" w:eastAsia="Calibri" w:hAnsi="Calibri" w:cs="Calibri"/>
                        <w:noProof/>
                        <w:color w:val="828282"/>
                        <w:sz w:val="24"/>
                        <w:szCs w:val="24"/>
                      </w:rPr>
                    </w:pPr>
                    <w:r w:rsidRPr="00BB2EE9">
                      <w:rPr>
                        <w:rFonts w:ascii="Calibri" w:eastAsia="Calibri" w:hAnsi="Calibri" w:cs="Calibri"/>
                        <w:noProof/>
                        <w:color w:val="828282"/>
                        <w:sz w:val="24"/>
                        <w:szCs w:val="24"/>
                      </w:rPr>
                      <w:t>TLP:CLEAR</w:t>
                    </w:r>
                  </w:p>
                </w:txbxContent>
              </v:textbox>
              <w10:wrap anchorx="page" anchory="page"/>
            </v:shape>
          </w:pict>
        </mc:Fallback>
      </mc:AlternateContent>
    </w:r>
    <w:sdt>
      <w:sdtPr>
        <w:id w:val="-1919777898"/>
        <w:docPartObj>
          <w:docPartGallery w:val="Page Numbers (Bottom of Page)"/>
          <w:docPartUnique/>
        </w:docPartObj>
      </w:sdtPr>
      <w:sdtEndPr/>
      <w:sdtContent>
        <w:r w:rsidR="00DD183F">
          <w:fldChar w:fldCharType="begin"/>
        </w:r>
        <w:r w:rsidR="00DD183F">
          <w:instrText>PAGE   \* MERGEFORMAT</w:instrText>
        </w:r>
        <w:r w:rsidR="00DD183F">
          <w:fldChar w:fldCharType="separate"/>
        </w:r>
        <w:r w:rsidR="00DD183F">
          <w:t>2</w:t>
        </w:r>
        <w:r w:rsidR="00DD183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1A93" w14:textId="07E9B8AF" w:rsidR="00BB2EE9" w:rsidRDefault="00BB2EE9">
    <w:pPr>
      <w:pStyle w:val="Zpat"/>
    </w:pPr>
    <w:r>
      <w:rPr>
        <w:noProof/>
      </w:rPr>
      <mc:AlternateContent>
        <mc:Choice Requires="wps">
          <w:drawing>
            <wp:anchor distT="0" distB="0" distL="0" distR="0" simplePos="0" relativeHeight="251658240" behindDoc="0" locked="0" layoutInCell="1" allowOverlap="1" wp14:anchorId="2C5EC474" wp14:editId="5421684B">
              <wp:simplePos x="904875" y="10067925"/>
              <wp:positionH relativeFrom="page">
                <wp:align>left</wp:align>
              </wp:positionH>
              <wp:positionV relativeFrom="page">
                <wp:align>bottom</wp:align>
              </wp:positionV>
              <wp:extent cx="902970" cy="391160"/>
              <wp:effectExtent l="0" t="0" r="11430" b="0"/>
              <wp:wrapNone/>
              <wp:docPr id="1110956186" name="Textové pole 13"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91160"/>
                      </a:xfrm>
                      <a:prstGeom prst="rect">
                        <a:avLst/>
                      </a:prstGeom>
                      <a:noFill/>
                      <a:ln>
                        <a:noFill/>
                      </a:ln>
                    </wps:spPr>
                    <wps:txbx>
                      <w:txbxContent>
                        <w:p w14:paraId="294DBB3C" w14:textId="2614AE5C" w:rsidR="00BB2EE9" w:rsidRPr="00BB2EE9" w:rsidRDefault="00BB2EE9" w:rsidP="00BB2EE9">
                          <w:pPr>
                            <w:spacing w:after="0"/>
                            <w:rPr>
                              <w:rFonts w:ascii="Calibri" w:eastAsia="Calibri" w:hAnsi="Calibri" w:cs="Calibri"/>
                              <w:noProof/>
                              <w:color w:val="828282"/>
                              <w:sz w:val="24"/>
                              <w:szCs w:val="24"/>
                            </w:rPr>
                          </w:pPr>
                          <w:r w:rsidRPr="00BB2EE9">
                            <w:rPr>
                              <w:rFonts w:ascii="Calibri" w:eastAsia="Calibri" w:hAnsi="Calibri" w:cs="Calibri"/>
                              <w:noProof/>
                              <w:color w:val="828282"/>
                              <w:sz w:val="24"/>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5EC474" id="_x0000_t202" coordsize="21600,21600" o:spt="202" path="m,l,21600r21600,l21600,xe">
              <v:stroke joinstyle="miter"/>
              <v:path gradientshapeok="t" o:connecttype="rect"/>
            </v:shapetype>
            <v:shape id="Textové pole 13" o:spid="_x0000_s1028" type="#_x0000_t202" alt="TLP:CLEAR" style="position:absolute;margin-left:0;margin-top:0;width:71.1pt;height:30.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zsDwIAABoEAAAOAAAAZHJzL2Uyb0RvYy54bWysU01v2zAMvQ/YfxB0X2xna9cYcYqsRYYB&#10;QVsgHXqWZSk2IImCpMTOfv0oxUm2bqeiF5kiaX689zS/HbQie+F8B6aixSSnRBgOTWe2Ff35vPp0&#10;Q4kPzDRMgREVPQhPbxcfP8x7W4optKAa4QgWMb7sbUXbEGyZZZ63QjM/ASsMBiU4zQJe3TZrHOux&#10;ulbZNM+vsx5cYx1w4T16749Bukj1pRQ8PErpRSCqojhbSKdLZx3PbDFn5dYx23Z8HIO9YQrNOoNN&#10;z6XuWWBk57p/SumOO/Agw4SDzkDKjou0A25T5K+22bTMirQLguPtGSb/fmX5w35jnxwJwzcYkMAI&#10;SG996dEZ9xmk0/GLkxKMI4SHM2xiCISjc5ZPZ18xwjH0eVYU1wnW7PKzdT58F6BJNCrqkJUEFtuv&#10;fcCGmHpKib0MrDqlEjPK/OXAxOjJLhNGKwz1MI5dQ3PAbRwcifaWrzrsuWY+PDGHzOKYqNbwiIdU&#10;0FcURouSFtyv//ljPgKOUUp6VEpFDUqZEvXDIBHTqy95HpWVbmi4k1Eno5jlVzFudvoOUIQFvgfL&#10;kxmTgzqZ0oF+QTEvYzcMMcOxZ0Xrk3kXjrrFx8DFcpmSUESWhbXZWB5LR7Aiks/DC3N2hDsgTw9w&#10;0hIrX6F+zI1/ervcBcQ+URKBPaI54o0CTEyNjyUq/M97yro86cVvAAAA//8DAFBLAwQUAAYACAAA&#10;ACEAfKmupNkAAAAEAQAADwAAAGRycy9kb3ducmV2LnhtbEyPwWrDMAyG74O+g1Fht9VpKGFkcUpZ&#10;t7LrssJ2dGI1Do3lNFbb7O3n7rJdBOL/+fSpWE+uFxccQ+dJwXKRgEBqvOmoVbD/eH14BBFYk9G9&#10;J1TwjQHW5eyu0LnxV3rHS8WtiBAKuVZgmYdcytBYdDos/IAUs4Mfnea4jq00o75GuOtlmiSZdLqj&#10;eMHqAZ8tNsfq7BRk293GDp/Z1+mQhrdQ+yNX/kWp+/m0eQLBOPFfGW76UR3K6FT7M5kgegXxEf6d&#10;t2yVpiDqCF5mIMtC/pcvfwAAAP//AwBQSwECLQAUAAYACAAAACEAtoM4kv4AAADhAQAAEwAAAAAA&#10;AAAAAAAAAAAAAAAAW0NvbnRlbnRfVHlwZXNdLnhtbFBLAQItABQABgAIAAAAIQA4/SH/1gAAAJQB&#10;AAALAAAAAAAAAAAAAAAAAC8BAABfcmVscy8ucmVsc1BLAQItABQABgAIAAAAIQDVCTzsDwIAABoE&#10;AAAOAAAAAAAAAAAAAAAAAC4CAABkcnMvZTJvRG9jLnhtbFBLAQItABQABgAIAAAAIQB8qa6k2QAA&#10;AAQBAAAPAAAAAAAAAAAAAAAAAGkEAABkcnMvZG93bnJldi54bWxQSwUGAAAAAAQABADzAAAAbwUA&#10;AAAA&#10;" filled="f" stroked="f">
              <v:fill o:detectmouseclick="t"/>
              <v:textbox style="mso-fit-shape-to-text:t" inset="20pt,0,0,15pt">
                <w:txbxContent>
                  <w:p w14:paraId="294DBB3C" w14:textId="2614AE5C" w:rsidR="00BB2EE9" w:rsidRPr="00BB2EE9" w:rsidRDefault="00BB2EE9" w:rsidP="00BB2EE9">
                    <w:pPr>
                      <w:spacing w:after="0"/>
                      <w:rPr>
                        <w:rFonts w:ascii="Calibri" w:eastAsia="Calibri" w:hAnsi="Calibri" w:cs="Calibri"/>
                        <w:noProof/>
                        <w:color w:val="828282"/>
                        <w:sz w:val="24"/>
                        <w:szCs w:val="24"/>
                      </w:rPr>
                    </w:pPr>
                    <w:r w:rsidRPr="00BB2EE9">
                      <w:rPr>
                        <w:rFonts w:ascii="Calibri" w:eastAsia="Calibri" w:hAnsi="Calibri" w:cs="Calibri"/>
                        <w:noProof/>
                        <w:color w:val="828282"/>
                        <w:sz w:val="24"/>
                        <w:szCs w:val="24"/>
                      </w:rPr>
                      <w:t>TLP:CLEAR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8359" w14:textId="77777777" w:rsidR="00DD183F" w:rsidRDefault="00DD183F" w:rsidP="00BA32EF">
      <w:pPr>
        <w:spacing w:after="0" w:line="240" w:lineRule="auto"/>
      </w:pPr>
      <w:r>
        <w:separator/>
      </w:r>
    </w:p>
  </w:footnote>
  <w:footnote w:type="continuationSeparator" w:id="0">
    <w:p w14:paraId="321260BE" w14:textId="77777777" w:rsidR="00DD183F" w:rsidRDefault="00DD183F" w:rsidP="00BA32EF">
      <w:pPr>
        <w:spacing w:after="0" w:line="240" w:lineRule="auto"/>
      </w:pPr>
      <w:r>
        <w:continuationSeparator/>
      </w:r>
    </w:p>
  </w:footnote>
  <w:footnote w:id="1">
    <w:p w14:paraId="49621054" w14:textId="2842EF7A" w:rsidR="00DD183F" w:rsidRPr="006B5565" w:rsidRDefault="00DD183F" w:rsidP="005774A9">
      <w:pPr>
        <w:pStyle w:val="Textpoznpodarou"/>
        <w:ind w:left="284" w:hanging="284"/>
        <w:jc w:val="both"/>
        <w:rPr>
          <w:rFonts w:asciiTheme="minorHAnsi" w:hAnsiTheme="minorHAnsi" w:cstheme="minorHAnsi"/>
        </w:rPr>
      </w:pPr>
      <w:r w:rsidRPr="00F97576">
        <w:rPr>
          <w:rStyle w:val="Znakapoznpodarou"/>
          <w:rFonts w:asciiTheme="minorHAnsi" w:hAnsiTheme="minorHAnsi" w:cstheme="minorHAnsi"/>
        </w:rPr>
        <w:footnoteRef/>
      </w:r>
      <w:r w:rsidRPr="00F97576">
        <w:rPr>
          <w:rFonts w:asciiTheme="minorHAnsi" w:hAnsiTheme="minorHAnsi" w:cstheme="minorHAnsi"/>
        </w:rPr>
        <w:t xml:space="preserve"> </w:t>
      </w:r>
      <w:r w:rsidR="005774A9">
        <w:rPr>
          <w:rFonts w:asciiTheme="minorHAnsi" w:hAnsiTheme="minorHAnsi" w:cstheme="minorHAnsi"/>
        </w:rPr>
        <w:tab/>
      </w:r>
      <w:r w:rsidRPr="006B5565">
        <w:rPr>
          <w:rFonts w:asciiTheme="minorHAnsi" w:hAnsiTheme="minorHAnsi" w:cstheme="minorHAnsi"/>
        </w:rPr>
        <w:t xml:space="preserve">Dle </w:t>
      </w:r>
      <w:r w:rsidRPr="001B6A31">
        <w:rPr>
          <w:rStyle w:val="Siln"/>
          <w:rFonts w:asciiTheme="minorHAnsi" w:hAnsiTheme="minorHAnsi" w:cstheme="minorHAnsi"/>
          <w:b w:val="0"/>
          <w:i/>
          <w:iCs/>
        </w:rPr>
        <w:t>European Innovation Scoreboard 2024</w:t>
      </w:r>
      <w:r w:rsidRPr="006B5565">
        <w:rPr>
          <w:rStyle w:val="relative"/>
          <w:rFonts w:asciiTheme="minorHAnsi" w:hAnsiTheme="minorHAnsi" w:cstheme="minorHAnsi"/>
        </w:rPr>
        <w:t xml:space="preserve"> patří Česká republika mezi </w:t>
      </w:r>
      <w:r w:rsidRPr="006B5565">
        <w:rPr>
          <w:rStyle w:val="Siln"/>
          <w:rFonts w:asciiTheme="minorHAnsi" w:hAnsiTheme="minorHAnsi" w:cstheme="minorHAnsi"/>
          <w:b w:val="0"/>
        </w:rPr>
        <w:t>mírné inovátory</w:t>
      </w:r>
      <w:r w:rsidRPr="006B5565">
        <w:rPr>
          <w:rStyle w:val="relative"/>
          <w:rFonts w:asciiTheme="minorHAnsi" w:hAnsiTheme="minorHAnsi" w:cstheme="minorHAnsi"/>
        </w:rPr>
        <w:t xml:space="preserve"> (</w:t>
      </w:r>
      <w:r w:rsidRPr="001B6A31">
        <w:rPr>
          <w:rStyle w:val="relative"/>
          <w:rFonts w:asciiTheme="minorHAnsi" w:hAnsiTheme="minorHAnsi" w:cstheme="minorHAnsi"/>
          <w:i/>
          <w:iCs/>
          <w:lang w:val="en-GB"/>
        </w:rPr>
        <w:t>Moderate Innovators</w:t>
      </w:r>
      <w:r w:rsidR="005774A9">
        <w:rPr>
          <w:rStyle w:val="relative"/>
          <w:rFonts w:asciiTheme="minorHAnsi" w:hAnsiTheme="minorHAnsi" w:cstheme="minorHAnsi"/>
          <w:lang w:val="en-GB"/>
        </w:rPr>
        <w:t> </w:t>
      </w:r>
      <w:r>
        <w:rPr>
          <w:rStyle w:val="relative"/>
          <w:rFonts w:asciiTheme="minorHAnsi" w:hAnsiTheme="minorHAnsi" w:cstheme="minorHAnsi"/>
        </w:rPr>
        <w:t>– inovační</w:t>
      </w:r>
      <w:r w:rsidRPr="006B5565">
        <w:rPr>
          <w:rStyle w:val="relative"/>
          <w:rFonts w:asciiTheme="minorHAnsi" w:hAnsiTheme="minorHAnsi" w:cstheme="minorHAnsi"/>
        </w:rPr>
        <w:t xml:space="preserve"> výkonnost dosahuje 70–100 % průměru Evropské unie), </w:t>
      </w:r>
      <w:r>
        <w:rPr>
          <w:rStyle w:val="relative"/>
          <w:rFonts w:asciiTheme="minorHAnsi" w:hAnsiTheme="minorHAnsi" w:cstheme="minorHAnsi"/>
        </w:rPr>
        <w:t>její inovační výkonost byla 98,7</w:t>
      </w:r>
      <w:r w:rsidR="005F1465">
        <w:rPr>
          <w:rStyle w:val="relative"/>
          <w:rFonts w:asciiTheme="minorHAnsi" w:hAnsiTheme="minorHAnsi" w:cstheme="minorHAnsi"/>
        </w:rPr>
        <w:t xml:space="preserve"> </w:t>
      </w:r>
      <w:r>
        <w:rPr>
          <w:rStyle w:val="relative"/>
          <w:rFonts w:asciiTheme="minorHAnsi" w:hAnsiTheme="minorHAnsi" w:cstheme="minorHAnsi"/>
        </w:rPr>
        <w:t xml:space="preserve">v roce 2024 </w:t>
      </w:r>
      <w:r w:rsidRPr="006B5565">
        <w:rPr>
          <w:rStyle w:val="relative"/>
          <w:rFonts w:asciiTheme="minorHAnsi" w:hAnsiTheme="minorHAnsi" w:cstheme="minorHAnsi"/>
        </w:rPr>
        <w:t>a</w:t>
      </w:r>
      <w:r>
        <w:rPr>
          <w:rStyle w:val="relative"/>
          <w:rFonts w:asciiTheme="minorHAnsi" w:hAnsiTheme="minorHAnsi" w:cstheme="minorHAnsi"/>
        </w:rPr>
        <w:t> </w:t>
      </w:r>
      <w:r w:rsidRPr="006B5565">
        <w:rPr>
          <w:rStyle w:val="relative"/>
          <w:rFonts w:asciiTheme="minorHAnsi" w:hAnsiTheme="minorHAnsi" w:cstheme="minorHAnsi"/>
        </w:rPr>
        <w:t>řad</w:t>
      </w:r>
      <w:r w:rsidR="00FF17E7">
        <w:rPr>
          <w:rStyle w:val="relative"/>
          <w:rFonts w:asciiTheme="minorHAnsi" w:hAnsiTheme="minorHAnsi" w:cstheme="minorHAnsi"/>
        </w:rPr>
        <w:t>ilo</w:t>
      </w:r>
      <w:r w:rsidRPr="006B5565">
        <w:rPr>
          <w:rStyle w:val="relative"/>
          <w:rFonts w:asciiTheme="minorHAnsi" w:hAnsiTheme="minorHAnsi" w:cstheme="minorHAnsi"/>
        </w:rPr>
        <w:t xml:space="preserve"> jí to na </w:t>
      </w:r>
      <w:r>
        <w:rPr>
          <w:rStyle w:val="relative"/>
          <w:rFonts w:asciiTheme="minorHAnsi" w:hAnsiTheme="minorHAnsi" w:cstheme="minorHAnsi"/>
        </w:rPr>
        <w:t>19</w:t>
      </w:r>
      <w:r w:rsidRPr="006B5565">
        <w:rPr>
          <w:rStyle w:val="relative"/>
          <w:rFonts w:asciiTheme="minorHAnsi" w:hAnsiTheme="minorHAnsi" w:cstheme="minorHAnsi"/>
        </w:rPr>
        <w:t>. místo v tomto srovnání.</w:t>
      </w:r>
      <w:r>
        <w:rPr>
          <w:rStyle w:val="relative"/>
          <w:rFonts w:asciiTheme="minorHAnsi" w:hAnsiTheme="minorHAnsi" w:cstheme="minorHAnsi"/>
        </w:rPr>
        <w:t xml:space="preserve"> Cíl stát se inovačním lídrem má Česká republika zakotveno v </w:t>
      </w:r>
      <w:r w:rsidRPr="001B6A31">
        <w:rPr>
          <w:rStyle w:val="relative"/>
          <w:rFonts w:asciiTheme="minorHAnsi" w:hAnsiTheme="minorHAnsi" w:cstheme="minorHAnsi"/>
          <w:i/>
          <w:iCs/>
        </w:rPr>
        <w:t>Inovační strategii České republiky 2019–2030</w:t>
      </w:r>
      <w:r>
        <w:rPr>
          <w:rStyle w:val="relative"/>
          <w:rFonts w:asciiTheme="minorHAnsi" w:hAnsiTheme="minorHAnsi" w:cstheme="minorHAnsi"/>
        </w:rPr>
        <w:t xml:space="preserve">.  </w:t>
      </w:r>
    </w:p>
  </w:footnote>
  <w:footnote w:id="2">
    <w:p w14:paraId="1595A0B3" w14:textId="6789AFF3" w:rsidR="00297009" w:rsidRPr="00297009" w:rsidRDefault="00297009" w:rsidP="005774A9">
      <w:pPr>
        <w:pStyle w:val="Textpoznpodarou"/>
        <w:ind w:left="284" w:hanging="284"/>
        <w:jc w:val="both"/>
        <w:rPr>
          <w:rFonts w:asciiTheme="minorHAnsi" w:hAnsiTheme="minorHAnsi" w:cstheme="minorHAnsi"/>
        </w:rPr>
      </w:pPr>
      <w:r>
        <w:rPr>
          <w:rStyle w:val="Znakapoznpodarou"/>
        </w:rPr>
        <w:footnoteRef/>
      </w:r>
      <w:r>
        <w:t xml:space="preserve"> </w:t>
      </w:r>
      <w:r w:rsidR="005774A9">
        <w:tab/>
      </w:r>
      <w:r w:rsidRPr="00297009">
        <w:rPr>
          <w:rFonts w:asciiTheme="minorHAnsi" w:hAnsiTheme="minorHAnsi" w:cstheme="minorHAnsi"/>
        </w:rPr>
        <w:t>Orientovaným základním výzkumem se v tomto textu rozumí, že se</w:t>
      </w:r>
      <w:r w:rsidR="00FF17E7">
        <w:rPr>
          <w:rFonts w:asciiTheme="minorHAnsi" w:hAnsiTheme="minorHAnsi" w:cstheme="minorHAnsi"/>
        </w:rPr>
        <w:t xml:space="preserve"> tento výzkum</w:t>
      </w:r>
      <w:r w:rsidRPr="00297009">
        <w:rPr>
          <w:rFonts w:asciiTheme="minorHAnsi" w:hAnsiTheme="minorHAnsi" w:cstheme="minorHAnsi"/>
        </w:rPr>
        <w:t xml:space="preserve"> provádí s očekáváním, že poskytne širokou základnu poznatků, kter</w:t>
      </w:r>
      <w:r w:rsidR="005F1465">
        <w:rPr>
          <w:rFonts w:asciiTheme="minorHAnsi" w:hAnsiTheme="minorHAnsi" w:cstheme="minorHAnsi"/>
        </w:rPr>
        <w:t>é</w:t>
      </w:r>
      <w:r w:rsidRPr="00297009">
        <w:rPr>
          <w:rFonts w:asciiTheme="minorHAnsi" w:hAnsiTheme="minorHAnsi" w:cstheme="minorHAnsi"/>
        </w:rPr>
        <w:t xml:space="preserve"> se pravděpodobně stan</w:t>
      </w:r>
      <w:r w:rsidR="005F1465">
        <w:rPr>
          <w:rFonts w:asciiTheme="minorHAnsi" w:hAnsiTheme="minorHAnsi" w:cstheme="minorHAnsi"/>
        </w:rPr>
        <w:t>ou</w:t>
      </w:r>
      <w:r w:rsidRPr="00297009">
        <w:rPr>
          <w:rFonts w:asciiTheme="minorHAnsi" w:hAnsiTheme="minorHAnsi" w:cstheme="minorHAnsi"/>
        </w:rPr>
        <w:t xml:space="preserve"> základem pro řešení konkrétních společenských a</w:t>
      </w:r>
      <w:r>
        <w:rPr>
          <w:rFonts w:asciiTheme="minorHAnsi" w:hAnsiTheme="minorHAnsi" w:cstheme="minorHAnsi"/>
        </w:rPr>
        <w:t> </w:t>
      </w:r>
      <w:r w:rsidRPr="00297009">
        <w:rPr>
          <w:rFonts w:asciiTheme="minorHAnsi" w:hAnsiTheme="minorHAnsi" w:cstheme="minorHAnsi"/>
        </w:rPr>
        <w:t>hospodářských cílů.</w:t>
      </w:r>
    </w:p>
  </w:footnote>
  <w:footnote w:id="3">
    <w:p w14:paraId="21661A94" w14:textId="7A1EB4D4" w:rsidR="00DD183F" w:rsidRDefault="00DD183F" w:rsidP="005774A9">
      <w:pPr>
        <w:pStyle w:val="Textpoznpodarou"/>
        <w:ind w:left="284" w:hanging="284"/>
      </w:pPr>
      <w:r>
        <w:rPr>
          <w:rStyle w:val="Znakapoznpodarou"/>
        </w:rPr>
        <w:footnoteRef/>
      </w:r>
      <w:r>
        <w:t xml:space="preserve"> </w:t>
      </w:r>
      <w:r w:rsidR="005774A9">
        <w:tab/>
      </w:r>
      <w:r w:rsidRPr="001B6A31">
        <w:rPr>
          <w:rFonts w:asciiTheme="minorHAnsi" w:hAnsiTheme="minorHAnsi" w:cstheme="minorHAnsi"/>
          <w:i/>
          <w:iCs/>
        </w:rPr>
        <w:t xml:space="preserve">Koncepce činnosti Grantové agentury </w:t>
      </w:r>
      <w:r w:rsidR="00001915">
        <w:rPr>
          <w:rFonts w:asciiTheme="minorHAnsi" w:hAnsiTheme="minorHAnsi" w:cstheme="minorHAnsi"/>
          <w:i/>
          <w:iCs/>
        </w:rPr>
        <w:t xml:space="preserve">České republiky </w:t>
      </w:r>
      <w:r w:rsidRPr="001B6A31">
        <w:rPr>
          <w:rFonts w:asciiTheme="minorHAnsi" w:hAnsiTheme="minorHAnsi" w:cstheme="minorHAnsi"/>
          <w:i/>
          <w:iCs/>
        </w:rPr>
        <w:t>2021+</w:t>
      </w:r>
      <w:r>
        <w:rPr>
          <w:rFonts w:asciiTheme="minorHAnsi" w:hAnsiTheme="minorHAnsi" w:cstheme="minorHAnsi"/>
        </w:rPr>
        <w:t xml:space="preserve">. </w:t>
      </w:r>
    </w:p>
  </w:footnote>
  <w:footnote w:id="4">
    <w:p w14:paraId="651EB3C8" w14:textId="4E45A5AB" w:rsidR="00DD183F" w:rsidRPr="00FC4DE3" w:rsidRDefault="00DD183F" w:rsidP="00C475A9">
      <w:pPr>
        <w:pStyle w:val="Textpoznpodarou"/>
        <w:ind w:left="284" w:hanging="284"/>
        <w:jc w:val="both"/>
        <w:rPr>
          <w:rFonts w:ascii="Calibri" w:hAnsi="Calibri" w:cs="Calibri"/>
        </w:rPr>
      </w:pPr>
      <w:r w:rsidRPr="00266B43">
        <w:rPr>
          <w:rStyle w:val="Znakapoznpodarou"/>
          <w:rFonts w:asciiTheme="minorHAnsi" w:hAnsiTheme="minorHAnsi" w:cstheme="minorHAnsi"/>
        </w:rPr>
        <w:footnoteRef/>
      </w:r>
      <w:r w:rsidRPr="00266B43">
        <w:rPr>
          <w:rFonts w:asciiTheme="minorHAnsi" w:hAnsiTheme="minorHAnsi" w:cstheme="minorHAnsi"/>
        </w:rPr>
        <w:t xml:space="preserve"> </w:t>
      </w:r>
      <w:r w:rsidR="00C475A9">
        <w:rPr>
          <w:rFonts w:asciiTheme="minorHAnsi" w:hAnsiTheme="minorHAnsi" w:cstheme="minorHAnsi"/>
        </w:rPr>
        <w:tab/>
      </w:r>
      <w:r w:rsidRPr="00266B43">
        <w:rPr>
          <w:rFonts w:asciiTheme="minorHAnsi" w:hAnsiTheme="minorHAnsi" w:cstheme="minorHAnsi"/>
        </w:rPr>
        <w:t>Kontrolní akce č. 16/19</w:t>
      </w:r>
      <w:r w:rsidR="00FC4DE3">
        <w:rPr>
          <w:rFonts w:asciiTheme="minorHAnsi" w:hAnsiTheme="minorHAnsi" w:cstheme="minorHAnsi"/>
        </w:rPr>
        <w:t xml:space="preserve"> –</w:t>
      </w:r>
      <w:r w:rsidRPr="00266B43">
        <w:rPr>
          <w:rFonts w:asciiTheme="minorHAnsi" w:hAnsiTheme="minorHAnsi" w:cstheme="minorHAnsi"/>
        </w:rPr>
        <w:t xml:space="preserve"> </w:t>
      </w:r>
      <w:r w:rsidRPr="001B6A31">
        <w:rPr>
          <w:rFonts w:asciiTheme="minorHAnsi" w:hAnsiTheme="minorHAnsi" w:cstheme="minorHAnsi"/>
          <w:i/>
          <w:iCs/>
        </w:rPr>
        <w:t>Peněžní prostředky státu určené na účelovou podporu výzkumu a vývoje prostřednictvím rozpočtové kapitoly Grantová agentura České republiky</w:t>
      </w:r>
      <w:r>
        <w:rPr>
          <w:rFonts w:asciiTheme="minorHAnsi" w:hAnsiTheme="minorHAnsi" w:cstheme="minorHAnsi"/>
        </w:rPr>
        <w:t xml:space="preserve"> a kontrolní akce č. </w:t>
      </w:r>
      <w:r w:rsidRPr="00FD1CC0">
        <w:rPr>
          <w:rFonts w:asciiTheme="minorHAnsi" w:hAnsiTheme="minorHAnsi" w:cstheme="minorHAnsi"/>
        </w:rPr>
        <w:t>15/27</w:t>
      </w:r>
      <w:r w:rsidR="00FC4DE3">
        <w:rPr>
          <w:rFonts w:asciiTheme="minorHAnsi" w:hAnsiTheme="minorHAnsi" w:cstheme="minorHAnsi"/>
        </w:rPr>
        <w:t> –</w:t>
      </w:r>
      <w:r>
        <w:rPr>
          <w:rFonts w:asciiTheme="minorHAnsi" w:hAnsiTheme="minorHAnsi" w:cstheme="minorHAnsi"/>
        </w:rPr>
        <w:t xml:space="preserve"> </w:t>
      </w:r>
      <w:r w:rsidRPr="001B6A31">
        <w:rPr>
          <w:rFonts w:asciiTheme="minorHAnsi" w:hAnsiTheme="minorHAnsi" w:cstheme="minorHAnsi"/>
          <w:i/>
          <w:iCs/>
        </w:rPr>
        <w:t>Peněžní prostředky státu určené na účelovou podporu výzkumu a vývoje prostřednictvím rozpočtové kapitoly Technologická agentura České republiky</w:t>
      </w:r>
      <w:r>
        <w:rPr>
          <w:rFonts w:asciiTheme="minorHAnsi" w:hAnsiTheme="minorHAnsi" w:cstheme="minorHAnsi"/>
        </w:rPr>
        <w:t>.</w:t>
      </w:r>
    </w:p>
  </w:footnote>
  <w:footnote w:id="5">
    <w:p w14:paraId="4310C0B4" w14:textId="58028644" w:rsidR="00DD183F" w:rsidRDefault="00DD183F" w:rsidP="00C475A9">
      <w:pPr>
        <w:pStyle w:val="Textpoznpodarou"/>
        <w:ind w:left="284" w:hanging="284"/>
        <w:jc w:val="both"/>
      </w:pPr>
      <w:r>
        <w:rPr>
          <w:rStyle w:val="Znakapoznpodarou"/>
        </w:rPr>
        <w:footnoteRef/>
      </w:r>
      <w:r>
        <w:t xml:space="preserve"> </w:t>
      </w:r>
      <w:r w:rsidR="00C475A9">
        <w:tab/>
      </w:r>
      <w:r w:rsidRPr="004F5011">
        <w:rPr>
          <w:rFonts w:asciiTheme="minorHAnsi" w:hAnsiTheme="minorHAnsi" w:cstheme="minorHAnsi"/>
        </w:rPr>
        <w:t>Usnesení vlády ČR</w:t>
      </w:r>
      <w:r>
        <w:rPr>
          <w:rFonts w:asciiTheme="minorHAnsi" w:hAnsiTheme="minorHAnsi" w:cstheme="minorHAnsi"/>
        </w:rPr>
        <w:t xml:space="preserve"> </w:t>
      </w:r>
      <w:r w:rsidRPr="005A4C42">
        <w:rPr>
          <w:rFonts w:asciiTheme="minorHAnsi" w:hAnsiTheme="minorHAnsi" w:cstheme="minorHAnsi"/>
          <w:color w:val="000000" w:themeColor="text1"/>
        </w:rPr>
        <w:t>č. 287 ze dne 26. března 2008</w:t>
      </w:r>
      <w:r w:rsidR="00FC4DE3">
        <w:rPr>
          <w:rFonts w:asciiTheme="minorHAnsi" w:hAnsiTheme="minorHAnsi" w:cstheme="minorHAnsi"/>
          <w:color w:val="000000" w:themeColor="text1"/>
        </w:rPr>
        <w:t>,</w:t>
      </w:r>
      <w:r w:rsidRPr="005A4C42">
        <w:rPr>
          <w:rFonts w:asciiTheme="minorHAnsi" w:hAnsiTheme="minorHAnsi" w:cstheme="minorHAnsi"/>
          <w:color w:val="000000" w:themeColor="text1"/>
        </w:rPr>
        <w:t xml:space="preserve"> </w:t>
      </w:r>
      <w:r w:rsidRPr="001B6A31">
        <w:rPr>
          <w:rFonts w:asciiTheme="minorHAnsi" w:hAnsiTheme="minorHAnsi" w:cstheme="minorHAnsi"/>
          <w:i/>
          <w:iCs/>
          <w:color w:val="000000" w:themeColor="text1"/>
        </w:rPr>
        <w:t>k návrhu Reformy systému výzkumu, vývoje a inovací v České republice</w:t>
      </w:r>
      <w:r w:rsidRPr="005A4C42">
        <w:rPr>
          <w:rFonts w:asciiTheme="minorHAnsi" w:hAnsiTheme="minorHAnsi" w:cstheme="minorHAnsi"/>
          <w:color w:val="000000" w:themeColor="text1"/>
        </w:rPr>
        <w:t>.</w:t>
      </w:r>
    </w:p>
  </w:footnote>
  <w:footnote w:id="6">
    <w:p w14:paraId="2F10002F" w14:textId="0C5F2842" w:rsidR="00DD183F" w:rsidRPr="00D332E5" w:rsidRDefault="00DD183F" w:rsidP="00C475A9">
      <w:pPr>
        <w:pStyle w:val="Textpoznpodarou"/>
        <w:ind w:left="284" w:hanging="284"/>
        <w:jc w:val="both"/>
        <w:rPr>
          <w:rFonts w:asciiTheme="minorHAnsi" w:hAnsiTheme="minorHAnsi" w:cstheme="minorHAnsi"/>
        </w:rPr>
      </w:pPr>
      <w:r w:rsidRPr="00D332E5">
        <w:rPr>
          <w:rStyle w:val="Znakapoznpodarou"/>
          <w:rFonts w:asciiTheme="minorHAnsi" w:hAnsiTheme="minorHAnsi" w:cstheme="minorHAnsi"/>
        </w:rPr>
        <w:footnoteRef/>
      </w:r>
      <w:r w:rsidRPr="00D332E5">
        <w:rPr>
          <w:rFonts w:asciiTheme="minorHAnsi" w:hAnsiTheme="minorHAnsi" w:cstheme="minorHAnsi"/>
        </w:rPr>
        <w:t xml:space="preserve"> </w:t>
      </w:r>
      <w:r w:rsidR="00C475A9">
        <w:rPr>
          <w:rFonts w:asciiTheme="minorHAnsi" w:hAnsiTheme="minorHAnsi" w:cstheme="minorHAnsi"/>
        </w:rPr>
        <w:tab/>
      </w:r>
      <w:r w:rsidRPr="00D332E5">
        <w:rPr>
          <w:rFonts w:asciiTheme="minorHAnsi" w:hAnsiTheme="minorHAnsi" w:cstheme="minorHAnsi"/>
        </w:rPr>
        <w:t xml:space="preserve">Usnesení vlády ČR ze dne 5. prosince 2016 č. 1079, </w:t>
      </w:r>
      <w:r w:rsidRPr="00202DF7">
        <w:rPr>
          <w:rFonts w:asciiTheme="minorHAnsi" w:hAnsiTheme="minorHAnsi" w:cstheme="minorHAnsi"/>
          <w:i/>
          <w:iCs/>
        </w:rPr>
        <w:t>ke Kontrolnímu závěru Nejvyššího kontrolního úřadu z kontrolní akce č. 15/27 Peněžní prostředky státu určené na účelovou podporu výzkumu a vývoje prostřednictvím rozpočtové kapitoly Technologická agentura České republiky</w:t>
      </w:r>
      <w:r w:rsidRPr="00D332E5">
        <w:rPr>
          <w:rFonts w:asciiTheme="minorHAnsi" w:hAnsiTheme="minorHAnsi" w:cstheme="minorHAnsi"/>
        </w:rPr>
        <w:t>.</w:t>
      </w:r>
    </w:p>
  </w:footnote>
  <w:footnote w:id="7">
    <w:p w14:paraId="10EDD520" w14:textId="39981A23" w:rsidR="00DD183F" w:rsidRPr="00182247" w:rsidRDefault="00DD183F" w:rsidP="00C475A9">
      <w:pPr>
        <w:pStyle w:val="Textpoznpodarou"/>
        <w:ind w:left="284" w:hanging="284"/>
        <w:jc w:val="both"/>
        <w:rPr>
          <w:rFonts w:asciiTheme="minorHAnsi" w:hAnsiTheme="minorHAnsi" w:cstheme="minorHAnsi"/>
        </w:rPr>
      </w:pPr>
      <w:r w:rsidRPr="00D332E5">
        <w:rPr>
          <w:rStyle w:val="Znakapoznpodarou"/>
          <w:rFonts w:asciiTheme="minorHAnsi" w:hAnsiTheme="minorHAnsi" w:cstheme="minorHAnsi"/>
        </w:rPr>
        <w:footnoteRef/>
      </w:r>
      <w:r w:rsidRPr="00D332E5">
        <w:rPr>
          <w:rFonts w:asciiTheme="minorHAnsi" w:hAnsiTheme="minorHAnsi" w:cstheme="minorHAnsi"/>
        </w:rPr>
        <w:t xml:space="preserve"> </w:t>
      </w:r>
      <w:r w:rsidR="00C475A9">
        <w:rPr>
          <w:rFonts w:asciiTheme="minorHAnsi" w:hAnsiTheme="minorHAnsi" w:cstheme="minorHAnsi"/>
        </w:rPr>
        <w:tab/>
      </w:r>
      <w:r w:rsidRPr="00202DF7">
        <w:rPr>
          <w:rFonts w:asciiTheme="minorHAnsi" w:hAnsiTheme="minorHAnsi" w:cstheme="minorHAnsi"/>
          <w:i/>
          <w:iCs/>
        </w:rPr>
        <w:t>Informace o plnění opatření ze stanoviska Technologické agentury České republiky ke Kontrolnímu závěru Nejvyššího kontrolního úřadu z kontrolní akce č. 15/27 Peněžní prostředky státu určené na účelovou podporu výzkumu a vývoje prostřednictvím rozpočtové kapitoly Technologická agentura České republiky</w:t>
      </w:r>
      <w:r w:rsidRPr="00D332E5">
        <w:rPr>
          <w:rFonts w:asciiTheme="minorHAnsi" w:hAnsiTheme="minorHAnsi" w:cstheme="minorHAnsi"/>
        </w:rPr>
        <w:t>.</w:t>
      </w:r>
    </w:p>
  </w:footnote>
  <w:footnote w:id="8">
    <w:p w14:paraId="731ABA2F" w14:textId="1B2F76FE" w:rsidR="00DD183F" w:rsidRPr="00D332E5" w:rsidRDefault="00DD183F" w:rsidP="00C475A9">
      <w:pPr>
        <w:pStyle w:val="Textpoznpodarou"/>
        <w:ind w:left="284" w:hanging="284"/>
        <w:jc w:val="both"/>
        <w:rPr>
          <w:rFonts w:asciiTheme="minorHAnsi" w:hAnsiTheme="minorHAnsi" w:cstheme="minorHAnsi"/>
        </w:rPr>
      </w:pPr>
      <w:r w:rsidRPr="00D332E5">
        <w:rPr>
          <w:rStyle w:val="Znakapoznpodarou"/>
          <w:rFonts w:asciiTheme="minorHAnsi" w:hAnsiTheme="minorHAnsi" w:cstheme="minorHAnsi"/>
        </w:rPr>
        <w:footnoteRef/>
      </w:r>
      <w:r w:rsidRPr="00D332E5">
        <w:rPr>
          <w:rFonts w:asciiTheme="minorHAnsi" w:hAnsiTheme="minorHAnsi" w:cstheme="minorHAnsi"/>
        </w:rPr>
        <w:t xml:space="preserve"> </w:t>
      </w:r>
      <w:r w:rsidR="00C475A9">
        <w:rPr>
          <w:rFonts w:asciiTheme="minorHAnsi" w:hAnsiTheme="minorHAnsi" w:cstheme="minorHAnsi"/>
        </w:rPr>
        <w:tab/>
      </w:r>
      <w:r w:rsidRPr="00D332E5">
        <w:rPr>
          <w:rFonts w:asciiTheme="minorHAnsi" w:hAnsiTheme="minorHAnsi" w:cstheme="minorHAnsi"/>
        </w:rPr>
        <w:t xml:space="preserve">Usnesení vlády ČR ze dne 6. listopadu 2017 č. 780, </w:t>
      </w:r>
      <w:r w:rsidRPr="00202DF7">
        <w:rPr>
          <w:rFonts w:asciiTheme="minorHAnsi" w:hAnsiTheme="minorHAnsi" w:cstheme="minorHAnsi"/>
          <w:i/>
          <w:iCs/>
        </w:rPr>
        <w:t>ke Kontrolnímu závěru Nejvyššího kontrolního úřadu z kontrolní akce č. 16/19 Peněžní prostředky státu určené na účelovou podporu výzkumu a vývoje prostřednictvím rozpočtové kapitoly Grantová agentura České republiky</w:t>
      </w:r>
      <w:r w:rsidRPr="00D332E5">
        <w:rPr>
          <w:rFonts w:asciiTheme="minorHAnsi" w:hAnsiTheme="minorHAnsi" w:cstheme="minorHAnsi"/>
        </w:rPr>
        <w:t>.</w:t>
      </w:r>
    </w:p>
  </w:footnote>
  <w:footnote w:id="9">
    <w:p w14:paraId="5C02B496" w14:textId="06F4A101" w:rsidR="00DD183F" w:rsidRPr="00A53793" w:rsidRDefault="00DD183F" w:rsidP="00C475A9">
      <w:pPr>
        <w:pStyle w:val="Textpoznpodarou"/>
        <w:ind w:left="284" w:hanging="284"/>
        <w:jc w:val="both"/>
        <w:rPr>
          <w:rFonts w:asciiTheme="minorHAnsi" w:hAnsiTheme="minorHAnsi" w:cstheme="minorHAnsi"/>
        </w:rPr>
      </w:pPr>
      <w:r w:rsidRPr="00D332E5">
        <w:rPr>
          <w:rStyle w:val="Znakapoznpodarou"/>
          <w:rFonts w:asciiTheme="minorHAnsi" w:hAnsiTheme="minorHAnsi" w:cstheme="minorHAnsi"/>
        </w:rPr>
        <w:footnoteRef/>
      </w:r>
      <w:r w:rsidRPr="00D332E5">
        <w:rPr>
          <w:rFonts w:asciiTheme="minorHAnsi" w:hAnsiTheme="minorHAnsi" w:cstheme="minorHAnsi"/>
        </w:rPr>
        <w:t xml:space="preserve"> </w:t>
      </w:r>
      <w:r w:rsidR="00C475A9">
        <w:rPr>
          <w:rFonts w:asciiTheme="minorHAnsi" w:hAnsiTheme="minorHAnsi" w:cstheme="minorHAnsi"/>
        </w:rPr>
        <w:tab/>
      </w:r>
      <w:r w:rsidRPr="00202DF7">
        <w:rPr>
          <w:rFonts w:asciiTheme="minorHAnsi" w:hAnsiTheme="minorHAnsi" w:cstheme="minorHAnsi"/>
          <w:i/>
          <w:iCs/>
        </w:rPr>
        <w:t>Informace o plnění opatření ze stanoviska Grantové agentury České republiky ke Kontrolnímu závěru Nejvyššího kontrolního úřadu z kontrolní akce č. 16/19 Peněžní prostředky státu určené na účelovou podporu výzkumu a vývoje prostřednictvím rozpočtové kapitoly Grantová agentura České republiky</w:t>
      </w:r>
      <w:r w:rsidRPr="00D332E5">
        <w:rPr>
          <w:rFonts w:asciiTheme="minorHAnsi" w:hAnsiTheme="minorHAnsi" w:cstheme="minorHAnsi"/>
        </w:rPr>
        <w:t>.</w:t>
      </w:r>
    </w:p>
  </w:footnote>
  <w:footnote w:id="10">
    <w:p w14:paraId="3D6F9090" w14:textId="4322F1D4" w:rsidR="00DD183F" w:rsidRDefault="00DD183F" w:rsidP="00C475A9">
      <w:pPr>
        <w:pStyle w:val="Textpoznpodarou"/>
        <w:ind w:left="284" w:hanging="284"/>
        <w:jc w:val="both"/>
      </w:pPr>
      <w:r>
        <w:rPr>
          <w:rStyle w:val="Znakapoznpodarou"/>
        </w:rPr>
        <w:footnoteRef/>
      </w:r>
      <w:r>
        <w:t xml:space="preserve"> </w:t>
      </w:r>
      <w:r w:rsidR="00C475A9">
        <w:tab/>
      </w:r>
      <w:r w:rsidRPr="004F5011">
        <w:rPr>
          <w:rFonts w:asciiTheme="minorHAnsi" w:hAnsiTheme="minorHAnsi" w:cstheme="minorHAnsi"/>
        </w:rPr>
        <w:t>Viz</w:t>
      </w:r>
      <w:r>
        <w:rPr>
          <w:rFonts w:asciiTheme="minorHAnsi" w:hAnsiTheme="minorHAnsi" w:cstheme="minorHAnsi"/>
        </w:rPr>
        <w:t xml:space="preserve"> nedostatky zjištěné v předešlých kontrolách NKÚ, </w:t>
      </w:r>
      <w:r w:rsidR="00BF3BD9">
        <w:rPr>
          <w:rFonts w:asciiTheme="minorHAnsi" w:hAnsiTheme="minorHAnsi" w:cstheme="minorHAnsi"/>
        </w:rPr>
        <w:t>m</w:t>
      </w:r>
      <w:r>
        <w:rPr>
          <w:rFonts w:asciiTheme="minorHAnsi" w:hAnsiTheme="minorHAnsi" w:cstheme="minorHAnsi"/>
        </w:rPr>
        <w:t xml:space="preserve">emorandum o spolupráci, </w:t>
      </w:r>
      <w:r w:rsidRPr="00202DF7">
        <w:rPr>
          <w:rFonts w:asciiTheme="minorHAnsi" w:hAnsiTheme="minorHAnsi" w:cstheme="minorHAnsi"/>
          <w:i/>
          <w:iCs/>
        </w:rPr>
        <w:t>Koncepce činnosti G</w:t>
      </w:r>
      <w:r w:rsidR="00BF3BD9" w:rsidRPr="00202DF7">
        <w:rPr>
          <w:rFonts w:asciiTheme="minorHAnsi" w:hAnsiTheme="minorHAnsi" w:cstheme="minorHAnsi"/>
          <w:i/>
          <w:iCs/>
        </w:rPr>
        <w:t>rantové agentury</w:t>
      </w:r>
      <w:r w:rsidRPr="00202DF7">
        <w:rPr>
          <w:rFonts w:asciiTheme="minorHAnsi" w:hAnsiTheme="minorHAnsi" w:cstheme="minorHAnsi"/>
          <w:i/>
          <w:iCs/>
        </w:rPr>
        <w:t xml:space="preserve"> Č</w:t>
      </w:r>
      <w:r w:rsidR="00BF3BD9" w:rsidRPr="00202DF7">
        <w:rPr>
          <w:rFonts w:asciiTheme="minorHAnsi" w:hAnsiTheme="minorHAnsi" w:cstheme="minorHAnsi"/>
          <w:i/>
          <w:iCs/>
        </w:rPr>
        <w:t>eské republiky</w:t>
      </w:r>
      <w:r w:rsidRPr="00202DF7">
        <w:rPr>
          <w:rFonts w:asciiTheme="minorHAnsi" w:hAnsiTheme="minorHAnsi" w:cstheme="minorHAnsi"/>
          <w:i/>
          <w:iCs/>
        </w:rPr>
        <w:t xml:space="preserve"> 2021+</w:t>
      </w:r>
      <w:r>
        <w:rPr>
          <w:rFonts w:asciiTheme="minorHAnsi" w:hAnsiTheme="minorHAnsi" w:cstheme="minorHAnsi"/>
        </w:rPr>
        <w:t xml:space="preserve">, </w:t>
      </w:r>
      <w:r w:rsidRPr="00202DF7">
        <w:rPr>
          <w:rFonts w:asciiTheme="minorHAnsi" w:hAnsiTheme="minorHAnsi" w:cstheme="minorHAnsi"/>
          <w:i/>
          <w:iCs/>
        </w:rPr>
        <w:t>Národní priority orientovaného výzkumu, experimentálního vývoje a inovací</w:t>
      </w:r>
      <w:r>
        <w:rPr>
          <w:rFonts w:asciiTheme="minorHAnsi" w:hAnsiTheme="minorHAnsi" w:cstheme="minorHAnsi"/>
        </w:rPr>
        <w:t xml:space="preserve">. </w:t>
      </w:r>
    </w:p>
  </w:footnote>
  <w:footnote w:id="11">
    <w:p w14:paraId="7BA828C3" w14:textId="643EF1C9" w:rsidR="00DD183F" w:rsidRPr="004F5011" w:rsidRDefault="00DD183F" w:rsidP="001B3FE1">
      <w:pPr>
        <w:pStyle w:val="Textpoznpodarou"/>
        <w:ind w:left="284" w:hanging="284"/>
        <w:jc w:val="both"/>
        <w:rPr>
          <w:rFonts w:asciiTheme="minorHAnsi" w:hAnsiTheme="minorHAnsi" w:cstheme="minorHAnsi"/>
        </w:rPr>
      </w:pPr>
      <w:r w:rsidRPr="004F5011">
        <w:rPr>
          <w:rStyle w:val="Znakapoznpodarou"/>
          <w:rFonts w:asciiTheme="minorHAnsi" w:hAnsiTheme="minorHAnsi" w:cstheme="minorHAnsi"/>
        </w:rPr>
        <w:footnoteRef/>
      </w:r>
      <w:r w:rsidRPr="004F5011">
        <w:rPr>
          <w:rFonts w:asciiTheme="minorHAnsi" w:hAnsiTheme="minorHAnsi" w:cstheme="minorHAnsi"/>
        </w:rPr>
        <w:t xml:space="preserve"> </w:t>
      </w:r>
      <w:r w:rsidR="001B3FE1">
        <w:rPr>
          <w:rFonts w:asciiTheme="minorHAnsi" w:hAnsiTheme="minorHAnsi" w:cstheme="minorHAnsi"/>
        </w:rPr>
        <w:tab/>
      </w:r>
      <w:r w:rsidRPr="004F5011">
        <w:rPr>
          <w:rFonts w:asciiTheme="minorHAnsi" w:hAnsiTheme="minorHAnsi" w:cstheme="minorHAnsi"/>
        </w:rPr>
        <w:t>Usnesení</w:t>
      </w:r>
      <w:r>
        <w:rPr>
          <w:rFonts w:asciiTheme="minorHAnsi" w:hAnsiTheme="minorHAnsi" w:cstheme="minorHAnsi"/>
        </w:rPr>
        <w:t xml:space="preserve"> vlády České republiky ze dne 15. listopadu č. 1022</w:t>
      </w:r>
      <w:r w:rsidR="00E36663">
        <w:rPr>
          <w:rFonts w:asciiTheme="minorHAnsi" w:hAnsiTheme="minorHAnsi" w:cstheme="minorHAnsi"/>
        </w:rPr>
        <w:t>,</w:t>
      </w:r>
      <w:r>
        <w:rPr>
          <w:rFonts w:asciiTheme="minorHAnsi" w:hAnsiTheme="minorHAnsi" w:cstheme="minorHAnsi"/>
        </w:rPr>
        <w:t xml:space="preserve"> </w:t>
      </w:r>
      <w:r w:rsidRPr="00202DF7">
        <w:rPr>
          <w:rFonts w:asciiTheme="minorHAnsi" w:hAnsiTheme="minorHAnsi" w:cstheme="minorHAnsi"/>
          <w:i/>
          <w:iCs/>
        </w:rPr>
        <w:t>o skupině grantových projektů Grantové projekty orientovaného základního výzkumu</w:t>
      </w:r>
      <w:r>
        <w:rPr>
          <w:rFonts w:asciiTheme="minorHAnsi" w:hAnsiTheme="minorHAnsi" w:cstheme="minorHAnsi"/>
        </w:rPr>
        <w:t xml:space="preserve">. </w:t>
      </w:r>
    </w:p>
  </w:footnote>
  <w:footnote w:id="12">
    <w:p w14:paraId="259BF565" w14:textId="76BFEA69" w:rsidR="00DD183F" w:rsidRDefault="00DD183F" w:rsidP="001B3FE1">
      <w:pPr>
        <w:pStyle w:val="Textpoznpodarou"/>
        <w:ind w:left="284" w:hanging="284"/>
        <w:jc w:val="both"/>
      </w:pPr>
      <w:r>
        <w:rPr>
          <w:rStyle w:val="Znakapoznpodarou"/>
        </w:rPr>
        <w:footnoteRef/>
      </w:r>
      <w:r>
        <w:t xml:space="preserve"> </w:t>
      </w:r>
      <w:r w:rsidR="001B3FE1">
        <w:tab/>
      </w:r>
      <w:r w:rsidRPr="00B1618C">
        <w:rPr>
          <w:rFonts w:asciiTheme="minorHAnsi" w:hAnsiTheme="minorHAnsi" w:cstheme="minorHAnsi"/>
        </w:rPr>
        <w:t>Jeden program měl specifické zaměření na potřeby státní správy</w:t>
      </w:r>
      <w:r w:rsidR="00E36663">
        <w:rPr>
          <w:rFonts w:asciiTheme="minorHAnsi" w:hAnsiTheme="minorHAnsi" w:cstheme="minorHAnsi"/>
        </w:rPr>
        <w:t>,</w:t>
      </w:r>
      <w:r w:rsidRPr="00B1618C">
        <w:rPr>
          <w:rFonts w:asciiTheme="minorHAnsi" w:hAnsiTheme="minorHAnsi" w:cstheme="minorHAnsi"/>
        </w:rPr>
        <w:t xml:space="preserve"> a nevyžadoval proto spolupráci soukromého a</w:t>
      </w:r>
      <w:r>
        <w:rPr>
          <w:rFonts w:asciiTheme="minorHAnsi" w:hAnsiTheme="minorHAnsi" w:cstheme="minorHAnsi"/>
        </w:rPr>
        <w:t> </w:t>
      </w:r>
      <w:r w:rsidRPr="00B1618C">
        <w:rPr>
          <w:rFonts w:asciiTheme="minorHAnsi" w:hAnsiTheme="minorHAnsi" w:cstheme="minorHAnsi"/>
        </w:rPr>
        <w:t>veřejného sektoru</w:t>
      </w:r>
      <w:r>
        <w:rPr>
          <w:rFonts w:asciiTheme="minorHAnsi" w:hAnsiTheme="minorHAnsi" w:cstheme="minorHAnsi"/>
        </w:rPr>
        <w:t>.</w:t>
      </w:r>
    </w:p>
  </w:footnote>
  <w:footnote w:id="13">
    <w:p w14:paraId="3FB7518F" w14:textId="7CCE097B" w:rsidR="00DD183F" w:rsidRPr="006225B4" w:rsidRDefault="00DD183F" w:rsidP="001B3FE1">
      <w:pPr>
        <w:pStyle w:val="Textpoznpodarou"/>
        <w:ind w:left="284" w:hanging="284"/>
        <w:jc w:val="both"/>
        <w:rPr>
          <w:rFonts w:asciiTheme="minorHAnsi" w:hAnsiTheme="minorHAnsi" w:cstheme="minorHAnsi"/>
        </w:rPr>
      </w:pPr>
      <w:r>
        <w:rPr>
          <w:rStyle w:val="Znakapoznpodarou"/>
        </w:rPr>
        <w:footnoteRef/>
      </w:r>
      <w:r>
        <w:t xml:space="preserve"> </w:t>
      </w:r>
      <w:r w:rsidR="001B3FE1">
        <w:tab/>
      </w:r>
      <w:r w:rsidRPr="00010976">
        <w:rPr>
          <w:rFonts w:asciiTheme="minorHAnsi" w:hAnsiTheme="minorHAnsi" w:cstheme="minorHAnsi"/>
          <w:i/>
          <w:iCs/>
        </w:rPr>
        <w:t xml:space="preserve">Patent </w:t>
      </w:r>
      <w:r w:rsidRPr="00010976">
        <w:rPr>
          <w:rFonts w:asciiTheme="minorHAnsi" w:hAnsiTheme="minorHAnsi" w:cstheme="minorHAnsi"/>
          <w:i/>
          <w:iCs/>
        </w:rPr>
        <w:t>Cooperation Treaty</w:t>
      </w:r>
      <w:r w:rsidRPr="00795460">
        <w:rPr>
          <w:rFonts w:asciiTheme="minorHAnsi" w:hAnsiTheme="minorHAnsi" w:cstheme="minorHAnsi"/>
        </w:rPr>
        <w:t xml:space="preserve"> – </w:t>
      </w:r>
      <w:r w:rsidRPr="00010976">
        <w:rPr>
          <w:rFonts w:asciiTheme="minorHAnsi" w:hAnsiTheme="minorHAnsi" w:cstheme="minorHAnsi"/>
          <w:i/>
          <w:iCs/>
        </w:rPr>
        <w:t>Smlouva o patentové spolupráci</w:t>
      </w:r>
      <w:r w:rsidRPr="00795460">
        <w:rPr>
          <w:rFonts w:asciiTheme="minorHAnsi" w:hAnsiTheme="minorHAnsi" w:cstheme="minorHAnsi"/>
        </w:rPr>
        <w:t>, sdružující 1</w:t>
      </w:r>
      <w:r>
        <w:rPr>
          <w:rFonts w:asciiTheme="minorHAnsi" w:hAnsiTheme="minorHAnsi" w:cstheme="minorHAnsi"/>
        </w:rPr>
        <w:t>5</w:t>
      </w:r>
      <w:r w:rsidRPr="00795460">
        <w:rPr>
          <w:rFonts w:asciiTheme="minorHAnsi" w:hAnsiTheme="minorHAnsi" w:cstheme="minorHAnsi"/>
        </w:rPr>
        <w:t>8 členských států</w:t>
      </w:r>
      <w:r>
        <w:rPr>
          <w:rFonts w:asciiTheme="minorHAnsi" w:hAnsiTheme="minorHAnsi" w:cstheme="minorHAnsi"/>
        </w:rPr>
        <w:t>.</w:t>
      </w:r>
    </w:p>
  </w:footnote>
  <w:footnote w:id="14">
    <w:p w14:paraId="64F954A4" w14:textId="08B3C7CB" w:rsidR="003628C6" w:rsidRPr="001C6490" w:rsidRDefault="003628C6" w:rsidP="001C6490">
      <w:pPr>
        <w:pStyle w:val="Textpoznpodarou"/>
        <w:ind w:left="284" w:hanging="284"/>
        <w:rPr>
          <w:rFonts w:ascii="Calibri" w:hAnsi="Calibri" w:cs="Calibri"/>
        </w:rPr>
      </w:pPr>
      <w:r w:rsidRPr="001C6490">
        <w:rPr>
          <w:rStyle w:val="Znakapoznpodarou"/>
          <w:rFonts w:ascii="Calibri" w:hAnsi="Calibri" w:cs="Calibri"/>
        </w:rPr>
        <w:footnoteRef/>
      </w:r>
      <w:r w:rsidRPr="001C6490">
        <w:rPr>
          <w:rFonts w:ascii="Calibri" w:hAnsi="Calibri" w:cs="Calibri"/>
        </w:rPr>
        <w:t xml:space="preserve"> </w:t>
      </w:r>
      <w:r w:rsidR="001C6490">
        <w:rPr>
          <w:rFonts w:ascii="Calibri" w:hAnsi="Calibri" w:cs="Calibri"/>
        </w:rPr>
        <w:tab/>
      </w:r>
      <w:r w:rsidRPr="001C6490">
        <w:rPr>
          <w:rFonts w:ascii="Calibri" w:hAnsi="Calibri" w:cs="Calibri"/>
        </w:rPr>
        <w:t xml:space="preserve">Sčítání jednotlivých typů výsledků slouží k hrubé základní orientaci. </w:t>
      </w:r>
    </w:p>
  </w:footnote>
  <w:footnote w:id="15">
    <w:p w14:paraId="35E3BE8D" w14:textId="5B24957F" w:rsidR="00DD183F" w:rsidRPr="00D606B3" w:rsidRDefault="00DD183F" w:rsidP="00D44236">
      <w:pPr>
        <w:pStyle w:val="Textpoznpodarou"/>
        <w:ind w:left="284" w:hanging="284"/>
        <w:rPr>
          <w:rFonts w:asciiTheme="minorHAnsi" w:hAnsiTheme="minorHAnsi" w:cstheme="minorHAnsi"/>
        </w:rPr>
      </w:pPr>
      <w:r w:rsidRPr="00D606B3">
        <w:rPr>
          <w:rStyle w:val="Znakapoznpodarou"/>
          <w:rFonts w:asciiTheme="minorHAnsi" w:hAnsiTheme="minorHAnsi" w:cstheme="minorHAnsi"/>
        </w:rPr>
        <w:footnoteRef/>
      </w:r>
      <w:r w:rsidRPr="00D606B3">
        <w:rPr>
          <w:rFonts w:asciiTheme="minorHAnsi" w:hAnsiTheme="minorHAnsi" w:cstheme="minorHAnsi"/>
        </w:rPr>
        <w:t xml:space="preserve"> </w:t>
      </w:r>
      <w:r w:rsidR="00D44236">
        <w:rPr>
          <w:rFonts w:asciiTheme="minorHAnsi" w:hAnsiTheme="minorHAnsi" w:cstheme="minorHAnsi"/>
        </w:rPr>
        <w:tab/>
      </w:r>
      <w:r w:rsidRPr="00D606B3">
        <w:rPr>
          <w:rFonts w:asciiTheme="minorHAnsi" w:hAnsiTheme="minorHAnsi" w:cstheme="minorHAnsi"/>
        </w:rPr>
        <w:t>Od roku 2024</w:t>
      </w:r>
      <w:r>
        <w:rPr>
          <w:rFonts w:asciiTheme="minorHAnsi" w:hAnsiTheme="minorHAnsi" w:cstheme="minorHAnsi"/>
        </w:rPr>
        <w:t>.</w:t>
      </w:r>
    </w:p>
  </w:footnote>
  <w:footnote w:id="16">
    <w:p w14:paraId="7D11E8A2" w14:textId="544E8C66" w:rsidR="00DD183F" w:rsidRDefault="00DD183F" w:rsidP="00D44236">
      <w:pPr>
        <w:pStyle w:val="Textpoznpodarou"/>
        <w:ind w:left="284" w:hanging="284"/>
      </w:pPr>
      <w:r w:rsidRPr="00D606B3">
        <w:rPr>
          <w:rStyle w:val="Znakapoznpodarou"/>
          <w:rFonts w:asciiTheme="minorHAnsi" w:hAnsiTheme="minorHAnsi" w:cstheme="minorHAnsi"/>
        </w:rPr>
        <w:footnoteRef/>
      </w:r>
      <w:r w:rsidRPr="00D606B3">
        <w:rPr>
          <w:rFonts w:asciiTheme="minorHAnsi" w:hAnsiTheme="minorHAnsi" w:cstheme="minorHAnsi"/>
        </w:rPr>
        <w:t xml:space="preserve"> </w:t>
      </w:r>
      <w:r w:rsidR="00D44236">
        <w:rPr>
          <w:rFonts w:asciiTheme="minorHAnsi" w:hAnsiTheme="minorHAnsi" w:cstheme="minorHAnsi"/>
        </w:rPr>
        <w:tab/>
      </w:r>
      <w:r w:rsidRPr="00D606B3">
        <w:rPr>
          <w:rFonts w:asciiTheme="minorHAnsi" w:hAnsiTheme="minorHAnsi" w:cstheme="minorHAnsi"/>
        </w:rPr>
        <w:t xml:space="preserve">Pro Ministerstvo průmyslu a obchodu </w:t>
      </w:r>
      <w:r w:rsidR="002F6575">
        <w:rPr>
          <w:rFonts w:asciiTheme="minorHAnsi" w:hAnsiTheme="minorHAnsi" w:cstheme="minorHAnsi"/>
        </w:rPr>
        <w:t xml:space="preserve">administruje </w:t>
      </w:r>
      <w:r w:rsidRPr="00D606B3">
        <w:rPr>
          <w:rFonts w:asciiTheme="minorHAnsi" w:hAnsiTheme="minorHAnsi" w:cstheme="minorHAnsi"/>
        </w:rPr>
        <w:t>pouze jeden program z </w:t>
      </w:r>
      <w:r w:rsidR="002F6575">
        <w:rPr>
          <w:rFonts w:asciiTheme="minorHAnsi" w:hAnsiTheme="minorHAnsi" w:cstheme="minorHAnsi"/>
        </w:rPr>
        <w:t>jeho</w:t>
      </w:r>
      <w:r w:rsidRPr="00D606B3">
        <w:rPr>
          <w:rFonts w:asciiTheme="minorHAnsi" w:hAnsiTheme="minorHAnsi" w:cstheme="minorHAnsi"/>
        </w:rPr>
        <w:t xml:space="preserve"> celkových tří programů.</w:t>
      </w:r>
      <w:r>
        <w:t xml:space="preserve"> </w:t>
      </w:r>
    </w:p>
  </w:footnote>
  <w:footnote w:id="17">
    <w:p w14:paraId="40C35CB0" w14:textId="4BBD8616" w:rsidR="00DD183F" w:rsidRPr="008D3501" w:rsidRDefault="00DD183F" w:rsidP="008D3501">
      <w:pPr>
        <w:pStyle w:val="Textpoznpodarou"/>
        <w:ind w:left="284" w:hanging="284"/>
        <w:jc w:val="both"/>
        <w:rPr>
          <w:rFonts w:ascii="Calibri" w:hAnsi="Calibri" w:cs="Calibri"/>
        </w:rPr>
      </w:pPr>
      <w:r w:rsidRPr="008D3501">
        <w:rPr>
          <w:rStyle w:val="Znakapoznpodarou"/>
          <w:rFonts w:ascii="Calibri" w:hAnsi="Calibri" w:cs="Calibri"/>
        </w:rPr>
        <w:footnoteRef/>
      </w:r>
      <w:r w:rsidRPr="008D3501">
        <w:rPr>
          <w:rFonts w:ascii="Calibri" w:hAnsi="Calibri" w:cs="Calibri"/>
        </w:rPr>
        <w:t xml:space="preserve"> </w:t>
      </w:r>
      <w:bookmarkStart w:id="6" w:name="_Hlk196472059"/>
      <w:r w:rsidR="008D3501">
        <w:rPr>
          <w:rFonts w:ascii="Calibri" w:hAnsi="Calibri" w:cs="Calibri"/>
        </w:rPr>
        <w:tab/>
      </w:r>
      <w:r w:rsidRPr="008D3501">
        <w:rPr>
          <w:rFonts w:ascii="Calibri" w:hAnsi="Calibri" w:cs="Calibri"/>
          <w:bCs/>
        </w:rPr>
        <w:t>Vysoce impaktovaný časopis</w:t>
      </w:r>
      <w:r w:rsidRPr="008D3501">
        <w:rPr>
          <w:rFonts w:ascii="Calibri" w:hAnsi="Calibri" w:cs="Calibri"/>
        </w:rPr>
        <w:t xml:space="preserve"> je odborný časopis, který má </w:t>
      </w:r>
      <w:r w:rsidRPr="008D3501">
        <w:rPr>
          <w:rFonts w:ascii="Calibri" w:hAnsi="Calibri" w:cs="Calibri"/>
          <w:bCs/>
        </w:rPr>
        <w:t>velký vědecký vliv</w:t>
      </w:r>
      <w:r w:rsidRPr="008D3501">
        <w:rPr>
          <w:rFonts w:ascii="Calibri" w:hAnsi="Calibri" w:cs="Calibri"/>
        </w:rPr>
        <w:t xml:space="preserve">, měřený tzv. </w:t>
      </w:r>
      <w:r w:rsidRPr="008D3501">
        <w:rPr>
          <w:rFonts w:ascii="Calibri" w:hAnsi="Calibri" w:cs="Calibri"/>
          <w:bCs/>
        </w:rPr>
        <w:t>impakt faktorem</w:t>
      </w:r>
      <w:r w:rsidRPr="008D3501">
        <w:rPr>
          <w:rFonts w:ascii="Calibri" w:hAnsi="Calibri" w:cs="Calibri"/>
        </w:rPr>
        <w:t xml:space="preserve"> – tedy tím, </w:t>
      </w:r>
      <w:r w:rsidRPr="008D3501">
        <w:rPr>
          <w:rFonts w:ascii="Calibri" w:hAnsi="Calibri" w:cs="Calibri"/>
          <w:bCs/>
        </w:rPr>
        <w:t>jak často jsou články z něj citovány v jiných vědeckých pracích</w:t>
      </w:r>
      <w:r w:rsidRPr="008D3501">
        <w:rPr>
          <w:rFonts w:ascii="Calibri" w:hAnsi="Calibri" w:cs="Calibri"/>
        </w:rPr>
        <w:t>. Čím vyšší impakt faktor, tím prestižnější a významnější časopis ve svém oboru.</w:t>
      </w:r>
      <w:bookmarkEnd w:id="6"/>
    </w:p>
  </w:footnote>
  <w:footnote w:id="18">
    <w:p w14:paraId="455D9ED0" w14:textId="1B53F2D9" w:rsidR="00DD183F" w:rsidRPr="00F500FB" w:rsidRDefault="00DD183F" w:rsidP="00CF689C">
      <w:pPr>
        <w:pStyle w:val="Textpoznpodarou"/>
        <w:ind w:left="284" w:hanging="284"/>
        <w:jc w:val="both"/>
        <w:rPr>
          <w:rFonts w:asciiTheme="minorHAnsi" w:hAnsiTheme="minorHAnsi" w:cstheme="minorHAnsi"/>
        </w:rPr>
      </w:pPr>
      <w:r>
        <w:rPr>
          <w:rStyle w:val="Znakapoznpodarou"/>
        </w:rPr>
        <w:footnoteRef/>
      </w:r>
      <w:r>
        <w:t xml:space="preserve"> </w:t>
      </w:r>
      <w:r w:rsidR="00CF689C">
        <w:tab/>
      </w:r>
      <w:r w:rsidRPr="004F5011">
        <w:rPr>
          <w:rFonts w:asciiTheme="minorHAnsi" w:hAnsiTheme="minorHAnsi" w:cstheme="minorHAnsi"/>
          <w:iCs/>
        </w:rPr>
        <w:t>Usnesení vlády České republiky ze dne 13. května 2015 č. 351</w:t>
      </w:r>
      <w:r w:rsidR="00FB133E">
        <w:rPr>
          <w:rFonts w:asciiTheme="minorHAnsi" w:hAnsiTheme="minorHAnsi" w:cstheme="minorHAnsi"/>
          <w:iCs/>
        </w:rPr>
        <w:t>,</w:t>
      </w:r>
      <w:r w:rsidRPr="004F5011">
        <w:rPr>
          <w:rFonts w:asciiTheme="minorHAnsi" w:hAnsiTheme="minorHAnsi" w:cstheme="minorHAnsi"/>
          <w:iCs/>
        </w:rPr>
        <w:t xml:space="preserve"> </w:t>
      </w:r>
      <w:r w:rsidRPr="00010976">
        <w:rPr>
          <w:rFonts w:asciiTheme="minorHAnsi" w:hAnsiTheme="minorHAnsi" w:cstheme="minorHAnsi"/>
          <w:i/>
        </w:rPr>
        <w:t>k Základním principům přípravy a hodnocení programů a skupin grantových projektů výzkumu, vývoje a inovací</w:t>
      </w:r>
      <w:r w:rsidRPr="004F5011">
        <w:rPr>
          <w:rFonts w:asciiTheme="minorHAnsi" w:hAnsiTheme="minorHAnsi" w:cstheme="minorHAns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6570E"/>
    <w:multiLevelType w:val="hybridMultilevel"/>
    <w:tmpl w:val="D222A6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259BF"/>
    <w:multiLevelType w:val="hybridMultilevel"/>
    <w:tmpl w:val="56B48D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34E65AF"/>
    <w:multiLevelType w:val="hybridMultilevel"/>
    <w:tmpl w:val="97F63112"/>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11EBF"/>
    <w:multiLevelType w:val="hybridMultilevel"/>
    <w:tmpl w:val="7758F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8A72C0"/>
    <w:multiLevelType w:val="hybridMultilevel"/>
    <w:tmpl w:val="EF1474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F1A98"/>
    <w:multiLevelType w:val="hybridMultilevel"/>
    <w:tmpl w:val="97F63112"/>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DF70E6"/>
    <w:multiLevelType w:val="hybridMultilevel"/>
    <w:tmpl w:val="97F63112"/>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A296B"/>
    <w:multiLevelType w:val="hybridMultilevel"/>
    <w:tmpl w:val="3ECA4A98"/>
    <w:lvl w:ilvl="0" w:tplc="04050017">
      <w:start w:val="1"/>
      <w:numFmt w:val="lowerLetter"/>
      <w:lvlText w:val="%1)"/>
      <w:lvlJc w:val="left"/>
      <w:pPr>
        <w:ind w:left="2486" w:hanging="360"/>
      </w:pPr>
    </w:lvl>
    <w:lvl w:ilvl="1" w:tplc="04050019" w:tentative="1">
      <w:start w:val="1"/>
      <w:numFmt w:val="lowerLetter"/>
      <w:lvlText w:val="%2."/>
      <w:lvlJc w:val="left"/>
      <w:pPr>
        <w:ind w:left="3206" w:hanging="360"/>
      </w:pPr>
    </w:lvl>
    <w:lvl w:ilvl="2" w:tplc="0405001B" w:tentative="1">
      <w:start w:val="1"/>
      <w:numFmt w:val="lowerRoman"/>
      <w:lvlText w:val="%3."/>
      <w:lvlJc w:val="right"/>
      <w:pPr>
        <w:ind w:left="3926" w:hanging="180"/>
      </w:pPr>
    </w:lvl>
    <w:lvl w:ilvl="3" w:tplc="0405000F" w:tentative="1">
      <w:start w:val="1"/>
      <w:numFmt w:val="decimal"/>
      <w:lvlText w:val="%4."/>
      <w:lvlJc w:val="left"/>
      <w:pPr>
        <w:ind w:left="4646" w:hanging="360"/>
      </w:pPr>
    </w:lvl>
    <w:lvl w:ilvl="4" w:tplc="04050019" w:tentative="1">
      <w:start w:val="1"/>
      <w:numFmt w:val="lowerLetter"/>
      <w:lvlText w:val="%5."/>
      <w:lvlJc w:val="left"/>
      <w:pPr>
        <w:ind w:left="5366" w:hanging="360"/>
      </w:pPr>
    </w:lvl>
    <w:lvl w:ilvl="5" w:tplc="0405001B" w:tentative="1">
      <w:start w:val="1"/>
      <w:numFmt w:val="lowerRoman"/>
      <w:lvlText w:val="%6."/>
      <w:lvlJc w:val="right"/>
      <w:pPr>
        <w:ind w:left="6086" w:hanging="180"/>
      </w:pPr>
    </w:lvl>
    <w:lvl w:ilvl="6" w:tplc="0405000F" w:tentative="1">
      <w:start w:val="1"/>
      <w:numFmt w:val="decimal"/>
      <w:lvlText w:val="%7."/>
      <w:lvlJc w:val="left"/>
      <w:pPr>
        <w:ind w:left="6806" w:hanging="360"/>
      </w:pPr>
    </w:lvl>
    <w:lvl w:ilvl="7" w:tplc="04050019" w:tentative="1">
      <w:start w:val="1"/>
      <w:numFmt w:val="lowerLetter"/>
      <w:lvlText w:val="%8."/>
      <w:lvlJc w:val="left"/>
      <w:pPr>
        <w:ind w:left="7526" w:hanging="360"/>
      </w:pPr>
    </w:lvl>
    <w:lvl w:ilvl="8" w:tplc="0405001B" w:tentative="1">
      <w:start w:val="1"/>
      <w:numFmt w:val="lowerRoman"/>
      <w:lvlText w:val="%9."/>
      <w:lvlJc w:val="right"/>
      <w:pPr>
        <w:ind w:left="8246" w:hanging="180"/>
      </w:pPr>
    </w:lvl>
  </w:abstractNum>
  <w:abstractNum w:abstractNumId="8" w15:restartNumberingAfterBreak="0">
    <w:nsid w:val="16211F3E"/>
    <w:multiLevelType w:val="hybridMultilevel"/>
    <w:tmpl w:val="E8C8CB00"/>
    <w:lvl w:ilvl="0" w:tplc="F0C0AC32">
      <w:start w:val="1"/>
      <w:numFmt w:val="lowerLetter"/>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F37195"/>
    <w:multiLevelType w:val="hybridMultilevel"/>
    <w:tmpl w:val="8E38950C"/>
    <w:lvl w:ilvl="0" w:tplc="38CA18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A12422"/>
    <w:multiLevelType w:val="hybridMultilevel"/>
    <w:tmpl w:val="97F63112"/>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505335"/>
    <w:multiLevelType w:val="hybridMultilevel"/>
    <w:tmpl w:val="97F63112"/>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335259"/>
    <w:multiLevelType w:val="hybridMultilevel"/>
    <w:tmpl w:val="D3865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5A1487"/>
    <w:multiLevelType w:val="hybridMultilevel"/>
    <w:tmpl w:val="44DE6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6C32DD"/>
    <w:multiLevelType w:val="hybridMultilevel"/>
    <w:tmpl w:val="0D90A7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BE4986"/>
    <w:multiLevelType w:val="hybridMultilevel"/>
    <w:tmpl w:val="985ED7DE"/>
    <w:lvl w:ilvl="0" w:tplc="028643E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1A42A0"/>
    <w:multiLevelType w:val="hybridMultilevel"/>
    <w:tmpl w:val="E8C8CB00"/>
    <w:lvl w:ilvl="0" w:tplc="F0C0AC32">
      <w:start w:val="1"/>
      <w:numFmt w:val="lowerLetter"/>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B741DD"/>
    <w:multiLevelType w:val="hybridMultilevel"/>
    <w:tmpl w:val="E52C7E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52045AE"/>
    <w:multiLevelType w:val="hybridMultilevel"/>
    <w:tmpl w:val="FBDAE9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CCB76D0"/>
    <w:multiLevelType w:val="hybridMultilevel"/>
    <w:tmpl w:val="97E48114"/>
    <w:lvl w:ilvl="0" w:tplc="7DAE0F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0D7E3C"/>
    <w:multiLevelType w:val="hybridMultilevel"/>
    <w:tmpl w:val="1C180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554A8E"/>
    <w:multiLevelType w:val="hybridMultilevel"/>
    <w:tmpl w:val="98100804"/>
    <w:lvl w:ilvl="0" w:tplc="D25C9418">
      <w:start w:val="1"/>
      <w:numFmt w:val="upp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010AA9"/>
    <w:multiLevelType w:val="hybridMultilevel"/>
    <w:tmpl w:val="5E4AA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9E0C42"/>
    <w:multiLevelType w:val="hybridMultilevel"/>
    <w:tmpl w:val="97F63112"/>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E7233D"/>
    <w:multiLevelType w:val="hybridMultilevel"/>
    <w:tmpl w:val="CC045D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9E4EA9"/>
    <w:multiLevelType w:val="hybridMultilevel"/>
    <w:tmpl w:val="BB867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053BA6"/>
    <w:multiLevelType w:val="hybridMultilevel"/>
    <w:tmpl w:val="97F63112"/>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CA437A"/>
    <w:multiLevelType w:val="hybridMultilevel"/>
    <w:tmpl w:val="98100804"/>
    <w:lvl w:ilvl="0" w:tplc="D25C9418">
      <w:start w:val="1"/>
      <w:numFmt w:val="upp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5C6E30"/>
    <w:multiLevelType w:val="hybridMultilevel"/>
    <w:tmpl w:val="D848E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73CFB"/>
    <w:multiLevelType w:val="hybridMultilevel"/>
    <w:tmpl w:val="E8C8CB00"/>
    <w:lvl w:ilvl="0" w:tplc="F0C0AC32">
      <w:start w:val="1"/>
      <w:numFmt w:val="lowerLetter"/>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D808A3"/>
    <w:multiLevelType w:val="hybridMultilevel"/>
    <w:tmpl w:val="6B7027E4"/>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C402D5"/>
    <w:multiLevelType w:val="hybridMultilevel"/>
    <w:tmpl w:val="E8C8CB00"/>
    <w:lvl w:ilvl="0" w:tplc="F0C0AC32">
      <w:start w:val="1"/>
      <w:numFmt w:val="lowerLetter"/>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0B4F0E"/>
    <w:multiLevelType w:val="hybridMultilevel"/>
    <w:tmpl w:val="97F63112"/>
    <w:lvl w:ilvl="0" w:tplc="F0C0AC32">
      <w:start w:val="1"/>
      <w:numFmt w:val="lowerLetter"/>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C20E35"/>
    <w:multiLevelType w:val="hybridMultilevel"/>
    <w:tmpl w:val="E8C8CB00"/>
    <w:lvl w:ilvl="0" w:tplc="F0C0AC32">
      <w:start w:val="1"/>
      <w:numFmt w:val="lowerLetter"/>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0197583">
    <w:abstractNumId w:val="30"/>
  </w:num>
  <w:num w:numId="2" w16cid:durableId="143474583">
    <w:abstractNumId w:val="21"/>
  </w:num>
  <w:num w:numId="3" w16cid:durableId="1900676771">
    <w:abstractNumId w:val="15"/>
  </w:num>
  <w:num w:numId="4" w16cid:durableId="1317802870">
    <w:abstractNumId w:val="9"/>
  </w:num>
  <w:num w:numId="5" w16cid:durableId="1624995949">
    <w:abstractNumId w:val="20"/>
  </w:num>
  <w:num w:numId="6" w16cid:durableId="784933759">
    <w:abstractNumId w:val="4"/>
  </w:num>
  <w:num w:numId="7" w16cid:durableId="1349411516">
    <w:abstractNumId w:val="0"/>
  </w:num>
  <w:num w:numId="8" w16cid:durableId="1775436897">
    <w:abstractNumId w:val="18"/>
  </w:num>
  <w:num w:numId="9" w16cid:durableId="1406149569">
    <w:abstractNumId w:val="25"/>
  </w:num>
  <w:num w:numId="10" w16cid:durableId="716246269">
    <w:abstractNumId w:val="1"/>
  </w:num>
  <w:num w:numId="11" w16cid:durableId="1780950162">
    <w:abstractNumId w:val="13"/>
  </w:num>
  <w:num w:numId="12" w16cid:durableId="2091002852">
    <w:abstractNumId w:val="14"/>
  </w:num>
  <w:num w:numId="13" w16cid:durableId="1547639479">
    <w:abstractNumId w:val="24"/>
  </w:num>
  <w:num w:numId="14" w16cid:durableId="1816528300">
    <w:abstractNumId w:val="17"/>
  </w:num>
  <w:num w:numId="15" w16cid:durableId="619343517">
    <w:abstractNumId w:val="3"/>
  </w:num>
  <w:num w:numId="16" w16cid:durableId="1869834517">
    <w:abstractNumId w:val="28"/>
  </w:num>
  <w:num w:numId="17" w16cid:durableId="408575704">
    <w:abstractNumId w:val="12"/>
  </w:num>
  <w:num w:numId="18" w16cid:durableId="2009164518">
    <w:abstractNumId w:val="22"/>
  </w:num>
  <w:num w:numId="19" w16cid:durableId="1739399990">
    <w:abstractNumId w:val="7"/>
  </w:num>
  <w:num w:numId="20" w16cid:durableId="2027366762">
    <w:abstractNumId w:val="2"/>
  </w:num>
  <w:num w:numId="21" w16cid:durableId="1175463491">
    <w:abstractNumId w:val="10"/>
  </w:num>
  <w:num w:numId="22" w16cid:durableId="257448079">
    <w:abstractNumId w:val="32"/>
  </w:num>
  <w:num w:numId="23" w16cid:durableId="1774202881">
    <w:abstractNumId w:val="26"/>
  </w:num>
  <w:num w:numId="24" w16cid:durableId="1064766524">
    <w:abstractNumId w:val="23"/>
  </w:num>
  <w:num w:numId="25" w16cid:durableId="2089451362">
    <w:abstractNumId w:val="6"/>
  </w:num>
  <w:num w:numId="26" w16cid:durableId="1682076473">
    <w:abstractNumId w:val="5"/>
  </w:num>
  <w:num w:numId="27" w16cid:durableId="1275749705">
    <w:abstractNumId w:val="11"/>
  </w:num>
  <w:num w:numId="28" w16cid:durableId="2001695719">
    <w:abstractNumId w:val="16"/>
  </w:num>
  <w:num w:numId="29" w16cid:durableId="891190767">
    <w:abstractNumId w:val="27"/>
  </w:num>
  <w:num w:numId="30" w16cid:durableId="770973903">
    <w:abstractNumId w:val="8"/>
  </w:num>
  <w:num w:numId="31" w16cid:durableId="1436290307">
    <w:abstractNumId w:val="29"/>
  </w:num>
  <w:num w:numId="32" w16cid:durableId="1170830001">
    <w:abstractNumId w:val="33"/>
  </w:num>
  <w:num w:numId="33" w16cid:durableId="323361361">
    <w:abstractNumId w:val="31"/>
  </w:num>
  <w:num w:numId="34" w16cid:durableId="16385612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4F"/>
    <w:rsid w:val="000003B3"/>
    <w:rsid w:val="00001263"/>
    <w:rsid w:val="0000133A"/>
    <w:rsid w:val="00001915"/>
    <w:rsid w:val="000077F3"/>
    <w:rsid w:val="00010976"/>
    <w:rsid w:val="00013B00"/>
    <w:rsid w:val="00013BD7"/>
    <w:rsid w:val="0002119C"/>
    <w:rsid w:val="000214AF"/>
    <w:rsid w:val="00023489"/>
    <w:rsid w:val="00026D42"/>
    <w:rsid w:val="0002716D"/>
    <w:rsid w:val="00031338"/>
    <w:rsid w:val="00032D78"/>
    <w:rsid w:val="00043838"/>
    <w:rsid w:val="00043D91"/>
    <w:rsid w:val="00045149"/>
    <w:rsid w:val="00052053"/>
    <w:rsid w:val="000537A7"/>
    <w:rsid w:val="0005615A"/>
    <w:rsid w:val="00071B71"/>
    <w:rsid w:val="000739C7"/>
    <w:rsid w:val="000767B4"/>
    <w:rsid w:val="00081B91"/>
    <w:rsid w:val="00083279"/>
    <w:rsid w:val="00084B6C"/>
    <w:rsid w:val="00087A4F"/>
    <w:rsid w:val="00091B4E"/>
    <w:rsid w:val="0009281D"/>
    <w:rsid w:val="00093853"/>
    <w:rsid w:val="00094325"/>
    <w:rsid w:val="000A2A7D"/>
    <w:rsid w:val="000A3526"/>
    <w:rsid w:val="000A3B77"/>
    <w:rsid w:val="000B5C49"/>
    <w:rsid w:val="000D2CC4"/>
    <w:rsid w:val="000E4012"/>
    <w:rsid w:val="000F4D47"/>
    <w:rsid w:val="00100847"/>
    <w:rsid w:val="001014F9"/>
    <w:rsid w:val="00102011"/>
    <w:rsid w:val="001032FD"/>
    <w:rsid w:val="00105145"/>
    <w:rsid w:val="001119BF"/>
    <w:rsid w:val="00111D58"/>
    <w:rsid w:val="0011273A"/>
    <w:rsid w:val="00115080"/>
    <w:rsid w:val="00125163"/>
    <w:rsid w:val="00126940"/>
    <w:rsid w:val="00127D10"/>
    <w:rsid w:val="00130823"/>
    <w:rsid w:val="001317E2"/>
    <w:rsid w:val="0013291A"/>
    <w:rsid w:val="00132FFE"/>
    <w:rsid w:val="0013531E"/>
    <w:rsid w:val="00135A2F"/>
    <w:rsid w:val="00137E20"/>
    <w:rsid w:val="00143949"/>
    <w:rsid w:val="00143CEA"/>
    <w:rsid w:val="00152322"/>
    <w:rsid w:val="001550DF"/>
    <w:rsid w:val="00155483"/>
    <w:rsid w:val="00162769"/>
    <w:rsid w:val="00163D25"/>
    <w:rsid w:val="00165598"/>
    <w:rsid w:val="00180888"/>
    <w:rsid w:val="0018169D"/>
    <w:rsid w:val="00182247"/>
    <w:rsid w:val="00183545"/>
    <w:rsid w:val="00183D7E"/>
    <w:rsid w:val="00186698"/>
    <w:rsid w:val="00186739"/>
    <w:rsid w:val="00187CD5"/>
    <w:rsid w:val="001945E6"/>
    <w:rsid w:val="001B3A2A"/>
    <w:rsid w:val="001B3FE1"/>
    <w:rsid w:val="001B6A31"/>
    <w:rsid w:val="001B702E"/>
    <w:rsid w:val="001C0464"/>
    <w:rsid w:val="001C1120"/>
    <w:rsid w:val="001C158D"/>
    <w:rsid w:val="001C3134"/>
    <w:rsid w:val="001C6490"/>
    <w:rsid w:val="001C676B"/>
    <w:rsid w:val="001E0058"/>
    <w:rsid w:val="001E411D"/>
    <w:rsid w:val="001E48C4"/>
    <w:rsid w:val="001E5E0E"/>
    <w:rsid w:val="001E6997"/>
    <w:rsid w:val="001F482E"/>
    <w:rsid w:val="001F73E0"/>
    <w:rsid w:val="002026E4"/>
    <w:rsid w:val="00202DF7"/>
    <w:rsid w:val="002130CD"/>
    <w:rsid w:val="00214B1D"/>
    <w:rsid w:val="00214F4D"/>
    <w:rsid w:val="0021700D"/>
    <w:rsid w:val="002201AB"/>
    <w:rsid w:val="00220792"/>
    <w:rsid w:val="0022113F"/>
    <w:rsid w:val="00226DC1"/>
    <w:rsid w:val="00232C28"/>
    <w:rsid w:val="0023484A"/>
    <w:rsid w:val="002402CD"/>
    <w:rsid w:val="00245FDF"/>
    <w:rsid w:val="00250D2B"/>
    <w:rsid w:val="002531EB"/>
    <w:rsid w:val="00263B23"/>
    <w:rsid w:val="00265FDB"/>
    <w:rsid w:val="00266B43"/>
    <w:rsid w:val="002710F3"/>
    <w:rsid w:val="00271959"/>
    <w:rsid w:val="002731BA"/>
    <w:rsid w:val="0028357D"/>
    <w:rsid w:val="00286A9D"/>
    <w:rsid w:val="002871B9"/>
    <w:rsid w:val="00287DE4"/>
    <w:rsid w:val="00292C2B"/>
    <w:rsid w:val="00292FF7"/>
    <w:rsid w:val="00293A69"/>
    <w:rsid w:val="00297009"/>
    <w:rsid w:val="002A52BA"/>
    <w:rsid w:val="002B3386"/>
    <w:rsid w:val="002B50E9"/>
    <w:rsid w:val="002B5158"/>
    <w:rsid w:val="002C0315"/>
    <w:rsid w:val="002C1CD8"/>
    <w:rsid w:val="002C2E32"/>
    <w:rsid w:val="002C306E"/>
    <w:rsid w:val="002C44B0"/>
    <w:rsid w:val="002C7C37"/>
    <w:rsid w:val="002D407A"/>
    <w:rsid w:val="002D52F8"/>
    <w:rsid w:val="002E521C"/>
    <w:rsid w:val="002E7264"/>
    <w:rsid w:val="002F2573"/>
    <w:rsid w:val="002F4626"/>
    <w:rsid w:val="002F6575"/>
    <w:rsid w:val="002F7164"/>
    <w:rsid w:val="00301BB2"/>
    <w:rsid w:val="0030397E"/>
    <w:rsid w:val="00304F95"/>
    <w:rsid w:val="00306CDE"/>
    <w:rsid w:val="00310EAA"/>
    <w:rsid w:val="00325D57"/>
    <w:rsid w:val="00330295"/>
    <w:rsid w:val="0033489C"/>
    <w:rsid w:val="00343124"/>
    <w:rsid w:val="00346D85"/>
    <w:rsid w:val="00347885"/>
    <w:rsid w:val="00351E2F"/>
    <w:rsid w:val="00351EAC"/>
    <w:rsid w:val="0035635A"/>
    <w:rsid w:val="003628C6"/>
    <w:rsid w:val="00362FDC"/>
    <w:rsid w:val="00366EF1"/>
    <w:rsid w:val="0036780E"/>
    <w:rsid w:val="00370840"/>
    <w:rsid w:val="00371264"/>
    <w:rsid w:val="0037371A"/>
    <w:rsid w:val="00374BC8"/>
    <w:rsid w:val="0037539F"/>
    <w:rsid w:val="0037684D"/>
    <w:rsid w:val="00377B77"/>
    <w:rsid w:val="0038040B"/>
    <w:rsid w:val="00390B03"/>
    <w:rsid w:val="00394779"/>
    <w:rsid w:val="00396635"/>
    <w:rsid w:val="003970AD"/>
    <w:rsid w:val="003A029A"/>
    <w:rsid w:val="003A0CDB"/>
    <w:rsid w:val="003A50ED"/>
    <w:rsid w:val="003A7273"/>
    <w:rsid w:val="003B0F4C"/>
    <w:rsid w:val="003B280F"/>
    <w:rsid w:val="003B680E"/>
    <w:rsid w:val="003D1520"/>
    <w:rsid w:val="003D6569"/>
    <w:rsid w:val="003D676F"/>
    <w:rsid w:val="003D71C9"/>
    <w:rsid w:val="003E4913"/>
    <w:rsid w:val="003E4D1E"/>
    <w:rsid w:val="003F1C6F"/>
    <w:rsid w:val="003F2C92"/>
    <w:rsid w:val="003F3A8F"/>
    <w:rsid w:val="003F6B0E"/>
    <w:rsid w:val="003F7314"/>
    <w:rsid w:val="00401ACB"/>
    <w:rsid w:val="0040434D"/>
    <w:rsid w:val="00405239"/>
    <w:rsid w:val="00406C2B"/>
    <w:rsid w:val="00413162"/>
    <w:rsid w:val="00413802"/>
    <w:rsid w:val="00413A82"/>
    <w:rsid w:val="0041405A"/>
    <w:rsid w:val="00431FF5"/>
    <w:rsid w:val="00432F3D"/>
    <w:rsid w:val="00440149"/>
    <w:rsid w:val="00440ED8"/>
    <w:rsid w:val="00440EFB"/>
    <w:rsid w:val="00443550"/>
    <w:rsid w:val="004452AD"/>
    <w:rsid w:val="00446559"/>
    <w:rsid w:val="00450FDC"/>
    <w:rsid w:val="004511D5"/>
    <w:rsid w:val="00461888"/>
    <w:rsid w:val="00462682"/>
    <w:rsid w:val="00463A34"/>
    <w:rsid w:val="0047475C"/>
    <w:rsid w:val="00482C1C"/>
    <w:rsid w:val="00482C9B"/>
    <w:rsid w:val="0048721F"/>
    <w:rsid w:val="00492E58"/>
    <w:rsid w:val="00494169"/>
    <w:rsid w:val="00496051"/>
    <w:rsid w:val="0049646D"/>
    <w:rsid w:val="004A203A"/>
    <w:rsid w:val="004B0BBF"/>
    <w:rsid w:val="004B2FF7"/>
    <w:rsid w:val="004B7A79"/>
    <w:rsid w:val="004C0CA1"/>
    <w:rsid w:val="004C0D5B"/>
    <w:rsid w:val="004C3326"/>
    <w:rsid w:val="004D05A5"/>
    <w:rsid w:val="004D0F87"/>
    <w:rsid w:val="004D3A47"/>
    <w:rsid w:val="004E0712"/>
    <w:rsid w:val="004E2AE2"/>
    <w:rsid w:val="004E5499"/>
    <w:rsid w:val="004E7186"/>
    <w:rsid w:val="004F5011"/>
    <w:rsid w:val="004F53C9"/>
    <w:rsid w:val="004F77B4"/>
    <w:rsid w:val="004F7982"/>
    <w:rsid w:val="00501B82"/>
    <w:rsid w:val="00503B5D"/>
    <w:rsid w:val="00503FA1"/>
    <w:rsid w:val="00505D7F"/>
    <w:rsid w:val="00513151"/>
    <w:rsid w:val="0051526C"/>
    <w:rsid w:val="0051638D"/>
    <w:rsid w:val="005172D0"/>
    <w:rsid w:val="0052152D"/>
    <w:rsid w:val="00527B3E"/>
    <w:rsid w:val="00532563"/>
    <w:rsid w:val="00543409"/>
    <w:rsid w:val="00544681"/>
    <w:rsid w:val="00547CC6"/>
    <w:rsid w:val="00570EA1"/>
    <w:rsid w:val="0057160E"/>
    <w:rsid w:val="00572B4D"/>
    <w:rsid w:val="00573F2B"/>
    <w:rsid w:val="00577250"/>
    <w:rsid w:val="005774A9"/>
    <w:rsid w:val="0058265B"/>
    <w:rsid w:val="005863DB"/>
    <w:rsid w:val="00586D2B"/>
    <w:rsid w:val="00587F6F"/>
    <w:rsid w:val="00597DD7"/>
    <w:rsid w:val="005A009B"/>
    <w:rsid w:val="005A32D1"/>
    <w:rsid w:val="005A3553"/>
    <w:rsid w:val="005A47BB"/>
    <w:rsid w:val="005B2F30"/>
    <w:rsid w:val="005B3EB1"/>
    <w:rsid w:val="005B5580"/>
    <w:rsid w:val="005B5EB7"/>
    <w:rsid w:val="005B6665"/>
    <w:rsid w:val="005C036D"/>
    <w:rsid w:val="005C06A7"/>
    <w:rsid w:val="005C14A8"/>
    <w:rsid w:val="005C1F78"/>
    <w:rsid w:val="005C3DF7"/>
    <w:rsid w:val="005C45E0"/>
    <w:rsid w:val="005D62C0"/>
    <w:rsid w:val="005E309D"/>
    <w:rsid w:val="005E3918"/>
    <w:rsid w:val="005E61CB"/>
    <w:rsid w:val="005E6260"/>
    <w:rsid w:val="005E6E1A"/>
    <w:rsid w:val="005F1465"/>
    <w:rsid w:val="005F31C7"/>
    <w:rsid w:val="00602000"/>
    <w:rsid w:val="00607212"/>
    <w:rsid w:val="006125B0"/>
    <w:rsid w:val="006225B4"/>
    <w:rsid w:val="00624CA1"/>
    <w:rsid w:val="00631518"/>
    <w:rsid w:val="00633145"/>
    <w:rsid w:val="00636976"/>
    <w:rsid w:val="00642B26"/>
    <w:rsid w:val="00650426"/>
    <w:rsid w:val="00654D40"/>
    <w:rsid w:val="00656A6B"/>
    <w:rsid w:val="00663F18"/>
    <w:rsid w:val="006663E1"/>
    <w:rsid w:val="0066785E"/>
    <w:rsid w:val="00670C78"/>
    <w:rsid w:val="0067601B"/>
    <w:rsid w:val="00681BDF"/>
    <w:rsid w:val="00681CA2"/>
    <w:rsid w:val="0068300F"/>
    <w:rsid w:val="00683243"/>
    <w:rsid w:val="006876FC"/>
    <w:rsid w:val="00690E89"/>
    <w:rsid w:val="00690FA2"/>
    <w:rsid w:val="00691B19"/>
    <w:rsid w:val="00691B2E"/>
    <w:rsid w:val="006A0A54"/>
    <w:rsid w:val="006A7D66"/>
    <w:rsid w:val="006B5565"/>
    <w:rsid w:val="006C0D24"/>
    <w:rsid w:val="006C157E"/>
    <w:rsid w:val="006C6AF4"/>
    <w:rsid w:val="006C7902"/>
    <w:rsid w:val="006C7984"/>
    <w:rsid w:val="006D0583"/>
    <w:rsid w:val="006D1985"/>
    <w:rsid w:val="006E03AA"/>
    <w:rsid w:val="006E1348"/>
    <w:rsid w:val="006E1E0B"/>
    <w:rsid w:val="006E65CD"/>
    <w:rsid w:val="006F09C2"/>
    <w:rsid w:val="006F3AC4"/>
    <w:rsid w:val="006F59BB"/>
    <w:rsid w:val="007018E2"/>
    <w:rsid w:val="00701AD5"/>
    <w:rsid w:val="0070341C"/>
    <w:rsid w:val="00715B38"/>
    <w:rsid w:val="007170AF"/>
    <w:rsid w:val="007204B0"/>
    <w:rsid w:val="00726DA9"/>
    <w:rsid w:val="0073499A"/>
    <w:rsid w:val="00736451"/>
    <w:rsid w:val="00737427"/>
    <w:rsid w:val="00745D4F"/>
    <w:rsid w:val="0075057D"/>
    <w:rsid w:val="00755DD4"/>
    <w:rsid w:val="00757422"/>
    <w:rsid w:val="0076025E"/>
    <w:rsid w:val="00760C7B"/>
    <w:rsid w:val="00760CF9"/>
    <w:rsid w:val="0076433D"/>
    <w:rsid w:val="00767A7D"/>
    <w:rsid w:val="00773253"/>
    <w:rsid w:val="0077344F"/>
    <w:rsid w:val="00781D2A"/>
    <w:rsid w:val="007824E0"/>
    <w:rsid w:val="00784A34"/>
    <w:rsid w:val="0079102B"/>
    <w:rsid w:val="00791738"/>
    <w:rsid w:val="007925FA"/>
    <w:rsid w:val="007953BB"/>
    <w:rsid w:val="0079557C"/>
    <w:rsid w:val="00796759"/>
    <w:rsid w:val="007A1944"/>
    <w:rsid w:val="007A42BC"/>
    <w:rsid w:val="007A5E3F"/>
    <w:rsid w:val="007B10B3"/>
    <w:rsid w:val="007B7483"/>
    <w:rsid w:val="007C4967"/>
    <w:rsid w:val="007D3CB5"/>
    <w:rsid w:val="007D71CB"/>
    <w:rsid w:val="007E2239"/>
    <w:rsid w:val="007F37C8"/>
    <w:rsid w:val="007F4773"/>
    <w:rsid w:val="007F49F8"/>
    <w:rsid w:val="00801232"/>
    <w:rsid w:val="00801377"/>
    <w:rsid w:val="00804836"/>
    <w:rsid w:val="008065BC"/>
    <w:rsid w:val="00810BD0"/>
    <w:rsid w:val="0081269F"/>
    <w:rsid w:val="008150BE"/>
    <w:rsid w:val="00815997"/>
    <w:rsid w:val="00832F0E"/>
    <w:rsid w:val="00832FFE"/>
    <w:rsid w:val="00834CEC"/>
    <w:rsid w:val="008355F8"/>
    <w:rsid w:val="00835A51"/>
    <w:rsid w:val="00835C63"/>
    <w:rsid w:val="00840767"/>
    <w:rsid w:val="00842A21"/>
    <w:rsid w:val="00843DB6"/>
    <w:rsid w:val="00852BC5"/>
    <w:rsid w:val="00852D2D"/>
    <w:rsid w:val="008565E5"/>
    <w:rsid w:val="0085694F"/>
    <w:rsid w:val="0086126E"/>
    <w:rsid w:val="00866093"/>
    <w:rsid w:val="008760F3"/>
    <w:rsid w:val="0088190A"/>
    <w:rsid w:val="0088222A"/>
    <w:rsid w:val="00885FE7"/>
    <w:rsid w:val="008862C0"/>
    <w:rsid w:val="008874D6"/>
    <w:rsid w:val="00891928"/>
    <w:rsid w:val="008A012C"/>
    <w:rsid w:val="008A46BA"/>
    <w:rsid w:val="008A65E9"/>
    <w:rsid w:val="008B0BA7"/>
    <w:rsid w:val="008B2B68"/>
    <w:rsid w:val="008B4110"/>
    <w:rsid w:val="008B66BA"/>
    <w:rsid w:val="008C22B5"/>
    <w:rsid w:val="008D0582"/>
    <w:rsid w:val="008D2FED"/>
    <w:rsid w:val="008D3501"/>
    <w:rsid w:val="008D5278"/>
    <w:rsid w:val="008E21CE"/>
    <w:rsid w:val="008E61CF"/>
    <w:rsid w:val="008E67D5"/>
    <w:rsid w:val="008E7473"/>
    <w:rsid w:val="008F23CB"/>
    <w:rsid w:val="00900A74"/>
    <w:rsid w:val="00905942"/>
    <w:rsid w:val="00910E30"/>
    <w:rsid w:val="0091477C"/>
    <w:rsid w:val="0091617F"/>
    <w:rsid w:val="009217CC"/>
    <w:rsid w:val="00921D5B"/>
    <w:rsid w:val="009222D6"/>
    <w:rsid w:val="0092231A"/>
    <w:rsid w:val="00923552"/>
    <w:rsid w:val="00931049"/>
    <w:rsid w:val="00933C46"/>
    <w:rsid w:val="00934A8A"/>
    <w:rsid w:val="00940F02"/>
    <w:rsid w:val="0094221A"/>
    <w:rsid w:val="00943F84"/>
    <w:rsid w:val="009460FA"/>
    <w:rsid w:val="0095097A"/>
    <w:rsid w:val="00951CFA"/>
    <w:rsid w:val="00952703"/>
    <w:rsid w:val="009533C8"/>
    <w:rsid w:val="00956916"/>
    <w:rsid w:val="009664C2"/>
    <w:rsid w:val="009674D1"/>
    <w:rsid w:val="0097000C"/>
    <w:rsid w:val="00970FE1"/>
    <w:rsid w:val="00973FE7"/>
    <w:rsid w:val="00977B50"/>
    <w:rsid w:val="00980B29"/>
    <w:rsid w:val="00984D2E"/>
    <w:rsid w:val="009948F8"/>
    <w:rsid w:val="009A26F3"/>
    <w:rsid w:val="009A3DBE"/>
    <w:rsid w:val="009A6783"/>
    <w:rsid w:val="009B05D7"/>
    <w:rsid w:val="009B39C0"/>
    <w:rsid w:val="009B5694"/>
    <w:rsid w:val="009B6157"/>
    <w:rsid w:val="009B6866"/>
    <w:rsid w:val="009C1E2C"/>
    <w:rsid w:val="009C2790"/>
    <w:rsid w:val="009C3E87"/>
    <w:rsid w:val="009D2FF2"/>
    <w:rsid w:val="009D449B"/>
    <w:rsid w:val="009E06B2"/>
    <w:rsid w:val="009E13F8"/>
    <w:rsid w:val="009E33B8"/>
    <w:rsid w:val="009E33EB"/>
    <w:rsid w:val="009E3526"/>
    <w:rsid w:val="009F03BE"/>
    <w:rsid w:val="009F047B"/>
    <w:rsid w:val="009F4575"/>
    <w:rsid w:val="009F53BD"/>
    <w:rsid w:val="00A00655"/>
    <w:rsid w:val="00A035FD"/>
    <w:rsid w:val="00A12B34"/>
    <w:rsid w:val="00A17166"/>
    <w:rsid w:val="00A21AF4"/>
    <w:rsid w:val="00A2391A"/>
    <w:rsid w:val="00A256F8"/>
    <w:rsid w:val="00A31B8F"/>
    <w:rsid w:val="00A32245"/>
    <w:rsid w:val="00A3463A"/>
    <w:rsid w:val="00A4058F"/>
    <w:rsid w:val="00A462BF"/>
    <w:rsid w:val="00A50C84"/>
    <w:rsid w:val="00A51C95"/>
    <w:rsid w:val="00A53793"/>
    <w:rsid w:val="00A602D6"/>
    <w:rsid w:val="00A62305"/>
    <w:rsid w:val="00A63AEC"/>
    <w:rsid w:val="00A677CB"/>
    <w:rsid w:val="00A67F2D"/>
    <w:rsid w:val="00A726C9"/>
    <w:rsid w:val="00A72BD3"/>
    <w:rsid w:val="00A743C7"/>
    <w:rsid w:val="00A77417"/>
    <w:rsid w:val="00A807F2"/>
    <w:rsid w:val="00A81AF7"/>
    <w:rsid w:val="00A84CD3"/>
    <w:rsid w:val="00A943A9"/>
    <w:rsid w:val="00A95386"/>
    <w:rsid w:val="00AA0013"/>
    <w:rsid w:val="00AA0524"/>
    <w:rsid w:val="00AA11C4"/>
    <w:rsid w:val="00AA4E4F"/>
    <w:rsid w:val="00AB41E1"/>
    <w:rsid w:val="00AB4577"/>
    <w:rsid w:val="00AB6A84"/>
    <w:rsid w:val="00AC43C1"/>
    <w:rsid w:val="00AC6E0E"/>
    <w:rsid w:val="00AD1763"/>
    <w:rsid w:val="00AD231A"/>
    <w:rsid w:val="00AD496F"/>
    <w:rsid w:val="00AE15C6"/>
    <w:rsid w:val="00AF1D03"/>
    <w:rsid w:val="00AF4324"/>
    <w:rsid w:val="00AF5C21"/>
    <w:rsid w:val="00B042D9"/>
    <w:rsid w:val="00B04B87"/>
    <w:rsid w:val="00B108F8"/>
    <w:rsid w:val="00B1618C"/>
    <w:rsid w:val="00B2054C"/>
    <w:rsid w:val="00B22D10"/>
    <w:rsid w:val="00B405A5"/>
    <w:rsid w:val="00B41510"/>
    <w:rsid w:val="00B434BD"/>
    <w:rsid w:val="00B4384C"/>
    <w:rsid w:val="00B461F5"/>
    <w:rsid w:val="00B54D63"/>
    <w:rsid w:val="00B63084"/>
    <w:rsid w:val="00B65A13"/>
    <w:rsid w:val="00B66307"/>
    <w:rsid w:val="00B672B9"/>
    <w:rsid w:val="00B674BE"/>
    <w:rsid w:val="00B72C31"/>
    <w:rsid w:val="00B7500E"/>
    <w:rsid w:val="00B75DB8"/>
    <w:rsid w:val="00B77037"/>
    <w:rsid w:val="00B80E2E"/>
    <w:rsid w:val="00B80F43"/>
    <w:rsid w:val="00B85578"/>
    <w:rsid w:val="00B86A8B"/>
    <w:rsid w:val="00B93B33"/>
    <w:rsid w:val="00B96C1E"/>
    <w:rsid w:val="00B970E5"/>
    <w:rsid w:val="00BA32EF"/>
    <w:rsid w:val="00BA4DE0"/>
    <w:rsid w:val="00BB2EE9"/>
    <w:rsid w:val="00BB4913"/>
    <w:rsid w:val="00BC04BF"/>
    <w:rsid w:val="00BC06A5"/>
    <w:rsid w:val="00BD1913"/>
    <w:rsid w:val="00BE0D25"/>
    <w:rsid w:val="00BE0D37"/>
    <w:rsid w:val="00BE20C3"/>
    <w:rsid w:val="00BE23CE"/>
    <w:rsid w:val="00BE3ECA"/>
    <w:rsid w:val="00BE4B5C"/>
    <w:rsid w:val="00BE6ADD"/>
    <w:rsid w:val="00BF1046"/>
    <w:rsid w:val="00BF2681"/>
    <w:rsid w:val="00BF3506"/>
    <w:rsid w:val="00BF3BD9"/>
    <w:rsid w:val="00BF781B"/>
    <w:rsid w:val="00C04E8F"/>
    <w:rsid w:val="00C072A3"/>
    <w:rsid w:val="00C10987"/>
    <w:rsid w:val="00C1161F"/>
    <w:rsid w:val="00C12EF8"/>
    <w:rsid w:val="00C17886"/>
    <w:rsid w:val="00C21B9E"/>
    <w:rsid w:val="00C22688"/>
    <w:rsid w:val="00C23956"/>
    <w:rsid w:val="00C24D36"/>
    <w:rsid w:val="00C36887"/>
    <w:rsid w:val="00C37352"/>
    <w:rsid w:val="00C37AC3"/>
    <w:rsid w:val="00C40951"/>
    <w:rsid w:val="00C44A4A"/>
    <w:rsid w:val="00C475A9"/>
    <w:rsid w:val="00C478F8"/>
    <w:rsid w:val="00C53C45"/>
    <w:rsid w:val="00C54B63"/>
    <w:rsid w:val="00C600BB"/>
    <w:rsid w:val="00C60B73"/>
    <w:rsid w:val="00C6404A"/>
    <w:rsid w:val="00C71240"/>
    <w:rsid w:val="00C73865"/>
    <w:rsid w:val="00C804A6"/>
    <w:rsid w:val="00C918EE"/>
    <w:rsid w:val="00C93DB5"/>
    <w:rsid w:val="00C95C80"/>
    <w:rsid w:val="00CA2D10"/>
    <w:rsid w:val="00CA3AF3"/>
    <w:rsid w:val="00CA5E38"/>
    <w:rsid w:val="00CB2B33"/>
    <w:rsid w:val="00CC31A5"/>
    <w:rsid w:val="00CC3791"/>
    <w:rsid w:val="00CC679D"/>
    <w:rsid w:val="00CD2969"/>
    <w:rsid w:val="00CD2F62"/>
    <w:rsid w:val="00CD4064"/>
    <w:rsid w:val="00CD5A41"/>
    <w:rsid w:val="00CE0086"/>
    <w:rsid w:val="00CE12B8"/>
    <w:rsid w:val="00CE73BA"/>
    <w:rsid w:val="00CF035A"/>
    <w:rsid w:val="00CF37EE"/>
    <w:rsid w:val="00CF689C"/>
    <w:rsid w:val="00D00652"/>
    <w:rsid w:val="00D0413D"/>
    <w:rsid w:val="00D10891"/>
    <w:rsid w:val="00D1350E"/>
    <w:rsid w:val="00D13D98"/>
    <w:rsid w:val="00D14BAB"/>
    <w:rsid w:val="00D1624A"/>
    <w:rsid w:val="00D220D1"/>
    <w:rsid w:val="00D26A8D"/>
    <w:rsid w:val="00D332E5"/>
    <w:rsid w:val="00D3390B"/>
    <w:rsid w:val="00D36EFD"/>
    <w:rsid w:val="00D41B1A"/>
    <w:rsid w:val="00D44236"/>
    <w:rsid w:val="00D45028"/>
    <w:rsid w:val="00D46A57"/>
    <w:rsid w:val="00D46A61"/>
    <w:rsid w:val="00D47C01"/>
    <w:rsid w:val="00D616AD"/>
    <w:rsid w:val="00D61820"/>
    <w:rsid w:val="00D63175"/>
    <w:rsid w:val="00D63947"/>
    <w:rsid w:val="00D63A48"/>
    <w:rsid w:val="00D6404E"/>
    <w:rsid w:val="00D64567"/>
    <w:rsid w:val="00D6489E"/>
    <w:rsid w:val="00D73ED7"/>
    <w:rsid w:val="00D749D5"/>
    <w:rsid w:val="00D770E3"/>
    <w:rsid w:val="00D81E9A"/>
    <w:rsid w:val="00D86938"/>
    <w:rsid w:val="00D90C44"/>
    <w:rsid w:val="00D96EC5"/>
    <w:rsid w:val="00D97FA1"/>
    <w:rsid w:val="00DB450C"/>
    <w:rsid w:val="00DB538B"/>
    <w:rsid w:val="00DB59B9"/>
    <w:rsid w:val="00DB7F7C"/>
    <w:rsid w:val="00DC5B7B"/>
    <w:rsid w:val="00DD183F"/>
    <w:rsid w:val="00DD54BA"/>
    <w:rsid w:val="00DE21CE"/>
    <w:rsid w:val="00DE44EC"/>
    <w:rsid w:val="00DE6269"/>
    <w:rsid w:val="00DE6929"/>
    <w:rsid w:val="00DF59B4"/>
    <w:rsid w:val="00DF61CF"/>
    <w:rsid w:val="00DF65CD"/>
    <w:rsid w:val="00DF75DA"/>
    <w:rsid w:val="00DF7F84"/>
    <w:rsid w:val="00E01C66"/>
    <w:rsid w:val="00E0458D"/>
    <w:rsid w:val="00E04D6A"/>
    <w:rsid w:val="00E07155"/>
    <w:rsid w:val="00E07648"/>
    <w:rsid w:val="00E107A4"/>
    <w:rsid w:val="00E13DB6"/>
    <w:rsid w:val="00E23DC3"/>
    <w:rsid w:val="00E23F59"/>
    <w:rsid w:val="00E257AA"/>
    <w:rsid w:val="00E26014"/>
    <w:rsid w:val="00E32CCA"/>
    <w:rsid w:val="00E3468F"/>
    <w:rsid w:val="00E34E8B"/>
    <w:rsid w:val="00E36663"/>
    <w:rsid w:val="00E37B94"/>
    <w:rsid w:val="00E405AB"/>
    <w:rsid w:val="00E455B9"/>
    <w:rsid w:val="00E479A9"/>
    <w:rsid w:val="00E50C30"/>
    <w:rsid w:val="00E53823"/>
    <w:rsid w:val="00E547E0"/>
    <w:rsid w:val="00E55B41"/>
    <w:rsid w:val="00E8115D"/>
    <w:rsid w:val="00E863A3"/>
    <w:rsid w:val="00E868A8"/>
    <w:rsid w:val="00E8716B"/>
    <w:rsid w:val="00E9402B"/>
    <w:rsid w:val="00E950AF"/>
    <w:rsid w:val="00E969A8"/>
    <w:rsid w:val="00E96A98"/>
    <w:rsid w:val="00EA00D1"/>
    <w:rsid w:val="00EA0FD2"/>
    <w:rsid w:val="00EA7B1E"/>
    <w:rsid w:val="00EB1C3D"/>
    <w:rsid w:val="00EB7BEB"/>
    <w:rsid w:val="00EC0810"/>
    <w:rsid w:val="00EC39D3"/>
    <w:rsid w:val="00EC3FF8"/>
    <w:rsid w:val="00ED3D80"/>
    <w:rsid w:val="00ED4B53"/>
    <w:rsid w:val="00ED4B97"/>
    <w:rsid w:val="00EE17F7"/>
    <w:rsid w:val="00EE43E4"/>
    <w:rsid w:val="00EE6508"/>
    <w:rsid w:val="00EF2A22"/>
    <w:rsid w:val="00EF2AE4"/>
    <w:rsid w:val="00EF6E22"/>
    <w:rsid w:val="00F04FEA"/>
    <w:rsid w:val="00F14CA0"/>
    <w:rsid w:val="00F16D23"/>
    <w:rsid w:val="00F2282E"/>
    <w:rsid w:val="00F23258"/>
    <w:rsid w:val="00F264B5"/>
    <w:rsid w:val="00F33155"/>
    <w:rsid w:val="00F33ED6"/>
    <w:rsid w:val="00F35F7D"/>
    <w:rsid w:val="00F360F5"/>
    <w:rsid w:val="00F435AC"/>
    <w:rsid w:val="00F45F50"/>
    <w:rsid w:val="00F45F65"/>
    <w:rsid w:val="00F470A1"/>
    <w:rsid w:val="00F51C86"/>
    <w:rsid w:val="00F530E5"/>
    <w:rsid w:val="00F610B0"/>
    <w:rsid w:val="00F622E0"/>
    <w:rsid w:val="00F65633"/>
    <w:rsid w:val="00F8097C"/>
    <w:rsid w:val="00F9203E"/>
    <w:rsid w:val="00F928C2"/>
    <w:rsid w:val="00F9551D"/>
    <w:rsid w:val="00F97576"/>
    <w:rsid w:val="00F97687"/>
    <w:rsid w:val="00FA41FB"/>
    <w:rsid w:val="00FB133E"/>
    <w:rsid w:val="00FC00AE"/>
    <w:rsid w:val="00FC2929"/>
    <w:rsid w:val="00FC4DE3"/>
    <w:rsid w:val="00FC5A5C"/>
    <w:rsid w:val="00FC7B3B"/>
    <w:rsid w:val="00FD1CC0"/>
    <w:rsid w:val="00FD5B13"/>
    <w:rsid w:val="00FE7CD5"/>
    <w:rsid w:val="00FE7F9F"/>
    <w:rsid w:val="00FF17E7"/>
    <w:rsid w:val="00FF28B9"/>
    <w:rsid w:val="00FF373E"/>
    <w:rsid w:val="00FF5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1CC9F21"/>
  <w15:chartTrackingRefBased/>
  <w15:docId w15:val="{4BC3C40B-EE13-4B81-8BD6-A23FFF4D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3F2C92"/>
    <w:pPr>
      <w:keepNext/>
      <w:spacing w:before="240" w:after="60" w:line="240" w:lineRule="auto"/>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4CA1"/>
    <w:pPr>
      <w:ind w:left="720"/>
      <w:contextualSpacing/>
    </w:pPr>
  </w:style>
  <w:style w:type="character" w:customStyle="1" w:styleId="Nadpis2Char">
    <w:name w:val="Nadpis 2 Char"/>
    <w:basedOn w:val="Standardnpsmoodstavce"/>
    <w:link w:val="Nadpis2"/>
    <w:rsid w:val="003F2C92"/>
    <w:rPr>
      <w:rFonts w:ascii="Arial" w:eastAsia="Times New Roman" w:hAnsi="Arial" w:cs="Arial"/>
      <w:b/>
      <w:bCs/>
      <w:i/>
      <w:iCs/>
      <w:sz w:val="28"/>
      <w:szCs w:val="28"/>
      <w:lang w:eastAsia="cs-CZ"/>
    </w:rPr>
  </w:style>
  <w:style w:type="paragraph" w:customStyle="1" w:styleId="StylD">
    <w:name w:val="StylD"/>
    <w:basedOn w:val="Normln"/>
    <w:rsid w:val="003F2C92"/>
    <w:pPr>
      <w:spacing w:after="0" w:line="360" w:lineRule="auto"/>
      <w:jc w:val="both"/>
    </w:pPr>
    <w:rPr>
      <w:rFonts w:ascii="Arial" w:eastAsia="Times New Roman" w:hAnsi="Arial" w:cs="Times New Roman"/>
      <w:sz w:val="24"/>
      <w:szCs w:val="20"/>
      <w:lang w:eastAsia="cs-CZ"/>
    </w:rPr>
  </w:style>
  <w:style w:type="paragraph" w:customStyle="1" w:styleId="CharCharCharCharCharCharCharChar">
    <w:name w:val="Char Char Char Char Char Char Char Char"/>
    <w:basedOn w:val="Normln"/>
    <w:rsid w:val="003F2C92"/>
    <w:pPr>
      <w:spacing w:line="240" w:lineRule="exact"/>
    </w:pPr>
    <w:rPr>
      <w:rFonts w:ascii="Tahoma" w:eastAsia="Times New Roman" w:hAnsi="Tahoma" w:cs="Times New Roman"/>
      <w:sz w:val="20"/>
      <w:szCs w:val="20"/>
      <w:lang w:val="en-US"/>
    </w:rPr>
  </w:style>
  <w:style w:type="paragraph" w:styleId="Zkladntext">
    <w:name w:val="Body Text"/>
    <w:basedOn w:val="Normln"/>
    <w:link w:val="ZkladntextChar"/>
    <w:rsid w:val="003F2C9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F2C92"/>
    <w:rPr>
      <w:rFonts w:ascii="Times New Roman" w:eastAsia="Times New Roman" w:hAnsi="Times New Roman" w:cs="Times New Roman"/>
      <w:sz w:val="24"/>
      <w:szCs w:val="24"/>
      <w:lang w:eastAsia="cs-CZ"/>
    </w:rPr>
  </w:style>
  <w:style w:type="table" w:styleId="Mkatabulky">
    <w:name w:val="Table Grid"/>
    <w:basedOn w:val="Normlntabulka"/>
    <w:uiPriority w:val="59"/>
    <w:rsid w:val="0081269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n"/>
    <w:basedOn w:val="Normln"/>
    <w:link w:val="TextpoznpodarouChar"/>
    <w:uiPriority w:val="99"/>
    <w:unhideWhenUsed/>
    <w:rsid w:val="00BA32EF"/>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fn Char"/>
    <w:basedOn w:val="Standardnpsmoodstavce"/>
    <w:link w:val="Textpoznpodarou"/>
    <w:uiPriority w:val="99"/>
    <w:rsid w:val="00BA32EF"/>
    <w:rPr>
      <w:rFonts w:ascii="Times New Roman" w:eastAsia="Times New Roman" w:hAnsi="Times New Roman" w:cs="Times New Roman"/>
      <w:sz w:val="20"/>
      <w:szCs w:val="20"/>
    </w:rPr>
  </w:style>
  <w:style w:type="character" w:styleId="Znakapoznpodarou">
    <w:name w:val="footnote reference"/>
    <w:aliases w:val="Appel note de bas de p,Appel note de bas de page,BVI fnr,Char Car Car Car Car,Footnote Reference Number,Footnote Reference Superscript,Footnote symbol,Légende,PGI Fußnote Ziffer,Voetnootverwijzing"/>
    <w:basedOn w:val="Standardnpsmoodstavce"/>
    <w:uiPriority w:val="99"/>
    <w:unhideWhenUsed/>
    <w:rsid w:val="00BA32EF"/>
    <w:rPr>
      <w:vertAlign w:val="superscript"/>
    </w:rPr>
  </w:style>
  <w:style w:type="paragraph" w:styleId="Zhlav">
    <w:name w:val="header"/>
    <w:basedOn w:val="Normln"/>
    <w:link w:val="ZhlavChar"/>
    <w:uiPriority w:val="99"/>
    <w:unhideWhenUsed/>
    <w:rsid w:val="00E34E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4E8B"/>
  </w:style>
  <w:style w:type="paragraph" w:styleId="Zpat">
    <w:name w:val="footer"/>
    <w:basedOn w:val="Normln"/>
    <w:link w:val="ZpatChar"/>
    <w:uiPriority w:val="99"/>
    <w:unhideWhenUsed/>
    <w:rsid w:val="00E34E8B"/>
    <w:pPr>
      <w:tabs>
        <w:tab w:val="center" w:pos="4536"/>
        <w:tab w:val="right" w:pos="9072"/>
      </w:tabs>
      <w:spacing w:after="0" w:line="240" w:lineRule="auto"/>
    </w:pPr>
  </w:style>
  <w:style w:type="character" w:customStyle="1" w:styleId="ZpatChar">
    <w:name w:val="Zápatí Char"/>
    <w:basedOn w:val="Standardnpsmoodstavce"/>
    <w:link w:val="Zpat"/>
    <w:uiPriority w:val="99"/>
    <w:rsid w:val="00E34E8B"/>
  </w:style>
  <w:style w:type="paragraph" w:styleId="Normlnweb">
    <w:name w:val="Normal (Web)"/>
    <w:basedOn w:val="Normln"/>
    <w:uiPriority w:val="99"/>
    <w:unhideWhenUsed/>
    <w:rsid w:val="00D46A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Jin">
    <w:name w:val="Jiné_"/>
    <w:basedOn w:val="Standardnpsmoodstavce"/>
    <w:link w:val="Jin0"/>
    <w:rsid w:val="00CC679D"/>
    <w:rPr>
      <w:rFonts w:ascii="Calibri" w:eastAsia="Calibri" w:hAnsi="Calibri" w:cs="Calibri"/>
      <w:color w:val="231F20"/>
      <w:shd w:val="clear" w:color="auto" w:fill="FFFFFF"/>
    </w:rPr>
  </w:style>
  <w:style w:type="paragraph" w:customStyle="1" w:styleId="Jin0">
    <w:name w:val="Jiné"/>
    <w:basedOn w:val="Normln"/>
    <w:link w:val="Jin"/>
    <w:rsid w:val="00CC679D"/>
    <w:pPr>
      <w:widowControl w:val="0"/>
      <w:shd w:val="clear" w:color="auto" w:fill="FFFFFF"/>
      <w:spacing w:after="100" w:line="252" w:lineRule="auto"/>
      <w:jc w:val="both"/>
    </w:pPr>
    <w:rPr>
      <w:rFonts w:ascii="Calibri" w:eastAsia="Calibri" w:hAnsi="Calibri" w:cs="Calibri"/>
      <w:color w:val="231F20"/>
    </w:rPr>
  </w:style>
  <w:style w:type="table" w:customStyle="1" w:styleId="Mkatabulky1">
    <w:name w:val="Mřížka tabulky1"/>
    <w:basedOn w:val="Normlntabulka"/>
    <w:next w:val="Mkatabulky"/>
    <w:uiPriority w:val="39"/>
    <w:rsid w:val="00E50C30"/>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308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9460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60FA"/>
    <w:rPr>
      <w:rFonts w:ascii="Segoe UI" w:hAnsi="Segoe UI" w:cs="Segoe UI"/>
      <w:sz w:val="18"/>
      <w:szCs w:val="18"/>
    </w:rPr>
  </w:style>
  <w:style w:type="character" w:customStyle="1" w:styleId="relative">
    <w:name w:val="relative"/>
    <w:basedOn w:val="Standardnpsmoodstavce"/>
    <w:rsid w:val="00503B5D"/>
  </w:style>
  <w:style w:type="character" w:styleId="Siln">
    <w:name w:val="Strong"/>
    <w:basedOn w:val="Standardnpsmoodstavce"/>
    <w:uiPriority w:val="22"/>
    <w:qFormat/>
    <w:rsid w:val="00503B5D"/>
    <w:rPr>
      <w:b/>
      <w:bCs/>
    </w:rPr>
  </w:style>
  <w:style w:type="paragraph" w:customStyle="1" w:styleId="NormlnKZ">
    <w:name w:val="Normální KZ"/>
    <w:basedOn w:val="Normln"/>
    <w:rsid w:val="003D1520"/>
    <w:pPr>
      <w:spacing w:after="120" w:line="240" w:lineRule="auto"/>
      <w:ind w:firstLine="425"/>
      <w:jc w:val="both"/>
    </w:pPr>
    <w:rPr>
      <w:rFonts w:ascii="Calibri Light" w:eastAsia="Times New Roman" w:hAnsi="Calibri Light" w:cs="Times New Roman"/>
      <w:color w:val="000000" w:themeColor="text1"/>
      <w:sz w:val="24"/>
      <w:szCs w:val="24"/>
      <w:lang w:eastAsia="cs-CZ"/>
    </w:rPr>
  </w:style>
  <w:style w:type="paragraph" w:customStyle="1" w:styleId="Pa18">
    <w:name w:val="Pa18"/>
    <w:basedOn w:val="Normln"/>
    <w:next w:val="Normln"/>
    <w:uiPriority w:val="99"/>
    <w:rsid w:val="003D1520"/>
    <w:pPr>
      <w:autoSpaceDE w:val="0"/>
      <w:autoSpaceDN w:val="0"/>
      <w:adjustRightInd w:val="0"/>
      <w:spacing w:after="0" w:line="211" w:lineRule="atLeast"/>
    </w:pPr>
    <w:rPr>
      <w:rFonts w:ascii="Calibri" w:eastAsia="Times New Roman" w:hAnsi="Calibri" w:cs="Times New Roman"/>
      <w:sz w:val="24"/>
      <w:szCs w:val="24"/>
      <w:lang w:eastAsia="cs-CZ"/>
    </w:rPr>
  </w:style>
  <w:style w:type="paragraph" w:customStyle="1" w:styleId="Pa19">
    <w:name w:val="Pa19"/>
    <w:basedOn w:val="Normln"/>
    <w:next w:val="Normln"/>
    <w:uiPriority w:val="99"/>
    <w:rsid w:val="003D1520"/>
    <w:pPr>
      <w:autoSpaceDE w:val="0"/>
      <w:autoSpaceDN w:val="0"/>
      <w:adjustRightInd w:val="0"/>
      <w:spacing w:after="0" w:line="211" w:lineRule="atLeast"/>
    </w:pPr>
    <w:rPr>
      <w:rFonts w:ascii="Calibri" w:eastAsia="Times New Roman" w:hAnsi="Calibri" w:cs="Times New Roman"/>
      <w:sz w:val="24"/>
      <w:szCs w:val="24"/>
      <w:lang w:eastAsia="cs-CZ"/>
    </w:rPr>
  </w:style>
  <w:style w:type="character" w:customStyle="1" w:styleId="A14">
    <w:name w:val="A14"/>
    <w:uiPriority w:val="99"/>
    <w:rsid w:val="003D1520"/>
    <w:rPr>
      <w:b/>
      <w:bCs w:val="0"/>
      <w:color w:val="000000"/>
      <w:sz w:val="54"/>
    </w:rPr>
  </w:style>
  <w:style w:type="paragraph" w:styleId="Revize">
    <w:name w:val="Revision"/>
    <w:hidden/>
    <w:uiPriority w:val="99"/>
    <w:semiHidden/>
    <w:rsid w:val="00843DB6"/>
    <w:pPr>
      <w:spacing w:after="0" w:line="240" w:lineRule="auto"/>
    </w:pPr>
  </w:style>
  <w:style w:type="character" w:styleId="Odkaznakoment">
    <w:name w:val="annotation reference"/>
    <w:basedOn w:val="Standardnpsmoodstavce"/>
    <w:uiPriority w:val="99"/>
    <w:semiHidden/>
    <w:unhideWhenUsed/>
    <w:rsid w:val="009C1E2C"/>
    <w:rPr>
      <w:sz w:val="16"/>
      <w:szCs w:val="16"/>
    </w:rPr>
  </w:style>
  <w:style w:type="paragraph" w:styleId="Textkomente">
    <w:name w:val="annotation text"/>
    <w:basedOn w:val="Normln"/>
    <w:link w:val="TextkomenteChar"/>
    <w:uiPriority w:val="99"/>
    <w:unhideWhenUsed/>
    <w:rsid w:val="009C1E2C"/>
    <w:pPr>
      <w:spacing w:line="240" w:lineRule="auto"/>
    </w:pPr>
    <w:rPr>
      <w:sz w:val="20"/>
      <w:szCs w:val="20"/>
    </w:rPr>
  </w:style>
  <w:style w:type="character" w:customStyle="1" w:styleId="TextkomenteChar">
    <w:name w:val="Text komentáře Char"/>
    <w:basedOn w:val="Standardnpsmoodstavce"/>
    <w:link w:val="Textkomente"/>
    <w:uiPriority w:val="99"/>
    <w:rsid w:val="009C1E2C"/>
    <w:rPr>
      <w:sz w:val="20"/>
      <w:szCs w:val="20"/>
    </w:rPr>
  </w:style>
  <w:style w:type="paragraph" w:styleId="Pedmtkomente">
    <w:name w:val="annotation subject"/>
    <w:basedOn w:val="Textkomente"/>
    <w:next w:val="Textkomente"/>
    <w:link w:val="PedmtkomenteChar"/>
    <w:uiPriority w:val="99"/>
    <w:semiHidden/>
    <w:unhideWhenUsed/>
    <w:rsid w:val="009C1E2C"/>
    <w:rPr>
      <w:b/>
      <w:bCs/>
    </w:rPr>
  </w:style>
  <w:style w:type="character" w:customStyle="1" w:styleId="PedmtkomenteChar">
    <w:name w:val="Předmět komentáře Char"/>
    <w:basedOn w:val="TextkomenteChar"/>
    <w:link w:val="Pedmtkomente"/>
    <w:uiPriority w:val="99"/>
    <w:semiHidden/>
    <w:rsid w:val="009C1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2063">
      <w:bodyDiv w:val="1"/>
      <w:marLeft w:val="0"/>
      <w:marRight w:val="0"/>
      <w:marTop w:val="0"/>
      <w:marBottom w:val="0"/>
      <w:divBdr>
        <w:top w:val="none" w:sz="0" w:space="0" w:color="auto"/>
        <w:left w:val="none" w:sz="0" w:space="0" w:color="auto"/>
        <w:bottom w:val="none" w:sz="0" w:space="0" w:color="auto"/>
        <w:right w:val="none" w:sz="0" w:space="0" w:color="auto"/>
      </w:divBdr>
      <w:divsChild>
        <w:div w:id="1579286835">
          <w:marLeft w:val="0"/>
          <w:marRight w:val="0"/>
          <w:marTop w:val="0"/>
          <w:marBottom w:val="0"/>
          <w:divBdr>
            <w:top w:val="none" w:sz="0" w:space="0" w:color="auto"/>
            <w:left w:val="none" w:sz="0" w:space="0" w:color="auto"/>
            <w:bottom w:val="none" w:sz="0" w:space="0" w:color="auto"/>
            <w:right w:val="none" w:sz="0" w:space="0" w:color="auto"/>
          </w:divBdr>
          <w:divsChild>
            <w:div w:id="1760132768">
              <w:marLeft w:val="0"/>
              <w:marRight w:val="0"/>
              <w:marTop w:val="0"/>
              <w:marBottom w:val="0"/>
              <w:divBdr>
                <w:top w:val="none" w:sz="0" w:space="0" w:color="auto"/>
                <w:left w:val="none" w:sz="0" w:space="0" w:color="auto"/>
                <w:bottom w:val="none" w:sz="0" w:space="0" w:color="auto"/>
                <w:right w:val="none" w:sz="0" w:space="0" w:color="auto"/>
              </w:divBdr>
              <w:divsChild>
                <w:div w:id="871499602">
                  <w:marLeft w:val="0"/>
                  <w:marRight w:val="0"/>
                  <w:marTop w:val="0"/>
                  <w:marBottom w:val="0"/>
                  <w:divBdr>
                    <w:top w:val="none" w:sz="0" w:space="0" w:color="auto"/>
                    <w:left w:val="none" w:sz="0" w:space="0" w:color="auto"/>
                    <w:bottom w:val="none" w:sz="0" w:space="0" w:color="auto"/>
                    <w:right w:val="none" w:sz="0" w:space="0" w:color="auto"/>
                  </w:divBdr>
                  <w:divsChild>
                    <w:div w:id="1879582804">
                      <w:marLeft w:val="0"/>
                      <w:marRight w:val="0"/>
                      <w:marTop w:val="0"/>
                      <w:marBottom w:val="0"/>
                      <w:divBdr>
                        <w:top w:val="none" w:sz="0" w:space="0" w:color="auto"/>
                        <w:left w:val="none" w:sz="0" w:space="0" w:color="auto"/>
                        <w:bottom w:val="none" w:sz="0" w:space="0" w:color="auto"/>
                        <w:right w:val="none" w:sz="0" w:space="0" w:color="auto"/>
                      </w:divBdr>
                      <w:divsChild>
                        <w:div w:id="1756977068">
                          <w:marLeft w:val="0"/>
                          <w:marRight w:val="0"/>
                          <w:marTop w:val="0"/>
                          <w:marBottom w:val="0"/>
                          <w:divBdr>
                            <w:top w:val="none" w:sz="0" w:space="0" w:color="auto"/>
                            <w:left w:val="none" w:sz="0" w:space="0" w:color="auto"/>
                            <w:bottom w:val="none" w:sz="0" w:space="0" w:color="auto"/>
                            <w:right w:val="none" w:sz="0" w:space="0" w:color="auto"/>
                          </w:divBdr>
                          <w:divsChild>
                            <w:div w:id="989867127">
                              <w:marLeft w:val="0"/>
                              <w:marRight w:val="0"/>
                              <w:marTop w:val="0"/>
                              <w:marBottom w:val="0"/>
                              <w:divBdr>
                                <w:top w:val="none" w:sz="0" w:space="0" w:color="auto"/>
                                <w:left w:val="none" w:sz="0" w:space="0" w:color="auto"/>
                                <w:bottom w:val="none" w:sz="0" w:space="0" w:color="auto"/>
                                <w:right w:val="none" w:sz="0" w:space="0" w:color="auto"/>
                              </w:divBdr>
                              <w:divsChild>
                                <w:div w:id="1197932882">
                                  <w:marLeft w:val="0"/>
                                  <w:marRight w:val="0"/>
                                  <w:marTop w:val="0"/>
                                  <w:marBottom w:val="0"/>
                                  <w:divBdr>
                                    <w:top w:val="none" w:sz="0" w:space="0" w:color="auto"/>
                                    <w:left w:val="none" w:sz="0" w:space="0" w:color="auto"/>
                                    <w:bottom w:val="none" w:sz="0" w:space="0" w:color="auto"/>
                                    <w:right w:val="none" w:sz="0" w:space="0" w:color="auto"/>
                                  </w:divBdr>
                                  <w:divsChild>
                                    <w:div w:id="10138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9165">
                          <w:marLeft w:val="0"/>
                          <w:marRight w:val="0"/>
                          <w:marTop w:val="0"/>
                          <w:marBottom w:val="0"/>
                          <w:divBdr>
                            <w:top w:val="none" w:sz="0" w:space="0" w:color="auto"/>
                            <w:left w:val="none" w:sz="0" w:space="0" w:color="auto"/>
                            <w:bottom w:val="none" w:sz="0" w:space="0" w:color="auto"/>
                            <w:right w:val="none" w:sz="0" w:space="0" w:color="auto"/>
                          </w:divBdr>
                          <w:divsChild>
                            <w:div w:id="1262176448">
                              <w:marLeft w:val="0"/>
                              <w:marRight w:val="0"/>
                              <w:marTop w:val="0"/>
                              <w:marBottom w:val="0"/>
                              <w:divBdr>
                                <w:top w:val="none" w:sz="0" w:space="0" w:color="auto"/>
                                <w:left w:val="none" w:sz="0" w:space="0" w:color="auto"/>
                                <w:bottom w:val="none" w:sz="0" w:space="0" w:color="auto"/>
                                <w:right w:val="none" w:sz="0" w:space="0" w:color="auto"/>
                              </w:divBdr>
                              <w:divsChild>
                                <w:div w:id="3096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24181">
      <w:bodyDiv w:val="1"/>
      <w:marLeft w:val="0"/>
      <w:marRight w:val="0"/>
      <w:marTop w:val="0"/>
      <w:marBottom w:val="0"/>
      <w:divBdr>
        <w:top w:val="none" w:sz="0" w:space="0" w:color="auto"/>
        <w:left w:val="none" w:sz="0" w:space="0" w:color="auto"/>
        <w:bottom w:val="none" w:sz="0" w:space="0" w:color="auto"/>
        <w:right w:val="none" w:sz="0" w:space="0" w:color="auto"/>
      </w:divBdr>
    </w:div>
    <w:div w:id="1377437942">
      <w:bodyDiv w:val="1"/>
      <w:marLeft w:val="0"/>
      <w:marRight w:val="0"/>
      <w:marTop w:val="0"/>
      <w:marBottom w:val="0"/>
      <w:divBdr>
        <w:top w:val="none" w:sz="0" w:space="0" w:color="auto"/>
        <w:left w:val="none" w:sz="0" w:space="0" w:color="auto"/>
        <w:bottom w:val="none" w:sz="0" w:space="0" w:color="auto"/>
        <w:right w:val="none" w:sz="0" w:space="0" w:color="auto"/>
      </w:divBdr>
    </w:div>
    <w:div w:id="1489904183">
      <w:bodyDiv w:val="1"/>
      <w:marLeft w:val="0"/>
      <w:marRight w:val="0"/>
      <w:marTop w:val="0"/>
      <w:marBottom w:val="0"/>
      <w:divBdr>
        <w:top w:val="none" w:sz="0" w:space="0" w:color="auto"/>
        <w:left w:val="none" w:sz="0" w:space="0" w:color="auto"/>
        <w:bottom w:val="none" w:sz="0" w:space="0" w:color="auto"/>
        <w:right w:val="none" w:sz="0" w:space="0" w:color="auto"/>
      </w:divBdr>
    </w:div>
    <w:div w:id="2045708668">
      <w:bodyDiv w:val="1"/>
      <w:marLeft w:val="0"/>
      <w:marRight w:val="0"/>
      <w:marTop w:val="0"/>
      <w:marBottom w:val="0"/>
      <w:divBdr>
        <w:top w:val="none" w:sz="0" w:space="0" w:color="auto"/>
        <w:left w:val="none" w:sz="0" w:space="0" w:color="auto"/>
        <w:bottom w:val="none" w:sz="0" w:space="0" w:color="auto"/>
        <w:right w:val="none" w:sz="0" w:space="0" w:color="auto"/>
      </w:divBdr>
    </w:div>
    <w:div w:id="2053533764">
      <w:bodyDiv w:val="1"/>
      <w:marLeft w:val="0"/>
      <w:marRight w:val="0"/>
      <w:marTop w:val="0"/>
      <w:marBottom w:val="0"/>
      <w:divBdr>
        <w:top w:val="none" w:sz="0" w:space="0" w:color="auto"/>
        <w:left w:val="none" w:sz="0" w:space="0" w:color="auto"/>
        <w:bottom w:val="none" w:sz="0" w:space="0" w:color="auto"/>
        <w:right w:val="none" w:sz="0" w:space="0" w:color="auto"/>
      </w:divBdr>
      <w:divsChild>
        <w:div w:id="493886029">
          <w:marLeft w:val="360"/>
          <w:marRight w:val="0"/>
          <w:marTop w:val="0"/>
          <w:marBottom w:val="120"/>
          <w:divBdr>
            <w:top w:val="none" w:sz="0" w:space="0" w:color="auto"/>
            <w:left w:val="none" w:sz="0" w:space="0" w:color="auto"/>
            <w:bottom w:val="none" w:sz="0" w:space="0" w:color="auto"/>
            <w:right w:val="none" w:sz="0" w:space="0" w:color="auto"/>
          </w:divBdr>
        </w:div>
      </w:divsChild>
    </w:div>
    <w:div w:id="21068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D:\Moje%20dokumenty\KA%2024-17%20GA&#268;R%20a%20TA&#268;R\V&#253;sledky%20v%20RIV\V&#253;sledky%20TA&#268;R%202017-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1\JASOVA\KA%2024_17%20-%20V&#253;zkum%20a%20v&#253;voj%20(GA&#268;R,%20TA&#268;R)\Realizace\PL_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1\JASOVA\KA%2024_17%20-%20V&#253;zkum%20a%20v&#253;voj%20(GA&#268;R,%20TA&#268;R)\Realizace\PL_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1\JASOVA\KA%2024_17%20-%20V&#253;zkum%20a%20v&#253;voj%20(GA&#268;R,%20TA&#268;R)\Realizace\PL_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2"/>
          <c:order val="0"/>
          <c:tx>
            <c:strRef>
              <c:f>List1!$C$24</c:f>
              <c:strCache>
                <c:ptCount val="1"/>
                <c:pt idx="0">
                  <c:v>PCT patentové přihlášky</c:v>
                </c:pt>
              </c:strCache>
            </c:strRef>
          </c:tx>
          <c:spPr>
            <a:ln w="28575" cap="rnd">
              <a:solidFill>
                <a:srgbClr val="2EB3A1"/>
              </a:solidFill>
              <a:round/>
            </a:ln>
            <a:effectLst/>
          </c:spPr>
          <c:marker>
            <c:symbol val="circle"/>
            <c:size val="5"/>
            <c:spPr>
              <a:solidFill>
                <a:schemeClr val="accent3"/>
              </a:solidFill>
              <a:ln w="9525">
                <a:solidFill>
                  <a:schemeClr val="accent3"/>
                </a:solidFill>
              </a:ln>
              <a:effectLst/>
            </c:spPr>
          </c:marker>
          <c:dLbls>
            <c:numFmt formatCode="0_I%"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List1!$D$21:$K$21</c:f>
              <c:numCache>
                <c:formatCode>General</c:formatCode>
                <c:ptCount val="8"/>
                <c:pt idx="0">
                  <c:v>2017</c:v>
                </c:pt>
                <c:pt idx="1">
                  <c:v>2018</c:v>
                </c:pt>
                <c:pt idx="2">
                  <c:v>2019</c:v>
                </c:pt>
                <c:pt idx="3">
                  <c:v>2020</c:v>
                </c:pt>
                <c:pt idx="4">
                  <c:v>2021</c:v>
                </c:pt>
                <c:pt idx="5">
                  <c:v>2022</c:v>
                </c:pt>
                <c:pt idx="6">
                  <c:v>2023</c:v>
                </c:pt>
                <c:pt idx="7">
                  <c:v>2024</c:v>
                </c:pt>
              </c:numCache>
            </c:numRef>
          </c:cat>
          <c:val>
            <c:numRef>
              <c:f>List1!$D$24:$K$24</c:f>
              <c:numCache>
                <c:formatCode>0.0%</c:formatCode>
                <c:ptCount val="8"/>
                <c:pt idx="0">
                  <c:v>0.52826182877968397</c:v>
                </c:pt>
                <c:pt idx="1">
                  <c:v>0.53167179553093258</c:v>
                </c:pt>
                <c:pt idx="2">
                  <c:v>0.51634220840101652</c:v>
                </c:pt>
                <c:pt idx="3">
                  <c:v>0.48198996112868053</c:v>
                </c:pt>
                <c:pt idx="4">
                  <c:v>0.46943129475162809</c:v>
                </c:pt>
                <c:pt idx="5">
                  <c:v>0.45542452721661153</c:v>
                </c:pt>
                <c:pt idx="6">
                  <c:v>0.49462906828533698</c:v>
                </c:pt>
                <c:pt idx="7">
                  <c:v>0.49312109209140326</c:v>
                </c:pt>
              </c:numCache>
            </c:numRef>
          </c:val>
          <c:smooth val="0"/>
          <c:extLst>
            <c:ext xmlns:c16="http://schemas.microsoft.com/office/drawing/2014/chart" uri="{C3380CC4-5D6E-409C-BE32-E72D297353CC}">
              <c16:uniqueId val="{00000000-CC04-479D-AD45-7E5A59C6FD33}"/>
            </c:ext>
          </c:extLst>
        </c:ser>
        <c:ser>
          <c:idx val="3"/>
          <c:order val="1"/>
          <c:tx>
            <c:strRef>
              <c:f>List1!$C$25</c:f>
              <c:strCache>
                <c:ptCount val="1"/>
                <c:pt idx="0">
                  <c:v>Inovační výkonnost celkem</c:v>
                </c:pt>
              </c:strCache>
            </c:strRef>
          </c:tx>
          <c:spPr>
            <a:ln w="28575" cap="rnd">
              <a:solidFill>
                <a:srgbClr val="AF1953"/>
              </a:solidFill>
              <a:round/>
            </a:ln>
            <a:effectLst/>
          </c:spPr>
          <c:marker>
            <c:symbol val="circle"/>
            <c:size val="5"/>
            <c:spPr>
              <a:solidFill>
                <a:schemeClr val="accent4"/>
              </a:solidFill>
              <a:ln w="9525">
                <a:solidFill>
                  <a:srgbClr val="AF1953"/>
                </a:solidFill>
              </a:ln>
              <a:effectLst/>
            </c:spPr>
          </c:marker>
          <c:dLbls>
            <c:numFmt formatCode="0_I%"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List1!$D$21:$K$21</c:f>
              <c:numCache>
                <c:formatCode>General</c:formatCode>
                <c:ptCount val="8"/>
                <c:pt idx="0">
                  <c:v>2017</c:v>
                </c:pt>
                <c:pt idx="1">
                  <c:v>2018</c:v>
                </c:pt>
                <c:pt idx="2">
                  <c:v>2019</c:v>
                </c:pt>
                <c:pt idx="3">
                  <c:v>2020</c:v>
                </c:pt>
                <c:pt idx="4">
                  <c:v>2021</c:v>
                </c:pt>
                <c:pt idx="5">
                  <c:v>2022</c:v>
                </c:pt>
                <c:pt idx="6">
                  <c:v>2023</c:v>
                </c:pt>
                <c:pt idx="7">
                  <c:v>2024</c:v>
                </c:pt>
              </c:numCache>
            </c:numRef>
          </c:cat>
          <c:val>
            <c:numRef>
              <c:f>List1!$D$25:$K$25</c:f>
              <c:numCache>
                <c:formatCode>0.0%</c:formatCode>
                <c:ptCount val="8"/>
                <c:pt idx="0">
                  <c:v>0.83093497737206368</c:v>
                </c:pt>
                <c:pt idx="1">
                  <c:v>0.80938453454918791</c:v>
                </c:pt>
                <c:pt idx="2">
                  <c:v>0.83065946997199125</c:v>
                </c:pt>
                <c:pt idx="3">
                  <c:v>0.82099236074938364</c:v>
                </c:pt>
                <c:pt idx="4">
                  <c:v>0.81364767965360563</c:v>
                </c:pt>
                <c:pt idx="5">
                  <c:v>0.87560150165718964</c:v>
                </c:pt>
                <c:pt idx="6">
                  <c:v>0.88094295064233707</c:v>
                </c:pt>
                <c:pt idx="7">
                  <c:v>0.89723988421104306</c:v>
                </c:pt>
              </c:numCache>
            </c:numRef>
          </c:val>
          <c:smooth val="0"/>
          <c:extLst>
            <c:ext xmlns:c16="http://schemas.microsoft.com/office/drawing/2014/chart" uri="{C3380CC4-5D6E-409C-BE32-E72D297353CC}">
              <c16:uniqueId val="{00000001-CC04-479D-AD45-7E5A59C6FD33}"/>
            </c:ext>
          </c:extLst>
        </c:ser>
        <c:dLbls>
          <c:dLblPos val="t"/>
          <c:showLegendKey val="0"/>
          <c:showVal val="1"/>
          <c:showCatName val="0"/>
          <c:showSerName val="0"/>
          <c:showPercent val="0"/>
          <c:showBubbleSize val="0"/>
        </c:dLbls>
        <c:marker val="1"/>
        <c:smooth val="0"/>
        <c:axId val="842475455"/>
        <c:axId val="842476895"/>
      </c:lineChart>
      <c:catAx>
        <c:axId val="842475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2476895"/>
        <c:crosses val="autoZero"/>
        <c:auto val="1"/>
        <c:lblAlgn val="ctr"/>
        <c:lblOffset val="100"/>
        <c:noMultiLvlLbl val="0"/>
      </c:catAx>
      <c:valAx>
        <c:axId val="842476895"/>
        <c:scaling>
          <c:orientation val="minMax"/>
          <c:max val="1"/>
          <c:min val="0.4"/>
        </c:scaling>
        <c:delete val="0"/>
        <c:axPos val="l"/>
        <c:majorGridlines>
          <c:spPr>
            <a:ln w="9525" cap="flat" cmpd="sng" algn="ctr">
              <a:solidFill>
                <a:schemeClr val="tx1">
                  <a:lumMod val="15000"/>
                  <a:lumOff val="85000"/>
                </a:schemeClr>
              </a:solidFill>
              <a:round/>
            </a:ln>
            <a:effectLst/>
          </c:spPr>
        </c:majorGridlines>
        <c:numFmt formatCode="0_I%"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247545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List1!$U$33</c:f>
              <c:strCache>
                <c:ptCount val="1"/>
                <c:pt idx="0">
                  <c:v>Poměr aplikovaných vůči publikačním výsledkům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List1!$V$32:$AB$32</c:f>
              <c:numCache>
                <c:formatCode>General</c:formatCode>
                <c:ptCount val="7"/>
                <c:pt idx="0">
                  <c:v>2017</c:v>
                </c:pt>
                <c:pt idx="1">
                  <c:v>2018</c:v>
                </c:pt>
                <c:pt idx="2">
                  <c:v>2019</c:v>
                </c:pt>
                <c:pt idx="3">
                  <c:v>2020</c:v>
                </c:pt>
                <c:pt idx="4">
                  <c:v>2021</c:v>
                </c:pt>
                <c:pt idx="5">
                  <c:v>2022</c:v>
                </c:pt>
                <c:pt idx="6">
                  <c:v>2023</c:v>
                </c:pt>
              </c:numCache>
            </c:numRef>
          </c:cat>
          <c:val>
            <c:numRef>
              <c:f>List1!$V$33:$AB$33</c:f>
              <c:numCache>
                <c:formatCode>0.00</c:formatCode>
                <c:ptCount val="7"/>
                <c:pt idx="0">
                  <c:v>1.0011621150493899</c:v>
                </c:pt>
                <c:pt idx="1">
                  <c:v>1.1748737373737375</c:v>
                </c:pt>
                <c:pt idx="2">
                  <c:v>0.90120663650075417</c:v>
                </c:pt>
                <c:pt idx="3">
                  <c:v>1.1021806853582554</c:v>
                </c:pt>
                <c:pt idx="4">
                  <c:v>1.4060150375939851</c:v>
                </c:pt>
                <c:pt idx="5">
                  <c:v>1.1151255358236374</c:v>
                </c:pt>
                <c:pt idx="6">
                  <c:v>1.3727882855399633</c:v>
                </c:pt>
              </c:numCache>
            </c:numRef>
          </c:val>
          <c:smooth val="0"/>
          <c:extLst>
            <c:ext xmlns:c16="http://schemas.microsoft.com/office/drawing/2014/chart" uri="{C3380CC4-5D6E-409C-BE32-E72D297353CC}">
              <c16:uniqueId val="{00000000-0FB6-4C6D-9846-383CE33B1532}"/>
            </c:ext>
          </c:extLst>
        </c:ser>
        <c:dLbls>
          <c:showLegendKey val="0"/>
          <c:showVal val="0"/>
          <c:showCatName val="0"/>
          <c:showSerName val="0"/>
          <c:showPercent val="0"/>
          <c:showBubbleSize val="0"/>
        </c:dLbls>
        <c:smooth val="0"/>
        <c:axId val="1538933391"/>
        <c:axId val="1538932911"/>
      </c:lineChart>
      <c:catAx>
        <c:axId val="1538933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38932911"/>
        <c:crosses val="autoZero"/>
        <c:auto val="1"/>
        <c:lblAlgn val="ctr"/>
        <c:lblOffset val="100"/>
        <c:noMultiLvlLbl val="0"/>
      </c:catAx>
      <c:valAx>
        <c:axId val="15389329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38933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'Výsledky VaVaI'!$D$43</c:f>
              <c:strCache>
                <c:ptCount val="1"/>
                <c:pt idx="0">
                  <c:v>Publikační výsledky</c:v>
                </c:pt>
              </c:strCache>
            </c:strRef>
          </c:tx>
          <c:spPr>
            <a:solidFill>
              <a:srgbClr val="2EB3A1"/>
            </a:solidFill>
            <a:ln>
              <a:noFill/>
            </a:ln>
            <a:effectLst/>
          </c:spPr>
          <c:invertIfNegative val="0"/>
          <c:cat>
            <c:numRef>
              <c:f>'Výsledky VaVaI'!$E$42:$L$42</c:f>
              <c:numCache>
                <c:formatCode>General</c:formatCode>
                <c:ptCount val="8"/>
                <c:pt idx="0">
                  <c:v>2017</c:v>
                </c:pt>
                <c:pt idx="1">
                  <c:v>2018</c:v>
                </c:pt>
                <c:pt idx="2">
                  <c:v>2019</c:v>
                </c:pt>
                <c:pt idx="3">
                  <c:v>2020</c:v>
                </c:pt>
                <c:pt idx="4">
                  <c:v>2021</c:v>
                </c:pt>
                <c:pt idx="5">
                  <c:v>2022</c:v>
                </c:pt>
                <c:pt idx="6">
                  <c:v>2023</c:v>
                </c:pt>
                <c:pt idx="7">
                  <c:v>2024</c:v>
                </c:pt>
              </c:numCache>
            </c:numRef>
          </c:cat>
          <c:val>
            <c:numRef>
              <c:f>'Výsledky VaVaI'!$E$43:$K$43</c:f>
              <c:numCache>
                <c:formatCode>#,##0</c:formatCode>
                <c:ptCount val="7"/>
                <c:pt idx="0">
                  <c:v>10188</c:v>
                </c:pt>
                <c:pt idx="1">
                  <c:v>10191</c:v>
                </c:pt>
                <c:pt idx="2">
                  <c:v>10131</c:v>
                </c:pt>
                <c:pt idx="3">
                  <c:v>9256</c:v>
                </c:pt>
                <c:pt idx="4">
                  <c:v>8734</c:v>
                </c:pt>
                <c:pt idx="5">
                  <c:v>8402</c:v>
                </c:pt>
                <c:pt idx="6">
                  <c:v>6859</c:v>
                </c:pt>
              </c:numCache>
            </c:numRef>
          </c:val>
          <c:extLst>
            <c:ext xmlns:c16="http://schemas.microsoft.com/office/drawing/2014/chart" uri="{C3380CC4-5D6E-409C-BE32-E72D297353CC}">
              <c16:uniqueId val="{00000000-9059-43CB-84BC-F2C63480CA61}"/>
            </c:ext>
          </c:extLst>
        </c:ser>
        <c:ser>
          <c:idx val="1"/>
          <c:order val="1"/>
          <c:tx>
            <c:strRef>
              <c:f>'Výsledky VaVaI'!$D$44</c:f>
              <c:strCache>
                <c:ptCount val="1"/>
                <c:pt idx="0">
                  <c:v>Ostatní výsledky</c:v>
                </c:pt>
              </c:strCache>
            </c:strRef>
          </c:tx>
          <c:spPr>
            <a:solidFill>
              <a:srgbClr val="AF1953"/>
            </a:solidFill>
            <a:ln>
              <a:noFill/>
            </a:ln>
            <a:effectLst/>
          </c:spPr>
          <c:invertIfNegative val="0"/>
          <c:cat>
            <c:numRef>
              <c:f>'Výsledky VaVaI'!$E$42:$L$42</c:f>
              <c:numCache>
                <c:formatCode>General</c:formatCode>
                <c:ptCount val="8"/>
                <c:pt idx="0">
                  <c:v>2017</c:v>
                </c:pt>
                <c:pt idx="1">
                  <c:v>2018</c:v>
                </c:pt>
                <c:pt idx="2">
                  <c:v>2019</c:v>
                </c:pt>
                <c:pt idx="3">
                  <c:v>2020</c:v>
                </c:pt>
                <c:pt idx="4">
                  <c:v>2021</c:v>
                </c:pt>
                <c:pt idx="5">
                  <c:v>2022</c:v>
                </c:pt>
                <c:pt idx="6">
                  <c:v>2023</c:v>
                </c:pt>
                <c:pt idx="7">
                  <c:v>2024</c:v>
                </c:pt>
              </c:numCache>
            </c:numRef>
          </c:cat>
          <c:val>
            <c:numRef>
              <c:f>'Výsledky VaVaI'!$E$44:$K$44</c:f>
              <c:numCache>
                <c:formatCode>#,##0</c:formatCode>
                <c:ptCount val="7"/>
                <c:pt idx="0">
                  <c:v>852</c:v>
                </c:pt>
                <c:pt idx="1">
                  <c:v>797</c:v>
                </c:pt>
                <c:pt idx="2">
                  <c:v>921</c:v>
                </c:pt>
                <c:pt idx="3">
                  <c:v>737</c:v>
                </c:pt>
                <c:pt idx="4">
                  <c:v>329</c:v>
                </c:pt>
                <c:pt idx="5">
                  <c:v>532</c:v>
                </c:pt>
                <c:pt idx="6">
                  <c:v>499</c:v>
                </c:pt>
              </c:numCache>
            </c:numRef>
          </c:val>
          <c:extLst>
            <c:ext xmlns:c16="http://schemas.microsoft.com/office/drawing/2014/chart" uri="{C3380CC4-5D6E-409C-BE32-E72D297353CC}">
              <c16:uniqueId val="{00000001-9059-43CB-84BC-F2C63480CA61}"/>
            </c:ext>
          </c:extLst>
        </c:ser>
        <c:ser>
          <c:idx val="2"/>
          <c:order val="2"/>
          <c:tx>
            <c:strRef>
              <c:f>'Výsledky VaVaI'!$D$45</c:f>
              <c:strCache>
                <c:ptCount val="1"/>
                <c:pt idx="0">
                  <c:v>Aplikované výsledky</c:v>
                </c:pt>
              </c:strCache>
            </c:strRef>
          </c:tx>
          <c:spPr>
            <a:solidFill>
              <a:srgbClr val="FDC300"/>
            </a:solidFill>
            <a:ln>
              <a:noFill/>
            </a:ln>
            <a:effectLst/>
          </c:spPr>
          <c:invertIfNegative val="0"/>
          <c:cat>
            <c:numRef>
              <c:f>'Výsledky VaVaI'!$E$42:$L$42</c:f>
              <c:numCache>
                <c:formatCode>General</c:formatCode>
                <c:ptCount val="8"/>
                <c:pt idx="0">
                  <c:v>2017</c:v>
                </c:pt>
                <c:pt idx="1">
                  <c:v>2018</c:v>
                </c:pt>
                <c:pt idx="2">
                  <c:v>2019</c:v>
                </c:pt>
                <c:pt idx="3">
                  <c:v>2020</c:v>
                </c:pt>
                <c:pt idx="4">
                  <c:v>2021</c:v>
                </c:pt>
                <c:pt idx="5">
                  <c:v>2022</c:v>
                </c:pt>
                <c:pt idx="6">
                  <c:v>2023</c:v>
                </c:pt>
                <c:pt idx="7">
                  <c:v>2024</c:v>
                </c:pt>
              </c:numCache>
            </c:numRef>
          </c:cat>
          <c:val>
            <c:numRef>
              <c:f>'Výsledky VaVaI'!$E$45:$K$45</c:f>
              <c:numCache>
                <c:formatCode>#,##0</c:formatCode>
                <c:ptCount val="7"/>
                <c:pt idx="0">
                  <c:v>124</c:v>
                </c:pt>
                <c:pt idx="1">
                  <c:v>81</c:v>
                </c:pt>
                <c:pt idx="2">
                  <c:v>85</c:v>
                </c:pt>
                <c:pt idx="3">
                  <c:v>104</c:v>
                </c:pt>
                <c:pt idx="4">
                  <c:v>79</c:v>
                </c:pt>
                <c:pt idx="5">
                  <c:v>69</c:v>
                </c:pt>
                <c:pt idx="6">
                  <c:v>55</c:v>
                </c:pt>
              </c:numCache>
            </c:numRef>
          </c:val>
          <c:extLst>
            <c:ext xmlns:c16="http://schemas.microsoft.com/office/drawing/2014/chart" uri="{C3380CC4-5D6E-409C-BE32-E72D297353CC}">
              <c16:uniqueId val="{00000002-9059-43CB-84BC-F2C63480CA61}"/>
            </c:ext>
          </c:extLst>
        </c:ser>
        <c:dLbls>
          <c:showLegendKey val="0"/>
          <c:showVal val="0"/>
          <c:showCatName val="0"/>
          <c:showSerName val="0"/>
          <c:showPercent val="0"/>
          <c:showBubbleSize val="0"/>
        </c:dLbls>
        <c:gapWidth val="219"/>
        <c:overlap val="100"/>
        <c:axId val="1809133183"/>
        <c:axId val="1810008975"/>
      </c:barChart>
      <c:lineChart>
        <c:grouping val="standard"/>
        <c:varyColors val="0"/>
        <c:ser>
          <c:idx val="3"/>
          <c:order val="3"/>
          <c:tx>
            <c:strRef>
              <c:f>'Výsledky VaVaI'!$D$47</c:f>
              <c:strCache>
                <c:ptCount val="1"/>
                <c:pt idx="0">
                  <c:v>Objem podpory (v tis.  Kč)</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dLbls>
            <c:dLbl>
              <c:idx val="0"/>
              <c:layout>
                <c:manualLayout>
                  <c:x val="-1.7636684303350969E-2"/>
                  <c:y val="5.94121325828642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059-43CB-84BC-F2C63480CA61}"/>
                </c:ext>
              </c:extLst>
            </c:dLbl>
            <c:dLbl>
              <c:idx val="1"/>
              <c:layout>
                <c:manualLayout>
                  <c:x val="-4.409171075837783E-3"/>
                  <c:y val="4.0650406504065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059-43CB-84BC-F2C63480CA61}"/>
                </c:ext>
              </c:extLst>
            </c:dLbl>
            <c:dLbl>
              <c:idx val="2"/>
              <c:layout>
                <c:manualLayout>
                  <c:x val="-1.3227513227513308E-2"/>
                  <c:y val="5.0031269543464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059-43CB-84BC-F2C63480CA61}"/>
                </c:ext>
              </c:extLst>
            </c:dLbl>
            <c:dLbl>
              <c:idx val="3"/>
              <c:layout>
                <c:manualLayout>
                  <c:x val="-2.8659611992945325E-2"/>
                  <c:y val="-5.315822388993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059-43CB-84BC-F2C63480CA61}"/>
                </c:ext>
              </c:extLst>
            </c:dLbl>
            <c:dLbl>
              <c:idx val="4"/>
              <c:layout>
                <c:manualLayout>
                  <c:x val="-8.8183421516755661E-3"/>
                  <c:y val="-5.0031269543464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59-43CB-84BC-F2C63480CA61}"/>
                </c:ext>
              </c:extLst>
            </c:dLbl>
            <c:dLbl>
              <c:idx val="5"/>
              <c:layout>
                <c:manualLayout>
                  <c:x val="-3.5273368606701862E-2"/>
                  <c:y val="4.065040650406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59-43CB-84BC-F2C63480CA61}"/>
                </c:ext>
              </c:extLst>
            </c:dLbl>
            <c:dLbl>
              <c:idx val="6"/>
              <c:layout>
                <c:manualLayout>
                  <c:x val="-4.1887125220458551E-2"/>
                  <c:y val="-3.12695434646654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59-43CB-84BC-F2C63480CA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'Výsledky VaVaI'!$E$47:$K$47</c:f>
              <c:numCache>
                <c:formatCode>#,##0</c:formatCode>
                <c:ptCount val="7"/>
                <c:pt idx="0">
                  <c:v>4022778</c:v>
                </c:pt>
                <c:pt idx="1">
                  <c:v>3937425</c:v>
                </c:pt>
                <c:pt idx="2">
                  <c:v>4220057</c:v>
                </c:pt>
                <c:pt idx="3">
                  <c:v>4354745</c:v>
                </c:pt>
                <c:pt idx="4">
                  <c:v>4391515</c:v>
                </c:pt>
                <c:pt idx="5">
                  <c:v>4337297</c:v>
                </c:pt>
                <c:pt idx="6">
                  <c:v>4606732</c:v>
                </c:pt>
              </c:numCache>
            </c:numRef>
          </c:val>
          <c:smooth val="0"/>
          <c:extLst>
            <c:ext xmlns:c16="http://schemas.microsoft.com/office/drawing/2014/chart" uri="{C3380CC4-5D6E-409C-BE32-E72D297353CC}">
              <c16:uniqueId val="{00000003-9059-43CB-84BC-F2C63480CA61}"/>
            </c:ext>
          </c:extLst>
        </c:ser>
        <c:dLbls>
          <c:showLegendKey val="0"/>
          <c:showVal val="0"/>
          <c:showCatName val="0"/>
          <c:showSerName val="0"/>
          <c:showPercent val="0"/>
          <c:showBubbleSize val="0"/>
        </c:dLbls>
        <c:marker val="1"/>
        <c:smooth val="0"/>
        <c:axId val="1600675215"/>
        <c:axId val="1810022287"/>
      </c:lineChart>
      <c:catAx>
        <c:axId val="1809133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10008975"/>
        <c:crosses val="autoZero"/>
        <c:auto val="1"/>
        <c:lblAlgn val="ctr"/>
        <c:lblOffset val="100"/>
        <c:noMultiLvlLbl val="0"/>
      </c:catAx>
      <c:valAx>
        <c:axId val="1810008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a:t>
                </a:r>
                <a:r>
                  <a:rPr lang="cs-CZ" baseline="0"/>
                  <a:t> výsledků</a:t>
                </a:r>
                <a:endParaRPr lang="cs-C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09133183"/>
        <c:crosses val="autoZero"/>
        <c:crossBetween val="between"/>
      </c:valAx>
      <c:valAx>
        <c:axId val="1810022287"/>
        <c:scaling>
          <c:orientation val="minMax"/>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Výše objemu skutečně čerpané podpory (v tis. Kč)</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00675215"/>
        <c:crosses val="max"/>
        <c:crossBetween val="between"/>
      </c:valAx>
      <c:catAx>
        <c:axId val="1600675215"/>
        <c:scaling>
          <c:orientation val="minMax"/>
        </c:scaling>
        <c:delete val="1"/>
        <c:axPos val="b"/>
        <c:majorTickMark val="out"/>
        <c:minorTickMark val="none"/>
        <c:tickLblPos val="nextTo"/>
        <c:crossAx val="18100222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List2!$D$3</c:f>
              <c:strCache>
                <c:ptCount val="1"/>
                <c:pt idx="0">
                  <c:v>Články v top 10 %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List2!$C$4:$C$10</c:f>
              <c:numCache>
                <c:formatCode>General</c:formatCode>
                <c:ptCount val="7"/>
                <c:pt idx="0">
                  <c:v>2017</c:v>
                </c:pt>
                <c:pt idx="1">
                  <c:v>2018</c:v>
                </c:pt>
                <c:pt idx="2">
                  <c:v>2019</c:v>
                </c:pt>
                <c:pt idx="3">
                  <c:v>2020</c:v>
                </c:pt>
                <c:pt idx="4">
                  <c:v>2021</c:v>
                </c:pt>
                <c:pt idx="5">
                  <c:v>2022</c:v>
                </c:pt>
                <c:pt idx="6">
                  <c:v>2023</c:v>
                </c:pt>
              </c:numCache>
            </c:numRef>
          </c:cat>
          <c:val>
            <c:numRef>
              <c:f>List2!$D$4:$D$10</c:f>
              <c:numCache>
                <c:formatCode>General</c:formatCode>
                <c:ptCount val="7"/>
                <c:pt idx="0">
                  <c:v>9.35</c:v>
                </c:pt>
                <c:pt idx="1">
                  <c:v>8.66</c:v>
                </c:pt>
                <c:pt idx="2">
                  <c:v>8.48</c:v>
                </c:pt>
                <c:pt idx="3">
                  <c:v>8.42</c:v>
                </c:pt>
                <c:pt idx="4">
                  <c:v>8.76</c:v>
                </c:pt>
                <c:pt idx="5">
                  <c:v>8.69</c:v>
                </c:pt>
                <c:pt idx="6">
                  <c:v>8.93</c:v>
                </c:pt>
              </c:numCache>
            </c:numRef>
          </c:val>
          <c:smooth val="0"/>
          <c:extLst>
            <c:ext xmlns:c16="http://schemas.microsoft.com/office/drawing/2014/chart" uri="{C3380CC4-5D6E-409C-BE32-E72D297353CC}">
              <c16:uniqueId val="{00000000-64C7-4DF9-B310-08A151F423D6}"/>
            </c:ext>
          </c:extLst>
        </c:ser>
        <c:dLbls>
          <c:showLegendKey val="0"/>
          <c:showVal val="0"/>
          <c:showCatName val="0"/>
          <c:showSerName val="0"/>
          <c:showPercent val="0"/>
          <c:showBubbleSize val="0"/>
        </c:dLbls>
        <c:marker val="1"/>
        <c:smooth val="0"/>
        <c:axId val="644388768"/>
        <c:axId val="488645632"/>
      </c:lineChart>
      <c:catAx>
        <c:axId val="64438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88645632"/>
        <c:crosses val="autoZero"/>
        <c:auto val="1"/>
        <c:lblAlgn val="ctr"/>
        <c:lblOffset val="100"/>
        <c:noMultiLvlLbl val="0"/>
      </c:catAx>
      <c:valAx>
        <c:axId val="488645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44388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List2!$E$3</c:f>
              <c:strCache>
                <c:ptCount val="1"/>
                <c:pt idx="0">
                  <c:v>Články v top 1 %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List2!$C$4:$C$10</c:f>
              <c:numCache>
                <c:formatCode>General</c:formatCode>
                <c:ptCount val="7"/>
                <c:pt idx="0">
                  <c:v>2017</c:v>
                </c:pt>
                <c:pt idx="1">
                  <c:v>2018</c:v>
                </c:pt>
                <c:pt idx="2">
                  <c:v>2019</c:v>
                </c:pt>
                <c:pt idx="3">
                  <c:v>2020</c:v>
                </c:pt>
                <c:pt idx="4">
                  <c:v>2021</c:v>
                </c:pt>
                <c:pt idx="5">
                  <c:v>2022</c:v>
                </c:pt>
                <c:pt idx="6">
                  <c:v>2023</c:v>
                </c:pt>
              </c:numCache>
            </c:numRef>
          </c:cat>
          <c:val>
            <c:numRef>
              <c:f>List2!$E$4:$E$10</c:f>
              <c:numCache>
                <c:formatCode>General</c:formatCode>
                <c:ptCount val="7"/>
                <c:pt idx="0">
                  <c:v>0.76</c:v>
                </c:pt>
                <c:pt idx="1">
                  <c:v>0.62</c:v>
                </c:pt>
                <c:pt idx="2">
                  <c:v>0.57999999999999996</c:v>
                </c:pt>
                <c:pt idx="3">
                  <c:v>0.68</c:v>
                </c:pt>
                <c:pt idx="4">
                  <c:v>0.81</c:v>
                </c:pt>
                <c:pt idx="5">
                  <c:v>0.78</c:v>
                </c:pt>
                <c:pt idx="6">
                  <c:v>0.96</c:v>
                </c:pt>
              </c:numCache>
            </c:numRef>
          </c:val>
          <c:smooth val="0"/>
          <c:extLst>
            <c:ext xmlns:c16="http://schemas.microsoft.com/office/drawing/2014/chart" uri="{C3380CC4-5D6E-409C-BE32-E72D297353CC}">
              <c16:uniqueId val="{00000000-2EC1-4585-87AD-AA36209AD347}"/>
            </c:ext>
          </c:extLst>
        </c:ser>
        <c:dLbls>
          <c:showLegendKey val="0"/>
          <c:showVal val="0"/>
          <c:showCatName val="0"/>
          <c:showSerName val="0"/>
          <c:showPercent val="0"/>
          <c:showBubbleSize val="0"/>
        </c:dLbls>
        <c:marker val="1"/>
        <c:smooth val="0"/>
        <c:axId val="2002716304"/>
        <c:axId val="2108737792"/>
      </c:lineChart>
      <c:catAx>
        <c:axId val="200271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08737792"/>
        <c:crosses val="autoZero"/>
        <c:auto val="1"/>
        <c:lblAlgn val="ctr"/>
        <c:lblOffset val="100"/>
        <c:noMultiLvlLbl val="0"/>
      </c:catAx>
      <c:valAx>
        <c:axId val="210873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02716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Vlastní 3">
      <a:dk1>
        <a:sysClr val="windowText" lastClr="000000"/>
      </a:dk1>
      <a:lt1>
        <a:sysClr val="window" lastClr="FFFFFF"/>
      </a:lt1>
      <a:dk2>
        <a:srgbClr val="44546A"/>
      </a:dk2>
      <a:lt2>
        <a:srgbClr val="E7E6E6"/>
      </a:lt2>
      <a:accent1>
        <a:srgbClr val="AF1953"/>
      </a:accent1>
      <a:accent2>
        <a:srgbClr val="ED7D31"/>
      </a:accent2>
      <a:accent3>
        <a:srgbClr val="A5A5A5"/>
      </a:accent3>
      <a:accent4>
        <a:srgbClr val="FFC000"/>
      </a:accent4>
      <a:accent5>
        <a:srgbClr val="5B9BD5"/>
      </a:accent5>
      <a:accent6>
        <a:srgbClr val="70AD47"/>
      </a:accent6>
      <a:hlink>
        <a:srgbClr val="0563C1"/>
      </a:hlink>
      <a:folHlink>
        <a:srgbClr val="C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93BD-B8F0-4EA8-B08A-0AE72934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7571</Words>
  <Characters>44675</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Kontrolní závěr z kontrolní akce NKÚ č. 24/17 - Peněžní prostředky určené na účelovou podporu výzkumu, vývoje a inovací prostřednictvím rozpočtových kapitol Grantová agentura České republiky a Technologická agentura České republiky</vt:lpstr>
    </vt:vector>
  </TitlesOfParts>
  <Company>NKÚ</Company>
  <LinksUpToDate>false</LinksUpToDate>
  <CharactersWithSpaces>52142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24/17 - Peněžní prostředky určené na účelovou podporu výzkumu, vývoje a inovací prostřednictvím rozpočtových kapitol Grantová agentura České republiky a Technologická agentura České republiky</dc:title>
  <dc:subject>Kontrolní závěr z kontrolní akce NKÚ č. 24/17 - Peněžní prostředky určené na účelovou podporu výzkumu, vývoje a inovací prostřednictvím rozpočtových kapitol Grantová agentura České republiky a Technologická agentura České republiky</dc:subject>
  <dc:creator>nku@NKU.cz</dc:creator>
  <cp:keywords>kontrolní závěr; výzkum a vývoj; Grantová agentura ČR; GA ČR; Technologická agentura ČR; TA ČR</cp:keywords>
  <dc:description/>
  <cp:lastModifiedBy>KOKRDA Daniel</cp:lastModifiedBy>
  <cp:revision>5</cp:revision>
  <cp:lastPrinted>2025-07-02T06:00:00Z</cp:lastPrinted>
  <dcterms:created xsi:type="dcterms:W3CDTF">2025-06-09T06:38:00Z</dcterms:created>
  <dcterms:modified xsi:type="dcterms:W3CDTF">2025-07-02T06:00:00Z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4237d89a,362a07fe,d6610a1</vt:lpwstr>
  </property>
  <property fmtid="{D5CDD505-2E9C-101B-9397-08002B2CF9AE}" pid="3" name="ClassificationContentMarkingFooterFontProps">
    <vt:lpwstr>#828282,12,Calibri</vt:lpwstr>
  </property>
  <property fmtid="{D5CDD505-2E9C-101B-9397-08002B2CF9AE}" pid="4" name="ClassificationContentMarkingFooterText">
    <vt:lpwstr>TLP:CLEAR</vt:lpwstr>
  </property>
  <property fmtid="{D5CDD505-2E9C-101B-9397-08002B2CF9AE}" pid="5" name="MSIP_Label_2a5ca00b-f9dd-452b-9d75-e1b2c69cf7c5_Enabled">
    <vt:lpwstr>true</vt:lpwstr>
  </property>
  <property fmtid="{D5CDD505-2E9C-101B-9397-08002B2CF9AE}" pid="6" name="MSIP_Label_2a5ca00b-f9dd-452b-9d75-e1b2c69cf7c5_SetDate">
    <vt:lpwstr>2025-07-02T06:00:20Z</vt:lpwstr>
  </property>
  <property fmtid="{D5CDD505-2E9C-101B-9397-08002B2CF9AE}" pid="7" name="MSIP_Label_2a5ca00b-f9dd-452b-9d75-e1b2c69cf7c5_Method">
    <vt:lpwstr>Privileged</vt:lpwstr>
  </property>
  <property fmtid="{D5CDD505-2E9C-101B-9397-08002B2CF9AE}" pid="8" name="MSIP_Label_2a5ca00b-f9dd-452b-9d75-e1b2c69cf7c5_Name">
    <vt:lpwstr>Nízká</vt:lpwstr>
  </property>
  <property fmtid="{D5CDD505-2E9C-101B-9397-08002B2CF9AE}" pid="9" name="MSIP_Label_2a5ca00b-f9dd-452b-9d75-e1b2c69cf7c5_SiteId">
    <vt:lpwstr>e6d36204-fa0a-4bdb-9b60-80f84bb090cf</vt:lpwstr>
  </property>
  <property fmtid="{D5CDD505-2E9C-101B-9397-08002B2CF9AE}" pid="10" name="MSIP_Label_2a5ca00b-f9dd-452b-9d75-e1b2c69cf7c5_ActionId">
    <vt:lpwstr>0b8361f1-fe45-4b21-8037-a48485985950</vt:lpwstr>
  </property>
  <property fmtid="{D5CDD505-2E9C-101B-9397-08002B2CF9AE}" pid="11" name="MSIP_Label_2a5ca00b-f9dd-452b-9d75-e1b2c69cf7c5_ContentBits">
    <vt:lpwstr>2</vt:lpwstr>
  </property>
  <property fmtid="{D5CDD505-2E9C-101B-9397-08002B2CF9AE}" pid="12" name="MSIP_Label_2a5ca00b-f9dd-452b-9d75-e1b2c69cf7c5_Tag">
    <vt:lpwstr>10, 0, 1, 1</vt:lpwstr>
  </property>
</Properties>
</file>